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374B0" w:rsidTr="005D4067">
        <w:trPr>
          <w:cantSplit/>
          <w:trHeight w:val="851"/>
        </w:trPr>
        <w:tc>
          <w:tcPr>
            <w:tcW w:w="1259" w:type="dxa"/>
            <w:tcBorders>
              <w:top w:val="nil"/>
              <w:left w:val="nil"/>
              <w:bottom w:val="single" w:sz="4" w:space="0" w:color="auto"/>
              <w:right w:val="nil"/>
            </w:tcBorders>
          </w:tcPr>
          <w:p w:rsidR="006374B0" w:rsidRDefault="006374B0" w:rsidP="005D4067">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374B0" w:rsidRDefault="006374B0" w:rsidP="005D4067">
            <w:pPr>
              <w:spacing w:after="80" w:line="340" w:lineRule="exact"/>
              <w:rPr>
                <w:sz w:val="28"/>
                <w:szCs w:val="28"/>
              </w:rPr>
            </w:pPr>
            <w:r>
              <w:rPr>
                <w:sz w:val="28"/>
                <w:szCs w:val="28"/>
              </w:rPr>
              <w:t>United</w:t>
            </w:r>
            <w:r w:rsidR="008243CA">
              <w:rPr>
                <w:sz w:val="28"/>
                <w:szCs w:val="28"/>
              </w:rPr>
              <w:t xml:space="preserve"> </w:t>
            </w:r>
            <w:r>
              <w:rPr>
                <w:sz w:val="28"/>
                <w:szCs w:val="28"/>
              </w:rPr>
              <w:t>Nations</w:t>
            </w:r>
          </w:p>
        </w:tc>
        <w:tc>
          <w:tcPr>
            <w:tcW w:w="6144" w:type="dxa"/>
            <w:gridSpan w:val="2"/>
            <w:tcBorders>
              <w:top w:val="nil"/>
              <w:left w:val="nil"/>
              <w:bottom w:val="single" w:sz="4" w:space="0" w:color="auto"/>
              <w:right w:val="nil"/>
            </w:tcBorders>
            <w:vAlign w:val="bottom"/>
          </w:tcPr>
          <w:p w:rsidR="006374B0" w:rsidRDefault="00077DC7" w:rsidP="005D4067">
            <w:pPr>
              <w:suppressAutoHyphens w:val="0"/>
              <w:spacing w:after="20"/>
              <w:jc w:val="right"/>
            </w:pPr>
            <w:r w:rsidRPr="00077DC7">
              <w:rPr>
                <w:sz w:val="40"/>
              </w:rPr>
              <w:t>CAT</w:t>
            </w:r>
            <w:r>
              <w:t>/OP/CHL/1/Add.1</w:t>
            </w:r>
          </w:p>
        </w:tc>
      </w:tr>
      <w:tr w:rsidR="006374B0" w:rsidTr="005D4067">
        <w:trPr>
          <w:cantSplit/>
          <w:trHeight w:val="2835"/>
        </w:trPr>
        <w:tc>
          <w:tcPr>
            <w:tcW w:w="1259" w:type="dxa"/>
            <w:tcBorders>
              <w:top w:val="single" w:sz="4" w:space="0" w:color="auto"/>
              <w:left w:val="nil"/>
              <w:bottom w:val="single" w:sz="12" w:space="0" w:color="auto"/>
              <w:right w:val="nil"/>
            </w:tcBorders>
          </w:tcPr>
          <w:p w:rsidR="006374B0" w:rsidRDefault="006374B0" w:rsidP="005D4067">
            <w:pPr>
              <w:spacing w:before="120"/>
              <w:jc w:val="center"/>
            </w:pPr>
            <w:r>
              <w:rPr>
                <w:noProof/>
                <w:lang w:eastAsia="zh-CN"/>
              </w:rPr>
              <w:drawing>
                <wp:inline distT="0" distB="0" distL="0" distR="0" wp14:anchorId="5FEACD78" wp14:editId="4DD94E2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374B0" w:rsidRDefault="006374B0" w:rsidP="005D4067">
            <w:pPr>
              <w:spacing w:before="120" w:line="380" w:lineRule="exact"/>
              <w:rPr>
                <w:rFonts w:ascii="Times New Roman Bold" w:hAnsi="Times New Roman Bold"/>
                <w:b/>
                <w:sz w:val="34"/>
                <w:szCs w:val="40"/>
              </w:rPr>
            </w:pPr>
            <w:r>
              <w:rPr>
                <w:rFonts w:ascii="Times New Roman Bold" w:hAnsi="Times New Roman Bold"/>
                <w:b/>
                <w:sz w:val="34"/>
                <w:szCs w:val="40"/>
              </w:rPr>
              <w:t>Optional</w:t>
            </w:r>
            <w:r w:rsidR="008243CA">
              <w:rPr>
                <w:rFonts w:ascii="Times New Roman Bold" w:hAnsi="Times New Roman Bold"/>
                <w:b/>
                <w:sz w:val="34"/>
                <w:szCs w:val="40"/>
              </w:rPr>
              <w:t xml:space="preserve"> </w:t>
            </w:r>
            <w:r>
              <w:rPr>
                <w:rFonts w:ascii="Times New Roman Bold" w:hAnsi="Times New Roman Bold"/>
                <w:b/>
                <w:sz w:val="34"/>
                <w:szCs w:val="40"/>
              </w:rPr>
              <w:t>Protocol</w:t>
            </w:r>
            <w:r w:rsidR="008243CA">
              <w:rPr>
                <w:rFonts w:ascii="Times New Roman Bold" w:hAnsi="Times New Roman Bold"/>
                <w:b/>
                <w:sz w:val="34"/>
                <w:szCs w:val="40"/>
              </w:rPr>
              <w:t xml:space="preserve"> </w:t>
            </w:r>
            <w:r>
              <w:rPr>
                <w:rFonts w:ascii="Times New Roman Bold" w:hAnsi="Times New Roman Bold"/>
                <w:b/>
                <w:sz w:val="34"/>
                <w:szCs w:val="40"/>
              </w:rPr>
              <w:t>to</w:t>
            </w:r>
            <w:r w:rsidR="008243CA">
              <w:rPr>
                <w:rFonts w:ascii="Times New Roman Bold" w:hAnsi="Times New Roman Bold"/>
                <w:b/>
                <w:sz w:val="34"/>
                <w:szCs w:val="40"/>
              </w:rPr>
              <w:t xml:space="preserve"> </w:t>
            </w:r>
            <w:r>
              <w:rPr>
                <w:rFonts w:ascii="Times New Roman Bold" w:hAnsi="Times New Roman Bold"/>
                <w:b/>
                <w:sz w:val="34"/>
                <w:szCs w:val="40"/>
              </w:rPr>
              <w:t>the</w:t>
            </w:r>
            <w:r>
              <w:rPr>
                <w:rFonts w:ascii="Times New Roman Bold" w:hAnsi="Times New Roman Bold"/>
                <w:b/>
                <w:sz w:val="34"/>
                <w:szCs w:val="40"/>
              </w:rPr>
              <w:br/>
              <w:t>Convention</w:t>
            </w:r>
            <w:r w:rsidR="008243CA">
              <w:rPr>
                <w:rFonts w:ascii="Times New Roman Bold" w:hAnsi="Times New Roman Bold"/>
                <w:b/>
                <w:sz w:val="34"/>
                <w:szCs w:val="40"/>
              </w:rPr>
              <w:t xml:space="preserve"> </w:t>
            </w:r>
            <w:r>
              <w:rPr>
                <w:rFonts w:ascii="Times New Roman Bold" w:hAnsi="Times New Roman Bold"/>
                <w:b/>
                <w:sz w:val="34"/>
                <w:szCs w:val="40"/>
              </w:rPr>
              <w:t>against</w:t>
            </w:r>
            <w:r w:rsidR="008243CA">
              <w:rPr>
                <w:rFonts w:ascii="Times New Roman Bold" w:hAnsi="Times New Roman Bold"/>
                <w:b/>
                <w:sz w:val="34"/>
                <w:szCs w:val="40"/>
              </w:rPr>
              <w:t xml:space="preserve"> </w:t>
            </w:r>
            <w:r>
              <w:rPr>
                <w:rFonts w:ascii="Times New Roman Bold" w:hAnsi="Times New Roman Bold"/>
                <w:b/>
                <w:sz w:val="34"/>
                <w:szCs w:val="40"/>
              </w:rPr>
              <w:t>Torture</w:t>
            </w:r>
            <w:r>
              <w:rPr>
                <w:rFonts w:ascii="Times New Roman Bold" w:hAnsi="Times New Roman Bold"/>
                <w:b/>
                <w:sz w:val="34"/>
                <w:szCs w:val="40"/>
              </w:rPr>
              <w:br/>
              <w:t>and</w:t>
            </w:r>
            <w:r w:rsidR="008243CA">
              <w:rPr>
                <w:rFonts w:ascii="Times New Roman Bold" w:hAnsi="Times New Roman Bold"/>
                <w:b/>
                <w:sz w:val="34"/>
                <w:szCs w:val="40"/>
              </w:rPr>
              <w:t xml:space="preserve"> </w:t>
            </w:r>
            <w:r>
              <w:rPr>
                <w:rFonts w:ascii="Times New Roman Bold" w:hAnsi="Times New Roman Bold"/>
                <w:b/>
                <w:sz w:val="34"/>
                <w:szCs w:val="40"/>
              </w:rPr>
              <w:t>Other</w:t>
            </w:r>
            <w:r w:rsidR="008243CA">
              <w:rPr>
                <w:rFonts w:ascii="Times New Roman Bold" w:hAnsi="Times New Roman Bold"/>
                <w:b/>
                <w:sz w:val="34"/>
                <w:szCs w:val="40"/>
              </w:rPr>
              <w:t xml:space="preserve"> </w:t>
            </w:r>
            <w:r>
              <w:rPr>
                <w:rFonts w:ascii="Times New Roman Bold" w:hAnsi="Times New Roman Bold"/>
                <w:b/>
                <w:sz w:val="34"/>
                <w:szCs w:val="40"/>
              </w:rPr>
              <w:t>Cruel,</w:t>
            </w:r>
            <w:r w:rsidR="008243CA">
              <w:rPr>
                <w:rFonts w:ascii="Times New Roman Bold" w:hAnsi="Times New Roman Bold"/>
                <w:b/>
                <w:sz w:val="34"/>
                <w:szCs w:val="40"/>
              </w:rPr>
              <w:t xml:space="preserve"> </w:t>
            </w:r>
            <w:r>
              <w:rPr>
                <w:rFonts w:ascii="Times New Roman Bold" w:hAnsi="Times New Roman Bold"/>
                <w:b/>
                <w:sz w:val="34"/>
                <w:szCs w:val="40"/>
              </w:rPr>
              <w:t>Inhuman</w:t>
            </w:r>
            <w:r>
              <w:rPr>
                <w:rFonts w:ascii="Times New Roman Bold" w:hAnsi="Times New Roman Bold"/>
                <w:b/>
                <w:sz w:val="34"/>
                <w:szCs w:val="40"/>
              </w:rPr>
              <w:br/>
              <w:t>or</w:t>
            </w:r>
            <w:r w:rsidR="008243CA">
              <w:rPr>
                <w:rFonts w:ascii="Times New Roman Bold" w:hAnsi="Times New Roman Bold"/>
                <w:b/>
                <w:sz w:val="34"/>
                <w:szCs w:val="40"/>
              </w:rPr>
              <w:t xml:space="preserve"> </w:t>
            </w:r>
            <w:r>
              <w:rPr>
                <w:rFonts w:ascii="Times New Roman Bold" w:hAnsi="Times New Roman Bold"/>
                <w:b/>
                <w:sz w:val="34"/>
                <w:szCs w:val="40"/>
              </w:rPr>
              <w:t>Degrading</w:t>
            </w:r>
            <w:r w:rsidR="008243CA">
              <w:rPr>
                <w:rFonts w:ascii="Times New Roman Bold" w:hAnsi="Times New Roman Bold"/>
                <w:b/>
                <w:sz w:val="34"/>
                <w:szCs w:val="40"/>
              </w:rPr>
              <w:t xml:space="preserve"> </w:t>
            </w:r>
            <w:r>
              <w:rPr>
                <w:rFonts w:ascii="Times New Roman Bold" w:hAnsi="Times New Roman Bold"/>
                <w:b/>
                <w:sz w:val="34"/>
                <w:szCs w:val="40"/>
              </w:rPr>
              <w:t>Treatment</w:t>
            </w:r>
            <w:r>
              <w:rPr>
                <w:rFonts w:ascii="Times New Roman Bold" w:hAnsi="Times New Roman Bold"/>
                <w:b/>
                <w:sz w:val="34"/>
                <w:szCs w:val="40"/>
              </w:rPr>
              <w:br/>
              <w:t>or</w:t>
            </w:r>
            <w:r w:rsidR="008243CA">
              <w:rPr>
                <w:rFonts w:ascii="Times New Roman Bold" w:hAnsi="Times New Roman Bold"/>
                <w:b/>
                <w:sz w:val="34"/>
                <w:szCs w:val="40"/>
              </w:rPr>
              <w:t xml:space="preserve"> </w:t>
            </w:r>
            <w:r>
              <w:rPr>
                <w:rFonts w:ascii="Times New Roman Bold" w:hAnsi="Times New Roman Bold"/>
                <w:b/>
                <w:sz w:val="34"/>
                <w:szCs w:val="40"/>
              </w:rPr>
              <w:t>Punishment</w:t>
            </w:r>
          </w:p>
        </w:tc>
        <w:tc>
          <w:tcPr>
            <w:tcW w:w="2930" w:type="dxa"/>
            <w:tcBorders>
              <w:top w:val="single" w:sz="4" w:space="0" w:color="auto"/>
              <w:left w:val="nil"/>
              <w:bottom w:val="single" w:sz="12" w:space="0" w:color="auto"/>
              <w:right w:val="nil"/>
            </w:tcBorders>
          </w:tcPr>
          <w:p w:rsidR="006374B0" w:rsidRDefault="00077DC7" w:rsidP="005D4067">
            <w:pPr>
              <w:suppressAutoHyphens w:val="0"/>
              <w:spacing w:before="240" w:line="240" w:lineRule="exact"/>
            </w:pPr>
            <w:r>
              <w:t>Distr.:</w:t>
            </w:r>
            <w:r w:rsidR="008243CA">
              <w:t xml:space="preserve"> </w:t>
            </w:r>
            <w:r>
              <w:t>General</w:t>
            </w:r>
          </w:p>
          <w:p w:rsidR="00077DC7" w:rsidRDefault="003F7D03" w:rsidP="005D4067">
            <w:pPr>
              <w:suppressAutoHyphens w:val="0"/>
            </w:pPr>
            <w:r>
              <w:t>16</w:t>
            </w:r>
            <w:r w:rsidR="008243CA">
              <w:t xml:space="preserve"> </w:t>
            </w:r>
            <w:r>
              <w:t>May</w:t>
            </w:r>
            <w:r w:rsidR="008243CA">
              <w:t xml:space="preserve"> </w:t>
            </w:r>
            <w:r>
              <w:t>2017</w:t>
            </w:r>
          </w:p>
          <w:p w:rsidR="00077DC7" w:rsidRDefault="00074264" w:rsidP="005D4067">
            <w:pPr>
              <w:suppressAutoHyphens w:val="0"/>
            </w:pPr>
            <w:r>
              <w:t>English</w:t>
            </w:r>
          </w:p>
          <w:p w:rsidR="00077DC7" w:rsidRDefault="00077DC7" w:rsidP="005D4067">
            <w:pPr>
              <w:suppressAutoHyphens w:val="0"/>
            </w:pPr>
            <w:r>
              <w:t>Original:</w:t>
            </w:r>
            <w:r w:rsidR="008243CA">
              <w:t xml:space="preserve"> </w:t>
            </w:r>
            <w:r>
              <w:t>Spanish</w:t>
            </w:r>
          </w:p>
          <w:p w:rsidR="003F7D03" w:rsidRDefault="003F7D03" w:rsidP="005D4067">
            <w:pPr>
              <w:suppressAutoHyphens w:val="0"/>
            </w:pPr>
            <w:r>
              <w:t>English,</w:t>
            </w:r>
            <w:r w:rsidR="008243CA">
              <w:t xml:space="preserve"> </w:t>
            </w:r>
            <w:r>
              <w:t>French</w:t>
            </w:r>
            <w:r w:rsidR="008243CA">
              <w:t xml:space="preserve"> </w:t>
            </w:r>
            <w:r>
              <w:t>and</w:t>
            </w:r>
            <w:r w:rsidR="008243CA">
              <w:t xml:space="preserve"> </w:t>
            </w:r>
            <w:r>
              <w:t>Spanish</w:t>
            </w:r>
            <w:r w:rsidR="008243CA">
              <w:t xml:space="preserve"> </w:t>
            </w:r>
            <w:r>
              <w:t>only</w:t>
            </w:r>
          </w:p>
        </w:tc>
      </w:tr>
    </w:tbl>
    <w:p w:rsidR="003F7D03" w:rsidRPr="003F7D03" w:rsidRDefault="003F7D03" w:rsidP="003F7D03">
      <w:pPr>
        <w:spacing w:before="120"/>
        <w:rPr>
          <w:b/>
          <w:bCs/>
          <w:sz w:val="24"/>
          <w:szCs w:val="24"/>
        </w:rPr>
      </w:pPr>
      <w:r w:rsidRPr="003F7D03">
        <w:rPr>
          <w:b/>
          <w:bCs/>
          <w:sz w:val="24"/>
          <w:szCs w:val="24"/>
        </w:rPr>
        <w:t>Subcommittee</w:t>
      </w:r>
      <w:r w:rsidR="008243CA">
        <w:rPr>
          <w:b/>
          <w:bCs/>
          <w:sz w:val="24"/>
          <w:szCs w:val="24"/>
        </w:rPr>
        <w:t xml:space="preserve"> </w:t>
      </w:r>
      <w:r w:rsidRPr="003F7D03">
        <w:rPr>
          <w:b/>
          <w:bCs/>
          <w:sz w:val="24"/>
          <w:szCs w:val="24"/>
        </w:rPr>
        <w:t>on</w:t>
      </w:r>
      <w:r w:rsidR="008243CA">
        <w:rPr>
          <w:b/>
          <w:bCs/>
          <w:sz w:val="24"/>
          <w:szCs w:val="24"/>
        </w:rPr>
        <w:t xml:space="preserve"> </w:t>
      </w:r>
      <w:r w:rsidRPr="003F7D03">
        <w:rPr>
          <w:b/>
          <w:bCs/>
          <w:sz w:val="24"/>
          <w:szCs w:val="24"/>
        </w:rPr>
        <w:t>Prevention</w:t>
      </w:r>
      <w:r w:rsidR="008243CA">
        <w:rPr>
          <w:b/>
          <w:bCs/>
          <w:sz w:val="24"/>
          <w:szCs w:val="24"/>
        </w:rPr>
        <w:t xml:space="preserve"> </w:t>
      </w:r>
      <w:r w:rsidRPr="003F7D03">
        <w:rPr>
          <w:b/>
          <w:bCs/>
          <w:sz w:val="24"/>
          <w:szCs w:val="24"/>
        </w:rPr>
        <w:t>of</w:t>
      </w:r>
      <w:r w:rsidR="008243CA">
        <w:rPr>
          <w:b/>
          <w:bCs/>
          <w:sz w:val="24"/>
          <w:szCs w:val="24"/>
        </w:rPr>
        <w:t xml:space="preserve"> </w:t>
      </w:r>
      <w:r w:rsidRPr="003F7D03">
        <w:rPr>
          <w:b/>
          <w:bCs/>
          <w:sz w:val="24"/>
          <w:szCs w:val="24"/>
        </w:rPr>
        <w:t>Torture</w:t>
      </w:r>
      <w:r w:rsidR="008243CA">
        <w:rPr>
          <w:b/>
          <w:bCs/>
          <w:sz w:val="24"/>
          <w:szCs w:val="24"/>
        </w:rPr>
        <w:t xml:space="preserve"> </w:t>
      </w:r>
      <w:r w:rsidRPr="003F7D03">
        <w:rPr>
          <w:b/>
          <w:bCs/>
          <w:sz w:val="24"/>
          <w:szCs w:val="24"/>
        </w:rPr>
        <w:t>and</w:t>
      </w:r>
      <w:r w:rsidR="008243CA">
        <w:rPr>
          <w:b/>
          <w:bCs/>
          <w:sz w:val="24"/>
          <w:szCs w:val="24"/>
        </w:rPr>
        <w:t xml:space="preserve"> </w:t>
      </w:r>
      <w:r w:rsidRPr="003F7D03">
        <w:rPr>
          <w:b/>
          <w:bCs/>
          <w:sz w:val="24"/>
          <w:szCs w:val="24"/>
        </w:rPr>
        <w:t>Other</w:t>
      </w:r>
      <w:r w:rsidR="008243CA">
        <w:rPr>
          <w:b/>
          <w:bCs/>
          <w:sz w:val="24"/>
          <w:szCs w:val="24"/>
        </w:rPr>
        <w:t xml:space="preserve"> </w:t>
      </w:r>
      <w:r w:rsidRPr="003F7D03">
        <w:rPr>
          <w:b/>
          <w:bCs/>
          <w:sz w:val="24"/>
          <w:szCs w:val="24"/>
        </w:rPr>
        <w:t>Cruel,</w:t>
      </w:r>
    </w:p>
    <w:p w:rsidR="003F7D03" w:rsidRPr="003F7D03" w:rsidRDefault="003F7D03" w:rsidP="003F7D03">
      <w:pPr>
        <w:rPr>
          <w:b/>
          <w:bCs/>
          <w:sz w:val="24"/>
          <w:szCs w:val="24"/>
        </w:rPr>
      </w:pPr>
      <w:r w:rsidRPr="003F7D03">
        <w:rPr>
          <w:b/>
          <w:bCs/>
          <w:sz w:val="24"/>
          <w:szCs w:val="24"/>
        </w:rPr>
        <w:t>Inhuman</w:t>
      </w:r>
      <w:r w:rsidR="008243CA">
        <w:rPr>
          <w:b/>
          <w:bCs/>
          <w:sz w:val="24"/>
          <w:szCs w:val="24"/>
        </w:rPr>
        <w:t xml:space="preserve"> </w:t>
      </w:r>
      <w:r w:rsidRPr="003F7D03">
        <w:rPr>
          <w:b/>
          <w:bCs/>
          <w:sz w:val="24"/>
          <w:szCs w:val="24"/>
        </w:rPr>
        <w:t>or</w:t>
      </w:r>
      <w:r w:rsidR="008243CA">
        <w:rPr>
          <w:b/>
          <w:bCs/>
          <w:sz w:val="24"/>
          <w:szCs w:val="24"/>
        </w:rPr>
        <w:t xml:space="preserve"> </w:t>
      </w:r>
      <w:r w:rsidRPr="003F7D03">
        <w:rPr>
          <w:b/>
          <w:bCs/>
          <w:sz w:val="24"/>
          <w:szCs w:val="24"/>
        </w:rPr>
        <w:t>Degrading</w:t>
      </w:r>
      <w:r w:rsidR="008243CA">
        <w:rPr>
          <w:b/>
          <w:bCs/>
          <w:sz w:val="24"/>
          <w:szCs w:val="24"/>
        </w:rPr>
        <w:t xml:space="preserve"> </w:t>
      </w:r>
      <w:r w:rsidRPr="003F7D03">
        <w:rPr>
          <w:b/>
          <w:bCs/>
          <w:sz w:val="24"/>
          <w:szCs w:val="24"/>
        </w:rPr>
        <w:t>Treatment</w:t>
      </w:r>
      <w:r w:rsidR="008243CA">
        <w:rPr>
          <w:b/>
          <w:bCs/>
          <w:sz w:val="24"/>
          <w:szCs w:val="24"/>
        </w:rPr>
        <w:t xml:space="preserve"> </w:t>
      </w:r>
      <w:r w:rsidRPr="003F7D03">
        <w:rPr>
          <w:b/>
          <w:bCs/>
          <w:sz w:val="24"/>
          <w:szCs w:val="24"/>
        </w:rPr>
        <w:t>or</w:t>
      </w:r>
      <w:r w:rsidR="008243CA">
        <w:rPr>
          <w:b/>
          <w:bCs/>
          <w:sz w:val="24"/>
          <w:szCs w:val="24"/>
        </w:rPr>
        <w:t xml:space="preserve"> </w:t>
      </w:r>
      <w:r w:rsidRPr="003F7D03">
        <w:rPr>
          <w:b/>
          <w:bCs/>
          <w:sz w:val="24"/>
          <w:szCs w:val="24"/>
        </w:rPr>
        <w:t>Punishment</w:t>
      </w:r>
    </w:p>
    <w:p w:rsidR="003F7D03" w:rsidRPr="00E62FE6" w:rsidRDefault="003F7D03" w:rsidP="003F7D03">
      <w:pPr>
        <w:pStyle w:val="HMG"/>
      </w:pPr>
      <w:r w:rsidRPr="00E62FE6">
        <w:tab/>
      </w:r>
      <w:r w:rsidRPr="00E62FE6">
        <w:tab/>
        <w:t>Visit</w:t>
      </w:r>
      <w:r w:rsidR="008243CA">
        <w:t xml:space="preserve"> </w:t>
      </w:r>
      <w:r w:rsidRPr="00E62FE6">
        <w:t>to</w:t>
      </w:r>
      <w:r w:rsidR="008243CA">
        <w:t xml:space="preserve"> </w:t>
      </w:r>
      <w:r w:rsidRPr="00E62FE6">
        <w:t>Chile</w:t>
      </w:r>
      <w:r w:rsidR="008243CA">
        <w:t xml:space="preserve"> </w:t>
      </w:r>
      <w:r w:rsidRPr="00E62FE6">
        <w:t>undertaken</w:t>
      </w:r>
      <w:r w:rsidR="008243CA">
        <w:t xml:space="preserve"> </w:t>
      </w:r>
      <w:r w:rsidRPr="00E62FE6">
        <w:t>from</w:t>
      </w:r>
      <w:r w:rsidR="008243CA">
        <w:t xml:space="preserve"> </w:t>
      </w:r>
      <w:r w:rsidRPr="00E62FE6">
        <w:t>4</w:t>
      </w:r>
      <w:r w:rsidR="008243CA">
        <w:t xml:space="preserve"> </w:t>
      </w:r>
      <w:r w:rsidRPr="00E62FE6">
        <w:t>to</w:t>
      </w:r>
      <w:r w:rsidR="008243CA">
        <w:t xml:space="preserve"> </w:t>
      </w:r>
      <w:r w:rsidRPr="00E62FE6">
        <w:t>13</w:t>
      </w:r>
      <w:r w:rsidR="008243CA">
        <w:t xml:space="preserve"> </w:t>
      </w:r>
      <w:r w:rsidRPr="00E62FE6">
        <w:t>April</w:t>
      </w:r>
      <w:r w:rsidR="008243CA">
        <w:t xml:space="preserve"> </w:t>
      </w:r>
      <w:r w:rsidRPr="00E62FE6">
        <w:t>2016:</w:t>
      </w:r>
      <w:r w:rsidR="008243CA">
        <w:t xml:space="preserve"> </w:t>
      </w:r>
      <w:r w:rsidRPr="00E62FE6">
        <w:t>observations</w:t>
      </w:r>
      <w:r w:rsidR="008243CA">
        <w:t xml:space="preserve"> </w:t>
      </w:r>
      <w:r w:rsidRPr="00E62FE6">
        <w:t>and</w:t>
      </w:r>
      <w:r w:rsidR="008243CA">
        <w:t xml:space="preserve"> </w:t>
      </w:r>
      <w:r w:rsidRPr="00E62FE6">
        <w:t>recommendations</w:t>
      </w:r>
      <w:r w:rsidR="008243CA">
        <w:t xml:space="preserve"> </w:t>
      </w:r>
      <w:r w:rsidRPr="00E62FE6">
        <w:t>addressed</w:t>
      </w:r>
      <w:r w:rsidR="008243CA">
        <w:t xml:space="preserve"> </w:t>
      </w:r>
      <w:r w:rsidRPr="00E62FE6">
        <w:t>to</w:t>
      </w:r>
      <w:r w:rsidR="008243CA">
        <w:t xml:space="preserve"> </w:t>
      </w:r>
      <w:r w:rsidRPr="00E62FE6">
        <w:t>the</w:t>
      </w:r>
      <w:r w:rsidR="008243CA">
        <w:t xml:space="preserve"> </w:t>
      </w:r>
      <w:r w:rsidRPr="00E62FE6">
        <w:t>State</w:t>
      </w:r>
      <w:r w:rsidR="008243CA">
        <w:t xml:space="preserve"> </w:t>
      </w:r>
      <w:r w:rsidRPr="00E62FE6">
        <w:t>party</w:t>
      </w:r>
      <w:r w:rsidR="008243CA">
        <w:t xml:space="preserve"> </w:t>
      </w:r>
    </w:p>
    <w:p w:rsidR="003F7D03" w:rsidRPr="00E62FE6" w:rsidRDefault="003F7D03" w:rsidP="003F7D03">
      <w:pPr>
        <w:pStyle w:val="HChG"/>
      </w:pPr>
      <w:r w:rsidRPr="00E62FE6">
        <w:tab/>
      </w:r>
      <w:r w:rsidRPr="00E62FE6">
        <w:tab/>
      </w:r>
      <w:bookmarkStart w:id="1" w:name="_Toc482618074"/>
      <w:bookmarkStart w:id="2" w:name="_Toc512870669"/>
      <w:bookmarkStart w:id="3" w:name="_Toc512870831"/>
      <w:r w:rsidRPr="00E62FE6">
        <w:t>Report</w:t>
      </w:r>
      <w:r w:rsidR="008243CA">
        <w:t xml:space="preserve"> </w:t>
      </w:r>
      <w:r w:rsidRPr="00E62FE6">
        <w:t>of</w:t>
      </w:r>
      <w:r w:rsidR="008243CA">
        <w:t xml:space="preserve"> </w:t>
      </w:r>
      <w:r w:rsidRPr="00E62FE6">
        <w:t>the</w:t>
      </w:r>
      <w:r w:rsidR="008243CA">
        <w:t xml:space="preserve"> </w:t>
      </w:r>
      <w:r w:rsidRPr="00E62FE6">
        <w:t>Subcommittee</w:t>
      </w:r>
      <w:bookmarkEnd w:id="1"/>
      <w:r w:rsidRPr="003F7D03">
        <w:rPr>
          <w:rStyle w:val="FootnoteReference"/>
          <w:b w:val="0"/>
          <w:bCs/>
          <w:sz w:val="20"/>
          <w:vertAlign w:val="baseline"/>
        </w:rPr>
        <w:footnoteReference w:customMarkFollows="1" w:id="1"/>
        <w:t>*</w:t>
      </w:r>
      <w:bookmarkEnd w:id="2"/>
      <w:bookmarkEnd w:id="3"/>
    </w:p>
    <w:p w:rsidR="003F7D03" w:rsidRPr="00E62FE6" w:rsidRDefault="003F7D03" w:rsidP="003F7D03">
      <w:pPr>
        <w:pStyle w:val="H23G"/>
      </w:pPr>
      <w:r w:rsidRPr="00E62FE6">
        <w:tab/>
      </w:r>
      <w:r w:rsidRPr="00E62FE6">
        <w:tab/>
      </w:r>
      <w:bookmarkStart w:id="4" w:name="_Toc512870670"/>
      <w:bookmarkStart w:id="5" w:name="_Toc512870832"/>
      <w:r w:rsidRPr="00E62FE6">
        <w:t>Addendum</w:t>
      </w:r>
      <w:bookmarkEnd w:id="4"/>
      <w:bookmarkEnd w:id="5"/>
    </w:p>
    <w:p w:rsidR="003F7D03" w:rsidRPr="00E62FE6" w:rsidRDefault="003F7D03" w:rsidP="003F7D03">
      <w:pPr>
        <w:pStyle w:val="HChG"/>
      </w:pPr>
      <w:r w:rsidRPr="00E62FE6">
        <w:tab/>
      </w:r>
      <w:r w:rsidRPr="00E62FE6">
        <w:tab/>
      </w:r>
      <w:bookmarkStart w:id="6" w:name="_Toc512870671"/>
      <w:bookmarkStart w:id="7" w:name="_Toc512870833"/>
      <w:r w:rsidRPr="00E62FE6">
        <w:t>Replies</w:t>
      </w:r>
      <w:r w:rsidR="008243CA">
        <w:t xml:space="preserve"> </w:t>
      </w:r>
      <w:r w:rsidRPr="00E62FE6">
        <w:t>by</w:t>
      </w:r>
      <w:r w:rsidR="008243CA">
        <w:t xml:space="preserve"> </w:t>
      </w:r>
      <w:r w:rsidRPr="00E62FE6">
        <w:t>Chile</w:t>
      </w:r>
      <w:r w:rsidRPr="003F7D03">
        <w:rPr>
          <w:rStyle w:val="FootnoteReference"/>
          <w:b w:val="0"/>
          <w:bCs/>
          <w:sz w:val="20"/>
          <w:vertAlign w:val="baseline"/>
        </w:rPr>
        <w:footnoteReference w:customMarkFollows="1" w:id="2"/>
        <w:t>**</w:t>
      </w:r>
      <w:bookmarkEnd w:id="6"/>
      <w:bookmarkEnd w:id="7"/>
    </w:p>
    <w:p w:rsidR="003F7D03" w:rsidRDefault="003F7D03" w:rsidP="000106D2">
      <w:pPr>
        <w:spacing w:after="120"/>
        <w:rPr>
          <w:sz w:val="28"/>
        </w:rPr>
      </w:pPr>
      <w:r w:rsidRPr="00E62FE6">
        <w:br w:type="page"/>
      </w:r>
      <w:r w:rsidR="000106D2">
        <w:rPr>
          <w:sz w:val="28"/>
        </w:rPr>
        <w:lastRenderedPageBreak/>
        <w:t>Contents</w:t>
      </w:r>
    </w:p>
    <w:p w:rsidR="000106D2" w:rsidRDefault="000106D2" w:rsidP="000106D2">
      <w:pPr>
        <w:tabs>
          <w:tab w:val="right" w:pos="9638"/>
        </w:tabs>
        <w:spacing w:after="120"/>
        <w:ind w:left="283"/>
        <w:rPr>
          <w:sz w:val="18"/>
        </w:rPr>
      </w:pPr>
      <w:r>
        <w:rPr>
          <w:i/>
          <w:sz w:val="18"/>
        </w:rPr>
        <w:tab/>
        <w:t>Page</w:t>
      </w:r>
    </w:p>
    <w:p w:rsidR="00527C50" w:rsidRPr="00BC64CC" w:rsidRDefault="00527C50" w:rsidP="00527C50">
      <w:pPr>
        <w:tabs>
          <w:tab w:val="right" w:pos="850"/>
          <w:tab w:val="left" w:pos="1134"/>
          <w:tab w:val="left" w:pos="1559"/>
          <w:tab w:val="left" w:pos="1984"/>
          <w:tab w:val="left" w:leader="dot" w:pos="8787"/>
          <w:tab w:val="right" w:pos="9638"/>
        </w:tabs>
        <w:spacing w:after="120"/>
      </w:pPr>
      <w:r>
        <w:tab/>
      </w:r>
      <w:r w:rsidRPr="00BC64CC">
        <w:t>Chapter 1</w:t>
      </w:r>
      <w:r>
        <w:tab/>
      </w:r>
      <w:r w:rsidRPr="00BC64CC">
        <w:t>Introduction and methodology</w:t>
      </w:r>
      <w:r>
        <w:rPr>
          <w:webHidden/>
        </w:rPr>
        <w:tab/>
      </w:r>
      <w:r>
        <w:rPr>
          <w:webHidden/>
        </w:rPr>
        <w:tab/>
        <w:t>3</w:t>
      </w:r>
    </w:p>
    <w:p w:rsidR="00527C50" w:rsidRPr="00BC64CC" w:rsidRDefault="00527C50" w:rsidP="00527C50">
      <w:pPr>
        <w:tabs>
          <w:tab w:val="right" w:pos="850"/>
          <w:tab w:val="left" w:pos="1134"/>
          <w:tab w:val="left" w:pos="1559"/>
          <w:tab w:val="left" w:pos="1984"/>
          <w:tab w:val="left" w:leader="dot" w:pos="8787"/>
          <w:tab w:val="right" w:pos="9638"/>
        </w:tabs>
        <w:spacing w:after="120"/>
      </w:pPr>
      <w:r>
        <w:tab/>
      </w:r>
      <w:r w:rsidRPr="00BC64CC">
        <w:t>1.1</w:t>
      </w:r>
      <w:r w:rsidRPr="00BC64CC">
        <w:tab/>
        <w:t>Report methodology and structure</w:t>
      </w:r>
      <w:r>
        <w:rPr>
          <w:webHidden/>
        </w:rPr>
        <w:tab/>
      </w:r>
      <w:r>
        <w:rPr>
          <w:webHidden/>
        </w:rPr>
        <w:tab/>
        <w:t>4</w:t>
      </w:r>
    </w:p>
    <w:p w:rsidR="00527C50" w:rsidRPr="00BC64CC" w:rsidRDefault="00527C50" w:rsidP="00527C50">
      <w:pPr>
        <w:tabs>
          <w:tab w:val="right" w:pos="850"/>
          <w:tab w:val="left" w:pos="1134"/>
          <w:tab w:val="left" w:pos="1559"/>
          <w:tab w:val="left" w:pos="1984"/>
          <w:tab w:val="left" w:leader="dot" w:pos="8787"/>
          <w:tab w:val="right" w:pos="9638"/>
        </w:tabs>
        <w:spacing w:after="120"/>
      </w:pPr>
      <w:r>
        <w:tab/>
      </w:r>
      <w:r w:rsidRPr="00BC64CC">
        <w:t>1.2</w:t>
      </w:r>
      <w:r w:rsidRPr="00BC64CC">
        <w:tab/>
        <w:t>Justice Sector Round Table</w:t>
      </w:r>
      <w:r>
        <w:rPr>
          <w:webHidden/>
        </w:rPr>
        <w:tab/>
      </w:r>
      <w:r>
        <w:rPr>
          <w:webHidden/>
        </w:rPr>
        <w:tab/>
        <w:t>5</w:t>
      </w:r>
    </w:p>
    <w:p w:rsidR="00527C50" w:rsidRPr="00BC64CC" w:rsidRDefault="00527C50" w:rsidP="008E32A1">
      <w:pPr>
        <w:tabs>
          <w:tab w:val="right" w:pos="850"/>
          <w:tab w:val="left" w:pos="1134"/>
          <w:tab w:val="left" w:pos="1559"/>
          <w:tab w:val="left" w:pos="1984"/>
          <w:tab w:val="left" w:leader="dot" w:pos="8787"/>
          <w:tab w:val="right" w:pos="9638"/>
        </w:tabs>
        <w:spacing w:after="120"/>
      </w:pPr>
      <w:r>
        <w:tab/>
      </w:r>
      <w:r w:rsidRPr="00BC64CC">
        <w:t>Chapter 2</w:t>
      </w:r>
      <w:r>
        <w:tab/>
      </w:r>
      <w:r w:rsidRPr="00BC64CC">
        <w:t>Recommendations to be implemented by ministries</w:t>
      </w:r>
      <w:r>
        <w:rPr>
          <w:webHidden/>
        </w:rPr>
        <w:tab/>
      </w:r>
      <w:r>
        <w:rPr>
          <w:webHidden/>
        </w:rPr>
        <w:tab/>
        <w:t>6</w:t>
      </w:r>
    </w:p>
    <w:p w:rsidR="00527C50" w:rsidRPr="00BC64CC" w:rsidRDefault="00527C50" w:rsidP="00527C50">
      <w:pPr>
        <w:tabs>
          <w:tab w:val="right" w:pos="850"/>
          <w:tab w:val="left" w:pos="1134"/>
          <w:tab w:val="left" w:pos="1559"/>
          <w:tab w:val="left" w:pos="1984"/>
          <w:tab w:val="left" w:leader="dot" w:pos="8787"/>
          <w:tab w:val="right" w:pos="9638"/>
        </w:tabs>
        <w:spacing w:after="120"/>
      </w:pPr>
      <w:r>
        <w:tab/>
      </w:r>
      <w:r w:rsidRPr="00BC64CC">
        <w:t>2.1</w:t>
      </w:r>
      <w:r w:rsidRPr="00BC64CC">
        <w:tab/>
        <w:t>Legal measures</w:t>
      </w:r>
      <w:r>
        <w:rPr>
          <w:webHidden/>
        </w:rPr>
        <w:tab/>
      </w:r>
      <w:r>
        <w:rPr>
          <w:webHidden/>
        </w:rPr>
        <w:tab/>
        <w:t>6</w:t>
      </w:r>
    </w:p>
    <w:p w:rsidR="00527C50" w:rsidRPr="00BC64CC" w:rsidRDefault="00527C50" w:rsidP="00527C50">
      <w:pPr>
        <w:tabs>
          <w:tab w:val="right" w:pos="850"/>
          <w:tab w:val="left" w:pos="1134"/>
          <w:tab w:val="left" w:pos="1559"/>
          <w:tab w:val="left" w:pos="1984"/>
          <w:tab w:val="left" w:leader="dot" w:pos="8787"/>
          <w:tab w:val="right" w:pos="9638"/>
        </w:tabs>
        <w:spacing w:after="120"/>
      </w:pPr>
      <w:r>
        <w:tab/>
      </w:r>
      <w:r>
        <w:tab/>
      </w:r>
      <w:r w:rsidRPr="00BC64CC">
        <w:t>2.1.1</w:t>
      </w:r>
      <w:r w:rsidRPr="00BC64CC">
        <w:tab/>
      </w:r>
      <w:r>
        <w:tab/>
      </w:r>
      <w:r w:rsidRPr="00BC64CC">
        <w:t>National preventive mechanism</w:t>
      </w:r>
      <w:r>
        <w:rPr>
          <w:webHidden/>
        </w:rPr>
        <w:tab/>
      </w:r>
      <w:r>
        <w:rPr>
          <w:webHidden/>
        </w:rPr>
        <w:tab/>
        <w:t>6</w:t>
      </w:r>
    </w:p>
    <w:p w:rsidR="00527C50" w:rsidRPr="00BC64CC" w:rsidRDefault="00527C50" w:rsidP="00527C50">
      <w:pPr>
        <w:tabs>
          <w:tab w:val="right" w:pos="850"/>
          <w:tab w:val="left" w:pos="1134"/>
          <w:tab w:val="left" w:pos="1559"/>
          <w:tab w:val="left" w:pos="1984"/>
          <w:tab w:val="left" w:leader="dot" w:pos="8787"/>
          <w:tab w:val="right" w:pos="9638"/>
        </w:tabs>
        <w:spacing w:after="120"/>
      </w:pPr>
      <w:r>
        <w:tab/>
      </w:r>
      <w:r>
        <w:tab/>
      </w:r>
      <w:r w:rsidRPr="00BC64CC">
        <w:t>2.1.2</w:t>
      </w:r>
      <w:r w:rsidRPr="00BC64CC">
        <w:tab/>
      </w:r>
      <w:r>
        <w:tab/>
      </w:r>
      <w:r w:rsidRPr="00BC64CC">
        <w:t>Definition of the offence of torture</w:t>
      </w:r>
      <w:r>
        <w:rPr>
          <w:webHidden/>
        </w:rPr>
        <w:tab/>
      </w:r>
      <w:r>
        <w:rPr>
          <w:webHidden/>
        </w:rPr>
        <w:tab/>
        <w:t>7</w:t>
      </w:r>
    </w:p>
    <w:p w:rsidR="00527C50" w:rsidRPr="00BC64CC" w:rsidRDefault="00527C50" w:rsidP="00527C50">
      <w:pPr>
        <w:tabs>
          <w:tab w:val="right" w:pos="850"/>
          <w:tab w:val="left" w:pos="1134"/>
          <w:tab w:val="left" w:pos="1559"/>
          <w:tab w:val="left" w:pos="1984"/>
          <w:tab w:val="left" w:leader="dot" w:pos="8787"/>
          <w:tab w:val="right" w:pos="9638"/>
        </w:tabs>
        <w:spacing w:after="120"/>
      </w:pPr>
      <w:r>
        <w:tab/>
      </w:r>
      <w:r>
        <w:tab/>
      </w:r>
      <w:r w:rsidRPr="00BC64CC">
        <w:t>2.1.3</w:t>
      </w:r>
      <w:r w:rsidRPr="00BC64CC">
        <w:tab/>
      </w:r>
      <w:r>
        <w:tab/>
      </w:r>
      <w:r w:rsidRPr="00BC64CC">
        <w:t>Court for the execution of sentences</w:t>
      </w:r>
      <w:r>
        <w:rPr>
          <w:webHidden/>
        </w:rPr>
        <w:tab/>
      </w:r>
      <w:r>
        <w:rPr>
          <w:webHidden/>
        </w:rPr>
        <w:tab/>
        <w:t>9</w:t>
      </w:r>
    </w:p>
    <w:p w:rsidR="00527C50" w:rsidRPr="00BC64CC" w:rsidRDefault="00527C50" w:rsidP="00527C50">
      <w:pPr>
        <w:tabs>
          <w:tab w:val="right" w:pos="850"/>
          <w:tab w:val="left" w:pos="1134"/>
          <w:tab w:val="left" w:pos="1559"/>
          <w:tab w:val="left" w:pos="1984"/>
          <w:tab w:val="left" w:leader="dot" w:pos="8787"/>
          <w:tab w:val="right" w:pos="9638"/>
        </w:tabs>
        <w:spacing w:after="120"/>
      </w:pPr>
      <w:r>
        <w:tab/>
      </w:r>
      <w:r>
        <w:tab/>
      </w:r>
      <w:r w:rsidRPr="00BC64CC">
        <w:t>2.1.4</w:t>
      </w:r>
      <w:r>
        <w:tab/>
      </w:r>
      <w:r w:rsidRPr="00BC64CC">
        <w:tab/>
        <w:t>Legal framework for the prison system</w:t>
      </w:r>
      <w:r>
        <w:rPr>
          <w:webHidden/>
        </w:rPr>
        <w:tab/>
      </w:r>
      <w:r>
        <w:rPr>
          <w:webHidden/>
        </w:rPr>
        <w:tab/>
        <w:t>9</w:t>
      </w:r>
    </w:p>
    <w:p w:rsidR="00527C50" w:rsidRPr="00BC64CC" w:rsidRDefault="00527C50" w:rsidP="00527C50">
      <w:pPr>
        <w:tabs>
          <w:tab w:val="right" w:pos="850"/>
          <w:tab w:val="left" w:pos="1134"/>
          <w:tab w:val="left" w:pos="1559"/>
          <w:tab w:val="left" w:pos="1984"/>
          <w:tab w:val="left" w:leader="dot" w:pos="8787"/>
          <w:tab w:val="right" w:pos="9638"/>
        </w:tabs>
        <w:spacing w:after="120"/>
      </w:pPr>
      <w:r>
        <w:tab/>
      </w:r>
      <w:r>
        <w:tab/>
      </w:r>
      <w:r w:rsidRPr="00BC64CC">
        <w:t xml:space="preserve">2.1.5 </w:t>
      </w:r>
      <w:r w:rsidRPr="00BC64CC">
        <w:tab/>
        <w:t>Changes to military jurisdiction</w:t>
      </w:r>
      <w:r>
        <w:rPr>
          <w:webHidden/>
        </w:rPr>
        <w:tab/>
      </w:r>
      <w:r>
        <w:rPr>
          <w:webHidden/>
        </w:rPr>
        <w:tab/>
        <w:t>11</w:t>
      </w:r>
    </w:p>
    <w:p w:rsidR="00527C50" w:rsidRPr="00BC64CC" w:rsidRDefault="00527C50" w:rsidP="00527C50">
      <w:pPr>
        <w:tabs>
          <w:tab w:val="right" w:pos="850"/>
          <w:tab w:val="left" w:pos="1134"/>
          <w:tab w:val="left" w:pos="1559"/>
          <w:tab w:val="left" w:pos="1984"/>
          <w:tab w:val="left" w:leader="dot" w:pos="8787"/>
          <w:tab w:val="right" w:pos="9638"/>
        </w:tabs>
        <w:spacing w:after="120"/>
      </w:pPr>
      <w:r>
        <w:tab/>
      </w:r>
      <w:r>
        <w:tab/>
      </w:r>
      <w:r w:rsidRPr="00BC64CC">
        <w:t>2.1.6</w:t>
      </w:r>
      <w:r w:rsidRPr="00BC64CC">
        <w:tab/>
      </w:r>
      <w:r>
        <w:tab/>
      </w:r>
      <w:r w:rsidRPr="00BC64CC">
        <w:t xml:space="preserve">Use of special legislation against the </w:t>
      </w:r>
      <w:proofErr w:type="spellStart"/>
      <w:r w:rsidRPr="00BC64CC">
        <w:t>Mapuche</w:t>
      </w:r>
      <w:proofErr w:type="spellEnd"/>
      <w:r w:rsidRPr="00BC64CC">
        <w:t xml:space="preserve"> people</w:t>
      </w:r>
      <w:r>
        <w:rPr>
          <w:webHidden/>
        </w:rPr>
        <w:tab/>
      </w:r>
      <w:r>
        <w:rPr>
          <w:webHidden/>
        </w:rPr>
        <w:tab/>
        <w:t>11</w:t>
      </w:r>
    </w:p>
    <w:p w:rsidR="00527C50" w:rsidRPr="00BC64CC" w:rsidRDefault="00527C50" w:rsidP="00527C50">
      <w:pPr>
        <w:tabs>
          <w:tab w:val="right" w:pos="850"/>
          <w:tab w:val="left" w:pos="1134"/>
          <w:tab w:val="left" w:pos="1559"/>
          <w:tab w:val="left" w:pos="1984"/>
          <w:tab w:val="left" w:leader="dot" w:pos="8787"/>
          <w:tab w:val="right" w:pos="9638"/>
        </w:tabs>
        <w:spacing w:after="120"/>
      </w:pPr>
      <w:r>
        <w:tab/>
      </w:r>
      <w:r>
        <w:tab/>
      </w:r>
      <w:r w:rsidRPr="00BC64CC">
        <w:t xml:space="preserve">2.1.7 </w:t>
      </w:r>
      <w:r w:rsidRPr="00BC64CC">
        <w:tab/>
        <w:t>Gender identity legislation</w:t>
      </w:r>
      <w:r>
        <w:rPr>
          <w:webHidden/>
        </w:rPr>
        <w:tab/>
      </w:r>
      <w:r>
        <w:rPr>
          <w:webHidden/>
        </w:rPr>
        <w:tab/>
        <w:t>12</w:t>
      </w:r>
    </w:p>
    <w:p w:rsidR="00527C50" w:rsidRPr="00BC64CC" w:rsidRDefault="00527C50" w:rsidP="00527C50">
      <w:pPr>
        <w:tabs>
          <w:tab w:val="right" w:pos="850"/>
          <w:tab w:val="left" w:pos="1134"/>
          <w:tab w:val="left" w:pos="1559"/>
          <w:tab w:val="left" w:pos="1984"/>
          <w:tab w:val="left" w:leader="dot" w:pos="8787"/>
          <w:tab w:val="right" w:pos="9638"/>
        </w:tabs>
        <w:spacing w:after="120"/>
      </w:pPr>
      <w:r>
        <w:tab/>
      </w:r>
      <w:r w:rsidRPr="00BC64CC">
        <w:t xml:space="preserve">2.2 </w:t>
      </w:r>
      <w:r w:rsidRPr="00BC64CC">
        <w:tab/>
        <w:t>Administrative measures</w:t>
      </w:r>
      <w:r>
        <w:rPr>
          <w:webHidden/>
        </w:rPr>
        <w:tab/>
      </w:r>
      <w:r>
        <w:rPr>
          <w:webHidden/>
        </w:rPr>
        <w:tab/>
        <w:t>12</w:t>
      </w:r>
    </w:p>
    <w:p w:rsidR="00527C50" w:rsidRPr="00BC64CC" w:rsidRDefault="00527C50" w:rsidP="00527C50">
      <w:pPr>
        <w:tabs>
          <w:tab w:val="right" w:pos="850"/>
          <w:tab w:val="left" w:pos="1134"/>
          <w:tab w:val="left" w:pos="1559"/>
          <w:tab w:val="left" w:pos="1984"/>
          <w:tab w:val="left" w:leader="dot" w:pos="8787"/>
          <w:tab w:val="right" w:pos="9638"/>
        </w:tabs>
        <w:spacing w:after="120"/>
      </w:pPr>
      <w:r>
        <w:tab/>
      </w:r>
      <w:r>
        <w:tab/>
      </w:r>
      <w:r w:rsidRPr="00BC64CC">
        <w:t>2.2.1</w:t>
      </w:r>
      <w:r w:rsidRPr="00BC64CC">
        <w:tab/>
      </w:r>
      <w:r>
        <w:tab/>
      </w:r>
      <w:r w:rsidRPr="00BC64CC">
        <w:t>Juvenile criminal justice</w:t>
      </w:r>
      <w:r>
        <w:rPr>
          <w:webHidden/>
        </w:rPr>
        <w:tab/>
      </w:r>
      <w:r>
        <w:rPr>
          <w:webHidden/>
        </w:rPr>
        <w:tab/>
        <w:t>12</w:t>
      </w:r>
    </w:p>
    <w:p w:rsidR="00527C50" w:rsidRPr="00BC64CC" w:rsidRDefault="00527C50" w:rsidP="00527C50">
      <w:pPr>
        <w:tabs>
          <w:tab w:val="right" w:pos="850"/>
          <w:tab w:val="left" w:pos="1134"/>
          <w:tab w:val="left" w:pos="1559"/>
          <w:tab w:val="left" w:pos="1984"/>
          <w:tab w:val="left" w:leader="dot" w:pos="8787"/>
          <w:tab w:val="right" w:pos="9638"/>
        </w:tabs>
        <w:spacing w:after="120"/>
      </w:pPr>
      <w:r>
        <w:tab/>
      </w:r>
      <w:r>
        <w:tab/>
      </w:r>
      <w:r w:rsidRPr="00BC64CC">
        <w:t>2.2.2</w:t>
      </w:r>
      <w:r w:rsidRPr="00BC64CC">
        <w:tab/>
      </w:r>
      <w:r>
        <w:tab/>
      </w:r>
      <w:r w:rsidRPr="00BC64CC">
        <w:t>Public policy on prisons</w:t>
      </w:r>
      <w:r>
        <w:tab/>
      </w:r>
      <w:r>
        <w:tab/>
      </w:r>
      <w:r>
        <w:rPr>
          <w:webHidden/>
        </w:rPr>
        <w:t>14</w:t>
      </w:r>
    </w:p>
    <w:p w:rsidR="00527C50" w:rsidRPr="00BC64CC" w:rsidRDefault="00527C50" w:rsidP="00527C50">
      <w:pPr>
        <w:tabs>
          <w:tab w:val="right" w:pos="850"/>
          <w:tab w:val="left" w:pos="1134"/>
          <w:tab w:val="left" w:pos="1559"/>
          <w:tab w:val="left" w:pos="1984"/>
          <w:tab w:val="left" w:leader="dot" w:pos="8787"/>
          <w:tab w:val="right" w:pos="9638"/>
        </w:tabs>
        <w:spacing w:after="120"/>
      </w:pPr>
      <w:r>
        <w:tab/>
      </w:r>
      <w:r w:rsidR="008E32A1">
        <w:t>Chapter 3</w:t>
      </w:r>
      <w:r>
        <w:tab/>
      </w:r>
      <w:r w:rsidRPr="00BC64CC">
        <w:t>Administrative measures of the services</w:t>
      </w:r>
      <w:r>
        <w:rPr>
          <w:webHidden/>
        </w:rPr>
        <w:tab/>
      </w:r>
      <w:r>
        <w:rPr>
          <w:webHidden/>
        </w:rPr>
        <w:tab/>
        <w:t>17</w:t>
      </w:r>
    </w:p>
    <w:p w:rsidR="00527C50" w:rsidRPr="00BC64CC" w:rsidRDefault="00527C50" w:rsidP="00527C50">
      <w:pPr>
        <w:tabs>
          <w:tab w:val="right" w:pos="850"/>
          <w:tab w:val="left" w:pos="1134"/>
          <w:tab w:val="left" w:pos="1559"/>
          <w:tab w:val="left" w:pos="1984"/>
          <w:tab w:val="left" w:leader="dot" w:pos="8787"/>
          <w:tab w:val="right" w:pos="9638"/>
        </w:tabs>
        <w:spacing w:after="120"/>
      </w:pPr>
      <w:r>
        <w:tab/>
      </w:r>
      <w:r w:rsidRPr="00BC64CC">
        <w:t>3.1</w:t>
      </w:r>
      <w:r w:rsidRPr="00BC64CC">
        <w:tab/>
        <w:t>Administration of justice</w:t>
      </w:r>
      <w:r>
        <w:rPr>
          <w:webHidden/>
        </w:rPr>
        <w:tab/>
      </w:r>
      <w:r>
        <w:rPr>
          <w:webHidden/>
        </w:rPr>
        <w:tab/>
        <w:t>17</w:t>
      </w:r>
    </w:p>
    <w:p w:rsidR="00527C50" w:rsidRPr="00BC64CC" w:rsidRDefault="00527C50" w:rsidP="00527C50">
      <w:pPr>
        <w:tabs>
          <w:tab w:val="right" w:pos="850"/>
          <w:tab w:val="left" w:pos="1134"/>
          <w:tab w:val="left" w:pos="1559"/>
          <w:tab w:val="left" w:pos="1984"/>
          <w:tab w:val="left" w:leader="dot" w:pos="8787"/>
          <w:tab w:val="right" w:pos="9638"/>
        </w:tabs>
        <w:spacing w:after="120"/>
      </w:pPr>
      <w:r>
        <w:tab/>
      </w:r>
      <w:r>
        <w:tab/>
      </w:r>
      <w:r w:rsidRPr="00BC64CC">
        <w:t>3.1.1</w:t>
      </w:r>
      <w:r w:rsidRPr="00BC64CC">
        <w:tab/>
      </w:r>
      <w:r>
        <w:tab/>
      </w:r>
      <w:r w:rsidRPr="00BC64CC">
        <w:t>Pre-hearing interviews with persons deprived of their liberty</w:t>
      </w:r>
      <w:r>
        <w:rPr>
          <w:webHidden/>
        </w:rPr>
        <w:tab/>
      </w:r>
      <w:r>
        <w:rPr>
          <w:webHidden/>
        </w:rPr>
        <w:tab/>
        <w:t>17</w:t>
      </w:r>
    </w:p>
    <w:p w:rsidR="00527C50" w:rsidRPr="00BC64CC" w:rsidRDefault="00527C50" w:rsidP="00527C50">
      <w:pPr>
        <w:tabs>
          <w:tab w:val="right" w:pos="850"/>
          <w:tab w:val="left" w:pos="1134"/>
          <w:tab w:val="left" w:pos="1559"/>
          <w:tab w:val="left" w:pos="1984"/>
          <w:tab w:val="left" w:leader="dot" w:pos="8787"/>
          <w:tab w:val="right" w:pos="9638"/>
        </w:tabs>
        <w:spacing w:after="120"/>
      </w:pPr>
      <w:r>
        <w:tab/>
      </w:r>
      <w:r>
        <w:tab/>
      </w:r>
      <w:r w:rsidRPr="00BC64CC">
        <w:t>3.1.2</w:t>
      </w:r>
      <w:r w:rsidRPr="00BC64CC">
        <w:tab/>
      </w:r>
      <w:r>
        <w:tab/>
      </w:r>
      <w:r w:rsidRPr="00BC64CC">
        <w:t>Protocols on torture</w:t>
      </w:r>
      <w:r>
        <w:rPr>
          <w:webHidden/>
        </w:rPr>
        <w:tab/>
      </w:r>
      <w:r>
        <w:rPr>
          <w:webHidden/>
        </w:rPr>
        <w:tab/>
        <w:t>17</w:t>
      </w:r>
    </w:p>
    <w:p w:rsidR="00527C50" w:rsidRPr="00BC64CC" w:rsidRDefault="00527C50" w:rsidP="00527C50">
      <w:pPr>
        <w:tabs>
          <w:tab w:val="right" w:pos="850"/>
          <w:tab w:val="left" w:pos="1134"/>
          <w:tab w:val="left" w:pos="1559"/>
          <w:tab w:val="left" w:pos="1984"/>
          <w:tab w:val="left" w:leader="dot" w:pos="8787"/>
          <w:tab w:val="right" w:pos="9638"/>
        </w:tabs>
        <w:spacing w:after="120"/>
      </w:pPr>
      <w:r>
        <w:tab/>
      </w:r>
      <w:r>
        <w:tab/>
      </w:r>
      <w:r w:rsidRPr="00BC64CC">
        <w:t>3.1.3</w:t>
      </w:r>
      <w:r w:rsidRPr="00BC64CC">
        <w:tab/>
      </w:r>
      <w:r>
        <w:tab/>
      </w:r>
      <w:r w:rsidRPr="00BC64CC">
        <w:t>Training on the Istanbul Protocol</w:t>
      </w:r>
      <w:r>
        <w:rPr>
          <w:webHidden/>
        </w:rPr>
        <w:tab/>
      </w:r>
      <w:r>
        <w:rPr>
          <w:webHidden/>
        </w:rPr>
        <w:tab/>
        <w:t>18</w:t>
      </w:r>
    </w:p>
    <w:p w:rsidR="00527C50" w:rsidRPr="00BC64CC" w:rsidRDefault="00527C50" w:rsidP="00527C50">
      <w:pPr>
        <w:tabs>
          <w:tab w:val="right" w:pos="850"/>
          <w:tab w:val="left" w:pos="1134"/>
          <w:tab w:val="left" w:pos="1559"/>
          <w:tab w:val="left" w:pos="1984"/>
          <w:tab w:val="left" w:leader="dot" w:pos="8787"/>
          <w:tab w:val="right" w:pos="9638"/>
        </w:tabs>
        <w:spacing w:after="120"/>
      </w:pPr>
      <w:r>
        <w:tab/>
      </w:r>
      <w:r>
        <w:tab/>
      </w:r>
      <w:r w:rsidRPr="00BC64CC">
        <w:t>3.1.4</w:t>
      </w:r>
      <w:r w:rsidRPr="00BC64CC">
        <w:tab/>
      </w:r>
      <w:r>
        <w:tab/>
      </w:r>
      <w:r w:rsidRPr="00BC64CC">
        <w:t>Use of plea-bargaining procedures</w:t>
      </w:r>
      <w:r>
        <w:rPr>
          <w:webHidden/>
        </w:rPr>
        <w:tab/>
      </w:r>
      <w:r>
        <w:rPr>
          <w:webHidden/>
        </w:rPr>
        <w:tab/>
        <w:t>18</w:t>
      </w:r>
    </w:p>
    <w:p w:rsidR="00527C50" w:rsidRPr="00BC64CC" w:rsidRDefault="00527C50" w:rsidP="00527C50">
      <w:pPr>
        <w:tabs>
          <w:tab w:val="right" w:pos="850"/>
          <w:tab w:val="left" w:pos="1134"/>
          <w:tab w:val="left" w:pos="1559"/>
          <w:tab w:val="left" w:pos="1984"/>
          <w:tab w:val="left" w:leader="dot" w:pos="8787"/>
          <w:tab w:val="right" w:pos="9638"/>
        </w:tabs>
        <w:spacing w:after="120"/>
      </w:pPr>
      <w:r>
        <w:tab/>
      </w:r>
      <w:r>
        <w:tab/>
      </w:r>
      <w:r w:rsidRPr="00BC64CC">
        <w:t xml:space="preserve">3.1.5 </w:t>
      </w:r>
      <w:r w:rsidRPr="00BC64CC">
        <w:tab/>
        <w:t>Use of the prosecution support system</w:t>
      </w:r>
      <w:r>
        <w:rPr>
          <w:webHidden/>
        </w:rPr>
        <w:tab/>
      </w:r>
      <w:r>
        <w:rPr>
          <w:webHidden/>
        </w:rPr>
        <w:tab/>
        <w:t>18</w:t>
      </w:r>
    </w:p>
    <w:p w:rsidR="00527C50" w:rsidRPr="00BC64CC" w:rsidRDefault="00527C50" w:rsidP="00527C50">
      <w:pPr>
        <w:tabs>
          <w:tab w:val="right" w:pos="850"/>
          <w:tab w:val="left" w:pos="1134"/>
          <w:tab w:val="left" w:pos="1559"/>
          <w:tab w:val="left" w:pos="1984"/>
          <w:tab w:val="left" w:leader="dot" w:pos="8787"/>
          <w:tab w:val="right" w:pos="9638"/>
        </w:tabs>
        <w:spacing w:after="120"/>
      </w:pPr>
      <w:r>
        <w:tab/>
      </w:r>
      <w:r>
        <w:tab/>
      </w:r>
      <w:r w:rsidRPr="00BC64CC">
        <w:t xml:space="preserve">3.1.6 </w:t>
      </w:r>
      <w:r w:rsidRPr="00BC64CC">
        <w:tab/>
        <w:t>Restrictive use of deprivation of liberty for purposes of psychiatric evaluation</w:t>
      </w:r>
      <w:r>
        <w:rPr>
          <w:webHidden/>
        </w:rPr>
        <w:tab/>
      </w:r>
      <w:r>
        <w:rPr>
          <w:webHidden/>
        </w:rPr>
        <w:tab/>
        <w:t>19</w:t>
      </w:r>
    </w:p>
    <w:p w:rsidR="00527C50" w:rsidRPr="00BC64CC" w:rsidRDefault="00527C50" w:rsidP="00527C50">
      <w:pPr>
        <w:tabs>
          <w:tab w:val="right" w:pos="850"/>
          <w:tab w:val="left" w:pos="1134"/>
          <w:tab w:val="left" w:pos="1559"/>
          <w:tab w:val="left" w:leader="dot" w:pos="8787"/>
          <w:tab w:val="right" w:pos="9638"/>
        </w:tabs>
        <w:spacing w:after="120"/>
      </w:pPr>
      <w:r>
        <w:tab/>
      </w:r>
      <w:r w:rsidRPr="00BC64CC">
        <w:t>3.2</w:t>
      </w:r>
      <w:r w:rsidRPr="00BC64CC">
        <w:tab/>
        <w:t>Health</w:t>
      </w:r>
      <w:r>
        <w:tab/>
      </w:r>
      <w:r>
        <w:rPr>
          <w:webHidden/>
        </w:rPr>
        <w:tab/>
        <w:t>19</w:t>
      </w:r>
    </w:p>
    <w:p w:rsidR="00527C50" w:rsidRPr="00BC64CC" w:rsidRDefault="00527C50" w:rsidP="00527C50">
      <w:pPr>
        <w:tabs>
          <w:tab w:val="right" w:pos="850"/>
          <w:tab w:val="left" w:pos="1134"/>
          <w:tab w:val="left" w:pos="1559"/>
          <w:tab w:val="left" w:pos="1984"/>
          <w:tab w:val="left" w:leader="dot" w:pos="8787"/>
          <w:tab w:val="right" w:pos="9638"/>
        </w:tabs>
        <w:spacing w:after="120"/>
      </w:pPr>
      <w:r>
        <w:tab/>
      </w:r>
      <w:r w:rsidRPr="00BC64CC">
        <w:t>3.3</w:t>
      </w:r>
      <w:r w:rsidRPr="00BC64CC">
        <w:tab/>
        <w:t>Conditions of detention</w:t>
      </w:r>
      <w:r>
        <w:rPr>
          <w:webHidden/>
        </w:rPr>
        <w:tab/>
      </w:r>
      <w:r>
        <w:rPr>
          <w:webHidden/>
        </w:rPr>
        <w:tab/>
        <w:t>22</w:t>
      </w:r>
    </w:p>
    <w:p w:rsidR="00527C50" w:rsidRPr="00BC64CC" w:rsidRDefault="00527C50" w:rsidP="008E32A1">
      <w:pPr>
        <w:tabs>
          <w:tab w:val="right" w:pos="850"/>
          <w:tab w:val="left" w:pos="1134"/>
          <w:tab w:val="left" w:pos="1559"/>
          <w:tab w:val="left" w:pos="1984"/>
          <w:tab w:val="left" w:leader="dot" w:pos="8787"/>
          <w:tab w:val="right" w:pos="9638"/>
        </w:tabs>
        <w:spacing w:after="120"/>
      </w:pPr>
      <w:r>
        <w:tab/>
      </w:r>
      <w:r>
        <w:tab/>
      </w:r>
      <w:r w:rsidRPr="00BC64CC">
        <w:t>3.3.1</w:t>
      </w:r>
      <w:r w:rsidR="008E32A1">
        <w:tab/>
      </w:r>
      <w:r w:rsidR="008E32A1">
        <w:tab/>
      </w:r>
      <w:r w:rsidRPr="00BC64CC">
        <w:t>Infrastructure</w:t>
      </w:r>
      <w:r>
        <w:rPr>
          <w:webHidden/>
        </w:rPr>
        <w:tab/>
      </w:r>
      <w:r>
        <w:rPr>
          <w:webHidden/>
        </w:rPr>
        <w:tab/>
        <w:t>22</w:t>
      </w:r>
    </w:p>
    <w:p w:rsidR="00527C50" w:rsidRPr="00BC64CC" w:rsidRDefault="00527C50" w:rsidP="00527C50">
      <w:pPr>
        <w:tabs>
          <w:tab w:val="right" w:pos="850"/>
          <w:tab w:val="left" w:pos="1134"/>
          <w:tab w:val="left" w:pos="1559"/>
          <w:tab w:val="left" w:pos="1984"/>
          <w:tab w:val="left" w:leader="dot" w:pos="8787"/>
          <w:tab w:val="right" w:pos="9638"/>
        </w:tabs>
        <w:spacing w:after="120"/>
      </w:pPr>
      <w:r>
        <w:tab/>
      </w:r>
      <w:r>
        <w:tab/>
      </w:r>
      <w:r w:rsidRPr="00BC64CC">
        <w:t xml:space="preserve">3.3.2 </w:t>
      </w:r>
      <w:r w:rsidRPr="00BC64CC">
        <w:tab/>
        <w:t>Food and essential goods</w:t>
      </w:r>
      <w:r>
        <w:rPr>
          <w:webHidden/>
        </w:rPr>
        <w:tab/>
      </w:r>
      <w:r>
        <w:rPr>
          <w:webHidden/>
        </w:rPr>
        <w:tab/>
        <w:t>23</w:t>
      </w:r>
    </w:p>
    <w:p w:rsidR="00527C50" w:rsidRPr="00BC64CC" w:rsidRDefault="00527C50" w:rsidP="00527C50">
      <w:pPr>
        <w:tabs>
          <w:tab w:val="right" w:pos="850"/>
          <w:tab w:val="left" w:pos="1134"/>
          <w:tab w:val="left" w:pos="1559"/>
          <w:tab w:val="left" w:pos="1984"/>
          <w:tab w:val="left" w:leader="dot" w:pos="8787"/>
          <w:tab w:val="right" w:pos="9638"/>
        </w:tabs>
        <w:spacing w:after="120"/>
      </w:pPr>
      <w:r>
        <w:tab/>
      </w:r>
      <w:r w:rsidRPr="00BC64CC">
        <w:t>3.4</w:t>
      </w:r>
      <w:r w:rsidRPr="00BC64CC">
        <w:tab/>
        <w:t>Groups deprived of their liberty who are considered to be especially vulnerable</w:t>
      </w:r>
      <w:r>
        <w:rPr>
          <w:webHidden/>
        </w:rPr>
        <w:tab/>
      </w:r>
      <w:r>
        <w:rPr>
          <w:webHidden/>
        </w:rPr>
        <w:tab/>
        <w:t>24</w:t>
      </w:r>
    </w:p>
    <w:p w:rsidR="00527C50" w:rsidRPr="00BC64CC" w:rsidRDefault="00527C50" w:rsidP="00527C50">
      <w:pPr>
        <w:tabs>
          <w:tab w:val="right" w:pos="850"/>
          <w:tab w:val="left" w:pos="1134"/>
          <w:tab w:val="left" w:pos="1559"/>
          <w:tab w:val="left" w:pos="1984"/>
          <w:tab w:val="left" w:leader="dot" w:pos="8787"/>
          <w:tab w:val="right" w:pos="9638"/>
        </w:tabs>
        <w:spacing w:after="120"/>
      </w:pPr>
      <w:r>
        <w:tab/>
      </w:r>
      <w:r>
        <w:tab/>
      </w:r>
      <w:r w:rsidRPr="00BC64CC">
        <w:t xml:space="preserve">3.4.1 </w:t>
      </w:r>
      <w:r w:rsidRPr="00BC64CC">
        <w:tab/>
        <w:t>Women</w:t>
      </w:r>
      <w:r>
        <w:rPr>
          <w:webHidden/>
        </w:rPr>
        <w:tab/>
      </w:r>
      <w:r>
        <w:rPr>
          <w:webHidden/>
        </w:rPr>
        <w:tab/>
        <w:t>24</w:t>
      </w:r>
    </w:p>
    <w:p w:rsidR="00527C50" w:rsidRPr="00BC64CC" w:rsidRDefault="00527C50" w:rsidP="00527C50">
      <w:pPr>
        <w:tabs>
          <w:tab w:val="right" w:pos="850"/>
          <w:tab w:val="left" w:pos="1134"/>
          <w:tab w:val="left" w:pos="1559"/>
          <w:tab w:val="left" w:pos="1984"/>
          <w:tab w:val="left" w:leader="dot" w:pos="8787"/>
          <w:tab w:val="right" w:pos="9638"/>
        </w:tabs>
        <w:spacing w:after="120"/>
      </w:pPr>
      <w:r>
        <w:tab/>
      </w:r>
      <w:r>
        <w:tab/>
      </w:r>
      <w:r w:rsidRPr="00BC64CC">
        <w:t>3.4.2</w:t>
      </w:r>
      <w:r w:rsidRPr="00BC64CC">
        <w:tab/>
      </w:r>
      <w:r w:rsidR="008E32A1">
        <w:tab/>
      </w:r>
      <w:r w:rsidRPr="00BC64CC">
        <w:t>Children and adolescents in conflict with the law</w:t>
      </w:r>
      <w:r>
        <w:rPr>
          <w:webHidden/>
        </w:rPr>
        <w:tab/>
      </w:r>
      <w:r>
        <w:rPr>
          <w:webHidden/>
        </w:rPr>
        <w:tab/>
        <w:t>28</w:t>
      </w:r>
    </w:p>
    <w:p w:rsidR="00527C50" w:rsidRPr="00BC64CC" w:rsidRDefault="00527C50" w:rsidP="00527C50">
      <w:pPr>
        <w:tabs>
          <w:tab w:val="right" w:pos="850"/>
          <w:tab w:val="left" w:pos="1134"/>
          <w:tab w:val="left" w:pos="1559"/>
          <w:tab w:val="left" w:pos="1984"/>
          <w:tab w:val="left" w:leader="dot" w:pos="8787"/>
          <w:tab w:val="right" w:pos="9638"/>
        </w:tabs>
        <w:spacing w:after="120"/>
      </w:pPr>
      <w:r>
        <w:tab/>
      </w:r>
      <w:r>
        <w:tab/>
      </w:r>
      <w:r w:rsidRPr="00BC64CC">
        <w:t>3.4.3</w:t>
      </w:r>
      <w:r w:rsidRPr="00BC64CC">
        <w:tab/>
      </w:r>
      <w:r w:rsidR="008E32A1">
        <w:tab/>
      </w:r>
      <w:proofErr w:type="spellStart"/>
      <w:r w:rsidRPr="00BC64CC">
        <w:t>Mapuche</w:t>
      </w:r>
      <w:proofErr w:type="spellEnd"/>
      <w:r>
        <w:rPr>
          <w:webHidden/>
        </w:rPr>
        <w:tab/>
      </w:r>
      <w:r>
        <w:rPr>
          <w:webHidden/>
        </w:rPr>
        <w:tab/>
        <w:t>28</w:t>
      </w:r>
    </w:p>
    <w:p w:rsidR="00527C50" w:rsidRPr="00BC64CC" w:rsidRDefault="00527C50" w:rsidP="00527C50">
      <w:pPr>
        <w:tabs>
          <w:tab w:val="right" w:pos="850"/>
          <w:tab w:val="left" w:pos="1134"/>
          <w:tab w:val="left" w:pos="1559"/>
          <w:tab w:val="left" w:pos="1984"/>
          <w:tab w:val="left" w:leader="dot" w:pos="8787"/>
          <w:tab w:val="right" w:pos="9638"/>
        </w:tabs>
        <w:spacing w:after="120"/>
      </w:pPr>
      <w:r>
        <w:tab/>
      </w:r>
      <w:r>
        <w:tab/>
      </w:r>
      <w:r w:rsidRPr="00BC64CC">
        <w:t>3.4.4</w:t>
      </w:r>
      <w:r w:rsidRPr="00BC64CC">
        <w:tab/>
      </w:r>
      <w:r w:rsidR="008E32A1">
        <w:tab/>
      </w:r>
      <w:r w:rsidRPr="00BC64CC">
        <w:t>Lesbian, gay, bisexual, transgender and intersex (LGBTI) persons</w:t>
      </w:r>
      <w:r>
        <w:rPr>
          <w:webHidden/>
        </w:rPr>
        <w:tab/>
      </w:r>
      <w:r>
        <w:rPr>
          <w:webHidden/>
        </w:rPr>
        <w:tab/>
        <w:t>30</w:t>
      </w:r>
    </w:p>
    <w:p w:rsidR="00527C50" w:rsidRPr="00BC64CC" w:rsidRDefault="00527C50" w:rsidP="00527C50">
      <w:pPr>
        <w:tabs>
          <w:tab w:val="right" w:pos="850"/>
          <w:tab w:val="left" w:pos="1134"/>
          <w:tab w:val="left" w:pos="1559"/>
          <w:tab w:val="left" w:pos="1984"/>
          <w:tab w:val="left" w:leader="dot" w:pos="8787"/>
          <w:tab w:val="right" w:pos="9638"/>
        </w:tabs>
        <w:spacing w:after="120"/>
      </w:pPr>
      <w:r>
        <w:tab/>
      </w:r>
      <w:r w:rsidRPr="00BC64CC">
        <w:t>3.5</w:t>
      </w:r>
      <w:r w:rsidRPr="00BC64CC">
        <w:tab/>
        <w:t>Repercussions of the visit</w:t>
      </w:r>
      <w:r>
        <w:rPr>
          <w:webHidden/>
        </w:rPr>
        <w:tab/>
      </w:r>
      <w:r>
        <w:rPr>
          <w:webHidden/>
        </w:rPr>
        <w:tab/>
        <w:t>31</w:t>
      </w:r>
    </w:p>
    <w:p w:rsidR="00527C50" w:rsidRPr="00BC64CC" w:rsidRDefault="00527C50" w:rsidP="00527C50">
      <w:pPr>
        <w:tabs>
          <w:tab w:val="right" w:pos="850"/>
          <w:tab w:val="left" w:pos="1134"/>
          <w:tab w:val="left" w:leader="dot" w:pos="8787"/>
          <w:tab w:val="right" w:pos="9638"/>
        </w:tabs>
        <w:spacing w:after="120"/>
      </w:pPr>
      <w:r>
        <w:tab/>
      </w:r>
      <w:r w:rsidR="000A2444">
        <w:tab/>
      </w:r>
      <w:r w:rsidRPr="00BC64CC">
        <w:t>Monitoring</w:t>
      </w:r>
      <w:r>
        <w:rPr>
          <w:webHidden/>
        </w:rPr>
        <w:tab/>
      </w:r>
      <w:r>
        <w:rPr>
          <w:webHidden/>
        </w:rPr>
        <w:tab/>
        <w:t>32</w:t>
      </w:r>
    </w:p>
    <w:p w:rsidR="003F7D03" w:rsidRPr="00E62FE6" w:rsidRDefault="003F7D03" w:rsidP="000C6D98">
      <w:pPr>
        <w:pStyle w:val="HChG"/>
      </w:pPr>
      <w:r w:rsidRPr="00E62FE6">
        <w:br w:type="page"/>
      </w:r>
      <w:r w:rsidRPr="00E62FE6">
        <w:lastRenderedPageBreak/>
        <w:tab/>
      </w:r>
      <w:r w:rsidR="000C6D98">
        <w:tab/>
      </w:r>
      <w:bookmarkStart w:id="8" w:name="_Toc512870672"/>
      <w:bookmarkStart w:id="9" w:name="_Toc512870834"/>
      <w:r w:rsidRPr="00E62FE6">
        <w:t>Chapter</w:t>
      </w:r>
      <w:r w:rsidR="008243CA">
        <w:t xml:space="preserve"> </w:t>
      </w:r>
      <w:r w:rsidRPr="00E62FE6">
        <w:t>1</w:t>
      </w:r>
      <w:r w:rsidR="008243CA">
        <w:t xml:space="preserve"> </w:t>
      </w:r>
      <w:r w:rsidR="000C6D98">
        <w:br/>
      </w:r>
      <w:r w:rsidRPr="00E62FE6">
        <w:t>Introduction</w:t>
      </w:r>
      <w:r w:rsidR="008243CA">
        <w:t xml:space="preserve"> </w:t>
      </w:r>
      <w:r w:rsidRPr="00E62FE6">
        <w:t>and</w:t>
      </w:r>
      <w:r w:rsidR="008243CA">
        <w:t xml:space="preserve"> </w:t>
      </w:r>
      <w:r w:rsidRPr="00E62FE6">
        <w:t>methodology</w:t>
      </w:r>
      <w:bookmarkEnd w:id="8"/>
      <w:bookmarkEnd w:id="9"/>
    </w:p>
    <w:p w:rsidR="003F7D03" w:rsidRPr="00E62FE6" w:rsidRDefault="003F7D03" w:rsidP="000C6D98">
      <w:pPr>
        <w:pStyle w:val="SingleTxtG"/>
      </w:pPr>
      <w:r w:rsidRPr="00E62FE6">
        <w:t>1.</w:t>
      </w:r>
      <w:r w:rsidRPr="00E62FE6">
        <w:tab/>
        <w:t>Torture</w:t>
      </w:r>
      <w:r w:rsidR="008243CA">
        <w:t xml:space="preserve"> </w:t>
      </w:r>
      <w:r w:rsidRPr="00E62FE6">
        <w:t>is</w:t>
      </w:r>
      <w:r w:rsidR="008243CA">
        <w:t xml:space="preserve"> </w:t>
      </w:r>
      <w:r w:rsidRPr="00E62FE6">
        <w:t>a</w:t>
      </w:r>
      <w:r w:rsidR="008243CA">
        <w:t xml:space="preserve"> </w:t>
      </w:r>
      <w:r w:rsidRPr="00E62FE6">
        <w:t>wholly</w:t>
      </w:r>
      <w:r w:rsidR="008243CA">
        <w:t xml:space="preserve"> </w:t>
      </w:r>
      <w:r w:rsidRPr="00E62FE6">
        <w:t>unacceptable</w:t>
      </w:r>
      <w:r w:rsidR="008243CA">
        <w:t xml:space="preserve"> </w:t>
      </w:r>
      <w:r w:rsidRPr="00E62FE6">
        <w:t>practice</w:t>
      </w:r>
      <w:r w:rsidR="008243CA">
        <w:t xml:space="preserve"> </w:t>
      </w:r>
      <w:r w:rsidRPr="00E62FE6">
        <w:t>that</w:t>
      </w:r>
      <w:r w:rsidR="008243CA">
        <w:t xml:space="preserve"> </w:t>
      </w:r>
      <w:r w:rsidRPr="00E62FE6">
        <w:t>cannot</w:t>
      </w:r>
      <w:r w:rsidR="008243CA">
        <w:t xml:space="preserve"> </w:t>
      </w:r>
      <w:r w:rsidRPr="00E62FE6">
        <w:t>be</w:t>
      </w:r>
      <w:r w:rsidR="008243CA">
        <w:t xml:space="preserve"> </w:t>
      </w:r>
      <w:r w:rsidRPr="00E62FE6">
        <w:t>justified</w:t>
      </w:r>
      <w:r w:rsidR="008243CA">
        <w:t xml:space="preserve"> </w:t>
      </w:r>
      <w:r w:rsidRPr="00E62FE6">
        <w:t>under</w:t>
      </w:r>
      <w:r w:rsidR="008243CA">
        <w:t xml:space="preserve"> </w:t>
      </w:r>
      <w:r w:rsidRPr="00E62FE6">
        <w:t>any</w:t>
      </w:r>
      <w:r w:rsidR="008243CA">
        <w:t xml:space="preserve"> </w:t>
      </w:r>
      <w:r w:rsidRPr="00E62FE6">
        <w:t>circumstances.</w:t>
      </w:r>
      <w:r w:rsidR="008243CA">
        <w:t xml:space="preserve"> </w:t>
      </w:r>
      <w:r w:rsidRPr="00E62FE6">
        <w:t>A</w:t>
      </w:r>
      <w:r w:rsidR="008243CA">
        <w:t xml:space="preserve"> </w:t>
      </w:r>
      <w:r w:rsidRPr="00E62FE6">
        <w:t>number</w:t>
      </w:r>
      <w:r w:rsidR="008243CA">
        <w:t xml:space="preserve"> </w:t>
      </w:r>
      <w:r w:rsidRPr="00E62FE6">
        <w:t>of</w:t>
      </w:r>
      <w:r w:rsidR="008243CA">
        <w:t xml:space="preserve"> </w:t>
      </w:r>
      <w:r w:rsidRPr="00E62FE6">
        <w:t>international</w:t>
      </w:r>
      <w:r w:rsidR="008243CA">
        <w:t xml:space="preserve"> </w:t>
      </w:r>
      <w:r w:rsidRPr="00E62FE6">
        <w:t>instruments</w:t>
      </w:r>
      <w:r w:rsidR="008243CA">
        <w:t xml:space="preserve"> </w:t>
      </w:r>
      <w:r w:rsidRPr="00E62FE6">
        <w:t>have</w:t>
      </w:r>
      <w:r w:rsidR="008243CA">
        <w:t xml:space="preserve"> </w:t>
      </w:r>
      <w:r w:rsidRPr="00E62FE6">
        <w:t>been</w:t>
      </w:r>
      <w:r w:rsidR="008243CA">
        <w:t xml:space="preserve"> </w:t>
      </w:r>
      <w:r w:rsidRPr="00E62FE6">
        <w:t>adopted</w:t>
      </w:r>
      <w:r w:rsidR="008243CA">
        <w:t xml:space="preserve"> </w:t>
      </w:r>
      <w:r w:rsidRPr="00E62FE6">
        <w:t>in</w:t>
      </w:r>
      <w:r w:rsidR="008243CA">
        <w:t xml:space="preserve"> </w:t>
      </w:r>
      <w:r w:rsidRPr="00E62FE6">
        <w:t>the</w:t>
      </w:r>
      <w:r w:rsidR="008243CA">
        <w:t xml:space="preserve"> </w:t>
      </w:r>
      <w:r w:rsidRPr="00E62FE6">
        <w:t>fields</w:t>
      </w:r>
      <w:r w:rsidR="008243CA">
        <w:t xml:space="preserve"> </w:t>
      </w:r>
      <w:r w:rsidRPr="00E62FE6">
        <w:t>of</w:t>
      </w:r>
      <w:r w:rsidR="008243CA">
        <w:t xml:space="preserve"> </w:t>
      </w:r>
      <w:r w:rsidRPr="00E62FE6">
        <w:t>international</w:t>
      </w:r>
      <w:r w:rsidR="008243CA">
        <w:t xml:space="preserve"> </w:t>
      </w:r>
      <w:r w:rsidRPr="00E62FE6">
        <w:t>humanitarian</w:t>
      </w:r>
      <w:r w:rsidR="008243CA">
        <w:t xml:space="preserve"> </w:t>
      </w:r>
      <w:r w:rsidRPr="00E62FE6">
        <w:t>law</w:t>
      </w:r>
      <w:r w:rsidR="008243CA">
        <w:t xml:space="preserve"> </w:t>
      </w:r>
      <w:r w:rsidRPr="00E62FE6">
        <w:t>and</w:t>
      </w:r>
      <w:r w:rsidR="008243CA">
        <w:t xml:space="preserve"> </w:t>
      </w:r>
      <w:r w:rsidRPr="00E62FE6">
        <w:t>international</w:t>
      </w:r>
      <w:r w:rsidR="008243CA">
        <w:t xml:space="preserve"> </w:t>
      </w:r>
      <w:r w:rsidRPr="00E62FE6">
        <w:t>human</w:t>
      </w:r>
      <w:r w:rsidR="008243CA">
        <w:t xml:space="preserve"> </w:t>
      </w:r>
      <w:r w:rsidRPr="00E62FE6">
        <w:t>rights</w:t>
      </w:r>
      <w:r w:rsidR="008243CA">
        <w:t xml:space="preserve"> </w:t>
      </w:r>
      <w:r w:rsidRPr="00E62FE6">
        <w:t>law</w:t>
      </w:r>
      <w:r w:rsidR="008243CA">
        <w:t xml:space="preserve"> </w:t>
      </w:r>
      <w:r w:rsidRPr="00E62FE6">
        <w:t>with</w:t>
      </w:r>
      <w:r w:rsidR="008243CA">
        <w:t xml:space="preserve"> </w:t>
      </w:r>
      <w:r w:rsidRPr="00E62FE6">
        <w:t>the</w:t>
      </w:r>
      <w:r w:rsidR="008243CA">
        <w:t xml:space="preserve"> </w:t>
      </w:r>
      <w:r w:rsidRPr="00E62FE6">
        <w:t>aim</w:t>
      </w:r>
      <w:r w:rsidR="008243CA">
        <w:t xml:space="preserve"> </w:t>
      </w:r>
      <w:r w:rsidRPr="00E62FE6">
        <w:t>of</w:t>
      </w:r>
      <w:r w:rsidR="008243CA">
        <w:t xml:space="preserve"> </w:t>
      </w:r>
      <w:r w:rsidRPr="00E62FE6">
        <w:t>requiring</w:t>
      </w:r>
      <w:r w:rsidR="008243CA">
        <w:t xml:space="preserve"> </w:t>
      </w:r>
      <w:r w:rsidRPr="00E62FE6">
        <w:t>States</w:t>
      </w:r>
      <w:r w:rsidR="008243CA">
        <w:t xml:space="preserve"> </w:t>
      </w:r>
      <w:r w:rsidRPr="00E62FE6">
        <w:t>to</w:t>
      </w:r>
      <w:r w:rsidR="008243CA">
        <w:t xml:space="preserve"> </w:t>
      </w:r>
      <w:r w:rsidRPr="00E62FE6">
        <w:t>take</w:t>
      </w:r>
      <w:r w:rsidR="008243CA">
        <w:t xml:space="preserve"> </w:t>
      </w:r>
      <w:r w:rsidRPr="00E62FE6">
        <w:t>all</w:t>
      </w:r>
      <w:r w:rsidR="00116F0B">
        <w:t xml:space="preserve"> </w:t>
      </w:r>
      <w:r w:rsidRPr="00E62FE6">
        <w:t>necessary</w:t>
      </w:r>
      <w:r w:rsidR="008243CA">
        <w:t xml:space="preserve"> </w:t>
      </w:r>
      <w:r w:rsidRPr="00E62FE6">
        <w:t>measures</w:t>
      </w:r>
      <w:r w:rsidR="008243CA">
        <w:t xml:space="preserve"> </w:t>
      </w:r>
      <w:r w:rsidRPr="00E62FE6">
        <w:t>to</w:t>
      </w:r>
      <w:r w:rsidR="008243CA">
        <w:t xml:space="preserve"> </w:t>
      </w:r>
      <w:r w:rsidRPr="00E62FE6">
        <w:t>investigate</w:t>
      </w:r>
      <w:r w:rsidR="008243CA">
        <w:t xml:space="preserve"> </w:t>
      </w:r>
      <w:r w:rsidRPr="00E62FE6">
        <w:t>and</w:t>
      </w:r>
      <w:r w:rsidR="008243CA">
        <w:t xml:space="preserve"> </w:t>
      </w:r>
      <w:r w:rsidRPr="00E62FE6">
        <w:t>punish</w:t>
      </w:r>
      <w:r w:rsidR="008243CA">
        <w:t xml:space="preserve"> </w:t>
      </w:r>
      <w:r w:rsidRPr="00E62FE6">
        <w:t>acts</w:t>
      </w:r>
      <w:r w:rsidR="008243CA">
        <w:t xml:space="preserve"> </w:t>
      </w:r>
      <w:r w:rsidRPr="00E62FE6">
        <w:t>of</w:t>
      </w:r>
      <w:r w:rsidR="008243CA">
        <w:t xml:space="preserve"> </w:t>
      </w:r>
      <w:r w:rsidRPr="00E62FE6">
        <w:t>torture.</w:t>
      </w:r>
      <w:r w:rsidR="008243CA">
        <w:t xml:space="preserve"> </w:t>
      </w:r>
      <w:r w:rsidRPr="00E62FE6">
        <w:t>Beyond</w:t>
      </w:r>
      <w:r w:rsidR="008243CA">
        <w:t xml:space="preserve"> </w:t>
      </w:r>
      <w:r w:rsidRPr="00E62FE6">
        <w:t>reactive</w:t>
      </w:r>
      <w:r w:rsidR="008243CA">
        <w:t xml:space="preserve"> </w:t>
      </w:r>
      <w:r w:rsidRPr="00E62FE6">
        <w:t>State</w:t>
      </w:r>
      <w:r w:rsidR="008243CA">
        <w:t xml:space="preserve"> </w:t>
      </w:r>
      <w:r w:rsidRPr="00E62FE6">
        <w:t>obligations,</w:t>
      </w:r>
      <w:r w:rsidR="008243CA">
        <w:t xml:space="preserve"> </w:t>
      </w:r>
      <w:r w:rsidRPr="00E62FE6">
        <w:t>these</w:t>
      </w:r>
      <w:r w:rsidR="008243CA">
        <w:t xml:space="preserve"> </w:t>
      </w:r>
      <w:r w:rsidRPr="00E62FE6">
        <w:t>international</w:t>
      </w:r>
      <w:r w:rsidR="008243CA">
        <w:t xml:space="preserve"> </w:t>
      </w:r>
      <w:r w:rsidRPr="00E62FE6">
        <w:t>treaties</w:t>
      </w:r>
      <w:r w:rsidR="008243CA">
        <w:t xml:space="preserve"> </w:t>
      </w:r>
      <w:r w:rsidRPr="00E62FE6">
        <w:t>also</w:t>
      </w:r>
      <w:r w:rsidR="008243CA">
        <w:t xml:space="preserve"> </w:t>
      </w:r>
      <w:r w:rsidRPr="00E62FE6">
        <w:t>establish</w:t>
      </w:r>
      <w:r w:rsidR="008243CA">
        <w:t xml:space="preserve"> </w:t>
      </w:r>
      <w:r w:rsidRPr="00E62FE6">
        <w:t>proactive</w:t>
      </w:r>
      <w:r w:rsidR="008243CA">
        <w:t xml:space="preserve"> </w:t>
      </w:r>
      <w:r w:rsidRPr="00E62FE6">
        <w:t>obligations,</w:t>
      </w:r>
      <w:r w:rsidR="008243CA">
        <w:t xml:space="preserve"> </w:t>
      </w:r>
      <w:r w:rsidRPr="00E62FE6">
        <w:t>with</w:t>
      </w:r>
      <w:r w:rsidR="008243CA">
        <w:t xml:space="preserve"> </w:t>
      </w:r>
      <w:r w:rsidRPr="00E62FE6">
        <w:t>a</w:t>
      </w:r>
      <w:r w:rsidR="008243CA">
        <w:t xml:space="preserve"> </w:t>
      </w:r>
      <w:r w:rsidRPr="00E62FE6">
        <w:t>view</w:t>
      </w:r>
      <w:r w:rsidR="008243CA">
        <w:t xml:space="preserve"> </w:t>
      </w:r>
      <w:r w:rsidRPr="00E62FE6">
        <w:t>to</w:t>
      </w:r>
      <w:r w:rsidR="008243CA">
        <w:t xml:space="preserve"> </w:t>
      </w:r>
      <w:r w:rsidRPr="00E62FE6">
        <w:t>ensuring</w:t>
      </w:r>
      <w:r w:rsidR="008243CA">
        <w:t xml:space="preserve"> </w:t>
      </w:r>
      <w:r w:rsidRPr="00E62FE6">
        <w:t>that</w:t>
      </w:r>
      <w:r w:rsidR="008243CA">
        <w:t xml:space="preserve"> </w:t>
      </w:r>
      <w:r w:rsidRPr="00E62FE6">
        <w:t>States</w:t>
      </w:r>
      <w:r w:rsidR="008243CA">
        <w:t xml:space="preserve"> </w:t>
      </w:r>
      <w:r w:rsidRPr="00E62FE6">
        <w:t>identify</w:t>
      </w:r>
      <w:r w:rsidR="008243CA">
        <w:t xml:space="preserve"> </w:t>
      </w:r>
      <w:r w:rsidRPr="00E62FE6">
        <w:t>critical</w:t>
      </w:r>
      <w:r w:rsidR="008243CA">
        <w:t xml:space="preserve"> </w:t>
      </w:r>
      <w:r w:rsidRPr="00E62FE6">
        <w:t>areas</w:t>
      </w:r>
      <w:r w:rsidR="008243CA">
        <w:t xml:space="preserve"> </w:t>
      </w:r>
      <w:r w:rsidRPr="00E62FE6">
        <w:t>in</w:t>
      </w:r>
      <w:r w:rsidR="008243CA">
        <w:t xml:space="preserve"> </w:t>
      </w:r>
      <w:r w:rsidRPr="00E62FE6">
        <w:t>which</w:t>
      </w:r>
      <w:r w:rsidR="008243CA">
        <w:t xml:space="preserve"> </w:t>
      </w:r>
      <w:r w:rsidRPr="00E62FE6">
        <w:t>torture</w:t>
      </w:r>
      <w:r w:rsidR="008243CA">
        <w:t xml:space="preserve"> </w:t>
      </w:r>
      <w:r w:rsidRPr="00E62FE6">
        <w:t>is</w:t>
      </w:r>
      <w:r w:rsidR="008243CA">
        <w:t xml:space="preserve"> </w:t>
      </w:r>
      <w:r w:rsidRPr="00E62FE6">
        <w:t>a</w:t>
      </w:r>
      <w:r w:rsidR="008243CA">
        <w:t xml:space="preserve"> </w:t>
      </w:r>
      <w:r w:rsidRPr="00E62FE6">
        <w:t>particular</w:t>
      </w:r>
      <w:r w:rsidR="008243CA">
        <w:t xml:space="preserve"> </w:t>
      </w:r>
      <w:r w:rsidRPr="00E62FE6">
        <w:t>problem,</w:t>
      </w:r>
      <w:r w:rsidR="008243CA">
        <w:t xml:space="preserve"> </w:t>
      </w:r>
      <w:r w:rsidRPr="00E62FE6">
        <w:t>so</w:t>
      </w:r>
      <w:r w:rsidR="008243CA">
        <w:t xml:space="preserve"> </w:t>
      </w:r>
      <w:r w:rsidRPr="00E62FE6">
        <w:t>as</w:t>
      </w:r>
      <w:r w:rsidR="008243CA">
        <w:t xml:space="preserve"> </w:t>
      </w:r>
      <w:r w:rsidRPr="00E62FE6">
        <w:t>to</w:t>
      </w:r>
      <w:r w:rsidR="008243CA">
        <w:t xml:space="preserve"> </w:t>
      </w:r>
      <w:r w:rsidRPr="00E62FE6">
        <w:t>tackle</w:t>
      </w:r>
      <w:r w:rsidR="008243CA">
        <w:t xml:space="preserve"> </w:t>
      </w:r>
      <w:r w:rsidRPr="00E62FE6">
        <w:t>those</w:t>
      </w:r>
      <w:r w:rsidR="008243CA">
        <w:t xml:space="preserve"> </w:t>
      </w:r>
      <w:r w:rsidRPr="00E62FE6">
        <w:t>hotspots</w:t>
      </w:r>
      <w:r w:rsidR="008243CA">
        <w:t xml:space="preserve"> </w:t>
      </w:r>
      <w:r w:rsidRPr="00E62FE6">
        <w:t>and</w:t>
      </w:r>
      <w:r w:rsidR="008243CA">
        <w:t xml:space="preserve"> </w:t>
      </w:r>
      <w:r w:rsidRPr="00E62FE6">
        <w:t>prevent</w:t>
      </w:r>
      <w:r w:rsidR="008243CA">
        <w:t xml:space="preserve"> </w:t>
      </w:r>
      <w:r w:rsidRPr="00E62FE6">
        <w:t>acts</w:t>
      </w:r>
      <w:r w:rsidR="008243CA">
        <w:t xml:space="preserve"> </w:t>
      </w:r>
      <w:r w:rsidRPr="00E62FE6">
        <w:t>of</w:t>
      </w:r>
      <w:r w:rsidR="008243CA">
        <w:t xml:space="preserve"> </w:t>
      </w:r>
      <w:r w:rsidRPr="00E62FE6">
        <w:t>torture.</w:t>
      </w:r>
      <w:r w:rsidR="008243CA">
        <w:t xml:space="preserve"> </w:t>
      </w:r>
      <w:r w:rsidRPr="00E62FE6">
        <w:t>Both</w:t>
      </w:r>
      <w:r w:rsidR="008243CA">
        <w:t xml:space="preserve"> </w:t>
      </w:r>
      <w:r w:rsidRPr="00E62FE6">
        <w:t>approaches</w:t>
      </w:r>
      <w:r w:rsidR="008243CA">
        <w:t xml:space="preserve"> </w:t>
      </w:r>
      <w:r w:rsidRPr="00E62FE6">
        <w:t>are</w:t>
      </w:r>
      <w:r w:rsidR="008243CA">
        <w:t xml:space="preserve"> </w:t>
      </w:r>
      <w:r w:rsidRPr="00E62FE6">
        <w:t>necessary</w:t>
      </w:r>
      <w:r w:rsidR="008243CA">
        <w:t xml:space="preserve"> </w:t>
      </w:r>
      <w:r w:rsidRPr="00E62FE6">
        <w:t>in</w:t>
      </w:r>
      <w:r w:rsidR="008243CA">
        <w:t xml:space="preserve"> </w:t>
      </w:r>
      <w:r w:rsidRPr="00E62FE6">
        <w:t>order</w:t>
      </w:r>
      <w:r w:rsidR="008243CA">
        <w:t xml:space="preserve"> </w:t>
      </w:r>
      <w:r w:rsidRPr="00E62FE6">
        <w:t>to</w:t>
      </w:r>
      <w:r w:rsidR="008243CA">
        <w:t xml:space="preserve"> </w:t>
      </w:r>
      <w:r w:rsidRPr="00E62FE6">
        <w:t>eradicate</w:t>
      </w:r>
      <w:r w:rsidR="008243CA">
        <w:t xml:space="preserve"> </w:t>
      </w:r>
      <w:r w:rsidRPr="00E62FE6">
        <w:t>this</w:t>
      </w:r>
      <w:r w:rsidR="008243CA">
        <w:t xml:space="preserve"> </w:t>
      </w:r>
      <w:r w:rsidRPr="00E62FE6">
        <w:t>practice,</w:t>
      </w:r>
      <w:r w:rsidR="008243CA">
        <w:t xml:space="preserve"> </w:t>
      </w:r>
      <w:r w:rsidRPr="00E62FE6">
        <w:t>which</w:t>
      </w:r>
      <w:r w:rsidR="008243CA">
        <w:t xml:space="preserve"> </w:t>
      </w:r>
      <w:r w:rsidRPr="00E62FE6">
        <w:t>is</w:t>
      </w:r>
      <w:r w:rsidR="008243CA">
        <w:t xml:space="preserve"> </w:t>
      </w:r>
      <w:r w:rsidRPr="00E62FE6">
        <w:t>condemned</w:t>
      </w:r>
      <w:r w:rsidR="008243CA">
        <w:t xml:space="preserve"> </w:t>
      </w:r>
      <w:r w:rsidRPr="00E62FE6">
        <w:t>in</w:t>
      </w:r>
      <w:r w:rsidR="008243CA">
        <w:t xml:space="preserve"> </w:t>
      </w:r>
      <w:r w:rsidRPr="00E62FE6">
        <w:t>the</w:t>
      </w:r>
      <w:r w:rsidR="008243CA">
        <w:t xml:space="preserve"> </w:t>
      </w:r>
      <w:r w:rsidRPr="00E62FE6">
        <w:t>strongest</w:t>
      </w:r>
      <w:r w:rsidR="008243CA">
        <w:t xml:space="preserve"> </w:t>
      </w:r>
      <w:r w:rsidRPr="00E62FE6">
        <w:t>terms</w:t>
      </w:r>
      <w:r w:rsidR="008243CA">
        <w:t xml:space="preserve"> </w:t>
      </w:r>
      <w:r w:rsidRPr="00E62FE6">
        <w:t>by</w:t>
      </w:r>
      <w:r w:rsidR="008243CA">
        <w:t xml:space="preserve"> </w:t>
      </w:r>
      <w:r w:rsidRPr="00E62FE6">
        <w:t>the</w:t>
      </w:r>
      <w:r w:rsidR="008243CA">
        <w:t xml:space="preserve"> </w:t>
      </w:r>
      <w:r w:rsidRPr="00E62FE6">
        <w:t>international</w:t>
      </w:r>
      <w:r w:rsidR="008243CA">
        <w:t xml:space="preserve"> </w:t>
      </w:r>
      <w:r w:rsidRPr="00E62FE6">
        <w:t>community.</w:t>
      </w:r>
    </w:p>
    <w:p w:rsidR="003F7D03" w:rsidRPr="00E62FE6" w:rsidRDefault="003F7D03" w:rsidP="000C6D98">
      <w:pPr>
        <w:pStyle w:val="SingleTxtG"/>
      </w:pPr>
      <w:r w:rsidRPr="00E62FE6">
        <w:t>2.</w:t>
      </w:r>
      <w:r w:rsidRPr="00E62FE6">
        <w:tab/>
        <w:t>It</w:t>
      </w:r>
      <w:r w:rsidR="008243CA">
        <w:t xml:space="preserve"> </w:t>
      </w:r>
      <w:r w:rsidRPr="00E62FE6">
        <w:t>is</w:t>
      </w:r>
      <w:r w:rsidR="008243CA">
        <w:t xml:space="preserve"> </w:t>
      </w:r>
      <w:r w:rsidRPr="00E62FE6">
        <w:t>precisely</w:t>
      </w:r>
      <w:r w:rsidR="008243CA">
        <w:t xml:space="preserve"> </w:t>
      </w:r>
      <w:r w:rsidRPr="00E62FE6">
        <w:t>in</w:t>
      </w:r>
      <w:r w:rsidR="008243CA">
        <w:t xml:space="preserve"> </w:t>
      </w:r>
      <w:r w:rsidRPr="00E62FE6">
        <w:t>the</w:t>
      </w:r>
      <w:r w:rsidR="008243CA">
        <w:t xml:space="preserve"> </w:t>
      </w:r>
      <w:r w:rsidRPr="00E62FE6">
        <w:t>field</w:t>
      </w:r>
      <w:r w:rsidR="008243CA">
        <w:t xml:space="preserve"> </w:t>
      </w:r>
      <w:r w:rsidRPr="00E62FE6">
        <w:t>of</w:t>
      </w:r>
      <w:r w:rsidR="008243CA">
        <w:t xml:space="preserve"> </w:t>
      </w:r>
      <w:r w:rsidRPr="00E62FE6">
        <w:t>prevention</w:t>
      </w:r>
      <w:r w:rsidR="008243CA">
        <w:t xml:space="preserve"> </w:t>
      </w:r>
      <w:r w:rsidRPr="00E62FE6">
        <w:t>that</w:t>
      </w:r>
      <w:r w:rsidR="008243CA">
        <w:t xml:space="preserve"> </w:t>
      </w:r>
      <w:r w:rsidRPr="00E62FE6">
        <w:t>significant</w:t>
      </w:r>
      <w:r w:rsidR="008243CA">
        <w:t xml:space="preserve"> </w:t>
      </w:r>
      <w:r w:rsidRPr="00E62FE6">
        <w:t>progress</w:t>
      </w:r>
      <w:r w:rsidR="008243CA">
        <w:t xml:space="preserve"> </w:t>
      </w:r>
      <w:r w:rsidRPr="00E62FE6">
        <w:t>has</w:t>
      </w:r>
      <w:r w:rsidR="008243CA">
        <w:t xml:space="preserve"> </w:t>
      </w:r>
      <w:r w:rsidRPr="00E62FE6">
        <w:t>been</w:t>
      </w:r>
      <w:r w:rsidR="008243CA">
        <w:t xml:space="preserve"> </w:t>
      </w:r>
      <w:r w:rsidRPr="00E62FE6">
        <w:t>made</w:t>
      </w:r>
      <w:r w:rsidR="008243CA">
        <w:t xml:space="preserve"> </w:t>
      </w:r>
      <w:r w:rsidRPr="00E62FE6">
        <w:t>in</w:t>
      </w:r>
      <w:r w:rsidR="008243CA">
        <w:t xml:space="preserve"> </w:t>
      </w:r>
      <w:r w:rsidRPr="00E62FE6">
        <w:t>international</w:t>
      </w:r>
      <w:r w:rsidR="008243CA">
        <w:t xml:space="preserve"> </w:t>
      </w:r>
      <w:r w:rsidRPr="00E62FE6">
        <w:t>law</w:t>
      </w:r>
      <w:r w:rsidR="008243CA">
        <w:t xml:space="preserve"> </w:t>
      </w:r>
      <w:r w:rsidRPr="00E62FE6">
        <w:t>in</w:t>
      </w:r>
      <w:r w:rsidR="008243CA">
        <w:t xml:space="preserve"> </w:t>
      </w:r>
      <w:r w:rsidRPr="00E62FE6">
        <w:t>recent</w:t>
      </w:r>
      <w:r w:rsidR="008243CA">
        <w:t xml:space="preserve"> </w:t>
      </w:r>
      <w:r w:rsidRPr="00E62FE6">
        <w:t>years,</w:t>
      </w:r>
      <w:r w:rsidR="008243CA">
        <w:t xml:space="preserve"> </w:t>
      </w:r>
      <w:r w:rsidRPr="00E62FE6">
        <w:t>as</w:t>
      </w:r>
      <w:r w:rsidR="008243CA">
        <w:t xml:space="preserve"> </w:t>
      </w:r>
      <w:r w:rsidRPr="00E62FE6">
        <w:t>States</w:t>
      </w:r>
      <w:r w:rsidR="008243CA">
        <w:t xml:space="preserve"> </w:t>
      </w:r>
      <w:r w:rsidRPr="00E62FE6">
        <w:t>have</w:t>
      </w:r>
      <w:r w:rsidR="008243CA">
        <w:t xml:space="preserve"> </w:t>
      </w:r>
      <w:r w:rsidRPr="00E62FE6">
        <w:t>agreed</w:t>
      </w:r>
      <w:r w:rsidR="008243CA">
        <w:t xml:space="preserve"> </w:t>
      </w:r>
      <w:r w:rsidRPr="00E62FE6">
        <w:t>on</w:t>
      </w:r>
      <w:r w:rsidR="008243CA">
        <w:t xml:space="preserve"> </w:t>
      </w:r>
      <w:r w:rsidRPr="00E62FE6">
        <w:t>the</w:t>
      </w:r>
      <w:r w:rsidR="008243CA">
        <w:t xml:space="preserve"> </w:t>
      </w:r>
      <w:r w:rsidRPr="00E62FE6">
        <w:t>importance</w:t>
      </w:r>
      <w:r w:rsidR="008243CA">
        <w:t xml:space="preserve"> </w:t>
      </w:r>
      <w:r w:rsidRPr="00E62FE6">
        <w:t>of</w:t>
      </w:r>
      <w:r w:rsidR="008243CA">
        <w:t xml:space="preserve"> </w:t>
      </w:r>
      <w:r w:rsidRPr="00E62FE6">
        <w:t>establishing</w:t>
      </w:r>
      <w:r w:rsidR="008243CA">
        <w:t xml:space="preserve"> </w:t>
      </w:r>
      <w:r w:rsidRPr="00E62FE6">
        <w:t>both</w:t>
      </w:r>
      <w:r w:rsidR="008243CA">
        <w:t xml:space="preserve"> </w:t>
      </w:r>
      <w:r w:rsidRPr="00E62FE6">
        <w:t>internal</w:t>
      </w:r>
      <w:r w:rsidR="008243CA">
        <w:t xml:space="preserve"> </w:t>
      </w:r>
      <w:r w:rsidRPr="00E62FE6">
        <w:t>and</w:t>
      </w:r>
      <w:r w:rsidR="008243CA">
        <w:t xml:space="preserve"> </w:t>
      </w:r>
      <w:r w:rsidRPr="00E62FE6">
        <w:t>external</w:t>
      </w:r>
      <w:r w:rsidR="008243CA">
        <w:t xml:space="preserve"> </w:t>
      </w:r>
      <w:r w:rsidRPr="00E62FE6">
        <w:t>institutions</w:t>
      </w:r>
      <w:r w:rsidR="008243CA">
        <w:t xml:space="preserve"> </w:t>
      </w:r>
      <w:r w:rsidRPr="00E62FE6">
        <w:t>to</w:t>
      </w:r>
      <w:r w:rsidR="008243CA">
        <w:t xml:space="preserve"> </w:t>
      </w:r>
      <w:r w:rsidRPr="00E62FE6">
        <w:t>prevent</w:t>
      </w:r>
      <w:r w:rsidR="008243CA">
        <w:t xml:space="preserve"> </w:t>
      </w:r>
      <w:r w:rsidRPr="00E62FE6">
        <w:t>torture.</w:t>
      </w:r>
      <w:r w:rsidR="008243CA">
        <w:t xml:space="preserve"> </w:t>
      </w:r>
      <w:r w:rsidRPr="00E62FE6">
        <w:t>Unlike</w:t>
      </w:r>
      <w:r w:rsidR="008243CA">
        <w:t xml:space="preserve"> </w:t>
      </w:r>
      <w:r w:rsidRPr="00E62FE6">
        <w:t>law</w:t>
      </w:r>
      <w:r w:rsidR="008243CA">
        <w:t xml:space="preserve"> </w:t>
      </w:r>
      <w:r w:rsidRPr="00E62FE6">
        <w:t>courts,</w:t>
      </w:r>
      <w:r w:rsidR="008243CA">
        <w:t xml:space="preserve"> </w:t>
      </w:r>
      <w:r w:rsidRPr="00E62FE6">
        <w:t>these</w:t>
      </w:r>
      <w:r w:rsidR="008243CA">
        <w:t xml:space="preserve"> </w:t>
      </w:r>
      <w:r w:rsidRPr="00E62FE6">
        <w:t>institutions</w:t>
      </w:r>
      <w:r w:rsidR="008243CA">
        <w:t xml:space="preserve"> </w:t>
      </w:r>
      <w:r w:rsidRPr="00E62FE6">
        <w:t>seek</w:t>
      </w:r>
      <w:r w:rsidR="008243CA">
        <w:t xml:space="preserve"> </w:t>
      </w:r>
      <w:r w:rsidRPr="00E62FE6">
        <w:t>to</w:t>
      </w:r>
      <w:r w:rsidR="008243CA">
        <w:t xml:space="preserve"> </w:t>
      </w:r>
      <w:r w:rsidRPr="00E62FE6">
        <w:t>assist</w:t>
      </w:r>
      <w:r w:rsidR="008243CA">
        <w:t xml:space="preserve"> </w:t>
      </w:r>
      <w:r w:rsidRPr="00E62FE6">
        <w:t>States</w:t>
      </w:r>
      <w:r w:rsidR="008243CA">
        <w:t xml:space="preserve"> </w:t>
      </w:r>
      <w:r w:rsidRPr="00E62FE6">
        <w:t>in</w:t>
      </w:r>
      <w:r w:rsidR="008243CA">
        <w:t xml:space="preserve"> </w:t>
      </w:r>
      <w:r w:rsidRPr="00E62FE6">
        <w:t>the</w:t>
      </w:r>
      <w:r w:rsidR="008243CA">
        <w:t xml:space="preserve"> </w:t>
      </w:r>
      <w:r w:rsidRPr="00E62FE6">
        <w:t>elimination</w:t>
      </w:r>
      <w:r w:rsidR="008243CA">
        <w:t xml:space="preserve"> </w:t>
      </w:r>
      <w:r w:rsidRPr="00E62FE6">
        <w:t>of</w:t>
      </w:r>
      <w:r w:rsidR="008243CA">
        <w:t xml:space="preserve"> </w:t>
      </w:r>
      <w:r w:rsidRPr="00E62FE6">
        <w:t>torture</w:t>
      </w:r>
      <w:r w:rsidR="008243CA">
        <w:t xml:space="preserve"> </w:t>
      </w:r>
      <w:r w:rsidRPr="00E62FE6">
        <w:t>and</w:t>
      </w:r>
      <w:r w:rsidR="008243CA">
        <w:t xml:space="preserve"> </w:t>
      </w:r>
      <w:r w:rsidRPr="00E62FE6">
        <w:t>thus</w:t>
      </w:r>
      <w:r w:rsidR="008243CA">
        <w:t xml:space="preserve"> </w:t>
      </w:r>
      <w:r w:rsidRPr="00E62FE6">
        <w:t>play</w:t>
      </w:r>
      <w:r w:rsidR="008243CA">
        <w:t xml:space="preserve"> </w:t>
      </w:r>
      <w:r w:rsidRPr="00E62FE6">
        <w:t>more</w:t>
      </w:r>
      <w:r w:rsidR="008243CA">
        <w:t xml:space="preserve"> </w:t>
      </w:r>
      <w:r w:rsidRPr="00E62FE6">
        <w:t>of</w:t>
      </w:r>
      <w:r w:rsidR="008243CA">
        <w:t xml:space="preserve"> </w:t>
      </w:r>
      <w:r w:rsidRPr="00E62FE6">
        <w:t>a</w:t>
      </w:r>
      <w:r w:rsidR="008243CA">
        <w:t xml:space="preserve"> </w:t>
      </w:r>
      <w:r w:rsidRPr="00E62FE6">
        <w:t>collaborative</w:t>
      </w:r>
      <w:r w:rsidR="008243CA">
        <w:t xml:space="preserve"> </w:t>
      </w:r>
      <w:r w:rsidRPr="00E62FE6">
        <w:t>role</w:t>
      </w:r>
      <w:r w:rsidR="008243CA">
        <w:t xml:space="preserve"> </w:t>
      </w:r>
      <w:r w:rsidRPr="00E62FE6">
        <w:t>than</w:t>
      </w:r>
      <w:r w:rsidR="008243CA">
        <w:t xml:space="preserve"> </w:t>
      </w:r>
      <w:r w:rsidRPr="00E62FE6">
        <w:t>an</w:t>
      </w:r>
      <w:r w:rsidR="008243CA">
        <w:t xml:space="preserve"> </w:t>
      </w:r>
      <w:r w:rsidRPr="00E62FE6">
        <w:t>accusatory</w:t>
      </w:r>
      <w:r w:rsidR="008243CA">
        <w:t xml:space="preserve"> </w:t>
      </w:r>
      <w:r w:rsidRPr="00E62FE6">
        <w:t>one.</w:t>
      </w:r>
      <w:r w:rsidR="008243CA">
        <w:t xml:space="preserve"> </w:t>
      </w:r>
      <w:r w:rsidRPr="00E62FE6">
        <w:t>Consequently,</w:t>
      </w:r>
      <w:r w:rsidR="008243CA">
        <w:t xml:space="preserve"> </w:t>
      </w:r>
      <w:r w:rsidRPr="00E62FE6">
        <w:t>as</w:t>
      </w:r>
      <w:r w:rsidR="008243CA">
        <w:t xml:space="preserve"> </w:t>
      </w:r>
      <w:r w:rsidRPr="00E62FE6">
        <w:t>a</w:t>
      </w:r>
      <w:r w:rsidR="008243CA">
        <w:t xml:space="preserve"> </w:t>
      </w:r>
      <w:r w:rsidRPr="00E62FE6">
        <w:t>general</w:t>
      </w:r>
      <w:r w:rsidR="008243CA">
        <w:t xml:space="preserve"> </w:t>
      </w:r>
      <w:r w:rsidRPr="00E62FE6">
        <w:t>rule,</w:t>
      </w:r>
      <w:r w:rsidR="008243CA">
        <w:t xml:space="preserve"> </w:t>
      </w:r>
      <w:r w:rsidRPr="00E62FE6">
        <w:t>most</w:t>
      </w:r>
      <w:r w:rsidR="008243CA">
        <w:t xml:space="preserve"> </w:t>
      </w:r>
      <w:r w:rsidRPr="00E62FE6">
        <w:t>of</w:t>
      </w:r>
      <w:r w:rsidR="008243CA">
        <w:t xml:space="preserve"> </w:t>
      </w:r>
      <w:r w:rsidRPr="00E62FE6">
        <w:t>their</w:t>
      </w:r>
      <w:r w:rsidR="008243CA">
        <w:t xml:space="preserve"> </w:t>
      </w:r>
      <w:r w:rsidRPr="00E62FE6">
        <w:t>work</w:t>
      </w:r>
      <w:r w:rsidR="008243CA">
        <w:t xml:space="preserve"> </w:t>
      </w:r>
      <w:r w:rsidRPr="00E62FE6">
        <w:t>is</w:t>
      </w:r>
      <w:r w:rsidR="008243CA">
        <w:t xml:space="preserve"> </w:t>
      </w:r>
      <w:r w:rsidRPr="00E62FE6">
        <w:t>confidential.</w:t>
      </w:r>
    </w:p>
    <w:p w:rsidR="003F7D03" w:rsidRPr="00E62FE6" w:rsidRDefault="003F7D03" w:rsidP="000C6D98">
      <w:pPr>
        <w:pStyle w:val="SingleTxtG"/>
      </w:pPr>
      <w:r w:rsidRPr="00E62FE6">
        <w:t>3.</w:t>
      </w:r>
      <w:r w:rsidRPr="00E62FE6">
        <w:tab/>
        <w:t>One</w:t>
      </w:r>
      <w:r w:rsidR="008243CA">
        <w:t xml:space="preserve"> </w:t>
      </w:r>
      <w:r w:rsidRPr="00E62FE6">
        <w:t>such</w:t>
      </w:r>
      <w:r w:rsidR="008243CA">
        <w:t xml:space="preserve"> </w:t>
      </w:r>
      <w:r w:rsidRPr="00E62FE6">
        <w:t>institution</w:t>
      </w:r>
      <w:r w:rsidR="008243CA">
        <w:t xml:space="preserve"> </w:t>
      </w:r>
      <w:r w:rsidRPr="00E62FE6">
        <w:t>is</w:t>
      </w:r>
      <w:r w:rsidR="008243CA">
        <w:t xml:space="preserve"> </w:t>
      </w:r>
      <w:r w:rsidRPr="00E62FE6">
        <w:t>the</w:t>
      </w:r>
      <w:r w:rsidR="008243CA">
        <w:t xml:space="preserve"> </w:t>
      </w:r>
      <w:r w:rsidRPr="00E62FE6">
        <w:t>Subcommittee</w:t>
      </w:r>
      <w:r w:rsidR="008243CA">
        <w:t xml:space="preserve"> </w:t>
      </w:r>
      <w:r w:rsidRPr="00E62FE6">
        <w:t>on</w:t>
      </w:r>
      <w:r w:rsidR="008243CA">
        <w:t xml:space="preserve"> </w:t>
      </w:r>
      <w:r w:rsidRPr="00E62FE6">
        <w:t>Prevention</w:t>
      </w:r>
      <w:r w:rsidR="008243CA">
        <w:t xml:space="preserve"> </w:t>
      </w:r>
      <w:r w:rsidRPr="00E62FE6">
        <w:t>of</w:t>
      </w:r>
      <w:r w:rsidR="008243CA">
        <w:t xml:space="preserve"> </w:t>
      </w:r>
      <w:r w:rsidRPr="00E62FE6">
        <w:t>Torture</w:t>
      </w:r>
      <w:r w:rsidR="008243CA">
        <w:t xml:space="preserve"> </w:t>
      </w:r>
      <w:r w:rsidRPr="00E62FE6">
        <w:t>and</w:t>
      </w:r>
      <w:r w:rsidR="008243CA">
        <w:t xml:space="preserve"> </w:t>
      </w:r>
      <w:r w:rsidRPr="00E62FE6">
        <w:t>Other</w:t>
      </w:r>
      <w:r w:rsidR="008243CA">
        <w:t xml:space="preserve"> </w:t>
      </w:r>
      <w:r w:rsidRPr="00E62FE6">
        <w:t>Cruel,</w:t>
      </w:r>
      <w:r w:rsidR="008243CA">
        <w:t xml:space="preserve"> </w:t>
      </w:r>
      <w:r w:rsidRPr="00E62FE6">
        <w:t>Inhuman</w:t>
      </w:r>
      <w:r w:rsidR="008243CA">
        <w:t xml:space="preserve"> </w:t>
      </w:r>
      <w:r w:rsidRPr="00E62FE6">
        <w:t>or</w:t>
      </w:r>
      <w:r w:rsidR="008243CA">
        <w:t xml:space="preserve"> </w:t>
      </w:r>
      <w:r w:rsidRPr="00E62FE6">
        <w:t>Degrading</w:t>
      </w:r>
      <w:r w:rsidR="008243CA">
        <w:t xml:space="preserve"> </w:t>
      </w:r>
      <w:r w:rsidRPr="00E62FE6">
        <w:t>Treatment</w:t>
      </w:r>
      <w:r w:rsidR="008243CA">
        <w:t xml:space="preserve"> </w:t>
      </w:r>
      <w:r w:rsidRPr="00E62FE6">
        <w:t>or</w:t>
      </w:r>
      <w:r w:rsidR="008243CA">
        <w:t xml:space="preserve"> </w:t>
      </w:r>
      <w:r w:rsidRPr="00E62FE6">
        <w:t>Punishment,</w:t>
      </w:r>
      <w:r w:rsidR="008243CA">
        <w:t xml:space="preserve"> </w:t>
      </w:r>
      <w:r w:rsidRPr="00E62FE6">
        <w:t>which</w:t>
      </w:r>
      <w:r w:rsidR="008243CA">
        <w:t xml:space="preserve"> </w:t>
      </w:r>
      <w:r w:rsidRPr="00E62FE6">
        <w:t>was</w:t>
      </w:r>
      <w:r w:rsidR="008243CA">
        <w:t xml:space="preserve"> </w:t>
      </w:r>
      <w:r w:rsidRPr="00E62FE6">
        <w:t>established</w:t>
      </w:r>
      <w:r w:rsidR="008243CA">
        <w:t xml:space="preserve"> </w:t>
      </w:r>
      <w:r w:rsidRPr="00E62FE6">
        <w:t>by</w:t>
      </w:r>
      <w:r w:rsidR="008243CA">
        <w:t xml:space="preserve"> </w:t>
      </w:r>
      <w:r w:rsidRPr="00E62FE6">
        <w:t>the</w:t>
      </w:r>
      <w:r w:rsidR="008243CA">
        <w:t xml:space="preserve"> </w:t>
      </w:r>
      <w:r w:rsidRPr="00E62FE6">
        <w:t>Optional</w:t>
      </w:r>
      <w:r w:rsidR="008243CA">
        <w:t xml:space="preserve"> </w:t>
      </w:r>
      <w:r w:rsidRPr="00E62FE6">
        <w:t>Protocol</w:t>
      </w:r>
      <w:r w:rsidR="008243CA">
        <w:t xml:space="preserve"> </w:t>
      </w:r>
      <w:r w:rsidRPr="00E62FE6">
        <w:t>to</w:t>
      </w:r>
      <w:r w:rsidR="008243CA">
        <w:t xml:space="preserve"> </w:t>
      </w:r>
      <w:r w:rsidRPr="00E62FE6">
        <w:t>the</w:t>
      </w:r>
      <w:r w:rsidR="008243CA">
        <w:t xml:space="preserve"> </w:t>
      </w:r>
      <w:r w:rsidRPr="00E62FE6">
        <w:t>Convention</w:t>
      </w:r>
      <w:r w:rsidR="008243CA">
        <w:t xml:space="preserve"> </w:t>
      </w:r>
      <w:r w:rsidRPr="00E62FE6">
        <w:t>against</w:t>
      </w:r>
      <w:r w:rsidR="008243CA">
        <w:t xml:space="preserve"> </w:t>
      </w:r>
      <w:r w:rsidRPr="00E62FE6">
        <w:t>Torture</w:t>
      </w:r>
      <w:r w:rsidR="008243CA">
        <w:t xml:space="preserve"> </w:t>
      </w:r>
      <w:r w:rsidRPr="00E62FE6">
        <w:t>and</w:t>
      </w:r>
      <w:r w:rsidR="008243CA">
        <w:t xml:space="preserve"> </w:t>
      </w:r>
      <w:r w:rsidRPr="00E62FE6">
        <w:t>Other</w:t>
      </w:r>
      <w:r w:rsidR="008243CA">
        <w:t xml:space="preserve"> </w:t>
      </w:r>
      <w:r w:rsidRPr="00E62FE6">
        <w:t>Cruel,</w:t>
      </w:r>
      <w:r w:rsidR="008243CA">
        <w:t xml:space="preserve"> </w:t>
      </w:r>
      <w:r w:rsidRPr="00E62FE6">
        <w:t>Inhuman</w:t>
      </w:r>
      <w:r w:rsidR="008243CA">
        <w:t xml:space="preserve"> </w:t>
      </w:r>
      <w:r w:rsidRPr="00E62FE6">
        <w:t>or</w:t>
      </w:r>
      <w:r w:rsidR="008243CA">
        <w:t xml:space="preserve"> </w:t>
      </w:r>
      <w:r w:rsidRPr="00E62FE6">
        <w:t>Degrading</w:t>
      </w:r>
      <w:r w:rsidR="008243CA">
        <w:t xml:space="preserve"> </w:t>
      </w:r>
      <w:r w:rsidRPr="00E62FE6">
        <w:t>Treatment</w:t>
      </w:r>
      <w:r w:rsidR="008243CA">
        <w:t xml:space="preserve"> </w:t>
      </w:r>
      <w:r w:rsidRPr="00E62FE6">
        <w:t>or</w:t>
      </w:r>
      <w:r w:rsidR="008243CA">
        <w:t xml:space="preserve"> </w:t>
      </w:r>
      <w:r w:rsidRPr="00E62FE6">
        <w:t>Punishment</w:t>
      </w:r>
      <w:r w:rsidR="008243CA">
        <w:t xml:space="preserve"> </w:t>
      </w:r>
      <w:r w:rsidRPr="00E62FE6">
        <w:t>and</w:t>
      </w:r>
      <w:r w:rsidR="008243CA">
        <w:t xml:space="preserve"> </w:t>
      </w:r>
      <w:r w:rsidRPr="00E62FE6">
        <w:t>mandated</w:t>
      </w:r>
      <w:r w:rsidR="008243CA">
        <w:t xml:space="preserve"> </w:t>
      </w:r>
      <w:r w:rsidRPr="00E62FE6">
        <w:t>to</w:t>
      </w:r>
      <w:r w:rsidR="008243CA">
        <w:t xml:space="preserve"> </w:t>
      </w:r>
      <w:r w:rsidRPr="00E62FE6">
        <w:t>conduct</w:t>
      </w:r>
      <w:r w:rsidR="008243CA">
        <w:t xml:space="preserve"> </w:t>
      </w:r>
      <w:r w:rsidRPr="00E62FE6">
        <w:t>unrestricted</w:t>
      </w:r>
      <w:r w:rsidR="008243CA">
        <w:t xml:space="preserve"> </w:t>
      </w:r>
      <w:r w:rsidRPr="00E62FE6">
        <w:t>visits</w:t>
      </w:r>
      <w:r w:rsidR="008243CA">
        <w:t xml:space="preserve"> </w:t>
      </w:r>
      <w:r w:rsidRPr="00E62FE6">
        <w:t>to</w:t>
      </w:r>
      <w:r w:rsidR="008243CA">
        <w:t xml:space="preserve"> </w:t>
      </w:r>
      <w:r w:rsidRPr="00E62FE6">
        <w:t>any</w:t>
      </w:r>
      <w:r w:rsidR="008243CA">
        <w:t xml:space="preserve"> </w:t>
      </w:r>
      <w:r w:rsidRPr="00E62FE6">
        <w:t>places</w:t>
      </w:r>
      <w:r w:rsidR="008243CA">
        <w:t xml:space="preserve"> </w:t>
      </w:r>
      <w:r w:rsidRPr="00E62FE6">
        <w:t>where</w:t>
      </w:r>
      <w:r w:rsidR="008243CA">
        <w:t xml:space="preserve"> </w:t>
      </w:r>
      <w:r w:rsidRPr="00E62FE6">
        <w:t>persons</w:t>
      </w:r>
      <w:r w:rsidR="008243CA">
        <w:t xml:space="preserve"> </w:t>
      </w:r>
      <w:r w:rsidRPr="00E62FE6">
        <w:t>are</w:t>
      </w:r>
      <w:r w:rsidR="008243CA">
        <w:t xml:space="preserve"> </w:t>
      </w:r>
      <w:r w:rsidRPr="00E62FE6">
        <w:t>or</w:t>
      </w:r>
      <w:r w:rsidR="008243CA">
        <w:t xml:space="preserve"> </w:t>
      </w:r>
      <w:r w:rsidRPr="00E62FE6">
        <w:t>may</w:t>
      </w:r>
      <w:r w:rsidR="008243CA">
        <w:t xml:space="preserve"> </w:t>
      </w:r>
      <w:r w:rsidRPr="00E62FE6">
        <w:t>be</w:t>
      </w:r>
      <w:r w:rsidR="008243CA">
        <w:t xml:space="preserve"> </w:t>
      </w:r>
      <w:r w:rsidRPr="00E62FE6">
        <w:t>deprived</w:t>
      </w:r>
      <w:r w:rsidR="008243CA">
        <w:t xml:space="preserve"> </w:t>
      </w:r>
      <w:r w:rsidRPr="00E62FE6">
        <w:t>of</w:t>
      </w:r>
      <w:r w:rsidR="008243CA">
        <w:t xml:space="preserve"> </w:t>
      </w:r>
      <w:r w:rsidRPr="00E62FE6">
        <w:t>their</w:t>
      </w:r>
      <w:r w:rsidR="008243CA">
        <w:t xml:space="preserve"> </w:t>
      </w:r>
      <w:r w:rsidRPr="00E62FE6">
        <w:t>liberty,</w:t>
      </w:r>
      <w:r w:rsidR="008243CA">
        <w:t xml:space="preserve"> </w:t>
      </w:r>
      <w:r w:rsidRPr="00E62FE6">
        <w:t>and</w:t>
      </w:r>
      <w:r w:rsidR="008243CA">
        <w:t xml:space="preserve"> </w:t>
      </w:r>
      <w:r w:rsidRPr="00E62FE6">
        <w:t>their</w:t>
      </w:r>
      <w:r w:rsidR="008243CA">
        <w:t xml:space="preserve"> </w:t>
      </w:r>
      <w:r w:rsidRPr="00E62FE6">
        <w:t>installations</w:t>
      </w:r>
      <w:r w:rsidR="008243CA">
        <w:t xml:space="preserve"> </w:t>
      </w:r>
      <w:r w:rsidRPr="00E62FE6">
        <w:t>and</w:t>
      </w:r>
      <w:r w:rsidR="008243CA">
        <w:t xml:space="preserve"> </w:t>
      </w:r>
      <w:r w:rsidRPr="00E62FE6">
        <w:t>facilities,</w:t>
      </w:r>
      <w:r w:rsidR="008243CA">
        <w:t xml:space="preserve"> </w:t>
      </w:r>
      <w:r w:rsidRPr="00E62FE6">
        <w:t>and</w:t>
      </w:r>
      <w:r w:rsidR="008243CA">
        <w:t xml:space="preserve"> </w:t>
      </w:r>
      <w:r w:rsidRPr="00E62FE6">
        <w:t>to</w:t>
      </w:r>
      <w:r w:rsidR="008243CA">
        <w:t xml:space="preserve"> </w:t>
      </w:r>
      <w:r w:rsidRPr="00E62FE6">
        <w:t>access</w:t>
      </w:r>
      <w:r w:rsidR="008243CA">
        <w:t xml:space="preserve"> </w:t>
      </w:r>
      <w:r w:rsidRPr="00E62FE6">
        <w:t>any</w:t>
      </w:r>
      <w:r w:rsidR="008243CA">
        <w:t xml:space="preserve"> </w:t>
      </w:r>
      <w:r w:rsidRPr="00E62FE6">
        <w:t>information</w:t>
      </w:r>
      <w:r w:rsidR="008243CA">
        <w:t xml:space="preserve"> </w:t>
      </w:r>
      <w:r w:rsidRPr="00E62FE6">
        <w:t>that</w:t>
      </w:r>
      <w:r w:rsidR="008243CA">
        <w:t xml:space="preserve"> </w:t>
      </w:r>
      <w:r w:rsidRPr="00E62FE6">
        <w:t>it</w:t>
      </w:r>
      <w:r w:rsidR="008243CA">
        <w:t xml:space="preserve"> </w:t>
      </w:r>
      <w:r w:rsidRPr="00E62FE6">
        <w:t>needs</w:t>
      </w:r>
      <w:r w:rsidR="008243CA">
        <w:t xml:space="preserve"> </w:t>
      </w:r>
      <w:r w:rsidRPr="00E62FE6">
        <w:t>in</w:t>
      </w:r>
      <w:r w:rsidR="008243CA">
        <w:t xml:space="preserve"> </w:t>
      </w:r>
      <w:r w:rsidRPr="00E62FE6">
        <w:t>order</w:t>
      </w:r>
      <w:r w:rsidR="008243CA">
        <w:t xml:space="preserve"> </w:t>
      </w:r>
      <w:r w:rsidRPr="00E62FE6">
        <w:t>to</w:t>
      </w:r>
      <w:r w:rsidR="008243CA">
        <w:t xml:space="preserve"> </w:t>
      </w:r>
      <w:r w:rsidRPr="00E62FE6">
        <w:t>fulfil</w:t>
      </w:r>
      <w:r w:rsidR="008243CA">
        <w:t xml:space="preserve"> </w:t>
      </w:r>
      <w:r w:rsidRPr="00E62FE6">
        <w:t>its</w:t>
      </w:r>
      <w:r w:rsidR="008243CA">
        <w:t xml:space="preserve"> </w:t>
      </w:r>
      <w:r w:rsidRPr="00E62FE6">
        <w:t>mandate.</w:t>
      </w:r>
      <w:r w:rsidRPr="00116F0B">
        <w:rPr>
          <w:rStyle w:val="FootnoteReference"/>
        </w:rPr>
        <w:footnoteReference w:id="3"/>
      </w:r>
      <w:r w:rsidR="008243CA">
        <w:t xml:space="preserve"> </w:t>
      </w:r>
      <w:r w:rsidRPr="00E62FE6">
        <w:t>The</w:t>
      </w:r>
      <w:r w:rsidR="008243CA">
        <w:t xml:space="preserve"> </w:t>
      </w:r>
      <w:r w:rsidRPr="00E62FE6">
        <w:t>Subcommittee</w:t>
      </w:r>
      <w:r w:rsidR="008243CA">
        <w:t xml:space="preserve"> </w:t>
      </w:r>
      <w:r w:rsidRPr="00E62FE6">
        <w:t>on</w:t>
      </w:r>
      <w:r w:rsidR="008243CA">
        <w:t xml:space="preserve"> </w:t>
      </w:r>
      <w:r w:rsidRPr="00E62FE6">
        <w:t>Prevention</w:t>
      </w:r>
      <w:r w:rsidR="008243CA">
        <w:t xml:space="preserve"> </w:t>
      </w:r>
      <w:r w:rsidRPr="00E62FE6">
        <w:t>of</w:t>
      </w:r>
      <w:r w:rsidR="008243CA">
        <w:t xml:space="preserve"> </w:t>
      </w:r>
      <w:r w:rsidRPr="00E62FE6">
        <w:t>Torture</w:t>
      </w:r>
      <w:r w:rsidR="008243CA">
        <w:t xml:space="preserve"> </w:t>
      </w:r>
      <w:r w:rsidRPr="00E62FE6">
        <w:t>is</w:t>
      </w:r>
      <w:r w:rsidR="008243CA">
        <w:t xml:space="preserve"> </w:t>
      </w:r>
      <w:r w:rsidRPr="00E62FE6">
        <w:t>also</w:t>
      </w:r>
      <w:r w:rsidR="008243CA">
        <w:t xml:space="preserve"> </w:t>
      </w:r>
      <w:r w:rsidRPr="00E62FE6">
        <w:t>mandated</w:t>
      </w:r>
      <w:r w:rsidR="008243CA">
        <w:t xml:space="preserve"> </w:t>
      </w:r>
      <w:r w:rsidRPr="00E62FE6">
        <w:t>to</w:t>
      </w:r>
      <w:r w:rsidR="008243CA">
        <w:t xml:space="preserve"> </w:t>
      </w:r>
      <w:r w:rsidRPr="00E62FE6">
        <w:t>advise</w:t>
      </w:r>
      <w:r w:rsidR="008243CA">
        <w:t xml:space="preserve"> </w:t>
      </w:r>
      <w:r w:rsidRPr="00E62FE6">
        <w:t>States</w:t>
      </w:r>
      <w:r w:rsidR="008243CA">
        <w:t xml:space="preserve"> </w:t>
      </w:r>
      <w:r w:rsidRPr="00E62FE6">
        <w:t>parties</w:t>
      </w:r>
      <w:r w:rsidR="008243CA">
        <w:t xml:space="preserve"> </w:t>
      </w:r>
      <w:r w:rsidRPr="00E62FE6">
        <w:t>on</w:t>
      </w:r>
      <w:r w:rsidR="008243CA">
        <w:t xml:space="preserve"> </w:t>
      </w:r>
      <w:r w:rsidRPr="00E62FE6">
        <w:t>the</w:t>
      </w:r>
      <w:r w:rsidR="008243CA">
        <w:t xml:space="preserve"> </w:t>
      </w:r>
      <w:r w:rsidRPr="00E62FE6">
        <w:t>establishment,</w:t>
      </w:r>
      <w:r w:rsidR="008243CA">
        <w:t xml:space="preserve"> </w:t>
      </w:r>
      <w:r w:rsidRPr="00E62FE6">
        <w:t>designation</w:t>
      </w:r>
      <w:r w:rsidR="008243CA">
        <w:t xml:space="preserve"> </w:t>
      </w:r>
      <w:r w:rsidRPr="00E62FE6">
        <w:t>and</w:t>
      </w:r>
      <w:r w:rsidR="008243CA">
        <w:t xml:space="preserve"> </w:t>
      </w:r>
      <w:r w:rsidRPr="00E62FE6">
        <w:t>functioning</w:t>
      </w:r>
      <w:r w:rsidR="008243CA">
        <w:t xml:space="preserve"> </w:t>
      </w:r>
      <w:r w:rsidRPr="00E62FE6">
        <w:t>of</w:t>
      </w:r>
      <w:r w:rsidR="008243CA">
        <w:t xml:space="preserve"> </w:t>
      </w:r>
      <w:r w:rsidRPr="00E62FE6">
        <w:t>national</w:t>
      </w:r>
      <w:r w:rsidR="008243CA">
        <w:t xml:space="preserve"> </w:t>
      </w:r>
      <w:r w:rsidRPr="00E62FE6">
        <w:t>preventive</w:t>
      </w:r>
      <w:r w:rsidR="008243CA">
        <w:t xml:space="preserve"> </w:t>
      </w:r>
      <w:r w:rsidRPr="00E62FE6">
        <w:t>mechanisms,</w:t>
      </w:r>
      <w:r w:rsidR="008243CA">
        <w:t xml:space="preserve"> </w:t>
      </w:r>
      <w:r w:rsidRPr="00E62FE6">
        <w:t>to</w:t>
      </w:r>
      <w:r w:rsidR="008243CA">
        <w:t xml:space="preserve"> </w:t>
      </w:r>
      <w:r w:rsidRPr="00E62FE6">
        <w:t>interpret</w:t>
      </w:r>
      <w:r w:rsidR="008243CA">
        <w:t xml:space="preserve"> </w:t>
      </w:r>
      <w:r w:rsidRPr="00E62FE6">
        <w:t>the</w:t>
      </w:r>
      <w:r w:rsidR="008243CA">
        <w:t xml:space="preserve"> </w:t>
      </w:r>
      <w:r w:rsidRPr="00E62FE6">
        <w:t>provisions</w:t>
      </w:r>
      <w:r w:rsidR="008243CA">
        <w:t xml:space="preserve"> </w:t>
      </w:r>
      <w:r w:rsidRPr="00E62FE6">
        <w:t>of</w:t>
      </w:r>
      <w:r w:rsidR="008243CA">
        <w:t xml:space="preserve"> </w:t>
      </w:r>
      <w:r w:rsidRPr="00E62FE6">
        <w:t>the</w:t>
      </w:r>
      <w:r w:rsidR="008243CA">
        <w:t xml:space="preserve"> </w:t>
      </w:r>
      <w:r w:rsidRPr="00E62FE6">
        <w:t>Optional</w:t>
      </w:r>
      <w:r w:rsidR="008243CA">
        <w:t xml:space="preserve"> </w:t>
      </w:r>
      <w:r w:rsidRPr="00E62FE6">
        <w:t>Protocol</w:t>
      </w:r>
      <w:r w:rsidR="008243CA">
        <w:t xml:space="preserve"> </w:t>
      </w:r>
      <w:r w:rsidRPr="00E62FE6">
        <w:t>and</w:t>
      </w:r>
      <w:r w:rsidR="008243CA">
        <w:t xml:space="preserve"> </w:t>
      </w:r>
      <w:r w:rsidRPr="00E62FE6">
        <w:t>to</w:t>
      </w:r>
      <w:r w:rsidR="008243CA">
        <w:t xml:space="preserve"> </w:t>
      </w:r>
      <w:r w:rsidRPr="00E62FE6">
        <w:t>examine</w:t>
      </w:r>
      <w:r w:rsidR="008243CA">
        <w:t xml:space="preserve"> </w:t>
      </w:r>
      <w:r w:rsidRPr="00E62FE6">
        <w:t>the</w:t>
      </w:r>
      <w:r w:rsidR="008243CA">
        <w:t xml:space="preserve"> </w:t>
      </w:r>
      <w:r w:rsidRPr="00E62FE6">
        <w:t>legislative,</w:t>
      </w:r>
      <w:r w:rsidR="008243CA">
        <w:t xml:space="preserve"> </w:t>
      </w:r>
      <w:r w:rsidRPr="00E62FE6">
        <w:t>administrative,</w:t>
      </w:r>
      <w:r w:rsidR="008243CA">
        <w:t xml:space="preserve"> </w:t>
      </w:r>
      <w:r w:rsidRPr="00E62FE6">
        <w:t>judicial</w:t>
      </w:r>
      <w:r w:rsidR="008243CA">
        <w:t xml:space="preserve"> </w:t>
      </w:r>
      <w:r w:rsidRPr="00E62FE6">
        <w:t>and</w:t>
      </w:r>
      <w:r w:rsidR="008243CA">
        <w:t xml:space="preserve"> </w:t>
      </w:r>
      <w:r w:rsidRPr="00E62FE6">
        <w:t>other</w:t>
      </w:r>
      <w:r w:rsidR="008243CA">
        <w:t xml:space="preserve"> </w:t>
      </w:r>
      <w:r w:rsidRPr="00E62FE6">
        <w:t>preventive</w:t>
      </w:r>
      <w:r w:rsidR="008243CA">
        <w:t xml:space="preserve"> </w:t>
      </w:r>
      <w:r w:rsidRPr="00E62FE6">
        <w:t>measures</w:t>
      </w:r>
      <w:r w:rsidR="008243CA">
        <w:t xml:space="preserve"> </w:t>
      </w:r>
      <w:r w:rsidRPr="00E62FE6">
        <w:t>adopted</w:t>
      </w:r>
      <w:r w:rsidR="008243CA">
        <w:t xml:space="preserve"> </w:t>
      </w:r>
      <w:r w:rsidRPr="00E62FE6">
        <w:t>by</w:t>
      </w:r>
      <w:r w:rsidR="008243CA">
        <w:t xml:space="preserve"> </w:t>
      </w:r>
      <w:r w:rsidRPr="00E62FE6">
        <w:t>States</w:t>
      </w:r>
      <w:r w:rsidR="008243CA">
        <w:t xml:space="preserve"> </w:t>
      </w:r>
      <w:r w:rsidRPr="00E62FE6">
        <w:t>at</w:t>
      </w:r>
      <w:r w:rsidR="008243CA">
        <w:t xml:space="preserve"> </w:t>
      </w:r>
      <w:r w:rsidRPr="00E62FE6">
        <w:t>the</w:t>
      </w:r>
      <w:r w:rsidR="008243CA">
        <w:t xml:space="preserve"> </w:t>
      </w:r>
      <w:r w:rsidRPr="00E62FE6">
        <w:t>local</w:t>
      </w:r>
      <w:r w:rsidR="008243CA">
        <w:t xml:space="preserve"> </w:t>
      </w:r>
      <w:r w:rsidRPr="00E62FE6">
        <w:t>level.</w:t>
      </w:r>
    </w:p>
    <w:p w:rsidR="003F7D03" w:rsidRPr="00E62FE6" w:rsidRDefault="003F7D03" w:rsidP="000C6D98">
      <w:pPr>
        <w:pStyle w:val="SingleTxtG"/>
      </w:pPr>
      <w:r w:rsidRPr="00E62FE6">
        <w:t>4.</w:t>
      </w:r>
      <w:r w:rsidRPr="00E62FE6">
        <w:tab/>
        <w:t>Pursuant</w:t>
      </w:r>
      <w:r w:rsidR="008243CA">
        <w:t xml:space="preserve"> </w:t>
      </w:r>
      <w:r w:rsidRPr="00E62FE6">
        <w:t>to</w:t>
      </w:r>
      <w:r w:rsidR="008243CA">
        <w:t xml:space="preserve"> </w:t>
      </w:r>
      <w:r w:rsidRPr="00E62FE6">
        <w:t>that</w:t>
      </w:r>
      <w:r w:rsidR="008243CA">
        <w:t xml:space="preserve"> </w:t>
      </w:r>
      <w:r w:rsidRPr="00E62FE6">
        <w:t>mandate,</w:t>
      </w:r>
      <w:r w:rsidR="008243CA">
        <w:t xml:space="preserve"> </w:t>
      </w:r>
      <w:r w:rsidRPr="00E62FE6">
        <w:t>on</w:t>
      </w:r>
      <w:r w:rsidR="008243CA">
        <w:t xml:space="preserve"> </w:t>
      </w:r>
      <w:r w:rsidRPr="00E62FE6">
        <w:t>14</w:t>
      </w:r>
      <w:r w:rsidR="008243CA">
        <w:t xml:space="preserve"> </w:t>
      </w:r>
      <w:r w:rsidRPr="00E62FE6">
        <w:t>December</w:t>
      </w:r>
      <w:r w:rsidR="008243CA">
        <w:t xml:space="preserve"> </w:t>
      </w:r>
      <w:r w:rsidRPr="00E62FE6">
        <w:t>2015,</w:t>
      </w:r>
      <w:r w:rsidR="008243CA">
        <w:t xml:space="preserve"> </w:t>
      </w:r>
      <w:r w:rsidRPr="00E62FE6">
        <w:t>the</w:t>
      </w:r>
      <w:r w:rsidR="008243CA">
        <w:t xml:space="preserve"> </w:t>
      </w:r>
      <w:r w:rsidRPr="00E62FE6">
        <w:t>Subcommittee</w:t>
      </w:r>
      <w:r w:rsidR="008243CA">
        <w:t xml:space="preserve"> </w:t>
      </w:r>
      <w:r w:rsidRPr="00E62FE6">
        <w:t>informed</w:t>
      </w:r>
      <w:r w:rsidR="008243CA">
        <w:t xml:space="preserve"> </w:t>
      </w:r>
      <w:r w:rsidRPr="00E62FE6">
        <w:t>the</w:t>
      </w:r>
      <w:r w:rsidR="008243CA">
        <w:t xml:space="preserve"> </w:t>
      </w:r>
      <w:r w:rsidRPr="00E62FE6">
        <w:t>Chilean</w:t>
      </w:r>
      <w:r w:rsidR="008243CA">
        <w:t xml:space="preserve"> </w:t>
      </w:r>
      <w:r w:rsidRPr="00E62FE6">
        <w:t>Government</w:t>
      </w:r>
      <w:r w:rsidR="008243CA">
        <w:t xml:space="preserve"> </w:t>
      </w:r>
      <w:r w:rsidRPr="00E62FE6">
        <w:t>that</w:t>
      </w:r>
      <w:r w:rsidR="008243CA">
        <w:t xml:space="preserve"> </w:t>
      </w:r>
      <w:r w:rsidRPr="00E62FE6">
        <w:t>it</w:t>
      </w:r>
      <w:r w:rsidR="008243CA">
        <w:t xml:space="preserve"> </w:t>
      </w:r>
      <w:r w:rsidRPr="00E62FE6">
        <w:t>planned</w:t>
      </w:r>
      <w:r w:rsidR="008243CA">
        <w:t xml:space="preserve"> </w:t>
      </w:r>
      <w:r w:rsidRPr="00E62FE6">
        <w:t>to</w:t>
      </w:r>
      <w:r w:rsidR="008243CA">
        <w:t xml:space="preserve"> </w:t>
      </w:r>
      <w:r w:rsidRPr="00E62FE6">
        <w:t>visit</w:t>
      </w:r>
      <w:r w:rsidR="008243CA">
        <w:t xml:space="preserve"> </w:t>
      </w:r>
      <w:r w:rsidRPr="00E62FE6">
        <w:t>that</w:t>
      </w:r>
      <w:r w:rsidR="008243CA">
        <w:t xml:space="preserve"> </w:t>
      </w:r>
      <w:r w:rsidRPr="00E62FE6">
        <w:t>country</w:t>
      </w:r>
      <w:r w:rsidR="008243CA">
        <w:t xml:space="preserve"> </w:t>
      </w:r>
      <w:r w:rsidRPr="00E62FE6">
        <w:t>from</w:t>
      </w:r>
      <w:r w:rsidR="008243CA">
        <w:t xml:space="preserve"> </w:t>
      </w:r>
      <w:r w:rsidRPr="00E62FE6">
        <w:t>4</w:t>
      </w:r>
      <w:r w:rsidR="008243CA">
        <w:t xml:space="preserve"> </w:t>
      </w:r>
      <w:r w:rsidRPr="00E62FE6">
        <w:t>to</w:t>
      </w:r>
      <w:r w:rsidR="008243CA">
        <w:t xml:space="preserve"> </w:t>
      </w:r>
      <w:r w:rsidRPr="00E62FE6">
        <w:t>13</w:t>
      </w:r>
      <w:r w:rsidR="008243CA">
        <w:t xml:space="preserve"> </w:t>
      </w:r>
      <w:r w:rsidRPr="00E62FE6">
        <w:t>April</w:t>
      </w:r>
      <w:r w:rsidR="008243CA">
        <w:t xml:space="preserve"> </w:t>
      </w:r>
      <w:r w:rsidRPr="00E62FE6">
        <w:t>2016.</w:t>
      </w:r>
      <w:r w:rsidR="008243CA">
        <w:t xml:space="preserve"> </w:t>
      </w:r>
      <w:r w:rsidRPr="00E62FE6">
        <w:t>Once</w:t>
      </w:r>
      <w:r w:rsidR="008243CA">
        <w:t xml:space="preserve"> </w:t>
      </w:r>
      <w:r w:rsidRPr="00E62FE6">
        <w:t>the</w:t>
      </w:r>
      <w:r w:rsidR="008243CA">
        <w:t xml:space="preserve"> </w:t>
      </w:r>
      <w:r w:rsidRPr="00E62FE6">
        <w:t>Government</w:t>
      </w:r>
      <w:r w:rsidR="008243CA">
        <w:t xml:space="preserve"> </w:t>
      </w:r>
      <w:r w:rsidRPr="00E62FE6">
        <w:t>had</w:t>
      </w:r>
      <w:r w:rsidR="008243CA">
        <w:t xml:space="preserve"> </w:t>
      </w:r>
      <w:r w:rsidRPr="00E62FE6">
        <w:t>been</w:t>
      </w:r>
      <w:r w:rsidR="008243CA">
        <w:t xml:space="preserve"> </w:t>
      </w:r>
      <w:r w:rsidRPr="00E62FE6">
        <w:t>notified,</w:t>
      </w:r>
      <w:r w:rsidR="008243CA">
        <w:t xml:space="preserve"> </w:t>
      </w:r>
      <w:r w:rsidRPr="00E62FE6">
        <w:t>it</w:t>
      </w:r>
      <w:r w:rsidR="008243CA">
        <w:t xml:space="preserve"> </w:t>
      </w:r>
      <w:r w:rsidRPr="00E62FE6">
        <w:t>prepared</w:t>
      </w:r>
      <w:r w:rsidR="008243CA">
        <w:t xml:space="preserve"> </w:t>
      </w:r>
      <w:r w:rsidRPr="00E62FE6">
        <w:t>for</w:t>
      </w:r>
      <w:r w:rsidR="008243CA">
        <w:t xml:space="preserve"> </w:t>
      </w:r>
      <w:r w:rsidRPr="00E62FE6">
        <w:t>the</w:t>
      </w:r>
      <w:r w:rsidR="008243CA">
        <w:t xml:space="preserve"> </w:t>
      </w:r>
      <w:r w:rsidRPr="00E62FE6">
        <w:t>Subcommittee</w:t>
      </w:r>
      <w:r w:rsidR="00116F0B">
        <w:t>’</w:t>
      </w:r>
      <w:r w:rsidRPr="00E62FE6">
        <w:t>s</w:t>
      </w:r>
      <w:r w:rsidR="008243CA">
        <w:t xml:space="preserve"> </w:t>
      </w:r>
      <w:r w:rsidRPr="00E62FE6">
        <w:t>visit</w:t>
      </w:r>
      <w:r w:rsidR="008243CA">
        <w:t xml:space="preserve"> </w:t>
      </w:r>
      <w:r w:rsidRPr="00E62FE6">
        <w:t>by</w:t>
      </w:r>
      <w:r w:rsidR="008243CA">
        <w:t xml:space="preserve"> </w:t>
      </w:r>
      <w:r w:rsidRPr="00E62FE6">
        <w:t>establishing</w:t>
      </w:r>
      <w:r w:rsidR="008243CA">
        <w:t xml:space="preserve"> </w:t>
      </w:r>
      <w:r w:rsidRPr="00E62FE6">
        <w:t>an</w:t>
      </w:r>
      <w:r w:rsidR="008243CA">
        <w:t xml:space="preserve"> </w:t>
      </w:r>
      <w:proofErr w:type="spellStart"/>
      <w:r w:rsidRPr="00E62FE6">
        <w:t>interministerial</w:t>
      </w:r>
      <w:proofErr w:type="spellEnd"/>
      <w:r w:rsidR="008243CA">
        <w:t xml:space="preserve"> </w:t>
      </w:r>
      <w:r w:rsidRPr="00E62FE6">
        <w:t>working</w:t>
      </w:r>
      <w:r w:rsidR="008243CA">
        <w:t xml:space="preserve"> </w:t>
      </w:r>
      <w:r w:rsidRPr="00E62FE6">
        <w:t>group</w:t>
      </w:r>
      <w:r w:rsidR="008243CA">
        <w:t xml:space="preserve"> </w:t>
      </w:r>
      <w:r w:rsidRPr="00E62FE6">
        <w:t>composed</w:t>
      </w:r>
      <w:r w:rsidR="008243CA">
        <w:t xml:space="preserve"> </w:t>
      </w:r>
      <w:r w:rsidRPr="00E62FE6">
        <w:t>of</w:t>
      </w:r>
      <w:r w:rsidR="008243CA">
        <w:t xml:space="preserve"> </w:t>
      </w:r>
      <w:r w:rsidRPr="00E62FE6">
        <w:t>representatives</w:t>
      </w:r>
      <w:r w:rsidR="008243CA">
        <w:t xml:space="preserve"> </w:t>
      </w:r>
      <w:r w:rsidRPr="00E62FE6">
        <w:t>from</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the</w:t>
      </w:r>
      <w:r w:rsidR="008243CA">
        <w:t xml:space="preserve"> </w:t>
      </w:r>
      <w:r w:rsidRPr="00E62FE6">
        <w:t>Interior</w:t>
      </w:r>
      <w:r w:rsidR="008243CA">
        <w:t xml:space="preserve"> </w:t>
      </w:r>
      <w:r w:rsidRPr="00E62FE6">
        <w:t>and</w:t>
      </w:r>
      <w:r w:rsidR="008243CA">
        <w:t xml:space="preserve"> </w:t>
      </w:r>
      <w:r w:rsidRPr="00E62FE6">
        <w:t>Public</w:t>
      </w:r>
      <w:r w:rsidR="008243CA">
        <w:t xml:space="preserve"> </w:t>
      </w:r>
      <w:r w:rsidRPr="00E62FE6">
        <w:t>Security,</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Health,</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Defence,</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Social</w:t>
      </w:r>
      <w:r w:rsidR="008243CA">
        <w:t xml:space="preserve"> </w:t>
      </w:r>
      <w:r w:rsidRPr="00E62FE6">
        <w:t>Development</w:t>
      </w:r>
      <w:r w:rsidR="008243CA">
        <w:t xml:space="preserve"> </w:t>
      </w:r>
      <w:r w:rsidRPr="00E62FE6">
        <w:t>and</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Justice</w:t>
      </w:r>
      <w:r w:rsidR="008243CA">
        <w:t xml:space="preserve"> </w:t>
      </w:r>
      <w:r w:rsidRPr="00E62FE6">
        <w:t>and</w:t>
      </w:r>
      <w:r w:rsidR="008243CA">
        <w:t xml:space="preserve"> </w:t>
      </w:r>
      <w:r w:rsidRPr="00E62FE6">
        <w:t>Human</w:t>
      </w:r>
      <w:r w:rsidR="008243CA">
        <w:t xml:space="preserve"> </w:t>
      </w:r>
      <w:r w:rsidRPr="00E62FE6">
        <w:t>Rights,</w:t>
      </w:r>
      <w:r w:rsidR="008243CA">
        <w:t xml:space="preserve"> </w:t>
      </w:r>
      <w:r w:rsidRPr="00E62FE6">
        <w:t>under</w:t>
      </w:r>
      <w:r w:rsidR="008243CA">
        <w:t xml:space="preserve"> </w:t>
      </w:r>
      <w:r w:rsidRPr="00E62FE6">
        <w:t>the</w:t>
      </w:r>
      <w:r w:rsidR="008243CA">
        <w:t xml:space="preserve"> </w:t>
      </w:r>
      <w:r w:rsidRPr="00E62FE6">
        <w:t>coordination</w:t>
      </w:r>
      <w:r w:rsidR="008243CA">
        <w:t xml:space="preserve"> </w:t>
      </w:r>
      <w:r w:rsidRPr="00E62FE6">
        <w:t>of</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Foreign</w:t>
      </w:r>
      <w:r w:rsidR="008243CA">
        <w:t xml:space="preserve"> </w:t>
      </w:r>
      <w:r w:rsidRPr="00E62FE6">
        <w:t>Affairs.</w:t>
      </w:r>
      <w:r w:rsidR="008243CA">
        <w:t xml:space="preserve"> </w:t>
      </w:r>
      <w:r w:rsidRPr="00E62FE6">
        <w:t>The</w:t>
      </w:r>
      <w:r w:rsidR="008243CA">
        <w:t xml:space="preserve"> </w:t>
      </w:r>
      <w:r w:rsidRPr="00E62FE6">
        <w:t>working</w:t>
      </w:r>
      <w:r w:rsidR="008243CA">
        <w:t xml:space="preserve"> </w:t>
      </w:r>
      <w:r w:rsidRPr="00E62FE6">
        <w:t>group</w:t>
      </w:r>
      <w:r w:rsidR="008243CA">
        <w:t xml:space="preserve"> </w:t>
      </w:r>
      <w:r w:rsidRPr="00E62FE6">
        <w:t>was</w:t>
      </w:r>
      <w:r w:rsidR="008243CA">
        <w:t xml:space="preserve"> </w:t>
      </w:r>
      <w:r w:rsidRPr="00E62FE6">
        <w:t>responsible</w:t>
      </w:r>
      <w:r w:rsidR="008243CA">
        <w:t xml:space="preserve"> </w:t>
      </w:r>
      <w:r w:rsidRPr="00E62FE6">
        <w:t>for</w:t>
      </w:r>
      <w:r w:rsidR="008243CA">
        <w:t xml:space="preserve"> </w:t>
      </w:r>
      <w:r w:rsidRPr="00E62FE6">
        <w:t>coordinating</w:t>
      </w:r>
      <w:r w:rsidR="008243CA">
        <w:t xml:space="preserve"> </w:t>
      </w:r>
      <w:r w:rsidRPr="00E62FE6">
        <w:t>arrangements</w:t>
      </w:r>
      <w:r w:rsidR="008243CA">
        <w:t xml:space="preserve"> </w:t>
      </w:r>
      <w:r w:rsidRPr="00E62FE6">
        <w:t>for</w:t>
      </w:r>
      <w:r w:rsidR="008243CA">
        <w:t xml:space="preserve"> </w:t>
      </w:r>
      <w:r w:rsidRPr="00E62FE6">
        <w:t>the</w:t>
      </w:r>
      <w:r w:rsidR="008243CA">
        <w:t xml:space="preserve"> </w:t>
      </w:r>
      <w:r w:rsidRPr="00E62FE6">
        <w:t>Subcommittee</w:t>
      </w:r>
      <w:r w:rsidR="00116F0B">
        <w:t>’</w:t>
      </w:r>
      <w:r w:rsidRPr="00E62FE6">
        <w:t>s</w:t>
      </w:r>
      <w:r w:rsidR="008243CA">
        <w:t xml:space="preserve"> </w:t>
      </w:r>
      <w:r w:rsidRPr="00E62FE6">
        <w:t>visit</w:t>
      </w:r>
      <w:r w:rsidR="008243CA">
        <w:t xml:space="preserve"> </w:t>
      </w:r>
      <w:r w:rsidRPr="00E62FE6">
        <w:t>by</w:t>
      </w:r>
      <w:r w:rsidR="008243CA">
        <w:t xml:space="preserve"> </w:t>
      </w:r>
      <w:r w:rsidRPr="00E62FE6">
        <w:t>ensuring,</w:t>
      </w:r>
      <w:r w:rsidR="008243CA">
        <w:t xml:space="preserve"> </w:t>
      </w:r>
      <w:r w:rsidRPr="00E62FE6">
        <w:t>for</w:t>
      </w:r>
      <w:r w:rsidR="008243CA">
        <w:t xml:space="preserve"> </w:t>
      </w:r>
      <w:r w:rsidRPr="00E62FE6">
        <w:t>example,</w:t>
      </w:r>
      <w:r w:rsidR="008243CA">
        <w:t xml:space="preserve"> </w:t>
      </w:r>
      <w:r w:rsidRPr="00E62FE6">
        <w:t>that</w:t>
      </w:r>
      <w:r w:rsidR="008243CA">
        <w:t xml:space="preserve"> </w:t>
      </w:r>
      <w:r w:rsidRPr="00E62FE6">
        <w:t>access</w:t>
      </w:r>
      <w:r w:rsidR="008243CA">
        <w:t xml:space="preserve"> </w:t>
      </w:r>
      <w:r w:rsidRPr="00E62FE6">
        <w:t>would</w:t>
      </w:r>
      <w:r w:rsidR="008243CA">
        <w:t xml:space="preserve"> </w:t>
      </w:r>
      <w:r w:rsidRPr="00E62FE6">
        <w:t>be</w:t>
      </w:r>
      <w:r w:rsidR="008243CA">
        <w:t xml:space="preserve"> </w:t>
      </w:r>
      <w:r w:rsidRPr="00E62FE6">
        <w:t>granted</w:t>
      </w:r>
      <w:r w:rsidR="008243CA">
        <w:t xml:space="preserve"> </w:t>
      </w:r>
      <w:r w:rsidRPr="00E62FE6">
        <w:t>to</w:t>
      </w:r>
      <w:r w:rsidR="008243CA">
        <w:t xml:space="preserve"> </w:t>
      </w:r>
      <w:r w:rsidRPr="00E62FE6">
        <w:t>places</w:t>
      </w:r>
      <w:r w:rsidR="008243CA">
        <w:t xml:space="preserve"> </w:t>
      </w:r>
      <w:r w:rsidRPr="00E62FE6">
        <w:t>of</w:t>
      </w:r>
      <w:r w:rsidR="008243CA">
        <w:t xml:space="preserve"> </w:t>
      </w:r>
      <w:r w:rsidRPr="00E62FE6">
        <w:t>detention,</w:t>
      </w:r>
      <w:r w:rsidR="008243CA">
        <w:t xml:space="preserve"> </w:t>
      </w:r>
      <w:r w:rsidRPr="00E62FE6">
        <w:t>statistics</w:t>
      </w:r>
      <w:r w:rsidR="008243CA">
        <w:t xml:space="preserve"> </w:t>
      </w:r>
      <w:r w:rsidRPr="00E62FE6">
        <w:t>on</w:t>
      </w:r>
      <w:r w:rsidR="008243CA">
        <w:t xml:space="preserve"> </w:t>
      </w:r>
      <w:r w:rsidRPr="00E62FE6">
        <w:t>places</w:t>
      </w:r>
      <w:r w:rsidR="008243CA">
        <w:t xml:space="preserve"> </w:t>
      </w:r>
      <w:r w:rsidRPr="00E62FE6">
        <w:t>of</w:t>
      </w:r>
      <w:r w:rsidR="008243CA">
        <w:t xml:space="preserve"> </w:t>
      </w:r>
      <w:r w:rsidRPr="00E62FE6">
        <w:t>detention,</w:t>
      </w:r>
      <w:r w:rsidR="008243CA">
        <w:t xml:space="preserve"> </w:t>
      </w:r>
      <w:r w:rsidRPr="00E62FE6">
        <w:t>national</w:t>
      </w:r>
      <w:r w:rsidR="008243CA">
        <w:t xml:space="preserve"> </w:t>
      </w:r>
      <w:r w:rsidRPr="00E62FE6">
        <w:t>legislation</w:t>
      </w:r>
      <w:r w:rsidR="008243CA">
        <w:t xml:space="preserve"> </w:t>
      </w:r>
      <w:r w:rsidRPr="00E62FE6">
        <w:t>on</w:t>
      </w:r>
      <w:r w:rsidR="008243CA">
        <w:t xml:space="preserve"> </w:t>
      </w:r>
      <w:r w:rsidRPr="00E62FE6">
        <w:t>torture</w:t>
      </w:r>
      <w:r w:rsidR="008243CA">
        <w:t xml:space="preserve"> </w:t>
      </w:r>
      <w:r w:rsidRPr="00E62FE6">
        <w:t>and</w:t>
      </w:r>
      <w:r w:rsidR="008243CA">
        <w:t xml:space="preserve"> </w:t>
      </w:r>
      <w:r w:rsidRPr="00E62FE6">
        <w:t>any</w:t>
      </w:r>
      <w:r w:rsidR="008243CA">
        <w:t xml:space="preserve"> </w:t>
      </w:r>
      <w:r w:rsidRPr="00E62FE6">
        <w:t>information</w:t>
      </w:r>
      <w:r w:rsidR="008243CA">
        <w:t xml:space="preserve"> </w:t>
      </w:r>
      <w:r w:rsidRPr="00E62FE6">
        <w:t>needed</w:t>
      </w:r>
      <w:r w:rsidR="008243CA">
        <w:t xml:space="preserve"> </w:t>
      </w:r>
      <w:r w:rsidRPr="00E62FE6">
        <w:t>to</w:t>
      </w:r>
      <w:r w:rsidR="008243CA">
        <w:t xml:space="preserve"> </w:t>
      </w:r>
      <w:r w:rsidRPr="00E62FE6">
        <w:t>enable</w:t>
      </w:r>
      <w:r w:rsidR="008243CA">
        <w:t xml:space="preserve"> </w:t>
      </w:r>
      <w:r w:rsidRPr="00E62FE6">
        <w:t>the</w:t>
      </w:r>
      <w:r w:rsidR="008243CA">
        <w:t xml:space="preserve"> </w:t>
      </w:r>
      <w:r w:rsidRPr="00E62FE6">
        <w:t>Subcommittee</w:t>
      </w:r>
      <w:r w:rsidR="008243CA">
        <w:t xml:space="preserve"> </w:t>
      </w:r>
      <w:r w:rsidRPr="00E62FE6">
        <w:t>to</w:t>
      </w:r>
      <w:r w:rsidR="008243CA">
        <w:t xml:space="preserve"> </w:t>
      </w:r>
      <w:r w:rsidRPr="00E62FE6">
        <w:t>fulfil</w:t>
      </w:r>
      <w:r w:rsidR="008243CA">
        <w:t xml:space="preserve"> </w:t>
      </w:r>
      <w:r w:rsidRPr="00E62FE6">
        <w:t>its</w:t>
      </w:r>
      <w:r w:rsidR="008243CA">
        <w:t xml:space="preserve"> </w:t>
      </w:r>
      <w:r w:rsidRPr="00E62FE6">
        <w:t>mandate.</w:t>
      </w:r>
    </w:p>
    <w:p w:rsidR="003F7D03" w:rsidRPr="00E62FE6" w:rsidRDefault="003F7D03" w:rsidP="000C6D98">
      <w:pPr>
        <w:pStyle w:val="SingleTxtG"/>
      </w:pPr>
      <w:r w:rsidRPr="00E62FE6">
        <w:t>5.</w:t>
      </w:r>
      <w:r w:rsidRPr="00E62FE6">
        <w:tab/>
        <w:t>After</w:t>
      </w:r>
      <w:r w:rsidR="008243CA">
        <w:t xml:space="preserve"> </w:t>
      </w:r>
      <w:r w:rsidRPr="00E62FE6">
        <w:t>its</w:t>
      </w:r>
      <w:r w:rsidR="008243CA">
        <w:t xml:space="preserve"> </w:t>
      </w:r>
      <w:r w:rsidRPr="00E62FE6">
        <w:t>visit,</w:t>
      </w:r>
      <w:r w:rsidR="008243CA">
        <w:t xml:space="preserve"> </w:t>
      </w:r>
      <w:r w:rsidRPr="00E62FE6">
        <w:t>the</w:t>
      </w:r>
      <w:r w:rsidR="008243CA">
        <w:t xml:space="preserve"> </w:t>
      </w:r>
      <w:r w:rsidRPr="00E62FE6">
        <w:t>Subcommittee</w:t>
      </w:r>
      <w:r w:rsidR="008243CA">
        <w:t xml:space="preserve"> </w:t>
      </w:r>
      <w:r w:rsidRPr="00E62FE6">
        <w:t>sent</w:t>
      </w:r>
      <w:r w:rsidR="008243CA">
        <w:t xml:space="preserve"> </w:t>
      </w:r>
      <w:r w:rsidRPr="00E62FE6">
        <w:t>a</w:t>
      </w:r>
      <w:r w:rsidR="008243CA">
        <w:t xml:space="preserve"> </w:t>
      </w:r>
      <w:r w:rsidRPr="00E62FE6">
        <w:t>report</w:t>
      </w:r>
      <w:r w:rsidR="008243CA">
        <w:t xml:space="preserve"> </w:t>
      </w:r>
      <w:r w:rsidRPr="00E62FE6">
        <w:t>containing</w:t>
      </w:r>
      <w:r w:rsidR="008243CA">
        <w:t xml:space="preserve"> </w:t>
      </w:r>
      <w:r w:rsidRPr="00E62FE6">
        <w:t>its</w:t>
      </w:r>
      <w:r w:rsidR="008243CA">
        <w:t xml:space="preserve"> </w:t>
      </w:r>
      <w:r w:rsidRPr="00E62FE6">
        <w:t>observations</w:t>
      </w:r>
      <w:r w:rsidR="008243CA">
        <w:t xml:space="preserve"> </w:t>
      </w:r>
      <w:r w:rsidRPr="00E62FE6">
        <w:t>and</w:t>
      </w:r>
      <w:r w:rsidR="008243CA">
        <w:t xml:space="preserve"> </w:t>
      </w:r>
      <w:r w:rsidRPr="00E62FE6">
        <w:t>recommendations</w:t>
      </w:r>
      <w:r w:rsidR="008243CA">
        <w:t xml:space="preserve"> </w:t>
      </w:r>
      <w:r w:rsidRPr="00E62FE6">
        <w:t>to</w:t>
      </w:r>
      <w:r w:rsidR="008243CA">
        <w:t xml:space="preserve"> </w:t>
      </w:r>
      <w:r w:rsidRPr="00E62FE6">
        <w:t>the</w:t>
      </w:r>
      <w:r w:rsidR="008243CA">
        <w:t xml:space="preserve"> </w:t>
      </w:r>
      <w:r w:rsidRPr="00E62FE6">
        <w:t>Government</w:t>
      </w:r>
      <w:r w:rsidR="008243CA">
        <w:t xml:space="preserve"> </w:t>
      </w:r>
      <w:r w:rsidRPr="00E62FE6">
        <w:t>on</w:t>
      </w:r>
      <w:r w:rsidR="008243CA">
        <w:t xml:space="preserve"> </w:t>
      </w:r>
      <w:r w:rsidRPr="00E62FE6">
        <w:t>27</w:t>
      </w:r>
      <w:r w:rsidR="008243CA">
        <w:t xml:space="preserve"> </w:t>
      </w:r>
      <w:r w:rsidRPr="00E62FE6">
        <w:t>June</w:t>
      </w:r>
      <w:r w:rsidR="008243CA">
        <w:t xml:space="preserve"> </w:t>
      </w:r>
      <w:r w:rsidRPr="00E62FE6">
        <w:t>2016,</w:t>
      </w:r>
      <w:r w:rsidR="008243CA">
        <w:t xml:space="preserve"> </w:t>
      </w:r>
      <w:r w:rsidRPr="00E62FE6">
        <w:t>setting</w:t>
      </w:r>
      <w:r w:rsidR="008243CA">
        <w:t xml:space="preserve"> </w:t>
      </w:r>
      <w:r w:rsidRPr="00E62FE6">
        <w:t>a</w:t>
      </w:r>
      <w:r w:rsidR="008243CA">
        <w:t xml:space="preserve"> </w:t>
      </w:r>
      <w:r w:rsidRPr="00E62FE6">
        <w:t>deadline</w:t>
      </w:r>
      <w:r w:rsidR="008243CA">
        <w:t xml:space="preserve"> </w:t>
      </w:r>
      <w:r w:rsidRPr="00E62FE6">
        <w:t>of</w:t>
      </w:r>
      <w:r w:rsidR="008243CA">
        <w:t xml:space="preserve"> </w:t>
      </w:r>
      <w:r w:rsidRPr="00E62FE6">
        <w:t>six</w:t>
      </w:r>
      <w:r w:rsidR="008243CA">
        <w:t xml:space="preserve"> </w:t>
      </w:r>
      <w:r w:rsidRPr="00E62FE6">
        <w:t>months</w:t>
      </w:r>
      <w:r w:rsidR="008243CA">
        <w:t xml:space="preserve"> </w:t>
      </w:r>
      <w:r w:rsidRPr="00E62FE6">
        <w:t>for</w:t>
      </w:r>
      <w:r w:rsidR="008243CA">
        <w:t xml:space="preserve"> </w:t>
      </w:r>
      <w:r w:rsidRPr="00E62FE6">
        <w:t>the</w:t>
      </w:r>
      <w:r w:rsidR="008243CA">
        <w:t xml:space="preserve"> </w:t>
      </w:r>
      <w:r w:rsidRPr="00E62FE6">
        <w:t>submission</w:t>
      </w:r>
      <w:r w:rsidR="008243CA">
        <w:t xml:space="preserve"> </w:t>
      </w:r>
      <w:r w:rsidRPr="00E62FE6">
        <w:t>of</w:t>
      </w:r>
      <w:r w:rsidR="008243CA">
        <w:t xml:space="preserve"> </w:t>
      </w:r>
      <w:r w:rsidRPr="00E62FE6">
        <w:t>replies</w:t>
      </w:r>
      <w:r w:rsidR="008243CA">
        <w:t xml:space="preserve"> </w:t>
      </w:r>
      <w:r w:rsidRPr="00E62FE6">
        <w:t>to</w:t>
      </w:r>
      <w:r w:rsidR="008243CA">
        <w:t xml:space="preserve"> </w:t>
      </w:r>
      <w:r w:rsidRPr="00E62FE6">
        <w:t>its</w:t>
      </w:r>
      <w:r w:rsidR="008243CA">
        <w:t xml:space="preserve"> </w:t>
      </w:r>
      <w:r w:rsidRPr="00E62FE6">
        <w:t>recommendations.</w:t>
      </w:r>
      <w:r w:rsidRPr="00116F0B">
        <w:rPr>
          <w:rStyle w:val="FootnoteReference"/>
        </w:rPr>
        <w:footnoteReference w:id="4"/>
      </w:r>
      <w:r w:rsidR="008243CA">
        <w:t xml:space="preserve"> </w:t>
      </w:r>
      <w:r w:rsidRPr="00E62FE6">
        <w:t>In</w:t>
      </w:r>
      <w:r w:rsidR="008243CA">
        <w:t xml:space="preserve"> </w:t>
      </w:r>
      <w:r w:rsidRPr="00E62FE6">
        <w:t>order</w:t>
      </w:r>
      <w:r w:rsidR="008243CA">
        <w:t xml:space="preserve"> </w:t>
      </w:r>
      <w:r w:rsidRPr="00E62FE6">
        <w:t>to</w:t>
      </w:r>
      <w:r w:rsidR="008243CA">
        <w:t xml:space="preserve"> </w:t>
      </w:r>
      <w:r w:rsidRPr="00E62FE6">
        <w:t>draft</w:t>
      </w:r>
      <w:r w:rsidR="008243CA">
        <w:t xml:space="preserve"> </w:t>
      </w:r>
      <w:r w:rsidRPr="00E62FE6">
        <w:t>these</w:t>
      </w:r>
      <w:r w:rsidR="008243CA">
        <w:t xml:space="preserve"> </w:t>
      </w:r>
      <w:r w:rsidRPr="00E62FE6">
        <w:t>replies,</w:t>
      </w:r>
      <w:r w:rsidR="008243CA">
        <w:t xml:space="preserve"> </w:t>
      </w:r>
      <w:r w:rsidRPr="00E62FE6">
        <w:t>the</w:t>
      </w:r>
      <w:r w:rsidR="008243CA">
        <w:t xml:space="preserve"> </w:t>
      </w:r>
      <w:r w:rsidRPr="00E62FE6">
        <w:t>Government</w:t>
      </w:r>
      <w:r w:rsidR="008243CA">
        <w:t xml:space="preserve"> </w:t>
      </w:r>
      <w:r w:rsidRPr="00E62FE6">
        <w:t>convened</w:t>
      </w:r>
      <w:r w:rsidR="008243CA">
        <w:t xml:space="preserve"> </w:t>
      </w:r>
      <w:r w:rsidRPr="00E62FE6">
        <w:t>further</w:t>
      </w:r>
      <w:r w:rsidR="008243CA">
        <w:t xml:space="preserve"> </w:t>
      </w:r>
      <w:r w:rsidRPr="00E62FE6">
        <w:t>meetings</w:t>
      </w:r>
      <w:r w:rsidR="008243CA">
        <w:t xml:space="preserve"> </w:t>
      </w:r>
      <w:r w:rsidRPr="00E62FE6">
        <w:t>of</w:t>
      </w:r>
      <w:r w:rsidR="008243CA">
        <w:t xml:space="preserve"> </w:t>
      </w:r>
      <w:r w:rsidRPr="00E62FE6">
        <w:t>the</w:t>
      </w:r>
      <w:r w:rsidR="008243CA">
        <w:t xml:space="preserve"> </w:t>
      </w:r>
      <w:proofErr w:type="spellStart"/>
      <w:r w:rsidRPr="00E62FE6">
        <w:t>interministerial</w:t>
      </w:r>
      <w:proofErr w:type="spellEnd"/>
      <w:r w:rsidR="008243CA">
        <w:t xml:space="preserve"> </w:t>
      </w:r>
      <w:r w:rsidRPr="00E62FE6">
        <w:t>working</w:t>
      </w:r>
      <w:r w:rsidR="008243CA">
        <w:t xml:space="preserve"> </w:t>
      </w:r>
      <w:r w:rsidRPr="00E62FE6">
        <w:t>group</w:t>
      </w:r>
      <w:r w:rsidR="008243CA">
        <w:t xml:space="preserve"> </w:t>
      </w:r>
      <w:r w:rsidRPr="00E62FE6">
        <w:t>composed</w:t>
      </w:r>
      <w:r w:rsidR="008243CA">
        <w:t xml:space="preserve"> </w:t>
      </w:r>
      <w:r w:rsidRPr="00E62FE6">
        <w:t>of</w:t>
      </w:r>
      <w:r w:rsidR="008243CA">
        <w:t xml:space="preserve"> </w:t>
      </w:r>
      <w:r w:rsidRPr="00E62FE6">
        <w:t>focal</w:t>
      </w:r>
      <w:r w:rsidR="008243CA">
        <w:t xml:space="preserve"> </w:t>
      </w:r>
      <w:r w:rsidRPr="00E62FE6">
        <w:t>points</w:t>
      </w:r>
      <w:r w:rsidR="008243CA">
        <w:t xml:space="preserve"> </w:t>
      </w:r>
      <w:r w:rsidRPr="00E62FE6">
        <w:t>from</w:t>
      </w:r>
      <w:r w:rsidR="008243CA">
        <w:t xml:space="preserve"> </w:t>
      </w:r>
      <w:r w:rsidRPr="00E62FE6">
        <w:t>various</w:t>
      </w:r>
      <w:r w:rsidR="008243CA">
        <w:t xml:space="preserve"> </w:t>
      </w:r>
      <w:r w:rsidRPr="00E62FE6">
        <w:t>ministries</w:t>
      </w:r>
      <w:r w:rsidR="008243CA">
        <w:t xml:space="preserve"> </w:t>
      </w:r>
      <w:r w:rsidRPr="00E62FE6">
        <w:t>which</w:t>
      </w:r>
      <w:r w:rsidR="008243CA">
        <w:t xml:space="preserve"> </w:t>
      </w:r>
      <w:r w:rsidRPr="00E62FE6">
        <w:t>had</w:t>
      </w:r>
      <w:r w:rsidR="008243CA">
        <w:t xml:space="preserve"> </w:t>
      </w:r>
      <w:r w:rsidRPr="00E62FE6">
        <w:t>been</w:t>
      </w:r>
      <w:r w:rsidR="008243CA">
        <w:t xml:space="preserve"> </w:t>
      </w:r>
      <w:r w:rsidRPr="00E62FE6">
        <w:t>set</w:t>
      </w:r>
      <w:r w:rsidR="008243CA">
        <w:t xml:space="preserve"> </w:t>
      </w:r>
      <w:r w:rsidRPr="00E62FE6">
        <w:t>up</w:t>
      </w:r>
      <w:r w:rsidR="008243CA">
        <w:t xml:space="preserve"> </w:t>
      </w:r>
      <w:r w:rsidRPr="00E62FE6">
        <w:t>to</w:t>
      </w:r>
      <w:r w:rsidR="008243CA">
        <w:t xml:space="preserve"> </w:t>
      </w:r>
      <w:r w:rsidRPr="00E62FE6">
        <w:t>prepare</w:t>
      </w:r>
      <w:r w:rsidR="008243CA">
        <w:t xml:space="preserve"> </w:t>
      </w:r>
      <w:r w:rsidRPr="00E62FE6">
        <w:t>for</w:t>
      </w:r>
      <w:r w:rsidR="008243CA">
        <w:t xml:space="preserve"> </w:t>
      </w:r>
      <w:r w:rsidRPr="00E62FE6">
        <w:t>the</w:t>
      </w:r>
      <w:r w:rsidR="008243CA">
        <w:t xml:space="preserve"> </w:t>
      </w:r>
      <w:r w:rsidRPr="00E62FE6">
        <w:t>visit</w:t>
      </w:r>
      <w:r w:rsidR="008243CA">
        <w:t xml:space="preserve"> </w:t>
      </w:r>
      <w:r w:rsidRPr="00E62FE6">
        <w:t>in</w:t>
      </w:r>
      <w:r w:rsidR="008243CA">
        <w:t xml:space="preserve"> </w:t>
      </w:r>
      <w:r w:rsidRPr="00E62FE6">
        <w:t>April.</w:t>
      </w:r>
      <w:r w:rsidRPr="00116F0B">
        <w:rPr>
          <w:rStyle w:val="FootnoteReference"/>
        </w:rPr>
        <w:footnoteReference w:id="5"/>
      </w:r>
      <w:bookmarkStart w:id="10" w:name="page6"/>
      <w:bookmarkEnd w:id="10"/>
    </w:p>
    <w:p w:rsidR="003F7D03" w:rsidRPr="00E62FE6" w:rsidRDefault="000C6D98" w:rsidP="000C6D98">
      <w:pPr>
        <w:pStyle w:val="H1G"/>
      </w:pPr>
      <w:r>
        <w:lastRenderedPageBreak/>
        <w:tab/>
      </w:r>
      <w:bookmarkStart w:id="11" w:name="_Toc512870673"/>
      <w:bookmarkStart w:id="12" w:name="_Toc512870835"/>
      <w:r w:rsidR="003F7D03" w:rsidRPr="00E62FE6">
        <w:t>1.1</w:t>
      </w:r>
      <w:r w:rsidR="003F7D03" w:rsidRPr="00E62FE6">
        <w:tab/>
        <w:t>Report</w:t>
      </w:r>
      <w:r w:rsidR="008243CA">
        <w:t xml:space="preserve"> </w:t>
      </w:r>
      <w:r w:rsidR="003F7D03" w:rsidRPr="00E62FE6">
        <w:t>methodology</w:t>
      </w:r>
      <w:r w:rsidR="008243CA">
        <w:t xml:space="preserve"> </w:t>
      </w:r>
      <w:r w:rsidR="003F7D03" w:rsidRPr="00E62FE6">
        <w:t>and</w:t>
      </w:r>
      <w:r w:rsidR="008243CA">
        <w:t xml:space="preserve"> </w:t>
      </w:r>
      <w:r w:rsidR="003F7D03" w:rsidRPr="00E62FE6">
        <w:t>structure</w:t>
      </w:r>
      <w:bookmarkEnd w:id="11"/>
      <w:bookmarkEnd w:id="12"/>
    </w:p>
    <w:p w:rsidR="003F7D03" w:rsidRPr="00E62FE6" w:rsidRDefault="003F7D03" w:rsidP="000C6D98">
      <w:pPr>
        <w:pStyle w:val="SingleTxtG"/>
      </w:pPr>
      <w:r w:rsidRPr="00E62FE6">
        <w:t>6.</w:t>
      </w:r>
      <w:r w:rsidRPr="00E62FE6">
        <w:tab/>
        <w:t>Given</w:t>
      </w:r>
      <w:r w:rsidR="008243CA">
        <w:t xml:space="preserve"> </w:t>
      </w:r>
      <w:r w:rsidRPr="00E62FE6">
        <w:t>the</w:t>
      </w:r>
      <w:r w:rsidR="008243CA">
        <w:t xml:space="preserve"> </w:t>
      </w:r>
      <w:r w:rsidRPr="00E62FE6">
        <w:t>diversity</w:t>
      </w:r>
      <w:r w:rsidR="008243CA">
        <w:t xml:space="preserve"> </w:t>
      </w:r>
      <w:r w:rsidRPr="00E62FE6">
        <w:t>of</w:t>
      </w:r>
      <w:r w:rsidR="008243CA">
        <w:t xml:space="preserve"> </w:t>
      </w:r>
      <w:r w:rsidRPr="00E62FE6">
        <w:t>the</w:t>
      </w:r>
      <w:r w:rsidR="008243CA">
        <w:t xml:space="preserve"> </w:t>
      </w:r>
      <w:r w:rsidRPr="00E62FE6">
        <w:t>Subcommittee</w:t>
      </w:r>
      <w:r w:rsidR="00116F0B">
        <w:t>’</w:t>
      </w:r>
      <w:r w:rsidRPr="00E62FE6">
        <w:t>s</w:t>
      </w:r>
      <w:r w:rsidR="008243CA">
        <w:t xml:space="preserve"> </w:t>
      </w:r>
      <w:r w:rsidRPr="00E62FE6">
        <w:t>recommendations</w:t>
      </w:r>
      <w:r w:rsidR="008243CA">
        <w:t xml:space="preserve"> </w:t>
      </w:r>
      <w:r w:rsidRPr="00E62FE6">
        <w:t>and</w:t>
      </w:r>
      <w:r w:rsidR="008243CA">
        <w:t xml:space="preserve"> </w:t>
      </w:r>
      <w:r w:rsidRPr="00E62FE6">
        <w:t>the</w:t>
      </w:r>
      <w:r w:rsidR="008243CA">
        <w:t xml:space="preserve"> </w:t>
      </w:r>
      <w:r w:rsidRPr="00E62FE6">
        <w:t>range</w:t>
      </w:r>
      <w:r w:rsidR="008243CA">
        <w:t xml:space="preserve"> </w:t>
      </w:r>
      <w:r w:rsidRPr="00E62FE6">
        <w:t>of</w:t>
      </w:r>
      <w:r w:rsidR="008243CA">
        <w:t xml:space="preserve"> </w:t>
      </w:r>
      <w:r w:rsidRPr="00E62FE6">
        <w:t>State</w:t>
      </w:r>
      <w:r w:rsidR="008243CA">
        <w:t xml:space="preserve"> </w:t>
      </w:r>
      <w:r w:rsidRPr="00E62FE6">
        <w:t>actors</w:t>
      </w:r>
      <w:r w:rsidR="008243CA">
        <w:t xml:space="preserve"> </w:t>
      </w:r>
      <w:r w:rsidRPr="00E62FE6">
        <w:t>involved</w:t>
      </w:r>
      <w:r w:rsidR="008243CA">
        <w:t xml:space="preserve"> </w:t>
      </w:r>
      <w:r w:rsidRPr="00E62FE6">
        <w:t>in</w:t>
      </w:r>
      <w:r w:rsidR="008243CA">
        <w:t xml:space="preserve"> </w:t>
      </w:r>
      <w:r w:rsidRPr="00E62FE6">
        <w:t>their</w:t>
      </w:r>
      <w:r w:rsidR="008243CA">
        <w:t xml:space="preserve"> </w:t>
      </w:r>
      <w:r w:rsidRPr="00E62FE6">
        <w:t>implementation,</w:t>
      </w:r>
      <w:r w:rsidR="008243CA">
        <w:t xml:space="preserve"> </w:t>
      </w:r>
      <w:r w:rsidRPr="00E62FE6">
        <w:t>when</w:t>
      </w:r>
      <w:r w:rsidR="008243CA">
        <w:t xml:space="preserve"> </w:t>
      </w:r>
      <w:r w:rsidRPr="00E62FE6">
        <w:t>drafting</w:t>
      </w:r>
      <w:r w:rsidR="008243CA">
        <w:t xml:space="preserve"> </w:t>
      </w:r>
      <w:r w:rsidRPr="00E62FE6">
        <w:t>the</w:t>
      </w:r>
      <w:r w:rsidR="008243CA">
        <w:t xml:space="preserve"> </w:t>
      </w:r>
      <w:r w:rsidRPr="00E62FE6">
        <w:t>State</w:t>
      </w:r>
      <w:r w:rsidR="00116F0B">
        <w:t>’</w:t>
      </w:r>
      <w:r w:rsidRPr="00E62FE6">
        <w:t>s</w:t>
      </w:r>
      <w:r w:rsidR="008243CA">
        <w:t xml:space="preserve"> </w:t>
      </w:r>
      <w:r w:rsidRPr="00E62FE6">
        <w:t>replies</w:t>
      </w:r>
      <w:r w:rsidR="008243CA">
        <w:t xml:space="preserve"> </w:t>
      </w:r>
      <w:r w:rsidRPr="00E62FE6">
        <w:t>it</w:t>
      </w:r>
      <w:r w:rsidR="008243CA">
        <w:t xml:space="preserve"> </w:t>
      </w:r>
      <w:r w:rsidRPr="00E62FE6">
        <w:t>was</w:t>
      </w:r>
      <w:r w:rsidR="008243CA">
        <w:t xml:space="preserve"> </w:t>
      </w:r>
      <w:r w:rsidRPr="00E62FE6">
        <w:t>important</w:t>
      </w:r>
      <w:r w:rsidR="008243CA">
        <w:t xml:space="preserve"> </w:t>
      </w:r>
      <w:r w:rsidRPr="00E62FE6">
        <w:t>to</w:t>
      </w:r>
      <w:r w:rsidR="008243CA">
        <w:t xml:space="preserve"> </w:t>
      </w:r>
      <w:r w:rsidRPr="00E62FE6">
        <w:t>work</w:t>
      </w:r>
      <w:r w:rsidR="008243CA">
        <w:t xml:space="preserve"> </w:t>
      </w:r>
      <w:r w:rsidRPr="00E62FE6">
        <w:t>systematically</w:t>
      </w:r>
      <w:r w:rsidR="008243CA">
        <w:t xml:space="preserve"> </w:t>
      </w:r>
      <w:r w:rsidRPr="00E62FE6">
        <w:t>and</w:t>
      </w:r>
      <w:r w:rsidR="008243CA">
        <w:t xml:space="preserve"> </w:t>
      </w:r>
      <w:r w:rsidRPr="00E62FE6">
        <w:t>to</w:t>
      </w:r>
      <w:r w:rsidR="008243CA">
        <w:t xml:space="preserve"> </w:t>
      </w:r>
      <w:r w:rsidRPr="00E62FE6">
        <w:t>follow</w:t>
      </w:r>
      <w:r w:rsidR="008243CA">
        <w:t xml:space="preserve"> </w:t>
      </w:r>
      <w:r w:rsidRPr="00E62FE6">
        <w:t>a</w:t>
      </w:r>
      <w:r w:rsidR="008243CA">
        <w:t xml:space="preserve"> </w:t>
      </w:r>
      <w:r w:rsidRPr="00E62FE6">
        <w:t>clear</w:t>
      </w:r>
      <w:r w:rsidR="008243CA">
        <w:t xml:space="preserve"> </w:t>
      </w:r>
      <w:r w:rsidRPr="00E62FE6">
        <w:t>methodology,</w:t>
      </w:r>
      <w:r w:rsidR="008243CA">
        <w:t xml:space="preserve"> </w:t>
      </w:r>
      <w:r w:rsidRPr="00E62FE6">
        <w:t>organizing</w:t>
      </w:r>
      <w:r w:rsidR="008243CA">
        <w:t xml:space="preserve"> </w:t>
      </w:r>
      <w:r w:rsidRPr="00E62FE6">
        <w:t>the</w:t>
      </w:r>
      <w:r w:rsidR="008243CA">
        <w:t xml:space="preserve"> </w:t>
      </w:r>
      <w:r w:rsidRPr="00E62FE6">
        <w:t>information</w:t>
      </w:r>
      <w:r w:rsidR="008243CA">
        <w:t xml:space="preserve"> </w:t>
      </w:r>
      <w:r w:rsidRPr="00E62FE6">
        <w:t>that</w:t>
      </w:r>
      <w:r w:rsidR="008243CA">
        <w:t xml:space="preserve"> </w:t>
      </w:r>
      <w:r w:rsidRPr="00E62FE6">
        <w:t>was</w:t>
      </w:r>
      <w:r w:rsidR="008243CA">
        <w:t xml:space="preserve"> </w:t>
      </w:r>
      <w:r w:rsidRPr="00E62FE6">
        <w:t>gathered</w:t>
      </w:r>
      <w:r w:rsidR="008243CA">
        <w:t xml:space="preserve"> </w:t>
      </w:r>
      <w:r w:rsidRPr="00E62FE6">
        <w:t>and</w:t>
      </w:r>
      <w:r w:rsidR="008243CA">
        <w:t xml:space="preserve"> </w:t>
      </w:r>
      <w:r w:rsidRPr="00E62FE6">
        <w:t>coordinating</w:t>
      </w:r>
      <w:r w:rsidR="008243CA">
        <w:t xml:space="preserve"> </w:t>
      </w:r>
      <w:r w:rsidRPr="00E62FE6">
        <w:t>the</w:t>
      </w:r>
      <w:r w:rsidR="008243CA">
        <w:t xml:space="preserve"> </w:t>
      </w:r>
      <w:r w:rsidRPr="00E62FE6">
        <w:t>measures</w:t>
      </w:r>
      <w:r w:rsidR="008243CA">
        <w:t xml:space="preserve"> </w:t>
      </w:r>
      <w:r w:rsidRPr="00E62FE6">
        <w:t>that</w:t>
      </w:r>
      <w:r w:rsidR="008243CA">
        <w:t xml:space="preserve"> </w:t>
      </w:r>
      <w:r w:rsidRPr="00E62FE6">
        <w:t>would</w:t>
      </w:r>
      <w:r w:rsidR="008243CA">
        <w:t xml:space="preserve"> </w:t>
      </w:r>
      <w:r w:rsidRPr="00E62FE6">
        <w:t>be</w:t>
      </w:r>
      <w:r w:rsidR="008243CA">
        <w:t xml:space="preserve"> </w:t>
      </w:r>
      <w:r w:rsidRPr="00E62FE6">
        <w:t>taken</w:t>
      </w:r>
      <w:r w:rsidR="008243CA">
        <w:t xml:space="preserve"> </w:t>
      </w:r>
      <w:r w:rsidRPr="00E62FE6">
        <w:t>to</w:t>
      </w:r>
      <w:r w:rsidR="008243CA">
        <w:t xml:space="preserve"> </w:t>
      </w:r>
      <w:r w:rsidRPr="00E62FE6">
        <w:t>implement</w:t>
      </w:r>
      <w:r w:rsidR="008243CA">
        <w:t xml:space="preserve"> </w:t>
      </w:r>
      <w:r w:rsidRPr="00E62FE6">
        <w:t>the</w:t>
      </w:r>
      <w:r w:rsidR="008243CA">
        <w:t xml:space="preserve"> </w:t>
      </w:r>
      <w:r w:rsidRPr="00E62FE6">
        <w:t>recommendations.</w:t>
      </w:r>
      <w:r w:rsidR="008243CA">
        <w:t xml:space="preserve"> </w:t>
      </w:r>
      <w:r w:rsidRPr="00E62FE6">
        <w:t>With</w:t>
      </w:r>
      <w:r w:rsidR="008243CA">
        <w:t xml:space="preserve"> </w:t>
      </w:r>
      <w:r w:rsidRPr="00E62FE6">
        <w:t>that</w:t>
      </w:r>
      <w:r w:rsidR="008243CA">
        <w:t xml:space="preserve"> </w:t>
      </w:r>
      <w:r w:rsidRPr="00E62FE6">
        <w:t>in</w:t>
      </w:r>
      <w:r w:rsidR="008243CA">
        <w:t xml:space="preserve"> </w:t>
      </w:r>
      <w:r w:rsidRPr="00E62FE6">
        <w:t>mind,</w:t>
      </w:r>
      <w:r w:rsidR="008243CA">
        <w:t xml:space="preserve"> </w:t>
      </w:r>
      <w:r w:rsidRPr="00E62FE6">
        <w:t>the</w:t>
      </w:r>
      <w:r w:rsidR="008243CA">
        <w:t xml:space="preserve"> </w:t>
      </w:r>
      <w:r w:rsidRPr="00E62FE6">
        <w:t>recommendations</w:t>
      </w:r>
      <w:r w:rsidR="008243CA">
        <w:t xml:space="preserve"> </w:t>
      </w:r>
      <w:r w:rsidRPr="00E62FE6">
        <w:t>were</w:t>
      </w:r>
      <w:r w:rsidR="008243CA">
        <w:t xml:space="preserve"> </w:t>
      </w:r>
      <w:r w:rsidRPr="00E62FE6">
        <w:t>classified</w:t>
      </w:r>
      <w:r w:rsidR="008243CA">
        <w:t xml:space="preserve"> </w:t>
      </w:r>
      <w:r w:rsidRPr="00E62FE6">
        <w:t>on</w:t>
      </w:r>
      <w:r w:rsidR="008243CA">
        <w:t xml:space="preserve"> </w:t>
      </w:r>
      <w:r w:rsidRPr="00E62FE6">
        <w:t>the</w:t>
      </w:r>
      <w:r w:rsidR="008243CA">
        <w:t xml:space="preserve"> </w:t>
      </w:r>
      <w:r w:rsidRPr="00E62FE6">
        <w:t>basis</w:t>
      </w:r>
      <w:r w:rsidR="008243CA">
        <w:t xml:space="preserve"> </w:t>
      </w:r>
      <w:r w:rsidRPr="00E62FE6">
        <w:t>of</w:t>
      </w:r>
      <w:r w:rsidR="008243CA">
        <w:t xml:space="preserve"> </w:t>
      </w:r>
      <w:r w:rsidRPr="00E62FE6">
        <w:t>three</w:t>
      </w:r>
      <w:r w:rsidR="008243CA">
        <w:t xml:space="preserve"> </w:t>
      </w:r>
      <w:r w:rsidRPr="00E62FE6">
        <w:t>criteria:</w:t>
      </w:r>
      <w:r w:rsidR="008243CA">
        <w:t xml:space="preserve"> </w:t>
      </w:r>
      <w:r w:rsidRPr="00E62FE6">
        <w:t>the</w:t>
      </w:r>
      <w:r w:rsidR="008243CA">
        <w:t xml:space="preserve"> </w:t>
      </w:r>
      <w:r w:rsidRPr="00E62FE6">
        <w:t>entity</w:t>
      </w:r>
      <w:r w:rsidR="008243CA">
        <w:t xml:space="preserve"> </w:t>
      </w:r>
      <w:r w:rsidRPr="00E62FE6">
        <w:t>responsible</w:t>
      </w:r>
      <w:r w:rsidR="008243CA">
        <w:t xml:space="preserve"> </w:t>
      </w:r>
      <w:r w:rsidRPr="00E62FE6">
        <w:t>(ministry</w:t>
      </w:r>
      <w:r w:rsidR="008243CA">
        <w:t xml:space="preserve"> </w:t>
      </w:r>
      <w:r w:rsidRPr="00E62FE6">
        <w:t>or</w:t>
      </w:r>
      <w:r w:rsidR="008243CA">
        <w:t xml:space="preserve"> </w:t>
      </w:r>
      <w:r w:rsidRPr="00E62FE6">
        <w:t>service),</w:t>
      </w:r>
      <w:r w:rsidR="008243CA">
        <w:t xml:space="preserve"> </w:t>
      </w:r>
      <w:r w:rsidRPr="00E62FE6">
        <w:t>the</w:t>
      </w:r>
      <w:r w:rsidR="008243CA">
        <w:t xml:space="preserve"> </w:t>
      </w:r>
      <w:r w:rsidRPr="00E62FE6">
        <w:t>type</w:t>
      </w:r>
      <w:r w:rsidR="008243CA">
        <w:t xml:space="preserve"> </w:t>
      </w:r>
      <w:r w:rsidRPr="00E62FE6">
        <w:t>of</w:t>
      </w:r>
      <w:r w:rsidR="008243CA">
        <w:t xml:space="preserve"> </w:t>
      </w:r>
      <w:r w:rsidRPr="00E62FE6">
        <w:t>recommendation</w:t>
      </w:r>
      <w:r w:rsidR="008243CA">
        <w:t xml:space="preserve"> </w:t>
      </w:r>
      <w:r w:rsidRPr="00E62FE6">
        <w:t>(legislative</w:t>
      </w:r>
      <w:r w:rsidR="008243CA">
        <w:t xml:space="preserve"> </w:t>
      </w:r>
      <w:r w:rsidRPr="00E62FE6">
        <w:t>or</w:t>
      </w:r>
      <w:r w:rsidR="008243CA">
        <w:t xml:space="preserve"> </w:t>
      </w:r>
      <w:r w:rsidRPr="00E62FE6">
        <w:t>administrative</w:t>
      </w:r>
      <w:r w:rsidR="008243CA">
        <w:t xml:space="preserve"> </w:t>
      </w:r>
      <w:r w:rsidRPr="00E62FE6">
        <w:t>measures)</w:t>
      </w:r>
      <w:r w:rsidR="008243CA">
        <w:t xml:space="preserve"> </w:t>
      </w:r>
      <w:r w:rsidRPr="00E62FE6">
        <w:t>and</w:t>
      </w:r>
      <w:r w:rsidR="008243CA">
        <w:t xml:space="preserve"> </w:t>
      </w:r>
      <w:r w:rsidRPr="00E62FE6">
        <w:t>lastly,</w:t>
      </w:r>
      <w:r w:rsidR="008243CA">
        <w:t xml:space="preserve"> </w:t>
      </w:r>
      <w:r w:rsidRPr="00E62FE6">
        <w:t>the</w:t>
      </w:r>
      <w:r w:rsidR="008243CA">
        <w:t xml:space="preserve"> </w:t>
      </w:r>
      <w:r w:rsidRPr="00E62FE6">
        <w:t>time</w:t>
      </w:r>
      <w:r w:rsidR="008243CA">
        <w:t xml:space="preserve"> </w:t>
      </w:r>
      <w:r w:rsidRPr="00E62FE6">
        <w:t>frame</w:t>
      </w:r>
      <w:r w:rsidR="008243CA">
        <w:t xml:space="preserve"> </w:t>
      </w:r>
      <w:r w:rsidRPr="00E62FE6">
        <w:t>for</w:t>
      </w:r>
      <w:r w:rsidR="008243CA">
        <w:t xml:space="preserve"> </w:t>
      </w:r>
      <w:r w:rsidRPr="00E62FE6">
        <w:t>implementation:</w:t>
      </w:r>
      <w:r w:rsidR="008243CA">
        <w:t xml:space="preserve"> </w:t>
      </w:r>
      <w:r w:rsidRPr="00E62FE6">
        <w:t>short</w:t>
      </w:r>
      <w:r w:rsidR="008243CA">
        <w:t xml:space="preserve"> </w:t>
      </w:r>
      <w:r w:rsidRPr="00E62FE6">
        <w:t>term,</w:t>
      </w:r>
      <w:r w:rsidRPr="00116F0B">
        <w:rPr>
          <w:rStyle w:val="FootnoteReference"/>
        </w:rPr>
        <w:footnoteReference w:id="6"/>
      </w:r>
      <w:r w:rsidR="008243CA">
        <w:t xml:space="preserve"> </w:t>
      </w:r>
      <w:r w:rsidRPr="00E62FE6">
        <w:t>medium</w:t>
      </w:r>
      <w:r w:rsidR="008243CA">
        <w:t xml:space="preserve"> </w:t>
      </w:r>
      <w:r w:rsidRPr="00E62FE6">
        <w:t>term</w:t>
      </w:r>
      <w:r w:rsidRPr="00116F0B">
        <w:rPr>
          <w:rStyle w:val="FootnoteReference"/>
        </w:rPr>
        <w:footnoteReference w:id="7"/>
      </w:r>
      <w:r w:rsidR="008243CA">
        <w:t xml:space="preserve"> </w:t>
      </w:r>
      <w:r w:rsidRPr="00E62FE6">
        <w:t>or</w:t>
      </w:r>
      <w:r w:rsidR="008243CA">
        <w:t xml:space="preserve"> </w:t>
      </w:r>
      <w:r w:rsidRPr="00E62FE6">
        <w:t>long</w:t>
      </w:r>
      <w:r w:rsidR="008243CA">
        <w:t xml:space="preserve"> </w:t>
      </w:r>
      <w:r w:rsidRPr="00E62FE6">
        <w:t>term</w:t>
      </w:r>
      <w:r w:rsidRPr="00116F0B">
        <w:rPr>
          <w:rStyle w:val="FootnoteReference"/>
        </w:rPr>
        <w:footnoteReference w:id="8"/>
      </w:r>
      <w:r w:rsidR="008243CA">
        <w:t xml:space="preserve"> </w:t>
      </w:r>
      <w:r w:rsidRPr="00E62FE6">
        <w:t>(see</w:t>
      </w:r>
      <w:r w:rsidR="008243CA">
        <w:t xml:space="preserve"> </w:t>
      </w:r>
      <w:r w:rsidRPr="00E62FE6">
        <w:t>chart).</w:t>
      </w:r>
    </w:p>
    <w:p w:rsidR="003F7D03" w:rsidRPr="00E62FE6" w:rsidRDefault="003F7D03" w:rsidP="008E688E">
      <w:pPr>
        <w:pStyle w:val="SingleTxtG"/>
        <w:spacing w:before="240" w:after="0"/>
      </w:pPr>
      <w:r w:rsidRPr="00E62FE6">
        <w:t>Chart</w:t>
      </w:r>
      <w:r w:rsidR="008243CA">
        <w:t xml:space="preserve"> </w:t>
      </w:r>
      <w:r w:rsidRPr="00E62FE6">
        <w:t>1</w:t>
      </w:r>
      <w:r w:rsidR="008243CA">
        <w:t xml:space="preserve"> </w:t>
      </w:r>
    </w:p>
    <w:p w:rsidR="003F7D03" w:rsidRPr="008E688E" w:rsidRDefault="008E688E" w:rsidP="008E688E">
      <w:pPr>
        <w:pStyle w:val="SingleTxtG"/>
        <w:spacing w:after="0"/>
        <w:rPr>
          <w:b/>
          <w:bCs/>
        </w:rPr>
      </w:pPr>
      <w:r>
        <w:rPr>
          <w:b/>
          <w:bCs/>
        </w:rPr>
        <w:t>Classification</w:t>
      </w:r>
      <w:r w:rsidR="008243CA">
        <w:rPr>
          <w:b/>
          <w:bCs/>
        </w:rPr>
        <w:t xml:space="preserve"> </w:t>
      </w:r>
      <w:r>
        <w:rPr>
          <w:b/>
          <w:bCs/>
        </w:rPr>
        <w:t>of</w:t>
      </w:r>
      <w:r w:rsidR="008243CA">
        <w:rPr>
          <w:b/>
          <w:bCs/>
        </w:rPr>
        <w:t xml:space="preserve"> </w:t>
      </w:r>
      <w:r w:rsidR="003F7D03" w:rsidRPr="008E688E">
        <w:rPr>
          <w:b/>
          <w:bCs/>
        </w:rPr>
        <w:t>recommendations</w:t>
      </w:r>
      <w:r w:rsidR="008243CA">
        <w:rPr>
          <w:b/>
          <w:bCs/>
        </w:rPr>
        <w:t xml:space="preserve"> </w:t>
      </w:r>
    </w:p>
    <w:p w:rsidR="003F7D03" w:rsidRDefault="003F7D03" w:rsidP="0031755C">
      <w:pPr>
        <w:pStyle w:val="SingleTxtG"/>
        <w:rPr>
          <w:sz w:val="16"/>
          <w:szCs w:val="16"/>
        </w:rPr>
      </w:pPr>
      <w:r w:rsidRPr="008E688E">
        <w:rPr>
          <w:sz w:val="16"/>
          <w:szCs w:val="16"/>
        </w:rPr>
        <w:t>(Prepared</w:t>
      </w:r>
      <w:r w:rsidR="008243CA">
        <w:rPr>
          <w:sz w:val="16"/>
          <w:szCs w:val="16"/>
        </w:rPr>
        <w:t xml:space="preserve"> </w:t>
      </w:r>
      <w:r w:rsidRPr="008E688E">
        <w:rPr>
          <w:sz w:val="16"/>
          <w:szCs w:val="16"/>
        </w:rPr>
        <w:t>by</w:t>
      </w:r>
      <w:r w:rsidR="008243CA">
        <w:rPr>
          <w:sz w:val="16"/>
          <w:szCs w:val="16"/>
        </w:rPr>
        <w:t xml:space="preserve"> </w:t>
      </w:r>
      <w:r w:rsidRPr="008E688E">
        <w:rPr>
          <w:sz w:val="16"/>
          <w:szCs w:val="16"/>
        </w:rPr>
        <w:t>the</w:t>
      </w:r>
      <w:r w:rsidR="008243CA">
        <w:rPr>
          <w:sz w:val="16"/>
          <w:szCs w:val="16"/>
        </w:rPr>
        <w:t xml:space="preserve"> </w:t>
      </w:r>
      <w:r w:rsidRPr="008E688E">
        <w:rPr>
          <w:sz w:val="16"/>
          <w:szCs w:val="16"/>
        </w:rPr>
        <w:t>author)</w:t>
      </w:r>
    </w:p>
    <w:tbl>
      <w:tblPr>
        <w:tblW w:w="8505" w:type="dxa"/>
        <w:tblInd w:w="1134" w:type="dxa"/>
        <w:tblLayout w:type="fixed"/>
        <w:tblCellMar>
          <w:left w:w="0" w:type="dxa"/>
          <w:right w:w="0" w:type="dxa"/>
        </w:tblCellMar>
        <w:tblLook w:val="0000" w:firstRow="0" w:lastRow="0" w:firstColumn="0" w:lastColumn="0" w:noHBand="0" w:noVBand="0"/>
      </w:tblPr>
      <w:tblGrid>
        <w:gridCol w:w="4319"/>
        <w:gridCol w:w="2202"/>
        <w:gridCol w:w="1984"/>
      </w:tblGrid>
      <w:tr w:rsidR="003E18E0" w:rsidRPr="00EC4E8D" w:rsidTr="004658E2">
        <w:trPr>
          <w:trHeight w:val="244"/>
        </w:trPr>
        <w:tc>
          <w:tcPr>
            <w:tcW w:w="4319" w:type="dxa"/>
            <w:tcBorders>
              <w:top w:val="single" w:sz="8" w:space="0" w:color="auto"/>
              <w:left w:val="single" w:sz="8" w:space="0" w:color="auto"/>
            </w:tcBorders>
            <w:shd w:val="clear" w:color="auto" w:fill="auto"/>
            <w:vAlign w:val="bottom"/>
          </w:tcPr>
          <w:p w:rsidR="003E18E0" w:rsidRPr="00EC4E8D" w:rsidRDefault="003E18E0" w:rsidP="004658E2">
            <w:pPr>
              <w:spacing w:line="243" w:lineRule="exact"/>
              <w:ind w:left="2800"/>
              <w:rPr>
                <w:b/>
                <w:lang w:val="en-CA"/>
              </w:rPr>
            </w:pPr>
            <w:r w:rsidRPr="00EC4E8D">
              <w:rPr>
                <w:b/>
                <w:lang w:val="en-CA"/>
              </w:rPr>
              <w:t>Entity</w:t>
            </w:r>
          </w:p>
        </w:tc>
        <w:tc>
          <w:tcPr>
            <w:tcW w:w="2202" w:type="dxa"/>
            <w:tcBorders>
              <w:top w:val="single" w:sz="8" w:space="0" w:color="auto"/>
            </w:tcBorders>
            <w:shd w:val="clear" w:color="auto" w:fill="auto"/>
            <w:vAlign w:val="bottom"/>
          </w:tcPr>
          <w:p w:rsidR="003E18E0" w:rsidRPr="00EC4E8D" w:rsidRDefault="003E18E0" w:rsidP="004658E2">
            <w:pPr>
              <w:spacing w:line="243" w:lineRule="exact"/>
              <w:ind w:left="640"/>
              <w:rPr>
                <w:b/>
                <w:lang w:val="en-CA"/>
              </w:rPr>
            </w:pPr>
            <w:r w:rsidRPr="00EC4E8D">
              <w:rPr>
                <w:b/>
                <w:lang w:val="en-CA"/>
              </w:rPr>
              <w:t>Type</w:t>
            </w:r>
          </w:p>
        </w:tc>
        <w:tc>
          <w:tcPr>
            <w:tcW w:w="1984" w:type="dxa"/>
            <w:tcBorders>
              <w:top w:val="single" w:sz="8" w:space="0" w:color="auto"/>
              <w:right w:val="single" w:sz="8" w:space="0" w:color="auto"/>
            </w:tcBorders>
            <w:shd w:val="clear" w:color="auto" w:fill="auto"/>
            <w:vAlign w:val="bottom"/>
          </w:tcPr>
          <w:p w:rsidR="003E18E0" w:rsidRPr="00EC4E8D" w:rsidRDefault="003E18E0" w:rsidP="004658E2">
            <w:pPr>
              <w:spacing w:line="243" w:lineRule="exact"/>
              <w:ind w:left="640"/>
              <w:rPr>
                <w:b/>
                <w:lang w:val="en-CA"/>
              </w:rPr>
            </w:pPr>
            <w:r w:rsidRPr="00EC4E8D">
              <w:rPr>
                <w:b/>
                <w:lang w:val="en-CA"/>
              </w:rPr>
              <w:t>Time frame</w:t>
            </w:r>
          </w:p>
        </w:tc>
      </w:tr>
      <w:tr w:rsidR="003E18E0" w:rsidRPr="00EC4E8D" w:rsidTr="004658E2">
        <w:trPr>
          <w:trHeight w:val="264"/>
        </w:trPr>
        <w:tc>
          <w:tcPr>
            <w:tcW w:w="4319" w:type="dxa"/>
            <w:tcBorders>
              <w:left w:val="single" w:sz="8" w:space="0" w:color="auto"/>
            </w:tcBorders>
            <w:shd w:val="clear" w:color="auto" w:fill="auto"/>
            <w:vAlign w:val="bottom"/>
          </w:tcPr>
          <w:p w:rsidR="003E18E0" w:rsidRPr="00EC4E8D" w:rsidRDefault="003E18E0" w:rsidP="004658E2">
            <w:pPr>
              <w:spacing w:line="0" w:lineRule="atLeast"/>
              <w:rPr>
                <w:lang w:val="en-CA"/>
              </w:rPr>
            </w:pPr>
          </w:p>
        </w:tc>
        <w:tc>
          <w:tcPr>
            <w:tcW w:w="2202" w:type="dxa"/>
            <w:shd w:val="clear" w:color="auto" w:fill="auto"/>
            <w:vAlign w:val="bottom"/>
          </w:tcPr>
          <w:p w:rsidR="003E18E0" w:rsidRPr="00EC4E8D" w:rsidRDefault="004658E2" w:rsidP="004658E2">
            <w:pPr>
              <w:spacing w:line="252" w:lineRule="exact"/>
              <w:ind w:left="640"/>
              <w:rPr>
                <w:lang w:val="en-CA"/>
              </w:rPr>
            </w:pPr>
            <w:r w:rsidRPr="00EC4E8D">
              <w:rPr>
                <w:noProof/>
                <w:lang w:eastAsia="zh-CN"/>
              </w:rPr>
              <w:drawing>
                <wp:anchor distT="0" distB="0" distL="114300" distR="114300" simplePos="0" relativeHeight="251657216" behindDoc="1" locked="0" layoutInCell="0" allowOverlap="1" wp14:anchorId="0B18CB70" wp14:editId="51414D72">
                  <wp:simplePos x="0" y="0"/>
                  <wp:positionH relativeFrom="column">
                    <wp:posOffset>3011805</wp:posOffset>
                  </wp:positionH>
                  <wp:positionV relativeFrom="paragraph">
                    <wp:posOffset>53975</wp:posOffset>
                  </wp:positionV>
                  <wp:extent cx="774065" cy="426085"/>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065" cy="426085"/>
                          </a:xfrm>
                          <a:prstGeom prst="rect">
                            <a:avLst/>
                          </a:prstGeom>
                          <a:noFill/>
                        </pic:spPr>
                      </pic:pic>
                    </a:graphicData>
                  </a:graphic>
                  <wp14:sizeRelH relativeFrom="page">
                    <wp14:pctWidth>0</wp14:pctWidth>
                  </wp14:sizeRelH>
                  <wp14:sizeRelV relativeFrom="page">
                    <wp14:pctHeight>0</wp14:pctHeight>
                  </wp14:sizeRelV>
                </wp:anchor>
              </w:drawing>
            </w:r>
            <w:r w:rsidR="003E18E0" w:rsidRPr="00EC4E8D">
              <w:rPr>
                <w:lang w:val="en-CA"/>
              </w:rPr>
              <w:t>Legal</w:t>
            </w:r>
          </w:p>
        </w:tc>
        <w:tc>
          <w:tcPr>
            <w:tcW w:w="1984" w:type="dxa"/>
            <w:tcBorders>
              <w:right w:val="single" w:sz="8" w:space="0" w:color="auto"/>
            </w:tcBorders>
            <w:shd w:val="clear" w:color="auto" w:fill="auto"/>
            <w:vAlign w:val="bottom"/>
          </w:tcPr>
          <w:p w:rsidR="003E18E0" w:rsidRPr="00EC4E8D" w:rsidRDefault="003E18E0" w:rsidP="004658E2">
            <w:pPr>
              <w:spacing w:line="0" w:lineRule="atLeast"/>
              <w:rPr>
                <w:lang w:val="en-CA"/>
              </w:rPr>
            </w:pPr>
          </w:p>
        </w:tc>
      </w:tr>
      <w:tr w:rsidR="003E18E0" w:rsidRPr="00EC4E8D" w:rsidTr="004658E2">
        <w:trPr>
          <w:trHeight w:val="252"/>
        </w:trPr>
        <w:tc>
          <w:tcPr>
            <w:tcW w:w="4319" w:type="dxa"/>
            <w:tcBorders>
              <w:left w:val="single" w:sz="8" w:space="0" w:color="auto"/>
            </w:tcBorders>
            <w:shd w:val="clear" w:color="auto" w:fill="auto"/>
            <w:vAlign w:val="bottom"/>
          </w:tcPr>
          <w:p w:rsidR="003E18E0" w:rsidRPr="00EC4E8D" w:rsidRDefault="003E18E0" w:rsidP="004658E2">
            <w:pPr>
              <w:spacing w:line="252" w:lineRule="exact"/>
              <w:ind w:left="2800"/>
              <w:rPr>
                <w:lang w:val="en-CA"/>
              </w:rPr>
            </w:pPr>
            <w:r w:rsidRPr="00EC4E8D">
              <w:rPr>
                <w:lang w:val="en-CA"/>
              </w:rPr>
              <w:t>Ministry</w:t>
            </w:r>
          </w:p>
        </w:tc>
        <w:tc>
          <w:tcPr>
            <w:tcW w:w="2202" w:type="dxa"/>
            <w:shd w:val="clear" w:color="auto" w:fill="auto"/>
            <w:vAlign w:val="bottom"/>
          </w:tcPr>
          <w:p w:rsidR="003E18E0" w:rsidRPr="00EC4E8D" w:rsidRDefault="003E18E0" w:rsidP="004658E2">
            <w:pPr>
              <w:spacing w:line="0" w:lineRule="atLeast"/>
              <w:rPr>
                <w:lang w:val="en-CA"/>
              </w:rPr>
            </w:pPr>
          </w:p>
        </w:tc>
        <w:tc>
          <w:tcPr>
            <w:tcW w:w="1984" w:type="dxa"/>
            <w:tcBorders>
              <w:right w:val="single" w:sz="8" w:space="0" w:color="auto"/>
            </w:tcBorders>
            <w:shd w:val="clear" w:color="auto" w:fill="auto"/>
            <w:vAlign w:val="bottom"/>
          </w:tcPr>
          <w:p w:rsidR="003E18E0" w:rsidRPr="00EC4E8D" w:rsidRDefault="003E18E0" w:rsidP="004658E2">
            <w:pPr>
              <w:spacing w:line="252" w:lineRule="exact"/>
              <w:ind w:left="640"/>
              <w:rPr>
                <w:lang w:val="en-CA"/>
              </w:rPr>
            </w:pPr>
            <w:r w:rsidRPr="00EC4E8D">
              <w:rPr>
                <w:lang w:val="en-CA"/>
              </w:rPr>
              <w:t>Short</w:t>
            </w:r>
          </w:p>
        </w:tc>
      </w:tr>
      <w:tr w:rsidR="003E18E0" w:rsidRPr="00EC4E8D" w:rsidTr="004658E2">
        <w:trPr>
          <w:trHeight w:val="252"/>
        </w:trPr>
        <w:tc>
          <w:tcPr>
            <w:tcW w:w="4319" w:type="dxa"/>
            <w:tcBorders>
              <w:left w:val="single" w:sz="8" w:space="0" w:color="auto"/>
            </w:tcBorders>
            <w:shd w:val="clear" w:color="auto" w:fill="auto"/>
            <w:vAlign w:val="bottom"/>
          </w:tcPr>
          <w:p w:rsidR="003E18E0" w:rsidRPr="00EC4E8D" w:rsidRDefault="004658E2" w:rsidP="004658E2">
            <w:pPr>
              <w:spacing w:line="0" w:lineRule="atLeast"/>
              <w:rPr>
                <w:lang w:val="en-CA"/>
              </w:rPr>
            </w:pPr>
            <w:r w:rsidRPr="00EC4E8D">
              <w:rPr>
                <w:noProof/>
                <w:lang w:eastAsia="zh-CN"/>
              </w:rPr>
              <w:drawing>
                <wp:anchor distT="0" distB="0" distL="114300" distR="114300" simplePos="0" relativeHeight="251653120" behindDoc="1" locked="0" layoutInCell="0" allowOverlap="1" wp14:anchorId="2A1E916A" wp14:editId="71BD6320">
                  <wp:simplePos x="0" y="0"/>
                  <wp:positionH relativeFrom="column">
                    <wp:posOffset>1703070</wp:posOffset>
                  </wp:positionH>
                  <wp:positionV relativeFrom="paragraph">
                    <wp:posOffset>-53340</wp:posOffset>
                  </wp:positionV>
                  <wp:extent cx="515620" cy="6699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620" cy="669925"/>
                          </a:xfrm>
                          <a:prstGeom prst="rect">
                            <a:avLst/>
                          </a:prstGeom>
                          <a:noFill/>
                        </pic:spPr>
                      </pic:pic>
                    </a:graphicData>
                  </a:graphic>
                  <wp14:sizeRelH relativeFrom="page">
                    <wp14:pctWidth>0</wp14:pctWidth>
                  </wp14:sizeRelH>
                  <wp14:sizeRelV relativeFrom="page">
                    <wp14:pctHeight>0</wp14:pctHeight>
                  </wp14:sizeRelV>
                </wp:anchor>
              </w:drawing>
            </w:r>
          </w:p>
        </w:tc>
        <w:tc>
          <w:tcPr>
            <w:tcW w:w="2202" w:type="dxa"/>
            <w:shd w:val="clear" w:color="auto" w:fill="auto"/>
            <w:vAlign w:val="bottom"/>
          </w:tcPr>
          <w:p w:rsidR="003E18E0" w:rsidRPr="00EC4E8D" w:rsidRDefault="003E18E0" w:rsidP="004658E2">
            <w:pPr>
              <w:spacing w:line="252" w:lineRule="exact"/>
              <w:ind w:left="640"/>
              <w:rPr>
                <w:lang w:val="en-CA"/>
              </w:rPr>
            </w:pPr>
            <w:r w:rsidRPr="00EC4E8D">
              <w:rPr>
                <w:lang w:val="en-CA"/>
              </w:rPr>
              <w:t>Administrative</w:t>
            </w:r>
          </w:p>
        </w:tc>
        <w:tc>
          <w:tcPr>
            <w:tcW w:w="1984" w:type="dxa"/>
            <w:tcBorders>
              <w:right w:val="single" w:sz="8" w:space="0" w:color="auto"/>
            </w:tcBorders>
            <w:shd w:val="clear" w:color="auto" w:fill="auto"/>
            <w:vAlign w:val="bottom"/>
          </w:tcPr>
          <w:p w:rsidR="003E18E0" w:rsidRPr="00EC4E8D" w:rsidRDefault="003E18E0" w:rsidP="004658E2">
            <w:pPr>
              <w:spacing w:line="0" w:lineRule="atLeast"/>
              <w:rPr>
                <w:lang w:val="en-CA"/>
              </w:rPr>
            </w:pPr>
          </w:p>
        </w:tc>
      </w:tr>
      <w:tr w:rsidR="003E18E0" w:rsidRPr="00EC4E8D" w:rsidTr="004658E2">
        <w:trPr>
          <w:trHeight w:val="254"/>
        </w:trPr>
        <w:tc>
          <w:tcPr>
            <w:tcW w:w="4319" w:type="dxa"/>
            <w:tcBorders>
              <w:left w:val="single" w:sz="8" w:space="0" w:color="auto"/>
            </w:tcBorders>
            <w:shd w:val="clear" w:color="auto" w:fill="auto"/>
            <w:vAlign w:val="bottom"/>
          </w:tcPr>
          <w:p w:rsidR="003E18E0" w:rsidRPr="00EC4E8D" w:rsidRDefault="003E18E0" w:rsidP="004658E2">
            <w:pPr>
              <w:spacing w:line="252" w:lineRule="exact"/>
              <w:ind w:left="120"/>
              <w:rPr>
                <w:lang w:val="en-CA"/>
              </w:rPr>
            </w:pPr>
            <w:r w:rsidRPr="00EC4E8D">
              <w:rPr>
                <w:lang w:val="en-CA"/>
              </w:rPr>
              <w:t>Recommendation</w:t>
            </w:r>
          </w:p>
        </w:tc>
        <w:tc>
          <w:tcPr>
            <w:tcW w:w="2202" w:type="dxa"/>
            <w:shd w:val="clear" w:color="auto" w:fill="auto"/>
            <w:vAlign w:val="bottom"/>
          </w:tcPr>
          <w:p w:rsidR="003E18E0" w:rsidRPr="00EC4E8D" w:rsidRDefault="003E18E0" w:rsidP="004658E2">
            <w:pPr>
              <w:spacing w:line="0" w:lineRule="atLeast"/>
              <w:rPr>
                <w:lang w:val="en-CA"/>
              </w:rPr>
            </w:pPr>
          </w:p>
        </w:tc>
        <w:tc>
          <w:tcPr>
            <w:tcW w:w="1984" w:type="dxa"/>
            <w:tcBorders>
              <w:right w:val="single" w:sz="8" w:space="0" w:color="auto"/>
            </w:tcBorders>
            <w:shd w:val="clear" w:color="auto" w:fill="auto"/>
            <w:vAlign w:val="bottom"/>
          </w:tcPr>
          <w:p w:rsidR="003E18E0" w:rsidRPr="00EC4E8D" w:rsidRDefault="004658E2" w:rsidP="004658E2">
            <w:pPr>
              <w:spacing w:line="252" w:lineRule="exact"/>
              <w:ind w:left="640"/>
              <w:rPr>
                <w:lang w:val="en-CA"/>
              </w:rPr>
            </w:pPr>
            <w:r w:rsidRPr="00EC4E8D">
              <w:rPr>
                <w:noProof/>
                <w:lang w:eastAsia="zh-CN"/>
              </w:rPr>
              <w:drawing>
                <wp:anchor distT="0" distB="0" distL="114300" distR="114300" simplePos="0" relativeHeight="251660288" behindDoc="1" locked="0" layoutInCell="0" allowOverlap="1" wp14:anchorId="3BAC209A" wp14:editId="556B871D">
                  <wp:simplePos x="0" y="0"/>
                  <wp:positionH relativeFrom="column">
                    <wp:posOffset>4866640</wp:posOffset>
                  </wp:positionH>
                  <wp:positionV relativeFrom="paragraph">
                    <wp:posOffset>-436245</wp:posOffset>
                  </wp:positionV>
                  <wp:extent cx="298450" cy="104140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450" cy="1041400"/>
                          </a:xfrm>
                          <a:prstGeom prst="rect">
                            <a:avLst/>
                          </a:prstGeom>
                          <a:noFill/>
                        </pic:spPr>
                      </pic:pic>
                    </a:graphicData>
                  </a:graphic>
                  <wp14:sizeRelH relativeFrom="page">
                    <wp14:pctWidth>0</wp14:pctWidth>
                  </wp14:sizeRelH>
                  <wp14:sizeRelV relativeFrom="page">
                    <wp14:pctHeight>0</wp14:pctHeight>
                  </wp14:sizeRelV>
                </wp:anchor>
              </w:drawing>
            </w:r>
            <w:r w:rsidR="003E18E0" w:rsidRPr="00EC4E8D">
              <w:rPr>
                <w:lang w:val="en-CA"/>
              </w:rPr>
              <w:t>Medium</w:t>
            </w:r>
          </w:p>
        </w:tc>
      </w:tr>
      <w:tr w:rsidR="003E18E0" w:rsidRPr="00EC4E8D" w:rsidTr="004658E2">
        <w:trPr>
          <w:trHeight w:val="506"/>
        </w:trPr>
        <w:tc>
          <w:tcPr>
            <w:tcW w:w="4319" w:type="dxa"/>
            <w:tcBorders>
              <w:left w:val="single" w:sz="8" w:space="0" w:color="auto"/>
            </w:tcBorders>
            <w:shd w:val="clear" w:color="auto" w:fill="auto"/>
            <w:vAlign w:val="bottom"/>
          </w:tcPr>
          <w:p w:rsidR="003E18E0" w:rsidRPr="00EC4E8D" w:rsidRDefault="003E18E0" w:rsidP="004658E2">
            <w:pPr>
              <w:spacing w:line="252" w:lineRule="exact"/>
              <w:ind w:left="2800"/>
              <w:rPr>
                <w:lang w:val="en-CA"/>
              </w:rPr>
            </w:pPr>
            <w:r w:rsidRPr="00EC4E8D">
              <w:rPr>
                <w:lang w:val="en-CA"/>
              </w:rPr>
              <w:t>Subsidiary</w:t>
            </w:r>
          </w:p>
          <w:p w:rsidR="003E18E0" w:rsidRPr="00EC4E8D" w:rsidRDefault="003E18E0" w:rsidP="004658E2">
            <w:pPr>
              <w:spacing w:line="252" w:lineRule="exact"/>
              <w:ind w:left="2800"/>
              <w:rPr>
                <w:lang w:val="en-CA"/>
              </w:rPr>
            </w:pPr>
            <w:r w:rsidRPr="00EC4E8D">
              <w:rPr>
                <w:lang w:val="en-CA"/>
              </w:rPr>
              <w:t xml:space="preserve">service </w:t>
            </w:r>
          </w:p>
        </w:tc>
        <w:tc>
          <w:tcPr>
            <w:tcW w:w="2202" w:type="dxa"/>
            <w:shd w:val="clear" w:color="auto" w:fill="auto"/>
            <w:vAlign w:val="bottom"/>
          </w:tcPr>
          <w:p w:rsidR="003E18E0" w:rsidRPr="00EC4E8D" w:rsidRDefault="004658E2" w:rsidP="004658E2">
            <w:pPr>
              <w:spacing w:line="252" w:lineRule="exact"/>
              <w:ind w:left="640"/>
              <w:rPr>
                <w:lang w:val="en-CA"/>
              </w:rPr>
            </w:pPr>
            <w:r w:rsidRPr="00EC4E8D">
              <w:rPr>
                <w:noProof/>
                <w:lang w:eastAsia="zh-CN"/>
              </w:rPr>
              <w:drawing>
                <wp:anchor distT="0" distB="0" distL="114300" distR="114300" simplePos="0" relativeHeight="251663360" behindDoc="1" locked="0" layoutInCell="0" allowOverlap="1" wp14:anchorId="642E732D" wp14:editId="650578CF">
                  <wp:simplePos x="0" y="0"/>
                  <wp:positionH relativeFrom="column">
                    <wp:posOffset>3044825</wp:posOffset>
                  </wp:positionH>
                  <wp:positionV relativeFrom="paragraph">
                    <wp:posOffset>202565</wp:posOffset>
                  </wp:positionV>
                  <wp:extent cx="742315" cy="10033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315" cy="100330"/>
                          </a:xfrm>
                          <a:prstGeom prst="rect">
                            <a:avLst/>
                          </a:prstGeom>
                          <a:noFill/>
                        </pic:spPr>
                      </pic:pic>
                    </a:graphicData>
                  </a:graphic>
                  <wp14:sizeRelH relativeFrom="page">
                    <wp14:pctWidth>0</wp14:pctWidth>
                  </wp14:sizeRelH>
                  <wp14:sizeRelV relativeFrom="page">
                    <wp14:pctHeight>0</wp14:pctHeight>
                  </wp14:sizeRelV>
                </wp:anchor>
              </w:drawing>
            </w:r>
            <w:r w:rsidR="003E18E0" w:rsidRPr="00EC4E8D">
              <w:rPr>
                <w:lang w:val="en-CA"/>
              </w:rPr>
              <w:t>Administrative</w:t>
            </w:r>
          </w:p>
        </w:tc>
        <w:tc>
          <w:tcPr>
            <w:tcW w:w="1984" w:type="dxa"/>
            <w:tcBorders>
              <w:right w:val="single" w:sz="8" w:space="0" w:color="auto"/>
            </w:tcBorders>
            <w:shd w:val="clear" w:color="auto" w:fill="auto"/>
            <w:vAlign w:val="bottom"/>
          </w:tcPr>
          <w:p w:rsidR="003E18E0" w:rsidRPr="00EC4E8D" w:rsidRDefault="003E18E0" w:rsidP="004658E2">
            <w:pPr>
              <w:spacing w:line="252" w:lineRule="exact"/>
              <w:ind w:left="640"/>
              <w:rPr>
                <w:lang w:val="en-CA"/>
              </w:rPr>
            </w:pPr>
            <w:r w:rsidRPr="00EC4E8D">
              <w:rPr>
                <w:lang w:val="en-CA"/>
              </w:rPr>
              <w:t>Long</w:t>
            </w:r>
          </w:p>
        </w:tc>
      </w:tr>
      <w:tr w:rsidR="003E18E0" w:rsidRPr="00161045" w:rsidTr="004658E2">
        <w:trPr>
          <w:trHeight w:val="252"/>
        </w:trPr>
        <w:tc>
          <w:tcPr>
            <w:tcW w:w="4319" w:type="dxa"/>
            <w:tcBorders>
              <w:left w:val="single" w:sz="8" w:space="0" w:color="auto"/>
            </w:tcBorders>
            <w:shd w:val="clear" w:color="auto" w:fill="auto"/>
            <w:vAlign w:val="bottom"/>
          </w:tcPr>
          <w:p w:rsidR="003E18E0" w:rsidRPr="00A56114" w:rsidRDefault="003E18E0" w:rsidP="004658E2">
            <w:pPr>
              <w:spacing w:line="252" w:lineRule="exact"/>
              <w:ind w:left="2800"/>
              <w:rPr>
                <w:sz w:val="22"/>
                <w:szCs w:val="22"/>
                <w:lang w:val="en-CA"/>
              </w:rPr>
            </w:pPr>
          </w:p>
        </w:tc>
        <w:tc>
          <w:tcPr>
            <w:tcW w:w="2202" w:type="dxa"/>
            <w:shd w:val="clear" w:color="auto" w:fill="auto"/>
            <w:vAlign w:val="bottom"/>
          </w:tcPr>
          <w:p w:rsidR="003E18E0" w:rsidRPr="00A56114" w:rsidRDefault="003E18E0" w:rsidP="004658E2">
            <w:pPr>
              <w:spacing w:line="0" w:lineRule="atLeast"/>
              <w:rPr>
                <w:sz w:val="22"/>
                <w:szCs w:val="22"/>
                <w:lang w:val="en-CA"/>
              </w:rPr>
            </w:pPr>
          </w:p>
        </w:tc>
        <w:tc>
          <w:tcPr>
            <w:tcW w:w="1984" w:type="dxa"/>
            <w:tcBorders>
              <w:right w:val="single" w:sz="8" w:space="0" w:color="auto"/>
            </w:tcBorders>
            <w:shd w:val="clear" w:color="auto" w:fill="auto"/>
            <w:vAlign w:val="bottom"/>
          </w:tcPr>
          <w:p w:rsidR="003E18E0" w:rsidRPr="00A56114" w:rsidRDefault="003E18E0" w:rsidP="004658E2">
            <w:pPr>
              <w:spacing w:line="0" w:lineRule="atLeast"/>
              <w:rPr>
                <w:sz w:val="22"/>
                <w:szCs w:val="22"/>
                <w:lang w:val="en-CA"/>
              </w:rPr>
            </w:pPr>
          </w:p>
        </w:tc>
      </w:tr>
      <w:tr w:rsidR="003E18E0" w:rsidRPr="00161045" w:rsidTr="004658E2">
        <w:trPr>
          <w:trHeight w:val="278"/>
        </w:trPr>
        <w:tc>
          <w:tcPr>
            <w:tcW w:w="4319" w:type="dxa"/>
            <w:tcBorders>
              <w:left w:val="single" w:sz="8" w:space="0" w:color="auto"/>
              <w:bottom w:val="single" w:sz="8" w:space="0" w:color="auto"/>
            </w:tcBorders>
            <w:shd w:val="clear" w:color="auto" w:fill="auto"/>
            <w:vAlign w:val="bottom"/>
          </w:tcPr>
          <w:p w:rsidR="003E18E0" w:rsidRPr="00A56114" w:rsidRDefault="003E18E0" w:rsidP="004658E2">
            <w:pPr>
              <w:spacing w:line="0" w:lineRule="atLeast"/>
              <w:rPr>
                <w:sz w:val="22"/>
                <w:szCs w:val="22"/>
                <w:lang w:val="en-CA"/>
              </w:rPr>
            </w:pPr>
          </w:p>
        </w:tc>
        <w:tc>
          <w:tcPr>
            <w:tcW w:w="2202" w:type="dxa"/>
            <w:tcBorders>
              <w:bottom w:val="single" w:sz="8" w:space="0" w:color="auto"/>
            </w:tcBorders>
            <w:shd w:val="clear" w:color="auto" w:fill="auto"/>
            <w:vAlign w:val="bottom"/>
          </w:tcPr>
          <w:p w:rsidR="003E18E0" w:rsidRPr="00A56114" w:rsidRDefault="003E18E0" w:rsidP="004658E2">
            <w:pPr>
              <w:spacing w:line="0" w:lineRule="atLeast"/>
              <w:rPr>
                <w:sz w:val="22"/>
                <w:szCs w:val="22"/>
                <w:lang w:val="en-CA"/>
              </w:rPr>
            </w:pPr>
          </w:p>
        </w:tc>
        <w:tc>
          <w:tcPr>
            <w:tcW w:w="1984" w:type="dxa"/>
            <w:tcBorders>
              <w:bottom w:val="single" w:sz="8" w:space="0" w:color="auto"/>
              <w:right w:val="single" w:sz="8" w:space="0" w:color="auto"/>
            </w:tcBorders>
            <w:shd w:val="clear" w:color="auto" w:fill="auto"/>
            <w:vAlign w:val="bottom"/>
          </w:tcPr>
          <w:p w:rsidR="003E18E0" w:rsidRPr="00A56114" w:rsidRDefault="003E18E0" w:rsidP="004658E2">
            <w:pPr>
              <w:spacing w:line="0" w:lineRule="atLeast"/>
              <w:rPr>
                <w:sz w:val="22"/>
                <w:szCs w:val="22"/>
                <w:lang w:val="en-CA"/>
              </w:rPr>
            </w:pPr>
          </w:p>
        </w:tc>
      </w:tr>
    </w:tbl>
    <w:p w:rsidR="003F7D03" w:rsidRPr="00E62FE6" w:rsidRDefault="003F7D03" w:rsidP="0031755C">
      <w:pPr>
        <w:pStyle w:val="SingleTxtG"/>
        <w:spacing w:before="240"/>
      </w:pPr>
      <w:r w:rsidRPr="00E62FE6">
        <w:t>7.</w:t>
      </w:r>
      <w:r w:rsidRPr="00E62FE6">
        <w:tab/>
        <w:t>The</w:t>
      </w:r>
      <w:r w:rsidR="008243CA">
        <w:t xml:space="preserve"> </w:t>
      </w:r>
      <w:r w:rsidRPr="00E62FE6">
        <w:t>present</w:t>
      </w:r>
      <w:r w:rsidR="008243CA">
        <w:t xml:space="preserve"> </w:t>
      </w:r>
      <w:r w:rsidRPr="00E62FE6">
        <w:t>report</w:t>
      </w:r>
      <w:r w:rsidR="008243CA">
        <w:t xml:space="preserve"> </w:t>
      </w:r>
      <w:r w:rsidRPr="00E62FE6">
        <w:t>is</w:t>
      </w:r>
      <w:r w:rsidR="008243CA">
        <w:t xml:space="preserve"> </w:t>
      </w:r>
      <w:r w:rsidRPr="00E62FE6">
        <w:t>a</w:t>
      </w:r>
      <w:r w:rsidR="008243CA">
        <w:t xml:space="preserve"> </w:t>
      </w:r>
      <w:proofErr w:type="spellStart"/>
      <w:r w:rsidRPr="00E62FE6">
        <w:t>workplan</w:t>
      </w:r>
      <w:proofErr w:type="spellEnd"/>
      <w:r w:rsidR="008243CA">
        <w:t xml:space="preserve"> </w:t>
      </w:r>
      <w:r w:rsidRPr="00E62FE6">
        <w:t>that</w:t>
      </w:r>
      <w:r w:rsidR="008243CA">
        <w:t xml:space="preserve"> </w:t>
      </w:r>
      <w:r w:rsidRPr="00E62FE6">
        <w:t>sets</w:t>
      </w:r>
      <w:r w:rsidR="008243CA">
        <w:t xml:space="preserve"> </w:t>
      </w:r>
      <w:r w:rsidRPr="00E62FE6">
        <w:t>forth</w:t>
      </w:r>
      <w:r w:rsidR="008243CA">
        <w:t xml:space="preserve"> </w:t>
      </w:r>
      <w:r w:rsidRPr="00E62FE6">
        <w:t>the</w:t>
      </w:r>
      <w:r w:rsidR="008243CA">
        <w:t xml:space="preserve"> </w:t>
      </w:r>
      <w:r w:rsidRPr="00E62FE6">
        <w:t>measures</w:t>
      </w:r>
      <w:r w:rsidR="008243CA">
        <w:t xml:space="preserve"> </w:t>
      </w:r>
      <w:r w:rsidRPr="00E62FE6">
        <w:t>being</w:t>
      </w:r>
      <w:r w:rsidR="008243CA">
        <w:t xml:space="preserve"> </w:t>
      </w:r>
      <w:r w:rsidRPr="00E62FE6">
        <w:t>taken</w:t>
      </w:r>
      <w:r w:rsidR="008243CA">
        <w:t xml:space="preserve"> </w:t>
      </w:r>
      <w:r w:rsidRPr="00E62FE6">
        <w:t>in</w:t>
      </w:r>
      <w:r w:rsidR="008243CA">
        <w:t xml:space="preserve"> </w:t>
      </w:r>
      <w:r w:rsidRPr="00E62FE6">
        <w:t>response</w:t>
      </w:r>
      <w:r w:rsidR="008243CA">
        <w:t xml:space="preserve"> </w:t>
      </w:r>
      <w:r w:rsidRPr="00E62FE6">
        <w:t>to</w:t>
      </w:r>
      <w:r w:rsidR="008243CA">
        <w:t xml:space="preserve"> </w:t>
      </w:r>
      <w:r w:rsidRPr="00E62FE6">
        <w:t>the</w:t>
      </w:r>
      <w:r w:rsidR="008243CA">
        <w:t xml:space="preserve"> </w:t>
      </w:r>
      <w:r w:rsidRPr="00E62FE6">
        <w:t>Subcommittee</w:t>
      </w:r>
      <w:r w:rsidR="00116F0B">
        <w:t>’</w:t>
      </w:r>
      <w:r w:rsidRPr="00E62FE6">
        <w:t>s</w:t>
      </w:r>
      <w:r w:rsidR="008243CA">
        <w:t xml:space="preserve"> </w:t>
      </w:r>
      <w:r w:rsidRPr="00E62FE6">
        <w:t>recommendations.</w:t>
      </w:r>
      <w:r w:rsidR="008243CA">
        <w:t xml:space="preserve"> </w:t>
      </w:r>
      <w:r w:rsidRPr="00E62FE6">
        <w:t>Since</w:t>
      </w:r>
      <w:r w:rsidR="008243CA">
        <w:t xml:space="preserve"> </w:t>
      </w:r>
      <w:r w:rsidRPr="00E62FE6">
        <w:t>the</w:t>
      </w:r>
      <w:r w:rsidR="008243CA">
        <w:t xml:space="preserve"> </w:t>
      </w:r>
      <w:r w:rsidRPr="00E62FE6">
        <w:t>work</w:t>
      </w:r>
      <w:r w:rsidR="008243CA">
        <w:t xml:space="preserve"> </w:t>
      </w:r>
      <w:r w:rsidRPr="00E62FE6">
        <w:t>consists</w:t>
      </w:r>
      <w:r w:rsidR="008243CA">
        <w:t xml:space="preserve"> </w:t>
      </w:r>
      <w:r w:rsidRPr="00E62FE6">
        <w:t>of</w:t>
      </w:r>
      <w:r w:rsidR="008243CA">
        <w:t xml:space="preserve"> </w:t>
      </w:r>
      <w:r w:rsidRPr="00E62FE6">
        <w:t>short-term,</w:t>
      </w:r>
      <w:r w:rsidR="008243CA">
        <w:t xml:space="preserve"> </w:t>
      </w:r>
      <w:r w:rsidRPr="00E62FE6">
        <w:t>medium-term</w:t>
      </w:r>
      <w:r w:rsidR="008243CA">
        <w:t xml:space="preserve"> </w:t>
      </w:r>
      <w:r w:rsidRPr="00E62FE6">
        <w:t>and</w:t>
      </w:r>
      <w:r w:rsidR="008243CA">
        <w:t xml:space="preserve"> </w:t>
      </w:r>
      <w:r w:rsidRPr="00E62FE6">
        <w:t>long-term</w:t>
      </w:r>
      <w:r w:rsidR="008243CA">
        <w:t xml:space="preserve"> </w:t>
      </w:r>
      <w:r w:rsidRPr="00E62FE6">
        <w:t>measures,</w:t>
      </w:r>
      <w:r w:rsidR="008243CA">
        <w:t xml:space="preserve"> </w:t>
      </w:r>
      <w:r w:rsidRPr="00E62FE6">
        <w:t>it</w:t>
      </w:r>
      <w:r w:rsidR="008243CA">
        <w:t xml:space="preserve"> </w:t>
      </w:r>
      <w:r w:rsidRPr="00E62FE6">
        <w:t>will</w:t>
      </w:r>
      <w:r w:rsidR="008243CA">
        <w:t xml:space="preserve"> </w:t>
      </w:r>
      <w:r w:rsidRPr="00E62FE6">
        <w:t>not</w:t>
      </w:r>
      <w:r w:rsidR="008243CA">
        <w:t xml:space="preserve"> </w:t>
      </w:r>
      <w:r w:rsidRPr="00E62FE6">
        <w:t>end</w:t>
      </w:r>
      <w:r w:rsidR="008243CA">
        <w:t xml:space="preserve"> </w:t>
      </w:r>
      <w:r w:rsidRPr="00E62FE6">
        <w:t>with</w:t>
      </w:r>
      <w:r w:rsidR="008243CA">
        <w:t xml:space="preserve"> </w:t>
      </w:r>
      <w:r w:rsidRPr="00E62FE6">
        <w:t>the</w:t>
      </w:r>
      <w:r w:rsidR="008243CA">
        <w:t xml:space="preserve"> </w:t>
      </w:r>
      <w:r w:rsidRPr="00E62FE6">
        <w:t>submission</w:t>
      </w:r>
      <w:r w:rsidR="008243CA">
        <w:t xml:space="preserve"> </w:t>
      </w:r>
      <w:r w:rsidRPr="00E62FE6">
        <w:t>of</w:t>
      </w:r>
      <w:r w:rsidR="008243CA">
        <w:t xml:space="preserve"> </w:t>
      </w:r>
      <w:r w:rsidRPr="00E62FE6">
        <w:t>this</w:t>
      </w:r>
      <w:r w:rsidR="008243CA">
        <w:t xml:space="preserve"> </w:t>
      </w:r>
      <w:r w:rsidRPr="00E62FE6">
        <w:t>report;</w:t>
      </w:r>
      <w:r w:rsidR="008243CA">
        <w:t xml:space="preserve"> </w:t>
      </w:r>
      <w:r w:rsidRPr="00E62FE6">
        <w:t>the</w:t>
      </w:r>
      <w:r w:rsidR="008243CA">
        <w:t xml:space="preserve"> </w:t>
      </w:r>
      <w:proofErr w:type="spellStart"/>
      <w:r w:rsidRPr="00E62FE6">
        <w:t>interministerial</w:t>
      </w:r>
      <w:proofErr w:type="spellEnd"/>
      <w:r w:rsidR="008243CA">
        <w:t xml:space="preserve"> </w:t>
      </w:r>
      <w:r w:rsidRPr="00E62FE6">
        <w:t>working</w:t>
      </w:r>
      <w:r w:rsidR="008243CA">
        <w:t xml:space="preserve"> </w:t>
      </w:r>
      <w:r w:rsidRPr="00E62FE6">
        <w:t>group</w:t>
      </w:r>
      <w:r w:rsidR="008243CA">
        <w:t xml:space="preserve"> </w:t>
      </w:r>
      <w:r w:rsidRPr="00E62FE6">
        <w:t>will</w:t>
      </w:r>
      <w:r w:rsidR="008243CA">
        <w:t xml:space="preserve"> </w:t>
      </w:r>
      <w:r w:rsidRPr="00E62FE6">
        <w:t>therefore</w:t>
      </w:r>
      <w:r w:rsidR="008243CA">
        <w:t xml:space="preserve"> </w:t>
      </w:r>
      <w:r w:rsidRPr="00E62FE6">
        <w:t>take</w:t>
      </w:r>
      <w:r w:rsidR="008243CA">
        <w:t xml:space="preserve"> </w:t>
      </w:r>
      <w:r w:rsidRPr="00E62FE6">
        <w:t>steps</w:t>
      </w:r>
      <w:r w:rsidR="008243CA">
        <w:t xml:space="preserve"> </w:t>
      </w:r>
      <w:r w:rsidRPr="00E62FE6">
        <w:t>to</w:t>
      </w:r>
      <w:r w:rsidR="008243CA">
        <w:t xml:space="preserve"> </w:t>
      </w:r>
      <w:r w:rsidRPr="00E62FE6">
        <w:t>establish</w:t>
      </w:r>
      <w:r w:rsidR="008243CA">
        <w:t xml:space="preserve"> </w:t>
      </w:r>
      <w:r w:rsidRPr="00E62FE6">
        <w:t>a</w:t>
      </w:r>
      <w:r w:rsidR="008243CA">
        <w:t xml:space="preserve"> </w:t>
      </w:r>
      <w:r w:rsidRPr="00E62FE6">
        <w:t>body</w:t>
      </w:r>
      <w:r w:rsidR="008243CA">
        <w:t xml:space="preserve"> </w:t>
      </w:r>
      <w:r w:rsidRPr="00E62FE6">
        <w:t>to</w:t>
      </w:r>
      <w:r w:rsidR="008243CA">
        <w:t xml:space="preserve"> </w:t>
      </w:r>
      <w:r w:rsidRPr="00E62FE6">
        <w:t>monitor</w:t>
      </w:r>
      <w:r w:rsidR="008243CA">
        <w:t xml:space="preserve"> </w:t>
      </w:r>
      <w:r w:rsidRPr="00E62FE6">
        <w:t>the</w:t>
      </w:r>
      <w:r w:rsidR="008243CA">
        <w:t xml:space="preserve"> </w:t>
      </w:r>
      <w:r w:rsidRPr="00E62FE6">
        <w:t>fulfilment</w:t>
      </w:r>
      <w:r w:rsidR="008243CA">
        <w:t xml:space="preserve"> </w:t>
      </w:r>
      <w:r w:rsidRPr="00E62FE6">
        <w:t>of</w:t>
      </w:r>
      <w:r w:rsidR="008243CA">
        <w:t xml:space="preserve"> </w:t>
      </w:r>
      <w:r w:rsidRPr="00E62FE6">
        <w:t>these</w:t>
      </w:r>
      <w:r w:rsidR="008243CA">
        <w:t xml:space="preserve"> </w:t>
      </w:r>
      <w:r w:rsidRPr="00E62FE6">
        <w:t>commitments,</w:t>
      </w:r>
      <w:r w:rsidR="008243CA">
        <w:t xml:space="preserve"> </w:t>
      </w:r>
      <w:r w:rsidRPr="00E62FE6">
        <w:t>especially</w:t>
      </w:r>
      <w:r w:rsidR="008243CA">
        <w:t xml:space="preserve"> </w:t>
      </w:r>
      <w:r w:rsidRPr="00E62FE6">
        <w:t>the</w:t>
      </w:r>
      <w:r w:rsidR="008243CA">
        <w:t xml:space="preserve"> </w:t>
      </w:r>
      <w:r w:rsidRPr="00E62FE6">
        <w:t>long-term</w:t>
      </w:r>
      <w:r w:rsidR="008243CA">
        <w:t xml:space="preserve"> </w:t>
      </w:r>
      <w:r w:rsidRPr="00E62FE6">
        <w:t>ones.</w:t>
      </w:r>
    </w:p>
    <w:p w:rsidR="003F7D03" w:rsidRPr="00E62FE6" w:rsidRDefault="003F7D03" w:rsidP="000C6D98">
      <w:pPr>
        <w:pStyle w:val="SingleTxtG"/>
      </w:pPr>
      <w:bookmarkStart w:id="13" w:name="page7"/>
      <w:bookmarkEnd w:id="13"/>
      <w:r w:rsidRPr="00E62FE6">
        <w:t>8.</w:t>
      </w:r>
      <w:r w:rsidRPr="00E62FE6">
        <w:tab/>
        <w:t>The</w:t>
      </w:r>
      <w:r w:rsidR="008243CA">
        <w:t xml:space="preserve"> </w:t>
      </w:r>
      <w:r w:rsidRPr="00E62FE6">
        <w:t>report</w:t>
      </w:r>
      <w:r w:rsidR="008243CA">
        <w:t xml:space="preserve"> </w:t>
      </w:r>
      <w:r w:rsidRPr="00E62FE6">
        <w:t>covers</w:t>
      </w:r>
      <w:r w:rsidR="008243CA">
        <w:t xml:space="preserve"> </w:t>
      </w:r>
      <w:r w:rsidRPr="00E62FE6">
        <w:t>recommendations</w:t>
      </w:r>
      <w:r w:rsidR="008243CA">
        <w:t xml:space="preserve"> </w:t>
      </w:r>
      <w:r w:rsidRPr="00E62FE6">
        <w:t>of</w:t>
      </w:r>
      <w:r w:rsidR="008243CA">
        <w:t xml:space="preserve"> </w:t>
      </w:r>
      <w:r w:rsidRPr="00E62FE6">
        <w:t>the</w:t>
      </w:r>
      <w:r w:rsidR="008243CA">
        <w:t xml:space="preserve"> </w:t>
      </w:r>
      <w:r w:rsidRPr="00E62FE6">
        <w:t>Subcommittee</w:t>
      </w:r>
      <w:r w:rsidR="008243CA">
        <w:t xml:space="preserve"> </w:t>
      </w:r>
      <w:r w:rsidRPr="00E62FE6">
        <w:t>that</w:t>
      </w:r>
      <w:r w:rsidR="008243CA">
        <w:t xml:space="preserve"> </w:t>
      </w:r>
      <w:r w:rsidRPr="00E62FE6">
        <w:t>call</w:t>
      </w:r>
      <w:r w:rsidR="008243CA">
        <w:t xml:space="preserve"> </w:t>
      </w:r>
      <w:r w:rsidRPr="00E62FE6">
        <w:t>for</w:t>
      </w:r>
      <w:r w:rsidR="008243CA">
        <w:t xml:space="preserve"> </w:t>
      </w:r>
      <w:r w:rsidRPr="00E62FE6">
        <w:t>legal</w:t>
      </w:r>
      <w:r w:rsidR="008243CA">
        <w:t xml:space="preserve"> </w:t>
      </w:r>
      <w:r w:rsidRPr="00E62FE6">
        <w:t>measures</w:t>
      </w:r>
      <w:r w:rsidR="008243CA">
        <w:t xml:space="preserve"> </w:t>
      </w:r>
      <w:r w:rsidRPr="00E62FE6">
        <w:t>to</w:t>
      </w:r>
      <w:r w:rsidR="008243CA">
        <w:t xml:space="preserve"> </w:t>
      </w:r>
      <w:r w:rsidRPr="00E62FE6">
        <w:t>be</w:t>
      </w:r>
      <w:r w:rsidR="008243CA">
        <w:t xml:space="preserve"> </w:t>
      </w:r>
      <w:r w:rsidRPr="00E62FE6">
        <w:t>taken</w:t>
      </w:r>
      <w:r w:rsidR="008243CA">
        <w:t xml:space="preserve"> </w:t>
      </w:r>
      <w:r w:rsidRPr="00E62FE6">
        <w:t>(second</w:t>
      </w:r>
      <w:r w:rsidR="008243CA">
        <w:t xml:space="preserve"> </w:t>
      </w:r>
      <w:r w:rsidRPr="00E62FE6">
        <w:t>chapter)</w:t>
      </w:r>
      <w:r w:rsidR="008243CA">
        <w:t xml:space="preserve"> </w:t>
      </w:r>
      <w:r w:rsidRPr="00E62FE6">
        <w:t>and</w:t>
      </w:r>
      <w:r w:rsidR="008243CA">
        <w:t xml:space="preserve"> </w:t>
      </w:r>
      <w:r w:rsidRPr="00E62FE6">
        <w:t>recommendations</w:t>
      </w:r>
      <w:r w:rsidR="008243CA">
        <w:t xml:space="preserve"> </w:t>
      </w:r>
      <w:r w:rsidRPr="00E62FE6">
        <w:t>that</w:t>
      </w:r>
      <w:r w:rsidR="008243CA">
        <w:t xml:space="preserve"> </w:t>
      </w:r>
      <w:r w:rsidRPr="00E62FE6">
        <w:t>mainly</w:t>
      </w:r>
      <w:r w:rsidR="008243CA">
        <w:t xml:space="preserve"> </w:t>
      </w:r>
      <w:r w:rsidRPr="00E62FE6">
        <w:t>require</w:t>
      </w:r>
      <w:r w:rsidR="008243CA">
        <w:t xml:space="preserve"> </w:t>
      </w:r>
      <w:r w:rsidRPr="00E62FE6">
        <w:t>the</w:t>
      </w:r>
      <w:r w:rsidR="008243CA">
        <w:t xml:space="preserve"> </w:t>
      </w:r>
      <w:r w:rsidRPr="00E62FE6">
        <w:t>adoption</w:t>
      </w:r>
      <w:r w:rsidR="008243CA">
        <w:t xml:space="preserve"> </w:t>
      </w:r>
      <w:r w:rsidRPr="00E62FE6">
        <w:t>of</w:t>
      </w:r>
      <w:r w:rsidR="008243CA">
        <w:t xml:space="preserve"> </w:t>
      </w:r>
      <w:r w:rsidRPr="00E62FE6">
        <w:t>administrative</w:t>
      </w:r>
      <w:r w:rsidR="008243CA">
        <w:t xml:space="preserve"> </w:t>
      </w:r>
      <w:r w:rsidRPr="00E62FE6">
        <w:t>measures</w:t>
      </w:r>
      <w:r w:rsidR="008243CA">
        <w:t xml:space="preserve"> </w:t>
      </w:r>
      <w:r w:rsidRPr="00E62FE6">
        <w:t>(third</w:t>
      </w:r>
      <w:r w:rsidR="008243CA">
        <w:t xml:space="preserve"> </w:t>
      </w:r>
      <w:r w:rsidRPr="00E62FE6">
        <w:t>chapter).</w:t>
      </w:r>
      <w:r w:rsidR="008243CA">
        <w:t xml:space="preserve"> </w:t>
      </w:r>
      <w:r w:rsidRPr="00E62FE6">
        <w:t>It</w:t>
      </w:r>
      <w:r w:rsidR="008243CA">
        <w:t xml:space="preserve"> </w:t>
      </w:r>
      <w:r w:rsidRPr="00E62FE6">
        <w:t>is</w:t>
      </w:r>
      <w:r w:rsidR="008243CA">
        <w:t xml:space="preserve"> </w:t>
      </w:r>
      <w:r w:rsidRPr="00E62FE6">
        <w:t>worth</w:t>
      </w:r>
      <w:r w:rsidR="008243CA">
        <w:t xml:space="preserve"> </w:t>
      </w:r>
      <w:r w:rsidRPr="00E62FE6">
        <w:t>mentioning</w:t>
      </w:r>
      <w:r w:rsidR="008243CA">
        <w:t xml:space="preserve"> </w:t>
      </w:r>
      <w:r w:rsidRPr="00E62FE6">
        <w:t>that,</w:t>
      </w:r>
      <w:r w:rsidR="008243CA">
        <w:t xml:space="preserve"> </w:t>
      </w:r>
      <w:r w:rsidRPr="00E62FE6">
        <w:t>owing</w:t>
      </w:r>
      <w:r w:rsidR="008243CA">
        <w:t xml:space="preserve"> </w:t>
      </w:r>
      <w:r w:rsidRPr="00E62FE6">
        <w:t>to</w:t>
      </w:r>
      <w:r w:rsidR="008243CA">
        <w:t xml:space="preserve"> </w:t>
      </w:r>
      <w:r w:rsidRPr="00E62FE6">
        <w:t>the</w:t>
      </w:r>
      <w:r w:rsidR="008243CA">
        <w:t xml:space="preserve"> </w:t>
      </w:r>
      <w:r w:rsidRPr="00E62FE6">
        <w:t>general</w:t>
      </w:r>
      <w:r w:rsidR="008243CA">
        <w:t xml:space="preserve"> </w:t>
      </w:r>
      <w:r w:rsidRPr="00E62FE6">
        <w:t>nature</w:t>
      </w:r>
      <w:r w:rsidR="008243CA">
        <w:t xml:space="preserve"> </w:t>
      </w:r>
      <w:r w:rsidRPr="00E62FE6">
        <w:t>of</w:t>
      </w:r>
      <w:r w:rsidR="008243CA">
        <w:t xml:space="preserve"> </w:t>
      </w:r>
      <w:r w:rsidRPr="00E62FE6">
        <w:t>the</w:t>
      </w:r>
      <w:r w:rsidR="008243CA">
        <w:t xml:space="preserve"> </w:t>
      </w:r>
      <w:r w:rsidRPr="00E62FE6">
        <w:t>recommendations</w:t>
      </w:r>
      <w:r w:rsidR="008243CA">
        <w:t xml:space="preserve"> </w:t>
      </w:r>
      <w:r w:rsidRPr="00E62FE6">
        <w:t>made</w:t>
      </w:r>
      <w:r w:rsidR="008243CA">
        <w:t xml:space="preserve"> </w:t>
      </w:r>
      <w:r w:rsidRPr="00E62FE6">
        <w:t>by</w:t>
      </w:r>
      <w:r w:rsidR="008243CA">
        <w:t xml:space="preserve"> </w:t>
      </w:r>
      <w:r w:rsidRPr="00E62FE6">
        <w:t>the</w:t>
      </w:r>
      <w:r w:rsidR="008243CA">
        <w:t xml:space="preserve"> </w:t>
      </w:r>
      <w:r w:rsidRPr="00E62FE6">
        <w:t>Subcommittee,</w:t>
      </w:r>
      <w:r w:rsidR="008243CA">
        <w:t xml:space="preserve"> </w:t>
      </w:r>
      <w:r w:rsidRPr="00E62FE6">
        <w:t>the</w:t>
      </w:r>
      <w:r w:rsidR="008243CA">
        <w:t xml:space="preserve"> </w:t>
      </w:r>
      <w:proofErr w:type="spellStart"/>
      <w:r w:rsidRPr="00E62FE6">
        <w:t>interministerial</w:t>
      </w:r>
      <w:proofErr w:type="spellEnd"/>
      <w:r w:rsidR="008243CA">
        <w:t xml:space="preserve"> </w:t>
      </w:r>
      <w:r w:rsidRPr="00E62FE6">
        <w:t>working</w:t>
      </w:r>
      <w:r w:rsidR="008243CA">
        <w:t xml:space="preserve"> </w:t>
      </w:r>
      <w:r w:rsidRPr="00E62FE6">
        <w:t>group</w:t>
      </w:r>
      <w:r w:rsidR="008243CA">
        <w:t xml:space="preserve"> </w:t>
      </w:r>
      <w:r w:rsidRPr="00E62FE6">
        <w:t>sometimes</w:t>
      </w:r>
      <w:r w:rsidR="008243CA">
        <w:t xml:space="preserve"> </w:t>
      </w:r>
      <w:r w:rsidRPr="00E62FE6">
        <w:t>found</w:t>
      </w:r>
      <w:r w:rsidR="008243CA">
        <w:t xml:space="preserve"> </w:t>
      </w:r>
      <w:r w:rsidRPr="00E62FE6">
        <w:t>it</w:t>
      </w:r>
      <w:r w:rsidR="008243CA">
        <w:t xml:space="preserve"> </w:t>
      </w:r>
      <w:r w:rsidRPr="00E62FE6">
        <w:t>difficult</w:t>
      </w:r>
      <w:r w:rsidR="008243CA">
        <w:t xml:space="preserve"> </w:t>
      </w:r>
      <w:r w:rsidRPr="00E62FE6">
        <w:t>to</w:t>
      </w:r>
      <w:r w:rsidR="008243CA">
        <w:t xml:space="preserve"> </w:t>
      </w:r>
      <w:r w:rsidRPr="00E62FE6">
        <w:t>determine</w:t>
      </w:r>
      <w:r w:rsidR="008243CA">
        <w:t xml:space="preserve"> </w:t>
      </w:r>
      <w:r w:rsidRPr="00E62FE6">
        <w:t>which</w:t>
      </w:r>
      <w:r w:rsidR="008243CA">
        <w:t xml:space="preserve"> </w:t>
      </w:r>
      <w:r w:rsidRPr="00E62FE6">
        <w:t>ministry</w:t>
      </w:r>
      <w:r w:rsidR="008243CA">
        <w:t xml:space="preserve"> </w:t>
      </w:r>
      <w:r w:rsidRPr="00E62FE6">
        <w:t>or</w:t>
      </w:r>
      <w:r w:rsidR="008243CA">
        <w:t xml:space="preserve"> </w:t>
      </w:r>
      <w:r w:rsidRPr="00E62FE6">
        <w:t>service</w:t>
      </w:r>
      <w:r w:rsidR="008243CA">
        <w:t xml:space="preserve"> </w:t>
      </w:r>
      <w:r w:rsidRPr="00E62FE6">
        <w:t>should</w:t>
      </w:r>
      <w:r w:rsidR="008243CA">
        <w:t xml:space="preserve"> </w:t>
      </w:r>
      <w:r w:rsidRPr="00E62FE6">
        <w:t>be</w:t>
      </w:r>
      <w:r w:rsidR="008243CA">
        <w:t xml:space="preserve"> </w:t>
      </w:r>
      <w:r w:rsidRPr="00E62FE6">
        <w:t>charged</w:t>
      </w:r>
      <w:r w:rsidR="008243CA">
        <w:t xml:space="preserve"> </w:t>
      </w:r>
      <w:r w:rsidRPr="00E62FE6">
        <w:t>with</w:t>
      </w:r>
      <w:r w:rsidR="008243CA">
        <w:t xml:space="preserve"> </w:t>
      </w:r>
      <w:r w:rsidRPr="00E62FE6">
        <w:t>implementing</w:t>
      </w:r>
      <w:r w:rsidR="008243CA">
        <w:t xml:space="preserve"> </w:t>
      </w:r>
      <w:r w:rsidRPr="00E62FE6">
        <w:t>a</w:t>
      </w:r>
      <w:r w:rsidR="008243CA">
        <w:t xml:space="preserve"> </w:t>
      </w:r>
      <w:r w:rsidRPr="00E62FE6">
        <w:t>particular</w:t>
      </w:r>
      <w:r w:rsidR="008243CA">
        <w:t xml:space="preserve"> </w:t>
      </w:r>
      <w:r w:rsidRPr="00E62FE6">
        <w:t>recommendation.</w:t>
      </w:r>
      <w:r w:rsidR="008243CA">
        <w:t xml:space="preserve"> </w:t>
      </w:r>
      <w:r w:rsidRPr="00E62FE6">
        <w:t>Bearing</w:t>
      </w:r>
      <w:r w:rsidR="008243CA">
        <w:t xml:space="preserve"> </w:t>
      </w:r>
      <w:r w:rsidRPr="00E62FE6">
        <w:t>in</w:t>
      </w:r>
      <w:r w:rsidR="008243CA">
        <w:t xml:space="preserve"> </w:t>
      </w:r>
      <w:r w:rsidRPr="00E62FE6">
        <w:t>mind</w:t>
      </w:r>
      <w:r w:rsidR="008243CA">
        <w:t xml:space="preserve"> </w:t>
      </w:r>
      <w:r w:rsidRPr="00E62FE6">
        <w:t>that</w:t>
      </w:r>
      <w:r w:rsidR="008243CA">
        <w:t xml:space="preserve"> </w:t>
      </w:r>
      <w:r w:rsidRPr="00E62FE6">
        <w:t>the</w:t>
      </w:r>
      <w:r w:rsidR="008243CA">
        <w:t xml:space="preserve"> </w:t>
      </w:r>
      <w:r w:rsidRPr="00E62FE6">
        <w:t>recommendations</w:t>
      </w:r>
      <w:r w:rsidR="008243CA">
        <w:t xml:space="preserve"> </w:t>
      </w:r>
      <w:r w:rsidRPr="00E62FE6">
        <w:t>concern</w:t>
      </w:r>
      <w:r w:rsidR="008243CA">
        <w:t xml:space="preserve"> </w:t>
      </w:r>
      <w:r w:rsidRPr="00E62FE6">
        <w:t>human</w:t>
      </w:r>
      <w:r w:rsidR="008243CA">
        <w:t xml:space="preserve"> </w:t>
      </w:r>
      <w:r w:rsidRPr="00E62FE6">
        <w:t>rights</w:t>
      </w:r>
      <w:r w:rsidR="008243CA">
        <w:t xml:space="preserve"> </w:t>
      </w:r>
      <w:r w:rsidRPr="00E62FE6">
        <w:t>and</w:t>
      </w:r>
      <w:r w:rsidR="008243CA">
        <w:t xml:space="preserve"> </w:t>
      </w:r>
      <w:r w:rsidRPr="00E62FE6">
        <w:t>should</w:t>
      </w:r>
      <w:r w:rsidR="008243CA">
        <w:t xml:space="preserve"> </w:t>
      </w:r>
      <w:r w:rsidRPr="00E62FE6">
        <w:t>therefore</w:t>
      </w:r>
      <w:r w:rsidR="008243CA">
        <w:t xml:space="preserve"> </w:t>
      </w:r>
      <w:r w:rsidRPr="00E62FE6">
        <w:t>be</w:t>
      </w:r>
      <w:r w:rsidR="008243CA">
        <w:t xml:space="preserve"> </w:t>
      </w:r>
      <w:r w:rsidRPr="00E62FE6">
        <w:t>interpreted</w:t>
      </w:r>
      <w:r w:rsidR="008243CA">
        <w:t xml:space="preserve"> </w:t>
      </w:r>
      <w:r w:rsidRPr="00E62FE6">
        <w:t>in</w:t>
      </w:r>
      <w:r w:rsidR="008243CA">
        <w:t xml:space="preserve"> </w:t>
      </w:r>
      <w:r w:rsidRPr="00E62FE6">
        <w:t>the</w:t>
      </w:r>
      <w:r w:rsidR="008243CA">
        <w:t xml:space="preserve"> </w:t>
      </w:r>
      <w:r w:rsidRPr="00E62FE6">
        <w:t>light</w:t>
      </w:r>
      <w:r w:rsidR="008243CA">
        <w:t xml:space="preserve"> </w:t>
      </w:r>
      <w:r w:rsidRPr="00E62FE6">
        <w:t>of</w:t>
      </w:r>
      <w:r w:rsidR="008243CA">
        <w:t xml:space="preserve"> </w:t>
      </w:r>
      <w:r w:rsidRPr="00E62FE6">
        <w:t>the</w:t>
      </w:r>
      <w:r w:rsidR="008243CA">
        <w:t xml:space="preserve"> </w:t>
      </w:r>
      <w:r w:rsidRPr="0091082A">
        <w:rPr>
          <w:i/>
          <w:iCs/>
        </w:rPr>
        <w:t>pro</w:t>
      </w:r>
      <w:r w:rsidR="008243CA">
        <w:rPr>
          <w:i/>
          <w:iCs/>
        </w:rPr>
        <w:t xml:space="preserve"> </w:t>
      </w:r>
      <w:r w:rsidRPr="0091082A">
        <w:rPr>
          <w:i/>
          <w:iCs/>
        </w:rPr>
        <w:t>persona</w:t>
      </w:r>
      <w:r w:rsidR="008243CA">
        <w:t xml:space="preserve"> </w:t>
      </w:r>
      <w:r w:rsidRPr="00E62FE6">
        <w:t>principle,</w:t>
      </w:r>
      <w:r w:rsidR="008243CA">
        <w:t xml:space="preserve"> </w:t>
      </w:r>
      <w:r w:rsidRPr="00E62FE6">
        <w:t>a</w:t>
      </w:r>
      <w:r w:rsidR="008243CA">
        <w:t xml:space="preserve"> </w:t>
      </w:r>
      <w:r w:rsidRPr="00E62FE6">
        <w:t>distinction</w:t>
      </w:r>
      <w:r w:rsidR="008243CA">
        <w:t xml:space="preserve"> </w:t>
      </w:r>
      <w:r w:rsidRPr="00E62FE6">
        <w:t>was</w:t>
      </w:r>
      <w:r w:rsidR="008243CA">
        <w:t xml:space="preserve"> </w:t>
      </w:r>
      <w:r w:rsidRPr="00E62FE6">
        <w:t>made</w:t>
      </w:r>
      <w:r w:rsidR="008243CA">
        <w:t xml:space="preserve"> </w:t>
      </w:r>
      <w:r w:rsidRPr="00E62FE6">
        <w:t>between</w:t>
      </w:r>
      <w:r w:rsidR="008243CA">
        <w:t xml:space="preserve"> </w:t>
      </w:r>
      <w:r w:rsidRPr="00E62FE6">
        <w:t>general</w:t>
      </w:r>
      <w:r w:rsidR="008243CA">
        <w:t xml:space="preserve"> </w:t>
      </w:r>
      <w:r w:rsidRPr="00E62FE6">
        <w:t>recommendations</w:t>
      </w:r>
      <w:r w:rsidR="008243CA">
        <w:t xml:space="preserve"> </w:t>
      </w:r>
      <w:r w:rsidRPr="00E62FE6">
        <w:t>that</w:t>
      </w:r>
      <w:r w:rsidR="008243CA">
        <w:t xml:space="preserve"> </w:t>
      </w:r>
      <w:r w:rsidRPr="00E62FE6">
        <w:t>could</w:t>
      </w:r>
      <w:r w:rsidR="008243CA">
        <w:t xml:space="preserve"> </w:t>
      </w:r>
      <w:r w:rsidRPr="00E62FE6">
        <w:t>be</w:t>
      </w:r>
      <w:r w:rsidR="008243CA">
        <w:t xml:space="preserve"> </w:t>
      </w:r>
      <w:r w:rsidRPr="00E62FE6">
        <w:t>implemented</w:t>
      </w:r>
      <w:r w:rsidR="008243CA">
        <w:t xml:space="preserve"> </w:t>
      </w:r>
      <w:r w:rsidRPr="00E62FE6">
        <w:t>by</w:t>
      </w:r>
      <w:r w:rsidR="008243CA">
        <w:t xml:space="preserve"> </w:t>
      </w:r>
      <w:r w:rsidRPr="00E62FE6">
        <w:t>more</w:t>
      </w:r>
      <w:r w:rsidR="008243CA">
        <w:t xml:space="preserve"> </w:t>
      </w:r>
      <w:r w:rsidRPr="00E62FE6">
        <w:t>than</w:t>
      </w:r>
      <w:r w:rsidR="008243CA">
        <w:t xml:space="preserve"> </w:t>
      </w:r>
      <w:r w:rsidRPr="00E62FE6">
        <w:t>one</w:t>
      </w:r>
      <w:r w:rsidR="008243CA">
        <w:t xml:space="preserve"> </w:t>
      </w:r>
      <w:r w:rsidRPr="00E62FE6">
        <w:t>service</w:t>
      </w:r>
      <w:r w:rsidR="008243CA">
        <w:t xml:space="preserve"> </w:t>
      </w:r>
      <w:r w:rsidRPr="00E62FE6">
        <w:t>and</w:t>
      </w:r>
      <w:r w:rsidR="008243CA">
        <w:t xml:space="preserve"> </w:t>
      </w:r>
      <w:r w:rsidRPr="00E62FE6">
        <w:t>recommendations</w:t>
      </w:r>
      <w:r w:rsidR="008243CA">
        <w:t xml:space="preserve"> </w:t>
      </w:r>
      <w:r w:rsidRPr="00E62FE6">
        <w:t>that</w:t>
      </w:r>
      <w:r w:rsidR="008243CA">
        <w:t xml:space="preserve"> </w:t>
      </w:r>
      <w:r w:rsidRPr="00E62FE6">
        <w:t>needed</w:t>
      </w:r>
      <w:r w:rsidR="008243CA">
        <w:t xml:space="preserve"> </w:t>
      </w:r>
      <w:r w:rsidRPr="00E62FE6">
        <w:t>to</w:t>
      </w:r>
      <w:r w:rsidR="008243CA">
        <w:t xml:space="preserve"> </w:t>
      </w:r>
      <w:r w:rsidRPr="00E62FE6">
        <w:t>be</w:t>
      </w:r>
      <w:r w:rsidR="008243CA">
        <w:t xml:space="preserve"> </w:t>
      </w:r>
      <w:r w:rsidRPr="00E62FE6">
        <w:t>implemented</w:t>
      </w:r>
      <w:r w:rsidR="008243CA">
        <w:t xml:space="preserve"> </w:t>
      </w:r>
      <w:r w:rsidRPr="00E62FE6">
        <w:t>by</w:t>
      </w:r>
      <w:r w:rsidR="008243CA">
        <w:t xml:space="preserve"> </w:t>
      </w:r>
      <w:r w:rsidRPr="00E62FE6">
        <w:t>a</w:t>
      </w:r>
      <w:r w:rsidR="008243CA">
        <w:t xml:space="preserve"> </w:t>
      </w:r>
      <w:r w:rsidRPr="00E62FE6">
        <w:t>single</w:t>
      </w:r>
      <w:r w:rsidR="008243CA">
        <w:t xml:space="preserve"> </w:t>
      </w:r>
      <w:r w:rsidRPr="00E62FE6">
        <w:t>service</w:t>
      </w:r>
      <w:r w:rsidR="008243CA">
        <w:t xml:space="preserve"> </w:t>
      </w:r>
      <w:r w:rsidRPr="00E62FE6">
        <w:t>because</w:t>
      </w:r>
      <w:r w:rsidR="008243CA">
        <w:t xml:space="preserve"> </w:t>
      </w:r>
      <w:r w:rsidRPr="00E62FE6">
        <w:t>of</w:t>
      </w:r>
      <w:r w:rsidR="008243CA">
        <w:t xml:space="preserve"> </w:t>
      </w:r>
      <w:r w:rsidRPr="00E62FE6">
        <w:t>the</w:t>
      </w:r>
      <w:r w:rsidR="008243CA">
        <w:t xml:space="preserve"> </w:t>
      </w:r>
      <w:r w:rsidRPr="00E62FE6">
        <w:t>context</w:t>
      </w:r>
      <w:r w:rsidR="008243CA">
        <w:t xml:space="preserve"> </w:t>
      </w:r>
      <w:r w:rsidRPr="00E62FE6">
        <w:t>in</w:t>
      </w:r>
      <w:r w:rsidR="008243CA">
        <w:t xml:space="preserve"> </w:t>
      </w:r>
      <w:r w:rsidRPr="00E62FE6">
        <w:t>which</w:t>
      </w:r>
      <w:r w:rsidR="008243CA">
        <w:t xml:space="preserve"> </w:t>
      </w:r>
      <w:r w:rsidRPr="00E62FE6">
        <w:t>they</w:t>
      </w:r>
      <w:r w:rsidR="008243CA">
        <w:t xml:space="preserve"> </w:t>
      </w:r>
      <w:r w:rsidRPr="00E62FE6">
        <w:t>were</w:t>
      </w:r>
      <w:r w:rsidR="008243CA">
        <w:t xml:space="preserve"> </w:t>
      </w:r>
      <w:r w:rsidRPr="00E62FE6">
        <w:t>made</w:t>
      </w:r>
      <w:r w:rsidR="008243CA">
        <w:t xml:space="preserve"> </w:t>
      </w:r>
      <w:r w:rsidRPr="00E62FE6">
        <w:t>or</w:t>
      </w:r>
      <w:r w:rsidR="008243CA">
        <w:t xml:space="preserve"> </w:t>
      </w:r>
      <w:r w:rsidRPr="00E62FE6">
        <w:t>because</w:t>
      </w:r>
      <w:r w:rsidR="008243CA">
        <w:t xml:space="preserve"> </w:t>
      </w:r>
      <w:r w:rsidRPr="00E62FE6">
        <w:t>they</w:t>
      </w:r>
      <w:r w:rsidR="008243CA">
        <w:t xml:space="preserve"> </w:t>
      </w:r>
      <w:r w:rsidRPr="00E62FE6">
        <w:t>specifically</w:t>
      </w:r>
      <w:r w:rsidR="008243CA">
        <w:t xml:space="preserve"> </w:t>
      </w:r>
      <w:r w:rsidRPr="00E62FE6">
        <w:t>referred</w:t>
      </w:r>
      <w:r w:rsidR="008243CA">
        <w:t xml:space="preserve"> </w:t>
      </w:r>
      <w:r w:rsidRPr="00E62FE6">
        <w:t>to</w:t>
      </w:r>
      <w:r w:rsidR="008243CA">
        <w:t xml:space="preserve"> </w:t>
      </w:r>
      <w:r w:rsidRPr="00E62FE6">
        <w:t>a</w:t>
      </w:r>
      <w:r w:rsidR="008243CA">
        <w:t xml:space="preserve"> </w:t>
      </w:r>
      <w:r w:rsidRPr="00E62FE6">
        <w:t>given</w:t>
      </w:r>
      <w:r w:rsidR="008243CA">
        <w:t xml:space="preserve"> </w:t>
      </w:r>
      <w:r w:rsidRPr="00E62FE6">
        <w:t>service.</w:t>
      </w:r>
    </w:p>
    <w:p w:rsidR="003F7D03" w:rsidRPr="00E62FE6" w:rsidRDefault="003F7D03" w:rsidP="000C6D98">
      <w:pPr>
        <w:pStyle w:val="SingleTxtG"/>
      </w:pPr>
      <w:r w:rsidRPr="00E62FE6">
        <w:t>9.</w:t>
      </w:r>
      <w:r w:rsidRPr="00E62FE6">
        <w:tab/>
        <w:t>Another</w:t>
      </w:r>
      <w:r w:rsidR="008243CA">
        <w:t xml:space="preserve"> </w:t>
      </w:r>
      <w:r w:rsidRPr="00E62FE6">
        <w:t>difficulty</w:t>
      </w:r>
      <w:r w:rsidR="008243CA">
        <w:t xml:space="preserve"> </w:t>
      </w:r>
      <w:r w:rsidRPr="00E62FE6">
        <w:t>was</w:t>
      </w:r>
      <w:r w:rsidR="008243CA">
        <w:t xml:space="preserve"> </w:t>
      </w:r>
      <w:r w:rsidRPr="00E62FE6">
        <w:t>that</w:t>
      </w:r>
      <w:r w:rsidR="008243CA">
        <w:t xml:space="preserve"> </w:t>
      </w:r>
      <w:r w:rsidRPr="00E62FE6">
        <w:t>the</w:t>
      </w:r>
      <w:r w:rsidR="008243CA">
        <w:t xml:space="preserve"> </w:t>
      </w:r>
      <w:r w:rsidRPr="00E62FE6">
        <w:t>recommendations</w:t>
      </w:r>
      <w:r w:rsidR="008243CA">
        <w:t xml:space="preserve"> </w:t>
      </w:r>
      <w:r w:rsidRPr="00E62FE6">
        <w:t>concern</w:t>
      </w:r>
      <w:r w:rsidR="008243CA">
        <w:t xml:space="preserve"> </w:t>
      </w:r>
      <w:r w:rsidRPr="00E62FE6">
        <w:t>situations</w:t>
      </w:r>
      <w:r w:rsidR="008243CA">
        <w:t xml:space="preserve"> </w:t>
      </w:r>
      <w:r w:rsidRPr="00E62FE6">
        <w:t>that</w:t>
      </w:r>
      <w:r w:rsidR="008243CA">
        <w:t xml:space="preserve"> </w:t>
      </w:r>
      <w:r w:rsidRPr="00E62FE6">
        <w:t>call</w:t>
      </w:r>
      <w:r w:rsidR="008243CA">
        <w:t xml:space="preserve"> </w:t>
      </w:r>
      <w:r w:rsidRPr="00E62FE6">
        <w:t>for</w:t>
      </w:r>
      <w:r w:rsidR="008243CA">
        <w:t xml:space="preserve"> </w:t>
      </w:r>
      <w:r w:rsidRPr="00E62FE6">
        <w:t>a</w:t>
      </w:r>
      <w:r w:rsidR="008243CA">
        <w:t xml:space="preserve"> </w:t>
      </w:r>
      <w:r w:rsidRPr="00E62FE6">
        <w:t>multidisciplinary</w:t>
      </w:r>
      <w:r w:rsidR="008243CA">
        <w:t xml:space="preserve"> </w:t>
      </w:r>
      <w:r w:rsidRPr="00E62FE6">
        <w:t>approach,</w:t>
      </w:r>
      <w:r w:rsidR="008243CA">
        <w:t xml:space="preserve"> </w:t>
      </w:r>
      <w:r w:rsidRPr="00E62FE6">
        <w:t>which</w:t>
      </w:r>
      <w:r w:rsidR="008243CA">
        <w:t xml:space="preserve"> </w:t>
      </w:r>
      <w:r w:rsidRPr="00E62FE6">
        <w:t>requires</w:t>
      </w:r>
      <w:r w:rsidR="008243CA">
        <w:t xml:space="preserve"> </w:t>
      </w:r>
      <w:r w:rsidRPr="00E62FE6">
        <w:t>not</w:t>
      </w:r>
      <w:r w:rsidR="008243CA">
        <w:t xml:space="preserve"> </w:t>
      </w:r>
      <w:r w:rsidRPr="00E62FE6">
        <w:t>only</w:t>
      </w:r>
      <w:r w:rsidR="008243CA">
        <w:t xml:space="preserve"> </w:t>
      </w:r>
      <w:r w:rsidRPr="00E62FE6">
        <w:t>the</w:t>
      </w:r>
      <w:r w:rsidR="008243CA">
        <w:t xml:space="preserve"> </w:t>
      </w:r>
      <w:r w:rsidRPr="00E62FE6">
        <w:t>expertise</w:t>
      </w:r>
      <w:r w:rsidR="008243CA">
        <w:t xml:space="preserve"> </w:t>
      </w:r>
      <w:r w:rsidRPr="00E62FE6">
        <w:t>of</w:t>
      </w:r>
      <w:r w:rsidR="008243CA">
        <w:t xml:space="preserve"> </w:t>
      </w:r>
      <w:r w:rsidRPr="00E62FE6">
        <w:t>a</w:t>
      </w:r>
      <w:r w:rsidR="008243CA">
        <w:t xml:space="preserve"> </w:t>
      </w:r>
      <w:r w:rsidRPr="00E62FE6">
        <w:t>specific</w:t>
      </w:r>
      <w:r w:rsidR="008243CA">
        <w:t xml:space="preserve"> </w:t>
      </w:r>
      <w:r w:rsidRPr="00E62FE6">
        <w:t>service</w:t>
      </w:r>
      <w:r w:rsidR="008243CA">
        <w:t xml:space="preserve"> </w:t>
      </w:r>
      <w:r w:rsidRPr="00E62FE6">
        <w:t>or</w:t>
      </w:r>
      <w:r w:rsidR="008243CA">
        <w:t xml:space="preserve"> </w:t>
      </w:r>
      <w:r w:rsidRPr="00E62FE6">
        <w:t>ministry</w:t>
      </w:r>
      <w:r w:rsidR="008243CA">
        <w:t xml:space="preserve"> </w:t>
      </w:r>
      <w:r w:rsidRPr="00E62FE6">
        <w:t>but</w:t>
      </w:r>
      <w:r w:rsidR="008243CA">
        <w:t xml:space="preserve"> </w:t>
      </w:r>
      <w:r w:rsidRPr="00E62FE6">
        <w:t>also</w:t>
      </w:r>
      <w:r w:rsidR="008243CA">
        <w:t xml:space="preserve"> </w:t>
      </w:r>
      <w:r w:rsidRPr="00E62FE6">
        <w:t>action</w:t>
      </w:r>
      <w:r w:rsidR="008243CA">
        <w:t xml:space="preserve"> </w:t>
      </w:r>
      <w:r w:rsidRPr="00E62FE6">
        <w:t>at</w:t>
      </w:r>
      <w:r w:rsidR="008243CA">
        <w:t xml:space="preserve"> </w:t>
      </w:r>
      <w:r w:rsidRPr="00E62FE6">
        <w:t>the</w:t>
      </w:r>
      <w:r w:rsidR="008243CA">
        <w:t xml:space="preserve"> </w:t>
      </w:r>
      <w:proofErr w:type="spellStart"/>
      <w:r w:rsidRPr="00E62FE6">
        <w:t>interministerial</w:t>
      </w:r>
      <w:proofErr w:type="spellEnd"/>
      <w:r w:rsidR="008243CA">
        <w:t xml:space="preserve"> </w:t>
      </w:r>
      <w:r w:rsidRPr="00E62FE6">
        <w:t>level.</w:t>
      </w:r>
      <w:r w:rsidR="008243CA">
        <w:t xml:space="preserve"> </w:t>
      </w:r>
      <w:r w:rsidRPr="00E62FE6">
        <w:t>In</w:t>
      </w:r>
      <w:r w:rsidR="008243CA">
        <w:t xml:space="preserve"> </w:t>
      </w:r>
      <w:r w:rsidRPr="00E62FE6">
        <w:t>this</w:t>
      </w:r>
      <w:r w:rsidR="008243CA">
        <w:t xml:space="preserve"> </w:t>
      </w:r>
      <w:r w:rsidRPr="00E62FE6">
        <w:t>regard,</w:t>
      </w:r>
      <w:r w:rsidR="008243CA">
        <w:t xml:space="preserve"> </w:t>
      </w:r>
      <w:r w:rsidRPr="00E62FE6">
        <w:t>it</w:t>
      </w:r>
      <w:r w:rsidR="008243CA">
        <w:t xml:space="preserve"> </w:t>
      </w:r>
      <w:r w:rsidRPr="00E62FE6">
        <w:t>is</w:t>
      </w:r>
      <w:r w:rsidR="008243CA">
        <w:t xml:space="preserve"> </w:t>
      </w:r>
      <w:r w:rsidRPr="00E62FE6">
        <w:t>worth</w:t>
      </w:r>
      <w:r w:rsidR="008243CA">
        <w:t xml:space="preserve"> </w:t>
      </w:r>
      <w:r w:rsidRPr="00E62FE6">
        <w:t>highlighting</w:t>
      </w:r>
      <w:r w:rsidR="008243CA">
        <w:t xml:space="preserve"> </w:t>
      </w:r>
      <w:r w:rsidRPr="00E62FE6">
        <w:t>the</w:t>
      </w:r>
      <w:r w:rsidR="008243CA">
        <w:t xml:space="preserve"> </w:t>
      </w:r>
      <w:r w:rsidRPr="00E62FE6">
        <w:t>collaboration</w:t>
      </w:r>
      <w:r w:rsidR="008243CA">
        <w:t xml:space="preserve"> </w:t>
      </w:r>
      <w:r w:rsidRPr="00E62FE6">
        <w:t>between</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Health,</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Justice</w:t>
      </w:r>
      <w:r w:rsidR="008243CA">
        <w:t xml:space="preserve"> </w:t>
      </w:r>
      <w:r w:rsidRPr="00E62FE6">
        <w:t>and</w:t>
      </w:r>
      <w:r w:rsidR="008243CA">
        <w:t xml:space="preserve"> </w:t>
      </w:r>
      <w:r w:rsidRPr="00E62FE6">
        <w:t>Human</w:t>
      </w:r>
      <w:r w:rsidR="008243CA">
        <w:t xml:space="preserve"> </w:t>
      </w:r>
      <w:r w:rsidRPr="00E62FE6">
        <w:t>Rights</w:t>
      </w:r>
      <w:r w:rsidR="008243CA">
        <w:t xml:space="preserve"> </w:t>
      </w:r>
      <w:r w:rsidRPr="00E62FE6">
        <w:t>and</w:t>
      </w:r>
      <w:r w:rsidR="008243CA">
        <w:t xml:space="preserve"> </w:t>
      </w:r>
      <w:r w:rsidRPr="00E62FE6">
        <w:t>some</w:t>
      </w:r>
      <w:r w:rsidR="008243CA">
        <w:t xml:space="preserve"> </w:t>
      </w:r>
      <w:r w:rsidRPr="00E62FE6">
        <w:t>of</w:t>
      </w:r>
      <w:r w:rsidR="008243CA">
        <w:t xml:space="preserve"> </w:t>
      </w:r>
      <w:r w:rsidRPr="00E62FE6">
        <w:t>the</w:t>
      </w:r>
      <w:r w:rsidR="008243CA">
        <w:t xml:space="preserve"> </w:t>
      </w:r>
      <w:r w:rsidRPr="00E62FE6">
        <w:t>services</w:t>
      </w:r>
      <w:r w:rsidR="008243CA">
        <w:t xml:space="preserve"> </w:t>
      </w:r>
      <w:r w:rsidRPr="00E62FE6">
        <w:t>attached</w:t>
      </w:r>
      <w:r w:rsidR="008243CA">
        <w:t xml:space="preserve"> </w:t>
      </w:r>
      <w:r w:rsidRPr="00E62FE6">
        <w:t>to</w:t>
      </w:r>
      <w:r w:rsidR="008243CA">
        <w:t xml:space="preserve"> </w:t>
      </w:r>
      <w:r w:rsidRPr="00E62FE6">
        <w:t>the</w:t>
      </w:r>
      <w:r w:rsidR="008243CA">
        <w:t xml:space="preserve"> </w:t>
      </w:r>
      <w:r w:rsidRPr="00E62FE6">
        <w:t>latter</w:t>
      </w:r>
      <w:r w:rsidR="008243CA">
        <w:t xml:space="preserve"> </w:t>
      </w:r>
      <w:r w:rsidRPr="00E62FE6">
        <w:t>on</w:t>
      </w:r>
      <w:r w:rsidR="008243CA">
        <w:t xml:space="preserve"> </w:t>
      </w:r>
      <w:r w:rsidRPr="00E62FE6">
        <w:t>the</w:t>
      </w:r>
      <w:r w:rsidR="008243CA">
        <w:t xml:space="preserve"> </w:t>
      </w:r>
      <w:r w:rsidRPr="00E62FE6">
        <w:t>implementation</w:t>
      </w:r>
      <w:r w:rsidR="008243CA">
        <w:t xml:space="preserve"> </w:t>
      </w:r>
      <w:r w:rsidRPr="00E62FE6">
        <w:t>of</w:t>
      </w:r>
      <w:r w:rsidR="008243CA">
        <w:t xml:space="preserve"> </w:t>
      </w:r>
      <w:r w:rsidRPr="00E62FE6">
        <w:t>a</w:t>
      </w:r>
      <w:r w:rsidR="008243CA">
        <w:t xml:space="preserve"> </w:t>
      </w:r>
      <w:r w:rsidRPr="00E62FE6">
        <w:t>number</w:t>
      </w:r>
      <w:r w:rsidR="008243CA">
        <w:t xml:space="preserve"> </w:t>
      </w:r>
      <w:r w:rsidRPr="00E62FE6">
        <w:t>of</w:t>
      </w:r>
      <w:r w:rsidR="008243CA">
        <w:t xml:space="preserve"> </w:t>
      </w:r>
      <w:r w:rsidRPr="00E62FE6">
        <w:t>measures.</w:t>
      </w:r>
    </w:p>
    <w:p w:rsidR="003F7D03" w:rsidRPr="00E62FE6" w:rsidRDefault="003F7D03" w:rsidP="000C6D98">
      <w:pPr>
        <w:pStyle w:val="SingleTxtG"/>
      </w:pPr>
      <w:r w:rsidRPr="00E62FE6">
        <w:t>10.</w:t>
      </w:r>
      <w:r w:rsidRPr="00E62FE6">
        <w:tab/>
        <w:t>The</w:t>
      </w:r>
      <w:r w:rsidR="008243CA">
        <w:t xml:space="preserve"> </w:t>
      </w:r>
      <w:r w:rsidRPr="00E62FE6">
        <w:t>efforts</w:t>
      </w:r>
      <w:r w:rsidR="008243CA">
        <w:t xml:space="preserve"> </w:t>
      </w:r>
      <w:r w:rsidRPr="00E62FE6">
        <w:t>made</w:t>
      </w:r>
      <w:r w:rsidR="008243CA">
        <w:t xml:space="preserve"> </w:t>
      </w:r>
      <w:r w:rsidRPr="00E62FE6">
        <w:t>by</w:t>
      </w:r>
      <w:r w:rsidR="008243CA">
        <w:t xml:space="preserve"> </w:t>
      </w:r>
      <w:r w:rsidRPr="00E62FE6">
        <w:t>the</w:t>
      </w:r>
      <w:r w:rsidR="008243CA">
        <w:t xml:space="preserve"> </w:t>
      </w:r>
      <w:r w:rsidRPr="00E62FE6">
        <w:t>Government</w:t>
      </w:r>
      <w:r w:rsidR="008243CA">
        <w:t xml:space="preserve"> </w:t>
      </w:r>
      <w:r w:rsidRPr="00E62FE6">
        <w:t>through</w:t>
      </w:r>
      <w:r w:rsidR="008243CA">
        <w:t xml:space="preserve"> </w:t>
      </w:r>
      <w:r w:rsidRPr="00E62FE6">
        <w:t>these</w:t>
      </w:r>
      <w:r w:rsidR="008243CA">
        <w:t xml:space="preserve"> </w:t>
      </w:r>
      <w:r w:rsidRPr="00E62FE6">
        <w:t>different</w:t>
      </w:r>
      <w:r w:rsidR="008243CA">
        <w:t xml:space="preserve"> </w:t>
      </w:r>
      <w:r w:rsidRPr="00E62FE6">
        <w:t>bodies</w:t>
      </w:r>
      <w:r w:rsidR="008243CA">
        <w:t xml:space="preserve"> </w:t>
      </w:r>
      <w:r w:rsidRPr="00E62FE6">
        <w:t>demonstrate</w:t>
      </w:r>
      <w:r w:rsidR="008243CA">
        <w:t xml:space="preserve"> </w:t>
      </w:r>
      <w:r w:rsidRPr="00E62FE6">
        <w:t>its</w:t>
      </w:r>
      <w:r w:rsidR="008243CA">
        <w:t xml:space="preserve"> </w:t>
      </w:r>
      <w:r w:rsidRPr="00E62FE6">
        <w:t>commitment</w:t>
      </w:r>
      <w:r w:rsidR="008243CA">
        <w:t xml:space="preserve"> </w:t>
      </w:r>
      <w:r w:rsidRPr="00E62FE6">
        <w:t>to</w:t>
      </w:r>
      <w:r w:rsidR="008243CA">
        <w:t xml:space="preserve"> </w:t>
      </w:r>
      <w:r w:rsidRPr="00E62FE6">
        <w:t>complying</w:t>
      </w:r>
      <w:r w:rsidR="008243CA">
        <w:t xml:space="preserve"> </w:t>
      </w:r>
      <w:r w:rsidRPr="00E62FE6">
        <w:t>fully</w:t>
      </w:r>
      <w:r w:rsidR="008243CA">
        <w:t xml:space="preserve"> </w:t>
      </w:r>
      <w:r w:rsidRPr="00E62FE6">
        <w:t>with</w:t>
      </w:r>
      <w:r w:rsidR="008243CA">
        <w:t xml:space="preserve"> </w:t>
      </w:r>
      <w:r w:rsidRPr="00E62FE6">
        <w:t>the</w:t>
      </w:r>
      <w:r w:rsidR="008243CA">
        <w:t xml:space="preserve"> </w:t>
      </w:r>
      <w:r w:rsidRPr="00E62FE6">
        <w:t>Subcommittee</w:t>
      </w:r>
      <w:r w:rsidR="00116F0B">
        <w:t>’</w:t>
      </w:r>
      <w:r w:rsidRPr="00E62FE6">
        <w:t>s</w:t>
      </w:r>
      <w:r w:rsidR="008243CA">
        <w:t xml:space="preserve"> </w:t>
      </w:r>
      <w:r w:rsidRPr="00E62FE6">
        <w:t>recommendations,</w:t>
      </w:r>
      <w:r w:rsidR="008243CA">
        <w:t xml:space="preserve"> </w:t>
      </w:r>
      <w:r w:rsidRPr="00E62FE6">
        <w:t>which</w:t>
      </w:r>
      <w:r w:rsidR="008243CA">
        <w:t xml:space="preserve"> </w:t>
      </w:r>
      <w:r w:rsidRPr="00E62FE6">
        <w:t>represent</w:t>
      </w:r>
      <w:r w:rsidR="008243CA">
        <w:t xml:space="preserve"> </w:t>
      </w:r>
      <w:r w:rsidRPr="00E62FE6">
        <w:t>another</w:t>
      </w:r>
      <w:r w:rsidR="008243CA">
        <w:t xml:space="preserve"> </w:t>
      </w:r>
      <w:r w:rsidRPr="00E62FE6">
        <w:t>step</w:t>
      </w:r>
      <w:r w:rsidR="008243CA">
        <w:t xml:space="preserve"> </w:t>
      </w:r>
      <w:r w:rsidRPr="00E62FE6">
        <w:t>forward</w:t>
      </w:r>
      <w:r w:rsidR="008243CA">
        <w:t xml:space="preserve"> </w:t>
      </w:r>
      <w:r w:rsidRPr="00E62FE6">
        <w:t>in</w:t>
      </w:r>
      <w:r w:rsidR="008243CA">
        <w:t xml:space="preserve"> </w:t>
      </w:r>
      <w:r w:rsidRPr="00E62FE6">
        <w:t>the</w:t>
      </w:r>
      <w:r w:rsidR="008243CA">
        <w:t xml:space="preserve"> </w:t>
      </w:r>
      <w:r w:rsidRPr="00E62FE6">
        <w:t>prevention</w:t>
      </w:r>
      <w:r w:rsidR="008243CA">
        <w:t xml:space="preserve"> </w:t>
      </w:r>
      <w:r w:rsidRPr="00E62FE6">
        <w:t>of</w:t>
      </w:r>
      <w:r w:rsidR="008243CA">
        <w:t xml:space="preserve"> </w:t>
      </w:r>
      <w:r w:rsidRPr="00E62FE6">
        <w:t>torture.</w:t>
      </w:r>
      <w:r w:rsidR="008243CA">
        <w:t xml:space="preserve"> </w:t>
      </w:r>
      <w:r w:rsidRPr="00E62FE6">
        <w:t>Although</w:t>
      </w:r>
      <w:r w:rsidR="008243CA">
        <w:t xml:space="preserve"> </w:t>
      </w:r>
      <w:r w:rsidRPr="00E62FE6">
        <w:t>these</w:t>
      </w:r>
      <w:r w:rsidR="008243CA">
        <w:t xml:space="preserve"> </w:t>
      </w:r>
      <w:r w:rsidRPr="00E62FE6">
        <w:t>efforts</w:t>
      </w:r>
      <w:r w:rsidR="008243CA">
        <w:t xml:space="preserve"> </w:t>
      </w:r>
      <w:r w:rsidRPr="00E62FE6">
        <w:t>show</w:t>
      </w:r>
      <w:r w:rsidR="008243CA">
        <w:t xml:space="preserve"> </w:t>
      </w:r>
      <w:r w:rsidRPr="00E62FE6">
        <w:t>that</w:t>
      </w:r>
      <w:r w:rsidR="008243CA">
        <w:t xml:space="preserve"> </w:t>
      </w:r>
      <w:r w:rsidRPr="00E62FE6">
        <w:t>the</w:t>
      </w:r>
      <w:r w:rsidR="008243CA">
        <w:t xml:space="preserve"> </w:t>
      </w:r>
      <w:r w:rsidRPr="00E62FE6">
        <w:t>Government</w:t>
      </w:r>
      <w:r w:rsidR="008243CA">
        <w:t xml:space="preserve"> </w:t>
      </w:r>
      <w:r w:rsidRPr="00E62FE6">
        <w:t>has</w:t>
      </w:r>
      <w:r w:rsidR="008243CA">
        <w:t xml:space="preserve"> </w:t>
      </w:r>
      <w:r w:rsidRPr="00E62FE6">
        <w:t>tried</w:t>
      </w:r>
      <w:r w:rsidR="008243CA">
        <w:t xml:space="preserve"> </w:t>
      </w:r>
      <w:r w:rsidRPr="00E62FE6">
        <w:t>to</w:t>
      </w:r>
      <w:r w:rsidR="008243CA">
        <w:t xml:space="preserve"> </w:t>
      </w:r>
      <w:r w:rsidRPr="00E62FE6">
        <w:t>respond</w:t>
      </w:r>
      <w:r w:rsidR="008243CA">
        <w:t xml:space="preserve"> </w:t>
      </w:r>
      <w:r w:rsidRPr="00E62FE6">
        <w:t>to</w:t>
      </w:r>
      <w:r w:rsidR="008243CA">
        <w:t xml:space="preserve"> </w:t>
      </w:r>
      <w:r w:rsidRPr="00E62FE6">
        <w:t>the</w:t>
      </w:r>
      <w:r w:rsidR="008243CA">
        <w:t xml:space="preserve"> </w:t>
      </w:r>
      <w:r w:rsidRPr="00E62FE6">
        <w:t>vast</w:t>
      </w:r>
      <w:r w:rsidR="008243CA">
        <w:t xml:space="preserve"> </w:t>
      </w:r>
      <w:r w:rsidRPr="00E62FE6">
        <w:t>majority</w:t>
      </w:r>
      <w:r w:rsidR="008243CA">
        <w:t xml:space="preserve"> </w:t>
      </w:r>
      <w:r w:rsidRPr="00E62FE6">
        <w:t>of</w:t>
      </w:r>
      <w:r w:rsidR="008243CA">
        <w:t xml:space="preserve"> </w:t>
      </w:r>
      <w:r w:rsidRPr="00E62FE6">
        <w:t>the</w:t>
      </w:r>
      <w:r w:rsidR="008243CA">
        <w:t xml:space="preserve"> </w:t>
      </w:r>
      <w:r w:rsidRPr="00E62FE6">
        <w:t>recommendations,</w:t>
      </w:r>
      <w:r w:rsidR="008243CA">
        <w:t xml:space="preserve"> </w:t>
      </w:r>
      <w:r w:rsidRPr="00E62FE6">
        <w:t>that</w:t>
      </w:r>
      <w:r w:rsidR="008243CA">
        <w:t xml:space="preserve"> </w:t>
      </w:r>
      <w:r w:rsidRPr="00E62FE6">
        <w:t>is</w:t>
      </w:r>
      <w:r w:rsidR="008243CA">
        <w:t xml:space="preserve"> </w:t>
      </w:r>
      <w:r w:rsidRPr="00E62FE6">
        <w:t>not</w:t>
      </w:r>
      <w:r w:rsidR="008243CA">
        <w:t xml:space="preserve"> </w:t>
      </w:r>
      <w:r w:rsidRPr="00E62FE6">
        <w:t>to</w:t>
      </w:r>
      <w:r w:rsidR="008243CA">
        <w:t xml:space="preserve"> </w:t>
      </w:r>
      <w:r w:rsidRPr="00E62FE6">
        <w:t>say</w:t>
      </w:r>
      <w:r w:rsidR="008243CA">
        <w:t xml:space="preserve"> </w:t>
      </w:r>
      <w:r w:rsidRPr="00E62FE6">
        <w:t>that</w:t>
      </w:r>
      <w:r w:rsidR="008243CA">
        <w:t xml:space="preserve"> </w:t>
      </w:r>
      <w:r w:rsidRPr="00E62FE6">
        <w:t>solutions</w:t>
      </w:r>
      <w:r w:rsidR="008243CA">
        <w:t xml:space="preserve"> </w:t>
      </w:r>
      <w:r w:rsidRPr="00E62FE6">
        <w:t>have</w:t>
      </w:r>
      <w:r w:rsidR="008243CA">
        <w:t xml:space="preserve"> </w:t>
      </w:r>
      <w:r w:rsidRPr="00E62FE6">
        <w:t>been</w:t>
      </w:r>
      <w:r w:rsidR="008243CA">
        <w:t xml:space="preserve"> </w:t>
      </w:r>
      <w:r w:rsidRPr="00E62FE6">
        <w:t>found</w:t>
      </w:r>
      <w:r w:rsidR="008243CA">
        <w:t xml:space="preserve"> </w:t>
      </w:r>
      <w:r w:rsidRPr="00E62FE6">
        <w:t>to</w:t>
      </w:r>
      <w:r w:rsidR="008243CA">
        <w:t xml:space="preserve"> </w:t>
      </w:r>
      <w:r w:rsidRPr="00E62FE6">
        <w:t>all</w:t>
      </w:r>
      <w:r w:rsidR="008243CA">
        <w:t xml:space="preserve"> </w:t>
      </w:r>
      <w:r w:rsidRPr="00E62FE6">
        <w:t>of</w:t>
      </w:r>
      <w:r w:rsidR="008243CA">
        <w:t xml:space="preserve"> </w:t>
      </w:r>
      <w:r w:rsidRPr="00E62FE6">
        <w:t>them.</w:t>
      </w:r>
      <w:r w:rsidR="008243CA">
        <w:t xml:space="preserve"> </w:t>
      </w:r>
      <w:r w:rsidRPr="00E62FE6">
        <w:t>The</w:t>
      </w:r>
      <w:r w:rsidR="008243CA">
        <w:t xml:space="preserve"> </w:t>
      </w:r>
      <w:r w:rsidRPr="00E62FE6">
        <w:t>Subcommittee</w:t>
      </w:r>
      <w:r w:rsidR="00116F0B">
        <w:t>’</w:t>
      </w:r>
      <w:r w:rsidRPr="00E62FE6">
        <w:t>s</w:t>
      </w:r>
      <w:r w:rsidR="008243CA">
        <w:t xml:space="preserve"> </w:t>
      </w:r>
      <w:r w:rsidRPr="00E62FE6">
        <w:t>report</w:t>
      </w:r>
      <w:r w:rsidR="008243CA">
        <w:t xml:space="preserve"> </w:t>
      </w:r>
      <w:r w:rsidRPr="00E62FE6">
        <w:t>poses</w:t>
      </w:r>
      <w:r w:rsidR="008243CA">
        <w:t xml:space="preserve"> </w:t>
      </w:r>
      <w:r w:rsidRPr="00E62FE6">
        <w:t>significant</w:t>
      </w:r>
      <w:r w:rsidR="008243CA">
        <w:t xml:space="preserve"> </w:t>
      </w:r>
      <w:r w:rsidRPr="00E62FE6">
        <w:t>and,</w:t>
      </w:r>
      <w:r w:rsidR="008243CA">
        <w:t xml:space="preserve"> </w:t>
      </w:r>
      <w:r w:rsidRPr="00E62FE6">
        <w:t>in</w:t>
      </w:r>
      <w:r w:rsidR="008243CA">
        <w:t xml:space="preserve"> </w:t>
      </w:r>
      <w:r w:rsidRPr="00E62FE6">
        <w:t>many</w:t>
      </w:r>
      <w:r w:rsidR="008243CA">
        <w:t xml:space="preserve"> </w:t>
      </w:r>
      <w:r w:rsidRPr="00E62FE6">
        <w:t>cases,</w:t>
      </w:r>
      <w:r w:rsidR="008243CA">
        <w:t xml:space="preserve"> </w:t>
      </w:r>
      <w:r w:rsidRPr="00E62FE6">
        <w:t>complex</w:t>
      </w:r>
      <w:r w:rsidR="008243CA">
        <w:t xml:space="preserve"> </w:t>
      </w:r>
      <w:r w:rsidRPr="00E62FE6">
        <w:t>challenges,</w:t>
      </w:r>
      <w:r w:rsidR="008243CA">
        <w:t xml:space="preserve"> </w:t>
      </w:r>
      <w:r w:rsidRPr="00E62FE6">
        <w:t>so</w:t>
      </w:r>
      <w:r w:rsidR="008243CA">
        <w:t xml:space="preserve"> </w:t>
      </w:r>
      <w:r w:rsidRPr="00E62FE6">
        <w:t>this</w:t>
      </w:r>
      <w:r w:rsidR="008243CA">
        <w:t xml:space="preserve"> </w:t>
      </w:r>
      <w:r w:rsidRPr="00E62FE6">
        <w:t>report</w:t>
      </w:r>
      <w:r w:rsidR="008243CA">
        <w:t xml:space="preserve"> </w:t>
      </w:r>
      <w:r w:rsidRPr="00E62FE6">
        <w:t>should</w:t>
      </w:r>
      <w:r w:rsidR="008243CA">
        <w:t xml:space="preserve"> </w:t>
      </w:r>
      <w:r w:rsidRPr="00E62FE6">
        <w:t>be</w:t>
      </w:r>
      <w:r w:rsidR="008243CA">
        <w:t xml:space="preserve"> </w:t>
      </w:r>
      <w:r w:rsidRPr="00E62FE6">
        <w:t>viewed</w:t>
      </w:r>
      <w:r w:rsidR="008243CA">
        <w:t xml:space="preserve"> </w:t>
      </w:r>
      <w:r w:rsidRPr="00E62FE6">
        <w:t>as</w:t>
      </w:r>
      <w:r w:rsidR="008243CA">
        <w:t xml:space="preserve"> </w:t>
      </w:r>
      <w:r w:rsidRPr="00E62FE6">
        <w:t>an</w:t>
      </w:r>
      <w:r w:rsidR="008243CA">
        <w:t xml:space="preserve"> </w:t>
      </w:r>
      <w:r w:rsidRPr="00E62FE6">
        <w:lastRenderedPageBreak/>
        <w:t>initial</w:t>
      </w:r>
      <w:r w:rsidR="008243CA">
        <w:t xml:space="preserve"> </w:t>
      </w:r>
      <w:r w:rsidRPr="00E62FE6">
        <w:t>step</w:t>
      </w:r>
      <w:r w:rsidR="008243CA">
        <w:t xml:space="preserve"> </w:t>
      </w:r>
      <w:r w:rsidRPr="00E62FE6">
        <w:t>towards</w:t>
      </w:r>
      <w:r w:rsidR="008243CA">
        <w:t xml:space="preserve"> </w:t>
      </w:r>
      <w:r w:rsidRPr="00E62FE6">
        <w:t>implementation</w:t>
      </w:r>
      <w:r w:rsidR="008243CA">
        <w:t xml:space="preserve"> </w:t>
      </w:r>
      <w:r w:rsidRPr="00E62FE6">
        <w:t>of</w:t>
      </w:r>
      <w:r w:rsidR="008243CA">
        <w:t xml:space="preserve"> </w:t>
      </w:r>
      <w:r w:rsidRPr="00E62FE6">
        <w:t>the</w:t>
      </w:r>
      <w:r w:rsidR="008243CA">
        <w:t xml:space="preserve"> </w:t>
      </w:r>
      <w:r w:rsidRPr="00E62FE6">
        <w:t>Subcommittee</w:t>
      </w:r>
      <w:r w:rsidR="00116F0B">
        <w:t>’</w:t>
      </w:r>
      <w:r w:rsidRPr="00E62FE6">
        <w:t>s</w:t>
      </w:r>
      <w:r w:rsidR="008243CA">
        <w:t xml:space="preserve"> </w:t>
      </w:r>
      <w:r w:rsidRPr="00E62FE6">
        <w:t>recommendations.</w:t>
      </w:r>
      <w:r w:rsidR="008243CA">
        <w:t xml:space="preserve"> </w:t>
      </w:r>
      <w:r w:rsidRPr="00E62FE6">
        <w:t>With</w:t>
      </w:r>
      <w:r w:rsidR="008243CA">
        <w:t xml:space="preserve"> </w:t>
      </w:r>
      <w:r w:rsidRPr="00E62FE6">
        <w:t>that</w:t>
      </w:r>
      <w:r w:rsidR="008243CA">
        <w:t xml:space="preserve"> </w:t>
      </w:r>
      <w:r w:rsidRPr="00E62FE6">
        <w:t>in</w:t>
      </w:r>
      <w:r w:rsidR="008243CA">
        <w:t xml:space="preserve"> </w:t>
      </w:r>
      <w:r w:rsidRPr="00E62FE6">
        <w:t>mind,</w:t>
      </w:r>
      <w:r w:rsidR="008243CA">
        <w:t xml:space="preserve"> </w:t>
      </w:r>
      <w:r w:rsidRPr="00E62FE6">
        <w:t>the</w:t>
      </w:r>
      <w:r w:rsidR="008243CA">
        <w:t xml:space="preserve"> </w:t>
      </w:r>
      <w:r w:rsidRPr="00E62FE6">
        <w:t>Chilean</w:t>
      </w:r>
      <w:r w:rsidR="008243CA">
        <w:t xml:space="preserve"> </w:t>
      </w:r>
      <w:r w:rsidRPr="00E62FE6">
        <w:t>Government</w:t>
      </w:r>
      <w:r w:rsidR="008243CA">
        <w:t xml:space="preserve"> </w:t>
      </w:r>
      <w:r w:rsidRPr="00E62FE6">
        <w:t>wishes</w:t>
      </w:r>
      <w:r w:rsidR="008243CA">
        <w:t xml:space="preserve"> </w:t>
      </w:r>
      <w:r w:rsidRPr="00E62FE6">
        <w:t>to</w:t>
      </w:r>
      <w:r w:rsidR="008243CA">
        <w:t xml:space="preserve"> </w:t>
      </w:r>
      <w:r w:rsidRPr="00E62FE6">
        <w:t>echo</w:t>
      </w:r>
      <w:r w:rsidR="008243CA">
        <w:t xml:space="preserve"> </w:t>
      </w:r>
      <w:r w:rsidRPr="00E62FE6">
        <w:t>the</w:t>
      </w:r>
      <w:r w:rsidR="008243CA">
        <w:t xml:space="preserve"> </w:t>
      </w:r>
      <w:r w:rsidRPr="00E62FE6">
        <w:t>Subcommittee</w:t>
      </w:r>
      <w:r w:rsidR="00116F0B">
        <w:t>’</w:t>
      </w:r>
      <w:r w:rsidRPr="00E62FE6">
        <w:t>s</w:t>
      </w:r>
      <w:r w:rsidR="008243CA">
        <w:t xml:space="preserve"> </w:t>
      </w:r>
      <w:r w:rsidRPr="00E62FE6">
        <w:t>observation</w:t>
      </w:r>
      <w:r w:rsidR="008243CA">
        <w:t xml:space="preserve"> </w:t>
      </w:r>
      <w:r w:rsidRPr="00E62FE6">
        <w:t>that</w:t>
      </w:r>
      <w:r w:rsidR="008243CA">
        <w:t xml:space="preserve"> </w:t>
      </w:r>
      <w:r w:rsidRPr="00E62FE6">
        <w:t>this</w:t>
      </w:r>
      <w:r w:rsidR="008243CA">
        <w:t xml:space="preserve"> </w:t>
      </w:r>
      <w:r w:rsidRPr="00E62FE6">
        <w:t>marks</w:t>
      </w:r>
      <w:r w:rsidR="008243CA">
        <w:t xml:space="preserve"> </w:t>
      </w:r>
      <w:r w:rsidR="00116F0B">
        <w:t>“</w:t>
      </w:r>
      <w:r w:rsidRPr="00E62FE6">
        <w:t>the</w:t>
      </w:r>
      <w:r w:rsidR="008243CA">
        <w:t xml:space="preserve"> </w:t>
      </w:r>
      <w:r w:rsidRPr="00E62FE6">
        <w:t>beginning</w:t>
      </w:r>
      <w:r w:rsidR="008243CA">
        <w:t xml:space="preserve"> </w:t>
      </w:r>
      <w:r w:rsidRPr="00E62FE6">
        <w:t>of</w:t>
      </w:r>
      <w:r w:rsidR="008243CA">
        <w:t xml:space="preserve"> </w:t>
      </w:r>
      <w:r w:rsidRPr="00E62FE6">
        <w:t>a</w:t>
      </w:r>
      <w:r w:rsidR="008243CA">
        <w:t xml:space="preserve"> </w:t>
      </w:r>
      <w:r w:rsidRPr="00E62FE6">
        <w:t>constructive</w:t>
      </w:r>
      <w:r w:rsidR="008243CA">
        <w:t xml:space="preserve"> </w:t>
      </w:r>
      <w:r w:rsidRPr="00E62FE6">
        <w:t>dialogue</w:t>
      </w:r>
      <w:r w:rsidR="008243CA">
        <w:t xml:space="preserve"> </w:t>
      </w:r>
      <w:r w:rsidRPr="00E62FE6">
        <w:t>…focusing</w:t>
      </w:r>
      <w:r w:rsidR="008243CA">
        <w:t xml:space="preserve"> </w:t>
      </w:r>
      <w:r w:rsidRPr="00E62FE6">
        <w:t>on</w:t>
      </w:r>
      <w:r w:rsidR="008243CA">
        <w:t xml:space="preserve"> </w:t>
      </w:r>
      <w:r w:rsidRPr="00E62FE6">
        <w:t>the</w:t>
      </w:r>
      <w:r w:rsidR="008243CA">
        <w:t xml:space="preserve"> </w:t>
      </w:r>
      <w:r w:rsidRPr="00E62FE6">
        <w:t>fulfilment</w:t>
      </w:r>
      <w:r w:rsidR="008243CA">
        <w:t xml:space="preserve"> </w:t>
      </w:r>
      <w:r w:rsidRPr="00E62FE6">
        <w:t>by</w:t>
      </w:r>
      <w:r w:rsidR="008243CA">
        <w:t xml:space="preserve"> </w:t>
      </w:r>
      <w:r w:rsidRPr="00E62FE6">
        <w:t>the</w:t>
      </w:r>
      <w:r w:rsidR="008243CA">
        <w:t xml:space="preserve"> </w:t>
      </w:r>
      <w:r w:rsidRPr="00E62FE6">
        <w:t>State</w:t>
      </w:r>
      <w:r w:rsidR="008243CA">
        <w:t xml:space="preserve"> </w:t>
      </w:r>
      <w:r w:rsidRPr="00E62FE6">
        <w:t>party</w:t>
      </w:r>
      <w:r w:rsidR="008243CA">
        <w:t xml:space="preserve"> </w:t>
      </w:r>
      <w:r w:rsidRPr="00E62FE6">
        <w:t>of</w:t>
      </w:r>
      <w:r w:rsidR="008243CA">
        <w:t xml:space="preserve"> </w:t>
      </w:r>
      <w:r w:rsidRPr="00E62FE6">
        <w:t>its</w:t>
      </w:r>
      <w:r w:rsidR="008243CA">
        <w:t xml:space="preserve"> </w:t>
      </w:r>
      <w:r w:rsidRPr="00E62FE6">
        <w:t>obligations</w:t>
      </w:r>
      <w:r w:rsidR="008243CA">
        <w:t xml:space="preserve"> </w:t>
      </w:r>
      <w:r w:rsidRPr="00E62FE6">
        <w:t>under</w:t>
      </w:r>
      <w:r w:rsidR="008243CA">
        <w:t xml:space="preserve"> </w:t>
      </w:r>
      <w:r w:rsidRPr="00E62FE6">
        <w:t>the</w:t>
      </w:r>
      <w:r w:rsidR="008243CA">
        <w:t xml:space="preserve"> </w:t>
      </w:r>
      <w:r w:rsidRPr="00E62FE6">
        <w:t>Optional</w:t>
      </w:r>
      <w:r w:rsidR="008243CA">
        <w:t xml:space="preserve"> </w:t>
      </w:r>
      <w:r w:rsidRPr="00E62FE6">
        <w:t>Protocol</w:t>
      </w:r>
      <w:r w:rsidR="008243CA">
        <w:t xml:space="preserve"> </w:t>
      </w:r>
      <w:r w:rsidRPr="00E62FE6">
        <w:t>and</w:t>
      </w:r>
      <w:r w:rsidR="008243CA">
        <w:t xml:space="preserve"> </w:t>
      </w:r>
      <w:r w:rsidRPr="00E62FE6">
        <w:t>the</w:t>
      </w:r>
      <w:r w:rsidR="008243CA">
        <w:t xml:space="preserve"> </w:t>
      </w:r>
      <w:r w:rsidRPr="00E62FE6">
        <w:t>achievement</w:t>
      </w:r>
      <w:r w:rsidR="008243CA">
        <w:t xml:space="preserve"> </w:t>
      </w:r>
      <w:r w:rsidRPr="00E62FE6">
        <w:t>of</w:t>
      </w:r>
      <w:r w:rsidR="008243CA">
        <w:t xml:space="preserve"> </w:t>
      </w:r>
      <w:r w:rsidRPr="00E62FE6">
        <w:t>the</w:t>
      </w:r>
      <w:r w:rsidR="008243CA">
        <w:t xml:space="preserve"> </w:t>
      </w:r>
      <w:r w:rsidRPr="00E62FE6">
        <w:t>shared</w:t>
      </w:r>
      <w:r w:rsidR="008243CA">
        <w:t xml:space="preserve"> </w:t>
      </w:r>
      <w:r w:rsidRPr="00E62FE6">
        <w:t>goal</w:t>
      </w:r>
      <w:r w:rsidR="008243CA">
        <w:t xml:space="preserve"> </w:t>
      </w:r>
      <w:r w:rsidRPr="00E62FE6">
        <w:t>of</w:t>
      </w:r>
      <w:r w:rsidR="008243CA">
        <w:t xml:space="preserve"> </w:t>
      </w:r>
      <w:r w:rsidRPr="00E62FE6">
        <w:t>preventing</w:t>
      </w:r>
      <w:r w:rsidR="008243CA">
        <w:t xml:space="preserve"> </w:t>
      </w:r>
      <w:r w:rsidRPr="00E62FE6">
        <w:t>torture</w:t>
      </w:r>
      <w:r w:rsidR="008243CA">
        <w:t xml:space="preserve"> </w:t>
      </w:r>
      <w:r w:rsidRPr="00E62FE6">
        <w:t>and</w:t>
      </w:r>
      <w:r w:rsidR="008243CA">
        <w:t xml:space="preserve"> </w:t>
      </w:r>
      <w:r w:rsidRPr="00E62FE6">
        <w:t>ill-treatment.</w:t>
      </w:r>
      <w:r w:rsidR="00116F0B">
        <w:t>”</w:t>
      </w:r>
      <w:r w:rsidRPr="00116F0B">
        <w:rPr>
          <w:rStyle w:val="FootnoteReference"/>
        </w:rPr>
        <w:footnoteReference w:id="9"/>
      </w:r>
    </w:p>
    <w:p w:rsidR="003F7D03" w:rsidRPr="00E62FE6" w:rsidRDefault="003F7D03" w:rsidP="000C6D98">
      <w:pPr>
        <w:pStyle w:val="SingleTxtG"/>
      </w:pPr>
      <w:r w:rsidRPr="00E62FE6">
        <w:t>11.</w:t>
      </w:r>
      <w:r w:rsidRPr="00E62FE6">
        <w:tab/>
        <w:t>In</w:t>
      </w:r>
      <w:r w:rsidR="008243CA">
        <w:t xml:space="preserve"> </w:t>
      </w:r>
      <w:r w:rsidRPr="00E62FE6">
        <w:t>addition,</w:t>
      </w:r>
      <w:r w:rsidR="008243CA">
        <w:t xml:space="preserve"> </w:t>
      </w:r>
      <w:r w:rsidRPr="00E62FE6">
        <w:t>these</w:t>
      </w:r>
      <w:r w:rsidR="008243CA">
        <w:t xml:space="preserve"> </w:t>
      </w:r>
      <w:r w:rsidRPr="00E62FE6">
        <w:t>efforts</w:t>
      </w:r>
      <w:r w:rsidR="008243CA">
        <w:t xml:space="preserve"> </w:t>
      </w:r>
      <w:r w:rsidRPr="00E62FE6">
        <w:t>are</w:t>
      </w:r>
      <w:r w:rsidR="008243CA">
        <w:t xml:space="preserve"> </w:t>
      </w:r>
      <w:r w:rsidRPr="00E62FE6">
        <w:t>framed</w:t>
      </w:r>
      <w:r w:rsidR="008243CA">
        <w:t xml:space="preserve"> </w:t>
      </w:r>
      <w:r w:rsidRPr="00E62FE6">
        <w:t>by</w:t>
      </w:r>
      <w:r w:rsidR="008243CA">
        <w:t xml:space="preserve"> </w:t>
      </w:r>
      <w:r w:rsidRPr="00E62FE6">
        <w:t>an</w:t>
      </w:r>
      <w:r w:rsidR="008243CA">
        <w:t xml:space="preserve"> </w:t>
      </w:r>
      <w:r w:rsidRPr="00E62FE6">
        <w:t>international</w:t>
      </w:r>
      <w:r w:rsidR="008243CA">
        <w:t xml:space="preserve"> </w:t>
      </w:r>
      <w:r w:rsidRPr="00E62FE6">
        <w:t>context</w:t>
      </w:r>
      <w:r w:rsidR="008243CA">
        <w:t xml:space="preserve"> </w:t>
      </w:r>
      <w:r w:rsidRPr="00E62FE6">
        <w:t>in</w:t>
      </w:r>
      <w:r w:rsidR="008243CA">
        <w:t xml:space="preserve"> </w:t>
      </w:r>
      <w:r w:rsidRPr="00E62FE6">
        <w:t>which</w:t>
      </w:r>
      <w:r w:rsidR="008243CA">
        <w:t xml:space="preserve"> </w:t>
      </w:r>
      <w:r w:rsidRPr="00E62FE6">
        <w:t>Chile</w:t>
      </w:r>
      <w:r w:rsidR="008243CA">
        <w:t xml:space="preserve"> </w:t>
      </w:r>
      <w:r w:rsidRPr="00E62FE6">
        <w:t>is</w:t>
      </w:r>
      <w:r w:rsidR="008243CA">
        <w:t xml:space="preserve"> </w:t>
      </w:r>
      <w:r w:rsidRPr="00E62FE6">
        <w:t>playing</w:t>
      </w:r>
      <w:r w:rsidR="008243CA">
        <w:t xml:space="preserve"> </w:t>
      </w:r>
      <w:r w:rsidRPr="00E62FE6">
        <w:t>a</w:t>
      </w:r>
      <w:r w:rsidR="008243CA">
        <w:t xml:space="preserve"> </w:t>
      </w:r>
      <w:r w:rsidRPr="00E62FE6">
        <w:t>key</w:t>
      </w:r>
      <w:r w:rsidR="008243CA">
        <w:t xml:space="preserve"> </w:t>
      </w:r>
      <w:r w:rsidRPr="00E62FE6">
        <w:t>role</w:t>
      </w:r>
      <w:r w:rsidR="008243CA">
        <w:t xml:space="preserve"> </w:t>
      </w:r>
      <w:r w:rsidRPr="00E62FE6">
        <w:t>in</w:t>
      </w:r>
      <w:r w:rsidR="008243CA">
        <w:t xml:space="preserve"> </w:t>
      </w:r>
      <w:r w:rsidRPr="00E62FE6">
        <w:t>the</w:t>
      </w:r>
      <w:r w:rsidR="008243CA">
        <w:t xml:space="preserve"> </w:t>
      </w:r>
      <w:r w:rsidRPr="00E62FE6">
        <w:t>prevention</w:t>
      </w:r>
      <w:r w:rsidR="008243CA">
        <w:t xml:space="preserve"> </w:t>
      </w:r>
      <w:r w:rsidRPr="00E62FE6">
        <w:t>of</w:t>
      </w:r>
      <w:r w:rsidR="008243CA">
        <w:t xml:space="preserve"> </w:t>
      </w:r>
      <w:r w:rsidRPr="00E62FE6">
        <w:t>torture.</w:t>
      </w:r>
      <w:r w:rsidR="008243CA">
        <w:t xml:space="preserve"> </w:t>
      </w:r>
      <w:r w:rsidRPr="00E62FE6">
        <w:t>As</w:t>
      </w:r>
      <w:r w:rsidR="008243CA">
        <w:t xml:space="preserve"> </w:t>
      </w:r>
      <w:r w:rsidRPr="00E62FE6">
        <w:t>one</w:t>
      </w:r>
      <w:r w:rsidR="008243CA">
        <w:t xml:space="preserve"> </w:t>
      </w:r>
      <w:r w:rsidRPr="00E62FE6">
        <w:t>of</w:t>
      </w:r>
      <w:r w:rsidR="008243CA">
        <w:t xml:space="preserve"> </w:t>
      </w:r>
      <w:r w:rsidRPr="00E62FE6">
        <w:t>the</w:t>
      </w:r>
      <w:r w:rsidR="008243CA">
        <w:t xml:space="preserve"> </w:t>
      </w:r>
      <w:r w:rsidRPr="00E62FE6">
        <w:t>five</w:t>
      </w:r>
      <w:r w:rsidR="008243CA">
        <w:t xml:space="preserve"> </w:t>
      </w:r>
      <w:r w:rsidRPr="00E62FE6">
        <w:t>countries</w:t>
      </w:r>
      <w:r w:rsidR="008243CA">
        <w:t xml:space="preserve"> </w:t>
      </w:r>
      <w:r w:rsidRPr="00E62FE6">
        <w:t>leading</w:t>
      </w:r>
      <w:r w:rsidR="008243CA">
        <w:t xml:space="preserve"> </w:t>
      </w:r>
      <w:r w:rsidRPr="00E62FE6">
        <w:t>the</w:t>
      </w:r>
      <w:r w:rsidR="008243CA">
        <w:t xml:space="preserve"> </w:t>
      </w:r>
      <w:r w:rsidRPr="00E62FE6">
        <w:t>Convention</w:t>
      </w:r>
      <w:r w:rsidR="008243CA">
        <w:t xml:space="preserve"> </w:t>
      </w:r>
      <w:r w:rsidRPr="00E62FE6">
        <w:t>against</w:t>
      </w:r>
      <w:r w:rsidR="008243CA">
        <w:t xml:space="preserve"> </w:t>
      </w:r>
      <w:r w:rsidRPr="00E62FE6">
        <w:t>Torture</w:t>
      </w:r>
      <w:r w:rsidR="008243CA">
        <w:t xml:space="preserve"> </w:t>
      </w:r>
      <w:r w:rsidRPr="00E62FE6">
        <w:t>Initiative,</w:t>
      </w:r>
      <w:r w:rsidR="008243CA">
        <w:t xml:space="preserve"> </w:t>
      </w:r>
      <w:r w:rsidRPr="00E62FE6">
        <w:t>it</w:t>
      </w:r>
      <w:r w:rsidR="008243CA">
        <w:t xml:space="preserve"> </w:t>
      </w:r>
      <w:r w:rsidRPr="00E62FE6">
        <w:t>has</w:t>
      </w:r>
      <w:r w:rsidR="008243CA">
        <w:t xml:space="preserve"> </w:t>
      </w:r>
      <w:r w:rsidRPr="00E62FE6">
        <w:t>defined</w:t>
      </w:r>
      <w:r w:rsidR="008243CA">
        <w:t xml:space="preserve"> </w:t>
      </w:r>
      <w:r w:rsidRPr="00E62FE6">
        <w:t>torture</w:t>
      </w:r>
      <w:r w:rsidR="008243CA">
        <w:t xml:space="preserve"> </w:t>
      </w:r>
      <w:r w:rsidRPr="00E62FE6">
        <w:t>as</w:t>
      </w:r>
      <w:r w:rsidR="008243CA">
        <w:t xml:space="preserve"> </w:t>
      </w:r>
      <w:r w:rsidRPr="00E62FE6">
        <w:t>an</w:t>
      </w:r>
      <w:r w:rsidR="008243CA">
        <w:t xml:space="preserve"> </w:t>
      </w:r>
      <w:r w:rsidRPr="00E62FE6">
        <w:t>offence</w:t>
      </w:r>
      <w:r w:rsidR="008243CA">
        <w:t xml:space="preserve"> </w:t>
      </w:r>
      <w:r w:rsidRPr="00E62FE6">
        <w:t>(in</w:t>
      </w:r>
      <w:r w:rsidR="008243CA">
        <w:t xml:space="preserve"> </w:t>
      </w:r>
      <w:r w:rsidRPr="00E62FE6">
        <w:t>Act</w:t>
      </w:r>
      <w:r w:rsidR="008243CA">
        <w:t xml:space="preserve"> </w:t>
      </w:r>
      <w:r w:rsidRPr="00E62FE6">
        <w:t>No.</w:t>
      </w:r>
      <w:r w:rsidR="008243CA">
        <w:t xml:space="preserve"> </w:t>
      </w:r>
      <w:r w:rsidRPr="00E62FE6">
        <w:t>20968</w:t>
      </w:r>
      <w:r w:rsidR="008243CA">
        <w:t xml:space="preserve"> </w:t>
      </w:r>
      <w:r w:rsidRPr="00E62FE6">
        <w:t>and</w:t>
      </w:r>
      <w:r w:rsidR="008243CA">
        <w:t xml:space="preserve"> </w:t>
      </w:r>
      <w:r w:rsidRPr="00E62FE6">
        <w:t>established</w:t>
      </w:r>
      <w:r w:rsidR="008243CA">
        <w:t xml:space="preserve"> </w:t>
      </w:r>
      <w:r w:rsidRPr="00E62FE6">
        <w:t>protocols</w:t>
      </w:r>
      <w:r w:rsidR="008243CA">
        <w:t xml:space="preserve"> </w:t>
      </w:r>
      <w:r w:rsidRPr="00E62FE6">
        <w:t>for</w:t>
      </w:r>
      <w:r w:rsidR="008243CA">
        <w:t xml:space="preserve"> </w:t>
      </w:r>
      <w:r w:rsidRPr="00E62FE6">
        <w:t>action</w:t>
      </w:r>
      <w:r w:rsidR="008243CA">
        <w:t xml:space="preserve"> </w:t>
      </w:r>
      <w:r w:rsidRPr="00E62FE6">
        <w:t>against</w:t>
      </w:r>
      <w:r w:rsidR="008243CA">
        <w:t xml:space="preserve"> </w:t>
      </w:r>
      <w:r w:rsidRPr="00E62FE6">
        <w:t>torture</w:t>
      </w:r>
      <w:r w:rsidR="008243CA">
        <w:t xml:space="preserve"> </w:t>
      </w:r>
      <w:r w:rsidRPr="00E62FE6">
        <w:t>in</w:t>
      </w:r>
      <w:r w:rsidR="008243CA">
        <w:t xml:space="preserve"> </w:t>
      </w:r>
      <w:r w:rsidRPr="00E62FE6">
        <w:t>some</w:t>
      </w:r>
      <w:r w:rsidR="008243CA">
        <w:t xml:space="preserve"> </w:t>
      </w:r>
      <w:r w:rsidRPr="00E62FE6">
        <w:t>services.</w:t>
      </w:r>
      <w:r w:rsidR="008243CA">
        <w:t xml:space="preserve"> </w:t>
      </w:r>
      <w:r w:rsidRPr="00E62FE6">
        <w:t>Furthermore,</w:t>
      </w:r>
      <w:r w:rsidR="008243CA">
        <w:t xml:space="preserve"> </w:t>
      </w:r>
      <w:r w:rsidRPr="00E62FE6">
        <w:t>it</w:t>
      </w:r>
      <w:r w:rsidR="008243CA">
        <w:t xml:space="preserve"> </w:t>
      </w:r>
      <w:r w:rsidRPr="00E62FE6">
        <w:t>has</w:t>
      </w:r>
      <w:r w:rsidR="008243CA">
        <w:t xml:space="preserve"> </w:t>
      </w:r>
      <w:r w:rsidRPr="00E62FE6">
        <w:t>tabled</w:t>
      </w:r>
      <w:r w:rsidR="008243CA">
        <w:t xml:space="preserve"> </w:t>
      </w:r>
      <w:r w:rsidRPr="00E62FE6">
        <w:t>a</w:t>
      </w:r>
      <w:r w:rsidR="008243CA">
        <w:t xml:space="preserve"> </w:t>
      </w:r>
      <w:r w:rsidRPr="00E62FE6">
        <w:t>bill</w:t>
      </w:r>
      <w:r w:rsidR="008243CA">
        <w:t xml:space="preserve"> </w:t>
      </w:r>
      <w:r w:rsidRPr="00E62FE6">
        <w:t>designating</w:t>
      </w:r>
      <w:r w:rsidR="008243CA">
        <w:t xml:space="preserve"> </w:t>
      </w:r>
      <w:r w:rsidRPr="00E62FE6">
        <w:t>the</w:t>
      </w:r>
      <w:r w:rsidR="008243CA">
        <w:t xml:space="preserve"> </w:t>
      </w:r>
      <w:r w:rsidRPr="00E62FE6">
        <w:t>National</w:t>
      </w:r>
      <w:r w:rsidR="008243CA">
        <w:t xml:space="preserve"> </w:t>
      </w:r>
      <w:r w:rsidRPr="00E62FE6">
        <w:t>Human</w:t>
      </w:r>
      <w:r w:rsidR="008243CA">
        <w:t xml:space="preserve"> </w:t>
      </w:r>
      <w:r w:rsidRPr="00E62FE6">
        <w:t>Rights</w:t>
      </w:r>
      <w:r w:rsidR="008243CA">
        <w:t xml:space="preserve"> </w:t>
      </w:r>
      <w:r w:rsidRPr="00E62FE6">
        <w:t>Institute</w:t>
      </w:r>
      <w:r w:rsidR="008243CA">
        <w:t xml:space="preserve"> </w:t>
      </w:r>
      <w:r w:rsidRPr="00E62FE6">
        <w:t>as</w:t>
      </w:r>
      <w:r w:rsidR="008243CA">
        <w:t xml:space="preserve"> </w:t>
      </w:r>
      <w:r w:rsidRPr="00E62FE6">
        <w:t>the</w:t>
      </w:r>
      <w:r w:rsidR="008243CA">
        <w:t xml:space="preserve"> </w:t>
      </w:r>
      <w:r w:rsidRPr="00E62FE6">
        <w:t>national</w:t>
      </w:r>
      <w:r w:rsidR="008243CA">
        <w:t xml:space="preserve"> </w:t>
      </w:r>
      <w:r w:rsidRPr="00E62FE6">
        <w:t>preventive</w:t>
      </w:r>
      <w:r w:rsidR="008243CA">
        <w:t xml:space="preserve"> </w:t>
      </w:r>
      <w:r w:rsidRPr="00E62FE6">
        <w:t>mechanism,</w:t>
      </w:r>
      <w:r w:rsidR="008243CA">
        <w:t xml:space="preserve"> </w:t>
      </w:r>
      <w:r w:rsidRPr="00E62FE6">
        <w:t>it</w:t>
      </w:r>
      <w:r w:rsidR="008243CA">
        <w:t xml:space="preserve"> </w:t>
      </w:r>
      <w:r w:rsidRPr="00E62FE6">
        <w:t>has</w:t>
      </w:r>
      <w:r w:rsidR="008243CA">
        <w:t xml:space="preserve"> </w:t>
      </w:r>
      <w:r w:rsidRPr="00E62FE6">
        <w:t>amended</w:t>
      </w:r>
      <w:r w:rsidR="008243CA">
        <w:t xml:space="preserve"> </w:t>
      </w:r>
      <w:r w:rsidRPr="00E62FE6">
        <w:t>the</w:t>
      </w:r>
      <w:r w:rsidR="008243CA">
        <w:t xml:space="preserve"> </w:t>
      </w:r>
      <w:r w:rsidRPr="00E62FE6">
        <w:t>Prison</w:t>
      </w:r>
      <w:r w:rsidR="008243CA">
        <w:t xml:space="preserve"> </w:t>
      </w:r>
      <w:r w:rsidRPr="00E62FE6">
        <w:t>Regulations,</w:t>
      </w:r>
      <w:r w:rsidR="008243CA">
        <w:t xml:space="preserve"> </w:t>
      </w:r>
      <w:r w:rsidRPr="00E62FE6">
        <w:t>and</w:t>
      </w:r>
      <w:r w:rsidR="008243CA">
        <w:t xml:space="preserve"> </w:t>
      </w:r>
      <w:r w:rsidRPr="00E62FE6">
        <w:t>it</w:t>
      </w:r>
      <w:r w:rsidR="008243CA">
        <w:t xml:space="preserve"> </w:t>
      </w:r>
      <w:r w:rsidRPr="00E62FE6">
        <w:t>has</w:t>
      </w:r>
      <w:r w:rsidR="008243CA">
        <w:t xml:space="preserve"> </w:t>
      </w:r>
      <w:r w:rsidRPr="00E62FE6">
        <w:t>decided</w:t>
      </w:r>
      <w:r w:rsidR="008243CA">
        <w:t xml:space="preserve"> </w:t>
      </w:r>
      <w:r w:rsidRPr="00E62FE6">
        <w:t>to</w:t>
      </w:r>
      <w:r w:rsidR="008243CA">
        <w:t xml:space="preserve"> </w:t>
      </w:r>
      <w:r w:rsidRPr="00E62FE6">
        <w:t>make</w:t>
      </w:r>
      <w:r w:rsidR="008243CA">
        <w:t xml:space="preserve"> </w:t>
      </w:r>
      <w:r w:rsidRPr="00E62FE6">
        <w:t>the</w:t>
      </w:r>
      <w:r w:rsidR="008243CA">
        <w:t xml:space="preserve"> </w:t>
      </w:r>
      <w:r w:rsidRPr="00E62FE6">
        <w:t>report</w:t>
      </w:r>
      <w:r w:rsidR="008243CA">
        <w:t xml:space="preserve"> </w:t>
      </w:r>
      <w:r w:rsidRPr="00E62FE6">
        <w:t>of</w:t>
      </w:r>
      <w:r w:rsidR="008243CA">
        <w:t xml:space="preserve"> </w:t>
      </w:r>
      <w:r w:rsidRPr="00E62FE6">
        <w:t>the</w:t>
      </w:r>
      <w:r w:rsidR="008243CA">
        <w:t xml:space="preserve"> </w:t>
      </w:r>
      <w:r w:rsidRPr="00E62FE6">
        <w:t>Subcommittee</w:t>
      </w:r>
      <w:r w:rsidR="008243CA">
        <w:t xml:space="preserve"> </w:t>
      </w:r>
      <w:r w:rsidRPr="00E62FE6">
        <w:t>public,</w:t>
      </w:r>
      <w:r w:rsidR="008243CA">
        <w:t xml:space="preserve"> </w:t>
      </w:r>
      <w:r w:rsidRPr="00E62FE6">
        <w:t>as</w:t>
      </w:r>
      <w:r w:rsidR="008243CA">
        <w:t xml:space="preserve"> </w:t>
      </w:r>
      <w:r w:rsidRPr="00E62FE6">
        <w:t>requested</w:t>
      </w:r>
      <w:r w:rsidR="008243CA">
        <w:t xml:space="preserve"> </w:t>
      </w:r>
      <w:r w:rsidRPr="00E62FE6">
        <w:t>by</w:t>
      </w:r>
      <w:r w:rsidR="008243CA">
        <w:t xml:space="preserve"> </w:t>
      </w:r>
      <w:r w:rsidRPr="00E62FE6">
        <w:t>the</w:t>
      </w:r>
      <w:r w:rsidR="008243CA">
        <w:t xml:space="preserve"> </w:t>
      </w:r>
      <w:r w:rsidRPr="00E62FE6">
        <w:t>Subcommittee</w:t>
      </w:r>
      <w:r w:rsidR="008243CA">
        <w:t xml:space="preserve"> </w:t>
      </w:r>
      <w:r w:rsidRPr="00E62FE6">
        <w:t>in</w:t>
      </w:r>
      <w:r w:rsidR="008243CA">
        <w:t xml:space="preserve"> </w:t>
      </w:r>
      <w:r w:rsidRPr="00E62FE6">
        <w:t>its</w:t>
      </w:r>
      <w:r w:rsidR="008243CA">
        <w:t xml:space="preserve"> </w:t>
      </w:r>
      <w:r w:rsidRPr="00E62FE6">
        <w:t>recommendations.</w:t>
      </w:r>
      <w:r w:rsidRPr="00116F0B">
        <w:rPr>
          <w:rStyle w:val="FootnoteReference"/>
        </w:rPr>
        <w:footnoteReference w:id="10"/>
      </w:r>
      <w:bookmarkStart w:id="14" w:name="page8"/>
      <w:bookmarkEnd w:id="14"/>
    </w:p>
    <w:p w:rsidR="003F7D03" w:rsidRPr="00E62FE6" w:rsidRDefault="003F7D03" w:rsidP="003C6AD4">
      <w:pPr>
        <w:pStyle w:val="H1G"/>
      </w:pPr>
      <w:r w:rsidRPr="00E62FE6">
        <w:tab/>
      </w:r>
      <w:bookmarkStart w:id="15" w:name="_Toc512870674"/>
      <w:bookmarkStart w:id="16" w:name="_Toc512870836"/>
      <w:r w:rsidRPr="00E62FE6">
        <w:t>1.2</w:t>
      </w:r>
      <w:r w:rsidRPr="00E62FE6">
        <w:tab/>
        <w:t>Justice</w:t>
      </w:r>
      <w:r w:rsidR="008243CA">
        <w:t xml:space="preserve"> </w:t>
      </w:r>
      <w:r w:rsidRPr="00E62FE6">
        <w:t>Sector</w:t>
      </w:r>
      <w:r w:rsidR="008243CA">
        <w:t xml:space="preserve"> </w:t>
      </w:r>
      <w:r w:rsidRPr="00E62FE6">
        <w:t>Round</w:t>
      </w:r>
      <w:r w:rsidR="008243CA">
        <w:t xml:space="preserve"> </w:t>
      </w:r>
      <w:r w:rsidRPr="00E62FE6">
        <w:t>Table</w:t>
      </w:r>
      <w:bookmarkEnd w:id="15"/>
      <w:bookmarkEnd w:id="16"/>
    </w:p>
    <w:p w:rsidR="003F7D03" w:rsidRPr="00E62FE6" w:rsidRDefault="003F7D03" w:rsidP="000C6D98">
      <w:pPr>
        <w:pStyle w:val="SingleTxtG"/>
      </w:pPr>
      <w:r w:rsidRPr="00E62FE6">
        <w:t>12.</w:t>
      </w:r>
      <w:r w:rsidRPr="00E62FE6">
        <w:tab/>
        <w:t>In</w:t>
      </w:r>
      <w:r w:rsidR="008243CA">
        <w:t xml:space="preserve"> </w:t>
      </w:r>
      <w:r w:rsidRPr="00E62FE6">
        <w:t>view</w:t>
      </w:r>
      <w:r w:rsidR="008243CA">
        <w:t xml:space="preserve"> </w:t>
      </w:r>
      <w:r w:rsidRPr="00E62FE6">
        <w:t>of</w:t>
      </w:r>
      <w:r w:rsidR="008243CA">
        <w:t xml:space="preserve"> </w:t>
      </w:r>
      <w:r w:rsidRPr="00E62FE6">
        <w:t>the</w:t>
      </w:r>
      <w:r w:rsidR="008243CA">
        <w:t xml:space="preserve"> </w:t>
      </w:r>
      <w:r w:rsidRPr="00E62FE6">
        <w:t>role</w:t>
      </w:r>
      <w:r w:rsidR="008243CA">
        <w:t xml:space="preserve"> </w:t>
      </w:r>
      <w:r w:rsidRPr="00E62FE6">
        <w:t>played</w:t>
      </w:r>
      <w:r w:rsidR="008243CA">
        <w:t xml:space="preserve"> </w:t>
      </w:r>
      <w:r w:rsidRPr="00E62FE6">
        <w:t>by</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Justice</w:t>
      </w:r>
      <w:r w:rsidR="008243CA">
        <w:t xml:space="preserve"> </w:t>
      </w:r>
      <w:r w:rsidRPr="00E62FE6">
        <w:t>and</w:t>
      </w:r>
      <w:r w:rsidR="008243CA">
        <w:t xml:space="preserve"> </w:t>
      </w:r>
      <w:r w:rsidRPr="00E62FE6">
        <w:t>Human</w:t>
      </w:r>
      <w:r w:rsidR="008243CA">
        <w:t xml:space="preserve"> </w:t>
      </w:r>
      <w:r w:rsidRPr="00E62FE6">
        <w:t>Rights</w:t>
      </w:r>
      <w:r w:rsidR="008243CA">
        <w:t xml:space="preserve"> </w:t>
      </w:r>
      <w:r w:rsidRPr="00E62FE6">
        <w:t>in</w:t>
      </w:r>
      <w:r w:rsidR="008243CA">
        <w:t xml:space="preserve"> </w:t>
      </w:r>
      <w:r w:rsidRPr="00E62FE6">
        <w:t>a</w:t>
      </w:r>
      <w:r w:rsidR="008243CA">
        <w:t xml:space="preserve"> </w:t>
      </w:r>
      <w:r w:rsidRPr="00E62FE6">
        <w:t>number</w:t>
      </w:r>
      <w:r w:rsidR="008243CA">
        <w:t xml:space="preserve"> </w:t>
      </w:r>
      <w:r w:rsidRPr="00E62FE6">
        <w:t>of</w:t>
      </w:r>
      <w:r w:rsidR="008243CA">
        <w:t xml:space="preserve"> </w:t>
      </w:r>
      <w:r w:rsidRPr="00E62FE6">
        <w:t>areas</w:t>
      </w:r>
      <w:r w:rsidR="008243CA">
        <w:t xml:space="preserve"> </w:t>
      </w:r>
      <w:r w:rsidRPr="00E62FE6">
        <w:t>directly</w:t>
      </w:r>
      <w:r w:rsidR="008243CA">
        <w:t xml:space="preserve"> </w:t>
      </w:r>
      <w:r w:rsidRPr="00E62FE6">
        <w:t>related</w:t>
      </w:r>
      <w:r w:rsidR="008243CA">
        <w:t xml:space="preserve"> </w:t>
      </w:r>
      <w:r w:rsidRPr="00E62FE6">
        <w:t>to</w:t>
      </w:r>
      <w:r w:rsidR="008243CA">
        <w:t xml:space="preserve"> </w:t>
      </w:r>
      <w:r w:rsidRPr="00E62FE6">
        <w:t>the</w:t>
      </w:r>
      <w:r w:rsidR="008243CA">
        <w:t xml:space="preserve"> </w:t>
      </w:r>
      <w:r w:rsidRPr="00E62FE6">
        <w:t>mandate</w:t>
      </w:r>
      <w:r w:rsidR="008243CA">
        <w:t xml:space="preserve"> </w:t>
      </w:r>
      <w:r w:rsidRPr="00E62FE6">
        <w:t>of</w:t>
      </w:r>
      <w:r w:rsidR="008243CA">
        <w:t xml:space="preserve"> </w:t>
      </w:r>
      <w:r w:rsidRPr="00E62FE6">
        <w:t>the</w:t>
      </w:r>
      <w:r w:rsidR="008243CA">
        <w:t xml:space="preserve"> </w:t>
      </w:r>
      <w:r w:rsidRPr="00E62FE6">
        <w:t>Subcommittee,</w:t>
      </w:r>
      <w:r w:rsidR="008243CA">
        <w:t xml:space="preserve"> </w:t>
      </w:r>
      <w:r w:rsidRPr="00E62FE6">
        <w:t>this</w:t>
      </w:r>
      <w:r w:rsidR="008243CA">
        <w:t xml:space="preserve"> </w:t>
      </w:r>
      <w:r w:rsidRPr="00E62FE6">
        <w:t>Ministry</w:t>
      </w:r>
      <w:r w:rsidR="008243CA">
        <w:t xml:space="preserve"> </w:t>
      </w:r>
      <w:r w:rsidRPr="00E62FE6">
        <w:t>was</w:t>
      </w:r>
      <w:r w:rsidR="008243CA">
        <w:t xml:space="preserve"> </w:t>
      </w:r>
      <w:r w:rsidRPr="00E62FE6">
        <w:t>charged</w:t>
      </w:r>
      <w:r w:rsidR="008243CA">
        <w:t xml:space="preserve"> </w:t>
      </w:r>
      <w:r w:rsidRPr="00E62FE6">
        <w:t>with</w:t>
      </w:r>
      <w:r w:rsidR="008243CA">
        <w:t xml:space="preserve"> </w:t>
      </w:r>
      <w:r w:rsidRPr="00E62FE6">
        <w:t>establishing</w:t>
      </w:r>
      <w:r w:rsidR="008243CA">
        <w:t xml:space="preserve"> </w:t>
      </w:r>
      <w:r w:rsidRPr="00E62FE6">
        <w:t>and</w:t>
      </w:r>
      <w:r w:rsidR="008243CA">
        <w:t xml:space="preserve"> </w:t>
      </w:r>
      <w:r w:rsidRPr="00E62FE6">
        <w:t>coordinating</w:t>
      </w:r>
      <w:r w:rsidR="008243CA">
        <w:t xml:space="preserve"> </w:t>
      </w:r>
      <w:r w:rsidRPr="00E62FE6">
        <w:t>a</w:t>
      </w:r>
      <w:r w:rsidR="008243CA">
        <w:t xml:space="preserve"> </w:t>
      </w:r>
      <w:r w:rsidRPr="00E62FE6">
        <w:t>Justice</w:t>
      </w:r>
      <w:r w:rsidR="008243CA">
        <w:t xml:space="preserve"> </w:t>
      </w:r>
      <w:r w:rsidRPr="00E62FE6">
        <w:t>Sector</w:t>
      </w:r>
      <w:r w:rsidR="008243CA">
        <w:t xml:space="preserve"> </w:t>
      </w:r>
      <w:r w:rsidRPr="00E62FE6">
        <w:t>Round</w:t>
      </w:r>
      <w:r w:rsidR="008243CA">
        <w:t xml:space="preserve"> </w:t>
      </w:r>
      <w:r w:rsidRPr="00E62FE6">
        <w:t>Table,</w:t>
      </w:r>
      <w:r w:rsidR="008243CA">
        <w:t xml:space="preserve"> </w:t>
      </w:r>
      <w:r w:rsidRPr="00E62FE6">
        <w:t>made</w:t>
      </w:r>
      <w:r w:rsidR="008243CA">
        <w:t xml:space="preserve"> </w:t>
      </w:r>
      <w:r w:rsidRPr="00E62FE6">
        <w:t>up</w:t>
      </w:r>
      <w:r w:rsidR="008243CA">
        <w:t xml:space="preserve"> </w:t>
      </w:r>
      <w:r w:rsidRPr="00E62FE6">
        <w:t>of</w:t>
      </w:r>
      <w:r w:rsidR="008243CA">
        <w:t xml:space="preserve"> </w:t>
      </w:r>
      <w:r w:rsidRPr="00E62FE6">
        <w:t>representatives</w:t>
      </w:r>
      <w:r w:rsidR="008243CA">
        <w:t xml:space="preserve"> </w:t>
      </w:r>
      <w:r w:rsidRPr="00E62FE6">
        <w:t>of</w:t>
      </w:r>
      <w:r w:rsidR="008243CA">
        <w:t xml:space="preserve"> </w:t>
      </w:r>
      <w:r w:rsidRPr="00E62FE6">
        <w:t>the</w:t>
      </w:r>
      <w:r w:rsidR="008243CA">
        <w:t xml:space="preserve"> </w:t>
      </w:r>
      <w:r w:rsidRPr="00E62FE6">
        <w:t>Public</w:t>
      </w:r>
      <w:r w:rsidR="008243CA">
        <w:t xml:space="preserve"> </w:t>
      </w:r>
      <w:r w:rsidRPr="00E62FE6">
        <w:t>Criminal</w:t>
      </w:r>
      <w:r w:rsidR="008243CA">
        <w:t xml:space="preserve"> </w:t>
      </w:r>
      <w:r w:rsidRPr="00E62FE6">
        <w:t>Defender</w:t>
      </w:r>
      <w:r w:rsidR="008243CA">
        <w:t xml:space="preserve"> </w:t>
      </w:r>
      <w:r w:rsidRPr="00E62FE6">
        <w:t>Service,</w:t>
      </w:r>
      <w:r w:rsidRPr="00116F0B">
        <w:rPr>
          <w:rStyle w:val="FootnoteReference"/>
        </w:rPr>
        <w:footnoteReference w:id="11"/>
      </w:r>
      <w:r w:rsidR="008243CA">
        <w:t xml:space="preserve"> </w:t>
      </w:r>
      <w:r w:rsidRPr="00E62FE6">
        <w:t>the</w:t>
      </w:r>
      <w:r w:rsidR="008243CA">
        <w:t xml:space="preserve"> </w:t>
      </w:r>
      <w:r w:rsidRPr="00E62FE6">
        <w:t>Prison</w:t>
      </w:r>
      <w:r w:rsidR="008243CA">
        <w:t xml:space="preserve"> </w:t>
      </w:r>
      <w:r w:rsidRPr="00E62FE6">
        <w:t>Service</w:t>
      </w:r>
      <w:r w:rsidRPr="00116F0B">
        <w:rPr>
          <w:rStyle w:val="FootnoteReference"/>
        </w:rPr>
        <w:footnoteReference w:id="12"/>
      </w:r>
      <w:r w:rsidR="008243CA">
        <w:t xml:space="preserve"> </w:t>
      </w:r>
      <w:r w:rsidRPr="00E62FE6">
        <w:t>and</w:t>
      </w:r>
      <w:r w:rsidR="008243CA">
        <w:t xml:space="preserve"> </w:t>
      </w:r>
      <w:r w:rsidRPr="00E62FE6">
        <w:t>the</w:t>
      </w:r>
      <w:r w:rsidR="008243CA">
        <w:t xml:space="preserve"> </w:t>
      </w:r>
      <w:r w:rsidRPr="00E62FE6">
        <w:t>National</w:t>
      </w:r>
      <w:r w:rsidR="008243CA">
        <w:t xml:space="preserve"> </w:t>
      </w:r>
      <w:r w:rsidRPr="00E62FE6">
        <w:t>Service</w:t>
      </w:r>
      <w:r w:rsidR="008243CA">
        <w:t xml:space="preserve"> </w:t>
      </w:r>
      <w:r w:rsidRPr="00E62FE6">
        <w:t>for</w:t>
      </w:r>
      <w:r w:rsidR="008243CA">
        <w:t xml:space="preserve"> </w:t>
      </w:r>
      <w:r w:rsidRPr="00E62FE6">
        <w:t>Minors</w:t>
      </w:r>
      <w:r w:rsidR="008243CA">
        <w:t xml:space="preserve"> </w:t>
      </w:r>
      <w:r w:rsidRPr="00E62FE6">
        <w:t>(SENAME).</w:t>
      </w:r>
      <w:r w:rsidRPr="00116F0B">
        <w:rPr>
          <w:rStyle w:val="FootnoteReference"/>
        </w:rPr>
        <w:footnoteReference w:id="13"/>
      </w:r>
      <w:r w:rsidR="008243CA">
        <w:t xml:space="preserve"> </w:t>
      </w:r>
      <w:r w:rsidRPr="00E62FE6">
        <w:t>In</w:t>
      </w:r>
      <w:r w:rsidR="008243CA">
        <w:t xml:space="preserve"> </w:t>
      </w:r>
      <w:r w:rsidRPr="00E62FE6">
        <w:t>particular,</w:t>
      </w:r>
      <w:r w:rsidR="008243CA">
        <w:t xml:space="preserve"> </w:t>
      </w:r>
      <w:r w:rsidRPr="00E62FE6">
        <w:t>the</w:t>
      </w:r>
      <w:r w:rsidR="008243CA">
        <w:t xml:space="preserve"> </w:t>
      </w:r>
      <w:r w:rsidRPr="00E62FE6">
        <w:t>Ministry</w:t>
      </w:r>
      <w:r w:rsidR="008243CA">
        <w:t xml:space="preserve"> </w:t>
      </w:r>
      <w:r w:rsidRPr="00E62FE6">
        <w:t>and</w:t>
      </w:r>
      <w:r w:rsidR="008243CA">
        <w:t xml:space="preserve"> </w:t>
      </w:r>
      <w:r w:rsidRPr="00E62FE6">
        <w:t>the</w:t>
      </w:r>
      <w:r w:rsidR="008243CA">
        <w:t xml:space="preserve"> </w:t>
      </w:r>
      <w:r w:rsidRPr="00E62FE6">
        <w:t>associated</w:t>
      </w:r>
      <w:r w:rsidR="008243CA">
        <w:t xml:space="preserve"> </w:t>
      </w:r>
      <w:r w:rsidRPr="00E62FE6">
        <w:t>services</w:t>
      </w:r>
      <w:r w:rsidR="008243CA">
        <w:t xml:space="preserve"> </w:t>
      </w:r>
      <w:r w:rsidRPr="00E62FE6">
        <w:t>were</w:t>
      </w:r>
      <w:r w:rsidR="008243CA">
        <w:t xml:space="preserve"> </w:t>
      </w:r>
      <w:r w:rsidRPr="00E62FE6">
        <w:t>responsible</w:t>
      </w:r>
      <w:r w:rsidR="008243CA">
        <w:t xml:space="preserve"> </w:t>
      </w:r>
      <w:r w:rsidRPr="00E62FE6">
        <w:t>for</w:t>
      </w:r>
      <w:r w:rsidR="008243CA">
        <w:t xml:space="preserve"> </w:t>
      </w:r>
      <w:r w:rsidRPr="00E62FE6">
        <w:t>finding</w:t>
      </w:r>
      <w:r w:rsidR="008243CA">
        <w:t xml:space="preserve"> </w:t>
      </w:r>
      <w:r w:rsidRPr="00E62FE6">
        <w:t>solutions</w:t>
      </w:r>
      <w:r w:rsidR="008243CA">
        <w:t xml:space="preserve"> </w:t>
      </w:r>
      <w:r w:rsidRPr="00E62FE6">
        <w:t>to</w:t>
      </w:r>
      <w:r w:rsidR="008243CA">
        <w:t xml:space="preserve"> </w:t>
      </w:r>
      <w:r w:rsidRPr="00E62FE6">
        <w:t>approximately</w:t>
      </w:r>
      <w:r w:rsidR="008243CA">
        <w:t xml:space="preserve"> </w:t>
      </w:r>
      <w:r w:rsidRPr="00E62FE6">
        <w:t>30</w:t>
      </w:r>
      <w:r w:rsidR="008243CA">
        <w:t xml:space="preserve"> </w:t>
      </w:r>
      <w:r w:rsidRPr="00E62FE6">
        <w:t>of</w:t>
      </w:r>
      <w:r w:rsidR="008243CA">
        <w:t xml:space="preserve"> </w:t>
      </w:r>
      <w:r w:rsidRPr="00E62FE6">
        <w:t>the</w:t>
      </w:r>
      <w:r w:rsidR="008243CA">
        <w:t xml:space="preserve"> </w:t>
      </w:r>
      <w:r w:rsidRPr="00E62FE6">
        <w:t>Subcommittee</w:t>
      </w:r>
      <w:r w:rsidR="00116F0B">
        <w:t>’</w:t>
      </w:r>
      <w:r w:rsidRPr="00E62FE6">
        <w:t>s</w:t>
      </w:r>
      <w:r w:rsidR="008243CA">
        <w:t xml:space="preserve"> </w:t>
      </w:r>
      <w:r w:rsidRPr="00E62FE6">
        <w:t>recommendations.</w:t>
      </w:r>
      <w:r w:rsidR="008243CA">
        <w:t xml:space="preserve"> </w:t>
      </w:r>
      <w:r w:rsidRPr="00E62FE6">
        <w:t>The</w:t>
      </w:r>
      <w:r w:rsidR="008243CA">
        <w:t xml:space="preserve"> </w:t>
      </w:r>
      <w:r w:rsidRPr="00E62FE6">
        <w:t>Round</w:t>
      </w:r>
      <w:r w:rsidR="008243CA">
        <w:t xml:space="preserve"> </w:t>
      </w:r>
      <w:r w:rsidRPr="00E62FE6">
        <w:t>Table</w:t>
      </w:r>
      <w:r w:rsidR="008243CA">
        <w:t xml:space="preserve"> </w:t>
      </w:r>
      <w:r w:rsidRPr="00E62FE6">
        <w:t>was</w:t>
      </w:r>
      <w:r w:rsidR="008243CA">
        <w:t xml:space="preserve"> </w:t>
      </w:r>
      <w:r w:rsidRPr="00E62FE6">
        <w:t>coordinated</w:t>
      </w:r>
      <w:r w:rsidR="008243CA">
        <w:t xml:space="preserve"> </w:t>
      </w:r>
      <w:r w:rsidRPr="00E62FE6">
        <w:t>primarily</w:t>
      </w:r>
      <w:r w:rsidR="008243CA">
        <w:t xml:space="preserve"> </w:t>
      </w:r>
      <w:r w:rsidRPr="00E62FE6">
        <w:t>by</w:t>
      </w:r>
      <w:r w:rsidR="008243CA">
        <w:t xml:space="preserve"> </w:t>
      </w:r>
      <w:r w:rsidRPr="00E62FE6">
        <w:t>the</w:t>
      </w:r>
      <w:r w:rsidR="008243CA">
        <w:t xml:space="preserve"> </w:t>
      </w:r>
      <w:r w:rsidRPr="00E62FE6">
        <w:t>Human</w:t>
      </w:r>
      <w:r w:rsidR="008243CA">
        <w:t xml:space="preserve"> </w:t>
      </w:r>
      <w:r w:rsidRPr="00E62FE6">
        <w:t>Rights</w:t>
      </w:r>
      <w:r w:rsidR="008243CA">
        <w:t xml:space="preserve"> </w:t>
      </w:r>
      <w:r w:rsidRPr="00E62FE6">
        <w:t>Unit</w:t>
      </w:r>
      <w:r w:rsidR="008243CA">
        <w:t xml:space="preserve"> </w:t>
      </w:r>
      <w:r w:rsidRPr="00E62FE6">
        <w:t>of</w:t>
      </w:r>
      <w:r w:rsidR="008243CA">
        <w:t xml:space="preserve"> </w:t>
      </w:r>
      <w:r w:rsidRPr="00E62FE6">
        <w:t>the</w:t>
      </w:r>
      <w:r w:rsidR="008243CA">
        <w:t xml:space="preserve"> </w:t>
      </w:r>
      <w:r w:rsidRPr="00E62FE6">
        <w:t>Ministry</w:t>
      </w:r>
      <w:r w:rsidR="008243CA">
        <w:t xml:space="preserve"> </w:t>
      </w:r>
      <w:r w:rsidRPr="00E62FE6">
        <w:t>and</w:t>
      </w:r>
      <w:r w:rsidR="008243CA">
        <w:t xml:space="preserve"> </w:t>
      </w:r>
      <w:r w:rsidRPr="00E62FE6">
        <w:t>composed</w:t>
      </w:r>
      <w:r w:rsidR="008243CA">
        <w:t xml:space="preserve"> </w:t>
      </w:r>
      <w:r w:rsidRPr="00E62FE6">
        <w:t>of</w:t>
      </w:r>
      <w:r w:rsidR="008243CA">
        <w:t xml:space="preserve"> </w:t>
      </w:r>
      <w:r w:rsidRPr="00E62FE6">
        <w:t>members</w:t>
      </w:r>
      <w:r w:rsidR="008243CA">
        <w:t xml:space="preserve"> </w:t>
      </w:r>
      <w:r w:rsidRPr="00E62FE6">
        <w:t>of</w:t>
      </w:r>
      <w:r w:rsidR="008243CA">
        <w:t xml:space="preserve"> </w:t>
      </w:r>
      <w:r w:rsidRPr="00E62FE6">
        <w:t>the</w:t>
      </w:r>
      <w:r w:rsidR="008243CA">
        <w:t xml:space="preserve"> </w:t>
      </w:r>
      <w:r w:rsidRPr="00E62FE6">
        <w:t>Social</w:t>
      </w:r>
      <w:r w:rsidR="008243CA">
        <w:t xml:space="preserve"> </w:t>
      </w:r>
      <w:r w:rsidRPr="00E62FE6">
        <w:t>Reintegration</w:t>
      </w:r>
      <w:r w:rsidR="008243CA">
        <w:t xml:space="preserve"> </w:t>
      </w:r>
      <w:r w:rsidRPr="00E62FE6">
        <w:t>Division</w:t>
      </w:r>
      <w:r w:rsidR="008243CA">
        <w:t xml:space="preserve"> </w:t>
      </w:r>
      <w:r w:rsidRPr="00E62FE6">
        <w:t>of</w:t>
      </w:r>
      <w:r w:rsidR="008243CA">
        <w:t xml:space="preserve"> </w:t>
      </w:r>
      <w:r w:rsidRPr="00E62FE6">
        <w:t>the</w:t>
      </w:r>
      <w:r w:rsidR="008243CA">
        <w:t xml:space="preserve"> </w:t>
      </w:r>
      <w:r w:rsidRPr="00E62FE6">
        <w:t>Ministry,</w:t>
      </w:r>
      <w:r w:rsidR="008243CA">
        <w:t xml:space="preserve"> </w:t>
      </w:r>
      <w:r w:rsidRPr="00E62FE6">
        <w:t>SENAME,</w:t>
      </w:r>
      <w:r w:rsidR="008243CA">
        <w:t xml:space="preserve"> </w:t>
      </w:r>
      <w:r w:rsidRPr="00E62FE6">
        <w:t>the</w:t>
      </w:r>
      <w:r w:rsidR="008243CA">
        <w:t xml:space="preserve"> </w:t>
      </w:r>
      <w:r w:rsidRPr="00E62FE6">
        <w:t>Prison</w:t>
      </w:r>
      <w:r w:rsidR="008243CA">
        <w:t xml:space="preserve"> </w:t>
      </w:r>
      <w:r w:rsidRPr="00E62FE6">
        <w:t>Service</w:t>
      </w:r>
      <w:r w:rsidR="008243CA">
        <w:t xml:space="preserve"> </w:t>
      </w:r>
      <w:r w:rsidRPr="00E62FE6">
        <w:t>and</w:t>
      </w:r>
      <w:r w:rsidR="008243CA">
        <w:t xml:space="preserve"> </w:t>
      </w:r>
      <w:r w:rsidRPr="00E62FE6">
        <w:t>the</w:t>
      </w:r>
      <w:r w:rsidR="008243CA">
        <w:t xml:space="preserve"> </w:t>
      </w:r>
      <w:r w:rsidRPr="00E62FE6">
        <w:t>Public</w:t>
      </w:r>
      <w:r w:rsidR="008243CA">
        <w:t xml:space="preserve"> </w:t>
      </w:r>
      <w:r w:rsidRPr="00E62FE6">
        <w:t>Criminal</w:t>
      </w:r>
      <w:r w:rsidR="008243CA">
        <w:t xml:space="preserve"> </w:t>
      </w:r>
      <w:r w:rsidRPr="00E62FE6">
        <w:t>Defender</w:t>
      </w:r>
      <w:r w:rsidR="008243CA">
        <w:t xml:space="preserve"> </w:t>
      </w:r>
      <w:r w:rsidRPr="00E62FE6">
        <w:t>Service.</w:t>
      </w:r>
      <w:r w:rsidRPr="00116F0B">
        <w:rPr>
          <w:rStyle w:val="FootnoteReference"/>
        </w:rPr>
        <w:footnoteReference w:id="14"/>
      </w:r>
    </w:p>
    <w:p w:rsidR="003F7D03" w:rsidRPr="00E62FE6" w:rsidRDefault="003F7D03" w:rsidP="000C6D98">
      <w:pPr>
        <w:pStyle w:val="SingleTxtG"/>
      </w:pPr>
      <w:r w:rsidRPr="00E62FE6">
        <w:t>13.</w:t>
      </w:r>
      <w:r w:rsidRPr="00E62FE6">
        <w:tab/>
        <w:t>The</w:t>
      </w:r>
      <w:r w:rsidR="008243CA">
        <w:t xml:space="preserve"> </w:t>
      </w:r>
      <w:r w:rsidRPr="00E62FE6">
        <w:t>Justice</w:t>
      </w:r>
      <w:r w:rsidR="008243CA">
        <w:t xml:space="preserve"> </w:t>
      </w:r>
      <w:r w:rsidRPr="00E62FE6">
        <w:t>Sector</w:t>
      </w:r>
      <w:r w:rsidR="008243CA">
        <w:t xml:space="preserve"> </w:t>
      </w:r>
      <w:r w:rsidRPr="00E62FE6">
        <w:t>Round</w:t>
      </w:r>
      <w:r w:rsidR="008243CA">
        <w:t xml:space="preserve"> </w:t>
      </w:r>
      <w:r w:rsidRPr="00E62FE6">
        <w:t>Table</w:t>
      </w:r>
      <w:r w:rsidR="008243CA">
        <w:t xml:space="preserve"> </w:t>
      </w:r>
      <w:r w:rsidRPr="00E62FE6">
        <w:t>held</w:t>
      </w:r>
      <w:r w:rsidR="008243CA">
        <w:t xml:space="preserve"> </w:t>
      </w:r>
      <w:r w:rsidRPr="00E62FE6">
        <w:t>three</w:t>
      </w:r>
      <w:r w:rsidR="008243CA">
        <w:t xml:space="preserve"> </w:t>
      </w:r>
      <w:r w:rsidRPr="00E62FE6">
        <w:t>coordination</w:t>
      </w:r>
      <w:r w:rsidR="008243CA">
        <w:t xml:space="preserve"> </w:t>
      </w:r>
      <w:r w:rsidRPr="00E62FE6">
        <w:t>and</w:t>
      </w:r>
      <w:r w:rsidR="008243CA">
        <w:t xml:space="preserve"> </w:t>
      </w:r>
      <w:r w:rsidRPr="00E62FE6">
        <w:t>follow-up</w:t>
      </w:r>
      <w:r w:rsidR="008243CA">
        <w:t xml:space="preserve"> </w:t>
      </w:r>
      <w:r w:rsidRPr="00E62FE6">
        <w:t>meetings</w:t>
      </w:r>
      <w:r w:rsidR="008243CA">
        <w:t xml:space="preserve"> </w:t>
      </w:r>
      <w:r w:rsidRPr="00E62FE6">
        <w:t>between</w:t>
      </w:r>
      <w:r w:rsidR="008243CA">
        <w:t xml:space="preserve"> </w:t>
      </w:r>
      <w:r w:rsidRPr="00E62FE6">
        <w:t>October</w:t>
      </w:r>
      <w:r w:rsidR="008243CA">
        <w:t xml:space="preserve"> </w:t>
      </w:r>
      <w:r w:rsidRPr="00E62FE6">
        <w:t>and</w:t>
      </w:r>
      <w:r w:rsidR="008243CA">
        <w:t xml:space="preserve"> </w:t>
      </w:r>
      <w:r w:rsidRPr="00E62FE6">
        <w:t>November</w:t>
      </w:r>
      <w:r w:rsidR="008243CA">
        <w:t xml:space="preserve"> </w:t>
      </w:r>
      <w:r w:rsidRPr="00E62FE6">
        <w:t>2016,</w:t>
      </w:r>
      <w:r w:rsidR="008243CA">
        <w:t xml:space="preserve"> </w:t>
      </w:r>
      <w:r w:rsidRPr="00E62FE6">
        <w:t>during</w:t>
      </w:r>
      <w:r w:rsidR="008243CA">
        <w:t xml:space="preserve"> </w:t>
      </w:r>
      <w:r w:rsidRPr="00E62FE6">
        <w:t>which</w:t>
      </w:r>
      <w:r w:rsidR="008243CA">
        <w:t xml:space="preserve"> </w:t>
      </w:r>
      <w:r w:rsidRPr="00E62FE6">
        <w:t>a</w:t>
      </w:r>
      <w:r w:rsidR="008243CA">
        <w:t xml:space="preserve"> </w:t>
      </w:r>
      <w:proofErr w:type="spellStart"/>
      <w:r w:rsidRPr="00E62FE6">
        <w:t>workplan</w:t>
      </w:r>
      <w:proofErr w:type="spellEnd"/>
      <w:r w:rsidR="008243CA">
        <w:t xml:space="preserve"> </w:t>
      </w:r>
      <w:r w:rsidRPr="00E62FE6">
        <w:t>was</w:t>
      </w:r>
      <w:r w:rsidR="008243CA">
        <w:t xml:space="preserve"> </w:t>
      </w:r>
      <w:r w:rsidRPr="00E62FE6">
        <w:t>drawn</w:t>
      </w:r>
      <w:r w:rsidR="008243CA">
        <w:t xml:space="preserve"> </w:t>
      </w:r>
      <w:r w:rsidRPr="00E62FE6">
        <w:t>up,</w:t>
      </w:r>
      <w:r w:rsidR="008243CA">
        <w:t xml:space="preserve"> </w:t>
      </w:r>
      <w:r w:rsidRPr="00E62FE6">
        <w:t>specifying</w:t>
      </w:r>
      <w:r w:rsidR="008243CA">
        <w:t xml:space="preserve"> </w:t>
      </w:r>
      <w:r w:rsidRPr="00E62FE6">
        <w:t>the</w:t>
      </w:r>
      <w:r w:rsidR="008243CA">
        <w:t xml:space="preserve"> </w:t>
      </w:r>
      <w:r w:rsidRPr="00E62FE6">
        <w:t>time</w:t>
      </w:r>
      <w:r w:rsidR="008243CA">
        <w:t xml:space="preserve"> </w:t>
      </w:r>
      <w:r w:rsidRPr="00E62FE6">
        <w:t>frames</w:t>
      </w:r>
      <w:r w:rsidR="008243CA">
        <w:t xml:space="preserve"> </w:t>
      </w:r>
      <w:r w:rsidRPr="00E62FE6">
        <w:t>and</w:t>
      </w:r>
      <w:r w:rsidR="008243CA">
        <w:t xml:space="preserve"> </w:t>
      </w:r>
      <w:r w:rsidRPr="00E62FE6">
        <w:t>persons</w:t>
      </w:r>
      <w:r w:rsidR="008243CA">
        <w:t xml:space="preserve"> </w:t>
      </w:r>
      <w:r w:rsidRPr="00E62FE6">
        <w:t>responsible</w:t>
      </w:r>
      <w:r w:rsidR="008243CA">
        <w:t xml:space="preserve"> </w:t>
      </w:r>
      <w:r w:rsidRPr="00E62FE6">
        <w:t>for</w:t>
      </w:r>
      <w:r w:rsidR="008243CA">
        <w:t xml:space="preserve"> </w:t>
      </w:r>
      <w:r w:rsidRPr="00E62FE6">
        <w:t>each</w:t>
      </w:r>
      <w:r w:rsidR="008243CA">
        <w:t xml:space="preserve"> </w:t>
      </w:r>
      <w:r w:rsidRPr="00E62FE6">
        <w:t>of</w:t>
      </w:r>
      <w:r w:rsidR="008243CA">
        <w:t xml:space="preserve"> </w:t>
      </w:r>
      <w:r w:rsidRPr="00E62FE6">
        <w:t>the</w:t>
      </w:r>
      <w:r w:rsidR="008243CA">
        <w:t xml:space="preserve"> </w:t>
      </w:r>
      <w:r w:rsidRPr="00E62FE6">
        <w:t>measures</w:t>
      </w:r>
      <w:r w:rsidR="008243CA">
        <w:t xml:space="preserve"> </w:t>
      </w:r>
      <w:r w:rsidRPr="00E62FE6">
        <w:t>to</w:t>
      </w:r>
      <w:r w:rsidR="008243CA">
        <w:t xml:space="preserve"> </w:t>
      </w:r>
      <w:r w:rsidRPr="00E62FE6">
        <w:t>be</w:t>
      </w:r>
      <w:r w:rsidR="008243CA">
        <w:t xml:space="preserve"> </w:t>
      </w:r>
      <w:r w:rsidRPr="00E62FE6">
        <w:t>taken</w:t>
      </w:r>
      <w:r w:rsidR="008243CA">
        <w:t xml:space="preserve"> </w:t>
      </w:r>
      <w:r w:rsidRPr="00E62FE6">
        <w:t>by</w:t>
      </w:r>
      <w:r w:rsidR="008243CA">
        <w:t xml:space="preserve"> </w:t>
      </w:r>
      <w:r w:rsidRPr="00E62FE6">
        <w:t>the</w:t>
      </w:r>
      <w:r w:rsidR="008243CA">
        <w:t xml:space="preserve"> </w:t>
      </w:r>
      <w:r w:rsidRPr="00E62FE6">
        <w:t>different</w:t>
      </w:r>
      <w:r w:rsidR="008243CA">
        <w:t xml:space="preserve"> </w:t>
      </w:r>
      <w:r w:rsidRPr="00E62FE6">
        <w:t>services.</w:t>
      </w:r>
      <w:r w:rsidRPr="00116F0B">
        <w:rPr>
          <w:rStyle w:val="FootnoteReference"/>
        </w:rPr>
        <w:footnoteReference w:id="15"/>
      </w:r>
      <w:r w:rsidR="008243CA">
        <w:t xml:space="preserve"> </w:t>
      </w:r>
      <w:r w:rsidRPr="00E62FE6">
        <w:t>Meanwhile,</w:t>
      </w:r>
      <w:r w:rsidR="008243CA">
        <w:t xml:space="preserve"> </w:t>
      </w:r>
      <w:r w:rsidRPr="00E62FE6">
        <w:t>the</w:t>
      </w:r>
      <w:r w:rsidR="008243CA">
        <w:t xml:space="preserve"> </w:t>
      </w:r>
      <w:r w:rsidRPr="00E62FE6">
        <w:t>Human</w:t>
      </w:r>
      <w:r w:rsidR="008243CA">
        <w:t xml:space="preserve"> </w:t>
      </w:r>
      <w:r w:rsidRPr="00E62FE6">
        <w:t>Rights</w:t>
      </w:r>
      <w:r w:rsidR="008243CA">
        <w:t xml:space="preserve"> </w:t>
      </w:r>
      <w:r w:rsidRPr="00E62FE6">
        <w:t>Unit</w:t>
      </w:r>
      <w:r w:rsidR="008243CA">
        <w:t xml:space="preserve"> </w:t>
      </w:r>
      <w:r w:rsidRPr="00E62FE6">
        <w:t>met</w:t>
      </w:r>
      <w:r w:rsidR="008243CA">
        <w:t xml:space="preserve"> </w:t>
      </w:r>
      <w:r w:rsidRPr="00E62FE6">
        <w:t>with</w:t>
      </w:r>
      <w:r w:rsidR="008243CA">
        <w:t xml:space="preserve"> </w:t>
      </w:r>
      <w:r w:rsidRPr="00E62FE6">
        <w:t>the</w:t>
      </w:r>
      <w:r w:rsidR="008243CA">
        <w:t xml:space="preserve"> </w:t>
      </w:r>
      <w:r w:rsidRPr="00E62FE6">
        <w:t>individual</w:t>
      </w:r>
      <w:r w:rsidR="008243CA">
        <w:t xml:space="preserve"> </w:t>
      </w:r>
      <w:r w:rsidRPr="00E62FE6">
        <w:t>services</w:t>
      </w:r>
      <w:r w:rsidR="008243CA">
        <w:t xml:space="preserve"> </w:t>
      </w:r>
      <w:r w:rsidRPr="00E62FE6">
        <w:t>and</w:t>
      </w:r>
      <w:r w:rsidR="008243CA">
        <w:t xml:space="preserve"> </w:t>
      </w:r>
      <w:r w:rsidRPr="00E62FE6">
        <w:t>noted</w:t>
      </w:r>
      <w:r w:rsidR="008243CA">
        <w:t xml:space="preserve"> </w:t>
      </w:r>
      <w:r w:rsidRPr="00E62FE6">
        <w:t>that</w:t>
      </w:r>
      <w:r w:rsidR="008243CA">
        <w:t xml:space="preserve"> </w:t>
      </w:r>
      <w:r w:rsidRPr="00E62FE6">
        <w:t>the</w:t>
      </w:r>
      <w:r w:rsidR="008243CA">
        <w:t xml:space="preserve"> </w:t>
      </w:r>
      <w:r w:rsidRPr="00E62FE6">
        <w:t>implementation</w:t>
      </w:r>
      <w:r w:rsidR="008243CA">
        <w:t xml:space="preserve"> </w:t>
      </w:r>
      <w:r w:rsidRPr="00E62FE6">
        <w:t>of</w:t>
      </w:r>
      <w:r w:rsidR="008243CA">
        <w:t xml:space="preserve"> </w:t>
      </w:r>
      <w:r w:rsidRPr="00E62FE6">
        <w:t>some</w:t>
      </w:r>
      <w:r w:rsidR="008243CA">
        <w:t xml:space="preserve"> </w:t>
      </w:r>
      <w:r w:rsidRPr="00E62FE6">
        <w:t>recommendations</w:t>
      </w:r>
      <w:r w:rsidR="008243CA">
        <w:t xml:space="preserve"> </w:t>
      </w:r>
      <w:r w:rsidRPr="00E62FE6">
        <w:t>would</w:t>
      </w:r>
      <w:r w:rsidR="008243CA">
        <w:t xml:space="preserve"> </w:t>
      </w:r>
      <w:r w:rsidRPr="00E62FE6">
        <w:t>require</w:t>
      </w:r>
      <w:r w:rsidR="008243CA">
        <w:t xml:space="preserve"> </w:t>
      </w:r>
      <w:r w:rsidRPr="00E62FE6">
        <w:t>collaboration</w:t>
      </w:r>
      <w:r w:rsidR="008243CA">
        <w:t xml:space="preserve"> </w:t>
      </w:r>
      <w:r w:rsidRPr="00E62FE6">
        <w:t>with</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Health.</w:t>
      </w:r>
      <w:r w:rsidR="008243CA">
        <w:t xml:space="preserve"> </w:t>
      </w:r>
      <w:r w:rsidRPr="00E62FE6">
        <w:t>A</w:t>
      </w:r>
      <w:r w:rsidR="008243CA">
        <w:t xml:space="preserve"> </w:t>
      </w:r>
      <w:r w:rsidRPr="00E62FE6">
        <w:t>health</w:t>
      </w:r>
      <w:r w:rsidR="008243CA">
        <w:t xml:space="preserve"> </w:t>
      </w:r>
      <w:r w:rsidRPr="00E62FE6">
        <w:t>subcommittee,</w:t>
      </w:r>
      <w:r w:rsidR="008243CA">
        <w:t xml:space="preserve"> </w:t>
      </w:r>
      <w:r w:rsidRPr="00E62FE6">
        <w:t>involving</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Justice</w:t>
      </w:r>
      <w:r w:rsidR="008243CA">
        <w:t xml:space="preserve"> </w:t>
      </w:r>
      <w:r w:rsidRPr="00E62FE6">
        <w:t>and</w:t>
      </w:r>
      <w:r w:rsidR="008243CA">
        <w:t xml:space="preserve"> </w:t>
      </w:r>
      <w:r w:rsidRPr="00E62FE6">
        <w:t>Human</w:t>
      </w:r>
      <w:r w:rsidR="008243CA">
        <w:t xml:space="preserve"> </w:t>
      </w:r>
      <w:r w:rsidRPr="00E62FE6">
        <w:t>Rights,</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Health,</w:t>
      </w:r>
      <w:r w:rsidR="008243CA">
        <w:t xml:space="preserve"> </w:t>
      </w:r>
      <w:r w:rsidRPr="00E62FE6">
        <w:t>SENAME</w:t>
      </w:r>
      <w:r w:rsidR="008243CA">
        <w:t xml:space="preserve"> </w:t>
      </w:r>
      <w:r w:rsidRPr="00E62FE6">
        <w:t>and</w:t>
      </w:r>
      <w:r w:rsidR="008243CA">
        <w:t xml:space="preserve"> </w:t>
      </w:r>
      <w:r w:rsidRPr="00E62FE6">
        <w:t>the</w:t>
      </w:r>
      <w:r w:rsidR="008243CA">
        <w:t xml:space="preserve"> </w:t>
      </w:r>
      <w:r w:rsidRPr="00E62FE6">
        <w:t>Prison</w:t>
      </w:r>
      <w:r w:rsidR="008243CA">
        <w:t xml:space="preserve"> </w:t>
      </w:r>
      <w:r w:rsidRPr="00E62FE6">
        <w:t>Service,</w:t>
      </w:r>
      <w:r w:rsidR="008243CA">
        <w:t xml:space="preserve"> </w:t>
      </w:r>
      <w:r w:rsidRPr="00E62FE6">
        <w:t>was</w:t>
      </w:r>
      <w:r w:rsidR="008243CA">
        <w:t xml:space="preserve"> </w:t>
      </w:r>
      <w:r w:rsidRPr="00E62FE6">
        <w:t>therefore</w:t>
      </w:r>
      <w:r w:rsidR="008243CA">
        <w:t xml:space="preserve"> </w:t>
      </w:r>
      <w:r w:rsidRPr="00E62FE6">
        <w:t>set</w:t>
      </w:r>
      <w:r w:rsidR="008243CA">
        <w:t xml:space="preserve"> </w:t>
      </w:r>
      <w:r w:rsidRPr="00E62FE6">
        <w:t>up.</w:t>
      </w:r>
      <w:r w:rsidR="008243CA">
        <w:t xml:space="preserve"> </w:t>
      </w:r>
      <w:r w:rsidRPr="00E62FE6">
        <w:t>The</w:t>
      </w:r>
      <w:r w:rsidR="008243CA">
        <w:t xml:space="preserve"> </w:t>
      </w:r>
      <w:r w:rsidRPr="00E62FE6">
        <w:t>following</w:t>
      </w:r>
      <w:r w:rsidR="008243CA">
        <w:t xml:space="preserve"> </w:t>
      </w:r>
      <w:r w:rsidRPr="00E62FE6">
        <w:t>diagram</w:t>
      </w:r>
      <w:r w:rsidR="008243CA">
        <w:t xml:space="preserve"> </w:t>
      </w:r>
      <w:r w:rsidRPr="00E62FE6">
        <w:t>shows</w:t>
      </w:r>
      <w:r w:rsidR="008243CA">
        <w:t xml:space="preserve"> </w:t>
      </w:r>
      <w:r w:rsidRPr="00E62FE6">
        <w:t>the</w:t>
      </w:r>
      <w:r w:rsidR="008243CA">
        <w:t xml:space="preserve"> </w:t>
      </w:r>
      <w:r w:rsidRPr="00E62FE6">
        <w:t>coordinating</w:t>
      </w:r>
      <w:r w:rsidR="008243CA">
        <w:t xml:space="preserve"> </w:t>
      </w:r>
      <w:r w:rsidRPr="00E62FE6">
        <w:t>bodies</w:t>
      </w:r>
      <w:r w:rsidR="008243CA">
        <w:t xml:space="preserve"> </w:t>
      </w:r>
      <w:r w:rsidRPr="00E62FE6">
        <w:t>involved:</w:t>
      </w:r>
    </w:p>
    <w:p w:rsidR="003F7D03" w:rsidRPr="00E62FE6" w:rsidRDefault="003F7D03" w:rsidP="00C5428E">
      <w:pPr>
        <w:pStyle w:val="SingleTxtG"/>
        <w:keepNext/>
        <w:keepLines/>
        <w:spacing w:before="240" w:after="0"/>
      </w:pPr>
      <w:r w:rsidRPr="00E62FE6">
        <w:lastRenderedPageBreak/>
        <w:t>Diagram</w:t>
      </w:r>
      <w:r w:rsidR="008243CA">
        <w:t xml:space="preserve"> </w:t>
      </w:r>
      <w:r w:rsidRPr="00E62FE6">
        <w:t>1</w:t>
      </w:r>
      <w:r w:rsidR="008243CA">
        <w:t xml:space="preserve"> </w:t>
      </w:r>
    </w:p>
    <w:p w:rsidR="003F7D03" w:rsidRPr="003C6AD4" w:rsidRDefault="003F7D03" w:rsidP="00C5428E">
      <w:pPr>
        <w:pStyle w:val="SingleTxtG"/>
        <w:keepNext/>
        <w:keepLines/>
        <w:spacing w:after="0"/>
        <w:rPr>
          <w:b/>
          <w:bCs/>
        </w:rPr>
      </w:pPr>
      <w:r w:rsidRPr="003C6AD4">
        <w:rPr>
          <w:b/>
          <w:bCs/>
        </w:rPr>
        <w:t>Coordinating</w:t>
      </w:r>
      <w:r w:rsidR="008243CA">
        <w:rPr>
          <w:b/>
          <w:bCs/>
        </w:rPr>
        <w:t xml:space="preserve"> </w:t>
      </w:r>
      <w:r w:rsidRPr="003C6AD4">
        <w:rPr>
          <w:b/>
          <w:bCs/>
        </w:rPr>
        <w:t>bodies</w:t>
      </w:r>
      <w:r w:rsidR="008243CA">
        <w:rPr>
          <w:b/>
          <w:bCs/>
        </w:rPr>
        <w:t xml:space="preserve"> </w:t>
      </w:r>
    </w:p>
    <w:p w:rsidR="003F7D03" w:rsidRPr="00E62FE6" w:rsidRDefault="00511E97" w:rsidP="00C5428E">
      <w:pPr>
        <w:pStyle w:val="SingleTxtG"/>
        <w:keepNext/>
        <w:keepLines/>
      </w:pPr>
      <w:r w:rsidRPr="00A56114">
        <w:rPr>
          <w:b/>
          <w:noProof/>
          <w:sz w:val="22"/>
          <w:szCs w:val="22"/>
        </w:rPr>
        <w:drawing>
          <wp:anchor distT="0" distB="0" distL="114300" distR="114300" simplePos="0" relativeHeight="251666432" behindDoc="1" locked="0" layoutInCell="0" allowOverlap="1" wp14:anchorId="1D592A51" wp14:editId="00B91FCD">
            <wp:simplePos x="0" y="0"/>
            <wp:positionH relativeFrom="column">
              <wp:posOffset>3175</wp:posOffset>
            </wp:positionH>
            <wp:positionV relativeFrom="paragraph">
              <wp:posOffset>206877</wp:posOffset>
            </wp:positionV>
            <wp:extent cx="5950424" cy="1709734"/>
            <wp:effectExtent l="0" t="0" r="0" b="508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0424" cy="1709734"/>
                    </a:xfrm>
                    <a:prstGeom prst="rect">
                      <a:avLst/>
                    </a:prstGeom>
                    <a:noFill/>
                  </pic:spPr>
                </pic:pic>
              </a:graphicData>
            </a:graphic>
            <wp14:sizeRelH relativeFrom="page">
              <wp14:pctWidth>0</wp14:pctWidth>
            </wp14:sizeRelH>
            <wp14:sizeRelV relativeFrom="page">
              <wp14:pctHeight>0</wp14:pctHeight>
            </wp14:sizeRelV>
          </wp:anchor>
        </w:drawing>
      </w:r>
      <w:r w:rsidR="003F7D03" w:rsidRPr="003C6AD4">
        <w:rPr>
          <w:sz w:val="16"/>
          <w:szCs w:val="16"/>
        </w:rPr>
        <w:t>(Prepared</w:t>
      </w:r>
      <w:r w:rsidR="008243CA">
        <w:rPr>
          <w:sz w:val="16"/>
          <w:szCs w:val="16"/>
        </w:rPr>
        <w:t xml:space="preserve"> </w:t>
      </w:r>
      <w:r w:rsidR="003F7D03" w:rsidRPr="003C6AD4">
        <w:rPr>
          <w:sz w:val="16"/>
          <w:szCs w:val="16"/>
        </w:rPr>
        <w:t>by</w:t>
      </w:r>
      <w:r w:rsidR="008243CA">
        <w:rPr>
          <w:sz w:val="16"/>
          <w:szCs w:val="16"/>
        </w:rPr>
        <w:t xml:space="preserve"> </w:t>
      </w:r>
      <w:r w:rsidR="003F7D03" w:rsidRPr="003C6AD4">
        <w:rPr>
          <w:sz w:val="16"/>
          <w:szCs w:val="16"/>
        </w:rPr>
        <w:t>the</w:t>
      </w:r>
      <w:r w:rsidR="008243CA">
        <w:rPr>
          <w:sz w:val="16"/>
          <w:szCs w:val="16"/>
        </w:rPr>
        <w:t xml:space="preserve"> </w:t>
      </w:r>
      <w:r w:rsidR="003F7D03" w:rsidRPr="003C6AD4">
        <w:rPr>
          <w:sz w:val="16"/>
          <w:szCs w:val="16"/>
        </w:rPr>
        <w:t>author)</w:t>
      </w:r>
    </w:p>
    <w:tbl>
      <w:tblPr>
        <w:tblpPr w:leftFromText="180" w:rightFromText="180" w:vertAnchor="text" w:horzAnchor="margin" w:tblpY="105"/>
        <w:tblW w:w="9214" w:type="dxa"/>
        <w:tblCellMar>
          <w:left w:w="0" w:type="dxa"/>
          <w:right w:w="0" w:type="dxa"/>
        </w:tblCellMar>
        <w:tblLook w:val="0000" w:firstRow="0" w:lastRow="0" w:firstColumn="0" w:lastColumn="0" w:noHBand="0" w:noVBand="0"/>
      </w:tblPr>
      <w:tblGrid>
        <w:gridCol w:w="2410"/>
        <w:gridCol w:w="2552"/>
        <w:gridCol w:w="2409"/>
        <w:gridCol w:w="1843"/>
      </w:tblGrid>
      <w:tr w:rsidR="00820E13" w:rsidRPr="00161045" w:rsidTr="005D4067">
        <w:trPr>
          <w:cantSplit/>
          <w:trHeight w:val="566"/>
        </w:trPr>
        <w:tc>
          <w:tcPr>
            <w:tcW w:w="2410" w:type="dxa"/>
            <w:shd w:val="clear" w:color="auto" w:fill="auto"/>
          </w:tcPr>
          <w:p w:rsidR="00C5428E" w:rsidRPr="00A56114" w:rsidRDefault="00C5428E" w:rsidP="005D4067">
            <w:pPr>
              <w:spacing w:line="240" w:lineRule="auto"/>
              <w:rPr>
                <w:sz w:val="22"/>
                <w:szCs w:val="22"/>
                <w:lang w:val="en-CA"/>
              </w:rPr>
            </w:pPr>
          </w:p>
        </w:tc>
        <w:tc>
          <w:tcPr>
            <w:tcW w:w="2552" w:type="dxa"/>
            <w:shd w:val="clear" w:color="auto" w:fill="auto"/>
          </w:tcPr>
          <w:p w:rsidR="00C5428E" w:rsidRPr="00A56114" w:rsidRDefault="00C5428E" w:rsidP="005D4067">
            <w:pPr>
              <w:spacing w:line="240" w:lineRule="auto"/>
              <w:rPr>
                <w:sz w:val="22"/>
                <w:szCs w:val="22"/>
                <w:lang w:val="en-CA"/>
              </w:rPr>
            </w:pPr>
          </w:p>
        </w:tc>
        <w:tc>
          <w:tcPr>
            <w:tcW w:w="2409" w:type="dxa"/>
            <w:shd w:val="clear" w:color="auto" w:fill="auto"/>
          </w:tcPr>
          <w:p w:rsidR="00063D6B" w:rsidRDefault="00063D6B" w:rsidP="005D4067">
            <w:pPr>
              <w:spacing w:line="240" w:lineRule="auto"/>
              <w:rPr>
                <w:sz w:val="18"/>
                <w:szCs w:val="18"/>
                <w:lang w:val="en-CA"/>
              </w:rPr>
            </w:pPr>
          </w:p>
          <w:p w:rsidR="00511E97" w:rsidRDefault="00511E97" w:rsidP="005D4067">
            <w:pPr>
              <w:spacing w:line="240" w:lineRule="auto"/>
              <w:rPr>
                <w:sz w:val="18"/>
                <w:szCs w:val="18"/>
                <w:lang w:val="en-CA"/>
              </w:rPr>
            </w:pPr>
          </w:p>
          <w:p w:rsidR="004B6C65" w:rsidRPr="004B6C65" w:rsidRDefault="00C5428E" w:rsidP="005D4067">
            <w:pPr>
              <w:spacing w:line="240" w:lineRule="auto"/>
              <w:rPr>
                <w:sz w:val="18"/>
                <w:szCs w:val="18"/>
                <w:lang w:val="en-CA"/>
              </w:rPr>
            </w:pPr>
            <w:r w:rsidRPr="00063D6B">
              <w:rPr>
                <w:sz w:val="18"/>
                <w:szCs w:val="18"/>
                <w:lang w:val="en-CA"/>
              </w:rPr>
              <w:t>Service</w:t>
            </w:r>
            <w:r w:rsidR="008243CA">
              <w:rPr>
                <w:sz w:val="18"/>
                <w:szCs w:val="18"/>
                <w:lang w:val="en-CA"/>
              </w:rPr>
              <w:t xml:space="preserve"> </w:t>
            </w:r>
            <w:r w:rsidRPr="00063D6B">
              <w:rPr>
                <w:sz w:val="18"/>
                <w:szCs w:val="18"/>
                <w:lang w:val="en-CA"/>
              </w:rPr>
              <w:t>meetings</w:t>
            </w:r>
          </w:p>
        </w:tc>
        <w:tc>
          <w:tcPr>
            <w:tcW w:w="1843" w:type="dxa"/>
            <w:shd w:val="clear" w:color="auto" w:fill="auto"/>
          </w:tcPr>
          <w:p w:rsidR="00C5428E" w:rsidRPr="00A56114" w:rsidRDefault="00C5428E" w:rsidP="005D4067">
            <w:pPr>
              <w:spacing w:line="240" w:lineRule="auto"/>
              <w:rPr>
                <w:sz w:val="22"/>
                <w:szCs w:val="22"/>
                <w:lang w:val="en-CA"/>
              </w:rPr>
            </w:pPr>
          </w:p>
        </w:tc>
      </w:tr>
      <w:tr w:rsidR="00820E13" w:rsidRPr="00161045" w:rsidTr="005D4067">
        <w:trPr>
          <w:cantSplit/>
          <w:trHeight w:val="134"/>
        </w:trPr>
        <w:tc>
          <w:tcPr>
            <w:tcW w:w="2410" w:type="dxa"/>
            <w:vMerge w:val="restart"/>
            <w:tcBorders>
              <w:bottom w:val="nil"/>
            </w:tcBorders>
            <w:shd w:val="clear" w:color="auto" w:fill="auto"/>
          </w:tcPr>
          <w:p w:rsidR="00C5428E" w:rsidRPr="000818A8" w:rsidRDefault="00C5428E" w:rsidP="005D4067">
            <w:pPr>
              <w:spacing w:line="240" w:lineRule="auto"/>
              <w:ind w:left="284"/>
              <w:rPr>
                <w:color w:val="FFFFFF"/>
                <w:w w:val="99"/>
                <w:sz w:val="18"/>
                <w:szCs w:val="18"/>
                <w:lang w:val="en-CA"/>
              </w:rPr>
            </w:pPr>
            <w:proofErr w:type="spellStart"/>
            <w:r w:rsidRPr="000818A8">
              <w:rPr>
                <w:sz w:val="18"/>
                <w:szCs w:val="18"/>
                <w:lang w:val="en-CA"/>
              </w:rPr>
              <w:t>Interministerial</w:t>
            </w:r>
            <w:proofErr w:type="spellEnd"/>
            <w:r w:rsidR="008243CA">
              <w:rPr>
                <w:sz w:val="18"/>
                <w:szCs w:val="18"/>
                <w:lang w:val="en-CA"/>
              </w:rPr>
              <w:t xml:space="preserve"> </w:t>
            </w:r>
            <w:r w:rsidR="000818A8">
              <w:rPr>
                <w:sz w:val="18"/>
                <w:szCs w:val="18"/>
                <w:lang w:val="en-CA"/>
              </w:rPr>
              <w:br/>
            </w:r>
            <w:r w:rsidRPr="000818A8">
              <w:rPr>
                <w:sz w:val="18"/>
                <w:szCs w:val="18"/>
                <w:lang w:val="en-CA"/>
              </w:rPr>
              <w:t>working</w:t>
            </w:r>
            <w:r w:rsidR="008243CA">
              <w:rPr>
                <w:sz w:val="18"/>
                <w:szCs w:val="18"/>
                <w:lang w:val="en-CA"/>
              </w:rPr>
              <w:t xml:space="preserve"> </w:t>
            </w:r>
            <w:r w:rsidRPr="000818A8">
              <w:rPr>
                <w:sz w:val="18"/>
                <w:szCs w:val="18"/>
                <w:lang w:val="en-CA"/>
              </w:rPr>
              <w:t>group</w:t>
            </w:r>
            <w:r w:rsidR="008243CA">
              <w:rPr>
                <w:sz w:val="18"/>
                <w:szCs w:val="18"/>
                <w:lang w:val="en-CA"/>
              </w:rPr>
              <w:t xml:space="preserve"> </w:t>
            </w:r>
            <w:r w:rsidRPr="000818A8">
              <w:rPr>
                <w:sz w:val="18"/>
                <w:szCs w:val="18"/>
                <w:lang w:val="en-CA"/>
              </w:rPr>
              <w:t>meetings</w:t>
            </w:r>
          </w:p>
        </w:tc>
        <w:tc>
          <w:tcPr>
            <w:tcW w:w="2552" w:type="dxa"/>
            <w:vMerge w:val="restart"/>
            <w:tcBorders>
              <w:bottom w:val="nil"/>
            </w:tcBorders>
            <w:shd w:val="clear" w:color="auto" w:fill="auto"/>
          </w:tcPr>
          <w:p w:rsidR="00C5428E" w:rsidRPr="000818A8" w:rsidRDefault="00C5428E" w:rsidP="005D4067">
            <w:pPr>
              <w:spacing w:line="240" w:lineRule="auto"/>
              <w:ind w:left="287"/>
              <w:rPr>
                <w:sz w:val="18"/>
                <w:szCs w:val="18"/>
                <w:lang w:val="en-CA"/>
              </w:rPr>
            </w:pPr>
            <w:r w:rsidRPr="000818A8">
              <w:rPr>
                <w:sz w:val="18"/>
                <w:szCs w:val="18"/>
                <w:lang w:val="en-CA"/>
              </w:rPr>
              <w:t>Justice</w:t>
            </w:r>
            <w:r w:rsidR="008243CA">
              <w:rPr>
                <w:sz w:val="18"/>
                <w:szCs w:val="18"/>
                <w:lang w:val="en-CA"/>
              </w:rPr>
              <w:t xml:space="preserve"> </w:t>
            </w:r>
            <w:r w:rsidRPr="000818A8">
              <w:rPr>
                <w:sz w:val="18"/>
                <w:szCs w:val="18"/>
                <w:lang w:val="en-CA"/>
              </w:rPr>
              <w:t>sector</w:t>
            </w:r>
            <w:r w:rsidR="008243CA">
              <w:rPr>
                <w:sz w:val="18"/>
                <w:szCs w:val="18"/>
                <w:lang w:val="en-CA"/>
              </w:rPr>
              <w:t xml:space="preserve"> </w:t>
            </w:r>
            <w:r w:rsidR="000818A8">
              <w:rPr>
                <w:sz w:val="18"/>
                <w:szCs w:val="18"/>
                <w:lang w:val="en-CA"/>
              </w:rPr>
              <w:br/>
            </w:r>
            <w:r w:rsidRPr="000818A8">
              <w:rPr>
                <w:sz w:val="18"/>
                <w:szCs w:val="18"/>
                <w:lang w:val="en-CA"/>
              </w:rPr>
              <w:t>round</w:t>
            </w:r>
            <w:r w:rsidR="008243CA">
              <w:rPr>
                <w:sz w:val="18"/>
                <w:szCs w:val="18"/>
                <w:lang w:val="en-CA"/>
              </w:rPr>
              <w:t xml:space="preserve"> </w:t>
            </w:r>
            <w:r w:rsidRPr="000818A8">
              <w:rPr>
                <w:sz w:val="18"/>
                <w:szCs w:val="18"/>
                <w:lang w:val="en-CA"/>
              </w:rPr>
              <w:t>table</w:t>
            </w:r>
            <w:r w:rsidR="008243CA">
              <w:rPr>
                <w:sz w:val="18"/>
                <w:szCs w:val="18"/>
                <w:lang w:val="en-CA"/>
              </w:rPr>
              <w:t xml:space="preserve"> </w:t>
            </w:r>
            <w:r w:rsidRPr="000818A8">
              <w:rPr>
                <w:sz w:val="18"/>
                <w:szCs w:val="18"/>
                <w:lang w:val="en-CA"/>
              </w:rPr>
              <w:t>meetings</w:t>
            </w:r>
          </w:p>
        </w:tc>
        <w:tc>
          <w:tcPr>
            <w:tcW w:w="2409" w:type="dxa"/>
            <w:tcBorders>
              <w:bottom w:val="nil"/>
            </w:tcBorders>
            <w:shd w:val="clear" w:color="auto" w:fill="auto"/>
          </w:tcPr>
          <w:p w:rsidR="00C5428E" w:rsidRPr="000818A8" w:rsidRDefault="00C5428E" w:rsidP="005D4067">
            <w:pPr>
              <w:spacing w:line="240" w:lineRule="auto"/>
              <w:ind w:left="280" w:hanging="280"/>
              <w:rPr>
                <w:color w:val="FFFFFF"/>
                <w:sz w:val="18"/>
                <w:szCs w:val="18"/>
                <w:lang w:val="en-CA"/>
              </w:rPr>
            </w:pPr>
            <w:r w:rsidRPr="000818A8">
              <w:rPr>
                <w:sz w:val="18"/>
                <w:szCs w:val="18"/>
                <w:lang w:val="en-CA"/>
              </w:rPr>
              <w:t>(a)</w:t>
            </w:r>
            <w:r w:rsidR="004B6C65">
              <w:rPr>
                <w:sz w:val="18"/>
                <w:szCs w:val="18"/>
                <w:lang w:val="en-CA"/>
              </w:rPr>
              <w:tab/>
            </w:r>
            <w:r w:rsidR="008243CA">
              <w:rPr>
                <w:sz w:val="18"/>
                <w:szCs w:val="18"/>
                <w:lang w:val="en-CA"/>
              </w:rPr>
              <w:t xml:space="preserve"> </w:t>
            </w:r>
            <w:r w:rsidRPr="000818A8">
              <w:rPr>
                <w:sz w:val="18"/>
                <w:szCs w:val="18"/>
                <w:lang w:val="en-CA"/>
              </w:rPr>
              <w:t>Prison</w:t>
            </w:r>
            <w:r w:rsidR="008243CA">
              <w:rPr>
                <w:sz w:val="18"/>
                <w:szCs w:val="18"/>
                <w:lang w:val="en-CA"/>
              </w:rPr>
              <w:t xml:space="preserve"> </w:t>
            </w:r>
            <w:r w:rsidRPr="000818A8">
              <w:rPr>
                <w:sz w:val="18"/>
                <w:szCs w:val="18"/>
                <w:lang w:val="en-CA"/>
              </w:rPr>
              <w:t>Service</w:t>
            </w:r>
          </w:p>
        </w:tc>
        <w:tc>
          <w:tcPr>
            <w:tcW w:w="1843" w:type="dxa"/>
            <w:vMerge w:val="restart"/>
            <w:tcBorders>
              <w:bottom w:val="nil"/>
            </w:tcBorders>
            <w:shd w:val="clear" w:color="auto" w:fill="auto"/>
          </w:tcPr>
          <w:p w:rsidR="00C5428E" w:rsidRPr="000818A8" w:rsidRDefault="00C5428E" w:rsidP="005D4067">
            <w:pPr>
              <w:spacing w:line="240" w:lineRule="auto"/>
              <w:rPr>
                <w:color w:val="FFFFFF"/>
                <w:w w:val="99"/>
                <w:sz w:val="18"/>
                <w:szCs w:val="18"/>
                <w:lang w:val="en-CA"/>
              </w:rPr>
            </w:pPr>
            <w:r w:rsidRPr="000818A8">
              <w:rPr>
                <w:sz w:val="18"/>
                <w:szCs w:val="18"/>
                <w:lang w:val="en-CA"/>
              </w:rPr>
              <w:t>Health</w:t>
            </w:r>
            <w:r w:rsidR="008243CA">
              <w:rPr>
                <w:sz w:val="18"/>
                <w:szCs w:val="18"/>
                <w:lang w:val="en-CA"/>
              </w:rPr>
              <w:t xml:space="preserve"> </w:t>
            </w:r>
            <w:r w:rsidRPr="000818A8">
              <w:rPr>
                <w:sz w:val="18"/>
                <w:szCs w:val="18"/>
                <w:lang w:val="en-CA"/>
              </w:rPr>
              <w:t>subcommittee</w:t>
            </w:r>
            <w:r w:rsidR="008243CA">
              <w:rPr>
                <w:sz w:val="18"/>
                <w:szCs w:val="18"/>
                <w:lang w:val="en-CA"/>
              </w:rPr>
              <w:t xml:space="preserve"> </w:t>
            </w:r>
            <w:r w:rsidRPr="000818A8">
              <w:rPr>
                <w:sz w:val="18"/>
                <w:szCs w:val="18"/>
                <w:lang w:val="en-CA"/>
              </w:rPr>
              <w:t>meetings</w:t>
            </w:r>
            <w:r w:rsidR="008243CA">
              <w:rPr>
                <w:sz w:val="18"/>
                <w:szCs w:val="18"/>
                <w:lang w:val="en-CA"/>
              </w:rPr>
              <w:t xml:space="preserve"> </w:t>
            </w:r>
            <w:r w:rsidRPr="000818A8">
              <w:rPr>
                <w:sz w:val="18"/>
                <w:szCs w:val="18"/>
                <w:lang w:val="en-CA"/>
              </w:rPr>
              <w:t>(Ministry</w:t>
            </w:r>
            <w:r w:rsidR="008243CA">
              <w:rPr>
                <w:sz w:val="18"/>
                <w:szCs w:val="18"/>
                <w:lang w:val="en-CA"/>
              </w:rPr>
              <w:t xml:space="preserve"> </w:t>
            </w:r>
            <w:r w:rsidRPr="000818A8">
              <w:rPr>
                <w:sz w:val="18"/>
                <w:szCs w:val="18"/>
                <w:lang w:val="en-CA"/>
              </w:rPr>
              <w:t>of</w:t>
            </w:r>
            <w:r w:rsidR="008243CA">
              <w:rPr>
                <w:sz w:val="18"/>
                <w:szCs w:val="18"/>
                <w:lang w:val="en-CA"/>
              </w:rPr>
              <w:t xml:space="preserve"> </w:t>
            </w:r>
            <w:r w:rsidRPr="000818A8">
              <w:rPr>
                <w:sz w:val="18"/>
                <w:szCs w:val="18"/>
                <w:lang w:val="en-CA"/>
              </w:rPr>
              <w:t>Justice</w:t>
            </w:r>
            <w:r w:rsidR="008243CA">
              <w:rPr>
                <w:sz w:val="18"/>
                <w:szCs w:val="18"/>
                <w:lang w:val="en-CA"/>
              </w:rPr>
              <w:t xml:space="preserve"> </w:t>
            </w:r>
            <w:r w:rsidRPr="000818A8">
              <w:rPr>
                <w:sz w:val="18"/>
                <w:szCs w:val="18"/>
                <w:lang w:val="en-CA"/>
              </w:rPr>
              <w:t>and</w:t>
            </w:r>
            <w:r w:rsidR="008243CA">
              <w:rPr>
                <w:sz w:val="18"/>
                <w:szCs w:val="18"/>
                <w:lang w:val="en-CA"/>
              </w:rPr>
              <w:t xml:space="preserve"> </w:t>
            </w:r>
            <w:r w:rsidRPr="000818A8">
              <w:rPr>
                <w:sz w:val="18"/>
                <w:szCs w:val="18"/>
                <w:lang w:val="en-CA"/>
              </w:rPr>
              <w:t>Human</w:t>
            </w:r>
            <w:r w:rsidR="008243CA">
              <w:rPr>
                <w:sz w:val="18"/>
                <w:szCs w:val="18"/>
                <w:lang w:val="en-CA"/>
              </w:rPr>
              <w:t xml:space="preserve"> </w:t>
            </w:r>
            <w:r w:rsidRPr="000818A8">
              <w:rPr>
                <w:sz w:val="18"/>
                <w:szCs w:val="18"/>
                <w:lang w:val="en-CA"/>
              </w:rPr>
              <w:t>Rights,</w:t>
            </w:r>
            <w:r w:rsidR="008243CA">
              <w:rPr>
                <w:sz w:val="18"/>
                <w:szCs w:val="18"/>
                <w:lang w:val="en-CA"/>
              </w:rPr>
              <w:t xml:space="preserve"> </w:t>
            </w:r>
            <w:r w:rsidRPr="000818A8">
              <w:rPr>
                <w:sz w:val="18"/>
                <w:szCs w:val="18"/>
                <w:lang w:val="en-CA"/>
              </w:rPr>
              <w:t>Prison</w:t>
            </w:r>
            <w:r w:rsidR="008243CA">
              <w:rPr>
                <w:sz w:val="18"/>
                <w:szCs w:val="18"/>
                <w:lang w:val="en-CA"/>
              </w:rPr>
              <w:t xml:space="preserve"> </w:t>
            </w:r>
            <w:r w:rsidRPr="000818A8">
              <w:rPr>
                <w:sz w:val="18"/>
                <w:szCs w:val="18"/>
                <w:lang w:val="en-CA"/>
              </w:rPr>
              <w:t>Service,</w:t>
            </w:r>
            <w:r w:rsidR="008243CA">
              <w:rPr>
                <w:sz w:val="18"/>
                <w:szCs w:val="18"/>
                <w:lang w:val="en-CA"/>
              </w:rPr>
              <w:t xml:space="preserve"> </w:t>
            </w:r>
            <w:r w:rsidRPr="000818A8">
              <w:rPr>
                <w:sz w:val="18"/>
                <w:szCs w:val="18"/>
                <w:lang w:val="en-CA"/>
              </w:rPr>
              <w:t>National</w:t>
            </w:r>
            <w:r w:rsidR="008243CA">
              <w:rPr>
                <w:sz w:val="18"/>
                <w:szCs w:val="18"/>
                <w:lang w:val="en-CA"/>
              </w:rPr>
              <w:t xml:space="preserve"> </w:t>
            </w:r>
            <w:r w:rsidRPr="000818A8">
              <w:rPr>
                <w:sz w:val="18"/>
                <w:szCs w:val="18"/>
                <w:lang w:val="en-CA"/>
              </w:rPr>
              <w:t>Service</w:t>
            </w:r>
            <w:r w:rsidR="008243CA">
              <w:rPr>
                <w:sz w:val="18"/>
                <w:szCs w:val="18"/>
                <w:lang w:val="en-CA"/>
              </w:rPr>
              <w:t xml:space="preserve"> </w:t>
            </w:r>
            <w:r w:rsidRPr="000818A8">
              <w:rPr>
                <w:sz w:val="18"/>
                <w:szCs w:val="18"/>
                <w:lang w:val="en-CA"/>
              </w:rPr>
              <w:t>for</w:t>
            </w:r>
            <w:r w:rsidR="008243CA">
              <w:rPr>
                <w:sz w:val="18"/>
                <w:szCs w:val="18"/>
                <w:lang w:val="en-CA"/>
              </w:rPr>
              <w:t xml:space="preserve"> </w:t>
            </w:r>
            <w:r w:rsidRPr="000818A8">
              <w:rPr>
                <w:sz w:val="18"/>
                <w:szCs w:val="18"/>
                <w:lang w:val="en-CA"/>
              </w:rPr>
              <w:t>Minors</w:t>
            </w:r>
            <w:r w:rsidR="008243CA">
              <w:rPr>
                <w:sz w:val="18"/>
                <w:szCs w:val="18"/>
                <w:lang w:val="en-CA"/>
              </w:rPr>
              <w:t xml:space="preserve"> </w:t>
            </w:r>
            <w:r w:rsidRPr="000818A8">
              <w:rPr>
                <w:sz w:val="18"/>
                <w:szCs w:val="18"/>
                <w:lang w:val="en-CA"/>
              </w:rPr>
              <w:t>and</w:t>
            </w:r>
            <w:r w:rsidR="008243CA">
              <w:rPr>
                <w:sz w:val="18"/>
                <w:szCs w:val="18"/>
                <w:lang w:val="en-CA"/>
              </w:rPr>
              <w:t xml:space="preserve"> </w:t>
            </w:r>
            <w:r w:rsidRPr="000818A8">
              <w:rPr>
                <w:sz w:val="18"/>
                <w:szCs w:val="18"/>
                <w:lang w:val="en-CA"/>
              </w:rPr>
              <w:t>Ministry</w:t>
            </w:r>
            <w:r w:rsidR="008243CA">
              <w:rPr>
                <w:sz w:val="18"/>
                <w:szCs w:val="18"/>
                <w:lang w:val="en-CA"/>
              </w:rPr>
              <w:t xml:space="preserve"> </w:t>
            </w:r>
            <w:r w:rsidRPr="000818A8">
              <w:rPr>
                <w:sz w:val="18"/>
                <w:szCs w:val="18"/>
                <w:lang w:val="en-CA"/>
              </w:rPr>
              <w:t>of</w:t>
            </w:r>
            <w:r w:rsidR="008243CA">
              <w:rPr>
                <w:sz w:val="18"/>
                <w:szCs w:val="18"/>
                <w:lang w:val="en-CA"/>
              </w:rPr>
              <w:t xml:space="preserve"> </w:t>
            </w:r>
            <w:r w:rsidRPr="000818A8">
              <w:rPr>
                <w:sz w:val="18"/>
                <w:szCs w:val="18"/>
                <w:lang w:val="en-CA"/>
              </w:rPr>
              <w:t>Health)</w:t>
            </w:r>
          </w:p>
        </w:tc>
      </w:tr>
      <w:tr w:rsidR="00820E13" w:rsidRPr="00161045" w:rsidTr="005D4067">
        <w:trPr>
          <w:cantSplit/>
          <w:trHeight w:val="252"/>
        </w:trPr>
        <w:tc>
          <w:tcPr>
            <w:tcW w:w="2410" w:type="dxa"/>
            <w:vMerge/>
            <w:tcBorders>
              <w:bottom w:val="nil"/>
            </w:tcBorders>
            <w:shd w:val="clear" w:color="auto" w:fill="auto"/>
          </w:tcPr>
          <w:p w:rsidR="00C5428E" w:rsidRPr="00A56114" w:rsidRDefault="00C5428E" w:rsidP="005D4067">
            <w:pPr>
              <w:spacing w:line="240" w:lineRule="auto"/>
              <w:rPr>
                <w:color w:val="FFFFFF"/>
                <w:w w:val="99"/>
                <w:sz w:val="22"/>
                <w:szCs w:val="22"/>
                <w:lang w:val="en-CA"/>
              </w:rPr>
            </w:pPr>
          </w:p>
        </w:tc>
        <w:tc>
          <w:tcPr>
            <w:tcW w:w="2552" w:type="dxa"/>
            <w:vMerge/>
            <w:tcBorders>
              <w:bottom w:val="nil"/>
            </w:tcBorders>
            <w:shd w:val="clear" w:color="auto" w:fill="auto"/>
          </w:tcPr>
          <w:p w:rsidR="00C5428E" w:rsidRPr="00A56114" w:rsidRDefault="00C5428E" w:rsidP="005D4067">
            <w:pPr>
              <w:spacing w:line="240" w:lineRule="auto"/>
              <w:rPr>
                <w:sz w:val="22"/>
                <w:szCs w:val="22"/>
                <w:lang w:val="en-CA"/>
              </w:rPr>
            </w:pPr>
          </w:p>
        </w:tc>
        <w:tc>
          <w:tcPr>
            <w:tcW w:w="2409" w:type="dxa"/>
            <w:tcBorders>
              <w:bottom w:val="nil"/>
            </w:tcBorders>
            <w:shd w:val="clear" w:color="auto" w:fill="auto"/>
          </w:tcPr>
          <w:p w:rsidR="00C5428E" w:rsidRPr="00511E97" w:rsidRDefault="00C5428E" w:rsidP="005D4067">
            <w:pPr>
              <w:spacing w:line="240" w:lineRule="auto"/>
              <w:ind w:left="280" w:hanging="280"/>
              <w:rPr>
                <w:sz w:val="18"/>
                <w:szCs w:val="18"/>
                <w:lang w:val="en-CA"/>
              </w:rPr>
            </w:pPr>
            <w:r w:rsidRPr="000818A8">
              <w:rPr>
                <w:sz w:val="18"/>
                <w:szCs w:val="18"/>
                <w:lang w:val="en-CA"/>
              </w:rPr>
              <w:t>(b)</w:t>
            </w:r>
            <w:r w:rsidR="008243CA">
              <w:rPr>
                <w:sz w:val="18"/>
                <w:szCs w:val="18"/>
                <w:lang w:val="en-CA"/>
              </w:rPr>
              <w:t xml:space="preserve"> </w:t>
            </w:r>
            <w:r w:rsidR="004B6C65">
              <w:rPr>
                <w:sz w:val="18"/>
                <w:szCs w:val="18"/>
                <w:lang w:val="en-CA"/>
              </w:rPr>
              <w:tab/>
            </w:r>
            <w:r w:rsidRPr="000818A8">
              <w:rPr>
                <w:sz w:val="18"/>
                <w:szCs w:val="18"/>
                <w:lang w:val="en-CA"/>
              </w:rPr>
              <w:t>National</w:t>
            </w:r>
            <w:r w:rsidR="008243CA">
              <w:rPr>
                <w:sz w:val="18"/>
                <w:szCs w:val="18"/>
                <w:lang w:val="en-CA"/>
              </w:rPr>
              <w:t xml:space="preserve"> </w:t>
            </w:r>
            <w:r w:rsidRPr="000818A8">
              <w:rPr>
                <w:sz w:val="18"/>
                <w:szCs w:val="18"/>
                <w:lang w:val="en-CA"/>
              </w:rPr>
              <w:t>Service</w:t>
            </w:r>
            <w:r w:rsidR="008243CA">
              <w:rPr>
                <w:sz w:val="18"/>
                <w:szCs w:val="18"/>
                <w:lang w:val="en-CA"/>
              </w:rPr>
              <w:t xml:space="preserve"> </w:t>
            </w:r>
            <w:r w:rsidR="00820E13">
              <w:rPr>
                <w:sz w:val="18"/>
                <w:szCs w:val="18"/>
                <w:lang w:val="en-CA"/>
              </w:rPr>
              <w:br/>
            </w:r>
            <w:r w:rsidRPr="000818A8">
              <w:rPr>
                <w:sz w:val="18"/>
                <w:szCs w:val="18"/>
                <w:lang w:val="en-CA"/>
              </w:rPr>
              <w:t>for</w:t>
            </w:r>
            <w:r w:rsidR="008243CA">
              <w:rPr>
                <w:sz w:val="18"/>
                <w:szCs w:val="18"/>
                <w:lang w:val="en-CA"/>
              </w:rPr>
              <w:t xml:space="preserve"> </w:t>
            </w:r>
            <w:r w:rsidRPr="000818A8">
              <w:rPr>
                <w:sz w:val="18"/>
                <w:szCs w:val="18"/>
                <w:lang w:val="en-CA"/>
              </w:rPr>
              <w:t>Minors</w:t>
            </w:r>
          </w:p>
        </w:tc>
        <w:tc>
          <w:tcPr>
            <w:tcW w:w="1843" w:type="dxa"/>
            <w:vMerge/>
            <w:tcBorders>
              <w:bottom w:val="nil"/>
            </w:tcBorders>
            <w:shd w:val="clear" w:color="auto" w:fill="auto"/>
          </w:tcPr>
          <w:p w:rsidR="00C5428E" w:rsidRPr="00A56114" w:rsidRDefault="00C5428E" w:rsidP="005D4067">
            <w:pPr>
              <w:spacing w:line="240" w:lineRule="auto"/>
              <w:rPr>
                <w:sz w:val="22"/>
                <w:szCs w:val="22"/>
                <w:lang w:val="en-CA"/>
              </w:rPr>
            </w:pPr>
          </w:p>
        </w:tc>
      </w:tr>
      <w:tr w:rsidR="00820E13" w:rsidRPr="00161045" w:rsidTr="005D4067">
        <w:trPr>
          <w:cantSplit/>
          <w:trHeight w:val="552"/>
        </w:trPr>
        <w:tc>
          <w:tcPr>
            <w:tcW w:w="2410" w:type="dxa"/>
            <w:vMerge/>
            <w:tcBorders>
              <w:bottom w:val="nil"/>
            </w:tcBorders>
            <w:shd w:val="clear" w:color="auto" w:fill="auto"/>
          </w:tcPr>
          <w:p w:rsidR="00C5428E" w:rsidRPr="00A56114" w:rsidRDefault="00C5428E" w:rsidP="005D4067">
            <w:pPr>
              <w:spacing w:line="240" w:lineRule="auto"/>
              <w:rPr>
                <w:sz w:val="22"/>
                <w:szCs w:val="22"/>
                <w:lang w:val="en-CA"/>
              </w:rPr>
            </w:pPr>
          </w:p>
        </w:tc>
        <w:tc>
          <w:tcPr>
            <w:tcW w:w="2552" w:type="dxa"/>
            <w:vMerge/>
            <w:tcBorders>
              <w:bottom w:val="nil"/>
            </w:tcBorders>
            <w:shd w:val="clear" w:color="auto" w:fill="auto"/>
          </w:tcPr>
          <w:p w:rsidR="00C5428E" w:rsidRPr="00A56114" w:rsidRDefault="00C5428E" w:rsidP="005D4067">
            <w:pPr>
              <w:spacing w:line="240" w:lineRule="auto"/>
              <w:rPr>
                <w:sz w:val="22"/>
                <w:szCs w:val="22"/>
                <w:lang w:val="en-CA"/>
              </w:rPr>
            </w:pPr>
          </w:p>
        </w:tc>
        <w:tc>
          <w:tcPr>
            <w:tcW w:w="2409" w:type="dxa"/>
            <w:tcBorders>
              <w:bottom w:val="nil"/>
            </w:tcBorders>
            <w:shd w:val="clear" w:color="auto" w:fill="auto"/>
          </w:tcPr>
          <w:p w:rsidR="00C5428E" w:rsidRPr="000818A8" w:rsidRDefault="00C5428E" w:rsidP="005D4067">
            <w:pPr>
              <w:spacing w:line="240" w:lineRule="auto"/>
              <w:ind w:left="280" w:hanging="280"/>
              <w:rPr>
                <w:color w:val="FFFFFF"/>
                <w:sz w:val="18"/>
                <w:szCs w:val="18"/>
                <w:lang w:val="en-CA"/>
              </w:rPr>
            </w:pPr>
            <w:r w:rsidRPr="000818A8">
              <w:rPr>
                <w:sz w:val="18"/>
                <w:szCs w:val="18"/>
                <w:lang w:val="en-CA"/>
              </w:rPr>
              <w:t>(c)</w:t>
            </w:r>
            <w:r w:rsidR="008243CA">
              <w:rPr>
                <w:sz w:val="18"/>
                <w:szCs w:val="18"/>
                <w:lang w:val="en-CA"/>
              </w:rPr>
              <w:t xml:space="preserve"> </w:t>
            </w:r>
            <w:r w:rsidR="004B6C65">
              <w:rPr>
                <w:sz w:val="18"/>
                <w:szCs w:val="18"/>
                <w:lang w:val="en-CA"/>
              </w:rPr>
              <w:tab/>
            </w:r>
            <w:r w:rsidRPr="000818A8">
              <w:rPr>
                <w:sz w:val="18"/>
                <w:szCs w:val="18"/>
                <w:lang w:val="en-CA"/>
              </w:rPr>
              <w:t>Public</w:t>
            </w:r>
            <w:r w:rsidR="008243CA">
              <w:rPr>
                <w:sz w:val="18"/>
                <w:szCs w:val="18"/>
                <w:lang w:val="en-CA"/>
              </w:rPr>
              <w:t xml:space="preserve"> </w:t>
            </w:r>
            <w:r w:rsidRPr="000818A8">
              <w:rPr>
                <w:sz w:val="18"/>
                <w:szCs w:val="18"/>
                <w:lang w:val="en-CA"/>
              </w:rPr>
              <w:t>Criminal</w:t>
            </w:r>
            <w:r w:rsidR="008243CA">
              <w:rPr>
                <w:sz w:val="18"/>
                <w:szCs w:val="18"/>
                <w:lang w:val="en-CA"/>
              </w:rPr>
              <w:t xml:space="preserve"> </w:t>
            </w:r>
            <w:r w:rsidR="00FC0DD2">
              <w:rPr>
                <w:sz w:val="18"/>
                <w:szCs w:val="18"/>
                <w:lang w:val="en-CA"/>
              </w:rPr>
              <w:br/>
            </w:r>
            <w:r w:rsidRPr="000818A8">
              <w:rPr>
                <w:sz w:val="18"/>
                <w:szCs w:val="18"/>
                <w:lang w:val="en-CA"/>
              </w:rPr>
              <w:t>Defender</w:t>
            </w:r>
            <w:r w:rsidR="008243CA">
              <w:rPr>
                <w:sz w:val="18"/>
                <w:szCs w:val="18"/>
                <w:lang w:val="en-CA"/>
              </w:rPr>
              <w:t xml:space="preserve"> </w:t>
            </w:r>
            <w:r w:rsidRPr="000818A8">
              <w:rPr>
                <w:sz w:val="18"/>
                <w:szCs w:val="18"/>
                <w:lang w:val="en-CA"/>
              </w:rPr>
              <w:t>Service</w:t>
            </w:r>
          </w:p>
        </w:tc>
        <w:tc>
          <w:tcPr>
            <w:tcW w:w="1843" w:type="dxa"/>
            <w:vMerge/>
            <w:tcBorders>
              <w:bottom w:val="nil"/>
            </w:tcBorders>
            <w:shd w:val="clear" w:color="auto" w:fill="auto"/>
          </w:tcPr>
          <w:p w:rsidR="00C5428E" w:rsidRPr="00A56114" w:rsidRDefault="00C5428E" w:rsidP="005D4067">
            <w:pPr>
              <w:spacing w:line="240" w:lineRule="auto"/>
              <w:rPr>
                <w:sz w:val="22"/>
                <w:szCs w:val="22"/>
                <w:lang w:val="en-CA"/>
              </w:rPr>
            </w:pPr>
          </w:p>
        </w:tc>
      </w:tr>
    </w:tbl>
    <w:p w:rsidR="00511E97" w:rsidRDefault="00511E97" w:rsidP="00794A9C">
      <w:pPr>
        <w:pStyle w:val="SingleTxtG"/>
        <w:spacing w:before="240"/>
      </w:pPr>
      <w:bookmarkStart w:id="17" w:name="page9"/>
      <w:bookmarkEnd w:id="17"/>
    </w:p>
    <w:p w:rsidR="003F7D03" w:rsidRPr="00E62FE6" w:rsidRDefault="003F7D03" w:rsidP="00794A9C">
      <w:pPr>
        <w:pStyle w:val="SingleTxtG"/>
        <w:spacing w:before="240"/>
      </w:pPr>
      <w:r w:rsidRPr="00E62FE6">
        <w:t>14.</w:t>
      </w:r>
      <w:r w:rsidRPr="00E62FE6">
        <w:tab/>
        <w:t>To</w:t>
      </w:r>
      <w:r w:rsidR="008243CA">
        <w:t xml:space="preserve"> </w:t>
      </w:r>
      <w:r w:rsidRPr="00E62FE6">
        <w:t>ensure</w:t>
      </w:r>
      <w:r w:rsidR="008243CA">
        <w:t xml:space="preserve"> </w:t>
      </w:r>
      <w:r w:rsidRPr="00E62FE6">
        <w:t>that</w:t>
      </w:r>
      <w:r w:rsidR="008243CA">
        <w:t xml:space="preserve"> </w:t>
      </w:r>
      <w:r w:rsidRPr="00E62FE6">
        <w:t>each</w:t>
      </w:r>
      <w:r w:rsidR="008243CA">
        <w:t xml:space="preserve"> </w:t>
      </w:r>
      <w:r w:rsidRPr="00E62FE6">
        <w:t>service</w:t>
      </w:r>
      <w:r w:rsidR="008243CA">
        <w:t xml:space="preserve"> </w:t>
      </w:r>
      <w:r w:rsidRPr="00E62FE6">
        <w:t>involved</w:t>
      </w:r>
      <w:r w:rsidR="008243CA">
        <w:t xml:space="preserve"> </w:t>
      </w:r>
      <w:r w:rsidRPr="00E62FE6">
        <w:t>in</w:t>
      </w:r>
      <w:r w:rsidR="008243CA">
        <w:t xml:space="preserve"> </w:t>
      </w:r>
      <w:r w:rsidRPr="00E62FE6">
        <w:t>the</w:t>
      </w:r>
      <w:r w:rsidR="008243CA">
        <w:t xml:space="preserve"> </w:t>
      </w:r>
      <w:r w:rsidRPr="00E62FE6">
        <w:t>Justice</w:t>
      </w:r>
      <w:r w:rsidR="008243CA">
        <w:t xml:space="preserve"> </w:t>
      </w:r>
      <w:r w:rsidRPr="00E62FE6">
        <w:t>Sector</w:t>
      </w:r>
      <w:r w:rsidR="008243CA">
        <w:t xml:space="preserve"> </w:t>
      </w:r>
      <w:r w:rsidRPr="00E62FE6">
        <w:t>Round</w:t>
      </w:r>
      <w:r w:rsidR="008243CA">
        <w:t xml:space="preserve"> </w:t>
      </w:r>
      <w:r w:rsidRPr="00E62FE6">
        <w:t>Table</w:t>
      </w:r>
      <w:r w:rsidR="008243CA">
        <w:t xml:space="preserve"> </w:t>
      </w:r>
      <w:r w:rsidRPr="00E62FE6">
        <w:t>had</w:t>
      </w:r>
      <w:r w:rsidR="008243CA">
        <w:t xml:space="preserve"> </w:t>
      </w:r>
      <w:r w:rsidRPr="00E62FE6">
        <w:t>access</w:t>
      </w:r>
      <w:r w:rsidR="008243CA">
        <w:t xml:space="preserve"> </w:t>
      </w:r>
      <w:r w:rsidRPr="00E62FE6">
        <w:t>to</w:t>
      </w:r>
      <w:r w:rsidR="008243CA">
        <w:t xml:space="preserve"> </w:t>
      </w:r>
      <w:r w:rsidRPr="00E62FE6">
        <w:t>the</w:t>
      </w:r>
      <w:r w:rsidR="008243CA">
        <w:t xml:space="preserve"> </w:t>
      </w:r>
      <w:r w:rsidRPr="00E62FE6">
        <w:t>necessary</w:t>
      </w:r>
      <w:r w:rsidR="008243CA">
        <w:t xml:space="preserve"> </w:t>
      </w:r>
      <w:r w:rsidRPr="00E62FE6">
        <w:t>information,</w:t>
      </w:r>
      <w:r w:rsidR="008243CA">
        <w:t xml:space="preserve"> </w:t>
      </w:r>
      <w:r w:rsidRPr="00E62FE6">
        <w:t>a</w:t>
      </w:r>
      <w:r w:rsidR="008243CA">
        <w:t xml:space="preserve"> </w:t>
      </w:r>
      <w:r w:rsidRPr="00E62FE6">
        <w:t>fact</w:t>
      </w:r>
      <w:r w:rsidR="008243CA">
        <w:t xml:space="preserve"> </w:t>
      </w:r>
      <w:r w:rsidRPr="00E62FE6">
        <w:t>sheet</w:t>
      </w:r>
      <w:r w:rsidR="008243CA">
        <w:t xml:space="preserve"> </w:t>
      </w:r>
      <w:r w:rsidRPr="00E62FE6">
        <w:t>was</w:t>
      </w:r>
      <w:r w:rsidR="008243CA">
        <w:t xml:space="preserve"> </w:t>
      </w:r>
      <w:r w:rsidRPr="00E62FE6">
        <w:t>produced</w:t>
      </w:r>
      <w:r w:rsidR="008243CA">
        <w:t xml:space="preserve"> </w:t>
      </w:r>
      <w:r w:rsidRPr="00E62FE6">
        <w:t>for</w:t>
      </w:r>
      <w:r w:rsidR="008243CA">
        <w:t xml:space="preserve"> </w:t>
      </w:r>
      <w:r w:rsidRPr="00E62FE6">
        <w:t>each</w:t>
      </w:r>
      <w:r w:rsidR="008243CA">
        <w:t xml:space="preserve"> </w:t>
      </w:r>
      <w:r w:rsidRPr="00E62FE6">
        <w:t>measure</w:t>
      </w:r>
      <w:r w:rsidR="008243CA">
        <w:t xml:space="preserve"> </w:t>
      </w:r>
      <w:r w:rsidRPr="00E62FE6">
        <w:t>that</w:t>
      </w:r>
      <w:r w:rsidR="008243CA">
        <w:t xml:space="preserve"> </w:t>
      </w:r>
      <w:r w:rsidRPr="00E62FE6">
        <w:t>needed</w:t>
      </w:r>
      <w:r w:rsidR="008243CA">
        <w:t xml:space="preserve"> </w:t>
      </w:r>
      <w:r w:rsidRPr="00E62FE6">
        <w:t>to</w:t>
      </w:r>
      <w:r w:rsidR="008243CA">
        <w:t xml:space="preserve"> </w:t>
      </w:r>
      <w:r w:rsidRPr="00E62FE6">
        <w:t>be</w:t>
      </w:r>
      <w:r w:rsidR="008243CA">
        <w:t xml:space="preserve"> </w:t>
      </w:r>
      <w:r w:rsidRPr="00E62FE6">
        <w:t>taken</w:t>
      </w:r>
      <w:r w:rsidR="008243CA">
        <w:t xml:space="preserve"> </w:t>
      </w:r>
      <w:r w:rsidRPr="00E62FE6">
        <w:t>in</w:t>
      </w:r>
      <w:r w:rsidR="008243CA">
        <w:t xml:space="preserve"> </w:t>
      </w:r>
      <w:r w:rsidRPr="00E62FE6">
        <w:t>order</w:t>
      </w:r>
      <w:r w:rsidR="008243CA">
        <w:t xml:space="preserve"> </w:t>
      </w:r>
      <w:r w:rsidRPr="00E62FE6">
        <w:t>to</w:t>
      </w:r>
      <w:r w:rsidR="008243CA">
        <w:t xml:space="preserve"> </w:t>
      </w:r>
      <w:r w:rsidRPr="00E62FE6">
        <w:t>comply</w:t>
      </w:r>
      <w:r w:rsidR="008243CA">
        <w:t xml:space="preserve"> </w:t>
      </w:r>
      <w:r w:rsidRPr="00E62FE6">
        <w:t>with</w:t>
      </w:r>
      <w:r w:rsidR="008243CA">
        <w:t xml:space="preserve"> </w:t>
      </w:r>
      <w:r w:rsidRPr="00E62FE6">
        <w:t>the</w:t>
      </w:r>
      <w:r w:rsidR="008243CA">
        <w:t xml:space="preserve"> </w:t>
      </w:r>
      <w:r w:rsidRPr="00E62FE6">
        <w:t>Subcommittee</w:t>
      </w:r>
      <w:r w:rsidR="00116F0B">
        <w:t>’</w:t>
      </w:r>
      <w:r w:rsidRPr="00E62FE6">
        <w:t>s</w:t>
      </w:r>
      <w:r w:rsidR="008243CA">
        <w:t xml:space="preserve"> </w:t>
      </w:r>
      <w:r w:rsidRPr="00E62FE6">
        <w:t>recommendations.</w:t>
      </w:r>
      <w:r w:rsidR="008243CA">
        <w:t xml:space="preserve"> </w:t>
      </w:r>
      <w:r w:rsidRPr="00E62FE6">
        <w:t>Each</w:t>
      </w:r>
      <w:r w:rsidR="008243CA">
        <w:t xml:space="preserve"> </w:t>
      </w:r>
      <w:r w:rsidRPr="00E62FE6">
        <w:t>fact</w:t>
      </w:r>
      <w:r w:rsidR="008243CA">
        <w:t xml:space="preserve"> </w:t>
      </w:r>
      <w:r w:rsidRPr="00E62FE6">
        <w:t>sheet</w:t>
      </w:r>
      <w:r w:rsidR="008243CA">
        <w:t xml:space="preserve"> </w:t>
      </w:r>
      <w:r w:rsidRPr="00E62FE6">
        <w:t>indicated</w:t>
      </w:r>
      <w:r w:rsidR="008243CA">
        <w:t xml:space="preserve"> </w:t>
      </w:r>
      <w:r w:rsidRPr="00E62FE6">
        <w:t>the</w:t>
      </w:r>
      <w:r w:rsidR="008243CA">
        <w:t xml:space="preserve"> </w:t>
      </w:r>
      <w:r w:rsidRPr="00E62FE6">
        <w:t>recommendation</w:t>
      </w:r>
      <w:r w:rsidR="008243CA">
        <w:t xml:space="preserve"> </w:t>
      </w:r>
      <w:r w:rsidRPr="00E62FE6">
        <w:t>concerned,</w:t>
      </w:r>
      <w:r w:rsidR="008243CA">
        <w:t xml:space="preserve"> </w:t>
      </w:r>
      <w:r w:rsidRPr="00E62FE6">
        <w:t>the</w:t>
      </w:r>
      <w:r w:rsidR="008243CA">
        <w:t xml:space="preserve"> </w:t>
      </w:r>
      <w:r w:rsidRPr="00E62FE6">
        <w:t>steps</w:t>
      </w:r>
      <w:r w:rsidR="008243CA">
        <w:t xml:space="preserve"> </w:t>
      </w:r>
      <w:r w:rsidRPr="00E62FE6">
        <w:t>to</w:t>
      </w:r>
      <w:r w:rsidR="008243CA">
        <w:t xml:space="preserve"> </w:t>
      </w:r>
      <w:r w:rsidRPr="00E62FE6">
        <w:t>be</w:t>
      </w:r>
      <w:r w:rsidR="008243CA">
        <w:t xml:space="preserve"> </w:t>
      </w:r>
      <w:r w:rsidRPr="00E62FE6">
        <w:t>taken,</w:t>
      </w:r>
      <w:r w:rsidR="008243CA">
        <w:t xml:space="preserve"> </w:t>
      </w:r>
      <w:r w:rsidRPr="00E62FE6">
        <w:t>the</w:t>
      </w:r>
      <w:r w:rsidR="008243CA">
        <w:t xml:space="preserve"> </w:t>
      </w:r>
      <w:r w:rsidRPr="00E62FE6">
        <w:t>units</w:t>
      </w:r>
      <w:r w:rsidR="008243CA">
        <w:t xml:space="preserve"> </w:t>
      </w:r>
      <w:r w:rsidRPr="00E62FE6">
        <w:t>responsible</w:t>
      </w:r>
      <w:r w:rsidR="008243CA">
        <w:t xml:space="preserve"> </w:t>
      </w:r>
      <w:r w:rsidRPr="00E62FE6">
        <w:t>for</w:t>
      </w:r>
      <w:r w:rsidR="008243CA">
        <w:t xml:space="preserve"> </w:t>
      </w:r>
      <w:r w:rsidRPr="00E62FE6">
        <w:t>taking</w:t>
      </w:r>
      <w:r w:rsidR="008243CA">
        <w:t xml:space="preserve"> </w:t>
      </w:r>
      <w:r w:rsidRPr="00E62FE6">
        <w:t>those</w:t>
      </w:r>
      <w:r w:rsidR="008243CA">
        <w:t xml:space="preserve"> </w:t>
      </w:r>
      <w:r w:rsidRPr="00E62FE6">
        <w:t>steps</w:t>
      </w:r>
      <w:r w:rsidR="008243CA">
        <w:t xml:space="preserve"> </w:t>
      </w:r>
      <w:r w:rsidRPr="00E62FE6">
        <w:t>within</w:t>
      </w:r>
      <w:r w:rsidR="008243CA">
        <w:t xml:space="preserve"> </w:t>
      </w:r>
      <w:r w:rsidRPr="00E62FE6">
        <w:t>each</w:t>
      </w:r>
      <w:r w:rsidR="008243CA">
        <w:t xml:space="preserve"> </w:t>
      </w:r>
      <w:r w:rsidRPr="00E62FE6">
        <w:t>service</w:t>
      </w:r>
      <w:r w:rsidR="008243CA">
        <w:t xml:space="preserve"> </w:t>
      </w:r>
      <w:r w:rsidRPr="00E62FE6">
        <w:t>and</w:t>
      </w:r>
      <w:r w:rsidR="008243CA">
        <w:t xml:space="preserve"> </w:t>
      </w:r>
      <w:r w:rsidRPr="00E62FE6">
        <w:t>the</w:t>
      </w:r>
      <w:r w:rsidR="008243CA">
        <w:t xml:space="preserve"> </w:t>
      </w:r>
      <w:r w:rsidRPr="00E62FE6">
        <w:t>time</w:t>
      </w:r>
      <w:r w:rsidR="008243CA">
        <w:t xml:space="preserve"> </w:t>
      </w:r>
      <w:r w:rsidRPr="00E62FE6">
        <w:t>frame</w:t>
      </w:r>
      <w:r w:rsidR="008243CA">
        <w:t xml:space="preserve"> </w:t>
      </w:r>
      <w:r w:rsidRPr="00E62FE6">
        <w:t>for</w:t>
      </w:r>
      <w:r w:rsidR="008243CA">
        <w:t xml:space="preserve"> </w:t>
      </w:r>
      <w:r w:rsidRPr="00E62FE6">
        <w:t>implementation.</w:t>
      </w:r>
      <w:r w:rsidRPr="00116F0B">
        <w:rPr>
          <w:rStyle w:val="FootnoteReference"/>
        </w:rPr>
        <w:footnoteReference w:id="16"/>
      </w:r>
    </w:p>
    <w:p w:rsidR="003F7D03" w:rsidRPr="00E62FE6" w:rsidRDefault="00F919C2" w:rsidP="00F919C2">
      <w:pPr>
        <w:pStyle w:val="HChG"/>
      </w:pPr>
      <w:bookmarkStart w:id="18" w:name="page10"/>
      <w:bookmarkEnd w:id="18"/>
      <w:r>
        <w:tab/>
      </w:r>
      <w:r w:rsidR="003F7D03" w:rsidRPr="00E62FE6">
        <w:tab/>
      </w:r>
      <w:bookmarkStart w:id="19" w:name="_Toc512870675"/>
      <w:bookmarkStart w:id="20" w:name="_Toc512870837"/>
      <w:r w:rsidR="003F7D03" w:rsidRPr="00E62FE6">
        <w:t>Chapter</w:t>
      </w:r>
      <w:r w:rsidR="008243CA">
        <w:t xml:space="preserve"> </w:t>
      </w:r>
      <w:r w:rsidR="003F7D03" w:rsidRPr="00E62FE6">
        <w:t>2</w:t>
      </w:r>
      <w:r w:rsidR="008243CA">
        <w:t xml:space="preserve"> </w:t>
      </w:r>
      <w:r>
        <w:br/>
      </w:r>
      <w:r w:rsidR="003F7D03" w:rsidRPr="00E62FE6">
        <w:t>Recommendations</w:t>
      </w:r>
      <w:r w:rsidR="008243CA">
        <w:t xml:space="preserve"> </w:t>
      </w:r>
      <w:r w:rsidR="003F7D03" w:rsidRPr="00E62FE6">
        <w:t>to</w:t>
      </w:r>
      <w:r w:rsidR="008243CA">
        <w:t xml:space="preserve"> </w:t>
      </w:r>
      <w:r w:rsidR="003F7D03" w:rsidRPr="00E62FE6">
        <w:t>be</w:t>
      </w:r>
      <w:r w:rsidR="008243CA">
        <w:t xml:space="preserve"> </w:t>
      </w:r>
      <w:r w:rsidR="003F7D03" w:rsidRPr="00E62FE6">
        <w:t>implemented</w:t>
      </w:r>
      <w:r w:rsidR="008243CA">
        <w:t xml:space="preserve"> </w:t>
      </w:r>
      <w:r w:rsidR="003F7D03" w:rsidRPr="00E62FE6">
        <w:t>by</w:t>
      </w:r>
      <w:r w:rsidR="008243CA">
        <w:t xml:space="preserve"> </w:t>
      </w:r>
      <w:r w:rsidR="003F7D03" w:rsidRPr="00E62FE6">
        <w:t>ministries</w:t>
      </w:r>
      <w:bookmarkEnd w:id="19"/>
      <w:bookmarkEnd w:id="20"/>
    </w:p>
    <w:p w:rsidR="003F7D03" w:rsidRPr="00E62FE6" w:rsidRDefault="003F7D03" w:rsidP="00F919C2">
      <w:pPr>
        <w:pStyle w:val="H1G"/>
      </w:pPr>
      <w:r w:rsidRPr="00E62FE6">
        <w:tab/>
      </w:r>
      <w:bookmarkStart w:id="21" w:name="_Toc512870676"/>
      <w:bookmarkStart w:id="22" w:name="_Toc512870838"/>
      <w:r w:rsidRPr="00E62FE6">
        <w:t>2.1</w:t>
      </w:r>
      <w:r w:rsidRPr="00E62FE6">
        <w:tab/>
        <w:t>Legal</w:t>
      </w:r>
      <w:r w:rsidR="008243CA">
        <w:t xml:space="preserve"> </w:t>
      </w:r>
      <w:r w:rsidRPr="00E62FE6">
        <w:t>measures</w:t>
      </w:r>
      <w:bookmarkEnd w:id="21"/>
      <w:bookmarkEnd w:id="22"/>
    </w:p>
    <w:p w:rsidR="003F7D03" w:rsidRPr="00E62FE6" w:rsidRDefault="003F7D03" w:rsidP="000C6D98">
      <w:pPr>
        <w:pStyle w:val="SingleTxtG"/>
      </w:pPr>
      <w:r w:rsidRPr="00E62FE6">
        <w:t>15.</w:t>
      </w:r>
      <w:r w:rsidRPr="00E62FE6">
        <w:tab/>
        <w:t>Some</w:t>
      </w:r>
      <w:r w:rsidR="008243CA">
        <w:t xml:space="preserve"> </w:t>
      </w:r>
      <w:r w:rsidRPr="00E62FE6">
        <w:t>of</w:t>
      </w:r>
      <w:r w:rsidR="008243CA">
        <w:t xml:space="preserve"> </w:t>
      </w:r>
      <w:r w:rsidRPr="00E62FE6">
        <w:t>the</w:t>
      </w:r>
      <w:r w:rsidR="008243CA">
        <w:t xml:space="preserve"> </w:t>
      </w:r>
      <w:r w:rsidRPr="00E62FE6">
        <w:t>Subcommittee</w:t>
      </w:r>
      <w:r w:rsidR="00116F0B">
        <w:t>’</w:t>
      </w:r>
      <w:r w:rsidRPr="00E62FE6">
        <w:t>s</w:t>
      </w:r>
      <w:r w:rsidR="008243CA">
        <w:t xml:space="preserve"> </w:t>
      </w:r>
      <w:r w:rsidRPr="00E62FE6">
        <w:t>recommendations</w:t>
      </w:r>
      <w:r w:rsidR="008243CA">
        <w:t xml:space="preserve"> </w:t>
      </w:r>
      <w:r w:rsidRPr="00E62FE6">
        <w:t>refer</w:t>
      </w:r>
      <w:r w:rsidR="008243CA">
        <w:t xml:space="preserve"> </w:t>
      </w:r>
      <w:r w:rsidRPr="00E62FE6">
        <w:t>specifically</w:t>
      </w:r>
      <w:r w:rsidR="008243CA">
        <w:t xml:space="preserve"> </w:t>
      </w:r>
      <w:r w:rsidRPr="00E62FE6">
        <w:t>to</w:t>
      </w:r>
      <w:r w:rsidR="008243CA">
        <w:t xml:space="preserve"> </w:t>
      </w:r>
      <w:r w:rsidRPr="00E62FE6">
        <w:t>legal</w:t>
      </w:r>
      <w:r w:rsidR="008243CA">
        <w:t xml:space="preserve"> </w:t>
      </w:r>
      <w:r w:rsidRPr="00E62FE6">
        <w:t>reforms</w:t>
      </w:r>
      <w:r w:rsidR="008243CA">
        <w:t xml:space="preserve"> </w:t>
      </w:r>
      <w:r w:rsidRPr="00E62FE6">
        <w:t>that</w:t>
      </w:r>
      <w:r w:rsidR="008243CA">
        <w:t xml:space="preserve"> </w:t>
      </w:r>
      <w:r w:rsidRPr="00E62FE6">
        <w:t>would</w:t>
      </w:r>
      <w:r w:rsidR="008243CA">
        <w:t xml:space="preserve"> </w:t>
      </w:r>
      <w:r w:rsidRPr="00E62FE6">
        <w:t>have</w:t>
      </w:r>
      <w:r w:rsidR="008243CA">
        <w:t xml:space="preserve"> </w:t>
      </w:r>
      <w:r w:rsidRPr="00E62FE6">
        <w:t>a</w:t>
      </w:r>
      <w:r w:rsidR="008243CA">
        <w:t xml:space="preserve"> </w:t>
      </w:r>
      <w:r w:rsidRPr="00E62FE6">
        <w:t>direct</w:t>
      </w:r>
      <w:r w:rsidR="008243CA">
        <w:t xml:space="preserve"> </w:t>
      </w:r>
      <w:r w:rsidRPr="00E62FE6">
        <w:t>impact</w:t>
      </w:r>
      <w:r w:rsidR="008243CA">
        <w:t xml:space="preserve"> </w:t>
      </w:r>
      <w:r w:rsidRPr="00E62FE6">
        <w:t>in</w:t>
      </w:r>
      <w:r w:rsidR="008243CA">
        <w:t xml:space="preserve"> </w:t>
      </w:r>
      <w:r w:rsidRPr="00E62FE6">
        <w:t>terms</w:t>
      </w:r>
      <w:r w:rsidR="008243CA">
        <w:t xml:space="preserve"> </w:t>
      </w:r>
      <w:r w:rsidRPr="00E62FE6">
        <w:t>of</w:t>
      </w:r>
      <w:r w:rsidR="008243CA">
        <w:t xml:space="preserve"> </w:t>
      </w:r>
      <w:r w:rsidRPr="00E62FE6">
        <w:t>torture</w:t>
      </w:r>
      <w:r w:rsidR="008243CA">
        <w:t xml:space="preserve"> </w:t>
      </w:r>
      <w:r w:rsidRPr="00E62FE6">
        <w:t>prevention.</w:t>
      </w:r>
      <w:r w:rsidR="008243CA">
        <w:t xml:space="preserve"> </w:t>
      </w:r>
      <w:r w:rsidRPr="00E62FE6">
        <w:t>The</w:t>
      </w:r>
      <w:r w:rsidR="008243CA">
        <w:t xml:space="preserve"> </w:t>
      </w:r>
      <w:r w:rsidRPr="00E62FE6">
        <w:t>progress</w:t>
      </w:r>
      <w:r w:rsidR="008243CA">
        <w:t xml:space="preserve"> </w:t>
      </w:r>
      <w:r w:rsidRPr="00E62FE6">
        <w:t>and</w:t>
      </w:r>
      <w:r w:rsidR="008243CA">
        <w:t xml:space="preserve"> </w:t>
      </w:r>
      <w:r w:rsidRPr="00E62FE6">
        <w:t>commitments</w:t>
      </w:r>
      <w:r w:rsidR="008243CA">
        <w:t xml:space="preserve"> </w:t>
      </w:r>
      <w:r w:rsidRPr="00E62FE6">
        <w:t>made</w:t>
      </w:r>
      <w:r w:rsidR="008243CA">
        <w:t xml:space="preserve"> </w:t>
      </w:r>
      <w:r w:rsidRPr="00E62FE6">
        <w:t>in</w:t>
      </w:r>
      <w:r w:rsidR="008243CA">
        <w:t xml:space="preserve"> </w:t>
      </w:r>
      <w:r w:rsidRPr="00E62FE6">
        <w:t>this</w:t>
      </w:r>
      <w:r w:rsidR="008243CA">
        <w:t xml:space="preserve"> </w:t>
      </w:r>
      <w:r w:rsidRPr="00E62FE6">
        <w:t>regard</w:t>
      </w:r>
      <w:r w:rsidR="008243CA">
        <w:t xml:space="preserve"> </w:t>
      </w:r>
      <w:r w:rsidRPr="00E62FE6">
        <w:t>are</w:t>
      </w:r>
      <w:r w:rsidR="008243CA">
        <w:t xml:space="preserve"> </w:t>
      </w:r>
      <w:r w:rsidRPr="00E62FE6">
        <w:t>set</w:t>
      </w:r>
      <w:r w:rsidR="008243CA">
        <w:t xml:space="preserve"> </w:t>
      </w:r>
      <w:r w:rsidRPr="00E62FE6">
        <w:t>forth</w:t>
      </w:r>
      <w:r w:rsidR="008243CA">
        <w:t xml:space="preserve"> </w:t>
      </w:r>
      <w:r w:rsidRPr="00E62FE6">
        <w:t>below.</w:t>
      </w:r>
    </w:p>
    <w:p w:rsidR="003F7D03" w:rsidRPr="00E62FE6" w:rsidRDefault="003F7D03" w:rsidP="00F919C2">
      <w:pPr>
        <w:pStyle w:val="H23G"/>
      </w:pPr>
      <w:r w:rsidRPr="00E62FE6">
        <w:tab/>
      </w:r>
      <w:bookmarkStart w:id="23" w:name="_Toc512870677"/>
      <w:bookmarkStart w:id="24" w:name="_Toc512870839"/>
      <w:r w:rsidRPr="00E62FE6">
        <w:t>2.1.1</w:t>
      </w:r>
      <w:r w:rsidRPr="00E62FE6">
        <w:tab/>
        <w:t>National</w:t>
      </w:r>
      <w:r w:rsidR="008243CA">
        <w:t xml:space="preserve"> </w:t>
      </w:r>
      <w:r w:rsidRPr="00E62FE6">
        <w:t>preventive</w:t>
      </w:r>
      <w:r w:rsidR="008243CA">
        <w:t xml:space="preserve"> </w:t>
      </w:r>
      <w:r w:rsidRPr="00E62FE6">
        <w:t>mechanism</w:t>
      </w:r>
      <w:bookmarkEnd w:id="23"/>
      <w:bookmarkEnd w:id="24"/>
    </w:p>
    <w:p w:rsidR="003F7D03" w:rsidRPr="00E62FE6" w:rsidRDefault="003F7D03" w:rsidP="000C6D98">
      <w:pPr>
        <w:pStyle w:val="SingleTxtG"/>
      </w:pPr>
      <w:r w:rsidRPr="00E62FE6">
        <w:t>16.</w:t>
      </w:r>
      <w:r w:rsidRPr="00E62FE6">
        <w:tab/>
        <w:t>Paragraph</w:t>
      </w:r>
      <w:r w:rsidR="008243CA">
        <w:t xml:space="preserve"> </w:t>
      </w:r>
      <w:r w:rsidRPr="00E62FE6">
        <w:t>20:</w:t>
      </w:r>
      <w:r w:rsidR="008243CA">
        <w:t xml:space="preserve"> </w:t>
      </w:r>
      <w:r w:rsidRPr="00F9134C">
        <w:rPr>
          <w:i/>
          <w:iCs/>
        </w:rPr>
        <w:t>The</w:t>
      </w:r>
      <w:r w:rsidR="008243CA">
        <w:rPr>
          <w:i/>
          <w:iCs/>
        </w:rPr>
        <w:t xml:space="preserve"> </w:t>
      </w:r>
      <w:r w:rsidRPr="00F9134C">
        <w:rPr>
          <w:i/>
          <w:iCs/>
        </w:rPr>
        <w:t>Subcommittee</w:t>
      </w:r>
      <w:r w:rsidR="008243CA">
        <w:rPr>
          <w:i/>
          <w:iCs/>
        </w:rPr>
        <w:t xml:space="preserve"> </w:t>
      </w:r>
      <w:r w:rsidRPr="00F9134C">
        <w:rPr>
          <w:i/>
          <w:iCs/>
        </w:rPr>
        <w:t>urges</w:t>
      </w:r>
      <w:r w:rsidR="008243CA">
        <w:rPr>
          <w:i/>
          <w:iCs/>
        </w:rPr>
        <w:t xml:space="preserve"> </w:t>
      </w:r>
      <w:r w:rsidRPr="00F9134C">
        <w:rPr>
          <w:i/>
          <w:iCs/>
        </w:rPr>
        <w:t>the</w:t>
      </w:r>
      <w:r w:rsidR="008243CA">
        <w:rPr>
          <w:i/>
          <w:iCs/>
        </w:rPr>
        <w:t xml:space="preserve"> </w:t>
      </w:r>
      <w:r w:rsidRPr="00F9134C">
        <w:rPr>
          <w:i/>
          <w:iCs/>
        </w:rPr>
        <w:t>State</w:t>
      </w:r>
      <w:r w:rsidR="008243CA">
        <w:rPr>
          <w:i/>
          <w:iCs/>
        </w:rPr>
        <w:t xml:space="preserve"> </w:t>
      </w:r>
      <w:r w:rsidRPr="00F9134C">
        <w:rPr>
          <w:i/>
          <w:iCs/>
        </w:rPr>
        <w:t>party</w:t>
      </w:r>
      <w:r w:rsidR="008243CA">
        <w:rPr>
          <w:i/>
          <w:iCs/>
        </w:rPr>
        <w:t xml:space="preserve"> </w:t>
      </w:r>
      <w:r w:rsidRPr="00F9134C">
        <w:rPr>
          <w:i/>
          <w:iCs/>
        </w:rPr>
        <w:t>to</w:t>
      </w:r>
      <w:r w:rsidR="008243CA">
        <w:rPr>
          <w:i/>
          <w:iCs/>
        </w:rPr>
        <w:t xml:space="preserve"> </w:t>
      </w:r>
      <w:r w:rsidRPr="00F9134C">
        <w:rPr>
          <w:i/>
          <w:iCs/>
        </w:rPr>
        <w:t>comply</w:t>
      </w:r>
      <w:r w:rsidR="008243CA">
        <w:rPr>
          <w:i/>
          <w:iCs/>
        </w:rPr>
        <w:t xml:space="preserve"> </w:t>
      </w:r>
      <w:r w:rsidRPr="00F9134C">
        <w:rPr>
          <w:i/>
          <w:iCs/>
        </w:rPr>
        <w:t>swiftly</w:t>
      </w:r>
      <w:r w:rsidR="008243CA">
        <w:rPr>
          <w:i/>
          <w:iCs/>
        </w:rPr>
        <w:t xml:space="preserve"> </w:t>
      </w:r>
      <w:r w:rsidRPr="00F9134C">
        <w:rPr>
          <w:i/>
          <w:iCs/>
        </w:rPr>
        <w:t>with</w:t>
      </w:r>
      <w:r w:rsidR="008243CA">
        <w:rPr>
          <w:i/>
          <w:iCs/>
        </w:rPr>
        <w:t xml:space="preserve"> </w:t>
      </w:r>
      <w:r w:rsidRPr="00F9134C">
        <w:rPr>
          <w:i/>
          <w:iCs/>
        </w:rPr>
        <w:t>its</w:t>
      </w:r>
      <w:r w:rsidR="008243CA">
        <w:rPr>
          <w:i/>
          <w:iCs/>
        </w:rPr>
        <w:t xml:space="preserve"> </w:t>
      </w:r>
      <w:r w:rsidRPr="00F9134C">
        <w:rPr>
          <w:i/>
          <w:iCs/>
        </w:rPr>
        <w:t>international</w:t>
      </w:r>
      <w:r w:rsidR="008243CA">
        <w:rPr>
          <w:i/>
          <w:iCs/>
        </w:rPr>
        <w:t xml:space="preserve"> </w:t>
      </w:r>
      <w:r w:rsidRPr="00F9134C">
        <w:rPr>
          <w:i/>
          <w:iCs/>
        </w:rPr>
        <w:t>obligation</w:t>
      </w:r>
      <w:r w:rsidR="008243CA">
        <w:rPr>
          <w:i/>
          <w:iCs/>
        </w:rPr>
        <w:t xml:space="preserve"> </w:t>
      </w:r>
      <w:r w:rsidRPr="00F9134C">
        <w:rPr>
          <w:i/>
          <w:iCs/>
        </w:rPr>
        <w:t>to</w:t>
      </w:r>
      <w:r w:rsidR="008243CA">
        <w:rPr>
          <w:i/>
          <w:iCs/>
        </w:rPr>
        <w:t xml:space="preserve"> </w:t>
      </w:r>
      <w:r w:rsidRPr="00F9134C">
        <w:rPr>
          <w:i/>
          <w:iCs/>
        </w:rPr>
        <w:t>establish</w:t>
      </w:r>
      <w:r w:rsidR="008243CA">
        <w:rPr>
          <w:i/>
          <w:iCs/>
        </w:rPr>
        <w:t xml:space="preserve"> </w:t>
      </w:r>
      <w:r w:rsidRPr="00F9134C">
        <w:rPr>
          <w:i/>
          <w:iCs/>
        </w:rPr>
        <w:t>a</w:t>
      </w:r>
      <w:r w:rsidR="008243CA">
        <w:rPr>
          <w:i/>
          <w:iCs/>
        </w:rPr>
        <w:t xml:space="preserve"> </w:t>
      </w:r>
      <w:r w:rsidRPr="00F9134C">
        <w:rPr>
          <w:i/>
          <w:iCs/>
        </w:rPr>
        <w:t>national</w:t>
      </w:r>
      <w:r w:rsidR="008243CA">
        <w:rPr>
          <w:i/>
          <w:iCs/>
        </w:rPr>
        <w:t xml:space="preserve"> </w:t>
      </w:r>
      <w:r w:rsidRPr="00F9134C">
        <w:rPr>
          <w:i/>
          <w:iCs/>
        </w:rPr>
        <w:t>preventive</w:t>
      </w:r>
      <w:r w:rsidR="008243CA">
        <w:rPr>
          <w:i/>
          <w:iCs/>
        </w:rPr>
        <w:t xml:space="preserve"> </w:t>
      </w:r>
      <w:r w:rsidRPr="00F9134C">
        <w:rPr>
          <w:i/>
          <w:iCs/>
        </w:rPr>
        <w:t>mechanism,</w:t>
      </w:r>
      <w:r w:rsidR="008243CA">
        <w:rPr>
          <w:i/>
          <w:iCs/>
        </w:rPr>
        <w:t xml:space="preserve"> </w:t>
      </w:r>
      <w:r w:rsidRPr="00F9134C">
        <w:rPr>
          <w:i/>
          <w:iCs/>
        </w:rPr>
        <w:t>along</w:t>
      </w:r>
      <w:r w:rsidR="008243CA">
        <w:rPr>
          <w:i/>
          <w:iCs/>
        </w:rPr>
        <w:t xml:space="preserve"> </w:t>
      </w:r>
      <w:r w:rsidRPr="00F9134C">
        <w:rPr>
          <w:i/>
          <w:iCs/>
        </w:rPr>
        <w:t>with</w:t>
      </w:r>
      <w:r w:rsidR="008243CA">
        <w:rPr>
          <w:i/>
          <w:iCs/>
        </w:rPr>
        <w:t xml:space="preserve"> </w:t>
      </w:r>
      <w:r w:rsidRPr="00F9134C">
        <w:rPr>
          <w:i/>
          <w:iCs/>
        </w:rPr>
        <w:t>the</w:t>
      </w:r>
      <w:r w:rsidR="008243CA">
        <w:rPr>
          <w:i/>
          <w:iCs/>
        </w:rPr>
        <w:t xml:space="preserve"> </w:t>
      </w:r>
      <w:r w:rsidRPr="00F9134C">
        <w:rPr>
          <w:i/>
          <w:iCs/>
        </w:rPr>
        <w:t>specific</w:t>
      </w:r>
      <w:r w:rsidR="008243CA">
        <w:rPr>
          <w:i/>
          <w:iCs/>
        </w:rPr>
        <w:t xml:space="preserve"> </w:t>
      </w:r>
      <w:r w:rsidRPr="00F9134C">
        <w:rPr>
          <w:i/>
          <w:iCs/>
        </w:rPr>
        <w:t>guarantees</w:t>
      </w:r>
      <w:r w:rsidR="008243CA">
        <w:rPr>
          <w:i/>
          <w:iCs/>
        </w:rPr>
        <w:t xml:space="preserve"> </w:t>
      </w:r>
      <w:r w:rsidRPr="00F9134C">
        <w:rPr>
          <w:i/>
          <w:iCs/>
        </w:rPr>
        <w:t>such</w:t>
      </w:r>
      <w:r w:rsidR="008243CA">
        <w:rPr>
          <w:i/>
          <w:iCs/>
        </w:rPr>
        <w:t xml:space="preserve"> </w:t>
      </w:r>
      <w:r w:rsidRPr="00F9134C">
        <w:rPr>
          <w:i/>
          <w:iCs/>
        </w:rPr>
        <w:t>national</w:t>
      </w:r>
      <w:r w:rsidR="008243CA">
        <w:rPr>
          <w:i/>
          <w:iCs/>
        </w:rPr>
        <w:t xml:space="preserve"> </w:t>
      </w:r>
      <w:r w:rsidRPr="00F9134C">
        <w:rPr>
          <w:i/>
          <w:iCs/>
        </w:rPr>
        <w:t>mechanisms</w:t>
      </w:r>
      <w:r w:rsidR="008243CA">
        <w:rPr>
          <w:i/>
          <w:iCs/>
        </w:rPr>
        <w:t xml:space="preserve"> </w:t>
      </w:r>
      <w:r w:rsidRPr="00F9134C">
        <w:rPr>
          <w:i/>
          <w:iCs/>
        </w:rPr>
        <w:t>should</w:t>
      </w:r>
      <w:r w:rsidR="008243CA">
        <w:rPr>
          <w:i/>
          <w:iCs/>
        </w:rPr>
        <w:t xml:space="preserve"> </w:t>
      </w:r>
      <w:r w:rsidRPr="00F9134C">
        <w:rPr>
          <w:i/>
          <w:iCs/>
        </w:rPr>
        <w:t>have.</w:t>
      </w:r>
      <w:r w:rsidR="008243CA">
        <w:rPr>
          <w:i/>
          <w:iCs/>
        </w:rPr>
        <w:t xml:space="preserve"> </w:t>
      </w:r>
      <w:r w:rsidRPr="00F9134C">
        <w:rPr>
          <w:i/>
          <w:iCs/>
        </w:rPr>
        <w:t>In</w:t>
      </w:r>
      <w:r w:rsidR="008243CA">
        <w:rPr>
          <w:i/>
          <w:iCs/>
        </w:rPr>
        <w:t xml:space="preserve"> </w:t>
      </w:r>
      <w:r w:rsidRPr="00F9134C">
        <w:rPr>
          <w:i/>
          <w:iCs/>
        </w:rPr>
        <w:t>particular,</w:t>
      </w:r>
      <w:r w:rsidR="008243CA">
        <w:rPr>
          <w:i/>
          <w:iCs/>
        </w:rPr>
        <w:t xml:space="preserve"> </w:t>
      </w:r>
      <w:r w:rsidRPr="00F9134C">
        <w:rPr>
          <w:i/>
          <w:iCs/>
        </w:rPr>
        <w:t>it</w:t>
      </w:r>
      <w:r w:rsidR="008243CA">
        <w:rPr>
          <w:i/>
          <w:iCs/>
        </w:rPr>
        <w:t xml:space="preserve"> </w:t>
      </w:r>
      <w:r w:rsidRPr="00F9134C">
        <w:rPr>
          <w:i/>
          <w:iCs/>
        </w:rPr>
        <w:t>is</w:t>
      </w:r>
      <w:r w:rsidR="008243CA">
        <w:rPr>
          <w:i/>
          <w:iCs/>
        </w:rPr>
        <w:t xml:space="preserve"> </w:t>
      </w:r>
      <w:r w:rsidRPr="00F9134C">
        <w:rPr>
          <w:i/>
          <w:iCs/>
        </w:rPr>
        <w:t>important</w:t>
      </w:r>
      <w:r w:rsidR="008243CA">
        <w:rPr>
          <w:i/>
          <w:iCs/>
        </w:rPr>
        <w:t xml:space="preserve"> </w:t>
      </w:r>
      <w:r w:rsidRPr="00F9134C">
        <w:rPr>
          <w:i/>
          <w:iCs/>
        </w:rPr>
        <w:t>for</w:t>
      </w:r>
      <w:r w:rsidR="008243CA">
        <w:rPr>
          <w:i/>
          <w:iCs/>
        </w:rPr>
        <w:t xml:space="preserve"> </w:t>
      </w:r>
      <w:r w:rsidRPr="00F9134C">
        <w:rPr>
          <w:i/>
          <w:iCs/>
        </w:rPr>
        <w:t>the</w:t>
      </w:r>
      <w:r w:rsidR="008243CA">
        <w:rPr>
          <w:i/>
          <w:iCs/>
        </w:rPr>
        <w:t xml:space="preserve"> </w:t>
      </w:r>
      <w:r w:rsidRPr="00F9134C">
        <w:rPr>
          <w:i/>
          <w:iCs/>
        </w:rPr>
        <w:t>State</w:t>
      </w:r>
      <w:r w:rsidR="008243CA">
        <w:rPr>
          <w:i/>
          <w:iCs/>
        </w:rPr>
        <w:t xml:space="preserve"> </w:t>
      </w:r>
      <w:r w:rsidRPr="00F9134C">
        <w:rPr>
          <w:i/>
          <w:iCs/>
        </w:rPr>
        <w:t>party</w:t>
      </w:r>
      <w:r w:rsidR="008243CA">
        <w:rPr>
          <w:i/>
          <w:iCs/>
        </w:rPr>
        <w:t xml:space="preserve"> </w:t>
      </w:r>
      <w:r w:rsidRPr="00F9134C">
        <w:rPr>
          <w:i/>
          <w:iCs/>
        </w:rPr>
        <w:t>to</w:t>
      </w:r>
      <w:r w:rsidR="008243CA">
        <w:rPr>
          <w:i/>
          <w:iCs/>
        </w:rPr>
        <w:t xml:space="preserve"> </w:t>
      </w:r>
      <w:r w:rsidRPr="00F9134C">
        <w:rPr>
          <w:i/>
          <w:iCs/>
        </w:rPr>
        <w:t>make</w:t>
      </w:r>
      <w:r w:rsidR="008243CA">
        <w:rPr>
          <w:i/>
          <w:iCs/>
        </w:rPr>
        <w:t xml:space="preserve"> </w:t>
      </w:r>
      <w:r w:rsidRPr="00F9134C">
        <w:rPr>
          <w:i/>
          <w:iCs/>
        </w:rPr>
        <w:t>provision</w:t>
      </w:r>
      <w:r w:rsidR="008243CA">
        <w:rPr>
          <w:i/>
          <w:iCs/>
        </w:rPr>
        <w:t xml:space="preserve"> </w:t>
      </w:r>
      <w:r w:rsidRPr="00F9134C">
        <w:rPr>
          <w:i/>
          <w:iCs/>
        </w:rPr>
        <w:t>for</w:t>
      </w:r>
      <w:r w:rsidR="008243CA">
        <w:rPr>
          <w:i/>
          <w:iCs/>
        </w:rPr>
        <w:t xml:space="preserve"> </w:t>
      </w:r>
      <w:r w:rsidRPr="00F9134C">
        <w:rPr>
          <w:i/>
          <w:iCs/>
        </w:rPr>
        <w:t>the</w:t>
      </w:r>
      <w:r w:rsidR="008243CA">
        <w:rPr>
          <w:i/>
          <w:iCs/>
        </w:rPr>
        <w:t xml:space="preserve"> </w:t>
      </w:r>
      <w:r w:rsidRPr="00F9134C">
        <w:rPr>
          <w:i/>
          <w:iCs/>
        </w:rPr>
        <w:t>funding</w:t>
      </w:r>
      <w:r w:rsidR="008243CA">
        <w:rPr>
          <w:i/>
          <w:iCs/>
        </w:rPr>
        <w:t xml:space="preserve"> </w:t>
      </w:r>
      <w:r w:rsidRPr="00F9134C">
        <w:rPr>
          <w:i/>
          <w:iCs/>
        </w:rPr>
        <w:t>required</w:t>
      </w:r>
      <w:r w:rsidR="008243CA">
        <w:rPr>
          <w:i/>
          <w:iCs/>
        </w:rPr>
        <w:t xml:space="preserve"> </w:t>
      </w:r>
      <w:r w:rsidRPr="00F9134C">
        <w:rPr>
          <w:i/>
          <w:iCs/>
        </w:rPr>
        <w:t>for</w:t>
      </w:r>
      <w:r w:rsidR="008243CA">
        <w:rPr>
          <w:i/>
          <w:iCs/>
        </w:rPr>
        <w:t xml:space="preserve"> </w:t>
      </w:r>
      <w:r w:rsidRPr="00F9134C">
        <w:rPr>
          <w:i/>
          <w:iCs/>
        </w:rPr>
        <w:t>that</w:t>
      </w:r>
      <w:r w:rsidR="008243CA">
        <w:rPr>
          <w:i/>
          <w:iCs/>
        </w:rPr>
        <w:t xml:space="preserve"> </w:t>
      </w:r>
      <w:r w:rsidRPr="00F9134C">
        <w:rPr>
          <w:i/>
          <w:iCs/>
        </w:rPr>
        <w:t>purpose</w:t>
      </w:r>
      <w:r w:rsidR="008243CA">
        <w:rPr>
          <w:i/>
          <w:iCs/>
        </w:rPr>
        <w:t xml:space="preserve"> </w:t>
      </w:r>
      <w:r w:rsidRPr="00F9134C">
        <w:rPr>
          <w:i/>
          <w:iCs/>
        </w:rPr>
        <w:t>in</w:t>
      </w:r>
      <w:r w:rsidR="008243CA">
        <w:rPr>
          <w:i/>
          <w:iCs/>
        </w:rPr>
        <w:t xml:space="preserve"> </w:t>
      </w:r>
      <w:r w:rsidRPr="00F9134C">
        <w:rPr>
          <w:i/>
          <w:iCs/>
        </w:rPr>
        <w:t>the</w:t>
      </w:r>
      <w:r w:rsidR="008243CA">
        <w:rPr>
          <w:i/>
          <w:iCs/>
        </w:rPr>
        <w:t xml:space="preserve"> </w:t>
      </w:r>
      <w:r w:rsidRPr="00F9134C">
        <w:rPr>
          <w:i/>
          <w:iCs/>
        </w:rPr>
        <w:t>2017</w:t>
      </w:r>
      <w:r w:rsidR="008243CA">
        <w:rPr>
          <w:i/>
          <w:iCs/>
        </w:rPr>
        <w:t xml:space="preserve"> </w:t>
      </w:r>
      <w:r w:rsidRPr="00F9134C">
        <w:rPr>
          <w:i/>
          <w:iCs/>
        </w:rPr>
        <w:t>financial</w:t>
      </w:r>
      <w:r w:rsidR="008243CA">
        <w:rPr>
          <w:i/>
          <w:iCs/>
        </w:rPr>
        <w:t xml:space="preserve"> </w:t>
      </w:r>
      <w:r w:rsidRPr="00F9134C">
        <w:rPr>
          <w:i/>
          <w:iCs/>
        </w:rPr>
        <w:t>year.</w:t>
      </w:r>
      <w:r w:rsidR="008243CA">
        <w:rPr>
          <w:i/>
          <w:iCs/>
        </w:rPr>
        <w:t xml:space="preserve"> </w:t>
      </w:r>
      <w:r w:rsidRPr="00F9134C">
        <w:rPr>
          <w:i/>
          <w:iCs/>
        </w:rPr>
        <w:t>The</w:t>
      </w:r>
      <w:r w:rsidR="008243CA">
        <w:rPr>
          <w:i/>
          <w:iCs/>
        </w:rPr>
        <w:t xml:space="preserve"> </w:t>
      </w:r>
      <w:r w:rsidRPr="00F9134C">
        <w:rPr>
          <w:i/>
          <w:iCs/>
        </w:rPr>
        <w:t>Subcommittee</w:t>
      </w:r>
      <w:r w:rsidR="008243CA">
        <w:rPr>
          <w:i/>
          <w:iCs/>
        </w:rPr>
        <w:t xml:space="preserve"> </w:t>
      </w:r>
      <w:r w:rsidRPr="00F9134C">
        <w:rPr>
          <w:i/>
          <w:iCs/>
        </w:rPr>
        <w:t>reiterates</w:t>
      </w:r>
      <w:r w:rsidR="008243CA">
        <w:rPr>
          <w:i/>
          <w:iCs/>
        </w:rPr>
        <w:t xml:space="preserve"> </w:t>
      </w:r>
      <w:r w:rsidRPr="00F9134C">
        <w:rPr>
          <w:i/>
          <w:iCs/>
        </w:rPr>
        <w:t>its</w:t>
      </w:r>
      <w:r w:rsidR="008243CA">
        <w:rPr>
          <w:i/>
          <w:iCs/>
        </w:rPr>
        <w:t xml:space="preserve"> </w:t>
      </w:r>
      <w:r w:rsidRPr="00F9134C">
        <w:rPr>
          <w:i/>
          <w:iCs/>
        </w:rPr>
        <w:t>readiness</w:t>
      </w:r>
      <w:r w:rsidR="008243CA">
        <w:rPr>
          <w:i/>
          <w:iCs/>
        </w:rPr>
        <w:t xml:space="preserve"> </w:t>
      </w:r>
      <w:r w:rsidRPr="00F9134C">
        <w:rPr>
          <w:i/>
          <w:iCs/>
        </w:rPr>
        <w:t>to</w:t>
      </w:r>
      <w:r w:rsidR="008243CA">
        <w:rPr>
          <w:i/>
          <w:iCs/>
        </w:rPr>
        <w:t xml:space="preserve"> </w:t>
      </w:r>
      <w:r w:rsidRPr="00F9134C">
        <w:rPr>
          <w:i/>
          <w:iCs/>
        </w:rPr>
        <w:t>cooperate</w:t>
      </w:r>
      <w:r w:rsidR="008243CA">
        <w:rPr>
          <w:i/>
          <w:iCs/>
        </w:rPr>
        <w:t xml:space="preserve"> </w:t>
      </w:r>
      <w:r w:rsidRPr="00F9134C">
        <w:rPr>
          <w:i/>
          <w:iCs/>
        </w:rPr>
        <w:t>with</w:t>
      </w:r>
      <w:r w:rsidR="008243CA">
        <w:rPr>
          <w:i/>
          <w:iCs/>
        </w:rPr>
        <w:t xml:space="preserve"> </w:t>
      </w:r>
      <w:r w:rsidRPr="00F9134C">
        <w:rPr>
          <w:i/>
          <w:iCs/>
        </w:rPr>
        <w:t>the</w:t>
      </w:r>
      <w:r w:rsidR="008243CA">
        <w:rPr>
          <w:i/>
          <w:iCs/>
        </w:rPr>
        <w:t xml:space="preserve"> </w:t>
      </w:r>
      <w:r w:rsidRPr="00F9134C">
        <w:rPr>
          <w:i/>
          <w:iCs/>
        </w:rPr>
        <w:t>State</w:t>
      </w:r>
      <w:r w:rsidR="008243CA">
        <w:rPr>
          <w:i/>
          <w:iCs/>
        </w:rPr>
        <w:t xml:space="preserve"> </w:t>
      </w:r>
      <w:r w:rsidRPr="00F9134C">
        <w:rPr>
          <w:i/>
          <w:iCs/>
        </w:rPr>
        <w:t>party</w:t>
      </w:r>
      <w:r w:rsidR="008243CA">
        <w:rPr>
          <w:i/>
          <w:iCs/>
        </w:rPr>
        <w:t xml:space="preserve"> </w:t>
      </w:r>
      <w:r w:rsidRPr="00F9134C">
        <w:rPr>
          <w:i/>
          <w:iCs/>
        </w:rPr>
        <w:t>and</w:t>
      </w:r>
      <w:r w:rsidR="008243CA">
        <w:rPr>
          <w:i/>
          <w:iCs/>
        </w:rPr>
        <w:t xml:space="preserve"> </w:t>
      </w:r>
      <w:r w:rsidRPr="00F9134C">
        <w:rPr>
          <w:i/>
          <w:iCs/>
        </w:rPr>
        <w:t>to</w:t>
      </w:r>
      <w:r w:rsidR="008243CA">
        <w:rPr>
          <w:i/>
          <w:iCs/>
        </w:rPr>
        <w:t xml:space="preserve"> </w:t>
      </w:r>
      <w:r w:rsidRPr="00F9134C">
        <w:rPr>
          <w:i/>
          <w:iCs/>
        </w:rPr>
        <w:t>provide</w:t>
      </w:r>
      <w:r w:rsidR="008243CA">
        <w:rPr>
          <w:i/>
          <w:iCs/>
        </w:rPr>
        <w:t xml:space="preserve"> </w:t>
      </w:r>
      <w:r w:rsidRPr="00F9134C">
        <w:rPr>
          <w:i/>
          <w:iCs/>
        </w:rPr>
        <w:t>any</w:t>
      </w:r>
      <w:r w:rsidR="008243CA">
        <w:rPr>
          <w:i/>
          <w:iCs/>
        </w:rPr>
        <w:t xml:space="preserve"> </w:t>
      </w:r>
      <w:r w:rsidRPr="00F9134C">
        <w:rPr>
          <w:i/>
          <w:iCs/>
        </w:rPr>
        <w:t>guidance</w:t>
      </w:r>
      <w:r w:rsidR="008243CA">
        <w:rPr>
          <w:i/>
          <w:iCs/>
        </w:rPr>
        <w:t xml:space="preserve"> </w:t>
      </w:r>
      <w:r w:rsidRPr="00F9134C">
        <w:rPr>
          <w:i/>
          <w:iCs/>
        </w:rPr>
        <w:t>and</w:t>
      </w:r>
      <w:r w:rsidR="008243CA">
        <w:rPr>
          <w:i/>
          <w:iCs/>
        </w:rPr>
        <w:t xml:space="preserve"> </w:t>
      </w:r>
      <w:r w:rsidRPr="00F9134C">
        <w:rPr>
          <w:i/>
          <w:iCs/>
        </w:rPr>
        <w:t>support</w:t>
      </w:r>
      <w:r w:rsidR="008243CA">
        <w:rPr>
          <w:i/>
          <w:iCs/>
        </w:rPr>
        <w:t xml:space="preserve"> </w:t>
      </w:r>
      <w:r w:rsidRPr="00F9134C">
        <w:rPr>
          <w:i/>
          <w:iCs/>
        </w:rPr>
        <w:t>required</w:t>
      </w:r>
      <w:r w:rsidR="008243CA">
        <w:rPr>
          <w:i/>
          <w:iCs/>
        </w:rPr>
        <w:t xml:space="preserve"> </w:t>
      </w:r>
      <w:r w:rsidRPr="00F9134C">
        <w:rPr>
          <w:i/>
          <w:iCs/>
        </w:rPr>
        <w:t>in</w:t>
      </w:r>
      <w:r w:rsidR="008243CA">
        <w:rPr>
          <w:i/>
          <w:iCs/>
        </w:rPr>
        <w:t xml:space="preserve"> </w:t>
      </w:r>
      <w:r w:rsidRPr="00F9134C">
        <w:rPr>
          <w:i/>
          <w:iCs/>
        </w:rPr>
        <w:t>respect</w:t>
      </w:r>
      <w:r w:rsidR="008243CA">
        <w:rPr>
          <w:i/>
          <w:iCs/>
        </w:rPr>
        <w:t xml:space="preserve"> </w:t>
      </w:r>
      <w:r w:rsidRPr="00F9134C">
        <w:rPr>
          <w:i/>
          <w:iCs/>
        </w:rPr>
        <w:t>of</w:t>
      </w:r>
      <w:r w:rsidR="008243CA">
        <w:rPr>
          <w:i/>
          <w:iCs/>
        </w:rPr>
        <w:t xml:space="preserve"> </w:t>
      </w:r>
      <w:r w:rsidRPr="00F9134C">
        <w:rPr>
          <w:i/>
          <w:iCs/>
        </w:rPr>
        <w:t>the</w:t>
      </w:r>
      <w:r w:rsidR="008243CA">
        <w:rPr>
          <w:i/>
          <w:iCs/>
        </w:rPr>
        <w:t xml:space="preserve"> </w:t>
      </w:r>
      <w:r w:rsidRPr="00F9134C">
        <w:rPr>
          <w:i/>
          <w:iCs/>
        </w:rPr>
        <w:t>commitment</w:t>
      </w:r>
      <w:r w:rsidR="008243CA">
        <w:rPr>
          <w:i/>
          <w:iCs/>
        </w:rPr>
        <w:t xml:space="preserve"> </w:t>
      </w:r>
      <w:r w:rsidRPr="00F9134C">
        <w:rPr>
          <w:i/>
          <w:iCs/>
        </w:rPr>
        <w:t>made</w:t>
      </w:r>
      <w:r w:rsidR="008243CA">
        <w:rPr>
          <w:i/>
          <w:iCs/>
        </w:rPr>
        <w:t xml:space="preserve"> </w:t>
      </w:r>
      <w:r w:rsidRPr="00F9134C">
        <w:rPr>
          <w:i/>
          <w:iCs/>
        </w:rPr>
        <w:t>by</w:t>
      </w:r>
      <w:r w:rsidR="008243CA">
        <w:rPr>
          <w:i/>
          <w:iCs/>
        </w:rPr>
        <w:t xml:space="preserve"> </w:t>
      </w:r>
      <w:r w:rsidRPr="00F9134C">
        <w:rPr>
          <w:i/>
          <w:iCs/>
        </w:rPr>
        <w:t>the</w:t>
      </w:r>
      <w:r w:rsidR="008243CA">
        <w:rPr>
          <w:i/>
          <w:iCs/>
        </w:rPr>
        <w:t xml:space="preserve"> </w:t>
      </w:r>
      <w:r w:rsidRPr="00F9134C">
        <w:rPr>
          <w:i/>
          <w:iCs/>
        </w:rPr>
        <w:t>Government</w:t>
      </w:r>
      <w:r w:rsidR="008243CA">
        <w:rPr>
          <w:i/>
          <w:iCs/>
        </w:rPr>
        <w:t xml:space="preserve"> </w:t>
      </w:r>
      <w:r w:rsidRPr="00F9134C">
        <w:rPr>
          <w:i/>
          <w:iCs/>
        </w:rPr>
        <w:t>during</w:t>
      </w:r>
      <w:r w:rsidR="008243CA">
        <w:rPr>
          <w:i/>
          <w:iCs/>
        </w:rPr>
        <w:t xml:space="preserve"> </w:t>
      </w:r>
      <w:r w:rsidRPr="00F9134C">
        <w:rPr>
          <w:i/>
          <w:iCs/>
        </w:rPr>
        <w:t>the</w:t>
      </w:r>
      <w:r w:rsidR="008243CA">
        <w:rPr>
          <w:i/>
          <w:iCs/>
        </w:rPr>
        <w:t xml:space="preserve"> </w:t>
      </w:r>
      <w:r w:rsidRPr="00F9134C">
        <w:rPr>
          <w:i/>
          <w:iCs/>
        </w:rPr>
        <w:t>Subcommittee</w:t>
      </w:r>
      <w:r w:rsidR="00116F0B">
        <w:rPr>
          <w:i/>
          <w:iCs/>
        </w:rPr>
        <w:t>’</w:t>
      </w:r>
      <w:r w:rsidRPr="00F9134C">
        <w:rPr>
          <w:i/>
          <w:iCs/>
        </w:rPr>
        <w:t>s</w:t>
      </w:r>
      <w:r w:rsidR="008243CA">
        <w:rPr>
          <w:i/>
          <w:iCs/>
        </w:rPr>
        <w:t xml:space="preserve"> </w:t>
      </w:r>
      <w:r w:rsidRPr="00F9134C">
        <w:rPr>
          <w:i/>
          <w:iCs/>
        </w:rPr>
        <w:t>visit</w:t>
      </w:r>
      <w:r w:rsidR="008243CA">
        <w:rPr>
          <w:i/>
          <w:iCs/>
        </w:rPr>
        <w:t xml:space="preserve"> </w:t>
      </w:r>
      <w:r w:rsidRPr="00F9134C">
        <w:rPr>
          <w:i/>
          <w:iCs/>
        </w:rPr>
        <w:t>to</w:t>
      </w:r>
      <w:r w:rsidR="008243CA">
        <w:rPr>
          <w:i/>
          <w:iCs/>
        </w:rPr>
        <w:t xml:space="preserve"> </w:t>
      </w:r>
      <w:r w:rsidRPr="00F9134C">
        <w:rPr>
          <w:i/>
          <w:iCs/>
        </w:rPr>
        <w:t>submit</w:t>
      </w:r>
      <w:r w:rsidR="008243CA">
        <w:rPr>
          <w:i/>
          <w:iCs/>
        </w:rPr>
        <w:t xml:space="preserve"> </w:t>
      </w:r>
      <w:r w:rsidRPr="00F9134C">
        <w:rPr>
          <w:i/>
          <w:iCs/>
        </w:rPr>
        <w:t>a</w:t>
      </w:r>
      <w:r w:rsidR="008243CA">
        <w:rPr>
          <w:i/>
          <w:iCs/>
        </w:rPr>
        <w:t xml:space="preserve"> </w:t>
      </w:r>
      <w:r w:rsidRPr="00F9134C">
        <w:rPr>
          <w:i/>
          <w:iCs/>
        </w:rPr>
        <w:t>bill</w:t>
      </w:r>
      <w:r w:rsidR="008243CA">
        <w:rPr>
          <w:i/>
          <w:iCs/>
        </w:rPr>
        <w:t xml:space="preserve"> </w:t>
      </w:r>
      <w:r w:rsidRPr="00F9134C">
        <w:rPr>
          <w:i/>
          <w:iCs/>
        </w:rPr>
        <w:t>for</w:t>
      </w:r>
      <w:r w:rsidR="008243CA">
        <w:rPr>
          <w:i/>
          <w:iCs/>
        </w:rPr>
        <w:t xml:space="preserve"> </w:t>
      </w:r>
      <w:r w:rsidRPr="00F9134C">
        <w:rPr>
          <w:i/>
          <w:iCs/>
        </w:rPr>
        <w:t>the</w:t>
      </w:r>
      <w:r w:rsidR="008243CA">
        <w:rPr>
          <w:i/>
          <w:iCs/>
        </w:rPr>
        <w:t xml:space="preserve"> </w:t>
      </w:r>
      <w:r w:rsidRPr="00F9134C">
        <w:rPr>
          <w:i/>
          <w:iCs/>
        </w:rPr>
        <w:t>establishment</w:t>
      </w:r>
      <w:r w:rsidR="008243CA">
        <w:rPr>
          <w:i/>
          <w:iCs/>
        </w:rPr>
        <w:t xml:space="preserve"> </w:t>
      </w:r>
      <w:r w:rsidRPr="00F9134C">
        <w:rPr>
          <w:i/>
          <w:iCs/>
        </w:rPr>
        <w:t>of</w:t>
      </w:r>
      <w:r w:rsidR="008243CA">
        <w:rPr>
          <w:i/>
          <w:iCs/>
        </w:rPr>
        <w:t xml:space="preserve"> </w:t>
      </w:r>
      <w:r w:rsidRPr="00F9134C">
        <w:rPr>
          <w:i/>
          <w:iCs/>
        </w:rPr>
        <w:t>a</w:t>
      </w:r>
      <w:r w:rsidR="008243CA">
        <w:rPr>
          <w:i/>
          <w:iCs/>
        </w:rPr>
        <w:t xml:space="preserve"> </w:t>
      </w:r>
      <w:r w:rsidRPr="00F9134C">
        <w:rPr>
          <w:i/>
          <w:iCs/>
        </w:rPr>
        <w:t>national</w:t>
      </w:r>
      <w:r w:rsidR="008243CA">
        <w:rPr>
          <w:i/>
          <w:iCs/>
        </w:rPr>
        <w:t xml:space="preserve"> </w:t>
      </w:r>
      <w:r w:rsidRPr="00F9134C">
        <w:rPr>
          <w:i/>
          <w:iCs/>
        </w:rPr>
        <w:t>preventive</w:t>
      </w:r>
      <w:r w:rsidR="008243CA">
        <w:rPr>
          <w:i/>
          <w:iCs/>
        </w:rPr>
        <w:t xml:space="preserve"> </w:t>
      </w:r>
      <w:r w:rsidRPr="00F9134C">
        <w:rPr>
          <w:i/>
          <w:iCs/>
        </w:rPr>
        <w:t>mechanism.</w:t>
      </w:r>
    </w:p>
    <w:p w:rsidR="003F7D03" w:rsidRPr="00E62FE6" w:rsidRDefault="003F7D03" w:rsidP="000C6D98">
      <w:pPr>
        <w:pStyle w:val="SingleTxtG"/>
      </w:pPr>
      <w:r w:rsidRPr="00E62FE6">
        <w:t>17.</w:t>
      </w:r>
      <w:r w:rsidRPr="00E62FE6">
        <w:tab/>
        <w:t>Paragraph</w:t>
      </w:r>
      <w:r w:rsidR="008243CA">
        <w:t xml:space="preserve"> </w:t>
      </w:r>
      <w:r w:rsidRPr="00E62FE6">
        <w:t>17:</w:t>
      </w:r>
      <w:r w:rsidR="008243CA">
        <w:t xml:space="preserve"> </w:t>
      </w:r>
      <w:r w:rsidRPr="00F9134C">
        <w:rPr>
          <w:i/>
          <w:iCs/>
        </w:rPr>
        <w:t>The</w:t>
      </w:r>
      <w:r w:rsidR="008243CA">
        <w:rPr>
          <w:i/>
          <w:iCs/>
        </w:rPr>
        <w:t xml:space="preserve"> </w:t>
      </w:r>
      <w:r w:rsidRPr="00F9134C">
        <w:rPr>
          <w:i/>
          <w:iCs/>
        </w:rPr>
        <w:t>Subcommittee</w:t>
      </w:r>
      <w:r w:rsidR="008243CA">
        <w:rPr>
          <w:i/>
          <w:iCs/>
        </w:rPr>
        <w:t xml:space="preserve"> </w:t>
      </w:r>
      <w:r w:rsidRPr="00F9134C">
        <w:rPr>
          <w:i/>
          <w:iCs/>
        </w:rPr>
        <w:t>recommends</w:t>
      </w:r>
      <w:r w:rsidR="008243CA">
        <w:rPr>
          <w:i/>
          <w:iCs/>
        </w:rPr>
        <w:t xml:space="preserve"> </w:t>
      </w:r>
      <w:r w:rsidRPr="00F9134C">
        <w:rPr>
          <w:i/>
          <w:iCs/>
        </w:rPr>
        <w:t>that,</w:t>
      </w:r>
      <w:r w:rsidR="008243CA">
        <w:rPr>
          <w:i/>
          <w:iCs/>
        </w:rPr>
        <w:t xml:space="preserve"> </w:t>
      </w:r>
      <w:r w:rsidRPr="00F9134C">
        <w:rPr>
          <w:i/>
          <w:iCs/>
        </w:rPr>
        <w:t>in</w:t>
      </w:r>
      <w:r w:rsidR="008243CA">
        <w:rPr>
          <w:i/>
          <w:iCs/>
        </w:rPr>
        <w:t xml:space="preserve"> </w:t>
      </w:r>
      <w:r w:rsidRPr="00F9134C">
        <w:rPr>
          <w:i/>
          <w:iCs/>
        </w:rPr>
        <w:t>order</w:t>
      </w:r>
      <w:r w:rsidR="008243CA">
        <w:rPr>
          <w:i/>
          <w:iCs/>
        </w:rPr>
        <w:t xml:space="preserve"> </w:t>
      </w:r>
      <w:r w:rsidRPr="00F9134C">
        <w:rPr>
          <w:i/>
          <w:iCs/>
        </w:rPr>
        <w:t>to</w:t>
      </w:r>
      <w:r w:rsidR="008243CA">
        <w:rPr>
          <w:i/>
          <w:iCs/>
        </w:rPr>
        <w:t xml:space="preserve"> </w:t>
      </w:r>
      <w:r w:rsidRPr="00F9134C">
        <w:rPr>
          <w:i/>
          <w:iCs/>
        </w:rPr>
        <w:t>guarantee</w:t>
      </w:r>
      <w:r w:rsidR="008243CA">
        <w:rPr>
          <w:i/>
          <w:iCs/>
        </w:rPr>
        <w:t xml:space="preserve"> </w:t>
      </w:r>
      <w:r w:rsidRPr="00F9134C">
        <w:rPr>
          <w:i/>
          <w:iCs/>
        </w:rPr>
        <w:t>the</w:t>
      </w:r>
      <w:r w:rsidR="008243CA">
        <w:rPr>
          <w:i/>
          <w:iCs/>
        </w:rPr>
        <w:t xml:space="preserve"> </w:t>
      </w:r>
      <w:r w:rsidRPr="00F9134C">
        <w:rPr>
          <w:i/>
          <w:iCs/>
        </w:rPr>
        <w:t>functional</w:t>
      </w:r>
      <w:r w:rsidR="008243CA">
        <w:rPr>
          <w:i/>
          <w:iCs/>
        </w:rPr>
        <w:t xml:space="preserve"> </w:t>
      </w:r>
      <w:r w:rsidRPr="00F9134C">
        <w:rPr>
          <w:i/>
          <w:iCs/>
        </w:rPr>
        <w:t>independence</w:t>
      </w:r>
      <w:r w:rsidR="008243CA">
        <w:rPr>
          <w:i/>
          <w:iCs/>
        </w:rPr>
        <w:t xml:space="preserve"> </w:t>
      </w:r>
      <w:r w:rsidRPr="00F9134C">
        <w:rPr>
          <w:i/>
          <w:iCs/>
        </w:rPr>
        <w:t>of</w:t>
      </w:r>
      <w:r w:rsidR="008243CA">
        <w:rPr>
          <w:i/>
          <w:iCs/>
        </w:rPr>
        <w:t xml:space="preserve"> </w:t>
      </w:r>
      <w:r w:rsidRPr="00F9134C">
        <w:rPr>
          <w:i/>
          <w:iCs/>
        </w:rPr>
        <w:t>the</w:t>
      </w:r>
      <w:r w:rsidR="008243CA">
        <w:rPr>
          <w:i/>
          <w:iCs/>
        </w:rPr>
        <w:t xml:space="preserve"> </w:t>
      </w:r>
      <w:r w:rsidRPr="00F9134C">
        <w:rPr>
          <w:i/>
          <w:iCs/>
        </w:rPr>
        <w:t>national</w:t>
      </w:r>
      <w:r w:rsidR="008243CA">
        <w:rPr>
          <w:i/>
          <w:iCs/>
        </w:rPr>
        <w:t xml:space="preserve"> </w:t>
      </w:r>
      <w:r w:rsidRPr="00F9134C">
        <w:rPr>
          <w:i/>
          <w:iCs/>
        </w:rPr>
        <w:t>preventive</w:t>
      </w:r>
      <w:r w:rsidR="008243CA">
        <w:rPr>
          <w:i/>
          <w:iCs/>
        </w:rPr>
        <w:t xml:space="preserve"> </w:t>
      </w:r>
      <w:r w:rsidRPr="00F9134C">
        <w:rPr>
          <w:i/>
          <w:iCs/>
        </w:rPr>
        <w:t>mechanism,</w:t>
      </w:r>
      <w:r w:rsidR="008243CA">
        <w:rPr>
          <w:i/>
          <w:iCs/>
        </w:rPr>
        <w:t xml:space="preserve"> </w:t>
      </w:r>
      <w:r w:rsidRPr="00F9134C">
        <w:rPr>
          <w:i/>
          <w:iCs/>
        </w:rPr>
        <w:t>it</w:t>
      </w:r>
      <w:r w:rsidR="008243CA">
        <w:rPr>
          <w:i/>
          <w:iCs/>
        </w:rPr>
        <w:t xml:space="preserve"> </w:t>
      </w:r>
      <w:r w:rsidRPr="00F9134C">
        <w:rPr>
          <w:i/>
          <w:iCs/>
        </w:rPr>
        <w:t>should</w:t>
      </w:r>
      <w:r w:rsidR="008243CA">
        <w:rPr>
          <w:i/>
          <w:iCs/>
        </w:rPr>
        <w:t xml:space="preserve"> </w:t>
      </w:r>
      <w:r w:rsidRPr="00F9134C">
        <w:rPr>
          <w:i/>
          <w:iCs/>
        </w:rPr>
        <w:t>not</w:t>
      </w:r>
      <w:r w:rsidR="008243CA">
        <w:rPr>
          <w:i/>
          <w:iCs/>
        </w:rPr>
        <w:t xml:space="preserve"> </w:t>
      </w:r>
      <w:r w:rsidRPr="00F9134C">
        <w:rPr>
          <w:i/>
          <w:iCs/>
        </w:rPr>
        <w:t>be</w:t>
      </w:r>
      <w:r w:rsidR="008243CA">
        <w:rPr>
          <w:i/>
          <w:iCs/>
        </w:rPr>
        <w:t xml:space="preserve"> </w:t>
      </w:r>
      <w:r w:rsidRPr="00F9134C">
        <w:rPr>
          <w:i/>
          <w:iCs/>
        </w:rPr>
        <w:t>subordinate</w:t>
      </w:r>
      <w:r w:rsidR="008243CA">
        <w:rPr>
          <w:i/>
          <w:iCs/>
        </w:rPr>
        <w:t xml:space="preserve"> </w:t>
      </w:r>
      <w:r w:rsidRPr="00F9134C">
        <w:rPr>
          <w:i/>
          <w:iCs/>
        </w:rPr>
        <w:t>in</w:t>
      </w:r>
      <w:r w:rsidR="008243CA">
        <w:rPr>
          <w:i/>
          <w:iCs/>
        </w:rPr>
        <w:t xml:space="preserve"> </w:t>
      </w:r>
      <w:r w:rsidRPr="00F9134C">
        <w:rPr>
          <w:i/>
          <w:iCs/>
        </w:rPr>
        <w:t>any</w:t>
      </w:r>
      <w:r w:rsidR="008243CA">
        <w:rPr>
          <w:i/>
          <w:iCs/>
        </w:rPr>
        <w:t xml:space="preserve"> </w:t>
      </w:r>
      <w:r w:rsidRPr="00F9134C">
        <w:rPr>
          <w:i/>
          <w:iCs/>
        </w:rPr>
        <w:t>way</w:t>
      </w:r>
      <w:r w:rsidR="008243CA">
        <w:rPr>
          <w:i/>
          <w:iCs/>
        </w:rPr>
        <w:t xml:space="preserve"> </w:t>
      </w:r>
      <w:r w:rsidRPr="00F9134C">
        <w:rPr>
          <w:i/>
          <w:iCs/>
        </w:rPr>
        <w:t>to</w:t>
      </w:r>
      <w:r w:rsidR="008243CA">
        <w:rPr>
          <w:i/>
          <w:iCs/>
        </w:rPr>
        <w:t xml:space="preserve"> </w:t>
      </w:r>
      <w:r w:rsidRPr="00F9134C">
        <w:rPr>
          <w:i/>
          <w:iCs/>
        </w:rPr>
        <w:t>the</w:t>
      </w:r>
      <w:r w:rsidR="008243CA">
        <w:rPr>
          <w:i/>
          <w:iCs/>
        </w:rPr>
        <w:t xml:space="preserve"> </w:t>
      </w:r>
      <w:r w:rsidRPr="00F9134C">
        <w:rPr>
          <w:i/>
          <w:iCs/>
        </w:rPr>
        <w:t>National</w:t>
      </w:r>
      <w:r w:rsidR="008243CA">
        <w:rPr>
          <w:i/>
          <w:iCs/>
        </w:rPr>
        <w:t xml:space="preserve"> </w:t>
      </w:r>
      <w:r w:rsidRPr="00F9134C">
        <w:rPr>
          <w:i/>
          <w:iCs/>
        </w:rPr>
        <w:t>Human</w:t>
      </w:r>
      <w:r w:rsidR="008243CA">
        <w:rPr>
          <w:i/>
          <w:iCs/>
        </w:rPr>
        <w:t xml:space="preserve"> </w:t>
      </w:r>
      <w:r w:rsidRPr="00F9134C">
        <w:rPr>
          <w:i/>
          <w:iCs/>
        </w:rPr>
        <w:t>Rights</w:t>
      </w:r>
      <w:r w:rsidR="008243CA">
        <w:rPr>
          <w:i/>
          <w:iCs/>
        </w:rPr>
        <w:t xml:space="preserve"> </w:t>
      </w:r>
      <w:r w:rsidRPr="00F9134C">
        <w:rPr>
          <w:i/>
          <w:iCs/>
        </w:rPr>
        <w:t>Institute.</w:t>
      </w:r>
      <w:r w:rsidR="008243CA">
        <w:rPr>
          <w:i/>
          <w:iCs/>
        </w:rPr>
        <w:t xml:space="preserve"> </w:t>
      </w:r>
      <w:r w:rsidRPr="00F9134C">
        <w:rPr>
          <w:i/>
          <w:iCs/>
        </w:rPr>
        <w:t>The</w:t>
      </w:r>
      <w:r w:rsidR="008243CA">
        <w:rPr>
          <w:i/>
          <w:iCs/>
        </w:rPr>
        <w:t xml:space="preserve"> </w:t>
      </w:r>
      <w:r w:rsidRPr="00F9134C">
        <w:rPr>
          <w:i/>
          <w:iCs/>
        </w:rPr>
        <w:t>organizational</w:t>
      </w:r>
      <w:r w:rsidR="008243CA">
        <w:rPr>
          <w:i/>
          <w:iCs/>
        </w:rPr>
        <w:t xml:space="preserve"> </w:t>
      </w:r>
      <w:r w:rsidRPr="00F9134C">
        <w:rPr>
          <w:i/>
          <w:iCs/>
        </w:rPr>
        <w:t>hierarchy</w:t>
      </w:r>
      <w:r w:rsidR="008243CA">
        <w:rPr>
          <w:i/>
          <w:iCs/>
        </w:rPr>
        <w:t xml:space="preserve"> </w:t>
      </w:r>
      <w:r w:rsidRPr="00F9134C">
        <w:rPr>
          <w:i/>
          <w:iCs/>
        </w:rPr>
        <w:t>of</w:t>
      </w:r>
      <w:r w:rsidR="008243CA">
        <w:rPr>
          <w:i/>
          <w:iCs/>
        </w:rPr>
        <w:t xml:space="preserve"> </w:t>
      </w:r>
      <w:r w:rsidRPr="00F9134C">
        <w:rPr>
          <w:i/>
          <w:iCs/>
        </w:rPr>
        <w:t>the</w:t>
      </w:r>
      <w:r w:rsidR="008243CA">
        <w:rPr>
          <w:i/>
          <w:iCs/>
        </w:rPr>
        <w:t xml:space="preserve"> </w:t>
      </w:r>
      <w:r w:rsidRPr="00F9134C">
        <w:rPr>
          <w:i/>
          <w:iCs/>
        </w:rPr>
        <w:t>Institute</w:t>
      </w:r>
      <w:r w:rsidR="008243CA">
        <w:rPr>
          <w:i/>
          <w:iCs/>
        </w:rPr>
        <w:t xml:space="preserve"> </w:t>
      </w:r>
      <w:r w:rsidRPr="00F9134C">
        <w:rPr>
          <w:i/>
          <w:iCs/>
        </w:rPr>
        <w:t>should</w:t>
      </w:r>
      <w:r w:rsidR="008243CA">
        <w:rPr>
          <w:i/>
          <w:iCs/>
        </w:rPr>
        <w:t xml:space="preserve"> </w:t>
      </w:r>
      <w:r w:rsidRPr="00F9134C">
        <w:rPr>
          <w:i/>
          <w:iCs/>
        </w:rPr>
        <w:t>reflect</w:t>
      </w:r>
      <w:r w:rsidR="008243CA">
        <w:rPr>
          <w:i/>
          <w:iCs/>
        </w:rPr>
        <w:t xml:space="preserve"> </w:t>
      </w:r>
      <w:r w:rsidRPr="00F9134C">
        <w:rPr>
          <w:i/>
          <w:iCs/>
        </w:rPr>
        <w:t>the</w:t>
      </w:r>
      <w:r w:rsidR="008243CA">
        <w:rPr>
          <w:i/>
          <w:iCs/>
        </w:rPr>
        <w:t xml:space="preserve"> </w:t>
      </w:r>
      <w:r w:rsidRPr="00F9134C">
        <w:rPr>
          <w:i/>
          <w:iCs/>
        </w:rPr>
        <w:t>requirements</w:t>
      </w:r>
      <w:r w:rsidR="008243CA">
        <w:rPr>
          <w:i/>
          <w:iCs/>
        </w:rPr>
        <w:t xml:space="preserve"> </w:t>
      </w:r>
      <w:r w:rsidRPr="00F9134C">
        <w:rPr>
          <w:i/>
          <w:iCs/>
        </w:rPr>
        <w:t>set</w:t>
      </w:r>
      <w:r w:rsidR="008243CA">
        <w:rPr>
          <w:i/>
          <w:iCs/>
        </w:rPr>
        <w:t xml:space="preserve"> </w:t>
      </w:r>
      <w:r w:rsidRPr="00F9134C">
        <w:rPr>
          <w:i/>
          <w:iCs/>
        </w:rPr>
        <w:t>forth</w:t>
      </w:r>
      <w:r w:rsidR="008243CA">
        <w:rPr>
          <w:i/>
          <w:iCs/>
        </w:rPr>
        <w:t xml:space="preserve"> </w:t>
      </w:r>
      <w:r w:rsidRPr="00F9134C">
        <w:rPr>
          <w:i/>
          <w:iCs/>
        </w:rPr>
        <w:t>in</w:t>
      </w:r>
      <w:r w:rsidR="008243CA">
        <w:rPr>
          <w:i/>
          <w:iCs/>
        </w:rPr>
        <w:t xml:space="preserve"> </w:t>
      </w:r>
      <w:r w:rsidRPr="00F9134C">
        <w:rPr>
          <w:i/>
          <w:iCs/>
        </w:rPr>
        <w:t>the</w:t>
      </w:r>
      <w:r w:rsidR="008243CA">
        <w:rPr>
          <w:i/>
          <w:iCs/>
        </w:rPr>
        <w:t xml:space="preserve"> </w:t>
      </w:r>
      <w:r w:rsidRPr="00F9134C">
        <w:rPr>
          <w:i/>
          <w:iCs/>
        </w:rPr>
        <w:t>Optional</w:t>
      </w:r>
      <w:r w:rsidR="008243CA">
        <w:rPr>
          <w:i/>
          <w:iCs/>
        </w:rPr>
        <w:t xml:space="preserve"> </w:t>
      </w:r>
      <w:r w:rsidRPr="00F9134C">
        <w:rPr>
          <w:i/>
          <w:iCs/>
        </w:rPr>
        <w:t>Protocol,</w:t>
      </w:r>
      <w:r w:rsidR="008243CA">
        <w:rPr>
          <w:i/>
          <w:iCs/>
        </w:rPr>
        <w:t xml:space="preserve"> </w:t>
      </w:r>
      <w:r w:rsidRPr="00F9134C">
        <w:rPr>
          <w:i/>
          <w:iCs/>
        </w:rPr>
        <w:t>namely</w:t>
      </w:r>
      <w:r w:rsidR="008243CA">
        <w:rPr>
          <w:i/>
          <w:iCs/>
        </w:rPr>
        <w:t xml:space="preserve"> </w:t>
      </w:r>
      <w:r w:rsidRPr="00F9134C">
        <w:rPr>
          <w:i/>
          <w:iCs/>
        </w:rPr>
        <w:t>that</w:t>
      </w:r>
      <w:r w:rsidR="008243CA">
        <w:rPr>
          <w:i/>
          <w:iCs/>
        </w:rPr>
        <w:t xml:space="preserve"> </w:t>
      </w:r>
      <w:r w:rsidRPr="00F9134C">
        <w:rPr>
          <w:i/>
          <w:iCs/>
        </w:rPr>
        <w:t>the</w:t>
      </w:r>
      <w:r w:rsidR="008243CA">
        <w:rPr>
          <w:i/>
          <w:iCs/>
        </w:rPr>
        <w:t xml:space="preserve"> </w:t>
      </w:r>
      <w:r w:rsidRPr="00F9134C">
        <w:rPr>
          <w:i/>
          <w:iCs/>
        </w:rPr>
        <w:t>national</w:t>
      </w:r>
      <w:r w:rsidR="008243CA">
        <w:rPr>
          <w:i/>
          <w:iCs/>
        </w:rPr>
        <w:t xml:space="preserve"> </w:t>
      </w:r>
      <w:r w:rsidRPr="00F9134C">
        <w:rPr>
          <w:i/>
          <w:iCs/>
        </w:rPr>
        <w:t>preventive</w:t>
      </w:r>
      <w:r w:rsidR="008243CA">
        <w:rPr>
          <w:i/>
          <w:iCs/>
        </w:rPr>
        <w:t xml:space="preserve"> </w:t>
      </w:r>
      <w:r w:rsidRPr="00F9134C">
        <w:rPr>
          <w:i/>
          <w:iCs/>
        </w:rPr>
        <w:t>mechanism</w:t>
      </w:r>
      <w:r w:rsidR="008243CA">
        <w:rPr>
          <w:i/>
          <w:iCs/>
        </w:rPr>
        <w:t xml:space="preserve"> </w:t>
      </w:r>
      <w:r w:rsidRPr="00F9134C">
        <w:rPr>
          <w:i/>
          <w:iCs/>
        </w:rPr>
        <w:t>should</w:t>
      </w:r>
      <w:r w:rsidR="008243CA">
        <w:rPr>
          <w:i/>
          <w:iCs/>
        </w:rPr>
        <w:t xml:space="preserve"> </w:t>
      </w:r>
      <w:r w:rsidRPr="00F9134C">
        <w:rPr>
          <w:i/>
          <w:iCs/>
        </w:rPr>
        <w:t>have</w:t>
      </w:r>
      <w:r w:rsidR="008243CA">
        <w:rPr>
          <w:i/>
          <w:iCs/>
        </w:rPr>
        <w:t xml:space="preserve"> </w:t>
      </w:r>
      <w:r w:rsidRPr="00F9134C">
        <w:rPr>
          <w:i/>
          <w:iCs/>
        </w:rPr>
        <w:t>operational</w:t>
      </w:r>
      <w:r w:rsidR="008243CA">
        <w:rPr>
          <w:i/>
          <w:iCs/>
        </w:rPr>
        <w:t xml:space="preserve"> </w:t>
      </w:r>
      <w:r w:rsidRPr="00F9134C">
        <w:rPr>
          <w:i/>
          <w:iCs/>
        </w:rPr>
        <w:t>autonomy</w:t>
      </w:r>
      <w:r w:rsidR="008243CA">
        <w:rPr>
          <w:i/>
          <w:iCs/>
        </w:rPr>
        <w:t xml:space="preserve"> </w:t>
      </w:r>
      <w:r w:rsidRPr="00F9134C">
        <w:rPr>
          <w:i/>
          <w:iCs/>
        </w:rPr>
        <w:t>as</w:t>
      </w:r>
      <w:r w:rsidR="008243CA">
        <w:rPr>
          <w:i/>
          <w:iCs/>
        </w:rPr>
        <w:t xml:space="preserve"> </w:t>
      </w:r>
      <w:r w:rsidRPr="00F9134C">
        <w:rPr>
          <w:i/>
          <w:iCs/>
        </w:rPr>
        <w:t>regards</w:t>
      </w:r>
      <w:r w:rsidR="008243CA">
        <w:rPr>
          <w:i/>
          <w:iCs/>
        </w:rPr>
        <w:t xml:space="preserve"> </w:t>
      </w:r>
      <w:r w:rsidRPr="00F9134C">
        <w:rPr>
          <w:i/>
          <w:iCs/>
        </w:rPr>
        <w:t>its</w:t>
      </w:r>
      <w:r w:rsidR="008243CA">
        <w:rPr>
          <w:i/>
          <w:iCs/>
        </w:rPr>
        <w:t xml:space="preserve"> </w:t>
      </w:r>
      <w:r w:rsidRPr="00F9134C">
        <w:rPr>
          <w:i/>
          <w:iCs/>
        </w:rPr>
        <w:t>resources,</w:t>
      </w:r>
      <w:r w:rsidR="008243CA">
        <w:rPr>
          <w:i/>
          <w:iCs/>
        </w:rPr>
        <w:t xml:space="preserve"> </w:t>
      </w:r>
      <w:r w:rsidRPr="00F9134C">
        <w:rPr>
          <w:i/>
          <w:iCs/>
        </w:rPr>
        <w:t>programme</w:t>
      </w:r>
      <w:r w:rsidR="008243CA">
        <w:rPr>
          <w:i/>
          <w:iCs/>
        </w:rPr>
        <w:t xml:space="preserve"> </w:t>
      </w:r>
      <w:r w:rsidRPr="00F9134C">
        <w:rPr>
          <w:i/>
          <w:iCs/>
        </w:rPr>
        <w:t>of</w:t>
      </w:r>
      <w:r w:rsidR="008243CA">
        <w:rPr>
          <w:i/>
          <w:iCs/>
        </w:rPr>
        <w:t xml:space="preserve"> </w:t>
      </w:r>
      <w:r w:rsidRPr="00F9134C">
        <w:rPr>
          <w:i/>
          <w:iCs/>
        </w:rPr>
        <w:t>work,</w:t>
      </w:r>
      <w:r w:rsidR="008243CA">
        <w:rPr>
          <w:i/>
          <w:iCs/>
        </w:rPr>
        <w:t xml:space="preserve"> </w:t>
      </w:r>
      <w:r w:rsidRPr="00F9134C">
        <w:rPr>
          <w:i/>
          <w:iCs/>
        </w:rPr>
        <w:t>findings</w:t>
      </w:r>
      <w:r w:rsidR="008243CA">
        <w:rPr>
          <w:i/>
          <w:iCs/>
        </w:rPr>
        <w:t xml:space="preserve"> </w:t>
      </w:r>
      <w:r w:rsidRPr="00F9134C">
        <w:rPr>
          <w:i/>
          <w:iCs/>
        </w:rPr>
        <w:t>and</w:t>
      </w:r>
      <w:r w:rsidR="008243CA">
        <w:rPr>
          <w:i/>
          <w:iCs/>
        </w:rPr>
        <w:t xml:space="preserve"> </w:t>
      </w:r>
      <w:r w:rsidRPr="00F9134C">
        <w:rPr>
          <w:i/>
          <w:iCs/>
        </w:rPr>
        <w:t>recommendations</w:t>
      </w:r>
      <w:r w:rsidR="008243CA">
        <w:rPr>
          <w:i/>
          <w:iCs/>
        </w:rPr>
        <w:t xml:space="preserve"> </w:t>
      </w:r>
      <w:r w:rsidRPr="00F9134C">
        <w:rPr>
          <w:i/>
          <w:iCs/>
        </w:rPr>
        <w:t>and</w:t>
      </w:r>
      <w:r w:rsidR="008243CA">
        <w:rPr>
          <w:i/>
          <w:iCs/>
        </w:rPr>
        <w:t xml:space="preserve"> </w:t>
      </w:r>
      <w:r w:rsidRPr="00F9134C">
        <w:rPr>
          <w:i/>
          <w:iCs/>
        </w:rPr>
        <w:t>a</w:t>
      </w:r>
      <w:r w:rsidR="008243CA">
        <w:rPr>
          <w:i/>
          <w:iCs/>
        </w:rPr>
        <w:t xml:space="preserve"> </w:t>
      </w:r>
      <w:r w:rsidRPr="00F9134C">
        <w:rPr>
          <w:i/>
          <w:iCs/>
        </w:rPr>
        <w:t>direct</w:t>
      </w:r>
      <w:r w:rsidR="008243CA">
        <w:rPr>
          <w:i/>
          <w:iCs/>
        </w:rPr>
        <w:t xml:space="preserve"> </w:t>
      </w:r>
      <w:r w:rsidRPr="00F9134C">
        <w:rPr>
          <w:i/>
          <w:iCs/>
        </w:rPr>
        <w:t>and</w:t>
      </w:r>
      <w:r w:rsidR="008243CA">
        <w:rPr>
          <w:i/>
          <w:iCs/>
        </w:rPr>
        <w:t xml:space="preserve"> </w:t>
      </w:r>
      <w:r w:rsidRPr="00F9134C">
        <w:rPr>
          <w:i/>
          <w:iCs/>
        </w:rPr>
        <w:t>confidential</w:t>
      </w:r>
      <w:r w:rsidR="008243CA">
        <w:rPr>
          <w:i/>
          <w:iCs/>
        </w:rPr>
        <w:t xml:space="preserve"> </w:t>
      </w:r>
      <w:r w:rsidRPr="00F9134C">
        <w:rPr>
          <w:i/>
          <w:iCs/>
        </w:rPr>
        <w:t>means</w:t>
      </w:r>
      <w:r w:rsidR="008243CA">
        <w:rPr>
          <w:i/>
          <w:iCs/>
        </w:rPr>
        <w:t xml:space="preserve"> </w:t>
      </w:r>
      <w:r w:rsidRPr="00F9134C">
        <w:rPr>
          <w:i/>
          <w:iCs/>
        </w:rPr>
        <w:t>of</w:t>
      </w:r>
      <w:r w:rsidR="008243CA">
        <w:rPr>
          <w:i/>
          <w:iCs/>
        </w:rPr>
        <w:t xml:space="preserve"> </w:t>
      </w:r>
      <w:r w:rsidRPr="00F9134C">
        <w:rPr>
          <w:i/>
          <w:iCs/>
        </w:rPr>
        <w:t>maintaining</w:t>
      </w:r>
      <w:r w:rsidR="008243CA">
        <w:rPr>
          <w:i/>
          <w:iCs/>
        </w:rPr>
        <w:t xml:space="preserve"> </w:t>
      </w:r>
      <w:r w:rsidRPr="00F9134C">
        <w:rPr>
          <w:i/>
          <w:iCs/>
        </w:rPr>
        <w:t>contact</w:t>
      </w:r>
      <w:r w:rsidR="008243CA">
        <w:rPr>
          <w:i/>
          <w:iCs/>
        </w:rPr>
        <w:t xml:space="preserve"> </w:t>
      </w:r>
      <w:r w:rsidRPr="00F9134C">
        <w:rPr>
          <w:i/>
          <w:iCs/>
        </w:rPr>
        <w:t>with</w:t>
      </w:r>
      <w:r w:rsidR="008243CA">
        <w:rPr>
          <w:i/>
          <w:iCs/>
        </w:rPr>
        <w:t xml:space="preserve"> </w:t>
      </w:r>
      <w:r w:rsidRPr="00F9134C">
        <w:rPr>
          <w:i/>
          <w:iCs/>
        </w:rPr>
        <w:t>the</w:t>
      </w:r>
      <w:r w:rsidR="008243CA">
        <w:rPr>
          <w:i/>
          <w:iCs/>
        </w:rPr>
        <w:t xml:space="preserve"> </w:t>
      </w:r>
      <w:r w:rsidRPr="00F9134C">
        <w:rPr>
          <w:i/>
          <w:iCs/>
        </w:rPr>
        <w:t>Subcommittee.</w:t>
      </w:r>
    </w:p>
    <w:p w:rsidR="003F7D03" w:rsidRPr="00E62FE6" w:rsidRDefault="003F7D03" w:rsidP="000C6D98">
      <w:pPr>
        <w:pStyle w:val="SingleTxtG"/>
      </w:pPr>
      <w:r w:rsidRPr="00E62FE6">
        <w:t>18.</w:t>
      </w:r>
      <w:r w:rsidRPr="00E62FE6">
        <w:tab/>
        <w:t>Paragraph</w:t>
      </w:r>
      <w:r w:rsidR="008243CA">
        <w:t xml:space="preserve"> </w:t>
      </w:r>
      <w:r w:rsidRPr="00E62FE6">
        <w:t>110:</w:t>
      </w:r>
      <w:r w:rsidR="008243CA">
        <w:t xml:space="preserve"> </w:t>
      </w:r>
      <w:r w:rsidRPr="00F9134C">
        <w:rPr>
          <w:i/>
          <w:iCs/>
        </w:rPr>
        <w:t>The</w:t>
      </w:r>
      <w:r w:rsidR="008243CA">
        <w:rPr>
          <w:i/>
          <w:iCs/>
        </w:rPr>
        <w:t xml:space="preserve"> </w:t>
      </w:r>
      <w:r w:rsidRPr="00F9134C">
        <w:rPr>
          <w:i/>
          <w:iCs/>
        </w:rPr>
        <w:t>Subcommittee</w:t>
      </w:r>
      <w:r w:rsidR="008243CA">
        <w:rPr>
          <w:i/>
          <w:iCs/>
        </w:rPr>
        <w:t xml:space="preserve"> </w:t>
      </w:r>
      <w:r w:rsidRPr="00F9134C">
        <w:rPr>
          <w:i/>
          <w:iCs/>
        </w:rPr>
        <w:t>recommends</w:t>
      </w:r>
      <w:r w:rsidR="008243CA">
        <w:rPr>
          <w:i/>
          <w:iCs/>
        </w:rPr>
        <w:t xml:space="preserve"> </w:t>
      </w:r>
      <w:r w:rsidRPr="00F9134C">
        <w:rPr>
          <w:i/>
          <w:iCs/>
        </w:rPr>
        <w:t>that</w:t>
      </w:r>
      <w:r w:rsidR="008243CA">
        <w:rPr>
          <w:i/>
          <w:iCs/>
        </w:rPr>
        <w:t xml:space="preserve"> </w:t>
      </w:r>
      <w:r w:rsidRPr="00F9134C">
        <w:rPr>
          <w:i/>
          <w:iCs/>
        </w:rPr>
        <w:t>the</w:t>
      </w:r>
      <w:r w:rsidR="008243CA">
        <w:rPr>
          <w:i/>
          <w:iCs/>
        </w:rPr>
        <w:t xml:space="preserve"> </w:t>
      </w:r>
      <w:r w:rsidRPr="00F9134C">
        <w:rPr>
          <w:i/>
          <w:iCs/>
        </w:rPr>
        <w:t>State</w:t>
      </w:r>
      <w:r w:rsidR="008243CA">
        <w:rPr>
          <w:i/>
          <w:iCs/>
        </w:rPr>
        <w:t xml:space="preserve"> </w:t>
      </w:r>
      <w:r w:rsidRPr="00F9134C">
        <w:rPr>
          <w:i/>
          <w:iCs/>
        </w:rPr>
        <w:t>party</w:t>
      </w:r>
      <w:r w:rsidR="008243CA">
        <w:rPr>
          <w:i/>
          <w:iCs/>
        </w:rPr>
        <w:t xml:space="preserve"> </w:t>
      </w:r>
      <w:r w:rsidRPr="00F9134C">
        <w:rPr>
          <w:i/>
          <w:iCs/>
        </w:rPr>
        <w:t>ensure</w:t>
      </w:r>
      <w:r w:rsidR="008243CA">
        <w:rPr>
          <w:i/>
          <w:iCs/>
        </w:rPr>
        <w:t xml:space="preserve"> </w:t>
      </w:r>
      <w:r w:rsidRPr="00F9134C">
        <w:rPr>
          <w:i/>
          <w:iCs/>
        </w:rPr>
        <w:t>that</w:t>
      </w:r>
      <w:r w:rsidR="008243CA">
        <w:rPr>
          <w:i/>
          <w:iCs/>
        </w:rPr>
        <w:t xml:space="preserve"> </w:t>
      </w:r>
      <w:r w:rsidRPr="00F9134C">
        <w:rPr>
          <w:i/>
          <w:iCs/>
        </w:rPr>
        <w:t>all</w:t>
      </w:r>
      <w:r w:rsidR="008243CA">
        <w:rPr>
          <w:i/>
          <w:iCs/>
        </w:rPr>
        <w:t xml:space="preserve"> </w:t>
      </w:r>
      <w:r w:rsidRPr="00F9134C">
        <w:rPr>
          <w:i/>
          <w:iCs/>
        </w:rPr>
        <w:t>detention</w:t>
      </w:r>
      <w:r w:rsidR="008243CA">
        <w:rPr>
          <w:i/>
          <w:iCs/>
        </w:rPr>
        <w:t xml:space="preserve"> </w:t>
      </w:r>
      <w:r w:rsidRPr="00F9134C">
        <w:rPr>
          <w:i/>
          <w:iCs/>
        </w:rPr>
        <w:t>centres</w:t>
      </w:r>
      <w:r w:rsidR="008243CA">
        <w:rPr>
          <w:i/>
          <w:iCs/>
        </w:rPr>
        <w:t xml:space="preserve"> </w:t>
      </w:r>
      <w:r w:rsidRPr="00F9134C">
        <w:rPr>
          <w:i/>
          <w:iCs/>
        </w:rPr>
        <w:t>and</w:t>
      </w:r>
      <w:r w:rsidR="008243CA">
        <w:rPr>
          <w:i/>
          <w:iCs/>
        </w:rPr>
        <w:t xml:space="preserve"> </w:t>
      </w:r>
      <w:r w:rsidRPr="00F9134C">
        <w:rPr>
          <w:i/>
          <w:iCs/>
        </w:rPr>
        <w:t>alternative</w:t>
      </w:r>
      <w:r w:rsidR="008243CA">
        <w:rPr>
          <w:i/>
          <w:iCs/>
        </w:rPr>
        <w:t xml:space="preserve"> </w:t>
      </w:r>
      <w:r w:rsidRPr="00F9134C">
        <w:rPr>
          <w:i/>
          <w:iCs/>
        </w:rPr>
        <w:t>care</w:t>
      </w:r>
      <w:r w:rsidR="008243CA">
        <w:rPr>
          <w:i/>
          <w:iCs/>
        </w:rPr>
        <w:t xml:space="preserve"> </w:t>
      </w:r>
      <w:r w:rsidRPr="00F9134C">
        <w:rPr>
          <w:i/>
          <w:iCs/>
        </w:rPr>
        <w:t>facilities</w:t>
      </w:r>
      <w:r w:rsidR="008243CA">
        <w:rPr>
          <w:i/>
          <w:iCs/>
        </w:rPr>
        <w:t xml:space="preserve"> </w:t>
      </w:r>
      <w:r w:rsidRPr="00F9134C">
        <w:rPr>
          <w:i/>
          <w:iCs/>
        </w:rPr>
        <w:t>for</w:t>
      </w:r>
      <w:r w:rsidR="008243CA">
        <w:rPr>
          <w:i/>
          <w:iCs/>
        </w:rPr>
        <w:t xml:space="preserve"> </w:t>
      </w:r>
      <w:r w:rsidRPr="00F9134C">
        <w:rPr>
          <w:i/>
          <w:iCs/>
        </w:rPr>
        <w:t>minors</w:t>
      </w:r>
      <w:r w:rsidR="008243CA">
        <w:rPr>
          <w:i/>
          <w:iCs/>
        </w:rPr>
        <w:t xml:space="preserve"> </w:t>
      </w:r>
      <w:r w:rsidRPr="00F9134C">
        <w:rPr>
          <w:i/>
          <w:iCs/>
        </w:rPr>
        <w:t>are</w:t>
      </w:r>
      <w:r w:rsidR="008243CA">
        <w:rPr>
          <w:i/>
          <w:iCs/>
        </w:rPr>
        <w:t xml:space="preserve"> </w:t>
      </w:r>
      <w:r w:rsidRPr="00F9134C">
        <w:rPr>
          <w:i/>
          <w:iCs/>
        </w:rPr>
        <w:t>subject</w:t>
      </w:r>
      <w:r w:rsidR="008243CA">
        <w:rPr>
          <w:i/>
          <w:iCs/>
        </w:rPr>
        <w:t xml:space="preserve"> </w:t>
      </w:r>
      <w:r w:rsidRPr="00F9134C">
        <w:rPr>
          <w:i/>
          <w:iCs/>
        </w:rPr>
        <w:t>to</w:t>
      </w:r>
      <w:r w:rsidR="008243CA">
        <w:rPr>
          <w:i/>
          <w:iCs/>
        </w:rPr>
        <w:t xml:space="preserve"> </w:t>
      </w:r>
      <w:r w:rsidRPr="00F9134C">
        <w:rPr>
          <w:i/>
          <w:iCs/>
        </w:rPr>
        <w:t>a</w:t>
      </w:r>
      <w:r w:rsidR="008243CA">
        <w:rPr>
          <w:i/>
          <w:iCs/>
        </w:rPr>
        <w:t xml:space="preserve"> </w:t>
      </w:r>
      <w:r w:rsidRPr="00F9134C">
        <w:rPr>
          <w:i/>
          <w:iCs/>
        </w:rPr>
        <w:t>system</w:t>
      </w:r>
      <w:r w:rsidR="008243CA">
        <w:rPr>
          <w:i/>
          <w:iCs/>
        </w:rPr>
        <w:t xml:space="preserve"> </w:t>
      </w:r>
      <w:r w:rsidRPr="00F9134C">
        <w:rPr>
          <w:i/>
          <w:iCs/>
        </w:rPr>
        <w:t>of</w:t>
      </w:r>
      <w:r w:rsidR="008243CA">
        <w:rPr>
          <w:i/>
          <w:iCs/>
        </w:rPr>
        <w:t xml:space="preserve"> </w:t>
      </w:r>
      <w:r w:rsidRPr="00F9134C">
        <w:rPr>
          <w:i/>
          <w:iCs/>
        </w:rPr>
        <w:t>regular,</w:t>
      </w:r>
      <w:r w:rsidR="008243CA">
        <w:rPr>
          <w:i/>
          <w:iCs/>
        </w:rPr>
        <w:t xml:space="preserve"> </w:t>
      </w:r>
      <w:r w:rsidRPr="00F9134C">
        <w:rPr>
          <w:i/>
          <w:iCs/>
        </w:rPr>
        <w:t>unannounced</w:t>
      </w:r>
      <w:r w:rsidR="008243CA">
        <w:rPr>
          <w:i/>
          <w:iCs/>
        </w:rPr>
        <w:t xml:space="preserve"> </w:t>
      </w:r>
      <w:r w:rsidRPr="00F9134C">
        <w:rPr>
          <w:i/>
          <w:iCs/>
        </w:rPr>
        <w:t>monitoring</w:t>
      </w:r>
      <w:r w:rsidR="008243CA">
        <w:rPr>
          <w:i/>
          <w:iCs/>
        </w:rPr>
        <w:t xml:space="preserve"> </w:t>
      </w:r>
      <w:r w:rsidRPr="00F9134C">
        <w:rPr>
          <w:i/>
          <w:iCs/>
        </w:rPr>
        <w:t>visits.</w:t>
      </w:r>
    </w:p>
    <w:p w:rsidR="003F7D03" w:rsidRPr="00E62FE6" w:rsidRDefault="003F7D03" w:rsidP="000C6D98">
      <w:pPr>
        <w:pStyle w:val="SingleTxtG"/>
      </w:pPr>
      <w:r w:rsidRPr="00E62FE6">
        <w:t>19.</w:t>
      </w:r>
      <w:r w:rsidRPr="00E62FE6">
        <w:tab/>
        <w:t>When</w:t>
      </w:r>
      <w:r w:rsidR="008243CA">
        <w:t xml:space="preserve"> </w:t>
      </w:r>
      <w:r w:rsidRPr="00E62FE6">
        <w:t>Chile</w:t>
      </w:r>
      <w:r w:rsidR="008243CA">
        <w:t xml:space="preserve"> </w:t>
      </w:r>
      <w:r w:rsidRPr="00E62FE6">
        <w:t>ratified</w:t>
      </w:r>
      <w:r w:rsidR="008243CA">
        <w:t xml:space="preserve"> </w:t>
      </w:r>
      <w:r w:rsidRPr="00E62FE6">
        <w:t>the</w:t>
      </w:r>
      <w:r w:rsidR="008243CA">
        <w:t xml:space="preserve"> </w:t>
      </w:r>
      <w:r w:rsidRPr="00E62FE6">
        <w:t>Optional</w:t>
      </w:r>
      <w:r w:rsidR="008243CA">
        <w:t xml:space="preserve"> </w:t>
      </w:r>
      <w:r w:rsidRPr="00E62FE6">
        <w:t>Protocol</w:t>
      </w:r>
      <w:r w:rsidR="008243CA">
        <w:t xml:space="preserve"> </w:t>
      </w:r>
      <w:r w:rsidRPr="00E62FE6">
        <w:t>in</w:t>
      </w:r>
      <w:r w:rsidR="008243CA">
        <w:t xml:space="preserve"> </w:t>
      </w:r>
      <w:r w:rsidRPr="00E62FE6">
        <w:t>2008,</w:t>
      </w:r>
      <w:r w:rsidR="008243CA">
        <w:t xml:space="preserve"> </w:t>
      </w:r>
      <w:r w:rsidRPr="00E62FE6">
        <w:t>it</w:t>
      </w:r>
      <w:r w:rsidR="008243CA">
        <w:t xml:space="preserve"> </w:t>
      </w:r>
      <w:r w:rsidRPr="00E62FE6">
        <w:t>took</w:t>
      </w:r>
      <w:r w:rsidR="008243CA">
        <w:t xml:space="preserve"> </w:t>
      </w:r>
      <w:r w:rsidRPr="00E62FE6">
        <w:t>on</w:t>
      </w:r>
      <w:r w:rsidR="008243CA">
        <w:t xml:space="preserve"> </w:t>
      </w:r>
      <w:r w:rsidRPr="00E62FE6">
        <w:t>the</w:t>
      </w:r>
      <w:r w:rsidR="008243CA">
        <w:t xml:space="preserve"> </w:t>
      </w:r>
      <w:r w:rsidRPr="00E62FE6">
        <w:t>international</w:t>
      </w:r>
      <w:r w:rsidR="008243CA">
        <w:t xml:space="preserve"> </w:t>
      </w:r>
      <w:r w:rsidRPr="00E62FE6">
        <w:t>obligation</w:t>
      </w:r>
      <w:r w:rsidR="008243CA">
        <w:t xml:space="preserve"> </w:t>
      </w:r>
      <w:r w:rsidRPr="00E62FE6">
        <w:t>to</w:t>
      </w:r>
      <w:r w:rsidR="008243CA">
        <w:t xml:space="preserve"> </w:t>
      </w:r>
      <w:r w:rsidRPr="00E62FE6">
        <w:t>maintain,</w:t>
      </w:r>
      <w:r w:rsidR="008243CA">
        <w:t xml:space="preserve"> </w:t>
      </w:r>
      <w:r w:rsidRPr="00E62FE6">
        <w:t>designate</w:t>
      </w:r>
      <w:r w:rsidR="008243CA">
        <w:t xml:space="preserve"> </w:t>
      </w:r>
      <w:r w:rsidRPr="00E62FE6">
        <w:t>or</w:t>
      </w:r>
      <w:r w:rsidR="008243CA">
        <w:t xml:space="preserve"> </w:t>
      </w:r>
      <w:r w:rsidRPr="00E62FE6">
        <w:t>establish,</w:t>
      </w:r>
      <w:r w:rsidR="008243CA">
        <w:t xml:space="preserve"> </w:t>
      </w:r>
      <w:r w:rsidRPr="00E62FE6">
        <w:t>within</w:t>
      </w:r>
      <w:r w:rsidR="008243CA">
        <w:t xml:space="preserve"> </w:t>
      </w:r>
      <w:r w:rsidRPr="00E62FE6">
        <w:t>a</w:t>
      </w:r>
      <w:r w:rsidR="008243CA">
        <w:t xml:space="preserve"> </w:t>
      </w:r>
      <w:r w:rsidRPr="00E62FE6">
        <w:t>period</w:t>
      </w:r>
      <w:r w:rsidR="008243CA">
        <w:t xml:space="preserve"> </w:t>
      </w:r>
      <w:r w:rsidRPr="00E62FE6">
        <w:t>of</w:t>
      </w:r>
      <w:r w:rsidR="008243CA">
        <w:t xml:space="preserve"> </w:t>
      </w:r>
      <w:r w:rsidRPr="00E62FE6">
        <w:t>one</w:t>
      </w:r>
      <w:r w:rsidR="008243CA">
        <w:t xml:space="preserve"> </w:t>
      </w:r>
      <w:r w:rsidRPr="00E62FE6">
        <w:t>year,</w:t>
      </w:r>
      <w:r w:rsidR="008243CA">
        <w:t xml:space="preserve"> </w:t>
      </w:r>
      <w:r w:rsidRPr="00E62FE6">
        <w:t>one</w:t>
      </w:r>
      <w:r w:rsidR="008243CA">
        <w:t xml:space="preserve"> </w:t>
      </w:r>
      <w:r w:rsidRPr="00E62FE6">
        <w:t>or</w:t>
      </w:r>
      <w:r w:rsidR="008243CA">
        <w:t xml:space="preserve"> </w:t>
      </w:r>
      <w:r w:rsidRPr="00E62FE6">
        <w:t>several</w:t>
      </w:r>
      <w:r w:rsidR="008243CA">
        <w:t xml:space="preserve"> </w:t>
      </w:r>
      <w:r w:rsidRPr="00E62FE6">
        <w:t>independent</w:t>
      </w:r>
      <w:r w:rsidR="008243CA">
        <w:t xml:space="preserve"> </w:t>
      </w:r>
      <w:r w:rsidRPr="00E62FE6">
        <w:t>national</w:t>
      </w:r>
      <w:r w:rsidR="008243CA">
        <w:t xml:space="preserve"> </w:t>
      </w:r>
      <w:r w:rsidRPr="00E62FE6">
        <w:t>preventive</w:t>
      </w:r>
      <w:r w:rsidR="008243CA">
        <w:t xml:space="preserve"> </w:t>
      </w:r>
      <w:r w:rsidRPr="00E62FE6">
        <w:t>mechanisms</w:t>
      </w:r>
      <w:r w:rsidR="008243CA">
        <w:t xml:space="preserve"> </w:t>
      </w:r>
      <w:r w:rsidRPr="00E62FE6">
        <w:t>for</w:t>
      </w:r>
      <w:r w:rsidR="008243CA">
        <w:t xml:space="preserve"> </w:t>
      </w:r>
      <w:r w:rsidRPr="00E62FE6">
        <w:t>the</w:t>
      </w:r>
      <w:r w:rsidR="008243CA">
        <w:t xml:space="preserve"> </w:t>
      </w:r>
      <w:r w:rsidRPr="00E62FE6">
        <w:t>prevention</w:t>
      </w:r>
      <w:r w:rsidR="008243CA">
        <w:t xml:space="preserve"> </w:t>
      </w:r>
      <w:r w:rsidRPr="00E62FE6">
        <w:t>of</w:t>
      </w:r>
      <w:r w:rsidR="008243CA">
        <w:t xml:space="preserve"> </w:t>
      </w:r>
      <w:r w:rsidRPr="00E62FE6">
        <w:t>torture,</w:t>
      </w:r>
      <w:r w:rsidR="008243CA">
        <w:t xml:space="preserve"> </w:t>
      </w:r>
      <w:r w:rsidRPr="00E62FE6">
        <w:t>pursuant</w:t>
      </w:r>
      <w:r w:rsidR="008243CA">
        <w:t xml:space="preserve"> </w:t>
      </w:r>
      <w:r w:rsidRPr="00E62FE6">
        <w:t>to</w:t>
      </w:r>
      <w:r w:rsidR="008243CA">
        <w:t xml:space="preserve"> </w:t>
      </w:r>
      <w:r w:rsidRPr="00E62FE6">
        <w:lastRenderedPageBreak/>
        <w:t>article</w:t>
      </w:r>
      <w:r w:rsidR="008243CA">
        <w:t xml:space="preserve"> </w:t>
      </w:r>
      <w:r w:rsidRPr="00E62FE6">
        <w:t>17</w:t>
      </w:r>
      <w:r w:rsidR="008243CA">
        <w:t xml:space="preserve"> </w:t>
      </w:r>
      <w:r w:rsidRPr="00E62FE6">
        <w:t>of</w:t>
      </w:r>
      <w:r w:rsidR="008243CA">
        <w:t xml:space="preserve"> </w:t>
      </w:r>
      <w:r w:rsidRPr="00E62FE6">
        <w:t>that</w:t>
      </w:r>
      <w:r w:rsidR="008243CA">
        <w:t xml:space="preserve"> </w:t>
      </w:r>
      <w:r w:rsidRPr="00E62FE6">
        <w:t>instrument.</w:t>
      </w:r>
      <w:r w:rsidRPr="00116F0B">
        <w:rPr>
          <w:rStyle w:val="FootnoteReference"/>
        </w:rPr>
        <w:footnoteReference w:id="17"/>
      </w:r>
      <w:r w:rsidR="008243CA">
        <w:t xml:space="preserve"> </w:t>
      </w:r>
      <w:r w:rsidRPr="00E62FE6">
        <w:t>The</w:t>
      </w:r>
      <w:r w:rsidR="008243CA">
        <w:t xml:space="preserve"> </w:t>
      </w:r>
      <w:r w:rsidRPr="00E62FE6">
        <w:t>Government</w:t>
      </w:r>
      <w:r w:rsidR="008243CA">
        <w:t xml:space="preserve"> </w:t>
      </w:r>
      <w:r w:rsidRPr="00E62FE6">
        <w:t>subsequently</w:t>
      </w:r>
      <w:r w:rsidR="008243CA">
        <w:t xml:space="preserve"> </w:t>
      </w:r>
      <w:r w:rsidRPr="00E62FE6">
        <w:t>indicated</w:t>
      </w:r>
      <w:r w:rsidR="008243CA">
        <w:t xml:space="preserve"> </w:t>
      </w:r>
      <w:r w:rsidRPr="00E62FE6">
        <w:t>that</w:t>
      </w:r>
      <w:r w:rsidR="008243CA">
        <w:t xml:space="preserve"> </w:t>
      </w:r>
      <w:r w:rsidRPr="00E62FE6">
        <w:t>the</w:t>
      </w:r>
      <w:r w:rsidR="008243CA">
        <w:t xml:space="preserve"> </w:t>
      </w:r>
      <w:r w:rsidRPr="00E62FE6">
        <w:t>National</w:t>
      </w:r>
      <w:r w:rsidR="008243CA">
        <w:t xml:space="preserve"> </w:t>
      </w:r>
      <w:r w:rsidRPr="00E62FE6">
        <w:t>Human</w:t>
      </w:r>
      <w:r w:rsidR="008243CA">
        <w:t xml:space="preserve"> </w:t>
      </w:r>
      <w:r w:rsidRPr="00E62FE6">
        <w:t>Rights</w:t>
      </w:r>
      <w:r w:rsidR="008243CA">
        <w:t xml:space="preserve"> </w:t>
      </w:r>
      <w:r w:rsidRPr="00E62FE6">
        <w:t>Institute</w:t>
      </w:r>
      <w:r w:rsidR="008243CA">
        <w:t xml:space="preserve"> </w:t>
      </w:r>
      <w:r w:rsidRPr="00E62FE6">
        <w:t>would</w:t>
      </w:r>
      <w:r w:rsidR="008243CA">
        <w:t xml:space="preserve"> </w:t>
      </w:r>
      <w:r w:rsidRPr="00E62FE6">
        <w:t>be</w:t>
      </w:r>
      <w:r w:rsidR="008243CA">
        <w:t xml:space="preserve"> </w:t>
      </w:r>
      <w:r w:rsidRPr="00E62FE6">
        <w:t>designated</w:t>
      </w:r>
      <w:r w:rsidR="008243CA">
        <w:t xml:space="preserve"> </w:t>
      </w:r>
      <w:r w:rsidRPr="00E62FE6">
        <w:t>as</w:t>
      </w:r>
      <w:r w:rsidR="008243CA">
        <w:t xml:space="preserve"> </w:t>
      </w:r>
      <w:r w:rsidRPr="00E62FE6">
        <w:t>the</w:t>
      </w:r>
      <w:r w:rsidR="008243CA">
        <w:t xml:space="preserve"> </w:t>
      </w:r>
      <w:r w:rsidRPr="00E62FE6">
        <w:t>national</w:t>
      </w:r>
      <w:r w:rsidR="008243CA">
        <w:t xml:space="preserve"> </w:t>
      </w:r>
      <w:r w:rsidRPr="00E62FE6">
        <w:t>preventive</w:t>
      </w:r>
      <w:r w:rsidR="008243CA">
        <w:t xml:space="preserve"> </w:t>
      </w:r>
      <w:r w:rsidRPr="00E62FE6">
        <w:t>mechanism.</w:t>
      </w:r>
      <w:r w:rsidRPr="00116F0B">
        <w:rPr>
          <w:rStyle w:val="FootnoteReference"/>
        </w:rPr>
        <w:footnoteReference w:id="18"/>
      </w:r>
      <w:r w:rsidR="008243CA">
        <w:t xml:space="preserve"> </w:t>
      </w:r>
      <w:r w:rsidRPr="00E62FE6">
        <w:t>Accordingly,</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Justice</w:t>
      </w:r>
      <w:r w:rsidR="008243CA">
        <w:t xml:space="preserve"> </w:t>
      </w:r>
      <w:r w:rsidRPr="00E62FE6">
        <w:t>and</w:t>
      </w:r>
      <w:r w:rsidR="008243CA">
        <w:t xml:space="preserve"> </w:t>
      </w:r>
      <w:r w:rsidRPr="00E62FE6">
        <w:t>Human</w:t>
      </w:r>
      <w:r w:rsidR="008243CA">
        <w:t xml:space="preserve"> </w:t>
      </w:r>
      <w:r w:rsidRPr="00E62FE6">
        <w:t>Rights</w:t>
      </w:r>
      <w:r w:rsidR="008243CA">
        <w:t xml:space="preserve"> </w:t>
      </w:r>
      <w:r w:rsidRPr="00E62FE6">
        <w:t>has</w:t>
      </w:r>
      <w:r w:rsidR="008243CA">
        <w:t xml:space="preserve"> </w:t>
      </w:r>
      <w:r w:rsidRPr="00E62FE6">
        <w:t>drafted</w:t>
      </w:r>
      <w:r w:rsidR="008243CA">
        <w:t xml:space="preserve"> </w:t>
      </w:r>
      <w:r w:rsidRPr="00E62FE6">
        <w:t>a</w:t>
      </w:r>
      <w:r w:rsidR="008243CA">
        <w:t xml:space="preserve"> </w:t>
      </w:r>
      <w:r w:rsidRPr="00E62FE6">
        <w:t>bill</w:t>
      </w:r>
      <w:r w:rsidR="008243CA">
        <w:t xml:space="preserve"> </w:t>
      </w:r>
      <w:r w:rsidRPr="00E62FE6">
        <w:t>that</w:t>
      </w:r>
      <w:r w:rsidR="008243CA">
        <w:t xml:space="preserve"> </w:t>
      </w:r>
      <w:r w:rsidRPr="00E62FE6">
        <w:t>designates</w:t>
      </w:r>
      <w:r w:rsidR="008243CA">
        <w:t xml:space="preserve"> </w:t>
      </w:r>
      <w:r w:rsidRPr="00E62FE6">
        <w:t>the</w:t>
      </w:r>
      <w:r w:rsidR="008243CA">
        <w:t xml:space="preserve"> </w:t>
      </w:r>
      <w:r w:rsidRPr="00E62FE6">
        <w:t>National</w:t>
      </w:r>
      <w:r w:rsidR="008243CA">
        <w:t xml:space="preserve"> </w:t>
      </w:r>
      <w:r w:rsidRPr="00E62FE6">
        <w:t>Human</w:t>
      </w:r>
      <w:r w:rsidR="008243CA">
        <w:t xml:space="preserve"> </w:t>
      </w:r>
      <w:r w:rsidRPr="00E62FE6">
        <w:t>Rights</w:t>
      </w:r>
      <w:r w:rsidR="008243CA">
        <w:t xml:space="preserve"> </w:t>
      </w:r>
      <w:r w:rsidRPr="00E62FE6">
        <w:t>Institute</w:t>
      </w:r>
      <w:r w:rsidR="008243CA">
        <w:t xml:space="preserve"> </w:t>
      </w:r>
      <w:r w:rsidRPr="00E62FE6">
        <w:t>as</w:t>
      </w:r>
      <w:r w:rsidR="008243CA">
        <w:t xml:space="preserve"> </w:t>
      </w:r>
      <w:r w:rsidRPr="00E62FE6">
        <w:t>the</w:t>
      </w:r>
      <w:r w:rsidR="008243CA">
        <w:t xml:space="preserve"> </w:t>
      </w:r>
      <w:r w:rsidRPr="00E62FE6">
        <w:t>national</w:t>
      </w:r>
      <w:r w:rsidR="008243CA">
        <w:t xml:space="preserve"> </w:t>
      </w:r>
      <w:r w:rsidRPr="00E62FE6">
        <w:t>preventive</w:t>
      </w:r>
      <w:r w:rsidR="008243CA">
        <w:t xml:space="preserve"> </w:t>
      </w:r>
      <w:r w:rsidRPr="00E62FE6">
        <w:t>mechanism,</w:t>
      </w:r>
      <w:r w:rsidR="008243CA">
        <w:t xml:space="preserve"> </w:t>
      </w:r>
      <w:r w:rsidRPr="00E62FE6">
        <w:t>in</w:t>
      </w:r>
      <w:r w:rsidR="008243CA">
        <w:t xml:space="preserve"> </w:t>
      </w:r>
      <w:r w:rsidRPr="00E62FE6">
        <w:t>compliance</w:t>
      </w:r>
      <w:r w:rsidR="008243CA">
        <w:t xml:space="preserve"> </w:t>
      </w:r>
      <w:r w:rsidRPr="00E62FE6">
        <w:t>with</w:t>
      </w:r>
      <w:r w:rsidR="008243CA">
        <w:t xml:space="preserve"> </w:t>
      </w:r>
      <w:r w:rsidRPr="00E62FE6">
        <w:t>this</w:t>
      </w:r>
      <w:r w:rsidR="008243CA">
        <w:t xml:space="preserve"> </w:t>
      </w:r>
      <w:r w:rsidRPr="00E62FE6">
        <w:t>obligation.</w:t>
      </w:r>
      <w:r w:rsidR="008243CA">
        <w:t xml:space="preserve"> </w:t>
      </w:r>
      <w:r w:rsidRPr="00E62FE6">
        <w:t>In</w:t>
      </w:r>
      <w:r w:rsidR="008243CA">
        <w:t xml:space="preserve"> </w:t>
      </w:r>
      <w:r w:rsidRPr="00E62FE6">
        <w:t>the</w:t>
      </w:r>
      <w:r w:rsidR="008243CA">
        <w:t xml:space="preserve"> </w:t>
      </w:r>
      <w:r w:rsidRPr="00E62FE6">
        <w:t>drafting</w:t>
      </w:r>
      <w:r w:rsidR="008243CA">
        <w:t xml:space="preserve"> </w:t>
      </w:r>
      <w:r w:rsidRPr="00E62FE6">
        <w:t>of</w:t>
      </w:r>
      <w:r w:rsidR="008243CA">
        <w:t xml:space="preserve"> </w:t>
      </w:r>
      <w:r w:rsidRPr="00E62FE6">
        <w:t>the</w:t>
      </w:r>
      <w:r w:rsidR="008243CA">
        <w:t xml:space="preserve"> </w:t>
      </w:r>
      <w:r w:rsidRPr="00E62FE6">
        <w:t>bill,</w:t>
      </w:r>
      <w:r w:rsidR="008243CA">
        <w:t xml:space="preserve"> </w:t>
      </w:r>
      <w:r w:rsidRPr="00E62FE6">
        <w:t>close</w:t>
      </w:r>
      <w:r w:rsidR="008243CA">
        <w:t xml:space="preserve"> </w:t>
      </w:r>
      <w:r w:rsidRPr="00E62FE6">
        <w:t>attention</w:t>
      </w:r>
      <w:r w:rsidR="008243CA">
        <w:t xml:space="preserve"> </w:t>
      </w:r>
      <w:r w:rsidRPr="00E62FE6">
        <w:t>was</w:t>
      </w:r>
      <w:r w:rsidR="008243CA">
        <w:t xml:space="preserve"> </w:t>
      </w:r>
      <w:r w:rsidRPr="00E62FE6">
        <w:t>paid</w:t>
      </w:r>
      <w:r w:rsidR="008243CA">
        <w:t xml:space="preserve"> </w:t>
      </w:r>
      <w:r w:rsidRPr="00E62FE6">
        <w:t>to</w:t>
      </w:r>
      <w:r w:rsidR="008243CA">
        <w:t xml:space="preserve"> </w:t>
      </w:r>
      <w:r w:rsidRPr="00E62FE6">
        <w:t>the</w:t>
      </w:r>
      <w:r w:rsidR="008243CA">
        <w:t xml:space="preserve"> </w:t>
      </w:r>
      <w:r w:rsidRPr="00E62FE6">
        <w:t>Subcommittee</w:t>
      </w:r>
      <w:r w:rsidR="00116F0B">
        <w:t>’</w:t>
      </w:r>
      <w:r w:rsidRPr="00E62FE6">
        <w:t>s</w:t>
      </w:r>
      <w:r w:rsidR="008243CA">
        <w:t xml:space="preserve"> </w:t>
      </w:r>
      <w:r w:rsidRPr="00E62FE6">
        <w:t>recommendations</w:t>
      </w:r>
      <w:r w:rsidR="008243CA">
        <w:t xml:space="preserve"> </w:t>
      </w:r>
      <w:r w:rsidRPr="00E62FE6">
        <w:t>that</w:t>
      </w:r>
      <w:r w:rsidR="008243CA">
        <w:t xml:space="preserve"> </w:t>
      </w:r>
      <w:r w:rsidRPr="00E62FE6">
        <w:t>the</w:t>
      </w:r>
      <w:r w:rsidR="008243CA">
        <w:t xml:space="preserve"> </w:t>
      </w:r>
      <w:r w:rsidRPr="00E62FE6">
        <w:t>mechanism</w:t>
      </w:r>
      <w:r w:rsidR="008243CA">
        <w:t xml:space="preserve"> </w:t>
      </w:r>
      <w:r w:rsidRPr="00E62FE6">
        <w:t>should</w:t>
      </w:r>
      <w:r w:rsidR="008243CA">
        <w:t xml:space="preserve"> </w:t>
      </w:r>
      <w:r w:rsidRPr="00E62FE6">
        <w:t>enjoy</w:t>
      </w:r>
      <w:r w:rsidR="008243CA">
        <w:t xml:space="preserve"> </w:t>
      </w:r>
      <w:r w:rsidRPr="00E62FE6">
        <w:t>financial</w:t>
      </w:r>
      <w:r w:rsidR="008243CA">
        <w:t xml:space="preserve"> </w:t>
      </w:r>
      <w:r w:rsidRPr="00E62FE6">
        <w:t>and</w:t>
      </w:r>
      <w:r w:rsidR="008243CA">
        <w:t xml:space="preserve"> </w:t>
      </w:r>
      <w:r w:rsidRPr="00E62FE6">
        <w:t>functional</w:t>
      </w:r>
      <w:r w:rsidR="008243CA">
        <w:t xml:space="preserve"> </w:t>
      </w:r>
      <w:r w:rsidRPr="00E62FE6">
        <w:t>autonomy</w:t>
      </w:r>
      <w:r w:rsidR="008243CA">
        <w:t xml:space="preserve"> </w:t>
      </w:r>
      <w:r w:rsidRPr="00E62FE6">
        <w:t>and</w:t>
      </w:r>
      <w:r w:rsidR="008243CA">
        <w:t xml:space="preserve"> </w:t>
      </w:r>
      <w:r w:rsidRPr="00E62FE6">
        <w:t>be</w:t>
      </w:r>
      <w:r w:rsidR="008243CA">
        <w:t xml:space="preserve"> </w:t>
      </w:r>
      <w:r w:rsidRPr="00E62FE6">
        <w:t>able</w:t>
      </w:r>
      <w:r w:rsidR="008243CA">
        <w:t xml:space="preserve"> </w:t>
      </w:r>
      <w:r w:rsidRPr="00E62FE6">
        <w:t>to</w:t>
      </w:r>
      <w:r w:rsidR="008243CA">
        <w:t xml:space="preserve"> </w:t>
      </w:r>
      <w:r w:rsidRPr="00E62FE6">
        <w:t>follow</w:t>
      </w:r>
      <w:r w:rsidR="008243CA">
        <w:t xml:space="preserve"> </w:t>
      </w:r>
      <w:r w:rsidRPr="00E62FE6">
        <w:t>its</w:t>
      </w:r>
      <w:r w:rsidR="008243CA">
        <w:t xml:space="preserve"> </w:t>
      </w:r>
      <w:r w:rsidRPr="00E62FE6">
        <w:t>own</w:t>
      </w:r>
      <w:r w:rsidR="008243CA">
        <w:t xml:space="preserve"> </w:t>
      </w:r>
      <w:r w:rsidRPr="00E62FE6">
        <w:t>programme</w:t>
      </w:r>
      <w:r w:rsidR="008243CA">
        <w:t xml:space="preserve"> </w:t>
      </w:r>
      <w:r w:rsidRPr="00E62FE6">
        <w:t>of</w:t>
      </w:r>
      <w:r w:rsidR="008243CA">
        <w:t xml:space="preserve"> </w:t>
      </w:r>
      <w:r w:rsidRPr="00E62FE6">
        <w:t>work,</w:t>
      </w:r>
      <w:r w:rsidR="008243CA">
        <w:t xml:space="preserve"> </w:t>
      </w:r>
      <w:r w:rsidRPr="00E62FE6">
        <w:t>operate</w:t>
      </w:r>
      <w:r w:rsidR="008243CA">
        <w:t xml:space="preserve"> </w:t>
      </w:r>
      <w:r w:rsidRPr="00E62FE6">
        <w:t>confidentially</w:t>
      </w:r>
      <w:r w:rsidR="008243CA">
        <w:t xml:space="preserve"> </w:t>
      </w:r>
      <w:r w:rsidRPr="00E62FE6">
        <w:t>and</w:t>
      </w:r>
      <w:r w:rsidR="008243CA">
        <w:t xml:space="preserve"> </w:t>
      </w:r>
      <w:r w:rsidRPr="00E62FE6">
        <w:t>have</w:t>
      </w:r>
      <w:r w:rsidR="008243CA">
        <w:t xml:space="preserve"> </w:t>
      </w:r>
      <w:r w:rsidRPr="00E62FE6">
        <w:t>its</w:t>
      </w:r>
      <w:r w:rsidR="008243CA">
        <w:t xml:space="preserve"> </w:t>
      </w:r>
      <w:r w:rsidRPr="00E62FE6">
        <w:t>own</w:t>
      </w:r>
      <w:r w:rsidR="008243CA">
        <w:t xml:space="preserve"> </w:t>
      </w:r>
      <w:r w:rsidRPr="00E62FE6">
        <w:t>body</w:t>
      </w:r>
      <w:r w:rsidR="008243CA">
        <w:t xml:space="preserve"> </w:t>
      </w:r>
      <w:r w:rsidRPr="00E62FE6">
        <w:t>of</w:t>
      </w:r>
      <w:r w:rsidR="008243CA">
        <w:t xml:space="preserve"> </w:t>
      </w:r>
      <w:r w:rsidRPr="00E62FE6">
        <w:t>staff</w:t>
      </w:r>
      <w:r w:rsidR="008243CA">
        <w:t xml:space="preserve"> </w:t>
      </w:r>
      <w:r w:rsidRPr="00E62FE6">
        <w:t>that</w:t>
      </w:r>
      <w:r w:rsidR="008243CA">
        <w:t xml:space="preserve"> </w:t>
      </w:r>
      <w:r w:rsidRPr="00E62FE6">
        <w:t>is</w:t>
      </w:r>
      <w:r w:rsidR="008243CA">
        <w:t xml:space="preserve"> </w:t>
      </w:r>
      <w:r w:rsidRPr="00E62FE6">
        <w:t>independent</w:t>
      </w:r>
      <w:r w:rsidR="008243CA">
        <w:t xml:space="preserve"> </w:t>
      </w:r>
      <w:r w:rsidRPr="00E62FE6">
        <w:t>of</w:t>
      </w:r>
      <w:r w:rsidR="008243CA">
        <w:t xml:space="preserve"> </w:t>
      </w:r>
      <w:r w:rsidRPr="00E62FE6">
        <w:t>the</w:t>
      </w:r>
      <w:r w:rsidR="008243CA">
        <w:t xml:space="preserve"> </w:t>
      </w:r>
      <w:r w:rsidRPr="00E62FE6">
        <w:t>National</w:t>
      </w:r>
      <w:r w:rsidR="008243CA">
        <w:t xml:space="preserve"> </w:t>
      </w:r>
      <w:r w:rsidRPr="00E62FE6">
        <w:t>Human</w:t>
      </w:r>
      <w:r w:rsidR="008243CA">
        <w:t xml:space="preserve"> </w:t>
      </w:r>
      <w:r w:rsidRPr="00E62FE6">
        <w:t>Rights</w:t>
      </w:r>
      <w:r w:rsidR="008243CA">
        <w:t xml:space="preserve"> </w:t>
      </w:r>
      <w:r w:rsidRPr="00E62FE6">
        <w:t>Institute.</w:t>
      </w:r>
      <w:r w:rsidR="008243CA">
        <w:t xml:space="preserve"> </w:t>
      </w:r>
      <w:r w:rsidRPr="00E62FE6">
        <w:t>Its</w:t>
      </w:r>
      <w:r w:rsidR="008243CA">
        <w:t xml:space="preserve"> </w:t>
      </w:r>
      <w:r w:rsidRPr="00E62FE6">
        <w:t>duties</w:t>
      </w:r>
      <w:r w:rsidR="008243CA">
        <w:t xml:space="preserve"> </w:t>
      </w:r>
      <w:r w:rsidRPr="00E62FE6">
        <w:t>will</w:t>
      </w:r>
      <w:r w:rsidR="008243CA">
        <w:t xml:space="preserve"> </w:t>
      </w:r>
      <w:r w:rsidRPr="00E62FE6">
        <w:t>certainly</w:t>
      </w:r>
      <w:r w:rsidR="008243CA">
        <w:t xml:space="preserve"> </w:t>
      </w:r>
      <w:r w:rsidRPr="00E62FE6">
        <w:t>include</w:t>
      </w:r>
      <w:r w:rsidR="008243CA">
        <w:t xml:space="preserve"> </w:t>
      </w:r>
      <w:r w:rsidRPr="00E62FE6">
        <w:t>conducting</w:t>
      </w:r>
      <w:r w:rsidR="008243CA">
        <w:t xml:space="preserve"> </w:t>
      </w:r>
      <w:r w:rsidRPr="00E62FE6">
        <w:t>unannounced</w:t>
      </w:r>
      <w:r w:rsidR="008243CA">
        <w:t xml:space="preserve"> </w:t>
      </w:r>
      <w:r w:rsidRPr="00E62FE6">
        <w:t>visits</w:t>
      </w:r>
      <w:r w:rsidR="008243CA">
        <w:t xml:space="preserve"> </w:t>
      </w:r>
      <w:r w:rsidRPr="00E62FE6">
        <w:t>to</w:t>
      </w:r>
      <w:r w:rsidR="008243CA">
        <w:t xml:space="preserve"> </w:t>
      </w:r>
      <w:r w:rsidRPr="00E62FE6">
        <w:t>places</w:t>
      </w:r>
      <w:r w:rsidR="008243CA">
        <w:t xml:space="preserve"> </w:t>
      </w:r>
      <w:r w:rsidRPr="00E62FE6">
        <w:t>where</w:t>
      </w:r>
      <w:r w:rsidR="008243CA">
        <w:t xml:space="preserve"> </w:t>
      </w:r>
      <w:r w:rsidRPr="00E62FE6">
        <w:t>persons</w:t>
      </w:r>
      <w:r w:rsidR="008243CA">
        <w:t xml:space="preserve"> </w:t>
      </w:r>
      <w:r w:rsidRPr="00E62FE6">
        <w:t>are</w:t>
      </w:r>
      <w:r w:rsidR="008243CA">
        <w:t xml:space="preserve"> </w:t>
      </w:r>
      <w:r w:rsidRPr="00E62FE6">
        <w:t>or</w:t>
      </w:r>
      <w:r w:rsidR="008243CA">
        <w:t xml:space="preserve"> </w:t>
      </w:r>
      <w:r w:rsidRPr="00E62FE6">
        <w:t>may</w:t>
      </w:r>
      <w:r w:rsidR="008243CA">
        <w:t xml:space="preserve"> </w:t>
      </w:r>
      <w:r w:rsidRPr="00E62FE6">
        <w:t>be</w:t>
      </w:r>
      <w:r w:rsidR="008243CA">
        <w:t xml:space="preserve"> </w:t>
      </w:r>
      <w:r w:rsidRPr="00E62FE6">
        <w:t>deprived</w:t>
      </w:r>
      <w:r w:rsidR="008243CA">
        <w:t xml:space="preserve"> </w:t>
      </w:r>
      <w:r w:rsidRPr="00E62FE6">
        <w:t>of</w:t>
      </w:r>
      <w:r w:rsidR="008243CA">
        <w:t xml:space="preserve"> </w:t>
      </w:r>
      <w:r w:rsidRPr="00E62FE6">
        <w:t>their</w:t>
      </w:r>
      <w:r w:rsidR="008243CA">
        <w:t xml:space="preserve"> </w:t>
      </w:r>
      <w:r w:rsidRPr="00E62FE6">
        <w:t>liberty.</w:t>
      </w:r>
      <w:bookmarkStart w:id="25" w:name="page11"/>
      <w:bookmarkEnd w:id="25"/>
    </w:p>
    <w:p w:rsidR="003F7D03" w:rsidRPr="00E62FE6" w:rsidRDefault="003F7D03" w:rsidP="000C6D98">
      <w:pPr>
        <w:pStyle w:val="SingleTxtG"/>
      </w:pPr>
      <w:r w:rsidRPr="00E62FE6">
        <w:t>20.</w:t>
      </w:r>
      <w:r w:rsidRPr="00E62FE6">
        <w:tab/>
        <w:t>The</w:t>
      </w:r>
      <w:r w:rsidR="008243CA">
        <w:t xml:space="preserve"> </w:t>
      </w:r>
      <w:r w:rsidRPr="00E62FE6">
        <w:t>bill</w:t>
      </w:r>
      <w:r w:rsidR="008243CA">
        <w:t xml:space="preserve"> </w:t>
      </w:r>
      <w:r w:rsidRPr="00E62FE6">
        <w:t>stipulates</w:t>
      </w:r>
      <w:r w:rsidR="008243CA">
        <w:t xml:space="preserve"> </w:t>
      </w:r>
      <w:r w:rsidRPr="00E62FE6">
        <w:t>that</w:t>
      </w:r>
      <w:r w:rsidR="008243CA">
        <w:t xml:space="preserve"> </w:t>
      </w:r>
      <w:r w:rsidRPr="00E62FE6">
        <w:t>the</w:t>
      </w:r>
      <w:r w:rsidR="008243CA">
        <w:t xml:space="preserve"> </w:t>
      </w:r>
      <w:r w:rsidRPr="00E62FE6">
        <w:t>national</w:t>
      </w:r>
      <w:r w:rsidR="008243CA">
        <w:t xml:space="preserve"> </w:t>
      </w:r>
      <w:r w:rsidRPr="00E62FE6">
        <w:t>preventive</w:t>
      </w:r>
      <w:r w:rsidR="008243CA">
        <w:t xml:space="preserve"> </w:t>
      </w:r>
      <w:r w:rsidRPr="00E62FE6">
        <w:t>mechanism</w:t>
      </w:r>
      <w:r w:rsidR="008243CA">
        <w:t xml:space="preserve"> </w:t>
      </w:r>
      <w:r w:rsidRPr="00E62FE6">
        <w:t>will</w:t>
      </w:r>
      <w:r w:rsidR="008243CA">
        <w:t xml:space="preserve"> </w:t>
      </w:r>
      <w:r w:rsidRPr="00E62FE6">
        <w:t>be</w:t>
      </w:r>
      <w:r w:rsidR="008243CA">
        <w:t xml:space="preserve"> </w:t>
      </w:r>
      <w:r w:rsidRPr="00E62FE6">
        <w:t>implemented</w:t>
      </w:r>
      <w:r w:rsidR="008243CA">
        <w:t xml:space="preserve"> </w:t>
      </w:r>
      <w:r w:rsidRPr="00E62FE6">
        <w:t>gradually</w:t>
      </w:r>
      <w:r w:rsidR="008243CA">
        <w:t xml:space="preserve"> </w:t>
      </w:r>
      <w:r w:rsidRPr="00E62FE6">
        <w:t>and</w:t>
      </w:r>
      <w:r w:rsidR="008243CA">
        <w:t xml:space="preserve"> </w:t>
      </w:r>
      <w:r w:rsidRPr="00E62FE6">
        <w:t>provided</w:t>
      </w:r>
      <w:r w:rsidR="008243CA">
        <w:t xml:space="preserve"> </w:t>
      </w:r>
      <w:r w:rsidRPr="00E62FE6">
        <w:t>with</w:t>
      </w:r>
      <w:r w:rsidR="008243CA">
        <w:t xml:space="preserve"> </w:t>
      </w:r>
      <w:r w:rsidRPr="00E62FE6">
        <w:t>an</w:t>
      </w:r>
      <w:r w:rsidR="008243CA">
        <w:t xml:space="preserve"> </w:t>
      </w:r>
      <w:r w:rsidRPr="00E62FE6">
        <w:t>adequate</w:t>
      </w:r>
      <w:r w:rsidR="008243CA">
        <w:t xml:space="preserve"> </w:t>
      </w:r>
      <w:r w:rsidRPr="00E62FE6">
        <w:t>budget</w:t>
      </w:r>
      <w:r w:rsidR="008243CA">
        <w:t xml:space="preserve"> </w:t>
      </w:r>
      <w:r w:rsidRPr="00E62FE6">
        <w:t>each</w:t>
      </w:r>
      <w:r w:rsidR="008243CA">
        <w:t xml:space="preserve"> </w:t>
      </w:r>
      <w:r w:rsidRPr="00E62FE6">
        <w:t>year.</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Justice</w:t>
      </w:r>
      <w:r w:rsidR="008243CA">
        <w:t xml:space="preserve"> </w:t>
      </w:r>
      <w:r w:rsidRPr="00E62FE6">
        <w:t>and</w:t>
      </w:r>
      <w:r w:rsidR="008243CA">
        <w:t xml:space="preserve"> </w:t>
      </w:r>
      <w:r w:rsidRPr="00E62FE6">
        <w:t>Human</w:t>
      </w:r>
      <w:r w:rsidR="008243CA">
        <w:t xml:space="preserve"> </w:t>
      </w:r>
      <w:r w:rsidRPr="00E62FE6">
        <w:t>Rights</w:t>
      </w:r>
      <w:r w:rsidR="008243CA">
        <w:t xml:space="preserve"> </w:t>
      </w:r>
      <w:r w:rsidRPr="00E62FE6">
        <w:t>and</w:t>
      </w:r>
      <w:r w:rsidR="008243CA">
        <w:t xml:space="preserve"> </w:t>
      </w:r>
      <w:r w:rsidRPr="00E62FE6">
        <w:t>the</w:t>
      </w:r>
      <w:r w:rsidR="008243CA">
        <w:t xml:space="preserve"> </w:t>
      </w:r>
      <w:r w:rsidRPr="00E62FE6">
        <w:t>Office</w:t>
      </w:r>
      <w:r w:rsidR="008243CA">
        <w:t xml:space="preserve"> </w:t>
      </w:r>
      <w:r w:rsidRPr="00E62FE6">
        <w:t>of</w:t>
      </w:r>
      <w:r w:rsidR="008243CA">
        <w:t xml:space="preserve"> </w:t>
      </w:r>
      <w:r w:rsidRPr="00E62FE6">
        <w:t>the</w:t>
      </w:r>
      <w:r w:rsidR="008243CA">
        <w:t xml:space="preserve"> </w:t>
      </w:r>
      <w:r w:rsidRPr="00E62FE6">
        <w:t>Minister</w:t>
      </w:r>
      <w:r w:rsidR="008243CA">
        <w:t xml:space="preserve"> </w:t>
      </w:r>
      <w:r w:rsidRPr="00E62FE6">
        <w:t>and</w:t>
      </w:r>
      <w:r w:rsidR="008243CA">
        <w:t xml:space="preserve"> </w:t>
      </w:r>
      <w:r w:rsidRPr="00E62FE6">
        <w:t>Secretary</w:t>
      </w:r>
      <w:r w:rsidR="008243CA">
        <w:t xml:space="preserve"> </w:t>
      </w:r>
      <w:r w:rsidRPr="00E62FE6">
        <w:t>General</w:t>
      </w:r>
      <w:r w:rsidR="008243CA">
        <w:t xml:space="preserve"> </w:t>
      </w:r>
      <w:r w:rsidRPr="00E62FE6">
        <w:t>of</w:t>
      </w:r>
      <w:r w:rsidR="008243CA">
        <w:t xml:space="preserve"> </w:t>
      </w:r>
      <w:r w:rsidRPr="00E62FE6">
        <w:t>the</w:t>
      </w:r>
      <w:r w:rsidR="008243CA">
        <w:t xml:space="preserve"> </w:t>
      </w:r>
      <w:r w:rsidRPr="00E62FE6">
        <w:t>Presidency</w:t>
      </w:r>
      <w:r w:rsidR="008243CA">
        <w:t xml:space="preserve"> </w:t>
      </w:r>
      <w:r w:rsidRPr="00E62FE6">
        <w:t>are</w:t>
      </w:r>
      <w:r w:rsidR="008243CA">
        <w:t xml:space="preserve"> </w:t>
      </w:r>
      <w:r w:rsidRPr="00E62FE6">
        <w:t>currently</w:t>
      </w:r>
      <w:r w:rsidR="008243CA">
        <w:t xml:space="preserve"> </w:t>
      </w:r>
      <w:r w:rsidRPr="00E62FE6">
        <w:t>finalizing</w:t>
      </w:r>
      <w:r w:rsidR="008243CA">
        <w:t xml:space="preserve"> </w:t>
      </w:r>
      <w:r w:rsidRPr="00E62FE6">
        <w:t>the</w:t>
      </w:r>
      <w:r w:rsidR="008243CA">
        <w:t xml:space="preserve"> </w:t>
      </w:r>
      <w:r w:rsidRPr="00E62FE6">
        <w:t>draft,</w:t>
      </w:r>
      <w:r w:rsidR="008243CA">
        <w:t xml:space="preserve"> </w:t>
      </w:r>
      <w:r w:rsidRPr="00E62FE6">
        <w:t>which</w:t>
      </w:r>
      <w:r w:rsidR="008243CA">
        <w:t xml:space="preserve"> </w:t>
      </w:r>
      <w:r w:rsidRPr="00E62FE6">
        <w:t>will</w:t>
      </w:r>
      <w:r w:rsidR="008243CA">
        <w:t xml:space="preserve"> </w:t>
      </w:r>
      <w:r w:rsidRPr="00E62FE6">
        <w:t>be</w:t>
      </w:r>
      <w:r w:rsidR="008243CA">
        <w:t xml:space="preserve"> </w:t>
      </w:r>
      <w:r w:rsidRPr="00E62FE6">
        <w:t>shared</w:t>
      </w:r>
      <w:r w:rsidR="008243CA">
        <w:t xml:space="preserve"> </w:t>
      </w:r>
      <w:r w:rsidRPr="00E62FE6">
        <w:t>with</w:t>
      </w:r>
      <w:r w:rsidR="008243CA">
        <w:t xml:space="preserve"> </w:t>
      </w:r>
      <w:r w:rsidRPr="00E62FE6">
        <w:t>the</w:t>
      </w:r>
      <w:r w:rsidR="008243CA">
        <w:t xml:space="preserve"> </w:t>
      </w:r>
      <w:r w:rsidRPr="00E62FE6">
        <w:t>Budget</w:t>
      </w:r>
      <w:r w:rsidR="008243CA">
        <w:t xml:space="preserve"> </w:t>
      </w:r>
      <w:r w:rsidRPr="00E62FE6">
        <w:t>Department</w:t>
      </w:r>
      <w:r w:rsidR="008243CA">
        <w:t xml:space="preserve"> </w:t>
      </w:r>
      <w:r w:rsidRPr="00E62FE6">
        <w:t>of</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Finance</w:t>
      </w:r>
      <w:r w:rsidR="008243CA">
        <w:t xml:space="preserve"> </w:t>
      </w:r>
      <w:r w:rsidRPr="00E62FE6">
        <w:t>and</w:t>
      </w:r>
      <w:r w:rsidR="008243CA">
        <w:t xml:space="preserve"> </w:t>
      </w:r>
      <w:r w:rsidRPr="00E62FE6">
        <w:t>the</w:t>
      </w:r>
      <w:r w:rsidR="008243CA">
        <w:t xml:space="preserve"> </w:t>
      </w:r>
      <w:r w:rsidRPr="00E62FE6">
        <w:t>National</w:t>
      </w:r>
      <w:r w:rsidR="008243CA">
        <w:t xml:space="preserve"> </w:t>
      </w:r>
      <w:r w:rsidRPr="00E62FE6">
        <w:t>Human</w:t>
      </w:r>
      <w:r w:rsidR="008243CA">
        <w:t xml:space="preserve"> </w:t>
      </w:r>
      <w:r w:rsidRPr="00E62FE6">
        <w:t>Rights</w:t>
      </w:r>
      <w:r w:rsidR="008243CA">
        <w:t xml:space="preserve"> </w:t>
      </w:r>
      <w:r w:rsidRPr="00E62FE6">
        <w:t>Institute,</w:t>
      </w:r>
      <w:r w:rsidR="008243CA">
        <w:t xml:space="preserve"> </w:t>
      </w:r>
      <w:r w:rsidRPr="00E62FE6">
        <w:t>before</w:t>
      </w:r>
      <w:r w:rsidR="008243CA">
        <w:t xml:space="preserve"> </w:t>
      </w:r>
      <w:r w:rsidRPr="00E62FE6">
        <w:t>being</w:t>
      </w:r>
      <w:r w:rsidR="008243CA">
        <w:t xml:space="preserve"> </w:t>
      </w:r>
      <w:r w:rsidRPr="00E62FE6">
        <w:t>submitted</w:t>
      </w:r>
      <w:r w:rsidR="008243CA">
        <w:t xml:space="preserve"> </w:t>
      </w:r>
      <w:r w:rsidRPr="00E62FE6">
        <w:t>to</w:t>
      </w:r>
      <w:r w:rsidR="008243CA">
        <w:t xml:space="preserve"> </w:t>
      </w:r>
      <w:r w:rsidRPr="00E62FE6">
        <w:t>the</w:t>
      </w:r>
      <w:r w:rsidR="008243CA">
        <w:t xml:space="preserve"> </w:t>
      </w:r>
      <w:r w:rsidRPr="00E62FE6">
        <w:t>National</w:t>
      </w:r>
      <w:r w:rsidR="008243CA">
        <w:t xml:space="preserve"> </w:t>
      </w:r>
      <w:r w:rsidRPr="00E62FE6">
        <w:t>Congress</w:t>
      </w:r>
      <w:r w:rsidR="008243CA">
        <w:t xml:space="preserve"> </w:t>
      </w:r>
      <w:r w:rsidRPr="00E62FE6">
        <w:t>in</w:t>
      </w:r>
      <w:r w:rsidR="008243CA">
        <w:t xml:space="preserve"> </w:t>
      </w:r>
      <w:r w:rsidRPr="00E62FE6">
        <w:t>the</w:t>
      </w:r>
      <w:r w:rsidR="008243CA">
        <w:t xml:space="preserve"> </w:t>
      </w:r>
      <w:r w:rsidRPr="00E62FE6">
        <w:t>coming</w:t>
      </w:r>
      <w:r w:rsidR="008243CA">
        <w:t xml:space="preserve"> </w:t>
      </w:r>
      <w:r w:rsidRPr="00E62FE6">
        <w:t>weeks.</w:t>
      </w:r>
    </w:p>
    <w:p w:rsidR="003F7D03" w:rsidRPr="00E62FE6" w:rsidRDefault="003F7D03" w:rsidP="00A61C79">
      <w:pPr>
        <w:pStyle w:val="H23G"/>
      </w:pPr>
      <w:r w:rsidRPr="00E62FE6">
        <w:tab/>
      </w:r>
      <w:bookmarkStart w:id="26" w:name="_Toc512870678"/>
      <w:bookmarkStart w:id="27" w:name="_Toc512870840"/>
      <w:r w:rsidRPr="00E62FE6">
        <w:t>2.1.2</w:t>
      </w:r>
      <w:r w:rsidRPr="00E62FE6">
        <w:tab/>
        <w:t>Definition</w:t>
      </w:r>
      <w:r w:rsidR="008243CA">
        <w:t xml:space="preserve"> </w:t>
      </w:r>
      <w:r w:rsidRPr="00E62FE6">
        <w:t>of</w:t>
      </w:r>
      <w:r w:rsidR="008243CA">
        <w:t xml:space="preserve"> </w:t>
      </w:r>
      <w:r w:rsidRPr="00E62FE6">
        <w:t>the</w:t>
      </w:r>
      <w:r w:rsidR="008243CA">
        <w:t xml:space="preserve"> </w:t>
      </w:r>
      <w:r w:rsidRPr="00E62FE6">
        <w:t>offence</w:t>
      </w:r>
      <w:r w:rsidR="008243CA">
        <w:t xml:space="preserve"> </w:t>
      </w:r>
      <w:r w:rsidRPr="00E62FE6">
        <w:t>of</w:t>
      </w:r>
      <w:r w:rsidR="008243CA">
        <w:t xml:space="preserve"> </w:t>
      </w:r>
      <w:r w:rsidRPr="00E62FE6">
        <w:t>torture</w:t>
      </w:r>
      <w:bookmarkEnd w:id="26"/>
      <w:bookmarkEnd w:id="27"/>
    </w:p>
    <w:p w:rsidR="003F7D03" w:rsidRPr="00A61C79" w:rsidRDefault="003F7D03" w:rsidP="000C6D98">
      <w:pPr>
        <w:pStyle w:val="SingleTxtG"/>
        <w:rPr>
          <w:i/>
          <w:iCs/>
        </w:rPr>
      </w:pPr>
      <w:r w:rsidRPr="00E62FE6">
        <w:t>21.</w:t>
      </w:r>
      <w:r w:rsidRPr="00E62FE6">
        <w:tab/>
        <w:t>Paragraph</w:t>
      </w:r>
      <w:r w:rsidR="008243CA">
        <w:t xml:space="preserve"> </w:t>
      </w:r>
      <w:r w:rsidRPr="00E62FE6">
        <w:t>24:</w:t>
      </w:r>
      <w:r w:rsidR="008243CA">
        <w:t xml:space="preserve"> </w:t>
      </w:r>
      <w:r w:rsidRPr="00A61C79">
        <w:rPr>
          <w:i/>
          <w:iCs/>
        </w:rPr>
        <w:t>The</w:t>
      </w:r>
      <w:r w:rsidR="008243CA">
        <w:rPr>
          <w:i/>
          <w:iCs/>
        </w:rPr>
        <w:t xml:space="preserve"> </w:t>
      </w:r>
      <w:r w:rsidRPr="00A61C79">
        <w:rPr>
          <w:i/>
          <w:iCs/>
        </w:rPr>
        <w:t>Subcommittee</w:t>
      </w:r>
      <w:r w:rsidR="008243CA">
        <w:rPr>
          <w:i/>
          <w:iCs/>
        </w:rPr>
        <w:t xml:space="preserve"> </w:t>
      </w:r>
      <w:r w:rsidRPr="00A61C79">
        <w:rPr>
          <w:i/>
          <w:iCs/>
        </w:rPr>
        <w:t>reiterates</w:t>
      </w:r>
      <w:r w:rsidR="008243CA">
        <w:rPr>
          <w:i/>
          <w:iCs/>
        </w:rPr>
        <w:t xml:space="preserve"> </w:t>
      </w:r>
      <w:r w:rsidRPr="00A61C79">
        <w:rPr>
          <w:i/>
          <w:iCs/>
        </w:rPr>
        <w:t>the</w:t>
      </w:r>
      <w:r w:rsidR="008243CA">
        <w:rPr>
          <w:i/>
          <w:iCs/>
        </w:rPr>
        <w:t xml:space="preserve"> </w:t>
      </w:r>
      <w:r w:rsidRPr="00A61C79">
        <w:rPr>
          <w:i/>
          <w:iCs/>
        </w:rPr>
        <w:t>recommendations</w:t>
      </w:r>
      <w:r w:rsidR="008243CA">
        <w:rPr>
          <w:i/>
          <w:iCs/>
        </w:rPr>
        <w:t xml:space="preserve"> </w:t>
      </w:r>
      <w:r w:rsidRPr="00A61C79">
        <w:rPr>
          <w:i/>
          <w:iCs/>
        </w:rPr>
        <w:t>made</w:t>
      </w:r>
      <w:r w:rsidR="008243CA">
        <w:rPr>
          <w:i/>
          <w:iCs/>
        </w:rPr>
        <w:t xml:space="preserve"> </w:t>
      </w:r>
      <w:r w:rsidRPr="00A61C79">
        <w:rPr>
          <w:i/>
          <w:iCs/>
        </w:rPr>
        <w:t>by</w:t>
      </w:r>
      <w:r w:rsidR="008243CA">
        <w:rPr>
          <w:i/>
          <w:iCs/>
        </w:rPr>
        <w:t xml:space="preserve"> </w:t>
      </w:r>
      <w:r w:rsidRPr="00A61C79">
        <w:rPr>
          <w:i/>
          <w:iCs/>
        </w:rPr>
        <w:t>the</w:t>
      </w:r>
      <w:r w:rsidR="008243CA">
        <w:rPr>
          <w:i/>
          <w:iCs/>
        </w:rPr>
        <w:t xml:space="preserve"> </w:t>
      </w:r>
      <w:r w:rsidRPr="00A61C79">
        <w:rPr>
          <w:i/>
          <w:iCs/>
        </w:rPr>
        <w:t>Committee</w:t>
      </w:r>
      <w:r w:rsidR="008243CA">
        <w:rPr>
          <w:i/>
          <w:iCs/>
        </w:rPr>
        <w:t xml:space="preserve"> </w:t>
      </w:r>
      <w:r w:rsidRPr="00A61C79">
        <w:rPr>
          <w:i/>
          <w:iCs/>
        </w:rPr>
        <w:t>against</w:t>
      </w:r>
      <w:r w:rsidR="008243CA">
        <w:rPr>
          <w:i/>
          <w:iCs/>
        </w:rPr>
        <w:t xml:space="preserve"> </w:t>
      </w:r>
      <w:r w:rsidRPr="00A61C79">
        <w:rPr>
          <w:i/>
          <w:iCs/>
        </w:rPr>
        <w:t>Torture</w:t>
      </w:r>
      <w:r w:rsidR="008243CA">
        <w:rPr>
          <w:i/>
          <w:iCs/>
        </w:rPr>
        <w:t xml:space="preserve"> </w:t>
      </w:r>
      <w:r w:rsidRPr="00A61C79">
        <w:rPr>
          <w:i/>
          <w:iCs/>
        </w:rPr>
        <w:t>in</w:t>
      </w:r>
      <w:r w:rsidR="008243CA">
        <w:rPr>
          <w:i/>
          <w:iCs/>
        </w:rPr>
        <w:t xml:space="preserve"> </w:t>
      </w:r>
      <w:r w:rsidRPr="00A61C79">
        <w:rPr>
          <w:i/>
          <w:iCs/>
        </w:rPr>
        <w:t>2009</w:t>
      </w:r>
      <w:r w:rsidR="008243CA">
        <w:rPr>
          <w:i/>
          <w:iCs/>
        </w:rPr>
        <w:t xml:space="preserve"> </w:t>
      </w:r>
      <w:r w:rsidRPr="00A61C79">
        <w:rPr>
          <w:i/>
          <w:iCs/>
        </w:rPr>
        <w:t>and</w:t>
      </w:r>
      <w:r w:rsidR="008243CA">
        <w:rPr>
          <w:i/>
          <w:iCs/>
        </w:rPr>
        <w:t xml:space="preserve"> </w:t>
      </w:r>
      <w:r w:rsidRPr="00A61C79">
        <w:rPr>
          <w:i/>
          <w:iCs/>
        </w:rPr>
        <w:t>those</w:t>
      </w:r>
      <w:r w:rsidR="008243CA">
        <w:rPr>
          <w:i/>
          <w:iCs/>
        </w:rPr>
        <w:t xml:space="preserve"> </w:t>
      </w:r>
      <w:r w:rsidRPr="00A61C79">
        <w:rPr>
          <w:i/>
          <w:iCs/>
        </w:rPr>
        <w:t>made</w:t>
      </w:r>
      <w:r w:rsidR="008243CA">
        <w:rPr>
          <w:i/>
          <w:iCs/>
        </w:rPr>
        <w:t xml:space="preserve"> </w:t>
      </w:r>
      <w:r w:rsidRPr="00A61C79">
        <w:rPr>
          <w:i/>
          <w:iCs/>
        </w:rPr>
        <w:t>in</w:t>
      </w:r>
      <w:r w:rsidR="008243CA">
        <w:rPr>
          <w:i/>
          <w:iCs/>
        </w:rPr>
        <w:t xml:space="preserve"> </w:t>
      </w:r>
      <w:r w:rsidRPr="00A61C79">
        <w:rPr>
          <w:i/>
          <w:iCs/>
        </w:rPr>
        <w:t>the</w:t>
      </w:r>
      <w:r w:rsidR="008243CA">
        <w:rPr>
          <w:i/>
          <w:iCs/>
        </w:rPr>
        <w:t xml:space="preserve"> </w:t>
      </w:r>
      <w:r w:rsidRPr="00A61C79">
        <w:rPr>
          <w:i/>
          <w:iCs/>
        </w:rPr>
        <w:t>second</w:t>
      </w:r>
      <w:r w:rsidR="008243CA">
        <w:rPr>
          <w:i/>
          <w:iCs/>
        </w:rPr>
        <w:t xml:space="preserve"> </w:t>
      </w:r>
      <w:r w:rsidRPr="00A61C79">
        <w:rPr>
          <w:i/>
          <w:iCs/>
        </w:rPr>
        <w:t>universal</w:t>
      </w:r>
      <w:r w:rsidR="008243CA">
        <w:rPr>
          <w:i/>
          <w:iCs/>
        </w:rPr>
        <w:t xml:space="preserve"> </w:t>
      </w:r>
      <w:r w:rsidRPr="00A61C79">
        <w:rPr>
          <w:i/>
          <w:iCs/>
        </w:rPr>
        <w:t>periodic</w:t>
      </w:r>
      <w:r w:rsidR="008243CA">
        <w:rPr>
          <w:i/>
          <w:iCs/>
        </w:rPr>
        <w:t xml:space="preserve"> </w:t>
      </w:r>
      <w:r w:rsidRPr="00A61C79">
        <w:rPr>
          <w:i/>
          <w:iCs/>
        </w:rPr>
        <w:t>review</w:t>
      </w:r>
      <w:r w:rsidR="008243CA">
        <w:rPr>
          <w:i/>
          <w:iCs/>
        </w:rPr>
        <w:t xml:space="preserve"> </w:t>
      </w:r>
      <w:r w:rsidRPr="00A61C79">
        <w:rPr>
          <w:i/>
          <w:iCs/>
        </w:rPr>
        <w:t>of</w:t>
      </w:r>
      <w:r w:rsidR="008243CA">
        <w:rPr>
          <w:i/>
          <w:iCs/>
        </w:rPr>
        <w:t xml:space="preserve"> </w:t>
      </w:r>
      <w:r w:rsidRPr="00A61C79">
        <w:rPr>
          <w:i/>
          <w:iCs/>
        </w:rPr>
        <w:t>Chile</w:t>
      </w:r>
      <w:r w:rsidR="008243CA">
        <w:rPr>
          <w:i/>
          <w:iCs/>
        </w:rPr>
        <w:t xml:space="preserve"> </w:t>
      </w:r>
      <w:r w:rsidRPr="00A61C79">
        <w:rPr>
          <w:i/>
          <w:iCs/>
        </w:rPr>
        <w:t>in</w:t>
      </w:r>
      <w:r w:rsidR="008243CA">
        <w:rPr>
          <w:i/>
          <w:iCs/>
        </w:rPr>
        <w:t xml:space="preserve"> </w:t>
      </w:r>
      <w:r w:rsidRPr="00A61C79">
        <w:rPr>
          <w:i/>
          <w:iCs/>
        </w:rPr>
        <w:t>2014</w:t>
      </w:r>
      <w:r w:rsidR="008243CA">
        <w:rPr>
          <w:i/>
          <w:iCs/>
        </w:rPr>
        <w:t xml:space="preserve"> </w:t>
      </w:r>
      <w:r w:rsidRPr="00A61C79">
        <w:rPr>
          <w:i/>
          <w:iCs/>
        </w:rPr>
        <w:t>and</w:t>
      </w:r>
      <w:r w:rsidR="008243CA">
        <w:rPr>
          <w:i/>
          <w:iCs/>
        </w:rPr>
        <w:t xml:space="preserve"> </w:t>
      </w:r>
      <w:r w:rsidRPr="00A61C79">
        <w:rPr>
          <w:i/>
          <w:iCs/>
        </w:rPr>
        <w:t>urges</w:t>
      </w:r>
      <w:r w:rsidR="008243CA">
        <w:rPr>
          <w:i/>
          <w:iCs/>
        </w:rPr>
        <w:t xml:space="preserve"> </w:t>
      </w:r>
      <w:r w:rsidRPr="00A61C79">
        <w:rPr>
          <w:i/>
          <w:iCs/>
        </w:rPr>
        <w:t>the</w:t>
      </w:r>
      <w:r w:rsidR="008243CA">
        <w:rPr>
          <w:i/>
          <w:iCs/>
        </w:rPr>
        <w:t xml:space="preserve"> </w:t>
      </w:r>
      <w:r w:rsidRPr="00A61C79">
        <w:rPr>
          <w:i/>
          <w:iCs/>
        </w:rPr>
        <w:t>State</w:t>
      </w:r>
      <w:r w:rsidR="008243CA">
        <w:rPr>
          <w:i/>
          <w:iCs/>
        </w:rPr>
        <w:t xml:space="preserve"> </w:t>
      </w:r>
      <w:r w:rsidRPr="00A61C79">
        <w:rPr>
          <w:i/>
          <w:iCs/>
        </w:rPr>
        <w:t>party</w:t>
      </w:r>
      <w:r w:rsidR="008243CA">
        <w:rPr>
          <w:i/>
          <w:iCs/>
        </w:rPr>
        <w:t xml:space="preserve"> </w:t>
      </w:r>
      <w:r w:rsidRPr="00A61C79">
        <w:rPr>
          <w:i/>
          <w:iCs/>
        </w:rPr>
        <w:t>to</w:t>
      </w:r>
      <w:r w:rsidR="008243CA">
        <w:rPr>
          <w:i/>
          <w:iCs/>
        </w:rPr>
        <w:t xml:space="preserve"> </w:t>
      </w:r>
      <w:r w:rsidRPr="00A61C79">
        <w:rPr>
          <w:i/>
          <w:iCs/>
        </w:rPr>
        <w:t>bring</w:t>
      </w:r>
      <w:r w:rsidR="008243CA">
        <w:rPr>
          <w:i/>
          <w:iCs/>
        </w:rPr>
        <w:t xml:space="preserve"> </w:t>
      </w:r>
      <w:r w:rsidRPr="00A61C79">
        <w:rPr>
          <w:i/>
          <w:iCs/>
        </w:rPr>
        <w:t>the</w:t>
      </w:r>
      <w:r w:rsidR="008243CA">
        <w:rPr>
          <w:i/>
          <w:iCs/>
        </w:rPr>
        <w:t xml:space="preserve"> </w:t>
      </w:r>
      <w:r w:rsidRPr="00A61C79">
        <w:rPr>
          <w:i/>
          <w:iCs/>
        </w:rPr>
        <w:t>definition</w:t>
      </w:r>
      <w:r w:rsidR="008243CA">
        <w:rPr>
          <w:i/>
          <w:iCs/>
        </w:rPr>
        <w:t xml:space="preserve"> </w:t>
      </w:r>
      <w:r w:rsidRPr="00A61C79">
        <w:rPr>
          <w:i/>
          <w:iCs/>
        </w:rPr>
        <w:t>of</w:t>
      </w:r>
      <w:r w:rsidR="008243CA">
        <w:rPr>
          <w:i/>
          <w:iCs/>
        </w:rPr>
        <w:t xml:space="preserve"> </w:t>
      </w:r>
      <w:r w:rsidRPr="00A61C79">
        <w:rPr>
          <w:i/>
          <w:iCs/>
        </w:rPr>
        <w:t>the</w:t>
      </w:r>
      <w:r w:rsidR="008243CA">
        <w:rPr>
          <w:i/>
          <w:iCs/>
        </w:rPr>
        <w:t xml:space="preserve"> </w:t>
      </w:r>
      <w:r w:rsidRPr="00A61C79">
        <w:rPr>
          <w:i/>
          <w:iCs/>
        </w:rPr>
        <w:t>offence</w:t>
      </w:r>
      <w:r w:rsidR="008243CA">
        <w:rPr>
          <w:i/>
          <w:iCs/>
        </w:rPr>
        <w:t xml:space="preserve"> </w:t>
      </w:r>
      <w:r w:rsidRPr="00A61C79">
        <w:rPr>
          <w:i/>
          <w:iCs/>
        </w:rPr>
        <w:t>of</w:t>
      </w:r>
      <w:r w:rsidR="008243CA">
        <w:rPr>
          <w:i/>
          <w:iCs/>
        </w:rPr>
        <w:t xml:space="preserve"> </w:t>
      </w:r>
      <w:r w:rsidRPr="00A61C79">
        <w:rPr>
          <w:i/>
          <w:iCs/>
        </w:rPr>
        <w:t>torture</w:t>
      </w:r>
      <w:r w:rsidR="008243CA">
        <w:rPr>
          <w:i/>
          <w:iCs/>
        </w:rPr>
        <w:t xml:space="preserve"> </w:t>
      </w:r>
      <w:r w:rsidRPr="00A61C79">
        <w:rPr>
          <w:i/>
          <w:iCs/>
        </w:rPr>
        <w:t>fully</w:t>
      </w:r>
      <w:r w:rsidR="008243CA">
        <w:rPr>
          <w:i/>
          <w:iCs/>
        </w:rPr>
        <w:t xml:space="preserve"> </w:t>
      </w:r>
      <w:r w:rsidRPr="00A61C79">
        <w:rPr>
          <w:i/>
          <w:iCs/>
        </w:rPr>
        <w:t>into</w:t>
      </w:r>
      <w:r w:rsidR="008243CA">
        <w:rPr>
          <w:i/>
          <w:iCs/>
        </w:rPr>
        <w:t xml:space="preserve"> </w:t>
      </w:r>
      <w:r w:rsidRPr="00A61C79">
        <w:rPr>
          <w:i/>
          <w:iCs/>
        </w:rPr>
        <w:t>line</w:t>
      </w:r>
      <w:r w:rsidR="008243CA">
        <w:rPr>
          <w:i/>
          <w:iCs/>
        </w:rPr>
        <w:t xml:space="preserve"> </w:t>
      </w:r>
      <w:r w:rsidRPr="00A61C79">
        <w:rPr>
          <w:i/>
          <w:iCs/>
        </w:rPr>
        <w:t>with</w:t>
      </w:r>
      <w:r w:rsidR="008243CA">
        <w:rPr>
          <w:i/>
          <w:iCs/>
        </w:rPr>
        <w:t xml:space="preserve"> </w:t>
      </w:r>
      <w:r w:rsidRPr="00A61C79">
        <w:rPr>
          <w:i/>
          <w:iCs/>
        </w:rPr>
        <w:t>international</w:t>
      </w:r>
      <w:r w:rsidR="008243CA">
        <w:rPr>
          <w:i/>
          <w:iCs/>
        </w:rPr>
        <w:t xml:space="preserve"> </w:t>
      </w:r>
      <w:r w:rsidRPr="00A61C79">
        <w:rPr>
          <w:i/>
          <w:iCs/>
        </w:rPr>
        <w:t>law</w:t>
      </w:r>
      <w:r w:rsidR="008243CA">
        <w:rPr>
          <w:i/>
          <w:iCs/>
        </w:rPr>
        <w:t xml:space="preserve"> </w:t>
      </w:r>
      <w:r w:rsidRPr="00A61C79">
        <w:rPr>
          <w:i/>
          <w:iCs/>
        </w:rPr>
        <w:t>and,</w:t>
      </w:r>
      <w:r w:rsidR="008243CA">
        <w:rPr>
          <w:i/>
          <w:iCs/>
        </w:rPr>
        <w:t xml:space="preserve"> </w:t>
      </w:r>
      <w:r w:rsidRPr="00A61C79">
        <w:rPr>
          <w:i/>
          <w:iCs/>
        </w:rPr>
        <w:t>in</w:t>
      </w:r>
      <w:r w:rsidR="008243CA">
        <w:rPr>
          <w:i/>
          <w:iCs/>
        </w:rPr>
        <w:t xml:space="preserve"> </w:t>
      </w:r>
      <w:r w:rsidRPr="00A61C79">
        <w:rPr>
          <w:i/>
          <w:iCs/>
        </w:rPr>
        <w:t>particular,</w:t>
      </w:r>
      <w:r w:rsidR="008243CA">
        <w:rPr>
          <w:i/>
          <w:iCs/>
        </w:rPr>
        <w:t xml:space="preserve"> </w:t>
      </w:r>
      <w:r w:rsidRPr="00A61C79">
        <w:rPr>
          <w:i/>
          <w:iCs/>
        </w:rPr>
        <w:t>with</w:t>
      </w:r>
      <w:r w:rsidR="008243CA">
        <w:rPr>
          <w:i/>
          <w:iCs/>
        </w:rPr>
        <w:t xml:space="preserve"> </w:t>
      </w:r>
      <w:r w:rsidRPr="00A61C79">
        <w:rPr>
          <w:i/>
          <w:iCs/>
        </w:rPr>
        <w:t>article</w:t>
      </w:r>
      <w:r w:rsidR="008243CA">
        <w:rPr>
          <w:i/>
          <w:iCs/>
        </w:rPr>
        <w:t xml:space="preserve"> </w:t>
      </w:r>
      <w:r w:rsidRPr="00A61C79">
        <w:rPr>
          <w:i/>
          <w:iCs/>
        </w:rPr>
        <w:t>1</w:t>
      </w:r>
      <w:r w:rsidR="008243CA">
        <w:rPr>
          <w:i/>
          <w:iCs/>
        </w:rPr>
        <w:t xml:space="preserve"> </w:t>
      </w:r>
      <w:r w:rsidRPr="00A61C79">
        <w:rPr>
          <w:i/>
          <w:iCs/>
        </w:rPr>
        <w:t>of</w:t>
      </w:r>
      <w:r w:rsidR="008243CA">
        <w:rPr>
          <w:i/>
          <w:iCs/>
        </w:rPr>
        <w:t xml:space="preserve"> </w:t>
      </w:r>
      <w:r w:rsidRPr="00A61C79">
        <w:rPr>
          <w:i/>
          <w:iCs/>
        </w:rPr>
        <w:t>the</w:t>
      </w:r>
      <w:r w:rsidR="008243CA">
        <w:rPr>
          <w:i/>
          <w:iCs/>
        </w:rPr>
        <w:t xml:space="preserve"> </w:t>
      </w:r>
      <w:r w:rsidRPr="00A61C79">
        <w:rPr>
          <w:i/>
          <w:iCs/>
        </w:rPr>
        <w:t>Convention</w:t>
      </w:r>
      <w:r w:rsidR="008243CA">
        <w:rPr>
          <w:i/>
          <w:iCs/>
        </w:rPr>
        <w:t xml:space="preserve"> </w:t>
      </w:r>
      <w:r w:rsidRPr="00A61C79">
        <w:rPr>
          <w:i/>
          <w:iCs/>
        </w:rPr>
        <w:t>against</w:t>
      </w:r>
      <w:r w:rsidR="008243CA">
        <w:rPr>
          <w:i/>
          <w:iCs/>
        </w:rPr>
        <w:t xml:space="preserve"> </w:t>
      </w:r>
      <w:r w:rsidRPr="00A61C79">
        <w:rPr>
          <w:i/>
          <w:iCs/>
        </w:rPr>
        <w:t>Torture.</w:t>
      </w:r>
      <w:r w:rsidR="008243CA">
        <w:rPr>
          <w:i/>
          <w:iCs/>
        </w:rPr>
        <w:t xml:space="preserve"> </w:t>
      </w:r>
      <w:r w:rsidRPr="00A61C79">
        <w:rPr>
          <w:i/>
          <w:iCs/>
        </w:rPr>
        <w:t>The</w:t>
      </w:r>
      <w:r w:rsidR="008243CA">
        <w:rPr>
          <w:i/>
          <w:iCs/>
        </w:rPr>
        <w:t xml:space="preserve"> </w:t>
      </w:r>
      <w:r w:rsidRPr="00A61C79">
        <w:rPr>
          <w:i/>
          <w:iCs/>
        </w:rPr>
        <w:t>Subcommittee</w:t>
      </w:r>
      <w:r w:rsidR="008243CA">
        <w:rPr>
          <w:i/>
          <w:iCs/>
        </w:rPr>
        <w:t xml:space="preserve"> </w:t>
      </w:r>
      <w:r w:rsidRPr="00A61C79">
        <w:rPr>
          <w:i/>
          <w:iCs/>
        </w:rPr>
        <w:t>calls</w:t>
      </w:r>
      <w:r w:rsidR="008243CA">
        <w:rPr>
          <w:i/>
          <w:iCs/>
        </w:rPr>
        <w:t xml:space="preserve"> </w:t>
      </w:r>
      <w:r w:rsidRPr="00A61C79">
        <w:rPr>
          <w:i/>
          <w:iCs/>
        </w:rPr>
        <w:t>on</w:t>
      </w:r>
      <w:r w:rsidR="008243CA">
        <w:rPr>
          <w:i/>
          <w:iCs/>
        </w:rPr>
        <w:t xml:space="preserve"> </w:t>
      </w:r>
      <w:r w:rsidRPr="00A61C79">
        <w:rPr>
          <w:i/>
          <w:iCs/>
        </w:rPr>
        <w:t>the</w:t>
      </w:r>
      <w:r w:rsidR="008243CA">
        <w:rPr>
          <w:i/>
          <w:iCs/>
        </w:rPr>
        <w:t xml:space="preserve"> </w:t>
      </w:r>
      <w:r w:rsidRPr="00A61C79">
        <w:rPr>
          <w:i/>
          <w:iCs/>
        </w:rPr>
        <w:t>State</w:t>
      </w:r>
      <w:r w:rsidR="008243CA">
        <w:rPr>
          <w:i/>
          <w:iCs/>
        </w:rPr>
        <w:t xml:space="preserve"> </w:t>
      </w:r>
      <w:r w:rsidRPr="00A61C79">
        <w:rPr>
          <w:i/>
          <w:iCs/>
        </w:rPr>
        <w:t>party</w:t>
      </w:r>
      <w:r w:rsidR="008243CA">
        <w:rPr>
          <w:i/>
          <w:iCs/>
        </w:rPr>
        <w:t xml:space="preserve"> </w:t>
      </w:r>
      <w:r w:rsidRPr="00A61C79">
        <w:rPr>
          <w:i/>
          <w:iCs/>
        </w:rPr>
        <w:t>to</w:t>
      </w:r>
      <w:r w:rsidR="008243CA">
        <w:rPr>
          <w:i/>
          <w:iCs/>
        </w:rPr>
        <w:t xml:space="preserve"> </w:t>
      </w:r>
      <w:r w:rsidRPr="00A61C79">
        <w:rPr>
          <w:i/>
          <w:iCs/>
        </w:rPr>
        <w:t>harmonize</w:t>
      </w:r>
      <w:r w:rsidR="008243CA">
        <w:rPr>
          <w:i/>
          <w:iCs/>
        </w:rPr>
        <w:t xml:space="preserve"> </w:t>
      </w:r>
      <w:r w:rsidRPr="00A61C79">
        <w:rPr>
          <w:i/>
          <w:iCs/>
        </w:rPr>
        <w:t>its</w:t>
      </w:r>
      <w:r w:rsidR="008243CA">
        <w:rPr>
          <w:i/>
          <w:iCs/>
        </w:rPr>
        <w:t xml:space="preserve"> </w:t>
      </w:r>
      <w:r w:rsidRPr="00A61C79">
        <w:rPr>
          <w:i/>
          <w:iCs/>
        </w:rPr>
        <w:t>legislation</w:t>
      </w:r>
      <w:r w:rsidR="008243CA">
        <w:rPr>
          <w:i/>
          <w:iCs/>
        </w:rPr>
        <w:t xml:space="preserve"> </w:t>
      </w:r>
      <w:r w:rsidRPr="00A61C79">
        <w:rPr>
          <w:i/>
          <w:iCs/>
        </w:rPr>
        <w:t>and,</w:t>
      </w:r>
      <w:r w:rsidR="008243CA">
        <w:rPr>
          <w:i/>
          <w:iCs/>
        </w:rPr>
        <w:t xml:space="preserve"> </w:t>
      </w:r>
      <w:r w:rsidRPr="00A61C79">
        <w:rPr>
          <w:i/>
          <w:iCs/>
        </w:rPr>
        <w:t>in</w:t>
      </w:r>
      <w:r w:rsidR="008243CA">
        <w:rPr>
          <w:i/>
          <w:iCs/>
        </w:rPr>
        <w:t xml:space="preserve"> </w:t>
      </w:r>
      <w:r w:rsidRPr="00A61C79">
        <w:rPr>
          <w:i/>
          <w:iCs/>
        </w:rPr>
        <w:t>particular,</w:t>
      </w:r>
      <w:r w:rsidR="008243CA">
        <w:rPr>
          <w:i/>
          <w:iCs/>
        </w:rPr>
        <w:t xml:space="preserve"> </w:t>
      </w:r>
      <w:r w:rsidRPr="00A61C79">
        <w:rPr>
          <w:i/>
          <w:iCs/>
        </w:rPr>
        <w:t>to</w:t>
      </w:r>
      <w:r w:rsidR="008243CA">
        <w:rPr>
          <w:i/>
          <w:iCs/>
        </w:rPr>
        <w:t xml:space="preserve"> </w:t>
      </w:r>
      <w:r w:rsidRPr="00A61C79">
        <w:rPr>
          <w:i/>
          <w:iCs/>
        </w:rPr>
        <w:t>repeal</w:t>
      </w:r>
      <w:r w:rsidR="008243CA">
        <w:rPr>
          <w:i/>
          <w:iCs/>
        </w:rPr>
        <w:t xml:space="preserve"> </w:t>
      </w:r>
      <w:r w:rsidRPr="00A61C79">
        <w:rPr>
          <w:i/>
          <w:iCs/>
        </w:rPr>
        <w:t>articles</w:t>
      </w:r>
      <w:r w:rsidR="008243CA">
        <w:rPr>
          <w:i/>
          <w:iCs/>
        </w:rPr>
        <w:t xml:space="preserve"> </w:t>
      </w:r>
      <w:r w:rsidRPr="00A61C79">
        <w:rPr>
          <w:i/>
          <w:iCs/>
        </w:rPr>
        <w:t>150A</w:t>
      </w:r>
      <w:r w:rsidR="008243CA">
        <w:rPr>
          <w:i/>
          <w:iCs/>
        </w:rPr>
        <w:t xml:space="preserve"> </w:t>
      </w:r>
      <w:r w:rsidRPr="00A61C79">
        <w:rPr>
          <w:i/>
          <w:iCs/>
        </w:rPr>
        <w:t>and</w:t>
      </w:r>
      <w:r w:rsidR="008243CA">
        <w:rPr>
          <w:i/>
          <w:iCs/>
        </w:rPr>
        <w:t xml:space="preserve"> </w:t>
      </w:r>
      <w:r w:rsidRPr="00A61C79">
        <w:rPr>
          <w:i/>
          <w:iCs/>
        </w:rPr>
        <w:t>150B</w:t>
      </w:r>
      <w:r w:rsidR="008243CA">
        <w:rPr>
          <w:i/>
          <w:iCs/>
        </w:rPr>
        <w:t xml:space="preserve"> </w:t>
      </w:r>
      <w:r w:rsidRPr="00A61C79">
        <w:rPr>
          <w:i/>
          <w:iCs/>
        </w:rPr>
        <w:t>of</w:t>
      </w:r>
      <w:r w:rsidR="008243CA">
        <w:rPr>
          <w:i/>
          <w:iCs/>
        </w:rPr>
        <w:t xml:space="preserve"> </w:t>
      </w:r>
      <w:r w:rsidRPr="00A61C79">
        <w:rPr>
          <w:i/>
          <w:iCs/>
        </w:rPr>
        <w:t>the</w:t>
      </w:r>
      <w:r w:rsidR="008243CA">
        <w:rPr>
          <w:i/>
          <w:iCs/>
        </w:rPr>
        <w:t xml:space="preserve"> </w:t>
      </w:r>
      <w:r w:rsidRPr="00A61C79">
        <w:rPr>
          <w:i/>
          <w:iCs/>
        </w:rPr>
        <w:t>Criminal</w:t>
      </w:r>
      <w:r w:rsidR="008243CA">
        <w:rPr>
          <w:i/>
          <w:iCs/>
        </w:rPr>
        <w:t xml:space="preserve"> </w:t>
      </w:r>
      <w:r w:rsidRPr="00A61C79">
        <w:rPr>
          <w:i/>
          <w:iCs/>
        </w:rPr>
        <w:t>Code,</w:t>
      </w:r>
      <w:r w:rsidR="008243CA">
        <w:rPr>
          <w:i/>
          <w:iCs/>
        </w:rPr>
        <w:t xml:space="preserve"> </w:t>
      </w:r>
      <w:r w:rsidRPr="00A61C79">
        <w:rPr>
          <w:i/>
          <w:iCs/>
        </w:rPr>
        <w:t>as</w:t>
      </w:r>
      <w:r w:rsidR="008243CA">
        <w:rPr>
          <w:i/>
          <w:iCs/>
        </w:rPr>
        <w:t xml:space="preserve"> </w:t>
      </w:r>
      <w:r w:rsidRPr="00A61C79">
        <w:rPr>
          <w:i/>
          <w:iCs/>
        </w:rPr>
        <w:t>well</w:t>
      </w:r>
      <w:r w:rsidR="008243CA">
        <w:rPr>
          <w:i/>
          <w:iCs/>
        </w:rPr>
        <w:t xml:space="preserve"> </w:t>
      </w:r>
      <w:r w:rsidRPr="00A61C79">
        <w:rPr>
          <w:i/>
          <w:iCs/>
        </w:rPr>
        <w:t>as</w:t>
      </w:r>
      <w:r w:rsidR="008243CA">
        <w:rPr>
          <w:i/>
          <w:iCs/>
        </w:rPr>
        <w:t xml:space="preserve"> </w:t>
      </w:r>
      <w:r w:rsidRPr="00A61C79">
        <w:rPr>
          <w:i/>
          <w:iCs/>
        </w:rPr>
        <w:t>article</w:t>
      </w:r>
      <w:r w:rsidR="008243CA">
        <w:rPr>
          <w:i/>
          <w:iCs/>
        </w:rPr>
        <w:t xml:space="preserve"> </w:t>
      </w:r>
      <w:r w:rsidRPr="00A61C79">
        <w:rPr>
          <w:i/>
          <w:iCs/>
        </w:rPr>
        <w:t>19</w:t>
      </w:r>
      <w:r w:rsidR="008243CA">
        <w:rPr>
          <w:i/>
          <w:iCs/>
        </w:rPr>
        <w:t xml:space="preserve"> </w:t>
      </w:r>
      <w:r w:rsidRPr="00A61C79">
        <w:rPr>
          <w:i/>
          <w:iCs/>
        </w:rPr>
        <w:t>of</w:t>
      </w:r>
      <w:r w:rsidR="008243CA">
        <w:rPr>
          <w:i/>
          <w:iCs/>
        </w:rPr>
        <w:t xml:space="preserve"> </w:t>
      </w:r>
      <w:r w:rsidRPr="00A61C79">
        <w:rPr>
          <w:i/>
          <w:iCs/>
        </w:rPr>
        <w:t>Decree-Law</w:t>
      </w:r>
      <w:r w:rsidR="008243CA">
        <w:rPr>
          <w:i/>
          <w:iCs/>
        </w:rPr>
        <w:t xml:space="preserve"> </w:t>
      </w:r>
      <w:r w:rsidRPr="00A61C79">
        <w:rPr>
          <w:i/>
          <w:iCs/>
        </w:rPr>
        <w:t>No.</w:t>
      </w:r>
      <w:r w:rsidR="008243CA">
        <w:rPr>
          <w:i/>
          <w:iCs/>
        </w:rPr>
        <w:t xml:space="preserve"> </w:t>
      </w:r>
      <w:r w:rsidRPr="00A61C79">
        <w:rPr>
          <w:i/>
          <w:iCs/>
        </w:rPr>
        <w:t>2460.</w:t>
      </w:r>
      <w:r w:rsidR="008243CA">
        <w:rPr>
          <w:i/>
          <w:iCs/>
        </w:rPr>
        <w:t xml:space="preserve"> </w:t>
      </w:r>
      <w:r w:rsidRPr="00A61C79">
        <w:rPr>
          <w:i/>
          <w:iCs/>
        </w:rPr>
        <w:t>Lastly,</w:t>
      </w:r>
      <w:r w:rsidR="008243CA">
        <w:rPr>
          <w:i/>
          <w:iCs/>
        </w:rPr>
        <w:t xml:space="preserve"> </w:t>
      </w:r>
      <w:r w:rsidRPr="00A61C79">
        <w:rPr>
          <w:i/>
          <w:iCs/>
        </w:rPr>
        <w:t>the</w:t>
      </w:r>
      <w:r w:rsidR="008243CA">
        <w:rPr>
          <w:i/>
          <w:iCs/>
        </w:rPr>
        <w:t xml:space="preserve"> </w:t>
      </w:r>
      <w:r w:rsidRPr="00A61C79">
        <w:rPr>
          <w:i/>
          <w:iCs/>
        </w:rPr>
        <w:t>Subcommittee</w:t>
      </w:r>
      <w:r w:rsidR="008243CA">
        <w:rPr>
          <w:i/>
          <w:iCs/>
        </w:rPr>
        <w:t xml:space="preserve"> </w:t>
      </w:r>
      <w:r w:rsidRPr="00A61C79">
        <w:rPr>
          <w:i/>
          <w:iCs/>
        </w:rPr>
        <w:t>recommends</w:t>
      </w:r>
      <w:r w:rsidR="008243CA">
        <w:rPr>
          <w:i/>
          <w:iCs/>
        </w:rPr>
        <w:t xml:space="preserve"> </w:t>
      </w:r>
      <w:r w:rsidRPr="00A61C79">
        <w:rPr>
          <w:i/>
          <w:iCs/>
        </w:rPr>
        <w:t>that</w:t>
      </w:r>
      <w:r w:rsidR="008243CA">
        <w:rPr>
          <w:i/>
          <w:iCs/>
        </w:rPr>
        <w:t xml:space="preserve"> </w:t>
      </w:r>
      <w:r w:rsidRPr="00A61C79">
        <w:rPr>
          <w:i/>
          <w:iCs/>
        </w:rPr>
        <w:t>penalties</w:t>
      </w:r>
      <w:r w:rsidR="008243CA">
        <w:rPr>
          <w:i/>
          <w:iCs/>
        </w:rPr>
        <w:t xml:space="preserve"> </w:t>
      </w:r>
      <w:r w:rsidRPr="00A61C79">
        <w:rPr>
          <w:i/>
          <w:iCs/>
        </w:rPr>
        <w:t>for</w:t>
      </w:r>
      <w:r w:rsidR="008243CA">
        <w:rPr>
          <w:i/>
          <w:iCs/>
        </w:rPr>
        <w:t xml:space="preserve"> </w:t>
      </w:r>
      <w:r w:rsidRPr="00A61C79">
        <w:rPr>
          <w:i/>
          <w:iCs/>
        </w:rPr>
        <w:t>other</w:t>
      </w:r>
      <w:r w:rsidR="008243CA">
        <w:rPr>
          <w:i/>
          <w:iCs/>
        </w:rPr>
        <w:t xml:space="preserve"> </w:t>
      </w:r>
      <w:r w:rsidRPr="00A61C79">
        <w:rPr>
          <w:i/>
          <w:iCs/>
        </w:rPr>
        <w:t>cruel,</w:t>
      </w:r>
      <w:r w:rsidR="008243CA">
        <w:rPr>
          <w:i/>
          <w:iCs/>
        </w:rPr>
        <w:t xml:space="preserve"> </w:t>
      </w:r>
      <w:r w:rsidRPr="00A61C79">
        <w:rPr>
          <w:i/>
          <w:iCs/>
        </w:rPr>
        <w:t>inhuman</w:t>
      </w:r>
      <w:r w:rsidR="008243CA">
        <w:rPr>
          <w:i/>
          <w:iCs/>
        </w:rPr>
        <w:t xml:space="preserve"> </w:t>
      </w:r>
      <w:r w:rsidRPr="00A61C79">
        <w:rPr>
          <w:i/>
          <w:iCs/>
        </w:rPr>
        <w:t>or</w:t>
      </w:r>
      <w:r w:rsidR="008243CA">
        <w:rPr>
          <w:i/>
          <w:iCs/>
        </w:rPr>
        <w:t xml:space="preserve"> </w:t>
      </w:r>
      <w:r w:rsidRPr="00A61C79">
        <w:rPr>
          <w:i/>
          <w:iCs/>
        </w:rPr>
        <w:t>degrading</w:t>
      </w:r>
      <w:r w:rsidR="008243CA">
        <w:rPr>
          <w:i/>
          <w:iCs/>
        </w:rPr>
        <w:t xml:space="preserve"> </w:t>
      </w:r>
      <w:r w:rsidRPr="00A61C79">
        <w:rPr>
          <w:i/>
          <w:iCs/>
        </w:rPr>
        <w:t>treatment</w:t>
      </w:r>
      <w:r w:rsidR="008243CA">
        <w:rPr>
          <w:i/>
          <w:iCs/>
        </w:rPr>
        <w:t xml:space="preserve"> </w:t>
      </w:r>
      <w:r w:rsidRPr="00A61C79">
        <w:rPr>
          <w:i/>
          <w:iCs/>
        </w:rPr>
        <w:t>not</w:t>
      </w:r>
      <w:r w:rsidR="008243CA">
        <w:rPr>
          <w:i/>
          <w:iCs/>
        </w:rPr>
        <w:t xml:space="preserve"> </w:t>
      </w:r>
      <w:r w:rsidRPr="00A61C79">
        <w:rPr>
          <w:i/>
          <w:iCs/>
        </w:rPr>
        <w:t>constituting</w:t>
      </w:r>
      <w:r w:rsidR="008243CA">
        <w:rPr>
          <w:i/>
          <w:iCs/>
        </w:rPr>
        <w:t xml:space="preserve"> </w:t>
      </w:r>
      <w:r w:rsidRPr="00A61C79">
        <w:rPr>
          <w:i/>
          <w:iCs/>
        </w:rPr>
        <w:t>torture</w:t>
      </w:r>
      <w:r w:rsidR="008243CA">
        <w:rPr>
          <w:i/>
          <w:iCs/>
        </w:rPr>
        <w:t xml:space="preserve"> </w:t>
      </w:r>
      <w:r w:rsidRPr="00A61C79">
        <w:rPr>
          <w:i/>
          <w:iCs/>
        </w:rPr>
        <w:t>should</w:t>
      </w:r>
      <w:r w:rsidR="008243CA">
        <w:rPr>
          <w:i/>
          <w:iCs/>
        </w:rPr>
        <w:t xml:space="preserve"> </w:t>
      </w:r>
      <w:r w:rsidRPr="00A61C79">
        <w:rPr>
          <w:i/>
          <w:iCs/>
        </w:rPr>
        <w:t>be</w:t>
      </w:r>
      <w:r w:rsidR="008243CA">
        <w:rPr>
          <w:i/>
          <w:iCs/>
        </w:rPr>
        <w:t xml:space="preserve"> </w:t>
      </w:r>
      <w:r w:rsidRPr="00A61C79">
        <w:rPr>
          <w:i/>
          <w:iCs/>
        </w:rPr>
        <w:t>incorporated</w:t>
      </w:r>
      <w:r w:rsidR="008243CA">
        <w:rPr>
          <w:i/>
          <w:iCs/>
        </w:rPr>
        <w:t xml:space="preserve"> </w:t>
      </w:r>
      <w:r w:rsidRPr="00A61C79">
        <w:rPr>
          <w:i/>
          <w:iCs/>
        </w:rPr>
        <w:t>into</w:t>
      </w:r>
      <w:r w:rsidR="008243CA">
        <w:rPr>
          <w:i/>
          <w:iCs/>
        </w:rPr>
        <w:t xml:space="preserve"> </w:t>
      </w:r>
      <w:r w:rsidRPr="00A61C79">
        <w:rPr>
          <w:i/>
          <w:iCs/>
        </w:rPr>
        <w:t>the</w:t>
      </w:r>
      <w:r w:rsidR="008243CA">
        <w:rPr>
          <w:i/>
          <w:iCs/>
        </w:rPr>
        <w:t xml:space="preserve"> </w:t>
      </w:r>
      <w:r w:rsidRPr="00A61C79">
        <w:rPr>
          <w:i/>
          <w:iCs/>
        </w:rPr>
        <w:t>law.</w:t>
      </w:r>
    </w:p>
    <w:p w:rsidR="003F7D03" w:rsidRPr="00E62FE6" w:rsidRDefault="003F7D03" w:rsidP="000C6D98">
      <w:pPr>
        <w:pStyle w:val="SingleTxtG"/>
      </w:pPr>
      <w:r w:rsidRPr="00E62FE6">
        <w:t>22.</w:t>
      </w:r>
      <w:r w:rsidRPr="00E62FE6">
        <w:tab/>
        <w:t>With</w:t>
      </w:r>
      <w:r w:rsidR="008243CA">
        <w:t xml:space="preserve"> </w:t>
      </w:r>
      <w:r w:rsidRPr="00E62FE6">
        <w:t>the</w:t>
      </w:r>
      <w:r w:rsidR="008243CA">
        <w:t xml:space="preserve"> </w:t>
      </w:r>
      <w:r w:rsidRPr="00E62FE6">
        <w:t>promulgation,</w:t>
      </w:r>
      <w:r w:rsidR="008243CA">
        <w:t xml:space="preserve"> </w:t>
      </w:r>
      <w:r w:rsidRPr="00E62FE6">
        <w:t>on</w:t>
      </w:r>
      <w:r w:rsidR="008243CA">
        <w:t xml:space="preserve"> </w:t>
      </w:r>
      <w:r w:rsidRPr="00E62FE6">
        <w:t>22</w:t>
      </w:r>
      <w:r w:rsidR="008243CA">
        <w:t xml:space="preserve"> </w:t>
      </w:r>
      <w:r w:rsidRPr="00E62FE6">
        <w:t>November</w:t>
      </w:r>
      <w:r w:rsidR="008243CA">
        <w:t xml:space="preserve"> </w:t>
      </w:r>
      <w:r w:rsidRPr="00E62FE6">
        <w:t>2016,</w:t>
      </w:r>
      <w:r w:rsidR="008243CA">
        <w:t xml:space="preserve"> </w:t>
      </w:r>
      <w:r w:rsidRPr="00E62FE6">
        <w:t>of</w:t>
      </w:r>
      <w:r w:rsidR="008243CA">
        <w:t xml:space="preserve"> </w:t>
      </w:r>
      <w:r w:rsidRPr="00E62FE6">
        <w:t>Act</w:t>
      </w:r>
      <w:r w:rsidR="008243CA">
        <w:t xml:space="preserve"> </w:t>
      </w:r>
      <w:r w:rsidRPr="00E62FE6">
        <w:t>No.</w:t>
      </w:r>
      <w:r w:rsidR="008243CA">
        <w:t xml:space="preserve"> </w:t>
      </w:r>
      <w:r w:rsidRPr="00E62FE6">
        <w:t>20968,</w:t>
      </w:r>
      <w:r w:rsidR="008243CA">
        <w:t xml:space="preserve"> </w:t>
      </w:r>
      <w:r w:rsidRPr="00E62FE6">
        <w:t>which</w:t>
      </w:r>
      <w:r w:rsidR="008243CA">
        <w:t xml:space="preserve"> </w:t>
      </w:r>
      <w:r w:rsidRPr="00E62FE6">
        <w:t>defines</w:t>
      </w:r>
      <w:r w:rsidR="008243CA">
        <w:t xml:space="preserve"> </w:t>
      </w:r>
      <w:r w:rsidRPr="00E62FE6">
        <w:t>the</w:t>
      </w:r>
      <w:r w:rsidR="008243CA">
        <w:t xml:space="preserve"> </w:t>
      </w:r>
      <w:r w:rsidRPr="00E62FE6">
        <w:t>offence</w:t>
      </w:r>
      <w:r w:rsidR="008243CA">
        <w:t xml:space="preserve"> </w:t>
      </w:r>
      <w:r w:rsidRPr="00E62FE6">
        <w:t>of</w:t>
      </w:r>
      <w:r w:rsidR="008243CA">
        <w:t xml:space="preserve"> </w:t>
      </w:r>
      <w:r w:rsidRPr="00E62FE6">
        <w:t>torture</w:t>
      </w:r>
      <w:r w:rsidR="008243CA">
        <w:t xml:space="preserve"> </w:t>
      </w:r>
      <w:r w:rsidRPr="00E62FE6">
        <w:t>and</w:t>
      </w:r>
      <w:r w:rsidR="008243CA">
        <w:t xml:space="preserve"> </w:t>
      </w:r>
      <w:r w:rsidRPr="00E62FE6">
        <w:t>cruel,</w:t>
      </w:r>
      <w:r w:rsidR="008243CA">
        <w:t xml:space="preserve"> </w:t>
      </w:r>
      <w:r w:rsidRPr="00E62FE6">
        <w:t>inhuman</w:t>
      </w:r>
      <w:r w:rsidR="008243CA">
        <w:t xml:space="preserve"> </w:t>
      </w:r>
      <w:r w:rsidRPr="00E62FE6">
        <w:t>or</w:t>
      </w:r>
      <w:r w:rsidR="008243CA">
        <w:t xml:space="preserve"> </w:t>
      </w:r>
      <w:r w:rsidRPr="00E62FE6">
        <w:t>degrading</w:t>
      </w:r>
      <w:r w:rsidR="008243CA">
        <w:t xml:space="preserve"> </w:t>
      </w:r>
      <w:r w:rsidRPr="00E62FE6">
        <w:t>treatment,</w:t>
      </w:r>
      <w:r w:rsidR="008243CA">
        <w:t xml:space="preserve"> </w:t>
      </w:r>
      <w:r w:rsidRPr="00E62FE6">
        <w:t>Chile</w:t>
      </w:r>
      <w:r w:rsidR="008243CA">
        <w:t xml:space="preserve"> </w:t>
      </w:r>
      <w:r w:rsidRPr="00E62FE6">
        <w:t>brought</w:t>
      </w:r>
      <w:r w:rsidR="008243CA">
        <w:t xml:space="preserve"> </w:t>
      </w:r>
      <w:r w:rsidRPr="00E62FE6">
        <w:t>its</w:t>
      </w:r>
      <w:r w:rsidR="008243CA">
        <w:t xml:space="preserve"> </w:t>
      </w:r>
      <w:r w:rsidRPr="00E62FE6">
        <w:t>domestic</w:t>
      </w:r>
      <w:r w:rsidR="008243CA">
        <w:t xml:space="preserve"> </w:t>
      </w:r>
      <w:r w:rsidRPr="00E62FE6">
        <w:t>legislation</w:t>
      </w:r>
      <w:r w:rsidR="008243CA">
        <w:t xml:space="preserve"> </w:t>
      </w:r>
      <w:r w:rsidRPr="00E62FE6">
        <w:t>into</w:t>
      </w:r>
      <w:r w:rsidR="008243CA">
        <w:t xml:space="preserve"> </w:t>
      </w:r>
      <w:r w:rsidRPr="00E62FE6">
        <w:t>line</w:t>
      </w:r>
      <w:r w:rsidR="008243CA">
        <w:t xml:space="preserve"> </w:t>
      </w:r>
      <w:r w:rsidRPr="00E62FE6">
        <w:t>with</w:t>
      </w:r>
      <w:r w:rsidR="008243CA">
        <w:t xml:space="preserve"> </w:t>
      </w:r>
      <w:r w:rsidRPr="00E62FE6">
        <w:t>the</w:t>
      </w:r>
      <w:r w:rsidR="008243CA">
        <w:t xml:space="preserve"> </w:t>
      </w:r>
      <w:r w:rsidRPr="00E62FE6">
        <w:t>relevant</w:t>
      </w:r>
      <w:r w:rsidR="008243CA">
        <w:t xml:space="preserve"> </w:t>
      </w:r>
      <w:r w:rsidRPr="00E62FE6">
        <w:t>international</w:t>
      </w:r>
      <w:r w:rsidR="008243CA">
        <w:t xml:space="preserve"> </w:t>
      </w:r>
      <w:r w:rsidRPr="00E62FE6">
        <w:t>standards.</w:t>
      </w:r>
      <w:r w:rsidR="008243CA">
        <w:t xml:space="preserve"> </w:t>
      </w:r>
      <w:r w:rsidRPr="00E62FE6">
        <w:t>In</w:t>
      </w:r>
      <w:r w:rsidR="008243CA">
        <w:t xml:space="preserve"> </w:t>
      </w:r>
      <w:r w:rsidRPr="00E62FE6">
        <w:t>so</w:t>
      </w:r>
      <w:r w:rsidR="008243CA">
        <w:t xml:space="preserve"> </w:t>
      </w:r>
      <w:r w:rsidRPr="00E62FE6">
        <w:t>doing,</w:t>
      </w:r>
      <w:r w:rsidR="008243CA">
        <w:t xml:space="preserve"> </w:t>
      </w:r>
      <w:r w:rsidRPr="00E62FE6">
        <w:t>it</w:t>
      </w:r>
      <w:r w:rsidR="008243CA">
        <w:t xml:space="preserve"> </w:t>
      </w:r>
      <w:r w:rsidRPr="00E62FE6">
        <w:t>fulfilled</w:t>
      </w:r>
      <w:r w:rsidR="008243CA">
        <w:t xml:space="preserve"> </w:t>
      </w:r>
      <w:r w:rsidRPr="00E62FE6">
        <w:t>not</w:t>
      </w:r>
      <w:r w:rsidR="008243CA">
        <w:t xml:space="preserve"> </w:t>
      </w:r>
      <w:r w:rsidRPr="00E62FE6">
        <w:t>only</w:t>
      </w:r>
      <w:r w:rsidR="008243CA">
        <w:t xml:space="preserve"> </w:t>
      </w:r>
      <w:r w:rsidRPr="00E62FE6">
        <w:t>the</w:t>
      </w:r>
      <w:r w:rsidR="008243CA">
        <w:t xml:space="preserve"> </w:t>
      </w:r>
      <w:r w:rsidRPr="00E62FE6">
        <w:t>Subcommittee</w:t>
      </w:r>
      <w:r w:rsidR="00116F0B">
        <w:t>’</w:t>
      </w:r>
      <w:r w:rsidRPr="00E62FE6">
        <w:t>s</w:t>
      </w:r>
      <w:r w:rsidR="008243CA">
        <w:t xml:space="preserve"> </w:t>
      </w:r>
      <w:r w:rsidRPr="00E62FE6">
        <w:t>recommendations</w:t>
      </w:r>
      <w:r w:rsidR="008243CA">
        <w:t xml:space="preserve"> </w:t>
      </w:r>
      <w:r w:rsidRPr="00E62FE6">
        <w:t>but</w:t>
      </w:r>
      <w:r w:rsidR="008243CA">
        <w:t xml:space="preserve"> </w:t>
      </w:r>
      <w:r w:rsidRPr="00E62FE6">
        <w:t>also</w:t>
      </w:r>
      <w:r w:rsidR="008243CA">
        <w:t xml:space="preserve"> </w:t>
      </w:r>
      <w:r w:rsidRPr="00E62FE6">
        <w:t>those</w:t>
      </w:r>
      <w:r w:rsidR="008243CA">
        <w:t xml:space="preserve"> </w:t>
      </w:r>
      <w:r w:rsidRPr="00E62FE6">
        <w:t>made</w:t>
      </w:r>
      <w:r w:rsidR="008243CA">
        <w:t xml:space="preserve"> </w:t>
      </w:r>
      <w:r w:rsidRPr="00E62FE6">
        <w:t>by</w:t>
      </w:r>
      <w:r w:rsidR="008243CA">
        <w:t xml:space="preserve"> </w:t>
      </w:r>
      <w:r w:rsidRPr="00E62FE6">
        <w:t>the</w:t>
      </w:r>
      <w:r w:rsidR="008243CA">
        <w:t xml:space="preserve"> </w:t>
      </w:r>
      <w:r w:rsidRPr="00E62FE6">
        <w:t>Committee</w:t>
      </w:r>
      <w:r w:rsidR="008243CA">
        <w:t xml:space="preserve"> </w:t>
      </w:r>
      <w:r w:rsidRPr="00E62FE6">
        <w:t>against</w:t>
      </w:r>
      <w:r w:rsidR="008243CA">
        <w:t xml:space="preserve"> </w:t>
      </w:r>
      <w:r w:rsidRPr="00E62FE6">
        <w:t>Torture</w:t>
      </w:r>
      <w:r w:rsidR="008243CA">
        <w:t xml:space="preserve"> </w:t>
      </w:r>
      <w:r w:rsidRPr="00E62FE6">
        <w:t>in</w:t>
      </w:r>
      <w:r w:rsidR="008243CA">
        <w:t xml:space="preserve"> </w:t>
      </w:r>
      <w:r w:rsidRPr="00E62FE6">
        <w:t>2009</w:t>
      </w:r>
      <w:r w:rsidR="008243CA">
        <w:t xml:space="preserve"> </w:t>
      </w:r>
      <w:r w:rsidRPr="00E62FE6">
        <w:t>and</w:t>
      </w:r>
      <w:r w:rsidR="008243CA">
        <w:t xml:space="preserve"> </w:t>
      </w:r>
      <w:r w:rsidRPr="00E62FE6">
        <w:t>in</w:t>
      </w:r>
      <w:r w:rsidR="008243CA">
        <w:t xml:space="preserve"> </w:t>
      </w:r>
      <w:r w:rsidRPr="00E62FE6">
        <w:t>the</w:t>
      </w:r>
      <w:r w:rsidR="008243CA">
        <w:t xml:space="preserve"> </w:t>
      </w:r>
      <w:r w:rsidRPr="00E62FE6">
        <w:t>second</w:t>
      </w:r>
      <w:r w:rsidR="008243CA">
        <w:t xml:space="preserve"> </w:t>
      </w:r>
      <w:r w:rsidRPr="00E62FE6">
        <w:t>universal</w:t>
      </w:r>
      <w:r w:rsidR="008243CA">
        <w:t xml:space="preserve"> </w:t>
      </w:r>
      <w:r w:rsidRPr="00E62FE6">
        <w:t>periodic</w:t>
      </w:r>
      <w:r w:rsidR="008243CA">
        <w:t xml:space="preserve"> </w:t>
      </w:r>
      <w:r w:rsidRPr="00E62FE6">
        <w:t>review</w:t>
      </w:r>
      <w:r w:rsidR="008243CA">
        <w:t xml:space="preserve"> </w:t>
      </w:r>
      <w:r w:rsidRPr="00E62FE6">
        <w:t>of</w:t>
      </w:r>
      <w:r w:rsidR="008243CA">
        <w:t xml:space="preserve"> </w:t>
      </w:r>
      <w:r w:rsidRPr="00E62FE6">
        <w:t>Chile</w:t>
      </w:r>
      <w:r w:rsidR="008243CA">
        <w:t xml:space="preserve"> </w:t>
      </w:r>
      <w:r w:rsidRPr="00E62FE6">
        <w:t>in</w:t>
      </w:r>
      <w:r w:rsidR="008243CA">
        <w:t xml:space="preserve"> </w:t>
      </w:r>
      <w:r w:rsidRPr="00E62FE6">
        <w:t>2014.</w:t>
      </w:r>
      <w:r w:rsidR="008243CA">
        <w:t xml:space="preserve"> </w:t>
      </w:r>
      <w:r w:rsidRPr="00E62FE6">
        <w:t>The</w:t>
      </w:r>
      <w:r w:rsidR="008243CA">
        <w:t xml:space="preserve"> </w:t>
      </w:r>
      <w:r w:rsidRPr="00E62FE6">
        <w:t>offence</w:t>
      </w:r>
      <w:r w:rsidR="008243CA">
        <w:t xml:space="preserve"> </w:t>
      </w:r>
      <w:r w:rsidRPr="00E62FE6">
        <w:t>of</w:t>
      </w:r>
      <w:r w:rsidR="008243CA">
        <w:t xml:space="preserve"> </w:t>
      </w:r>
      <w:r w:rsidRPr="00E62FE6">
        <w:t>torture,</w:t>
      </w:r>
      <w:r w:rsidR="008243CA">
        <w:t xml:space="preserve"> </w:t>
      </w:r>
      <w:r w:rsidRPr="00E62FE6">
        <w:t>as</w:t>
      </w:r>
      <w:r w:rsidR="008243CA">
        <w:t xml:space="preserve"> </w:t>
      </w:r>
      <w:r w:rsidRPr="00E62FE6">
        <w:t>defined</w:t>
      </w:r>
      <w:r w:rsidR="008243CA">
        <w:t xml:space="preserve"> </w:t>
      </w:r>
      <w:r w:rsidRPr="00E62FE6">
        <w:t>by</w:t>
      </w:r>
      <w:r w:rsidR="008243CA">
        <w:t xml:space="preserve"> </w:t>
      </w:r>
      <w:r w:rsidRPr="00E62FE6">
        <w:t>the</w:t>
      </w:r>
      <w:r w:rsidR="008243CA">
        <w:t xml:space="preserve"> </w:t>
      </w:r>
      <w:r w:rsidRPr="00E62FE6">
        <w:t>Act,</w:t>
      </w:r>
      <w:r w:rsidR="008243CA">
        <w:t xml:space="preserve"> </w:t>
      </w:r>
      <w:r w:rsidRPr="00E62FE6">
        <w:t>replaces</w:t>
      </w:r>
      <w:r w:rsidR="008243CA">
        <w:t xml:space="preserve"> </w:t>
      </w:r>
      <w:r w:rsidRPr="00E62FE6">
        <w:t>the</w:t>
      </w:r>
      <w:r w:rsidR="008243CA">
        <w:t xml:space="preserve"> </w:t>
      </w:r>
      <w:r w:rsidRPr="00E62FE6">
        <w:t>offence</w:t>
      </w:r>
      <w:r w:rsidR="008243CA">
        <w:t xml:space="preserve"> </w:t>
      </w:r>
      <w:r w:rsidRPr="00E62FE6">
        <w:t>of</w:t>
      </w:r>
      <w:r w:rsidR="008243CA">
        <w:t xml:space="preserve"> </w:t>
      </w:r>
      <w:r w:rsidRPr="00E62FE6">
        <w:t>unlawful</w:t>
      </w:r>
      <w:r w:rsidR="008243CA">
        <w:t xml:space="preserve"> </w:t>
      </w:r>
      <w:r w:rsidRPr="00E62FE6">
        <w:t>physical</w:t>
      </w:r>
      <w:r w:rsidR="008243CA">
        <w:t xml:space="preserve"> </w:t>
      </w:r>
      <w:r w:rsidRPr="00E62FE6">
        <w:t>or</w:t>
      </w:r>
      <w:r w:rsidR="008243CA">
        <w:t xml:space="preserve"> </w:t>
      </w:r>
      <w:r w:rsidRPr="00E62FE6">
        <w:t>mental</w:t>
      </w:r>
      <w:r w:rsidR="008243CA">
        <w:t xml:space="preserve"> </w:t>
      </w:r>
      <w:r w:rsidRPr="00E62FE6">
        <w:t>coercion,</w:t>
      </w:r>
      <w:r w:rsidR="008243CA">
        <w:t xml:space="preserve"> </w:t>
      </w:r>
      <w:r w:rsidRPr="00E62FE6">
        <w:t>and</w:t>
      </w:r>
      <w:r w:rsidR="008243CA">
        <w:t xml:space="preserve"> </w:t>
      </w:r>
      <w:r w:rsidRPr="00E62FE6">
        <w:t>the</w:t>
      </w:r>
      <w:r w:rsidR="008243CA">
        <w:t xml:space="preserve"> </w:t>
      </w:r>
      <w:r w:rsidRPr="00E62FE6">
        <w:t>penalty</w:t>
      </w:r>
      <w:r w:rsidR="008243CA">
        <w:t xml:space="preserve"> </w:t>
      </w:r>
      <w:r w:rsidRPr="00E62FE6">
        <w:t>provided</w:t>
      </w:r>
      <w:r w:rsidR="008243CA">
        <w:t xml:space="preserve"> </w:t>
      </w:r>
      <w:r w:rsidRPr="00E62FE6">
        <w:t>for</w:t>
      </w:r>
      <w:r w:rsidR="008243CA">
        <w:t xml:space="preserve"> </w:t>
      </w:r>
      <w:r w:rsidRPr="00E62FE6">
        <w:t>in</w:t>
      </w:r>
      <w:r w:rsidR="008243CA">
        <w:t xml:space="preserve"> </w:t>
      </w:r>
      <w:r w:rsidRPr="00E62FE6">
        <w:t>articles</w:t>
      </w:r>
      <w:r w:rsidR="008243CA">
        <w:t xml:space="preserve"> </w:t>
      </w:r>
      <w:r w:rsidRPr="00E62FE6">
        <w:t>150A</w:t>
      </w:r>
      <w:r w:rsidR="008243CA">
        <w:t xml:space="preserve"> </w:t>
      </w:r>
      <w:r w:rsidRPr="00E62FE6">
        <w:t>and</w:t>
      </w:r>
      <w:r w:rsidR="008243CA">
        <w:t xml:space="preserve"> </w:t>
      </w:r>
      <w:r w:rsidRPr="00E62FE6">
        <w:t>150B</w:t>
      </w:r>
      <w:r w:rsidR="008243CA">
        <w:t xml:space="preserve"> </w:t>
      </w:r>
      <w:r w:rsidRPr="00E62FE6">
        <w:t>of</w:t>
      </w:r>
      <w:r w:rsidR="008243CA">
        <w:t xml:space="preserve"> </w:t>
      </w:r>
      <w:r w:rsidRPr="00E62FE6">
        <w:t>the</w:t>
      </w:r>
      <w:r w:rsidR="008243CA">
        <w:t xml:space="preserve"> </w:t>
      </w:r>
      <w:r w:rsidRPr="00E62FE6">
        <w:t>Criminal</w:t>
      </w:r>
      <w:r w:rsidR="008243CA">
        <w:t xml:space="preserve"> </w:t>
      </w:r>
      <w:r w:rsidRPr="00E62FE6">
        <w:t>Code</w:t>
      </w:r>
      <w:r w:rsidR="008243CA">
        <w:t xml:space="preserve"> </w:t>
      </w:r>
      <w:r w:rsidRPr="00E62FE6">
        <w:t>prior</w:t>
      </w:r>
      <w:r w:rsidR="008243CA">
        <w:t xml:space="preserve"> </w:t>
      </w:r>
      <w:r w:rsidRPr="00E62FE6">
        <w:t>to</w:t>
      </w:r>
      <w:r w:rsidR="008243CA">
        <w:t xml:space="preserve"> </w:t>
      </w:r>
      <w:r w:rsidRPr="00E62FE6">
        <w:t>their</w:t>
      </w:r>
      <w:r w:rsidR="008243CA">
        <w:t xml:space="preserve"> </w:t>
      </w:r>
      <w:r w:rsidRPr="00E62FE6">
        <w:t>amendment</w:t>
      </w:r>
      <w:r w:rsidR="008243CA">
        <w:t xml:space="preserve"> </w:t>
      </w:r>
      <w:r w:rsidRPr="00E62FE6">
        <w:t>has</w:t>
      </w:r>
      <w:r w:rsidR="008243CA">
        <w:t xml:space="preserve"> </w:t>
      </w:r>
      <w:r w:rsidRPr="00E62FE6">
        <w:t>been</w:t>
      </w:r>
      <w:r w:rsidR="008243CA">
        <w:t xml:space="preserve"> </w:t>
      </w:r>
      <w:r w:rsidRPr="00E62FE6">
        <w:t>increased.</w:t>
      </w:r>
    </w:p>
    <w:p w:rsidR="003F7D03" w:rsidRPr="00E62FE6" w:rsidRDefault="003F7D03" w:rsidP="000C6D98">
      <w:pPr>
        <w:pStyle w:val="SingleTxtG"/>
      </w:pPr>
      <w:r w:rsidRPr="00E62FE6">
        <w:t>23.</w:t>
      </w:r>
      <w:r w:rsidRPr="00E62FE6">
        <w:tab/>
        <w:t>Under</w:t>
      </w:r>
      <w:r w:rsidR="008243CA">
        <w:t xml:space="preserve"> </w:t>
      </w:r>
      <w:r w:rsidRPr="00E62FE6">
        <w:t>the</w:t>
      </w:r>
      <w:r w:rsidR="008243CA">
        <w:t xml:space="preserve"> </w:t>
      </w:r>
      <w:r w:rsidRPr="00E62FE6">
        <w:t>new</w:t>
      </w:r>
      <w:r w:rsidR="008243CA">
        <w:t xml:space="preserve"> </w:t>
      </w:r>
      <w:r w:rsidRPr="00E62FE6">
        <w:t>Act,</w:t>
      </w:r>
      <w:r w:rsidR="008243CA">
        <w:t xml:space="preserve"> </w:t>
      </w:r>
      <w:r w:rsidRPr="00E62FE6">
        <w:t>section</w:t>
      </w:r>
      <w:r w:rsidR="008243CA">
        <w:t xml:space="preserve"> </w:t>
      </w:r>
      <w:r w:rsidRPr="00E62FE6">
        <w:t>4</w:t>
      </w:r>
      <w:r w:rsidR="008243CA">
        <w:t xml:space="preserve"> </w:t>
      </w:r>
      <w:r w:rsidRPr="00E62FE6">
        <w:t>of</w:t>
      </w:r>
      <w:r w:rsidR="008243CA">
        <w:t xml:space="preserve"> </w:t>
      </w:r>
      <w:r w:rsidRPr="00E62FE6">
        <w:t>title</w:t>
      </w:r>
      <w:r w:rsidR="008243CA">
        <w:t xml:space="preserve"> </w:t>
      </w:r>
      <w:r w:rsidRPr="00E62FE6">
        <w:t>III,</w:t>
      </w:r>
      <w:r w:rsidR="008243CA">
        <w:t xml:space="preserve"> </w:t>
      </w:r>
      <w:r w:rsidRPr="00E62FE6">
        <w:t>book</w:t>
      </w:r>
      <w:r w:rsidR="008243CA">
        <w:t xml:space="preserve"> </w:t>
      </w:r>
      <w:r w:rsidRPr="00E62FE6">
        <w:t>II</w:t>
      </w:r>
      <w:r w:rsidR="008243CA">
        <w:t xml:space="preserve"> </w:t>
      </w:r>
      <w:r w:rsidRPr="00E62FE6">
        <w:t>of</w:t>
      </w:r>
      <w:r w:rsidR="008243CA">
        <w:t xml:space="preserve"> </w:t>
      </w:r>
      <w:r w:rsidRPr="00E62FE6">
        <w:t>the</w:t>
      </w:r>
      <w:r w:rsidR="008243CA">
        <w:t xml:space="preserve"> </w:t>
      </w:r>
      <w:r w:rsidRPr="00E62FE6">
        <w:t>Criminal</w:t>
      </w:r>
      <w:r w:rsidR="008243CA">
        <w:t xml:space="preserve"> </w:t>
      </w:r>
      <w:r w:rsidRPr="00E62FE6">
        <w:t>Code</w:t>
      </w:r>
      <w:r w:rsidR="008243CA">
        <w:t xml:space="preserve"> </w:t>
      </w:r>
      <w:r w:rsidRPr="00E62FE6">
        <w:t>has</w:t>
      </w:r>
      <w:r w:rsidR="008243CA">
        <w:t xml:space="preserve"> </w:t>
      </w:r>
      <w:r w:rsidRPr="00E62FE6">
        <w:t>been</w:t>
      </w:r>
      <w:r w:rsidR="008243CA">
        <w:t xml:space="preserve"> </w:t>
      </w:r>
      <w:r w:rsidRPr="00E62FE6">
        <w:t>amended</w:t>
      </w:r>
      <w:r w:rsidR="008243CA">
        <w:t xml:space="preserve"> </w:t>
      </w:r>
      <w:r w:rsidRPr="00E62FE6">
        <w:t>to</w:t>
      </w:r>
      <w:r w:rsidR="008243CA">
        <w:t xml:space="preserve"> </w:t>
      </w:r>
      <w:r w:rsidRPr="00E62FE6">
        <w:t>include</w:t>
      </w:r>
      <w:r w:rsidR="008243CA">
        <w:t xml:space="preserve"> </w:t>
      </w:r>
      <w:r w:rsidRPr="00E62FE6">
        <w:t>torture,</w:t>
      </w:r>
      <w:r w:rsidR="008243CA">
        <w:t xml:space="preserve"> </w:t>
      </w:r>
      <w:r w:rsidRPr="00E62FE6">
        <w:t>cruel,</w:t>
      </w:r>
      <w:r w:rsidR="008243CA">
        <w:t xml:space="preserve"> </w:t>
      </w:r>
      <w:r w:rsidRPr="00E62FE6">
        <w:t>inhuman</w:t>
      </w:r>
      <w:r w:rsidR="008243CA">
        <w:t xml:space="preserve"> </w:t>
      </w:r>
      <w:r w:rsidRPr="00E62FE6">
        <w:t>or</w:t>
      </w:r>
      <w:r w:rsidR="008243CA">
        <w:t xml:space="preserve"> </w:t>
      </w:r>
      <w:r w:rsidRPr="00E62FE6">
        <w:t>degrading</w:t>
      </w:r>
      <w:r w:rsidR="008243CA">
        <w:t xml:space="preserve"> </w:t>
      </w:r>
      <w:r w:rsidRPr="00E62FE6">
        <w:t>treatment</w:t>
      </w:r>
      <w:r w:rsidR="008243CA">
        <w:t xml:space="preserve"> </w:t>
      </w:r>
      <w:r w:rsidRPr="00E62FE6">
        <w:t>and</w:t>
      </w:r>
      <w:r w:rsidR="008243CA">
        <w:t xml:space="preserve"> </w:t>
      </w:r>
      <w:r w:rsidRPr="00E62FE6">
        <w:t>other</w:t>
      </w:r>
      <w:r w:rsidR="008243CA">
        <w:t xml:space="preserve"> </w:t>
      </w:r>
      <w:r w:rsidRPr="00E62FE6">
        <w:t>violations</w:t>
      </w:r>
      <w:r w:rsidR="008243CA">
        <w:t xml:space="preserve"> </w:t>
      </w:r>
      <w:r w:rsidRPr="00E62FE6">
        <w:t>of</w:t>
      </w:r>
      <w:r w:rsidR="008243CA">
        <w:t xml:space="preserve"> </w:t>
      </w:r>
      <w:r w:rsidRPr="00E62FE6">
        <w:t>constitutional</w:t>
      </w:r>
      <w:r w:rsidR="008243CA">
        <w:t xml:space="preserve"> </w:t>
      </w:r>
      <w:r w:rsidRPr="00E62FE6">
        <w:t>rights</w:t>
      </w:r>
      <w:r w:rsidR="008243CA">
        <w:t xml:space="preserve"> </w:t>
      </w:r>
      <w:r w:rsidRPr="00E62FE6">
        <w:t>by</w:t>
      </w:r>
      <w:r w:rsidR="008243CA">
        <w:t xml:space="preserve"> </w:t>
      </w:r>
      <w:r w:rsidRPr="00E62FE6">
        <w:t>public</w:t>
      </w:r>
      <w:r w:rsidR="008243CA">
        <w:t xml:space="preserve"> </w:t>
      </w:r>
      <w:r w:rsidRPr="00E62FE6">
        <w:t>officials,</w:t>
      </w:r>
      <w:r w:rsidR="008243CA">
        <w:t xml:space="preserve"> </w:t>
      </w:r>
      <w:r w:rsidRPr="00E62FE6">
        <w:t>so</w:t>
      </w:r>
      <w:r w:rsidR="008243CA">
        <w:t xml:space="preserve"> </w:t>
      </w:r>
      <w:r w:rsidRPr="00E62FE6">
        <w:t>that</w:t>
      </w:r>
      <w:r w:rsidR="008243CA">
        <w:t xml:space="preserve"> </w:t>
      </w:r>
      <w:r w:rsidRPr="00E62FE6">
        <w:t>provisions</w:t>
      </w:r>
      <w:r w:rsidR="008243CA">
        <w:t xml:space="preserve"> </w:t>
      </w:r>
      <w:r w:rsidRPr="00E62FE6">
        <w:t>on</w:t>
      </w:r>
      <w:r w:rsidR="008243CA">
        <w:t xml:space="preserve"> </w:t>
      </w:r>
      <w:r w:rsidRPr="00E62FE6">
        <w:t>all</w:t>
      </w:r>
      <w:r w:rsidR="008243CA">
        <w:t xml:space="preserve"> </w:t>
      </w:r>
      <w:r w:rsidRPr="00E62FE6">
        <w:t>these</w:t>
      </w:r>
      <w:r w:rsidR="008243CA">
        <w:t xml:space="preserve"> </w:t>
      </w:r>
      <w:r w:rsidRPr="00E62FE6">
        <w:t>offences</w:t>
      </w:r>
      <w:r w:rsidR="008243CA">
        <w:t xml:space="preserve"> </w:t>
      </w:r>
      <w:r w:rsidRPr="00E62FE6">
        <w:t>are</w:t>
      </w:r>
      <w:r w:rsidR="008243CA">
        <w:t xml:space="preserve"> </w:t>
      </w:r>
      <w:r w:rsidRPr="00E62FE6">
        <w:t>contained</w:t>
      </w:r>
      <w:r w:rsidR="008243CA">
        <w:t xml:space="preserve"> </w:t>
      </w:r>
      <w:r w:rsidRPr="00E62FE6">
        <w:t>in</w:t>
      </w:r>
      <w:r w:rsidR="008243CA">
        <w:t xml:space="preserve"> </w:t>
      </w:r>
      <w:r w:rsidRPr="00E62FE6">
        <w:t>a</w:t>
      </w:r>
      <w:r w:rsidR="008243CA">
        <w:t xml:space="preserve"> </w:t>
      </w:r>
      <w:r w:rsidRPr="00E62FE6">
        <w:t>single</w:t>
      </w:r>
      <w:r w:rsidR="008243CA">
        <w:t xml:space="preserve"> </w:t>
      </w:r>
      <w:r w:rsidRPr="00E62FE6">
        <w:t>section.</w:t>
      </w:r>
      <w:r w:rsidR="008243CA">
        <w:t xml:space="preserve"> </w:t>
      </w:r>
      <w:r w:rsidRPr="00E62FE6">
        <w:t>In</w:t>
      </w:r>
      <w:r w:rsidR="008243CA">
        <w:t xml:space="preserve"> </w:t>
      </w:r>
      <w:r w:rsidRPr="00E62FE6">
        <w:t>addition,</w:t>
      </w:r>
      <w:r w:rsidR="008243CA">
        <w:t xml:space="preserve"> </w:t>
      </w:r>
      <w:r w:rsidRPr="00E62FE6">
        <w:t>the</w:t>
      </w:r>
      <w:r w:rsidR="008243CA">
        <w:t xml:space="preserve"> </w:t>
      </w:r>
      <w:r w:rsidRPr="00E62FE6">
        <w:t>penalties</w:t>
      </w:r>
      <w:r w:rsidR="008243CA">
        <w:t xml:space="preserve"> </w:t>
      </w:r>
      <w:r w:rsidRPr="00E62FE6">
        <w:t>for</w:t>
      </w:r>
      <w:r w:rsidR="008243CA">
        <w:t xml:space="preserve"> </w:t>
      </w:r>
      <w:r w:rsidRPr="00E62FE6">
        <w:t>these</w:t>
      </w:r>
      <w:r w:rsidR="008243CA">
        <w:t xml:space="preserve"> </w:t>
      </w:r>
      <w:r w:rsidRPr="00E62FE6">
        <w:t>offences</w:t>
      </w:r>
      <w:r w:rsidR="008243CA">
        <w:t xml:space="preserve"> </w:t>
      </w:r>
      <w:r w:rsidRPr="00E62FE6">
        <w:t>have</w:t>
      </w:r>
      <w:r w:rsidR="008243CA">
        <w:t xml:space="preserve"> </w:t>
      </w:r>
      <w:r w:rsidRPr="00E62FE6">
        <w:t>been</w:t>
      </w:r>
      <w:r w:rsidR="008243CA">
        <w:t xml:space="preserve"> </w:t>
      </w:r>
      <w:r w:rsidRPr="00E62FE6">
        <w:t>significantly</w:t>
      </w:r>
      <w:r w:rsidR="008243CA">
        <w:t xml:space="preserve"> </w:t>
      </w:r>
      <w:r w:rsidRPr="00E62FE6">
        <w:t>increased</w:t>
      </w:r>
      <w:r w:rsidR="008243CA">
        <w:t xml:space="preserve"> </w:t>
      </w:r>
      <w:r w:rsidRPr="00E62FE6">
        <w:t>under</w:t>
      </w:r>
      <w:r w:rsidR="008243CA">
        <w:t xml:space="preserve"> </w:t>
      </w:r>
      <w:r w:rsidRPr="00E62FE6">
        <w:t>the</w:t>
      </w:r>
      <w:r w:rsidR="008243CA">
        <w:t xml:space="preserve"> </w:t>
      </w:r>
      <w:r w:rsidRPr="00E62FE6">
        <w:t>new</w:t>
      </w:r>
      <w:r w:rsidR="008243CA">
        <w:t xml:space="preserve"> </w:t>
      </w:r>
      <w:r w:rsidRPr="00E62FE6">
        <w:t>legislation.</w:t>
      </w:r>
    </w:p>
    <w:p w:rsidR="003F7D03" w:rsidRPr="00E62FE6" w:rsidRDefault="003F7D03" w:rsidP="000C6D98">
      <w:pPr>
        <w:pStyle w:val="SingleTxtG"/>
      </w:pPr>
      <w:r w:rsidRPr="00E62FE6">
        <w:t>24.</w:t>
      </w:r>
      <w:r w:rsidRPr="00E62FE6">
        <w:tab/>
        <w:t>In</w:t>
      </w:r>
      <w:r w:rsidR="008243CA">
        <w:t xml:space="preserve"> </w:t>
      </w:r>
      <w:r w:rsidRPr="00E62FE6">
        <w:t>accordance</w:t>
      </w:r>
      <w:r w:rsidR="008243CA">
        <w:t xml:space="preserve"> </w:t>
      </w:r>
      <w:r w:rsidRPr="00E62FE6">
        <w:t>with</w:t>
      </w:r>
      <w:r w:rsidR="008243CA">
        <w:t xml:space="preserve"> </w:t>
      </w:r>
      <w:r w:rsidRPr="00E62FE6">
        <w:t>the</w:t>
      </w:r>
      <w:r w:rsidR="008243CA">
        <w:t xml:space="preserve"> </w:t>
      </w:r>
      <w:r w:rsidRPr="00E62FE6">
        <w:t>relevant</w:t>
      </w:r>
      <w:r w:rsidR="008243CA">
        <w:t xml:space="preserve"> </w:t>
      </w:r>
      <w:r w:rsidRPr="00E62FE6">
        <w:t>international</w:t>
      </w:r>
      <w:r w:rsidR="008243CA">
        <w:t xml:space="preserve"> </w:t>
      </w:r>
      <w:r w:rsidRPr="00E62FE6">
        <w:t>conventions,</w:t>
      </w:r>
      <w:r w:rsidR="008243CA">
        <w:t xml:space="preserve"> </w:t>
      </w:r>
      <w:r w:rsidRPr="00E62FE6">
        <w:t>notably</w:t>
      </w:r>
      <w:r w:rsidR="008243CA">
        <w:t xml:space="preserve"> </w:t>
      </w:r>
      <w:r w:rsidRPr="00E62FE6">
        <w:t>article</w:t>
      </w:r>
      <w:r w:rsidR="008243CA">
        <w:t xml:space="preserve"> </w:t>
      </w:r>
      <w:r w:rsidRPr="00E62FE6">
        <w:t>1</w:t>
      </w:r>
      <w:r w:rsidR="008243CA">
        <w:t xml:space="preserve"> </w:t>
      </w:r>
      <w:r w:rsidRPr="00E62FE6">
        <w:t>of</w:t>
      </w:r>
      <w:r w:rsidR="008243CA">
        <w:t xml:space="preserve"> </w:t>
      </w:r>
      <w:r w:rsidRPr="00E62FE6">
        <w:t>the</w:t>
      </w:r>
      <w:r w:rsidR="008243CA">
        <w:t xml:space="preserve"> </w:t>
      </w:r>
      <w:r w:rsidRPr="00E62FE6">
        <w:t>Convention</w:t>
      </w:r>
      <w:r w:rsidR="008243CA">
        <w:t xml:space="preserve"> </w:t>
      </w:r>
      <w:r w:rsidRPr="00E62FE6">
        <w:t>against</w:t>
      </w:r>
      <w:r w:rsidR="008243CA">
        <w:t xml:space="preserve"> </w:t>
      </w:r>
      <w:r w:rsidRPr="00E62FE6">
        <w:t>Torture,</w:t>
      </w:r>
      <w:r w:rsidR="008243CA">
        <w:t xml:space="preserve"> </w:t>
      </w:r>
      <w:r w:rsidRPr="00E62FE6">
        <w:t>the</w:t>
      </w:r>
      <w:r w:rsidR="008243CA">
        <w:t xml:space="preserve"> </w:t>
      </w:r>
      <w:r w:rsidRPr="00E62FE6">
        <w:t>new</w:t>
      </w:r>
      <w:r w:rsidR="008243CA">
        <w:t xml:space="preserve"> </w:t>
      </w:r>
      <w:r w:rsidRPr="00E62FE6">
        <w:t>definition</w:t>
      </w:r>
      <w:r w:rsidR="008243CA">
        <w:t xml:space="preserve"> </w:t>
      </w:r>
      <w:r w:rsidRPr="00E62FE6">
        <w:t>of</w:t>
      </w:r>
      <w:r w:rsidR="008243CA">
        <w:t xml:space="preserve"> </w:t>
      </w:r>
      <w:r w:rsidRPr="00E62FE6">
        <w:t>torture</w:t>
      </w:r>
      <w:r w:rsidR="008243CA">
        <w:t xml:space="preserve"> </w:t>
      </w:r>
      <w:r w:rsidRPr="00E62FE6">
        <w:t>includes</w:t>
      </w:r>
      <w:r w:rsidR="008243CA">
        <w:t xml:space="preserve"> </w:t>
      </w:r>
      <w:r w:rsidRPr="00E62FE6">
        <w:t>the</w:t>
      </w:r>
      <w:r w:rsidR="008243CA">
        <w:t xml:space="preserve"> </w:t>
      </w:r>
      <w:r w:rsidRPr="00E62FE6">
        <w:t>following</w:t>
      </w:r>
      <w:r w:rsidR="008243CA">
        <w:t xml:space="preserve"> </w:t>
      </w:r>
      <w:r w:rsidRPr="00E62FE6">
        <w:t>components:</w:t>
      </w:r>
      <w:r w:rsidR="008243CA">
        <w:t xml:space="preserve"> </w:t>
      </w:r>
      <w:r w:rsidRPr="00E62FE6">
        <w:t>(</w:t>
      </w:r>
      <w:proofErr w:type="spellStart"/>
      <w:r w:rsidRPr="00E62FE6">
        <w:t>i</w:t>
      </w:r>
      <w:proofErr w:type="spellEnd"/>
      <w:r w:rsidRPr="00E62FE6">
        <w:t>)</w:t>
      </w:r>
      <w:r w:rsidR="008243CA">
        <w:t xml:space="preserve"> </w:t>
      </w:r>
      <w:r w:rsidRPr="00E62FE6">
        <w:t>the</w:t>
      </w:r>
      <w:r w:rsidR="008243CA">
        <w:t xml:space="preserve"> </w:t>
      </w:r>
      <w:r w:rsidRPr="00E62FE6">
        <w:t>intentional</w:t>
      </w:r>
      <w:r w:rsidR="008243CA">
        <w:t xml:space="preserve"> </w:t>
      </w:r>
      <w:r w:rsidRPr="00E62FE6">
        <w:t>infliction</w:t>
      </w:r>
      <w:r w:rsidR="008243CA">
        <w:t xml:space="preserve"> </w:t>
      </w:r>
      <w:r w:rsidRPr="00E62FE6">
        <w:t>of</w:t>
      </w:r>
      <w:r w:rsidR="008243CA">
        <w:t xml:space="preserve"> </w:t>
      </w:r>
      <w:r w:rsidRPr="00E62FE6">
        <w:t>severe</w:t>
      </w:r>
      <w:r w:rsidR="008243CA">
        <w:t xml:space="preserve"> </w:t>
      </w:r>
      <w:r w:rsidRPr="00E62FE6">
        <w:t>pain</w:t>
      </w:r>
      <w:r w:rsidR="008243CA">
        <w:t xml:space="preserve"> </w:t>
      </w:r>
      <w:r w:rsidRPr="00E62FE6">
        <w:t>or</w:t>
      </w:r>
      <w:r w:rsidR="008243CA">
        <w:t xml:space="preserve"> </w:t>
      </w:r>
      <w:r w:rsidRPr="00E62FE6">
        <w:t>suffering</w:t>
      </w:r>
      <w:r w:rsidR="008243CA">
        <w:t xml:space="preserve"> </w:t>
      </w:r>
      <w:r w:rsidRPr="00E62FE6">
        <w:t>on</w:t>
      </w:r>
      <w:r w:rsidR="008243CA">
        <w:t xml:space="preserve"> </w:t>
      </w:r>
      <w:r w:rsidRPr="00E62FE6">
        <w:t>a</w:t>
      </w:r>
      <w:r w:rsidR="008243CA">
        <w:t xml:space="preserve"> </w:t>
      </w:r>
      <w:r w:rsidRPr="00E62FE6">
        <w:t>person;</w:t>
      </w:r>
      <w:r w:rsidR="008243CA">
        <w:t xml:space="preserve"> </w:t>
      </w:r>
      <w:r w:rsidRPr="00E62FE6">
        <w:t>(ii)</w:t>
      </w:r>
      <w:r w:rsidR="008243CA">
        <w:t xml:space="preserve"> </w:t>
      </w:r>
      <w:r w:rsidRPr="00E62FE6">
        <w:t>the</w:t>
      </w:r>
      <w:r w:rsidR="008243CA">
        <w:t xml:space="preserve"> </w:t>
      </w:r>
      <w:r w:rsidRPr="00E62FE6">
        <w:t>existence</w:t>
      </w:r>
      <w:r w:rsidR="008243CA">
        <w:t xml:space="preserve"> </w:t>
      </w:r>
      <w:r w:rsidRPr="00E62FE6">
        <w:t>of</w:t>
      </w:r>
      <w:r w:rsidR="008243CA">
        <w:t xml:space="preserve"> </w:t>
      </w:r>
      <w:r w:rsidRPr="00E62FE6">
        <w:t>a</w:t>
      </w:r>
      <w:r w:rsidR="008243CA">
        <w:t xml:space="preserve"> </w:t>
      </w:r>
      <w:r w:rsidRPr="00E62FE6">
        <w:t>concrete</w:t>
      </w:r>
      <w:r w:rsidR="008243CA">
        <w:t xml:space="preserve"> </w:t>
      </w:r>
      <w:r w:rsidRPr="00E62FE6">
        <w:t>aim</w:t>
      </w:r>
      <w:r w:rsidR="008243CA">
        <w:t xml:space="preserve"> </w:t>
      </w:r>
      <w:r w:rsidRPr="00E62FE6">
        <w:t>or</w:t>
      </w:r>
      <w:r w:rsidR="008243CA">
        <w:t xml:space="preserve"> </w:t>
      </w:r>
      <w:r w:rsidRPr="00E62FE6">
        <w:t>purpose</w:t>
      </w:r>
      <w:r w:rsidR="008243CA">
        <w:t xml:space="preserve"> </w:t>
      </w:r>
      <w:r w:rsidRPr="00E62FE6">
        <w:t>(coercion,</w:t>
      </w:r>
      <w:r w:rsidR="008243CA">
        <w:t xml:space="preserve"> </w:t>
      </w:r>
      <w:r w:rsidRPr="00E62FE6">
        <w:t>punishment</w:t>
      </w:r>
      <w:r w:rsidR="008243CA">
        <w:t xml:space="preserve"> </w:t>
      </w:r>
      <w:r w:rsidRPr="00E62FE6">
        <w:t>or</w:t>
      </w:r>
      <w:r w:rsidR="008243CA">
        <w:t xml:space="preserve"> </w:t>
      </w:r>
      <w:r w:rsidRPr="00E62FE6">
        <w:t>discrimination);</w:t>
      </w:r>
      <w:r w:rsidR="008243CA">
        <w:t xml:space="preserve"> </w:t>
      </w:r>
      <w:r w:rsidRPr="00E62FE6">
        <w:t>and</w:t>
      </w:r>
      <w:r w:rsidR="008243CA">
        <w:t xml:space="preserve"> </w:t>
      </w:r>
      <w:r w:rsidRPr="00E62FE6">
        <w:t>(iii)</w:t>
      </w:r>
      <w:r w:rsidR="008243CA">
        <w:t xml:space="preserve"> </w:t>
      </w:r>
      <w:r w:rsidRPr="00E62FE6">
        <w:t>the</w:t>
      </w:r>
      <w:r w:rsidR="008243CA">
        <w:t xml:space="preserve"> </w:t>
      </w:r>
      <w:r w:rsidRPr="00E62FE6">
        <w:t>involvement</w:t>
      </w:r>
      <w:r w:rsidR="008243CA">
        <w:t xml:space="preserve"> </w:t>
      </w:r>
      <w:r w:rsidRPr="00E62FE6">
        <w:t>of</w:t>
      </w:r>
      <w:r w:rsidR="008243CA">
        <w:t xml:space="preserve"> </w:t>
      </w:r>
      <w:r w:rsidRPr="00E62FE6">
        <w:t>a</w:t>
      </w:r>
      <w:r w:rsidR="008243CA">
        <w:t xml:space="preserve"> </w:t>
      </w:r>
      <w:r w:rsidRPr="00E62FE6">
        <w:t>public</w:t>
      </w:r>
      <w:r w:rsidR="008243CA">
        <w:t xml:space="preserve"> </w:t>
      </w:r>
      <w:r w:rsidRPr="00E62FE6">
        <w:t>official</w:t>
      </w:r>
      <w:r w:rsidR="008243CA">
        <w:t xml:space="preserve"> </w:t>
      </w:r>
      <w:r w:rsidRPr="00E62FE6">
        <w:t>who</w:t>
      </w:r>
      <w:r w:rsidR="008243CA">
        <w:t xml:space="preserve"> </w:t>
      </w:r>
      <w:r w:rsidRPr="00E62FE6">
        <w:t>commits,</w:t>
      </w:r>
      <w:r w:rsidR="008243CA">
        <w:t xml:space="preserve"> </w:t>
      </w:r>
      <w:r w:rsidRPr="00E62FE6">
        <w:t>instigates</w:t>
      </w:r>
      <w:r w:rsidR="008243CA">
        <w:t xml:space="preserve"> </w:t>
      </w:r>
      <w:r w:rsidRPr="00E62FE6">
        <w:t>or</w:t>
      </w:r>
      <w:r w:rsidR="008243CA">
        <w:t xml:space="preserve"> </w:t>
      </w:r>
      <w:r w:rsidRPr="00E62FE6">
        <w:t>consents</w:t>
      </w:r>
      <w:r w:rsidR="008243CA">
        <w:t xml:space="preserve"> </w:t>
      </w:r>
      <w:r w:rsidRPr="00E62FE6">
        <w:t>to</w:t>
      </w:r>
      <w:r w:rsidR="008243CA">
        <w:t xml:space="preserve"> </w:t>
      </w:r>
      <w:r w:rsidRPr="00E62FE6">
        <w:t>the</w:t>
      </w:r>
      <w:r w:rsidR="008243CA">
        <w:t xml:space="preserve"> </w:t>
      </w:r>
      <w:r w:rsidRPr="00E62FE6">
        <w:t>act</w:t>
      </w:r>
      <w:r w:rsidR="008243CA">
        <w:t xml:space="preserve"> </w:t>
      </w:r>
      <w:r w:rsidRPr="00E62FE6">
        <w:t>of</w:t>
      </w:r>
      <w:r w:rsidR="008243CA">
        <w:t xml:space="preserve"> </w:t>
      </w:r>
      <w:r w:rsidRPr="00E62FE6">
        <w:t>torture.</w:t>
      </w:r>
      <w:r w:rsidRPr="00116F0B">
        <w:rPr>
          <w:rStyle w:val="FootnoteReference"/>
        </w:rPr>
        <w:footnoteReference w:id="19"/>
      </w:r>
      <w:r w:rsidR="00116F0B">
        <w:t xml:space="preserve"> </w:t>
      </w:r>
      <w:r w:rsidRPr="00E62FE6">
        <w:t>The</w:t>
      </w:r>
      <w:r w:rsidR="008243CA">
        <w:t xml:space="preserve"> </w:t>
      </w:r>
      <w:r w:rsidRPr="00E62FE6">
        <w:t>provisions</w:t>
      </w:r>
      <w:r w:rsidR="008243CA">
        <w:t xml:space="preserve"> </w:t>
      </w:r>
      <w:r w:rsidRPr="00E62FE6">
        <w:t>also</w:t>
      </w:r>
      <w:r w:rsidR="008243CA">
        <w:t xml:space="preserve"> </w:t>
      </w:r>
      <w:r w:rsidRPr="00E62FE6">
        <w:t>extend</w:t>
      </w:r>
      <w:r w:rsidR="008243CA">
        <w:t xml:space="preserve"> </w:t>
      </w:r>
      <w:r w:rsidRPr="00E62FE6">
        <w:t>to</w:t>
      </w:r>
      <w:r w:rsidR="008243CA">
        <w:t xml:space="preserve"> </w:t>
      </w:r>
      <w:r w:rsidRPr="00E62FE6">
        <w:t>private</w:t>
      </w:r>
      <w:r w:rsidR="008243CA">
        <w:t xml:space="preserve"> </w:t>
      </w:r>
      <w:r w:rsidRPr="00E62FE6">
        <w:t>individuals</w:t>
      </w:r>
      <w:r w:rsidR="008243CA">
        <w:t xml:space="preserve"> </w:t>
      </w:r>
      <w:r w:rsidRPr="00E62FE6">
        <w:t>who</w:t>
      </w:r>
      <w:r w:rsidR="008243CA">
        <w:t xml:space="preserve"> </w:t>
      </w:r>
      <w:r w:rsidRPr="00E62FE6">
        <w:t>commit</w:t>
      </w:r>
      <w:r w:rsidR="008243CA">
        <w:t xml:space="preserve"> </w:t>
      </w:r>
      <w:r w:rsidRPr="00E62FE6">
        <w:t>acts</w:t>
      </w:r>
      <w:r w:rsidR="008243CA">
        <w:t xml:space="preserve"> </w:t>
      </w:r>
      <w:r w:rsidRPr="00E62FE6">
        <w:t>of</w:t>
      </w:r>
      <w:r w:rsidR="008243CA">
        <w:t xml:space="preserve"> </w:t>
      </w:r>
      <w:r w:rsidRPr="00E62FE6">
        <w:t>torture</w:t>
      </w:r>
      <w:r w:rsidR="008243CA">
        <w:t xml:space="preserve"> </w:t>
      </w:r>
      <w:r w:rsidRPr="00E62FE6">
        <w:t>while</w:t>
      </w:r>
      <w:r w:rsidR="008243CA">
        <w:t xml:space="preserve"> </w:t>
      </w:r>
      <w:r w:rsidRPr="00E62FE6">
        <w:lastRenderedPageBreak/>
        <w:t>acting</w:t>
      </w:r>
      <w:r w:rsidR="008243CA">
        <w:t xml:space="preserve"> </w:t>
      </w:r>
      <w:r w:rsidRPr="00E62FE6">
        <w:t>in</w:t>
      </w:r>
      <w:r w:rsidR="008243CA">
        <w:t xml:space="preserve"> </w:t>
      </w:r>
      <w:r w:rsidRPr="00E62FE6">
        <w:t>an</w:t>
      </w:r>
      <w:r w:rsidR="008243CA">
        <w:t xml:space="preserve"> </w:t>
      </w:r>
      <w:r w:rsidRPr="00E62FE6">
        <w:t>official</w:t>
      </w:r>
      <w:r w:rsidR="008243CA">
        <w:t xml:space="preserve"> </w:t>
      </w:r>
      <w:r w:rsidRPr="00E62FE6">
        <w:t>capacity</w:t>
      </w:r>
      <w:r w:rsidR="008243CA">
        <w:t xml:space="preserve"> </w:t>
      </w:r>
      <w:r w:rsidRPr="00E62FE6">
        <w:t>or</w:t>
      </w:r>
      <w:r w:rsidR="008243CA">
        <w:t xml:space="preserve"> </w:t>
      </w:r>
      <w:r w:rsidRPr="00E62FE6">
        <w:t>at</w:t>
      </w:r>
      <w:r w:rsidR="008243CA">
        <w:t xml:space="preserve"> </w:t>
      </w:r>
      <w:r w:rsidRPr="00E62FE6">
        <w:t>the</w:t>
      </w:r>
      <w:r w:rsidR="008243CA">
        <w:t xml:space="preserve"> </w:t>
      </w:r>
      <w:r w:rsidRPr="00E62FE6">
        <w:t>instigation</w:t>
      </w:r>
      <w:r w:rsidR="008243CA">
        <w:t xml:space="preserve"> </w:t>
      </w:r>
      <w:r w:rsidRPr="00E62FE6">
        <w:t>of</w:t>
      </w:r>
      <w:r w:rsidR="008243CA">
        <w:t xml:space="preserve"> </w:t>
      </w:r>
      <w:r w:rsidRPr="00E62FE6">
        <w:t>or</w:t>
      </w:r>
      <w:r w:rsidR="008243CA">
        <w:t xml:space="preserve"> </w:t>
      </w:r>
      <w:r w:rsidRPr="00E62FE6">
        <w:t>with</w:t>
      </w:r>
      <w:r w:rsidR="008243CA">
        <w:t xml:space="preserve"> </w:t>
      </w:r>
      <w:r w:rsidRPr="00E62FE6">
        <w:t>the</w:t>
      </w:r>
      <w:r w:rsidR="008243CA">
        <w:t xml:space="preserve"> </w:t>
      </w:r>
      <w:r w:rsidRPr="00E62FE6">
        <w:t>consent</w:t>
      </w:r>
      <w:r w:rsidR="008243CA">
        <w:t xml:space="preserve"> </w:t>
      </w:r>
      <w:r w:rsidRPr="00E62FE6">
        <w:t>or</w:t>
      </w:r>
      <w:r w:rsidR="008243CA">
        <w:t xml:space="preserve"> </w:t>
      </w:r>
      <w:r w:rsidRPr="00E62FE6">
        <w:t>acquiescence</w:t>
      </w:r>
      <w:r w:rsidR="008243CA">
        <w:t xml:space="preserve"> </w:t>
      </w:r>
      <w:r w:rsidRPr="00E62FE6">
        <w:t>of</w:t>
      </w:r>
      <w:r w:rsidR="008243CA">
        <w:t xml:space="preserve"> </w:t>
      </w:r>
      <w:r w:rsidRPr="00E62FE6">
        <w:t>a</w:t>
      </w:r>
      <w:r w:rsidR="008243CA">
        <w:t xml:space="preserve"> </w:t>
      </w:r>
      <w:r w:rsidRPr="00E62FE6">
        <w:t>public</w:t>
      </w:r>
      <w:r w:rsidR="008243CA">
        <w:t xml:space="preserve"> </w:t>
      </w:r>
      <w:r w:rsidRPr="00E62FE6">
        <w:t>official.</w:t>
      </w:r>
      <w:bookmarkStart w:id="28" w:name="page12"/>
      <w:bookmarkEnd w:id="28"/>
    </w:p>
    <w:p w:rsidR="003F7D03" w:rsidRPr="00E62FE6" w:rsidRDefault="003F7D03" w:rsidP="000C6D98">
      <w:pPr>
        <w:pStyle w:val="SingleTxtG"/>
      </w:pPr>
      <w:r w:rsidRPr="00E62FE6">
        <w:t>25.</w:t>
      </w:r>
      <w:r w:rsidRPr="00E62FE6">
        <w:tab/>
        <w:t>This</w:t>
      </w:r>
      <w:r w:rsidR="008243CA">
        <w:t xml:space="preserve"> </w:t>
      </w:r>
      <w:r w:rsidRPr="00E62FE6">
        <w:t>new</w:t>
      </w:r>
      <w:r w:rsidR="008243CA">
        <w:t xml:space="preserve"> </w:t>
      </w:r>
      <w:r w:rsidRPr="00E62FE6">
        <w:t>definition</w:t>
      </w:r>
      <w:r w:rsidR="008243CA">
        <w:t xml:space="preserve"> </w:t>
      </w:r>
      <w:r w:rsidRPr="00E62FE6">
        <w:t>of</w:t>
      </w:r>
      <w:r w:rsidR="008243CA">
        <w:t xml:space="preserve"> </w:t>
      </w:r>
      <w:r w:rsidRPr="00E62FE6">
        <w:t>torture</w:t>
      </w:r>
      <w:r w:rsidR="008243CA">
        <w:t xml:space="preserve"> </w:t>
      </w:r>
      <w:r w:rsidRPr="00E62FE6">
        <w:t>is</w:t>
      </w:r>
      <w:r w:rsidR="008243CA">
        <w:t xml:space="preserve"> </w:t>
      </w:r>
      <w:r w:rsidRPr="00E62FE6">
        <w:t>also</w:t>
      </w:r>
      <w:r w:rsidR="008243CA">
        <w:t xml:space="preserve"> </w:t>
      </w:r>
      <w:r w:rsidRPr="00E62FE6">
        <w:t>innovative</w:t>
      </w:r>
      <w:r w:rsidR="008243CA">
        <w:t xml:space="preserve"> </w:t>
      </w:r>
      <w:r w:rsidRPr="00E62FE6">
        <w:t>insofar</w:t>
      </w:r>
      <w:r w:rsidR="008243CA">
        <w:t xml:space="preserve"> </w:t>
      </w:r>
      <w:r w:rsidRPr="00E62FE6">
        <w:t>as</w:t>
      </w:r>
      <w:r w:rsidR="008243CA">
        <w:t xml:space="preserve"> </w:t>
      </w:r>
      <w:r w:rsidRPr="00E62FE6">
        <w:t>it</w:t>
      </w:r>
      <w:r w:rsidR="008243CA">
        <w:t xml:space="preserve"> </w:t>
      </w:r>
      <w:r w:rsidRPr="00E62FE6">
        <w:t>includes</w:t>
      </w:r>
      <w:r w:rsidR="008243CA">
        <w:t xml:space="preserve"> </w:t>
      </w:r>
      <w:r w:rsidRPr="00E62FE6">
        <w:t>severe</w:t>
      </w:r>
      <w:r w:rsidR="008243CA">
        <w:t xml:space="preserve"> </w:t>
      </w:r>
      <w:r w:rsidRPr="00E62FE6">
        <w:t>pain</w:t>
      </w:r>
      <w:r w:rsidR="008243CA">
        <w:t xml:space="preserve"> </w:t>
      </w:r>
      <w:r w:rsidRPr="00E62FE6">
        <w:t>or</w:t>
      </w:r>
      <w:r w:rsidR="008243CA">
        <w:t xml:space="preserve"> </w:t>
      </w:r>
      <w:r w:rsidRPr="00E62FE6">
        <w:t>suffering</w:t>
      </w:r>
      <w:r w:rsidR="008243CA">
        <w:t xml:space="preserve"> </w:t>
      </w:r>
      <w:r w:rsidRPr="00E62FE6">
        <w:t>of</w:t>
      </w:r>
      <w:r w:rsidR="008243CA">
        <w:t xml:space="preserve"> </w:t>
      </w:r>
      <w:r w:rsidRPr="00E62FE6">
        <w:t>a</w:t>
      </w:r>
      <w:r w:rsidR="008243CA">
        <w:t xml:space="preserve"> </w:t>
      </w:r>
      <w:r w:rsidRPr="00E62FE6">
        <w:t>sexual</w:t>
      </w:r>
      <w:r w:rsidR="008243CA">
        <w:t xml:space="preserve"> </w:t>
      </w:r>
      <w:r w:rsidRPr="00E62FE6">
        <w:t>nature.</w:t>
      </w:r>
      <w:r w:rsidR="008243CA">
        <w:t xml:space="preserve"> </w:t>
      </w:r>
      <w:r w:rsidRPr="00E62FE6">
        <w:t>In</w:t>
      </w:r>
      <w:r w:rsidR="008243CA">
        <w:t xml:space="preserve"> </w:t>
      </w:r>
      <w:r w:rsidRPr="00E62FE6">
        <w:t>this</w:t>
      </w:r>
      <w:r w:rsidR="008243CA">
        <w:t xml:space="preserve"> </w:t>
      </w:r>
      <w:r w:rsidRPr="00E62FE6">
        <w:t>way,</w:t>
      </w:r>
      <w:r w:rsidR="008243CA">
        <w:t xml:space="preserve"> </w:t>
      </w:r>
      <w:r w:rsidRPr="00E62FE6">
        <w:t>it</w:t>
      </w:r>
      <w:r w:rsidR="008243CA">
        <w:t xml:space="preserve"> </w:t>
      </w:r>
      <w:r w:rsidRPr="00E62FE6">
        <w:t>incorporates</w:t>
      </w:r>
      <w:r w:rsidR="008243CA">
        <w:t xml:space="preserve"> </w:t>
      </w:r>
      <w:r w:rsidRPr="00E62FE6">
        <w:t>the</w:t>
      </w:r>
      <w:r w:rsidR="008243CA">
        <w:t xml:space="preserve"> </w:t>
      </w:r>
      <w:r w:rsidRPr="00E62FE6">
        <w:t>gender</w:t>
      </w:r>
      <w:r w:rsidR="008243CA">
        <w:t xml:space="preserve"> </w:t>
      </w:r>
      <w:r w:rsidRPr="00E62FE6">
        <w:t>perspective,</w:t>
      </w:r>
      <w:r w:rsidR="008243CA">
        <w:t xml:space="preserve"> </w:t>
      </w:r>
      <w:r w:rsidRPr="00E62FE6">
        <w:t>taking</w:t>
      </w:r>
      <w:r w:rsidR="008243CA">
        <w:t xml:space="preserve"> </w:t>
      </w:r>
      <w:r w:rsidRPr="00E62FE6">
        <w:t>into</w:t>
      </w:r>
      <w:r w:rsidR="008243CA">
        <w:t xml:space="preserve"> </w:t>
      </w:r>
      <w:r w:rsidRPr="00E62FE6">
        <w:t>account</w:t>
      </w:r>
      <w:r w:rsidR="008243CA">
        <w:t xml:space="preserve"> </w:t>
      </w:r>
      <w:r w:rsidRPr="00E62FE6">
        <w:t>issues</w:t>
      </w:r>
      <w:r w:rsidR="008243CA">
        <w:t xml:space="preserve"> </w:t>
      </w:r>
      <w:r w:rsidRPr="00E62FE6">
        <w:t>that</w:t>
      </w:r>
      <w:r w:rsidR="008243CA">
        <w:t xml:space="preserve"> </w:t>
      </w:r>
      <w:r w:rsidRPr="00E62FE6">
        <w:t>have</w:t>
      </w:r>
      <w:r w:rsidR="008243CA">
        <w:t xml:space="preserve"> </w:t>
      </w:r>
      <w:r w:rsidRPr="00E62FE6">
        <w:t>been</w:t>
      </w:r>
      <w:r w:rsidR="008243CA">
        <w:t xml:space="preserve"> </w:t>
      </w:r>
      <w:r w:rsidRPr="00E62FE6">
        <w:t>raised</w:t>
      </w:r>
      <w:r w:rsidR="008243CA">
        <w:t xml:space="preserve"> </w:t>
      </w:r>
      <w:r w:rsidRPr="00E62FE6">
        <w:t>in</w:t>
      </w:r>
      <w:r w:rsidR="008243CA">
        <w:t xml:space="preserve"> </w:t>
      </w:r>
      <w:r w:rsidRPr="00E62FE6">
        <w:t>international</w:t>
      </w:r>
      <w:r w:rsidR="008243CA">
        <w:t xml:space="preserve"> </w:t>
      </w:r>
      <w:r w:rsidRPr="00E62FE6">
        <w:t>forums,</w:t>
      </w:r>
      <w:r w:rsidR="008243CA">
        <w:t xml:space="preserve"> </w:t>
      </w:r>
      <w:r w:rsidRPr="00E62FE6">
        <w:t>such</w:t>
      </w:r>
      <w:r w:rsidR="008243CA">
        <w:t xml:space="preserve"> </w:t>
      </w:r>
      <w:r w:rsidRPr="00E62FE6">
        <w:t>as</w:t>
      </w:r>
      <w:r w:rsidR="008243CA">
        <w:t xml:space="preserve"> </w:t>
      </w:r>
      <w:r w:rsidRPr="00E62FE6">
        <w:t>the</w:t>
      </w:r>
      <w:r w:rsidR="008243CA">
        <w:t xml:space="preserve"> </w:t>
      </w:r>
      <w:r w:rsidRPr="00E62FE6">
        <w:t>fact</w:t>
      </w:r>
      <w:r w:rsidR="008243CA">
        <w:t xml:space="preserve"> </w:t>
      </w:r>
      <w:r w:rsidRPr="00E62FE6">
        <w:t>that</w:t>
      </w:r>
      <w:r w:rsidR="008243CA">
        <w:t xml:space="preserve"> </w:t>
      </w:r>
      <w:r w:rsidRPr="00E62FE6">
        <w:t>sexual</w:t>
      </w:r>
      <w:r w:rsidR="008243CA">
        <w:t xml:space="preserve"> </w:t>
      </w:r>
      <w:r w:rsidRPr="00E62FE6">
        <w:t>violence</w:t>
      </w:r>
      <w:r w:rsidR="008243CA">
        <w:t xml:space="preserve"> </w:t>
      </w:r>
      <w:r w:rsidRPr="00E62FE6">
        <w:t>cannot</w:t>
      </w:r>
      <w:r w:rsidR="008243CA">
        <w:t xml:space="preserve"> </w:t>
      </w:r>
      <w:r w:rsidRPr="00E62FE6">
        <w:t>be</w:t>
      </w:r>
      <w:r w:rsidR="008243CA">
        <w:t xml:space="preserve"> </w:t>
      </w:r>
      <w:r w:rsidRPr="00E62FE6">
        <w:t>classed</w:t>
      </w:r>
      <w:r w:rsidR="008243CA">
        <w:t xml:space="preserve"> </w:t>
      </w:r>
      <w:r w:rsidRPr="00E62FE6">
        <w:t>as</w:t>
      </w:r>
      <w:r w:rsidR="008243CA">
        <w:t xml:space="preserve"> </w:t>
      </w:r>
      <w:r w:rsidRPr="00E62FE6">
        <w:t>purely</w:t>
      </w:r>
      <w:r w:rsidR="008243CA">
        <w:t xml:space="preserve"> </w:t>
      </w:r>
      <w:r w:rsidRPr="00E62FE6">
        <w:t>physical</w:t>
      </w:r>
      <w:r w:rsidR="008243CA">
        <w:t xml:space="preserve"> </w:t>
      </w:r>
      <w:r w:rsidRPr="00E62FE6">
        <w:t>or</w:t>
      </w:r>
      <w:r w:rsidR="008243CA">
        <w:t xml:space="preserve"> </w:t>
      </w:r>
      <w:r w:rsidRPr="00E62FE6">
        <w:t>mental</w:t>
      </w:r>
      <w:r w:rsidR="008243CA">
        <w:t xml:space="preserve"> </w:t>
      </w:r>
      <w:r w:rsidRPr="00E62FE6">
        <w:t>abuse</w:t>
      </w:r>
      <w:r w:rsidR="008243CA">
        <w:t xml:space="preserve"> </w:t>
      </w:r>
      <w:r w:rsidRPr="00E62FE6">
        <w:t>and</w:t>
      </w:r>
      <w:r w:rsidR="008243CA">
        <w:t xml:space="preserve"> </w:t>
      </w:r>
      <w:r w:rsidRPr="00E62FE6">
        <w:t>is</w:t>
      </w:r>
      <w:r w:rsidR="008243CA">
        <w:t xml:space="preserve"> </w:t>
      </w:r>
      <w:r w:rsidRPr="00E62FE6">
        <w:t>generally</w:t>
      </w:r>
      <w:r w:rsidR="008243CA">
        <w:t xml:space="preserve"> </w:t>
      </w:r>
      <w:r w:rsidRPr="00E62FE6">
        <w:t>committed</w:t>
      </w:r>
      <w:r w:rsidR="008243CA">
        <w:t xml:space="preserve"> </w:t>
      </w:r>
      <w:r w:rsidRPr="00E62FE6">
        <w:t>against</w:t>
      </w:r>
      <w:r w:rsidR="008243CA">
        <w:t xml:space="preserve"> </w:t>
      </w:r>
      <w:r w:rsidRPr="00E62FE6">
        <w:t>women.</w:t>
      </w:r>
    </w:p>
    <w:p w:rsidR="003F7D03" w:rsidRPr="00E62FE6" w:rsidRDefault="003F7D03" w:rsidP="000C6D98">
      <w:pPr>
        <w:pStyle w:val="SingleTxtG"/>
      </w:pPr>
      <w:r w:rsidRPr="00E62FE6">
        <w:t>26.</w:t>
      </w:r>
      <w:r w:rsidRPr="00E62FE6">
        <w:tab/>
        <w:t>Lastly,</w:t>
      </w:r>
      <w:r w:rsidR="008243CA">
        <w:t xml:space="preserve"> </w:t>
      </w:r>
      <w:r w:rsidRPr="00E62FE6">
        <w:t>the</w:t>
      </w:r>
      <w:r w:rsidR="008243CA">
        <w:t xml:space="preserve"> </w:t>
      </w:r>
      <w:r w:rsidRPr="00E62FE6">
        <w:t>new</w:t>
      </w:r>
      <w:r w:rsidR="008243CA">
        <w:t xml:space="preserve"> </w:t>
      </w:r>
      <w:r w:rsidRPr="00E62FE6">
        <w:t>legislation</w:t>
      </w:r>
      <w:r w:rsidR="008243CA">
        <w:t xml:space="preserve"> </w:t>
      </w:r>
      <w:r w:rsidRPr="00E62FE6">
        <w:t>provides</w:t>
      </w:r>
      <w:r w:rsidR="008243CA">
        <w:t xml:space="preserve"> </w:t>
      </w:r>
      <w:r w:rsidRPr="00E62FE6">
        <w:t>for</w:t>
      </w:r>
      <w:r w:rsidR="008243CA">
        <w:t xml:space="preserve"> </w:t>
      </w:r>
      <w:r w:rsidRPr="00E62FE6">
        <w:t>a</w:t>
      </w:r>
      <w:r w:rsidR="008243CA">
        <w:t xml:space="preserve"> </w:t>
      </w:r>
      <w:r w:rsidRPr="00E62FE6">
        <w:t>severe</w:t>
      </w:r>
      <w:r w:rsidR="008243CA">
        <w:t xml:space="preserve"> </w:t>
      </w:r>
      <w:r w:rsidRPr="00E62FE6">
        <w:t>penalty,</w:t>
      </w:r>
      <w:r w:rsidR="008243CA">
        <w:t xml:space="preserve"> </w:t>
      </w:r>
      <w:r w:rsidRPr="00E62FE6">
        <w:t>commensurate</w:t>
      </w:r>
      <w:r w:rsidR="008243CA">
        <w:t xml:space="preserve"> </w:t>
      </w:r>
      <w:r w:rsidRPr="00E62FE6">
        <w:t>with</w:t>
      </w:r>
      <w:r w:rsidR="008243CA">
        <w:t xml:space="preserve"> </w:t>
      </w:r>
      <w:r w:rsidRPr="00E62FE6">
        <w:t>the</w:t>
      </w:r>
      <w:r w:rsidR="008243CA">
        <w:t xml:space="preserve"> </w:t>
      </w:r>
      <w:r w:rsidRPr="00E62FE6">
        <w:t>nature</w:t>
      </w:r>
      <w:r w:rsidR="008243CA">
        <w:t xml:space="preserve"> </w:t>
      </w:r>
      <w:r w:rsidRPr="00E62FE6">
        <w:t>of</w:t>
      </w:r>
      <w:r w:rsidR="008243CA">
        <w:t xml:space="preserve"> </w:t>
      </w:r>
      <w:r w:rsidRPr="00E62FE6">
        <w:t>this</w:t>
      </w:r>
      <w:r w:rsidR="008243CA">
        <w:t xml:space="preserve"> </w:t>
      </w:r>
      <w:r w:rsidRPr="00E62FE6">
        <w:t>offence,</w:t>
      </w:r>
      <w:r w:rsidR="008243CA">
        <w:t xml:space="preserve"> </w:t>
      </w:r>
      <w:r w:rsidRPr="00E62FE6">
        <w:t>which</w:t>
      </w:r>
      <w:r w:rsidR="008243CA">
        <w:t xml:space="preserve"> </w:t>
      </w:r>
      <w:r w:rsidRPr="00E62FE6">
        <w:t>is</w:t>
      </w:r>
      <w:r w:rsidR="008243CA">
        <w:t xml:space="preserve"> </w:t>
      </w:r>
      <w:r w:rsidRPr="00E62FE6">
        <w:t>considered</w:t>
      </w:r>
      <w:r w:rsidR="008243CA">
        <w:t xml:space="preserve"> </w:t>
      </w:r>
      <w:r w:rsidRPr="00E62FE6">
        <w:t>internationally</w:t>
      </w:r>
      <w:r w:rsidR="008243CA">
        <w:t xml:space="preserve"> </w:t>
      </w:r>
      <w:r w:rsidRPr="00E62FE6">
        <w:t>to</w:t>
      </w:r>
      <w:r w:rsidR="008243CA">
        <w:t xml:space="preserve"> </w:t>
      </w:r>
      <w:r w:rsidRPr="00E62FE6">
        <w:t>be</w:t>
      </w:r>
      <w:r w:rsidR="008243CA">
        <w:t xml:space="preserve"> </w:t>
      </w:r>
      <w:r w:rsidRPr="00E62FE6">
        <w:t>one</w:t>
      </w:r>
      <w:r w:rsidR="008243CA">
        <w:t xml:space="preserve"> </w:t>
      </w:r>
      <w:r w:rsidRPr="00E62FE6">
        <w:t>of</w:t>
      </w:r>
      <w:r w:rsidR="008243CA">
        <w:t xml:space="preserve"> </w:t>
      </w:r>
      <w:r w:rsidRPr="00E62FE6">
        <w:t>the</w:t>
      </w:r>
      <w:r w:rsidR="008243CA">
        <w:t xml:space="preserve"> </w:t>
      </w:r>
      <w:r w:rsidRPr="00E62FE6">
        <w:t>most</w:t>
      </w:r>
      <w:r w:rsidR="008243CA">
        <w:t xml:space="preserve"> </w:t>
      </w:r>
      <w:r w:rsidRPr="00E62FE6">
        <w:t>serious</w:t>
      </w:r>
      <w:r w:rsidR="008243CA">
        <w:t xml:space="preserve"> </w:t>
      </w:r>
      <w:r w:rsidRPr="00E62FE6">
        <w:t>crimes,</w:t>
      </w:r>
      <w:r w:rsidR="008243CA">
        <w:t xml:space="preserve"> </w:t>
      </w:r>
      <w:r w:rsidRPr="00E62FE6">
        <w:t>and</w:t>
      </w:r>
      <w:r w:rsidR="008243CA">
        <w:t xml:space="preserve"> </w:t>
      </w:r>
      <w:r w:rsidRPr="00E62FE6">
        <w:t>increases</w:t>
      </w:r>
      <w:r w:rsidR="008243CA">
        <w:t xml:space="preserve"> </w:t>
      </w:r>
      <w:r w:rsidRPr="00E62FE6">
        <w:t>the</w:t>
      </w:r>
      <w:r w:rsidR="008243CA">
        <w:t xml:space="preserve"> </w:t>
      </w:r>
      <w:r w:rsidRPr="00E62FE6">
        <w:t>period</w:t>
      </w:r>
      <w:r w:rsidR="008243CA">
        <w:t xml:space="preserve"> </w:t>
      </w:r>
      <w:r w:rsidRPr="00E62FE6">
        <w:t>of</w:t>
      </w:r>
      <w:r w:rsidR="008243CA">
        <w:t xml:space="preserve"> </w:t>
      </w:r>
      <w:r w:rsidRPr="00E62FE6">
        <w:t>limitation,</w:t>
      </w:r>
      <w:r w:rsidR="008243CA">
        <w:t xml:space="preserve"> </w:t>
      </w:r>
      <w:r w:rsidRPr="00E62FE6">
        <w:t>in</w:t>
      </w:r>
      <w:r w:rsidR="008243CA">
        <w:t xml:space="preserve"> </w:t>
      </w:r>
      <w:r w:rsidRPr="00E62FE6">
        <w:t>accordance</w:t>
      </w:r>
      <w:r w:rsidR="008243CA">
        <w:t xml:space="preserve"> </w:t>
      </w:r>
      <w:r w:rsidRPr="00E62FE6">
        <w:t>with</w:t>
      </w:r>
      <w:r w:rsidR="008243CA">
        <w:t xml:space="preserve"> </w:t>
      </w:r>
      <w:r w:rsidRPr="00E62FE6">
        <w:t>the</w:t>
      </w:r>
      <w:r w:rsidR="008243CA">
        <w:t xml:space="preserve"> </w:t>
      </w:r>
      <w:r w:rsidRPr="00E62FE6">
        <w:t>recommendations</w:t>
      </w:r>
      <w:r w:rsidR="008243CA">
        <w:t xml:space="preserve"> </w:t>
      </w:r>
      <w:r w:rsidRPr="00E62FE6">
        <w:t>of</w:t>
      </w:r>
      <w:r w:rsidR="008243CA">
        <w:t xml:space="preserve"> </w:t>
      </w:r>
      <w:r w:rsidRPr="00E62FE6">
        <w:t>the</w:t>
      </w:r>
      <w:r w:rsidR="008243CA">
        <w:t xml:space="preserve"> </w:t>
      </w:r>
      <w:r w:rsidRPr="00E62FE6">
        <w:t>Committee</w:t>
      </w:r>
      <w:r w:rsidR="008243CA">
        <w:t xml:space="preserve"> </w:t>
      </w:r>
      <w:r w:rsidRPr="00E62FE6">
        <w:t>against</w:t>
      </w:r>
      <w:r w:rsidR="008243CA">
        <w:t xml:space="preserve"> </w:t>
      </w:r>
      <w:r w:rsidRPr="00E62FE6">
        <w:t>Torture.</w:t>
      </w:r>
      <w:r w:rsidR="008243CA">
        <w:t xml:space="preserve"> </w:t>
      </w:r>
      <w:r w:rsidRPr="00E62FE6">
        <w:t>The</w:t>
      </w:r>
      <w:r w:rsidR="008243CA">
        <w:t xml:space="preserve"> </w:t>
      </w:r>
      <w:r w:rsidRPr="00E62FE6">
        <w:t>Government</w:t>
      </w:r>
      <w:r w:rsidR="008243CA">
        <w:t xml:space="preserve"> </w:t>
      </w:r>
      <w:r w:rsidRPr="00E62FE6">
        <w:t>considers,</w:t>
      </w:r>
      <w:r w:rsidR="008243CA">
        <w:t xml:space="preserve"> </w:t>
      </w:r>
      <w:r w:rsidRPr="00E62FE6">
        <w:t>however,</w:t>
      </w:r>
      <w:r w:rsidR="008243CA">
        <w:t xml:space="preserve"> </w:t>
      </w:r>
      <w:r w:rsidRPr="00E62FE6">
        <w:t>that</w:t>
      </w:r>
      <w:r w:rsidR="008243CA">
        <w:t xml:space="preserve"> </w:t>
      </w:r>
      <w:r w:rsidRPr="00E62FE6">
        <w:t>the</w:t>
      </w:r>
      <w:r w:rsidR="008243CA">
        <w:t xml:space="preserve"> </w:t>
      </w:r>
      <w:r w:rsidRPr="00E62FE6">
        <w:t>non-applicability</w:t>
      </w:r>
      <w:r w:rsidR="008243CA">
        <w:t xml:space="preserve"> </w:t>
      </w:r>
      <w:r w:rsidRPr="00E62FE6">
        <w:t>of</w:t>
      </w:r>
      <w:r w:rsidR="008243CA">
        <w:t xml:space="preserve"> </w:t>
      </w:r>
      <w:r w:rsidRPr="00E62FE6">
        <w:t>statutory</w:t>
      </w:r>
      <w:r w:rsidR="008243CA">
        <w:t xml:space="preserve"> </w:t>
      </w:r>
      <w:r w:rsidRPr="00E62FE6">
        <w:t>limitations</w:t>
      </w:r>
      <w:r w:rsidR="008243CA">
        <w:t xml:space="preserve"> </w:t>
      </w:r>
      <w:r w:rsidRPr="00E62FE6">
        <w:t>and</w:t>
      </w:r>
      <w:r w:rsidR="008243CA">
        <w:t xml:space="preserve"> </w:t>
      </w:r>
      <w:r w:rsidRPr="00E62FE6">
        <w:t>amnesty</w:t>
      </w:r>
      <w:r w:rsidR="008243CA">
        <w:t xml:space="preserve"> </w:t>
      </w:r>
      <w:r w:rsidRPr="00E62FE6">
        <w:t>provisions</w:t>
      </w:r>
      <w:r w:rsidR="008243CA">
        <w:t xml:space="preserve"> </w:t>
      </w:r>
      <w:r w:rsidRPr="00E62FE6">
        <w:t>should</w:t>
      </w:r>
      <w:r w:rsidR="008243CA">
        <w:t xml:space="preserve"> </w:t>
      </w:r>
      <w:r w:rsidRPr="00E62FE6">
        <w:t>remain</w:t>
      </w:r>
      <w:r w:rsidR="008243CA">
        <w:t xml:space="preserve"> </w:t>
      </w:r>
      <w:r w:rsidRPr="00E62FE6">
        <w:t>limited</w:t>
      </w:r>
      <w:r w:rsidR="008243CA">
        <w:t xml:space="preserve"> </w:t>
      </w:r>
      <w:r w:rsidRPr="00E62FE6">
        <w:t>to</w:t>
      </w:r>
      <w:r w:rsidR="008243CA">
        <w:t xml:space="preserve"> </w:t>
      </w:r>
      <w:r w:rsidRPr="00E62FE6">
        <w:t>torture</w:t>
      </w:r>
      <w:r w:rsidR="008243CA">
        <w:t xml:space="preserve"> </w:t>
      </w:r>
      <w:r w:rsidRPr="00E62FE6">
        <w:t>as</w:t>
      </w:r>
      <w:r w:rsidR="008243CA">
        <w:t xml:space="preserve"> </w:t>
      </w:r>
      <w:r w:rsidRPr="00E62FE6">
        <w:t>a</w:t>
      </w:r>
      <w:r w:rsidR="008243CA">
        <w:t xml:space="preserve"> </w:t>
      </w:r>
      <w:r w:rsidRPr="00E62FE6">
        <w:t>crime</w:t>
      </w:r>
      <w:r w:rsidR="008243CA">
        <w:t xml:space="preserve"> </w:t>
      </w:r>
      <w:r w:rsidRPr="00E62FE6">
        <w:t>against</w:t>
      </w:r>
      <w:r w:rsidR="008243CA">
        <w:t xml:space="preserve"> </w:t>
      </w:r>
      <w:r w:rsidRPr="00E62FE6">
        <w:t>humanity</w:t>
      </w:r>
      <w:r w:rsidR="008243CA">
        <w:t xml:space="preserve"> </w:t>
      </w:r>
      <w:r w:rsidRPr="00E62FE6">
        <w:t>or</w:t>
      </w:r>
      <w:r w:rsidR="008243CA">
        <w:t xml:space="preserve"> </w:t>
      </w:r>
      <w:r w:rsidRPr="00E62FE6">
        <w:t>a</w:t>
      </w:r>
      <w:r w:rsidR="008243CA">
        <w:t xml:space="preserve"> </w:t>
      </w:r>
      <w:r w:rsidRPr="00E62FE6">
        <w:t>war</w:t>
      </w:r>
      <w:r w:rsidR="008243CA">
        <w:t xml:space="preserve"> </w:t>
      </w:r>
      <w:r w:rsidRPr="00E62FE6">
        <w:t>crime,</w:t>
      </w:r>
      <w:r w:rsidR="008243CA">
        <w:t xml:space="preserve"> </w:t>
      </w:r>
      <w:r w:rsidRPr="00E62FE6">
        <w:t>as</w:t>
      </w:r>
      <w:r w:rsidR="008243CA">
        <w:t xml:space="preserve"> </w:t>
      </w:r>
      <w:r w:rsidRPr="00E62FE6">
        <w:t>provided</w:t>
      </w:r>
      <w:r w:rsidR="008243CA">
        <w:t xml:space="preserve"> </w:t>
      </w:r>
      <w:r w:rsidRPr="00E62FE6">
        <w:t>for</w:t>
      </w:r>
      <w:r w:rsidR="008243CA">
        <w:t xml:space="preserve"> </w:t>
      </w:r>
      <w:r w:rsidRPr="00E62FE6">
        <w:t>in</w:t>
      </w:r>
      <w:r w:rsidR="008243CA">
        <w:t xml:space="preserve"> </w:t>
      </w:r>
      <w:r w:rsidRPr="00E62FE6">
        <w:t>Act</w:t>
      </w:r>
      <w:r w:rsidR="008243CA">
        <w:t xml:space="preserve"> </w:t>
      </w:r>
      <w:r w:rsidRPr="00E62FE6">
        <w:t>No.</w:t>
      </w:r>
      <w:r w:rsidR="008243CA">
        <w:t xml:space="preserve"> </w:t>
      </w:r>
      <w:r w:rsidRPr="00E62FE6">
        <w:t>20357,</w:t>
      </w:r>
      <w:r w:rsidR="008243CA">
        <w:t xml:space="preserve"> </w:t>
      </w:r>
      <w:r w:rsidRPr="00E62FE6">
        <w:t>and</w:t>
      </w:r>
      <w:r w:rsidR="008243CA">
        <w:t xml:space="preserve"> </w:t>
      </w:r>
      <w:r w:rsidRPr="00E62FE6">
        <w:t>should</w:t>
      </w:r>
      <w:r w:rsidR="008243CA">
        <w:t xml:space="preserve"> </w:t>
      </w:r>
      <w:r w:rsidRPr="00E62FE6">
        <w:t>not</w:t>
      </w:r>
      <w:r w:rsidR="008243CA">
        <w:t xml:space="preserve"> </w:t>
      </w:r>
      <w:r w:rsidRPr="00E62FE6">
        <w:t>be</w:t>
      </w:r>
      <w:r w:rsidR="008243CA">
        <w:t xml:space="preserve"> </w:t>
      </w:r>
      <w:r w:rsidRPr="00E62FE6">
        <w:t>extended</w:t>
      </w:r>
      <w:r w:rsidR="008243CA">
        <w:t xml:space="preserve"> </w:t>
      </w:r>
      <w:r w:rsidRPr="00E62FE6">
        <w:t>to</w:t>
      </w:r>
      <w:r w:rsidR="008243CA">
        <w:t xml:space="preserve"> </w:t>
      </w:r>
      <w:r w:rsidRPr="00E62FE6">
        <w:t>ordinary</w:t>
      </w:r>
      <w:r w:rsidR="008243CA">
        <w:t xml:space="preserve"> </w:t>
      </w:r>
      <w:r w:rsidRPr="00E62FE6">
        <w:t>offences.</w:t>
      </w:r>
    </w:p>
    <w:p w:rsidR="003F7D03" w:rsidRPr="00E62FE6" w:rsidRDefault="003F7D03" w:rsidP="000C6D98">
      <w:pPr>
        <w:pStyle w:val="SingleTxtG"/>
      </w:pPr>
      <w:r w:rsidRPr="00E62FE6">
        <w:t>27.</w:t>
      </w:r>
      <w:r w:rsidRPr="00E62FE6">
        <w:tab/>
        <w:t>Article</w:t>
      </w:r>
      <w:r w:rsidR="008243CA">
        <w:t xml:space="preserve"> </w:t>
      </w:r>
      <w:r w:rsidRPr="00E62FE6">
        <w:t>150B</w:t>
      </w:r>
      <w:r w:rsidR="008243CA">
        <w:t xml:space="preserve"> </w:t>
      </w:r>
      <w:r w:rsidRPr="00E62FE6">
        <w:t>has</w:t>
      </w:r>
      <w:r w:rsidR="008243CA">
        <w:t xml:space="preserve"> </w:t>
      </w:r>
      <w:r w:rsidRPr="00E62FE6">
        <w:t>also</w:t>
      </w:r>
      <w:r w:rsidR="008243CA">
        <w:t xml:space="preserve"> </w:t>
      </w:r>
      <w:r w:rsidRPr="00E62FE6">
        <w:t>been</w:t>
      </w:r>
      <w:r w:rsidR="008243CA">
        <w:t xml:space="preserve"> </w:t>
      </w:r>
      <w:r w:rsidRPr="00E62FE6">
        <w:t>amended</w:t>
      </w:r>
      <w:r w:rsidR="008243CA">
        <w:t xml:space="preserve"> </w:t>
      </w:r>
      <w:r w:rsidRPr="00E62FE6">
        <w:t>to</w:t>
      </w:r>
      <w:r w:rsidR="008243CA">
        <w:t xml:space="preserve"> </w:t>
      </w:r>
      <w:r w:rsidRPr="00E62FE6">
        <w:t>include</w:t>
      </w:r>
      <w:r w:rsidR="008243CA">
        <w:t xml:space="preserve"> </w:t>
      </w:r>
      <w:r w:rsidRPr="00E62FE6">
        <w:t>the</w:t>
      </w:r>
      <w:r w:rsidR="008243CA">
        <w:t xml:space="preserve"> </w:t>
      </w:r>
      <w:r w:rsidRPr="00E62FE6">
        <w:t>offence</w:t>
      </w:r>
      <w:r w:rsidR="008243CA">
        <w:t xml:space="preserve"> </w:t>
      </w:r>
      <w:r w:rsidRPr="00E62FE6">
        <w:t>of</w:t>
      </w:r>
      <w:r w:rsidR="008243CA">
        <w:t xml:space="preserve"> </w:t>
      </w:r>
      <w:r w:rsidRPr="00E62FE6">
        <w:t>aggravated</w:t>
      </w:r>
      <w:r w:rsidR="008243CA">
        <w:t xml:space="preserve"> </w:t>
      </w:r>
      <w:r w:rsidRPr="00E62FE6">
        <w:t>torture,</w:t>
      </w:r>
      <w:r w:rsidR="008243CA">
        <w:t xml:space="preserve"> </w:t>
      </w:r>
      <w:r w:rsidRPr="00E62FE6">
        <w:t>which</w:t>
      </w:r>
      <w:r w:rsidR="008243CA">
        <w:t xml:space="preserve"> </w:t>
      </w:r>
      <w:r w:rsidRPr="00E62FE6">
        <w:t>is</w:t>
      </w:r>
      <w:r w:rsidR="008243CA">
        <w:t xml:space="preserve"> </w:t>
      </w:r>
      <w:r w:rsidRPr="00E62FE6">
        <w:t>defined</w:t>
      </w:r>
      <w:r w:rsidR="008243CA">
        <w:t xml:space="preserve"> </w:t>
      </w:r>
      <w:r w:rsidRPr="00E62FE6">
        <w:t>as</w:t>
      </w:r>
      <w:r w:rsidR="008243CA">
        <w:t xml:space="preserve"> </w:t>
      </w:r>
      <w:r w:rsidRPr="00E62FE6">
        <w:t>torture</w:t>
      </w:r>
      <w:r w:rsidR="008243CA">
        <w:t xml:space="preserve"> </w:t>
      </w:r>
      <w:r w:rsidRPr="00E62FE6">
        <w:t>committed</w:t>
      </w:r>
      <w:r w:rsidR="008243CA">
        <w:t xml:space="preserve"> </w:t>
      </w:r>
      <w:r w:rsidRPr="00E62FE6">
        <w:t>alongside</w:t>
      </w:r>
      <w:r w:rsidR="008243CA">
        <w:t xml:space="preserve"> </w:t>
      </w:r>
      <w:r w:rsidRPr="00E62FE6">
        <w:t>the</w:t>
      </w:r>
      <w:r w:rsidR="008243CA">
        <w:t xml:space="preserve"> </w:t>
      </w:r>
      <w:r w:rsidRPr="00E62FE6">
        <w:t>offences</w:t>
      </w:r>
      <w:r w:rsidR="008243CA">
        <w:t xml:space="preserve"> </w:t>
      </w:r>
      <w:r w:rsidRPr="00E62FE6">
        <w:t>of</w:t>
      </w:r>
      <w:r w:rsidR="008243CA">
        <w:t xml:space="preserve"> </w:t>
      </w:r>
      <w:r w:rsidRPr="00E62FE6">
        <w:t>murder,</w:t>
      </w:r>
      <w:r w:rsidR="008243CA">
        <w:t xml:space="preserve"> </w:t>
      </w:r>
      <w:r w:rsidRPr="00E62FE6">
        <w:t>rape,</w:t>
      </w:r>
      <w:r w:rsidR="008243CA">
        <w:t xml:space="preserve"> </w:t>
      </w:r>
      <w:r w:rsidRPr="00E62FE6">
        <w:t>aggravated</w:t>
      </w:r>
      <w:r w:rsidR="008243CA">
        <w:t xml:space="preserve"> </w:t>
      </w:r>
      <w:r w:rsidRPr="00E62FE6">
        <w:t>assault,</w:t>
      </w:r>
      <w:r w:rsidR="008243CA">
        <w:t xml:space="preserve"> </w:t>
      </w:r>
      <w:r w:rsidRPr="00E62FE6">
        <w:t>castration,</w:t>
      </w:r>
      <w:r w:rsidR="008243CA">
        <w:t xml:space="preserve"> </w:t>
      </w:r>
      <w:r w:rsidRPr="00E62FE6">
        <w:t>mutilation,</w:t>
      </w:r>
      <w:r w:rsidR="008243CA">
        <w:t xml:space="preserve"> </w:t>
      </w:r>
      <w:r w:rsidRPr="00E62FE6">
        <w:t>serious</w:t>
      </w:r>
      <w:r w:rsidR="008243CA">
        <w:t xml:space="preserve"> </w:t>
      </w:r>
      <w:r w:rsidRPr="00E62FE6">
        <w:t>injury,</w:t>
      </w:r>
      <w:r w:rsidR="008243CA">
        <w:t xml:space="preserve"> </w:t>
      </w:r>
      <w:r w:rsidRPr="00E62FE6">
        <w:t>very</w:t>
      </w:r>
      <w:r w:rsidR="008243CA">
        <w:t xml:space="preserve"> </w:t>
      </w:r>
      <w:r w:rsidRPr="00E62FE6">
        <w:t>serious</w:t>
      </w:r>
      <w:r w:rsidR="008243CA">
        <w:t xml:space="preserve"> </w:t>
      </w:r>
      <w:r w:rsidRPr="00E62FE6">
        <w:t>injury</w:t>
      </w:r>
      <w:r w:rsidR="008243CA">
        <w:t xml:space="preserve"> </w:t>
      </w:r>
      <w:r w:rsidRPr="00E62FE6">
        <w:t>and</w:t>
      </w:r>
      <w:r w:rsidR="008243CA">
        <w:t xml:space="preserve"> </w:t>
      </w:r>
      <w:r w:rsidRPr="00E62FE6">
        <w:t>injury</w:t>
      </w:r>
      <w:r w:rsidR="008243CA">
        <w:t xml:space="preserve"> </w:t>
      </w:r>
      <w:r w:rsidRPr="00E62FE6">
        <w:t>that</w:t>
      </w:r>
      <w:r w:rsidR="008243CA">
        <w:t xml:space="preserve"> </w:t>
      </w:r>
      <w:r w:rsidRPr="00E62FE6">
        <w:t>constitutes</w:t>
      </w:r>
      <w:r w:rsidR="008243CA">
        <w:t xml:space="preserve"> </w:t>
      </w:r>
      <w:r w:rsidRPr="00E62FE6">
        <w:t>a</w:t>
      </w:r>
      <w:r w:rsidR="008243CA">
        <w:t xml:space="preserve"> </w:t>
      </w:r>
      <w:r w:rsidRPr="00E62FE6">
        <w:t>quasi-offence,</w:t>
      </w:r>
      <w:r w:rsidR="008243CA">
        <w:t xml:space="preserve"> </w:t>
      </w:r>
      <w:r w:rsidRPr="00E62FE6">
        <w:t>and</w:t>
      </w:r>
      <w:r w:rsidR="008243CA">
        <w:t xml:space="preserve"> </w:t>
      </w:r>
      <w:r w:rsidRPr="00E62FE6">
        <w:t>provides</w:t>
      </w:r>
      <w:r w:rsidR="008243CA">
        <w:t xml:space="preserve"> </w:t>
      </w:r>
      <w:r w:rsidRPr="00E62FE6">
        <w:t>for</w:t>
      </w:r>
      <w:r w:rsidR="008243CA">
        <w:t xml:space="preserve"> </w:t>
      </w:r>
      <w:r w:rsidRPr="00E62FE6">
        <w:t>penalties</w:t>
      </w:r>
      <w:r w:rsidR="008243CA">
        <w:t xml:space="preserve"> </w:t>
      </w:r>
      <w:r w:rsidRPr="00E62FE6">
        <w:t>that</w:t>
      </w:r>
      <w:r w:rsidR="008243CA">
        <w:t xml:space="preserve"> </w:t>
      </w:r>
      <w:r w:rsidRPr="00E62FE6">
        <w:t>are</w:t>
      </w:r>
      <w:r w:rsidR="008243CA">
        <w:t xml:space="preserve"> </w:t>
      </w:r>
      <w:r w:rsidRPr="00E62FE6">
        <w:t>proportional</w:t>
      </w:r>
      <w:r w:rsidR="008243CA">
        <w:t xml:space="preserve"> </w:t>
      </w:r>
      <w:r w:rsidRPr="00E62FE6">
        <w:t>to</w:t>
      </w:r>
      <w:r w:rsidR="008243CA">
        <w:t xml:space="preserve"> </w:t>
      </w:r>
      <w:r w:rsidRPr="00E62FE6">
        <w:t>the</w:t>
      </w:r>
      <w:r w:rsidR="008243CA">
        <w:t xml:space="preserve"> </w:t>
      </w:r>
      <w:r w:rsidRPr="00E62FE6">
        <w:t>gravity</w:t>
      </w:r>
      <w:r w:rsidR="008243CA">
        <w:t xml:space="preserve"> </w:t>
      </w:r>
      <w:r w:rsidRPr="00E62FE6">
        <w:t>of</w:t>
      </w:r>
      <w:r w:rsidR="008243CA">
        <w:t xml:space="preserve"> </w:t>
      </w:r>
      <w:r w:rsidRPr="00E62FE6">
        <w:t>the</w:t>
      </w:r>
      <w:r w:rsidR="008243CA">
        <w:t xml:space="preserve"> </w:t>
      </w:r>
      <w:r w:rsidRPr="00E62FE6">
        <w:t>offences</w:t>
      </w:r>
      <w:r w:rsidR="008243CA">
        <w:t xml:space="preserve"> </w:t>
      </w:r>
      <w:r w:rsidRPr="00E62FE6">
        <w:t>in</w:t>
      </w:r>
      <w:r w:rsidR="008243CA">
        <w:t xml:space="preserve"> </w:t>
      </w:r>
      <w:r w:rsidRPr="00E62FE6">
        <w:t>question.</w:t>
      </w:r>
    </w:p>
    <w:p w:rsidR="003F7D03" w:rsidRPr="00E62FE6" w:rsidRDefault="003F7D03" w:rsidP="000C6D98">
      <w:pPr>
        <w:pStyle w:val="SingleTxtG"/>
      </w:pPr>
      <w:r w:rsidRPr="00E62FE6">
        <w:t>28.</w:t>
      </w:r>
      <w:r w:rsidRPr="00E62FE6">
        <w:tab/>
        <w:t>Articles</w:t>
      </w:r>
      <w:r w:rsidR="008243CA">
        <w:t xml:space="preserve"> </w:t>
      </w:r>
      <w:r w:rsidRPr="00E62FE6">
        <w:t>150D,</w:t>
      </w:r>
      <w:r w:rsidR="008243CA">
        <w:t xml:space="preserve"> </w:t>
      </w:r>
      <w:r w:rsidRPr="00E62FE6">
        <w:t>150E</w:t>
      </w:r>
      <w:r w:rsidR="008243CA">
        <w:t xml:space="preserve"> </w:t>
      </w:r>
      <w:r w:rsidRPr="00E62FE6">
        <w:t>and</w:t>
      </w:r>
      <w:r w:rsidR="008243CA">
        <w:t xml:space="preserve"> </w:t>
      </w:r>
      <w:r w:rsidRPr="00E62FE6">
        <w:t>150F,</w:t>
      </w:r>
      <w:r w:rsidR="008243CA">
        <w:t xml:space="preserve"> </w:t>
      </w:r>
      <w:r w:rsidRPr="00E62FE6">
        <w:t>concerning</w:t>
      </w:r>
      <w:r w:rsidR="008243CA">
        <w:t xml:space="preserve"> </w:t>
      </w:r>
      <w:r w:rsidRPr="00E62FE6">
        <w:t>unlawful</w:t>
      </w:r>
      <w:r w:rsidR="008243CA">
        <w:t xml:space="preserve"> </w:t>
      </w:r>
      <w:r w:rsidRPr="00E62FE6">
        <w:t>coercion</w:t>
      </w:r>
      <w:r w:rsidR="008243CA">
        <w:t xml:space="preserve"> </w:t>
      </w:r>
      <w:r w:rsidRPr="00E62FE6">
        <w:t>and</w:t>
      </w:r>
      <w:r w:rsidR="008243CA">
        <w:t xml:space="preserve"> </w:t>
      </w:r>
      <w:r w:rsidRPr="00E62FE6">
        <w:t>other</w:t>
      </w:r>
      <w:r w:rsidR="008243CA">
        <w:t xml:space="preserve"> </w:t>
      </w:r>
      <w:r w:rsidRPr="00E62FE6">
        <w:t>cruel,</w:t>
      </w:r>
      <w:r w:rsidR="008243CA">
        <w:t xml:space="preserve"> </w:t>
      </w:r>
      <w:r w:rsidRPr="00E62FE6">
        <w:t>inhuman</w:t>
      </w:r>
      <w:r w:rsidR="008243CA">
        <w:t xml:space="preserve"> </w:t>
      </w:r>
      <w:r w:rsidRPr="00E62FE6">
        <w:t>or</w:t>
      </w:r>
      <w:r w:rsidR="008243CA">
        <w:t xml:space="preserve"> </w:t>
      </w:r>
      <w:r w:rsidRPr="00E62FE6">
        <w:t>degrading</w:t>
      </w:r>
      <w:r w:rsidR="008243CA">
        <w:t xml:space="preserve"> </w:t>
      </w:r>
      <w:r w:rsidRPr="00E62FE6">
        <w:t>treatment,</w:t>
      </w:r>
      <w:r w:rsidR="008243CA">
        <w:t xml:space="preserve"> </w:t>
      </w:r>
      <w:r w:rsidRPr="00E62FE6">
        <w:t>have</w:t>
      </w:r>
      <w:r w:rsidR="008243CA">
        <w:t xml:space="preserve"> </w:t>
      </w:r>
      <w:r w:rsidRPr="00E62FE6">
        <w:t>also</w:t>
      </w:r>
      <w:r w:rsidR="008243CA">
        <w:t xml:space="preserve"> </w:t>
      </w:r>
      <w:r w:rsidRPr="00E62FE6">
        <w:t>been</w:t>
      </w:r>
      <w:r w:rsidR="008243CA">
        <w:t xml:space="preserve"> </w:t>
      </w:r>
      <w:r w:rsidRPr="00E62FE6">
        <w:t>added.</w:t>
      </w:r>
      <w:r w:rsidRPr="00116F0B">
        <w:rPr>
          <w:rStyle w:val="FootnoteReference"/>
        </w:rPr>
        <w:footnoteReference w:id="20"/>
      </w:r>
      <w:r w:rsidR="008243CA">
        <w:t xml:space="preserve"> </w:t>
      </w:r>
      <w:r w:rsidRPr="00E62FE6">
        <w:t>The</w:t>
      </w:r>
      <w:r w:rsidR="008243CA">
        <w:t xml:space="preserve"> </w:t>
      </w:r>
      <w:r w:rsidRPr="00E62FE6">
        <w:t>new</w:t>
      </w:r>
      <w:r w:rsidR="008243CA">
        <w:t xml:space="preserve"> </w:t>
      </w:r>
      <w:r w:rsidRPr="00E62FE6">
        <w:t>provisions</w:t>
      </w:r>
      <w:r w:rsidR="008243CA">
        <w:t xml:space="preserve"> </w:t>
      </w:r>
      <w:r w:rsidRPr="00E62FE6">
        <w:t>seek</w:t>
      </w:r>
      <w:r w:rsidR="008243CA">
        <w:t xml:space="preserve"> </w:t>
      </w:r>
      <w:r w:rsidRPr="00E62FE6">
        <w:t>to</w:t>
      </w:r>
      <w:r w:rsidR="008243CA">
        <w:t xml:space="preserve"> </w:t>
      </w:r>
      <w:r w:rsidRPr="00E62FE6">
        <w:t>punish</w:t>
      </w:r>
      <w:r w:rsidR="008243CA">
        <w:t xml:space="preserve"> </w:t>
      </w:r>
      <w:r w:rsidRPr="00E62FE6">
        <w:t>those</w:t>
      </w:r>
      <w:r w:rsidR="008243CA">
        <w:t xml:space="preserve"> </w:t>
      </w:r>
      <w:r w:rsidRPr="00E62FE6">
        <w:t>who</w:t>
      </w:r>
      <w:r w:rsidR="008243CA">
        <w:t xml:space="preserve"> </w:t>
      </w:r>
      <w:r w:rsidRPr="00E62FE6">
        <w:t>are</w:t>
      </w:r>
      <w:r w:rsidR="008243CA">
        <w:t xml:space="preserve"> </w:t>
      </w:r>
      <w:r w:rsidRPr="00E62FE6">
        <w:t>complicit</w:t>
      </w:r>
      <w:r w:rsidR="008243CA">
        <w:t xml:space="preserve"> </w:t>
      </w:r>
      <w:r w:rsidRPr="00E62FE6">
        <w:t>in</w:t>
      </w:r>
      <w:r w:rsidR="008243CA">
        <w:t xml:space="preserve"> </w:t>
      </w:r>
      <w:r w:rsidRPr="00E62FE6">
        <w:t>such</w:t>
      </w:r>
      <w:r w:rsidR="008243CA">
        <w:t xml:space="preserve"> </w:t>
      </w:r>
      <w:r w:rsidRPr="00E62FE6">
        <w:t>offences</w:t>
      </w:r>
      <w:r w:rsidR="008243CA">
        <w:t xml:space="preserve"> </w:t>
      </w:r>
      <w:r w:rsidRPr="00E62FE6">
        <w:t>and</w:t>
      </w:r>
      <w:r w:rsidR="008243CA">
        <w:t xml:space="preserve"> </w:t>
      </w:r>
      <w:r w:rsidRPr="00E62FE6">
        <w:t>establish</w:t>
      </w:r>
      <w:r w:rsidR="008243CA">
        <w:t xml:space="preserve"> </w:t>
      </w:r>
      <w:r w:rsidRPr="00E62FE6">
        <w:t>a</w:t>
      </w:r>
      <w:r w:rsidR="008243CA">
        <w:t xml:space="preserve"> </w:t>
      </w:r>
      <w:r w:rsidRPr="00E62FE6">
        <w:t>higher</w:t>
      </w:r>
      <w:r w:rsidR="008243CA">
        <w:t xml:space="preserve"> </w:t>
      </w:r>
      <w:r w:rsidRPr="00E62FE6">
        <w:t>penalty</w:t>
      </w:r>
      <w:r w:rsidR="008243CA">
        <w:t xml:space="preserve"> </w:t>
      </w:r>
      <w:r w:rsidRPr="00E62FE6">
        <w:t>for</w:t>
      </w:r>
      <w:r w:rsidR="008243CA">
        <w:t xml:space="preserve"> </w:t>
      </w:r>
      <w:r w:rsidRPr="00E62FE6">
        <w:t>offences</w:t>
      </w:r>
      <w:r w:rsidR="008243CA">
        <w:t xml:space="preserve"> </w:t>
      </w:r>
      <w:r w:rsidRPr="00E62FE6">
        <w:t>committed</w:t>
      </w:r>
      <w:r w:rsidR="008243CA">
        <w:t xml:space="preserve"> </w:t>
      </w:r>
      <w:r w:rsidRPr="00E62FE6">
        <w:t>against</w:t>
      </w:r>
      <w:r w:rsidR="008243CA">
        <w:t xml:space="preserve"> </w:t>
      </w:r>
      <w:r w:rsidRPr="00E62FE6">
        <w:t>particularly</w:t>
      </w:r>
      <w:r w:rsidR="008243CA">
        <w:t xml:space="preserve"> </w:t>
      </w:r>
      <w:r w:rsidRPr="00E62FE6">
        <w:t>vulnerable</w:t>
      </w:r>
      <w:r w:rsidR="008243CA">
        <w:t xml:space="preserve"> </w:t>
      </w:r>
      <w:r w:rsidRPr="00E62FE6">
        <w:t>persons.</w:t>
      </w:r>
      <w:r w:rsidR="008243CA">
        <w:t xml:space="preserve"> </w:t>
      </w:r>
      <w:r w:rsidRPr="00E62FE6">
        <w:t>The</w:t>
      </w:r>
      <w:r w:rsidR="008243CA">
        <w:t xml:space="preserve"> </w:t>
      </w:r>
      <w:r w:rsidRPr="00E62FE6">
        <w:t>Act</w:t>
      </w:r>
      <w:r w:rsidR="008243CA">
        <w:t xml:space="preserve"> </w:t>
      </w:r>
      <w:r w:rsidRPr="00E62FE6">
        <w:t>also</w:t>
      </w:r>
      <w:r w:rsidR="008243CA">
        <w:t xml:space="preserve"> </w:t>
      </w:r>
      <w:r w:rsidRPr="00E62FE6">
        <w:t>amends</w:t>
      </w:r>
      <w:r w:rsidR="008243CA">
        <w:t xml:space="preserve"> </w:t>
      </w:r>
      <w:r w:rsidRPr="00E62FE6">
        <w:t>article</w:t>
      </w:r>
      <w:r w:rsidR="008243CA">
        <w:t xml:space="preserve"> </w:t>
      </w:r>
      <w:r w:rsidRPr="00E62FE6">
        <w:t>255</w:t>
      </w:r>
      <w:r w:rsidR="008243CA">
        <w:t xml:space="preserve"> </w:t>
      </w:r>
      <w:r w:rsidRPr="00E62FE6">
        <w:t>of</w:t>
      </w:r>
      <w:r w:rsidR="008243CA">
        <w:t xml:space="preserve"> </w:t>
      </w:r>
      <w:r w:rsidRPr="00E62FE6">
        <w:t>the</w:t>
      </w:r>
      <w:r w:rsidR="008243CA">
        <w:t xml:space="preserve"> </w:t>
      </w:r>
      <w:r w:rsidRPr="00E62FE6">
        <w:t>Criminal</w:t>
      </w:r>
      <w:r w:rsidR="008243CA">
        <w:t xml:space="preserve"> </w:t>
      </w:r>
      <w:r w:rsidRPr="00E62FE6">
        <w:t>Code,</w:t>
      </w:r>
      <w:r w:rsidR="008243CA">
        <w:t xml:space="preserve"> </w:t>
      </w:r>
      <w:r w:rsidRPr="00E62FE6">
        <w:t>removing</w:t>
      </w:r>
      <w:r w:rsidR="008243CA">
        <w:t xml:space="preserve"> </w:t>
      </w:r>
      <w:r w:rsidRPr="00E62FE6">
        <w:t>all</w:t>
      </w:r>
      <w:r w:rsidR="008243CA">
        <w:t xml:space="preserve"> </w:t>
      </w:r>
      <w:r w:rsidRPr="00E62FE6">
        <w:t>references</w:t>
      </w:r>
      <w:r w:rsidR="008243CA">
        <w:t xml:space="preserve"> </w:t>
      </w:r>
      <w:r w:rsidRPr="00E62FE6">
        <w:t>to</w:t>
      </w:r>
      <w:r w:rsidR="008243CA">
        <w:t xml:space="preserve"> </w:t>
      </w:r>
      <w:r w:rsidRPr="00E62FE6">
        <w:t>unlawful</w:t>
      </w:r>
      <w:r w:rsidR="008243CA">
        <w:t xml:space="preserve"> </w:t>
      </w:r>
      <w:r w:rsidRPr="00E62FE6">
        <w:t>coercion</w:t>
      </w:r>
      <w:r w:rsidR="008243CA">
        <w:t xml:space="preserve"> </w:t>
      </w:r>
      <w:r w:rsidRPr="00E62FE6">
        <w:t>so</w:t>
      </w:r>
      <w:r w:rsidR="008243CA">
        <w:t xml:space="preserve"> </w:t>
      </w:r>
      <w:r w:rsidRPr="00E62FE6">
        <w:t>as</w:t>
      </w:r>
      <w:r w:rsidR="008243CA">
        <w:t xml:space="preserve"> </w:t>
      </w:r>
      <w:r w:rsidRPr="00E62FE6">
        <w:t>to</w:t>
      </w:r>
      <w:r w:rsidR="008243CA">
        <w:t xml:space="preserve"> </w:t>
      </w:r>
      <w:r w:rsidRPr="00E62FE6">
        <w:t>avoid</w:t>
      </w:r>
      <w:r w:rsidR="008243CA">
        <w:t xml:space="preserve"> </w:t>
      </w:r>
      <w:r w:rsidRPr="00E62FE6">
        <w:t>confusion</w:t>
      </w:r>
      <w:r w:rsidR="008243CA">
        <w:t xml:space="preserve"> </w:t>
      </w:r>
      <w:r w:rsidRPr="00E62FE6">
        <w:t>between</w:t>
      </w:r>
      <w:r w:rsidR="008243CA">
        <w:t xml:space="preserve"> </w:t>
      </w:r>
      <w:r w:rsidRPr="00E62FE6">
        <w:t>the</w:t>
      </w:r>
      <w:r w:rsidR="008243CA">
        <w:t xml:space="preserve"> </w:t>
      </w:r>
      <w:r w:rsidRPr="00E62FE6">
        <w:t>offences</w:t>
      </w:r>
      <w:r w:rsidR="008243CA">
        <w:t xml:space="preserve"> </w:t>
      </w:r>
      <w:r w:rsidRPr="00E62FE6">
        <w:t>concerned.</w:t>
      </w:r>
      <w:bookmarkStart w:id="29" w:name="page13"/>
      <w:bookmarkEnd w:id="29"/>
    </w:p>
    <w:p w:rsidR="003F7D03" w:rsidRPr="00E62FE6" w:rsidRDefault="003F7D03" w:rsidP="000C6D98">
      <w:pPr>
        <w:pStyle w:val="SingleTxtG"/>
      </w:pPr>
      <w:r w:rsidRPr="00E62FE6">
        <w:lastRenderedPageBreak/>
        <w:t>29.</w:t>
      </w:r>
      <w:r w:rsidRPr="00E62FE6">
        <w:tab/>
        <w:t>Another</w:t>
      </w:r>
      <w:r w:rsidR="008243CA">
        <w:t xml:space="preserve"> </w:t>
      </w:r>
      <w:r w:rsidRPr="00E62FE6">
        <w:t>important</w:t>
      </w:r>
      <w:r w:rsidR="008243CA">
        <w:t xml:space="preserve"> </w:t>
      </w:r>
      <w:r w:rsidRPr="00E62FE6">
        <w:t>development</w:t>
      </w:r>
      <w:r w:rsidR="008243CA">
        <w:t xml:space="preserve"> </w:t>
      </w:r>
      <w:r w:rsidRPr="00E62FE6">
        <w:t>relating</w:t>
      </w:r>
      <w:r w:rsidR="008243CA">
        <w:t xml:space="preserve"> </w:t>
      </w:r>
      <w:r w:rsidRPr="00E62FE6">
        <w:t>to</w:t>
      </w:r>
      <w:r w:rsidR="008243CA">
        <w:t xml:space="preserve"> </w:t>
      </w:r>
      <w:r w:rsidRPr="00E62FE6">
        <w:t>the</w:t>
      </w:r>
      <w:r w:rsidR="008243CA">
        <w:t xml:space="preserve"> </w:t>
      </w:r>
      <w:r w:rsidRPr="00E62FE6">
        <w:t>Subcommittee</w:t>
      </w:r>
      <w:r w:rsidR="00116F0B">
        <w:t>’</w:t>
      </w:r>
      <w:r w:rsidRPr="00E62FE6">
        <w:t>s</w:t>
      </w:r>
      <w:r w:rsidR="008243CA">
        <w:t xml:space="preserve"> </w:t>
      </w:r>
      <w:r w:rsidRPr="00E62FE6">
        <w:t>recommendation</w:t>
      </w:r>
      <w:r w:rsidR="008243CA">
        <w:t xml:space="preserve"> </w:t>
      </w:r>
      <w:r w:rsidRPr="00E62FE6">
        <w:t>in</w:t>
      </w:r>
      <w:r w:rsidR="008243CA">
        <w:t xml:space="preserve"> </w:t>
      </w:r>
      <w:r w:rsidRPr="00E62FE6">
        <w:t>this</w:t>
      </w:r>
      <w:r w:rsidR="008243CA">
        <w:t xml:space="preserve"> </w:t>
      </w:r>
      <w:r w:rsidRPr="00E62FE6">
        <w:t>area</w:t>
      </w:r>
      <w:r w:rsidR="008243CA">
        <w:t xml:space="preserve"> </w:t>
      </w:r>
      <w:r w:rsidRPr="00E62FE6">
        <w:t>is</w:t>
      </w:r>
      <w:r w:rsidR="008243CA">
        <w:t xml:space="preserve"> </w:t>
      </w:r>
      <w:r w:rsidRPr="00E62FE6">
        <w:t>the</w:t>
      </w:r>
      <w:r w:rsidR="008243CA">
        <w:t xml:space="preserve"> </w:t>
      </w:r>
      <w:r w:rsidRPr="00E62FE6">
        <w:t>amendment,</w:t>
      </w:r>
      <w:r w:rsidR="008243CA">
        <w:t xml:space="preserve"> </w:t>
      </w:r>
      <w:r w:rsidRPr="00E62FE6">
        <w:t>under</w:t>
      </w:r>
      <w:r w:rsidR="008243CA">
        <w:t xml:space="preserve"> </w:t>
      </w:r>
      <w:r w:rsidRPr="00E62FE6">
        <w:t>Act</w:t>
      </w:r>
      <w:r w:rsidR="008243CA">
        <w:t xml:space="preserve"> </w:t>
      </w:r>
      <w:r w:rsidRPr="00E62FE6">
        <w:t>No.</w:t>
      </w:r>
      <w:r w:rsidR="008243CA">
        <w:t xml:space="preserve"> </w:t>
      </w:r>
      <w:r w:rsidRPr="00E62FE6">
        <w:t>20968,</w:t>
      </w:r>
      <w:r w:rsidR="008243CA">
        <w:t xml:space="preserve"> </w:t>
      </w:r>
      <w:r w:rsidRPr="00E62FE6">
        <w:t>to</w:t>
      </w:r>
      <w:r w:rsidR="008243CA">
        <w:t xml:space="preserve"> </w:t>
      </w:r>
      <w:r w:rsidRPr="00E62FE6">
        <w:t>the</w:t>
      </w:r>
      <w:r w:rsidR="008243CA">
        <w:t xml:space="preserve"> </w:t>
      </w:r>
      <w:r w:rsidRPr="00E62FE6">
        <w:t>second</w:t>
      </w:r>
      <w:r w:rsidR="008243CA">
        <w:t xml:space="preserve"> </w:t>
      </w:r>
      <w:r w:rsidRPr="00E62FE6">
        <w:t>paragraph</w:t>
      </w:r>
      <w:r w:rsidR="008243CA">
        <w:t xml:space="preserve"> </w:t>
      </w:r>
      <w:r w:rsidRPr="00E62FE6">
        <w:t>of</w:t>
      </w:r>
      <w:r w:rsidR="008243CA">
        <w:t xml:space="preserve"> </w:t>
      </w:r>
      <w:r w:rsidRPr="00E62FE6">
        <w:t>article</w:t>
      </w:r>
      <w:r w:rsidR="008243CA">
        <w:t xml:space="preserve"> </w:t>
      </w:r>
      <w:r w:rsidRPr="00E62FE6">
        <w:t>19</w:t>
      </w:r>
      <w:r w:rsidR="008243CA">
        <w:t xml:space="preserve"> </w:t>
      </w:r>
      <w:r w:rsidRPr="00E62FE6">
        <w:t>of</w:t>
      </w:r>
      <w:r w:rsidR="008243CA">
        <w:t xml:space="preserve"> </w:t>
      </w:r>
      <w:r w:rsidRPr="00E62FE6">
        <w:t>Decree-Law</w:t>
      </w:r>
      <w:r w:rsidR="008243CA">
        <w:t xml:space="preserve"> </w:t>
      </w:r>
      <w:r w:rsidRPr="00E62FE6">
        <w:t>No.</w:t>
      </w:r>
      <w:r w:rsidR="008243CA">
        <w:t xml:space="preserve"> </w:t>
      </w:r>
      <w:r w:rsidRPr="00E62FE6">
        <w:t>2460,</w:t>
      </w:r>
      <w:r w:rsidR="008243CA">
        <w:t xml:space="preserve"> </w:t>
      </w:r>
      <w:r w:rsidRPr="00E62FE6">
        <w:t>the</w:t>
      </w:r>
      <w:r w:rsidR="008243CA">
        <w:t xml:space="preserve"> </w:t>
      </w:r>
      <w:r w:rsidRPr="00E62FE6">
        <w:t>Organic</w:t>
      </w:r>
      <w:r w:rsidR="008243CA">
        <w:t xml:space="preserve"> </w:t>
      </w:r>
      <w:r w:rsidRPr="00E62FE6">
        <w:t>Act</w:t>
      </w:r>
      <w:r w:rsidR="008243CA">
        <w:t xml:space="preserve"> </w:t>
      </w:r>
      <w:r w:rsidRPr="00E62FE6">
        <w:t>on</w:t>
      </w:r>
      <w:r w:rsidR="008243CA">
        <w:t xml:space="preserve"> </w:t>
      </w:r>
      <w:r w:rsidRPr="00E62FE6">
        <w:t>the</w:t>
      </w:r>
      <w:r w:rsidR="008243CA">
        <w:t xml:space="preserve"> </w:t>
      </w:r>
      <w:r w:rsidRPr="00E62FE6">
        <w:t>Investigative</w:t>
      </w:r>
      <w:r w:rsidR="008243CA">
        <w:t xml:space="preserve"> </w:t>
      </w:r>
      <w:r w:rsidRPr="00E62FE6">
        <w:t>Police,</w:t>
      </w:r>
      <w:r w:rsidR="008243CA">
        <w:t xml:space="preserve"> </w:t>
      </w:r>
      <w:r w:rsidRPr="00E62FE6">
        <w:t>establishing</w:t>
      </w:r>
      <w:r w:rsidR="008243CA">
        <w:t xml:space="preserve"> </w:t>
      </w:r>
      <w:r w:rsidRPr="00E62FE6">
        <w:t>that</w:t>
      </w:r>
      <w:r w:rsidR="008243CA">
        <w:t xml:space="preserve"> </w:t>
      </w:r>
      <w:r w:rsidRPr="00E62FE6">
        <w:t>the</w:t>
      </w:r>
      <w:r w:rsidR="008243CA">
        <w:t xml:space="preserve"> </w:t>
      </w:r>
      <w:r w:rsidRPr="00E62FE6">
        <w:t>new</w:t>
      </w:r>
      <w:r w:rsidR="008243CA">
        <w:t xml:space="preserve"> </w:t>
      </w:r>
      <w:r w:rsidRPr="00E62FE6">
        <w:t>legislation</w:t>
      </w:r>
      <w:r w:rsidR="008243CA">
        <w:t xml:space="preserve"> </w:t>
      </w:r>
      <w:r w:rsidRPr="00E62FE6">
        <w:t>also</w:t>
      </w:r>
      <w:r w:rsidR="008243CA">
        <w:t xml:space="preserve"> </w:t>
      </w:r>
      <w:r w:rsidRPr="00E62FE6">
        <w:t>applies</w:t>
      </w:r>
      <w:r w:rsidR="008243CA">
        <w:t xml:space="preserve"> </w:t>
      </w:r>
      <w:r w:rsidRPr="00E62FE6">
        <w:t>to</w:t>
      </w:r>
      <w:r w:rsidR="008243CA">
        <w:t xml:space="preserve"> </w:t>
      </w:r>
      <w:r w:rsidRPr="00E62FE6">
        <w:t>police</w:t>
      </w:r>
      <w:r w:rsidR="008243CA">
        <w:t xml:space="preserve"> </w:t>
      </w:r>
      <w:r w:rsidRPr="00E62FE6">
        <w:t>officers.</w:t>
      </w:r>
      <w:r w:rsidR="008243CA">
        <w:t xml:space="preserve"> </w:t>
      </w:r>
      <w:r w:rsidRPr="00E62FE6">
        <w:t>This</w:t>
      </w:r>
      <w:r w:rsidR="008243CA">
        <w:t xml:space="preserve"> </w:t>
      </w:r>
      <w:r w:rsidRPr="00E62FE6">
        <w:t>amendment</w:t>
      </w:r>
      <w:r w:rsidR="008243CA">
        <w:t xml:space="preserve"> </w:t>
      </w:r>
      <w:r w:rsidRPr="00E62FE6">
        <w:t>solves</w:t>
      </w:r>
      <w:r w:rsidR="008243CA">
        <w:t xml:space="preserve"> </w:t>
      </w:r>
      <w:r w:rsidRPr="00E62FE6">
        <w:t>the</w:t>
      </w:r>
      <w:r w:rsidR="008243CA">
        <w:t xml:space="preserve"> </w:t>
      </w:r>
      <w:r w:rsidRPr="00E62FE6">
        <w:t>problems</w:t>
      </w:r>
      <w:r w:rsidR="008243CA">
        <w:t xml:space="preserve"> </w:t>
      </w:r>
      <w:r w:rsidRPr="00E62FE6">
        <w:t>of</w:t>
      </w:r>
      <w:r w:rsidR="008243CA">
        <w:t xml:space="preserve"> </w:t>
      </w:r>
      <w:r w:rsidRPr="00E62FE6">
        <w:t>interpretation</w:t>
      </w:r>
      <w:r w:rsidR="008243CA">
        <w:t xml:space="preserve"> </w:t>
      </w:r>
      <w:r w:rsidRPr="00E62FE6">
        <w:t>and</w:t>
      </w:r>
      <w:r w:rsidR="008243CA">
        <w:t xml:space="preserve"> </w:t>
      </w:r>
      <w:r w:rsidRPr="00E62FE6">
        <w:t>legal</w:t>
      </w:r>
      <w:r w:rsidR="008243CA">
        <w:t xml:space="preserve"> </w:t>
      </w:r>
      <w:r w:rsidRPr="00E62FE6">
        <w:t>uncertainty</w:t>
      </w:r>
      <w:r w:rsidR="008243CA">
        <w:t xml:space="preserve"> </w:t>
      </w:r>
      <w:r w:rsidRPr="00E62FE6">
        <w:t>arising</w:t>
      </w:r>
      <w:r w:rsidR="008243CA">
        <w:t xml:space="preserve"> </w:t>
      </w:r>
      <w:r w:rsidRPr="00E62FE6">
        <w:t>from</w:t>
      </w:r>
      <w:r w:rsidR="008243CA">
        <w:t xml:space="preserve"> </w:t>
      </w:r>
      <w:r w:rsidRPr="00E62FE6">
        <w:t>comparison</w:t>
      </w:r>
      <w:r w:rsidR="008243CA">
        <w:t xml:space="preserve"> </w:t>
      </w:r>
      <w:r w:rsidRPr="00E62FE6">
        <w:t>between</w:t>
      </w:r>
      <w:r w:rsidR="008243CA">
        <w:t xml:space="preserve"> </w:t>
      </w:r>
      <w:r w:rsidRPr="00E62FE6">
        <w:t>this</w:t>
      </w:r>
      <w:r w:rsidR="008243CA">
        <w:t xml:space="preserve"> </w:t>
      </w:r>
      <w:r w:rsidRPr="00E62FE6">
        <w:t>legislation</w:t>
      </w:r>
      <w:r w:rsidR="008243CA">
        <w:t xml:space="preserve"> </w:t>
      </w:r>
      <w:r w:rsidRPr="00E62FE6">
        <w:t>and</w:t>
      </w:r>
      <w:r w:rsidR="008243CA">
        <w:t xml:space="preserve"> </w:t>
      </w:r>
      <w:r w:rsidRPr="00E62FE6">
        <w:t>similar</w:t>
      </w:r>
      <w:r w:rsidR="008243CA">
        <w:t xml:space="preserve"> </w:t>
      </w:r>
      <w:r w:rsidRPr="00E62FE6">
        <w:t>provisions</w:t>
      </w:r>
      <w:r w:rsidR="008243CA">
        <w:t xml:space="preserve"> </w:t>
      </w:r>
      <w:r w:rsidRPr="00E62FE6">
        <w:t>in</w:t>
      </w:r>
      <w:r w:rsidR="008243CA">
        <w:t xml:space="preserve"> </w:t>
      </w:r>
      <w:r w:rsidRPr="00E62FE6">
        <w:t>general</w:t>
      </w:r>
      <w:r w:rsidR="008243CA">
        <w:t xml:space="preserve"> </w:t>
      </w:r>
      <w:r w:rsidRPr="00E62FE6">
        <w:t>criminal</w:t>
      </w:r>
      <w:r w:rsidR="008243CA">
        <w:t xml:space="preserve"> </w:t>
      </w:r>
      <w:r w:rsidRPr="00E62FE6">
        <w:t>legislation;</w:t>
      </w:r>
      <w:r w:rsidR="008243CA">
        <w:t xml:space="preserve"> </w:t>
      </w:r>
      <w:r w:rsidRPr="00E62FE6">
        <w:t>it</w:t>
      </w:r>
      <w:r w:rsidR="008243CA">
        <w:t xml:space="preserve"> </w:t>
      </w:r>
      <w:r w:rsidRPr="00E62FE6">
        <w:t>also</w:t>
      </w:r>
      <w:r w:rsidR="008243CA">
        <w:t xml:space="preserve"> </w:t>
      </w:r>
      <w:r w:rsidRPr="00E62FE6">
        <w:t>prevents</w:t>
      </w:r>
      <w:r w:rsidR="008243CA">
        <w:t xml:space="preserve"> </w:t>
      </w:r>
      <w:r w:rsidRPr="00E62FE6">
        <w:t>fragmentation</w:t>
      </w:r>
      <w:r w:rsidR="008243CA">
        <w:t xml:space="preserve"> </w:t>
      </w:r>
      <w:r w:rsidRPr="00E62FE6">
        <w:t>of</w:t>
      </w:r>
      <w:r w:rsidR="008243CA">
        <w:t xml:space="preserve"> </w:t>
      </w:r>
      <w:r w:rsidRPr="00E62FE6">
        <w:t>the</w:t>
      </w:r>
      <w:r w:rsidR="008243CA">
        <w:t xml:space="preserve"> </w:t>
      </w:r>
      <w:r w:rsidRPr="00E62FE6">
        <w:t>law</w:t>
      </w:r>
      <w:r w:rsidR="008243CA">
        <w:t xml:space="preserve"> </w:t>
      </w:r>
      <w:r w:rsidRPr="00E62FE6">
        <w:t>and</w:t>
      </w:r>
      <w:r w:rsidR="008243CA">
        <w:t xml:space="preserve"> </w:t>
      </w:r>
      <w:r w:rsidRPr="00E62FE6">
        <w:t>sets</w:t>
      </w:r>
      <w:r w:rsidR="008243CA">
        <w:t xml:space="preserve"> </w:t>
      </w:r>
      <w:r w:rsidRPr="00E62FE6">
        <w:t>the</w:t>
      </w:r>
      <w:r w:rsidR="008243CA">
        <w:t xml:space="preserve"> </w:t>
      </w:r>
      <w:r w:rsidRPr="00E62FE6">
        <w:t>Investigative</w:t>
      </w:r>
      <w:r w:rsidR="008243CA">
        <w:t xml:space="preserve"> </w:t>
      </w:r>
      <w:r w:rsidRPr="00E62FE6">
        <w:t>Police</w:t>
      </w:r>
      <w:r w:rsidR="008243CA">
        <w:t xml:space="preserve"> </w:t>
      </w:r>
      <w:r w:rsidRPr="00E62FE6">
        <w:t>on</w:t>
      </w:r>
      <w:r w:rsidR="008243CA">
        <w:t xml:space="preserve"> </w:t>
      </w:r>
      <w:r w:rsidRPr="00E62FE6">
        <w:t>the</w:t>
      </w:r>
      <w:r w:rsidR="008243CA">
        <w:t xml:space="preserve"> </w:t>
      </w:r>
      <w:r w:rsidRPr="00E62FE6">
        <w:t>same</w:t>
      </w:r>
      <w:r w:rsidR="008243CA">
        <w:t xml:space="preserve"> </w:t>
      </w:r>
      <w:r w:rsidRPr="00E62FE6">
        <w:t>footing</w:t>
      </w:r>
      <w:r w:rsidR="008243CA">
        <w:t xml:space="preserve"> </w:t>
      </w:r>
      <w:r w:rsidRPr="00E62FE6">
        <w:t>as</w:t>
      </w:r>
      <w:r w:rsidR="008243CA">
        <w:t xml:space="preserve"> </w:t>
      </w:r>
      <w:r w:rsidRPr="00E62FE6">
        <w:t>other</w:t>
      </w:r>
      <w:r w:rsidR="008243CA">
        <w:t xml:space="preserve"> </w:t>
      </w:r>
      <w:r w:rsidRPr="00E62FE6">
        <w:t>public</w:t>
      </w:r>
      <w:r w:rsidR="008243CA">
        <w:t xml:space="preserve"> </w:t>
      </w:r>
      <w:r w:rsidRPr="00E62FE6">
        <w:t>officials.</w:t>
      </w:r>
    </w:p>
    <w:p w:rsidR="003F7D03" w:rsidRPr="00E62FE6" w:rsidRDefault="003F7D03" w:rsidP="000C6D98">
      <w:pPr>
        <w:pStyle w:val="SingleTxtG"/>
      </w:pPr>
      <w:r w:rsidRPr="00E62FE6">
        <w:t>30.</w:t>
      </w:r>
      <w:r w:rsidRPr="00E62FE6">
        <w:tab/>
        <w:t>Lastly,</w:t>
      </w:r>
      <w:r w:rsidR="008243CA">
        <w:t xml:space="preserve"> </w:t>
      </w:r>
      <w:r w:rsidRPr="00E62FE6">
        <w:t>the</w:t>
      </w:r>
      <w:r w:rsidR="008243CA">
        <w:t xml:space="preserve"> </w:t>
      </w:r>
      <w:r w:rsidRPr="00E62FE6">
        <w:t>changes</w:t>
      </w:r>
      <w:r w:rsidR="008243CA">
        <w:t xml:space="preserve"> </w:t>
      </w:r>
      <w:r w:rsidRPr="00E62FE6">
        <w:t>go</w:t>
      </w:r>
      <w:r w:rsidR="008243CA">
        <w:t xml:space="preserve"> </w:t>
      </w:r>
      <w:r w:rsidRPr="00E62FE6">
        <w:t>beyond</w:t>
      </w:r>
      <w:r w:rsidR="008243CA">
        <w:t xml:space="preserve"> </w:t>
      </w:r>
      <w:r w:rsidRPr="00E62FE6">
        <w:t>the</w:t>
      </w:r>
      <w:r w:rsidR="008243CA">
        <w:t xml:space="preserve"> </w:t>
      </w:r>
      <w:r w:rsidRPr="00E62FE6">
        <w:t>Subcommittee</w:t>
      </w:r>
      <w:r w:rsidR="00116F0B">
        <w:t>’</w:t>
      </w:r>
      <w:r w:rsidRPr="00E62FE6">
        <w:t>s</w:t>
      </w:r>
      <w:r w:rsidR="008243CA">
        <w:t xml:space="preserve"> </w:t>
      </w:r>
      <w:r w:rsidRPr="00E62FE6">
        <w:t>recommendation</w:t>
      </w:r>
      <w:r w:rsidR="008243CA">
        <w:t xml:space="preserve"> </w:t>
      </w:r>
      <w:r w:rsidRPr="00E62FE6">
        <w:t>by</w:t>
      </w:r>
      <w:r w:rsidR="008243CA">
        <w:t xml:space="preserve"> </w:t>
      </w:r>
      <w:r w:rsidRPr="00E62FE6">
        <w:t>restricting</w:t>
      </w:r>
      <w:r w:rsidR="008243CA">
        <w:t xml:space="preserve"> </w:t>
      </w:r>
      <w:r w:rsidRPr="00E62FE6">
        <w:t>the</w:t>
      </w:r>
      <w:r w:rsidR="008243CA">
        <w:t xml:space="preserve"> </w:t>
      </w:r>
      <w:r w:rsidRPr="00E62FE6">
        <w:t>jurisdiction</w:t>
      </w:r>
      <w:r w:rsidR="008243CA">
        <w:t xml:space="preserve"> </w:t>
      </w:r>
      <w:r w:rsidRPr="00E62FE6">
        <w:t>of</w:t>
      </w:r>
      <w:r w:rsidR="008243CA">
        <w:t xml:space="preserve"> </w:t>
      </w:r>
      <w:r w:rsidRPr="00E62FE6">
        <w:t>military</w:t>
      </w:r>
      <w:r w:rsidR="008243CA">
        <w:t xml:space="preserve"> </w:t>
      </w:r>
      <w:r w:rsidRPr="00E62FE6">
        <w:t>courts</w:t>
      </w:r>
      <w:r w:rsidR="008243CA">
        <w:t xml:space="preserve"> </w:t>
      </w:r>
      <w:r w:rsidRPr="00E62FE6">
        <w:t>to</w:t>
      </w:r>
      <w:r w:rsidR="008243CA">
        <w:t xml:space="preserve"> </w:t>
      </w:r>
      <w:r w:rsidRPr="00E62FE6">
        <w:t>cases</w:t>
      </w:r>
      <w:r w:rsidR="008243CA">
        <w:t xml:space="preserve"> </w:t>
      </w:r>
      <w:r w:rsidRPr="00E62FE6">
        <w:t>that</w:t>
      </w:r>
      <w:r w:rsidR="008243CA">
        <w:t xml:space="preserve"> </w:t>
      </w:r>
      <w:r w:rsidRPr="00E62FE6">
        <w:t>concern</w:t>
      </w:r>
      <w:r w:rsidR="008243CA">
        <w:t xml:space="preserve"> </w:t>
      </w:r>
      <w:r w:rsidRPr="00E62FE6">
        <w:t>the</w:t>
      </w:r>
      <w:r w:rsidR="008243CA">
        <w:t xml:space="preserve"> </w:t>
      </w:r>
      <w:r w:rsidRPr="00E62FE6">
        <w:t>military.</w:t>
      </w:r>
      <w:r w:rsidR="008243CA">
        <w:t xml:space="preserve"> </w:t>
      </w:r>
      <w:r w:rsidRPr="00E62FE6">
        <w:t>Under</w:t>
      </w:r>
      <w:r w:rsidR="008243CA">
        <w:t xml:space="preserve"> </w:t>
      </w:r>
      <w:r w:rsidRPr="00E62FE6">
        <w:t>Act</w:t>
      </w:r>
      <w:r w:rsidR="008243CA">
        <w:t xml:space="preserve"> </w:t>
      </w:r>
      <w:r w:rsidRPr="00E62FE6">
        <w:t>No.</w:t>
      </w:r>
      <w:r w:rsidR="008243CA">
        <w:t xml:space="preserve"> </w:t>
      </w:r>
      <w:r w:rsidRPr="00E62FE6">
        <w:t>20968,</w:t>
      </w:r>
      <w:r w:rsidR="008243CA">
        <w:t xml:space="preserve"> </w:t>
      </w:r>
      <w:r w:rsidRPr="00E62FE6">
        <w:t>the</w:t>
      </w:r>
      <w:r w:rsidR="008243CA">
        <w:t xml:space="preserve"> </w:t>
      </w:r>
      <w:r w:rsidRPr="00E62FE6">
        <w:t>first</w:t>
      </w:r>
      <w:r w:rsidR="008243CA">
        <w:t xml:space="preserve"> </w:t>
      </w:r>
      <w:r w:rsidRPr="00E62FE6">
        <w:t>paragraph</w:t>
      </w:r>
      <w:r w:rsidR="008243CA">
        <w:t xml:space="preserve"> </w:t>
      </w:r>
      <w:r w:rsidRPr="00E62FE6">
        <w:t>of</w:t>
      </w:r>
      <w:r w:rsidR="008243CA">
        <w:t xml:space="preserve"> </w:t>
      </w:r>
      <w:r w:rsidRPr="00E62FE6">
        <w:t>article</w:t>
      </w:r>
      <w:r w:rsidR="008243CA">
        <w:t xml:space="preserve"> </w:t>
      </w:r>
      <w:r w:rsidRPr="00E62FE6">
        <w:t>1</w:t>
      </w:r>
      <w:r w:rsidR="008243CA">
        <w:t xml:space="preserve"> </w:t>
      </w:r>
      <w:r w:rsidRPr="00E62FE6">
        <w:t>of</w:t>
      </w:r>
      <w:r w:rsidR="008243CA">
        <w:t xml:space="preserve"> </w:t>
      </w:r>
      <w:r w:rsidRPr="00E62FE6">
        <w:t>Act</w:t>
      </w:r>
      <w:r w:rsidR="008243CA">
        <w:t xml:space="preserve"> </w:t>
      </w:r>
      <w:r w:rsidRPr="00E62FE6">
        <w:t>No.</w:t>
      </w:r>
      <w:r w:rsidR="008243CA">
        <w:t xml:space="preserve"> </w:t>
      </w:r>
      <w:r w:rsidRPr="00E62FE6">
        <w:t>20477,</w:t>
      </w:r>
      <w:r w:rsidR="008243CA">
        <w:t xml:space="preserve"> </w:t>
      </w:r>
      <w:r w:rsidRPr="00E62FE6">
        <w:t>modifying</w:t>
      </w:r>
      <w:r w:rsidR="008243CA">
        <w:t xml:space="preserve"> </w:t>
      </w:r>
      <w:r w:rsidRPr="00E62FE6">
        <w:t>the</w:t>
      </w:r>
      <w:r w:rsidR="008243CA">
        <w:t xml:space="preserve"> </w:t>
      </w:r>
      <w:r w:rsidRPr="00E62FE6">
        <w:t>jurisdiction</w:t>
      </w:r>
      <w:r w:rsidR="008243CA">
        <w:t xml:space="preserve"> </w:t>
      </w:r>
      <w:r w:rsidRPr="00E62FE6">
        <w:t>of</w:t>
      </w:r>
      <w:r w:rsidR="008243CA">
        <w:t xml:space="preserve"> </w:t>
      </w:r>
      <w:r w:rsidRPr="00E62FE6">
        <w:t>military</w:t>
      </w:r>
      <w:r w:rsidR="008243CA">
        <w:t xml:space="preserve"> </w:t>
      </w:r>
      <w:r w:rsidRPr="00E62FE6">
        <w:t>courts,</w:t>
      </w:r>
      <w:r w:rsidR="008243CA">
        <w:t xml:space="preserve"> </w:t>
      </w:r>
      <w:r w:rsidRPr="00E62FE6">
        <w:t>has</w:t>
      </w:r>
      <w:r w:rsidR="008243CA">
        <w:t xml:space="preserve"> </w:t>
      </w:r>
      <w:r w:rsidRPr="00E62FE6">
        <w:t>been</w:t>
      </w:r>
      <w:r w:rsidR="008243CA">
        <w:t xml:space="preserve"> </w:t>
      </w:r>
      <w:r w:rsidRPr="00E62FE6">
        <w:t>amended</w:t>
      </w:r>
      <w:r w:rsidR="008243CA">
        <w:t xml:space="preserve"> </w:t>
      </w:r>
      <w:r w:rsidRPr="00E62FE6">
        <w:t>to</w:t>
      </w:r>
      <w:r w:rsidR="008243CA">
        <w:t xml:space="preserve"> </w:t>
      </w:r>
      <w:r w:rsidRPr="00E62FE6">
        <w:t>include</w:t>
      </w:r>
      <w:r w:rsidR="008243CA">
        <w:t xml:space="preserve"> </w:t>
      </w:r>
      <w:r w:rsidRPr="00E62FE6">
        <w:t>the</w:t>
      </w:r>
      <w:r w:rsidR="008243CA">
        <w:t xml:space="preserve"> </w:t>
      </w:r>
      <w:r w:rsidRPr="00E62FE6">
        <w:t>phrase</w:t>
      </w:r>
      <w:r w:rsidR="008243CA">
        <w:t xml:space="preserve"> </w:t>
      </w:r>
      <w:r w:rsidR="00116F0B">
        <w:t>“</w:t>
      </w:r>
      <w:r w:rsidRPr="00E62FE6">
        <w:t>whether</w:t>
      </w:r>
      <w:r w:rsidR="008243CA">
        <w:t xml:space="preserve"> </w:t>
      </w:r>
      <w:r w:rsidRPr="00E62FE6">
        <w:t>victims</w:t>
      </w:r>
      <w:r w:rsidR="008243CA">
        <w:t xml:space="preserve"> </w:t>
      </w:r>
      <w:r w:rsidRPr="00E62FE6">
        <w:t>or</w:t>
      </w:r>
      <w:r w:rsidR="008243CA">
        <w:t xml:space="preserve"> </w:t>
      </w:r>
      <w:r w:rsidRPr="00E62FE6">
        <w:t>defendants</w:t>
      </w:r>
      <w:r w:rsidR="00116F0B">
        <w:t>”</w:t>
      </w:r>
      <w:r w:rsidRPr="00E62FE6">
        <w:t>,</w:t>
      </w:r>
      <w:r w:rsidR="008243CA">
        <w:t xml:space="preserve"> </w:t>
      </w:r>
      <w:r w:rsidRPr="00E62FE6">
        <w:t>thus</w:t>
      </w:r>
      <w:r w:rsidR="008243CA">
        <w:t xml:space="preserve"> </w:t>
      </w:r>
      <w:r w:rsidRPr="00E62FE6">
        <w:t>preventing</w:t>
      </w:r>
      <w:r w:rsidR="008243CA">
        <w:t xml:space="preserve"> </w:t>
      </w:r>
      <w:r w:rsidRPr="00E62FE6">
        <w:t>military</w:t>
      </w:r>
      <w:r w:rsidR="008243CA">
        <w:t xml:space="preserve"> </w:t>
      </w:r>
      <w:r w:rsidRPr="00E62FE6">
        <w:t>courts</w:t>
      </w:r>
      <w:r w:rsidR="008243CA">
        <w:t xml:space="preserve"> </w:t>
      </w:r>
      <w:r w:rsidRPr="00E62FE6">
        <w:t>from</w:t>
      </w:r>
      <w:r w:rsidR="008243CA">
        <w:t xml:space="preserve"> </w:t>
      </w:r>
      <w:r w:rsidRPr="00E62FE6">
        <w:t>hearing</w:t>
      </w:r>
      <w:r w:rsidR="008243CA">
        <w:t xml:space="preserve"> </w:t>
      </w:r>
      <w:r w:rsidRPr="00E62FE6">
        <w:t>any</w:t>
      </w:r>
      <w:r w:rsidR="008243CA">
        <w:t xml:space="preserve"> </w:t>
      </w:r>
      <w:r w:rsidRPr="00E62FE6">
        <w:t>cases</w:t>
      </w:r>
      <w:r w:rsidR="008243CA">
        <w:t xml:space="preserve"> </w:t>
      </w:r>
      <w:r w:rsidRPr="00E62FE6">
        <w:t>that</w:t>
      </w:r>
      <w:r w:rsidR="008243CA">
        <w:t xml:space="preserve"> </w:t>
      </w:r>
      <w:r w:rsidRPr="00E62FE6">
        <w:t>involve</w:t>
      </w:r>
      <w:r w:rsidR="008243CA">
        <w:t xml:space="preserve"> </w:t>
      </w:r>
      <w:r w:rsidRPr="00E62FE6">
        <w:t>civilians</w:t>
      </w:r>
      <w:r w:rsidR="008243CA">
        <w:t xml:space="preserve"> </w:t>
      </w:r>
      <w:r w:rsidRPr="00E62FE6">
        <w:t>or</w:t>
      </w:r>
      <w:r w:rsidR="008243CA">
        <w:t xml:space="preserve"> </w:t>
      </w:r>
      <w:r w:rsidRPr="00E62FE6">
        <w:t>minors,</w:t>
      </w:r>
      <w:r w:rsidR="008243CA">
        <w:t xml:space="preserve"> </w:t>
      </w:r>
      <w:r w:rsidRPr="00E62FE6">
        <w:t>whatever</w:t>
      </w:r>
      <w:r w:rsidR="008243CA">
        <w:t xml:space="preserve"> </w:t>
      </w:r>
      <w:r w:rsidRPr="00E62FE6">
        <w:t>their</w:t>
      </w:r>
      <w:r w:rsidR="008243CA">
        <w:t xml:space="preserve"> </w:t>
      </w:r>
      <w:r w:rsidRPr="00E62FE6">
        <w:t>role</w:t>
      </w:r>
      <w:r w:rsidR="008243CA">
        <w:t xml:space="preserve"> </w:t>
      </w:r>
      <w:r w:rsidRPr="00E62FE6">
        <w:t>in</w:t>
      </w:r>
      <w:r w:rsidR="008243CA">
        <w:t xml:space="preserve"> </w:t>
      </w:r>
      <w:r w:rsidRPr="00E62FE6">
        <w:t>the</w:t>
      </w:r>
      <w:r w:rsidR="008243CA">
        <w:t xml:space="preserve"> </w:t>
      </w:r>
      <w:r w:rsidRPr="00E62FE6">
        <w:t>proceedings.</w:t>
      </w:r>
      <w:r w:rsidR="008243CA">
        <w:t xml:space="preserve"> </w:t>
      </w:r>
      <w:r w:rsidRPr="00E62FE6">
        <w:t>Such</w:t>
      </w:r>
      <w:r w:rsidR="008243CA">
        <w:t xml:space="preserve"> </w:t>
      </w:r>
      <w:r w:rsidRPr="00E62FE6">
        <w:t>cases</w:t>
      </w:r>
      <w:r w:rsidR="008243CA">
        <w:t xml:space="preserve"> </w:t>
      </w:r>
      <w:r w:rsidRPr="00E62FE6">
        <w:t>will</w:t>
      </w:r>
      <w:r w:rsidR="008243CA">
        <w:t xml:space="preserve"> </w:t>
      </w:r>
      <w:r w:rsidRPr="00E62FE6">
        <w:t>therefore</w:t>
      </w:r>
      <w:r w:rsidR="008243CA">
        <w:t xml:space="preserve"> </w:t>
      </w:r>
      <w:r w:rsidRPr="00E62FE6">
        <w:t>always</w:t>
      </w:r>
      <w:r w:rsidR="008243CA">
        <w:t xml:space="preserve"> </w:t>
      </w:r>
      <w:r w:rsidRPr="00E62FE6">
        <w:t>fall</w:t>
      </w:r>
      <w:r w:rsidR="008243CA">
        <w:t xml:space="preserve"> </w:t>
      </w:r>
      <w:r w:rsidRPr="00E62FE6">
        <w:t>within</w:t>
      </w:r>
      <w:r w:rsidR="008243CA">
        <w:t xml:space="preserve"> </w:t>
      </w:r>
      <w:r w:rsidRPr="00E62FE6">
        <w:t>the</w:t>
      </w:r>
      <w:r w:rsidR="008243CA">
        <w:t xml:space="preserve"> </w:t>
      </w:r>
      <w:r w:rsidRPr="00E62FE6">
        <w:t>jurisdiction</w:t>
      </w:r>
      <w:r w:rsidR="008243CA">
        <w:t xml:space="preserve"> </w:t>
      </w:r>
      <w:r w:rsidRPr="00E62FE6">
        <w:t>of</w:t>
      </w:r>
      <w:r w:rsidR="008243CA">
        <w:t xml:space="preserve"> </w:t>
      </w:r>
      <w:r w:rsidRPr="00E62FE6">
        <w:t>ordinary</w:t>
      </w:r>
      <w:r w:rsidR="008243CA">
        <w:t xml:space="preserve"> </w:t>
      </w:r>
      <w:r w:rsidRPr="00E62FE6">
        <w:t>criminal</w:t>
      </w:r>
      <w:r w:rsidR="008243CA">
        <w:t xml:space="preserve"> </w:t>
      </w:r>
      <w:r w:rsidRPr="00E62FE6">
        <w:t>courts.</w:t>
      </w:r>
      <w:r w:rsidR="008243CA">
        <w:t xml:space="preserve"> </w:t>
      </w:r>
      <w:r w:rsidRPr="00E62FE6">
        <w:t>This</w:t>
      </w:r>
      <w:r w:rsidR="008243CA">
        <w:t xml:space="preserve"> </w:t>
      </w:r>
      <w:r w:rsidRPr="00E62FE6">
        <w:t>change</w:t>
      </w:r>
      <w:r w:rsidR="008243CA">
        <w:t xml:space="preserve"> </w:t>
      </w:r>
      <w:r w:rsidRPr="00E62FE6">
        <w:t>marks</w:t>
      </w:r>
      <w:r w:rsidR="008243CA">
        <w:t xml:space="preserve"> </w:t>
      </w:r>
      <w:r w:rsidRPr="00E62FE6">
        <w:t>a</w:t>
      </w:r>
      <w:r w:rsidR="008243CA">
        <w:t xml:space="preserve"> </w:t>
      </w:r>
      <w:r w:rsidRPr="00E62FE6">
        <w:t>huge</w:t>
      </w:r>
      <w:r w:rsidR="008243CA">
        <w:t xml:space="preserve"> </w:t>
      </w:r>
      <w:r w:rsidRPr="00E62FE6">
        <w:t>step</w:t>
      </w:r>
      <w:r w:rsidR="008243CA">
        <w:t xml:space="preserve"> </w:t>
      </w:r>
      <w:r w:rsidRPr="00E62FE6">
        <w:t>forward</w:t>
      </w:r>
      <w:r w:rsidR="008243CA">
        <w:t xml:space="preserve"> </w:t>
      </w:r>
      <w:r w:rsidRPr="00E62FE6">
        <w:t>in</w:t>
      </w:r>
      <w:r w:rsidR="008243CA">
        <w:t xml:space="preserve"> </w:t>
      </w:r>
      <w:r w:rsidRPr="00E62FE6">
        <w:t>the</w:t>
      </w:r>
      <w:r w:rsidR="008243CA">
        <w:t xml:space="preserve"> </w:t>
      </w:r>
      <w:r w:rsidRPr="00E62FE6">
        <w:t>reform</w:t>
      </w:r>
      <w:r w:rsidR="008243CA">
        <w:t xml:space="preserve"> </w:t>
      </w:r>
      <w:r w:rsidRPr="00E62FE6">
        <w:t>of</w:t>
      </w:r>
      <w:r w:rsidR="008243CA">
        <w:t xml:space="preserve"> </w:t>
      </w:r>
      <w:r w:rsidRPr="00E62FE6">
        <w:t>the</w:t>
      </w:r>
      <w:r w:rsidR="008243CA">
        <w:t xml:space="preserve"> </w:t>
      </w:r>
      <w:r w:rsidRPr="00E62FE6">
        <w:t>military</w:t>
      </w:r>
      <w:r w:rsidR="008243CA">
        <w:t xml:space="preserve"> </w:t>
      </w:r>
      <w:r w:rsidRPr="00E62FE6">
        <w:t>justice</w:t>
      </w:r>
      <w:r w:rsidR="008243CA">
        <w:t xml:space="preserve"> </w:t>
      </w:r>
      <w:r w:rsidRPr="00E62FE6">
        <w:t>system</w:t>
      </w:r>
      <w:r w:rsidR="008243CA">
        <w:t xml:space="preserve"> </w:t>
      </w:r>
      <w:r w:rsidRPr="00E62FE6">
        <w:t>in</w:t>
      </w:r>
      <w:r w:rsidR="008243CA">
        <w:t xml:space="preserve"> </w:t>
      </w:r>
      <w:r w:rsidRPr="00E62FE6">
        <w:t>Chile.</w:t>
      </w:r>
      <w:r w:rsidR="008243CA">
        <w:t xml:space="preserve"> </w:t>
      </w:r>
      <w:r w:rsidRPr="00E62FE6">
        <w:t>The</w:t>
      </w:r>
      <w:r w:rsidR="008243CA">
        <w:t xml:space="preserve"> </w:t>
      </w:r>
      <w:r w:rsidRPr="00E62FE6">
        <w:t>Government</w:t>
      </w:r>
      <w:r w:rsidR="008243CA">
        <w:t xml:space="preserve"> </w:t>
      </w:r>
      <w:r w:rsidRPr="00E62FE6">
        <w:t>is</w:t>
      </w:r>
      <w:r w:rsidR="008243CA">
        <w:t xml:space="preserve"> </w:t>
      </w:r>
      <w:r w:rsidRPr="00E62FE6">
        <w:t>working</w:t>
      </w:r>
      <w:r w:rsidR="008243CA">
        <w:t xml:space="preserve"> </w:t>
      </w:r>
      <w:r w:rsidRPr="00E62FE6">
        <w:t>towards</w:t>
      </w:r>
      <w:r w:rsidR="008243CA">
        <w:t xml:space="preserve"> </w:t>
      </w:r>
      <w:r w:rsidRPr="00E62FE6">
        <w:t>implementing</w:t>
      </w:r>
      <w:r w:rsidR="008243CA">
        <w:t xml:space="preserve"> </w:t>
      </w:r>
      <w:r w:rsidRPr="00E62FE6">
        <w:t>the</w:t>
      </w:r>
      <w:r w:rsidR="008243CA">
        <w:t xml:space="preserve"> </w:t>
      </w:r>
      <w:r w:rsidRPr="00E62FE6">
        <w:t>other</w:t>
      </w:r>
      <w:r w:rsidR="008243CA">
        <w:t xml:space="preserve"> </w:t>
      </w:r>
      <w:r w:rsidRPr="00E62FE6">
        <w:t>changes</w:t>
      </w:r>
      <w:r w:rsidR="008243CA">
        <w:t xml:space="preserve"> </w:t>
      </w:r>
      <w:r w:rsidRPr="00E62FE6">
        <w:t>that</w:t>
      </w:r>
      <w:r w:rsidR="008243CA">
        <w:t xml:space="preserve"> </w:t>
      </w:r>
      <w:r w:rsidRPr="00E62FE6">
        <w:t>are</w:t>
      </w:r>
      <w:r w:rsidR="008243CA">
        <w:t xml:space="preserve"> </w:t>
      </w:r>
      <w:r w:rsidRPr="00E62FE6">
        <w:t>needed</w:t>
      </w:r>
      <w:r w:rsidR="008243CA">
        <w:t xml:space="preserve"> </w:t>
      </w:r>
      <w:r w:rsidRPr="00E62FE6">
        <w:t>in</w:t>
      </w:r>
      <w:r w:rsidR="008243CA">
        <w:t xml:space="preserve"> </w:t>
      </w:r>
      <w:r w:rsidRPr="00E62FE6">
        <w:t>this</w:t>
      </w:r>
      <w:r w:rsidR="008243CA">
        <w:t xml:space="preserve"> </w:t>
      </w:r>
      <w:r w:rsidRPr="00E62FE6">
        <w:t>area.</w:t>
      </w:r>
    </w:p>
    <w:p w:rsidR="003F7D03" w:rsidRPr="00E62FE6" w:rsidRDefault="003F7D03" w:rsidP="00A61C79">
      <w:pPr>
        <w:pStyle w:val="H23G"/>
      </w:pPr>
      <w:r w:rsidRPr="00E62FE6">
        <w:tab/>
      </w:r>
      <w:bookmarkStart w:id="30" w:name="_Toc512870679"/>
      <w:bookmarkStart w:id="31" w:name="_Toc512870841"/>
      <w:r w:rsidRPr="00E62FE6">
        <w:t>2.1.3</w:t>
      </w:r>
      <w:r w:rsidRPr="00E62FE6">
        <w:tab/>
        <w:t>Court</w:t>
      </w:r>
      <w:r w:rsidR="008243CA">
        <w:t xml:space="preserve"> </w:t>
      </w:r>
      <w:r w:rsidRPr="00E62FE6">
        <w:t>for</w:t>
      </w:r>
      <w:r w:rsidR="008243CA">
        <w:t xml:space="preserve"> </w:t>
      </w:r>
      <w:r w:rsidRPr="00E62FE6">
        <w:t>the</w:t>
      </w:r>
      <w:r w:rsidR="008243CA">
        <w:t xml:space="preserve"> </w:t>
      </w:r>
      <w:r w:rsidRPr="00E62FE6">
        <w:t>execution</w:t>
      </w:r>
      <w:r w:rsidR="008243CA">
        <w:t xml:space="preserve"> </w:t>
      </w:r>
      <w:r w:rsidRPr="00E62FE6">
        <w:t>of</w:t>
      </w:r>
      <w:r w:rsidR="008243CA">
        <w:t xml:space="preserve"> </w:t>
      </w:r>
      <w:r w:rsidRPr="00E62FE6">
        <w:t>sentences</w:t>
      </w:r>
      <w:bookmarkEnd w:id="30"/>
      <w:bookmarkEnd w:id="31"/>
    </w:p>
    <w:p w:rsidR="003F7D03" w:rsidRPr="00E62FE6" w:rsidRDefault="003F7D03" w:rsidP="000C6D98">
      <w:pPr>
        <w:pStyle w:val="SingleTxtG"/>
      </w:pPr>
      <w:r w:rsidRPr="00E62FE6">
        <w:t>31.</w:t>
      </w:r>
      <w:r w:rsidRPr="00E62FE6">
        <w:tab/>
        <w:t>Paragraph</w:t>
      </w:r>
      <w:r w:rsidR="008243CA">
        <w:t xml:space="preserve"> </w:t>
      </w:r>
      <w:r w:rsidRPr="00E62FE6">
        <w:t>38:</w:t>
      </w:r>
      <w:r w:rsidR="008243CA">
        <w:t xml:space="preserve"> </w:t>
      </w:r>
      <w:r w:rsidRPr="0012227E">
        <w:rPr>
          <w:i/>
          <w:iCs/>
        </w:rPr>
        <w:t>The</w:t>
      </w:r>
      <w:r w:rsidR="008243CA">
        <w:rPr>
          <w:i/>
          <w:iCs/>
        </w:rPr>
        <w:t xml:space="preserve"> </w:t>
      </w:r>
      <w:r w:rsidRPr="0012227E">
        <w:rPr>
          <w:i/>
          <w:iCs/>
        </w:rPr>
        <w:t>Subcommittee</w:t>
      </w:r>
      <w:r w:rsidR="008243CA">
        <w:rPr>
          <w:i/>
          <w:iCs/>
        </w:rPr>
        <w:t xml:space="preserve"> </w:t>
      </w:r>
      <w:r w:rsidRPr="0012227E">
        <w:rPr>
          <w:i/>
          <w:iCs/>
        </w:rPr>
        <w:t>recommends</w:t>
      </w:r>
      <w:r w:rsidR="008243CA">
        <w:rPr>
          <w:i/>
          <w:iCs/>
        </w:rPr>
        <w:t xml:space="preserve"> </w:t>
      </w:r>
      <w:r w:rsidRPr="0012227E">
        <w:rPr>
          <w:i/>
          <w:iCs/>
        </w:rPr>
        <w:t>that</w:t>
      </w:r>
      <w:r w:rsidR="008243CA">
        <w:rPr>
          <w:i/>
          <w:iCs/>
        </w:rPr>
        <w:t xml:space="preserve"> </w:t>
      </w:r>
      <w:r w:rsidRPr="0012227E">
        <w:rPr>
          <w:i/>
          <w:iCs/>
        </w:rPr>
        <w:t>the</w:t>
      </w:r>
      <w:r w:rsidR="008243CA">
        <w:rPr>
          <w:i/>
          <w:iCs/>
        </w:rPr>
        <w:t xml:space="preserve"> </w:t>
      </w:r>
      <w:r w:rsidRPr="0012227E">
        <w:rPr>
          <w:i/>
          <w:iCs/>
        </w:rPr>
        <w:t>State</w:t>
      </w:r>
      <w:r w:rsidR="008243CA">
        <w:rPr>
          <w:i/>
          <w:iCs/>
        </w:rPr>
        <w:t xml:space="preserve"> </w:t>
      </w:r>
      <w:r w:rsidRPr="0012227E">
        <w:rPr>
          <w:i/>
          <w:iCs/>
        </w:rPr>
        <w:t>party</w:t>
      </w:r>
      <w:r w:rsidR="008243CA">
        <w:rPr>
          <w:i/>
          <w:iCs/>
        </w:rPr>
        <w:t xml:space="preserve"> </w:t>
      </w:r>
      <w:r w:rsidRPr="0012227E">
        <w:rPr>
          <w:i/>
          <w:iCs/>
        </w:rPr>
        <w:t>establish</w:t>
      </w:r>
      <w:r w:rsidR="008243CA">
        <w:rPr>
          <w:i/>
          <w:iCs/>
        </w:rPr>
        <w:t xml:space="preserve"> </w:t>
      </w:r>
      <w:r w:rsidRPr="0012227E">
        <w:rPr>
          <w:i/>
          <w:iCs/>
        </w:rPr>
        <w:t>a</w:t>
      </w:r>
      <w:r w:rsidR="008243CA">
        <w:rPr>
          <w:i/>
          <w:iCs/>
        </w:rPr>
        <w:t xml:space="preserve"> </w:t>
      </w:r>
      <w:r w:rsidRPr="0012227E">
        <w:rPr>
          <w:i/>
          <w:iCs/>
        </w:rPr>
        <w:t>system</w:t>
      </w:r>
      <w:r w:rsidR="008243CA">
        <w:rPr>
          <w:i/>
          <w:iCs/>
        </w:rPr>
        <w:t xml:space="preserve"> </w:t>
      </w:r>
      <w:r w:rsidRPr="0012227E">
        <w:rPr>
          <w:i/>
          <w:iCs/>
        </w:rPr>
        <w:t>in</w:t>
      </w:r>
      <w:r w:rsidR="008243CA">
        <w:rPr>
          <w:i/>
          <w:iCs/>
        </w:rPr>
        <w:t xml:space="preserve"> </w:t>
      </w:r>
      <w:r w:rsidRPr="0012227E">
        <w:rPr>
          <w:i/>
          <w:iCs/>
        </w:rPr>
        <w:t>which</w:t>
      </w:r>
      <w:r w:rsidR="008243CA">
        <w:rPr>
          <w:i/>
          <w:iCs/>
        </w:rPr>
        <w:t xml:space="preserve"> </w:t>
      </w:r>
      <w:r w:rsidRPr="0012227E">
        <w:rPr>
          <w:i/>
          <w:iCs/>
        </w:rPr>
        <w:t>responsibility</w:t>
      </w:r>
      <w:r w:rsidR="008243CA">
        <w:rPr>
          <w:i/>
          <w:iCs/>
        </w:rPr>
        <w:t xml:space="preserve"> </w:t>
      </w:r>
      <w:r w:rsidRPr="0012227E">
        <w:rPr>
          <w:i/>
          <w:iCs/>
        </w:rPr>
        <w:t>for</w:t>
      </w:r>
      <w:r w:rsidR="008243CA">
        <w:rPr>
          <w:i/>
          <w:iCs/>
        </w:rPr>
        <w:t xml:space="preserve"> </w:t>
      </w:r>
      <w:r w:rsidRPr="0012227E">
        <w:rPr>
          <w:i/>
          <w:iCs/>
        </w:rPr>
        <w:t>monitoring</w:t>
      </w:r>
      <w:r w:rsidR="008243CA">
        <w:rPr>
          <w:i/>
          <w:iCs/>
        </w:rPr>
        <w:t xml:space="preserve"> </w:t>
      </w:r>
      <w:r w:rsidRPr="0012227E">
        <w:rPr>
          <w:i/>
          <w:iCs/>
        </w:rPr>
        <w:t>and</w:t>
      </w:r>
      <w:r w:rsidR="008243CA">
        <w:rPr>
          <w:i/>
          <w:iCs/>
        </w:rPr>
        <w:t xml:space="preserve"> </w:t>
      </w:r>
      <w:r w:rsidRPr="0012227E">
        <w:rPr>
          <w:i/>
          <w:iCs/>
        </w:rPr>
        <w:t>overseeing</w:t>
      </w:r>
      <w:r w:rsidR="008243CA">
        <w:rPr>
          <w:i/>
          <w:iCs/>
        </w:rPr>
        <w:t xml:space="preserve"> </w:t>
      </w:r>
      <w:r w:rsidRPr="0012227E">
        <w:rPr>
          <w:i/>
          <w:iCs/>
        </w:rPr>
        <w:t>the</w:t>
      </w:r>
      <w:r w:rsidR="008243CA">
        <w:rPr>
          <w:i/>
          <w:iCs/>
        </w:rPr>
        <w:t xml:space="preserve"> </w:t>
      </w:r>
      <w:r w:rsidRPr="0012227E">
        <w:rPr>
          <w:i/>
          <w:iCs/>
        </w:rPr>
        <w:t>execution</w:t>
      </w:r>
      <w:r w:rsidR="008243CA">
        <w:rPr>
          <w:i/>
          <w:iCs/>
        </w:rPr>
        <w:t xml:space="preserve"> </w:t>
      </w:r>
      <w:r w:rsidRPr="0012227E">
        <w:rPr>
          <w:i/>
          <w:iCs/>
        </w:rPr>
        <w:t>of</w:t>
      </w:r>
      <w:r w:rsidR="008243CA">
        <w:rPr>
          <w:i/>
          <w:iCs/>
        </w:rPr>
        <w:t xml:space="preserve"> </w:t>
      </w:r>
      <w:r w:rsidRPr="0012227E">
        <w:rPr>
          <w:i/>
          <w:iCs/>
        </w:rPr>
        <w:t>prison</w:t>
      </w:r>
      <w:r w:rsidR="008243CA">
        <w:rPr>
          <w:i/>
          <w:iCs/>
        </w:rPr>
        <w:t xml:space="preserve"> </w:t>
      </w:r>
      <w:r w:rsidRPr="0012227E">
        <w:rPr>
          <w:i/>
          <w:iCs/>
        </w:rPr>
        <w:t>sentences</w:t>
      </w:r>
      <w:r w:rsidR="008243CA">
        <w:rPr>
          <w:i/>
          <w:iCs/>
        </w:rPr>
        <w:t xml:space="preserve"> </w:t>
      </w:r>
      <w:r w:rsidRPr="0012227E">
        <w:rPr>
          <w:i/>
          <w:iCs/>
        </w:rPr>
        <w:t>is</w:t>
      </w:r>
      <w:r w:rsidR="008243CA">
        <w:rPr>
          <w:i/>
          <w:iCs/>
        </w:rPr>
        <w:t xml:space="preserve"> </w:t>
      </w:r>
      <w:r w:rsidRPr="0012227E">
        <w:rPr>
          <w:i/>
          <w:iCs/>
        </w:rPr>
        <w:t>assigned</w:t>
      </w:r>
      <w:r w:rsidR="008243CA">
        <w:rPr>
          <w:i/>
          <w:iCs/>
        </w:rPr>
        <w:t xml:space="preserve"> </w:t>
      </w:r>
      <w:r w:rsidRPr="0012227E">
        <w:rPr>
          <w:i/>
          <w:iCs/>
        </w:rPr>
        <w:t>to</w:t>
      </w:r>
      <w:r w:rsidR="008243CA">
        <w:rPr>
          <w:i/>
          <w:iCs/>
        </w:rPr>
        <w:t xml:space="preserve"> </w:t>
      </w:r>
      <w:r w:rsidRPr="0012227E">
        <w:rPr>
          <w:i/>
          <w:iCs/>
        </w:rPr>
        <w:t>a</w:t>
      </w:r>
      <w:r w:rsidR="008243CA">
        <w:rPr>
          <w:i/>
          <w:iCs/>
        </w:rPr>
        <w:t xml:space="preserve"> </w:t>
      </w:r>
      <w:r w:rsidRPr="0012227E">
        <w:rPr>
          <w:i/>
          <w:iCs/>
        </w:rPr>
        <w:t>specialized</w:t>
      </w:r>
      <w:r w:rsidR="008243CA">
        <w:rPr>
          <w:i/>
          <w:iCs/>
        </w:rPr>
        <w:t xml:space="preserve"> </w:t>
      </w:r>
      <w:r w:rsidRPr="0012227E">
        <w:rPr>
          <w:i/>
          <w:iCs/>
        </w:rPr>
        <w:t>judicial</w:t>
      </w:r>
      <w:r w:rsidR="008243CA">
        <w:rPr>
          <w:i/>
          <w:iCs/>
        </w:rPr>
        <w:t xml:space="preserve"> </w:t>
      </w:r>
      <w:r w:rsidRPr="0012227E">
        <w:rPr>
          <w:i/>
          <w:iCs/>
        </w:rPr>
        <w:t>body.</w:t>
      </w:r>
    </w:p>
    <w:p w:rsidR="003F7D03" w:rsidRPr="00E62FE6" w:rsidRDefault="003F7D03" w:rsidP="000C6D98">
      <w:pPr>
        <w:pStyle w:val="SingleTxtG"/>
      </w:pPr>
      <w:r w:rsidRPr="00E62FE6">
        <w:t>32.</w:t>
      </w:r>
      <w:r w:rsidRPr="00E62FE6">
        <w:tab/>
        <w:t>Although</w:t>
      </w:r>
      <w:r w:rsidR="008243CA">
        <w:t xml:space="preserve"> </w:t>
      </w:r>
      <w:r w:rsidRPr="00E62FE6">
        <w:t>there</w:t>
      </w:r>
      <w:r w:rsidR="008243CA">
        <w:t xml:space="preserve"> </w:t>
      </w:r>
      <w:r w:rsidRPr="00E62FE6">
        <w:t>is</w:t>
      </w:r>
      <w:r w:rsidR="008243CA">
        <w:t xml:space="preserve"> </w:t>
      </w:r>
      <w:r w:rsidRPr="00E62FE6">
        <w:t>no</w:t>
      </w:r>
      <w:r w:rsidR="008243CA">
        <w:t xml:space="preserve"> </w:t>
      </w:r>
      <w:r w:rsidRPr="00E62FE6">
        <w:t>court</w:t>
      </w:r>
      <w:r w:rsidR="008243CA">
        <w:t xml:space="preserve"> </w:t>
      </w:r>
      <w:r w:rsidRPr="00E62FE6">
        <w:t>for</w:t>
      </w:r>
      <w:r w:rsidR="008243CA">
        <w:t xml:space="preserve"> </w:t>
      </w:r>
      <w:r w:rsidRPr="00E62FE6">
        <w:t>the</w:t>
      </w:r>
      <w:r w:rsidR="008243CA">
        <w:t xml:space="preserve"> </w:t>
      </w:r>
      <w:r w:rsidRPr="00E62FE6">
        <w:t>execution</w:t>
      </w:r>
      <w:r w:rsidR="008243CA">
        <w:t xml:space="preserve"> </w:t>
      </w:r>
      <w:r w:rsidRPr="00E62FE6">
        <w:t>of</w:t>
      </w:r>
      <w:r w:rsidR="008243CA">
        <w:t xml:space="preserve"> </w:t>
      </w:r>
      <w:r w:rsidRPr="00E62FE6">
        <w:t>sentences</w:t>
      </w:r>
      <w:r w:rsidR="008243CA">
        <w:t xml:space="preserve"> </w:t>
      </w:r>
      <w:r w:rsidRPr="00E62FE6">
        <w:t>in</w:t>
      </w:r>
      <w:r w:rsidR="008243CA">
        <w:t xml:space="preserve"> </w:t>
      </w:r>
      <w:r w:rsidRPr="00E62FE6">
        <w:t>Chile,</w:t>
      </w:r>
      <w:r w:rsidR="008243CA">
        <w:t xml:space="preserve"> </w:t>
      </w:r>
      <w:r w:rsidRPr="00E62FE6">
        <w:t>articles</w:t>
      </w:r>
      <w:r w:rsidR="008243CA">
        <w:t xml:space="preserve"> </w:t>
      </w:r>
      <w:r w:rsidRPr="00E62FE6">
        <w:t>567</w:t>
      </w:r>
      <w:r w:rsidR="008243CA">
        <w:t xml:space="preserve"> </w:t>
      </w:r>
      <w:r w:rsidRPr="00E62FE6">
        <w:t>et</w:t>
      </w:r>
      <w:r w:rsidR="008243CA">
        <w:t xml:space="preserve"> </w:t>
      </w:r>
      <w:r w:rsidRPr="00E62FE6">
        <w:t>seq.</w:t>
      </w:r>
      <w:r w:rsidR="008243CA">
        <w:t xml:space="preserve"> </w:t>
      </w:r>
      <w:r w:rsidRPr="00E62FE6">
        <w:t>of</w:t>
      </w:r>
      <w:r w:rsidR="008243CA">
        <w:t xml:space="preserve"> </w:t>
      </w:r>
      <w:r w:rsidRPr="00E62FE6">
        <w:t>the</w:t>
      </w:r>
      <w:r w:rsidR="008243CA">
        <w:t xml:space="preserve"> </w:t>
      </w:r>
      <w:r w:rsidRPr="00E62FE6">
        <w:t>Courts</w:t>
      </w:r>
      <w:r w:rsidR="008243CA">
        <w:t xml:space="preserve"> </w:t>
      </w:r>
      <w:r w:rsidRPr="00E62FE6">
        <w:t>Organization</w:t>
      </w:r>
      <w:r w:rsidR="008243CA">
        <w:t xml:space="preserve"> </w:t>
      </w:r>
      <w:r w:rsidRPr="00E62FE6">
        <w:t>Code</w:t>
      </w:r>
      <w:r w:rsidR="008243CA">
        <w:t xml:space="preserve"> </w:t>
      </w:r>
      <w:r w:rsidRPr="00E62FE6">
        <w:t>provide</w:t>
      </w:r>
      <w:r w:rsidR="008243CA">
        <w:t xml:space="preserve"> </w:t>
      </w:r>
      <w:r w:rsidRPr="00E62FE6">
        <w:t>that</w:t>
      </w:r>
      <w:r w:rsidR="008243CA">
        <w:t xml:space="preserve"> </w:t>
      </w:r>
      <w:r w:rsidRPr="00E62FE6">
        <w:t>the</w:t>
      </w:r>
      <w:r w:rsidR="008243CA">
        <w:t xml:space="preserve"> </w:t>
      </w:r>
      <w:r w:rsidRPr="00E62FE6">
        <w:t>judge</w:t>
      </w:r>
      <w:r w:rsidR="008243CA">
        <w:t xml:space="preserve"> </w:t>
      </w:r>
      <w:r w:rsidRPr="00E62FE6">
        <w:t>responsible</w:t>
      </w:r>
      <w:r w:rsidR="008243CA">
        <w:t xml:space="preserve"> </w:t>
      </w:r>
      <w:r w:rsidRPr="00E62FE6">
        <w:t>for</w:t>
      </w:r>
      <w:r w:rsidR="008243CA">
        <w:t xml:space="preserve"> </w:t>
      </w:r>
      <w:r w:rsidRPr="00E62FE6">
        <w:t>procedural</w:t>
      </w:r>
      <w:r w:rsidR="008243CA">
        <w:t xml:space="preserve"> </w:t>
      </w:r>
      <w:r w:rsidRPr="00E62FE6">
        <w:t>safeguards</w:t>
      </w:r>
      <w:r w:rsidR="008243CA">
        <w:t xml:space="preserve"> </w:t>
      </w:r>
      <w:r w:rsidRPr="00E62FE6">
        <w:t>may</w:t>
      </w:r>
      <w:r w:rsidR="008243CA">
        <w:t xml:space="preserve"> </w:t>
      </w:r>
      <w:r w:rsidRPr="00E62FE6">
        <w:t>visit</w:t>
      </w:r>
      <w:r w:rsidR="008243CA">
        <w:t xml:space="preserve"> </w:t>
      </w:r>
      <w:r w:rsidRPr="00E62FE6">
        <w:t>the</w:t>
      </w:r>
      <w:r w:rsidR="008243CA">
        <w:t xml:space="preserve"> </w:t>
      </w:r>
      <w:r w:rsidRPr="00E62FE6">
        <w:t>prison</w:t>
      </w:r>
      <w:r w:rsidR="008243CA">
        <w:t xml:space="preserve"> </w:t>
      </w:r>
      <w:r w:rsidRPr="00E62FE6">
        <w:t>or</w:t>
      </w:r>
      <w:r w:rsidR="008243CA">
        <w:t xml:space="preserve"> </w:t>
      </w:r>
      <w:r w:rsidRPr="00E62FE6">
        <w:t>establishment</w:t>
      </w:r>
      <w:r w:rsidR="008243CA">
        <w:t xml:space="preserve"> </w:t>
      </w:r>
      <w:r w:rsidRPr="00E62FE6">
        <w:t>where</w:t>
      </w:r>
      <w:r w:rsidR="008243CA">
        <w:t xml:space="preserve"> </w:t>
      </w:r>
      <w:r w:rsidRPr="00E62FE6">
        <w:t>detainees</w:t>
      </w:r>
      <w:r w:rsidR="008243CA">
        <w:t xml:space="preserve"> </w:t>
      </w:r>
      <w:r w:rsidRPr="00E62FE6">
        <w:t>or</w:t>
      </w:r>
      <w:r w:rsidR="008243CA">
        <w:t xml:space="preserve"> </w:t>
      </w:r>
      <w:r w:rsidRPr="00E62FE6">
        <w:t>prisoners</w:t>
      </w:r>
      <w:r w:rsidR="008243CA">
        <w:t xml:space="preserve"> </w:t>
      </w:r>
      <w:r w:rsidRPr="00E62FE6">
        <w:t>are</w:t>
      </w:r>
      <w:r w:rsidR="008243CA">
        <w:t xml:space="preserve"> </w:t>
      </w:r>
      <w:r w:rsidRPr="00E62FE6">
        <w:t>being</w:t>
      </w:r>
      <w:r w:rsidR="008243CA">
        <w:t xml:space="preserve"> </w:t>
      </w:r>
      <w:r w:rsidRPr="00E62FE6">
        <w:t>held</w:t>
      </w:r>
      <w:r w:rsidR="008243CA">
        <w:t xml:space="preserve"> </w:t>
      </w:r>
      <w:r w:rsidRPr="00E62FE6">
        <w:t>in</w:t>
      </w:r>
      <w:r w:rsidR="008243CA">
        <w:t xml:space="preserve"> </w:t>
      </w:r>
      <w:r w:rsidRPr="00E62FE6">
        <w:t>order</w:t>
      </w:r>
      <w:r w:rsidR="008243CA">
        <w:t xml:space="preserve"> </w:t>
      </w:r>
      <w:r w:rsidRPr="00E62FE6">
        <w:t>to</w:t>
      </w:r>
      <w:r w:rsidR="008243CA">
        <w:t xml:space="preserve"> </w:t>
      </w:r>
      <w:r w:rsidRPr="00E62FE6">
        <w:t>determine</w:t>
      </w:r>
      <w:r w:rsidR="008243CA">
        <w:t xml:space="preserve"> </w:t>
      </w:r>
      <w:r w:rsidRPr="00E62FE6">
        <w:t>whether</w:t>
      </w:r>
      <w:r w:rsidR="008243CA">
        <w:t xml:space="preserve"> </w:t>
      </w:r>
      <w:r w:rsidRPr="00E62FE6">
        <w:t>they</w:t>
      </w:r>
      <w:r w:rsidR="008243CA">
        <w:t xml:space="preserve"> </w:t>
      </w:r>
      <w:r w:rsidRPr="00E62FE6">
        <w:t>are</w:t>
      </w:r>
      <w:r w:rsidR="008243CA">
        <w:t xml:space="preserve"> </w:t>
      </w:r>
      <w:r w:rsidRPr="00E62FE6">
        <w:t>being</w:t>
      </w:r>
      <w:r w:rsidR="008243CA">
        <w:t xml:space="preserve"> </w:t>
      </w:r>
      <w:r w:rsidRPr="00E62FE6">
        <w:t>subjected</w:t>
      </w:r>
      <w:r w:rsidR="008243CA">
        <w:t xml:space="preserve"> </w:t>
      </w:r>
      <w:r w:rsidRPr="00E62FE6">
        <w:t>to</w:t>
      </w:r>
      <w:r w:rsidR="008243CA">
        <w:t xml:space="preserve"> </w:t>
      </w:r>
      <w:r w:rsidRPr="00E62FE6">
        <w:t>improper</w:t>
      </w:r>
      <w:r w:rsidR="008243CA">
        <w:t xml:space="preserve"> </w:t>
      </w:r>
      <w:r w:rsidRPr="00E62FE6">
        <w:t>treatment</w:t>
      </w:r>
      <w:r w:rsidR="008243CA">
        <w:t xml:space="preserve"> </w:t>
      </w:r>
      <w:r w:rsidRPr="00E62FE6">
        <w:t>and</w:t>
      </w:r>
      <w:r w:rsidR="008243CA">
        <w:t xml:space="preserve"> </w:t>
      </w:r>
      <w:r w:rsidRPr="00E62FE6">
        <w:t>whether</w:t>
      </w:r>
      <w:r w:rsidR="008243CA">
        <w:t xml:space="preserve"> </w:t>
      </w:r>
      <w:r w:rsidRPr="00E62FE6">
        <w:t>their</w:t>
      </w:r>
      <w:r w:rsidR="008243CA">
        <w:t xml:space="preserve"> </w:t>
      </w:r>
      <w:r w:rsidRPr="00E62FE6">
        <w:t>right</w:t>
      </w:r>
      <w:r w:rsidR="008243CA">
        <w:t xml:space="preserve"> </w:t>
      </w:r>
      <w:r w:rsidRPr="00E62FE6">
        <w:t>to</w:t>
      </w:r>
      <w:r w:rsidR="008243CA">
        <w:t xml:space="preserve"> </w:t>
      </w:r>
      <w:r w:rsidRPr="00E62FE6">
        <w:t>defence</w:t>
      </w:r>
      <w:r w:rsidR="008243CA">
        <w:t xml:space="preserve"> </w:t>
      </w:r>
      <w:r w:rsidRPr="00E62FE6">
        <w:t>is</w:t>
      </w:r>
      <w:r w:rsidR="008243CA">
        <w:t xml:space="preserve"> </w:t>
      </w:r>
      <w:r w:rsidRPr="00E62FE6">
        <w:t>being</w:t>
      </w:r>
      <w:r w:rsidR="008243CA">
        <w:t xml:space="preserve"> </w:t>
      </w:r>
      <w:r w:rsidRPr="00E62FE6">
        <w:t>restricted</w:t>
      </w:r>
      <w:r w:rsidR="008243CA">
        <w:t xml:space="preserve"> </w:t>
      </w:r>
      <w:r w:rsidRPr="00E62FE6">
        <w:t>or</w:t>
      </w:r>
      <w:r w:rsidR="008243CA">
        <w:t xml:space="preserve"> </w:t>
      </w:r>
      <w:r w:rsidRPr="00E62FE6">
        <w:t>their</w:t>
      </w:r>
      <w:r w:rsidR="008243CA">
        <w:t xml:space="preserve"> </w:t>
      </w:r>
      <w:r w:rsidRPr="00E62FE6">
        <w:t>cases</w:t>
      </w:r>
      <w:r w:rsidR="008243CA">
        <w:t xml:space="preserve"> </w:t>
      </w:r>
      <w:r w:rsidRPr="00E62FE6">
        <w:t>are</w:t>
      </w:r>
      <w:r w:rsidR="008243CA">
        <w:t xml:space="preserve"> </w:t>
      </w:r>
      <w:r w:rsidRPr="00E62FE6">
        <w:t>being</w:t>
      </w:r>
      <w:r w:rsidR="008243CA">
        <w:t xml:space="preserve"> </w:t>
      </w:r>
      <w:r w:rsidRPr="00E62FE6">
        <w:t>unlawfully</w:t>
      </w:r>
      <w:r w:rsidR="008243CA">
        <w:t xml:space="preserve"> </w:t>
      </w:r>
      <w:r w:rsidRPr="00E62FE6">
        <w:t>prolonged.</w:t>
      </w:r>
      <w:r w:rsidR="008243CA">
        <w:t xml:space="preserve"> </w:t>
      </w:r>
      <w:r w:rsidRPr="00E62FE6">
        <w:t>Article</w:t>
      </w:r>
      <w:r w:rsidR="008243CA">
        <w:t xml:space="preserve"> </w:t>
      </w:r>
      <w:r w:rsidRPr="00E62FE6">
        <w:t>569</w:t>
      </w:r>
      <w:r w:rsidR="008243CA">
        <w:t xml:space="preserve"> </w:t>
      </w:r>
      <w:r w:rsidRPr="00E62FE6">
        <w:t>further</w:t>
      </w:r>
      <w:r w:rsidR="008243CA">
        <w:t xml:space="preserve"> </w:t>
      </w:r>
      <w:r w:rsidRPr="00E62FE6">
        <w:t>provides</w:t>
      </w:r>
      <w:r w:rsidR="008243CA">
        <w:t xml:space="preserve"> </w:t>
      </w:r>
      <w:r w:rsidRPr="00E62FE6">
        <w:t>that</w:t>
      </w:r>
      <w:r w:rsidR="008243CA">
        <w:t xml:space="preserve"> </w:t>
      </w:r>
      <w:r w:rsidRPr="00E62FE6">
        <w:t>all</w:t>
      </w:r>
      <w:r w:rsidR="008243CA">
        <w:t xml:space="preserve"> </w:t>
      </w:r>
      <w:r w:rsidRPr="00E62FE6">
        <w:t>detainees</w:t>
      </w:r>
      <w:r w:rsidR="008243CA">
        <w:t xml:space="preserve"> </w:t>
      </w:r>
      <w:r w:rsidRPr="00E62FE6">
        <w:t>and</w:t>
      </w:r>
      <w:r w:rsidR="008243CA">
        <w:t xml:space="preserve"> </w:t>
      </w:r>
      <w:r w:rsidRPr="00E62FE6">
        <w:t>inmates</w:t>
      </w:r>
      <w:r w:rsidR="008243CA">
        <w:t xml:space="preserve"> </w:t>
      </w:r>
      <w:r w:rsidRPr="00E62FE6">
        <w:t>who</w:t>
      </w:r>
      <w:r w:rsidR="008243CA">
        <w:t xml:space="preserve"> </w:t>
      </w:r>
      <w:r w:rsidRPr="00E62FE6">
        <w:t>have</w:t>
      </w:r>
      <w:r w:rsidR="008243CA">
        <w:t xml:space="preserve"> </w:t>
      </w:r>
      <w:r w:rsidRPr="00E62FE6">
        <w:t>been</w:t>
      </w:r>
      <w:r w:rsidR="008243CA">
        <w:t xml:space="preserve"> </w:t>
      </w:r>
      <w:r w:rsidRPr="00E62FE6">
        <w:t>remanded</w:t>
      </w:r>
      <w:r w:rsidR="008243CA">
        <w:t xml:space="preserve"> </w:t>
      </w:r>
      <w:r w:rsidRPr="00E62FE6">
        <w:t>by</w:t>
      </w:r>
      <w:r w:rsidR="008243CA">
        <w:t xml:space="preserve"> </w:t>
      </w:r>
      <w:r w:rsidRPr="00E62FE6">
        <w:t>the</w:t>
      </w:r>
      <w:r w:rsidR="008243CA">
        <w:t xml:space="preserve"> </w:t>
      </w:r>
      <w:r w:rsidRPr="00E62FE6">
        <w:t>court</w:t>
      </w:r>
      <w:r w:rsidR="008243CA">
        <w:t xml:space="preserve"> </w:t>
      </w:r>
      <w:r w:rsidRPr="00E62FE6">
        <w:t>and</w:t>
      </w:r>
      <w:r w:rsidR="008243CA">
        <w:t xml:space="preserve"> </w:t>
      </w:r>
      <w:r w:rsidRPr="00E62FE6">
        <w:t>those</w:t>
      </w:r>
      <w:r w:rsidR="008243CA">
        <w:t xml:space="preserve"> </w:t>
      </w:r>
      <w:r w:rsidRPr="00E62FE6">
        <w:t>whose</w:t>
      </w:r>
      <w:r w:rsidR="008243CA">
        <w:t xml:space="preserve"> </w:t>
      </w:r>
      <w:r w:rsidRPr="00E62FE6">
        <w:t>detention</w:t>
      </w:r>
      <w:r w:rsidR="008243CA">
        <w:t xml:space="preserve"> </w:t>
      </w:r>
      <w:r w:rsidRPr="00E62FE6">
        <w:t>has</w:t>
      </w:r>
      <w:r w:rsidR="008243CA">
        <w:t xml:space="preserve"> </w:t>
      </w:r>
      <w:r w:rsidRPr="00E62FE6">
        <w:t>not</w:t>
      </w:r>
      <w:r w:rsidR="008243CA">
        <w:t xml:space="preserve"> </w:t>
      </w:r>
      <w:r w:rsidRPr="00E62FE6">
        <w:t>yet</w:t>
      </w:r>
      <w:r w:rsidR="008243CA">
        <w:t xml:space="preserve"> </w:t>
      </w:r>
      <w:r w:rsidRPr="00E62FE6">
        <w:t>been</w:t>
      </w:r>
      <w:r w:rsidR="008243CA">
        <w:t xml:space="preserve"> </w:t>
      </w:r>
      <w:r w:rsidRPr="00E62FE6">
        <w:t>notified</w:t>
      </w:r>
      <w:r w:rsidR="008243CA">
        <w:t xml:space="preserve"> </w:t>
      </w:r>
      <w:r w:rsidRPr="00E62FE6">
        <w:t>to</w:t>
      </w:r>
      <w:r w:rsidR="008243CA">
        <w:t xml:space="preserve"> </w:t>
      </w:r>
      <w:r w:rsidRPr="00E62FE6">
        <w:t>the</w:t>
      </w:r>
      <w:r w:rsidR="008243CA">
        <w:t xml:space="preserve"> </w:t>
      </w:r>
      <w:r w:rsidRPr="00E62FE6">
        <w:t>court</w:t>
      </w:r>
      <w:r w:rsidR="008243CA">
        <w:t xml:space="preserve"> </w:t>
      </w:r>
      <w:r w:rsidRPr="00E62FE6">
        <w:t>must</w:t>
      </w:r>
      <w:r w:rsidR="008243CA">
        <w:t xml:space="preserve"> </w:t>
      </w:r>
      <w:r w:rsidRPr="00E62FE6">
        <w:t>be</w:t>
      </w:r>
      <w:r w:rsidR="008243CA">
        <w:t xml:space="preserve"> </w:t>
      </w:r>
      <w:r w:rsidRPr="00E62FE6">
        <w:t>present</w:t>
      </w:r>
      <w:r w:rsidR="008243CA">
        <w:t xml:space="preserve"> </w:t>
      </w:r>
      <w:r w:rsidRPr="00E62FE6">
        <w:t>during</w:t>
      </w:r>
      <w:r w:rsidR="008243CA">
        <w:t xml:space="preserve"> </w:t>
      </w:r>
      <w:r w:rsidRPr="00E62FE6">
        <w:t>the</w:t>
      </w:r>
      <w:r w:rsidR="008243CA">
        <w:t xml:space="preserve"> </w:t>
      </w:r>
      <w:r w:rsidRPr="00E62FE6">
        <w:t>visit</w:t>
      </w:r>
      <w:r w:rsidR="008243CA">
        <w:t xml:space="preserve"> </w:t>
      </w:r>
      <w:r w:rsidRPr="00E62FE6">
        <w:t>if</w:t>
      </w:r>
      <w:r w:rsidR="008243CA">
        <w:t xml:space="preserve"> </w:t>
      </w:r>
      <w:r w:rsidRPr="00E62FE6">
        <w:t>they</w:t>
      </w:r>
      <w:r w:rsidR="008243CA">
        <w:t xml:space="preserve"> </w:t>
      </w:r>
      <w:r w:rsidRPr="00E62FE6">
        <w:t>so</w:t>
      </w:r>
      <w:r w:rsidR="008243CA">
        <w:t xml:space="preserve"> </w:t>
      </w:r>
      <w:r w:rsidR="009B436D">
        <w:t>request.</w:t>
      </w:r>
    </w:p>
    <w:p w:rsidR="003F7D03" w:rsidRPr="00E62FE6" w:rsidRDefault="003F7D03" w:rsidP="000C6D98">
      <w:pPr>
        <w:pStyle w:val="SingleTxtG"/>
      </w:pPr>
      <w:r w:rsidRPr="00E62FE6">
        <w:t>33.</w:t>
      </w:r>
      <w:r w:rsidRPr="00E62FE6">
        <w:tab/>
        <w:t>The</w:t>
      </w:r>
      <w:r w:rsidR="008243CA">
        <w:t xml:space="preserve"> </w:t>
      </w:r>
      <w:r w:rsidRPr="00E62FE6">
        <w:t>rules</w:t>
      </w:r>
      <w:r w:rsidR="008243CA">
        <w:t xml:space="preserve"> </w:t>
      </w:r>
      <w:r w:rsidRPr="00E62FE6">
        <w:t>laid</w:t>
      </w:r>
      <w:r w:rsidR="008243CA">
        <w:t xml:space="preserve"> </w:t>
      </w:r>
      <w:r w:rsidRPr="00E62FE6">
        <w:t>down</w:t>
      </w:r>
      <w:r w:rsidR="008243CA">
        <w:t xml:space="preserve"> </w:t>
      </w:r>
      <w:r w:rsidRPr="00E62FE6">
        <w:t>by</w:t>
      </w:r>
      <w:r w:rsidR="008243CA">
        <w:t xml:space="preserve"> </w:t>
      </w:r>
      <w:r w:rsidRPr="00E62FE6">
        <w:t>the</w:t>
      </w:r>
      <w:r w:rsidR="008243CA">
        <w:t xml:space="preserve"> </w:t>
      </w:r>
      <w:r w:rsidRPr="00E62FE6">
        <w:t>Courts</w:t>
      </w:r>
      <w:r w:rsidR="008243CA">
        <w:t xml:space="preserve"> </w:t>
      </w:r>
      <w:r w:rsidRPr="00E62FE6">
        <w:t>Organization</w:t>
      </w:r>
      <w:r w:rsidR="008243CA">
        <w:t xml:space="preserve"> </w:t>
      </w:r>
      <w:r w:rsidRPr="00E62FE6">
        <w:t>Code</w:t>
      </w:r>
      <w:r w:rsidR="008243CA">
        <w:t xml:space="preserve"> </w:t>
      </w:r>
      <w:r w:rsidRPr="00E62FE6">
        <w:t>and</w:t>
      </w:r>
      <w:r w:rsidR="008243CA">
        <w:t xml:space="preserve"> </w:t>
      </w:r>
      <w:r w:rsidRPr="00E62FE6">
        <w:t>some</w:t>
      </w:r>
      <w:r w:rsidR="008243CA">
        <w:t xml:space="preserve"> </w:t>
      </w:r>
      <w:r w:rsidRPr="00E62FE6">
        <w:t>provisions</w:t>
      </w:r>
      <w:r w:rsidR="008243CA">
        <w:t xml:space="preserve"> </w:t>
      </w:r>
      <w:r w:rsidRPr="00E62FE6">
        <w:t>of</w:t>
      </w:r>
      <w:r w:rsidR="008243CA">
        <w:t xml:space="preserve"> </w:t>
      </w:r>
      <w:r w:rsidRPr="00E62FE6">
        <w:t>the</w:t>
      </w:r>
      <w:r w:rsidR="008243CA">
        <w:t xml:space="preserve"> </w:t>
      </w:r>
      <w:r w:rsidRPr="00E62FE6">
        <w:t>Code</w:t>
      </w:r>
      <w:r w:rsidR="008243CA">
        <w:t xml:space="preserve"> </w:t>
      </w:r>
      <w:r w:rsidRPr="00E62FE6">
        <w:t>of</w:t>
      </w:r>
      <w:r w:rsidR="008243CA">
        <w:t xml:space="preserve"> </w:t>
      </w:r>
      <w:r w:rsidRPr="00E62FE6">
        <w:t>Criminal</w:t>
      </w:r>
      <w:r w:rsidR="008243CA">
        <w:t xml:space="preserve"> </w:t>
      </w:r>
      <w:r w:rsidRPr="00E62FE6">
        <w:t>Procedure</w:t>
      </w:r>
      <w:r w:rsidRPr="00116F0B">
        <w:rPr>
          <w:rStyle w:val="FootnoteReference"/>
        </w:rPr>
        <w:footnoteReference w:id="21"/>
      </w:r>
      <w:r w:rsidR="008243CA">
        <w:t xml:space="preserve"> </w:t>
      </w:r>
      <w:r w:rsidRPr="00E62FE6">
        <w:t>have</w:t>
      </w:r>
      <w:r w:rsidR="008243CA">
        <w:t xml:space="preserve"> </w:t>
      </w:r>
      <w:r w:rsidRPr="00E62FE6">
        <w:t>been</w:t>
      </w:r>
      <w:r w:rsidR="008243CA">
        <w:t xml:space="preserve"> </w:t>
      </w:r>
      <w:r w:rsidRPr="00E62FE6">
        <w:t>criticized</w:t>
      </w:r>
      <w:r w:rsidR="008243CA">
        <w:t xml:space="preserve"> </w:t>
      </w:r>
      <w:r w:rsidRPr="00E62FE6">
        <w:t>by</w:t>
      </w:r>
      <w:r w:rsidR="008243CA">
        <w:t xml:space="preserve"> </w:t>
      </w:r>
      <w:r w:rsidRPr="00E62FE6">
        <w:t>national</w:t>
      </w:r>
      <w:r w:rsidR="008243CA">
        <w:t xml:space="preserve"> </w:t>
      </w:r>
      <w:r w:rsidRPr="00E62FE6">
        <w:t>and</w:t>
      </w:r>
      <w:r w:rsidR="008243CA">
        <w:t xml:space="preserve"> </w:t>
      </w:r>
      <w:r w:rsidRPr="00E62FE6">
        <w:t>international</w:t>
      </w:r>
      <w:r w:rsidR="008243CA">
        <w:t xml:space="preserve"> </w:t>
      </w:r>
      <w:r w:rsidRPr="00E62FE6">
        <w:t>human</w:t>
      </w:r>
      <w:r w:rsidR="008243CA">
        <w:t xml:space="preserve"> </w:t>
      </w:r>
      <w:r w:rsidRPr="00E62FE6">
        <w:t>rights</w:t>
      </w:r>
      <w:r w:rsidR="008243CA">
        <w:t xml:space="preserve"> </w:t>
      </w:r>
      <w:r w:rsidRPr="00E62FE6">
        <w:t>organizations</w:t>
      </w:r>
      <w:r w:rsidR="008243CA">
        <w:t xml:space="preserve"> </w:t>
      </w:r>
      <w:r w:rsidRPr="00E62FE6">
        <w:t>and</w:t>
      </w:r>
      <w:r w:rsidR="008243CA">
        <w:t xml:space="preserve"> </w:t>
      </w:r>
      <w:r w:rsidRPr="00E62FE6">
        <w:t>prison</w:t>
      </w:r>
      <w:r w:rsidR="008243CA">
        <w:t xml:space="preserve"> </w:t>
      </w:r>
      <w:r w:rsidRPr="00E62FE6">
        <w:t>expert</w:t>
      </w:r>
      <w:r w:rsidR="008243CA">
        <w:t xml:space="preserve"> </w:t>
      </w:r>
      <w:r w:rsidRPr="00E62FE6">
        <w:t>bodies.</w:t>
      </w:r>
      <w:r w:rsidRPr="00116F0B">
        <w:rPr>
          <w:rStyle w:val="FootnoteReference"/>
        </w:rPr>
        <w:footnoteReference w:id="22"/>
      </w:r>
      <w:bookmarkStart w:id="32" w:name="page14"/>
      <w:bookmarkEnd w:id="32"/>
    </w:p>
    <w:p w:rsidR="003F7D03" w:rsidRPr="00E62FE6" w:rsidRDefault="003F7D03" w:rsidP="0012227E">
      <w:pPr>
        <w:pStyle w:val="H23G"/>
      </w:pPr>
      <w:r w:rsidRPr="00E62FE6">
        <w:tab/>
      </w:r>
      <w:bookmarkStart w:id="33" w:name="_Toc512870680"/>
      <w:bookmarkStart w:id="34" w:name="_Toc512870842"/>
      <w:r w:rsidRPr="00E62FE6">
        <w:t>2.1.4</w:t>
      </w:r>
      <w:r w:rsidRPr="00E62FE6">
        <w:tab/>
        <w:t>Legal</w:t>
      </w:r>
      <w:r w:rsidR="008243CA">
        <w:t xml:space="preserve"> </w:t>
      </w:r>
      <w:r w:rsidRPr="00E62FE6">
        <w:t>framework</w:t>
      </w:r>
      <w:r w:rsidR="008243CA">
        <w:t xml:space="preserve"> </w:t>
      </w:r>
      <w:r w:rsidRPr="00E62FE6">
        <w:t>for</w:t>
      </w:r>
      <w:r w:rsidR="008243CA">
        <w:t xml:space="preserve"> </w:t>
      </w:r>
      <w:r w:rsidRPr="00E62FE6">
        <w:t>the</w:t>
      </w:r>
      <w:r w:rsidR="008243CA">
        <w:t xml:space="preserve"> </w:t>
      </w:r>
      <w:r w:rsidRPr="00E62FE6">
        <w:t>prison</w:t>
      </w:r>
      <w:r w:rsidR="008243CA">
        <w:t xml:space="preserve"> </w:t>
      </w:r>
      <w:r w:rsidRPr="00E62FE6">
        <w:t>system</w:t>
      </w:r>
      <w:bookmarkEnd w:id="33"/>
      <w:bookmarkEnd w:id="34"/>
    </w:p>
    <w:p w:rsidR="003F7D03" w:rsidRPr="00E62FE6" w:rsidRDefault="003F7D03" w:rsidP="000C6D98">
      <w:pPr>
        <w:pStyle w:val="SingleTxtG"/>
      </w:pPr>
      <w:r w:rsidRPr="00E62FE6">
        <w:t>34.</w:t>
      </w:r>
      <w:r w:rsidRPr="00E62FE6">
        <w:tab/>
        <w:t>Paragraph</w:t>
      </w:r>
      <w:r w:rsidR="008243CA">
        <w:t xml:space="preserve"> </w:t>
      </w:r>
      <w:r w:rsidRPr="00E62FE6">
        <w:t>40:</w:t>
      </w:r>
      <w:r w:rsidR="008243CA">
        <w:t xml:space="preserve"> </w:t>
      </w:r>
      <w:r w:rsidRPr="0012227E">
        <w:rPr>
          <w:i/>
          <w:iCs/>
        </w:rPr>
        <w:t>The</w:t>
      </w:r>
      <w:r w:rsidR="008243CA">
        <w:rPr>
          <w:i/>
          <w:iCs/>
        </w:rPr>
        <w:t xml:space="preserve"> </w:t>
      </w:r>
      <w:r w:rsidRPr="0012227E">
        <w:rPr>
          <w:i/>
          <w:iCs/>
        </w:rPr>
        <w:t>Subcommittee</w:t>
      </w:r>
      <w:r w:rsidR="008243CA">
        <w:rPr>
          <w:i/>
          <w:iCs/>
        </w:rPr>
        <w:t xml:space="preserve"> </w:t>
      </w:r>
      <w:r w:rsidRPr="0012227E">
        <w:rPr>
          <w:i/>
          <w:iCs/>
        </w:rPr>
        <w:t>recommends</w:t>
      </w:r>
      <w:r w:rsidR="008243CA">
        <w:rPr>
          <w:i/>
          <w:iCs/>
        </w:rPr>
        <w:t xml:space="preserve"> </w:t>
      </w:r>
      <w:r w:rsidRPr="0012227E">
        <w:rPr>
          <w:i/>
          <w:iCs/>
        </w:rPr>
        <w:t>that</w:t>
      </w:r>
      <w:r w:rsidR="008243CA">
        <w:rPr>
          <w:i/>
          <w:iCs/>
        </w:rPr>
        <w:t xml:space="preserve"> </w:t>
      </w:r>
      <w:r w:rsidRPr="0012227E">
        <w:rPr>
          <w:i/>
          <w:iCs/>
        </w:rPr>
        <w:t>the</w:t>
      </w:r>
      <w:r w:rsidR="008243CA">
        <w:rPr>
          <w:i/>
          <w:iCs/>
        </w:rPr>
        <w:t xml:space="preserve"> </w:t>
      </w:r>
      <w:r w:rsidRPr="0012227E">
        <w:rPr>
          <w:i/>
          <w:iCs/>
        </w:rPr>
        <w:t>State</w:t>
      </w:r>
      <w:r w:rsidR="008243CA">
        <w:rPr>
          <w:i/>
          <w:iCs/>
        </w:rPr>
        <w:t xml:space="preserve"> </w:t>
      </w:r>
      <w:r w:rsidRPr="0012227E">
        <w:rPr>
          <w:i/>
          <w:iCs/>
        </w:rPr>
        <w:t>party</w:t>
      </w:r>
      <w:r w:rsidR="008243CA">
        <w:rPr>
          <w:i/>
          <w:iCs/>
        </w:rPr>
        <w:t xml:space="preserve"> </w:t>
      </w:r>
      <w:r w:rsidRPr="0012227E">
        <w:rPr>
          <w:i/>
          <w:iCs/>
        </w:rPr>
        <w:t>adopt</w:t>
      </w:r>
      <w:r w:rsidR="008243CA">
        <w:rPr>
          <w:i/>
          <w:iCs/>
        </w:rPr>
        <w:t xml:space="preserve"> </w:t>
      </w:r>
      <w:r w:rsidRPr="0012227E">
        <w:rPr>
          <w:i/>
          <w:iCs/>
        </w:rPr>
        <w:t>a</w:t>
      </w:r>
      <w:r w:rsidR="008243CA">
        <w:rPr>
          <w:i/>
          <w:iCs/>
        </w:rPr>
        <w:t xml:space="preserve"> </w:t>
      </w:r>
      <w:r w:rsidRPr="0012227E">
        <w:rPr>
          <w:i/>
          <w:iCs/>
        </w:rPr>
        <w:t>comprehensive</w:t>
      </w:r>
      <w:r w:rsidR="008243CA">
        <w:rPr>
          <w:i/>
          <w:iCs/>
        </w:rPr>
        <w:t xml:space="preserve"> </w:t>
      </w:r>
      <w:r w:rsidRPr="0012227E">
        <w:rPr>
          <w:i/>
          <w:iCs/>
        </w:rPr>
        <w:t>legal</w:t>
      </w:r>
      <w:r w:rsidR="008243CA">
        <w:rPr>
          <w:i/>
          <w:iCs/>
        </w:rPr>
        <w:t xml:space="preserve"> </w:t>
      </w:r>
      <w:r w:rsidRPr="0012227E">
        <w:rPr>
          <w:i/>
          <w:iCs/>
        </w:rPr>
        <w:t>framework</w:t>
      </w:r>
      <w:r w:rsidR="008243CA">
        <w:rPr>
          <w:i/>
          <w:iCs/>
        </w:rPr>
        <w:t xml:space="preserve"> </w:t>
      </w:r>
      <w:r w:rsidRPr="0012227E">
        <w:rPr>
          <w:i/>
          <w:iCs/>
        </w:rPr>
        <w:t>for</w:t>
      </w:r>
      <w:r w:rsidR="008243CA">
        <w:rPr>
          <w:i/>
          <w:iCs/>
        </w:rPr>
        <w:t xml:space="preserve"> </w:t>
      </w:r>
      <w:r w:rsidRPr="0012227E">
        <w:rPr>
          <w:i/>
          <w:iCs/>
        </w:rPr>
        <w:t>the</w:t>
      </w:r>
      <w:r w:rsidR="008243CA">
        <w:rPr>
          <w:i/>
          <w:iCs/>
        </w:rPr>
        <w:t xml:space="preserve"> </w:t>
      </w:r>
      <w:r w:rsidRPr="0012227E">
        <w:rPr>
          <w:i/>
          <w:iCs/>
        </w:rPr>
        <w:t>prison</w:t>
      </w:r>
      <w:r w:rsidR="008243CA">
        <w:rPr>
          <w:i/>
          <w:iCs/>
        </w:rPr>
        <w:t xml:space="preserve"> </w:t>
      </w:r>
      <w:r w:rsidRPr="0012227E">
        <w:rPr>
          <w:i/>
          <w:iCs/>
        </w:rPr>
        <w:t>system</w:t>
      </w:r>
      <w:r w:rsidR="008243CA">
        <w:rPr>
          <w:i/>
          <w:iCs/>
        </w:rPr>
        <w:t xml:space="preserve"> </w:t>
      </w:r>
      <w:r w:rsidRPr="0012227E">
        <w:rPr>
          <w:i/>
          <w:iCs/>
        </w:rPr>
        <w:t>that</w:t>
      </w:r>
      <w:r w:rsidR="008243CA">
        <w:rPr>
          <w:i/>
          <w:iCs/>
        </w:rPr>
        <w:t xml:space="preserve"> </w:t>
      </w:r>
      <w:r w:rsidRPr="0012227E">
        <w:rPr>
          <w:i/>
          <w:iCs/>
        </w:rPr>
        <w:t>is</w:t>
      </w:r>
      <w:r w:rsidR="008243CA">
        <w:rPr>
          <w:i/>
          <w:iCs/>
        </w:rPr>
        <w:t xml:space="preserve"> </w:t>
      </w:r>
      <w:r w:rsidRPr="0012227E">
        <w:rPr>
          <w:i/>
          <w:iCs/>
        </w:rPr>
        <w:t>in</w:t>
      </w:r>
      <w:r w:rsidR="008243CA">
        <w:rPr>
          <w:i/>
          <w:iCs/>
        </w:rPr>
        <w:t xml:space="preserve"> </w:t>
      </w:r>
      <w:r w:rsidRPr="0012227E">
        <w:rPr>
          <w:i/>
          <w:iCs/>
        </w:rPr>
        <w:t>conformity</w:t>
      </w:r>
      <w:r w:rsidR="008243CA">
        <w:rPr>
          <w:i/>
          <w:iCs/>
        </w:rPr>
        <w:t xml:space="preserve"> </w:t>
      </w:r>
      <w:r w:rsidRPr="0012227E">
        <w:rPr>
          <w:i/>
          <w:iCs/>
        </w:rPr>
        <w:t>with</w:t>
      </w:r>
      <w:r w:rsidR="008243CA">
        <w:rPr>
          <w:i/>
          <w:iCs/>
        </w:rPr>
        <w:t xml:space="preserve"> </w:t>
      </w:r>
      <w:r w:rsidRPr="0012227E">
        <w:rPr>
          <w:i/>
          <w:iCs/>
        </w:rPr>
        <w:t>international</w:t>
      </w:r>
      <w:r w:rsidR="008243CA">
        <w:rPr>
          <w:i/>
          <w:iCs/>
        </w:rPr>
        <w:t xml:space="preserve"> </w:t>
      </w:r>
      <w:r w:rsidRPr="0012227E">
        <w:rPr>
          <w:i/>
          <w:iCs/>
        </w:rPr>
        <w:t>standards,</w:t>
      </w:r>
      <w:r w:rsidR="008243CA">
        <w:rPr>
          <w:i/>
          <w:iCs/>
        </w:rPr>
        <w:t xml:space="preserve"> </w:t>
      </w:r>
      <w:r w:rsidRPr="0012227E">
        <w:rPr>
          <w:i/>
          <w:iCs/>
        </w:rPr>
        <w:t>including</w:t>
      </w:r>
      <w:r w:rsidR="008243CA">
        <w:rPr>
          <w:i/>
          <w:iCs/>
        </w:rPr>
        <w:t xml:space="preserve"> </w:t>
      </w:r>
      <w:r w:rsidRPr="0012227E">
        <w:rPr>
          <w:i/>
          <w:iCs/>
        </w:rPr>
        <w:t>the</w:t>
      </w:r>
      <w:r w:rsidR="008243CA">
        <w:rPr>
          <w:i/>
          <w:iCs/>
        </w:rPr>
        <w:t xml:space="preserve"> </w:t>
      </w:r>
      <w:r w:rsidRPr="0012227E">
        <w:rPr>
          <w:i/>
          <w:iCs/>
        </w:rPr>
        <w:t>United</w:t>
      </w:r>
      <w:r w:rsidR="008243CA">
        <w:rPr>
          <w:i/>
          <w:iCs/>
        </w:rPr>
        <w:t xml:space="preserve"> </w:t>
      </w:r>
      <w:r w:rsidRPr="0012227E">
        <w:rPr>
          <w:i/>
          <w:iCs/>
        </w:rPr>
        <w:t>Nations</w:t>
      </w:r>
      <w:r w:rsidR="008243CA">
        <w:rPr>
          <w:i/>
          <w:iCs/>
        </w:rPr>
        <w:t xml:space="preserve"> </w:t>
      </w:r>
      <w:r w:rsidRPr="0012227E">
        <w:rPr>
          <w:i/>
          <w:iCs/>
        </w:rPr>
        <w:t>Standard</w:t>
      </w:r>
      <w:r w:rsidR="008243CA">
        <w:rPr>
          <w:i/>
          <w:iCs/>
        </w:rPr>
        <w:t xml:space="preserve"> </w:t>
      </w:r>
      <w:r w:rsidRPr="0012227E">
        <w:rPr>
          <w:i/>
          <w:iCs/>
        </w:rPr>
        <w:t>Minimum</w:t>
      </w:r>
      <w:r w:rsidR="008243CA">
        <w:rPr>
          <w:i/>
          <w:iCs/>
        </w:rPr>
        <w:t xml:space="preserve"> </w:t>
      </w:r>
      <w:r w:rsidRPr="0012227E">
        <w:rPr>
          <w:i/>
          <w:iCs/>
        </w:rPr>
        <w:t>Rules</w:t>
      </w:r>
      <w:r w:rsidR="008243CA">
        <w:rPr>
          <w:i/>
          <w:iCs/>
        </w:rPr>
        <w:t xml:space="preserve"> </w:t>
      </w:r>
      <w:r w:rsidRPr="0012227E">
        <w:rPr>
          <w:i/>
          <w:iCs/>
        </w:rPr>
        <w:t>for</w:t>
      </w:r>
      <w:r w:rsidR="008243CA">
        <w:rPr>
          <w:i/>
          <w:iCs/>
        </w:rPr>
        <w:t xml:space="preserve"> </w:t>
      </w:r>
      <w:r w:rsidRPr="0012227E">
        <w:rPr>
          <w:i/>
          <w:iCs/>
        </w:rPr>
        <w:t>the</w:t>
      </w:r>
      <w:r w:rsidR="008243CA">
        <w:rPr>
          <w:i/>
          <w:iCs/>
        </w:rPr>
        <w:t xml:space="preserve"> </w:t>
      </w:r>
      <w:r w:rsidRPr="0012227E">
        <w:rPr>
          <w:i/>
          <w:iCs/>
        </w:rPr>
        <w:t>Treatment</w:t>
      </w:r>
      <w:r w:rsidR="008243CA">
        <w:rPr>
          <w:i/>
          <w:iCs/>
        </w:rPr>
        <w:t xml:space="preserve"> </w:t>
      </w:r>
      <w:r w:rsidRPr="0012227E">
        <w:rPr>
          <w:i/>
          <w:iCs/>
        </w:rPr>
        <w:t>of</w:t>
      </w:r>
      <w:r w:rsidR="008243CA">
        <w:rPr>
          <w:i/>
          <w:iCs/>
        </w:rPr>
        <w:t xml:space="preserve"> </w:t>
      </w:r>
      <w:r w:rsidRPr="0012227E">
        <w:rPr>
          <w:i/>
          <w:iCs/>
        </w:rPr>
        <w:t>Prisoners</w:t>
      </w:r>
      <w:r w:rsidR="008243CA">
        <w:rPr>
          <w:i/>
          <w:iCs/>
        </w:rPr>
        <w:t xml:space="preserve"> </w:t>
      </w:r>
      <w:r w:rsidRPr="0012227E">
        <w:rPr>
          <w:i/>
          <w:iCs/>
        </w:rPr>
        <w:t>(the</w:t>
      </w:r>
      <w:r w:rsidR="008243CA">
        <w:rPr>
          <w:i/>
          <w:iCs/>
        </w:rPr>
        <w:t xml:space="preserve"> </w:t>
      </w:r>
      <w:r w:rsidRPr="0012227E">
        <w:rPr>
          <w:i/>
          <w:iCs/>
        </w:rPr>
        <w:t>Nelson</w:t>
      </w:r>
      <w:r w:rsidR="008243CA">
        <w:rPr>
          <w:i/>
          <w:iCs/>
        </w:rPr>
        <w:t xml:space="preserve"> </w:t>
      </w:r>
      <w:r w:rsidRPr="0012227E">
        <w:rPr>
          <w:i/>
          <w:iCs/>
        </w:rPr>
        <w:t>Mandela</w:t>
      </w:r>
      <w:r w:rsidR="008243CA">
        <w:rPr>
          <w:i/>
          <w:iCs/>
        </w:rPr>
        <w:t xml:space="preserve"> </w:t>
      </w:r>
      <w:r w:rsidRPr="0012227E">
        <w:rPr>
          <w:i/>
          <w:iCs/>
        </w:rPr>
        <w:t>Rules)</w:t>
      </w:r>
      <w:r w:rsidR="008243CA">
        <w:rPr>
          <w:i/>
          <w:iCs/>
        </w:rPr>
        <w:t xml:space="preserve"> </w:t>
      </w:r>
      <w:r w:rsidRPr="0012227E">
        <w:rPr>
          <w:i/>
          <w:iCs/>
        </w:rPr>
        <w:t>and</w:t>
      </w:r>
      <w:r w:rsidR="008243CA">
        <w:rPr>
          <w:i/>
          <w:iCs/>
        </w:rPr>
        <w:t xml:space="preserve"> </w:t>
      </w:r>
      <w:r w:rsidRPr="0012227E">
        <w:rPr>
          <w:i/>
          <w:iCs/>
        </w:rPr>
        <w:t>the</w:t>
      </w:r>
      <w:r w:rsidR="008243CA">
        <w:rPr>
          <w:i/>
          <w:iCs/>
        </w:rPr>
        <w:t xml:space="preserve"> </w:t>
      </w:r>
      <w:r w:rsidRPr="0012227E">
        <w:rPr>
          <w:i/>
          <w:iCs/>
        </w:rPr>
        <w:t>United</w:t>
      </w:r>
      <w:r w:rsidR="008243CA">
        <w:rPr>
          <w:i/>
          <w:iCs/>
        </w:rPr>
        <w:t xml:space="preserve"> </w:t>
      </w:r>
      <w:r w:rsidRPr="0012227E">
        <w:rPr>
          <w:i/>
          <w:iCs/>
        </w:rPr>
        <w:t>Nations</w:t>
      </w:r>
      <w:r w:rsidR="008243CA">
        <w:rPr>
          <w:i/>
          <w:iCs/>
        </w:rPr>
        <w:t xml:space="preserve"> </w:t>
      </w:r>
      <w:r w:rsidRPr="0012227E">
        <w:rPr>
          <w:i/>
          <w:iCs/>
        </w:rPr>
        <w:t>Rules</w:t>
      </w:r>
      <w:r w:rsidR="008243CA">
        <w:rPr>
          <w:i/>
          <w:iCs/>
        </w:rPr>
        <w:t xml:space="preserve"> </w:t>
      </w:r>
      <w:r w:rsidRPr="0012227E">
        <w:rPr>
          <w:i/>
          <w:iCs/>
        </w:rPr>
        <w:t>for</w:t>
      </w:r>
      <w:r w:rsidR="008243CA">
        <w:rPr>
          <w:i/>
          <w:iCs/>
        </w:rPr>
        <w:t xml:space="preserve"> </w:t>
      </w:r>
      <w:r w:rsidRPr="0012227E">
        <w:rPr>
          <w:i/>
          <w:iCs/>
        </w:rPr>
        <w:t>the</w:t>
      </w:r>
      <w:r w:rsidR="008243CA">
        <w:rPr>
          <w:i/>
          <w:iCs/>
        </w:rPr>
        <w:t xml:space="preserve"> </w:t>
      </w:r>
      <w:r w:rsidRPr="0012227E">
        <w:rPr>
          <w:i/>
          <w:iCs/>
        </w:rPr>
        <w:t>Treatment</w:t>
      </w:r>
      <w:r w:rsidR="008243CA">
        <w:rPr>
          <w:i/>
          <w:iCs/>
        </w:rPr>
        <w:t xml:space="preserve"> </w:t>
      </w:r>
      <w:r w:rsidRPr="0012227E">
        <w:rPr>
          <w:i/>
          <w:iCs/>
        </w:rPr>
        <w:t>of</w:t>
      </w:r>
      <w:r w:rsidR="008243CA">
        <w:rPr>
          <w:i/>
          <w:iCs/>
        </w:rPr>
        <w:t xml:space="preserve"> </w:t>
      </w:r>
      <w:r w:rsidRPr="0012227E">
        <w:rPr>
          <w:i/>
          <w:iCs/>
        </w:rPr>
        <w:t>Women</w:t>
      </w:r>
      <w:r w:rsidR="008243CA">
        <w:rPr>
          <w:i/>
          <w:iCs/>
        </w:rPr>
        <w:t xml:space="preserve"> </w:t>
      </w:r>
      <w:r w:rsidRPr="0012227E">
        <w:rPr>
          <w:i/>
          <w:iCs/>
        </w:rPr>
        <w:t>Prisoners</w:t>
      </w:r>
      <w:r w:rsidR="008243CA">
        <w:rPr>
          <w:i/>
          <w:iCs/>
        </w:rPr>
        <w:t xml:space="preserve"> </w:t>
      </w:r>
      <w:r w:rsidRPr="0012227E">
        <w:rPr>
          <w:i/>
          <w:iCs/>
        </w:rPr>
        <w:t>and</w:t>
      </w:r>
      <w:r w:rsidR="008243CA">
        <w:rPr>
          <w:i/>
          <w:iCs/>
        </w:rPr>
        <w:t xml:space="preserve"> </w:t>
      </w:r>
      <w:r w:rsidRPr="0012227E">
        <w:rPr>
          <w:i/>
          <w:iCs/>
        </w:rPr>
        <w:t>Non-custodial</w:t>
      </w:r>
      <w:r w:rsidR="008243CA">
        <w:rPr>
          <w:i/>
          <w:iCs/>
        </w:rPr>
        <w:t xml:space="preserve"> </w:t>
      </w:r>
      <w:r w:rsidRPr="0012227E">
        <w:rPr>
          <w:i/>
          <w:iCs/>
        </w:rPr>
        <w:t>Measures</w:t>
      </w:r>
      <w:r w:rsidR="008243CA">
        <w:rPr>
          <w:i/>
          <w:iCs/>
        </w:rPr>
        <w:t xml:space="preserve"> </w:t>
      </w:r>
      <w:r w:rsidRPr="0012227E">
        <w:rPr>
          <w:i/>
          <w:iCs/>
        </w:rPr>
        <w:t>for</w:t>
      </w:r>
      <w:r w:rsidR="008243CA">
        <w:rPr>
          <w:i/>
          <w:iCs/>
        </w:rPr>
        <w:t xml:space="preserve"> </w:t>
      </w:r>
      <w:r w:rsidRPr="0012227E">
        <w:rPr>
          <w:i/>
          <w:iCs/>
        </w:rPr>
        <w:t>Women</w:t>
      </w:r>
      <w:r w:rsidR="008243CA">
        <w:rPr>
          <w:i/>
          <w:iCs/>
        </w:rPr>
        <w:t xml:space="preserve"> </w:t>
      </w:r>
      <w:r w:rsidRPr="0012227E">
        <w:rPr>
          <w:i/>
          <w:iCs/>
        </w:rPr>
        <w:t>Offenders</w:t>
      </w:r>
      <w:r w:rsidR="008243CA">
        <w:rPr>
          <w:i/>
          <w:iCs/>
        </w:rPr>
        <w:t xml:space="preserve"> </w:t>
      </w:r>
      <w:r w:rsidRPr="0012227E">
        <w:rPr>
          <w:i/>
          <w:iCs/>
        </w:rPr>
        <w:t>(the</w:t>
      </w:r>
      <w:r w:rsidR="008243CA">
        <w:rPr>
          <w:i/>
          <w:iCs/>
        </w:rPr>
        <w:t xml:space="preserve"> </w:t>
      </w:r>
      <w:r w:rsidRPr="0012227E">
        <w:rPr>
          <w:i/>
          <w:iCs/>
        </w:rPr>
        <w:t>Bangkok</w:t>
      </w:r>
      <w:r w:rsidR="008243CA">
        <w:rPr>
          <w:i/>
          <w:iCs/>
        </w:rPr>
        <w:t xml:space="preserve"> </w:t>
      </w:r>
      <w:r w:rsidRPr="0012227E">
        <w:rPr>
          <w:i/>
          <w:iCs/>
        </w:rPr>
        <w:t>Rules),</w:t>
      </w:r>
      <w:r w:rsidR="008243CA">
        <w:rPr>
          <w:i/>
          <w:iCs/>
        </w:rPr>
        <w:t xml:space="preserve"> </w:t>
      </w:r>
      <w:r w:rsidRPr="0012227E">
        <w:rPr>
          <w:i/>
          <w:iCs/>
        </w:rPr>
        <w:t>to</w:t>
      </w:r>
      <w:r w:rsidR="008243CA">
        <w:rPr>
          <w:i/>
          <w:iCs/>
        </w:rPr>
        <w:t xml:space="preserve"> </w:t>
      </w:r>
      <w:r w:rsidRPr="0012227E">
        <w:rPr>
          <w:i/>
          <w:iCs/>
        </w:rPr>
        <w:t>govern</w:t>
      </w:r>
      <w:r w:rsidR="00116F0B">
        <w:rPr>
          <w:i/>
          <w:iCs/>
        </w:rPr>
        <w:t xml:space="preserve"> </w:t>
      </w:r>
      <w:r w:rsidRPr="0012227E">
        <w:rPr>
          <w:i/>
          <w:iCs/>
        </w:rPr>
        <w:t>regulate</w:t>
      </w:r>
      <w:r w:rsidR="008243CA">
        <w:rPr>
          <w:i/>
          <w:iCs/>
        </w:rPr>
        <w:t xml:space="preserve"> </w:t>
      </w:r>
      <w:r w:rsidRPr="0012227E">
        <w:rPr>
          <w:i/>
          <w:iCs/>
        </w:rPr>
        <w:t>the</w:t>
      </w:r>
      <w:r w:rsidR="008243CA">
        <w:rPr>
          <w:i/>
          <w:iCs/>
        </w:rPr>
        <w:t xml:space="preserve"> </w:t>
      </w:r>
      <w:r w:rsidRPr="0012227E">
        <w:rPr>
          <w:i/>
          <w:iCs/>
        </w:rPr>
        <w:t>use</w:t>
      </w:r>
      <w:r w:rsidR="008243CA">
        <w:rPr>
          <w:i/>
          <w:iCs/>
        </w:rPr>
        <w:t xml:space="preserve"> </w:t>
      </w:r>
      <w:r w:rsidRPr="0012227E">
        <w:rPr>
          <w:i/>
          <w:iCs/>
        </w:rPr>
        <w:t>of</w:t>
      </w:r>
      <w:r w:rsidR="008243CA">
        <w:rPr>
          <w:i/>
          <w:iCs/>
        </w:rPr>
        <w:t xml:space="preserve"> </w:t>
      </w:r>
      <w:r w:rsidRPr="0012227E">
        <w:rPr>
          <w:i/>
          <w:iCs/>
        </w:rPr>
        <w:t>force</w:t>
      </w:r>
      <w:r w:rsidR="008243CA">
        <w:rPr>
          <w:i/>
          <w:iCs/>
        </w:rPr>
        <w:t xml:space="preserve"> </w:t>
      </w:r>
      <w:r w:rsidRPr="0012227E">
        <w:rPr>
          <w:i/>
          <w:iCs/>
        </w:rPr>
        <w:t>and</w:t>
      </w:r>
      <w:r w:rsidR="008243CA">
        <w:rPr>
          <w:i/>
          <w:iCs/>
        </w:rPr>
        <w:t xml:space="preserve"> </w:t>
      </w:r>
      <w:r w:rsidRPr="0012227E">
        <w:rPr>
          <w:i/>
          <w:iCs/>
        </w:rPr>
        <w:t>the</w:t>
      </w:r>
      <w:r w:rsidR="008243CA">
        <w:rPr>
          <w:i/>
          <w:iCs/>
        </w:rPr>
        <w:t xml:space="preserve"> </w:t>
      </w:r>
      <w:r w:rsidRPr="0012227E">
        <w:rPr>
          <w:i/>
          <w:iCs/>
        </w:rPr>
        <w:t>disciplinary</w:t>
      </w:r>
      <w:r w:rsidR="008243CA">
        <w:rPr>
          <w:i/>
          <w:iCs/>
        </w:rPr>
        <w:t xml:space="preserve"> </w:t>
      </w:r>
      <w:r w:rsidRPr="0012227E">
        <w:rPr>
          <w:i/>
          <w:iCs/>
        </w:rPr>
        <w:t>sanctions</w:t>
      </w:r>
      <w:r w:rsidR="008243CA">
        <w:rPr>
          <w:i/>
          <w:iCs/>
        </w:rPr>
        <w:t xml:space="preserve"> </w:t>
      </w:r>
      <w:r w:rsidRPr="0012227E">
        <w:rPr>
          <w:i/>
          <w:iCs/>
        </w:rPr>
        <w:t>applied</w:t>
      </w:r>
      <w:r w:rsidR="008243CA">
        <w:rPr>
          <w:i/>
          <w:iCs/>
        </w:rPr>
        <w:t xml:space="preserve"> </w:t>
      </w:r>
      <w:r w:rsidRPr="0012227E">
        <w:rPr>
          <w:i/>
          <w:iCs/>
        </w:rPr>
        <w:t>by</w:t>
      </w:r>
      <w:r w:rsidR="008243CA">
        <w:rPr>
          <w:i/>
          <w:iCs/>
        </w:rPr>
        <w:t xml:space="preserve"> </w:t>
      </w:r>
      <w:r w:rsidRPr="0012227E">
        <w:rPr>
          <w:i/>
          <w:iCs/>
        </w:rPr>
        <w:t>prison</w:t>
      </w:r>
      <w:r w:rsidR="008243CA">
        <w:rPr>
          <w:i/>
          <w:iCs/>
        </w:rPr>
        <w:t xml:space="preserve"> </w:t>
      </w:r>
      <w:r w:rsidRPr="0012227E">
        <w:rPr>
          <w:i/>
          <w:iCs/>
        </w:rPr>
        <w:t>officers.</w:t>
      </w:r>
      <w:r w:rsidR="008243CA">
        <w:rPr>
          <w:i/>
          <w:iCs/>
        </w:rPr>
        <w:t xml:space="preserve"> </w:t>
      </w:r>
      <w:r w:rsidRPr="0012227E">
        <w:rPr>
          <w:i/>
          <w:iCs/>
        </w:rPr>
        <w:t>This</w:t>
      </w:r>
      <w:r w:rsidR="008243CA">
        <w:rPr>
          <w:i/>
          <w:iCs/>
        </w:rPr>
        <w:t xml:space="preserve"> </w:t>
      </w:r>
      <w:r w:rsidRPr="0012227E">
        <w:rPr>
          <w:i/>
          <w:iCs/>
        </w:rPr>
        <w:t>regulatory</w:t>
      </w:r>
      <w:r w:rsidR="008243CA">
        <w:rPr>
          <w:i/>
          <w:iCs/>
        </w:rPr>
        <w:t xml:space="preserve"> </w:t>
      </w:r>
      <w:r w:rsidRPr="0012227E">
        <w:rPr>
          <w:i/>
          <w:iCs/>
        </w:rPr>
        <w:t>framework</w:t>
      </w:r>
      <w:r w:rsidR="008243CA">
        <w:rPr>
          <w:i/>
          <w:iCs/>
        </w:rPr>
        <w:t xml:space="preserve"> </w:t>
      </w:r>
      <w:r w:rsidRPr="0012227E">
        <w:rPr>
          <w:i/>
          <w:iCs/>
        </w:rPr>
        <w:t>should</w:t>
      </w:r>
      <w:r w:rsidR="008243CA">
        <w:rPr>
          <w:i/>
          <w:iCs/>
        </w:rPr>
        <w:t xml:space="preserve"> </w:t>
      </w:r>
      <w:r w:rsidRPr="0012227E">
        <w:rPr>
          <w:i/>
          <w:iCs/>
        </w:rPr>
        <w:t>also</w:t>
      </w:r>
      <w:r w:rsidR="008243CA">
        <w:rPr>
          <w:i/>
          <w:iCs/>
        </w:rPr>
        <w:t xml:space="preserve"> </w:t>
      </w:r>
      <w:r w:rsidRPr="0012227E">
        <w:rPr>
          <w:i/>
          <w:iCs/>
        </w:rPr>
        <w:t>provide</w:t>
      </w:r>
      <w:r w:rsidR="008243CA">
        <w:rPr>
          <w:i/>
          <w:iCs/>
        </w:rPr>
        <w:t xml:space="preserve"> </w:t>
      </w:r>
      <w:r w:rsidRPr="0012227E">
        <w:rPr>
          <w:i/>
          <w:iCs/>
        </w:rPr>
        <w:t>for</w:t>
      </w:r>
      <w:r w:rsidR="008243CA">
        <w:rPr>
          <w:i/>
          <w:iCs/>
        </w:rPr>
        <w:t xml:space="preserve"> </w:t>
      </w:r>
      <w:r w:rsidRPr="0012227E">
        <w:rPr>
          <w:i/>
          <w:iCs/>
        </w:rPr>
        <w:t>the</w:t>
      </w:r>
      <w:r w:rsidR="008243CA">
        <w:rPr>
          <w:i/>
          <w:iCs/>
        </w:rPr>
        <w:t xml:space="preserve"> </w:t>
      </w:r>
      <w:r w:rsidRPr="0012227E">
        <w:rPr>
          <w:i/>
          <w:iCs/>
        </w:rPr>
        <w:t>possibility</w:t>
      </w:r>
      <w:r w:rsidR="008243CA">
        <w:rPr>
          <w:i/>
          <w:iCs/>
        </w:rPr>
        <w:t xml:space="preserve"> </w:t>
      </w:r>
      <w:r w:rsidRPr="0012227E">
        <w:rPr>
          <w:i/>
          <w:iCs/>
        </w:rPr>
        <w:t>of</w:t>
      </w:r>
      <w:r w:rsidR="008243CA">
        <w:rPr>
          <w:i/>
          <w:iCs/>
        </w:rPr>
        <w:t xml:space="preserve"> </w:t>
      </w:r>
      <w:r w:rsidRPr="0012227E">
        <w:rPr>
          <w:i/>
          <w:iCs/>
        </w:rPr>
        <w:t>prison</w:t>
      </w:r>
      <w:r w:rsidR="008243CA">
        <w:rPr>
          <w:i/>
          <w:iCs/>
        </w:rPr>
        <w:t xml:space="preserve"> </w:t>
      </w:r>
      <w:r w:rsidRPr="0012227E">
        <w:rPr>
          <w:i/>
          <w:iCs/>
        </w:rPr>
        <w:t>sentence</w:t>
      </w:r>
      <w:r w:rsidR="008243CA">
        <w:rPr>
          <w:i/>
          <w:iCs/>
        </w:rPr>
        <w:t xml:space="preserve"> </w:t>
      </w:r>
      <w:r w:rsidRPr="0012227E">
        <w:rPr>
          <w:i/>
          <w:iCs/>
        </w:rPr>
        <w:t>reductions</w:t>
      </w:r>
      <w:r w:rsidR="008243CA">
        <w:rPr>
          <w:i/>
          <w:iCs/>
        </w:rPr>
        <w:t xml:space="preserve"> </w:t>
      </w:r>
      <w:r w:rsidRPr="0012227E">
        <w:rPr>
          <w:i/>
          <w:iCs/>
        </w:rPr>
        <w:t>and</w:t>
      </w:r>
      <w:r w:rsidR="008243CA">
        <w:rPr>
          <w:i/>
          <w:iCs/>
        </w:rPr>
        <w:t xml:space="preserve"> </w:t>
      </w:r>
      <w:r w:rsidRPr="0012227E">
        <w:rPr>
          <w:i/>
          <w:iCs/>
        </w:rPr>
        <w:t>parole.</w:t>
      </w:r>
    </w:p>
    <w:p w:rsidR="003F7D03" w:rsidRPr="0012227E" w:rsidRDefault="003F7D03" w:rsidP="000C6D98">
      <w:pPr>
        <w:pStyle w:val="SingleTxtG"/>
        <w:rPr>
          <w:i/>
          <w:iCs/>
        </w:rPr>
      </w:pPr>
      <w:r w:rsidRPr="00E62FE6">
        <w:t>35.</w:t>
      </w:r>
      <w:r w:rsidRPr="00E62FE6">
        <w:tab/>
        <w:t>Paragraph</w:t>
      </w:r>
      <w:r w:rsidR="008243CA">
        <w:t xml:space="preserve"> </w:t>
      </w:r>
      <w:r w:rsidRPr="00E62FE6">
        <w:t>42:</w:t>
      </w:r>
      <w:r w:rsidR="008243CA">
        <w:t xml:space="preserve"> </w:t>
      </w:r>
      <w:r w:rsidRPr="0012227E">
        <w:rPr>
          <w:i/>
          <w:iCs/>
        </w:rPr>
        <w:t>The</w:t>
      </w:r>
      <w:r w:rsidR="008243CA">
        <w:rPr>
          <w:i/>
          <w:iCs/>
        </w:rPr>
        <w:t xml:space="preserve"> </w:t>
      </w:r>
      <w:r w:rsidRPr="0012227E">
        <w:rPr>
          <w:i/>
          <w:iCs/>
        </w:rPr>
        <w:t>Subcommittee</w:t>
      </w:r>
      <w:r w:rsidR="008243CA">
        <w:rPr>
          <w:i/>
          <w:iCs/>
        </w:rPr>
        <w:t xml:space="preserve"> </w:t>
      </w:r>
      <w:r w:rsidRPr="0012227E">
        <w:rPr>
          <w:i/>
          <w:iCs/>
        </w:rPr>
        <w:t>recommends</w:t>
      </w:r>
      <w:r w:rsidR="008243CA">
        <w:rPr>
          <w:i/>
          <w:iCs/>
        </w:rPr>
        <w:t xml:space="preserve"> </w:t>
      </w:r>
      <w:r w:rsidRPr="0012227E">
        <w:rPr>
          <w:i/>
          <w:iCs/>
        </w:rPr>
        <w:t>that,</w:t>
      </w:r>
      <w:r w:rsidR="008243CA">
        <w:rPr>
          <w:i/>
          <w:iCs/>
        </w:rPr>
        <w:t xml:space="preserve"> </w:t>
      </w:r>
      <w:r w:rsidRPr="0012227E">
        <w:rPr>
          <w:i/>
          <w:iCs/>
        </w:rPr>
        <w:t>as</w:t>
      </w:r>
      <w:r w:rsidR="008243CA">
        <w:rPr>
          <w:i/>
          <w:iCs/>
        </w:rPr>
        <w:t xml:space="preserve"> </w:t>
      </w:r>
      <w:r w:rsidRPr="0012227E">
        <w:rPr>
          <w:i/>
          <w:iCs/>
        </w:rPr>
        <w:t>part</w:t>
      </w:r>
      <w:r w:rsidR="008243CA">
        <w:rPr>
          <w:i/>
          <w:iCs/>
        </w:rPr>
        <w:t xml:space="preserve"> </w:t>
      </w:r>
      <w:r w:rsidRPr="0012227E">
        <w:rPr>
          <w:i/>
          <w:iCs/>
        </w:rPr>
        <w:t>of</w:t>
      </w:r>
      <w:r w:rsidR="008243CA">
        <w:rPr>
          <w:i/>
          <w:iCs/>
        </w:rPr>
        <w:t xml:space="preserve"> </w:t>
      </w:r>
      <w:r w:rsidRPr="0012227E">
        <w:rPr>
          <w:i/>
          <w:iCs/>
        </w:rPr>
        <w:t>the</w:t>
      </w:r>
      <w:r w:rsidR="008243CA">
        <w:rPr>
          <w:i/>
          <w:iCs/>
        </w:rPr>
        <w:t xml:space="preserve"> </w:t>
      </w:r>
      <w:r w:rsidRPr="0012227E">
        <w:rPr>
          <w:i/>
          <w:iCs/>
        </w:rPr>
        <w:t>reform</w:t>
      </w:r>
      <w:r w:rsidR="008243CA">
        <w:rPr>
          <w:i/>
          <w:iCs/>
        </w:rPr>
        <w:t xml:space="preserve"> </w:t>
      </w:r>
      <w:r w:rsidRPr="0012227E">
        <w:rPr>
          <w:i/>
          <w:iCs/>
        </w:rPr>
        <w:t>of</w:t>
      </w:r>
      <w:r w:rsidR="008243CA">
        <w:rPr>
          <w:i/>
          <w:iCs/>
        </w:rPr>
        <w:t xml:space="preserve"> </w:t>
      </w:r>
      <w:r w:rsidRPr="0012227E">
        <w:rPr>
          <w:i/>
          <w:iCs/>
        </w:rPr>
        <w:t>prison</w:t>
      </w:r>
      <w:r w:rsidR="008243CA">
        <w:rPr>
          <w:i/>
          <w:iCs/>
        </w:rPr>
        <w:t xml:space="preserve"> </w:t>
      </w:r>
      <w:r w:rsidRPr="0012227E">
        <w:rPr>
          <w:i/>
          <w:iCs/>
        </w:rPr>
        <w:t>legislation,</w:t>
      </w:r>
      <w:r w:rsidR="008243CA">
        <w:rPr>
          <w:i/>
          <w:iCs/>
        </w:rPr>
        <w:t xml:space="preserve"> </w:t>
      </w:r>
      <w:r w:rsidRPr="0012227E">
        <w:rPr>
          <w:i/>
          <w:iCs/>
        </w:rPr>
        <w:t>systems</w:t>
      </w:r>
      <w:r w:rsidR="008243CA">
        <w:rPr>
          <w:i/>
          <w:iCs/>
        </w:rPr>
        <w:t xml:space="preserve"> </w:t>
      </w:r>
      <w:r w:rsidRPr="0012227E">
        <w:rPr>
          <w:i/>
          <w:iCs/>
        </w:rPr>
        <w:t>of</w:t>
      </w:r>
      <w:r w:rsidR="008243CA">
        <w:rPr>
          <w:i/>
          <w:iCs/>
        </w:rPr>
        <w:t xml:space="preserve"> </w:t>
      </w:r>
      <w:r w:rsidRPr="0012227E">
        <w:rPr>
          <w:i/>
          <w:iCs/>
        </w:rPr>
        <w:t>privileges,</w:t>
      </w:r>
      <w:r w:rsidR="008243CA">
        <w:rPr>
          <w:i/>
          <w:iCs/>
        </w:rPr>
        <w:t xml:space="preserve"> </w:t>
      </w:r>
      <w:r w:rsidRPr="0012227E">
        <w:rPr>
          <w:i/>
          <w:iCs/>
        </w:rPr>
        <w:t>including</w:t>
      </w:r>
      <w:r w:rsidR="008243CA">
        <w:rPr>
          <w:i/>
          <w:iCs/>
        </w:rPr>
        <w:t xml:space="preserve"> </w:t>
      </w:r>
      <w:r w:rsidRPr="0012227E">
        <w:rPr>
          <w:i/>
          <w:iCs/>
        </w:rPr>
        <w:t>parole,</w:t>
      </w:r>
      <w:r w:rsidR="008243CA">
        <w:rPr>
          <w:i/>
          <w:iCs/>
        </w:rPr>
        <w:t xml:space="preserve"> </w:t>
      </w:r>
      <w:r w:rsidRPr="0012227E">
        <w:rPr>
          <w:i/>
          <w:iCs/>
        </w:rPr>
        <w:t>be</w:t>
      </w:r>
      <w:r w:rsidR="008243CA">
        <w:rPr>
          <w:i/>
          <w:iCs/>
        </w:rPr>
        <w:t xml:space="preserve"> </w:t>
      </w:r>
      <w:r w:rsidRPr="0012227E">
        <w:rPr>
          <w:i/>
          <w:iCs/>
        </w:rPr>
        <w:t>brought</w:t>
      </w:r>
      <w:r w:rsidR="008243CA">
        <w:rPr>
          <w:i/>
          <w:iCs/>
        </w:rPr>
        <w:t xml:space="preserve"> </w:t>
      </w:r>
      <w:r w:rsidRPr="0012227E">
        <w:rPr>
          <w:i/>
          <w:iCs/>
        </w:rPr>
        <w:t>into</w:t>
      </w:r>
      <w:r w:rsidR="008243CA">
        <w:rPr>
          <w:i/>
          <w:iCs/>
        </w:rPr>
        <w:t xml:space="preserve"> </w:t>
      </w:r>
      <w:r w:rsidRPr="0012227E">
        <w:rPr>
          <w:i/>
          <w:iCs/>
        </w:rPr>
        <w:t>line</w:t>
      </w:r>
      <w:r w:rsidR="008243CA">
        <w:rPr>
          <w:i/>
          <w:iCs/>
        </w:rPr>
        <w:t xml:space="preserve"> </w:t>
      </w:r>
      <w:r w:rsidRPr="0012227E">
        <w:rPr>
          <w:i/>
          <w:iCs/>
        </w:rPr>
        <w:t>with</w:t>
      </w:r>
      <w:r w:rsidR="008243CA">
        <w:rPr>
          <w:i/>
          <w:iCs/>
        </w:rPr>
        <w:t xml:space="preserve"> </w:t>
      </w:r>
      <w:r w:rsidRPr="0012227E">
        <w:rPr>
          <w:i/>
          <w:iCs/>
        </w:rPr>
        <w:t>rule</w:t>
      </w:r>
      <w:r w:rsidR="008243CA">
        <w:rPr>
          <w:i/>
          <w:iCs/>
        </w:rPr>
        <w:t xml:space="preserve"> </w:t>
      </w:r>
      <w:r w:rsidRPr="0012227E">
        <w:rPr>
          <w:i/>
          <w:iCs/>
        </w:rPr>
        <w:t>95</w:t>
      </w:r>
      <w:r w:rsidR="008243CA">
        <w:rPr>
          <w:i/>
          <w:iCs/>
        </w:rPr>
        <w:t xml:space="preserve"> </w:t>
      </w:r>
      <w:r w:rsidRPr="0012227E">
        <w:rPr>
          <w:i/>
          <w:iCs/>
        </w:rPr>
        <w:t>of</w:t>
      </w:r>
      <w:r w:rsidR="008243CA">
        <w:rPr>
          <w:i/>
          <w:iCs/>
        </w:rPr>
        <w:t xml:space="preserve"> </w:t>
      </w:r>
      <w:r w:rsidRPr="0012227E">
        <w:rPr>
          <w:i/>
          <w:iCs/>
        </w:rPr>
        <w:t>the</w:t>
      </w:r>
      <w:r w:rsidR="008243CA">
        <w:rPr>
          <w:i/>
          <w:iCs/>
        </w:rPr>
        <w:t xml:space="preserve"> </w:t>
      </w:r>
      <w:r w:rsidRPr="0012227E">
        <w:rPr>
          <w:i/>
          <w:iCs/>
        </w:rPr>
        <w:t>Standard</w:t>
      </w:r>
      <w:r w:rsidR="008243CA">
        <w:rPr>
          <w:i/>
          <w:iCs/>
        </w:rPr>
        <w:t xml:space="preserve"> </w:t>
      </w:r>
      <w:r w:rsidRPr="0012227E">
        <w:rPr>
          <w:i/>
          <w:iCs/>
        </w:rPr>
        <w:t>Minimum</w:t>
      </w:r>
      <w:r w:rsidR="008243CA">
        <w:rPr>
          <w:i/>
          <w:iCs/>
        </w:rPr>
        <w:t xml:space="preserve"> </w:t>
      </w:r>
      <w:r w:rsidRPr="0012227E">
        <w:rPr>
          <w:i/>
          <w:iCs/>
        </w:rPr>
        <w:t>Rules</w:t>
      </w:r>
      <w:r w:rsidR="008243CA">
        <w:rPr>
          <w:i/>
          <w:iCs/>
        </w:rPr>
        <w:t xml:space="preserve"> </w:t>
      </w:r>
      <w:r w:rsidRPr="0012227E">
        <w:rPr>
          <w:i/>
          <w:iCs/>
        </w:rPr>
        <w:t>for</w:t>
      </w:r>
      <w:r w:rsidR="008243CA">
        <w:rPr>
          <w:i/>
          <w:iCs/>
        </w:rPr>
        <w:t xml:space="preserve"> </w:t>
      </w:r>
      <w:r w:rsidRPr="0012227E">
        <w:rPr>
          <w:i/>
          <w:iCs/>
        </w:rPr>
        <w:t>the</w:t>
      </w:r>
      <w:r w:rsidR="008243CA">
        <w:rPr>
          <w:i/>
          <w:iCs/>
        </w:rPr>
        <w:t xml:space="preserve"> </w:t>
      </w:r>
      <w:r w:rsidRPr="0012227E">
        <w:rPr>
          <w:i/>
          <w:iCs/>
        </w:rPr>
        <w:t>Treatment</w:t>
      </w:r>
      <w:r w:rsidR="008243CA">
        <w:rPr>
          <w:i/>
          <w:iCs/>
        </w:rPr>
        <w:t xml:space="preserve"> </w:t>
      </w:r>
      <w:r w:rsidRPr="0012227E">
        <w:rPr>
          <w:i/>
          <w:iCs/>
        </w:rPr>
        <w:t>of</w:t>
      </w:r>
      <w:r w:rsidR="008243CA">
        <w:rPr>
          <w:i/>
          <w:iCs/>
        </w:rPr>
        <w:t xml:space="preserve"> </w:t>
      </w:r>
      <w:r w:rsidRPr="0012227E">
        <w:rPr>
          <w:i/>
          <w:iCs/>
        </w:rPr>
        <w:t>Prisoners</w:t>
      </w:r>
      <w:r w:rsidR="008243CA">
        <w:rPr>
          <w:i/>
          <w:iCs/>
        </w:rPr>
        <w:t xml:space="preserve"> </w:t>
      </w:r>
      <w:r w:rsidRPr="0012227E">
        <w:rPr>
          <w:i/>
          <w:iCs/>
        </w:rPr>
        <w:t>(the</w:t>
      </w:r>
      <w:r w:rsidR="008243CA">
        <w:rPr>
          <w:i/>
          <w:iCs/>
        </w:rPr>
        <w:t xml:space="preserve"> </w:t>
      </w:r>
      <w:r w:rsidRPr="0012227E">
        <w:rPr>
          <w:i/>
          <w:iCs/>
        </w:rPr>
        <w:t>Nelson</w:t>
      </w:r>
      <w:r w:rsidR="008243CA">
        <w:rPr>
          <w:i/>
          <w:iCs/>
        </w:rPr>
        <w:t xml:space="preserve"> </w:t>
      </w:r>
      <w:r w:rsidRPr="0012227E">
        <w:rPr>
          <w:i/>
          <w:iCs/>
        </w:rPr>
        <w:t>Mandela</w:t>
      </w:r>
      <w:r w:rsidR="008243CA">
        <w:rPr>
          <w:i/>
          <w:iCs/>
        </w:rPr>
        <w:t xml:space="preserve"> </w:t>
      </w:r>
      <w:r w:rsidRPr="0012227E">
        <w:rPr>
          <w:i/>
          <w:iCs/>
        </w:rPr>
        <w:t>Rules)</w:t>
      </w:r>
      <w:r w:rsidR="008243CA">
        <w:rPr>
          <w:i/>
          <w:iCs/>
        </w:rPr>
        <w:t xml:space="preserve"> </w:t>
      </w:r>
      <w:r w:rsidRPr="0012227E">
        <w:rPr>
          <w:i/>
          <w:iCs/>
        </w:rPr>
        <w:t>on</w:t>
      </w:r>
      <w:r w:rsidR="008243CA">
        <w:rPr>
          <w:i/>
          <w:iCs/>
        </w:rPr>
        <w:t xml:space="preserve"> </w:t>
      </w:r>
      <w:r w:rsidRPr="0012227E">
        <w:rPr>
          <w:i/>
          <w:iCs/>
        </w:rPr>
        <w:lastRenderedPageBreak/>
        <w:t>humanitarian</w:t>
      </w:r>
      <w:r w:rsidR="008243CA">
        <w:rPr>
          <w:i/>
          <w:iCs/>
        </w:rPr>
        <w:t xml:space="preserve"> </w:t>
      </w:r>
      <w:r w:rsidRPr="0012227E">
        <w:rPr>
          <w:i/>
          <w:iCs/>
        </w:rPr>
        <w:t>grounds</w:t>
      </w:r>
      <w:r w:rsidR="008243CA">
        <w:rPr>
          <w:i/>
          <w:iCs/>
        </w:rPr>
        <w:t xml:space="preserve"> </w:t>
      </w:r>
      <w:r w:rsidRPr="0012227E">
        <w:rPr>
          <w:i/>
          <w:iCs/>
        </w:rPr>
        <w:t>so</w:t>
      </w:r>
      <w:r w:rsidR="008243CA">
        <w:rPr>
          <w:i/>
          <w:iCs/>
        </w:rPr>
        <w:t xml:space="preserve"> </w:t>
      </w:r>
      <w:r w:rsidRPr="0012227E">
        <w:rPr>
          <w:i/>
          <w:iCs/>
        </w:rPr>
        <w:t>that</w:t>
      </w:r>
      <w:r w:rsidR="008243CA">
        <w:rPr>
          <w:i/>
          <w:iCs/>
        </w:rPr>
        <w:t xml:space="preserve"> </w:t>
      </w:r>
      <w:r w:rsidRPr="0012227E">
        <w:rPr>
          <w:i/>
          <w:iCs/>
        </w:rPr>
        <w:t>cases</w:t>
      </w:r>
      <w:r w:rsidR="008243CA">
        <w:rPr>
          <w:i/>
          <w:iCs/>
        </w:rPr>
        <w:t xml:space="preserve"> </w:t>
      </w:r>
      <w:r w:rsidRPr="0012227E">
        <w:rPr>
          <w:i/>
          <w:iCs/>
        </w:rPr>
        <w:t>involving</w:t>
      </w:r>
      <w:r w:rsidR="008243CA">
        <w:rPr>
          <w:i/>
          <w:iCs/>
        </w:rPr>
        <w:t xml:space="preserve"> </w:t>
      </w:r>
      <w:r w:rsidRPr="0012227E">
        <w:rPr>
          <w:i/>
          <w:iCs/>
        </w:rPr>
        <w:t>lengthy</w:t>
      </w:r>
      <w:r w:rsidR="008243CA">
        <w:rPr>
          <w:i/>
          <w:iCs/>
        </w:rPr>
        <w:t xml:space="preserve"> </w:t>
      </w:r>
      <w:r w:rsidRPr="0012227E">
        <w:rPr>
          <w:i/>
          <w:iCs/>
        </w:rPr>
        <w:t>sentences</w:t>
      </w:r>
      <w:r w:rsidR="008243CA">
        <w:rPr>
          <w:i/>
          <w:iCs/>
        </w:rPr>
        <w:t xml:space="preserve"> </w:t>
      </w:r>
      <w:r w:rsidRPr="0012227E">
        <w:rPr>
          <w:i/>
          <w:iCs/>
        </w:rPr>
        <w:t>do</w:t>
      </w:r>
      <w:r w:rsidR="008243CA">
        <w:rPr>
          <w:i/>
          <w:iCs/>
        </w:rPr>
        <w:t xml:space="preserve"> </w:t>
      </w:r>
      <w:r w:rsidRPr="0012227E">
        <w:rPr>
          <w:i/>
          <w:iCs/>
        </w:rPr>
        <w:t>not</w:t>
      </w:r>
      <w:r w:rsidR="008243CA">
        <w:rPr>
          <w:i/>
          <w:iCs/>
        </w:rPr>
        <w:t xml:space="preserve"> </w:t>
      </w:r>
      <w:r w:rsidRPr="0012227E">
        <w:rPr>
          <w:i/>
          <w:iCs/>
        </w:rPr>
        <w:t>become</w:t>
      </w:r>
      <w:r w:rsidR="008243CA">
        <w:rPr>
          <w:i/>
          <w:iCs/>
        </w:rPr>
        <w:t xml:space="preserve"> </w:t>
      </w:r>
      <w:r w:rsidRPr="0012227E">
        <w:rPr>
          <w:i/>
          <w:iCs/>
        </w:rPr>
        <w:t>a</w:t>
      </w:r>
      <w:r w:rsidR="008243CA">
        <w:rPr>
          <w:i/>
          <w:iCs/>
        </w:rPr>
        <w:t xml:space="preserve"> </w:t>
      </w:r>
      <w:r w:rsidRPr="0012227E">
        <w:rPr>
          <w:i/>
          <w:iCs/>
        </w:rPr>
        <w:t>kind</w:t>
      </w:r>
      <w:r w:rsidR="008243CA">
        <w:rPr>
          <w:i/>
          <w:iCs/>
        </w:rPr>
        <w:t xml:space="preserve"> </w:t>
      </w:r>
      <w:r w:rsidRPr="0012227E">
        <w:rPr>
          <w:i/>
          <w:iCs/>
        </w:rPr>
        <w:t>of</w:t>
      </w:r>
      <w:r w:rsidR="008243CA">
        <w:rPr>
          <w:i/>
          <w:iCs/>
        </w:rPr>
        <w:t xml:space="preserve"> </w:t>
      </w:r>
      <w:r w:rsidRPr="0012227E">
        <w:rPr>
          <w:i/>
          <w:iCs/>
        </w:rPr>
        <w:t>advance</w:t>
      </w:r>
      <w:r w:rsidR="008243CA">
        <w:rPr>
          <w:i/>
          <w:iCs/>
        </w:rPr>
        <w:t xml:space="preserve"> </w:t>
      </w:r>
      <w:r w:rsidRPr="0012227E">
        <w:rPr>
          <w:i/>
          <w:iCs/>
        </w:rPr>
        <w:t>death</w:t>
      </w:r>
      <w:r w:rsidR="008243CA">
        <w:rPr>
          <w:i/>
          <w:iCs/>
        </w:rPr>
        <w:t xml:space="preserve"> </w:t>
      </w:r>
      <w:r w:rsidRPr="0012227E">
        <w:rPr>
          <w:i/>
          <w:iCs/>
        </w:rPr>
        <w:t>penalty.</w:t>
      </w:r>
    </w:p>
    <w:p w:rsidR="003F7D03" w:rsidRPr="003800FE" w:rsidRDefault="003F7D03" w:rsidP="000C6D98">
      <w:pPr>
        <w:pStyle w:val="SingleTxtG"/>
        <w:rPr>
          <w:i/>
          <w:iCs/>
        </w:rPr>
      </w:pPr>
      <w:r w:rsidRPr="00E62FE6">
        <w:t>36.</w:t>
      </w:r>
      <w:r w:rsidRPr="00E62FE6">
        <w:tab/>
        <w:t>Paragraph</w:t>
      </w:r>
      <w:r w:rsidR="008243CA">
        <w:t xml:space="preserve"> </w:t>
      </w:r>
      <w:r w:rsidRPr="00E62FE6">
        <w:t>89:</w:t>
      </w:r>
      <w:r w:rsidR="008243CA">
        <w:t xml:space="preserve"> </w:t>
      </w:r>
      <w:r w:rsidRPr="003800FE">
        <w:rPr>
          <w:i/>
          <w:iCs/>
        </w:rPr>
        <w:t>The</w:t>
      </w:r>
      <w:r w:rsidR="008243CA">
        <w:rPr>
          <w:i/>
          <w:iCs/>
        </w:rPr>
        <w:t xml:space="preserve"> </w:t>
      </w:r>
      <w:r w:rsidRPr="003800FE">
        <w:rPr>
          <w:i/>
          <w:iCs/>
        </w:rPr>
        <w:t>Subcommittee</w:t>
      </w:r>
      <w:r w:rsidR="008243CA">
        <w:rPr>
          <w:i/>
          <w:iCs/>
        </w:rPr>
        <w:t xml:space="preserve"> </w:t>
      </w:r>
      <w:r w:rsidRPr="003800FE">
        <w:rPr>
          <w:i/>
          <w:iCs/>
        </w:rPr>
        <w:t>recommends</w:t>
      </w:r>
      <w:r w:rsidR="008243CA">
        <w:rPr>
          <w:i/>
          <w:iCs/>
        </w:rPr>
        <w:t xml:space="preserve"> </w:t>
      </w:r>
      <w:r w:rsidRPr="003800FE">
        <w:rPr>
          <w:i/>
          <w:iCs/>
        </w:rPr>
        <w:t>that</w:t>
      </w:r>
      <w:r w:rsidR="008243CA">
        <w:rPr>
          <w:i/>
          <w:iCs/>
        </w:rPr>
        <w:t xml:space="preserve"> </w:t>
      </w:r>
      <w:r w:rsidRPr="003800FE">
        <w:rPr>
          <w:i/>
          <w:iCs/>
        </w:rPr>
        <w:t>the</w:t>
      </w:r>
      <w:r w:rsidR="008243CA">
        <w:rPr>
          <w:i/>
          <w:iCs/>
        </w:rPr>
        <w:t xml:space="preserve"> </w:t>
      </w:r>
      <w:r w:rsidRPr="003800FE">
        <w:rPr>
          <w:i/>
          <w:iCs/>
        </w:rPr>
        <w:t>State</w:t>
      </w:r>
      <w:r w:rsidR="008243CA">
        <w:rPr>
          <w:i/>
          <w:iCs/>
        </w:rPr>
        <w:t xml:space="preserve"> </w:t>
      </w:r>
      <w:r w:rsidRPr="003800FE">
        <w:rPr>
          <w:i/>
          <w:iCs/>
        </w:rPr>
        <w:t>party</w:t>
      </w:r>
      <w:r w:rsidR="008243CA">
        <w:rPr>
          <w:i/>
          <w:iCs/>
        </w:rPr>
        <w:t xml:space="preserve"> </w:t>
      </w:r>
      <w:r w:rsidRPr="003800FE">
        <w:rPr>
          <w:i/>
          <w:iCs/>
        </w:rPr>
        <w:t>adopt</w:t>
      </w:r>
      <w:r w:rsidR="008243CA">
        <w:rPr>
          <w:i/>
          <w:iCs/>
        </w:rPr>
        <w:t xml:space="preserve"> </w:t>
      </w:r>
      <w:r w:rsidRPr="003800FE">
        <w:rPr>
          <w:i/>
          <w:iCs/>
        </w:rPr>
        <w:t>a</w:t>
      </w:r>
      <w:r w:rsidR="008243CA">
        <w:rPr>
          <w:i/>
          <w:iCs/>
        </w:rPr>
        <w:t xml:space="preserve"> </w:t>
      </w:r>
      <w:r w:rsidRPr="003800FE">
        <w:rPr>
          <w:i/>
          <w:iCs/>
        </w:rPr>
        <w:t>cross-cutting</w:t>
      </w:r>
      <w:r w:rsidR="008243CA">
        <w:rPr>
          <w:i/>
          <w:iCs/>
        </w:rPr>
        <w:t xml:space="preserve"> </w:t>
      </w:r>
      <w:r w:rsidRPr="003800FE">
        <w:rPr>
          <w:i/>
          <w:iCs/>
        </w:rPr>
        <w:t>approach</w:t>
      </w:r>
      <w:r w:rsidR="008243CA">
        <w:rPr>
          <w:i/>
          <w:iCs/>
        </w:rPr>
        <w:t xml:space="preserve"> </w:t>
      </w:r>
      <w:r w:rsidRPr="003800FE">
        <w:rPr>
          <w:i/>
          <w:iCs/>
        </w:rPr>
        <w:t>to</w:t>
      </w:r>
      <w:r w:rsidR="008243CA">
        <w:rPr>
          <w:i/>
          <w:iCs/>
        </w:rPr>
        <w:t xml:space="preserve"> </w:t>
      </w:r>
      <w:r w:rsidRPr="003800FE">
        <w:rPr>
          <w:i/>
          <w:iCs/>
        </w:rPr>
        <w:t>gender</w:t>
      </w:r>
      <w:r w:rsidR="008243CA">
        <w:rPr>
          <w:i/>
          <w:iCs/>
        </w:rPr>
        <w:t xml:space="preserve"> </w:t>
      </w:r>
      <w:r w:rsidRPr="003800FE">
        <w:rPr>
          <w:i/>
          <w:iCs/>
        </w:rPr>
        <w:t>mainstreaming</w:t>
      </w:r>
      <w:r w:rsidR="008243CA">
        <w:rPr>
          <w:i/>
          <w:iCs/>
        </w:rPr>
        <w:t xml:space="preserve"> </w:t>
      </w:r>
      <w:r w:rsidRPr="003800FE">
        <w:rPr>
          <w:i/>
          <w:iCs/>
        </w:rPr>
        <w:t>in</w:t>
      </w:r>
      <w:r w:rsidR="008243CA">
        <w:rPr>
          <w:i/>
          <w:iCs/>
        </w:rPr>
        <w:t xml:space="preserve"> </w:t>
      </w:r>
      <w:r w:rsidRPr="003800FE">
        <w:rPr>
          <w:i/>
          <w:iCs/>
        </w:rPr>
        <w:t>its</w:t>
      </w:r>
      <w:r w:rsidR="008243CA">
        <w:rPr>
          <w:i/>
          <w:iCs/>
        </w:rPr>
        <w:t xml:space="preserve"> </w:t>
      </w:r>
      <w:r w:rsidRPr="003800FE">
        <w:rPr>
          <w:i/>
          <w:iCs/>
        </w:rPr>
        <w:t>incarceration</w:t>
      </w:r>
      <w:r w:rsidR="008243CA">
        <w:rPr>
          <w:i/>
          <w:iCs/>
        </w:rPr>
        <w:t xml:space="preserve"> </w:t>
      </w:r>
      <w:r w:rsidRPr="003800FE">
        <w:rPr>
          <w:i/>
          <w:iCs/>
        </w:rPr>
        <w:t>and</w:t>
      </w:r>
      <w:r w:rsidR="008243CA">
        <w:rPr>
          <w:i/>
          <w:iCs/>
        </w:rPr>
        <w:t xml:space="preserve"> </w:t>
      </w:r>
      <w:r w:rsidRPr="003800FE">
        <w:rPr>
          <w:i/>
          <w:iCs/>
        </w:rPr>
        <w:t>rehabilitation</w:t>
      </w:r>
      <w:r w:rsidR="008243CA">
        <w:rPr>
          <w:i/>
          <w:iCs/>
        </w:rPr>
        <w:t xml:space="preserve"> </w:t>
      </w:r>
      <w:r w:rsidRPr="003800FE">
        <w:rPr>
          <w:i/>
          <w:iCs/>
        </w:rPr>
        <w:t>policies.</w:t>
      </w:r>
    </w:p>
    <w:p w:rsidR="003F7D03" w:rsidRPr="00E62FE6" w:rsidRDefault="003F7D03" w:rsidP="000C6D98">
      <w:pPr>
        <w:pStyle w:val="SingleTxtG"/>
      </w:pPr>
      <w:r w:rsidRPr="00E62FE6">
        <w:t>37.</w:t>
      </w:r>
      <w:r w:rsidRPr="00E62FE6">
        <w:tab/>
        <w:t>Paragraph</w:t>
      </w:r>
      <w:r w:rsidR="008243CA">
        <w:t xml:space="preserve"> </w:t>
      </w:r>
      <w:r w:rsidRPr="00E62FE6">
        <w:t>93:</w:t>
      </w:r>
      <w:r w:rsidR="008243CA">
        <w:t xml:space="preserve"> </w:t>
      </w:r>
      <w:r w:rsidRPr="003800FE">
        <w:rPr>
          <w:i/>
          <w:iCs/>
        </w:rPr>
        <w:t>The</w:t>
      </w:r>
      <w:r w:rsidR="008243CA">
        <w:rPr>
          <w:i/>
          <w:iCs/>
        </w:rPr>
        <w:t xml:space="preserve"> </w:t>
      </w:r>
      <w:r w:rsidRPr="003800FE">
        <w:rPr>
          <w:i/>
          <w:iCs/>
        </w:rPr>
        <w:t>Subcommittee</w:t>
      </w:r>
      <w:r w:rsidR="008243CA">
        <w:rPr>
          <w:i/>
          <w:iCs/>
        </w:rPr>
        <w:t xml:space="preserve"> </w:t>
      </w:r>
      <w:r w:rsidRPr="003800FE">
        <w:rPr>
          <w:i/>
          <w:iCs/>
        </w:rPr>
        <w:t>recalls</w:t>
      </w:r>
      <w:r w:rsidR="008243CA">
        <w:rPr>
          <w:i/>
          <w:iCs/>
        </w:rPr>
        <w:t xml:space="preserve"> </w:t>
      </w:r>
      <w:r w:rsidRPr="003800FE">
        <w:rPr>
          <w:i/>
          <w:iCs/>
        </w:rPr>
        <w:t>that,</w:t>
      </w:r>
      <w:r w:rsidR="008243CA">
        <w:rPr>
          <w:i/>
          <w:iCs/>
        </w:rPr>
        <w:t xml:space="preserve"> </w:t>
      </w:r>
      <w:r w:rsidRPr="003800FE">
        <w:rPr>
          <w:i/>
          <w:iCs/>
        </w:rPr>
        <w:t>under</w:t>
      </w:r>
      <w:r w:rsidR="008243CA">
        <w:rPr>
          <w:i/>
          <w:iCs/>
        </w:rPr>
        <w:t xml:space="preserve"> </w:t>
      </w:r>
      <w:r w:rsidRPr="003800FE">
        <w:rPr>
          <w:i/>
          <w:iCs/>
        </w:rPr>
        <w:t>rule</w:t>
      </w:r>
      <w:r w:rsidR="008243CA">
        <w:rPr>
          <w:i/>
          <w:iCs/>
        </w:rPr>
        <w:t xml:space="preserve"> </w:t>
      </w:r>
      <w:r w:rsidRPr="003800FE">
        <w:rPr>
          <w:i/>
          <w:iCs/>
        </w:rPr>
        <w:t>23</w:t>
      </w:r>
      <w:r w:rsidR="008243CA">
        <w:rPr>
          <w:i/>
          <w:iCs/>
        </w:rPr>
        <w:t xml:space="preserve"> </w:t>
      </w:r>
      <w:r w:rsidRPr="003800FE">
        <w:rPr>
          <w:i/>
          <w:iCs/>
        </w:rPr>
        <w:t>of</w:t>
      </w:r>
      <w:r w:rsidR="008243CA">
        <w:rPr>
          <w:i/>
          <w:iCs/>
        </w:rPr>
        <w:t xml:space="preserve"> </w:t>
      </w:r>
      <w:r w:rsidRPr="003800FE">
        <w:rPr>
          <w:i/>
          <w:iCs/>
        </w:rPr>
        <w:t>the</w:t>
      </w:r>
      <w:r w:rsidR="008243CA">
        <w:rPr>
          <w:i/>
          <w:iCs/>
        </w:rPr>
        <w:t xml:space="preserve"> </w:t>
      </w:r>
      <w:r w:rsidRPr="003800FE">
        <w:rPr>
          <w:i/>
          <w:iCs/>
        </w:rPr>
        <w:t>Bangkok</w:t>
      </w:r>
      <w:r w:rsidR="008243CA">
        <w:rPr>
          <w:i/>
          <w:iCs/>
        </w:rPr>
        <w:t xml:space="preserve"> </w:t>
      </w:r>
      <w:r w:rsidRPr="003800FE">
        <w:rPr>
          <w:i/>
          <w:iCs/>
        </w:rPr>
        <w:t>Rules,</w:t>
      </w:r>
      <w:r w:rsidR="008243CA">
        <w:rPr>
          <w:i/>
          <w:iCs/>
        </w:rPr>
        <w:t xml:space="preserve"> </w:t>
      </w:r>
      <w:r w:rsidRPr="003800FE">
        <w:rPr>
          <w:i/>
          <w:iCs/>
        </w:rPr>
        <w:t>disciplinary</w:t>
      </w:r>
      <w:r w:rsidR="008243CA">
        <w:rPr>
          <w:i/>
          <w:iCs/>
        </w:rPr>
        <w:t xml:space="preserve"> </w:t>
      </w:r>
      <w:r w:rsidRPr="003800FE">
        <w:rPr>
          <w:i/>
          <w:iCs/>
        </w:rPr>
        <w:t>sanctions</w:t>
      </w:r>
      <w:r w:rsidR="008243CA">
        <w:rPr>
          <w:i/>
          <w:iCs/>
        </w:rPr>
        <w:t xml:space="preserve"> </w:t>
      </w:r>
      <w:r w:rsidRPr="003800FE">
        <w:rPr>
          <w:i/>
          <w:iCs/>
        </w:rPr>
        <w:t>for</w:t>
      </w:r>
      <w:r w:rsidR="008243CA">
        <w:rPr>
          <w:i/>
          <w:iCs/>
        </w:rPr>
        <w:t xml:space="preserve"> </w:t>
      </w:r>
      <w:r w:rsidRPr="003800FE">
        <w:rPr>
          <w:i/>
          <w:iCs/>
        </w:rPr>
        <w:t>women</w:t>
      </w:r>
      <w:r w:rsidR="008243CA">
        <w:rPr>
          <w:i/>
          <w:iCs/>
        </w:rPr>
        <w:t xml:space="preserve"> </w:t>
      </w:r>
      <w:r w:rsidRPr="003800FE">
        <w:rPr>
          <w:i/>
          <w:iCs/>
        </w:rPr>
        <w:t>prisoners</w:t>
      </w:r>
      <w:r w:rsidR="008243CA">
        <w:rPr>
          <w:i/>
          <w:iCs/>
        </w:rPr>
        <w:t xml:space="preserve"> </w:t>
      </w:r>
      <w:r w:rsidRPr="003800FE">
        <w:rPr>
          <w:i/>
          <w:iCs/>
        </w:rPr>
        <w:t>should</w:t>
      </w:r>
      <w:r w:rsidR="008243CA">
        <w:rPr>
          <w:i/>
          <w:iCs/>
        </w:rPr>
        <w:t xml:space="preserve"> </w:t>
      </w:r>
      <w:r w:rsidRPr="003800FE">
        <w:rPr>
          <w:i/>
          <w:iCs/>
        </w:rPr>
        <w:t>not</w:t>
      </w:r>
      <w:r w:rsidR="008243CA">
        <w:rPr>
          <w:i/>
          <w:iCs/>
        </w:rPr>
        <w:t xml:space="preserve"> </w:t>
      </w:r>
      <w:r w:rsidRPr="003800FE">
        <w:rPr>
          <w:i/>
          <w:iCs/>
        </w:rPr>
        <w:t>include</w:t>
      </w:r>
      <w:r w:rsidR="008243CA">
        <w:rPr>
          <w:i/>
          <w:iCs/>
        </w:rPr>
        <w:t xml:space="preserve"> </w:t>
      </w:r>
      <w:r w:rsidRPr="003800FE">
        <w:rPr>
          <w:i/>
          <w:iCs/>
        </w:rPr>
        <w:t>a</w:t>
      </w:r>
      <w:r w:rsidR="008243CA">
        <w:rPr>
          <w:i/>
          <w:iCs/>
        </w:rPr>
        <w:t xml:space="preserve"> </w:t>
      </w:r>
      <w:r w:rsidRPr="003800FE">
        <w:rPr>
          <w:i/>
          <w:iCs/>
        </w:rPr>
        <w:t>prohibition</w:t>
      </w:r>
      <w:r w:rsidR="008243CA">
        <w:rPr>
          <w:i/>
          <w:iCs/>
        </w:rPr>
        <w:t xml:space="preserve"> </w:t>
      </w:r>
      <w:r w:rsidRPr="003800FE">
        <w:rPr>
          <w:i/>
          <w:iCs/>
        </w:rPr>
        <w:t>of</w:t>
      </w:r>
      <w:r w:rsidR="008243CA">
        <w:rPr>
          <w:i/>
          <w:iCs/>
        </w:rPr>
        <w:t xml:space="preserve"> </w:t>
      </w:r>
      <w:r w:rsidRPr="003800FE">
        <w:rPr>
          <w:i/>
          <w:iCs/>
        </w:rPr>
        <w:t>family</w:t>
      </w:r>
      <w:r w:rsidR="008243CA">
        <w:rPr>
          <w:i/>
          <w:iCs/>
        </w:rPr>
        <w:t xml:space="preserve"> </w:t>
      </w:r>
      <w:r w:rsidRPr="003800FE">
        <w:rPr>
          <w:i/>
          <w:iCs/>
        </w:rPr>
        <w:t>contact,</w:t>
      </w:r>
      <w:r w:rsidR="008243CA">
        <w:rPr>
          <w:i/>
          <w:iCs/>
        </w:rPr>
        <w:t xml:space="preserve"> </w:t>
      </w:r>
      <w:r w:rsidRPr="003800FE">
        <w:rPr>
          <w:i/>
          <w:iCs/>
        </w:rPr>
        <w:t>especially</w:t>
      </w:r>
      <w:r w:rsidR="008243CA">
        <w:rPr>
          <w:i/>
          <w:iCs/>
        </w:rPr>
        <w:t xml:space="preserve"> </w:t>
      </w:r>
      <w:r w:rsidRPr="003800FE">
        <w:rPr>
          <w:i/>
          <w:iCs/>
        </w:rPr>
        <w:t>with</w:t>
      </w:r>
      <w:r w:rsidR="008243CA">
        <w:rPr>
          <w:i/>
          <w:iCs/>
        </w:rPr>
        <w:t xml:space="preserve"> </w:t>
      </w:r>
      <w:r w:rsidRPr="003800FE">
        <w:rPr>
          <w:i/>
          <w:iCs/>
        </w:rPr>
        <w:t>their</w:t>
      </w:r>
      <w:r w:rsidR="008243CA">
        <w:rPr>
          <w:i/>
          <w:iCs/>
        </w:rPr>
        <w:t xml:space="preserve"> </w:t>
      </w:r>
      <w:r w:rsidRPr="003800FE">
        <w:rPr>
          <w:i/>
          <w:iCs/>
        </w:rPr>
        <w:t>children</w:t>
      </w:r>
      <w:r w:rsidRPr="00E62FE6">
        <w:t>.</w:t>
      </w:r>
    </w:p>
    <w:p w:rsidR="003F7D03" w:rsidRPr="00E62FE6" w:rsidRDefault="003F7D03" w:rsidP="000C6D98">
      <w:pPr>
        <w:pStyle w:val="SingleTxtG"/>
      </w:pPr>
      <w:r w:rsidRPr="00E62FE6">
        <w:t>38.</w:t>
      </w:r>
      <w:r w:rsidRPr="00E62FE6">
        <w:tab/>
        <w:t>In</w:t>
      </w:r>
      <w:r w:rsidR="008243CA">
        <w:t xml:space="preserve"> </w:t>
      </w:r>
      <w:r w:rsidRPr="00E62FE6">
        <w:t>promulgating</w:t>
      </w:r>
      <w:r w:rsidR="008243CA">
        <w:t xml:space="preserve"> </w:t>
      </w:r>
      <w:r w:rsidRPr="00E62FE6">
        <w:t>Act</w:t>
      </w:r>
      <w:r w:rsidR="008243CA">
        <w:t xml:space="preserve"> </w:t>
      </w:r>
      <w:r w:rsidRPr="00E62FE6">
        <w:t>No.</w:t>
      </w:r>
      <w:r w:rsidR="008243CA">
        <w:t xml:space="preserve"> </w:t>
      </w:r>
      <w:r w:rsidRPr="00E62FE6">
        <w:t>20968,</w:t>
      </w:r>
      <w:r w:rsidR="008243CA">
        <w:t xml:space="preserve"> </w:t>
      </w:r>
      <w:r w:rsidRPr="00E62FE6">
        <w:t>which</w:t>
      </w:r>
      <w:r w:rsidR="008243CA">
        <w:t xml:space="preserve"> </w:t>
      </w:r>
      <w:r w:rsidRPr="00E62FE6">
        <w:t>defines</w:t>
      </w:r>
      <w:r w:rsidR="008243CA">
        <w:t xml:space="preserve"> </w:t>
      </w:r>
      <w:r w:rsidRPr="00E62FE6">
        <w:t>the</w:t>
      </w:r>
      <w:r w:rsidR="008243CA">
        <w:t xml:space="preserve"> </w:t>
      </w:r>
      <w:r w:rsidRPr="00E62FE6">
        <w:t>offence</w:t>
      </w:r>
      <w:r w:rsidR="008243CA">
        <w:t xml:space="preserve"> </w:t>
      </w:r>
      <w:r w:rsidRPr="00E62FE6">
        <w:t>of</w:t>
      </w:r>
      <w:r w:rsidR="008243CA">
        <w:t xml:space="preserve"> </w:t>
      </w:r>
      <w:r w:rsidRPr="00E62FE6">
        <w:t>torture,</w:t>
      </w:r>
      <w:r w:rsidR="008243CA">
        <w:t xml:space="preserve"> </w:t>
      </w:r>
      <w:r w:rsidRPr="00E62FE6">
        <w:t>the</w:t>
      </w:r>
      <w:r w:rsidR="008243CA">
        <w:t xml:space="preserve"> </w:t>
      </w:r>
      <w:r w:rsidRPr="00E62FE6">
        <w:t>President</w:t>
      </w:r>
      <w:r w:rsidR="008243CA">
        <w:t xml:space="preserve"> </w:t>
      </w:r>
      <w:r w:rsidRPr="00E62FE6">
        <w:t>of</w:t>
      </w:r>
      <w:r w:rsidR="008243CA">
        <w:t xml:space="preserve"> </w:t>
      </w:r>
      <w:r w:rsidRPr="00E62FE6">
        <w:t>the</w:t>
      </w:r>
      <w:r w:rsidR="008243CA">
        <w:t xml:space="preserve"> </w:t>
      </w:r>
      <w:r w:rsidRPr="00E62FE6">
        <w:t>Republic</w:t>
      </w:r>
      <w:r w:rsidR="008243CA">
        <w:t xml:space="preserve"> </w:t>
      </w:r>
      <w:r w:rsidRPr="00E62FE6">
        <w:t>mandated</w:t>
      </w:r>
      <w:r w:rsidR="008243CA">
        <w:t xml:space="preserve"> </w:t>
      </w:r>
      <w:r w:rsidRPr="00E62FE6">
        <w:t>the</w:t>
      </w:r>
      <w:r w:rsidR="008243CA">
        <w:t xml:space="preserve"> </w:t>
      </w:r>
      <w:r w:rsidRPr="00E62FE6">
        <w:t>Office</w:t>
      </w:r>
      <w:r w:rsidR="008243CA">
        <w:t xml:space="preserve"> </w:t>
      </w:r>
      <w:r w:rsidRPr="00E62FE6">
        <w:t>of</w:t>
      </w:r>
      <w:r w:rsidR="008243CA">
        <w:t xml:space="preserve"> </w:t>
      </w:r>
      <w:r w:rsidRPr="00E62FE6">
        <w:t>the</w:t>
      </w:r>
      <w:r w:rsidR="008243CA">
        <w:t xml:space="preserve"> </w:t>
      </w:r>
      <w:r w:rsidRPr="00E62FE6">
        <w:t>Under-Secretary</w:t>
      </w:r>
      <w:r w:rsidR="008243CA">
        <w:t xml:space="preserve"> </w:t>
      </w:r>
      <w:r w:rsidRPr="00E62FE6">
        <w:t>for</w:t>
      </w:r>
      <w:r w:rsidR="008243CA">
        <w:t xml:space="preserve"> </w:t>
      </w:r>
      <w:r w:rsidRPr="00E62FE6">
        <w:t>Human</w:t>
      </w:r>
      <w:r w:rsidR="008243CA">
        <w:t xml:space="preserve"> </w:t>
      </w:r>
      <w:r w:rsidRPr="00E62FE6">
        <w:t>Rights</w:t>
      </w:r>
      <w:r w:rsidR="008243CA">
        <w:t xml:space="preserve"> </w:t>
      </w:r>
      <w:r w:rsidRPr="00E62FE6">
        <w:t>to</w:t>
      </w:r>
      <w:r w:rsidR="008243CA">
        <w:t xml:space="preserve"> </w:t>
      </w:r>
      <w:r w:rsidRPr="00E62FE6">
        <w:t>amend</w:t>
      </w:r>
      <w:r w:rsidR="008243CA">
        <w:t xml:space="preserve"> </w:t>
      </w:r>
      <w:r w:rsidRPr="00E62FE6">
        <w:t>Decree</w:t>
      </w:r>
      <w:r w:rsidR="008243CA">
        <w:t xml:space="preserve"> </w:t>
      </w:r>
      <w:r w:rsidRPr="00E62FE6">
        <w:t>No.</w:t>
      </w:r>
      <w:r w:rsidR="008243CA">
        <w:t xml:space="preserve"> </w:t>
      </w:r>
      <w:r w:rsidRPr="00E62FE6">
        <w:t>518,</w:t>
      </w:r>
      <w:r w:rsidR="008243CA">
        <w:t xml:space="preserve"> </w:t>
      </w:r>
      <w:r w:rsidRPr="00E62FE6">
        <w:t>which</w:t>
      </w:r>
      <w:r w:rsidR="008243CA">
        <w:t xml:space="preserve"> </w:t>
      </w:r>
      <w:r w:rsidRPr="00E62FE6">
        <w:t>established</w:t>
      </w:r>
      <w:r w:rsidR="008243CA">
        <w:t xml:space="preserve"> </w:t>
      </w:r>
      <w:r w:rsidRPr="00E62FE6">
        <w:t>the</w:t>
      </w:r>
      <w:r w:rsidR="008243CA">
        <w:t xml:space="preserve"> </w:t>
      </w:r>
      <w:r w:rsidRPr="00E62FE6">
        <w:t>country</w:t>
      </w:r>
      <w:r w:rsidR="00116F0B">
        <w:t>’</w:t>
      </w:r>
      <w:r w:rsidRPr="00E62FE6">
        <w:t>s</w:t>
      </w:r>
      <w:r w:rsidR="008243CA">
        <w:t xml:space="preserve"> </w:t>
      </w:r>
      <w:r w:rsidRPr="00E62FE6">
        <w:t>prison</w:t>
      </w:r>
      <w:r w:rsidR="008243CA">
        <w:t xml:space="preserve"> </w:t>
      </w:r>
      <w:r w:rsidRPr="00E62FE6">
        <w:t>regulations,</w:t>
      </w:r>
      <w:r w:rsidR="008243CA">
        <w:t xml:space="preserve"> </w:t>
      </w:r>
      <w:r w:rsidRPr="00E62FE6">
        <w:t>in</w:t>
      </w:r>
      <w:r w:rsidR="008243CA">
        <w:t xml:space="preserve"> </w:t>
      </w:r>
      <w:r w:rsidRPr="00E62FE6">
        <w:t>order</w:t>
      </w:r>
      <w:r w:rsidR="008243CA">
        <w:t xml:space="preserve"> </w:t>
      </w:r>
      <w:r w:rsidRPr="00E62FE6">
        <w:t>to</w:t>
      </w:r>
      <w:r w:rsidR="008243CA">
        <w:t xml:space="preserve"> </w:t>
      </w:r>
      <w:r w:rsidRPr="00E62FE6">
        <w:t>incorporate</w:t>
      </w:r>
      <w:r w:rsidR="008243CA">
        <w:t xml:space="preserve"> </w:t>
      </w:r>
      <w:r w:rsidRPr="00E62FE6">
        <w:t>a</w:t>
      </w:r>
      <w:r w:rsidR="008243CA">
        <w:t xml:space="preserve"> </w:t>
      </w:r>
      <w:r w:rsidRPr="00E62FE6">
        <w:t>human</w:t>
      </w:r>
      <w:r w:rsidR="008243CA">
        <w:t xml:space="preserve"> </w:t>
      </w:r>
      <w:r w:rsidRPr="00E62FE6">
        <w:t>rights</w:t>
      </w:r>
      <w:r w:rsidR="008243CA">
        <w:t xml:space="preserve"> </w:t>
      </w:r>
      <w:r w:rsidRPr="00E62FE6">
        <w:t>perspective,</w:t>
      </w:r>
      <w:r w:rsidR="008243CA">
        <w:t xml:space="preserve"> </w:t>
      </w:r>
      <w:r w:rsidRPr="00E62FE6">
        <w:t>particularly</w:t>
      </w:r>
      <w:r w:rsidR="008243CA">
        <w:t xml:space="preserve"> </w:t>
      </w:r>
      <w:r w:rsidRPr="00E62FE6">
        <w:t>in</w:t>
      </w:r>
      <w:r w:rsidR="008243CA">
        <w:t xml:space="preserve"> </w:t>
      </w:r>
      <w:r w:rsidRPr="00E62FE6">
        <w:t>view</w:t>
      </w:r>
      <w:r w:rsidR="008243CA">
        <w:t xml:space="preserve"> </w:t>
      </w:r>
      <w:r w:rsidRPr="00E62FE6">
        <w:t>of</w:t>
      </w:r>
      <w:r w:rsidR="008243CA">
        <w:t xml:space="preserve"> </w:t>
      </w:r>
      <w:r w:rsidRPr="00E62FE6">
        <w:t>the</w:t>
      </w:r>
      <w:r w:rsidR="008243CA">
        <w:t xml:space="preserve"> </w:t>
      </w:r>
      <w:r w:rsidRPr="00E62FE6">
        <w:t>events</w:t>
      </w:r>
      <w:r w:rsidR="008243CA">
        <w:t xml:space="preserve"> </w:t>
      </w:r>
      <w:r w:rsidRPr="00E62FE6">
        <w:t>of</w:t>
      </w:r>
      <w:r w:rsidR="008243CA">
        <w:t xml:space="preserve"> </w:t>
      </w:r>
      <w:r w:rsidRPr="00E62FE6">
        <w:t>October</w:t>
      </w:r>
      <w:r w:rsidR="008243CA">
        <w:t xml:space="preserve"> </w:t>
      </w:r>
      <w:r w:rsidRPr="00E62FE6">
        <w:t>2016,</w:t>
      </w:r>
      <w:r w:rsidR="008243CA">
        <w:t xml:space="preserve"> </w:t>
      </w:r>
      <w:r w:rsidRPr="00E62FE6">
        <w:t>when</w:t>
      </w:r>
      <w:r w:rsidR="008243CA">
        <w:t xml:space="preserve"> </w:t>
      </w:r>
      <w:r w:rsidRPr="00E62FE6">
        <w:t>Lorenza</w:t>
      </w:r>
      <w:r w:rsidR="008243CA">
        <w:t xml:space="preserve"> </w:t>
      </w:r>
      <w:proofErr w:type="spellStart"/>
      <w:r w:rsidRPr="00E62FE6">
        <w:t>Cayuhán</w:t>
      </w:r>
      <w:proofErr w:type="spellEnd"/>
      <w:r w:rsidR="008243CA">
        <w:t xml:space="preserve"> </w:t>
      </w:r>
      <w:proofErr w:type="spellStart"/>
      <w:r w:rsidRPr="00E62FE6">
        <w:t>Llebul</w:t>
      </w:r>
      <w:proofErr w:type="spellEnd"/>
      <w:r w:rsidRPr="00E62FE6">
        <w:t>,</w:t>
      </w:r>
      <w:r w:rsidR="008243CA">
        <w:t xml:space="preserve"> </w:t>
      </w:r>
      <w:r w:rsidRPr="00E62FE6">
        <w:t>an</w:t>
      </w:r>
      <w:r w:rsidR="008243CA">
        <w:t xml:space="preserve"> </w:t>
      </w:r>
      <w:r w:rsidRPr="00E62FE6">
        <w:t>indigenous</w:t>
      </w:r>
      <w:r w:rsidR="008243CA">
        <w:t xml:space="preserve"> </w:t>
      </w:r>
      <w:r w:rsidRPr="00E62FE6">
        <w:t>woman</w:t>
      </w:r>
      <w:r w:rsidR="008243CA">
        <w:t xml:space="preserve"> </w:t>
      </w:r>
      <w:r w:rsidRPr="00E62FE6">
        <w:t>deprived</w:t>
      </w:r>
      <w:r w:rsidR="008243CA">
        <w:t xml:space="preserve"> </w:t>
      </w:r>
      <w:r w:rsidRPr="00E62FE6">
        <w:t>of</w:t>
      </w:r>
      <w:r w:rsidR="008243CA">
        <w:t xml:space="preserve"> </w:t>
      </w:r>
      <w:r w:rsidRPr="00E62FE6">
        <w:t>her</w:t>
      </w:r>
      <w:r w:rsidR="008243CA">
        <w:t xml:space="preserve"> </w:t>
      </w:r>
      <w:r w:rsidRPr="00E62FE6">
        <w:t>liberty,</w:t>
      </w:r>
      <w:r w:rsidR="008243CA">
        <w:t xml:space="preserve"> </w:t>
      </w:r>
      <w:r w:rsidRPr="00E62FE6">
        <w:t>was</w:t>
      </w:r>
      <w:r w:rsidR="008243CA">
        <w:t xml:space="preserve"> </w:t>
      </w:r>
      <w:r w:rsidRPr="00E62FE6">
        <w:t>shackled</w:t>
      </w:r>
      <w:r w:rsidR="008243CA">
        <w:t xml:space="preserve"> </w:t>
      </w:r>
      <w:r w:rsidRPr="00E62FE6">
        <w:t>several</w:t>
      </w:r>
      <w:r w:rsidR="008243CA">
        <w:t xml:space="preserve"> </w:t>
      </w:r>
      <w:r w:rsidRPr="00E62FE6">
        <w:t>times</w:t>
      </w:r>
      <w:r w:rsidR="008243CA">
        <w:t xml:space="preserve"> </w:t>
      </w:r>
      <w:r w:rsidRPr="00E62FE6">
        <w:t>during</w:t>
      </w:r>
      <w:r w:rsidR="008243CA">
        <w:t xml:space="preserve"> </w:t>
      </w:r>
      <w:r w:rsidRPr="00E62FE6">
        <w:t>childbirth.</w:t>
      </w:r>
    </w:p>
    <w:p w:rsidR="003F7D03" w:rsidRPr="00E62FE6" w:rsidRDefault="003F7D03" w:rsidP="000C6D98">
      <w:pPr>
        <w:pStyle w:val="SingleTxtG"/>
      </w:pPr>
      <w:r w:rsidRPr="00E62FE6">
        <w:t>39.</w:t>
      </w:r>
      <w:r w:rsidRPr="00E62FE6">
        <w:tab/>
        <w:t>Events</w:t>
      </w:r>
      <w:r w:rsidR="008243CA">
        <w:t xml:space="preserve"> </w:t>
      </w:r>
      <w:r w:rsidRPr="00E62FE6">
        <w:t>of</w:t>
      </w:r>
      <w:r w:rsidR="008243CA">
        <w:t xml:space="preserve"> </w:t>
      </w:r>
      <w:r w:rsidRPr="00E62FE6">
        <w:t>that</w:t>
      </w:r>
      <w:r w:rsidR="008243CA">
        <w:t xml:space="preserve"> </w:t>
      </w:r>
      <w:r w:rsidRPr="00E62FE6">
        <w:t>kind</w:t>
      </w:r>
      <w:r w:rsidR="008243CA">
        <w:t xml:space="preserve"> </w:t>
      </w:r>
      <w:r w:rsidRPr="00E62FE6">
        <w:t>led</w:t>
      </w:r>
      <w:r w:rsidR="008243CA">
        <w:t xml:space="preserve"> </w:t>
      </w:r>
      <w:r w:rsidRPr="00E62FE6">
        <w:t>the</w:t>
      </w:r>
      <w:r w:rsidR="008243CA">
        <w:t xml:space="preserve"> </w:t>
      </w:r>
      <w:r w:rsidRPr="00E62FE6">
        <w:t>Supreme</w:t>
      </w:r>
      <w:r w:rsidR="008243CA">
        <w:t xml:space="preserve"> </w:t>
      </w:r>
      <w:r w:rsidRPr="00E62FE6">
        <w:t>Court</w:t>
      </w:r>
      <w:r w:rsidR="008243CA">
        <w:t xml:space="preserve"> </w:t>
      </w:r>
      <w:r w:rsidRPr="00E62FE6">
        <w:t>to</w:t>
      </w:r>
      <w:r w:rsidR="008243CA">
        <w:t xml:space="preserve"> </w:t>
      </w:r>
      <w:r w:rsidRPr="00E62FE6">
        <w:t>uphold</w:t>
      </w:r>
      <w:r w:rsidR="008243CA">
        <w:t xml:space="preserve"> </w:t>
      </w:r>
      <w:r w:rsidRPr="00E62FE6">
        <w:t>an</w:t>
      </w:r>
      <w:r w:rsidR="008243CA">
        <w:t xml:space="preserve"> </w:t>
      </w:r>
      <w:r w:rsidRPr="00E62FE6">
        <w:t>application</w:t>
      </w:r>
      <w:r w:rsidR="008243CA">
        <w:t xml:space="preserve"> </w:t>
      </w:r>
      <w:r w:rsidRPr="00E62FE6">
        <w:t>for</w:t>
      </w:r>
      <w:r w:rsidR="008243CA">
        <w:t xml:space="preserve"> </w:t>
      </w:r>
      <w:proofErr w:type="spellStart"/>
      <w:r w:rsidR="00067B36" w:rsidRPr="00067B36">
        <w:rPr>
          <w:i/>
          <w:iCs/>
        </w:rPr>
        <w:t>amparo</w:t>
      </w:r>
      <w:proofErr w:type="spellEnd"/>
      <w:r w:rsidR="008243CA">
        <w:t xml:space="preserve"> </w:t>
      </w:r>
      <w:r w:rsidRPr="00E62FE6">
        <w:t>in</w:t>
      </w:r>
      <w:r w:rsidR="008243CA">
        <w:t xml:space="preserve"> </w:t>
      </w:r>
      <w:r w:rsidRPr="00E62FE6">
        <w:t>December</w:t>
      </w:r>
      <w:r w:rsidR="008243CA">
        <w:t xml:space="preserve"> </w:t>
      </w:r>
      <w:r w:rsidRPr="00E62FE6">
        <w:t>2016</w:t>
      </w:r>
      <w:r w:rsidR="008243CA">
        <w:t xml:space="preserve"> </w:t>
      </w:r>
      <w:r w:rsidRPr="00E62FE6">
        <w:t>and</w:t>
      </w:r>
      <w:r w:rsidR="008243CA">
        <w:t xml:space="preserve"> </w:t>
      </w:r>
      <w:r w:rsidRPr="00E62FE6">
        <w:t>to</w:t>
      </w:r>
      <w:r w:rsidR="008243CA">
        <w:t xml:space="preserve"> </w:t>
      </w:r>
      <w:r w:rsidRPr="00E62FE6">
        <w:t>rule</w:t>
      </w:r>
      <w:r w:rsidR="008243CA">
        <w:t xml:space="preserve"> </w:t>
      </w:r>
      <w:r w:rsidRPr="00E62FE6">
        <w:t>that</w:t>
      </w:r>
      <w:r w:rsidR="008243CA">
        <w:t xml:space="preserve"> </w:t>
      </w:r>
      <w:r w:rsidRPr="00E62FE6">
        <w:t>the</w:t>
      </w:r>
      <w:r w:rsidR="008243CA">
        <w:t xml:space="preserve"> </w:t>
      </w:r>
      <w:r w:rsidRPr="00E62FE6">
        <w:t>Chilean</w:t>
      </w:r>
      <w:r w:rsidR="008243CA">
        <w:t xml:space="preserve"> </w:t>
      </w:r>
      <w:r w:rsidRPr="00E62FE6">
        <w:t>Prison</w:t>
      </w:r>
      <w:r w:rsidR="008243CA">
        <w:t xml:space="preserve"> </w:t>
      </w:r>
      <w:r w:rsidRPr="00E62FE6">
        <w:t>Service</w:t>
      </w:r>
      <w:r w:rsidR="008243CA">
        <w:t xml:space="preserve"> </w:t>
      </w:r>
      <w:r w:rsidRPr="00E62FE6">
        <w:t>should</w:t>
      </w:r>
      <w:r w:rsidR="008243CA">
        <w:t xml:space="preserve"> </w:t>
      </w:r>
      <w:r w:rsidRPr="00E62FE6">
        <w:t>review</w:t>
      </w:r>
      <w:r w:rsidR="008243CA">
        <w:t xml:space="preserve"> </w:t>
      </w:r>
      <w:r w:rsidRPr="00E62FE6">
        <w:t>its</w:t>
      </w:r>
      <w:r w:rsidR="008243CA">
        <w:t xml:space="preserve"> </w:t>
      </w:r>
      <w:r w:rsidRPr="00E62FE6">
        <w:t>protocols</w:t>
      </w:r>
      <w:r w:rsidR="008243CA">
        <w:t xml:space="preserve"> </w:t>
      </w:r>
      <w:r w:rsidRPr="00E62FE6">
        <w:t>for</w:t>
      </w:r>
      <w:r w:rsidR="008243CA">
        <w:t xml:space="preserve"> </w:t>
      </w:r>
      <w:r w:rsidRPr="00E62FE6">
        <w:t>transfer</w:t>
      </w:r>
      <w:r w:rsidR="008243CA">
        <w:t xml:space="preserve"> </w:t>
      </w:r>
      <w:r w:rsidRPr="00E62FE6">
        <w:t>to</w:t>
      </w:r>
      <w:r w:rsidR="008243CA">
        <w:t xml:space="preserve"> </w:t>
      </w:r>
      <w:r w:rsidRPr="00E62FE6">
        <w:t>outside</w:t>
      </w:r>
      <w:r w:rsidR="008243CA">
        <w:t xml:space="preserve"> </w:t>
      </w:r>
      <w:r w:rsidRPr="00E62FE6">
        <w:t>hospitals</w:t>
      </w:r>
      <w:r w:rsidR="008243CA">
        <w:t xml:space="preserve"> </w:t>
      </w:r>
      <w:r w:rsidRPr="00E62FE6">
        <w:t>and</w:t>
      </w:r>
      <w:r w:rsidR="008243CA">
        <w:t xml:space="preserve"> </w:t>
      </w:r>
      <w:r w:rsidRPr="00E62FE6">
        <w:t>bring</w:t>
      </w:r>
      <w:r w:rsidR="008243CA">
        <w:t xml:space="preserve"> </w:t>
      </w:r>
      <w:r w:rsidRPr="00E62FE6">
        <w:t>them</w:t>
      </w:r>
      <w:r w:rsidR="008243CA">
        <w:t xml:space="preserve"> </w:t>
      </w:r>
      <w:r w:rsidRPr="00E62FE6">
        <w:t>into</w:t>
      </w:r>
      <w:r w:rsidR="008243CA">
        <w:t xml:space="preserve"> </w:t>
      </w:r>
      <w:r w:rsidRPr="00E62FE6">
        <w:t>line</w:t>
      </w:r>
      <w:r w:rsidR="008243CA">
        <w:t xml:space="preserve"> </w:t>
      </w:r>
      <w:r w:rsidRPr="00E62FE6">
        <w:t>with</w:t>
      </w:r>
      <w:r w:rsidR="008243CA">
        <w:t xml:space="preserve"> </w:t>
      </w:r>
      <w:r w:rsidRPr="00E62FE6">
        <w:t>the</w:t>
      </w:r>
      <w:r w:rsidR="008243CA">
        <w:t xml:space="preserve"> </w:t>
      </w:r>
      <w:r w:rsidRPr="00E62FE6">
        <w:t>international</w:t>
      </w:r>
      <w:r w:rsidR="008243CA">
        <w:t xml:space="preserve"> </w:t>
      </w:r>
      <w:r w:rsidRPr="00E62FE6">
        <w:t>instruments</w:t>
      </w:r>
      <w:r w:rsidR="008243CA">
        <w:t xml:space="preserve"> </w:t>
      </w:r>
      <w:r w:rsidRPr="00E62FE6">
        <w:t>ratified</w:t>
      </w:r>
      <w:r w:rsidR="008243CA">
        <w:t xml:space="preserve"> </w:t>
      </w:r>
      <w:r w:rsidRPr="00E62FE6">
        <w:t>by</w:t>
      </w:r>
      <w:r w:rsidR="008243CA">
        <w:t xml:space="preserve"> </w:t>
      </w:r>
      <w:r w:rsidRPr="00E62FE6">
        <w:t>Chile</w:t>
      </w:r>
      <w:r w:rsidR="008243CA">
        <w:t xml:space="preserve"> </w:t>
      </w:r>
      <w:r w:rsidRPr="00E62FE6">
        <w:t>regarding</w:t>
      </w:r>
      <w:r w:rsidR="008243CA">
        <w:t xml:space="preserve"> </w:t>
      </w:r>
      <w:r w:rsidRPr="00E62FE6">
        <w:t>pregnant</w:t>
      </w:r>
      <w:r w:rsidR="008243CA">
        <w:t xml:space="preserve"> </w:t>
      </w:r>
      <w:r w:rsidRPr="00E62FE6">
        <w:t>or</w:t>
      </w:r>
      <w:r w:rsidR="008243CA">
        <w:t xml:space="preserve"> </w:t>
      </w:r>
      <w:r w:rsidRPr="00E62FE6">
        <w:t>breastfeeding</w:t>
      </w:r>
      <w:r w:rsidR="008243CA">
        <w:t xml:space="preserve"> </w:t>
      </w:r>
      <w:r w:rsidRPr="00E62FE6">
        <w:t>women</w:t>
      </w:r>
      <w:r w:rsidR="008243CA">
        <w:t xml:space="preserve"> </w:t>
      </w:r>
      <w:r w:rsidRPr="00E62FE6">
        <w:t>deprived</w:t>
      </w:r>
      <w:r w:rsidR="008243CA">
        <w:t xml:space="preserve"> </w:t>
      </w:r>
      <w:r w:rsidRPr="00E62FE6">
        <w:t>of</w:t>
      </w:r>
      <w:r w:rsidR="008243CA">
        <w:t xml:space="preserve"> </w:t>
      </w:r>
      <w:r w:rsidRPr="00E62FE6">
        <w:t>their</w:t>
      </w:r>
      <w:r w:rsidR="008243CA">
        <w:t xml:space="preserve"> </w:t>
      </w:r>
      <w:r w:rsidRPr="00E62FE6">
        <w:t>liberty</w:t>
      </w:r>
      <w:r w:rsidR="008243CA">
        <w:t xml:space="preserve"> </w:t>
      </w:r>
      <w:r w:rsidRPr="00E62FE6">
        <w:t>and</w:t>
      </w:r>
      <w:r w:rsidR="008243CA">
        <w:t xml:space="preserve"> </w:t>
      </w:r>
      <w:r w:rsidRPr="00E62FE6">
        <w:t>the</w:t>
      </w:r>
      <w:r w:rsidR="008243CA">
        <w:t xml:space="preserve"> </w:t>
      </w:r>
      <w:r w:rsidRPr="00E62FE6">
        <w:t>eradication</w:t>
      </w:r>
      <w:r w:rsidR="008243CA">
        <w:t xml:space="preserve"> </w:t>
      </w:r>
      <w:r w:rsidRPr="00E62FE6">
        <w:t>of</w:t>
      </w:r>
      <w:r w:rsidR="008243CA">
        <w:t xml:space="preserve"> </w:t>
      </w:r>
      <w:r w:rsidRPr="00E62FE6">
        <w:t>all</w:t>
      </w:r>
      <w:r w:rsidR="008243CA">
        <w:t xml:space="preserve"> </w:t>
      </w:r>
      <w:r w:rsidRPr="00E62FE6">
        <w:t>forms</w:t>
      </w:r>
      <w:r w:rsidR="008243CA">
        <w:t xml:space="preserve"> </w:t>
      </w:r>
      <w:r w:rsidRPr="00E62FE6">
        <w:t>of</w:t>
      </w:r>
      <w:r w:rsidR="008243CA">
        <w:t xml:space="preserve"> </w:t>
      </w:r>
      <w:r w:rsidRPr="00E62FE6">
        <w:t>violence</w:t>
      </w:r>
      <w:r w:rsidR="008243CA">
        <w:t xml:space="preserve"> </w:t>
      </w:r>
      <w:r w:rsidRPr="00E62FE6">
        <w:t>and</w:t>
      </w:r>
      <w:r w:rsidR="008243CA">
        <w:t xml:space="preserve"> </w:t>
      </w:r>
      <w:r w:rsidRPr="00E62FE6">
        <w:t>discrimination</w:t>
      </w:r>
      <w:r w:rsidR="008243CA">
        <w:t xml:space="preserve"> </w:t>
      </w:r>
      <w:r w:rsidRPr="00E62FE6">
        <w:t>against</w:t>
      </w:r>
      <w:r w:rsidR="008243CA">
        <w:t xml:space="preserve"> </w:t>
      </w:r>
      <w:r w:rsidRPr="00E62FE6">
        <w:t>women.</w:t>
      </w:r>
      <w:r w:rsidRPr="00116F0B">
        <w:rPr>
          <w:rStyle w:val="FootnoteReference"/>
        </w:rPr>
        <w:footnoteReference w:id="23"/>
      </w:r>
    </w:p>
    <w:p w:rsidR="003F7D03" w:rsidRPr="00E62FE6" w:rsidRDefault="003F7D03" w:rsidP="000C6D98">
      <w:pPr>
        <w:pStyle w:val="SingleTxtG"/>
      </w:pPr>
      <w:r w:rsidRPr="00E62FE6">
        <w:t>40.</w:t>
      </w:r>
      <w:r w:rsidRPr="00E62FE6">
        <w:tab/>
        <w:t>As</w:t>
      </w:r>
      <w:r w:rsidR="008243CA">
        <w:t xml:space="preserve"> </w:t>
      </w:r>
      <w:r w:rsidRPr="00E62FE6">
        <w:t>ordered</w:t>
      </w:r>
      <w:r w:rsidR="008243CA">
        <w:t xml:space="preserve"> </w:t>
      </w:r>
      <w:r w:rsidRPr="00E62FE6">
        <w:t>by</w:t>
      </w:r>
      <w:r w:rsidR="008243CA">
        <w:t xml:space="preserve"> </w:t>
      </w:r>
      <w:r w:rsidRPr="00E62FE6">
        <w:t>the</w:t>
      </w:r>
      <w:r w:rsidR="008243CA">
        <w:t xml:space="preserve"> </w:t>
      </w:r>
      <w:r w:rsidRPr="00E62FE6">
        <w:t>President</w:t>
      </w:r>
      <w:r w:rsidR="008243CA">
        <w:t xml:space="preserve"> </w:t>
      </w:r>
      <w:r w:rsidRPr="00E62FE6">
        <w:t>of</w:t>
      </w:r>
      <w:r w:rsidR="008243CA">
        <w:t xml:space="preserve"> </w:t>
      </w:r>
      <w:r w:rsidRPr="00E62FE6">
        <w:t>the</w:t>
      </w:r>
      <w:r w:rsidR="008243CA">
        <w:t xml:space="preserve"> </w:t>
      </w:r>
      <w:r w:rsidRPr="00E62FE6">
        <w:t>Republic</w:t>
      </w:r>
      <w:r w:rsidR="008243CA">
        <w:t xml:space="preserve"> </w:t>
      </w:r>
      <w:r w:rsidRPr="00E62FE6">
        <w:t>and</w:t>
      </w:r>
      <w:r w:rsidR="008243CA">
        <w:t xml:space="preserve"> </w:t>
      </w:r>
      <w:r w:rsidRPr="00E62FE6">
        <w:t>the</w:t>
      </w:r>
      <w:r w:rsidR="008243CA">
        <w:t xml:space="preserve"> </w:t>
      </w:r>
      <w:r w:rsidRPr="00E62FE6">
        <w:t>Supreme</w:t>
      </w:r>
      <w:r w:rsidR="008243CA">
        <w:t xml:space="preserve"> </w:t>
      </w:r>
      <w:r w:rsidRPr="00E62FE6">
        <w:t>Court,</w:t>
      </w:r>
      <w:r w:rsidR="008243CA">
        <w:t xml:space="preserve"> </w:t>
      </w:r>
      <w:r w:rsidRPr="00E62FE6">
        <w:t>new</w:t>
      </w:r>
      <w:r w:rsidR="008243CA">
        <w:t xml:space="preserve"> </w:t>
      </w:r>
      <w:r w:rsidRPr="00E62FE6">
        <w:t>regulations</w:t>
      </w:r>
      <w:r w:rsidR="008243CA">
        <w:t xml:space="preserve"> </w:t>
      </w:r>
      <w:r w:rsidRPr="00E62FE6">
        <w:t>incorporating</w:t>
      </w:r>
      <w:r w:rsidR="008243CA">
        <w:t xml:space="preserve"> </w:t>
      </w:r>
      <w:r w:rsidRPr="00E62FE6">
        <w:t>a</w:t>
      </w:r>
      <w:r w:rsidR="008243CA">
        <w:t xml:space="preserve"> </w:t>
      </w:r>
      <w:r w:rsidRPr="00E62FE6">
        <w:t>human</w:t>
      </w:r>
      <w:r w:rsidR="008243CA">
        <w:t xml:space="preserve"> </w:t>
      </w:r>
      <w:r w:rsidRPr="00E62FE6">
        <w:t>rights</w:t>
      </w:r>
      <w:r w:rsidR="008243CA">
        <w:t xml:space="preserve"> </w:t>
      </w:r>
      <w:r w:rsidRPr="00E62FE6">
        <w:t>perspective</w:t>
      </w:r>
      <w:r w:rsidR="008243CA">
        <w:t xml:space="preserve"> </w:t>
      </w:r>
      <w:r w:rsidRPr="00E62FE6">
        <w:t>are</w:t>
      </w:r>
      <w:r w:rsidR="008243CA">
        <w:t xml:space="preserve"> </w:t>
      </w:r>
      <w:r w:rsidRPr="00E62FE6">
        <w:t>currently</w:t>
      </w:r>
      <w:r w:rsidR="008243CA">
        <w:t xml:space="preserve"> </w:t>
      </w:r>
      <w:r w:rsidRPr="00E62FE6">
        <w:t>being</w:t>
      </w:r>
      <w:r w:rsidR="008243CA">
        <w:t xml:space="preserve"> </w:t>
      </w:r>
      <w:r w:rsidRPr="00E62FE6">
        <w:t>drafted;</w:t>
      </w:r>
      <w:r w:rsidR="008243CA">
        <w:t xml:space="preserve"> </w:t>
      </w:r>
      <w:r w:rsidRPr="00E62FE6">
        <w:t>these</w:t>
      </w:r>
      <w:r w:rsidR="008243CA">
        <w:t xml:space="preserve"> </w:t>
      </w:r>
      <w:r w:rsidRPr="00E62FE6">
        <w:t>regulations</w:t>
      </w:r>
      <w:r w:rsidR="008243CA">
        <w:t xml:space="preserve"> </w:t>
      </w:r>
      <w:r w:rsidRPr="00E62FE6">
        <w:t>reaffirm</w:t>
      </w:r>
      <w:r w:rsidR="008243CA">
        <w:t xml:space="preserve"> </w:t>
      </w:r>
      <w:r w:rsidRPr="00E62FE6">
        <w:t>the</w:t>
      </w:r>
      <w:r w:rsidR="008243CA">
        <w:t xml:space="preserve"> </w:t>
      </w:r>
      <w:r w:rsidRPr="00E62FE6">
        <w:t>State</w:t>
      </w:r>
      <w:r w:rsidR="00116F0B">
        <w:t>’</w:t>
      </w:r>
      <w:r w:rsidRPr="00E62FE6">
        <w:t>s</w:t>
      </w:r>
      <w:r w:rsidR="008243CA">
        <w:t xml:space="preserve"> </w:t>
      </w:r>
      <w:r w:rsidRPr="00E62FE6">
        <w:t>duty</w:t>
      </w:r>
      <w:r w:rsidR="008243CA">
        <w:t xml:space="preserve"> </w:t>
      </w:r>
      <w:r w:rsidRPr="00E62FE6">
        <w:t>to</w:t>
      </w:r>
      <w:r w:rsidR="008243CA">
        <w:t xml:space="preserve"> </w:t>
      </w:r>
      <w:r w:rsidRPr="00E62FE6">
        <w:t>act</w:t>
      </w:r>
      <w:r w:rsidR="008243CA">
        <w:t xml:space="preserve"> </w:t>
      </w:r>
      <w:r w:rsidRPr="00E62FE6">
        <w:t>as</w:t>
      </w:r>
      <w:r w:rsidR="008243CA">
        <w:t xml:space="preserve"> </w:t>
      </w:r>
      <w:r w:rsidRPr="00E62FE6">
        <w:t>guarantor</w:t>
      </w:r>
      <w:r w:rsidR="008243CA">
        <w:t xml:space="preserve"> </w:t>
      </w:r>
      <w:r w:rsidRPr="00E62FE6">
        <w:t>and</w:t>
      </w:r>
      <w:r w:rsidR="008243CA">
        <w:t xml:space="preserve"> </w:t>
      </w:r>
      <w:r w:rsidRPr="00E62FE6">
        <w:t>place</w:t>
      </w:r>
      <w:r w:rsidR="008243CA">
        <w:t xml:space="preserve"> </w:t>
      </w:r>
      <w:r w:rsidRPr="00E62FE6">
        <w:t>the</w:t>
      </w:r>
      <w:r w:rsidR="008243CA">
        <w:t xml:space="preserve"> </w:t>
      </w:r>
      <w:r w:rsidRPr="00E62FE6">
        <w:t>focus</w:t>
      </w:r>
      <w:r w:rsidR="008243CA">
        <w:t xml:space="preserve"> </w:t>
      </w:r>
      <w:r w:rsidRPr="00E62FE6">
        <w:t>on</w:t>
      </w:r>
      <w:r w:rsidR="00116F0B">
        <w:t xml:space="preserve"> </w:t>
      </w:r>
      <w:r w:rsidRPr="00E62FE6">
        <w:t>persons</w:t>
      </w:r>
      <w:r w:rsidR="008243CA">
        <w:t xml:space="preserve"> </w:t>
      </w:r>
      <w:r w:rsidRPr="00E62FE6">
        <w:t>deprived</w:t>
      </w:r>
      <w:r w:rsidR="008243CA">
        <w:t xml:space="preserve"> </w:t>
      </w:r>
      <w:r w:rsidRPr="00E62FE6">
        <w:t>of</w:t>
      </w:r>
      <w:r w:rsidR="008243CA">
        <w:t xml:space="preserve"> </w:t>
      </w:r>
      <w:r w:rsidRPr="00E62FE6">
        <w:t>their</w:t>
      </w:r>
      <w:r w:rsidR="008243CA">
        <w:t xml:space="preserve"> </w:t>
      </w:r>
      <w:r w:rsidRPr="00E62FE6">
        <w:t>liberty,</w:t>
      </w:r>
      <w:r w:rsidR="008243CA">
        <w:t xml:space="preserve"> </w:t>
      </w:r>
      <w:r w:rsidRPr="00E62FE6">
        <w:t>so</w:t>
      </w:r>
      <w:r w:rsidR="008243CA">
        <w:t xml:space="preserve"> </w:t>
      </w:r>
      <w:r w:rsidRPr="00E62FE6">
        <w:t>as</w:t>
      </w:r>
      <w:r w:rsidR="008243CA">
        <w:t xml:space="preserve"> </w:t>
      </w:r>
      <w:r w:rsidRPr="00E62FE6">
        <w:t>to</w:t>
      </w:r>
      <w:r w:rsidR="008243CA">
        <w:t xml:space="preserve"> </w:t>
      </w:r>
      <w:r w:rsidRPr="00E62FE6">
        <w:t>ensure</w:t>
      </w:r>
      <w:r w:rsidR="008243CA">
        <w:t xml:space="preserve"> </w:t>
      </w:r>
      <w:r w:rsidRPr="00E62FE6">
        <w:t>that</w:t>
      </w:r>
      <w:r w:rsidR="008243CA">
        <w:t xml:space="preserve"> </w:t>
      </w:r>
      <w:r w:rsidRPr="00E62FE6">
        <w:t>deprivation</w:t>
      </w:r>
      <w:r w:rsidR="008243CA">
        <w:t xml:space="preserve"> </w:t>
      </w:r>
      <w:r w:rsidRPr="00E62FE6">
        <w:t>of</w:t>
      </w:r>
      <w:r w:rsidR="008243CA">
        <w:t xml:space="preserve"> </w:t>
      </w:r>
      <w:r w:rsidRPr="00E62FE6">
        <w:t>liberty</w:t>
      </w:r>
      <w:r w:rsidR="008243CA">
        <w:t xml:space="preserve"> </w:t>
      </w:r>
      <w:r w:rsidRPr="00E62FE6">
        <w:t>does</w:t>
      </w:r>
      <w:r w:rsidR="008243CA">
        <w:t xml:space="preserve"> </w:t>
      </w:r>
      <w:r w:rsidRPr="00E62FE6">
        <w:t>not</w:t>
      </w:r>
      <w:r w:rsidR="008243CA">
        <w:t xml:space="preserve"> </w:t>
      </w:r>
      <w:r w:rsidRPr="00E62FE6">
        <w:t>result</w:t>
      </w:r>
      <w:r w:rsidR="008243CA">
        <w:t xml:space="preserve"> </w:t>
      </w:r>
      <w:r w:rsidRPr="00E62FE6">
        <w:t>in</w:t>
      </w:r>
      <w:r w:rsidR="008243CA">
        <w:t xml:space="preserve"> </w:t>
      </w:r>
      <w:r w:rsidRPr="00E62FE6">
        <w:t>the</w:t>
      </w:r>
      <w:r w:rsidR="008243CA">
        <w:t xml:space="preserve"> </w:t>
      </w:r>
      <w:r w:rsidRPr="00E62FE6">
        <w:t>unlawful</w:t>
      </w:r>
      <w:r w:rsidR="008243CA">
        <w:t xml:space="preserve"> </w:t>
      </w:r>
      <w:r w:rsidRPr="00E62FE6">
        <w:t>restriction</w:t>
      </w:r>
      <w:r w:rsidR="008243CA">
        <w:t xml:space="preserve"> </w:t>
      </w:r>
      <w:r w:rsidRPr="00E62FE6">
        <w:t>of</w:t>
      </w:r>
      <w:r w:rsidR="008243CA">
        <w:t xml:space="preserve"> </w:t>
      </w:r>
      <w:r w:rsidRPr="00E62FE6">
        <w:t>other</w:t>
      </w:r>
      <w:r w:rsidR="008243CA">
        <w:t xml:space="preserve"> </w:t>
      </w:r>
      <w:r w:rsidRPr="00E62FE6">
        <w:t>fundamental</w:t>
      </w:r>
      <w:r w:rsidR="008243CA">
        <w:t xml:space="preserve"> </w:t>
      </w:r>
      <w:r w:rsidRPr="00E62FE6">
        <w:t>rights.</w:t>
      </w:r>
      <w:r w:rsidR="008243CA">
        <w:t xml:space="preserve"> </w:t>
      </w:r>
      <w:r w:rsidRPr="00E62FE6">
        <w:t>This</w:t>
      </w:r>
      <w:r w:rsidR="008243CA">
        <w:t xml:space="preserve"> </w:t>
      </w:r>
      <w:r w:rsidRPr="00E62FE6">
        <w:t>approach</w:t>
      </w:r>
      <w:r w:rsidR="008243CA">
        <w:t xml:space="preserve"> </w:t>
      </w:r>
      <w:r w:rsidRPr="00E62FE6">
        <w:t>requires</w:t>
      </w:r>
      <w:r w:rsidR="008243CA">
        <w:t xml:space="preserve"> </w:t>
      </w:r>
      <w:r w:rsidRPr="00E62FE6">
        <w:t>that</w:t>
      </w:r>
      <w:r w:rsidR="008243CA">
        <w:t xml:space="preserve"> </w:t>
      </w:r>
      <w:r w:rsidRPr="00E62FE6">
        <w:t>the</w:t>
      </w:r>
      <w:r w:rsidR="008243CA">
        <w:t xml:space="preserve"> </w:t>
      </w:r>
      <w:r w:rsidRPr="00E62FE6">
        <w:t>gender</w:t>
      </w:r>
      <w:r w:rsidR="008243CA">
        <w:t xml:space="preserve"> </w:t>
      </w:r>
      <w:r w:rsidRPr="00E62FE6">
        <w:t>perspective</w:t>
      </w:r>
      <w:r w:rsidR="008243CA">
        <w:t xml:space="preserve"> </w:t>
      </w:r>
      <w:r w:rsidRPr="00E62FE6">
        <w:t>be</w:t>
      </w:r>
      <w:r w:rsidR="008243CA">
        <w:t xml:space="preserve"> </w:t>
      </w:r>
      <w:r w:rsidRPr="00E62FE6">
        <w:t>taken</w:t>
      </w:r>
      <w:r w:rsidR="008243CA">
        <w:t xml:space="preserve"> </w:t>
      </w:r>
      <w:r w:rsidRPr="00E62FE6">
        <w:t>into</w:t>
      </w:r>
      <w:r w:rsidR="008243CA">
        <w:t xml:space="preserve"> </w:t>
      </w:r>
      <w:r w:rsidRPr="00E62FE6">
        <w:t>account,</w:t>
      </w:r>
      <w:r w:rsidR="008243CA">
        <w:t xml:space="preserve"> </w:t>
      </w:r>
      <w:r w:rsidRPr="00E62FE6">
        <w:t>not</w:t>
      </w:r>
      <w:r w:rsidR="008243CA">
        <w:t xml:space="preserve"> </w:t>
      </w:r>
      <w:r w:rsidRPr="00E62FE6">
        <w:t>only</w:t>
      </w:r>
      <w:r w:rsidR="008243CA">
        <w:t xml:space="preserve"> </w:t>
      </w:r>
      <w:r w:rsidRPr="00E62FE6">
        <w:t>in</w:t>
      </w:r>
      <w:r w:rsidR="008243CA">
        <w:t xml:space="preserve"> </w:t>
      </w:r>
      <w:r w:rsidRPr="00E62FE6">
        <w:t>the</w:t>
      </w:r>
      <w:r w:rsidR="008243CA">
        <w:t xml:space="preserve"> </w:t>
      </w:r>
      <w:r w:rsidRPr="00E62FE6">
        <w:t>regulations</w:t>
      </w:r>
      <w:r w:rsidR="008243CA">
        <w:t xml:space="preserve"> </w:t>
      </w:r>
      <w:r w:rsidRPr="00E62FE6">
        <w:t>themselves,</w:t>
      </w:r>
      <w:r w:rsidR="008243CA">
        <w:t xml:space="preserve"> </w:t>
      </w:r>
      <w:r w:rsidRPr="00E62FE6">
        <w:t>but</w:t>
      </w:r>
      <w:r w:rsidR="008243CA">
        <w:t xml:space="preserve"> </w:t>
      </w:r>
      <w:r w:rsidRPr="00E62FE6">
        <w:t>also</w:t>
      </w:r>
      <w:r w:rsidR="008243CA">
        <w:t xml:space="preserve"> </w:t>
      </w:r>
      <w:r w:rsidRPr="00E62FE6">
        <w:t>in</w:t>
      </w:r>
      <w:r w:rsidR="008243CA">
        <w:t xml:space="preserve"> </w:t>
      </w:r>
      <w:r w:rsidRPr="00E62FE6">
        <w:t>their</w:t>
      </w:r>
      <w:r w:rsidR="008243CA">
        <w:t xml:space="preserve"> </w:t>
      </w:r>
      <w:r w:rsidRPr="00E62FE6">
        <w:t>implementation,</w:t>
      </w:r>
      <w:r w:rsidR="008243CA">
        <w:t xml:space="preserve"> </w:t>
      </w:r>
      <w:r w:rsidRPr="00E62FE6">
        <w:t>to</w:t>
      </w:r>
      <w:r w:rsidR="008243CA">
        <w:t xml:space="preserve"> </w:t>
      </w:r>
      <w:r w:rsidRPr="00E62FE6">
        <w:t>ensure</w:t>
      </w:r>
      <w:r w:rsidR="008243CA">
        <w:t xml:space="preserve"> </w:t>
      </w:r>
      <w:r w:rsidRPr="00E62FE6">
        <w:t>that</w:t>
      </w:r>
      <w:r w:rsidR="008243CA">
        <w:t xml:space="preserve"> </w:t>
      </w:r>
      <w:r w:rsidRPr="00E62FE6">
        <w:t>there</w:t>
      </w:r>
      <w:r w:rsidR="008243CA">
        <w:t xml:space="preserve"> </w:t>
      </w:r>
      <w:r w:rsidRPr="00E62FE6">
        <w:t>is</w:t>
      </w:r>
      <w:r w:rsidR="008243CA">
        <w:t xml:space="preserve"> </w:t>
      </w:r>
      <w:r w:rsidRPr="00E62FE6">
        <w:t>an</w:t>
      </w:r>
      <w:r w:rsidR="008243CA">
        <w:t xml:space="preserve"> </w:t>
      </w:r>
      <w:r w:rsidRPr="00E62FE6">
        <w:t>improvement</w:t>
      </w:r>
      <w:r w:rsidR="008243CA">
        <w:t xml:space="preserve"> </w:t>
      </w:r>
      <w:r w:rsidRPr="00E62FE6">
        <w:t>in</w:t>
      </w:r>
      <w:r w:rsidR="008243CA">
        <w:t xml:space="preserve"> </w:t>
      </w:r>
      <w:r w:rsidRPr="00E62FE6">
        <w:t>prison</w:t>
      </w:r>
      <w:r w:rsidR="008243CA">
        <w:t xml:space="preserve"> </w:t>
      </w:r>
      <w:r w:rsidRPr="00E62FE6">
        <w:t>practices.</w:t>
      </w:r>
      <w:r w:rsidR="008243CA">
        <w:t xml:space="preserve"> </w:t>
      </w:r>
      <w:r w:rsidRPr="00E62FE6">
        <w:t>In</w:t>
      </w:r>
      <w:r w:rsidR="008243CA">
        <w:t xml:space="preserve"> </w:t>
      </w:r>
      <w:r w:rsidRPr="00E62FE6">
        <w:t>addition,</w:t>
      </w:r>
      <w:r w:rsidR="008243CA">
        <w:t xml:space="preserve"> </w:t>
      </w:r>
      <w:r w:rsidRPr="00E62FE6">
        <w:t>a</w:t>
      </w:r>
      <w:r w:rsidR="008243CA">
        <w:t xml:space="preserve"> </w:t>
      </w:r>
      <w:r w:rsidRPr="00E62FE6">
        <w:t>series</w:t>
      </w:r>
      <w:r w:rsidR="008243CA">
        <w:t xml:space="preserve"> </w:t>
      </w:r>
      <w:r w:rsidRPr="00E62FE6">
        <w:t>of</w:t>
      </w:r>
      <w:r w:rsidR="008243CA">
        <w:t xml:space="preserve"> </w:t>
      </w:r>
      <w:r w:rsidRPr="00E62FE6">
        <w:t>cross-cutting</w:t>
      </w:r>
      <w:r w:rsidR="008243CA">
        <w:t xml:space="preserve"> </w:t>
      </w:r>
      <w:r w:rsidRPr="00E62FE6">
        <w:t>principles</w:t>
      </w:r>
      <w:r w:rsidR="008243CA">
        <w:t xml:space="preserve"> </w:t>
      </w:r>
      <w:r w:rsidRPr="00E62FE6">
        <w:t>have</w:t>
      </w:r>
      <w:r w:rsidR="008243CA">
        <w:t xml:space="preserve"> </w:t>
      </w:r>
      <w:r w:rsidRPr="00E62FE6">
        <w:t>been</w:t>
      </w:r>
      <w:r w:rsidR="008243CA">
        <w:t xml:space="preserve"> </w:t>
      </w:r>
      <w:r w:rsidRPr="00E62FE6">
        <w:t>drawn</w:t>
      </w:r>
      <w:r w:rsidR="008243CA">
        <w:t xml:space="preserve"> </w:t>
      </w:r>
      <w:r w:rsidRPr="00E62FE6">
        <w:t>up</w:t>
      </w:r>
      <w:r w:rsidR="008243CA">
        <w:t xml:space="preserve"> </w:t>
      </w:r>
      <w:r w:rsidRPr="00E62FE6">
        <w:t>which</w:t>
      </w:r>
      <w:r w:rsidR="008243CA">
        <w:t xml:space="preserve"> </w:t>
      </w:r>
      <w:r w:rsidRPr="00E62FE6">
        <w:t>apply</w:t>
      </w:r>
      <w:r w:rsidR="008243CA">
        <w:t xml:space="preserve"> </w:t>
      </w:r>
      <w:r w:rsidRPr="00E62FE6">
        <w:t>to</w:t>
      </w:r>
      <w:r w:rsidR="008243CA">
        <w:t xml:space="preserve"> </w:t>
      </w:r>
      <w:r w:rsidRPr="00E62FE6">
        <w:t>the</w:t>
      </w:r>
      <w:r w:rsidR="008243CA">
        <w:t xml:space="preserve"> </w:t>
      </w:r>
      <w:r w:rsidRPr="00E62FE6">
        <w:t>Prison</w:t>
      </w:r>
      <w:r w:rsidR="008243CA">
        <w:t xml:space="preserve"> </w:t>
      </w:r>
      <w:r w:rsidRPr="00E62FE6">
        <w:t>Regulations</w:t>
      </w:r>
      <w:r w:rsidR="008243CA">
        <w:t xml:space="preserve"> </w:t>
      </w:r>
      <w:r w:rsidRPr="00E62FE6">
        <w:t>as</w:t>
      </w:r>
      <w:r w:rsidR="008243CA">
        <w:t xml:space="preserve"> </w:t>
      </w:r>
      <w:r w:rsidRPr="00E62FE6">
        <w:t>a</w:t>
      </w:r>
      <w:r w:rsidR="008243CA">
        <w:t xml:space="preserve"> </w:t>
      </w:r>
      <w:r w:rsidRPr="00E62FE6">
        <w:t>whole,</w:t>
      </w:r>
      <w:r w:rsidR="008243CA">
        <w:t xml:space="preserve"> </w:t>
      </w:r>
      <w:r w:rsidRPr="00E62FE6">
        <w:t>such</w:t>
      </w:r>
      <w:r w:rsidR="008243CA">
        <w:t xml:space="preserve"> </w:t>
      </w:r>
      <w:r w:rsidRPr="00E62FE6">
        <w:t>as</w:t>
      </w:r>
      <w:r w:rsidR="008243CA">
        <w:t xml:space="preserve"> </w:t>
      </w:r>
      <w:r w:rsidRPr="00E62FE6">
        <w:t>respect</w:t>
      </w:r>
      <w:r w:rsidR="008243CA">
        <w:t xml:space="preserve"> </w:t>
      </w:r>
      <w:r w:rsidRPr="00E62FE6">
        <w:t>for</w:t>
      </w:r>
      <w:r w:rsidR="008243CA">
        <w:t xml:space="preserve"> </w:t>
      </w:r>
      <w:r w:rsidRPr="00E62FE6">
        <w:t>the</w:t>
      </w:r>
      <w:r w:rsidR="008243CA">
        <w:t xml:space="preserve"> </w:t>
      </w:r>
      <w:r w:rsidRPr="00E62FE6">
        <w:t>right</w:t>
      </w:r>
      <w:r w:rsidR="008243CA">
        <w:t xml:space="preserve"> </w:t>
      </w:r>
      <w:r w:rsidRPr="00E62FE6">
        <w:t>to</w:t>
      </w:r>
      <w:r w:rsidR="008243CA">
        <w:t xml:space="preserve"> </w:t>
      </w:r>
      <w:r w:rsidRPr="00E62FE6">
        <w:t>equality</w:t>
      </w:r>
      <w:r w:rsidR="008243CA">
        <w:t xml:space="preserve"> </w:t>
      </w:r>
      <w:r w:rsidRPr="00E62FE6">
        <w:t>and</w:t>
      </w:r>
      <w:r w:rsidR="008243CA">
        <w:t xml:space="preserve"> </w:t>
      </w:r>
      <w:r w:rsidRPr="00E62FE6">
        <w:t>non-discrimination</w:t>
      </w:r>
      <w:r w:rsidR="008243CA">
        <w:t xml:space="preserve"> </w:t>
      </w:r>
      <w:r w:rsidRPr="00E62FE6">
        <w:t>and</w:t>
      </w:r>
      <w:r w:rsidR="008243CA">
        <w:t xml:space="preserve"> </w:t>
      </w:r>
      <w:r w:rsidRPr="00E62FE6">
        <w:t>respect</w:t>
      </w:r>
      <w:r w:rsidR="008243CA">
        <w:t xml:space="preserve"> </w:t>
      </w:r>
      <w:r w:rsidRPr="00E62FE6">
        <w:t>for</w:t>
      </w:r>
      <w:r w:rsidR="008243CA">
        <w:t xml:space="preserve"> </w:t>
      </w:r>
      <w:r w:rsidRPr="00E62FE6">
        <w:t>the</w:t>
      </w:r>
      <w:r w:rsidR="008243CA">
        <w:t xml:space="preserve"> </w:t>
      </w:r>
      <w:r w:rsidRPr="00E62FE6">
        <w:t>principle</w:t>
      </w:r>
      <w:r w:rsidR="008243CA">
        <w:t xml:space="preserve"> </w:t>
      </w:r>
      <w:r w:rsidRPr="00E62FE6">
        <w:t>of</w:t>
      </w:r>
      <w:r w:rsidR="008243CA">
        <w:t xml:space="preserve"> </w:t>
      </w:r>
      <w:r w:rsidRPr="00E62FE6">
        <w:t>cultural</w:t>
      </w:r>
      <w:r w:rsidR="008243CA">
        <w:t xml:space="preserve"> </w:t>
      </w:r>
      <w:r w:rsidRPr="00E62FE6">
        <w:t>sensitivity.</w:t>
      </w:r>
      <w:bookmarkStart w:id="35" w:name="page15"/>
      <w:bookmarkEnd w:id="35"/>
    </w:p>
    <w:p w:rsidR="003F7D03" w:rsidRPr="00E62FE6" w:rsidRDefault="003F7D03" w:rsidP="000C6D98">
      <w:pPr>
        <w:pStyle w:val="SingleTxtG"/>
      </w:pPr>
      <w:r w:rsidRPr="00E62FE6">
        <w:t>41.</w:t>
      </w:r>
      <w:r w:rsidRPr="00E62FE6">
        <w:tab/>
        <w:t>As</w:t>
      </w:r>
      <w:r w:rsidR="008243CA">
        <w:t xml:space="preserve"> </w:t>
      </w:r>
      <w:r w:rsidRPr="00E62FE6">
        <w:t>regards</w:t>
      </w:r>
      <w:r w:rsidR="008243CA">
        <w:t xml:space="preserve"> </w:t>
      </w:r>
      <w:r w:rsidRPr="00E62FE6">
        <w:t>disciplinary</w:t>
      </w:r>
      <w:r w:rsidR="008243CA">
        <w:t xml:space="preserve"> </w:t>
      </w:r>
      <w:r w:rsidRPr="00E62FE6">
        <w:t>sanctions,</w:t>
      </w:r>
      <w:r w:rsidR="008243CA">
        <w:t xml:space="preserve"> </w:t>
      </w:r>
      <w:r w:rsidRPr="00E62FE6">
        <w:t>the</w:t>
      </w:r>
      <w:r w:rsidR="008243CA">
        <w:t xml:space="preserve"> </w:t>
      </w:r>
      <w:r w:rsidRPr="00E62FE6">
        <w:t>new</w:t>
      </w:r>
      <w:r w:rsidR="008243CA">
        <w:t xml:space="preserve"> </w:t>
      </w:r>
      <w:r w:rsidRPr="00E62FE6">
        <w:t>regulations</w:t>
      </w:r>
      <w:r w:rsidR="008243CA">
        <w:t xml:space="preserve"> </w:t>
      </w:r>
      <w:r w:rsidRPr="00E62FE6">
        <w:t>provide</w:t>
      </w:r>
      <w:r w:rsidR="008243CA">
        <w:t xml:space="preserve"> </w:t>
      </w:r>
      <w:r w:rsidRPr="00E62FE6">
        <w:t>for</w:t>
      </w:r>
      <w:r w:rsidR="008243CA">
        <w:t xml:space="preserve"> </w:t>
      </w:r>
      <w:r w:rsidRPr="00E62FE6">
        <w:t>a</w:t>
      </w:r>
      <w:r w:rsidR="008243CA">
        <w:t xml:space="preserve"> </w:t>
      </w:r>
      <w:r w:rsidRPr="00E62FE6">
        <w:t>new</w:t>
      </w:r>
      <w:r w:rsidR="008243CA">
        <w:t xml:space="preserve"> </w:t>
      </w:r>
      <w:r w:rsidRPr="00E62FE6">
        <w:t>disciplinary</w:t>
      </w:r>
      <w:r w:rsidR="008243CA">
        <w:t xml:space="preserve"> </w:t>
      </w:r>
      <w:r w:rsidRPr="00E62FE6">
        <w:t>procedure</w:t>
      </w:r>
      <w:r w:rsidR="008243CA">
        <w:t xml:space="preserve"> </w:t>
      </w:r>
      <w:r w:rsidRPr="00E62FE6">
        <w:t>designed</w:t>
      </w:r>
      <w:r w:rsidR="008243CA">
        <w:t xml:space="preserve"> </w:t>
      </w:r>
      <w:r w:rsidRPr="00E62FE6">
        <w:t>to</w:t>
      </w:r>
      <w:r w:rsidR="008243CA">
        <w:t xml:space="preserve"> </w:t>
      </w:r>
      <w:r w:rsidRPr="00E62FE6">
        <w:t>reduce</w:t>
      </w:r>
      <w:r w:rsidR="008243CA">
        <w:t xml:space="preserve"> </w:t>
      </w:r>
      <w:r w:rsidRPr="00E62FE6">
        <w:t>opportunities</w:t>
      </w:r>
      <w:r w:rsidR="008243CA">
        <w:t xml:space="preserve"> </w:t>
      </w:r>
      <w:r w:rsidRPr="00E62FE6">
        <w:t>for</w:t>
      </w:r>
      <w:r w:rsidR="008243CA">
        <w:t xml:space="preserve"> </w:t>
      </w:r>
      <w:r w:rsidRPr="00E62FE6">
        <w:t>abuses,</w:t>
      </w:r>
      <w:r w:rsidR="008243CA">
        <w:t xml:space="preserve"> </w:t>
      </w:r>
      <w:r w:rsidRPr="00E62FE6">
        <w:t>and</w:t>
      </w:r>
      <w:r w:rsidR="008243CA">
        <w:t xml:space="preserve"> </w:t>
      </w:r>
      <w:r w:rsidRPr="00E62FE6">
        <w:t>applicable</w:t>
      </w:r>
      <w:r w:rsidR="008243CA">
        <w:t xml:space="preserve"> </w:t>
      </w:r>
      <w:r w:rsidRPr="00E62FE6">
        <w:t>sanctions</w:t>
      </w:r>
      <w:r w:rsidR="008243CA">
        <w:t xml:space="preserve"> </w:t>
      </w:r>
      <w:r w:rsidRPr="00E62FE6">
        <w:t>have</w:t>
      </w:r>
      <w:r w:rsidR="008243CA">
        <w:t xml:space="preserve"> </w:t>
      </w:r>
      <w:r w:rsidRPr="00E62FE6">
        <w:t>been</w:t>
      </w:r>
      <w:r w:rsidR="008243CA">
        <w:t xml:space="preserve"> </w:t>
      </w:r>
      <w:r w:rsidRPr="00E62FE6">
        <w:t>reviewed</w:t>
      </w:r>
      <w:r w:rsidR="008243CA">
        <w:t xml:space="preserve"> </w:t>
      </w:r>
      <w:r w:rsidRPr="00E62FE6">
        <w:t>and</w:t>
      </w:r>
      <w:r w:rsidR="008243CA">
        <w:t xml:space="preserve"> </w:t>
      </w:r>
      <w:r w:rsidRPr="00E62FE6">
        <w:t>modified</w:t>
      </w:r>
      <w:r w:rsidR="008243CA">
        <w:t xml:space="preserve"> </w:t>
      </w:r>
      <w:r w:rsidRPr="00E62FE6">
        <w:t>in</w:t>
      </w:r>
      <w:r w:rsidR="008243CA">
        <w:t xml:space="preserve"> </w:t>
      </w:r>
      <w:r w:rsidRPr="00E62FE6">
        <w:t>order</w:t>
      </w:r>
      <w:r w:rsidR="008243CA">
        <w:t xml:space="preserve"> </w:t>
      </w:r>
      <w:r w:rsidRPr="00E62FE6">
        <w:t>to</w:t>
      </w:r>
      <w:r w:rsidR="008243CA">
        <w:t xml:space="preserve"> </w:t>
      </w:r>
      <w:r w:rsidRPr="00E62FE6">
        <w:t>apply</w:t>
      </w:r>
      <w:r w:rsidR="008243CA">
        <w:t xml:space="preserve"> </w:t>
      </w:r>
      <w:r w:rsidRPr="00E62FE6">
        <w:t>the</w:t>
      </w:r>
      <w:r w:rsidR="008243CA">
        <w:t xml:space="preserve"> </w:t>
      </w:r>
      <w:r w:rsidRPr="00E62FE6">
        <w:t>principle</w:t>
      </w:r>
      <w:r w:rsidR="008243CA">
        <w:t xml:space="preserve"> </w:t>
      </w:r>
      <w:r w:rsidRPr="00E62FE6">
        <w:t>of</w:t>
      </w:r>
      <w:r w:rsidR="008243CA">
        <w:t xml:space="preserve"> </w:t>
      </w:r>
      <w:r w:rsidRPr="00E62FE6">
        <w:t>proportionality</w:t>
      </w:r>
      <w:r w:rsidR="008243CA">
        <w:t xml:space="preserve"> </w:t>
      </w:r>
      <w:r w:rsidRPr="00E62FE6">
        <w:t>and</w:t>
      </w:r>
      <w:r w:rsidR="008243CA">
        <w:t xml:space="preserve"> </w:t>
      </w:r>
      <w:r w:rsidRPr="00E62FE6">
        <w:t>restrict</w:t>
      </w:r>
      <w:r w:rsidR="008243CA">
        <w:t xml:space="preserve"> </w:t>
      </w:r>
      <w:r w:rsidRPr="00E62FE6">
        <w:t>the</w:t>
      </w:r>
      <w:r w:rsidR="008243CA">
        <w:t xml:space="preserve"> </w:t>
      </w:r>
      <w:r w:rsidRPr="00E62FE6">
        <w:t>use</w:t>
      </w:r>
      <w:r w:rsidR="008243CA">
        <w:t xml:space="preserve"> </w:t>
      </w:r>
      <w:r w:rsidRPr="00E62FE6">
        <w:t>of</w:t>
      </w:r>
      <w:r w:rsidR="008243CA">
        <w:t xml:space="preserve"> </w:t>
      </w:r>
      <w:r w:rsidRPr="00E62FE6">
        <w:t>solitary</w:t>
      </w:r>
      <w:r w:rsidR="008243CA">
        <w:t xml:space="preserve"> </w:t>
      </w:r>
      <w:r w:rsidRPr="00E62FE6">
        <w:t>confinement.</w:t>
      </w:r>
      <w:r w:rsidR="008243CA">
        <w:t xml:space="preserve"> </w:t>
      </w:r>
      <w:r w:rsidRPr="00E62FE6">
        <w:t>The</w:t>
      </w:r>
      <w:r w:rsidR="008243CA">
        <w:t xml:space="preserve"> </w:t>
      </w:r>
      <w:r w:rsidRPr="00E62FE6">
        <w:t>new</w:t>
      </w:r>
      <w:r w:rsidR="008243CA">
        <w:t xml:space="preserve"> </w:t>
      </w:r>
      <w:r w:rsidRPr="00E62FE6">
        <w:t>regulations</w:t>
      </w:r>
      <w:r w:rsidR="008243CA">
        <w:t xml:space="preserve"> </w:t>
      </w:r>
      <w:r w:rsidRPr="00E62FE6">
        <w:t>should</w:t>
      </w:r>
      <w:r w:rsidR="008243CA">
        <w:t xml:space="preserve"> </w:t>
      </w:r>
      <w:r w:rsidRPr="00E62FE6">
        <w:t>enter</w:t>
      </w:r>
      <w:r w:rsidR="008243CA">
        <w:t xml:space="preserve"> </w:t>
      </w:r>
      <w:r w:rsidRPr="00E62FE6">
        <w:t>into</w:t>
      </w:r>
      <w:r w:rsidR="008243CA">
        <w:t xml:space="preserve"> </w:t>
      </w:r>
      <w:r w:rsidRPr="00E62FE6">
        <w:t>force</w:t>
      </w:r>
      <w:r w:rsidR="008243CA">
        <w:t xml:space="preserve"> </w:t>
      </w:r>
      <w:r w:rsidRPr="00E62FE6">
        <w:t>during</w:t>
      </w:r>
      <w:r w:rsidR="008243CA">
        <w:t xml:space="preserve"> </w:t>
      </w:r>
      <w:r w:rsidRPr="00E62FE6">
        <w:t>the</w:t>
      </w:r>
      <w:r w:rsidR="008243CA">
        <w:t xml:space="preserve"> </w:t>
      </w:r>
      <w:r w:rsidRPr="00E62FE6">
        <w:t>first</w:t>
      </w:r>
      <w:r w:rsidR="008243CA">
        <w:t xml:space="preserve"> </w:t>
      </w:r>
      <w:r w:rsidRPr="00E62FE6">
        <w:t>half</w:t>
      </w:r>
      <w:r w:rsidR="008243CA">
        <w:t xml:space="preserve"> </w:t>
      </w:r>
      <w:r w:rsidRPr="00E62FE6">
        <w:t>of</w:t>
      </w:r>
      <w:r w:rsidR="008243CA">
        <w:t xml:space="preserve"> </w:t>
      </w:r>
      <w:r w:rsidRPr="00E62FE6">
        <w:t>2017.</w:t>
      </w:r>
    </w:p>
    <w:p w:rsidR="003F7D03" w:rsidRPr="00E62FE6" w:rsidRDefault="003F7D03" w:rsidP="000C6D98">
      <w:pPr>
        <w:pStyle w:val="SingleTxtG"/>
      </w:pPr>
      <w:r w:rsidRPr="00E62FE6">
        <w:t>42.</w:t>
      </w:r>
      <w:r w:rsidRPr="00E62FE6">
        <w:tab/>
        <w:t>The</w:t>
      </w:r>
      <w:r w:rsidR="008243CA">
        <w:t xml:space="preserve"> </w:t>
      </w:r>
      <w:r w:rsidRPr="00E62FE6">
        <w:t>Prison</w:t>
      </w:r>
      <w:r w:rsidR="008243CA">
        <w:t xml:space="preserve"> </w:t>
      </w:r>
      <w:r w:rsidRPr="00E62FE6">
        <w:t>Service</w:t>
      </w:r>
      <w:r w:rsidR="008243CA">
        <w:t xml:space="preserve"> </w:t>
      </w:r>
      <w:r w:rsidRPr="00E62FE6">
        <w:t>is</w:t>
      </w:r>
      <w:r w:rsidR="008243CA">
        <w:t xml:space="preserve"> </w:t>
      </w:r>
      <w:r w:rsidRPr="00E62FE6">
        <w:t>aware</w:t>
      </w:r>
      <w:r w:rsidR="008243CA">
        <w:t xml:space="preserve"> </w:t>
      </w:r>
      <w:r w:rsidRPr="00E62FE6">
        <w:t>of</w:t>
      </w:r>
      <w:r w:rsidR="008243CA">
        <w:t xml:space="preserve"> </w:t>
      </w:r>
      <w:r w:rsidRPr="00E62FE6">
        <w:t>the</w:t>
      </w:r>
      <w:r w:rsidR="008243CA">
        <w:t xml:space="preserve"> </w:t>
      </w:r>
      <w:r w:rsidRPr="00E62FE6">
        <w:t>importance</w:t>
      </w:r>
      <w:r w:rsidR="008243CA">
        <w:t xml:space="preserve"> </w:t>
      </w:r>
      <w:r w:rsidRPr="00E62FE6">
        <w:t>of</w:t>
      </w:r>
      <w:r w:rsidR="008243CA">
        <w:t xml:space="preserve"> </w:t>
      </w:r>
      <w:r w:rsidRPr="00E62FE6">
        <w:t>preserving</w:t>
      </w:r>
      <w:r w:rsidR="008243CA">
        <w:t xml:space="preserve"> </w:t>
      </w:r>
      <w:r w:rsidRPr="00E62FE6">
        <w:t>the</w:t>
      </w:r>
      <w:r w:rsidR="008243CA">
        <w:t xml:space="preserve"> </w:t>
      </w:r>
      <w:r w:rsidRPr="00E62FE6">
        <w:t>bond</w:t>
      </w:r>
      <w:r w:rsidR="008243CA">
        <w:t xml:space="preserve"> </w:t>
      </w:r>
      <w:r w:rsidRPr="00E62FE6">
        <w:t>between</w:t>
      </w:r>
      <w:r w:rsidR="008243CA">
        <w:t xml:space="preserve"> </w:t>
      </w:r>
      <w:r w:rsidRPr="00E62FE6">
        <w:t>mothers</w:t>
      </w:r>
      <w:r w:rsidR="008243CA">
        <w:t xml:space="preserve"> </w:t>
      </w:r>
      <w:r w:rsidRPr="00E62FE6">
        <w:t>deprived</w:t>
      </w:r>
      <w:r w:rsidR="008243CA">
        <w:t xml:space="preserve"> </w:t>
      </w:r>
      <w:r w:rsidRPr="00E62FE6">
        <w:t>of</w:t>
      </w:r>
      <w:r w:rsidR="008243CA">
        <w:t xml:space="preserve"> </w:t>
      </w:r>
      <w:r w:rsidRPr="00E62FE6">
        <w:t>liberty</w:t>
      </w:r>
      <w:r w:rsidR="008243CA">
        <w:t xml:space="preserve"> </w:t>
      </w:r>
      <w:r w:rsidRPr="00E62FE6">
        <w:t>and</w:t>
      </w:r>
      <w:r w:rsidR="008243CA">
        <w:t xml:space="preserve"> </w:t>
      </w:r>
      <w:r w:rsidRPr="00E62FE6">
        <w:t>their</w:t>
      </w:r>
      <w:r w:rsidR="008243CA">
        <w:t xml:space="preserve"> </w:t>
      </w:r>
      <w:r w:rsidRPr="00E62FE6">
        <w:t>children,</w:t>
      </w:r>
      <w:r w:rsidR="008243CA">
        <w:t xml:space="preserve"> </w:t>
      </w:r>
      <w:r w:rsidRPr="00E62FE6">
        <w:t>and</w:t>
      </w:r>
      <w:r w:rsidR="008243CA">
        <w:t xml:space="preserve"> </w:t>
      </w:r>
      <w:r w:rsidRPr="00E62FE6">
        <w:t>the</w:t>
      </w:r>
      <w:r w:rsidR="008243CA">
        <w:t xml:space="preserve"> </w:t>
      </w:r>
      <w:r w:rsidRPr="00E62FE6">
        <w:t>Procedures</w:t>
      </w:r>
      <w:r w:rsidR="008243CA">
        <w:t xml:space="preserve"> </w:t>
      </w:r>
      <w:r w:rsidRPr="00E62FE6">
        <w:t>Unit</w:t>
      </w:r>
      <w:r w:rsidR="008243CA">
        <w:t xml:space="preserve"> </w:t>
      </w:r>
      <w:r w:rsidRPr="00E62FE6">
        <w:t>of</w:t>
      </w:r>
      <w:r w:rsidR="008243CA">
        <w:t xml:space="preserve"> </w:t>
      </w:r>
      <w:r w:rsidRPr="00E62FE6">
        <w:t>its</w:t>
      </w:r>
      <w:r w:rsidR="008243CA">
        <w:t xml:space="preserve"> </w:t>
      </w:r>
      <w:r w:rsidRPr="00E62FE6">
        <w:t>Operations</w:t>
      </w:r>
      <w:r w:rsidR="008243CA">
        <w:t xml:space="preserve"> </w:t>
      </w:r>
      <w:proofErr w:type="spellStart"/>
      <w:r w:rsidRPr="00E62FE6">
        <w:t>Subdirectorate</w:t>
      </w:r>
      <w:proofErr w:type="spellEnd"/>
      <w:r w:rsidR="008243CA">
        <w:t xml:space="preserve"> </w:t>
      </w:r>
      <w:r w:rsidRPr="00E62FE6">
        <w:t>is</w:t>
      </w:r>
      <w:r w:rsidR="008243CA">
        <w:t xml:space="preserve"> </w:t>
      </w:r>
      <w:r w:rsidRPr="00E62FE6">
        <w:t>therefore</w:t>
      </w:r>
      <w:r w:rsidR="008243CA">
        <w:t xml:space="preserve"> </w:t>
      </w:r>
      <w:r w:rsidRPr="00E62FE6">
        <w:t>working</w:t>
      </w:r>
      <w:r w:rsidR="008243CA">
        <w:t xml:space="preserve"> </w:t>
      </w:r>
      <w:r w:rsidRPr="00E62FE6">
        <w:t>on</w:t>
      </w:r>
      <w:r w:rsidR="008243CA">
        <w:t xml:space="preserve"> </w:t>
      </w:r>
      <w:r w:rsidRPr="00E62FE6">
        <w:t>a</w:t>
      </w:r>
      <w:r w:rsidR="008243CA">
        <w:t xml:space="preserve"> </w:t>
      </w:r>
      <w:r w:rsidRPr="00E62FE6">
        <w:t>comprehensive</w:t>
      </w:r>
      <w:r w:rsidR="008243CA">
        <w:t xml:space="preserve"> </w:t>
      </w:r>
      <w:r w:rsidRPr="00E62FE6">
        <w:t>proposal</w:t>
      </w:r>
      <w:r w:rsidR="008243CA">
        <w:t xml:space="preserve"> </w:t>
      </w:r>
      <w:r w:rsidRPr="00E62FE6">
        <w:t>to</w:t>
      </w:r>
      <w:r w:rsidR="008243CA">
        <w:t xml:space="preserve"> </w:t>
      </w:r>
      <w:r w:rsidRPr="00E62FE6">
        <w:t>bring</w:t>
      </w:r>
      <w:r w:rsidR="008243CA">
        <w:t xml:space="preserve"> </w:t>
      </w:r>
      <w:r w:rsidRPr="00E62FE6">
        <w:t>internal</w:t>
      </w:r>
      <w:r w:rsidR="008243CA">
        <w:t xml:space="preserve"> </w:t>
      </w:r>
      <w:r w:rsidRPr="00E62FE6">
        <w:t>protocols</w:t>
      </w:r>
      <w:r w:rsidR="008243CA">
        <w:t xml:space="preserve"> </w:t>
      </w:r>
      <w:r w:rsidRPr="00E62FE6">
        <w:t>and</w:t>
      </w:r>
      <w:r w:rsidR="008243CA">
        <w:t xml:space="preserve"> </w:t>
      </w:r>
      <w:r w:rsidRPr="00E62FE6">
        <w:t>regulations</w:t>
      </w:r>
      <w:r w:rsidR="008243CA">
        <w:t xml:space="preserve"> </w:t>
      </w:r>
      <w:r w:rsidRPr="00E62FE6">
        <w:t>into</w:t>
      </w:r>
      <w:r w:rsidR="008243CA">
        <w:t xml:space="preserve"> </w:t>
      </w:r>
      <w:r w:rsidRPr="00E62FE6">
        <w:t>line</w:t>
      </w:r>
      <w:r w:rsidR="008243CA">
        <w:t xml:space="preserve"> </w:t>
      </w:r>
      <w:r w:rsidRPr="00E62FE6">
        <w:t>with</w:t>
      </w:r>
      <w:r w:rsidR="008243CA">
        <w:t xml:space="preserve"> </w:t>
      </w:r>
      <w:r w:rsidRPr="00E62FE6">
        <w:t>human</w:t>
      </w:r>
      <w:r w:rsidR="008243CA">
        <w:t xml:space="preserve"> </w:t>
      </w:r>
      <w:r w:rsidRPr="00E62FE6">
        <w:t>rights</w:t>
      </w:r>
      <w:r w:rsidR="008243CA">
        <w:t xml:space="preserve"> </w:t>
      </w:r>
      <w:r w:rsidRPr="00E62FE6">
        <w:t>standards</w:t>
      </w:r>
      <w:r w:rsidR="008243CA">
        <w:t xml:space="preserve"> </w:t>
      </w:r>
      <w:r w:rsidRPr="00E62FE6">
        <w:t>by</w:t>
      </w:r>
      <w:r w:rsidR="008243CA">
        <w:t xml:space="preserve"> </w:t>
      </w:r>
      <w:r w:rsidRPr="00E62FE6">
        <w:t>ensuring</w:t>
      </w:r>
      <w:r w:rsidR="008243CA">
        <w:t xml:space="preserve"> </w:t>
      </w:r>
      <w:r w:rsidRPr="00E62FE6">
        <w:t>that</w:t>
      </w:r>
      <w:r w:rsidR="008243CA">
        <w:t xml:space="preserve"> </w:t>
      </w:r>
      <w:r w:rsidRPr="00E62FE6">
        <w:t>detainees</w:t>
      </w:r>
      <w:r w:rsidR="008243CA">
        <w:t xml:space="preserve"> </w:t>
      </w:r>
      <w:r w:rsidRPr="00E62FE6">
        <w:t>cannot</w:t>
      </w:r>
      <w:r w:rsidR="008243CA">
        <w:t xml:space="preserve"> </w:t>
      </w:r>
      <w:r w:rsidRPr="00E62FE6">
        <w:t>be</w:t>
      </w:r>
      <w:r w:rsidR="008243CA">
        <w:t xml:space="preserve"> </w:t>
      </w:r>
      <w:r w:rsidRPr="00E62FE6">
        <w:t>deprived</w:t>
      </w:r>
      <w:r w:rsidR="008243CA">
        <w:t xml:space="preserve"> </w:t>
      </w:r>
      <w:r w:rsidRPr="00E62FE6">
        <w:t>of</w:t>
      </w:r>
      <w:r w:rsidR="008243CA">
        <w:t xml:space="preserve"> </w:t>
      </w:r>
      <w:r w:rsidRPr="00E62FE6">
        <w:t>contact</w:t>
      </w:r>
      <w:r w:rsidR="008243CA">
        <w:t xml:space="preserve"> </w:t>
      </w:r>
      <w:r w:rsidRPr="00E62FE6">
        <w:t>with</w:t>
      </w:r>
      <w:r w:rsidR="008243CA">
        <w:t xml:space="preserve"> </w:t>
      </w:r>
      <w:r w:rsidRPr="00E62FE6">
        <w:t>their</w:t>
      </w:r>
      <w:r w:rsidR="008243CA">
        <w:t xml:space="preserve"> </w:t>
      </w:r>
      <w:r w:rsidRPr="00E62FE6">
        <w:t>families</w:t>
      </w:r>
      <w:r w:rsidR="008243CA">
        <w:t xml:space="preserve"> </w:t>
      </w:r>
      <w:r w:rsidRPr="00E62FE6">
        <w:t>as</w:t>
      </w:r>
      <w:r w:rsidR="008243CA">
        <w:t xml:space="preserve"> </w:t>
      </w:r>
      <w:r w:rsidRPr="00E62FE6">
        <w:t>a</w:t>
      </w:r>
      <w:r w:rsidR="008243CA">
        <w:t xml:space="preserve"> </w:t>
      </w:r>
      <w:r w:rsidRPr="00E62FE6">
        <w:t>disciplinary</w:t>
      </w:r>
      <w:r w:rsidR="008243CA">
        <w:t xml:space="preserve"> </w:t>
      </w:r>
      <w:r w:rsidRPr="00E62FE6">
        <w:t>sanction.</w:t>
      </w:r>
      <w:r w:rsidR="008243CA">
        <w:t xml:space="preserve"> </w:t>
      </w:r>
      <w:r w:rsidRPr="00E62FE6">
        <w:t>In</w:t>
      </w:r>
      <w:r w:rsidR="008243CA">
        <w:t xml:space="preserve"> </w:t>
      </w:r>
      <w:r w:rsidRPr="00E62FE6">
        <w:t>this</w:t>
      </w:r>
      <w:r w:rsidR="008243CA">
        <w:t xml:space="preserve"> </w:t>
      </w:r>
      <w:r w:rsidRPr="00E62FE6">
        <w:t>regard,</w:t>
      </w:r>
      <w:r w:rsidR="008243CA">
        <w:t xml:space="preserve"> </w:t>
      </w:r>
      <w:r w:rsidRPr="00E62FE6">
        <w:t>the</w:t>
      </w:r>
      <w:r w:rsidR="008243CA">
        <w:t xml:space="preserve"> </w:t>
      </w:r>
      <w:r w:rsidRPr="00E62FE6">
        <w:t>heads</w:t>
      </w:r>
      <w:r w:rsidR="008243CA">
        <w:t xml:space="preserve"> </w:t>
      </w:r>
      <w:r w:rsidRPr="00E62FE6">
        <w:t>of</w:t>
      </w:r>
      <w:r w:rsidR="008243CA">
        <w:t xml:space="preserve"> </w:t>
      </w:r>
      <w:r w:rsidRPr="00E62FE6">
        <w:t>unit</w:t>
      </w:r>
      <w:r w:rsidR="008243CA">
        <w:t xml:space="preserve"> </w:t>
      </w:r>
      <w:r w:rsidRPr="00E62FE6">
        <w:t>of</w:t>
      </w:r>
      <w:r w:rsidR="008243CA">
        <w:t xml:space="preserve"> </w:t>
      </w:r>
      <w:r w:rsidRPr="00E62FE6">
        <w:t>the</w:t>
      </w:r>
      <w:r w:rsidR="008243CA">
        <w:t xml:space="preserve"> </w:t>
      </w:r>
      <w:r w:rsidRPr="00E62FE6">
        <w:t>custodial</w:t>
      </w:r>
      <w:r w:rsidR="008243CA">
        <w:t xml:space="preserve"> </w:t>
      </w:r>
      <w:r w:rsidRPr="00E62FE6">
        <w:t>subsystem</w:t>
      </w:r>
      <w:r w:rsidR="008243CA">
        <w:t xml:space="preserve"> </w:t>
      </w:r>
      <w:r w:rsidRPr="00E62FE6">
        <w:t>will</w:t>
      </w:r>
      <w:r w:rsidR="008243CA">
        <w:t xml:space="preserve"> </w:t>
      </w:r>
      <w:r w:rsidRPr="00E62FE6">
        <w:t>have</w:t>
      </w:r>
      <w:r w:rsidR="008243CA">
        <w:t xml:space="preserve"> </w:t>
      </w:r>
      <w:r w:rsidRPr="00E62FE6">
        <w:t>a</w:t>
      </w:r>
      <w:r w:rsidR="008243CA">
        <w:t xml:space="preserve"> </w:t>
      </w:r>
      <w:r w:rsidRPr="00E62FE6">
        <w:t>limited</w:t>
      </w:r>
      <w:r w:rsidR="008243CA">
        <w:t xml:space="preserve"> </w:t>
      </w:r>
      <w:r w:rsidRPr="00E62FE6">
        <w:t>framework</w:t>
      </w:r>
      <w:r w:rsidR="008243CA">
        <w:t xml:space="preserve"> </w:t>
      </w:r>
      <w:r w:rsidRPr="00E62FE6">
        <w:t>for</w:t>
      </w:r>
      <w:r w:rsidR="008243CA">
        <w:t xml:space="preserve"> </w:t>
      </w:r>
      <w:r w:rsidRPr="00E62FE6">
        <w:t>action</w:t>
      </w:r>
      <w:r w:rsidR="008243CA">
        <w:t xml:space="preserve"> </w:t>
      </w:r>
      <w:r w:rsidRPr="00E62FE6">
        <w:t>when</w:t>
      </w:r>
      <w:r w:rsidR="008243CA">
        <w:t xml:space="preserve"> </w:t>
      </w:r>
      <w:r w:rsidRPr="00E62FE6">
        <w:t>punishing</w:t>
      </w:r>
      <w:r w:rsidR="008243CA">
        <w:t xml:space="preserve"> </w:t>
      </w:r>
      <w:r w:rsidRPr="00E62FE6">
        <w:t>breaches</w:t>
      </w:r>
      <w:r w:rsidR="008243CA">
        <w:t xml:space="preserve"> </w:t>
      </w:r>
      <w:r w:rsidRPr="00E62FE6">
        <w:t>of</w:t>
      </w:r>
      <w:r w:rsidR="008243CA">
        <w:t xml:space="preserve"> </w:t>
      </w:r>
      <w:r w:rsidRPr="00E62FE6">
        <w:t>internal</w:t>
      </w:r>
      <w:r w:rsidR="008243CA">
        <w:t xml:space="preserve"> </w:t>
      </w:r>
      <w:r w:rsidRPr="00E62FE6">
        <w:t>regulations;</w:t>
      </w:r>
      <w:r w:rsidR="008243CA">
        <w:t xml:space="preserve"> </w:t>
      </w:r>
      <w:r w:rsidRPr="00E62FE6">
        <w:t>this</w:t>
      </w:r>
      <w:r w:rsidR="008243CA">
        <w:t xml:space="preserve"> </w:t>
      </w:r>
      <w:r w:rsidRPr="00E62FE6">
        <w:t>framework</w:t>
      </w:r>
      <w:r w:rsidR="008243CA">
        <w:t xml:space="preserve"> </w:t>
      </w:r>
      <w:r w:rsidRPr="00E62FE6">
        <w:t>will</w:t>
      </w:r>
      <w:r w:rsidR="008243CA">
        <w:t xml:space="preserve"> </w:t>
      </w:r>
      <w:r w:rsidRPr="00E62FE6">
        <w:t>also</w:t>
      </w:r>
      <w:r w:rsidR="008243CA">
        <w:t xml:space="preserve"> </w:t>
      </w:r>
      <w:r w:rsidRPr="00E62FE6">
        <w:t>be</w:t>
      </w:r>
      <w:r w:rsidR="008243CA">
        <w:t xml:space="preserve"> </w:t>
      </w:r>
      <w:r w:rsidRPr="00E62FE6">
        <w:t>applied</w:t>
      </w:r>
      <w:r w:rsidR="008243CA">
        <w:t xml:space="preserve"> </w:t>
      </w:r>
      <w:r w:rsidRPr="00E62FE6">
        <w:t>in</w:t>
      </w:r>
      <w:r w:rsidR="008243CA">
        <w:t xml:space="preserve"> </w:t>
      </w:r>
      <w:r w:rsidRPr="00E62FE6">
        <w:t>the</w:t>
      </w:r>
      <w:r w:rsidR="008243CA">
        <w:t xml:space="preserve"> </w:t>
      </w:r>
      <w:r w:rsidRPr="00E62FE6">
        <w:t>regulations</w:t>
      </w:r>
      <w:r w:rsidR="008243CA">
        <w:t xml:space="preserve"> </w:t>
      </w:r>
      <w:r w:rsidRPr="00E62FE6">
        <w:t>for</w:t>
      </w:r>
      <w:r w:rsidR="008243CA">
        <w:t xml:space="preserve"> </w:t>
      </w:r>
      <w:r w:rsidRPr="00E62FE6">
        <w:t>visits</w:t>
      </w:r>
      <w:r w:rsidR="008243CA">
        <w:t xml:space="preserve"> </w:t>
      </w:r>
      <w:r w:rsidRPr="00E62FE6">
        <w:t>to</w:t>
      </w:r>
      <w:r w:rsidR="008243CA">
        <w:t xml:space="preserve"> </w:t>
      </w:r>
      <w:r w:rsidRPr="00E62FE6">
        <w:t>persons</w:t>
      </w:r>
      <w:r w:rsidR="008243CA">
        <w:t xml:space="preserve"> </w:t>
      </w:r>
      <w:r w:rsidRPr="00E62FE6">
        <w:t>deprived</w:t>
      </w:r>
      <w:r w:rsidR="008243CA">
        <w:t xml:space="preserve"> </w:t>
      </w:r>
      <w:r w:rsidRPr="00E62FE6">
        <w:t>of</w:t>
      </w:r>
      <w:r w:rsidR="008243CA">
        <w:t xml:space="preserve"> </w:t>
      </w:r>
      <w:r w:rsidRPr="00E62FE6">
        <w:t>their</w:t>
      </w:r>
      <w:r w:rsidR="008243CA">
        <w:t xml:space="preserve"> </w:t>
      </w:r>
      <w:r w:rsidRPr="00E62FE6">
        <w:t>liberty,</w:t>
      </w:r>
      <w:r w:rsidR="008243CA">
        <w:t xml:space="preserve"> </w:t>
      </w:r>
      <w:r w:rsidRPr="00E62FE6">
        <w:t>which</w:t>
      </w:r>
      <w:r w:rsidR="008243CA">
        <w:t xml:space="preserve"> </w:t>
      </w:r>
      <w:r w:rsidRPr="00E62FE6">
        <w:t>will</w:t>
      </w:r>
      <w:r w:rsidR="008243CA">
        <w:t xml:space="preserve"> </w:t>
      </w:r>
      <w:r w:rsidRPr="00E62FE6">
        <w:t>be</w:t>
      </w:r>
      <w:r w:rsidR="008243CA">
        <w:t xml:space="preserve"> </w:t>
      </w:r>
      <w:r w:rsidRPr="00E62FE6">
        <w:t>finalized</w:t>
      </w:r>
      <w:r w:rsidR="008243CA">
        <w:t xml:space="preserve"> </w:t>
      </w:r>
      <w:r w:rsidRPr="00E62FE6">
        <w:t>in</w:t>
      </w:r>
      <w:r w:rsidR="008243CA">
        <w:t xml:space="preserve"> </w:t>
      </w:r>
      <w:r w:rsidRPr="00E62FE6">
        <w:t>July</w:t>
      </w:r>
      <w:r w:rsidR="008243CA">
        <w:t xml:space="preserve"> </w:t>
      </w:r>
      <w:r w:rsidRPr="00E62FE6">
        <w:t>2017.</w:t>
      </w:r>
    </w:p>
    <w:p w:rsidR="003F7D03" w:rsidRPr="00E62FE6" w:rsidRDefault="003F7D03" w:rsidP="000C6D98">
      <w:pPr>
        <w:pStyle w:val="SingleTxtG"/>
      </w:pPr>
      <w:r w:rsidRPr="00E62FE6">
        <w:t>43.</w:t>
      </w:r>
      <w:r w:rsidRPr="00E62FE6">
        <w:tab/>
        <w:t>Meanwhile,</w:t>
      </w:r>
      <w:r w:rsidR="008243CA">
        <w:t xml:space="preserve"> </w:t>
      </w:r>
      <w:r w:rsidRPr="00E62FE6">
        <w:t>SENAME</w:t>
      </w:r>
      <w:r w:rsidR="008243CA">
        <w:t xml:space="preserve"> </w:t>
      </w:r>
      <w:r w:rsidRPr="00E62FE6">
        <w:t>has</w:t>
      </w:r>
      <w:r w:rsidR="008243CA">
        <w:t xml:space="preserve"> </w:t>
      </w:r>
      <w:r w:rsidRPr="00E62FE6">
        <w:t>acknowledged</w:t>
      </w:r>
      <w:r w:rsidR="008243CA">
        <w:t xml:space="preserve"> </w:t>
      </w:r>
      <w:r w:rsidRPr="00E62FE6">
        <w:t>the</w:t>
      </w:r>
      <w:r w:rsidR="008243CA">
        <w:t xml:space="preserve"> </w:t>
      </w:r>
      <w:r w:rsidRPr="00E62FE6">
        <w:t>importance</w:t>
      </w:r>
      <w:r w:rsidR="008243CA">
        <w:t xml:space="preserve"> </w:t>
      </w:r>
      <w:r w:rsidRPr="00E62FE6">
        <w:t>of</w:t>
      </w:r>
      <w:r w:rsidR="008243CA">
        <w:t xml:space="preserve"> </w:t>
      </w:r>
      <w:r w:rsidRPr="00E62FE6">
        <w:t>strengthening</w:t>
      </w:r>
      <w:r w:rsidR="008243CA">
        <w:t xml:space="preserve"> </w:t>
      </w:r>
      <w:r w:rsidRPr="00E62FE6">
        <w:t>the</w:t>
      </w:r>
      <w:r w:rsidR="008243CA">
        <w:t xml:space="preserve"> </w:t>
      </w:r>
      <w:r w:rsidRPr="00E62FE6">
        <w:t>emotional</w:t>
      </w:r>
      <w:r w:rsidR="008243CA">
        <w:t xml:space="preserve"> </w:t>
      </w:r>
      <w:r w:rsidRPr="00E62FE6">
        <w:t>ties</w:t>
      </w:r>
      <w:r w:rsidR="008243CA">
        <w:t xml:space="preserve"> </w:t>
      </w:r>
      <w:r w:rsidRPr="00E62FE6">
        <w:t>between</w:t>
      </w:r>
      <w:r w:rsidR="008243CA">
        <w:t xml:space="preserve"> </w:t>
      </w:r>
      <w:r w:rsidRPr="00E62FE6">
        <w:t>teenage</w:t>
      </w:r>
      <w:r w:rsidR="008243CA">
        <w:t xml:space="preserve"> </w:t>
      </w:r>
      <w:r w:rsidRPr="00E62FE6">
        <w:t>mothers</w:t>
      </w:r>
      <w:r w:rsidR="008243CA">
        <w:t xml:space="preserve"> </w:t>
      </w:r>
      <w:r w:rsidRPr="00E62FE6">
        <w:t>and</w:t>
      </w:r>
      <w:r w:rsidR="008243CA">
        <w:t xml:space="preserve"> </w:t>
      </w:r>
      <w:r w:rsidRPr="00E62FE6">
        <w:t>their</w:t>
      </w:r>
      <w:r w:rsidR="008243CA">
        <w:t xml:space="preserve"> </w:t>
      </w:r>
      <w:r w:rsidRPr="00E62FE6">
        <w:t>children</w:t>
      </w:r>
      <w:r w:rsidR="008243CA">
        <w:t xml:space="preserve"> </w:t>
      </w:r>
      <w:r w:rsidRPr="00E62FE6">
        <w:t>and</w:t>
      </w:r>
      <w:r w:rsidR="008243CA">
        <w:t xml:space="preserve"> </w:t>
      </w:r>
      <w:r w:rsidRPr="00E62FE6">
        <w:t>introduced</w:t>
      </w:r>
      <w:r w:rsidR="008243CA">
        <w:t xml:space="preserve"> </w:t>
      </w:r>
      <w:r w:rsidRPr="00E62FE6">
        <w:t>regulations</w:t>
      </w:r>
      <w:r w:rsidR="008243CA">
        <w:t xml:space="preserve"> </w:t>
      </w:r>
      <w:r w:rsidRPr="00E62FE6">
        <w:t>to</w:t>
      </w:r>
      <w:r w:rsidR="008243CA">
        <w:t xml:space="preserve"> </w:t>
      </w:r>
      <w:r w:rsidRPr="00E62FE6">
        <w:t>that</w:t>
      </w:r>
      <w:r w:rsidR="008243CA">
        <w:t xml:space="preserve"> </w:t>
      </w:r>
      <w:r w:rsidRPr="00E62FE6">
        <w:t>end</w:t>
      </w:r>
      <w:r w:rsidR="008243CA">
        <w:t xml:space="preserve"> </w:t>
      </w:r>
      <w:r w:rsidRPr="00E62FE6">
        <w:t>in</w:t>
      </w:r>
      <w:r w:rsidR="008243CA">
        <w:t xml:space="preserve"> </w:t>
      </w:r>
      <w:r w:rsidRPr="00E62FE6">
        <w:t>2007</w:t>
      </w:r>
      <w:r w:rsidR="008243CA">
        <w:t xml:space="preserve"> </w:t>
      </w:r>
      <w:r w:rsidRPr="00E62FE6">
        <w:t>which</w:t>
      </w:r>
      <w:r w:rsidR="008243CA">
        <w:t xml:space="preserve"> </w:t>
      </w:r>
      <w:r w:rsidRPr="00E62FE6">
        <w:t>remain</w:t>
      </w:r>
      <w:r w:rsidR="008243CA">
        <w:t xml:space="preserve"> </w:t>
      </w:r>
      <w:r w:rsidRPr="00E62FE6">
        <w:t>fully</w:t>
      </w:r>
      <w:r w:rsidR="008243CA">
        <w:t xml:space="preserve"> </w:t>
      </w:r>
      <w:r w:rsidRPr="00E62FE6">
        <w:t>in</w:t>
      </w:r>
      <w:r w:rsidR="008243CA">
        <w:t xml:space="preserve"> </w:t>
      </w:r>
      <w:r w:rsidRPr="00E62FE6">
        <w:t>force</w:t>
      </w:r>
      <w:r w:rsidR="008243CA">
        <w:t xml:space="preserve"> </w:t>
      </w:r>
      <w:r w:rsidRPr="00E62FE6">
        <w:t>today.</w:t>
      </w:r>
      <w:r w:rsidR="008243CA">
        <w:t xml:space="preserve"> </w:t>
      </w:r>
      <w:r w:rsidRPr="00E62FE6">
        <w:t>Under</w:t>
      </w:r>
      <w:r w:rsidR="008243CA">
        <w:t xml:space="preserve"> </w:t>
      </w:r>
      <w:r w:rsidRPr="00E62FE6">
        <w:t>these</w:t>
      </w:r>
      <w:r w:rsidR="008243CA">
        <w:t xml:space="preserve"> </w:t>
      </w:r>
      <w:r w:rsidRPr="00E62FE6">
        <w:t>regulations,</w:t>
      </w:r>
      <w:r w:rsidR="008243CA">
        <w:t xml:space="preserve"> </w:t>
      </w:r>
      <w:r w:rsidRPr="00E62FE6">
        <w:t>adolescents</w:t>
      </w:r>
      <w:r w:rsidR="008243CA">
        <w:t xml:space="preserve"> </w:t>
      </w:r>
      <w:r w:rsidRPr="00E62FE6">
        <w:t>in</w:t>
      </w:r>
      <w:r w:rsidR="008243CA">
        <w:t xml:space="preserve"> </w:t>
      </w:r>
      <w:r w:rsidRPr="00E62FE6">
        <w:t>the</w:t>
      </w:r>
      <w:r w:rsidR="008243CA">
        <w:t xml:space="preserve"> </w:t>
      </w:r>
      <w:r w:rsidRPr="00E62FE6">
        <w:t>criminal</w:t>
      </w:r>
      <w:r w:rsidR="008243CA">
        <w:t xml:space="preserve"> </w:t>
      </w:r>
      <w:r w:rsidRPr="00E62FE6">
        <w:t>justice</w:t>
      </w:r>
      <w:r w:rsidR="008243CA">
        <w:t xml:space="preserve"> </w:t>
      </w:r>
      <w:r w:rsidRPr="00E62FE6">
        <w:t>system</w:t>
      </w:r>
      <w:r w:rsidRPr="00116F0B">
        <w:rPr>
          <w:rStyle w:val="FootnoteReference"/>
        </w:rPr>
        <w:footnoteReference w:id="24"/>
      </w:r>
      <w:r w:rsidR="008243CA">
        <w:t xml:space="preserve"> </w:t>
      </w:r>
      <w:r w:rsidRPr="00E62FE6">
        <w:t>cannot</w:t>
      </w:r>
      <w:r w:rsidR="008243CA">
        <w:t xml:space="preserve"> </w:t>
      </w:r>
      <w:r w:rsidRPr="00E62FE6">
        <w:t>be</w:t>
      </w:r>
      <w:r w:rsidR="008243CA">
        <w:t xml:space="preserve"> </w:t>
      </w:r>
      <w:r w:rsidRPr="00E62FE6">
        <w:t>deprived</w:t>
      </w:r>
      <w:r w:rsidR="008243CA">
        <w:t xml:space="preserve"> </w:t>
      </w:r>
      <w:r w:rsidRPr="00E62FE6">
        <w:t>of</w:t>
      </w:r>
      <w:r w:rsidR="008243CA">
        <w:t xml:space="preserve"> </w:t>
      </w:r>
      <w:r w:rsidRPr="00E62FE6">
        <w:t>family</w:t>
      </w:r>
      <w:r w:rsidR="008243CA">
        <w:t xml:space="preserve"> </w:t>
      </w:r>
      <w:r w:rsidRPr="00E62FE6">
        <w:t>contact</w:t>
      </w:r>
      <w:r w:rsidR="008243CA">
        <w:t xml:space="preserve"> </w:t>
      </w:r>
      <w:r w:rsidRPr="00E62FE6">
        <w:t>and,</w:t>
      </w:r>
      <w:r w:rsidR="008243CA">
        <w:t xml:space="preserve"> </w:t>
      </w:r>
      <w:r w:rsidRPr="00E62FE6">
        <w:t>more</w:t>
      </w:r>
      <w:r w:rsidR="008243CA">
        <w:t xml:space="preserve"> </w:t>
      </w:r>
      <w:r w:rsidRPr="00E62FE6">
        <w:t>specifically,</w:t>
      </w:r>
      <w:r w:rsidR="008243CA">
        <w:t xml:space="preserve"> </w:t>
      </w:r>
      <w:r w:rsidRPr="00E62FE6">
        <w:t>teenage</w:t>
      </w:r>
      <w:r w:rsidR="008243CA">
        <w:t xml:space="preserve"> </w:t>
      </w:r>
      <w:r w:rsidRPr="00E62FE6">
        <w:t>parents</w:t>
      </w:r>
      <w:r w:rsidR="008243CA">
        <w:t xml:space="preserve"> </w:t>
      </w:r>
      <w:r w:rsidRPr="00E62FE6">
        <w:t>whose</w:t>
      </w:r>
      <w:r w:rsidR="008243CA">
        <w:t xml:space="preserve"> </w:t>
      </w:r>
      <w:r w:rsidRPr="00E62FE6">
        <w:t>children</w:t>
      </w:r>
      <w:r w:rsidR="008243CA">
        <w:t xml:space="preserve"> </w:t>
      </w:r>
      <w:r w:rsidRPr="00E62FE6">
        <w:t>are</w:t>
      </w:r>
      <w:r w:rsidR="008243CA">
        <w:t xml:space="preserve"> </w:t>
      </w:r>
      <w:r w:rsidRPr="00E62FE6">
        <w:t>not</w:t>
      </w:r>
      <w:r w:rsidR="008243CA">
        <w:t xml:space="preserve"> </w:t>
      </w:r>
      <w:r w:rsidRPr="00E62FE6">
        <w:t>with</w:t>
      </w:r>
      <w:r w:rsidR="008243CA">
        <w:t xml:space="preserve"> </w:t>
      </w:r>
      <w:r w:rsidRPr="00E62FE6">
        <w:t>them</w:t>
      </w:r>
      <w:r w:rsidR="008243CA">
        <w:t xml:space="preserve"> </w:t>
      </w:r>
      <w:r w:rsidRPr="00E62FE6">
        <w:t>are</w:t>
      </w:r>
      <w:r w:rsidR="008243CA">
        <w:t xml:space="preserve"> </w:t>
      </w:r>
      <w:r w:rsidRPr="00E62FE6">
        <w:t>entitled</w:t>
      </w:r>
      <w:r w:rsidR="008243CA">
        <w:t xml:space="preserve"> </w:t>
      </w:r>
      <w:r w:rsidRPr="00E62FE6">
        <w:t>to</w:t>
      </w:r>
      <w:r w:rsidR="008243CA">
        <w:t xml:space="preserve"> </w:t>
      </w:r>
      <w:r w:rsidRPr="00E62FE6">
        <w:t>receive</w:t>
      </w:r>
      <w:r w:rsidR="008243CA">
        <w:t xml:space="preserve"> </w:t>
      </w:r>
      <w:r w:rsidRPr="00E62FE6">
        <w:t>daily</w:t>
      </w:r>
      <w:r w:rsidR="008243CA">
        <w:t xml:space="preserve"> </w:t>
      </w:r>
      <w:r w:rsidRPr="00E62FE6">
        <w:t>visits</w:t>
      </w:r>
      <w:r w:rsidR="008243CA">
        <w:t xml:space="preserve"> </w:t>
      </w:r>
      <w:r w:rsidRPr="00E62FE6">
        <w:t>from</w:t>
      </w:r>
      <w:r w:rsidR="008243CA">
        <w:t xml:space="preserve"> </w:t>
      </w:r>
      <w:r w:rsidRPr="00E62FE6">
        <w:t>them.</w:t>
      </w:r>
      <w:r w:rsidRPr="00116F0B">
        <w:rPr>
          <w:rStyle w:val="FootnoteReference"/>
        </w:rPr>
        <w:footnoteReference w:id="25"/>
      </w:r>
    </w:p>
    <w:p w:rsidR="003F7D03" w:rsidRPr="00E62FE6" w:rsidRDefault="003F7D03" w:rsidP="000C6D98">
      <w:pPr>
        <w:pStyle w:val="SingleTxtG"/>
      </w:pPr>
      <w:r w:rsidRPr="00E62FE6">
        <w:t>44.</w:t>
      </w:r>
      <w:r w:rsidRPr="00E62FE6">
        <w:tab/>
        <w:t>Under</w:t>
      </w:r>
      <w:r w:rsidR="008243CA">
        <w:t xml:space="preserve"> </w:t>
      </w:r>
      <w:r w:rsidRPr="00E62FE6">
        <w:t>the</w:t>
      </w:r>
      <w:r w:rsidR="008243CA">
        <w:t xml:space="preserve"> </w:t>
      </w:r>
      <w:r w:rsidRPr="00E62FE6">
        <w:t>protection</w:t>
      </w:r>
      <w:r w:rsidR="008243CA">
        <w:t xml:space="preserve"> </w:t>
      </w:r>
      <w:r w:rsidRPr="00E62FE6">
        <w:t>system,</w:t>
      </w:r>
      <w:r w:rsidR="008243CA">
        <w:t xml:space="preserve"> </w:t>
      </w:r>
      <w:r w:rsidRPr="00E62FE6">
        <w:t>there</w:t>
      </w:r>
      <w:r w:rsidR="008243CA">
        <w:t xml:space="preserve"> </w:t>
      </w:r>
      <w:r w:rsidRPr="00E62FE6">
        <w:t>are</w:t>
      </w:r>
      <w:r w:rsidR="008243CA">
        <w:t xml:space="preserve"> </w:t>
      </w:r>
      <w:r w:rsidRPr="00E62FE6">
        <w:t>seven</w:t>
      </w:r>
      <w:r w:rsidR="008243CA">
        <w:t xml:space="preserve"> </w:t>
      </w:r>
      <w:r w:rsidRPr="00E62FE6">
        <w:t>residential</w:t>
      </w:r>
      <w:r w:rsidR="008243CA">
        <w:t xml:space="preserve"> </w:t>
      </w:r>
      <w:r w:rsidRPr="00E62FE6">
        <w:t>centres</w:t>
      </w:r>
      <w:r w:rsidR="008243CA">
        <w:t xml:space="preserve"> </w:t>
      </w:r>
      <w:r w:rsidRPr="00E62FE6">
        <w:t>for</w:t>
      </w:r>
      <w:r w:rsidR="008243CA">
        <w:t xml:space="preserve"> </w:t>
      </w:r>
      <w:r w:rsidRPr="00E62FE6">
        <w:t>pregnant</w:t>
      </w:r>
      <w:r w:rsidR="008243CA">
        <w:t xml:space="preserve"> </w:t>
      </w:r>
      <w:r w:rsidRPr="00E62FE6">
        <w:t>teenagers</w:t>
      </w:r>
      <w:r w:rsidR="008243CA">
        <w:t xml:space="preserve"> </w:t>
      </w:r>
      <w:r w:rsidRPr="00E62FE6">
        <w:t>and</w:t>
      </w:r>
      <w:r w:rsidR="008243CA">
        <w:t xml:space="preserve"> </w:t>
      </w:r>
      <w:r w:rsidRPr="00E62FE6">
        <w:t>teenage</w:t>
      </w:r>
      <w:r w:rsidR="008243CA">
        <w:t xml:space="preserve"> </w:t>
      </w:r>
      <w:r w:rsidRPr="00E62FE6">
        <w:t>mothers</w:t>
      </w:r>
      <w:r w:rsidR="008243CA">
        <w:t xml:space="preserve"> </w:t>
      </w:r>
      <w:r w:rsidRPr="00E62FE6">
        <w:t>and</w:t>
      </w:r>
      <w:r w:rsidR="008243CA">
        <w:t xml:space="preserve"> </w:t>
      </w:r>
      <w:r w:rsidRPr="00E62FE6">
        <w:t>their</w:t>
      </w:r>
      <w:r w:rsidR="008243CA">
        <w:t xml:space="preserve"> </w:t>
      </w:r>
      <w:r w:rsidRPr="00E62FE6">
        <w:t>children</w:t>
      </w:r>
      <w:r w:rsidR="008243CA">
        <w:t xml:space="preserve"> </w:t>
      </w:r>
      <w:r w:rsidRPr="00E62FE6">
        <w:t>whose</w:t>
      </w:r>
      <w:r w:rsidR="008243CA">
        <w:t xml:space="preserve"> </w:t>
      </w:r>
      <w:r w:rsidRPr="00E62FE6">
        <w:t>rights</w:t>
      </w:r>
      <w:r w:rsidR="008243CA">
        <w:t xml:space="preserve"> </w:t>
      </w:r>
      <w:r w:rsidRPr="00E62FE6">
        <w:t>have</w:t>
      </w:r>
      <w:r w:rsidR="008243CA">
        <w:t xml:space="preserve"> </w:t>
      </w:r>
      <w:r w:rsidRPr="00E62FE6">
        <w:t>been</w:t>
      </w:r>
      <w:r w:rsidR="008243CA">
        <w:t xml:space="preserve"> </w:t>
      </w:r>
      <w:r w:rsidRPr="00E62FE6">
        <w:t>violated.</w:t>
      </w:r>
      <w:r w:rsidR="008243CA">
        <w:t xml:space="preserve"> </w:t>
      </w:r>
      <w:r w:rsidRPr="00E62FE6">
        <w:t>These</w:t>
      </w:r>
      <w:r w:rsidR="008243CA">
        <w:t xml:space="preserve"> </w:t>
      </w:r>
      <w:r w:rsidRPr="00E62FE6">
        <w:t>centres</w:t>
      </w:r>
      <w:r w:rsidR="008243CA">
        <w:t xml:space="preserve"> </w:t>
      </w:r>
      <w:r w:rsidRPr="00E62FE6">
        <w:t>are</w:t>
      </w:r>
      <w:r w:rsidR="008243CA">
        <w:t xml:space="preserve"> </w:t>
      </w:r>
      <w:r w:rsidRPr="00E62FE6">
        <w:t>located</w:t>
      </w:r>
      <w:r w:rsidR="008243CA">
        <w:t xml:space="preserve"> </w:t>
      </w:r>
      <w:r w:rsidRPr="00E62FE6">
        <w:t>in</w:t>
      </w:r>
      <w:r w:rsidR="008243CA">
        <w:t xml:space="preserve"> </w:t>
      </w:r>
      <w:r w:rsidRPr="00E62FE6">
        <w:t>six</w:t>
      </w:r>
      <w:r w:rsidR="008243CA">
        <w:t xml:space="preserve"> </w:t>
      </w:r>
      <w:r w:rsidRPr="00E62FE6">
        <w:t>regions</w:t>
      </w:r>
      <w:r w:rsidR="008243CA">
        <w:t xml:space="preserve"> </w:t>
      </w:r>
      <w:r w:rsidRPr="00E62FE6">
        <w:t>of</w:t>
      </w:r>
      <w:r w:rsidR="008243CA">
        <w:t xml:space="preserve"> </w:t>
      </w:r>
      <w:r w:rsidRPr="00E62FE6">
        <w:t>the</w:t>
      </w:r>
      <w:r w:rsidR="008243CA">
        <w:t xml:space="preserve"> </w:t>
      </w:r>
      <w:r w:rsidRPr="00E62FE6">
        <w:t>country</w:t>
      </w:r>
      <w:r w:rsidR="008243CA">
        <w:t xml:space="preserve"> </w:t>
      </w:r>
      <w:r w:rsidRPr="00E62FE6">
        <w:t>and</w:t>
      </w:r>
      <w:r w:rsidR="008243CA">
        <w:t xml:space="preserve"> </w:t>
      </w:r>
      <w:r w:rsidRPr="00E62FE6">
        <w:t>can</w:t>
      </w:r>
      <w:r w:rsidR="008243CA">
        <w:t xml:space="preserve"> </w:t>
      </w:r>
      <w:r w:rsidRPr="00E62FE6">
        <w:t>accommodate</w:t>
      </w:r>
      <w:r w:rsidR="008243CA">
        <w:t xml:space="preserve"> </w:t>
      </w:r>
      <w:r w:rsidRPr="00E62FE6">
        <w:t>a</w:t>
      </w:r>
      <w:r w:rsidR="008243CA">
        <w:t xml:space="preserve"> </w:t>
      </w:r>
      <w:r w:rsidRPr="00E62FE6">
        <w:t>total</w:t>
      </w:r>
      <w:r w:rsidR="008243CA">
        <w:t xml:space="preserve"> </w:t>
      </w:r>
      <w:r w:rsidRPr="00E62FE6">
        <w:t>of</w:t>
      </w:r>
      <w:r w:rsidR="008243CA">
        <w:t xml:space="preserve"> </w:t>
      </w:r>
      <w:r w:rsidRPr="00E62FE6">
        <w:t>230</w:t>
      </w:r>
      <w:r w:rsidR="008243CA">
        <w:t xml:space="preserve"> </w:t>
      </w:r>
      <w:r w:rsidRPr="00E62FE6">
        <w:lastRenderedPageBreak/>
        <w:t>persons.</w:t>
      </w:r>
      <w:r w:rsidR="008243CA">
        <w:t xml:space="preserve"> </w:t>
      </w:r>
      <w:r w:rsidRPr="00E62FE6">
        <w:t>The</w:t>
      </w:r>
      <w:r w:rsidR="008243CA">
        <w:t xml:space="preserve"> </w:t>
      </w:r>
      <w:r w:rsidRPr="00E62FE6">
        <w:t>aim</w:t>
      </w:r>
      <w:r w:rsidR="008243CA">
        <w:t xml:space="preserve"> </w:t>
      </w:r>
      <w:r w:rsidRPr="00E62FE6">
        <w:t>of</w:t>
      </w:r>
      <w:r w:rsidR="008243CA">
        <w:t xml:space="preserve"> </w:t>
      </w:r>
      <w:r w:rsidRPr="00E62FE6">
        <w:t>the</w:t>
      </w:r>
      <w:r w:rsidR="008243CA">
        <w:t xml:space="preserve"> </w:t>
      </w:r>
      <w:r w:rsidRPr="00E62FE6">
        <w:t>centres</w:t>
      </w:r>
      <w:r w:rsidR="008243CA">
        <w:t xml:space="preserve"> </w:t>
      </w:r>
      <w:r w:rsidRPr="00E62FE6">
        <w:t>is</w:t>
      </w:r>
      <w:r w:rsidR="008243CA">
        <w:t xml:space="preserve"> </w:t>
      </w:r>
      <w:r w:rsidRPr="00E62FE6">
        <w:t>to</w:t>
      </w:r>
      <w:r w:rsidR="008243CA">
        <w:t xml:space="preserve"> </w:t>
      </w:r>
      <w:r w:rsidRPr="00E62FE6">
        <w:t>avoid</w:t>
      </w:r>
      <w:r w:rsidR="008243CA">
        <w:t xml:space="preserve"> </w:t>
      </w:r>
      <w:r w:rsidRPr="00E62FE6">
        <w:t>separating</w:t>
      </w:r>
      <w:r w:rsidR="008243CA">
        <w:t xml:space="preserve"> </w:t>
      </w:r>
      <w:r w:rsidRPr="00E62FE6">
        <w:t>children</w:t>
      </w:r>
      <w:r w:rsidR="008243CA">
        <w:t xml:space="preserve"> </w:t>
      </w:r>
      <w:r w:rsidRPr="00E62FE6">
        <w:t>from</w:t>
      </w:r>
      <w:r w:rsidR="008243CA">
        <w:t xml:space="preserve"> </w:t>
      </w:r>
      <w:r w:rsidRPr="00E62FE6">
        <w:t>their</w:t>
      </w:r>
      <w:r w:rsidR="008243CA">
        <w:t xml:space="preserve"> </w:t>
      </w:r>
      <w:r w:rsidRPr="00E62FE6">
        <w:t>mothers</w:t>
      </w:r>
      <w:r w:rsidR="008243CA">
        <w:t xml:space="preserve"> </w:t>
      </w:r>
      <w:r w:rsidRPr="00E62FE6">
        <w:t>and</w:t>
      </w:r>
      <w:r w:rsidR="008243CA">
        <w:t xml:space="preserve"> </w:t>
      </w:r>
      <w:r w:rsidRPr="00E62FE6">
        <w:t>thus</w:t>
      </w:r>
      <w:r w:rsidR="008243CA">
        <w:t xml:space="preserve"> </w:t>
      </w:r>
      <w:r w:rsidRPr="00E62FE6">
        <w:t>to</w:t>
      </w:r>
      <w:r w:rsidR="008243CA">
        <w:t xml:space="preserve"> </w:t>
      </w:r>
      <w:r w:rsidRPr="00E62FE6">
        <w:t>help</w:t>
      </w:r>
      <w:r w:rsidR="00116F0B">
        <w:t xml:space="preserve"> </w:t>
      </w:r>
      <w:r w:rsidRPr="00E62FE6">
        <w:t>strengthen</w:t>
      </w:r>
      <w:r w:rsidR="008243CA">
        <w:t xml:space="preserve"> </w:t>
      </w:r>
      <w:r w:rsidRPr="00E62FE6">
        <w:t>the</w:t>
      </w:r>
      <w:r w:rsidR="008243CA">
        <w:t xml:space="preserve"> </w:t>
      </w:r>
      <w:r w:rsidRPr="00E62FE6">
        <w:t>emotional</w:t>
      </w:r>
      <w:r w:rsidR="008243CA">
        <w:t xml:space="preserve"> </w:t>
      </w:r>
      <w:r w:rsidRPr="00E62FE6">
        <w:t>bond</w:t>
      </w:r>
      <w:r w:rsidR="008243CA">
        <w:t xml:space="preserve"> </w:t>
      </w:r>
      <w:r w:rsidRPr="00E62FE6">
        <w:t>between</w:t>
      </w:r>
      <w:r w:rsidR="008243CA">
        <w:t xml:space="preserve"> </w:t>
      </w:r>
      <w:r w:rsidRPr="00E62FE6">
        <w:t>them.</w:t>
      </w:r>
    </w:p>
    <w:p w:rsidR="003F7D03" w:rsidRPr="00E62FE6" w:rsidRDefault="003F7D03" w:rsidP="008D465B">
      <w:pPr>
        <w:pStyle w:val="H23G"/>
      </w:pPr>
      <w:r w:rsidRPr="00E62FE6">
        <w:tab/>
      </w:r>
      <w:bookmarkStart w:id="36" w:name="_Toc512870681"/>
      <w:bookmarkStart w:id="37" w:name="_Toc512870843"/>
      <w:r w:rsidRPr="00E62FE6">
        <w:t>2.1.5</w:t>
      </w:r>
      <w:r w:rsidR="008243CA">
        <w:t xml:space="preserve"> </w:t>
      </w:r>
      <w:r w:rsidRPr="00E62FE6">
        <w:tab/>
        <w:t>Changes</w:t>
      </w:r>
      <w:r w:rsidR="008243CA">
        <w:t xml:space="preserve"> </w:t>
      </w:r>
      <w:r w:rsidRPr="00E62FE6">
        <w:t>to</w:t>
      </w:r>
      <w:r w:rsidR="008243CA">
        <w:t xml:space="preserve"> </w:t>
      </w:r>
      <w:r w:rsidRPr="00E62FE6">
        <w:t>military</w:t>
      </w:r>
      <w:r w:rsidR="008243CA">
        <w:t xml:space="preserve"> </w:t>
      </w:r>
      <w:r w:rsidRPr="00E62FE6">
        <w:t>jurisdiction</w:t>
      </w:r>
      <w:bookmarkEnd w:id="36"/>
      <w:bookmarkEnd w:id="37"/>
    </w:p>
    <w:p w:rsidR="003F7D03" w:rsidRPr="008D465B" w:rsidRDefault="003F7D03" w:rsidP="000C6D98">
      <w:pPr>
        <w:pStyle w:val="SingleTxtG"/>
        <w:rPr>
          <w:i/>
          <w:iCs/>
        </w:rPr>
      </w:pPr>
      <w:r w:rsidRPr="00E62FE6">
        <w:t>45.</w:t>
      </w:r>
      <w:r w:rsidRPr="00E62FE6">
        <w:tab/>
        <w:t>Paragraph</w:t>
      </w:r>
      <w:r w:rsidR="008243CA">
        <w:t xml:space="preserve"> </w:t>
      </w:r>
      <w:r w:rsidRPr="00E62FE6">
        <w:t>26:</w:t>
      </w:r>
      <w:r w:rsidR="008243CA">
        <w:t xml:space="preserve"> </w:t>
      </w:r>
      <w:r w:rsidRPr="008D465B">
        <w:rPr>
          <w:i/>
          <w:iCs/>
        </w:rPr>
        <w:t>The</w:t>
      </w:r>
      <w:r w:rsidR="008243CA">
        <w:rPr>
          <w:i/>
          <w:iCs/>
        </w:rPr>
        <w:t xml:space="preserve"> </w:t>
      </w:r>
      <w:r w:rsidRPr="008D465B">
        <w:rPr>
          <w:i/>
          <w:iCs/>
        </w:rPr>
        <w:t>Subcommittee</w:t>
      </w:r>
      <w:r w:rsidR="008243CA">
        <w:rPr>
          <w:i/>
          <w:iCs/>
        </w:rPr>
        <w:t xml:space="preserve"> </w:t>
      </w:r>
      <w:r w:rsidRPr="008D465B">
        <w:rPr>
          <w:i/>
          <w:iCs/>
        </w:rPr>
        <w:t>urges</w:t>
      </w:r>
      <w:r w:rsidR="008243CA">
        <w:rPr>
          <w:i/>
          <w:iCs/>
        </w:rPr>
        <w:t xml:space="preserve"> </w:t>
      </w:r>
      <w:r w:rsidRPr="008D465B">
        <w:rPr>
          <w:i/>
          <w:iCs/>
        </w:rPr>
        <w:t>the</w:t>
      </w:r>
      <w:r w:rsidR="008243CA">
        <w:rPr>
          <w:i/>
          <w:iCs/>
        </w:rPr>
        <w:t xml:space="preserve"> </w:t>
      </w:r>
      <w:r w:rsidRPr="008D465B">
        <w:rPr>
          <w:i/>
          <w:iCs/>
        </w:rPr>
        <w:t>State</w:t>
      </w:r>
      <w:r w:rsidR="008243CA">
        <w:rPr>
          <w:i/>
          <w:iCs/>
        </w:rPr>
        <w:t xml:space="preserve"> </w:t>
      </w:r>
      <w:r w:rsidRPr="008D465B">
        <w:rPr>
          <w:i/>
          <w:iCs/>
        </w:rPr>
        <w:t>party</w:t>
      </w:r>
      <w:r w:rsidR="008243CA">
        <w:rPr>
          <w:i/>
          <w:iCs/>
        </w:rPr>
        <w:t xml:space="preserve"> </w:t>
      </w:r>
      <w:r w:rsidRPr="008D465B">
        <w:rPr>
          <w:i/>
          <w:iCs/>
        </w:rPr>
        <w:t>to</w:t>
      </w:r>
      <w:r w:rsidR="008243CA">
        <w:rPr>
          <w:i/>
          <w:iCs/>
        </w:rPr>
        <w:t xml:space="preserve"> </w:t>
      </w:r>
      <w:r w:rsidRPr="008D465B">
        <w:rPr>
          <w:i/>
          <w:iCs/>
        </w:rPr>
        <w:t>amend</w:t>
      </w:r>
      <w:r w:rsidR="008243CA">
        <w:rPr>
          <w:i/>
          <w:iCs/>
        </w:rPr>
        <w:t xml:space="preserve"> </w:t>
      </w:r>
      <w:r w:rsidRPr="008D465B">
        <w:rPr>
          <w:i/>
          <w:iCs/>
        </w:rPr>
        <w:t>its</w:t>
      </w:r>
      <w:r w:rsidR="008243CA">
        <w:rPr>
          <w:i/>
          <w:iCs/>
        </w:rPr>
        <w:t xml:space="preserve"> </w:t>
      </w:r>
      <w:r w:rsidRPr="008D465B">
        <w:rPr>
          <w:i/>
          <w:iCs/>
        </w:rPr>
        <w:t>legal</w:t>
      </w:r>
      <w:r w:rsidR="008243CA">
        <w:rPr>
          <w:i/>
          <w:iCs/>
        </w:rPr>
        <w:t xml:space="preserve"> </w:t>
      </w:r>
      <w:r w:rsidRPr="008D465B">
        <w:rPr>
          <w:i/>
          <w:iCs/>
        </w:rPr>
        <w:t>order</w:t>
      </w:r>
      <w:r w:rsidR="008243CA">
        <w:rPr>
          <w:i/>
          <w:iCs/>
        </w:rPr>
        <w:t xml:space="preserve"> </w:t>
      </w:r>
      <w:r w:rsidRPr="008D465B">
        <w:rPr>
          <w:i/>
          <w:iCs/>
        </w:rPr>
        <w:t>to</w:t>
      </w:r>
      <w:r w:rsidR="008243CA">
        <w:rPr>
          <w:i/>
          <w:iCs/>
        </w:rPr>
        <w:t xml:space="preserve"> </w:t>
      </w:r>
      <w:r w:rsidRPr="008D465B">
        <w:rPr>
          <w:i/>
          <w:iCs/>
        </w:rPr>
        <w:t>ensure</w:t>
      </w:r>
      <w:r w:rsidR="008243CA">
        <w:rPr>
          <w:i/>
          <w:iCs/>
        </w:rPr>
        <w:t xml:space="preserve"> </w:t>
      </w:r>
      <w:r w:rsidRPr="008D465B">
        <w:rPr>
          <w:i/>
          <w:iCs/>
        </w:rPr>
        <w:t>that</w:t>
      </w:r>
      <w:r w:rsidR="008243CA">
        <w:rPr>
          <w:i/>
          <w:iCs/>
        </w:rPr>
        <w:t xml:space="preserve"> </w:t>
      </w:r>
      <w:r w:rsidRPr="008D465B">
        <w:rPr>
          <w:i/>
          <w:iCs/>
        </w:rPr>
        <w:t>military</w:t>
      </w:r>
      <w:r w:rsidR="008243CA">
        <w:rPr>
          <w:i/>
          <w:iCs/>
        </w:rPr>
        <w:t xml:space="preserve"> </w:t>
      </w:r>
      <w:r w:rsidRPr="008D465B">
        <w:rPr>
          <w:i/>
          <w:iCs/>
        </w:rPr>
        <w:t>jurisdiction</w:t>
      </w:r>
      <w:r w:rsidR="008243CA">
        <w:rPr>
          <w:i/>
          <w:iCs/>
        </w:rPr>
        <w:t xml:space="preserve"> </w:t>
      </w:r>
      <w:r w:rsidRPr="008D465B">
        <w:rPr>
          <w:i/>
          <w:iCs/>
        </w:rPr>
        <w:t>is</w:t>
      </w:r>
      <w:r w:rsidR="008243CA">
        <w:rPr>
          <w:i/>
          <w:iCs/>
        </w:rPr>
        <w:t xml:space="preserve"> </w:t>
      </w:r>
      <w:r w:rsidRPr="008D465B">
        <w:rPr>
          <w:i/>
          <w:iCs/>
        </w:rPr>
        <w:t>restrictive</w:t>
      </w:r>
      <w:r w:rsidR="008243CA">
        <w:rPr>
          <w:i/>
          <w:iCs/>
        </w:rPr>
        <w:t xml:space="preserve"> </w:t>
      </w:r>
      <w:r w:rsidRPr="008D465B">
        <w:rPr>
          <w:i/>
          <w:iCs/>
        </w:rPr>
        <w:t>and</w:t>
      </w:r>
      <w:r w:rsidR="008243CA">
        <w:rPr>
          <w:i/>
          <w:iCs/>
        </w:rPr>
        <w:t xml:space="preserve"> </w:t>
      </w:r>
      <w:r w:rsidRPr="008D465B">
        <w:rPr>
          <w:i/>
          <w:iCs/>
        </w:rPr>
        <w:t>is</w:t>
      </w:r>
      <w:r w:rsidR="008243CA">
        <w:rPr>
          <w:i/>
          <w:iCs/>
        </w:rPr>
        <w:t xml:space="preserve"> </w:t>
      </w:r>
      <w:r w:rsidRPr="008D465B">
        <w:rPr>
          <w:i/>
          <w:iCs/>
        </w:rPr>
        <w:t>applied</w:t>
      </w:r>
      <w:r w:rsidR="008243CA">
        <w:rPr>
          <w:i/>
          <w:iCs/>
        </w:rPr>
        <w:t xml:space="preserve"> </w:t>
      </w:r>
      <w:r w:rsidRPr="008D465B">
        <w:rPr>
          <w:i/>
          <w:iCs/>
        </w:rPr>
        <w:t>only</w:t>
      </w:r>
      <w:r w:rsidR="008243CA">
        <w:rPr>
          <w:i/>
          <w:iCs/>
        </w:rPr>
        <w:t xml:space="preserve"> </w:t>
      </w:r>
      <w:r w:rsidRPr="008D465B">
        <w:rPr>
          <w:i/>
          <w:iCs/>
        </w:rPr>
        <w:t>to</w:t>
      </w:r>
      <w:r w:rsidR="008243CA">
        <w:rPr>
          <w:i/>
          <w:iCs/>
        </w:rPr>
        <w:t xml:space="preserve"> </w:t>
      </w:r>
      <w:r w:rsidRPr="008D465B">
        <w:rPr>
          <w:i/>
          <w:iCs/>
        </w:rPr>
        <w:t>members</w:t>
      </w:r>
      <w:r w:rsidR="008243CA">
        <w:rPr>
          <w:i/>
          <w:iCs/>
        </w:rPr>
        <w:t xml:space="preserve"> </w:t>
      </w:r>
      <w:r w:rsidRPr="008D465B">
        <w:rPr>
          <w:i/>
          <w:iCs/>
        </w:rPr>
        <w:t>of</w:t>
      </w:r>
      <w:r w:rsidR="008243CA">
        <w:rPr>
          <w:i/>
          <w:iCs/>
        </w:rPr>
        <w:t xml:space="preserve"> </w:t>
      </w:r>
      <w:r w:rsidRPr="008D465B">
        <w:rPr>
          <w:i/>
          <w:iCs/>
        </w:rPr>
        <w:t>the</w:t>
      </w:r>
      <w:r w:rsidR="008243CA">
        <w:rPr>
          <w:i/>
          <w:iCs/>
        </w:rPr>
        <w:t xml:space="preserve"> </w:t>
      </w:r>
      <w:r w:rsidRPr="008D465B">
        <w:rPr>
          <w:i/>
          <w:iCs/>
        </w:rPr>
        <w:t>armed</w:t>
      </w:r>
      <w:r w:rsidR="008243CA">
        <w:rPr>
          <w:i/>
          <w:iCs/>
        </w:rPr>
        <w:t xml:space="preserve"> </w:t>
      </w:r>
      <w:r w:rsidRPr="008D465B">
        <w:rPr>
          <w:i/>
          <w:iCs/>
        </w:rPr>
        <w:t>forces</w:t>
      </w:r>
      <w:r w:rsidR="008243CA">
        <w:rPr>
          <w:i/>
          <w:iCs/>
        </w:rPr>
        <w:t xml:space="preserve"> </w:t>
      </w:r>
      <w:r w:rsidRPr="008D465B">
        <w:rPr>
          <w:i/>
          <w:iCs/>
        </w:rPr>
        <w:t>whose</w:t>
      </w:r>
      <w:r w:rsidR="008243CA">
        <w:rPr>
          <w:i/>
          <w:iCs/>
        </w:rPr>
        <w:t xml:space="preserve"> </w:t>
      </w:r>
      <w:r w:rsidRPr="008D465B">
        <w:rPr>
          <w:i/>
          <w:iCs/>
        </w:rPr>
        <w:t>conduct</w:t>
      </w:r>
      <w:r w:rsidR="008243CA">
        <w:rPr>
          <w:i/>
          <w:iCs/>
        </w:rPr>
        <w:t xml:space="preserve"> </w:t>
      </w:r>
      <w:r w:rsidRPr="008D465B">
        <w:rPr>
          <w:i/>
          <w:iCs/>
        </w:rPr>
        <w:t>is</w:t>
      </w:r>
      <w:r w:rsidR="008243CA">
        <w:rPr>
          <w:i/>
          <w:iCs/>
        </w:rPr>
        <w:t xml:space="preserve"> </w:t>
      </w:r>
      <w:r w:rsidRPr="008D465B">
        <w:rPr>
          <w:i/>
          <w:iCs/>
        </w:rPr>
        <w:t>in</w:t>
      </w:r>
      <w:r w:rsidR="008243CA">
        <w:rPr>
          <w:i/>
          <w:iCs/>
        </w:rPr>
        <w:t xml:space="preserve"> </w:t>
      </w:r>
      <w:r w:rsidRPr="008D465B">
        <w:rPr>
          <w:i/>
          <w:iCs/>
        </w:rPr>
        <w:t>breach</w:t>
      </w:r>
      <w:r w:rsidR="008243CA">
        <w:rPr>
          <w:i/>
          <w:iCs/>
        </w:rPr>
        <w:t xml:space="preserve"> </w:t>
      </w:r>
      <w:r w:rsidRPr="008D465B">
        <w:rPr>
          <w:i/>
          <w:iCs/>
        </w:rPr>
        <w:t>of</w:t>
      </w:r>
      <w:r w:rsidR="008243CA">
        <w:rPr>
          <w:i/>
          <w:iCs/>
        </w:rPr>
        <w:t xml:space="preserve"> </w:t>
      </w:r>
      <w:r w:rsidRPr="008D465B">
        <w:rPr>
          <w:i/>
          <w:iCs/>
        </w:rPr>
        <w:t>military</w:t>
      </w:r>
      <w:r w:rsidR="008243CA">
        <w:rPr>
          <w:i/>
          <w:iCs/>
        </w:rPr>
        <w:t xml:space="preserve"> </w:t>
      </w:r>
      <w:r w:rsidRPr="008D465B">
        <w:rPr>
          <w:i/>
          <w:iCs/>
        </w:rPr>
        <w:t>order</w:t>
      </w:r>
      <w:r w:rsidR="008243CA">
        <w:rPr>
          <w:i/>
          <w:iCs/>
        </w:rPr>
        <w:t xml:space="preserve"> </w:t>
      </w:r>
      <w:r w:rsidRPr="008D465B">
        <w:rPr>
          <w:i/>
          <w:iCs/>
        </w:rPr>
        <w:t>and</w:t>
      </w:r>
      <w:r w:rsidR="008243CA">
        <w:rPr>
          <w:i/>
          <w:iCs/>
        </w:rPr>
        <w:t xml:space="preserve"> </w:t>
      </w:r>
      <w:r w:rsidRPr="008D465B">
        <w:rPr>
          <w:i/>
          <w:iCs/>
        </w:rPr>
        <w:t>discipline</w:t>
      </w:r>
      <w:r w:rsidR="008243CA">
        <w:rPr>
          <w:i/>
          <w:iCs/>
        </w:rPr>
        <w:t xml:space="preserve"> </w:t>
      </w:r>
      <w:r w:rsidRPr="008D465B">
        <w:rPr>
          <w:i/>
          <w:iCs/>
        </w:rPr>
        <w:t>and</w:t>
      </w:r>
      <w:r w:rsidR="008243CA">
        <w:rPr>
          <w:i/>
          <w:iCs/>
        </w:rPr>
        <w:t xml:space="preserve"> </w:t>
      </w:r>
      <w:r w:rsidRPr="008D465B">
        <w:rPr>
          <w:i/>
          <w:iCs/>
        </w:rPr>
        <w:t>that</w:t>
      </w:r>
      <w:r w:rsidR="008243CA">
        <w:rPr>
          <w:i/>
          <w:iCs/>
        </w:rPr>
        <w:t xml:space="preserve"> </w:t>
      </w:r>
      <w:r w:rsidRPr="008D465B">
        <w:rPr>
          <w:i/>
          <w:iCs/>
        </w:rPr>
        <w:t>under</w:t>
      </w:r>
      <w:r w:rsidR="008243CA">
        <w:rPr>
          <w:i/>
          <w:iCs/>
        </w:rPr>
        <w:t xml:space="preserve"> </w:t>
      </w:r>
      <w:r w:rsidRPr="008D465B">
        <w:rPr>
          <w:i/>
          <w:iCs/>
        </w:rPr>
        <w:t>no</w:t>
      </w:r>
      <w:r w:rsidR="008243CA">
        <w:rPr>
          <w:i/>
          <w:iCs/>
        </w:rPr>
        <w:t xml:space="preserve"> </w:t>
      </w:r>
      <w:r w:rsidRPr="008D465B">
        <w:rPr>
          <w:i/>
          <w:iCs/>
        </w:rPr>
        <w:t>circumstances</w:t>
      </w:r>
      <w:r w:rsidR="008243CA">
        <w:rPr>
          <w:i/>
          <w:iCs/>
        </w:rPr>
        <w:t xml:space="preserve"> </w:t>
      </w:r>
      <w:r w:rsidRPr="008D465B">
        <w:rPr>
          <w:i/>
          <w:iCs/>
        </w:rPr>
        <w:t>may</w:t>
      </w:r>
      <w:r w:rsidR="008243CA">
        <w:rPr>
          <w:i/>
          <w:iCs/>
        </w:rPr>
        <w:t xml:space="preserve"> </w:t>
      </w:r>
      <w:r w:rsidRPr="008D465B">
        <w:rPr>
          <w:i/>
          <w:iCs/>
        </w:rPr>
        <w:t>it</w:t>
      </w:r>
      <w:r w:rsidR="008243CA">
        <w:rPr>
          <w:i/>
          <w:iCs/>
        </w:rPr>
        <w:t xml:space="preserve"> </w:t>
      </w:r>
      <w:r w:rsidRPr="008D465B">
        <w:rPr>
          <w:i/>
          <w:iCs/>
        </w:rPr>
        <w:t>be</w:t>
      </w:r>
      <w:r w:rsidR="008243CA">
        <w:rPr>
          <w:i/>
          <w:iCs/>
        </w:rPr>
        <w:t xml:space="preserve"> </w:t>
      </w:r>
      <w:r w:rsidRPr="008D465B">
        <w:rPr>
          <w:i/>
          <w:iCs/>
        </w:rPr>
        <w:t>extended</w:t>
      </w:r>
      <w:r w:rsidR="008243CA">
        <w:rPr>
          <w:i/>
          <w:iCs/>
        </w:rPr>
        <w:t xml:space="preserve"> </w:t>
      </w:r>
      <w:r w:rsidRPr="008D465B">
        <w:rPr>
          <w:i/>
          <w:iCs/>
        </w:rPr>
        <w:t>to</w:t>
      </w:r>
      <w:r w:rsidR="008243CA">
        <w:rPr>
          <w:i/>
          <w:iCs/>
        </w:rPr>
        <w:t xml:space="preserve"> </w:t>
      </w:r>
      <w:r w:rsidRPr="008D465B">
        <w:rPr>
          <w:i/>
          <w:iCs/>
        </w:rPr>
        <w:t>cover</w:t>
      </w:r>
      <w:r w:rsidR="008243CA">
        <w:rPr>
          <w:i/>
          <w:iCs/>
        </w:rPr>
        <w:t xml:space="preserve"> </w:t>
      </w:r>
      <w:r w:rsidRPr="008D465B">
        <w:rPr>
          <w:i/>
          <w:iCs/>
        </w:rPr>
        <w:t>the</w:t>
      </w:r>
      <w:r w:rsidR="008243CA">
        <w:rPr>
          <w:i/>
          <w:iCs/>
        </w:rPr>
        <w:t xml:space="preserve"> </w:t>
      </w:r>
      <w:r w:rsidRPr="008D465B">
        <w:rPr>
          <w:i/>
          <w:iCs/>
        </w:rPr>
        <w:t>commission</w:t>
      </w:r>
      <w:r w:rsidR="008243CA">
        <w:rPr>
          <w:i/>
          <w:iCs/>
        </w:rPr>
        <w:t xml:space="preserve"> </w:t>
      </w:r>
      <w:r w:rsidRPr="008D465B">
        <w:rPr>
          <w:i/>
          <w:iCs/>
        </w:rPr>
        <w:t>of</w:t>
      </w:r>
      <w:r w:rsidR="008243CA">
        <w:rPr>
          <w:i/>
          <w:iCs/>
        </w:rPr>
        <w:t xml:space="preserve"> </w:t>
      </w:r>
      <w:r w:rsidRPr="008D465B">
        <w:rPr>
          <w:i/>
          <w:iCs/>
        </w:rPr>
        <w:t>ordinary</w:t>
      </w:r>
      <w:r w:rsidR="008243CA">
        <w:rPr>
          <w:i/>
          <w:iCs/>
        </w:rPr>
        <w:t xml:space="preserve"> </w:t>
      </w:r>
      <w:r w:rsidRPr="008D465B">
        <w:rPr>
          <w:i/>
          <w:iCs/>
        </w:rPr>
        <w:t>offences</w:t>
      </w:r>
      <w:r w:rsidR="008243CA">
        <w:rPr>
          <w:i/>
          <w:iCs/>
        </w:rPr>
        <w:t xml:space="preserve"> </w:t>
      </w:r>
      <w:r w:rsidRPr="008D465B">
        <w:rPr>
          <w:i/>
          <w:iCs/>
        </w:rPr>
        <w:t>against</w:t>
      </w:r>
      <w:r w:rsidR="008243CA">
        <w:rPr>
          <w:i/>
          <w:iCs/>
        </w:rPr>
        <w:t xml:space="preserve"> </w:t>
      </w:r>
      <w:r w:rsidRPr="008D465B">
        <w:rPr>
          <w:i/>
          <w:iCs/>
        </w:rPr>
        <w:t>civilians.</w:t>
      </w:r>
    </w:p>
    <w:p w:rsidR="003F7D03" w:rsidRPr="008D465B" w:rsidRDefault="003F7D03" w:rsidP="000C6D98">
      <w:pPr>
        <w:pStyle w:val="SingleTxtG"/>
        <w:rPr>
          <w:i/>
          <w:iCs/>
        </w:rPr>
      </w:pPr>
      <w:bookmarkStart w:id="38" w:name="page16"/>
      <w:bookmarkEnd w:id="38"/>
      <w:r w:rsidRPr="00E62FE6">
        <w:t>46.</w:t>
      </w:r>
      <w:r w:rsidRPr="00E62FE6">
        <w:tab/>
      </w:r>
      <w:r w:rsidRPr="008D465B">
        <w:rPr>
          <w:i/>
          <w:iCs/>
        </w:rPr>
        <w:t>In</w:t>
      </w:r>
      <w:r w:rsidR="008243CA">
        <w:rPr>
          <w:i/>
          <w:iCs/>
        </w:rPr>
        <w:t xml:space="preserve"> </w:t>
      </w:r>
      <w:r w:rsidRPr="008D465B">
        <w:rPr>
          <w:i/>
          <w:iCs/>
        </w:rPr>
        <w:t>addition,</w:t>
      </w:r>
      <w:r w:rsidR="008243CA">
        <w:rPr>
          <w:i/>
          <w:iCs/>
        </w:rPr>
        <w:t xml:space="preserve"> </w:t>
      </w:r>
      <w:r w:rsidRPr="008D465B">
        <w:rPr>
          <w:i/>
          <w:iCs/>
        </w:rPr>
        <w:t>the</w:t>
      </w:r>
      <w:r w:rsidR="008243CA">
        <w:rPr>
          <w:i/>
          <w:iCs/>
        </w:rPr>
        <w:t xml:space="preserve"> </w:t>
      </w:r>
      <w:r w:rsidRPr="008D465B">
        <w:rPr>
          <w:i/>
          <w:iCs/>
        </w:rPr>
        <w:t>State</w:t>
      </w:r>
      <w:r w:rsidR="008243CA">
        <w:rPr>
          <w:i/>
          <w:iCs/>
        </w:rPr>
        <w:t xml:space="preserve"> </w:t>
      </w:r>
      <w:r w:rsidRPr="008D465B">
        <w:rPr>
          <w:i/>
          <w:iCs/>
        </w:rPr>
        <w:t>party</w:t>
      </w:r>
      <w:r w:rsidR="008243CA">
        <w:rPr>
          <w:i/>
          <w:iCs/>
        </w:rPr>
        <w:t xml:space="preserve"> </w:t>
      </w:r>
      <w:r w:rsidRPr="008D465B">
        <w:rPr>
          <w:i/>
          <w:iCs/>
        </w:rPr>
        <w:t>should</w:t>
      </w:r>
      <w:r w:rsidR="008243CA">
        <w:rPr>
          <w:i/>
          <w:iCs/>
        </w:rPr>
        <w:t xml:space="preserve"> </w:t>
      </w:r>
      <w:r w:rsidRPr="008D465B">
        <w:rPr>
          <w:i/>
          <w:iCs/>
        </w:rPr>
        <w:t>ensure</w:t>
      </w:r>
      <w:r w:rsidR="008243CA">
        <w:rPr>
          <w:i/>
          <w:iCs/>
        </w:rPr>
        <w:t xml:space="preserve"> </w:t>
      </w:r>
      <w:r w:rsidRPr="008D465B">
        <w:rPr>
          <w:i/>
          <w:iCs/>
        </w:rPr>
        <w:t>that,</w:t>
      </w:r>
      <w:r w:rsidR="008243CA">
        <w:rPr>
          <w:i/>
          <w:iCs/>
        </w:rPr>
        <w:t xml:space="preserve"> </w:t>
      </w:r>
      <w:r w:rsidRPr="008D465B">
        <w:rPr>
          <w:i/>
          <w:iCs/>
        </w:rPr>
        <w:t>in</w:t>
      </w:r>
      <w:r w:rsidR="008243CA">
        <w:rPr>
          <w:i/>
          <w:iCs/>
        </w:rPr>
        <w:t xml:space="preserve"> </w:t>
      </w:r>
      <w:r w:rsidRPr="008D465B">
        <w:rPr>
          <w:i/>
          <w:iCs/>
        </w:rPr>
        <w:t>cases</w:t>
      </w:r>
      <w:r w:rsidR="008243CA">
        <w:rPr>
          <w:i/>
          <w:iCs/>
        </w:rPr>
        <w:t xml:space="preserve"> </w:t>
      </w:r>
      <w:r w:rsidRPr="008D465B">
        <w:rPr>
          <w:i/>
          <w:iCs/>
        </w:rPr>
        <w:t>involving</w:t>
      </w:r>
      <w:r w:rsidR="008243CA">
        <w:rPr>
          <w:i/>
          <w:iCs/>
        </w:rPr>
        <w:t xml:space="preserve"> </w:t>
      </w:r>
      <w:r w:rsidRPr="008D465B">
        <w:rPr>
          <w:i/>
          <w:iCs/>
        </w:rPr>
        <w:t>officials</w:t>
      </w:r>
      <w:r w:rsidR="008243CA">
        <w:rPr>
          <w:i/>
          <w:iCs/>
        </w:rPr>
        <w:t xml:space="preserve"> </w:t>
      </w:r>
      <w:r w:rsidRPr="008D465B">
        <w:rPr>
          <w:i/>
          <w:iCs/>
        </w:rPr>
        <w:t>of</w:t>
      </w:r>
      <w:r w:rsidR="008243CA">
        <w:rPr>
          <w:i/>
          <w:iCs/>
        </w:rPr>
        <w:t xml:space="preserve"> </w:t>
      </w:r>
      <w:proofErr w:type="spellStart"/>
      <w:r w:rsidRPr="008D465B">
        <w:rPr>
          <w:i/>
          <w:iCs/>
        </w:rPr>
        <w:t>Carabineros</w:t>
      </w:r>
      <w:proofErr w:type="spellEnd"/>
      <w:r w:rsidRPr="008D465B">
        <w:rPr>
          <w:i/>
          <w:iCs/>
        </w:rPr>
        <w:t>,</w:t>
      </w:r>
      <w:r w:rsidR="008243CA">
        <w:rPr>
          <w:i/>
          <w:iCs/>
        </w:rPr>
        <w:t xml:space="preserve"> </w:t>
      </w:r>
      <w:r w:rsidRPr="008D465B">
        <w:rPr>
          <w:i/>
          <w:iCs/>
        </w:rPr>
        <w:t>suspected</w:t>
      </w:r>
      <w:r w:rsidR="008243CA">
        <w:rPr>
          <w:i/>
          <w:iCs/>
        </w:rPr>
        <w:t xml:space="preserve"> </w:t>
      </w:r>
      <w:r w:rsidRPr="008D465B">
        <w:rPr>
          <w:i/>
          <w:iCs/>
        </w:rPr>
        <w:t>offenders</w:t>
      </w:r>
      <w:r w:rsidR="008243CA">
        <w:rPr>
          <w:i/>
          <w:iCs/>
        </w:rPr>
        <w:t xml:space="preserve"> </w:t>
      </w:r>
      <w:r w:rsidRPr="008D465B">
        <w:rPr>
          <w:i/>
          <w:iCs/>
        </w:rPr>
        <w:t>are</w:t>
      </w:r>
      <w:r w:rsidR="008243CA">
        <w:rPr>
          <w:i/>
          <w:iCs/>
        </w:rPr>
        <w:t xml:space="preserve"> </w:t>
      </w:r>
      <w:r w:rsidRPr="008D465B">
        <w:rPr>
          <w:i/>
          <w:iCs/>
        </w:rPr>
        <w:t>investigated</w:t>
      </w:r>
      <w:r w:rsidR="008243CA">
        <w:rPr>
          <w:i/>
          <w:iCs/>
        </w:rPr>
        <w:t xml:space="preserve"> </w:t>
      </w:r>
      <w:r w:rsidRPr="008D465B">
        <w:rPr>
          <w:i/>
          <w:iCs/>
        </w:rPr>
        <w:t>and</w:t>
      </w:r>
      <w:r w:rsidR="008243CA">
        <w:rPr>
          <w:i/>
          <w:iCs/>
        </w:rPr>
        <w:t xml:space="preserve"> </w:t>
      </w:r>
      <w:r w:rsidRPr="008D465B">
        <w:rPr>
          <w:i/>
          <w:iCs/>
        </w:rPr>
        <w:t>tried</w:t>
      </w:r>
      <w:r w:rsidR="008243CA">
        <w:rPr>
          <w:i/>
          <w:iCs/>
        </w:rPr>
        <w:t xml:space="preserve"> </w:t>
      </w:r>
      <w:r w:rsidRPr="008D465B">
        <w:rPr>
          <w:i/>
          <w:iCs/>
        </w:rPr>
        <w:t>by</w:t>
      </w:r>
      <w:r w:rsidR="008243CA">
        <w:rPr>
          <w:i/>
          <w:iCs/>
        </w:rPr>
        <w:t xml:space="preserve"> </w:t>
      </w:r>
      <w:r w:rsidRPr="008D465B">
        <w:rPr>
          <w:i/>
          <w:iCs/>
        </w:rPr>
        <w:t>the</w:t>
      </w:r>
      <w:r w:rsidR="008243CA">
        <w:rPr>
          <w:i/>
          <w:iCs/>
        </w:rPr>
        <w:t xml:space="preserve"> </w:t>
      </w:r>
      <w:r w:rsidRPr="008D465B">
        <w:rPr>
          <w:i/>
          <w:iCs/>
        </w:rPr>
        <w:t>ordinary</w:t>
      </w:r>
      <w:r w:rsidR="008243CA">
        <w:rPr>
          <w:i/>
          <w:iCs/>
        </w:rPr>
        <w:t xml:space="preserve"> </w:t>
      </w:r>
      <w:r w:rsidRPr="008D465B">
        <w:rPr>
          <w:i/>
          <w:iCs/>
        </w:rPr>
        <w:t>courts.</w:t>
      </w:r>
      <w:r w:rsidR="008243CA">
        <w:rPr>
          <w:i/>
          <w:iCs/>
        </w:rPr>
        <w:t xml:space="preserve"> </w:t>
      </w:r>
      <w:r w:rsidRPr="008D465B">
        <w:rPr>
          <w:i/>
          <w:iCs/>
        </w:rPr>
        <w:t>The</w:t>
      </w:r>
      <w:r w:rsidR="008243CA">
        <w:rPr>
          <w:i/>
          <w:iCs/>
        </w:rPr>
        <w:t xml:space="preserve"> </w:t>
      </w:r>
      <w:r w:rsidRPr="008D465B">
        <w:rPr>
          <w:i/>
          <w:iCs/>
        </w:rPr>
        <w:t>State</w:t>
      </w:r>
      <w:r w:rsidR="008243CA">
        <w:rPr>
          <w:i/>
          <w:iCs/>
        </w:rPr>
        <w:t xml:space="preserve"> </w:t>
      </w:r>
      <w:r w:rsidRPr="008D465B">
        <w:rPr>
          <w:i/>
          <w:iCs/>
        </w:rPr>
        <w:t>party</w:t>
      </w:r>
      <w:r w:rsidR="008243CA">
        <w:rPr>
          <w:i/>
          <w:iCs/>
        </w:rPr>
        <w:t xml:space="preserve"> </w:t>
      </w:r>
      <w:r w:rsidRPr="008D465B">
        <w:rPr>
          <w:i/>
          <w:iCs/>
        </w:rPr>
        <w:t>should</w:t>
      </w:r>
      <w:r w:rsidR="008243CA">
        <w:rPr>
          <w:i/>
          <w:iCs/>
        </w:rPr>
        <w:t xml:space="preserve"> </w:t>
      </w:r>
      <w:r w:rsidRPr="008D465B">
        <w:rPr>
          <w:i/>
          <w:iCs/>
        </w:rPr>
        <w:t>also</w:t>
      </w:r>
      <w:r w:rsidR="008243CA">
        <w:rPr>
          <w:i/>
          <w:iCs/>
        </w:rPr>
        <w:t xml:space="preserve"> </w:t>
      </w:r>
      <w:r w:rsidRPr="008D465B">
        <w:rPr>
          <w:i/>
          <w:iCs/>
        </w:rPr>
        <w:t>guarantee</w:t>
      </w:r>
      <w:r w:rsidR="008243CA">
        <w:rPr>
          <w:i/>
          <w:iCs/>
        </w:rPr>
        <w:t xml:space="preserve"> </w:t>
      </w:r>
      <w:r w:rsidRPr="008D465B">
        <w:rPr>
          <w:i/>
          <w:iCs/>
        </w:rPr>
        <w:t>access</w:t>
      </w:r>
      <w:r w:rsidR="008243CA">
        <w:rPr>
          <w:i/>
          <w:iCs/>
        </w:rPr>
        <w:t xml:space="preserve"> </w:t>
      </w:r>
      <w:r w:rsidRPr="008D465B">
        <w:rPr>
          <w:i/>
          <w:iCs/>
        </w:rPr>
        <w:t>for</w:t>
      </w:r>
      <w:r w:rsidR="008243CA">
        <w:rPr>
          <w:i/>
          <w:iCs/>
        </w:rPr>
        <w:t xml:space="preserve"> </w:t>
      </w:r>
      <w:r w:rsidRPr="008D465B">
        <w:rPr>
          <w:i/>
          <w:iCs/>
        </w:rPr>
        <w:t>victims</w:t>
      </w:r>
      <w:r w:rsidR="008243CA">
        <w:rPr>
          <w:i/>
          <w:iCs/>
        </w:rPr>
        <w:t xml:space="preserve"> </w:t>
      </w:r>
      <w:r w:rsidRPr="008D465B">
        <w:rPr>
          <w:i/>
          <w:iCs/>
        </w:rPr>
        <w:t>of</w:t>
      </w:r>
      <w:r w:rsidR="008243CA">
        <w:rPr>
          <w:i/>
          <w:iCs/>
        </w:rPr>
        <w:t xml:space="preserve"> </w:t>
      </w:r>
      <w:r w:rsidRPr="008D465B">
        <w:rPr>
          <w:i/>
          <w:iCs/>
        </w:rPr>
        <w:t>human</w:t>
      </w:r>
      <w:r w:rsidR="008243CA">
        <w:rPr>
          <w:i/>
          <w:iCs/>
        </w:rPr>
        <w:t xml:space="preserve"> </w:t>
      </w:r>
      <w:r w:rsidRPr="008D465B">
        <w:rPr>
          <w:i/>
          <w:iCs/>
        </w:rPr>
        <w:t>rights</w:t>
      </w:r>
      <w:r w:rsidR="008243CA">
        <w:rPr>
          <w:i/>
          <w:iCs/>
        </w:rPr>
        <w:t xml:space="preserve"> </w:t>
      </w:r>
      <w:r w:rsidRPr="008D465B">
        <w:rPr>
          <w:i/>
          <w:iCs/>
        </w:rPr>
        <w:t>violations</w:t>
      </w:r>
      <w:r w:rsidR="008243CA">
        <w:rPr>
          <w:i/>
          <w:iCs/>
        </w:rPr>
        <w:t xml:space="preserve"> </w:t>
      </w:r>
      <w:r w:rsidRPr="008D465B">
        <w:rPr>
          <w:i/>
          <w:iCs/>
        </w:rPr>
        <w:t>to</w:t>
      </w:r>
      <w:r w:rsidR="008243CA">
        <w:rPr>
          <w:i/>
          <w:iCs/>
        </w:rPr>
        <w:t xml:space="preserve"> </w:t>
      </w:r>
      <w:r w:rsidRPr="008D465B">
        <w:rPr>
          <w:i/>
          <w:iCs/>
        </w:rPr>
        <w:t>effective</w:t>
      </w:r>
      <w:r w:rsidR="008243CA">
        <w:rPr>
          <w:i/>
          <w:iCs/>
        </w:rPr>
        <w:t xml:space="preserve"> </w:t>
      </w:r>
      <w:r w:rsidRPr="008D465B">
        <w:rPr>
          <w:i/>
          <w:iCs/>
        </w:rPr>
        <w:t>remedies</w:t>
      </w:r>
      <w:r w:rsidR="008243CA">
        <w:rPr>
          <w:i/>
          <w:iCs/>
        </w:rPr>
        <w:t xml:space="preserve"> </w:t>
      </w:r>
      <w:r w:rsidRPr="008D465B">
        <w:rPr>
          <w:i/>
          <w:iCs/>
        </w:rPr>
        <w:t>under</w:t>
      </w:r>
      <w:r w:rsidR="008243CA">
        <w:rPr>
          <w:i/>
          <w:iCs/>
        </w:rPr>
        <w:t xml:space="preserve"> </w:t>
      </w:r>
      <w:r w:rsidRPr="008D465B">
        <w:rPr>
          <w:i/>
          <w:iCs/>
        </w:rPr>
        <w:t>ordinary</w:t>
      </w:r>
      <w:r w:rsidR="008243CA">
        <w:rPr>
          <w:i/>
          <w:iCs/>
        </w:rPr>
        <w:t xml:space="preserve"> </w:t>
      </w:r>
      <w:r w:rsidRPr="008D465B">
        <w:rPr>
          <w:i/>
          <w:iCs/>
        </w:rPr>
        <w:t>law,</w:t>
      </w:r>
      <w:r w:rsidR="008243CA">
        <w:rPr>
          <w:i/>
          <w:iCs/>
        </w:rPr>
        <w:t xml:space="preserve"> </w:t>
      </w:r>
      <w:r w:rsidRPr="008D465B">
        <w:rPr>
          <w:i/>
          <w:iCs/>
        </w:rPr>
        <w:t>including</w:t>
      </w:r>
      <w:r w:rsidR="008243CA">
        <w:rPr>
          <w:i/>
          <w:iCs/>
        </w:rPr>
        <w:t xml:space="preserve"> </w:t>
      </w:r>
      <w:r w:rsidRPr="008D465B">
        <w:rPr>
          <w:i/>
          <w:iCs/>
        </w:rPr>
        <w:t>comprehensive</w:t>
      </w:r>
      <w:r w:rsidR="008243CA">
        <w:rPr>
          <w:i/>
          <w:iCs/>
        </w:rPr>
        <w:t xml:space="preserve"> </w:t>
      </w:r>
      <w:r w:rsidRPr="008D465B">
        <w:rPr>
          <w:i/>
          <w:iCs/>
        </w:rPr>
        <w:t>redress,</w:t>
      </w:r>
      <w:r w:rsidR="008243CA">
        <w:rPr>
          <w:i/>
          <w:iCs/>
        </w:rPr>
        <w:t xml:space="preserve"> </w:t>
      </w:r>
      <w:r w:rsidRPr="008D465B">
        <w:rPr>
          <w:i/>
          <w:iCs/>
        </w:rPr>
        <w:t>rehabilitation,</w:t>
      </w:r>
      <w:r w:rsidR="008243CA">
        <w:rPr>
          <w:i/>
          <w:iCs/>
        </w:rPr>
        <w:t xml:space="preserve"> </w:t>
      </w:r>
      <w:r w:rsidRPr="008D465B">
        <w:rPr>
          <w:i/>
          <w:iCs/>
        </w:rPr>
        <w:t>measures</w:t>
      </w:r>
      <w:r w:rsidR="008243CA">
        <w:rPr>
          <w:i/>
          <w:iCs/>
        </w:rPr>
        <w:t xml:space="preserve"> </w:t>
      </w:r>
      <w:r w:rsidRPr="008D465B">
        <w:rPr>
          <w:i/>
          <w:iCs/>
        </w:rPr>
        <w:t>of</w:t>
      </w:r>
      <w:r w:rsidR="008243CA">
        <w:rPr>
          <w:i/>
          <w:iCs/>
        </w:rPr>
        <w:t xml:space="preserve"> </w:t>
      </w:r>
      <w:r w:rsidRPr="008D465B">
        <w:rPr>
          <w:i/>
          <w:iCs/>
        </w:rPr>
        <w:t>satisfaction</w:t>
      </w:r>
      <w:r w:rsidR="008243CA">
        <w:rPr>
          <w:i/>
          <w:iCs/>
        </w:rPr>
        <w:t xml:space="preserve"> </w:t>
      </w:r>
      <w:r w:rsidRPr="008D465B">
        <w:rPr>
          <w:i/>
          <w:iCs/>
        </w:rPr>
        <w:t>and</w:t>
      </w:r>
      <w:r w:rsidR="008243CA">
        <w:rPr>
          <w:i/>
          <w:iCs/>
        </w:rPr>
        <w:t xml:space="preserve"> </w:t>
      </w:r>
      <w:r w:rsidRPr="008D465B">
        <w:rPr>
          <w:i/>
          <w:iCs/>
        </w:rPr>
        <w:t>guarantees</w:t>
      </w:r>
      <w:r w:rsidR="008243CA">
        <w:rPr>
          <w:i/>
          <w:iCs/>
        </w:rPr>
        <w:t xml:space="preserve"> </w:t>
      </w:r>
      <w:r w:rsidRPr="008D465B">
        <w:rPr>
          <w:i/>
          <w:iCs/>
        </w:rPr>
        <w:t>of</w:t>
      </w:r>
      <w:r w:rsidR="008243CA">
        <w:rPr>
          <w:i/>
          <w:iCs/>
        </w:rPr>
        <w:t xml:space="preserve"> </w:t>
      </w:r>
      <w:r w:rsidRPr="008D465B">
        <w:rPr>
          <w:i/>
          <w:iCs/>
        </w:rPr>
        <w:t>non-repetition.</w:t>
      </w:r>
    </w:p>
    <w:p w:rsidR="003F7D03" w:rsidRPr="00E62FE6" w:rsidRDefault="003F7D03" w:rsidP="000C6D98">
      <w:pPr>
        <w:pStyle w:val="SingleTxtG"/>
      </w:pPr>
      <w:r w:rsidRPr="00E62FE6">
        <w:t>47.</w:t>
      </w:r>
      <w:r w:rsidRPr="00E62FE6">
        <w:tab/>
        <w:t>Under</w:t>
      </w:r>
      <w:r w:rsidR="008243CA">
        <w:t xml:space="preserve"> </w:t>
      </w:r>
      <w:r w:rsidRPr="00E62FE6">
        <w:t>Act</w:t>
      </w:r>
      <w:r w:rsidR="008243CA">
        <w:t xml:space="preserve"> </w:t>
      </w:r>
      <w:r w:rsidRPr="00E62FE6">
        <w:t>No.</w:t>
      </w:r>
      <w:r w:rsidR="008243CA">
        <w:t xml:space="preserve"> </w:t>
      </w:r>
      <w:r w:rsidRPr="00E62FE6">
        <w:t>20968</w:t>
      </w:r>
      <w:r w:rsidR="008243CA">
        <w:t xml:space="preserve"> </w:t>
      </w:r>
      <w:r w:rsidRPr="00E62FE6">
        <w:t>of</w:t>
      </w:r>
      <w:r w:rsidR="008243CA">
        <w:t xml:space="preserve"> </w:t>
      </w:r>
      <w:r w:rsidRPr="00E62FE6">
        <w:t>22</w:t>
      </w:r>
      <w:r w:rsidR="008243CA">
        <w:t xml:space="preserve"> </w:t>
      </w:r>
      <w:r w:rsidRPr="00E62FE6">
        <w:t>November</w:t>
      </w:r>
      <w:r w:rsidR="008243CA">
        <w:t xml:space="preserve"> </w:t>
      </w:r>
      <w:r w:rsidRPr="00E62FE6">
        <w:t>2016,</w:t>
      </w:r>
      <w:r w:rsidR="008243CA">
        <w:t xml:space="preserve"> </w:t>
      </w:r>
      <w:r w:rsidRPr="00E62FE6">
        <w:t>which</w:t>
      </w:r>
      <w:r w:rsidR="008243CA">
        <w:t xml:space="preserve"> </w:t>
      </w:r>
      <w:r w:rsidRPr="00E62FE6">
        <w:t>defines</w:t>
      </w:r>
      <w:r w:rsidR="008243CA">
        <w:t xml:space="preserve"> </w:t>
      </w:r>
      <w:r w:rsidRPr="00E62FE6">
        <w:t>the</w:t>
      </w:r>
      <w:r w:rsidR="008243CA">
        <w:t xml:space="preserve"> </w:t>
      </w:r>
      <w:r w:rsidRPr="00E62FE6">
        <w:t>offence</w:t>
      </w:r>
      <w:r w:rsidR="008243CA">
        <w:t xml:space="preserve"> </w:t>
      </w:r>
      <w:r w:rsidRPr="00E62FE6">
        <w:t>of</w:t>
      </w:r>
      <w:r w:rsidR="008243CA">
        <w:t xml:space="preserve"> </w:t>
      </w:r>
      <w:r w:rsidRPr="00E62FE6">
        <w:t>torture</w:t>
      </w:r>
      <w:r w:rsidR="008243CA">
        <w:t xml:space="preserve"> </w:t>
      </w:r>
      <w:r w:rsidRPr="00E62FE6">
        <w:t>and</w:t>
      </w:r>
      <w:r w:rsidR="008243CA">
        <w:t xml:space="preserve"> </w:t>
      </w:r>
      <w:r w:rsidRPr="00E62FE6">
        <w:t>cruel,</w:t>
      </w:r>
      <w:r w:rsidR="008243CA">
        <w:t xml:space="preserve"> </w:t>
      </w:r>
      <w:r w:rsidRPr="00E62FE6">
        <w:t>inhuman</w:t>
      </w:r>
      <w:r w:rsidR="008243CA">
        <w:t xml:space="preserve"> </w:t>
      </w:r>
      <w:r w:rsidRPr="00E62FE6">
        <w:t>and</w:t>
      </w:r>
      <w:r w:rsidR="008243CA">
        <w:t xml:space="preserve"> </w:t>
      </w:r>
      <w:r w:rsidRPr="00E62FE6">
        <w:t>degrading</w:t>
      </w:r>
      <w:r w:rsidR="008243CA">
        <w:t xml:space="preserve"> </w:t>
      </w:r>
      <w:r w:rsidRPr="00E62FE6">
        <w:t>treatment,</w:t>
      </w:r>
      <w:r w:rsidR="008243CA">
        <w:t xml:space="preserve"> </w:t>
      </w:r>
      <w:r w:rsidRPr="00E62FE6">
        <w:t>the</w:t>
      </w:r>
      <w:r w:rsidR="008243CA">
        <w:t xml:space="preserve"> </w:t>
      </w:r>
      <w:r w:rsidRPr="00E62FE6">
        <w:t>Code</w:t>
      </w:r>
      <w:r w:rsidR="008243CA">
        <w:t xml:space="preserve"> </w:t>
      </w:r>
      <w:r w:rsidRPr="00E62FE6">
        <w:t>of</w:t>
      </w:r>
      <w:r w:rsidR="008243CA">
        <w:t xml:space="preserve"> </w:t>
      </w:r>
      <w:r w:rsidRPr="00E62FE6">
        <w:t>Military</w:t>
      </w:r>
      <w:r w:rsidR="008243CA">
        <w:t xml:space="preserve"> </w:t>
      </w:r>
      <w:r w:rsidRPr="00E62FE6">
        <w:t>Justice</w:t>
      </w:r>
      <w:r w:rsidR="008243CA">
        <w:t xml:space="preserve"> </w:t>
      </w:r>
      <w:r w:rsidRPr="00E62FE6">
        <w:t>was</w:t>
      </w:r>
      <w:r w:rsidR="008243CA">
        <w:t xml:space="preserve"> </w:t>
      </w:r>
      <w:r w:rsidRPr="00E62FE6">
        <w:t>amended</w:t>
      </w:r>
      <w:r w:rsidR="008243CA">
        <w:t xml:space="preserve"> </w:t>
      </w:r>
      <w:r w:rsidRPr="00E62FE6">
        <w:t>to</w:t>
      </w:r>
      <w:r w:rsidR="008243CA">
        <w:t xml:space="preserve"> </w:t>
      </w:r>
      <w:r w:rsidRPr="00E62FE6">
        <w:t>ensure</w:t>
      </w:r>
      <w:r w:rsidR="008243CA">
        <w:t xml:space="preserve"> </w:t>
      </w:r>
      <w:r w:rsidRPr="00E62FE6">
        <w:t>that</w:t>
      </w:r>
      <w:r w:rsidR="008243CA">
        <w:t xml:space="preserve"> </w:t>
      </w:r>
      <w:r w:rsidRPr="00E62FE6">
        <w:t>cases</w:t>
      </w:r>
      <w:r w:rsidR="008243CA">
        <w:t xml:space="preserve"> </w:t>
      </w:r>
      <w:r w:rsidRPr="00E62FE6">
        <w:t>involving</w:t>
      </w:r>
      <w:r w:rsidR="008243CA">
        <w:t xml:space="preserve"> </w:t>
      </w:r>
      <w:r w:rsidRPr="00E62FE6">
        <w:t>civilians</w:t>
      </w:r>
      <w:r w:rsidR="008243CA">
        <w:t xml:space="preserve"> </w:t>
      </w:r>
      <w:r w:rsidRPr="00E62FE6">
        <w:t>or</w:t>
      </w:r>
      <w:r w:rsidR="008243CA">
        <w:t xml:space="preserve"> </w:t>
      </w:r>
      <w:r w:rsidRPr="00E62FE6">
        <w:t>minors,</w:t>
      </w:r>
      <w:r w:rsidR="008243CA">
        <w:t xml:space="preserve"> </w:t>
      </w:r>
      <w:r w:rsidRPr="00E62FE6">
        <w:t>whether</w:t>
      </w:r>
      <w:r w:rsidR="008243CA">
        <w:t xml:space="preserve"> </w:t>
      </w:r>
      <w:r w:rsidRPr="00E62FE6">
        <w:t>victims</w:t>
      </w:r>
      <w:r w:rsidR="008243CA">
        <w:t xml:space="preserve"> </w:t>
      </w:r>
      <w:r w:rsidRPr="00E62FE6">
        <w:t>or</w:t>
      </w:r>
      <w:r w:rsidR="008243CA">
        <w:t xml:space="preserve"> </w:t>
      </w:r>
      <w:r w:rsidRPr="00E62FE6">
        <w:t>defendants,</w:t>
      </w:r>
      <w:r w:rsidR="008243CA">
        <w:t xml:space="preserve"> </w:t>
      </w:r>
      <w:r w:rsidRPr="00E62FE6">
        <w:t>no</w:t>
      </w:r>
      <w:r w:rsidR="008243CA">
        <w:t xml:space="preserve"> </w:t>
      </w:r>
      <w:r w:rsidRPr="00E62FE6">
        <w:t>longer</w:t>
      </w:r>
      <w:r w:rsidR="008243CA">
        <w:t xml:space="preserve"> </w:t>
      </w:r>
      <w:r w:rsidRPr="00E62FE6">
        <w:t>fell</w:t>
      </w:r>
      <w:r w:rsidR="008243CA">
        <w:t xml:space="preserve"> </w:t>
      </w:r>
      <w:r w:rsidRPr="00E62FE6">
        <w:t>within</w:t>
      </w:r>
      <w:r w:rsidR="008243CA">
        <w:t xml:space="preserve"> </w:t>
      </w:r>
      <w:r w:rsidRPr="00E62FE6">
        <w:t>the</w:t>
      </w:r>
      <w:r w:rsidR="008243CA">
        <w:t xml:space="preserve"> </w:t>
      </w:r>
      <w:r w:rsidRPr="00E62FE6">
        <w:t>jurisdiction</w:t>
      </w:r>
      <w:r w:rsidR="008243CA">
        <w:t xml:space="preserve"> </w:t>
      </w:r>
      <w:r w:rsidRPr="00E62FE6">
        <w:t>of</w:t>
      </w:r>
      <w:r w:rsidR="008243CA">
        <w:t xml:space="preserve"> </w:t>
      </w:r>
      <w:r w:rsidRPr="00E62FE6">
        <w:t>military</w:t>
      </w:r>
      <w:r w:rsidR="008243CA">
        <w:t xml:space="preserve"> </w:t>
      </w:r>
      <w:r w:rsidRPr="00E62FE6">
        <w:t>courts.</w:t>
      </w:r>
      <w:r w:rsidR="008243CA">
        <w:t xml:space="preserve"> </w:t>
      </w:r>
      <w:r w:rsidRPr="00E62FE6">
        <w:t>This</w:t>
      </w:r>
      <w:r w:rsidR="008243CA">
        <w:t xml:space="preserve"> </w:t>
      </w:r>
      <w:r w:rsidRPr="00E62FE6">
        <w:t>amendment</w:t>
      </w:r>
      <w:r w:rsidR="008243CA">
        <w:t xml:space="preserve"> </w:t>
      </w:r>
      <w:r w:rsidRPr="00E62FE6">
        <w:t>fulfils</w:t>
      </w:r>
      <w:r w:rsidR="008243CA">
        <w:t xml:space="preserve"> </w:t>
      </w:r>
      <w:r w:rsidRPr="00E62FE6">
        <w:t>the</w:t>
      </w:r>
      <w:r w:rsidR="008243CA">
        <w:t xml:space="preserve"> </w:t>
      </w:r>
      <w:r w:rsidRPr="00E62FE6">
        <w:t>Subcommittee</w:t>
      </w:r>
      <w:r w:rsidR="00116F0B">
        <w:t>’</w:t>
      </w:r>
      <w:r w:rsidRPr="00E62FE6">
        <w:t>s</w:t>
      </w:r>
      <w:r w:rsidR="008243CA">
        <w:t xml:space="preserve"> </w:t>
      </w:r>
      <w:r w:rsidRPr="00E62FE6">
        <w:t>recommendation</w:t>
      </w:r>
      <w:r w:rsidR="008243CA">
        <w:t xml:space="preserve"> </w:t>
      </w:r>
      <w:r w:rsidRPr="00E62FE6">
        <w:t>that,</w:t>
      </w:r>
      <w:r w:rsidR="008243CA">
        <w:t xml:space="preserve"> </w:t>
      </w:r>
      <w:r w:rsidRPr="00E62FE6">
        <w:t>in</w:t>
      </w:r>
      <w:r w:rsidR="008243CA">
        <w:t xml:space="preserve"> </w:t>
      </w:r>
      <w:r w:rsidRPr="00E62FE6">
        <w:t>cases</w:t>
      </w:r>
      <w:r w:rsidR="008243CA">
        <w:t xml:space="preserve"> </w:t>
      </w:r>
      <w:r w:rsidRPr="00E62FE6">
        <w:t>of</w:t>
      </w:r>
      <w:r w:rsidR="008243CA">
        <w:t xml:space="preserve"> </w:t>
      </w:r>
      <w:r w:rsidRPr="00E62FE6">
        <w:t>torture,</w:t>
      </w:r>
      <w:r w:rsidR="008243CA">
        <w:t xml:space="preserve"> </w:t>
      </w:r>
      <w:r w:rsidRPr="00E62FE6">
        <w:t>military</w:t>
      </w:r>
      <w:r w:rsidR="008243CA">
        <w:t xml:space="preserve"> </w:t>
      </w:r>
      <w:r w:rsidRPr="00E62FE6">
        <w:t>jurisdiction</w:t>
      </w:r>
      <w:r w:rsidR="008243CA">
        <w:t xml:space="preserve"> </w:t>
      </w:r>
      <w:r w:rsidRPr="00E62FE6">
        <w:t>should</w:t>
      </w:r>
      <w:r w:rsidR="008243CA">
        <w:t xml:space="preserve"> </w:t>
      </w:r>
      <w:r w:rsidRPr="00E62FE6">
        <w:t>be</w:t>
      </w:r>
      <w:r w:rsidR="008243CA">
        <w:t xml:space="preserve"> </w:t>
      </w:r>
      <w:r w:rsidRPr="00E62FE6">
        <w:t>restrictive</w:t>
      </w:r>
      <w:r w:rsidR="008243CA">
        <w:t xml:space="preserve"> </w:t>
      </w:r>
      <w:r w:rsidRPr="00E62FE6">
        <w:t>and</w:t>
      </w:r>
      <w:r w:rsidR="008243CA">
        <w:t xml:space="preserve"> </w:t>
      </w:r>
      <w:r w:rsidRPr="00E62FE6">
        <w:t>should</w:t>
      </w:r>
      <w:r w:rsidR="008243CA">
        <w:t xml:space="preserve"> </w:t>
      </w:r>
      <w:r w:rsidRPr="00E62FE6">
        <w:t>apply</w:t>
      </w:r>
      <w:r w:rsidR="008243CA">
        <w:t xml:space="preserve"> </w:t>
      </w:r>
      <w:r w:rsidRPr="00E62FE6">
        <w:t>only</w:t>
      </w:r>
      <w:r w:rsidR="008243CA">
        <w:t xml:space="preserve"> </w:t>
      </w:r>
      <w:r w:rsidRPr="00E62FE6">
        <w:t>to</w:t>
      </w:r>
      <w:r w:rsidR="008243CA">
        <w:t xml:space="preserve"> </w:t>
      </w:r>
      <w:r w:rsidRPr="00E62FE6">
        <w:t>members</w:t>
      </w:r>
      <w:r w:rsidR="008243CA">
        <w:t xml:space="preserve"> </w:t>
      </w:r>
      <w:r w:rsidRPr="00E62FE6">
        <w:t>of</w:t>
      </w:r>
      <w:r w:rsidR="008243CA">
        <w:t xml:space="preserve"> </w:t>
      </w:r>
      <w:r w:rsidRPr="00E62FE6">
        <w:t>the</w:t>
      </w:r>
      <w:r w:rsidR="008243CA">
        <w:t xml:space="preserve"> </w:t>
      </w:r>
      <w:r w:rsidRPr="00E62FE6">
        <w:t>armed</w:t>
      </w:r>
      <w:r w:rsidR="008243CA">
        <w:t xml:space="preserve"> </w:t>
      </w:r>
      <w:r w:rsidRPr="00E62FE6">
        <w:t>forces.</w:t>
      </w:r>
    </w:p>
    <w:p w:rsidR="003F7D03" w:rsidRPr="00E62FE6" w:rsidRDefault="003F7D03" w:rsidP="000C6D98">
      <w:pPr>
        <w:pStyle w:val="SingleTxtG"/>
      </w:pPr>
      <w:r w:rsidRPr="00E62FE6">
        <w:t>48.</w:t>
      </w:r>
      <w:r w:rsidRPr="00E62FE6">
        <w:tab/>
        <w:t>As</w:t>
      </w:r>
      <w:r w:rsidR="008243CA">
        <w:t xml:space="preserve"> </w:t>
      </w:r>
      <w:r w:rsidRPr="00E62FE6">
        <w:t>regards</w:t>
      </w:r>
      <w:r w:rsidR="008243CA">
        <w:t xml:space="preserve"> </w:t>
      </w:r>
      <w:r w:rsidRPr="00E62FE6">
        <w:t>structural</w:t>
      </w:r>
      <w:r w:rsidR="008243CA">
        <w:t xml:space="preserve"> </w:t>
      </w:r>
      <w:r w:rsidRPr="00E62FE6">
        <w:t>changes</w:t>
      </w:r>
      <w:r w:rsidR="008243CA">
        <w:t xml:space="preserve"> </w:t>
      </w:r>
      <w:r w:rsidRPr="00E62FE6">
        <w:t>to</w:t>
      </w:r>
      <w:r w:rsidR="008243CA">
        <w:t xml:space="preserve"> </w:t>
      </w:r>
      <w:r w:rsidRPr="00E62FE6">
        <w:t>the</w:t>
      </w:r>
      <w:r w:rsidR="008243CA">
        <w:t xml:space="preserve"> </w:t>
      </w:r>
      <w:r w:rsidRPr="00E62FE6">
        <w:t>military</w:t>
      </w:r>
      <w:r w:rsidR="008243CA">
        <w:t xml:space="preserve"> </w:t>
      </w:r>
      <w:r w:rsidRPr="00E62FE6">
        <w:t>justice</w:t>
      </w:r>
      <w:r w:rsidR="008243CA">
        <w:t xml:space="preserve"> </w:t>
      </w:r>
      <w:r w:rsidRPr="00E62FE6">
        <w:t>system,</w:t>
      </w:r>
      <w:r w:rsidR="008243CA">
        <w:t xml:space="preserve"> </w:t>
      </w:r>
      <w:r w:rsidRPr="00E62FE6">
        <w:t>the</w:t>
      </w:r>
      <w:r w:rsidR="008243CA">
        <w:t xml:space="preserve"> </w:t>
      </w:r>
      <w:r w:rsidRPr="00E62FE6">
        <w:t>executive</w:t>
      </w:r>
      <w:r w:rsidR="008243CA">
        <w:t xml:space="preserve"> </w:t>
      </w:r>
      <w:r w:rsidRPr="00E62FE6">
        <w:t>branch</w:t>
      </w:r>
      <w:r w:rsidR="008243CA">
        <w:t xml:space="preserve"> </w:t>
      </w:r>
      <w:r w:rsidRPr="00E62FE6">
        <w:t>is</w:t>
      </w:r>
      <w:r w:rsidR="008243CA">
        <w:t xml:space="preserve"> </w:t>
      </w:r>
      <w:r w:rsidRPr="00E62FE6">
        <w:t>working</w:t>
      </w:r>
      <w:r w:rsidR="008243CA">
        <w:t xml:space="preserve"> </w:t>
      </w:r>
      <w:r w:rsidRPr="00E62FE6">
        <w:t>on</w:t>
      </w:r>
      <w:r w:rsidR="008243CA">
        <w:t xml:space="preserve"> </w:t>
      </w:r>
      <w:r w:rsidRPr="00E62FE6">
        <w:t>the</w:t>
      </w:r>
      <w:r w:rsidR="008243CA">
        <w:t xml:space="preserve"> </w:t>
      </w:r>
      <w:r w:rsidRPr="00E62FE6">
        <w:t>development</w:t>
      </w:r>
      <w:r w:rsidR="008243CA">
        <w:t xml:space="preserve"> </w:t>
      </w:r>
      <w:r w:rsidRPr="00E62FE6">
        <w:t>of</w:t>
      </w:r>
      <w:r w:rsidR="008243CA">
        <w:t xml:space="preserve"> </w:t>
      </w:r>
      <w:r w:rsidRPr="00E62FE6">
        <w:t>new</w:t>
      </w:r>
      <w:r w:rsidR="008243CA">
        <w:t xml:space="preserve"> </w:t>
      </w:r>
      <w:r w:rsidRPr="00E62FE6">
        <w:t>legislation</w:t>
      </w:r>
      <w:r w:rsidR="008243CA">
        <w:t xml:space="preserve"> </w:t>
      </w:r>
      <w:r w:rsidRPr="00E62FE6">
        <w:t>that</w:t>
      </w:r>
      <w:r w:rsidR="008243CA">
        <w:t xml:space="preserve"> </w:t>
      </w:r>
      <w:r w:rsidRPr="00E62FE6">
        <w:t>meets</w:t>
      </w:r>
      <w:r w:rsidR="008243CA">
        <w:t xml:space="preserve"> </w:t>
      </w:r>
      <w:r w:rsidRPr="00E62FE6">
        <w:t>the</w:t>
      </w:r>
      <w:r w:rsidR="008243CA">
        <w:t xml:space="preserve"> </w:t>
      </w:r>
      <w:r w:rsidRPr="00E62FE6">
        <w:t>standards</w:t>
      </w:r>
      <w:r w:rsidR="008243CA">
        <w:t xml:space="preserve"> </w:t>
      </w:r>
      <w:r w:rsidRPr="00E62FE6">
        <w:t>established</w:t>
      </w:r>
      <w:r w:rsidR="008243CA">
        <w:t xml:space="preserve"> </w:t>
      </w:r>
      <w:r w:rsidRPr="00E62FE6">
        <w:t>by</w:t>
      </w:r>
      <w:r w:rsidR="008243CA">
        <w:t xml:space="preserve"> </w:t>
      </w:r>
      <w:r w:rsidRPr="00E62FE6">
        <w:t>the</w:t>
      </w:r>
      <w:r w:rsidR="008243CA">
        <w:t xml:space="preserve"> </w:t>
      </w:r>
      <w:r w:rsidRPr="00E62FE6">
        <w:t>Subcommittee</w:t>
      </w:r>
      <w:r w:rsidR="008243CA">
        <w:t xml:space="preserve"> </w:t>
      </w:r>
      <w:r w:rsidRPr="00E62FE6">
        <w:t>in</w:t>
      </w:r>
      <w:r w:rsidR="008243CA">
        <w:t xml:space="preserve"> </w:t>
      </w:r>
      <w:r w:rsidRPr="00E62FE6">
        <w:t>this</w:t>
      </w:r>
      <w:r w:rsidR="008243CA">
        <w:t xml:space="preserve"> </w:t>
      </w:r>
      <w:r w:rsidRPr="00E62FE6">
        <w:t>area.</w:t>
      </w:r>
    </w:p>
    <w:p w:rsidR="003F7D03" w:rsidRPr="00E62FE6" w:rsidRDefault="003F7D03" w:rsidP="007A4DC3">
      <w:pPr>
        <w:pStyle w:val="H23G"/>
      </w:pPr>
      <w:r w:rsidRPr="00E62FE6">
        <w:tab/>
      </w:r>
      <w:bookmarkStart w:id="39" w:name="_Toc512870682"/>
      <w:bookmarkStart w:id="40" w:name="_Toc512870844"/>
      <w:r w:rsidRPr="00E62FE6">
        <w:t>2.1.6</w:t>
      </w:r>
      <w:r w:rsidRPr="00E62FE6">
        <w:tab/>
        <w:t>Use</w:t>
      </w:r>
      <w:r w:rsidR="008243CA">
        <w:t xml:space="preserve"> </w:t>
      </w:r>
      <w:r w:rsidRPr="00E62FE6">
        <w:t>of</w:t>
      </w:r>
      <w:r w:rsidR="008243CA">
        <w:t xml:space="preserve"> </w:t>
      </w:r>
      <w:r w:rsidRPr="00E62FE6">
        <w:t>special</w:t>
      </w:r>
      <w:r w:rsidR="008243CA">
        <w:t xml:space="preserve"> </w:t>
      </w:r>
      <w:r w:rsidRPr="00E62FE6">
        <w:t>legislation</w:t>
      </w:r>
      <w:r w:rsidR="008243CA">
        <w:t xml:space="preserve"> </w:t>
      </w:r>
      <w:r w:rsidRPr="00E62FE6">
        <w:t>against</w:t>
      </w:r>
      <w:r w:rsidR="008243CA">
        <w:t xml:space="preserve"> </w:t>
      </w:r>
      <w:r w:rsidRPr="00E62FE6">
        <w:t>the</w:t>
      </w:r>
      <w:r w:rsidR="008243CA">
        <w:t xml:space="preserve"> </w:t>
      </w:r>
      <w:proofErr w:type="spellStart"/>
      <w:r w:rsidRPr="00E62FE6">
        <w:t>Mapuche</w:t>
      </w:r>
      <w:proofErr w:type="spellEnd"/>
      <w:r w:rsidR="008243CA">
        <w:t xml:space="preserve"> </w:t>
      </w:r>
      <w:r w:rsidRPr="00E62FE6">
        <w:t>people</w:t>
      </w:r>
      <w:bookmarkEnd w:id="39"/>
      <w:bookmarkEnd w:id="40"/>
    </w:p>
    <w:p w:rsidR="003F7D03" w:rsidRPr="00E62FE6" w:rsidRDefault="003F7D03" w:rsidP="000C6D98">
      <w:pPr>
        <w:pStyle w:val="SingleTxtG"/>
      </w:pPr>
      <w:r w:rsidRPr="00E62FE6">
        <w:t>49.</w:t>
      </w:r>
      <w:r w:rsidRPr="00E62FE6">
        <w:tab/>
        <w:t>Paragraph</w:t>
      </w:r>
      <w:r w:rsidR="008243CA">
        <w:t xml:space="preserve"> </w:t>
      </w:r>
      <w:r w:rsidRPr="00E62FE6">
        <w:t>119:</w:t>
      </w:r>
      <w:r w:rsidR="008243CA">
        <w:t xml:space="preserve"> </w:t>
      </w:r>
      <w:r w:rsidRPr="007A4DC3">
        <w:rPr>
          <w:i/>
          <w:iCs/>
        </w:rPr>
        <w:t>The</w:t>
      </w:r>
      <w:r w:rsidR="008243CA">
        <w:rPr>
          <w:i/>
          <w:iCs/>
        </w:rPr>
        <w:t xml:space="preserve"> </w:t>
      </w:r>
      <w:r w:rsidRPr="007A4DC3">
        <w:rPr>
          <w:i/>
          <w:iCs/>
        </w:rPr>
        <w:t>Subcommittee</w:t>
      </w:r>
      <w:r w:rsidR="008243CA">
        <w:rPr>
          <w:i/>
          <w:iCs/>
        </w:rPr>
        <w:t xml:space="preserve"> </w:t>
      </w:r>
      <w:r w:rsidRPr="007A4DC3">
        <w:rPr>
          <w:i/>
          <w:iCs/>
        </w:rPr>
        <w:t>recommends</w:t>
      </w:r>
      <w:r w:rsidR="008243CA">
        <w:rPr>
          <w:i/>
          <w:iCs/>
        </w:rPr>
        <w:t xml:space="preserve"> </w:t>
      </w:r>
      <w:r w:rsidRPr="007A4DC3">
        <w:rPr>
          <w:i/>
          <w:iCs/>
        </w:rPr>
        <w:t>that</w:t>
      </w:r>
      <w:r w:rsidR="008243CA">
        <w:rPr>
          <w:i/>
          <w:iCs/>
        </w:rPr>
        <w:t xml:space="preserve"> </w:t>
      </w:r>
      <w:r w:rsidRPr="007A4DC3">
        <w:rPr>
          <w:i/>
          <w:iCs/>
        </w:rPr>
        <w:t>the</w:t>
      </w:r>
      <w:r w:rsidR="008243CA">
        <w:rPr>
          <w:i/>
          <w:iCs/>
        </w:rPr>
        <w:t xml:space="preserve"> </w:t>
      </w:r>
      <w:r w:rsidRPr="007A4DC3">
        <w:rPr>
          <w:i/>
          <w:iCs/>
        </w:rPr>
        <w:t>application</w:t>
      </w:r>
      <w:r w:rsidR="008243CA">
        <w:rPr>
          <w:i/>
          <w:iCs/>
        </w:rPr>
        <w:t xml:space="preserve"> </w:t>
      </w:r>
      <w:r w:rsidRPr="007A4DC3">
        <w:rPr>
          <w:i/>
          <w:iCs/>
        </w:rPr>
        <w:t>of</w:t>
      </w:r>
      <w:r w:rsidR="008243CA">
        <w:rPr>
          <w:i/>
          <w:iCs/>
        </w:rPr>
        <w:t xml:space="preserve"> </w:t>
      </w:r>
      <w:r w:rsidRPr="007A4DC3">
        <w:rPr>
          <w:i/>
          <w:iCs/>
        </w:rPr>
        <w:t>special</w:t>
      </w:r>
      <w:r w:rsidR="008243CA">
        <w:rPr>
          <w:i/>
          <w:iCs/>
        </w:rPr>
        <w:t xml:space="preserve"> </w:t>
      </w:r>
      <w:r w:rsidRPr="007A4DC3">
        <w:rPr>
          <w:i/>
          <w:iCs/>
        </w:rPr>
        <w:t>criminal</w:t>
      </w:r>
      <w:r w:rsidR="008243CA">
        <w:rPr>
          <w:i/>
          <w:iCs/>
        </w:rPr>
        <w:t xml:space="preserve"> </w:t>
      </w:r>
      <w:r w:rsidRPr="007A4DC3">
        <w:rPr>
          <w:i/>
          <w:iCs/>
        </w:rPr>
        <w:t>laws</w:t>
      </w:r>
      <w:r w:rsidR="008243CA">
        <w:rPr>
          <w:i/>
          <w:iCs/>
        </w:rPr>
        <w:t xml:space="preserve"> </w:t>
      </w:r>
      <w:r w:rsidRPr="007A4DC3">
        <w:rPr>
          <w:i/>
          <w:iCs/>
        </w:rPr>
        <w:t>to</w:t>
      </w:r>
      <w:r w:rsidR="008243CA">
        <w:rPr>
          <w:i/>
          <w:iCs/>
        </w:rPr>
        <w:t xml:space="preserve"> </w:t>
      </w:r>
      <w:r w:rsidRPr="007A4DC3">
        <w:rPr>
          <w:i/>
          <w:iCs/>
        </w:rPr>
        <w:t>individuals</w:t>
      </w:r>
      <w:r w:rsidR="008243CA">
        <w:rPr>
          <w:i/>
          <w:iCs/>
        </w:rPr>
        <w:t xml:space="preserve"> </w:t>
      </w:r>
      <w:r w:rsidRPr="007A4DC3">
        <w:rPr>
          <w:i/>
          <w:iCs/>
        </w:rPr>
        <w:t>belonging</w:t>
      </w:r>
      <w:r w:rsidR="008243CA">
        <w:rPr>
          <w:i/>
          <w:iCs/>
        </w:rPr>
        <w:t xml:space="preserve"> </w:t>
      </w:r>
      <w:r w:rsidRPr="007A4DC3">
        <w:rPr>
          <w:i/>
          <w:iCs/>
        </w:rPr>
        <w:t>to</w:t>
      </w:r>
      <w:r w:rsidR="008243CA">
        <w:rPr>
          <w:i/>
          <w:iCs/>
        </w:rPr>
        <w:t xml:space="preserve"> </w:t>
      </w:r>
      <w:r w:rsidRPr="007A4DC3">
        <w:rPr>
          <w:i/>
          <w:iCs/>
        </w:rPr>
        <w:t>the</w:t>
      </w:r>
      <w:r w:rsidR="008243CA">
        <w:rPr>
          <w:i/>
          <w:iCs/>
        </w:rPr>
        <w:t xml:space="preserve"> </w:t>
      </w:r>
      <w:proofErr w:type="spellStart"/>
      <w:r w:rsidRPr="007A4DC3">
        <w:rPr>
          <w:i/>
          <w:iCs/>
        </w:rPr>
        <w:t>Mapuche</w:t>
      </w:r>
      <w:proofErr w:type="spellEnd"/>
      <w:r w:rsidR="008243CA">
        <w:rPr>
          <w:i/>
          <w:iCs/>
        </w:rPr>
        <w:t xml:space="preserve"> </w:t>
      </w:r>
      <w:r w:rsidRPr="007A4DC3">
        <w:rPr>
          <w:i/>
          <w:iCs/>
        </w:rPr>
        <w:t>people</w:t>
      </w:r>
      <w:r w:rsidR="008243CA">
        <w:rPr>
          <w:i/>
          <w:iCs/>
        </w:rPr>
        <w:t xml:space="preserve"> </w:t>
      </w:r>
      <w:r w:rsidRPr="007A4DC3">
        <w:rPr>
          <w:i/>
          <w:iCs/>
        </w:rPr>
        <w:t>should</w:t>
      </w:r>
      <w:r w:rsidR="008243CA">
        <w:rPr>
          <w:i/>
          <w:iCs/>
        </w:rPr>
        <w:t xml:space="preserve"> </w:t>
      </w:r>
      <w:r w:rsidRPr="007A4DC3">
        <w:rPr>
          <w:i/>
          <w:iCs/>
        </w:rPr>
        <w:t>cease</w:t>
      </w:r>
      <w:r w:rsidR="008243CA">
        <w:rPr>
          <w:i/>
          <w:iCs/>
        </w:rPr>
        <w:t xml:space="preserve"> </w:t>
      </w:r>
      <w:r w:rsidRPr="007A4DC3">
        <w:rPr>
          <w:i/>
          <w:iCs/>
        </w:rPr>
        <w:t>immediately.</w:t>
      </w:r>
      <w:r w:rsidR="008243CA">
        <w:rPr>
          <w:i/>
          <w:iCs/>
        </w:rPr>
        <w:t xml:space="preserve"> </w:t>
      </w:r>
      <w:r w:rsidRPr="007A4DC3">
        <w:rPr>
          <w:i/>
          <w:iCs/>
        </w:rPr>
        <w:t>It</w:t>
      </w:r>
      <w:r w:rsidR="008243CA">
        <w:rPr>
          <w:i/>
          <w:iCs/>
        </w:rPr>
        <w:t xml:space="preserve"> </w:t>
      </w:r>
      <w:r w:rsidRPr="007A4DC3">
        <w:rPr>
          <w:i/>
          <w:iCs/>
        </w:rPr>
        <w:t>further</w:t>
      </w:r>
      <w:r w:rsidR="008243CA">
        <w:rPr>
          <w:i/>
          <w:iCs/>
        </w:rPr>
        <w:t xml:space="preserve"> </w:t>
      </w:r>
      <w:r w:rsidRPr="007A4DC3">
        <w:rPr>
          <w:i/>
          <w:iCs/>
        </w:rPr>
        <w:t>recommends</w:t>
      </w:r>
      <w:r w:rsidR="008243CA">
        <w:rPr>
          <w:i/>
          <w:iCs/>
        </w:rPr>
        <w:t xml:space="preserve"> </w:t>
      </w:r>
      <w:r w:rsidRPr="007A4DC3">
        <w:rPr>
          <w:i/>
          <w:iCs/>
        </w:rPr>
        <w:t>that</w:t>
      </w:r>
      <w:r w:rsidR="008243CA">
        <w:rPr>
          <w:i/>
          <w:iCs/>
        </w:rPr>
        <w:t xml:space="preserve"> </w:t>
      </w:r>
      <w:r w:rsidRPr="007A4DC3">
        <w:rPr>
          <w:i/>
          <w:iCs/>
        </w:rPr>
        <w:t>counter-terrorism</w:t>
      </w:r>
      <w:r w:rsidR="008243CA">
        <w:rPr>
          <w:i/>
          <w:iCs/>
        </w:rPr>
        <w:t xml:space="preserve"> </w:t>
      </w:r>
      <w:r w:rsidRPr="007A4DC3">
        <w:rPr>
          <w:i/>
          <w:iCs/>
        </w:rPr>
        <w:t>legislation</w:t>
      </w:r>
      <w:r w:rsidR="008243CA">
        <w:rPr>
          <w:i/>
          <w:iCs/>
        </w:rPr>
        <w:t xml:space="preserve"> </w:t>
      </w:r>
      <w:r w:rsidRPr="007A4DC3">
        <w:rPr>
          <w:i/>
          <w:iCs/>
        </w:rPr>
        <w:t>should</w:t>
      </w:r>
      <w:r w:rsidR="008243CA">
        <w:rPr>
          <w:i/>
          <w:iCs/>
        </w:rPr>
        <w:t xml:space="preserve"> </w:t>
      </w:r>
      <w:r w:rsidRPr="007A4DC3">
        <w:rPr>
          <w:i/>
          <w:iCs/>
        </w:rPr>
        <w:t>be</w:t>
      </w:r>
      <w:r w:rsidR="008243CA">
        <w:rPr>
          <w:i/>
          <w:iCs/>
        </w:rPr>
        <w:t xml:space="preserve"> </w:t>
      </w:r>
      <w:r w:rsidRPr="007A4DC3">
        <w:rPr>
          <w:i/>
          <w:iCs/>
        </w:rPr>
        <w:t>applied</w:t>
      </w:r>
      <w:r w:rsidR="008243CA">
        <w:rPr>
          <w:i/>
          <w:iCs/>
        </w:rPr>
        <w:t xml:space="preserve"> </w:t>
      </w:r>
      <w:r w:rsidRPr="007A4DC3">
        <w:rPr>
          <w:i/>
          <w:iCs/>
        </w:rPr>
        <w:t>only</w:t>
      </w:r>
      <w:r w:rsidR="008243CA">
        <w:rPr>
          <w:i/>
          <w:iCs/>
        </w:rPr>
        <w:t xml:space="preserve"> </w:t>
      </w:r>
      <w:r w:rsidRPr="007A4DC3">
        <w:rPr>
          <w:i/>
          <w:iCs/>
        </w:rPr>
        <w:t>to</w:t>
      </w:r>
      <w:r w:rsidR="008243CA">
        <w:rPr>
          <w:i/>
          <w:iCs/>
        </w:rPr>
        <w:t xml:space="preserve"> </w:t>
      </w:r>
      <w:r w:rsidRPr="007A4DC3">
        <w:rPr>
          <w:i/>
          <w:iCs/>
        </w:rPr>
        <w:t>terrorist</w:t>
      </w:r>
      <w:r w:rsidR="008243CA">
        <w:rPr>
          <w:i/>
          <w:iCs/>
        </w:rPr>
        <w:t xml:space="preserve"> </w:t>
      </w:r>
      <w:r w:rsidRPr="007A4DC3">
        <w:rPr>
          <w:i/>
          <w:iCs/>
        </w:rPr>
        <w:t>offences,</w:t>
      </w:r>
      <w:r w:rsidR="008243CA">
        <w:rPr>
          <w:i/>
          <w:iCs/>
        </w:rPr>
        <w:t xml:space="preserve"> </w:t>
      </w:r>
      <w:r w:rsidRPr="007A4DC3">
        <w:rPr>
          <w:i/>
          <w:iCs/>
        </w:rPr>
        <w:t>using</w:t>
      </w:r>
      <w:r w:rsidR="008243CA">
        <w:rPr>
          <w:i/>
          <w:iCs/>
        </w:rPr>
        <w:t xml:space="preserve"> </w:t>
      </w:r>
      <w:r w:rsidRPr="007A4DC3">
        <w:rPr>
          <w:i/>
          <w:iCs/>
        </w:rPr>
        <w:t>a</w:t>
      </w:r>
      <w:r w:rsidR="008243CA">
        <w:rPr>
          <w:i/>
          <w:iCs/>
        </w:rPr>
        <w:t xml:space="preserve"> </w:t>
      </w:r>
      <w:r w:rsidRPr="007A4DC3">
        <w:rPr>
          <w:i/>
          <w:iCs/>
        </w:rPr>
        <w:t>restrictive</w:t>
      </w:r>
      <w:r w:rsidR="008243CA">
        <w:rPr>
          <w:i/>
          <w:iCs/>
        </w:rPr>
        <w:t xml:space="preserve"> </w:t>
      </w:r>
      <w:r w:rsidRPr="007A4DC3">
        <w:rPr>
          <w:i/>
          <w:iCs/>
        </w:rPr>
        <w:t>interpretation</w:t>
      </w:r>
      <w:r w:rsidR="008243CA">
        <w:rPr>
          <w:i/>
          <w:iCs/>
        </w:rPr>
        <w:t xml:space="preserve"> </w:t>
      </w:r>
      <w:r w:rsidRPr="007A4DC3">
        <w:rPr>
          <w:i/>
          <w:iCs/>
        </w:rPr>
        <w:t>of</w:t>
      </w:r>
      <w:r w:rsidR="008243CA">
        <w:rPr>
          <w:i/>
          <w:iCs/>
        </w:rPr>
        <w:t xml:space="preserve"> </w:t>
      </w:r>
      <w:r w:rsidRPr="007A4DC3">
        <w:rPr>
          <w:i/>
          <w:iCs/>
        </w:rPr>
        <w:t>such</w:t>
      </w:r>
      <w:r w:rsidR="008243CA">
        <w:rPr>
          <w:i/>
          <w:iCs/>
        </w:rPr>
        <w:t xml:space="preserve"> </w:t>
      </w:r>
      <w:r w:rsidRPr="007A4DC3">
        <w:rPr>
          <w:i/>
          <w:iCs/>
        </w:rPr>
        <w:t>offences,</w:t>
      </w:r>
      <w:r w:rsidR="008243CA">
        <w:rPr>
          <w:i/>
          <w:iCs/>
        </w:rPr>
        <w:t xml:space="preserve"> </w:t>
      </w:r>
      <w:r w:rsidRPr="007A4DC3">
        <w:rPr>
          <w:i/>
          <w:iCs/>
        </w:rPr>
        <w:t>and</w:t>
      </w:r>
      <w:r w:rsidR="008243CA">
        <w:rPr>
          <w:i/>
          <w:iCs/>
        </w:rPr>
        <w:t xml:space="preserve"> </w:t>
      </w:r>
      <w:r w:rsidRPr="007A4DC3">
        <w:rPr>
          <w:i/>
          <w:iCs/>
        </w:rPr>
        <w:t>should</w:t>
      </w:r>
      <w:r w:rsidR="008243CA">
        <w:rPr>
          <w:i/>
          <w:iCs/>
        </w:rPr>
        <w:t xml:space="preserve"> </w:t>
      </w:r>
      <w:r w:rsidRPr="007A4DC3">
        <w:rPr>
          <w:i/>
          <w:iCs/>
        </w:rPr>
        <w:t>not</w:t>
      </w:r>
      <w:r w:rsidR="008243CA">
        <w:rPr>
          <w:i/>
          <w:iCs/>
        </w:rPr>
        <w:t xml:space="preserve"> </w:t>
      </w:r>
      <w:r w:rsidRPr="007A4DC3">
        <w:rPr>
          <w:i/>
          <w:iCs/>
        </w:rPr>
        <w:t>be</w:t>
      </w:r>
      <w:r w:rsidR="008243CA">
        <w:rPr>
          <w:i/>
          <w:iCs/>
        </w:rPr>
        <w:t xml:space="preserve"> </w:t>
      </w:r>
      <w:r w:rsidRPr="007A4DC3">
        <w:rPr>
          <w:i/>
          <w:iCs/>
        </w:rPr>
        <w:t>applied</w:t>
      </w:r>
      <w:r w:rsidR="008243CA">
        <w:rPr>
          <w:i/>
          <w:iCs/>
        </w:rPr>
        <w:t xml:space="preserve"> </w:t>
      </w:r>
      <w:r w:rsidRPr="007A4DC3">
        <w:rPr>
          <w:i/>
          <w:iCs/>
        </w:rPr>
        <w:t>to</w:t>
      </w:r>
      <w:r w:rsidR="008243CA">
        <w:rPr>
          <w:i/>
          <w:iCs/>
        </w:rPr>
        <w:t xml:space="preserve"> </w:t>
      </w:r>
      <w:r w:rsidRPr="007A4DC3">
        <w:rPr>
          <w:i/>
          <w:iCs/>
        </w:rPr>
        <w:t>acts</w:t>
      </w:r>
      <w:r w:rsidR="008243CA">
        <w:rPr>
          <w:i/>
          <w:iCs/>
        </w:rPr>
        <w:t xml:space="preserve"> </w:t>
      </w:r>
      <w:r w:rsidRPr="007A4DC3">
        <w:rPr>
          <w:i/>
          <w:iCs/>
        </w:rPr>
        <w:t>of</w:t>
      </w:r>
      <w:r w:rsidR="008243CA">
        <w:rPr>
          <w:i/>
          <w:iCs/>
        </w:rPr>
        <w:t xml:space="preserve"> </w:t>
      </w:r>
      <w:r w:rsidRPr="007A4DC3">
        <w:rPr>
          <w:i/>
          <w:iCs/>
        </w:rPr>
        <w:t>social</w:t>
      </w:r>
      <w:r w:rsidR="008243CA">
        <w:rPr>
          <w:i/>
          <w:iCs/>
        </w:rPr>
        <w:t xml:space="preserve"> </w:t>
      </w:r>
      <w:r w:rsidRPr="007A4DC3">
        <w:rPr>
          <w:i/>
          <w:iCs/>
        </w:rPr>
        <w:t>protest</w:t>
      </w:r>
      <w:r w:rsidR="008243CA">
        <w:rPr>
          <w:i/>
          <w:iCs/>
        </w:rPr>
        <w:t xml:space="preserve"> </w:t>
      </w:r>
      <w:r w:rsidRPr="007A4DC3">
        <w:rPr>
          <w:i/>
          <w:iCs/>
        </w:rPr>
        <w:t>by</w:t>
      </w:r>
      <w:r w:rsidR="008243CA">
        <w:rPr>
          <w:i/>
          <w:iCs/>
        </w:rPr>
        <w:t xml:space="preserve"> </w:t>
      </w:r>
      <w:r w:rsidRPr="007A4DC3">
        <w:rPr>
          <w:i/>
          <w:iCs/>
        </w:rPr>
        <w:t>any</w:t>
      </w:r>
      <w:r w:rsidR="008243CA">
        <w:rPr>
          <w:i/>
          <w:iCs/>
        </w:rPr>
        <w:t xml:space="preserve"> </w:t>
      </w:r>
      <w:r w:rsidRPr="007A4DC3">
        <w:rPr>
          <w:i/>
          <w:iCs/>
        </w:rPr>
        <w:t>group,</w:t>
      </w:r>
      <w:r w:rsidR="008243CA">
        <w:rPr>
          <w:i/>
          <w:iCs/>
        </w:rPr>
        <w:t xml:space="preserve"> </w:t>
      </w:r>
      <w:r w:rsidRPr="007A4DC3">
        <w:rPr>
          <w:i/>
          <w:iCs/>
        </w:rPr>
        <w:t>including</w:t>
      </w:r>
      <w:r w:rsidR="008243CA">
        <w:rPr>
          <w:i/>
          <w:iCs/>
        </w:rPr>
        <w:t xml:space="preserve"> </w:t>
      </w:r>
      <w:r w:rsidRPr="007A4DC3">
        <w:rPr>
          <w:i/>
          <w:iCs/>
        </w:rPr>
        <w:t>the</w:t>
      </w:r>
      <w:r w:rsidR="008243CA">
        <w:rPr>
          <w:i/>
          <w:iCs/>
        </w:rPr>
        <w:t xml:space="preserve"> </w:t>
      </w:r>
      <w:proofErr w:type="spellStart"/>
      <w:r w:rsidRPr="007A4DC3">
        <w:rPr>
          <w:i/>
          <w:iCs/>
        </w:rPr>
        <w:t>Mapuche</w:t>
      </w:r>
      <w:proofErr w:type="spellEnd"/>
      <w:r w:rsidR="008243CA">
        <w:rPr>
          <w:i/>
          <w:iCs/>
        </w:rPr>
        <w:t xml:space="preserve"> </w:t>
      </w:r>
      <w:r w:rsidRPr="007A4DC3">
        <w:rPr>
          <w:i/>
          <w:iCs/>
        </w:rPr>
        <w:t>people.</w:t>
      </w:r>
    </w:p>
    <w:p w:rsidR="003F7D03" w:rsidRPr="00E62FE6" w:rsidRDefault="003F7D03" w:rsidP="000C6D98">
      <w:pPr>
        <w:pStyle w:val="SingleTxtG"/>
      </w:pPr>
      <w:r w:rsidRPr="00E62FE6">
        <w:t>50.</w:t>
      </w:r>
      <w:r w:rsidRPr="00E62FE6">
        <w:tab/>
        <w:t>International</w:t>
      </w:r>
      <w:r w:rsidR="008243CA">
        <w:t xml:space="preserve"> </w:t>
      </w:r>
      <w:r w:rsidRPr="00E62FE6">
        <w:t>human</w:t>
      </w:r>
      <w:r w:rsidR="008243CA">
        <w:t xml:space="preserve"> </w:t>
      </w:r>
      <w:r w:rsidRPr="00E62FE6">
        <w:t>rights</w:t>
      </w:r>
      <w:r w:rsidR="008243CA">
        <w:t xml:space="preserve"> </w:t>
      </w:r>
      <w:r w:rsidRPr="00E62FE6">
        <w:t>bodies</w:t>
      </w:r>
      <w:r w:rsidR="008243CA">
        <w:t xml:space="preserve"> </w:t>
      </w:r>
      <w:r w:rsidRPr="00E62FE6">
        <w:t>have</w:t>
      </w:r>
      <w:r w:rsidR="008243CA">
        <w:t xml:space="preserve"> </w:t>
      </w:r>
      <w:r w:rsidRPr="00E62FE6">
        <w:t>recommended</w:t>
      </w:r>
      <w:r w:rsidR="008243CA">
        <w:t xml:space="preserve"> </w:t>
      </w:r>
      <w:r w:rsidRPr="00E62FE6">
        <w:t>that</w:t>
      </w:r>
      <w:r w:rsidR="008243CA">
        <w:t xml:space="preserve"> </w:t>
      </w:r>
      <w:r w:rsidRPr="00E62FE6">
        <w:t>the</w:t>
      </w:r>
      <w:r w:rsidR="008243CA">
        <w:t xml:space="preserve"> </w:t>
      </w:r>
      <w:r w:rsidRPr="00E62FE6">
        <w:t>Chilean</w:t>
      </w:r>
      <w:r w:rsidR="008243CA">
        <w:t xml:space="preserve"> </w:t>
      </w:r>
      <w:r w:rsidRPr="00E62FE6">
        <w:t>Government</w:t>
      </w:r>
      <w:r w:rsidR="008243CA">
        <w:t xml:space="preserve"> </w:t>
      </w:r>
      <w:r w:rsidRPr="00E62FE6">
        <w:t>apply</w:t>
      </w:r>
      <w:r w:rsidR="008243CA">
        <w:t xml:space="preserve"> </w:t>
      </w:r>
      <w:r w:rsidRPr="00E62FE6">
        <w:t>counter-terrorism</w:t>
      </w:r>
      <w:r w:rsidR="008243CA">
        <w:t xml:space="preserve"> </w:t>
      </w:r>
      <w:r w:rsidRPr="00E62FE6">
        <w:t>legislation</w:t>
      </w:r>
      <w:r w:rsidR="008243CA">
        <w:t xml:space="preserve"> </w:t>
      </w:r>
      <w:r w:rsidRPr="00E62FE6">
        <w:t>restrictively,</w:t>
      </w:r>
      <w:r w:rsidR="008243CA">
        <w:t xml:space="preserve"> </w:t>
      </w:r>
      <w:r w:rsidRPr="00E62FE6">
        <w:t>particularly</w:t>
      </w:r>
      <w:r w:rsidR="008243CA">
        <w:t xml:space="preserve"> </w:t>
      </w:r>
      <w:r w:rsidRPr="00E62FE6">
        <w:t>when</w:t>
      </w:r>
      <w:r w:rsidR="008243CA">
        <w:t xml:space="preserve"> </w:t>
      </w:r>
      <w:r w:rsidRPr="00E62FE6">
        <w:t>it</w:t>
      </w:r>
      <w:r w:rsidR="008243CA">
        <w:t xml:space="preserve"> </w:t>
      </w:r>
      <w:r w:rsidRPr="00E62FE6">
        <w:t>comes</w:t>
      </w:r>
      <w:r w:rsidR="008243CA">
        <w:t xml:space="preserve"> </w:t>
      </w:r>
      <w:r w:rsidRPr="00E62FE6">
        <w:t>to</w:t>
      </w:r>
      <w:r w:rsidR="008243CA">
        <w:t xml:space="preserve"> </w:t>
      </w:r>
      <w:r w:rsidRPr="00E62FE6">
        <w:t>acts</w:t>
      </w:r>
      <w:r w:rsidR="008243CA">
        <w:t xml:space="preserve"> </w:t>
      </w:r>
      <w:r w:rsidRPr="00E62FE6">
        <w:t>of</w:t>
      </w:r>
      <w:r w:rsidR="008243CA">
        <w:t xml:space="preserve"> </w:t>
      </w:r>
      <w:r w:rsidRPr="00E62FE6">
        <w:t>social</w:t>
      </w:r>
      <w:r w:rsidR="008243CA">
        <w:t xml:space="preserve"> </w:t>
      </w:r>
      <w:r w:rsidRPr="00E62FE6">
        <w:t>protest</w:t>
      </w:r>
      <w:r w:rsidR="008243CA">
        <w:t xml:space="preserve"> </w:t>
      </w:r>
      <w:r w:rsidRPr="00E62FE6">
        <w:t>by</w:t>
      </w:r>
      <w:r w:rsidR="008243CA">
        <w:t xml:space="preserve"> </w:t>
      </w:r>
      <w:r w:rsidRPr="00E62FE6">
        <w:t>the</w:t>
      </w:r>
      <w:r w:rsidR="008243CA">
        <w:t xml:space="preserve"> </w:t>
      </w:r>
      <w:proofErr w:type="spellStart"/>
      <w:r w:rsidRPr="00E62FE6">
        <w:t>Mapuche</w:t>
      </w:r>
      <w:proofErr w:type="spellEnd"/>
      <w:r w:rsidR="008243CA">
        <w:t xml:space="preserve"> </w:t>
      </w:r>
      <w:r w:rsidRPr="00E62FE6">
        <w:t>people.</w:t>
      </w:r>
      <w:r w:rsidR="008243CA">
        <w:t xml:space="preserve"> </w:t>
      </w:r>
      <w:r w:rsidRPr="00E62FE6">
        <w:t>In</w:t>
      </w:r>
      <w:r w:rsidR="008243CA">
        <w:t xml:space="preserve"> </w:t>
      </w:r>
      <w:r w:rsidRPr="00E62FE6">
        <w:t>her</w:t>
      </w:r>
      <w:r w:rsidR="008243CA">
        <w:t xml:space="preserve"> </w:t>
      </w:r>
      <w:r w:rsidRPr="00E62FE6">
        <w:t>Government</w:t>
      </w:r>
      <w:r w:rsidR="008243CA">
        <w:t xml:space="preserve"> </w:t>
      </w:r>
      <w:r w:rsidRPr="00E62FE6">
        <w:t>agenda,</w:t>
      </w:r>
      <w:r w:rsidR="008243CA">
        <w:t xml:space="preserve"> </w:t>
      </w:r>
      <w:r w:rsidRPr="00E62FE6">
        <w:t>President</w:t>
      </w:r>
      <w:r w:rsidR="008243CA">
        <w:t xml:space="preserve"> </w:t>
      </w:r>
      <w:r w:rsidRPr="00E62FE6">
        <w:t>Michelle</w:t>
      </w:r>
      <w:r w:rsidR="008243CA">
        <w:t xml:space="preserve"> </w:t>
      </w:r>
      <w:r w:rsidRPr="00E62FE6">
        <w:t>Bachelet</w:t>
      </w:r>
      <w:r w:rsidR="008243CA">
        <w:t xml:space="preserve"> </w:t>
      </w:r>
      <w:proofErr w:type="spellStart"/>
      <w:r w:rsidRPr="00E62FE6">
        <w:t>Jeria</w:t>
      </w:r>
      <w:proofErr w:type="spellEnd"/>
      <w:r w:rsidR="008243CA">
        <w:t xml:space="preserve"> </w:t>
      </w:r>
      <w:r w:rsidRPr="00E62FE6">
        <w:t>established</w:t>
      </w:r>
      <w:r w:rsidR="008243CA">
        <w:t xml:space="preserve"> </w:t>
      </w:r>
      <w:r w:rsidRPr="00E62FE6">
        <w:t>the</w:t>
      </w:r>
      <w:r w:rsidR="008243CA">
        <w:t xml:space="preserve"> </w:t>
      </w:r>
      <w:r w:rsidRPr="00E62FE6">
        <w:t>Government</w:t>
      </w:r>
      <w:r w:rsidR="00116F0B">
        <w:t>’</w:t>
      </w:r>
      <w:r w:rsidRPr="00E62FE6">
        <w:t>s</w:t>
      </w:r>
      <w:r w:rsidR="008243CA">
        <w:t xml:space="preserve"> </w:t>
      </w:r>
      <w:r w:rsidRPr="00E62FE6">
        <w:t>firm</w:t>
      </w:r>
      <w:r w:rsidR="008243CA">
        <w:t xml:space="preserve"> </w:t>
      </w:r>
      <w:r w:rsidRPr="00E62FE6">
        <w:t>commitment</w:t>
      </w:r>
      <w:r w:rsidR="008243CA">
        <w:t xml:space="preserve"> </w:t>
      </w:r>
      <w:r w:rsidRPr="00E62FE6">
        <w:t>to</w:t>
      </w:r>
      <w:r w:rsidR="008243CA">
        <w:t xml:space="preserve"> </w:t>
      </w:r>
      <w:r w:rsidRPr="00E62FE6">
        <w:t>ensuring</w:t>
      </w:r>
      <w:r w:rsidR="008243CA">
        <w:t xml:space="preserve"> </w:t>
      </w:r>
      <w:r w:rsidRPr="00E62FE6">
        <w:t>that</w:t>
      </w:r>
      <w:r w:rsidR="008243CA">
        <w:t xml:space="preserve"> </w:t>
      </w:r>
      <w:r w:rsidRPr="00E62FE6">
        <w:t>charges</w:t>
      </w:r>
      <w:r w:rsidR="008243CA">
        <w:t xml:space="preserve"> </w:t>
      </w:r>
      <w:r w:rsidRPr="00E62FE6">
        <w:t>are</w:t>
      </w:r>
      <w:r w:rsidR="008243CA">
        <w:t xml:space="preserve"> </w:t>
      </w:r>
      <w:r w:rsidRPr="00E62FE6">
        <w:t>not</w:t>
      </w:r>
      <w:r w:rsidR="008243CA">
        <w:t xml:space="preserve"> </w:t>
      </w:r>
      <w:r w:rsidRPr="00E62FE6">
        <w:t>brought</w:t>
      </w:r>
      <w:r w:rsidR="008243CA">
        <w:t xml:space="preserve"> </w:t>
      </w:r>
      <w:r w:rsidRPr="00E62FE6">
        <w:t>against</w:t>
      </w:r>
      <w:r w:rsidR="008243CA">
        <w:t xml:space="preserve"> </w:t>
      </w:r>
      <w:r w:rsidRPr="00E62FE6">
        <w:t>members</w:t>
      </w:r>
      <w:r w:rsidR="008243CA">
        <w:t xml:space="preserve"> </w:t>
      </w:r>
      <w:r w:rsidRPr="00E62FE6">
        <w:t>of</w:t>
      </w:r>
      <w:r w:rsidR="008243CA">
        <w:t xml:space="preserve"> </w:t>
      </w:r>
      <w:r w:rsidRPr="00E62FE6">
        <w:t>indigenous</w:t>
      </w:r>
      <w:r w:rsidR="008243CA">
        <w:t xml:space="preserve"> </w:t>
      </w:r>
      <w:r w:rsidRPr="00E62FE6">
        <w:t>peoples</w:t>
      </w:r>
      <w:r w:rsidR="008243CA">
        <w:t xml:space="preserve"> </w:t>
      </w:r>
      <w:r w:rsidRPr="00E62FE6">
        <w:t>under</w:t>
      </w:r>
      <w:r w:rsidR="008243CA">
        <w:t xml:space="preserve"> </w:t>
      </w:r>
      <w:r w:rsidRPr="00E62FE6">
        <w:t>the</w:t>
      </w:r>
      <w:r w:rsidR="008243CA">
        <w:t xml:space="preserve"> </w:t>
      </w:r>
      <w:r w:rsidRPr="00E62FE6">
        <w:t>Counter-Terrorism</w:t>
      </w:r>
      <w:r w:rsidR="008243CA">
        <w:t xml:space="preserve"> </w:t>
      </w:r>
      <w:r w:rsidRPr="00E62FE6">
        <w:t>Act</w:t>
      </w:r>
      <w:r w:rsidR="008243CA">
        <w:t xml:space="preserve"> </w:t>
      </w:r>
      <w:r w:rsidRPr="00E62FE6">
        <w:t>in</w:t>
      </w:r>
      <w:r w:rsidR="008243CA">
        <w:t xml:space="preserve"> </w:t>
      </w:r>
      <w:r w:rsidRPr="00E62FE6">
        <w:t>connection</w:t>
      </w:r>
      <w:r w:rsidR="008243CA">
        <w:t xml:space="preserve"> </w:t>
      </w:r>
      <w:r w:rsidRPr="00E62FE6">
        <w:t>with</w:t>
      </w:r>
      <w:r w:rsidR="008243CA">
        <w:t xml:space="preserve"> </w:t>
      </w:r>
      <w:r w:rsidRPr="00E62FE6">
        <w:t>social</w:t>
      </w:r>
      <w:r w:rsidR="008243CA">
        <w:t xml:space="preserve"> </w:t>
      </w:r>
      <w:r w:rsidRPr="00E62FE6">
        <w:t>demands.</w:t>
      </w:r>
      <w:r w:rsidRPr="00116F0B">
        <w:rPr>
          <w:rStyle w:val="FootnoteReference"/>
        </w:rPr>
        <w:footnoteReference w:id="26"/>
      </w:r>
    </w:p>
    <w:p w:rsidR="003F7D03" w:rsidRPr="00E62FE6" w:rsidRDefault="003F7D03" w:rsidP="000C6D98">
      <w:pPr>
        <w:pStyle w:val="SingleTxtG"/>
      </w:pPr>
      <w:r w:rsidRPr="00E62FE6">
        <w:t>51.</w:t>
      </w:r>
      <w:r w:rsidRPr="00E62FE6">
        <w:tab/>
        <w:t>As</w:t>
      </w:r>
      <w:r w:rsidR="008243CA">
        <w:t xml:space="preserve"> </w:t>
      </w:r>
      <w:r w:rsidRPr="00E62FE6">
        <w:t>regards</w:t>
      </w:r>
      <w:r w:rsidR="008243CA">
        <w:t xml:space="preserve"> </w:t>
      </w:r>
      <w:r w:rsidRPr="00E62FE6">
        <w:t>the</w:t>
      </w:r>
      <w:r w:rsidR="008243CA">
        <w:t xml:space="preserve"> </w:t>
      </w:r>
      <w:r w:rsidRPr="00E62FE6">
        <w:t>application</w:t>
      </w:r>
      <w:r w:rsidR="008243CA">
        <w:t xml:space="preserve"> </w:t>
      </w:r>
      <w:r w:rsidRPr="00E62FE6">
        <w:t>of</w:t>
      </w:r>
      <w:r w:rsidR="008243CA">
        <w:t xml:space="preserve"> </w:t>
      </w:r>
      <w:r w:rsidRPr="00E62FE6">
        <w:t>the</w:t>
      </w:r>
      <w:r w:rsidR="008243CA">
        <w:t xml:space="preserve"> </w:t>
      </w:r>
      <w:r w:rsidRPr="00E62FE6">
        <w:t>Counter-Terrorism</w:t>
      </w:r>
      <w:r w:rsidR="008243CA">
        <w:t xml:space="preserve"> </w:t>
      </w:r>
      <w:r w:rsidRPr="00E62FE6">
        <w:t>Act</w:t>
      </w:r>
      <w:r w:rsidR="008243CA">
        <w:t xml:space="preserve"> </w:t>
      </w:r>
      <w:r w:rsidRPr="00E62FE6">
        <w:t>and</w:t>
      </w:r>
      <w:r w:rsidR="008243CA">
        <w:t xml:space="preserve"> </w:t>
      </w:r>
      <w:r w:rsidRPr="00E62FE6">
        <w:t>other</w:t>
      </w:r>
      <w:r w:rsidR="008243CA">
        <w:t xml:space="preserve"> </w:t>
      </w:r>
      <w:r w:rsidRPr="00E62FE6">
        <w:t>special</w:t>
      </w:r>
      <w:r w:rsidR="008243CA">
        <w:t xml:space="preserve"> </w:t>
      </w:r>
      <w:r w:rsidRPr="00E62FE6">
        <w:t>legislation,</w:t>
      </w:r>
      <w:r w:rsidR="008243CA">
        <w:t xml:space="preserve"> </w:t>
      </w:r>
      <w:r w:rsidRPr="00E62FE6">
        <w:t>according</w:t>
      </w:r>
      <w:r w:rsidR="008243CA">
        <w:t xml:space="preserve"> </w:t>
      </w:r>
      <w:r w:rsidRPr="00E62FE6">
        <w:t>to</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the</w:t>
      </w:r>
      <w:r w:rsidR="008243CA">
        <w:t xml:space="preserve"> </w:t>
      </w:r>
      <w:r w:rsidRPr="00E62FE6">
        <w:t>Interior</w:t>
      </w:r>
      <w:r w:rsidR="008243CA">
        <w:t xml:space="preserve"> </w:t>
      </w:r>
      <w:r w:rsidRPr="00E62FE6">
        <w:t>and</w:t>
      </w:r>
      <w:r w:rsidR="008243CA">
        <w:t xml:space="preserve"> </w:t>
      </w:r>
      <w:r w:rsidRPr="00E62FE6">
        <w:t>Public</w:t>
      </w:r>
      <w:r w:rsidR="008243CA">
        <w:t xml:space="preserve"> </w:t>
      </w:r>
      <w:r w:rsidRPr="00E62FE6">
        <w:t>Security,</w:t>
      </w:r>
      <w:r w:rsidR="008243CA">
        <w:t xml:space="preserve"> </w:t>
      </w:r>
      <w:r w:rsidRPr="00E62FE6">
        <w:t>since</w:t>
      </w:r>
      <w:r w:rsidR="008243CA">
        <w:t xml:space="preserve"> </w:t>
      </w:r>
      <w:r w:rsidRPr="00E62FE6">
        <w:t>11</w:t>
      </w:r>
      <w:r w:rsidR="008243CA">
        <w:t xml:space="preserve"> </w:t>
      </w:r>
      <w:r w:rsidRPr="00E62FE6">
        <w:t>March</w:t>
      </w:r>
      <w:r w:rsidR="008243CA">
        <w:t xml:space="preserve"> </w:t>
      </w:r>
      <w:r w:rsidRPr="00E62FE6">
        <w:t>2014,</w:t>
      </w:r>
      <w:r w:rsidR="008243CA">
        <w:t xml:space="preserve"> </w:t>
      </w:r>
      <w:r w:rsidRPr="00E62FE6">
        <w:t>18</w:t>
      </w:r>
      <w:r w:rsidR="008243CA">
        <w:t xml:space="preserve"> </w:t>
      </w:r>
      <w:r w:rsidRPr="00E62FE6">
        <w:t>complaints</w:t>
      </w:r>
      <w:r w:rsidR="008243CA">
        <w:t xml:space="preserve"> </w:t>
      </w:r>
      <w:r w:rsidRPr="00E62FE6">
        <w:t>have</w:t>
      </w:r>
      <w:r w:rsidR="008243CA">
        <w:t xml:space="preserve"> </w:t>
      </w:r>
      <w:r w:rsidRPr="00E62FE6">
        <w:t>been</w:t>
      </w:r>
      <w:r w:rsidR="008243CA">
        <w:t xml:space="preserve"> </w:t>
      </w:r>
      <w:r w:rsidRPr="00E62FE6">
        <w:t>filed</w:t>
      </w:r>
      <w:r w:rsidR="008243CA">
        <w:t xml:space="preserve"> </w:t>
      </w:r>
      <w:r w:rsidRPr="00E62FE6">
        <w:t>for</w:t>
      </w:r>
      <w:r w:rsidR="008243CA">
        <w:t xml:space="preserve"> </w:t>
      </w:r>
      <w:r w:rsidRPr="00E62FE6">
        <w:t>offences</w:t>
      </w:r>
      <w:r w:rsidR="008243CA">
        <w:t xml:space="preserve"> </w:t>
      </w:r>
      <w:r w:rsidRPr="00E62FE6">
        <w:t>under</w:t>
      </w:r>
      <w:r w:rsidR="008243CA">
        <w:t xml:space="preserve"> </w:t>
      </w:r>
      <w:r w:rsidRPr="00E62FE6">
        <w:t>the</w:t>
      </w:r>
      <w:r w:rsidR="008243CA">
        <w:t xml:space="preserve"> </w:t>
      </w:r>
      <w:r w:rsidRPr="00E62FE6">
        <w:t>Counter-Terrorism</w:t>
      </w:r>
      <w:r w:rsidR="008243CA">
        <w:t xml:space="preserve"> </w:t>
      </w:r>
      <w:r w:rsidRPr="00E62FE6">
        <w:t>Act,</w:t>
      </w:r>
      <w:r w:rsidR="008243CA">
        <w:t xml:space="preserve"> </w:t>
      </w:r>
      <w:r w:rsidRPr="00E62FE6">
        <w:t>and</w:t>
      </w:r>
      <w:r w:rsidR="008243CA">
        <w:t xml:space="preserve"> </w:t>
      </w:r>
      <w:r w:rsidRPr="00E62FE6">
        <w:t>50</w:t>
      </w:r>
      <w:r w:rsidR="008243CA">
        <w:t xml:space="preserve"> </w:t>
      </w:r>
      <w:r w:rsidRPr="00E62FE6">
        <w:t>complaints</w:t>
      </w:r>
      <w:r w:rsidR="008243CA">
        <w:t xml:space="preserve"> </w:t>
      </w:r>
      <w:r w:rsidRPr="00E62FE6">
        <w:t>have</w:t>
      </w:r>
      <w:r w:rsidR="008243CA">
        <w:t xml:space="preserve"> </w:t>
      </w:r>
      <w:r w:rsidRPr="00E62FE6">
        <w:t>been</w:t>
      </w:r>
      <w:r w:rsidR="008243CA">
        <w:t xml:space="preserve"> </w:t>
      </w:r>
      <w:r w:rsidRPr="00E62FE6">
        <w:t>filed</w:t>
      </w:r>
      <w:r w:rsidR="008243CA">
        <w:t xml:space="preserve"> </w:t>
      </w:r>
      <w:r w:rsidRPr="00E62FE6">
        <w:t>for</w:t>
      </w:r>
      <w:r w:rsidR="008243CA">
        <w:t xml:space="preserve"> </w:t>
      </w:r>
      <w:r w:rsidRPr="00E62FE6">
        <w:t>offences</w:t>
      </w:r>
      <w:r w:rsidR="008243CA">
        <w:t xml:space="preserve"> </w:t>
      </w:r>
      <w:r w:rsidRPr="00E62FE6">
        <w:t>under</w:t>
      </w:r>
      <w:r w:rsidR="008243CA">
        <w:t xml:space="preserve"> </w:t>
      </w:r>
      <w:r w:rsidRPr="00E62FE6">
        <w:t>the</w:t>
      </w:r>
      <w:r w:rsidR="008243CA">
        <w:t xml:space="preserve"> </w:t>
      </w:r>
      <w:r w:rsidRPr="00E62FE6">
        <w:t>State</w:t>
      </w:r>
      <w:r w:rsidR="008243CA">
        <w:t xml:space="preserve"> </w:t>
      </w:r>
      <w:r w:rsidRPr="00E62FE6">
        <w:t>Security</w:t>
      </w:r>
      <w:r w:rsidR="008243CA">
        <w:t xml:space="preserve"> </w:t>
      </w:r>
      <w:r w:rsidRPr="00E62FE6">
        <w:t>Act;</w:t>
      </w:r>
      <w:r w:rsidR="008243CA">
        <w:t xml:space="preserve"> </w:t>
      </w:r>
      <w:r w:rsidRPr="00E62FE6">
        <w:t>none</w:t>
      </w:r>
      <w:r w:rsidR="008243CA">
        <w:t xml:space="preserve"> </w:t>
      </w:r>
      <w:r w:rsidRPr="00E62FE6">
        <w:t>of</w:t>
      </w:r>
      <w:r w:rsidR="008243CA">
        <w:t xml:space="preserve"> </w:t>
      </w:r>
      <w:r w:rsidRPr="00E62FE6">
        <w:t>those</w:t>
      </w:r>
      <w:r w:rsidR="008243CA">
        <w:t xml:space="preserve"> </w:t>
      </w:r>
      <w:r w:rsidRPr="00E62FE6">
        <w:t>complaints</w:t>
      </w:r>
      <w:r w:rsidR="008243CA">
        <w:t xml:space="preserve"> </w:t>
      </w:r>
      <w:r w:rsidRPr="00E62FE6">
        <w:t>were</w:t>
      </w:r>
      <w:r w:rsidR="00116F0B">
        <w:t xml:space="preserve"> </w:t>
      </w:r>
      <w:r w:rsidRPr="00E62FE6">
        <w:t>attempts</w:t>
      </w:r>
      <w:r w:rsidR="008243CA">
        <w:t xml:space="preserve"> </w:t>
      </w:r>
      <w:r w:rsidRPr="00E62FE6">
        <w:t>to</w:t>
      </w:r>
      <w:r w:rsidR="008243CA">
        <w:t xml:space="preserve"> </w:t>
      </w:r>
      <w:r w:rsidRPr="00E62FE6">
        <w:t>criminalize</w:t>
      </w:r>
      <w:r w:rsidR="008243CA">
        <w:t xml:space="preserve"> </w:t>
      </w:r>
      <w:r w:rsidRPr="00E62FE6">
        <w:t>indigenous</w:t>
      </w:r>
      <w:r w:rsidR="008243CA">
        <w:t xml:space="preserve"> </w:t>
      </w:r>
      <w:r w:rsidRPr="00E62FE6">
        <w:t>peoples</w:t>
      </w:r>
      <w:r w:rsidR="00116F0B">
        <w:t>’</w:t>
      </w:r>
      <w:r w:rsidR="008243CA">
        <w:t xml:space="preserve"> </w:t>
      </w:r>
      <w:r w:rsidRPr="00E62FE6">
        <w:t>assertion</w:t>
      </w:r>
      <w:r w:rsidR="008243CA">
        <w:t xml:space="preserve"> </w:t>
      </w:r>
      <w:r w:rsidRPr="00E62FE6">
        <w:t>of</w:t>
      </w:r>
      <w:r w:rsidR="008243CA">
        <w:t xml:space="preserve"> </w:t>
      </w:r>
      <w:r w:rsidRPr="00E62FE6">
        <w:t>their</w:t>
      </w:r>
      <w:r w:rsidR="008243CA">
        <w:t xml:space="preserve"> </w:t>
      </w:r>
      <w:r w:rsidRPr="00E62FE6">
        <w:t>rights.</w:t>
      </w:r>
      <w:r w:rsidR="008243CA">
        <w:t xml:space="preserve"> </w:t>
      </w:r>
      <w:r w:rsidRPr="00E62FE6">
        <w:t>It</w:t>
      </w:r>
      <w:r w:rsidR="008243CA">
        <w:t xml:space="preserve"> </w:t>
      </w:r>
      <w:r w:rsidRPr="00E62FE6">
        <w:t>is</w:t>
      </w:r>
      <w:r w:rsidR="008243CA">
        <w:t xml:space="preserve"> </w:t>
      </w:r>
      <w:r w:rsidRPr="00E62FE6">
        <w:t>worth</w:t>
      </w:r>
      <w:r w:rsidR="008243CA">
        <w:t xml:space="preserve"> </w:t>
      </w:r>
      <w:r w:rsidRPr="00E62FE6">
        <w:t>noting</w:t>
      </w:r>
      <w:r w:rsidR="008243CA">
        <w:t xml:space="preserve"> </w:t>
      </w:r>
      <w:r w:rsidRPr="00E62FE6">
        <w:t>that</w:t>
      </w:r>
      <w:r w:rsidR="008243CA">
        <w:t xml:space="preserve"> </w:t>
      </w:r>
      <w:r w:rsidRPr="00E62FE6">
        <w:t>a</w:t>
      </w:r>
      <w:r w:rsidR="008243CA">
        <w:t xml:space="preserve"> </w:t>
      </w:r>
      <w:r w:rsidRPr="00E62FE6">
        <w:t>bill</w:t>
      </w:r>
      <w:r w:rsidR="008243CA">
        <w:t xml:space="preserve"> </w:t>
      </w:r>
      <w:r w:rsidRPr="00E62FE6">
        <w:t>amending</w:t>
      </w:r>
      <w:r w:rsidR="008243CA">
        <w:t xml:space="preserve"> </w:t>
      </w:r>
      <w:r w:rsidRPr="00E62FE6">
        <w:t>the</w:t>
      </w:r>
      <w:r w:rsidR="008243CA">
        <w:t xml:space="preserve"> </w:t>
      </w:r>
      <w:r w:rsidRPr="00E62FE6">
        <w:t>current</w:t>
      </w:r>
      <w:r w:rsidR="008243CA">
        <w:t xml:space="preserve"> </w:t>
      </w:r>
      <w:r w:rsidRPr="00E62FE6">
        <w:t>legislation</w:t>
      </w:r>
      <w:r w:rsidR="008243CA">
        <w:t xml:space="preserve"> </w:t>
      </w:r>
      <w:r w:rsidRPr="00E62FE6">
        <w:t>on</w:t>
      </w:r>
      <w:r w:rsidR="008243CA">
        <w:t xml:space="preserve"> </w:t>
      </w:r>
      <w:r w:rsidRPr="00E62FE6">
        <w:t>terrorist</w:t>
      </w:r>
      <w:r w:rsidR="008243CA">
        <w:t xml:space="preserve"> </w:t>
      </w:r>
      <w:r w:rsidRPr="00E62FE6">
        <w:t>offences</w:t>
      </w:r>
      <w:r w:rsidR="008243CA">
        <w:t xml:space="preserve"> </w:t>
      </w:r>
      <w:r w:rsidRPr="00E62FE6">
        <w:t>and</w:t>
      </w:r>
      <w:r w:rsidR="008243CA">
        <w:t xml:space="preserve"> </w:t>
      </w:r>
      <w:r w:rsidRPr="00E62FE6">
        <w:t>bringing</w:t>
      </w:r>
      <w:r w:rsidR="008243CA">
        <w:t xml:space="preserve"> </w:t>
      </w:r>
      <w:r w:rsidRPr="00E62FE6">
        <w:t>it</w:t>
      </w:r>
      <w:r w:rsidR="008243CA">
        <w:t xml:space="preserve"> </w:t>
      </w:r>
      <w:r w:rsidRPr="00E62FE6">
        <w:t>into</w:t>
      </w:r>
      <w:r w:rsidR="008243CA">
        <w:t xml:space="preserve"> </w:t>
      </w:r>
      <w:r w:rsidRPr="00E62FE6">
        <w:t>line</w:t>
      </w:r>
      <w:r w:rsidR="008243CA">
        <w:t xml:space="preserve"> </w:t>
      </w:r>
      <w:r w:rsidRPr="00E62FE6">
        <w:t>with</w:t>
      </w:r>
      <w:r w:rsidR="008243CA">
        <w:t xml:space="preserve"> </w:t>
      </w:r>
      <w:r w:rsidRPr="00E62FE6">
        <w:t>the</w:t>
      </w:r>
      <w:r w:rsidR="008243CA">
        <w:t xml:space="preserve"> </w:t>
      </w:r>
      <w:r w:rsidRPr="00E62FE6">
        <w:t>relevant</w:t>
      </w:r>
      <w:r w:rsidR="008243CA">
        <w:t xml:space="preserve"> </w:t>
      </w:r>
      <w:r w:rsidRPr="00E62FE6">
        <w:t>international</w:t>
      </w:r>
      <w:r w:rsidR="008243CA">
        <w:t xml:space="preserve"> </w:t>
      </w:r>
      <w:r w:rsidRPr="00E62FE6">
        <w:t>standards</w:t>
      </w:r>
      <w:r w:rsidR="008243CA">
        <w:t xml:space="preserve"> </w:t>
      </w:r>
      <w:r w:rsidRPr="00E62FE6">
        <w:t>was</w:t>
      </w:r>
      <w:r w:rsidR="008243CA">
        <w:t xml:space="preserve"> </w:t>
      </w:r>
      <w:r w:rsidRPr="00E62FE6">
        <w:t>put</w:t>
      </w:r>
      <w:r w:rsidR="008243CA">
        <w:t xml:space="preserve"> </w:t>
      </w:r>
      <w:r w:rsidRPr="00E62FE6">
        <w:t>forward</w:t>
      </w:r>
      <w:r w:rsidR="008243CA">
        <w:t xml:space="preserve"> </w:t>
      </w:r>
      <w:r w:rsidRPr="00E62FE6">
        <w:t>in</w:t>
      </w:r>
      <w:r w:rsidR="008243CA">
        <w:t xml:space="preserve"> </w:t>
      </w:r>
      <w:r w:rsidRPr="00E62FE6">
        <w:t>November</w:t>
      </w:r>
      <w:r w:rsidR="008243CA">
        <w:t xml:space="preserve"> </w:t>
      </w:r>
      <w:r w:rsidRPr="00E62FE6">
        <w:t>2014</w:t>
      </w:r>
      <w:r w:rsidR="008243CA">
        <w:t xml:space="preserve"> </w:t>
      </w:r>
      <w:r w:rsidRPr="00E62FE6">
        <w:t>(Bulletin</w:t>
      </w:r>
      <w:r w:rsidR="008243CA">
        <w:t xml:space="preserve"> </w:t>
      </w:r>
      <w:r w:rsidRPr="00E62FE6">
        <w:t>No.</w:t>
      </w:r>
      <w:r w:rsidR="008243CA">
        <w:t xml:space="preserve"> </w:t>
      </w:r>
      <w:r w:rsidRPr="00E62FE6">
        <w:t>9692-07).</w:t>
      </w:r>
      <w:r w:rsidR="008243CA">
        <w:t xml:space="preserve"> </w:t>
      </w:r>
      <w:r w:rsidRPr="00E62FE6">
        <w:t>That</w:t>
      </w:r>
      <w:r w:rsidR="008243CA">
        <w:t xml:space="preserve"> </w:t>
      </w:r>
      <w:r w:rsidRPr="00E62FE6">
        <w:t>bill</w:t>
      </w:r>
      <w:r w:rsidR="008243CA">
        <w:t xml:space="preserve"> </w:t>
      </w:r>
      <w:r w:rsidRPr="00E62FE6">
        <w:t>is</w:t>
      </w:r>
      <w:r w:rsidR="008243CA">
        <w:t xml:space="preserve"> </w:t>
      </w:r>
      <w:r w:rsidRPr="00E62FE6">
        <w:t>currently</w:t>
      </w:r>
      <w:r w:rsidR="008243CA">
        <w:t xml:space="preserve"> </w:t>
      </w:r>
      <w:r w:rsidRPr="00E62FE6">
        <w:t>in</w:t>
      </w:r>
      <w:r w:rsidR="008243CA">
        <w:t xml:space="preserve"> </w:t>
      </w:r>
      <w:r w:rsidRPr="00E62FE6">
        <w:t>its</w:t>
      </w:r>
      <w:r w:rsidR="008243CA">
        <w:t xml:space="preserve"> </w:t>
      </w:r>
      <w:r w:rsidRPr="00E62FE6">
        <w:t>first</w:t>
      </w:r>
      <w:r w:rsidR="008243CA">
        <w:t xml:space="preserve"> </w:t>
      </w:r>
      <w:r w:rsidRPr="00E62FE6">
        <w:t>reading</w:t>
      </w:r>
      <w:r w:rsidR="008243CA">
        <w:t xml:space="preserve"> </w:t>
      </w:r>
      <w:r w:rsidRPr="00E62FE6">
        <w:t>in</w:t>
      </w:r>
      <w:r w:rsidR="008243CA">
        <w:t xml:space="preserve"> </w:t>
      </w:r>
      <w:r w:rsidRPr="00E62FE6">
        <w:t>the</w:t>
      </w:r>
      <w:r w:rsidR="008243CA">
        <w:t xml:space="preserve"> </w:t>
      </w:r>
      <w:r w:rsidRPr="00E62FE6">
        <w:t>Senate.</w:t>
      </w:r>
    </w:p>
    <w:p w:rsidR="003F7D03" w:rsidRPr="00E62FE6" w:rsidRDefault="003F7D03" w:rsidP="000C6D98">
      <w:pPr>
        <w:pStyle w:val="SingleTxtG"/>
      </w:pPr>
      <w:bookmarkStart w:id="41" w:name="page17"/>
      <w:bookmarkEnd w:id="41"/>
      <w:r w:rsidRPr="00E62FE6">
        <w:t>52.</w:t>
      </w:r>
      <w:r w:rsidRPr="00E62FE6">
        <w:tab/>
        <w:t>In</w:t>
      </w:r>
      <w:r w:rsidR="008243CA">
        <w:t xml:space="preserve"> </w:t>
      </w:r>
      <w:r w:rsidRPr="00E62FE6">
        <w:t>its</w:t>
      </w:r>
      <w:r w:rsidR="008243CA">
        <w:t xml:space="preserve"> </w:t>
      </w:r>
      <w:r w:rsidRPr="00E62FE6">
        <w:t>report,</w:t>
      </w:r>
      <w:r w:rsidR="008243CA">
        <w:t xml:space="preserve"> </w:t>
      </w:r>
      <w:r w:rsidRPr="00E62FE6">
        <w:t>the</w:t>
      </w:r>
      <w:r w:rsidR="008243CA">
        <w:t xml:space="preserve"> </w:t>
      </w:r>
      <w:r w:rsidRPr="00E62FE6">
        <w:t>Subcommittee</w:t>
      </w:r>
      <w:r w:rsidR="008243CA">
        <w:t xml:space="preserve"> </w:t>
      </w:r>
      <w:r w:rsidRPr="00E62FE6">
        <w:t>also</w:t>
      </w:r>
      <w:r w:rsidR="008243CA">
        <w:t xml:space="preserve"> </w:t>
      </w:r>
      <w:r w:rsidRPr="00E62FE6">
        <w:t>addresses</w:t>
      </w:r>
      <w:r w:rsidR="008243CA">
        <w:t xml:space="preserve"> </w:t>
      </w:r>
      <w:r w:rsidRPr="00E62FE6">
        <w:t>the</w:t>
      </w:r>
      <w:r w:rsidR="008243CA">
        <w:t xml:space="preserve"> </w:t>
      </w:r>
      <w:r w:rsidRPr="00E62FE6">
        <w:t>issue</w:t>
      </w:r>
      <w:r w:rsidR="008243CA">
        <w:t xml:space="preserve"> </w:t>
      </w:r>
      <w:r w:rsidRPr="00E62FE6">
        <w:t>of</w:t>
      </w:r>
      <w:r w:rsidR="008243CA">
        <w:t xml:space="preserve"> </w:t>
      </w:r>
      <w:r w:rsidRPr="00E62FE6">
        <w:t>complaints</w:t>
      </w:r>
      <w:r w:rsidR="008243CA">
        <w:t xml:space="preserve"> </w:t>
      </w:r>
      <w:r w:rsidRPr="00E62FE6">
        <w:t>of</w:t>
      </w:r>
      <w:r w:rsidR="008243CA">
        <w:t xml:space="preserve"> </w:t>
      </w:r>
      <w:r w:rsidRPr="00E62FE6">
        <w:t>torture</w:t>
      </w:r>
      <w:r w:rsidR="008243CA">
        <w:t xml:space="preserve"> </w:t>
      </w:r>
      <w:r w:rsidRPr="00E62FE6">
        <w:t>committed</w:t>
      </w:r>
      <w:r w:rsidR="008243CA">
        <w:t xml:space="preserve"> </w:t>
      </w:r>
      <w:r w:rsidRPr="00E62FE6">
        <w:t>by</w:t>
      </w:r>
      <w:r w:rsidR="008243CA">
        <w:t xml:space="preserve"> </w:t>
      </w:r>
      <w:r w:rsidRPr="00E62FE6">
        <w:t>the</w:t>
      </w:r>
      <w:r w:rsidR="008243CA">
        <w:t xml:space="preserve"> </w:t>
      </w:r>
      <w:r w:rsidRPr="00E62FE6">
        <w:t>forces</w:t>
      </w:r>
      <w:r w:rsidR="008243CA">
        <w:t xml:space="preserve"> </w:t>
      </w:r>
      <w:r w:rsidRPr="00E62FE6">
        <w:t>responsible</w:t>
      </w:r>
      <w:r w:rsidR="008243CA">
        <w:t xml:space="preserve"> </w:t>
      </w:r>
      <w:r w:rsidRPr="00E62FE6">
        <w:t>for</w:t>
      </w:r>
      <w:r w:rsidR="008243CA">
        <w:t xml:space="preserve"> </w:t>
      </w:r>
      <w:r w:rsidRPr="00E62FE6">
        <w:t>maintaining</w:t>
      </w:r>
      <w:r w:rsidR="008243CA">
        <w:t xml:space="preserve"> </w:t>
      </w:r>
      <w:r w:rsidRPr="00E62FE6">
        <w:t>public</w:t>
      </w:r>
      <w:r w:rsidR="008243CA">
        <w:t xml:space="preserve"> </w:t>
      </w:r>
      <w:r w:rsidRPr="00E62FE6">
        <w:t>order</w:t>
      </w:r>
      <w:r w:rsidR="008243CA">
        <w:t xml:space="preserve"> </w:t>
      </w:r>
      <w:r w:rsidRPr="00E62FE6">
        <w:t>and</w:t>
      </w:r>
      <w:r w:rsidR="008243CA">
        <w:t xml:space="preserve"> </w:t>
      </w:r>
      <w:r w:rsidRPr="00E62FE6">
        <w:t>security.</w:t>
      </w:r>
      <w:r w:rsidR="008243CA">
        <w:t xml:space="preserve"> </w:t>
      </w:r>
      <w:r w:rsidRPr="00E62FE6">
        <w:t>In</w:t>
      </w:r>
      <w:r w:rsidR="008243CA">
        <w:t xml:space="preserve"> </w:t>
      </w:r>
      <w:r w:rsidRPr="00E62FE6">
        <w:t>this</w:t>
      </w:r>
      <w:r w:rsidR="008243CA">
        <w:t xml:space="preserve"> </w:t>
      </w:r>
      <w:r w:rsidRPr="00E62FE6">
        <w:t>regard,</w:t>
      </w:r>
      <w:r w:rsidR="008243CA">
        <w:t xml:space="preserve"> </w:t>
      </w:r>
      <w:r w:rsidRPr="00E62FE6">
        <w:t>it</w:t>
      </w:r>
      <w:r w:rsidR="008243CA">
        <w:t xml:space="preserve"> </w:t>
      </w:r>
      <w:r w:rsidRPr="00E62FE6">
        <w:t>should</w:t>
      </w:r>
      <w:r w:rsidR="008243CA">
        <w:t xml:space="preserve"> </w:t>
      </w:r>
      <w:r w:rsidRPr="00E62FE6">
        <w:t>be</w:t>
      </w:r>
      <w:r w:rsidR="008243CA">
        <w:t xml:space="preserve"> </w:t>
      </w:r>
      <w:r w:rsidRPr="00E62FE6">
        <w:t>noted</w:t>
      </w:r>
      <w:r w:rsidR="008243CA">
        <w:t xml:space="preserve"> </w:t>
      </w:r>
      <w:r w:rsidRPr="00E62FE6">
        <w:t>that</w:t>
      </w:r>
      <w:r w:rsidR="008243CA">
        <w:t xml:space="preserve"> </w:t>
      </w:r>
      <w:r w:rsidRPr="00E62FE6">
        <w:t>measures</w:t>
      </w:r>
      <w:r w:rsidR="008243CA">
        <w:t xml:space="preserve"> </w:t>
      </w:r>
      <w:r w:rsidRPr="00E62FE6">
        <w:t>have</w:t>
      </w:r>
      <w:r w:rsidR="008243CA">
        <w:t xml:space="preserve"> </w:t>
      </w:r>
      <w:r w:rsidRPr="00E62FE6">
        <w:t>been</w:t>
      </w:r>
      <w:r w:rsidR="008243CA">
        <w:t xml:space="preserve"> </w:t>
      </w:r>
      <w:r w:rsidRPr="00E62FE6">
        <w:t>adopted</w:t>
      </w:r>
      <w:r w:rsidR="008243CA">
        <w:t xml:space="preserve"> </w:t>
      </w:r>
      <w:r w:rsidRPr="00E62FE6">
        <w:t>to</w:t>
      </w:r>
      <w:r w:rsidR="008243CA">
        <w:t xml:space="preserve"> </w:t>
      </w:r>
      <w:r w:rsidRPr="00E62FE6">
        <w:t>prevent</w:t>
      </w:r>
      <w:r w:rsidR="008243CA">
        <w:t xml:space="preserve"> </w:t>
      </w:r>
      <w:r w:rsidRPr="00E62FE6">
        <w:t>and</w:t>
      </w:r>
      <w:r w:rsidR="008243CA">
        <w:t xml:space="preserve"> </w:t>
      </w:r>
      <w:r w:rsidRPr="00E62FE6">
        <w:t>eradicate</w:t>
      </w:r>
      <w:r w:rsidR="008243CA">
        <w:t xml:space="preserve"> </w:t>
      </w:r>
      <w:r w:rsidRPr="00E62FE6">
        <w:t>police</w:t>
      </w:r>
      <w:r w:rsidR="008243CA">
        <w:t xml:space="preserve"> </w:t>
      </w:r>
      <w:r w:rsidRPr="00E62FE6">
        <w:t>violence.</w:t>
      </w:r>
      <w:r w:rsidR="008243CA">
        <w:t xml:space="preserve"> </w:t>
      </w:r>
      <w:r w:rsidRPr="00E62FE6">
        <w:t>These</w:t>
      </w:r>
      <w:r w:rsidR="008243CA">
        <w:t xml:space="preserve"> </w:t>
      </w:r>
      <w:r w:rsidRPr="00E62FE6">
        <w:t>include</w:t>
      </w:r>
      <w:r w:rsidR="008243CA">
        <w:t xml:space="preserve"> </w:t>
      </w:r>
      <w:r w:rsidRPr="00E62FE6">
        <w:t>regulating</w:t>
      </w:r>
      <w:r w:rsidR="008243CA">
        <w:t xml:space="preserve"> </w:t>
      </w:r>
      <w:r w:rsidRPr="00E62FE6">
        <w:t>the</w:t>
      </w:r>
      <w:r w:rsidR="008243CA">
        <w:t xml:space="preserve"> </w:t>
      </w:r>
      <w:r w:rsidRPr="00E62FE6">
        <w:t>methods</w:t>
      </w:r>
      <w:r w:rsidR="008243CA">
        <w:t xml:space="preserve"> </w:t>
      </w:r>
      <w:r w:rsidRPr="00E62FE6">
        <w:t>that</w:t>
      </w:r>
      <w:r w:rsidR="008243CA">
        <w:t xml:space="preserve"> </w:t>
      </w:r>
      <w:r w:rsidRPr="00E62FE6">
        <w:t>are</w:t>
      </w:r>
      <w:r w:rsidR="008243CA">
        <w:t xml:space="preserve"> </w:t>
      </w:r>
      <w:r w:rsidRPr="00E62FE6">
        <w:t>generally</w:t>
      </w:r>
      <w:r w:rsidR="008243CA">
        <w:t xml:space="preserve"> </w:t>
      </w:r>
      <w:r w:rsidRPr="00E62FE6">
        <w:t>used</w:t>
      </w:r>
      <w:r w:rsidR="008243CA">
        <w:t xml:space="preserve"> </w:t>
      </w:r>
      <w:r w:rsidRPr="00E62FE6">
        <w:t>to</w:t>
      </w:r>
      <w:r w:rsidR="008243CA">
        <w:t xml:space="preserve"> </w:t>
      </w:r>
      <w:r w:rsidRPr="00E62FE6">
        <w:t>maintain</w:t>
      </w:r>
      <w:r w:rsidR="008243CA">
        <w:t xml:space="preserve"> </w:t>
      </w:r>
      <w:r w:rsidRPr="00E62FE6">
        <w:t>public</w:t>
      </w:r>
      <w:r w:rsidR="008243CA">
        <w:t xml:space="preserve"> </w:t>
      </w:r>
      <w:r w:rsidRPr="00E62FE6">
        <w:t>order</w:t>
      </w:r>
      <w:r w:rsidR="008243CA">
        <w:t xml:space="preserve"> </w:t>
      </w:r>
      <w:r w:rsidRPr="00E62FE6">
        <w:t>by</w:t>
      </w:r>
      <w:r w:rsidR="008243CA">
        <w:t xml:space="preserve"> </w:t>
      </w:r>
      <w:r w:rsidRPr="00E62FE6">
        <w:t>establishing</w:t>
      </w:r>
      <w:r w:rsidR="008243CA">
        <w:t xml:space="preserve"> </w:t>
      </w:r>
      <w:r w:rsidR="007A4DC3">
        <w:t>protocols</w:t>
      </w:r>
      <w:r w:rsidR="008243CA">
        <w:t xml:space="preserve"> </w:t>
      </w:r>
      <w:r w:rsidR="007A4DC3">
        <w:t>on</w:t>
      </w:r>
      <w:r w:rsidR="008243CA">
        <w:t xml:space="preserve"> </w:t>
      </w:r>
      <w:r w:rsidR="007A4DC3">
        <w:t>that</w:t>
      </w:r>
      <w:r w:rsidR="008243CA">
        <w:t xml:space="preserve"> </w:t>
      </w:r>
      <w:r w:rsidR="007A4DC3">
        <w:t>subject</w:t>
      </w:r>
      <w:r w:rsidR="008243CA">
        <w:t xml:space="preserve"> </w:t>
      </w:r>
      <w:r w:rsidR="007A4DC3">
        <w:t>for</w:t>
      </w:r>
      <w:r w:rsidR="008243CA">
        <w:t xml:space="preserve"> </w:t>
      </w:r>
      <w:proofErr w:type="spellStart"/>
      <w:r w:rsidRPr="00E62FE6">
        <w:t>Carabineros</w:t>
      </w:r>
      <w:proofErr w:type="spellEnd"/>
      <w:r w:rsidR="008243CA">
        <w:t xml:space="preserve"> </w:t>
      </w:r>
      <w:r w:rsidRPr="00E62FE6">
        <w:t>de</w:t>
      </w:r>
      <w:r w:rsidR="008243CA">
        <w:t xml:space="preserve"> </w:t>
      </w:r>
      <w:r w:rsidRPr="00E62FE6">
        <w:t>Chile,</w:t>
      </w:r>
      <w:r w:rsidR="008243CA">
        <w:t xml:space="preserve"> </w:t>
      </w:r>
      <w:r w:rsidRPr="00E62FE6">
        <w:t>and</w:t>
      </w:r>
      <w:r w:rsidR="008243CA">
        <w:t xml:space="preserve"> </w:t>
      </w:r>
      <w:r w:rsidRPr="00E62FE6">
        <w:t>including</w:t>
      </w:r>
      <w:r w:rsidR="008243CA">
        <w:t xml:space="preserve"> </w:t>
      </w:r>
      <w:r w:rsidRPr="00E62FE6">
        <w:t>international</w:t>
      </w:r>
      <w:r w:rsidR="008243CA">
        <w:t xml:space="preserve"> </w:t>
      </w:r>
      <w:r w:rsidRPr="00E62FE6">
        <w:t>human</w:t>
      </w:r>
      <w:r w:rsidR="008243CA">
        <w:t xml:space="preserve"> </w:t>
      </w:r>
      <w:r w:rsidRPr="00E62FE6">
        <w:t>rights</w:t>
      </w:r>
      <w:r w:rsidR="008243CA">
        <w:t xml:space="preserve"> </w:t>
      </w:r>
      <w:r w:rsidRPr="00E62FE6">
        <w:t>standards</w:t>
      </w:r>
      <w:r w:rsidR="008243CA">
        <w:t xml:space="preserve"> </w:t>
      </w:r>
      <w:r w:rsidRPr="00E62FE6">
        <w:t>in</w:t>
      </w:r>
      <w:r w:rsidR="008243CA">
        <w:t xml:space="preserve"> </w:t>
      </w:r>
      <w:r w:rsidRPr="00E62FE6">
        <w:t>the</w:t>
      </w:r>
      <w:r w:rsidR="008243CA">
        <w:t xml:space="preserve"> </w:t>
      </w:r>
      <w:r w:rsidRPr="00E62FE6">
        <w:t>training</w:t>
      </w:r>
      <w:r w:rsidR="008243CA">
        <w:t xml:space="preserve"> </w:t>
      </w:r>
      <w:r w:rsidRPr="00E62FE6">
        <w:t>provided</w:t>
      </w:r>
      <w:r w:rsidR="008243CA">
        <w:t xml:space="preserve"> </w:t>
      </w:r>
      <w:r w:rsidRPr="00E62FE6">
        <w:t>for</w:t>
      </w:r>
      <w:r w:rsidR="008243CA">
        <w:t xml:space="preserve"> </w:t>
      </w:r>
      <w:r w:rsidRPr="00E62FE6">
        <w:t>both</w:t>
      </w:r>
      <w:r w:rsidR="008243CA">
        <w:t xml:space="preserve"> </w:t>
      </w:r>
      <w:r w:rsidRPr="00E62FE6">
        <w:t>police</w:t>
      </w:r>
      <w:r w:rsidR="008243CA">
        <w:t xml:space="preserve"> </w:t>
      </w:r>
      <w:r w:rsidRPr="00E62FE6">
        <w:t>forces.</w:t>
      </w:r>
      <w:r w:rsidR="008243CA">
        <w:t xml:space="preserve"> </w:t>
      </w:r>
      <w:r w:rsidRPr="00E62FE6">
        <w:t>With</w:t>
      </w:r>
      <w:r w:rsidR="008243CA">
        <w:t xml:space="preserve"> </w:t>
      </w:r>
      <w:r w:rsidRPr="00E62FE6">
        <w:t>respect</w:t>
      </w:r>
      <w:r w:rsidR="008243CA">
        <w:t xml:space="preserve"> </w:t>
      </w:r>
      <w:r w:rsidRPr="00E62FE6">
        <w:t>to</w:t>
      </w:r>
      <w:r w:rsidR="008243CA">
        <w:t xml:space="preserve"> </w:t>
      </w:r>
      <w:r w:rsidRPr="00E62FE6">
        <w:t>training,</w:t>
      </w:r>
      <w:r w:rsidR="008243CA">
        <w:t xml:space="preserve"> </w:t>
      </w:r>
      <w:r w:rsidRPr="00E62FE6">
        <w:t>it</w:t>
      </w:r>
      <w:r w:rsidR="008243CA">
        <w:t xml:space="preserve"> </w:t>
      </w:r>
      <w:r w:rsidRPr="00E62FE6">
        <w:t>should</w:t>
      </w:r>
      <w:r w:rsidR="008243CA">
        <w:t xml:space="preserve"> </w:t>
      </w:r>
      <w:r w:rsidRPr="00E62FE6">
        <w:t>be</w:t>
      </w:r>
      <w:r w:rsidR="008243CA">
        <w:t xml:space="preserve"> </w:t>
      </w:r>
      <w:r w:rsidRPr="00E62FE6">
        <w:t>noted</w:t>
      </w:r>
      <w:r w:rsidR="008243CA">
        <w:t xml:space="preserve"> </w:t>
      </w:r>
      <w:r w:rsidRPr="00E62FE6">
        <w:t>that</w:t>
      </w:r>
      <w:r w:rsidR="008243CA">
        <w:t xml:space="preserve"> </w:t>
      </w:r>
      <w:proofErr w:type="spellStart"/>
      <w:r w:rsidRPr="00E62FE6">
        <w:t>Carabineros</w:t>
      </w:r>
      <w:proofErr w:type="spellEnd"/>
      <w:r w:rsidR="008243CA">
        <w:t xml:space="preserve"> </w:t>
      </w:r>
      <w:r w:rsidRPr="00E62FE6">
        <w:t>joined</w:t>
      </w:r>
      <w:r w:rsidR="008243CA">
        <w:t xml:space="preserve"> </w:t>
      </w:r>
      <w:r w:rsidRPr="00E62FE6">
        <w:t>the</w:t>
      </w:r>
      <w:r w:rsidR="008243CA">
        <w:t xml:space="preserve"> </w:t>
      </w:r>
      <w:r w:rsidRPr="00E62FE6">
        <w:t>Latin</w:t>
      </w:r>
      <w:r w:rsidR="008243CA">
        <w:t xml:space="preserve"> </w:t>
      </w:r>
      <w:r w:rsidRPr="00E62FE6">
        <w:t>American</w:t>
      </w:r>
      <w:r w:rsidR="008243CA">
        <w:t xml:space="preserve"> </w:t>
      </w:r>
      <w:r w:rsidRPr="00E62FE6">
        <w:t>Network</w:t>
      </w:r>
      <w:r w:rsidR="008243CA">
        <w:t xml:space="preserve"> </w:t>
      </w:r>
      <w:r w:rsidRPr="00E62FE6">
        <w:t>for</w:t>
      </w:r>
      <w:r w:rsidR="008243CA">
        <w:t xml:space="preserve"> </w:t>
      </w:r>
      <w:r w:rsidRPr="00E62FE6">
        <w:t>Genocide</w:t>
      </w:r>
      <w:r w:rsidR="008243CA">
        <w:t xml:space="preserve"> </w:t>
      </w:r>
      <w:r w:rsidRPr="00E62FE6">
        <w:t>and</w:t>
      </w:r>
      <w:r w:rsidR="008243CA">
        <w:t xml:space="preserve"> </w:t>
      </w:r>
      <w:r w:rsidRPr="00E62FE6">
        <w:t>Mass</w:t>
      </w:r>
      <w:r w:rsidR="008243CA">
        <w:t xml:space="preserve"> </w:t>
      </w:r>
      <w:r w:rsidRPr="00E62FE6">
        <w:t>Atrocity</w:t>
      </w:r>
      <w:r w:rsidR="008243CA">
        <w:t xml:space="preserve"> </w:t>
      </w:r>
      <w:r w:rsidRPr="00E62FE6">
        <w:t>Prevention</w:t>
      </w:r>
      <w:r w:rsidR="008243CA">
        <w:t xml:space="preserve"> </w:t>
      </w:r>
      <w:r w:rsidRPr="00E62FE6">
        <w:t>in</w:t>
      </w:r>
      <w:r w:rsidR="008243CA">
        <w:t xml:space="preserve"> </w:t>
      </w:r>
      <w:r w:rsidRPr="00E62FE6">
        <w:t>2014.</w:t>
      </w:r>
      <w:r w:rsidR="008243CA">
        <w:t xml:space="preserve"> </w:t>
      </w:r>
      <w:r w:rsidRPr="00E62FE6">
        <w:t>Within</w:t>
      </w:r>
      <w:r w:rsidR="008243CA">
        <w:t xml:space="preserve"> </w:t>
      </w:r>
      <w:r w:rsidRPr="00E62FE6">
        <w:t>this</w:t>
      </w:r>
      <w:r w:rsidR="008243CA">
        <w:t xml:space="preserve"> </w:t>
      </w:r>
      <w:r w:rsidRPr="00E62FE6">
        <w:t>framework,</w:t>
      </w:r>
      <w:r w:rsidR="008243CA">
        <w:t xml:space="preserve"> </w:t>
      </w:r>
      <w:r w:rsidRPr="00E62FE6">
        <w:t>with</w:t>
      </w:r>
      <w:r w:rsidR="008243CA">
        <w:t xml:space="preserve"> </w:t>
      </w:r>
      <w:r w:rsidRPr="00E62FE6">
        <w:t>support</w:t>
      </w:r>
      <w:r w:rsidR="008243CA">
        <w:t xml:space="preserve"> </w:t>
      </w:r>
      <w:r w:rsidRPr="00E62FE6">
        <w:t>from</w:t>
      </w:r>
      <w:r w:rsidR="008243CA">
        <w:t xml:space="preserve"> </w:t>
      </w:r>
      <w:r w:rsidRPr="00E62FE6">
        <w:t>the</w:t>
      </w:r>
      <w:r w:rsidR="008243CA">
        <w:t xml:space="preserve"> </w:t>
      </w:r>
      <w:r w:rsidRPr="00E62FE6">
        <w:t>Auschwitz</w:t>
      </w:r>
      <w:r w:rsidR="008243CA">
        <w:t xml:space="preserve"> </w:t>
      </w:r>
      <w:r w:rsidRPr="00E62FE6">
        <w:t>Institute</w:t>
      </w:r>
      <w:r w:rsidR="008243CA">
        <w:t xml:space="preserve"> </w:t>
      </w:r>
      <w:r w:rsidRPr="00E62FE6">
        <w:t>for</w:t>
      </w:r>
      <w:r w:rsidR="008243CA">
        <w:t xml:space="preserve"> </w:t>
      </w:r>
      <w:r w:rsidRPr="00E62FE6">
        <w:t>Peace</w:t>
      </w:r>
      <w:r w:rsidR="008243CA">
        <w:t xml:space="preserve"> </w:t>
      </w:r>
      <w:r w:rsidRPr="00E62FE6">
        <w:t>and</w:t>
      </w:r>
      <w:r w:rsidR="008243CA">
        <w:t xml:space="preserve"> </w:t>
      </w:r>
      <w:r w:rsidRPr="00E62FE6">
        <w:t>Reconciliation</w:t>
      </w:r>
      <w:r w:rsidR="008243CA">
        <w:t xml:space="preserve"> </w:t>
      </w:r>
      <w:r w:rsidRPr="00E62FE6">
        <w:t>and</w:t>
      </w:r>
      <w:r w:rsidR="008243CA">
        <w:t xml:space="preserve"> </w:t>
      </w:r>
      <w:r w:rsidRPr="00E62FE6">
        <w:t>taking</w:t>
      </w:r>
      <w:r w:rsidR="008243CA">
        <w:t xml:space="preserve"> </w:t>
      </w:r>
      <w:r w:rsidRPr="00E62FE6">
        <w:t>into</w:t>
      </w:r>
      <w:r w:rsidR="008243CA">
        <w:t xml:space="preserve"> </w:t>
      </w:r>
      <w:r w:rsidRPr="00E62FE6">
        <w:t>account</w:t>
      </w:r>
      <w:r w:rsidR="008243CA">
        <w:t xml:space="preserve"> </w:t>
      </w:r>
      <w:r w:rsidRPr="00E62FE6">
        <w:t>the</w:t>
      </w:r>
      <w:r w:rsidR="008243CA">
        <w:t xml:space="preserve"> </w:t>
      </w:r>
      <w:r w:rsidRPr="00E62FE6">
        <w:lastRenderedPageBreak/>
        <w:t>Subcommittee</w:t>
      </w:r>
      <w:r w:rsidR="00116F0B">
        <w:t>’</w:t>
      </w:r>
      <w:r w:rsidRPr="00E62FE6">
        <w:t>s</w:t>
      </w:r>
      <w:r w:rsidR="008243CA">
        <w:t xml:space="preserve"> </w:t>
      </w:r>
      <w:r w:rsidRPr="00E62FE6">
        <w:t>recommendations,</w:t>
      </w:r>
      <w:r w:rsidR="008243CA">
        <w:t xml:space="preserve"> </w:t>
      </w:r>
      <w:r w:rsidRPr="00E62FE6">
        <w:t>a</w:t>
      </w:r>
      <w:r w:rsidR="008243CA">
        <w:t xml:space="preserve"> </w:t>
      </w:r>
      <w:r w:rsidRPr="00E62FE6">
        <w:t>series</w:t>
      </w:r>
      <w:r w:rsidR="008243CA">
        <w:t xml:space="preserve"> </w:t>
      </w:r>
      <w:r w:rsidRPr="00E62FE6">
        <w:t>of</w:t>
      </w:r>
      <w:r w:rsidR="008243CA">
        <w:t xml:space="preserve"> </w:t>
      </w:r>
      <w:r w:rsidRPr="00E62FE6">
        <w:t>educational</w:t>
      </w:r>
      <w:r w:rsidR="008243CA">
        <w:t xml:space="preserve"> </w:t>
      </w:r>
      <w:r w:rsidRPr="00E62FE6">
        <w:t>activities</w:t>
      </w:r>
      <w:r w:rsidR="008243CA">
        <w:t xml:space="preserve"> </w:t>
      </w:r>
      <w:r w:rsidRPr="00E62FE6">
        <w:t>on</w:t>
      </w:r>
      <w:r w:rsidR="008243CA">
        <w:t xml:space="preserve"> </w:t>
      </w:r>
      <w:r w:rsidRPr="00E62FE6">
        <w:t>the</w:t>
      </w:r>
      <w:r w:rsidR="008243CA">
        <w:t xml:space="preserve"> </w:t>
      </w:r>
      <w:r w:rsidRPr="00E62FE6">
        <w:t>prevention</w:t>
      </w:r>
      <w:r w:rsidR="008243CA">
        <w:t xml:space="preserve"> </w:t>
      </w:r>
      <w:r w:rsidRPr="00E62FE6">
        <w:t>of</w:t>
      </w:r>
      <w:r w:rsidR="008243CA">
        <w:t xml:space="preserve"> </w:t>
      </w:r>
      <w:r w:rsidRPr="00E62FE6">
        <w:t>torture</w:t>
      </w:r>
      <w:r w:rsidR="008243CA">
        <w:t xml:space="preserve"> </w:t>
      </w:r>
      <w:r w:rsidRPr="00E62FE6">
        <w:t>and</w:t>
      </w:r>
      <w:r w:rsidR="008243CA">
        <w:t xml:space="preserve"> </w:t>
      </w:r>
      <w:r w:rsidRPr="00E62FE6">
        <w:t>other</w:t>
      </w:r>
      <w:r w:rsidR="008243CA">
        <w:t xml:space="preserve"> </w:t>
      </w:r>
      <w:r w:rsidRPr="00E62FE6">
        <w:t>human</w:t>
      </w:r>
      <w:r w:rsidR="008243CA">
        <w:t xml:space="preserve"> </w:t>
      </w:r>
      <w:r w:rsidRPr="00E62FE6">
        <w:t>rights</w:t>
      </w:r>
      <w:r w:rsidR="008243CA">
        <w:t xml:space="preserve"> </w:t>
      </w:r>
      <w:r w:rsidRPr="00E62FE6">
        <w:t>violations</w:t>
      </w:r>
      <w:r w:rsidR="008243CA">
        <w:t xml:space="preserve"> </w:t>
      </w:r>
      <w:r w:rsidRPr="00E62FE6">
        <w:t>were</w:t>
      </w:r>
      <w:r w:rsidR="008243CA">
        <w:t xml:space="preserve"> </w:t>
      </w:r>
      <w:r w:rsidRPr="00E62FE6">
        <w:t>organized</w:t>
      </w:r>
      <w:r w:rsidR="008243CA">
        <w:t xml:space="preserve"> </w:t>
      </w:r>
      <w:r w:rsidRPr="00E62FE6">
        <w:t>in</w:t>
      </w:r>
      <w:r w:rsidR="008243CA">
        <w:t xml:space="preserve"> </w:t>
      </w:r>
      <w:r w:rsidRPr="00E62FE6">
        <w:t>2016.</w:t>
      </w:r>
      <w:r w:rsidR="008243CA">
        <w:t xml:space="preserve"> </w:t>
      </w:r>
      <w:r w:rsidRPr="00E62FE6">
        <w:t>For</w:t>
      </w:r>
      <w:r w:rsidR="008243CA">
        <w:t xml:space="preserve"> </w:t>
      </w:r>
      <w:r w:rsidRPr="00E62FE6">
        <w:t>example,</w:t>
      </w:r>
      <w:r w:rsidR="008243CA">
        <w:t xml:space="preserve"> </w:t>
      </w:r>
      <w:r w:rsidRPr="00E62FE6">
        <w:t>a</w:t>
      </w:r>
      <w:r w:rsidR="008243CA">
        <w:t xml:space="preserve"> </w:t>
      </w:r>
      <w:r w:rsidRPr="00E62FE6">
        <w:t>seminar</w:t>
      </w:r>
      <w:r w:rsidR="008243CA">
        <w:t xml:space="preserve"> </w:t>
      </w:r>
      <w:r w:rsidRPr="00E62FE6">
        <w:t>on</w:t>
      </w:r>
      <w:r w:rsidR="008243CA">
        <w:t xml:space="preserve"> </w:t>
      </w:r>
      <w:r w:rsidRPr="00E62FE6">
        <w:t>the</w:t>
      </w:r>
      <w:r w:rsidR="008243CA">
        <w:t xml:space="preserve"> </w:t>
      </w:r>
      <w:r w:rsidRPr="00E62FE6">
        <w:t>role</w:t>
      </w:r>
      <w:r w:rsidR="008243CA">
        <w:t xml:space="preserve"> </w:t>
      </w:r>
      <w:r w:rsidRPr="00E62FE6">
        <w:t>of</w:t>
      </w:r>
      <w:r w:rsidR="008243CA">
        <w:t xml:space="preserve"> </w:t>
      </w:r>
      <w:r w:rsidRPr="00E62FE6">
        <w:t>police</w:t>
      </w:r>
      <w:r w:rsidR="008243CA">
        <w:t xml:space="preserve"> </w:t>
      </w:r>
      <w:r w:rsidRPr="00E62FE6">
        <w:t>in</w:t>
      </w:r>
      <w:r w:rsidR="008243CA">
        <w:t xml:space="preserve"> </w:t>
      </w:r>
      <w:r w:rsidRPr="00E62FE6">
        <w:t>preventing</w:t>
      </w:r>
      <w:r w:rsidR="008243CA">
        <w:t xml:space="preserve"> </w:t>
      </w:r>
      <w:r w:rsidRPr="00E62FE6">
        <w:t>human</w:t>
      </w:r>
      <w:r w:rsidR="008243CA">
        <w:t xml:space="preserve"> </w:t>
      </w:r>
      <w:r w:rsidRPr="00E62FE6">
        <w:t>rights</w:t>
      </w:r>
      <w:r w:rsidR="008243CA">
        <w:t xml:space="preserve"> </w:t>
      </w:r>
      <w:r w:rsidRPr="00E62FE6">
        <w:t>violations</w:t>
      </w:r>
      <w:r w:rsidR="008243CA">
        <w:t xml:space="preserve"> </w:t>
      </w:r>
      <w:r w:rsidRPr="00E62FE6">
        <w:t>was</w:t>
      </w:r>
      <w:r w:rsidR="008243CA">
        <w:t xml:space="preserve"> </w:t>
      </w:r>
      <w:r w:rsidRPr="00E62FE6">
        <w:t>held</w:t>
      </w:r>
      <w:r w:rsidR="008243CA">
        <w:t xml:space="preserve"> </w:t>
      </w:r>
      <w:r w:rsidRPr="00E62FE6">
        <w:t>on</w:t>
      </w:r>
      <w:r w:rsidR="008243CA">
        <w:t xml:space="preserve"> </w:t>
      </w:r>
      <w:r w:rsidRPr="00E62FE6">
        <w:t>27</w:t>
      </w:r>
      <w:r w:rsidR="008243CA">
        <w:t xml:space="preserve"> </w:t>
      </w:r>
      <w:r w:rsidRPr="00E62FE6">
        <w:t>July</w:t>
      </w:r>
      <w:r w:rsidR="008243CA">
        <w:t xml:space="preserve"> </w:t>
      </w:r>
      <w:r w:rsidRPr="00E62FE6">
        <w:t>2016,</w:t>
      </w:r>
      <w:r w:rsidR="008243CA">
        <w:t xml:space="preserve"> </w:t>
      </w:r>
      <w:r w:rsidRPr="00E62FE6">
        <w:t>and</w:t>
      </w:r>
      <w:r w:rsidR="008243CA">
        <w:t xml:space="preserve"> </w:t>
      </w:r>
      <w:r w:rsidRPr="00E62FE6">
        <w:t>in</w:t>
      </w:r>
      <w:r w:rsidR="008243CA">
        <w:t xml:space="preserve"> </w:t>
      </w:r>
      <w:r w:rsidRPr="00E62FE6">
        <w:t>October</w:t>
      </w:r>
      <w:r w:rsidR="008243CA">
        <w:t xml:space="preserve"> </w:t>
      </w:r>
      <w:r w:rsidRPr="00E62FE6">
        <w:t>2016,</w:t>
      </w:r>
      <w:r w:rsidR="008243CA">
        <w:t xml:space="preserve"> </w:t>
      </w:r>
      <w:r w:rsidRPr="00E62FE6">
        <w:t>22</w:t>
      </w:r>
      <w:r w:rsidR="008243CA">
        <w:t xml:space="preserve"> </w:t>
      </w:r>
      <w:r w:rsidRPr="00E62FE6">
        <w:t>officers</w:t>
      </w:r>
      <w:r w:rsidR="008243CA">
        <w:t xml:space="preserve"> </w:t>
      </w:r>
      <w:r w:rsidRPr="00E62FE6">
        <w:t>and</w:t>
      </w:r>
      <w:r w:rsidR="008243CA">
        <w:t xml:space="preserve"> </w:t>
      </w:r>
      <w:r w:rsidRPr="00E62FE6">
        <w:t>non-commissioned</w:t>
      </w:r>
      <w:r w:rsidR="008243CA">
        <w:t xml:space="preserve"> </w:t>
      </w:r>
      <w:r w:rsidRPr="00E62FE6">
        <w:t>officers</w:t>
      </w:r>
      <w:r w:rsidR="008243CA">
        <w:t xml:space="preserve"> </w:t>
      </w:r>
      <w:r w:rsidRPr="00E62FE6">
        <w:t>who</w:t>
      </w:r>
      <w:r w:rsidR="008243CA">
        <w:t xml:space="preserve"> </w:t>
      </w:r>
      <w:r w:rsidRPr="00E62FE6">
        <w:t>were</w:t>
      </w:r>
      <w:r w:rsidR="008243CA">
        <w:t xml:space="preserve"> </w:t>
      </w:r>
      <w:r w:rsidRPr="00E62FE6">
        <w:t>attending</w:t>
      </w:r>
      <w:r w:rsidR="008243CA">
        <w:t xml:space="preserve"> </w:t>
      </w:r>
      <w:r w:rsidRPr="00E62FE6">
        <w:t>the</w:t>
      </w:r>
      <w:r w:rsidR="008243CA">
        <w:t xml:space="preserve"> </w:t>
      </w:r>
      <w:r w:rsidRPr="00E62FE6">
        <w:t>sixth</w:t>
      </w:r>
      <w:r w:rsidR="008243CA">
        <w:t xml:space="preserve"> </w:t>
      </w:r>
      <w:r w:rsidRPr="00E62FE6">
        <w:t>course</w:t>
      </w:r>
      <w:r w:rsidR="008243CA">
        <w:t xml:space="preserve"> </w:t>
      </w:r>
      <w:r w:rsidRPr="00E62FE6">
        <w:t>for</w:t>
      </w:r>
      <w:r w:rsidR="008243CA">
        <w:t xml:space="preserve"> </w:t>
      </w:r>
      <w:r w:rsidRPr="00E62FE6">
        <w:t>human</w:t>
      </w:r>
      <w:r w:rsidR="008243CA">
        <w:t xml:space="preserve"> </w:t>
      </w:r>
      <w:r w:rsidRPr="00E62FE6">
        <w:t>rights</w:t>
      </w:r>
      <w:r w:rsidR="008243CA">
        <w:t xml:space="preserve"> </w:t>
      </w:r>
      <w:r w:rsidRPr="00E62FE6">
        <w:t>instructors</w:t>
      </w:r>
      <w:r w:rsidR="008243CA">
        <w:t xml:space="preserve"> </w:t>
      </w:r>
      <w:r w:rsidRPr="00E62FE6">
        <w:t>received</w:t>
      </w:r>
      <w:r w:rsidR="008243CA">
        <w:t xml:space="preserve"> </w:t>
      </w:r>
      <w:r w:rsidRPr="00E62FE6">
        <w:t>training</w:t>
      </w:r>
      <w:r w:rsidR="008243CA">
        <w:t xml:space="preserve"> </w:t>
      </w:r>
      <w:r w:rsidRPr="00E62FE6">
        <w:t>on</w:t>
      </w:r>
      <w:r w:rsidR="008243CA">
        <w:t xml:space="preserve"> </w:t>
      </w:r>
      <w:r w:rsidRPr="00E62FE6">
        <w:t>prevention</w:t>
      </w:r>
      <w:r w:rsidR="008243CA">
        <w:t xml:space="preserve"> </w:t>
      </w:r>
      <w:r w:rsidRPr="00E62FE6">
        <w:t>of</w:t>
      </w:r>
      <w:r w:rsidR="008243CA">
        <w:t xml:space="preserve"> </w:t>
      </w:r>
      <w:r w:rsidRPr="00E62FE6">
        <w:t>torture</w:t>
      </w:r>
      <w:r w:rsidR="008243CA">
        <w:t xml:space="preserve"> </w:t>
      </w:r>
      <w:r w:rsidRPr="00E62FE6">
        <w:t>and</w:t>
      </w:r>
      <w:r w:rsidR="008243CA">
        <w:t xml:space="preserve"> </w:t>
      </w:r>
      <w:r w:rsidRPr="00E62FE6">
        <w:t>mass</w:t>
      </w:r>
      <w:r w:rsidR="008243CA">
        <w:t xml:space="preserve"> </w:t>
      </w:r>
      <w:r w:rsidRPr="00E62FE6">
        <w:t>atrocities</w:t>
      </w:r>
      <w:r w:rsidR="008243CA">
        <w:t xml:space="preserve"> </w:t>
      </w:r>
      <w:r w:rsidRPr="00E62FE6">
        <w:t>as</w:t>
      </w:r>
      <w:r w:rsidR="008243CA">
        <w:t xml:space="preserve"> </w:t>
      </w:r>
      <w:r w:rsidRPr="00E62FE6">
        <w:t>part</w:t>
      </w:r>
      <w:r w:rsidR="008243CA">
        <w:t xml:space="preserve"> </w:t>
      </w:r>
      <w:r w:rsidRPr="00E62FE6">
        <w:t>of</w:t>
      </w:r>
      <w:r w:rsidR="008243CA">
        <w:t xml:space="preserve"> </w:t>
      </w:r>
      <w:r w:rsidRPr="00E62FE6">
        <w:t>the</w:t>
      </w:r>
      <w:r w:rsidR="008243CA">
        <w:t xml:space="preserve"> </w:t>
      </w:r>
      <w:r w:rsidRPr="00E62FE6">
        <w:t>module</w:t>
      </w:r>
      <w:r w:rsidR="008243CA">
        <w:t xml:space="preserve"> </w:t>
      </w:r>
      <w:r w:rsidRPr="00E62FE6">
        <w:t>on</w:t>
      </w:r>
      <w:r w:rsidR="008243CA">
        <w:t xml:space="preserve"> </w:t>
      </w:r>
      <w:r w:rsidRPr="00E62FE6">
        <w:t>human</w:t>
      </w:r>
      <w:r w:rsidR="008243CA">
        <w:t xml:space="preserve"> </w:t>
      </w:r>
      <w:r w:rsidRPr="00E62FE6">
        <w:t>rights</w:t>
      </w:r>
      <w:r w:rsidR="008243CA">
        <w:t xml:space="preserve"> </w:t>
      </w:r>
      <w:r w:rsidRPr="00E62FE6">
        <w:t>in</w:t>
      </w:r>
      <w:r w:rsidR="008243CA">
        <w:t xml:space="preserve"> </w:t>
      </w:r>
      <w:r w:rsidRPr="00E62FE6">
        <w:t>the</w:t>
      </w:r>
      <w:r w:rsidR="008243CA">
        <w:t xml:space="preserve"> </w:t>
      </w:r>
      <w:r w:rsidRPr="00E62FE6">
        <w:t>context</w:t>
      </w:r>
      <w:r w:rsidR="008243CA">
        <w:t xml:space="preserve"> </w:t>
      </w:r>
      <w:r w:rsidRPr="00E62FE6">
        <w:t>of</w:t>
      </w:r>
      <w:r w:rsidR="008243CA">
        <w:t xml:space="preserve"> </w:t>
      </w:r>
      <w:r w:rsidRPr="00E62FE6">
        <w:t>policing.</w:t>
      </w:r>
    </w:p>
    <w:p w:rsidR="003F7D03" w:rsidRPr="00E62FE6" w:rsidRDefault="003F7D03" w:rsidP="000C6D98">
      <w:pPr>
        <w:pStyle w:val="SingleTxtG"/>
      </w:pPr>
      <w:r w:rsidRPr="00E62FE6">
        <w:t>53.</w:t>
      </w:r>
      <w:r w:rsidRPr="00E62FE6">
        <w:tab/>
        <w:t>The</w:t>
      </w:r>
      <w:r w:rsidR="008243CA">
        <w:t xml:space="preserve"> </w:t>
      </w:r>
      <w:r w:rsidRPr="00E62FE6">
        <w:t>Government</w:t>
      </w:r>
      <w:r w:rsidR="008243CA">
        <w:t xml:space="preserve"> </w:t>
      </w:r>
      <w:r w:rsidRPr="00E62FE6">
        <w:t>can</w:t>
      </w:r>
      <w:r w:rsidR="008243CA">
        <w:t xml:space="preserve"> </w:t>
      </w:r>
      <w:r w:rsidRPr="00E62FE6">
        <w:t>confirm</w:t>
      </w:r>
      <w:r w:rsidR="008243CA">
        <w:t xml:space="preserve"> </w:t>
      </w:r>
      <w:r w:rsidRPr="00E62FE6">
        <w:t>that,</w:t>
      </w:r>
      <w:r w:rsidR="008243CA">
        <w:t xml:space="preserve"> </w:t>
      </w:r>
      <w:r w:rsidRPr="00E62FE6">
        <w:t>as</w:t>
      </w:r>
      <w:r w:rsidR="008243CA">
        <w:t xml:space="preserve"> </w:t>
      </w:r>
      <w:r w:rsidRPr="00E62FE6">
        <w:t>regards</w:t>
      </w:r>
      <w:r w:rsidR="008243CA">
        <w:t xml:space="preserve"> </w:t>
      </w:r>
      <w:r w:rsidRPr="00E62FE6">
        <w:t>the</w:t>
      </w:r>
      <w:r w:rsidR="008243CA">
        <w:t xml:space="preserve"> </w:t>
      </w:r>
      <w:r w:rsidRPr="00E62FE6">
        <w:t>excessive</w:t>
      </w:r>
      <w:r w:rsidR="008243CA">
        <w:t xml:space="preserve"> </w:t>
      </w:r>
      <w:r w:rsidRPr="00E62FE6">
        <w:t>use</w:t>
      </w:r>
      <w:r w:rsidR="008243CA">
        <w:t xml:space="preserve"> </w:t>
      </w:r>
      <w:r w:rsidRPr="00E62FE6">
        <w:t>of</w:t>
      </w:r>
      <w:r w:rsidR="008243CA">
        <w:t xml:space="preserve"> </w:t>
      </w:r>
      <w:r w:rsidRPr="00E62FE6">
        <w:t>force</w:t>
      </w:r>
      <w:r w:rsidR="008243CA">
        <w:t xml:space="preserve"> </w:t>
      </w:r>
      <w:r w:rsidRPr="00E62FE6">
        <w:t>against</w:t>
      </w:r>
      <w:r w:rsidR="008243CA">
        <w:t xml:space="preserve"> </w:t>
      </w:r>
      <w:r w:rsidRPr="00E62FE6">
        <w:t>the</w:t>
      </w:r>
      <w:r w:rsidR="008243CA">
        <w:t xml:space="preserve"> </w:t>
      </w:r>
      <w:proofErr w:type="spellStart"/>
      <w:r w:rsidRPr="00E62FE6">
        <w:t>Mapuche</w:t>
      </w:r>
      <w:proofErr w:type="spellEnd"/>
      <w:r w:rsidR="008243CA">
        <w:t xml:space="preserve"> </w:t>
      </w:r>
      <w:r w:rsidRPr="00E62FE6">
        <w:t>people</w:t>
      </w:r>
      <w:r w:rsidR="008243CA">
        <w:t xml:space="preserve"> </w:t>
      </w:r>
      <w:r w:rsidRPr="00E62FE6">
        <w:t>in</w:t>
      </w:r>
      <w:r w:rsidR="008243CA">
        <w:t xml:space="preserve"> </w:t>
      </w:r>
      <w:r w:rsidRPr="00E62FE6">
        <w:t>the</w:t>
      </w:r>
      <w:r w:rsidR="008243CA">
        <w:t xml:space="preserve"> </w:t>
      </w:r>
      <w:r w:rsidRPr="00E62FE6">
        <w:t>context</w:t>
      </w:r>
      <w:r w:rsidR="008243CA">
        <w:t xml:space="preserve"> </w:t>
      </w:r>
      <w:r w:rsidRPr="00E62FE6">
        <w:t>of</w:t>
      </w:r>
      <w:r w:rsidR="008243CA">
        <w:t xml:space="preserve"> </w:t>
      </w:r>
      <w:r w:rsidRPr="00E62FE6">
        <w:t>territorial</w:t>
      </w:r>
      <w:r w:rsidR="008243CA">
        <w:t xml:space="preserve"> </w:t>
      </w:r>
      <w:r w:rsidRPr="00E62FE6">
        <w:t>claims,</w:t>
      </w:r>
      <w:r w:rsidR="008243CA">
        <w:t xml:space="preserve"> </w:t>
      </w:r>
      <w:r w:rsidRPr="00E62FE6">
        <w:t>the</w:t>
      </w:r>
      <w:r w:rsidR="008243CA">
        <w:t xml:space="preserve"> </w:t>
      </w:r>
      <w:r w:rsidRPr="00E62FE6">
        <w:t>protocol</w:t>
      </w:r>
      <w:r w:rsidR="008243CA">
        <w:t xml:space="preserve"> </w:t>
      </w:r>
      <w:r w:rsidRPr="00E62FE6">
        <w:t>followed</w:t>
      </w:r>
      <w:r w:rsidR="008243CA">
        <w:t xml:space="preserve"> </w:t>
      </w:r>
      <w:r w:rsidRPr="00E62FE6">
        <w:t>by</w:t>
      </w:r>
      <w:r w:rsidR="008243CA">
        <w:t xml:space="preserve"> </w:t>
      </w:r>
      <w:r w:rsidRPr="00E62FE6">
        <w:t>the</w:t>
      </w:r>
      <w:r w:rsidR="008243CA">
        <w:t xml:space="preserve"> </w:t>
      </w:r>
      <w:proofErr w:type="spellStart"/>
      <w:r w:rsidRPr="00E62FE6">
        <w:t>Carabineros</w:t>
      </w:r>
      <w:proofErr w:type="spellEnd"/>
      <w:r w:rsidR="008243CA">
        <w:t xml:space="preserve"> </w:t>
      </w:r>
      <w:r w:rsidRPr="00E62FE6">
        <w:t>for</w:t>
      </w:r>
      <w:r w:rsidR="008243CA">
        <w:t xml:space="preserve"> </w:t>
      </w:r>
      <w:r w:rsidRPr="00E62FE6">
        <w:t>maintaining</w:t>
      </w:r>
      <w:r w:rsidR="008243CA">
        <w:t xml:space="preserve"> </w:t>
      </w:r>
      <w:r w:rsidRPr="00E62FE6">
        <w:t>public</w:t>
      </w:r>
      <w:r w:rsidR="008243CA">
        <w:t xml:space="preserve"> </w:t>
      </w:r>
      <w:r w:rsidRPr="00E62FE6">
        <w:t>order</w:t>
      </w:r>
      <w:r w:rsidR="008243CA">
        <w:t xml:space="preserve"> </w:t>
      </w:r>
      <w:r w:rsidRPr="00E62FE6">
        <w:t>contains</w:t>
      </w:r>
      <w:r w:rsidR="008243CA">
        <w:t xml:space="preserve"> </w:t>
      </w:r>
      <w:r w:rsidRPr="00E62FE6">
        <w:t>a</w:t>
      </w:r>
      <w:r w:rsidR="008243CA">
        <w:t xml:space="preserve"> </w:t>
      </w:r>
      <w:r w:rsidRPr="00E62FE6">
        <w:t>special</w:t>
      </w:r>
      <w:r w:rsidR="008243CA">
        <w:t xml:space="preserve"> </w:t>
      </w:r>
      <w:r w:rsidRPr="00E62FE6">
        <w:t>protocol</w:t>
      </w:r>
      <w:r w:rsidR="008243CA">
        <w:t xml:space="preserve"> </w:t>
      </w:r>
      <w:r w:rsidRPr="00E62FE6">
        <w:t>for</w:t>
      </w:r>
      <w:r w:rsidR="008243CA">
        <w:t xml:space="preserve"> </w:t>
      </w:r>
      <w:r w:rsidRPr="00E62FE6">
        <w:t>the</w:t>
      </w:r>
      <w:r w:rsidR="008243CA">
        <w:t xml:space="preserve"> </w:t>
      </w:r>
      <w:r w:rsidRPr="00E62FE6">
        <w:t>treatment</w:t>
      </w:r>
      <w:r w:rsidR="008243CA">
        <w:t xml:space="preserve"> </w:t>
      </w:r>
      <w:r w:rsidRPr="00E62FE6">
        <w:t>of</w:t>
      </w:r>
      <w:r w:rsidR="008243CA">
        <w:t xml:space="preserve"> </w:t>
      </w:r>
      <w:r w:rsidRPr="00E62FE6">
        <w:t>indigenous</w:t>
      </w:r>
      <w:r w:rsidR="008243CA">
        <w:t xml:space="preserve"> </w:t>
      </w:r>
      <w:r w:rsidRPr="00E62FE6">
        <w:t>children</w:t>
      </w:r>
      <w:r w:rsidR="008243CA">
        <w:t xml:space="preserve"> </w:t>
      </w:r>
      <w:r w:rsidRPr="00E62FE6">
        <w:t>and</w:t>
      </w:r>
      <w:r w:rsidR="008243CA">
        <w:t xml:space="preserve"> </w:t>
      </w:r>
      <w:r w:rsidRPr="00E62FE6">
        <w:t>adolescents</w:t>
      </w:r>
      <w:r w:rsidR="008243CA">
        <w:t xml:space="preserve"> </w:t>
      </w:r>
      <w:r w:rsidRPr="00E62FE6">
        <w:t>who</w:t>
      </w:r>
      <w:r w:rsidR="008243CA">
        <w:t xml:space="preserve"> </w:t>
      </w:r>
      <w:r w:rsidRPr="00E62FE6">
        <w:t>have</w:t>
      </w:r>
      <w:r w:rsidR="008243CA">
        <w:t xml:space="preserve"> </w:t>
      </w:r>
      <w:r w:rsidRPr="00E62FE6">
        <w:t>broken</w:t>
      </w:r>
      <w:r w:rsidR="008243CA">
        <w:t xml:space="preserve"> </w:t>
      </w:r>
      <w:r w:rsidRPr="00E62FE6">
        <w:t>the</w:t>
      </w:r>
      <w:r w:rsidR="008243CA">
        <w:t xml:space="preserve"> </w:t>
      </w:r>
      <w:r w:rsidRPr="00E62FE6">
        <w:t>law.</w:t>
      </w:r>
      <w:r w:rsidR="008243CA">
        <w:t xml:space="preserve"> </w:t>
      </w:r>
      <w:r w:rsidRPr="00E62FE6">
        <w:t>These</w:t>
      </w:r>
      <w:r w:rsidR="008243CA">
        <w:t xml:space="preserve"> </w:t>
      </w:r>
      <w:r w:rsidRPr="00E62FE6">
        <w:t>protocols</w:t>
      </w:r>
      <w:r w:rsidR="008243CA">
        <w:t xml:space="preserve"> </w:t>
      </w:r>
      <w:r w:rsidRPr="00E62FE6">
        <w:t>are</w:t>
      </w:r>
      <w:r w:rsidR="008243CA">
        <w:t xml:space="preserve"> </w:t>
      </w:r>
      <w:r w:rsidRPr="00E62FE6">
        <w:t>publicly</w:t>
      </w:r>
      <w:r w:rsidR="008243CA">
        <w:t xml:space="preserve"> </w:t>
      </w:r>
      <w:r w:rsidRPr="00E62FE6">
        <w:t>available,</w:t>
      </w:r>
      <w:r w:rsidR="008243CA">
        <w:t xml:space="preserve"> </w:t>
      </w:r>
      <w:r w:rsidRPr="00E62FE6">
        <w:t>allowing</w:t>
      </w:r>
      <w:r w:rsidR="008243CA">
        <w:t xml:space="preserve"> </w:t>
      </w:r>
      <w:r w:rsidRPr="00E62FE6">
        <w:t>for</w:t>
      </w:r>
      <w:r w:rsidR="008243CA">
        <w:t xml:space="preserve"> </w:t>
      </w:r>
      <w:r w:rsidRPr="00E62FE6">
        <w:t>greater</w:t>
      </w:r>
      <w:r w:rsidR="008243CA">
        <w:t xml:space="preserve"> </w:t>
      </w:r>
      <w:r w:rsidRPr="00E62FE6">
        <w:t>public</w:t>
      </w:r>
      <w:r w:rsidR="008243CA">
        <w:t xml:space="preserve"> </w:t>
      </w:r>
      <w:r w:rsidRPr="00E62FE6">
        <w:t>oversight.</w:t>
      </w:r>
    </w:p>
    <w:p w:rsidR="003F7D03" w:rsidRPr="00E62FE6" w:rsidRDefault="003F7D03" w:rsidP="000C6D98">
      <w:pPr>
        <w:pStyle w:val="SingleTxtG"/>
      </w:pPr>
      <w:r w:rsidRPr="00E62FE6">
        <w:t>54.</w:t>
      </w:r>
      <w:r w:rsidRPr="00E62FE6">
        <w:tab/>
        <w:t>In</w:t>
      </w:r>
      <w:r w:rsidR="008243CA">
        <w:t xml:space="preserve"> </w:t>
      </w:r>
      <w:r w:rsidRPr="00E62FE6">
        <w:t>addition,</w:t>
      </w:r>
      <w:r w:rsidR="008243CA">
        <w:t xml:space="preserve"> </w:t>
      </w:r>
      <w:r w:rsidRPr="00E62FE6">
        <w:t>the</w:t>
      </w:r>
      <w:r w:rsidR="008243CA">
        <w:t xml:space="preserve"> </w:t>
      </w:r>
      <w:proofErr w:type="spellStart"/>
      <w:r w:rsidRPr="00E62FE6">
        <w:t>Carabineros</w:t>
      </w:r>
      <w:proofErr w:type="spellEnd"/>
      <w:r w:rsidR="008243CA">
        <w:t xml:space="preserve"> </w:t>
      </w:r>
      <w:r w:rsidRPr="00E62FE6">
        <w:t>have</w:t>
      </w:r>
      <w:r w:rsidR="008243CA">
        <w:t xml:space="preserve"> </w:t>
      </w:r>
      <w:r w:rsidRPr="00E62FE6">
        <w:t>defined</w:t>
      </w:r>
      <w:r w:rsidR="008243CA">
        <w:t xml:space="preserve"> </w:t>
      </w:r>
      <w:r w:rsidRPr="00E62FE6">
        <w:t>torture</w:t>
      </w:r>
      <w:r w:rsidR="008243CA">
        <w:t xml:space="preserve"> </w:t>
      </w:r>
      <w:r w:rsidRPr="00E62FE6">
        <w:t>and</w:t>
      </w:r>
      <w:r w:rsidR="008243CA">
        <w:t xml:space="preserve"> </w:t>
      </w:r>
      <w:r w:rsidRPr="00E62FE6">
        <w:t>other</w:t>
      </w:r>
      <w:r w:rsidR="008243CA">
        <w:t xml:space="preserve"> </w:t>
      </w:r>
      <w:r w:rsidRPr="00E62FE6">
        <w:t>inhuman,</w:t>
      </w:r>
      <w:r w:rsidR="008243CA">
        <w:t xml:space="preserve"> </w:t>
      </w:r>
      <w:r w:rsidRPr="00E62FE6">
        <w:t>cruel</w:t>
      </w:r>
      <w:r w:rsidR="008243CA">
        <w:t xml:space="preserve"> </w:t>
      </w:r>
      <w:r w:rsidRPr="00E62FE6">
        <w:t>and</w:t>
      </w:r>
      <w:r w:rsidR="008243CA">
        <w:t xml:space="preserve"> </w:t>
      </w:r>
      <w:r w:rsidRPr="00E62FE6">
        <w:t>degrading</w:t>
      </w:r>
      <w:r w:rsidR="008243CA">
        <w:t xml:space="preserve"> </w:t>
      </w:r>
      <w:r w:rsidRPr="00E62FE6">
        <w:t>treatment</w:t>
      </w:r>
      <w:r w:rsidR="008243CA">
        <w:t xml:space="preserve"> </w:t>
      </w:r>
      <w:r w:rsidRPr="00E62FE6">
        <w:t>as</w:t>
      </w:r>
      <w:r w:rsidR="008243CA">
        <w:t xml:space="preserve"> </w:t>
      </w:r>
      <w:r w:rsidRPr="00E62FE6">
        <w:t>abuses</w:t>
      </w:r>
      <w:r w:rsidR="008243CA">
        <w:t xml:space="preserve"> </w:t>
      </w:r>
      <w:r w:rsidRPr="00E62FE6">
        <w:t>that</w:t>
      </w:r>
      <w:r w:rsidR="008243CA">
        <w:t xml:space="preserve"> </w:t>
      </w:r>
      <w:r w:rsidRPr="00E62FE6">
        <w:t>are</w:t>
      </w:r>
      <w:r w:rsidR="008243CA">
        <w:t xml:space="preserve"> </w:t>
      </w:r>
      <w:r w:rsidRPr="00E62FE6">
        <w:t>in</w:t>
      </w:r>
      <w:r w:rsidR="008243CA">
        <w:t xml:space="preserve"> </w:t>
      </w:r>
      <w:r w:rsidRPr="00E62FE6">
        <w:t>violation</w:t>
      </w:r>
      <w:r w:rsidR="008243CA">
        <w:t xml:space="preserve"> </w:t>
      </w:r>
      <w:r w:rsidRPr="00E62FE6">
        <w:t>of</w:t>
      </w:r>
      <w:r w:rsidR="008243CA">
        <w:t xml:space="preserve"> </w:t>
      </w:r>
      <w:r w:rsidRPr="00E62FE6">
        <w:t>the</w:t>
      </w:r>
      <w:r w:rsidR="008243CA">
        <w:t xml:space="preserve"> </w:t>
      </w:r>
      <w:r w:rsidRPr="00E62FE6">
        <w:t>law</w:t>
      </w:r>
      <w:r w:rsidR="008243CA">
        <w:t xml:space="preserve"> </w:t>
      </w:r>
      <w:r w:rsidRPr="00E62FE6">
        <w:t>and</w:t>
      </w:r>
      <w:r w:rsidR="008243CA">
        <w:t xml:space="preserve"> </w:t>
      </w:r>
      <w:r w:rsidRPr="00E62FE6">
        <w:t>police</w:t>
      </w:r>
      <w:r w:rsidR="008243CA">
        <w:t xml:space="preserve"> </w:t>
      </w:r>
      <w:r w:rsidRPr="00E62FE6">
        <w:t>ethics</w:t>
      </w:r>
      <w:r w:rsidR="008243CA">
        <w:t xml:space="preserve"> </w:t>
      </w:r>
      <w:r w:rsidRPr="00E62FE6">
        <w:t>(Protocol</w:t>
      </w:r>
      <w:r w:rsidR="008243CA">
        <w:t xml:space="preserve"> </w:t>
      </w:r>
      <w:r w:rsidRPr="00E62FE6">
        <w:t>4.5</w:t>
      </w:r>
      <w:r w:rsidR="008243CA">
        <w:t xml:space="preserve"> </w:t>
      </w:r>
      <w:r w:rsidRPr="00E62FE6">
        <w:t>of</w:t>
      </w:r>
      <w:r w:rsidR="008243CA">
        <w:t xml:space="preserve"> </w:t>
      </w:r>
      <w:r w:rsidRPr="00E62FE6">
        <w:t>General</w:t>
      </w:r>
      <w:r w:rsidR="008243CA">
        <w:t xml:space="preserve"> </w:t>
      </w:r>
      <w:r w:rsidRPr="00E62FE6">
        <w:t>Order</w:t>
      </w:r>
      <w:r w:rsidR="008243CA">
        <w:t xml:space="preserve"> </w:t>
      </w:r>
      <w:r w:rsidRPr="00E62FE6">
        <w:t>No.</w:t>
      </w:r>
      <w:r w:rsidR="008243CA">
        <w:t xml:space="preserve"> </w:t>
      </w:r>
      <w:r w:rsidRPr="00E62FE6">
        <w:t>2287</w:t>
      </w:r>
      <w:r w:rsidR="008243CA">
        <w:t xml:space="preserve"> </w:t>
      </w:r>
      <w:r w:rsidRPr="00E62FE6">
        <w:t>of</w:t>
      </w:r>
      <w:r w:rsidR="008243CA">
        <w:t xml:space="preserve"> </w:t>
      </w:r>
      <w:r w:rsidRPr="00E62FE6">
        <w:t>14</w:t>
      </w:r>
      <w:r w:rsidR="008243CA">
        <w:t xml:space="preserve"> </w:t>
      </w:r>
      <w:r w:rsidRPr="00E62FE6">
        <w:t>August</w:t>
      </w:r>
      <w:r w:rsidR="008243CA">
        <w:t xml:space="preserve"> </w:t>
      </w:r>
      <w:r w:rsidRPr="00E62FE6">
        <w:t>2014).</w:t>
      </w:r>
      <w:r w:rsidR="008243CA">
        <w:t xml:space="preserve"> </w:t>
      </w:r>
      <w:r w:rsidRPr="00E62FE6">
        <w:t>Moreover,</w:t>
      </w:r>
      <w:r w:rsidR="008243CA">
        <w:t xml:space="preserve"> </w:t>
      </w:r>
      <w:r w:rsidRPr="00E62FE6">
        <w:t>the</w:t>
      </w:r>
      <w:r w:rsidR="008243CA">
        <w:t xml:space="preserve"> </w:t>
      </w:r>
      <w:r w:rsidRPr="00E62FE6">
        <w:t>institution</w:t>
      </w:r>
      <w:r w:rsidR="008243CA">
        <w:t xml:space="preserve"> </w:t>
      </w:r>
      <w:r w:rsidRPr="00E62FE6">
        <w:t>has</w:t>
      </w:r>
      <w:r w:rsidR="008243CA">
        <w:t xml:space="preserve"> </w:t>
      </w:r>
      <w:r w:rsidRPr="00E62FE6">
        <w:t>identified</w:t>
      </w:r>
      <w:r w:rsidR="008243CA">
        <w:t xml:space="preserve"> </w:t>
      </w:r>
      <w:r w:rsidRPr="00E62FE6">
        <w:t>approved</w:t>
      </w:r>
      <w:r w:rsidR="008243CA">
        <w:t xml:space="preserve"> </w:t>
      </w:r>
      <w:r w:rsidRPr="00E62FE6">
        <w:t>techniques</w:t>
      </w:r>
      <w:r w:rsidR="008243CA">
        <w:t xml:space="preserve"> </w:t>
      </w:r>
      <w:r w:rsidRPr="00E62FE6">
        <w:t>for</w:t>
      </w:r>
      <w:r w:rsidR="008243CA">
        <w:t xml:space="preserve"> </w:t>
      </w:r>
      <w:r w:rsidRPr="00E62FE6">
        <w:t>apprehending,</w:t>
      </w:r>
      <w:r w:rsidR="008243CA">
        <w:t xml:space="preserve"> </w:t>
      </w:r>
      <w:r w:rsidRPr="00E62FE6">
        <w:t>searching</w:t>
      </w:r>
      <w:r w:rsidR="008243CA">
        <w:t xml:space="preserve"> </w:t>
      </w:r>
      <w:r w:rsidRPr="00E62FE6">
        <w:t>and</w:t>
      </w:r>
      <w:r w:rsidR="008243CA">
        <w:t xml:space="preserve"> </w:t>
      </w:r>
      <w:r w:rsidRPr="00E62FE6">
        <w:t>transporting</w:t>
      </w:r>
      <w:r w:rsidR="008243CA">
        <w:t xml:space="preserve"> </w:t>
      </w:r>
      <w:r w:rsidRPr="00E62FE6">
        <w:t>suspects</w:t>
      </w:r>
      <w:r w:rsidR="008243CA">
        <w:t xml:space="preserve"> </w:t>
      </w:r>
      <w:r w:rsidRPr="00E62FE6">
        <w:t>which</w:t>
      </w:r>
      <w:r w:rsidR="008243CA">
        <w:t xml:space="preserve"> </w:t>
      </w:r>
      <w:r w:rsidRPr="00E62FE6">
        <w:t>are</w:t>
      </w:r>
      <w:r w:rsidR="008243CA">
        <w:t xml:space="preserve"> </w:t>
      </w:r>
      <w:r w:rsidRPr="00E62FE6">
        <w:t>compatible</w:t>
      </w:r>
      <w:r w:rsidR="008243CA">
        <w:t xml:space="preserve"> </w:t>
      </w:r>
      <w:r w:rsidRPr="00E62FE6">
        <w:t>with</w:t>
      </w:r>
      <w:r w:rsidR="008243CA">
        <w:t xml:space="preserve"> </w:t>
      </w:r>
      <w:proofErr w:type="spellStart"/>
      <w:r w:rsidRPr="00E62FE6">
        <w:t>Carabineros</w:t>
      </w:r>
      <w:proofErr w:type="spellEnd"/>
      <w:r w:rsidR="008243CA">
        <w:t xml:space="preserve"> </w:t>
      </w:r>
      <w:r w:rsidRPr="00E62FE6">
        <w:t>policy</w:t>
      </w:r>
      <w:r w:rsidR="008243CA">
        <w:t xml:space="preserve"> </w:t>
      </w:r>
      <w:r w:rsidRPr="00E62FE6">
        <w:t>on</w:t>
      </w:r>
      <w:r w:rsidR="008243CA">
        <w:t xml:space="preserve"> </w:t>
      </w:r>
      <w:r w:rsidRPr="00E62FE6">
        <w:t>the</w:t>
      </w:r>
      <w:r w:rsidR="008243CA">
        <w:t xml:space="preserve"> </w:t>
      </w:r>
      <w:r w:rsidRPr="00E62FE6">
        <w:t>use</w:t>
      </w:r>
      <w:r w:rsidR="008243CA">
        <w:t xml:space="preserve"> </w:t>
      </w:r>
      <w:r w:rsidRPr="00E62FE6">
        <w:t>of</w:t>
      </w:r>
      <w:r w:rsidR="008243CA">
        <w:t xml:space="preserve"> </w:t>
      </w:r>
      <w:r w:rsidRPr="00E62FE6">
        <w:t>force</w:t>
      </w:r>
      <w:r w:rsidR="008243CA">
        <w:t xml:space="preserve"> </w:t>
      </w:r>
      <w:r w:rsidRPr="00E62FE6">
        <w:t>by</w:t>
      </w:r>
      <w:r w:rsidR="008243CA">
        <w:t xml:space="preserve"> </w:t>
      </w:r>
      <w:r w:rsidRPr="00E62FE6">
        <w:t>police</w:t>
      </w:r>
      <w:r w:rsidR="008243CA">
        <w:t xml:space="preserve"> </w:t>
      </w:r>
      <w:r w:rsidRPr="00E62FE6">
        <w:t>(Circular</w:t>
      </w:r>
      <w:r w:rsidR="008243CA">
        <w:t xml:space="preserve"> </w:t>
      </w:r>
      <w:r w:rsidRPr="00E62FE6">
        <w:t>No.</w:t>
      </w:r>
      <w:r w:rsidR="008243CA">
        <w:t xml:space="preserve"> </w:t>
      </w:r>
      <w:r w:rsidRPr="00E62FE6">
        <w:t>1756</w:t>
      </w:r>
      <w:r w:rsidR="008243CA">
        <w:t xml:space="preserve"> </w:t>
      </w:r>
      <w:r w:rsidRPr="00E62FE6">
        <w:t>of</w:t>
      </w:r>
      <w:r w:rsidR="008243CA">
        <w:t xml:space="preserve"> </w:t>
      </w:r>
      <w:r w:rsidRPr="00E62FE6">
        <w:t>13</w:t>
      </w:r>
      <w:r w:rsidR="008243CA">
        <w:t xml:space="preserve"> </w:t>
      </w:r>
      <w:r w:rsidRPr="00E62FE6">
        <w:t>March</w:t>
      </w:r>
      <w:r w:rsidR="008243CA">
        <w:t xml:space="preserve"> </w:t>
      </w:r>
      <w:r w:rsidRPr="00E62FE6">
        <w:t>2013).</w:t>
      </w:r>
    </w:p>
    <w:p w:rsidR="003F7D03" w:rsidRPr="00E62FE6" w:rsidRDefault="003F7D03" w:rsidP="000C6D98">
      <w:pPr>
        <w:pStyle w:val="SingleTxtG"/>
      </w:pPr>
      <w:r w:rsidRPr="00E62FE6">
        <w:t>55.</w:t>
      </w:r>
      <w:r w:rsidRPr="00E62FE6">
        <w:tab/>
        <w:t>Furthermore,</w:t>
      </w:r>
      <w:r w:rsidR="008243CA">
        <w:t xml:space="preserve"> </w:t>
      </w:r>
      <w:r w:rsidRPr="00E62FE6">
        <w:t>a</w:t>
      </w:r>
      <w:r w:rsidR="008243CA">
        <w:t xml:space="preserve"> </w:t>
      </w:r>
      <w:r w:rsidRPr="00E62FE6">
        <w:t>series</w:t>
      </w:r>
      <w:r w:rsidR="008243CA">
        <w:t xml:space="preserve"> </w:t>
      </w:r>
      <w:r w:rsidRPr="00E62FE6">
        <w:t>of</w:t>
      </w:r>
      <w:r w:rsidR="008243CA">
        <w:t xml:space="preserve"> </w:t>
      </w:r>
      <w:r w:rsidRPr="00E62FE6">
        <w:t>measures</w:t>
      </w:r>
      <w:r w:rsidR="008243CA">
        <w:t xml:space="preserve"> </w:t>
      </w:r>
      <w:r w:rsidRPr="00E62FE6">
        <w:t>have</w:t>
      </w:r>
      <w:r w:rsidR="008243CA">
        <w:t xml:space="preserve"> </w:t>
      </w:r>
      <w:r w:rsidRPr="00E62FE6">
        <w:t>been</w:t>
      </w:r>
      <w:r w:rsidR="008243CA">
        <w:t xml:space="preserve"> </w:t>
      </w:r>
      <w:r w:rsidRPr="00E62FE6">
        <w:t>adopted</w:t>
      </w:r>
      <w:r w:rsidR="008243CA">
        <w:t xml:space="preserve"> </w:t>
      </w:r>
      <w:r w:rsidRPr="00E62FE6">
        <w:t>for</w:t>
      </w:r>
      <w:r w:rsidR="008243CA">
        <w:t xml:space="preserve"> </w:t>
      </w:r>
      <w:r w:rsidRPr="00E62FE6">
        <w:t>the</w:t>
      </w:r>
      <w:r w:rsidR="008243CA">
        <w:t xml:space="preserve"> </w:t>
      </w:r>
      <w:r w:rsidRPr="00E62FE6">
        <w:t>prosecution</w:t>
      </w:r>
      <w:r w:rsidR="008243CA">
        <w:t xml:space="preserve"> </w:t>
      </w:r>
      <w:r w:rsidRPr="00E62FE6">
        <w:t>and</w:t>
      </w:r>
      <w:r w:rsidR="008243CA">
        <w:t xml:space="preserve"> </w:t>
      </w:r>
      <w:r w:rsidRPr="00E62FE6">
        <w:t>punishment</w:t>
      </w:r>
      <w:r w:rsidR="008243CA">
        <w:t xml:space="preserve"> </w:t>
      </w:r>
      <w:r w:rsidRPr="00E62FE6">
        <w:t>of</w:t>
      </w:r>
      <w:r w:rsidR="008243CA">
        <w:t xml:space="preserve"> </w:t>
      </w:r>
      <w:r w:rsidRPr="00E62FE6">
        <w:t>police</w:t>
      </w:r>
      <w:r w:rsidR="008243CA">
        <w:t xml:space="preserve"> </w:t>
      </w:r>
      <w:r w:rsidRPr="00E62FE6">
        <w:t>violence</w:t>
      </w:r>
      <w:r w:rsidR="008243CA">
        <w:t xml:space="preserve"> </w:t>
      </w:r>
      <w:r w:rsidRPr="00E62FE6">
        <w:t>that</w:t>
      </w:r>
      <w:r w:rsidR="008243CA">
        <w:t xml:space="preserve"> </w:t>
      </w:r>
      <w:r w:rsidRPr="00E62FE6">
        <w:t>may</w:t>
      </w:r>
      <w:r w:rsidR="008243CA">
        <w:t xml:space="preserve"> </w:t>
      </w:r>
      <w:r w:rsidRPr="00E62FE6">
        <w:t>constitute</w:t>
      </w:r>
      <w:r w:rsidR="008243CA">
        <w:t xml:space="preserve"> </w:t>
      </w:r>
      <w:r w:rsidRPr="00E62FE6">
        <w:t>torture</w:t>
      </w:r>
      <w:r w:rsidR="008243CA">
        <w:t xml:space="preserve"> </w:t>
      </w:r>
      <w:r w:rsidRPr="00E62FE6">
        <w:t>or</w:t>
      </w:r>
      <w:r w:rsidR="008243CA">
        <w:t xml:space="preserve"> </w:t>
      </w:r>
      <w:r w:rsidRPr="00E62FE6">
        <w:t>other</w:t>
      </w:r>
      <w:r w:rsidR="008243CA">
        <w:t xml:space="preserve"> </w:t>
      </w:r>
      <w:r w:rsidRPr="00E62FE6">
        <w:t>ill-treatment.</w:t>
      </w:r>
      <w:r w:rsidR="008243CA">
        <w:t xml:space="preserve"> </w:t>
      </w:r>
      <w:r w:rsidRPr="00E62FE6">
        <w:t>For</w:t>
      </w:r>
      <w:r w:rsidR="008243CA">
        <w:t xml:space="preserve"> </w:t>
      </w:r>
      <w:r w:rsidRPr="00E62FE6">
        <w:t>all</w:t>
      </w:r>
      <w:r w:rsidR="008243CA">
        <w:t xml:space="preserve"> </w:t>
      </w:r>
      <w:r w:rsidRPr="00E62FE6">
        <w:t>complaints</w:t>
      </w:r>
      <w:r w:rsidR="008243CA">
        <w:t xml:space="preserve"> </w:t>
      </w:r>
      <w:r w:rsidRPr="00E62FE6">
        <w:t>of</w:t>
      </w:r>
      <w:r w:rsidR="008243CA">
        <w:t xml:space="preserve"> </w:t>
      </w:r>
      <w:r w:rsidRPr="00E62FE6">
        <w:t>excessive</w:t>
      </w:r>
      <w:r w:rsidR="008243CA">
        <w:t xml:space="preserve"> </w:t>
      </w:r>
      <w:r w:rsidRPr="00E62FE6">
        <w:t>use</w:t>
      </w:r>
      <w:r w:rsidR="008243CA">
        <w:t xml:space="preserve"> </w:t>
      </w:r>
      <w:r w:rsidRPr="00E62FE6">
        <w:t>of</w:t>
      </w:r>
      <w:r w:rsidR="008243CA">
        <w:t xml:space="preserve"> </w:t>
      </w:r>
      <w:r w:rsidRPr="00E62FE6">
        <w:t>force</w:t>
      </w:r>
      <w:r w:rsidR="008243CA">
        <w:t xml:space="preserve"> </w:t>
      </w:r>
      <w:r w:rsidRPr="00E62FE6">
        <w:t>(unnecessary</w:t>
      </w:r>
      <w:r w:rsidR="008243CA">
        <w:t xml:space="preserve"> </w:t>
      </w:r>
      <w:r w:rsidRPr="00E62FE6">
        <w:t>violence,</w:t>
      </w:r>
      <w:r w:rsidR="008243CA">
        <w:t xml:space="preserve"> </w:t>
      </w:r>
      <w:r w:rsidRPr="00E62FE6">
        <w:t>unlawful</w:t>
      </w:r>
      <w:r w:rsidR="008243CA">
        <w:t xml:space="preserve"> </w:t>
      </w:r>
      <w:r w:rsidRPr="00E62FE6">
        <w:t>coercion</w:t>
      </w:r>
      <w:r w:rsidR="008243CA">
        <w:t xml:space="preserve"> </w:t>
      </w:r>
      <w:r w:rsidRPr="00E62FE6">
        <w:t>and</w:t>
      </w:r>
      <w:r w:rsidR="008243CA">
        <w:t xml:space="preserve"> </w:t>
      </w:r>
      <w:r w:rsidRPr="00E62FE6">
        <w:t>any</w:t>
      </w:r>
      <w:r w:rsidR="008243CA">
        <w:t xml:space="preserve"> </w:t>
      </w:r>
      <w:r w:rsidRPr="00E62FE6">
        <w:t>other</w:t>
      </w:r>
      <w:r w:rsidR="008243CA">
        <w:t xml:space="preserve"> </w:t>
      </w:r>
      <w:r w:rsidRPr="00E62FE6">
        <w:t>cruel,</w:t>
      </w:r>
      <w:r w:rsidR="008243CA">
        <w:t xml:space="preserve"> </w:t>
      </w:r>
      <w:r w:rsidRPr="00E62FE6">
        <w:t>inhuman</w:t>
      </w:r>
      <w:r w:rsidR="008243CA">
        <w:t xml:space="preserve"> </w:t>
      </w:r>
      <w:r w:rsidRPr="00E62FE6">
        <w:t>or</w:t>
      </w:r>
      <w:r w:rsidR="008243CA">
        <w:t xml:space="preserve"> </w:t>
      </w:r>
      <w:r w:rsidRPr="00E62FE6">
        <w:t>degrading</w:t>
      </w:r>
      <w:r w:rsidR="008243CA">
        <w:t xml:space="preserve"> </w:t>
      </w:r>
      <w:r w:rsidRPr="00E62FE6">
        <w:t>treatment)</w:t>
      </w:r>
      <w:r w:rsidR="008243CA">
        <w:t xml:space="preserve"> </w:t>
      </w:r>
      <w:r w:rsidRPr="00E62FE6">
        <w:t>involving</w:t>
      </w:r>
      <w:r w:rsidR="008243CA">
        <w:t xml:space="preserve"> </w:t>
      </w:r>
      <w:r w:rsidRPr="00E62FE6">
        <w:t>children</w:t>
      </w:r>
      <w:r w:rsidR="008243CA">
        <w:t xml:space="preserve"> </w:t>
      </w:r>
      <w:r w:rsidRPr="00E62FE6">
        <w:t>and</w:t>
      </w:r>
      <w:r w:rsidR="008243CA">
        <w:t xml:space="preserve"> </w:t>
      </w:r>
      <w:r w:rsidRPr="00E62FE6">
        <w:t>adolescents,</w:t>
      </w:r>
      <w:r w:rsidR="008243CA">
        <w:t xml:space="preserve"> </w:t>
      </w:r>
      <w:r w:rsidRPr="00E62FE6">
        <w:t>the</w:t>
      </w:r>
      <w:r w:rsidR="008243CA">
        <w:t xml:space="preserve"> </w:t>
      </w:r>
      <w:proofErr w:type="spellStart"/>
      <w:r w:rsidRPr="00E62FE6">
        <w:t>Mapuche</w:t>
      </w:r>
      <w:proofErr w:type="spellEnd"/>
      <w:r w:rsidR="008243CA">
        <w:t xml:space="preserve"> </w:t>
      </w:r>
      <w:r w:rsidRPr="00E62FE6">
        <w:t>people</w:t>
      </w:r>
      <w:r w:rsidR="008243CA">
        <w:t xml:space="preserve"> </w:t>
      </w:r>
      <w:r w:rsidRPr="00E62FE6">
        <w:t>in</w:t>
      </w:r>
      <w:r w:rsidR="008243CA">
        <w:t xml:space="preserve"> </w:t>
      </w:r>
      <w:r w:rsidRPr="00E62FE6">
        <w:t>the</w:t>
      </w:r>
      <w:r w:rsidR="008243CA">
        <w:t xml:space="preserve"> </w:t>
      </w:r>
      <w:r w:rsidRPr="00E62FE6">
        <w:t>context</w:t>
      </w:r>
      <w:r w:rsidR="008243CA">
        <w:t xml:space="preserve"> </w:t>
      </w:r>
      <w:r w:rsidRPr="00E62FE6">
        <w:t>of</w:t>
      </w:r>
      <w:r w:rsidR="008243CA">
        <w:t xml:space="preserve"> </w:t>
      </w:r>
      <w:r w:rsidRPr="00E62FE6">
        <w:t>territorial</w:t>
      </w:r>
      <w:r w:rsidR="008243CA">
        <w:t xml:space="preserve"> </w:t>
      </w:r>
      <w:r w:rsidRPr="00E62FE6">
        <w:t>claims</w:t>
      </w:r>
      <w:r w:rsidR="008243CA">
        <w:t xml:space="preserve"> </w:t>
      </w:r>
      <w:r w:rsidRPr="00E62FE6">
        <w:t>or</w:t>
      </w:r>
      <w:r w:rsidR="008243CA">
        <w:t xml:space="preserve"> </w:t>
      </w:r>
      <w:r w:rsidRPr="00E62FE6">
        <w:t>vulnerable</w:t>
      </w:r>
      <w:r w:rsidR="008243CA">
        <w:t xml:space="preserve"> </w:t>
      </w:r>
      <w:r w:rsidRPr="00E62FE6">
        <w:t>groups</w:t>
      </w:r>
      <w:r w:rsidR="008243CA">
        <w:t xml:space="preserve"> </w:t>
      </w:r>
      <w:r w:rsidRPr="00E62FE6">
        <w:t>in</w:t>
      </w:r>
      <w:r w:rsidR="008243CA">
        <w:t xml:space="preserve"> </w:t>
      </w:r>
      <w:r w:rsidRPr="00E62FE6">
        <w:t>the</w:t>
      </w:r>
      <w:r w:rsidR="008243CA">
        <w:t xml:space="preserve"> </w:t>
      </w:r>
      <w:r w:rsidRPr="00E62FE6">
        <w:t>context</w:t>
      </w:r>
      <w:r w:rsidR="008243CA">
        <w:t xml:space="preserve"> </w:t>
      </w:r>
      <w:r w:rsidRPr="00E62FE6">
        <w:t>of</w:t>
      </w:r>
      <w:r w:rsidR="008243CA">
        <w:t xml:space="preserve"> </w:t>
      </w:r>
      <w:r w:rsidRPr="00E62FE6">
        <w:t>criminal</w:t>
      </w:r>
      <w:r w:rsidR="008243CA">
        <w:t xml:space="preserve"> </w:t>
      </w:r>
      <w:r w:rsidRPr="00E62FE6">
        <w:t>proceedings,</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the</w:t>
      </w:r>
      <w:r w:rsidR="008243CA">
        <w:t xml:space="preserve"> </w:t>
      </w:r>
      <w:r w:rsidRPr="00E62FE6">
        <w:t>Interior</w:t>
      </w:r>
      <w:r w:rsidR="008243CA">
        <w:t xml:space="preserve"> </w:t>
      </w:r>
      <w:r w:rsidRPr="00E62FE6">
        <w:t>and</w:t>
      </w:r>
      <w:r w:rsidR="008243CA">
        <w:t xml:space="preserve"> </w:t>
      </w:r>
      <w:r w:rsidRPr="00E62FE6">
        <w:t>Public</w:t>
      </w:r>
      <w:r w:rsidR="008243CA">
        <w:t xml:space="preserve"> </w:t>
      </w:r>
      <w:r w:rsidRPr="00E62FE6">
        <w:t>Security</w:t>
      </w:r>
      <w:r w:rsidR="008243CA">
        <w:t xml:space="preserve"> </w:t>
      </w:r>
      <w:r w:rsidRPr="00E62FE6">
        <w:t>has</w:t>
      </w:r>
      <w:r w:rsidR="008243CA">
        <w:t xml:space="preserve"> </w:t>
      </w:r>
      <w:r w:rsidRPr="00E62FE6">
        <w:t>requested</w:t>
      </w:r>
      <w:r w:rsidR="008243CA">
        <w:t xml:space="preserve"> </w:t>
      </w:r>
      <w:r w:rsidRPr="00E62FE6">
        <w:t>that</w:t>
      </w:r>
      <w:r w:rsidR="008243CA">
        <w:t xml:space="preserve"> </w:t>
      </w:r>
      <w:r w:rsidRPr="00E62FE6">
        <w:t>the</w:t>
      </w:r>
      <w:r w:rsidR="008243CA">
        <w:t xml:space="preserve"> </w:t>
      </w:r>
      <w:proofErr w:type="spellStart"/>
      <w:r w:rsidRPr="00E62FE6">
        <w:t>Carabineros</w:t>
      </w:r>
      <w:proofErr w:type="spellEnd"/>
      <w:r w:rsidR="008243CA">
        <w:t xml:space="preserve"> </w:t>
      </w:r>
      <w:r w:rsidRPr="00E62FE6">
        <w:t>and</w:t>
      </w:r>
      <w:r w:rsidR="008243CA">
        <w:t xml:space="preserve"> </w:t>
      </w:r>
      <w:r w:rsidRPr="00E62FE6">
        <w:t>the</w:t>
      </w:r>
      <w:r w:rsidR="008243CA">
        <w:t xml:space="preserve"> </w:t>
      </w:r>
      <w:r w:rsidRPr="00E62FE6">
        <w:t>Investigative</w:t>
      </w:r>
      <w:r w:rsidR="008243CA">
        <w:t xml:space="preserve"> </w:t>
      </w:r>
      <w:r w:rsidRPr="00E62FE6">
        <w:t>Police</w:t>
      </w:r>
      <w:r w:rsidR="008243CA">
        <w:t xml:space="preserve"> </w:t>
      </w:r>
      <w:r w:rsidRPr="00E62FE6">
        <w:t>provide</w:t>
      </w:r>
      <w:r w:rsidR="008243CA">
        <w:t xml:space="preserve"> </w:t>
      </w:r>
      <w:r w:rsidRPr="00E62FE6">
        <w:t>information</w:t>
      </w:r>
      <w:r w:rsidR="008243CA">
        <w:t xml:space="preserve"> </w:t>
      </w:r>
      <w:r w:rsidRPr="00E62FE6">
        <w:t>on</w:t>
      </w:r>
      <w:r w:rsidR="008243CA">
        <w:t xml:space="preserve"> </w:t>
      </w:r>
      <w:r w:rsidRPr="00E62FE6">
        <w:t>any</w:t>
      </w:r>
      <w:r w:rsidR="008243CA">
        <w:t xml:space="preserve"> </w:t>
      </w:r>
      <w:r w:rsidRPr="00E62FE6">
        <w:t>proceedings</w:t>
      </w:r>
      <w:r w:rsidR="008243CA">
        <w:t xml:space="preserve"> </w:t>
      </w:r>
      <w:r w:rsidRPr="00E62FE6">
        <w:t>or</w:t>
      </w:r>
      <w:r w:rsidR="008243CA">
        <w:t xml:space="preserve"> </w:t>
      </w:r>
      <w:r w:rsidRPr="00E62FE6">
        <w:t>administrative</w:t>
      </w:r>
      <w:r w:rsidR="008243CA">
        <w:t xml:space="preserve"> </w:t>
      </w:r>
      <w:r w:rsidRPr="00E62FE6">
        <w:t>investigations</w:t>
      </w:r>
      <w:r w:rsidR="008243CA">
        <w:t xml:space="preserve"> </w:t>
      </w:r>
      <w:r w:rsidRPr="00E62FE6">
        <w:t>that</w:t>
      </w:r>
      <w:r w:rsidR="008243CA">
        <w:t xml:space="preserve"> </w:t>
      </w:r>
      <w:r w:rsidRPr="00E62FE6">
        <w:t>have</w:t>
      </w:r>
      <w:r w:rsidR="008243CA">
        <w:t xml:space="preserve"> </w:t>
      </w:r>
      <w:r w:rsidRPr="00E62FE6">
        <w:t>been</w:t>
      </w:r>
      <w:r w:rsidR="008243CA">
        <w:t xml:space="preserve"> </w:t>
      </w:r>
      <w:r w:rsidRPr="00E62FE6">
        <w:t>conducted</w:t>
      </w:r>
      <w:r w:rsidR="008243CA">
        <w:t xml:space="preserve"> </w:t>
      </w:r>
      <w:r w:rsidRPr="00E62FE6">
        <w:t>in</w:t>
      </w:r>
      <w:r w:rsidR="008243CA">
        <w:t xml:space="preserve"> </w:t>
      </w:r>
      <w:r w:rsidRPr="00E62FE6">
        <w:t>order</w:t>
      </w:r>
      <w:r w:rsidR="008243CA">
        <w:t xml:space="preserve"> </w:t>
      </w:r>
      <w:r w:rsidRPr="00E62FE6">
        <w:t>to</w:t>
      </w:r>
      <w:r w:rsidR="008243CA">
        <w:t xml:space="preserve"> </w:t>
      </w:r>
      <w:r w:rsidRPr="00E62FE6">
        <w:t>determine</w:t>
      </w:r>
      <w:r w:rsidR="008243CA">
        <w:t xml:space="preserve"> </w:t>
      </w:r>
      <w:r w:rsidRPr="00E62FE6">
        <w:t>whether</w:t>
      </w:r>
      <w:r w:rsidR="008243CA">
        <w:t xml:space="preserve"> </w:t>
      </w:r>
      <w:r w:rsidRPr="00E62FE6">
        <w:t>the</w:t>
      </w:r>
      <w:r w:rsidR="008243CA">
        <w:t xml:space="preserve"> </w:t>
      </w:r>
      <w:r w:rsidRPr="00E62FE6">
        <w:t>alleged</w:t>
      </w:r>
      <w:r w:rsidR="008243CA">
        <w:t xml:space="preserve"> </w:t>
      </w:r>
      <w:r w:rsidRPr="00E62FE6">
        <w:t>events</w:t>
      </w:r>
      <w:r w:rsidR="008243CA">
        <w:t xml:space="preserve"> </w:t>
      </w:r>
      <w:r w:rsidRPr="00E62FE6">
        <w:t>had</w:t>
      </w:r>
      <w:r w:rsidR="008243CA">
        <w:t xml:space="preserve"> </w:t>
      </w:r>
      <w:r w:rsidRPr="00E62FE6">
        <w:t>actually</w:t>
      </w:r>
      <w:r w:rsidR="008243CA">
        <w:t xml:space="preserve"> </w:t>
      </w:r>
      <w:r w:rsidRPr="00E62FE6">
        <w:t>occurred</w:t>
      </w:r>
      <w:r w:rsidR="008243CA">
        <w:t xml:space="preserve"> </w:t>
      </w:r>
      <w:r w:rsidRPr="00E62FE6">
        <w:t>and</w:t>
      </w:r>
      <w:r w:rsidR="008243CA">
        <w:t xml:space="preserve"> </w:t>
      </w:r>
      <w:r w:rsidRPr="00E62FE6">
        <w:t>what</w:t>
      </w:r>
      <w:r w:rsidR="008243CA">
        <w:t xml:space="preserve"> </w:t>
      </w:r>
      <w:r w:rsidRPr="00E62FE6">
        <w:t>sanctions</w:t>
      </w:r>
      <w:r w:rsidR="008243CA">
        <w:t xml:space="preserve"> </w:t>
      </w:r>
      <w:r w:rsidRPr="00E62FE6">
        <w:t>had</w:t>
      </w:r>
      <w:r w:rsidR="008243CA">
        <w:t xml:space="preserve"> </w:t>
      </w:r>
      <w:r w:rsidRPr="00E62FE6">
        <w:t>been</w:t>
      </w:r>
      <w:r w:rsidR="008243CA">
        <w:t xml:space="preserve"> </w:t>
      </w:r>
      <w:r w:rsidRPr="00E62FE6">
        <w:t>imposed</w:t>
      </w:r>
      <w:r w:rsidR="008243CA">
        <w:t xml:space="preserve"> </w:t>
      </w:r>
      <w:r w:rsidRPr="00E62FE6">
        <w:t>as</w:t>
      </w:r>
      <w:r w:rsidR="008243CA">
        <w:t xml:space="preserve"> </w:t>
      </w:r>
      <w:r w:rsidRPr="00E62FE6">
        <w:t>a</w:t>
      </w:r>
      <w:r w:rsidR="008243CA">
        <w:t xml:space="preserve"> </w:t>
      </w:r>
      <w:r w:rsidRPr="00E62FE6">
        <w:t>result.</w:t>
      </w:r>
      <w:bookmarkStart w:id="42" w:name="page18"/>
      <w:bookmarkEnd w:id="42"/>
    </w:p>
    <w:p w:rsidR="003F7D03" w:rsidRPr="00E62FE6" w:rsidRDefault="003F7D03" w:rsidP="000C6D98">
      <w:pPr>
        <w:pStyle w:val="SingleTxtG"/>
      </w:pPr>
      <w:r w:rsidRPr="00E62FE6">
        <w:t>56.</w:t>
      </w:r>
      <w:r w:rsidRPr="00E62FE6">
        <w:tab/>
        <w:t>The</w:t>
      </w:r>
      <w:r w:rsidR="008243CA">
        <w:t xml:space="preserve"> </w:t>
      </w:r>
      <w:r w:rsidRPr="00E62FE6">
        <w:t>Chilean</w:t>
      </w:r>
      <w:r w:rsidR="008243CA">
        <w:t xml:space="preserve"> </w:t>
      </w:r>
      <w:r w:rsidRPr="00E62FE6">
        <w:t>Government</w:t>
      </w:r>
      <w:r w:rsidR="008243CA">
        <w:t xml:space="preserve"> </w:t>
      </w:r>
      <w:r w:rsidRPr="00E62FE6">
        <w:t>is</w:t>
      </w:r>
      <w:r w:rsidR="008243CA">
        <w:t xml:space="preserve"> </w:t>
      </w:r>
      <w:r w:rsidRPr="00E62FE6">
        <w:t>aware</w:t>
      </w:r>
      <w:r w:rsidR="008243CA">
        <w:t xml:space="preserve"> </w:t>
      </w:r>
      <w:r w:rsidRPr="00E62FE6">
        <w:t>that</w:t>
      </w:r>
      <w:r w:rsidR="008243CA">
        <w:t xml:space="preserve"> </w:t>
      </w:r>
      <w:r w:rsidRPr="00E62FE6">
        <w:t>it</w:t>
      </w:r>
      <w:r w:rsidR="008243CA">
        <w:t xml:space="preserve"> </w:t>
      </w:r>
      <w:r w:rsidRPr="00E62FE6">
        <w:t>faces</w:t>
      </w:r>
      <w:r w:rsidR="008243CA">
        <w:t xml:space="preserve"> </w:t>
      </w:r>
      <w:r w:rsidRPr="00E62FE6">
        <w:t>major</w:t>
      </w:r>
      <w:r w:rsidR="008243CA">
        <w:t xml:space="preserve"> </w:t>
      </w:r>
      <w:r w:rsidRPr="00E62FE6">
        <w:t>challenges</w:t>
      </w:r>
      <w:r w:rsidR="008243CA">
        <w:t xml:space="preserve"> </w:t>
      </w:r>
      <w:r w:rsidRPr="00E62FE6">
        <w:t>in</w:t>
      </w:r>
      <w:r w:rsidR="008243CA">
        <w:t xml:space="preserve"> </w:t>
      </w:r>
      <w:r w:rsidRPr="00E62FE6">
        <w:t>this</w:t>
      </w:r>
      <w:r w:rsidR="008243CA">
        <w:t xml:space="preserve"> </w:t>
      </w:r>
      <w:r w:rsidRPr="00E62FE6">
        <w:t>area</w:t>
      </w:r>
      <w:r w:rsidR="008243CA">
        <w:t xml:space="preserve"> </w:t>
      </w:r>
      <w:r w:rsidRPr="00E62FE6">
        <w:t>and</w:t>
      </w:r>
      <w:r w:rsidR="008243CA">
        <w:t xml:space="preserve"> </w:t>
      </w:r>
      <w:r w:rsidRPr="00E62FE6">
        <w:t>that</w:t>
      </w:r>
      <w:r w:rsidR="008243CA">
        <w:t xml:space="preserve"> </w:t>
      </w:r>
      <w:r w:rsidRPr="00E62FE6">
        <w:t>there</w:t>
      </w:r>
      <w:r w:rsidR="008243CA">
        <w:t xml:space="preserve"> </w:t>
      </w:r>
      <w:r w:rsidRPr="00E62FE6">
        <w:t>is</w:t>
      </w:r>
      <w:r w:rsidR="008243CA">
        <w:t xml:space="preserve"> </w:t>
      </w:r>
      <w:r w:rsidRPr="00E62FE6">
        <w:t>still</w:t>
      </w:r>
      <w:r w:rsidR="008243CA">
        <w:t xml:space="preserve"> </w:t>
      </w:r>
      <w:r w:rsidRPr="00E62FE6">
        <w:t>work</w:t>
      </w:r>
      <w:r w:rsidR="008243CA">
        <w:t xml:space="preserve"> </w:t>
      </w:r>
      <w:r w:rsidRPr="00E62FE6">
        <w:t>to</w:t>
      </w:r>
      <w:r w:rsidR="008243CA">
        <w:t xml:space="preserve"> </w:t>
      </w:r>
      <w:r w:rsidRPr="00E62FE6">
        <w:t>be</w:t>
      </w:r>
      <w:r w:rsidR="008243CA">
        <w:t xml:space="preserve"> </w:t>
      </w:r>
      <w:r w:rsidRPr="00E62FE6">
        <w:t>done.</w:t>
      </w:r>
      <w:r w:rsidR="008243CA">
        <w:t xml:space="preserve"> </w:t>
      </w:r>
      <w:r w:rsidRPr="00E62FE6">
        <w:t>However,</w:t>
      </w:r>
      <w:r w:rsidR="008243CA">
        <w:t xml:space="preserve"> </w:t>
      </w:r>
      <w:r w:rsidRPr="00E62FE6">
        <w:t>those</w:t>
      </w:r>
      <w:r w:rsidR="008243CA">
        <w:t xml:space="preserve"> </w:t>
      </w:r>
      <w:r w:rsidRPr="00E62FE6">
        <w:t>challenges</w:t>
      </w:r>
      <w:r w:rsidR="008243CA">
        <w:t xml:space="preserve"> </w:t>
      </w:r>
      <w:r w:rsidRPr="00E62FE6">
        <w:t>should</w:t>
      </w:r>
      <w:r w:rsidR="008243CA">
        <w:t xml:space="preserve"> </w:t>
      </w:r>
      <w:r w:rsidRPr="00E62FE6">
        <w:t>not</w:t>
      </w:r>
      <w:r w:rsidR="008243CA">
        <w:t xml:space="preserve"> </w:t>
      </w:r>
      <w:r w:rsidRPr="00E62FE6">
        <w:t>detract</w:t>
      </w:r>
      <w:r w:rsidR="008243CA">
        <w:t xml:space="preserve"> </w:t>
      </w:r>
      <w:r w:rsidRPr="00E62FE6">
        <w:t>from</w:t>
      </w:r>
      <w:r w:rsidR="008243CA">
        <w:t xml:space="preserve"> </w:t>
      </w:r>
      <w:r w:rsidRPr="00E62FE6">
        <w:t>the</w:t>
      </w:r>
      <w:r w:rsidR="008243CA">
        <w:t xml:space="preserve"> </w:t>
      </w:r>
      <w:r w:rsidRPr="00E62FE6">
        <w:t>efforts</w:t>
      </w:r>
      <w:r w:rsidR="008243CA">
        <w:t xml:space="preserve"> </w:t>
      </w:r>
      <w:r w:rsidRPr="00E62FE6">
        <w:t>and</w:t>
      </w:r>
      <w:r w:rsidR="008243CA">
        <w:t xml:space="preserve"> </w:t>
      </w:r>
      <w:r w:rsidRPr="00E62FE6">
        <w:t>the</w:t>
      </w:r>
      <w:r w:rsidR="008243CA">
        <w:t xml:space="preserve"> </w:t>
      </w:r>
      <w:r w:rsidRPr="00E62FE6">
        <w:t>progress</w:t>
      </w:r>
      <w:r w:rsidR="008243CA">
        <w:t xml:space="preserve"> </w:t>
      </w:r>
      <w:r w:rsidRPr="00E62FE6">
        <w:t>that</w:t>
      </w:r>
      <w:r w:rsidR="008243CA">
        <w:t xml:space="preserve"> </w:t>
      </w:r>
      <w:r w:rsidRPr="00E62FE6">
        <w:t>have</w:t>
      </w:r>
      <w:r w:rsidR="008243CA">
        <w:t xml:space="preserve"> </w:t>
      </w:r>
      <w:r w:rsidRPr="00E62FE6">
        <w:t>been</w:t>
      </w:r>
      <w:r w:rsidR="008243CA">
        <w:t xml:space="preserve"> </w:t>
      </w:r>
      <w:r w:rsidRPr="00E62FE6">
        <w:t>made</w:t>
      </w:r>
      <w:r w:rsidR="008243CA">
        <w:t xml:space="preserve"> </w:t>
      </w:r>
      <w:r w:rsidRPr="00E62FE6">
        <w:t>so</w:t>
      </w:r>
      <w:r w:rsidR="008243CA">
        <w:t xml:space="preserve"> </w:t>
      </w:r>
      <w:r w:rsidRPr="00E62FE6">
        <w:t>far,</w:t>
      </w:r>
      <w:r w:rsidR="008243CA">
        <w:t xml:space="preserve"> </w:t>
      </w:r>
      <w:r w:rsidRPr="00E62FE6">
        <w:t>including</w:t>
      </w:r>
      <w:r w:rsidR="008243CA">
        <w:t xml:space="preserve"> </w:t>
      </w:r>
      <w:r w:rsidRPr="00E62FE6">
        <w:t>the</w:t>
      </w:r>
      <w:r w:rsidR="008243CA">
        <w:t xml:space="preserve"> </w:t>
      </w:r>
      <w:r w:rsidRPr="00E62FE6">
        <w:t>definition</w:t>
      </w:r>
      <w:r w:rsidR="008243CA">
        <w:t xml:space="preserve"> </w:t>
      </w:r>
      <w:r w:rsidRPr="00E62FE6">
        <w:t>of</w:t>
      </w:r>
      <w:r w:rsidR="008243CA">
        <w:t xml:space="preserve"> </w:t>
      </w:r>
      <w:r w:rsidRPr="00E62FE6">
        <w:t>the</w:t>
      </w:r>
      <w:r w:rsidR="008243CA">
        <w:t xml:space="preserve"> </w:t>
      </w:r>
      <w:r w:rsidRPr="00E62FE6">
        <w:t>offence</w:t>
      </w:r>
      <w:r w:rsidR="008243CA">
        <w:t xml:space="preserve"> </w:t>
      </w:r>
      <w:r w:rsidRPr="00E62FE6">
        <w:t>of</w:t>
      </w:r>
      <w:r w:rsidR="008243CA">
        <w:t xml:space="preserve"> </w:t>
      </w:r>
      <w:r w:rsidRPr="00E62FE6">
        <w:t>torture</w:t>
      </w:r>
      <w:r w:rsidR="008243CA">
        <w:t xml:space="preserve"> </w:t>
      </w:r>
      <w:r w:rsidRPr="00E62FE6">
        <w:t>and</w:t>
      </w:r>
      <w:r w:rsidR="008243CA">
        <w:t xml:space="preserve"> </w:t>
      </w:r>
      <w:r w:rsidRPr="00E62FE6">
        <w:t>the</w:t>
      </w:r>
      <w:r w:rsidR="008243CA">
        <w:t xml:space="preserve"> </w:t>
      </w:r>
      <w:r w:rsidRPr="00E62FE6">
        <w:t>steps</w:t>
      </w:r>
      <w:r w:rsidR="008243CA">
        <w:t xml:space="preserve"> </w:t>
      </w:r>
      <w:r w:rsidRPr="00E62FE6">
        <w:t>taken</w:t>
      </w:r>
      <w:r w:rsidR="008243CA">
        <w:t xml:space="preserve"> </w:t>
      </w:r>
      <w:r w:rsidRPr="00E62FE6">
        <w:t>to</w:t>
      </w:r>
      <w:r w:rsidR="008243CA">
        <w:t xml:space="preserve"> </w:t>
      </w:r>
      <w:r w:rsidRPr="00E62FE6">
        <w:t>bring</w:t>
      </w:r>
      <w:r w:rsidR="008243CA">
        <w:t xml:space="preserve"> </w:t>
      </w:r>
      <w:r w:rsidRPr="00E62FE6">
        <w:t>the</w:t>
      </w:r>
      <w:r w:rsidR="008243CA">
        <w:t xml:space="preserve"> </w:t>
      </w:r>
      <w:r w:rsidRPr="00E62FE6">
        <w:t>protocols</w:t>
      </w:r>
      <w:r w:rsidR="008243CA">
        <w:t xml:space="preserve"> </w:t>
      </w:r>
      <w:r w:rsidRPr="00E62FE6">
        <w:t>of</w:t>
      </w:r>
      <w:r w:rsidR="00116F0B">
        <w:t xml:space="preserve"> </w:t>
      </w:r>
      <w:proofErr w:type="spellStart"/>
      <w:r w:rsidRPr="00E62FE6">
        <w:t>Carabineros</w:t>
      </w:r>
      <w:proofErr w:type="spellEnd"/>
      <w:r w:rsidR="008243CA">
        <w:t xml:space="preserve"> </w:t>
      </w:r>
      <w:r w:rsidRPr="00E62FE6">
        <w:t>in</w:t>
      </w:r>
      <w:r w:rsidR="008243CA">
        <w:t xml:space="preserve"> </w:t>
      </w:r>
      <w:r w:rsidRPr="00E62FE6">
        <w:t>line</w:t>
      </w:r>
      <w:r w:rsidR="008243CA">
        <w:t xml:space="preserve"> </w:t>
      </w:r>
      <w:r w:rsidRPr="00E62FE6">
        <w:t>with</w:t>
      </w:r>
      <w:r w:rsidR="008243CA">
        <w:t xml:space="preserve"> </w:t>
      </w:r>
      <w:r w:rsidRPr="00E62FE6">
        <w:t>human</w:t>
      </w:r>
      <w:r w:rsidR="008243CA">
        <w:t xml:space="preserve"> </w:t>
      </w:r>
      <w:r w:rsidRPr="00E62FE6">
        <w:t>rights</w:t>
      </w:r>
      <w:r w:rsidR="008243CA">
        <w:t xml:space="preserve"> </w:t>
      </w:r>
      <w:r w:rsidRPr="00E62FE6">
        <w:t>standards.</w:t>
      </w:r>
    </w:p>
    <w:p w:rsidR="003F7D03" w:rsidRPr="00E62FE6" w:rsidRDefault="003F7D03" w:rsidP="007A4DC3">
      <w:pPr>
        <w:pStyle w:val="H23G"/>
      </w:pPr>
      <w:r w:rsidRPr="00E62FE6">
        <w:tab/>
      </w:r>
      <w:bookmarkStart w:id="43" w:name="_Toc512870683"/>
      <w:bookmarkStart w:id="44" w:name="_Toc512870845"/>
      <w:r w:rsidRPr="00E62FE6">
        <w:t>2.1.7</w:t>
      </w:r>
      <w:r w:rsidR="008243CA">
        <w:t xml:space="preserve"> </w:t>
      </w:r>
      <w:r w:rsidRPr="00E62FE6">
        <w:tab/>
        <w:t>Gender</w:t>
      </w:r>
      <w:r w:rsidR="008243CA">
        <w:t xml:space="preserve"> </w:t>
      </w:r>
      <w:r w:rsidRPr="00E62FE6">
        <w:t>identity</w:t>
      </w:r>
      <w:r w:rsidR="008243CA">
        <w:t xml:space="preserve"> </w:t>
      </w:r>
      <w:r w:rsidRPr="00E62FE6">
        <w:t>legislation</w:t>
      </w:r>
      <w:bookmarkEnd w:id="43"/>
      <w:bookmarkEnd w:id="44"/>
    </w:p>
    <w:p w:rsidR="003F7D03" w:rsidRPr="007A4DC3" w:rsidRDefault="003F7D03" w:rsidP="000C6D98">
      <w:pPr>
        <w:pStyle w:val="SingleTxtG"/>
        <w:rPr>
          <w:i/>
          <w:iCs/>
        </w:rPr>
      </w:pPr>
      <w:r w:rsidRPr="00E62FE6">
        <w:t>57.</w:t>
      </w:r>
      <w:r w:rsidRPr="00E62FE6">
        <w:tab/>
        <w:t>Paragraph</w:t>
      </w:r>
      <w:r w:rsidR="008243CA">
        <w:t xml:space="preserve"> </w:t>
      </w:r>
      <w:r w:rsidRPr="00E62FE6">
        <w:t>130:</w:t>
      </w:r>
      <w:r w:rsidR="008243CA">
        <w:t xml:space="preserve"> </w:t>
      </w:r>
      <w:r w:rsidRPr="007A4DC3">
        <w:rPr>
          <w:i/>
          <w:iCs/>
        </w:rPr>
        <w:t>The</w:t>
      </w:r>
      <w:r w:rsidR="008243CA">
        <w:rPr>
          <w:i/>
          <w:iCs/>
        </w:rPr>
        <w:t xml:space="preserve"> </w:t>
      </w:r>
      <w:r w:rsidRPr="007A4DC3">
        <w:rPr>
          <w:i/>
          <w:iCs/>
        </w:rPr>
        <w:t>Subcommittee</w:t>
      </w:r>
      <w:r w:rsidR="008243CA">
        <w:rPr>
          <w:i/>
          <w:iCs/>
        </w:rPr>
        <w:t xml:space="preserve"> </w:t>
      </w:r>
      <w:r w:rsidRPr="007A4DC3">
        <w:rPr>
          <w:i/>
          <w:iCs/>
        </w:rPr>
        <w:t>calls</w:t>
      </w:r>
      <w:r w:rsidR="008243CA">
        <w:rPr>
          <w:i/>
          <w:iCs/>
        </w:rPr>
        <w:t xml:space="preserve"> </w:t>
      </w:r>
      <w:r w:rsidRPr="007A4DC3">
        <w:rPr>
          <w:i/>
          <w:iCs/>
        </w:rPr>
        <w:t>upon</w:t>
      </w:r>
      <w:r w:rsidR="008243CA">
        <w:rPr>
          <w:i/>
          <w:iCs/>
        </w:rPr>
        <w:t xml:space="preserve"> </w:t>
      </w:r>
      <w:r w:rsidRPr="007A4DC3">
        <w:rPr>
          <w:i/>
          <w:iCs/>
        </w:rPr>
        <w:t>the</w:t>
      </w:r>
      <w:r w:rsidR="008243CA">
        <w:rPr>
          <w:i/>
          <w:iCs/>
        </w:rPr>
        <w:t xml:space="preserve"> </w:t>
      </w:r>
      <w:r w:rsidRPr="007A4DC3">
        <w:rPr>
          <w:i/>
          <w:iCs/>
        </w:rPr>
        <w:t>State</w:t>
      </w:r>
      <w:r w:rsidR="008243CA">
        <w:rPr>
          <w:i/>
          <w:iCs/>
        </w:rPr>
        <w:t xml:space="preserve"> </w:t>
      </w:r>
      <w:r w:rsidRPr="007A4DC3">
        <w:rPr>
          <w:i/>
          <w:iCs/>
        </w:rPr>
        <w:t>party</w:t>
      </w:r>
      <w:r w:rsidR="008243CA">
        <w:rPr>
          <w:i/>
          <w:iCs/>
        </w:rPr>
        <w:t xml:space="preserve"> </w:t>
      </w:r>
      <w:r w:rsidRPr="007A4DC3">
        <w:rPr>
          <w:i/>
          <w:iCs/>
        </w:rPr>
        <w:t>to</w:t>
      </w:r>
      <w:r w:rsidR="008243CA">
        <w:rPr>
          <w:i/>
          <w:iCs/>
        </w:rPr>
        <w:t xml:space="preserve"> </w:t>
      </w:r>
      <w:r w:rsidRPr="007A4DC3">
        <w:rPr>
          <w:i/>
          <w:iCs/>
        </w:rPr>
        <w:t>adopt</w:t>
      </w:r>
      <w:r w:rsidR="008243CA">
        <w:rPr>
          <w:i/>
          <w:iCs/>
        </w:rPr>
        <w:t xml:space="preserve"> </w:t>
      </w:r>
      <w:r w:rsidRPr="007A4DC3">
        <w:rPr>
          <w:i/>
          <w:iCs/>
        </w:rPr>
        <w:t>legislation</w:t>
      </w:r>
      <w:r w:rsidR="008243CA">
        <w:rPr>
          <w:i/>
          <w:iCs/>
        </w:rPr>
        <w:t xml:space="preserve"> </w:t>
      </w:r>
      <w:r w:rsidRPr="007A4DC3">
        <w:rPr>
          <w:i/>
          <w:iCs/>
        </w:rPr>
        <w:t>recognizing</w:t>
      </w:r>
      <w:r w:rsidR="008243CA">
        <w:rPr>
          <w:i/>
          <w:iCs/>
        </w:rPr>
        <w:t xml:space="preserve"> </w:t>
      </w:r>
      <w:r w:rsidRPr="007A4DC3">
        <w:rPr>
          <w:i/>
          <w:iCs/>
        </w:rPr>
        <w:t>and</w:t>
      </w:r>
      <w:r w:rsidR="008243CA">
        <w:rPr>
          <w:i/>
          <w:iCs/>
        </w:rPr>
        <w:t xml:space="preserve"> </w:t>
      </w:r>
      <w:r w:rsidRPr="007A4DC3">
        <w:rPr>
          <w:i/>
          <w:iCs/>
        </w:rPr>
        <w:t>providing</w:t>
      </w:r>
      <w:r w:rsidR="008243CA">
        <w:rPr>
          <w:i/>
          <w:iCs/>
        </w:rPr>
        <w:t xml:space="preserve"> </w:t>
      </w:r>
      <w:r w:rsidRPr="007A4DC3">
        <w:rPr>
          <w:i/>
          <w:iCs/>
        </w:rPr>
        <w:t>protection</w:t>
      </w:r>
      <w:r w:rsidR="008243CA">
        <w:rPr>
          <w:i/>
          <w:iCs/>
        </w:rPr>
        <w:t xml:space="preserve"> </w:t>
      </w:r>
      <w:r w:rsidRPr="007A4DC3">
        <w:rPr>
          <w:i/>
          <w:iCs/>
        </w:rPr>
        <w:t>for</w:t>
      </w:r>
      <w:r w:rsidR="008243CA">
        <w:rPr>
          <w:i/>
          <w:iCs/>
        </w:rPr>
        <w:t xml:space="preserve"> </w:t>
      </w:r>
      <w:r w:rsidRPr="007A4DC3">
        <w:rPr>
          <w:i/>
          <w:iCs/>
        </w:rPr>
        <w:t>the</w:t>
      </w:r>
      <w:r w:rsidR="008243CA">
        <w:rPr>
          <w:i/>
          <w:iCs/>
        </w:rPr>
        <w:t xml:space="preserve"> </w:t>
      </w:r>
      <w:r w:rsidRPr="007A4DC3">
        <w:rPr>
          <w:i/>
          <w:iCs/>
        </w:rPr>
        <w:t>right</w:t>
      </w:r>
      <w:r w:rsidR="008243CA">
        <w:rPr>
          <w:i/>
          <w:iCs/>
        </w:rPr>
        <w:t xml:space="preserve"> </w:t>
      </w:r>
      <w:r w:rsidRPr="007A4DC3">
        <w:rPr>
          <w:i/>
          <w:iCs/>
        </w:rPr>
        <w:t>to</w:t>
      </w:r>
      <w:r w:rsidR="008243CA">
        <w:rPr>
          <w:i/>
          <w:iCs/>
        </w:rPr>
        <w:t xml:space="preserve"> </w:t>
      </w:r>
      <w:r w:rsidRPr="007A4DC3">
        <w:rPr>
          <w:i/>
          <w:iCs/>
        </w:rPr>
        <w:t>gender</w:t>
      </w:r>
      <w:r w:rsidR="008243CA">
        <w:rPr>
          <w:i/>
          <w:iCs/>
        </w:rPr>
        <w:t xml:space="preserve"> </w:t>
      </w:r>
      <w:r w:rsidRPr="007A4DC3">
        <w:rPr>
          <w:i/>
          <w:iCs/>
        </w:rPr>
        <w:t>identity,</w:t>
      </w:r>
      <w:r w:rsidR="008243CA">
        <w:rPr>
          <w:i/>
          <w:iCs/>
        </w:rPr>
        <w:t xml:space="preserve"> </w:t>
      </w:r>
      <w:r w:rsidRPr="007A4DC3">
        <w:rPr>
          <w:i/>
          <w:iCs/>
        </w:rPr>
        <w:t>in</w:t>
      </w:r>
      <w:r w:rsidR="008243CA">
        <w:rPr>
          <w:i/>
          <w:iCs/>
        </w:rPr>
        <w:t xml:space="preserve"> </w:t>
      </w:r>
      <w:r w:rsidRPr="007A4DC3">
        <w:rPr>
          <w:i/>
          <w:iCs/>
        </w:rPr>
        <w:t>line</w:t>
      </w:r>
      <w:r w:rsidR="008243CA">
        <w:rPr>
          <w:i/>
          <w:iCs/>
        </w:rPr>
        <w:t xml:space="preserve"> </w:t>
      </w:r>
      <w:r w:rsidRPr="007A4DC3">
        <w:rPr>
          <w:i/>
          <w:iCs/>
        </w:rPr>
        <w:t>with</w:t>
      </w:r>
      <w:r w:rsidR="008243CA">
        <w:rPr>
          <w:i/>
          <w:iCs/>
        </w:rPr>
        <w:t xml:space="preserve"> </w:t>
      </w:r>
      <w:r w:rsidRPr="007A4DC3">
        <w:rPr>
          <w:i/>
          <w:iCs/>
        </w:rPr>
        <w:t>international</w:t>
      </w:r>
      <w:r w:rsidR="008243CA">
        <w:rPr>
          <w:i/>
          <w:iCs/>
        </w:rPr>
        <w:t xml:space="preserve"> </w:t>
      </w:r>
      <w:r w:rsidRPr="007A4DC3">
        <w:rPr>
          <w:i/>
          <w:iCs/>
        </w:rPr>
        <w:t>standards.</w:t>
      </w:r>
    </w:p>
    <w:p w:rsidR="003F7D03" w:rsidRPr="00E62FE6" w:rsidRDefault="003F7D03" w:rsidP="000C6D98">
      <w:pPr>
        <w:pStyle w:val="SingleTxtG"/>
      </w:pPr>
      <w:r w:rsidRPr="00E62FE6">
        <w:t>58.</w:t>
      </w:r>
      <w:r w:rsidRPr="00E62FE6">
        <w:tab/>
        <w:t>In</w:t>
      </w:r>
      <w:r w:rsidR="008243CA">
        <w:t xml:space="preserve"> </w:t>
      </w:r>
      <w:r w:rsidRPr="00E62FE6">
        <w:t>May</w:t>
      </w:r>
      <w:r w:rsidR="008243CA">
        <w:t xml:space="preserve"> </w:t>
      </w:r>
      <w:r w:rsidRPr="00E62FE6">
        <w:t>2013,</w:t>
      </w:r>
      <w:r w:rsidR="008243CA">
        <w:t xml:space="preserve"> </w:t>
      </w:r>
      <w:r w:rsidRPr="00E62FE6">
        <w:t>a</w:t>
      </w:r>
      <w:r w:rsidR="008243CA">
        <w:t xml:space="preserve"> </w:t>
      </w:r>
      <w:r w:rsidRPr="00E62FE6">
        <w:t>bill</w:t>
      </w:r>
      <w:r w:rsidR="008243CA">
        <w:t xml:space="preserve"> </w:t>
      </w:r>
      <w:r w:rsidRPr="00E62FE6">
        <w:t>that</w:t>
      </w:r>
      <w:r w:rsidR="008243CA">
        <w:t xml:space="preserve"> </w:t>
      </w:r>
      <w:r w:rsidR="00116F0B">
        <w:t>“</w:t>
      </w:r>
      <w:r w:rsidRPr="00E62FE6">
        <w:t>recognizes</w:t>
      </w:r>
      <w:r w:rsidR="008243CA">
        <w:t xml:space="preserve"> </w:t>
      </w:r>
      <w:r w:rsidRPr="00E62FE6">
        <w:t>and</w:t>
      </w:r>
      <w:r w:rsidR="008243CA">
        <w:t xml:space="preserve"> </w:t>
      </w:r>
      <w:r w:rsidRPr="00E62FE6">
        <w:t>protects</w:t>
      </w:r>
      <w:r w:rsidR="008243CA">
        <w:t xml:space="preserve"> </w:t>
      </w:r>
      <w:r w:rsidRPr="00E62FE6">
        <w:t>the</w:t>
      </w:r>
      <w:r w:rsidR="008243CA">
        <w:t xml:space="preserve"> </w:t>
      </w:r>
      <w:r w:rsidRPr="00E62FE6">
        <w:t>right</w:t>
      </w:r>
      <w:r w:rsidR="008243CA">
        <w:t xml:space="preserve"> </w:t>
      </w:r>
      <w:r w:rsidRPr="00E62FE6">
        <w:t>to</w:t>
      </w:r>
      <w:r w:rsidR="008243CA">
        <w:t xml:space="preserve"> </w:t>
      </w:r>
      <w:r w:rsidRPr="00E62FE6">
        <w:t>gender</w:t>
      </w:r>
      <w:r w:rsidR="008243CA">
        <w:t xml:space="preserve"> </w:t>
      </w:r>
      <w:r w:rsidRPr="00E62FE6">
        <w:t>identity</w:t>
      </w:r>
      <w:r w:rsidR="00116F0B">
        <w:t>”</w:t>
      </w:r>
      <w:r w:rsidR="008243CA">
        <w:t xml:space="preserve"> </w:t>
      </w:r>
      <w:r w:rsidRPr="00E62FE6">
        <w:t>was</w:t>
      </w:r>
      <w:r w:rsidR="008243CA">
        <w:t xml:space="preserve"> </w:t>
      </w:r>
      <w:r w:rsidRPr="00E62FE6">
        <w:t>submitted</w:t>
      </w:r>
      <w:r w:rsidR="008243CA">
        <w:t xml:space="preserve"> </w:t>
      </w:r>
      <w:r w:rsidRPr="00E62FE6">
        <w:t>to</w:t>
      </w:r>
      <w:r w:rsidR="008243CA">
        <w:t xml:space="preserve"> </w:t>
      </w:r>
      <w:r w:rsidRPr="00E62FE6">
        <w:t>the</w:t>
      </w:r>
      <w:r w:rsidR="008243CA">
        <w:t xml:space="preserve"> </w:t>
      </w:r>
      <w:r w:rsidRPr="00E62FE6">
        <w:t>National</w:t>
      </w:r>
      <w:r w:rsidR="008243CA">
        <w:t xml:space="preserve"> </w:t>
      </w:r>
      <w:r w:rsidRPr="00E62FE6">
        <w:t>Congress</w:t>
      </w:r>
      <w:r w:rsidR="008243CA">
        <w:t xml:space="preserve"> </w:t>
      </w:r>
      <w:r w:rsidRPr="00E62FE6">
        <w:t>(Bulletin</w:t>
      </w:r>
      <w:r w:rsidR="008243CA">
        <w:t xml:space="preserve"> </w:t>
      </w:r>
      <w:r w:rsidRPr="00E62FE6">
        <w:t>No.</w:t>
      </w:r>
      <w:r w:rsidR="008243CA">
        <w:t xml:space="preserve"> </w:t>
      </w:r>
      <w:r w:rsidRPr="00E62FE6">
        <w:t>8924-07).</w:t>
      </w:r>
      <w:r w:rsidR="008243CA">
        <w:t xml:space="preserve"> </w:t>
      </w:r>
      <w:r w:rsidRPr="00E62FE6">
        <w:t>This</w:t>
      </w:r>
      <w:r w:rsidR="008243CA">
        <w:t xml:space="preserve"> </w:t>
      </w:r>
      <w:r w:rsidRPr="00E62FE6">
        <w:t>bill</w:t>
      </w:r>
      <w:r w:rsidR="008243CA">
        <w:t xml:space="preserve"> </w:t>
      </w:r>
      <w:r w:rsidRPr="00E62FE6">
        <w:t>is</w:t>
      </w:r>
      <w:r w:rsidR="008243CA">
        <w:t xml:space="preserve"> </w:t>
      </w:r>
      <w:r w:rsidRPr="00E62FE6">
        <w:t>in</w:t>
      </w:r>
      <w:r w:rsidR="008243CA">
        <w:t xml:space="preserve"> </w:t>
      </w:r>
      <w:r w:rsidRPr="00E62FE6">
        <w:t>its</w:t>
      </w:r>
      <w:r w:rsidR="008243CA">
        <w:t xml:space="preserve"> </w:t>
      </w:r>
      <w:r w:rsidRPr="00E62FE6">
        <w:t>first</w:t>
      </w:r>
      <w:r w:rsidR="008243CA">
        <w:t xml:space="preserve"> </w:t>
      </w:r>
      <w:r w:rsidRPr="00E62FE6">
        <w:t>reading</w:t>
      </w:r>
      <w:r w:rsidR="008243CA">
        <w:t xml:space="preserve"> </w:t>
      </w:r>
      <w:r w:rsidRPr="00E62FE6">
        <w:t>in</w:t>
      </w:r>
      <w:r w:rsidR="008243CA">
        <w:t xml:space="preserve"> </w:t>
      </w:r>
      <w:r w:rsidRPr="00E62FE6">
        <w:t>the</w:t>
      </w:r>
      <w:r w:rsidR="008243CA">
        <w:t xml:space="preserve"> </w:t>
      </w:r>
      <w:r w:rsidRPr="00E62FE6">
        <w:t>Senate</w:t>
      </w:r>
      <w:r w:rsidR="008243CA">
        <w:t xml:space="preserve"> </w:t>
      </w:r>
      <w:r w:rsidRPr="00E62FE6">
        <w:t>and</w:t>
      </w:r>
      <w:r w:rsidR="008243CA">
        <w:t xml:space="preserve"> </w:t>
      </w:r>
      <w:r w:rsidRPr="00E62FE6">
        <w:t>has</w:t>
      </w:r>
      <w:r w:rsidR="008243CA">
        <w:t xml:space="preserve"> </w:t>
      </w:r>
      <w:r w:rsidRPr="00E62FE6">
        <w:t>been</w:t>
      </w:r>
      <w:r w:rsidR="008243CA">
        <w:t xml:space="preserve"> </w:t>
      </w:r>
      <w:r w:rsidRPr="00E62FE6">
        <w:t>actively</w:t>
      </w:r>
      <w:r w:rsidR="008243CA">
        <w:t xml:space="preserve"> </w:t>
      </w:r>
      <w:r w:rsidRPr="00E62FE6">
        <w:t>examined</w:t>
      </w:r>
      <w:r w:rsidR="008243CA">
        <w:t xml:space="preserve"> </w:t>
      </w:r>
      <w:r w:rsidRPr="00E62FE6">
        <w:t>by</w:t>
      </w:r>
      <w:r w:rsidR="008243CA">
        <w:t xml:space="preserve"> </w:t>
      </w:r>
      <w:r w:rsidRPr="00E62FE6">
        <w:t>the</w:t>
      </w:r>
      <w:r w:rsidR="008243CA">
        <w:t xml:space="preserve"> </w:t>
      </w:r>
      <w:r w:rsidRPr="00E62FE6">
        <w:t>legislature,</w:t>
      </w:r>
      <w:r w:rsidR="008243CA">
        <w:t xml:space="preserve"> </w:t>
      </w:r>
      <w:r w:rsidRPr="00E62FE6">
        <w:t>not</w:t>
      </w:r>
      <w:r w:rsidR="008243CA">
        <w:t xml:space="preserve"> </w:t>
      </w:r>
      <w:r w:rsidRPr="00E62FE6">
        <w:t>only</w:t>
      </w:r>
      <w:r w:rsidR="008243CA">
        <w:t xml:space="preserve"> </w:t>
      </w:r>
      <w:r w:rsidRPr="00E62FE6">
        <w:t>because</w:t>
      </w:r>
      <w:r w:rsidR="008243CA">
        <w:t xml:space="preserve"> </w:t>
      </w:r>
      <w:r w:rsidRPr="00E62FE6">
        <w:t>the</w:t>
      </w:r>
      <w:r w:rsidR="008243CA">
        <w:t xml:space="preserve"> </w:t>
      </w:r>
      <w:r w:rsidRPr="00E62FE6">
        <w:t>Government</w:t>
      </w:r>
      <w:r w:rsidR="008243CA">
        <w:t xml:space="preserve"> </w:t>
      </w:r>
      <w:r w:rsidRPr="00E62FE6">
        <w:t>is</w:t>
      </w:r>
      <w:r w:rsidR="008243CA">
        <w:t xml:space="preserve"> </w:t>
      </w:r>
      <w:r w:rsidRPr="00E62FE6">
        <w:t>eager</w:t>
      </w:r>
      <w:r w:rsidR="008243CA">
        <w:t xml:space="preserve"> </w:t>
      </w:r>
      <w:r w:rsidRPr="00E62FE6">
        <w:t>for</w:t>
      </w:r>
      <w:r w:rsidR="008243CA">
        <w:t xml:space="preserve"> </w:t>
      </w:r>
      <w:r w:rsidRPr="00E62FE6">
        <w:t>it</w:t>
      </w:r>
      <w:r w:rsidR="008243CA">
        <w:t xml:space="preserve"> </w:t>
      </w:r>
      <w:r w:rsidRPr="00E62FE6">
        <w:t>to</w:t>
      </w:r>
      <w:r w:rsidR="008243CA">
        <w:t xml:space="preserve"> </w:t>
      </w:r>
      <w:r w:rsidRPr="00E62FE6">
        <w:t>be</w:t>
      </w:r>
      <w:r w:rsidR="008243CA">
        <w:t xml:space="preserve"> </w:t>
      </w:r>
      <w:r w:rsidRPr="00E62FE6">
        <w:t>approved</w:t>
      </w:r>
      <w:r w:rsidR="008243CA">
        <w:t xml:space="preserve"> </w:t>
      </w:r>
      <w:r w:rsidRPr="00E62FE6">
        <w:t>promptly</w:t>
      </w:r>
      <w:r w:rsidR="008243CA">
        <w:t xml:space="preserve"> </w:t>
      </w:r>
      <w:r w:rsidRPr="00E62FE6">
        <w:t>but</w:t>
      </w:r>
      <w:r w:rsidR="008243CA">
        <w:t xml:space="preserve"> </w:t>
      </w:r>
      <w:r w:rsidRPr="00E62FE6">
        <w:t>also</w:t>
      </w:r>
      <w:r w:rsidR="008243CA">
        <w:t xml:space="preserve"> </w:t>
      </w:r>
      <w:r w:rsidRPr="00E62FE6">
        <w:t>because</w:t>
      </w:r>
      <w:r w:rsidR="008243CA">
        <w:t xml:space="preserve"> </w:t>
      </w:r>
      <w:r w:rsidRPr="00E62FE6">
        <w:t>of</w:t>
      </w:r>
      <w:r w:rsidR="008243CA">
        <w:t xml:space="preserve"> </w:t>
      </w:r>
      <w:r w:rsidRPr="00E62FE6">
        <w:t>the</w:t>
      </w:r>
      <w:r w:rsidR="008243CA">
        <w:t xml:space="preserve"> </w:t>
      </w:r>
      <w:r w:rsidRPr="00E62FE6">
        <w:t>nature</w:t>
      </w:r>
      <w:r w:rsidR="008243CA">
        <w:t xml:space="preserve"> </w:t>
      </w:r>
      <w:r w:rsidRPr="00E62FE6">
        <w:t>of</w:t>
      </w:r>
      <w:r w:rsidR="008243CA">
        <w:t xml:space="preserve"> </w:t>
      </w:r>
      <w:r w:rsidRPr="00E62FE6">
        <w:t>the</w:t>
      </w:r>
      <w:r w:rsidR="008243CA">
        <w:t xml:space="preserve"> </w:t>
      </w:r>
      <w:r w:rsidRPr="00E62FE6">
        <w:t>proposal,</w:t>
      </w:r>
      <w:r w:rsidR="008243CA">
        <w:t xml:space="preserve"> </w:t>
      </w:r>
      <w:r w:rsidRPr="00E62FE6">
        <w:t>which</w:t>
      </w:r>
      <w:r w:rsidR="008243CA">
        <w:t xml:space="preserve"> </w:t>
      </w:r>
      <w:r w:rsidRPr="00E62FE6">
        <w:t>has</w:t>
      </w:r>
      <w:r w:rsidR="008243CA">
        <w:t xml:space="preserve"> </w:t>
      </w:r>
      <w:r w:rsidRPr="00E62FE6">
        <w:t>given</w:t>
      </w:r>
      <w:r w:rsidR="008243CA">
        <w:t xml:space="preserve"> </w:t>
      </w:r>
      <w:r w:rsidRPr="00E62FE6">
        <w:t>rise</w:t>
      </w:r>
      <w:r w:rsidR="008243CA">
        <w:t xml:space="preserve"> </w:t>
      </w:r>
      <w:r w:rsidRPr="00E62FE6">
        <w:t>to</w:t>
      </w:r>
      <w:r w:rsidR="008243CA">
        <w:t xml:space="preserve"> </w:t>
      </w:r>
      <w:r w:rsidRPr="00E62FE6">
        <w:t>heated</w:t>
      </w:r>
      <w:r w:rsidR="008243CA">
        <w:t xml:space="preserve"> </w:t>
      </w:r>
      <w:r w:rsidRPr="00E62FE6">
        <w:t>debates,</w:t>
      </w:r>
      <w:r w:rsidR="008243CA">
        <w:t xml:space="preserve"> </w:t>
      </w:r>
      <w:r w:rsidRPr="00E62FE6">
        <w:t>in</w:t>
      </w:r>
      <w:r w:rsidR="008243CA">
        <w:t xml:space="preserve"> </w:t>
      </w:r>
      <w:r w:rsidRPr="00E62FE6">
        <w:t>the</w:t>
      </w:r>
      <w:r w:rsidR="008243CA">
        <w:t xml:space="preserve"> </w:t>
      </w:r>
      <w:r w:rsidRPr="00E62FE6">
        <w:t>spirit</w:t>
      </w:r>
      <w:r w:rsidR="008243CA">
        <w:t xml:space="preserve"> </w:t>
      </w:r>
      <w:r w:rsidRPr="00E62FE6">
        <w:t>of</w:t>
      </w:r>
      <w:r w:rsidR="008243CA">
        <w:t xml:space="preserve"> </w:t>
      </w:r>
      <w:r w:rsidRPr="00E62FE6">
        <w:t>deliberative</w:t>
      </w:r>
      <w:r w:rsidR="008243CA">
        <w:t xml:space="preserve"> </w:t>
      </w:r>
      <w:r w:rsidRPr="00E62FE6">
        <w:t>democracy.</w:t>
      </w:r>
    </w:p>
    <w:p w:rsidR="003F7D03" w:rsidRPr="00E62FE6" w:rsidRDefault="003F7D03" w:rsidP="000C6D98">
      <w:pPr>
        <w:pStyle w:val="SingleTxtG"/>
      </w:pPr>
      <w:r w:rsidRPr="00E62FE6">
        <w:t>59.</w:t>
      </w:r>
      <w:r w:rsidRPr="00E62FE6">
        <w:tab/>
        <w:t>According</w:t>
      </w:r>
      <w:r w:rsidR="008243CA">
        <w:t xml:space="preserve"> </w:t>
      </w:r>
      <w:r w:rsidRPr="00E62FE6">
        <w:t>to</w:t>
      </w:r>
      <w:r w:rsidR="008243CA">
        <w:t xml:space="preserve"> </w:t>
      </w:r>
      <w:r w:rsidRPr="00E62FE6">
        <w:t>the</w:t>
      </w:r>
      <w:r w:rsidR="008243CA">
        <w:t xml:space="preserve"> </w:t>
      </w:r>
      <w:r w:rsidRPr="00E62FE6">
        <w:t>latest</w:t>
      </w:r>
      <w:r w:rsidR="008243CA">
        <w:t xml:space="preserve"> </w:t>
      </w:r>
      <w:r w:rsidRPr="00E62FE6">
        <w:t>information</w:t>
      </w:r>
      <w:r w:rsidR="008243CA">
        <w:t xml:space="preserve"> </w:t>
      </w:r>
      <w:r w:rsidRPr="00E62FE6">
        <w:t>provided</w:t>
      </w:r>
      <w:r w:rsidR="008243CA">
        <w:t xml:space="preserve"> </w:t>
      </w:r>
      <w:r w:rsidRPr="00E62FE6">
        <w:t>by</w:t>
      </w:r>
      <w:r w:rsidR="008243CA">
        <w:t xml:space="preserve"> </w:t>
      </w:r>
      <w:r w:rsidRPr="00E62FE6">
        <w:t>the</w:t>
      </w:r>
      <w:r w:rsidR="008243CA">
        <w:t xml:space="preserve"> </w:t>
      </w:r>
      <w:r w:rsidRPr="00E62FE6">
        <w:t>Government</w:t>
      </w:r>
      <w:r w:rsidR="008243CA">
        <w:t xml:space="preserve"> </w:t>
      </w:r>
      <w:r w:rsidRPr="00E62FE6">
        <w:t>during</w:t>
      </w:r>
      <w:r w:rsidR="008243CA">
        <w:t xml:space="preserve"> </w:t>
      </w:r>
      <w:r w:rsidRPr="00E62FE6">
        <w:t>the</w:t>
      </w:r>
      <w:r w:rsidR="008243CA">
        <w:t xml:space="preserve"> </w:t>
      </w:r>
      <w:r w:rsidRPr="00E62FE6">
        <w:t>second</w:t>
      </w:r>
      <w:r w:rsidR="008243CA">
        <w:t xml:space="preserve"> </w:t>
      </w:r>
      <w:r w:rsidRPr="00E62FE6">
        <w:t>half</w:t>
      </w:r>
      <w:r w:rsidR="008243CA">
        <w:t xml:space="preserve"> </w:t>
      </w:r>
      <w:r w:rsidRPr="00E62FE6">
        <w:t>of</w:t>
      </w:r>
      <w:r w:rsidR="008243CA">
        <w:t xml:space="preserve"> </w:t>
      </w:r>
      <w:r w:rsidRPr="00E62FE6">
        <w:t>2016,</w:t>
      </w:r>
      <w:r w:rsidR="008243CA">
        <w:t xml:space="preserve"> </w:t>
      </w:r>
      <w:r w:rsidRPr="00E62FE6">
        <w:t>in</w:t>
      </w:r>
      <w:r w:rsidR="008243CA">
        <w:t xml:space="preserve"> </w:t>
      </w:r>
      <w:r w:rsidRPr="00E62FE6">
        <w:t>addition</w:t>
      </w:r>
      <w:r w:rsidR="008243CA">
        <w:t xml:space="preserve"> </w:t>
      </w:r>
      <w:r w:rsidRPr="00E62FE6">
        <w:t>to</w:t>
      </w:r>
      <w:r w:rsidR="008243CA">
        <w:t xml:space="preserve"> </w:t>
      </w:r>
      <w:r w:rsidRPr="00E62FE6">
        <w:t>defining</w:t>
      </w:r>
      <w:r w:rsidR="008243CA">
        <w:t xml:space="preserve"> </w:t>
      </w:r>
      <w:r w:rsidRPr="00E62FE6">
        <w:t>gender</w:t>
      </w:r>
      <w:r w:rsidR="008243CA">
        <w:t xml:space="preserve"> </w:t>
      </w:r>
      <w:r w:rsidRPr="00E62FE6">
        <w:t>identity,</w:t>
      </w:r>
      <w:r w:rsidR="008243CA">
        <w:t xml:space="preserve"> </w:t>
      </w:r>
      <w:r w:rsidRPr="00E62FE6">
        <w:t>the</w:t>
      </w:r>
      <w:r w:rsidR="008243CA">
        <w:t xml:space="preserve"> </w:t>
      </w:r>
      <w:r w:rsidRPr="00E62FE6">
        <w:t>bill</w:t>
      </w:r>
      <w:r w:rsidR="008243CA">
        <w:t xml:space="preserve"> </w:t>
      </w:r>
      <w:r w:rsidRPr="00E62FE6">
        <w:t>sets</w:t>
      </w:r>
      <w:r w:rsidR="008243CA">
        <w:t xml:space="preserve"> </w:t>
      </w:r>
      <w:r w:rsidRPr="00E62FE6">
        <w:t>out</w:t>
      </w:r>
      <w:r w:rsidR="008243CA">
        <w:t xml:space="preserve"> </w:t>
      </w:r>
      <w:r w:rsidRPr="00E62FE6">
        <w:t>a</w:t>
      </w:r>
      <w:r w:rsidR="008243CA">
        <w:t xml:space="preserve"> </w:t>
      </w:r>
      <w:r w:rsidRPr="00E62FE6">
        <w:t>list</w:t>
      </w:r>
      <w:r w:rsidR="008243CA">
        <w:t xml:space="preserve"> </w:t>
      </w:r>
      <w:r w:rsidRPr="00E62FE6">
        <w:t>of</w:t>
      </w:r>
      <w:r w:rsidR="008243CA">
        <w:t xml:space="preserve"> </w:t>
      </w:r>
      <w:r w:rsidRPr="00E62FE6">
        <w:t>rights</w:t>
      </w:r>
      <w:r w:rsidR="008243CA">
        <w:t xml:space="preserve"> </w:t>
      </w:r>
      <w:r w:rsidRPr="00E62FE6">
        <w:t>and</w:t>
      </w:r>
      <w:r w:rsidR="008243CA">
        <w:t xml:space="preserve"> </w:t>
      </w:r>
      <w:r w:rsidRPr="00E62FE6">
        <w:t>provides</w:t>
      </w:r>
      <w:r w:rsidR="008243CA">
        <w:t xml:space="preserve"> </w:t>
      </w:r>
      <w:r w:rsidRPr="00E62FE6">
        <w:t>for</w:t>
      </w:r>
      <w:r w:rsidR="008243CA">
        <w:t xml:space="preserve"> </w:t>
      </w:r>
      <w:r w:rsidRPr="00E62FE6">
        <w:t>the</w:t>
      </w:r>
      <w:r w:rsidR="008243CA">
        <w:t xml:space="preserve"> </w:t>
      </w:r>
      <w:r w:rsidRPr="00E62FE6">
        <w:t>exercise</w:t>
      </w:r>
      <w:r w:rsidR="008243CA">
        <w:t xml:space="preserve"> </w:t>
      </w:r>
      <w:r w:rsidRPr="00E62FE6">
        <w:t>of</w:t>
      </w:r>
      <w:r w:rsidR="008243CA">
        <w:t xml:space="preserve"> </w:t>
      </w:r>
      <w:r w:rsidRPr="00E62FE6">
        <w:t>the</w:t>
      </w:r>
      <w:r w:rsidR="008243CA">
        <w:t xml:space="preserve"> </w:t>
      </w:r>
      <w:r w:rsidRPr="00E62FE6">
        <w:t>right</w:t>
      </w:r>
      <w:r w:rsidR="008243CA">
        <w:t xml:space="preserve"> </w:t>
      </w:r>
      <w:r w:rsidRPr="00E62FE6">
        <w:t>to</w:t>
      </w:r>
      <w:r w:rsidR="008243CA">
        <w:t xml:space="preserve"> </w:t>
      </w:r>
      <w:r w:rsidRPr="00E62FE6">
        <w:t>identification</w:t>
      </w:r>
      <w:r w:rsidR="008243CA">
        <w:t xml:space="preserve"> </w:t>
      </w:r>
      <w:r w:rsidRPr="00E62FE6">
        <w:t>in</w:t>
      </w:r>
      <w:r w:rsidR="008243CA">
        <w:t xml:space="preserve"> </w:t>
      </w:r>
      <w:r w:rsidRPr="00E62FE6">
        <w:t>accordance</w:t>
      </w:r>
      <w:r w:rsidR="008243CA">
        <w:t xml:space="preserve"> </w:t>
      </w:r>
      <w:r w:rsidRPr="00E62FE6">
        <w:t>with</w:t>
      </w:r>
      <w:r w:rsidR="008243CA">
        <w:t xml:space="preserve"> </w:t>
      </w:r>
      <w:r w:rsidRPr="00E62FE6">
        <w:t>the</w:t>
      </w:r>
      <w:r w:rsidR="008243CA">
        <w:t xml:space="preserve"> </w:t>
      </w:r>
      <w:r w:rsidRPr="00E62FE6">
        <w:t>right</w:t>
      </w:r>
      <w:r w:rsidR="008243CA">
        <w:t xml:space="preserve"> </w:t>
      </w:r>
      <w:r w:rsidRPr="00E62FE6">
        <w:t>to</w:t>
      </w:r>
      <w:r w:rsidR="008243CA">
        <w:t xml:space="preserve"> </w:t>
      </w:r>
      <w:r w:rsidRPr="00E62FE6">
        <w:t>gender</w:t>
      </w:r>
      <w:r w:rsidR="008243CA">
        <w:t xml:space="preserve"> </w:t>
      </w:r>
      <w:r w:rsidRPr="00E62FE6">
        <w:t>identity,</w:t>
      </w:r>
      <w:r w:rsidR="008243CA">
        <w:t xml:space="preserve"> </w:t>
      </w:r>
      <w:r w:rsidRPr="00E62FE6">
        <w:t>establishing</w:t>
      </w:r>
      <w:r w:rsidR="008243CA">
        <w:t xml:space="preserve"> </w:t>
      </w:r>
      <w:r w:rsidRPr="00E62FE6">
        <w:t>administrative</w:t>
      </w:r>
      <w:r w:rsidR="008243CA">
        <w:t xml:space="preserve"> </w:t>
      </w:r>
      <w:r w:rsidRPr="00E62FE6">
        <w:t>and</w:t>
      </w:r>
      <w:r w:rsidR="008243CA">
        <w:t xml:space="preserve"> </w:t>
      </w:r>
      <w:r w:rsidRPr="00E62FE6">
        <w:t>judicial</w:t>
      </w:r>
      <w:r w:rsidR="008243CA">
        <w:t xml:space="preserve"> </w:t>
      </w:r>
      <w:r w:rsidRPr="00E62FE6">
        <w:t>procedures</w:t>
      </w:r>
      <w:r w:rsidR="008243CA">
        <w:t xml:space="preserve"> </w:t>
      </w:r>
      <w:r w:rsidRPr="00E62FE6">
        <w:t>that</w:t>
      </w:r>
      <w:r w:rsidR="008243CA">
        <w:t xml:space="preserve"> </w:t>
      </w:r>
      <w:r w:rsidRPr="00E62FE6">
        <w:t>differ</w:t>
      </w:r>
      <w:r w:rsidR="008243CA">
        <w:t xml:space="preserve"> </w:t>
      </w:r>
      <w:r w:rsidRPr="00E62FE6">
        <w:t>depending</w:t>
      </w:r>
      <w:r w:rsidR="008243CA">
        <w:t xml:space="preserve"> </w:t>
      </w:r>
      <w:r w:rsidRPr="00E62FE6">
        <w:t>on</w:t>
      </w:r>
      <w:r w:rsidR="008243CA">
        <w:t xml:space="preserve"> </w:t>
      </w:r>
      <w:r w:rsidRPr="00E62FE6">
        <w:t>whether</w:t>
      </w:r>
      <w:r w:rsidR="008243CA">
        <w:t xml:space="preserve"> </w:t>
      </w:r>
      <w:r w:rsidRPr="00E62FE6">
        <w:t>the</w:t>
      </w:r>
      <w:r w:rsidR="008243CA">
        <w:t xml:space="preserve"> </w:t>
      </w:r>
      <w:r w:rsidRPr="00E62FE6">
        <w:t>applicant</w:t>
      </w:r>
      <w:r w:rsidR="008243CA">
        <w:t xml:space="preserve"> </w:t>
      </w:r>
      <w:r w:rsidRPr="00E62FE6">
        <w:t>is</w:t>
      </w:r>
      <w:r w:rsidR="008243CA">
        <w:t xml:space="preserve"> </w:t>
      </w:r>
      <w:r w:rsidRPr="00E62FE6">
        <w:t>an</w:t>
      </w:r>
      <w:r w:rsidR="008243CA">
        <w:t xml:space="preserve"> </w:t>
      </w:r>
      <w:r w:rsidRPr="00E62FE6">
        <w:t>adult</w:t>
      </w:r>
      <w:r w:rsidR="008243CA">
        <w:t xml:space="preserve"> </w:t>
      </w:r>
      <w:r w:rsidRPr="00E62FE6">
        <w:t>or</w:t>
      </w:r>
      <w:r w:rsidR="008243CA">
        <w:t xml:space="preserve"> </w:t>
      </w:r>
      <w:r w:rsidRPr="00E62FE6">
        <w:t>a</w:t>
      </w:r>
      <w:r w:rsidR="008243CA">
        <w:t xml:space="preserve"> </w:t>
      </w:r>
      <w:r w:rsidRPr="00E62FE6">
        <w:t>minor.</w:t>
      </w:r>
    </w:p>
    <w:p w:rsidR="003F7D03" w:rsidRPr="00E62FE6" w:rsidRDefault="007A4DC3" w:rsidP="007A4DC3">
      <w:pPr>
        <w:pStyle w:val="H1G"/>
      </w:pPr>
      <w:r>
        <w:tab/>
      </w:r>
      <w:bookmarkStart w:id="45" w:name="_Toc512870684"/>
      <w:bookmarkStart w:id="46" w:name="_Toc512870846"/>
      <w:r w:rsidR="003F7D03" w:rsidRPr="00E62FE6">
        <w:t>2.2</w:t>
      </w:r>
      <w:r w:rsidR="008243CA">
        <w:t xml:space="preserve"> </w:t>
      </w:r>
      <w:r w:rsidR="003F7D03" w:rsidRPr="00E62FE6">
        <w:tab/>
        <w:t>Administrative</w:t>
      </w:r>
      <w:r w:rsidR="008243CA">
        <w:t xml:space="preserve"> </w:t>
      </w:r>
      <w:r w:rsidR="003F7D03" w:rsidRPr="00E62FE6">
        <w:t>measures</w:t>
      </w:r>
      <w:bookmarkEnd w:id="45"/>
      <w:bookmarkEnd w:id="46"/>
    </w:p>
    <w:p w:rsidR="003F7D03" w:rsidRPr="00E62FE6" w:rsidRDefault="003F7D03" w:rsidP="007A4DC3">
      <w:pPr>
        <w:pStyle w:val="H23G"/>
      </w:pPr>
      <w:r w:rsidRPr="00E62FE6">
        <w:tab/>
      </w:r>
      <w:bookmarkStart w:id="47" w:name="_Toc512870685"/>
      <w:bookmarkStart w:id="48" w:name="_Toc512870847"/>
      <w:r w:rsidRPr="00E62FE6">
        <w:t>2.2.1</w:t>
      </w:r>
      <w:r w:rsidRPr="00E62FE6">
        <w:tab/>
        <w:t>Juvenile</w:t>
      </w:r>
      <w:r w:rsidR="008243CA">
        <w:t xml:space="preserve"> </w:t>
      </w:r>
      <w:r w:rsidRPr="00E62FE6">
        <w:t>criminal</w:t>
      </w:r>
      <w:r w:rsidR="008243CA">
        <w:t xml:space="preserve"> </w:t>
      </w:r>
      <w:r w:rsidRPr="00E62FE6">
        <w:t>justice</w:t>
      </w:r>
      <w:bookmarkEnd w:id="47"/>
      <w:bookmarkEnd w:id="48"/>
    </w:p>
    <w:p w:rsidR="003F7D03" w:rsidRPr="00412C68" w:rsidRDefault="003F7D03" w:rsidP="000C6D98">
      <w:pPr>
        <w:pStyle w:val="SingleTxtG"/>
        <w:rPr>
          <w:i/>
          <w:iCs/>
        </w:rPr>
      </w:pPr>
      <w:r w:rsidRPr="00E62FE6">
        <w:t>60.</w:t>
      </w:r>
      <w:r w:rsidRPr="00E62FE6">
        <w:tab/>
        <w:t>Paragraph</w:t>
      </w:r>
      <w:r w:rsidR="008243CA">
        <w:t xml:space="preserve"> </w:t>
      </w:r>
      <w:r w:rsidRPr="00E62FE6">
        <w:t>113:</w:t>
      </w:r>
      <w:r w:rsidR="008243CA">
        <w:t xml:space="preserve"> </w:t>
      </w:r>
      <w:r w:rsidRPr="00412C68">
        <w:rPr>
          <w:i/>
          <w:iCs/>
        </w:rPr>
        <w:t>The</w:t>
      </w:r>
      <w:r w:rsidR="008243CA">
        <w:rPr>
          <w:i/>
          <w:iCs/>
        </w:rPr>
        <w:t xml:space="preserve"> </w:t>
      </w:r>
      <w:r w:rsidRPr="00412C68">
        <w:rPr>
          <w:i/>
          <w:iCs/>
        </w:rPr>
        <w:t>Subcommittee</w:t>
      </w:r>
      <w:r w:rsidR="008243CA">
        <w:rPr>
          <w:i/>
          <w:iCs/>
        </w:rPr>
        <w:t xml:space="preserve"> </w:t>
      </w:r>
      <w:r w:rsidRPr="00412C68">
        <w:rPr>
          <w:i/>
          <w:iCs/>
        </w:rPr>
        <w:t>recommends</w:t>
      </w:r>
      <w:r w:rsidR="008243CA">
        <w:rPr>
          <w:i/>
          <w:iCs/>
        </w:rPr>
        <w:t xml:space="preserve"> </w:t>
      </w:r>
      <w:r w:rsidRPr="00412C68">
        <w:rPr>
          <w:i/>
          <w:iCs/>
        </w:rPr>
        <w:t>that</w:t>
      </w:r>
      <w:r w:rsidR="008243CA">
        <w:rPr>
          <w:i/>
          <w:iCs/>
        </w:rPr>
        <w:t xml:space="preserve"> </w:t>
      </w:r>
      <w:r w:rsidRPr="00412C68">
        <w:rPr>
          <w:i/>
          <w:iCs/>
        </w:rPr>
        <w:t>the</w:t>
      </w:r>
      <w:r w:rsidR="008243CA">
        <w:rPr>
          <w:i/>
          <w:iCs/>
        </w:rPr>
        <w:t xml:space="preserve"> </w:t>
      </w:r>
      <w:r w:rsidRPr="00412C68">
        <w:rPr>
          <w:i/>
          <w:iCs/>
        </w:rPr>
        <w:t>authorities</w:t>
      </w:r>
      <w:r w:rsidR="008243CA">
        <w:rPr>
          <w:i/>
          <w:iCs/>
        </w:rPr>
        <w:t xml:space="preserve"> </w:t>
      </w:r>
      <w:r w:rsidRPr="00412C68">
        <w:rPr>
          <w:i/>
          <w:iCs/>
        </w:rPr>
        <w:t>bear</w:t>
      </w:r>
      <w:r w:rsidR="008243CA">
        <w:rPr>
          <w:i/>
          <w:iCs/>
        </w:rPr>
        <w:t xml:space="preserve"> </w:t>
      </w:r>
      <w:r w:rsidRPr="00412C68">
        <w:rPr>
          <w:i/>
          <w:iCs/>
        </w:rPr>
        <w:t>in</w:t>
      </w:r>
      <w:r w:rsidR="008243CA">
        <w:rPr>
          <w:i/>
          <w:iCs/>
        </w:rPr>
        <w:t xml:space="preserve"> </w:t>
      </w:r>
      <w:r w:rsidRPr="00412C68">
        <w:rPr>
          <w:i/>
          <w:iCs/>
        </w:rPr>
        <w:t>mind</w:t>
      </w:r>
      <w:r w:rsidR="008243CA">
        <w:rPr>
          <w:i/>
          <w:iCs/>
        </w:rPr>
        <w:t xml:space="preserve"> </w:t>
      </w:r>
      <w:r w:rsidRPr="00412C68">
        <w:rPr>
          <w:i/>
          <w:iCs/>
        </w:rPr>
        <w:t>that</w:t>
      </w:r>
      <w:r w:rsidR="008243CA">
        <w:rPr>
          <w:i/>
          <w:iCs/>
        </w:rPr>
        <w:t xml:space="preserve"> </w:t>
      </w:r>
      <w:r w:rsidRPr="00412C68">
        <w:rPr>
          <w:i/>
          <w:iCs/>
        </w:rPr>
        <w:t>the</w:t>
      </w:r>
      <w:r w:rsidR="008243CA">
        <w:rPr>
          <w:i/>
          <w:iCs/>
        </w:rPr>
        <w:t xml:space="preserve"> </w:t>
      </w:r>
      <w:r w:rsidRPr="00412C68">
        <w:rPr>
          <w:i/>
          <w:iCs/>
        </w:rPr>
        <w:t>education</w:t>
      </w:r>
      <w:r w:rsidR="008243CA">
        <w:rPr>
          <w:i/>
          <w:iCs/>
        </w:rPr>
        <w:t xml:space="preserve"> </w:t>
      </w:r>
      <w:r w:rsidRPr="00412C68">
        <w:rPr>
          <w:i/>
          <w:iCs/>
        </w:rPr>
        <w:t>and</w:t>
      </w:r>
      <w:r w:rsidR="008243CA">
        <w:rPr>
          <w:i/>
          <w:iCs/>
        </w:rPr>
        <w:t xml:space="preserve"> </w:t>
      </w:r>
      <w:r w:rsidRPr="00412C68">
        <w:rPr>
          <w:i/>
          <w:iCs/>
        </w:rPr>
        <w:t>social</w:t>
      </w:r>
      <w:r w:rsidR="008243CA">
        <w:rPr>
          <w:i/>
          <w:iCs/>
        </w:rPr>
        <w:t xml:space="preserve"> </w:t>
      </w:r>
      <w:r w:rsidRPr="00412C68">
        <w:rPr>
          <w:i/>
          <w:iCs/>
        </w:rPr>
        <w:t>reintegration</w:t>
      </w:r>
      <w:r w:rsidR="008243CA">
        <w:rPr>
          <w:i/>
          <w:iCs/>
        </w:rPr>
        <w:t xml:space="preserve"> </w:t>
      </w:r>
      <w:r w:rsidRPr="00412C68">
        <w:rPr>
          <w:i/>
          <w:iCs/>
        </w:rPr>
        <w:t>of</w:t>
      </w:r>
      <w:r w:rsidR="008243CA">
        <w:rPr>
          <w:i/>
          <w:iCs/>
        </w:rPr>
        <w:t xml:space="preserve"> </w:t>
      </w:r>
      <w:r w:rsidRPr="00412C68">
        <w:rPr>
          <w:i/>
          <w:iCs/>
        </w:rPr>
        <w:t>offenders</w:t>
      </w:r>
      <w:r w:rsidR="008243CA">
        <w:rPr>
          <w:i/>
          <w:iCs/>
        </w:rPr>
        <w:t xml:space="preserve"> </w:t>
      </w:r>
      <w:r w:rsidRPr="00412C68">
        <w:rPr>
          <w:i/>
          <w:iCs/>
        </w:rPr>
        <w:t>should</w:t>
      </w:r>
      <w:r w:rsidR="008243CA">
        <w:rPr>
          <w:i/>
          <w:iCs/>
        </w:rPr>
        <w:t xml:space="preserve"> </w:t>
      </w:r>
      <w:r w:rsidRPr="00412C68">
        <w:rPr>
          <w:i/>
          <w:iCs/>
        </w:rPr>
        <w:t>be</w:t>
      </w:r>
      <w:r w:rsidR="008243CA">
        <w:rPr>
          <w:i/>
          <w:iCs/>
        </w:rPr>
        <w:t xml:space="preserve"> </w:t>
      </w:r>
      <w:r w:rsidRPr="00412C68">
        <w:rPr>
          <w:i/>
          <w:iCs/>
        </w:rPr>
        <w:t>the</w:t>
      </w:r>
      <w:r w:rsidR="008243CA">
        <w:rPr>
          <w:i/>
          <w:iCs/>
        </w:rPr>
        <w:t xml:space="preserve"> </w:t>
      </w:r>
      <w:r w:rsidRPr="00412C68">
        <w:rPr>
          <w:i/>
          <w:iCs/>
        </w:rPr>
        <w:t>primary</w:t>
      </w:r>
      <w:r w:rsidR="008243CA">
        <w:rPr>
          <w:i/>
          <w:iCs/>
        </w:rPr>
        <w:t xml:space="preserve"> </w:t>
      </w:r>
      <w:r w:rsidRPr="00412C68">
        <w:rPr>
          <w:i/>
          <w:iCs/>
        </w:rPr>
        <w:t>aims</w:t>
      </w:r>
      <w:r w:rsidR="008243CA">
        <w:rPr>
          <w:i/>
          <w:iCs/>
        </w:rPr>
        <w:t xml:space="preserve"> </w:t>
      </w:r>
      <w:r w:rsidRPr="00412C68">
        <w:rPr>
          <w:i/>
          <w:iCs/>
        </w:rPr>
        <w:t>of</w:t>
      </w:r>
      <w:r w:rsidR="008243CA">
        <w:rPr>
          <w:i/>
          <w:iCs/>
        </w:rPr>
        <w:t xml:space="preserve"> </w:t>
      </w:r>
      <w:r w:rsidRPr="00412C68">
        <w:rPr>
          <w:i/>
          <w:iCs/>
        </w:rPr>
        <w:t>the</w:t>
      </w:r>
      <w:r w:rsidR="008243CA">
        <w:rPr>
          <w:i/>
          <w:iCs/>
        </w:rPr>
        <w:t xml:space="preserve"> </w:t>
      </w:r>
      <w:r w:rsidRPr="00412C68">
        <w:rPr>
          <w:i/>
          <w:iCs/>
        </w:rPr>
        <w:t>juvenile</w:t>
      </w:r>
      <w:r w:rsidR="008243CA">
        <w:rPr>
          <w:i/>
          <w:iCs/>
        </w:rPr>
        <w:t xml:space="preserve"> </w:t>
      </w:r>
      <w:r w:rsidRPr="00412C68">
        <w:rPr>
          <w:i/>
          <w:iCs/>
        </w:rPr>
        <w:t>criminal</w:t>
      </w:r>
      <w:r w:rsidR="008243CA">
        <w:rPr>
          <w:i/>
          <w:iCs/>
        </w:rPr>
        <w:t xml:space="preserve"> </w:t>
      </w:r>
      <w:r w:rsidRPr="00412C68">
        <w:rPr>
          <w:i/>
          <w:iCs/>
        </w:rPr>
        <w:t>justice</w:t>
      </w:r>
      <w:r w:rsidR="008243CA">
        <w:rPr>
          <w:i/>
          <w:iCs/>
        </w:rPr>
        <w:t xml:space="preserve"> </w:t>
      </w:r>
      <w:r w:rsidRPr="00412C68">
        <w:rPr>
          <w:i/>
          <w:iCs/>
        </w:rPr>
        <w:t>system,</w:t>
      </w:r>
      <w:r w:rsidR="008243CA">
        <w:rPr>
          <w:i/>
          <w:iCs/>
        </w:rPr>
        <w:t xml:space="preserve"> </w:t>
      </w:r>
      <w:r w:rsidRPr="00412C68">
        <w:rPr>
          <w:i/>
          <w:iCs/>
        </w:rPr>
        <w:t>and</w:t>
      </w:r>
      <w:r w:rsidR="008243CA">
        <w:rPr>
          <w:i/>
          <w:iCs/>
        </w:rPr>
        <w:t xml:space="preserve"> </w:t>
      </w:r>
      <w:r w:rsidRPr="00412C68">
        <w:rPr>
          <w:i/>
          <w:iCs/>
        </w:rPr>
        <w:t>speedy</w:t>
      </w:r>
      <w:r w:rsidR="008243CA">
        <w:rPr>
          <w:i/>
          <w:iCs/>
        </w:rPr>
        <w:t xml:space="preserve"> </w:t>
      </w:r>
      <w:r w:rsidRPr="00412C68">
        <w:rPr>
          <w:i/>
          <w:iCs/>
        </w:rPr>
        <w:t>procedures</w:t>
      </w:r>
      <w:r w:rsidR="008243CA">
        <w:rPr>
          <w:i/>
          <w:iCs/>
        </w:rPr>
        <w:t xml:space="preserve"> </w:t>
      </w:r>
      <w:r w:rsidRPr="00412C68">
        <w:rPr>
          <w:i/>
          <w:iCs/>
        </w:rPr>
        <w:t>and</w:t>
      </w:r>
      <w:r w:rsidR="008243CA">
        <w:rPr>
          <w:i/>
          <w:iCs/>
        </w:rPr>
        <w:t xml:space="preserve"> </w:t>
      </w:r>
      <w:proofErr w:type="spellStart"/>
      <w:r w:rsidRPr="00412C68">
        <w:rPr>
          <w:i/>
          <w:iCs/>
        </w:rPr>
        <w:t>socioeducational</w:t>
      </w:r>
      <w:proofErr w:type="spellEnd"/>
      <w:r w:rsidR="008243CA">
        <w:rPr>
          <w:i/>
          <w:iCs/>
        </w:rPr>
        <w:t xml:space="preserve"> </w:t>
      </w:r>
      <w:r w:rsidRPr="00412C68">
        <w:rPr>
          <w:i/>
          <w:iCs/>
        </w:rPr>
        <w:t>measures</w:t>
      </w:r>
      <w:r w:rsidR="008243CA">
        <w:rPr>
          <w:i/>
          <w:iCs/>
        </w:rPr>
        <w:t xml:space="preserve"> </w:t>
      </w:r>
      <w:r w:rsidRPr="00412C68">
        <w:rPr>
          <w:i/>
          <w:iCs/>
        </w:rPr>
        <w:t>should</w:t>
      </w:r>
      <w:r w:rsidR="008243CA">
        <w:rPr>
          <w:i/>
          <w:iCs/>
        </w:rPr>
        <w:t xml:space="preserve"> </w:t>
      </w:r>
      <w:r w:rsidRPr="00412C68">
        <w:rPr>
          <w:i/>
          <w:iCs/>
        </w:rPr>
        <w:t>therefore</w:t>
      </w:r>
      <w:r w:rsidR="008243CA">
        <w:rPr>
          <w:i/>
          <w:iCs/>
        </w:rPr>
        <w:t xml:space="preserve"> </w:t>
      </w:r>
      <w:r w:rsidRPr="00412C68">
        <w:rPr>
          <w:i/>
          <w:iCs/>
        </w:rPr>
        <w:t>be</w:t>
      </w:r>
      <w:r w:rsidR="008243CA">
        <w:rPr>
          <w:i/>
          <w:iCs/>
        </w:rPr>
        <w:t xml:space="preserve"> </w:t>
      </w:r>
      <w:r w:rsidRPr="00412C68">
        <w:rPr>
          <w:i/>
          <w:iCs/>
        </w:rPr>
        <w:t>put</w:t>
      </w:r>
      <w:r w:rsidR="008243CA">
        <w:rPr>
          <w:i/>
          <w:iCs/>
        </w:rPr>
        <w:t xml:space="preserve"> </w:t>
      </w:r>
      <w:r w:rsidRPr="00412C68">
        <w:rPr>
          <w:i/>
          <w:iCs/>
        </w:rPr>
        <w:t>in</w:t>
      </w:r>
      <w:r w:rsidR="008243CA">
        <w:rPr>
          <w:i/>
          <w:iCs/>
        </w:rPr>
        <w:t xml:space="preserve"> </w:t>
      </w:r>
      <w:r w:rsidRPr="00412C68">
        <w:rPr>
          <w:i/>
          <w:iCs/>
        </w:rPr>
        <w:t>place.</w:t>
      </w:r>
      <w:r w:rsidR="008243CA">
        <w:rPr>
          <w:i/>
          <w:iCs/>
        </w:rPr>
        <w:t xml:space="preserve"> </w:t>
      </w:r>
      <w:r w:rsidRPr="00412C68">
        <w:rPr>
          <w:i/>
          <w:iCs/>
        </w:rPr>
        <w:t>In</w:t>
      </w:r>
      <w:r w:rsidR="008243CA">
        <w:rPr>
          <w:i/>
          <w:iCs/>
        </w:rPr>
        <w:t xml:space="preserve"> </w:t>
      </w:r>
      <w:r w:rsidRPr="00412C68">
        <w:rPr>
          <w:i/>
          <w:iCs/>
        </w:rPr>
        <w:t>addition,</w:t>
      </w:r>
      <w:r w:rsidR="008243CA">
        <w:rPr>
          <w:i/>
          <w:iCs/>
        </w:rPr>
        <w:t xml:space="preserve"> </w:t>
      </w:r>
      <w:r w:rsidRPr="00412C68">
        <w:rPr>
          <w:i/>
          <w:iCs/>
        </w:rPr>
        <w:t>efforts</w:t>
      </w:r>
      <w:r w:rsidR="008243CA">
        <w:rPr>
          <w:i/>
          <w:iCs/>
        </w:rPr>
        <w:t xml:space="preserve"> </w:t>
      </w:r>
      <w:r w:rsidRPr="00412C68">
        <w:rPr>
          <w:i/>
          <w:iCs/>
        </w:rPr>
        <w:t>should</w:t>
      </w:r>
      <w:r w:rsidR="008243CA">
        <w:rPr>
          <w:i/>
          <w:iCs/>
        </w:rPr>
        <w:t xml:space="preserve"> </w:t>
      </w:r>
      <w:r w:rsidRPr="00412C68">
        <w:rPr>
          <w:i/>
          <w:iCs/>
        </w:rPr>
        <w:t>be</w:t>
      </w:r>
      <w:r w:rsidR="008243CA">
        <w:rPr>
          <w:i/>
          <w:iCs/>
        </w:rPr>
        <w:t xml:space="preserve"> </w:t>
      </w:r>
      <w:r w:rsidRPr="00412C68">
        <w:rPr>
          <w:i/>
          <w:iCs/>
        </w:rPr>
        <w:t>made</w:t>
      </w:r>
      <w:r w:rsidR="008243CA">
        <w:rPr>
          <w:i/>
          <w:iCs/>
        </w:rPr>
        <w:t xml:space="preserve"> </w:t>
      </w:r>
      <w:r w:rsidRPr="00412C68">
        <w:rPr>
          <w:i/>
          <w:iCs/>
        </w:rPr>
        <w:t>to</w:t>
      </w:r>
      <w:r w:rsidR="008243CA">
        <w:rPr>
          <w:i/>
          <w:iCs/>
        </w:rPr>
        <w:t xml:space="preserve"> </w:t>
      </w:r>
      <w:r w:rsidRPr="00412C68">
        <w:rPr>
          <w:i/>
          <w:iCs/>
        </w:rPr>
        <w:t>reduce</w:t>
      </w:r>
      <w:r w:rsidR="008243CA">
        <w:rPr>
          <w:i/>
          <w:iCs/>
        </w:rPr>
        <w:t xml:space="preserve"> </w:t>
      </w:r>
      <w:r w:rsidRPr="00412C68">
        <w:rPr>
          <w:i/>
          <w:iCs/>
        </w:rPr>
        <w:t>the</w:t>
      </w:r>
      <w:r w:rsidR="008243CA">
        <w:rPr>
          <w:i/>
          <w:iCs/>
        </w:rPr>
        <w:t xml:space="preserve"> </w:t>
      </w:r>
      <w:r w:rsidRPr="00412C68">
        <w:rPr>
          <w:i/>
          <w:iCs/>
        </w:rPr>
        <w:lastRenderedPageBreak/>
        <w:t>stigmatization</w:t>
      </w:r>
      <w:r w:rsidR="008243CA">
        <w:rPr>
          <w:i/>
          <w:iCs/>
        </w:rPr>
        <w:t xml:space="preserve"> </w:t>
      </w:r>
      <w:r w:rsidRPr="00412C68">
        <w:rPr>
          <w:i/>
          <w:iCs/>
        </w:rPr>
        <w:t>associated</w:t>
      </w:r>
      <w:r w:rsidR="008243CA">
        <w:rPr>
          <w:i/>
          <w:iCs/>
        </w:rPr>
        <w:t xml:space="preserve"> </w:t>
      </w:r>
      <w:r w:rsidRPr="00412C68">
        <w:rPr>
          <w:i/>
          <w:iCs/>
        </w:rPr>
        <w:t>with</w:t>
      </w:r>
      <w:r w:rsidR="008243CA">
        <w:rPr>
          <w:i/>
          <w:iCs/>
        </w:rPr>
        <w:t xml:space="preserve"> </w:t>
      </w:r>
      <w:r w:rsidRPr="00412C68">
        <w:rPr>
          <w:i/>
          <w:iCs/>
        </w:rPr>
        <w:t>criminal</w:t>
      </w:r>
      <w:r w:rsidR="008243CA">
        <w:rPr>
          <w:i/>
          <w:iCs/>
        </w:rPr>
        <w:t xml:space="preserve"> </w:t>
      </w:r>
      <w:r w:rsidRPr="00412C68">
        <w:rPr>
          <w:i/>
          <w:iCs/>
        </w:rPr>
        <w:t>charges</w:t>
      </w:r>
      <w:r w:rsidR="008243CA">
        <w:rPr>
          <w:i/>
          <w:iCs/>
        </w:rPr>
        <w:t xml:space="preserve"> </w:t>
      </w:r>
      <w:r w:rsidRPr="00412C68">
        <w:rPr>
          <w:i/>
          <w:iCs/>
        </w:rPr>
        <w:t>and</w:t>
      </w:r>
      <w:r w:rsidR="008243CA">
        <w:rPr>
          <w:i/>
          <w:iCs/>
        </w:rPr>
        <w:t xml:space="preserve"> </w:t>
      </w:r>
      <w:r w:rsidRPr="00412C68">
        <w:rPr>
          <w:i/>
          <w:iCs/>
        </w:rPr>
        <w:t>sanctions.</w:t>
      </w:r>
      <w:r w:rsidR="008243CA">
        <w:rPr>
          <w:i/>
          <w:iCs/>
        </w:rPr>
        <w:t xml:space="preserve"> </w:t>
      </w:r>
      <w:r w:rsidRPr="00412C68">
        <w:rPr>
          <w:i/>
          <w:iCs/>
        </w:rPr>
        <w:t>Hearings</w:t>
      </w:r>
      <w:r w:rsidR="008243CA">
        <w:rPr>
          <w:i/>
          <w:iCs/>
        </w:rPr>
        <w:t xml:space="preserve"> </w:t>
      </w:r>
      <w:r w:rsidRPr="00412C68">
        <w:rPr>
          <w:i/>
          <w:iCs/>
        </w:rPr>
        <w:t>should</w:t>
      </w:r>
      <w:r w:rsidR="008243CA">
        <w:rPr>
          <w:i/>
          <w:iCs/>
        </w:rPr>
        <w:t xml:space="preserve"> </w:t>
      </w:r>
      <w:r w:rsidRPr="00412C68">
        <w:rPr>
          <w:i/>
          <w:iCs/>
        </w:rPr>
        <w:t>not</w:t>
      </w:r>
      <w:r w:rsidR="008243CA">
        <w:rPr>
          <w:i/>
          <w:iCs/>
        </w:rPr>
        <w:t xml:space="preserve"> </w:t>
      </w:r>
      <w:r w:rsidRPr="00412C68">
        <w:rPr>
          <w:i/>
          <w:iCs/>
        </w:rPr>
        <w:t>be</w:t>
      </w:r>
      <w:r w:rsidR="008243CA">
        <w:rPr>
          <w:i/>
          <w:iCs/>
        </w:rPr>
        <w:t xml:space="preserve"> </w:t>
      </w:r>
      <w:r w:rsidRPr="00412C68">
        <w:rPr>
          <w:i/>
          <w:iCs/>
        </w:rPr>
        <w:t>held</w:t>
      </w:r>
      <w:r w:rsidR="008243CA">
        <w:rPr>
          <w:i/>
          <w:iCs/>
        </w:rPr>
        <w:t xml:space="preserve"> </w:t>
      </w:r>
      <w:r w:rsidRPr="00412C68">
        <w:rPr>
          <w:i/>
          <w:iCs/>
        </w:rPr>
        <w:t>in</w:t>
      </w:r>
      <w:r w:rsidR="008243CA">
        <w:rPr>
          <w:i/>
          <w:iCs/>
        </w:rPr>
        <w:t xml:space="preserve"> </w:t>
      </w:r>
      <w:r w:rsidRPr="00412C68">
        <w:rPr>
          <w:i/>
          <w:iCs/>
        </w:rPr>
        <w:t>public,</w:t>
      </w:r>
      <w:r w:rsidR="008243CA">
        <w:rPr>
          <w:i/>
          <w:iCs/>
        </w:rPr>
        <w:t xml:space="preserve"> </w:t>
      </w:r>
      <w:r w:rsidRPr="00412C68">
        <w:rPr>
          <w:i/>
          <w:iCs/>
        </w:rPr>
        <w:t>and</w:t>
      </w:r>
      <w:r w:rsidR="008243CA">
        <w:rPr>
          <w:i/>
          <w:iCs/>
        </w:rPr>
        <w:t xml:space="preserve"> </w:t>
      </w:r>
      <w:r w:rsidRPr="00412C68">
        <w:rPr>
          <w:i/>
          <w:iCs/>
        </w:rPr>
        <w:t>the</w:t>
      </w:r>
      <w:r w:rsidR="008243CA">
        <w:rPr>
          <w:i/>
          <w:iCs/>
        </w:rPr>
        <w:t xml:space="preserve"> </w:t>
      </w:r>
      <w:r w:rsidRPr="00412C68">
        <w:rPr>
          <w:i/>
          <w:iCs/>
        </w:rPr>
        <w:t>names</w:t>
      </w:r>
      <w:r w:rsidR="008243CA">
        <w:rPr>
          <w:i/>
          <w:iCs/>
        </w:rPr>
        <w:t xml:space="preserve"> </w:t>
      </w:r>
      <w:r w:rsidRPr="00412C68">
        <w:rPr>
          <w:i/>
          <w:iCs/>
        </w:rPr>
        <w:t>of</w:t>
      </w:r>
      <w:r w:rsidR="008243CA">
        <w:rPr>
          <w:i/>
          <w:iCs/>
        </w:rPr>
        <w:t xml:space="preserve"> </w:t>
      </w:r>
      <w:r w:rsidRPr="00412C68">
        <w:rPr>
          <w:i/>
          <w:iCs/>
        </w:rPr>
        <w:t>adolescents</w:t>
      </w:r>
      <w:r w:rsidR="008243CA">
        <w:rPr>
          <w:i/>
          <w:iCs/>
        </w:rPr>
        <w:t xml:space="preserve"> </w:t>
      </w:r>
      <w:r w:rsidRPr="00412C68">
        <w:rPr>
          <w:i/>
          <w:iCs/>
        </w:rPr>
        <w:t>in</w:t>
      </w:r>
      <w:r w:rsidR="008243CA">
        <w:rPr>
          <w:i/>
          <w:iCs/>
        </w:rPr>
        <w:t xml:space="preserve"> </w:t>
      </w:r>
      <w:r w:rsidRPr="00412C68">
        <w:rPr>
          <w:i/>
          <w:iCs/>
        </w:rPr>
        <w:t>conflict</w:t>
      </w:r>
      <w:r w:rsidR="008243CA">
        <w:rPr>
          <w:i/>
          <w:iCs/>
        </w:rPr>
        <w:t xml:space="preserve"> </w:t>
      </w:r>
      <w:r w:rsidRPr="00412C68">
        <w:rPr>
          <w:i/>
          <w:iCs/>
        </w:rPr>
        <w:t>with</w:t>
      </w:r>
      <w:r w:rsidR="008243CA">
        <w:rPr>
          <w:i/>
          <w:iCs/>
        </w:rPr>
        <w:t xml:space="preserve"> </w:t>
      </w:r>
      <w:r w:rsidRPr="00412C68">
        <w:rPr>
          <w:i/>
          <w:iCs/>
        </w:rPr>
        <w:t>the</w:t>
      </w:r>
      <w:r w:rsidR="008243CA">
        <w:rPr>
          <w:i/>
          <w:iCs/>
        </w:rPr>
        <w:t xml:space="preserve"> </w:t>
      </w:r>
      <w:r w:rsidRPr="00412C68">
        <w:rPr>
          <w:i/>
          <w:iCs/>
        </w:rPr>
        <w:t>law</w:t>
      </w:r>
      <w:r w:rsidR="008243CA">
        <w:rPr>
          <w:i/>
          <w:iCs/>
        </w:rPr>
        <w:t xml:space="preserve"> </w:t>
      </w:r>
      <w:r w:rsidRPr="00412C68">
        <w:rPr>
          <w:i/>
          <w:iCs/>
        </w:rPr>
        <w:t>should</w:t>
      </w:r>
      <w:r w:rsidR="008243CA">
        <w:rPr>
          <w:i/>
          <w:iCs/>
        </w:rPr>
        <w:t xml:space="preserve"> </w:t>
      </w:r>
      <w:r w:rsidRPr="00412C68">
        <w:rPr>
          <w:i/>
          <w:iCs/>
        </w:rPr>
        <w:t>remain</w:t>
      </w:r>
      <w:r w:rsidR="008243CA">
        <w:rPr>
          <w:i/>
          <w:iCs/>
        </w:rPr>
        <w:t xml:space="preserve"> </w:t>
      </w:r>
      <w:r w:rsidRPr="00412C68">
        <w:rPr>
          <w:i/>
          <w:iCs/>
        </w:rPr>
        <w:t>confidential.</w:t>
      </w:r>
    </w:p>
    <w:p w:rsidR="003F7D03" w:rsidRPr="00E62FE6" w:rsidRDefault="003F7D03" w:rsidP="000C6D98">
      <w:pPr>
        <w:pStyle w:val="SingleTxtG"/>
      </w:pPr>
      <w:r w:rsidRPr="00E62FE6">
        <w:t>61.</w:t>
      </w:r>
      <w:r w:rsidRPr="00E62FE6">
        <w:tab/>
        <w:t>In</w:t>
      </w:r>
      <w:r w:rsidR="008243CA">
        <w:t xml:space="preserve"> </w:t>
      </w:r>
      <w:r w:rsidRPr="00E62FE6">
        <w:t>terms</w:t>
      </w:r>
      <w:r w:rsidR="008243CA">
        <w:t xml:space="preserve"> </w:t>
      </w:r>
      <w:r w:rsidRPr="00E62FE6">
        <w:t>of</w:t>
      </w:r>
      <w:r w:rsidR="008243CA">
        <w:t xml:space="preserve"> </w:t>
      </w:r>
      <w:r w:rsidRPr="00E62FE6">
        <w:t>legislation,</w:t>
      </w:r>
      <w:r w:rsidR="008243CA">
        <w:t xml:space="preserve"> </w:t>
      </w:r>
      <w:r w:rsidRPr="00E62FE6">
        <w:t>Act</w:t>
      </w:r>
      <w:r w:rsidR="008243CA">
        <w:t xml:space="preserve"> </w:t>
      </w:r>
      <w:r w:rsidRPr="00E62FE6">
        <w:t>No.</w:t>
      </w:r>
      <w:r w:rsidR="008243CA">
        <w:t xml:space="preserve"> </w:t>
      </w:r>
      <w:r w:rsidRPr="00E62FE6">
        <w:t>20084,</w:t>
      </w:r>
      <w:r w:rsidR="008243CA">
        <w:t xml:space="preserve"> </w:t>
      </w:r>
      <w:r w:rsidRPr="00E62FE6">
        <w:t>specifically</w:t>
      </w:r>
      <w:r w:rsidR="008243CA">
        <w:t xml:space="preserve"> </w:t>
      </w:r>
      <w:r w:rsidRPr="00E62FE6">
        <w:t>article</w:t>
      </w:r>
      <w:r w:rsidR="008243CA">
        <w:t xml:space="preserve"> </w:t>
      </w:r>
      <w:r w:rsidRPr="00E62FE6">
        <w:t>20,</w:t>
      </w:r>
      <w:r w:rsidR="008243CA">
        <w:t xml:space="preserve"> </w:t>
      </w:r>
      <w:r w:rsidRPr="00E62FE6">
        <w:t>stipulates</w:t>
      </w:r>
      <w:r w:rsidR="008243CA">
        <w:t xml:space="preserve"> </w:t>
      </w:r>
      <w:r w:rsidRPr="00E62FE6">
        <w:t>that</w:t>
      </w:r>
      <w:r w:rsidR="008243CA">
        <w:t xml:space="preserve"> </w:t>
      </w:r>
      <w:r w:rsidR="00116F0B">
        <w:t>“</w:t>
      </w:r>
      <w:r w:rsidRPr="00E62FE6">
        <w:t>the</w:t>
      </w:r>
      <w:r w:rsidR="008243CA">
        <w:t xml:space="preserve"> </w:t>
      </w:r>
      <w:r w:rsidRPr="00E62FE6">
        <w:t>penalties</w:t>
      </w:r>
      <w:r w:rsidR="008243CA">
        <w:t xml:space="preserve"> </w:t>
      </w:r>
      <w:r w:rsidRPr="00E62FE6">
        <w:t>and</w:t>
      </w:r>
      <w:r w:rsidR="008243CA">
        <w:t xml:space="preserve"> </w:t>
      </w:r>
      <w:r w:rsidRPr="00E62FE6">
        <w:t>consequences</w:t>
      </w:r>
      <w:r w:rsidR="008243CA">
        <w:t xml:space="preserve"> </w:t>
      </w:r>
      <w:r w:rsidRPr="00E62FE6">
        <w:t>provided</w:t>
      </w:r>
      <w:r w:rsidR="008243CA">
        <w:t xml:space="preserve"> </w:t>
      </w:r>
      <w:r w:rsidRPr="00E62FE6">
        <w:t>for</w:t>
      </w:r>
      <w:r w:rsidR="008243CA">
        <w:t xml:space="preserve"> </w:t>
      </w:r>
      <w:r w:rsidRPr="00E62FE6">
        <w:t>in</w:t>
      </w:r>
      <w:r w:rsidR="008243CA">
        <w:t xml:space="preserve"> </w:t>
      </w:r>
      <w:r w:rsidRPr="00E62FE6">
        <w:t>this</w:t>
      </w:r>
      <w:r w:rsidR="008243CA">
        <w:t xml:space="preserve"> </w:t>
      </w:r>
      <w:r w:rsidRPr="00E62FE6">
        <w:t>Act</w:t>
      </w:r>
      <w:r w:rsidR="008243CA">
        <w:t xml:space="preserve"> </w:t>
      </w:r>
      <w:r w:rsidRPr="00E62FE6">
        <w:t>are</w:t>
      </w:r>
      <w:r w:rsidR="008243CA">
        <w:t xml:space="preserve"> </w:t>
      </w:r>
      <w:r w:rsidRPr="00E62FE6">
        <w:t>intended</w:t>
      </w:r>
      <w:r w:rsidR="008243CA">
        <w:t xml:space="preserve"> </w:t>
      </w:r>
      <w:r w:rsidRPr="00E62FE6">
        <w:t>to</w:t>
      </w:r>
      <w:r w:rsidR="008243CA">
        <w:t xml:space="preserve"> </w:t>
      </w:r>
      <w:r w:rsidRPr="00E62FE6">
        <w:t>give</w:t>
      </w:r>
      <w:r w:rsidR="008243CA">
        <w:t xml:space="preserve"> </w:t>
      </w:r>
      <w:r w:rsidRPr="00E62FE6">
        <w:t>effect</w:t>
      </w:r>
      <w:r w:rsidR="008243CA">
        <w:t xml:space="preserve"> </w:t>
      </w:r>
      <w:r w:rsidRPr="00E62FE6">
        <w:t>to</w:t>
      </w:r>
      <w:r w:rsidR="008243CA">
        <w:t xml:space="preserve"> </w:t>
      </w:r>
      <w:r w:rsidRPr="00E62FE6">
        <w:t>the</w:t>
      </w:r>
      <w:r w:rsidR="008243CA">
        <w:t xml:space="preserve"> </w:t>
      </w:r>
      <w:r w:rsidRPr="00E62FE6">
        <w:t>responsibility</w:t>
      </w:r>
      <w:r w:rsidR="008243CA">
        <w:t xml:space="preserve"> </w:t>
      </w:r>
      <w:r w:rsidRPr="00E62FE6">
        <w:t>of</w:t>
      </w:r>
      <w:r w:rsidR="008243CA">
        <w:t xml:space="preserve"> </w:t>
      </w:r>
      <w:r w:rsidRPr="00E62FE6">
        <w:t>adolescents</w:t>
      </w:r>
      <w:r w:rsidR="008243CA">
        <w:t xml:space="preserve"> </w:t>
      </w:r>
      <w:r w:rsidRPr="00E62FE6">
        <w:t>for</w:t>
      </w:r>
      <w:r w:rsidR="008243CA">
        <w:t xml:space="preserve"> </w:t>
      </w:r>
      <w:r w:rsidRPr="00E62FE6">
        <w:t>any</w:t>
      </w:r>
      <w:r w:rsidR="008243CA">
        <w:t xml:space="preserve"> </w:t>
      </w:r>
      <w:r w:rsidRPr="00E62FE6">
        <w:t>offences</w:t>
      </w:r>
      <w:r w:rsidR="008243CA">
        <w:t xml:space="preserve"> </w:t>
      </w:r>
      <w:r w:rsidRPr="00E62FE6">
        <w:t>that</w:t>
      </w:r>
      <w:r w:rsidR="008243CA">
        <w:t xml:space="preserve"> </w:t>
      </w:r>
      <w:r w:rsidRPr="00E62FE6">
        <w:t>they</w:t>
      </w:r>
      <w:r w:rsidR="008243CA">
        <w:t xml:space="preserve"> </w:t>
      </w:r>
      <w:r w:rsidRPr="00E62FE6">
        <w:t>commit</w:t>
      </w:r>
      <w:r w:rsidR="008243CA">
        <w:t xml:space="preserve"> </w:t>
      </w:r>
      <w:r w:rsidRPr="00E62FE6">
        <w:t>in</w:t>
      </w:r>
      <w:r w:rsidR="008243CA">
        <w:t xml:space="preserve"> </w:t>
      </w:r>
      <w:r w:rsidRPr="00E62FE6">
        <w:t>such</w:t>
      </w:r>
      <w:r w:rsidR="008243CA">
        <w:t xml:space="preserve"> </w:t>
      </w:r>
      <w:r w:rsidRPr="00E62FE6">
        <w:t>a</w:t>
      </w:r>
      <w:r w:rsidR="008243CA">
        <w:t xml:space="preserve"> </w:t>
      </w:r>
      <w:r w:rsidRPr="00E62FE6">
        <w:t>way</w:t>
      </w:r>
      <w:r w:rsidR="008243CA">
        <w:t xml:space="preserve"> </w:t>
      </w:r>
      <w:r w:rsidRPr="00E62FE6">
        <w:t>that</w:t>
      </w:r>
      <w:r w:rsidR="008243CA">
        <w:t xml:space="preserve"> </w:t>
      </w:r>
      <w:r w:rsidRPr="00E62FE6">
        <w:t>the</w:t>
      </w:r>
      <w:r w:rsidR="008243CA">
        <w:t xml:space="preserve"> </w:t>
      </w:r>
      <w:r w:rsidRPr="00E62FE6">
        <w:t>penalty</w:t>
      </w:r>
      <w:r w:rsidR="008243CA">
        <w:t xml:space="preserve"> </w:t>
      </w:r>
      <w:r w:rsidRPr="00E62FE6">
        <w:t>becomes</w:t>
      </w:r>
      <w:r w:rsidR="008243CA">
        <w:t xml:space="preserve"> </w:t>
      </w:r>
      <w:r w:rsidRPr="00E62FE6">
        <w:t>part</w:t>
      </w:r>
      <w:r w:rsidR="008243CA">
        <w:t xml:space="preserve"> </w:t>
      </w:r>
      <w:r w:rsidRPr="00E62FE6">
        <w:t>of</w:t>
      </w:r>
      <w:r w:rsidR="008243CA">
        <w:t xml:space="preserve"> </w:t>
      </w:r>
      <w:r w:rsidRPr="00E62FE6">
        <w:t>a</w:t>
      </w:r>
      <w:r w:rsidR="008243CA">
        <w:t xml:space="preserve"> </w:t>
      </w:r>
      <w:r w:rsidRPr="00E62FE6">
        <w:t>comprehensive</w:t>
      </w:r>
      <w:r w:rsidR="00116F0B">
        <w:t xml:space="preserve"> </w:t>
      </w:r>
      <w:proofErr w:type="spellStart"/>
      <w:r w:rsidRPr="00E62FE6">
        <w:t>socioeducational</w:t>
      </w:r>
      <w:proofErr w:type="spellEnd"/>
      <w:r w:rsidR="008243CA">
        <w:t xml:space="preserve"> </w:t>
      </w:r>
      <w:r w:rsidRPr="00E62FE6">
        <w:t>intervention</w:t>
      </w:r>
      <w:r w:rsidR="008243CA">
        <w:t xml:space="preserve"> </w:t>
      </w:r>
      <w:r w:rsidRPr="00E62FE6">
        <w:t>aimed</w:t>
      </w:r>
      <w:r w:rsidR="008243CA">
        <w:t xml:space="preserve"> </w:t>
      </w:r>
      <w:r w:rsidRPr="00E62FE6">
        <w:t>at</w:t>
      </w:r>
      <w:r w:rsidR="008243CA">
        <w:t xml:space="preserve"> </w:t>
      </w:r>
      <w:r w:rsidRPr="00E62FE6">
        <w:t>achieving</w:t>
      </w:r>
      <w:r w:rsidR="008243CA">
        <w:t xml:space="preserve"> </w:t>
      </w:r>
      <w:r w:rsidRPr="00E62FE6">
        <w:t>their</w:t>
      </w:r>
      <w:r w:rsidR="008243CA">
        <w:t xml:space="preserve"> </w:t>
      </w:r>
      <w:r w:rsidRPr="00E62FE6">
        <w:t>full</w:t>
      </w:r>
      <w:r w:rsidR="008243CA">
        <w:t xml:space="preserve"> </w:t>
      </w:r>
      <w:r w:rsidRPr="00E62FE6">
        <w:t>social</w:t>
      </w:r>
      <w:r w:rsidR="008243CA">
        <w:t xml:space="preserve"> </w:t>
      </w:r>
      <w:r w:rsidRPr="00E62FE6">
        <w:t>reintegration</w:t>
      </w:r>
      <w:r w:rsidR="00116F0B">
        <w:t>”</w:t>
      </w:r>
      <w:r w:rsidRPr="00E62FE6">
        <w:t>.</w:t>
      </w:r>
      <w:r w:rsidR="008243CA">
        <w:t xml:space="preserve"> </w:t>
      </w:r>
      <w:r w:rsidRPr="00E62FE6">
        <w:t>The</w:t>
      </w:r>
      <w:r w:rsidR="008243CA">
        <w:t xml:space="preserve"> </w:t>
      </w:r>
      <w:r w:rsidRPr="00E62FE6">
        <w:t>Act</w:t>
      </w:r>
      <w:r w:rsidR="00116F0B">
        <w:t>’</w:t>
      </w:r>
      <w:r w:rsidRPr="00E62FE6">
        <w:t>s</w:t>
      </w:r>
      <w:r w:rsidR="008243CA">
        <w:t xml:space="preserve"> </w:t>
      </w:r>
      <w:r w:rsidRPr="00E62FE6">
        <w:t>custodial</w:t>
      </w:r>
      <w:r w:rsidR="008243CA">
        <w:t xml:space="preserve"> </w:t>
      </w:r>
      <w:r w:rsidRPr="00E62FE6">
        <w:t>and</w:t>
      </w:r>
      <w:r w:rsidR="008243CA">
        <w:t xml:space="preserve"> </w:t>
      </w:r>
      <w:r w:rsidRPr="00E62FE6">
        <w:t>non-custodial</w:t>
      </w:r>
      <w:r w:rsidR="008243CA">
        <w:t xml:space="preserve"> </w:t>
      </w:r>
      <w:r w:rsidRPr="00E62FE6">
        <w:t>penalty</w:t>
      </w:r>
      <w:r w:rsidR="008243CA">
        <w:t xml:space="preserve"> </w:t>
      </w:r>
      <w:r w:rsidRPr="00E62FE6">
        <w:t>regimes</w:t>
      </w:r>
      <w:r w:rsidR="008243CA">
        <w:t xml:space="preserve"> </w:t>
      </w:r>
      <w:r w:rsidRPr="00E62FE6">
        <w:t>therefore</w:t>
      </w:r>
      <w:r w:rsidR="008243CA">
        <w:t xml:space="preserve"> </w:t>
      </w:r>
      <w:r w:rsidRPr="00E62FE6">
        <w:t>include</w:t>
      </w:r>
      <w:r w:rsidR="008243CA">
        <w:t xml:space="preserve"> </w:t>
      </w:r>
      <w:r w:rsidRPr="00E62FE6">
        <w:t>a</w:t>
      </w:r>
      <w:r w:rsidR="008243CA">
        <w:t xml:space="preserve"> </w:t>
      </w:r>
      <w:proofErr w:type="spellStart"/>
      <w:r w:rsidRPr="00E62FE6">
        <w:t>socioeducational</w:t>
      </w:r>
      <w:proofErr w:type="spellEnd"/>
      <w:r w:rsidR="008243CA">
        <w:t xml:space="preserve"> </w:t>
      </w:r>
      <w:r w:rsidRPr="00E62FE6">
        <w:t>perspective.</w:t>
      </w:r>
      <w:r w:rsidR="008243CA">
        <w:t xml:space="preserve"> </w:t>
      </w:r>
      <w:r w:rsidRPr="00E62FE6">
        <w:t>With</w:t>
      </w:r>
      <w:r w:rsidR="008243CA">
        <w:t xml:space="preserve"> </w:t>
      </w:r>
      <w:r w:rsidRPr="00E62FE6">
        <w:t>regard</w:t>
      </w:r>
      <w:r w:rsidR="008243CA">
        <w:t xml:space="preserve"> </w:t>
      </w:r>
      <w:r w:rsidRPr="00E62FE6">
        <w:t>to</w:t>
      </w:r>
      <w:r w:rsidR="008243CA">
        <w:t xml:space="preserve"> </w:t>
      </w:r>
      <w:r w:rsidRPr="00E62FE6">
        <w:t>non-custodial</w:t>
      </w:r>
      <w:r w:rsidR="008243CA">
        <w:t xml:space="preserve"> </w:t>
      </w:r>
      <w:r w:rsidRPr="00E62FE6">
        <w:t>penalties,</w:t>
      </w:r>
      <w:r w:rsidR="008243CA">
        <w:t xml:space="preserve"> </w:t>
      </w:r>
      <w:r w:rsidRPr="00E62FE6">
        <w:t>article</w:t>
      </w:r>
      <w:r w:rsidR="008243CA">
        <w:t xml:space="preserve"> </w:t>
      </w:r>
      <w:r w:rsidRPr="00E62FE6">
        <w:t>11</w:t>
      </w:r>
      <w:r w:rsidR="008243CA">
        <w:t xml:space="preserve"> </w:t>
      </w:r>
      <w:r w:rsidRPr="00E62FE6">
        <w:t>stipulates</w:t>
      </w:r>
      <w:r w:rsidR="008243CA">
        <w:t xml:space="preserve"> </w:t>
      </w:r>
      <w:r w:rsidRPr="00E62FE6">
        <w:t>that</w:t>
      </w:r>
      <w:r w:rsidR="008243CA">
        <w:t xml:space="preserve"> </w:t>
      </w:r>
      <w:r w:rsidRPr="00E62FE6">
        <w:t>community</w:t>
      </w:r>
      <w:r w:rsidR="008243CA">
        <w:t xml:space="preserve"> </w:t>
      </w:r>
      <w:r w:rsidRPr="00E62FE6">
        <w:t>service</w:t>
      </w:r>
      <w:r w:rsidR="008243CA">
        <w:t xml:space="preserve"> </w:t>
      </w:r>
      <w:r w:rsidR="00116F0B">
        <w:t>“</w:t>
      </w:r>
      <w:r w:rsidRPr="00E62FE6">
        <w:t>consists</w:t>
      </w:r>
      <w:r w:rsidR="008243CA">
        <w:t xml:space="preserve"> </w:t>
      </w:r>
      <w:r w:rsidRPr="00E62FE6">
        <w:t>of</w:t>
      </w:r>
      <w:r w:rsidR="008243CA">
        <w:t xml:space="preserve"> </w:t>
      </w:r>
      <w:r w:rsidRPr="00E62FE6">
        <w:t>performing</w:t>
      </w:r>
      <w:r w:rsidR="008243CA">
        <w:t xml:space="preserve"> </w:t>
      </w:r>
      <w:r w:rsidRPr="00E62FE6">
        <w:t>unpaid</w:t>
      </w:r>
      <w:r w:rsidR="008243CA">
        <w:t xml:space="preserve"> </w:t>
      </w:r>
      <w:r w:rsidRPr="00E62FE6">
        <w:t>activities</w:t>
      </w:r>
      <w:r w:rsidR="008243CA">
        <w:t xml:space="preserve"> </w:t>
      </w:r>
      <w:r w:rsidRPr="00E62FE6">
        <w:t>for</w:t>
      </w:r>
      <w:r w:rsidR="008243CA">
        <w:t xml:space="preserve"> </w:t>
      </w:r>
      <w:r w:rsidRPr="00E62FE6">
        <w:t>the</w:t>
      </w:r>
      <w:r w:rsidR="008243CA">
        <w:t xml:space="preserve"> </w:t>
      </w:r>
      <w:r w:rsidRPr="00E62FE6">
        <w:t>benefit</w:t>
      </w:r>
      <w:r w:rsidR="008243CA">
        <w:t xml:space="preserve"> </w:t>
      </w:r>
      <w:r w:rsidRPr="00E62FE6">
        <w:t>of</w:t>
      </w:r>
      <w:r w:rsidR="008243CA">
        <w:t xml:space="preserve"> </w:t>
      </w:r>
      <w:r w:rsidRPr="00E62FE6">
        <w:t>the</w:t>
      </w:r>
      <w:r w:rsidR="008243CA">
        <w:t xml:space="preserve"> </w:t>
      </w:r>
      <w:r w:rsidRPr="00E62FE6">
        <w:t>community</w:t>
      </w:r>
      <w:r w:rsidR="008243CA">
        <w:t xml:space="preserve"> </w:t>
      </w:r>
      <w:r w:rsidRPr="00E62FE6">
        <w:t>or</w:t>
      </w:r>
      <w:r w:rsidR="008243CA">
        <w:t xml:space="preserve"> </w:t>
      </w:r>
      <w:r w:rsidRPr="00E62FE6">
        <w:t>of</w:t>
      </w:r>
      <w:r w:rsidR="008243CA">
        <w:t xml:space="preserve"> </w:t>
      </w:r>
      <w:r w:rsidRPr="00E62FE6">
        <w:t>persons</w:t>
      </w:r>
      <w:r w:rsidR="008243CA">
        <w:t xml:space="preserve"> </w:t>
      </w:r>
      <w:r w:rsidRPr="00E62FE6">
        <w:t>in</w:t>
      </w:r>
      <w:r w:rsidR="008243CA">
        <w:t xml:space="preserve"> </w:t>
      </w:r>
      <w:r w:rsidRPr="00E62FE6">
        <w:t>a</w:t>
      </w:r>
      <w:r w:rsidR="008243CA">
        <w:t xml:space="preserve"> </w:t>
      </w:r>
      <w:r w:rsidRPr="00E62FE6">
        <w:t>precarious</w:t>
      </w:r>
      <w:r w:rsidR="008243CA">
        <w:t xml:space="preserve"> </w:t>
      </w:r>
      <w:r w:rsidRPr="00E62FE6">
        <w:t>situation</w:t>
      </w:r>
      <w:r w:rsidR="00116F0B">
        <w:t>”</w:t>
      </w:r>
      <w:r w:rsidRPr="00E62FE6">
        <w:t>.</w:t>
      </w:r>
      <w:r w:rsidRPr="00116F0B">
        <w:rPr>
          <w:rStyle w:val="FootnoteReference"/>
        </w:rPr>
        <w:footnoteReference w:id="27"/>
      </w:r>
      <w:bookmarkStart w:id="49" w:name="page19"/>
      <w:bookmarkEnd w:id="49"/>
    </w:p>
    <w:p w:rsidR="003F7D03" w:rsidRPr="00E62FE6" w:rsidRDefault="003F7D03" w:rsidP="000C6D98">
      <w:pPr>
        <w:pStyle w:val="SingleTxtG"/>
      </w:pPr>
      <w:r w:rsidRPr="00E62FE6">
        <w:t>62.</w:t>
      </w:r>
      <w:r w:rsidRPr="00E62FE6">
        <w:tab/>
        <w:t>As</w:t>
      </w:r>
      <w:r w:rsidR="008243CA">
        <w:t xml:space="preserve"> </w:t>
      </w:r>
      <w:r w:rsidRPr="00E62FE6">
        <w:t>a</w:t>
      </w:r>
      <w:r w:rsidR="008243CA">
        <w:t xml:space="preserve"> </w:t>
      </w:r>
      <w:r w:rsidRPr="00E62FE6">
        <w:t>means</w:t>
      </w:r>
      <w:r w:rsidR="008243CA">
        <w:t xml:space="preserve"> </w:t>
      </w:r>
      <w:r w:rsidRPr="00E62FE6">
        <w:t>of</w:t>
      </w:r>
      <w:r w:rsidR="008243CA">
        <w:t xml:space="preserve"> </w:t>
      </w:r>
      <w:r w:rsidRPr="00E62FE6">
        <w:t>implementing</w:t>
      </w:r>
      <w:r w:rsidR="008243CA">
        <w:t xml:space="preserve"> </w:t>
      </w:r>
      <w:r w:rsidRPr="00E62FE6">
        <w:t>the</w:t>
      </w:r>
      <w:r w:rsidR="008243CA">
        <w:t xml:space="preserve"> </w:t>
      </w:r>
      <w:r w:rsidRPr="00E62FE6">
        <w:t>aforementioned</w:t>
      </w:r>
      <w:r w:rsidR="008243CA">
        <w:t xml:space="preserve"> </w:t>
      </w:r>
      <w:r w:rsidRPr="00E62FE6">
        <w:t>legal</w:t>
      </w:r>
      <w:r w:rsidR="008243CA">
        <w:t xml:space="preserve"> </w:t>
      </w:r>
      <w:r w:rsidRPr="00E62FE6">
        <w:t>provisions,</w:t>
      </w:r>
      <w:r w:rsidR="008243CA">
        <w:t xml:space="preserve"> </w:t>
      </w:r>
      <w:r w:rsidRPr="00E62FE6">
        <w:t>SENAME,</w:t>
      </w:r>
      <w:r w:rsidR="008243CA">
        <w:t xml:space="preserve"> </w:t>
      </w:r>
      <w:r w:rsidRPr="00E62FE6">
        <w:t>which</w:t>
      </w:r>
      <w:r w:rsidR="008243CA">
        <w:t xml:space="preserve"> </w:t>
      </w:r>
      <w:r w:rsidRPr="00E62FE6">
        <w:t>is</w:t>
      </w:r>
      <w:r w:rsidR="008243CA">
        <w:t xml:space="preserve"> </w:t>
      </w:r>
      <w:r w:rsidRPr="00E62FE6">
        <w:t>responsible</w:t>
      </w:r>
      <w:r w:rsidR="008243CA">
        <w:t xml:space="preserve"> </w:t>
      </w:r>
      <w:r w:rsidRPr="00E62FE6">
        <w:t>for</w:t>
      </w:r>
      <w:r w:rsidR="008243CA">
        <w:t xml:space="preserve"> </w:t>
      </w:r>
      <w:r w:rsidRPr="00E62FE6">
        <w:t>imposing</w:t>
      </w:r>
      <w:r w:rsidR="008243CA">
        <w:t xml:space="preserve"> </w:t>
      </w:r>
      <w:r w:rsidRPr="00E62FE6">
        <w:t>these</w:t>
      </w:r>
      <w:r w:rsidR="008243CA">
        <w:t xml:space="preserve"> </w:t>
      </w:r>
      <w:r w:rsidRPr="00E62FE6">
        <w:t>penalties</w:t>
      </w:r>
      <w:r w:rsidR="008243CA">
        <w:t xml:space="preserve"> </w:t>
      </w:r>
      <w:r w:rsidRPr="00E62FE6">
        <w:t>directly</w:t>
      </w:r>
      <w:r w:rsidR="008243CA">
        <w:t xml:space="preserve"> </w:t>
      </w:r>
      <w:r w:rsidRPr="00E62FE6">
        <w:t>or</w:t>
      </w:r>
      <w:r w:rsidR="008243CA">
        <w:t xml:space="preserve"> </w:t>
      </w:r>
      <w:r w:rsidRPr="00E62FE6">
        <w:t>through</w:t>
      </w:r>
      <w:r w:rsidR="008243CA">
        <w:t xml:space="preserve"> </w:t>
      </w:r>
      <w:r w:rsidRPr="00E62FE6">
        <w:t>accredited</w:t>
      </w:r>
      <w:r w:rsidR="008243CA">
        <w:t xml:space="preserve"> </w:t>
      </w:r>
      <w:r w:rsidRPr="00E62FE6">
        <w:t>partners,</w:t>
      </w:r>
      <w:r w:rsidR="008243CA">
        <w:t xml:space="preserve"> </w:t>
      </w:r>
      <w:r w:rsidRPr="00E62FE6">
        <w:t>coordinates</w:t>
      </w:r>
      <w:r w:rsidR="008243CA">
        <w:t xml:space="preserve"> </w:t>
      </w:r>
      <w:r w:rsidRPr="00E62FE6">
        <w:t>and</w:t>
      </w:r>
      <w:r w:rsidR="008243CA">
        <w:t xml:space="preserve"> </w:t>
      </w:r>
      <w:r w:rsidRPr="00E62FE6">
        <w:t>conducts</w:t>
      </w:r>
      <w:r w:rsidR="008243CA">
        <w:t xml:space="preserve"> </w:t>
      </w:r>
      <w:r w:rsidRPr="00E62FE6">
        <w:t>the</w:t>
      </w:r>
      <w:r w:rsidR="008243CA">
        <w:t xml:space="preserve"> </w:t>
      </w:r>
      <w:r w:rsidRPr="00E62FE6">
        <w:t>relevant</w:t>
      </w:r>
      <w:r w:rsidR="008243CA">
        <w:t xml:space="preserve"> </w:t>
      </w:r>
      <w:proofErr w:type="spellStart"/>
      <w:r w:rsidRPr="00E62FE6">
        <w:t>socioeducational</w:t>
      </w:r>
      <w:proofErr w:type="spellEnd"/>
      <w:r w:rsidR="008243CA">
        <w:t xml:space="preserve"> </w:t>
      </w:r>
      <w:r w:rsidRPr="00E62FE6">
        <w:t>programmes.</w:t>
      </w:r>
      <w:r w:rsidR="008243CA">
        <w:t xml:space="preserve"> </w:t>
      </w:r>
      <w:r w:rsidRPr="00E62FE6">
        <w:t>Moreover,</w:t>
      </w:r>
      <w:r w:rsidR="008243CA">
        <w:t xml:space="preserve"> </w:t>
      </w:r>
      <w:r w:rsidRPr="00E62FE6">
        <w:t>during</w:t>
      </w:r>
      <w:r w:rsidR="008243CA">
        <w:t xml:space="preserve"> </w:t>
      </w:r>
      <w:r w:rsidRPr="00E62FE6">
        <w:t>the</w:t>
      </w:r>
      <w:r w:rsidR="008243CA">
        <w:t xml:space="preserve"> </w:t>
      </w:r>
      <w:r w:rsidRPr="00E62FE6">
        <w:t>current</w:t>
      </w:r>
      <w:r w:rsidR="008243CA">
        <w:t xml:space="preserve"> </w:t>
      </w:r>
      <w:r w:rsidRPr="00E62FE6">
        <w:t>year,</w:t>
      </w:r>
      <w:r w:rsidR="008243CA">
        <w:t xml:space="preserve"> </w:t>
      </w:r>
      <w:r w:rsidRPr="00E62FE6">
        <w:t>under</w:t>
      </w:r>
      <w:r w:rsidR="008243CA">
        <w:t xml:space="preserve"> </w:t>
      </w:r>
      <w:r w:rsidRPr="00E62FE6">
        <w:t>the</w:t>
      </w:r>
      <w:r w:rsidR="008243CA">
        <w:t xml:space="preserve"> </w:t>
      </w:r>
      <w:r w:rsidRPr="00E62FE6">
        <w:t>auspices</w:t>
      </w:r>
      <w:r w:rsidR="008243CA">
        <w:t xml:space="preserve"> </w:t>
      </w:r>
      <w:r w:rsidRPr="00E62FE6">
        <w:t>of</w:t>
      </w:r>
      <w:r w:rsidR="008243CA">
        <w:t xml:space="preserve"> </w:t>
      </w:r>
      <w:r w:rsidRPr="00E62FE6">
        <w:t>the</w:t>
      </w:r>
      <w:r w:rsidR="008243CA">
        <w:t xml:space="preserve"> </w:t>
      </w:r>
      <w:proofErr w:type="spellStart"/>
      <w:r w:rsidRPr="00E62FE6">
        <w:t>Interministerial</w:t>
      </w:r>
      <w:proofErr w:type="spellEnd"/>
      <w:r w:rsidR="008243CA">
        <w:t xml:space="preserve"> </w:t>
      </w:r>
      <w:r w:rsidRPr="00E62FE6">
        <w:t>Committee</w:t>
      </w:r>
      <w:r w:rsidR="008243CA">
        <w:t xml:space="preserve"> </w:t>
      </w:r>
      <w:r w:rsidRPr="00E62FE6">
        <w:t>on</w:t>
      </w:r>
      <w:r w:rsidR="008243CA">
        <w:t xml:space="preserve"> </w:t>
      </w:r>
      <w:r w:rsidRPr="00E62FE6">
        <w:t>Juvenile</w:t>
      </w:r>
      <w:r w:rsidR="008243CA">
        <w:t xml:space="preserve"> </w:t>
      </w:r>
      <w:r w:rsidRPr="00E62FE6">
        <w:t>Criminal</w:t>
      </w:r>
      <w:r w:rsidR="008243CA">
        <w:t xml:space="preserve"> </w:t>
      </w:r>
      <w:r w:rsidRPr="00E62FE6">
        <w:t>Responsibility,</w:t>
      </w:r>
      <w:r w:rsidR="008243CA">
        <w:t xml:space="preserve"> </w:t>
      </w:r>
      <w:r w:rsidRPr="00E62FE6">
        <w:t>which</w:t>
      </w:r>
      <w:r w:rsidR="008243CA">
        <w:t xml:space="preserve"> </w:t>
      </w:r>
      <w:r w:rsidRPr="00E62FE6">
        <w:t>is</w:t>
      </w:r>
      <w:r w:rsidR="008243CA">
        <w:t xml:space="preserve"> </w:t>
      </w:r>
      <w:r w:rsidRPr="00E62FE6">
        <w:t>coordinated</w:t>
      </w:r>
      <w:r w:rsidR="008243CA">
        <w:t xml:space="preserve"> </w:t>
      </w:r>
      <w:r w:rsidRPr="00E62FE6">
        <w:t>by</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the</w:t>
      </w:r>
      <w:r w:rsidR="008243CA">
        <w:t xml:space="preserve"> </w:t>
      </w:r>
      <w:r w:rsidRPr="00E62FE6">
        <w:t>Interior</w:t>
      </w:r>
      <w:r w:rsidR="008243CA">
        <w:t xml:space="preserve"> </w:t>
      </w:r>
      <w:r w:rsidRPr="00E62FE6">
        <w:t>and</w:t>
      </w:r>
      <w:r w:rsidR="008243CA">
        <w:t xml:space="preserve"> </w:t>
      </w:r>
      <w:r w:rsidRPr="00E62FE6">
        <w:t>Public</w:t>
      </w:r>
      <w:r w:rsidR="008243CA">
        <w:t xml:space="preserve"> </w:t>
      </w:r>
      <w:r w:rsidRPr="00E62FE6">
        <w:t>Security</w:t>
      </w:r>
      <w:r w:rsidR="008243CA">
        <w:t xml:space="preserve"> </w:t>
      </w:r>
      <w:r w:rsidRPr="00E62FE6">
        <w:t>and</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Justice</w:t>
      </w:r>
      <w:r w:rsidR="008243CA">
        <w:t xml:space="preserve"> </w:t>
      </w:r>
      <w:r w:rsidRPr="00E62FE6">
        <w:t>and</w:t>
      </w:r>
      <w:r w:rsidR="008243CA">
        <w:t xml:space="preserve"> </w:t>
      </w:r>
      <w:r w:rsidRPr="00E62FE6">
        <w:t>Human</w:t>
      </w:r>
      <w:r w:rsidR="008243CA">
        <w:t xml:space="preserve"> </w:t>
      </w:r>
      <w:r w:rsidRPr="00E62FE6">
        <w:t>Rights,</w:t>
      </w:r>
      <w:r w:rsidR="008243CA">
        <w:t xml:space="preserve"> </w:t>
      </w:r>
      <w:r w:rsidRPr="00E62FE6">
        <w:t>a</w:t>
      </w:r>
      <w:r w:rsidR="008243CA">
        <w:t xml:space="preserve"> </w:t>
      </w:r>
      <w:r w:rsidRPr="00E62FE6">
        <w:t>number</w:t>
      </w:r>
      <w:r w:rsidR="008243CA">
        <w:t xml:space="preserve"> </w:t>
      </w:r>
      <w:r w:rsidRPr="00E62FE6">
        <w:t>of</w:t>
      </w:r>
      <w:r w:rsidR="008243CA">
        <w:t xml:space="preserve"> </w:t>
      </w:r>
      <w:r w:rsidRPr="00E62FE6">
        <w:t>actions</w:t>
      </w:r>
      <w:r w:rsidR="008243CA">
        <w:t xml:space="preserve"> </w:t>
      </w:r>
      <w:r w:rsidRPr="00E62FE6">
        <w:t>intended</w:t>
      </w:r>
      <w:r w:rsidR="008243CA">
        <w:t xml:space="preserve"> </w:t>
      </w:r>
      <w:r w:rsidRPr="00E62FE6">
        <w:t>to</w:t>
      </w:r>
      <w:r w:rsidR="008243CA">
        <w:t xml:space="preserve"> </w:t>
      </w:r>
      <w:r w:rsidRPr="00E62FE6">
        <w:t>grant</w:t>
      </w:r>
      <w:r w:rsidR="008243CA">
        <w:t xml:space="preserve"> </w:t>
      </w:r>
      <w:r w:rsidRPr="00E62FE6">
        <w:t>juvenile</w:t>
      </w:r>
      <w:r w:rsidR="008243CA">
        <w:t xml:space="preserve"> </w:t>
      </w:r>
      <w:r w:rsidRPr="00E62FE6">
        <w:t>offenders</w:t>
      </w:r>
      <w:r w:rsidR="008243CA">
        <w:t xml:space="preserve"> </w:t>
      </w:r>
      <w:r w:rsidRPr="00E62FE6">
        <w:t>access</w:t>
      </w:r>
      <w:r w:rsidR="008243CA">
        <w:t xml:space="preserve"> </w:t>
      </w:r>
      <w:r w:rsidRPr="00E62FE6">
        <w:t>to</w:t>
      </w:r>
      <w:r w:rsidR="008243CA">
        <w:t xml:space="preserve"> </w:t>
      </w:r>
      <w:r w:rsidRPr="00E62FE6">
        <w:t>a</w:t>
      </w:r>
      <w:r w:rsidR="008243CA">
        <w:t xml:space="preserve"> </w:t>
      </w:r>
      <w:r w:rsidRPr="00E62FE6">
        <w:t>wide</w:t>
      </w:r>
      <w:r w:rsidR="008243CA">
        <w:t xml:space="preserve"> </w:t>
      </w:r>
      <w:r w:rsidRPr="00E62FE6">
        <w:t>range</w:t>
      </w:r>
      <w:r w:rsidR="008243CA">
        <w:t xml:space="preserve"> </w:t>
      </w:r>
      <w:r w:rsidRPr="00E62FE6">
        <w:t>of</w:t>
      </w:r>
      <w:r w:rsidR="008243CA">
        <w:t xml:space="preserve"> </w:t>
      </w:r>
      <w:proofErr w:type="spellStart"/>
      <w:r w:rsidRPr="00E62FE6">
        <w:t>socioeducational</w:t>
      </w:r>
      <w:proofErr w:type="spellEnd"/>
      <w:r w:rsidR="008243CA">
        <w:t xml:space="preserve"> </w:t>
      </w:r>
      <w:r w:rsidRPr="00E62FE6">
        <w:t>services</w:t>
      </w:r>
      <w:r w:rsidR="008243CA">
        <w:t xml:space="preserve"> </w:t>
      </w:r>
      <w:r w:rsidRPr="00E62FE6">
        <w:t>have</w:t>
      </w:r>
      <w:r w:rsidR="008243CA">
        <w:t xml:space="preserve"> </w:t>
      </w:r>
      <w:r w:rsidRPr="00E62FE6">
        <w:t>been</w:t>
      </w:r>
      <w:r w:rsidR="008243CA">
        <w:t xml:space="preserve"> </w:t>
      </w:r>
      <w:r w:rsidRPr="00E62FE6">
        <w:t>undertaken</w:t>
      </w:r>
      <w:r w:rsidR="008243CA">
        <w:t xml:space="preserve"> </w:t>
      </w:r>
      <w:r w:rsidRPr="00E62FE6">
        <w:t>jointly</w:t>
      </w:r>
      <w:r w:rsidR="008243CA">
        <w:t xml:space="preserve"> </w:t>
      </w:r>
      <w:r w:rsidRPr="00E62FE6">
        <w:t>by</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Education,</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Labour</w:t>
      </w:r>
      <w:r w:rsidR="008243CA">
        <w:t xml:space="preserve"> </w:t>
      </w:r>
      <w:r w:rsidRPr="00E62FE6">
        <w:t>and</w:t>
      </w:r>
      <w:r w:rsidR="008243CA">
        <w:t xml:space="preserve"> </w:t>
      </w:r>
      <w:r w:rsidRPr="00E62FE6">
        <w:t>Social</w:t>
      </w:r>
      <w:r w:rsidR="008243CA">
        <w:t xml:space="preserve"> </w:t>
      </w:r>
      <w:r w:rsidRPr="00E62FE6">
        <w:t>Security,</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Sport</w:t>
      </w:r>
      <w:r w:rsidR="00116F0B">
        <w:t xml:space="preserve"> </w:t>
      </w:r>
      <w:r w:rsidRPr="00E62FE6">
        <w:t>and</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Social</w:t>
      </w:r>
      <w:r w:rsidR="008243CA">
        <w:t xml:space="preserve"> </w:t>
      </w:r>
      <w:r w:rsidRPr="00E62FE6">
        <w:t>Development.</w:t>
      </w:r>
    </w:p>
    <w:p w:rsidR="003F7D03" w:rsidRPr="00E62FE6" w:rsidRDefault="003F7D03" w:rsidP="000C6D98">
      <w:pPr>
        <w:pStyle w:val="SingleTxtG"/>
      </w:pPr>
      <w:r w:rsidRPr="00E62FE6">
        <w:t>63.</w:t>
      </w:r>
      <w:r w:rsidRPr="00E62FE6">
        <w:tab/>
        <w:t>As</w:t>
      </w:r>
      <w:r w:rsidR="008243CA">
        <w:t xml:space="preserve"> </w:t>
      </w:r>
      <w:r w:rsidRPr="00E62FE6">
        <w:t>to</w:t>
      </w:r>
      <w:r w:rsidR="008243CA">
        <w:t xml:space="preserve"> </w:t>
      </w:r>
      <w:r w:rsidRPr="00E62FE6">
        <w:t>the</w:t>
      </w:r>
      <w:r w:rsidR="008243CA">
        <w:t xml:space="preserve"> </w:t>
      </w:r>
      <w:r w:rsidRPr="00E62FE6">
        <w:t>stigmatizing</w:t>
      </w:r>
      <w:r w:rsidR="008243CA">
        <w:t xml:space="preserve"> </w:t>
      </w:r>
      <w:r w:rsidRPr="00E62FE6">
        <w:t>effect</w:t>
      </w:r>
      <w:r w:rsidR="008243CA">
        <w:t xml:space="preserve"> </w:t>
      </w:r>
      <w:r w:rsidRPr="00E62FE6">
        <w:t>of</w:t>
      </w:r>
      <w:r w:rsidR="008243CA">
        <w:t xml:space="preserve"> </w:t>
      </w:r>
      <w:r w:rsidRPr="00E62FE6">
        <w:t>criminal</w:t>
      </w:r>
      <w:r w:rsidR="008243CA">
        <w:t xml:space="preserve"> </w:t>
      </w:r>
      <w:r w:rsidRPr="00E62FE6">
        <w:t>penalties,</w:t>
      </w:r>
      <w:r w:rsidR="008243CA">
        <w:t xml:space="preserve"> </w:t>
      </w:r>
      <w:r w:rsidRPr="00E62FE6">
        <w:t>article</w:t>
      </w:r>
      <w:r w:rsidR="008243CA">
        <w:t xml:space="preserve"> </w:t>
      </w:r>
      <w:r w:rsidRPr="00E62FE6">
        <w:t>59</w:t>
      </w:r>
      <w:r w:rsidR="008243CA">
        <w:t xml:space="preserve"> </w:t>
      </w:r>
      <w:r w:rsidRPr="00E62FE6">
        <w:t>of</w:t>
      </w:r>
      <w:r w:rsidR="008243CA">
        <w:t xml:space="preserve"> </w:t>
      </w:r>
      <w:r w:rsidRPr="00E62FE6">
        <w:t>the</w:t>
      </w:r>
      <w:r w:rsidR="008243CA">
        <w:t xml:space="preserve"> </w:t>
      </w:r>
      <w:r w:rsidRPr="00E62FE6">
        <w:t>aforementioned</w:t>
      </w:r>
      <w:r w:rsidR="008243CA">
        <w:t xml:space="preserve"> </w:t>
      </w:r>
      <w:r w:rsidRPr="00E62FE6">
        <w:t>Act</w:t>
      </w:r>
      <w:r w:rsidR="008243CA">
        <w:t xml:space="preserve"> </w:t>
      </w:r>
      <w:r w:rsidRPr="00E62FE6">
        <w:t>amends</w:t>
      </w:r>
      <w:r w:rsidR="008243CA">
        <w:t xml:space="preserve"> </w:t>
      </w:r>
      <w:r w:rsidRPr="00E62FE6">
        <w:t>Decree-Law</w:t>
      </w:r>
      <w:r w:rsidR="008243CA">
        <w:t xml:space="preserve"> </w:t>
      </w:r>
      <w:r w:rsidRPr="00E62FE6">
        <w:t>No.</w:t>
      </w:r>
      <w:r w:rsidR="008243CA">
        <w:t xml:space="preserve"> </w:t>
      </w:r>
      <w:r w:rsidRPr="00E62FE6">
        <w:t>645</w:t>
      </w:r>
      <w:r w:rsidR="008243CA">
        <w:t xml:space="preserve"> </w:t>
      </w:r>
      <w:r w:rsidRPr="00E62FE6">
        <w:t>of</w:t>
      </w:r>
      <w:r w:rsidR="008243CA">
        <w:t xml:space="preserve"> </w:t>
      </w:r>
      <w:r w:rsidRPr="00E62FE6">
        <w:t>1925,</w:t>
      </w:r>
      <w:r w:rsidR="008243CA">
        <w:t xml:space="preserve"> </w:t>
      </w:r>
      <w:r w:rsidRPr="00E62FE6">
        <w:t>which</w:t>
      </w:r>
      <w:r w:rsidR="008243CA">
        <w:t xml:space="preserve"> </w:t>
      </w:r>
      <w:r w:rsidRPr="00E62FE6">
        <w:t>established</w:t>
      </w:r>
      <w:r w:rsidR="008243CA">
        <w:t xml:space="preserve"> </w:t>
      </w:r>
      <w:r w:rsidRPr="00E62FE6">
        <w:t>the</w:t>
      </w:r>
      <w:r w:rsidR="008243CA">
        <w:t xml:space="preserve"> </w:t>
      </w:r>
      <w:r w:rsidRPr="00E62FE6">
        <w:t>National</w:t>
      </w:r>
      <w:r w:rsidR="008243CA">
        <w:t xml:space="preserve"> </w:t>
      </w:r>
      <w:r w:rsidRPr="00E62FE6">
        <w:t>Convictions</w:t>
      </w:r>
      <w:r w:rsidR="008243CA">
        <w:t xml:space="preserve"> </w:t>
      </w:r>
      <w:r w:rsidRPr="00E62FE6">
        <w:t>Register,</w:t>
      </w:r>
      <w:r w:rsidR="008243CA">
        <w:t xml:space="preserve"> </w:t>
      </w:r>
      <w:r w:rsidRPr="00E62FE6">
        <w:t>by</w:t>
      </w:r>
      <w:r w:rsidR="008243CA">
        <w:t xml:space="preserve"> </w:t>
      </w:r>
      <w:r w:rsidRPr="00E62FE6">
        <w:t>providing</w:t>
      </w:r>
      <w:r w:rsidR="008243CA">
        <w:t xml:space="preserve"> </w:t>
      </w:r>
      <w:r w:rsidRPr="00E62FE6">
        <w:t>that</w:t>
      </w:r>
      <w:r w:rsidR="008243CA">
        <w:t xml:space="preserve"> </w:t>
      </w:r>
      <w:r w:rsidRPr="00E62FE6">
        <w:t>details</w:t>
      </w:r>
      <w:r w:rsidR="008243CA">
        <w:t xml:space="preserve"> </w:t>
      </w:r>
      <w:r w:rsidRPr="00E62FE6">
        <w:t>of</w:t>
      </w:r>
      <w:r w:rsidR="008243CA">
        <w:t xml:space="preserve"> </w:t>
      </w:r>
      <w:r w:rsidRPr="00E62FE6">
        <w:t>prosecutions</w:t>
      </w:r>
      <w:r w:rsidR="008243CA">
        <w:t xml:space="preserve"> </w:t>
      </w:r>
      <w:r w:rsidRPr="00E62FE6">
        <w:t>or</w:t>
      </w:r>
      <w:r w:rsidR="008243CA">
        <w:t xml:space="preserve"> </w:t>
      </w:r>
      <w:r w:rsidRPr="00E62FE6">
        <w:t>convictions</w:t>
      </w:r>
      <w:r w:rsidR="008243CA">
        <w:t xml:space="preserve"> </w:t>
      </w:r>
      <w:r w:rsidRPr="00E62FE6">
        <w:t>involving</w:t>
      </w:r>
      <w:r w:rsidR="008243CA">
        <w:t xml:space="preserve"> </w:t>
      </w:r>
      <w:r w:rsidRPr="00E62FE6">
        <w:t>minors</w:t>
      </w:r>
      <w:r w:rsidR="008243CA">
        <w:t xml:space="preserve"> </w:t>
      </w:r>
      <w:r w:rsidRPr="00E62FE6">
        <w:t>shall</w:t>
      </w:r>
      <w:r w:rsidR="008243CA">
        <w:t xml:space="preserve"> </w:t>
      </w:r>
      <w:r w:rsidRPr="00E62FE6">
        <w:t>only</w:t>
      </w:r>
      <w:r w:rsidR="008243CA">
        <w:t xml:space="preserve"> </w:t>
      </w:r>
      <w:r w:rsidRPr="00E62FE6">
        <w:t>be</w:t>
      </w:r>
      <w:r w:rsidR="008243CA">
        <w:t xml:space="preserve"> </w:t>
      </w:r>
      <w:r w:rsidRPr="00E62FE6">
        <w:t>recorded</w:t>
      </w:r>
      <w:r w:rsidR="008243CA">
        <w:t xml:space="preserve"> </w:t>
      </w:r>
      <w:r w:rsidRPr="00E62FE6">
        <w:t>in</w:t>
      </w:r>
      <w:r w:rsidR="008243CA">
        <w:t xml:space="preserve"> </w:t>
      </w:r>
      <w:r w:rsidRPr="00E62FE6">
        <w:t>certificates</w:t>
      </w:r>
      <w:r w:rsidR="008243CA">
        <w:t xml:space="preserve"> </w:t>
      </w:r>
      <w:r w:rsidRPr="00E62FE6">
        <w:t>issued</w:t>
      </w:r>
      <w:r w:rsidR="008243CA">
        <w:t xml:space="preserve"> </w:t>
      </w:r>
      <w:r w:rsidRPr="00E62FE6">
        <w:t>for</w:t>
      </w:r>
      <w:r w:rsidR="008243CA">
        <w:t xml:space="preserve"> </w:t>
      </w:r>
      <w:r w:rsidRPr="00E62FE6">
        <w:t>the</w:t>
      </w:r>
      <w:r w:rsidR="008243CA">
        <w:t xml:space="preserve"> </w:t>
      </w:r>
      <w:r w:rsidRPr="00E62FE6">
        <w:t>purpose</w:t>
      </w:r>
      <w:r w:rsidR="008243CA">
        <w:t xml:space="preserve"> </w:t>
      </w:r>
      <w:r w:rsidRPr="00E62FE6">
        <w:t>of</w:t>
      </w:r>
      <w:r w:rsidR="008243CA">
        <w:t xml:space="preserve"> </w:t>
      </w:r>
      <w:r w:rsidRPr="00E62FE6">
        <w:t>being</w:t>
      </w:r>
      <w:r w:rsidR="008243CA">
        <w:t xml:space="preserve"> </w:t>
      </w:r>
      <w:r w:rsidRPr="00E62FE6">
        <w:t>admitted</w:t>
      </w:r>
      <w:r w:rsidR="008243CA">
        <w:t xml:space="preserve"> </w:t>
      </w:r>
      <w:r w:rsidRPr="00E62FE6">
        <w:t>into</w:t>
      </w:r>
      <w:r w:rsidR="008243CA">
        <w:t xml:space="preserve"> </w:t>
      </w:r>
      <w:r w:rsidRPr="00E62FE6">
        <w:t>the</w:t>
      </w:r>
      <w:r w:rsidR="008243CA">
        <w:t xml:space="preserve"> </w:t>
      </w:r>
      <w:r w:rsidRPr="00E62FE6">
        <w:t>Armed</w:t>
      </w:r>
      <w:r w:rsidR="008243CA">
        <w:t xml:space="preserve"> </w:t>
      </w:r>
      <w:r w:rsidRPr="00E62FE6">
        <w:t>Forces</w:t>
      </w:r>
      <w:r w:rsidR="008243CA">
        <w:t xml:space="preserve"> </w:t>
      </w:r>
      <w:r w:rsidRPr="00E62FE6">
        <w:t>of</w:t>
      </w:r>
      <w:r w:rsidR="008243CA">
        <w:t xml:space="preserve"> </w:t>
      </w:r>
      <w:r w:rsidRPr="00E62FE6">
        <w:t>Chile,</w:t>
      </w:r>
      <w:r w:rsidR="008243CA">
        <w:t xml:space="preserve"> </w:t>
      </w:r>
      <w:proofErr w:type="spellStart"/>
      <w:r w:rsidRPr="00E62FE6">
        <w:t>Carabineros</w:t>
      </w:r>
      <w:proofErr w:type="spellEnd"/>
      <w:r w:rsidR="008243CA">
        <w:t xml:space="preserve"> </w:t>
      </w:r>
      <w:r w:rsidRPr="00E62FE6">
        <w:t>de</w:t>
      </w:r>
      <w:r w:rsidR="008243CA">
        <w:t xml:space="preserve"> </w:t>
      </w:r>
      <w:r w:rsidRPr="00E62FE6">
        <w:t>Chile,</w:t>
      </w:r>
      <w:r w:rsidR="008243CA">
        <w:t xml:space="preserve"> </w:t>
      </w:r>
      <w:r w:rsidRPr="00E62FE6">
        <w:t>the</w:t>
      </w:r>
      <w:r w:rsidR="008243CA">
        <w:t xml:space="preserve"> </w:t>
      </w:r>
      <w:r w:rsidRPr="00E62FE6">
        <w:t>Prison</w:t>
      </w:r>
      <w:r w:rsidR="008243CA">
        <w:t xml:space="preserve"> </w:t>
      </w:r>
      <w:r w:rsidRPr="00E62FE6">
        <w:t>Service,</w:t>
      </w:r>
      <w:r w:rsidR="008243CA">
        <w:t xml:space="preserve"> </w:t>
      </w:r>
      <w:r w:rsidRPr="00E62FE6">
        <w:t>the</w:t>
      </w:r>
      <w:r w:rsidR="008243CA">
        <w:t xml:space="preserve"> </w:t>
      </w:r>
      <w:r w:rsidRPr="00E62FE6">
        <w:t>Investigative</w:t>
      </w:r>
      <w:r w:rsidR="008243CA">
        <w:t xml:space="preserve"> </w:t>
      </w:r>
      <w:r w:rsidRPr="00E62FE6">
        <w:t>Police</w:t>
      </w:r>
      <w:r w:rsidR="008243CA">
        <w:t xml:space="preserve"> </w:t>
      </w:r>
      <w:r w:rsidRPr="00E62FE6">
        <w:t>or</w:t>
      </w:r>
      <w:r w:rsidR="008243CA">
        <w:t xml:space="preserve"> </w:t>
      </w:r>
      <w:r w:rsidRPr="00E62FE6">
        <w:t>for</w:t>
      </w:r>
      <w:r w:rsidR="008243CA">
        <w:t xml:space="preserve"> </w:t>
      </w:r>
      <w:r w:rsidRPr="00E62FE6">
        <w:t>the</w:t>
      </w:r>
      <w:r w:rsidR="008243CA">
        <w:t xml:space="preserve"> </w:t>
      </w:r>
      <w:r w:rsidRPr="00E62FE6">
        <w:t>purposes</w:t>
      </w:r>
      <w:r w:rsidR="008243CA">
        <w:t xml:space="preserve"> </w:t>
      </w:r>
      <w:r w:rsidRPr="00E62FE6">
        <w:t>set</w:t>
      </w:r>
      <w:r w:rsidR="008243CA">
        <w:t xml:space="preserve"> </w:t>
      </w:r>
      <w:r w:rsidRPr="00E62FE6">
        <w:t>out</w:t>
      </w:r>
      <w:r w:rsidR="008243CA">
        <w:t xml:space="preserve"> </w:t>
      </w:r>
      <w:r w:rsidRPr="00E62FE6">
        <w:t>in</w:t>
      </w:r>
      <w:r w:rsidR="008243CA">
        <w:t xml:space="preserve"> </w:t>
      </w:r>
      <w:r w:rsidRPr="00E62FE6">
        <w:t>the</w:t>
      </w:r>
      <w:r w:rsidR="008243CA">
        <w:t xml:space="preserve"> </w:t>
      </w:r>
      <w:r w:rsidRPr="00E62FE6">
        <w:t>first</w:t>
      </w:r>
      <w:r w:rsidR="008243CA">
        <w:t xml:space="preserve"> </w:t>
      </w:r>
      <w:r w:rsidRPr="00E62FE6">
        <w:t>paragraph</w:t>
      </w:r>
      <w:r w:rsidR="008243CA">
        <w:t xml:space="preserve"> </w:t>
      </w:r>
      <w:r w:rsidRPr="00E62FE6">
        <w:t>of</w:t>
      </w:r>
      <w:r w:rsidR="008243CA">
        <w:t xml:space="preserve"> </w:t>
      </w:r>
      <w:r w:rsidRPr="00E62FE6">
        <w:t>the</w:t>
      </w:r>
      <w:r w:rsidR="008243CA">
        <w:t xml:space="preserve"> </w:t>
      </w:r>
      <w:r w:rsidRPr="00E62FE6">
        <w:t>present</w:t>
      </w:r>
      <w:r w:rsidR="008243CA">
        <w:t xml:space="preserve"> </w:t>
      </w:r>
      <w:r w:rsidRPr="00E62FE6">
        <w:t>article.</w:t>
      </w:r>
    </w:p>
    <w:p w:rsidR="003F7D03" w:rsidRPr="00E62FE6" w:rsidRDefault="003F7D03" w:rsidP="000C6D98">
      <w:pPr>
        <w:pStyle w:val="SingleTxtG"/>
      </w:pPr>
      <w:r w:rsidRPr="00E62FE6">
        <w:t>64.</w:t>
      </w:r>
      <w:r w:rsidRPr="00E62FE6">
        <w:tab/>
        <w:t>A</w:t>
      </w:r>
      <w:r w:rsidR="008243CA">
        <w:t xml:space="preserve"> </w:t>
      </w:r>
      <w:r w:rsidRPr="00E62FE6">
        <w:t>proposed</w:t>
      </w:r>
      <w:r w:rsidR="008243CA">
        <w:t xml:space="preserve"> </w:t>
      </w:r>
      <w:r w:rsidRPr="00E62FE6">
        <w:t>amendment</w:t>
      </w:r>
      <w:r w:rsidR="008243CA">
        <w:t xml:space="preserve"> </w:t>
      </w:r>
      <w:r w:rsidRPr="00E62FE6">
        <w:t>to</w:t>
      </w:r>
      <w:r w:rsidR="008243CA">
        <w:t xml:space="preserve"> </w:t>
      </w:r>
      <w:r w:rsidRPr="00E62FE6">
        <w:t>the</w:t>
      </w:r>
      <w:r w:rsidR="008243CA">
        <w:t xml:space="preserve"> </w:t>
      </w:r>
      <w:r w:rsidRPr="00E62FE6">
        <w:t>regulations</w:t>
      </w:r>
      <w:r w:rsidR="008243CA">
        <w:t xml:space="preserve"> </w:t>
      </w:r>
      <w:r w:rsidRPr="00E62FE6">
        <w:t>implementing</w:t>
      </w:r>
      <w:r w:rsidR="008243CA">
        <w:t xml:space="preserve"> </w:t>
      </w:r>
      <w:r w:rsidRPr="00E62FE6">
        <w:t>Act</w:t>
      </w:r>
      <w:r w:rsidR="008243CA">
        <w:t xml:space="preserve"> </w:t>
      </w:r>
      <w:r w:rsidRPr="00E62FE6">
        <w:t>No.</w:t>
      </w:r>
      <w:r w:rsidR="008243CA">
        <w:t xml:space="preserve"> </w:t>
      </w:r>
      <w:r w:rsidRPr="00E62FE6">
        <w:t>20032</w:t>
      </w:r>
      <w:r w:rsidR="008243CA">
        <w:t xml:space="preserve"> </w:t>
      </w:r>
      <w:r w:rsidRPr="00E62FE6">
        <w:t>(on</w:t>
      </w:r>
      <w:r w:rsidR="008243CA">
        <w:t xml:space="preserve"> </w:t>
      </w:r>
      <w:r w:rsidRPr="00E62FE6">
        <w:t>subsidies</w:t>
      </w:r>
      <w:r w:rsidR="008243CA">
        <w:t xml:space="preserve"> </w:t>
      </w:r>
      <w:r w:rsidRPr="00E62FE6">
        <w:t>for</w:t>
      </w:r>
      <w:r w:rsidR="008243CA">
        <w:t xml:space="preserve"> </w:t>
      </w:r>
      <w:r w:rsidRPr="00E62FE6">
        <w:t>SENAME)</w:t>
      </w:r>
      <w:r w:rsidR="008243CA">
        <w:t xml:space="preserve"> </w:t>
      </w:r>
      <w:r w:rsidRPr="00E62FE6">
        <w:t>that</w:t>
      </w:r>
      <w:r w:rsidR="008243CA">
        <w:t xml:space="preserve"> </w:t>
      </w:r>
      <w:r w:rsidRPr="00E62FE6">
        <w:t>would</w:t>
      </w:r>
      <w:r w:rsidR="008243CA">
        <w:t xml:space="preserve"> </w:t>
      </w:r>
      <w:r w:rsidRPr="00E62FE6">
        <w:t>extend</w:t>
      </w:r>
      <w:r w:rsidR="008243CA">
        <w:t xml:space="preserve"> </w:t>
      </w:r>
      <w:proofErr w:type="spellStart"/>
      <w:r w:rsidRPr="00E62FE6">
        <w:t>socioeducational</w:t>
      </w:r>
      <w:proofErr w:type="spellEnd"/>
      <w:r w:rsidR="008243CA">
        <w:t xml:space="preserve"> </w:t>
      </w:r>
      <w:r w:rsidRPr="00E62FE6">
        <w:t>services</w:t>
      </w:r>
      <w:r w:rsidR="008243CA">
        <w:t xml:space="preserve"> </w:t>
      </w:r>
      <w:r w:rsidRPr="00E62FE6">
        <w:t>to</w:t>
      </w:r>
      <w:r w:rsidR="008243CA">
        <w:t xml:space="preserve"> </w:t>
      </w:r>
      <w:r w:rsidRPr="00E62FE6">
        <w:t>adolescents</w:t>
      </w:r>
      <w:r w:rsidR="008243CA">
        <w:t xml:space="preserve"> </w:t>
      </w:r>
      <w:r w:rsidRPr="00E62FE6">
        <w:t>residing</w:t>
      </w:r>
      <w:r w:rsidR="008243CA">
        <w:t xml:space="preserve"> </w:t>
      </w:r>
      <w:r w:rsidRPr="00E62FE6">
        <w:t>in</w:t>
      </w:r>
      <w:r w:rsidR="008243CA">
        <w:t xml:space="preserve"> </w:t>
      </w:r>
      <w:r w:rsidRPr="00E62FE6">
        <w:t>an</w:t>
      </w:r>
      <w:r w:rsidR="008243CA">
        <w:t xml:space="preserve"> </w:t>
      </w:r>
      <w:r w:rsidRPr="00E62FE6">
        <w:t>open</w:t>
      </w:r>
      <w:r w:rsidR="008243CA">
        <w:t xml:space="preserve"> </w:t>
      </w:r>
      <w:r w:rsidRPr="00E62FE6">
        <w:t>institution,</w:t>
      </w:r>
      <w:r w:rsidR="008243CA">
        <w:t xml:space="preserve"> </w:t>
      </w:r>
      <w:r w:rsidRPr="00E62FE6">
        <w:t>which</w:t>
      </w:r>
      <w:r w:rsidR="008243CA">
        <w:t xml:space="preserve"> </w:t>
      </w:r>
      <w:r w:rsidRPr="00E62FE6">
        <w:t>are</w:t>
      </w:r>
      <w:r w:rsidR="008243CA">
        <w:t xml:space="preserve"> </w:t>
      </w:r>
      <w:r w:rsidRPr="00E62FE6">
        <w:t>currently</w:t>
      </w:r>
      <w:r w:rsidR="008243CA">
        <w:t xml:space="preserve"> </w:t>
      </w:r>
      <w:r w:rsidRPr="00E62FE6">
        <w:t>only</w:t>
      </w:r>
      <w:r w:rsidR="008243CA">
        <w:t xml:space="preserve"> </w:t>
      </w:r>
      <w:r w:rsidRPr="00E62FE6">
        <w:t>available</w:t>
      </w:r>
      <w:r w:rsidR="008243CA">
        <w:t xml:space="preserve"> </w:t>
      </w:r>
      <w:r w:rsidRPr="00E62FE6">
        <w:t>to</w:t>
      </w:r>
      <w:r w:rsidR="008243CA">
        <w:t xml:space="preserve"> </w:t>
      </w:r>
      <w:r w:rsidRPr="00E62FE6">
        <w:t>juveniles</w:t>
      </w:r>
      <w:r w:rsidR="008243CA">
        <w:t xml:space="preserve"> </w:t>
      </w:r>
      <w:r w:rsidRPr="00E62FE6">
        <w:t>deprived</w:t>
      </w:r>
      <w:r w:rsidR="008243CA">
        <w:t xml:space="preserve"> </w:t>
      </w:r>
      <w:r w:rsidRPr="00E62FE6">
        <w:t>of</w:t>
      </w:r>
      <w:r w:rsidR="008243CA">
        <w:t xml:space="preserve"> </w:t>
      </w:r>
      <w:r w:rsidRPr="00E62FE6">
        <w:t>their</w:t>
      </w:r>
      <w:r w:rsidR="008243CA">
        <w:t xml:space="preserve"> </w:t>
      </w:r>
      <w:r w:rsidRPr="00E62FE6">
        <w:t>liberty,</w:t>
      </w:r>
      <w:r w:rsidR="008243CA">
        <w:t xml:space="preserve"> </w:t>
      </w:r>
      <w:r w:rsidRPr="00E62FE6">
        <w:t>is</w:t>
      </w:r>
      <w:r w:rsidR="008243CA">
        <w:t xml:space="preserve"> </w:t>
      </w:r>
      <w:r w:rsidRPr="00E62FE6">
        <w:t>under</w:t>
      </w:r>
      <w:r w:rsidR="008243CA">
        <w:t xml:space="preserve"> </w:t>
      </w:r>
      <w:r w:rsidRPr="00E62FE6">
        <w:t>consideration.</w:t>
      </w:r>
      <w:r w:rsidR="008243CA">
        <w:t xml:space="preserve"> </w:t>
      </w:r>
      <w:r w:rsidRPr="00E62FE6">
        <w:t>The</w:t>
      </w:r>
      <w:r w:rsidR="008243CA">
        <w:t xml:space="preserve"> </w:t>
      </w:r>
      <w:r w:rsidRPr="00E62FE6">
        <w:t>proposed</w:t>
      </w:r>
      <w:r w:rsidR="008243CA">
        <w:t xml:space="preserve"> </w:t>
      </w:r>
      <w:r w:rsidRPr="00E62FE6">
        <w:t>amendment</w:t>
      </w:r>
      <w:r w:rsidR="008243CA">
        <w:t xml:space="preserve"> </w:t>
      </w:r>
      <w:r w:rsidRPr="00E62FE6">
        <w:t>would</w:t>
      </w:r>
      <w:r w:rsidR="008243CA">
        <w:t xml:space="preserve"> </w:t>
      </w:r>
      <w:r w:rsidRPr="00E62FE6">
        <w:t>help</w:t>
      </w:r>
      <w:r w:rsidR="008243CA">
        <w:t xml:space="preserve"> </w:t>
      </w:r>
      <w:r w:rsidRPr="00E62FE6">
        <w:t>prevent</w:t>
      </w:r>
      <w:r w:rsidR="008243CA">
        <w:t xml:space="preserve"> </w:t>
      </w:r>
      <w:r w:rsidRPr="00E62FE6">
        <w:t>young</w:t>
      </w:r>
      <w:r w:rsidR="008243CA">
        <w:t xml:space="preserve"> </w:t>
      </w:r>
      <w:r w:rsidRPr="00E62FE6">
        <w:t>people</w:t>
      </w:r>
      <w:r w:rsidR="008243CA">
        <w:t xml:space="preserve"> </w:t>
      </w:r>
      <w:r w:rsidRPr="00E62FE6">
        <w:t>from</w:t>
      </w:r>
      <w:r w:rsidR="008243CA">
        <w:t xml:space="preserve"> </w:t>
      </w:r>
      <w:r w:rsidRPr="00E62FE6">
        <w:t>falling</w:t>
      </w:r>
      <w:r w:rsidR="008243CA">
        <w:t xml:space="preserve"> </w:t>
      </w:r>
      <w:r w:rsidRPr="00E62FE6">
        <w:t>behind</w:t>
      </w:r>
      <w:r w:rsidR="008243CA">
        <w:t xml:space="preserve"> </w:t>
      </w:r>
      <w:r w:rsidRPr="00E62FE6">
        <w:t>at</w:t>
      </w:r>
      <w:r w:rsidR="008243CA">
        <w:t xml:space="preserve"> </w:t>
      </w:r>
      <w:r w:rsidRPr="00E62FE6">
        <w:t>school,</w:t>
      </w:r>
      <w:r w:rsidR="008243CA">
        <w:t xml:space="preserve"> </w:t>
      </w:r>
      <w:r w:rsidRPr="00E62FE6">
        <w:t>as</w:t>
      </w:r>
      <w:r w:rsidR="008243CA">
        <w:t xml:space="preserve"> </w:t>
      </w:r>
      <w:r w:rsidRPr="00E62FE6">
        <w:t>the</w:t>
      </w:r>
      <w:r w:rsidR="008243CA">
        <w:t xml:space="preserve"> </w:t>
      </w:r>
      <w:r w:rsidRPr="00E62FE6">
        <w:t>absence</w:t>
      </w:r>
      <w:r w:rsidR="008243CA">
        <w:t xml:space="preserve"> </w:t>
      </w:r>
      <w:r w:rsidRPr="00E62FE6">
        <w:t>of</w:t>
      </w:r>
      <w:r w:rsidR="008243CA">
        <w:t xml:space="preserve"> </w:t>
      </w:r>
      <w:r w:rsidRPr="00E62FE6">
        <w:t>educational</w:t>
      </w:r>
      <w:r w:rsidR="008243CA">
        <w:t xml:space="preserve"> </w:t>
      </w:r>
      <w:r w:rsidRPr="00E62FE6">
        <w:t>development,</w:t>
      </w:r>
      <w:r w:rsidR="008243CA">
        <w:t xml:space="preserve"> </w:t>
      </w:r>
      <w:r w:rsidRPr="00E62FE6">
        <w:t>illiteracy</w:t>
      </w:r>
      <w:r w:rsidR="008243CA">
        <w:t xml:space="preserve"> </w:t>
      </w:r>
      <w:r w:rsidRPr="00E62FE6">
        <w:t>resulting</w:t>
      </w:r>
      <w:r w:rsidR="008243CA">
        <w:t xml:space="preserve"> </w:t>
      </w:r>
      <w:r w:rsidRPr="00E62FE6">
        <w:t>from</w:t>
      </w:r>
      <w:r w:rsidR="008243CA">
        <w:t xml:space="preserve"> </w:t>
      </w:r>
      <w:r w:rsidRPr="00E62FE6">
        <w:t>lack</w:t>
      </w:r>
      <w:r w:rsidR="008243CA">
        <w:t xml:space="preserve"> </w:t>
      </w:r>
      <w:r w:rsidRPr="00E62FE6">
        <w:t>of</w:t>
      </w:r>
      <w:r w:rsidR="008243CA">
        <w:t xml:space="preserve"> </w:t>
      </w:r>
      <w:r w:rsidRPr="00E62FE6">
        <w:t>practice</w:t>
      </w:r>
      <w:r w:rsidR="008243CA">
        <w:t xml:space="preserve"> </w:t>
      </w:r>
      <w:r w:rsidRPr="00E62FE6">
        <w:t>and</w:t>
      </w:r>
      <w:r w:rsidR="008243CA">
        <w:t xml:space="preserve"> </w:t>
      </w:r>
      <w:r w:rsidRPr="00E62FE6">
        <w:t>disenchantment</w:t>
      </w:r>
      <w:r w:rsidR="008243CA">
        <w:t xml:space="preserve"> </w:t>
      </w:r>
      <w:r w:rsidRPr="00E62FE6">
        <w:t>with</w:t>
      </w:r>
      <w:r w:rsidR="008243CA">
        <w:t xml:space="preserve"> </w:t>
      </w:r>
      <w:r w:rsidRPr="00E62FE6">
        <w:t>the</w:t>
      </w:r>
      <w:r w:rsidR="008243CA">
        <w:t xml:space="preserve"> </w:t>
      </w:r>
      <w:r w:rsidRPr="00E62FE6">
        <w:t>school</w:t>
      </w:r>
      <w:r w:rsidR="008243CA">
        <w:t xml:space="preserve"> </w:t>
      </w:r>
      <w:r w:rsidRPr="00E62FE6">
        <w:t>system</w:t>
      </w:r>
      <w:r w:rsidR="008243CA">
        <w:t xml:space="preserve"> </w:t>
      </w:r>
      <w:r w:rsidRPr="00E62FE6">
        <w:t>are</w:t>
      </w:r>
      <w:r w:rsidR="008243CA">
        <w:t xml:space="preserve"> </w:t>
      </w:r>
      <w:r w:rsidRPr="00E62FE6">
        <w:t>issues</w:t>
      </w:r>
      <w:r w:rsidR="008243CA">
        <w:t xml:space="preserve"> </w:t>
      </w:r>
      <w:r w:rsidRPr="00E62FE6">
        <w:t>which</w:t>
      </w:r>
      <w:r w:rsidR="008243CA">
        <w:t xml:space="preserve"> </w:t>
      </w:r>
      <w:r w:rsidRPr="00E62FE6">
        <w:t>need</w:t>
      </w:r>
      <w:r w:rsidR="008243CA">
        <w:t xml:space="preserve"> </w:t>
      </w:r>
      <w:r w:rsidRPr="00E62FE6">
        <w:t>to</w:t>
      </w:r>
      <w:r w:rsidR="008243CA">
        <w:t xml:space="preserve"> </w:t>
      </w:r>
      <w:r w:rsidRPr="00E62FE6">
        <w:t>be</w:t>
      </w:r>
      <w:r w:rsidR="008243CA">
        <w:t xml:space="preserve"> </w:t>
      </w:r>
      <w:r w:rsidRPr="00E62FE6">
        <w:t>addressed</w:t>
      </w:r>
      <w:r w:rsidR="008243CA">
        <w:t xml:space="preserve"> </w:t>
      </w:r>
      <w:r w:rsidRPr="00E62FE6">
        <w:t>through</w:t>
      </w:r>
      <w:r w:rsidR="008243CA">
        <w:t xml:space="preserve"> </w:t>
      </w:r>
      <w:proofErr w:type="spellStart"/>
      <w:r w:rsidRPr="00E62FE6">
        <w:t>socioeducational</w:t>
      </w:r>
      <w:proofErr w:type="spellEnd"/>
      <w:r w:rsidR="008243CA">
        <w:t xml:space="preserve"> </w:t>
      </w:r>
      <w:r w:rsidRPr="00E62FE6">
        <w:t>programmes,</w:t>
      </w:r>
      <w:r w:rsidR="008243CA">
        <w:t xml:space="preserve"> </w:t>
      </w:r>
      <w:r w:rsidRPr="00E62FE6">
        <w:t>in</w:t>
      </w:r>
      <w:r w:rsidR="008243CA">
        <w:t xml:space="preserve"> </w:t>
      </w:r>
      <w:r w:rsidRPr="00E62FE6">
        <w:t>addition</w:t>
      </w:r>
      <w:r w:rsidR="008243CA">
        <w:t xml:space="preserve"> </w:t>
      </w:r>
      <w:r w:rsidRPr="00E62FE6">
        <w:t>to</w:t>
      </w:r>
      <w:r w:rsidR="008243CA">
        <w:t xml:space="preserve"> </w:t>
      </w:r>
      <w:r w:rsidRPr="00E62FE6">
        <w:t>the</w:t>
      </w:r>
      <w:r w:rsidR="008243CA">
        <w:t xml:space="preserve"> </w:t>
      </w:r>
      <w:r w:rsidRPr="00E62FE6">
        <w:t>psychosocial</w:t>
      </w:r>
      <w:r w:rsidR="008243CA">
        <w:t xml:space="preserve"> </w:t>
      </w:r>
      <w:r w:rsidRPr="00E62FE6">
        <w:t>issues</w:t>
      </w:r>
      <w:r w:rsidR="008243CA">
        <w:t xml:space="preserve"> </w:t>
      </w:r>
      <w:r w:rsidRPr="00E62FE6">
        <w:t>that</w:t>
      </w:r>
      <w:r w:rsidR="008243CA">
        <w:t xml:space="preserve"> </w:t>
      </w:r>
      <w:r w:rsidRPr="00E62FE6">
        <w:t>are</w:t>
      </w:r>
      <w:r w:rsidR="008243CA">
        <w:t xml:space="preserve"> </w:t>
      </w:r>
      <w:r w:rsidRPr="00E62FE6">
        <w:t>already</w:t>
      </w:r>
      <w:r w:rsidR="008243CA">
        <w:t xml:space="preserve"> </w:t>
      </w:r>
      <w:r w:rsidRPr="00E62FE6">
        <w:t>dealt</w:t>
      </w:r>
      <w:r w:rsidR="008243CA">
        <w:t xml:space="preserve"> </w:t>
      </w:r>
      <w:r w:rsidRPr="00E62FE6">
        <w:t>with</w:t>
      </w:r>
      <w:r w:rsidR="008243CA">
        <w:t xml:space="preserve"> </w:t>
      </w:r>
      <w:r w:rsidRPr="00E62FE6">
        <w:t>through</w:t>
      </w:r>
      <w:r w:rsidR="008243CA">
        <w:t xml:space="preserve"> </w:t>
      </w:r>
      <w:r w:rsidRPr="00E62FE6">
        <w:t>the</w:t>
      </w:r>
      <w:r w:rsidR="008243CA">
        <w:t xml:space="preserve"> </w:t>
      </w:r>
      <w:r w:rsidRPr="00E62FE6">
        <w:t>imposition</w:t>
      </w:r>
      <w:r w:rsidR="008243CA">
        <w:t xml:space="preserve"> </w:t>
      </w:r>
      <w:r w:rsidRPr="00E62FE6">
        <w:t>of</w:t>
      </w:r>
      <w:r w:rsidR="008243CA">
        <w:t xml:space="preserve"> </w:t>
      </w:r>
      <w:r w:rsidRPr="00E62FE6">
        <w:t>the</w:t>
      </w:r>
      <w:r w:rsidR="008243CA">
        <w:t xml:space="preserve"> </w:t>
      </w:r>
      <w:r w:rsidRPr="00E62FE6">
        <w:t>penalties</w:t>
      </w:r>
      <w:r w:rsidR="008243CA">
        <w:t xml:space="preserve"> </w:t>
      </w:r>
      <w:r w:rsidRPr="00E62FE6">
        <w:t>provided</w:t>
      </w:r>
      <w:r w:rsidR="008243CA">
        <w:t xml:space="preserve"> </w:t>
      </w:r>
      <w:r w:rsidRPr="00E62FE6">
        <w:t>for</w:t>
      </w:r>
      <w:r w:rsidR="008243CA">
        <w:t xml:space="preserve"> </w:t>
      </w:r>
      <w:r w:rsidRPr="00E62FE6">
        <w:t>in</w:t>
      </w:r>
      <w:r w:rsidR="008243CA">
        <w:t xml:space="preserve"> </w:t>
      </w:r>
      <w:r w:rsidRPr="00E62FE6">
        <w:t>Act</w:t>
      </w:r>
      <w:r w:rsidR="008243CA">
        <w:t xml:space="preserve"> </w:t>
      </w:r>
      <w:r w:rsidRPr="00E62FE6">
        <w:t>No.</w:t>
      </w:r>
      <w:r w:rsidR="008243CA">
        <w:t xml:space="preserve"> </w:t>
      </w:r>
      <w:r w:rsidRPr="00E62FE6">
        <w:t>20084.</w:t>
      </w:r>
      <w:r w:rsidR="008243CA">
        <w:t xml:space="preserve"> </w:t>
      </w:r>
      <w:r w:rsidRPr="00E62FE6">
        <w:t>These</w:t>
      </w:r>
      <w:r w:rsidR="008243CA">
        <w:t xml:space="preserve"> </w:t>
      </w:r>
      <w:r w:rsidRPr="00E62FE6">
        <w:t>amendments,</w:t>
      </w:r>
      <w:r w:rsidR="008243CA">
        <w:t xml:space="preserve"> </w:t>
      </w:r>
      <w:r w:rsidRPr="00E62FE6">
        <w:t>which</w:t>
      </w:r>
      <w:r w:rsidR="008243CA">
        <w:t xml:space="preserve"> </w:t>
      </w:r>
      <w:r w:rsidRPr="00E62FE6">
        <w:t>are</w:t>
      </w:r>
      <w:r w:rsidR="008243CA">
        <w:t xml:space="preserve"> </w:t>
      </w:r>
      <w:r w:rsidRPr="00E62FE6">
        <w:t>regulatory</w:t>
      </w:r>
      <w:r w:rsidR="008243CA">
        <w:t xml:space="preserve"> </w:t>
      </w:r>
      <w:r w:rsidRPr="00E62FE6">
        <w:t>in</w:t>
      </w:r>
      <w:r w:rsidR="008243CA">
        <w:t xml:space="preserve"> </w:t>
      </w:r>
      <w:r w:rsidRPr="00E62FE6">
        <w:t>nature</w:t>
      </w:r>
      <w:r w:rsidR="008243CA">
        <w:t xml:space="preserve"> </w:t>
      </w:r>
      <w:r w:rsidRPr="00E62FE6">
        <w:t>and</w:t>
      </w:r>
      <w:r w:rsidR="008243CA">
        <w:t xml:space="preserve"> </w:t>
      </w:r>
      <w:r w:rsidRPr="00E62FE6">
        <w:t>do</w:t>
      </w:r>
      <w:r w:rsidR="008243CA">
        <w:t xml:space="preserve"> </w:t>
      </w:r>
      <w:r w:rsidRPr="00E62FE6">
        <w:t>not</w:t>
      </w:r>
      <w:r w:rsidR="008243CA">
        <w:t xml:space="preserve"> </w:t>
      </w:r>
      <w:r w:rsidRPr="00E62FE6">
        <w:t>entail</w:t>
      </w:r>
      <w:r w:rsidR="008243CA">
        <w:t xml:space="preserve"> </w:t>
      </w:r>
      <w:r w:rsidRPr="00E62FE6">
        <w:t>changes</w:t>
      </w:r>
      <w:r w:rsidR="008243CA">
        <w:t xml:space="preserve"> </w:t>
      </w:r>
      <w:r w:rsidRPr="00E62FE6">
        <w:t>to</w:t>
      </w:r>
      <w:r w:rsidR="008243CA">
        <w:t xml:space="preserve"> </w:t>
      </w:r>
      <w:r w:rsidRPr="00E62FE6">
        <w:t>the</w:t>
      </w:r>
      <w:r w:rsidR="008243CA">
        <w:t xml:space="preserve"> </w:t>
      </w:r>
      <w:r w:rsidRPr="00E62FE6">
        <w:t>legislation,</w:t>
      </w:r>
      <w:r w:rsidR="008243CA">
        <w:t xml:space="preserve"> </w:t>
      </w:r>
      <w:r w:rsidRPr="00E62FE6">
        <w:t>will</w:t>
      </w:r>
      <w:r w:rsidR="008243CA">
        <w:t xml:space="preserve"> </w:t>
      </w:r>
      <w:r w:rsidRPr="00E62FE6">
        <w:t>enter</w:t>
      </w:r>
      <w:r w:rsidR="008243CA">
        <w:t xml:space="preserve"> </w:t>
      </w:r>
      <w:r w:rsidRPr="00E62FE6">
        <w:t>into</w:t>
      </w:r>
      <w:r w:rsidR="008243CA">
        <w:t xml:space="preserve"> </w:t>
      </w:r>
      <w:r w:rsidRPr="00E62FE6">
        <w:t>force</w:t>
      </w:r>
      <w:r w:rsidR="008243CA">
        <w:t xml:space="preserve"> </w:t>
      </w:r>
      <w:r w:rsidRPr="00E62FE6">
        <w:t>in</w:t>
      </w:r>
      <w:r w:rsidR="008243CA">
        <w:t xml:space="preserve"> </w:t>
      </w:r>
      <w:r w:rsidRPr="00E62FE6">
        <w:t>July</w:t>
      </w:r>
      <w:r w:rsidR="008243CA">
        <w:t xml:space="preserve"> </w:t>
      </w:r>
      <w:r w:rsidRPr="00E62FE6">
        <w:t>2017.</w:t>
      </w:r>
    </w:p>
    <w:p w:rsidR="003F7D03" w:rsidRPr="00E62FE6" w:rsidRDefault="003F7D03" w:rsidP="000C6D98">
      <w:pPr>
        <w:pStyle w:val="SingleTxtG"/>
      </w:pPr>
      <w:r w:rsidRPr="00E62FE6">
        <w:t>65.</w:t>
      </w:r>
      <w:r w:rsidRPr="00E62FE6">
        <w:tab/>
        <w:t>As</w:t>
      </w:r>
      <w:r w:rsidR="008243CA">
        <w:t xml:space="preserve"> </w:t>
      </w:r>
      <w:r w:rsidRPr="00E62FE6">
        <w:t>to</w:t>
      </w:r>
      <w:r w:rsidR="008243CA">
        <w:t xml:space="preserve"> </w:t>
      </w:r>
      <w:r w:rsidRPr="00E62FE6">
        <w:t>adolescents</w:t>
      </w:r>
      <w:r w:rsidR="008243CA">
        <w:t xml:space="preserve"> </w:t>
      </w:r>
      <w:r w:rsidRPr="00E62FE6">
        <w:t>with</w:t>
      </w:r>
      <w:r w:rsidR="008243CA">
        <w:t xml:space="preserve"> </w:t>
      </w:r>
      <w:r w:rsidRPr="00E62FE6">
        <w:t>serious</w:t>
      </w:r>
      <w:r w:rsidR="008243CA">
        <w:t xml:space="preserve"> </w:t>
      </w:r>
      <w:r w:rsidRPr="00E62FE6">
        <w:t>mental</w:t>
      </w:r>
      <w:r w:rsidR="008243CA">
        <w:t xml:space="preserve"> </w:t>
      </w:r>
      <w:r w:rsidRPr="00E62FE6">
        <w:t>health</w:t>
      </w:r>
      <w:r w:rsidR="008243CA">
        <w:t xml:space="preserve"> </w:t>
      </w:r>
      <w:r w:rsidRPr="00E62FE6">
        <w:t>problems,</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Health</w:t>
      </w:r>
      <w:r w:rsidR="008243CA">
        <w:t xml:space="preserve"> </w:t>
      </w:r>
      <w:r w:rsidRPr="00E62FE6">
        <w:t>has</w:t>
      </w:r>
      <w:r w:rsidR="008243CA">
        <w:t xml:space="preserve"> </w:t>
      </w:r>
      <w:r w:rsidRPr="00E62FE6">
        <w:t>agreements</w:t>
      </w:r>
      <w:r w:rsidR="008243CA">
        <w:t xml:space="preserve"> </w:t>
      </w:r>
      <w:r w:rsidRPr="00E62FE6">
        <w:t>with</w:t>
      </w:r>
      <w:r w:rsidR="008243CA">
        <w:t xml:space="preserve"> </w:t>
      </w:r>
      <w:r w:rsidRPr="00E62FE6">
        <w:t>several</w:t>
      </w:r>
      <w:r w:rsidR="008243CA">
        <w:t xml:space="preserve"> </w:t>
      </w:r>
      <w:r w:rsidRPr="00E62FE6">
        <w:t>institutions</w:t>
      </w:r>
      <w:r w:rsidR="008243CA">
        <w:t xml:space="preserve"> </w:t>
      </w:r>
      <w:r w:rsidRPr="00E62FE6">
        <w:t>that</w:t>
      </w:r>
      <w:r w:rsidR="008243CA">
        <w:t xml:space="preserve"> </w:t>
      </w:r>
      <w:r w:rsidRPr="00E62FE6">
        <w:t>are</w:t>
      </w:r>
      <w:r w:rsidR="008243CA">
        <w:t xml:space="preserve"> </w:t>
      </w:r>
      <w:r w:rsidRPr="00E62FE6">
        <w:t>part</w:t>
      </w:r>
      <w:r w:rsidR="008243CA">
        <w:t xml:space="preserve"> </w:t>
      </w:r>
      <w:r w:rsidRPr="00E62FE6">
        <w:t>of</w:t>
      </w:r>
      <w:r w:rsidR="008243CA">
        <w:t xml:space="preserve"> </w:t>
      </w:r>
      <w:r w:rsidRPr="00E62FE6">
        <w:t>the</w:t>
      </w:r>
      <w:r w:rsidR="008243CA">
        <w:t xml:space="preserve"> </w:t>
      </w:r>
      <w:r w:rsidRPr="00E62FE6">
        <w:t>child</w:t>
      </w:r>
      <w:r w:rsidR="008243CA">
        <w:t xml:space="preserve"> </w:t>
      </w:r>
      <w:r w:rsidRPr="00E62FE6">
        <w:t>protection</w:t>
      </w:r>
      <w:r w:rsidR="008243CA">
        <w:t xml:space="preserve"> </w:t>
      </w:r>
      <w:r w:rsidRPr="00E62FE6">
        <w:t>and</w:t>
      </w:r>
      <w:r w:rsidR="008243CA">
        <w:t xml:space="preserve"> </w:t>
      </w:r>
      <w:r w:rsidRPr="00E62FE6">
        <w:t>juvenile</w:t>
      </w:r>
      <w:r w:rsidR="008243CA">
        <w:t xml:space="preserve"> </w:t>
      </w:r>
      <w:r w:rsidRPr="00E62FE6">
        <w:t>criminal</w:t>
      </w:r>
      <w:r w:rsidR="008243CA">
        <w:t xml:space="preserve"> </w:t>
      </w:r>
      <w:r w:rsidRPr="00E62FE6">
        <w:t>responsibility</w:t>
      </w:r>
      <w:r w:rsidR="008243CA">
        <w:t xml:space="preserve"> </w:t>
      </w:r>
      <w:r w:rsidRPr="00E62FE6">
        <w:t>systems.</w:t>
      </w:r>
      <w:r w:rsidR="008243CA">
        <w:t xml:space="preserve"> </w:t>
      </w:r>
      <w:r w:rsidRPr="00E62FE6">
        <w:t>These</w:t>
      </w:r>
      <w:r w:rsidR="008243CA">
        <w:t xml:space="preserve"> </w:t>
      </w:r>
      <w:r w:rsidRPr="00E62FE6">
        <w:t>include:</w:t>
      </w:r>
      <w:bookmarkStart w:id="50" w:name="page20"/>
      <w:bookmarkEnd w:id="50"/>
    </w:p>
    <w:p w:rsidR="003F7D03" w:rsidRPr="00E62FE6" w:rsidRDefault="003F7D03" w:rsidP="000C6D98">
      <w:pPr>
        <w:pStyle w:val="SingleTxtG"/>
      </w:pPr>
      <w:r w:rsidRPr="00E62FE6">
        <w:tab/>
        <w:t>(1)</w:t>
      </w:r>
      <w:r w:rsidRPr="00E62FE6">
        <w:tab/>
        <w:t>The</w:t>
      </w:r>
      <w:r w:rsidR="008243CA">
        <w:t xml:space="preserve"> </w:t>
      </w:r>
      <w:r w:rsidRPr="00E62FE6">
        <w:t>agreement</w:t>
      </w:r>
      <w:r w:rsidR="008243CA">
        <w:t xml:space="preserve"> </w:t>
      </w:r>
      <w:r w:rsidRPr="00E62FE6">
        <w:t>between</w:t>
      </w:r>
      <w:r w:rsidR="008243CA">
        <w:t xml:space="preserve"> </w:t>
      </w:r>
      <w:r w:rsidRPr="00E62FE6">
        <w:t>the</w:t>
      </w:r>
      <w:r w:rsidR="008243CA">
        <w:t xml:space="preserve"> </w:t>
      </w:r>
      <w:r w:rsidRPr="00E62FE6">
        <w:t>National</w:t>
      </w:r>
      <w:r w:rsidR="008243CA">
        <w:t xml:space="preserve"> </w:t>
      </w:r>
      <w:r w:rsidRPr="00E62FE6">
        <w:t>Service</w:t>
      </w:r>
      <w:r w:rsidR="008243CA">
        <w:t xml:space="preserve"> </w:t>
      </w:r>
      <w:r w:rsidRPr="00E62FE6">
        <w:t>for</w:t>
      </w:r>
      <w:r w:rsidR="008243CA">
        <w:t xml:space="preserve"> </w:t>
      </w:r>
      <w:r w:rsidRPr="00E62FE6">
        <w:t>Prevention</w:t>
      </w:r>
      <w:r w:rsidR="008243CA">
        <w:t xml:space="preserve"> </w:t>
      </w:r>
      <w:r w:rsidRPr="00E62FE6">
        <w:t>of</w:t>
      </w:r>
      <w:r w:rsidR="008243CA">
        <w:t xml:space="preserve"> </w:t>
      </w:r>
      <w:r w:rsidRPr="00E62FE6">
        <w:t>Drug</w:t>
      </w:r>
      <w:r w:rsidR="008243CA">
        <w:t xml:space="preserve"> </w:t>
      </w:r>
      <w:r w:rsidRPr="00E62FE6">
        <w:t>and</w:t>
      </w:r>
      <w:r w:rsidR="008243CA">
        <w:t xml:space="preserve"> </w:t>
      </w:r>
      <w:r w:rsidRPr="00E62FE6">
        <w:t>Alcohol</w:t>
      </w:r>
      <w:r w:rsidR="008243CA">
        <w:t xml:space="preserve"> </w:t>
      </w:r>
      <w:r w:rsidRPr="00E62FE6">
        <w:t>Use</w:t>
      </w:r>
      <w:r w:rsidR="008243CA">
        <w:t xml:space="preserve"> </w:t>
      </w:r>
      <w:r w:rsidRPr="00E62FE6">
        <w:t>and</w:t>
      </w:r>
      <w:r w:rsidR="008243CA">
        <w:t xml:space="preserve"> </w:t>
      </w:r>
      <w:r w:rsidRPr="00E62FE6">
        <w:t>Rehabilitation</w:t>
      </w:r>
      <w:r w:rsidR="008243CA">
        <w:t xml:space="preserve"> </w:t>
      </w:r>
      <w:r w:rsidRPr="00E62FE6">
        <w:t>of</w:t>
      </w:r>
      <w:r w:rsidR="008243CA">
        <w:t xml:space="preserve"> </w:t>
      </w:r>
      <w:r w:rsidRPr="00E62FE6">
        <w:t>Users,</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Health,</w:t>
      </w:r>
      <w:r w:rsidR="00116F0B">
        <w:t xml:space="preserve"> </w:t>
      </w:r>
      <w:r w:rsidRPr="00E62FE6">
        <w:t>SENAME</w:t>
      </w:r>
      <w:r w:rsidR="008243CA">
        <w:t xml:space="preserve"> </w:t>
      </w:r>
      <w:r w:rsidRPr="00E62FE6">
        <w:t>and</w:t>
      </w:r>
      <w:r w:rsidR="008243CA">
        <w:t xml:space="preserve"> </w:t>
      </w:r>
      <w:r w:rsidRPr="00E62FE6">
        <w:t>the</w:t>
      </w:r>
      <w:r w:rsidR="008243CA">
        <w:t xml:space="preserve"> </w:t>
      </w:r>
      <w:r w:rsidRPr="00E62FE6">
        <w:t>Prison</w:t>
      </w:r>
      <w:r w:rsidR="008243CA">
        <w:t xml:space="preserve"> </w:t>
      </w:r>
      <w:r w:rsidRPr="00E62FE6">
        <w:t>Service:</w:t>
      </w:r>
      <w:r w:rsidR="008243CA">
        <w:t xml:space="preserve"> </w:t>
      </w:r>
      <w:r w:rsidRPr="00E62FE6">
        <w:t>The</w:t>
      </w:r>
      <w:r w:rsidR="008243CA">
        <w:t xml:space="preserve"> </w:t>
      </w:r>
      <w:r w:rsidRPr="00E62FE6">
        <w:t>purpose</w:t>
      </w:r>
      <w:r w:rsidR="008243CA">
        <w:t xml:space="preserve"> </w:t>
      </w:r>
      <w:r w:rsidRPr="00E62FE6">
        <w:t>of</w:t>
      </w:r>
      <w:r w:rsidR="008243CA">
        <w:t xml:space="preserve"> </w:t>
      </w:r>
      <w:r w:rsidRPr="00E62FE6">
        <w:t>this</w:t>
      </w:r>
      <w:r w:rsidR="008243CA">
        <w:t xml:space="preserve"> </w:t>
      </w:r>
      <w:r w:rsidRPr="00E62FE6">
        <w:t>cooperation</w:t>
      </w:r>
      <w:r w:rsidR="008243CA">
        <w:t xml:space="preserve"> </w:t>
      </w:r>
      <w:r w:rsidRPr="00E62FE6">
        <w:t>agreement</w:t>
      </w:r>
      <w:r w:rsidR="008243CA">
        <w:t xml:space="preserve"> </w:t>
      </w:r>
      <w:r w:rsidRPr="00E62FE6">
        <w:t>is</w:t>
      </w:r>
      <w:r w:rsidR="008243CA">
        <w:t xml:space="preserve"> </w:t>
      </w:r>
      <w:r w:rsidRPr="00E62FE6">
        <w:t>to</w:t>
      </w:r>
      <w:r w:rsidR="008243CA">
        <w:t xml:space="preserve"> </w:t>
      </w:r>
      <w:r w:rsidRPr="00E62FE6">
        <w:t>support</w:t>
      </w:r>
      <w:r w:rsidR="008243CA">
        <w:t xml:space="preserve"> </w:t>
      </w:r>
      <w:r w:rsidRPr="00E62FE6">
        <w:t>implementation</w:t>
      </w:r>
      <w:r w:rsidR="008243CA">
        <w:t xml:space="preserve"> </w:t>
      </w:r>
      <w:r w:rsidRPr="00E62FE6">
        <w:t>of</w:t>
      </w:r>
      <w:r w:rsidR="008243CA">
        <w:t xml:space="preserve"> </w:t>
      </w:r>
      <w:r w:rsidRPr="00E62FE6">
        <w:t>the</w:t>
      </w:r>
      <w:r w:rsidR="008243CA">
        <w:t xml:space="preserve"> </w:t>
      </w:r>
      <w:r w:rsidRPr="00E62FE6">
        <w:t>Mental</w:t>
      </w:r>
      <w:r w:rsidR="008243CA">
        <w:t xml:space="preserve"> </w:t>
      </w:r>
      <w:r w:rsidRPr="00E62FE6">
        <w:t>Health</w:t>
      </w:r>
      <w:r w:rsidR="008243CA">
        <w:t xml:space="preserve"> </w:t>
      </w:r>
      <w:r w:rsidRPr="00E62FE6">
        <w:t>Programme</w:t>
      </w:r>
      <w:r w:rsidR="008243CA">
        <w:t xml:space="preserve"> </w:t>
      </w:r>
      <w:r w:rsidRPr="00E62FE6">
        <w:t>of</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Health</w:t>
      </w:r>
      <w:r w:rsidR="008243CA">
        <w:t xml:space="preserve"> </w:t>
      </w:r>
      <w:r w:rsidRPr="00E62FE6">
        <w:t>through</w:t>
      </w:r>
      <w:r w:rsidR="008243CA">
        <w:t xml:space="preserve"> </w:t>
      </w:r>
      <w:r w:rsidRPr="00E62FE6">
        <w:t>the</w:t>
      </w:r>
      <w:r w:rsidR="008243CA">
        <w:t xml:space="preserve"> </w:t>
      </w:r>
      <w:r w:rsidRPr="00E62FE6">
        <w:t>country</w:t>
      </w:r>
      <w:r w:rsidR="00116F0B">
        <w:t>’</w:t>
      </w:r>
      <w:r w:rsidRPr="00E62FE6">
        <w:t>s</w:t>
      </w:r>
      <w:r w:rsidR="008243CA">
        <w:t xml:space="preserve"> </w:t>
      </w:r>
      <w:r w:rsidRPr="00E62FE6">
        <w:t>health</w:t>
      </w:r>
      <w:r w:rsidR="008243CA">
        <w:t xml:space="preserve"> </w:t>
      </w:r>
      <w:r w:rsidRPr="00E62FE6">
        <w:t>centres</w:t>
      </w:r>
      <w:r w:rsidR="008243CA">
        <w:t xml:space="preserve"> </w:t>
      </w:r>
      <w:r w:rsidRPr="00E62FE6">
        <w:lastRenderedPageBreak/>
        <w:t>and</w:t>
      </w:r>
      <w:r w:rsidR="008243CA">
        <w:t xml:space="preserve"> </w:t>
      </w:r>
      <w:r w:rsidRPr="00E62FE6">
        <w:t>the</w:t>
      </w:r>
      <w:r w:rsidR="008243CA">
        <w:t xml:space="preserve"> </w:t>
      </w:r>
      <w:r w:rsidRPr="00E62FE6">
        <w:t>public</w:t>
      </w:r>
      <w:r w:rsidR="008243CA">
        <w:t xml:space="preserve"> </w:t>
      </w:r>
      <w:r w:rsidRPr="00E62FE6">
        <w:t>and</w:t>
      </w:r>
      <w:r w:rsidR="008243CA">
        <w:t xml:space="preserve"> </w:t>
      </w:r>
      <w:r w:rsidRPr="00E62FE6">
        <w:t>private</w:t>
      </w:r>
      <w:r w:rsidR="008243CA">
        <w:t xml:space="preserve"> </w:t>
      </w:r>
      <w:r w:rsidRPr="00E62FE6">
        <w:t>health-care</w:t>
      </w:r>
      <w:r w:rsidR="008243CA">
        <w:t xml:space="preserve"> </w:t>
      </w:r>
      <w:r w:rsidRPr="00E62FE6">
        <w:t>centres</w:t>
      </w:r>
      <w:r w:rsidR="008243CA">
        <w:t xml:space="preserve"> </w:t>
      </w:r>
      <w:r w:rsidRPr="00E62FE6">
        <w:t>regulated</w:t>
      </w:r>
      <w:r w:rsidR="008243CA">
        <w:t xml:space="preserve"> </w:t>
      </w:r>
      <w:r w:rsidRPr="00E62FE6">
        <w:t>by</w:t>
      </w:r>
      <w:r w:rsidR="008243CA">
        <w:t xml:space="preserve"> </w:t>
      </w:r>
      <w:r w:rsidRPr="00E62FE6">
        <w:t>the</w:t>
      </w:r>
      <w:r w:rsidR="008243CA">
        <w:t xml:space="preserve"> </w:t>
      </w:r>
      <w:r w:rsidRPr="00E62FE6">
        <w:t>Ministry</w:t>
      </w:r>
      <w:r w:rsidR="008243CA">
        <w:t xml:space="preserve"> </w:t>
      </w:r>
      <w:r w:rsidRPr="00E62FE6">
        <w:t>in</w:t>
      </w:r>
      <w:r w:rsidR="008243CA">
        <w:t xml:space="preserve"> </w:t>
      </w:r>
      <w:r w:rsidRPr="00E62FE6">
        <w:t>order</w:t>
      </w:r>
      <w:r w:rsidR="008243CA">
        <w:t xml:space="preserve"> </w:t>
      </w:r>
      <w:r w:rsidRPr="00E62FE6">
        <w:t>to</w:t>
      </w:r>
      <w:r w:rsidR="008243CA">
        <w:t xml:space="preserve"> </w:t>
      </w:r>
      <w:r w:rsidRPr="00E62FE6">
        <w:t>treat</w:t>
      </w:r>
      <w:r w:rsidR="008243CA">
        <w:t xml:space="preserve"> </w:t>
      </w:r>
      <w:r w:rsidRPr="00E62FE6">
        <w:t>drug</w:t>
      </w:r>
      <w:r w:rsidR="008243CA">
        <w:t xml:space="preserve"> </w:t>
      </w:r>
      <w:r w:rsidRPr="00E62FE6">
        <w:t>abuse</w:t>
      </w:r>
      <w:r w:rsidR="008243CA">
        <w:t xml:space="preserve"> </w:t>
      </w:r>
      <w:r w:rsidRPr="00E62FE6">
        <w:t>among</w:t>
      </w:r>
      <w:r w:rsidR="008243CA">
        <w:t xml:space="preserve"> </w:t>
      </w:r>
      <w:r w:rsidRPr="00E62FE6">
        <w:t>child</w:t>
      </w:r>
      <w:r w:rsidR="008243CA">
        <w:t xml:space="preserve"> </w:t>
      </w:r>
      <w:r w:rsidRPr="00E62FE6">
        <w:t>and</w:t>
      </w:r>
      <w:r w:rsidR="008243CA">
        <w:t xml:space="preserve"> </w:t>
      </w:r>
      <w:r w:rsidRPr="00E62FE6">
        <w:t>juvenile</w:t>
      </w:r>
      <w:r w:rsidR="008243CA">
        <w:t xml:space="preserve"> </w:t>
      </w:r>
      <w:r w:rsidRPr="00E62FE6">
        <w:t>lawbreakers</w:t>
      </w:r>
      <w:r w:rsidR="008243CA">
        <w:t xml:space="preserve"> </w:t>
      </w:r>
      <w:r w:rsidRPr="00E62FE6">
        <w:t>and</w:t>
      </w:r>
      <w:r w:rsidR="008243CA">
        <w:t xml:space="preserve"> </w:t>
      </w:r>
      <w:r w:rsidRPr="00E62FE6">
        <w:t>assist</w:t>
      </w:r>
      <w:r w:rsidR="008243CA">
        <w:t xml:space="preserve"> </w:t>
      </w:r>
      <w:r w:rsidRPr="00E62FE6">
        <w:t>in</w:t>
      </w:r>
      <w:r w:rsidR="008243CA">
        <w:t xml:space="preserve"> </w:t>
      </w:r>
      <w:r w:rsidRPr="00E62FE6">
        <w:t>their</w:t>
      </w:r>
      <w:r w:rsidR="008243CA">
        <w:t xml:space="preserve"> </w:t>
      </w:r>
      <w:r w:rsidRPr="00E62FE6">
        <w:t>rehabilitation.</w:t>
      </w:r>
      <w:r w:rsidR="00116F0B">
        <w:t xml:space="preserve"> </w:t>
      </w:r>
    </w:p>
    <w:p w:rsidR="003F7D03" w:rsidRPr="00E62FE6" w:rsidRDefault="003F7D03" w:rsidP="00116F0B">
      <w:pPr>
        <w:pStyle w:val="SingleTxtG"/>
      </w:pPr>
      <w:r w:rsidRPr="00E62FE6">
        <w:tab/>
        <w:t>(2)</w:t>
      </w:r>
      <w:r w:rsidRPr="00E62FE6">
        <w:tab/>
        <w:t>The</w:t>
      </w:r>
      <w:r w:rsidR="008243CA">
        <w:t xml:space="preserve"> </w:t>
      </w:r>
      <w:r w:rsidRPr="00E62FE6">
        <w:t>agreement</w:t>
      </w:r>
      <w:r w:rsidR="008243CA">
        <w:t xml:space="preserve"> </w:t>
      </w:r>
      <w:r w:rsidRPr="00E62FE6">
        <w:t>between</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Health</w:t>
      </w:r>
      <w:r w:rsidR="008243CA">
        <w:t xml:space="preserve"> </w:t>
      </w:r>
      <w:r w:rsidRPr="00E62FE6">
        <w:t>and</w:t>
      </w:r>
      <w:r w:rsidR="008243CA">
        <w:t xml:space="preserve"> </w:t>
      </w:r>
      <w:r w:rsidRPr="00E62FE6">
        <w:t>SENAME:</w:t>
      </w:r>
      <w:r w:rsidR="008243CA">
        <w:t xml:space="preserve"> </w:t>
      </w:r>
      <w:r w:rsidRPr="00E62FE6">
        <w:t>The</w:t>
      </w:r>
      <w:r w:rsidR="008243CA">
        <w:t xml:space="preserve"> </w:t>
      </w:r>
      <w:r w:rsidRPr="00E62FE6">
        <w:t>purpose</w:t>
      </w:r>
      <w:r w:rsidR="008243CA">
        <w:t xml:space="preserve"> </w:t>
      </w:r>
      <w:r w:rsidRPr="00E62FE6">
        <w:t>of</w:t>
      </w:r>
      <w:r w:rsidR="008243CA">
        <w:t xml:space="preserve"> </w:t>
      </w:r>
      <w:r w:rsidRPr="00E62FE6">
        <w:t>this</w:t>
      </w:r>
      <w:r w:rsidR="008243CA">
        <w:t xml:space="preserve"> </w:t>
      </w:r>
      <w:r w:rsidRPr="00E62FE6">
        <w:t>agreement</w:t>
      </w:r>
      <w:r w:rsidR="008243CA">
        <w:t xml:space="preserve"> </w:t>
      </w:r>
      <w:r w:rsidRPr="00E62FE6">
        <w:t>was</w:t>
      </w:r>
      <w:r w:rsidR="008243CA">
        <w:t xml:space="preserve"> </w:t>
      </w:r>
      <w:r w:rsidRPr="00E62FE6">
        <w:t>to</w:t>
      </w:r>
      <w:r w:rsidR="008243CA">
        <w:t xml:space="preserve"> </w:t>
      </w:r>
      <w:r w:rsidRPr="00E62FE6">
        <w:t>establish</w:t>
      </w:r>
      <w:r w:rsidR="008243CA">
        <w:t xml:space="preserve"> </w:t>
      </w:r>
      <w:r w:rsidRPr="00E62FE6">
        <w:t>channels</w:t>
      </w:r>
      <w:r w:rsidR="008243CA">
        <w:t xml:space="preserve"> </w:t>
      </w:r>
      <w:r w:rsidRPr="00E62FE6">
        <w:t>of</w:t>
      </w:r>
      <w:r w:rsidR="008243CA">
        <w:t xml:space="preserve"> </w:t>
      </w:r>
      <w:r w:rsidRPr="00E62FE6">
        <w:t>mutual</w:t>
      </w:r>
      <w:r w:rsidR="008243CA">
        <w:t xml:space="preserve"> </w:t>
      </w:r>
      <w:r w:rsidRPr="00E62FE6">
        <w:t>cooperation</w:t>
      </w:r>
      <w:r w:rsidR="008243CA">
        <w:t xml:space="preserve"> </w:t>
      </w:r>
      <w:r w:rsidRPr="00E62FE6">
        <w:t>in</w:t>
      </w:r>
      <w:r w:rsidR="008243CA">
        <w:t xml:space="preserve"> </w:t>
      </w:r>
      <w:r w:rsidRPr="00E62FE6">
        <w:t>order</w:t>
      </w:r>
      <w:r w:rsidR="008243CA">
        <w:t xml:space="preserve"> </w:t>
      </w:r>
      <w:r w:rsidRPr="00E62FE6">
        <w:t>to</w:t>
      </w:r>
      <w:r w:rsidR="008243CA">
        <w:t xml:space="preserve"> </w:t>
      </w:r>
      <w:r w:rsidRPr="00E62FE6">
        <w:t>afford</w:t>
      </w:r>
      <w:r w:rsidR="008243CA">
        <w:t xml:space="preserve"> </w:t>
      </w:r>
      <w:r w:rsidRPr="00E62FE6">
        <w:t>children</w:t>
      </w:r>
      <w:r w:rsidR="008243CA">
        <w:t xml:space="preserve"> </w:t>
      </w:r>
      <w:r w:rsidRPr="00E62FE6">
        <w:t>and</w:t>
      </w:r>
      <w:r w:rsidR="008243CA">
        <w:t xml:space="preserve"> </w:t>
      </w:r>
      <w:r w:rsidRPr="00E62FE6">
        <w:t>adolescents</w:t>
      </w:r>
      <w:r w:rsidR="008243CA">
        <w:t xml:space="preserve"> </w:t>
      </w:r>
      <w:r w:rsidRPr="00E62FE6">
        <w:t>housed</w:t>
      </w:r>
      <w:r w:rsidR="008243CA">
        <w:t xml:space="preserve"> </w:t>
      </w:r>
      <w:r w:rsidRPr="00E62FE6">
        <w:t>in</w:t>
      </w:r>
      <w:r w:rsidR="008243CA">
        <w:t xml:space="preserve"> </w:t>
      </w:r>
      <w:r w:rsidRPr="00E62FE6">
        <w:t>administrative</w:t>
      </w:r>
      <w:r w:rsidR="008243CA">
        <w:t xml:space="preserve"> </w:t>
      </w:r>
      <w:r w:rsidRPr="00E62FE6">
        <w:t>centres</w:t>
      </w:r>
      <w:r w:rsidR="008243CA">
        <w:t xml:space="preserve"> </w:t>
      </w:r>
      <w:r w:rsidRPr="00E62FE6">
        <w:t>that</w:t>
      </w:r>
      <w:r w:rsidR="008243CA">
        <w:t xml:space="preserve"> </w:t>
      </w:r>
      <w:r w:rsidRPr="00E62FE6">
        <w:t>are</w:t>
      </w:r>
      <w:r w:rsidR="008243CA">
        <w:t xml:space="preserve"> </w:t>
      </w:r>
      <w:r w:rsidRPr="00E62FE6">
        <w:t>under</w:t>
      </w:r>
      <w:r w:rsidR="008243CA">
        <w:t xml:space="preserve"> </w:t>
      </w:r>
      <w:r w:rsidRPr="00E62FE6">
        <w:t>the</w:t>
      </w:r>
      <w:r w:rsidR="008243CA">
        <w:t xml:space="preserve"> </w:t>
      </w:r>
      <w:r w:rsidRPr="00E62FE6">
        <w:t>direct</w:t>
      </w:r>
      <w:r w:rsidR="008243CA">
        <w:t xml:space="preserve"> </w:t>
      </w:r>
      <w:r w:rsidRPr="00E62FE6">
        <w:t>supervision</w:t>
      </w:r>
      <w:r w:rsidR="008243CA">
        <w:t xml:space="preserve"> </w:t>
      </w:r>
      <w:r w:rsidRPr="00E62FE6">
        <w:t>of</w:t>
      </w:r>
      <w:r w:rsidR="008243CA">
        <w:t xml:space="preserve"> </w:t>
      </w:r>
      <w:r w:rsidRPr="00E62FE6">
        <w:t>SENAME</w:t>
      </w:r>
      <w:r w:rsidR="008243CA">
        <w:t xml:space="preserve"> </w:t>
      </w:r>
      <w:r w:rsidRPr="00E62FE6">
        <w:t>prompt</w:t>
      </w:r>
      <w:r w:rsidR="008243CA">
        <w:t xml:space="preserve"> </w:t>
      </w:r>
      <w:r w:rsidRPr="00E62FE6">
        <w:t>access</w:t>
      </w:r>
      <w:r w:rsidR="008243CA">
        <w:t xml:space="preserve"> </w:t>
      </w:r>
      <w:r w:rsidRPr="00E62FE6">
        <w:t>to</w:t>
      </w:r>
      <w:r w:rsidR="008243CA">
        <w:t xml:space="preserve"> </w:t>
      </w:r>
      <w:r w:rsidRPr="00E62FE6">
        <w:t>any</w:t>
      </w:r>
      <w:r w:rsidR="008243CA">
        <w:t xml:space="preserve"> </w:t>
      </w:r>
      <w:r w:rsidRPr="00E62FE6">
        <w:t>health</w:t>
      </w:r>
      <w:r w:rsidR="008243CA">
        <w:t xml:space="preserve"> </w:t>
      </w:r>
      <w:r w:rsidRPr="00E62FE6">
        <w:t>services</w:t>
      </w:r>
      <w:r w:rsidR="008243CA">
        <w:t xml:space="preserve"> </w:t>
      </w:r>
      <w:r w:rsidRPr="00E62FE6">
        <w:t>necessary</w:t>
      </w:r>
      <w:r w:rsidR="008243CA">
        <w:t xml:space="preserve"> </w:t>
      </w:r>
      <w:r w:rsidRPr="00E62FE6">
        <w:t>for</w:t>
      </w:r>
      <w:r w:rsidR="008243CA">
        <w:t xml:space="preserve"> </w:t>
      </w:r>
      <w:r w:rsidRPr="00E62FE6">
        <w:t>their</w:t>
      </w:r>
      <w:r w:rsidR="008243CA">
        <w:t xml:space="preserve"> </w:t>
      </w:r>
      <w:r w:rsidRPr="00E62FE6">
        <w:t>normal</w:t>
      </w:r>
      <w:r w:rsidR="008243CA">
        <w:t xml:space="preserve"> </w:t>
      </w:r>
      <w:r w:rsidRPr="00E62FE6">
        <w:t>and</w:t>
      </w:r>
      <w:r w:rsidR="008243CA">
        <w:t xml:space="preserve"> </w:t>
      </w:r>
      <w:r w:rsidRPr="00E62FE6">
        <w:t>comprehensive</w:t>
      </w:r>
      <w:r w:rsidR="008243CA">
        <w:t xml:space="preserve"> </w:t>
      </w:r>
      <w:r w:rsidRPr="00E62FE6">
        <w:t>development.</w:t>
      </w:r>
      <w:r w:rsidR="008243CA">
        <w:t xml:space="preserve"> </w:t>
      </w:r>
      <w:r w:rsidRPr="00E62FE6">
        <w:t>The</w:t>
      </w:r>
      <w:r w:rsidR="008243CA">
        <w:t xml:space="preserve"> </w:t>
      </w:r>
      <w:r w:rsidRPr="00E62FE6">
        <w:t>following</w:t>
      </w:r>
      <w:r w:rsidR="008243CA">
        <w:t xml:space="preserve"> </w:t>
      </w:r>
      <w:r w:rsidRPr="00E62FE6">
        <w:t>measures</w:t>
      </w:r>
      <w:r w:rsidR="008243CA">
        <w:t xml:space="preserve"> </w:t>
      </w:r>
      <w:r w:rsidRPr="00E62FE6">
        <w:t>have</w:t>
      </w:r>
      <w:r w:rsidR="008243CA">
        <w:t xml:space="preserve"> </w:t>
      </w:r>
      <w:r w:rsidRPr="00E62FE6">
        <w:t>been</w:t>
      </w:r>
      <w:r w:rsidR="008243CA">
        <w:t xml:space="preserve"> </w:t>
      </w:r>
      <w:r w:rsidRPr="00E62FE6">
        <w:t>adopted</w:t>
      </w:r>
      <w:r w:rsidR="008243CA">
        <w:t xml:space="preserve"> </w:t>
      </w:r>
      <w:r w:rsidRPr="00E62FE6">
        <w:t>under</w:t>
      </w:r>
      <w:r w:rsidR="008243CA">
        <w:t xml:space="preserve"> </w:t>
      </w:r>
      <w:r w:rsidRPr="00E62FE6">
        <w:t>the</w:t>
      </w:r>
      <w:r w:rsidR="008243CA">
        <w:t xml:space="preserve"> </w:t>
      </w:r>
      <w:r w:rsidRPr="00E62FE6">
        <w:t>agreement</w:t>
      </w:r>
      <w:r w:rsidR="008243CA">
        <w:t xml:space="preserve"> </w:t>
      </w:r>
      <w:r w:rsidRPr="00E62FE6">
        <w:t>in</w:t>
      </w:r>
      <w:r w:rsidR="008243CA">
        <w:t xml:space="preserve"> </w:t>
      </w:r>
      <w:r w:rsidRPr="00E62FE6">
        <w:t>view</w:t>
      </w:r>
      <w:r w:rsidR="008243CA">
        <w:t xml:space="preserve"> </w:t>
      </w:r>
      <w:r w:rsidRPr="00E62FE6">
        <w:t>of</w:t>
      </w:r>
      <w:r w:rsidR="008243CA">
        <w:t xml:space="preserve"> </w:t>
      </w:r>
      <w:r w:rsidRPr="00E62FE6">
        <w:t>the</w:t>
      </w:r>
      <w:r w:rsidR="008243CA">
        <w:t xml:space="preserve"> </w:t>
      </w:r>
      <w:r w:rsidRPr="00E62FE6">
        <w:t>current</w:t>
      </w:r>
      <w:r w:rsidR="008243CA">
        <w:t xml:space="preserve"> </w:t>
      </w:r>
      <w:r w:rsidRPr="00E62FE6">
        <w:t>situation</w:t>
      </w:r>
      <w:r w:rsidR="008243CA">
        <w:t xml:space="preserve"> </w:t>
      </w:r>
      <w:r w:rsidRPr="00E62FE6">
        <w:t>of</w:t>
      </w:r>
      <w:r w:rsidR="008243CA">
        <w:t xml:space="preserve"> </w:t>
      </w:r>
      <w:r w:rsidRPr="00E62FE6">
        <w:t>children</w:t>
      </w:r>
      <w:r w:rsidR="008243CA">
        <w:t xml:space="preserve"> </w:t>
      </w:r>
      <w:r w:rsidRPr="00E62FE6">
        <w:t>and</w:t>
      </w:r>
      <w:r w:rsidR="008243CA">
        <w:t xml:space="preserve"> </w:t>
      </w:r>
      <w:r w:rsidRPr="00E62FE6">
        <w:t>adolescents</w:t>
      </w:r>
      <w:r w:rsidR="008243CA">
        <w:t xml:space="preserve"> </w:t>
      </w:r>
      <w:r w:rsidRPr="00E62FE6">
        <w:t>in</w:t>
      </w:r>
      <w:r w:rsidR="008243CA">
        <w:t xml:space="preserve"> </w:t>
      </w:r>
      <w:r w:rsidRPr="00E62FE6">
        <w:t>the</w:t>
      </w:r>
      <w:r w:rsidR="008243CA">
        <w:t xml:space="preserve"> </w:t>
      </w:r>
      <w:r w:rsidRPr="00E62FE6">
        <w:t>care</w:t>
      </w:r>
      <w:r w:rsidR="008243CA">
        <w:t xml:space="preserve"> </w:t>
      </w:r>
      <w:r w:rsidRPr="00E62FE6">
        <w:t>of</w:t>
      </w:r>
      <w:r w:rsidR="008243CA">
        <w:t xml:space="preserve"> </w:t>
      </w:r>
      <w:r w:rsidRPr="00E62FE6">
        <w:t>SENAME:</w:t>
      </w:r>
      <w:r w:rsidR="008243CA">
        <w:t xml:space="preserve"> </w:t>
      </w:r>
    </w:p>
    <w:p w:rsidR="003F7D03" w:rsidRPr="00E62FE6" w:rsidRDefault="003F7D03" w:rsidP="00C84882">
      <w:pPr>
        <w:pStyle w:val="SingleTxtG"/>
        <w:ind w:left="1701"/>
      </w:pPr>
      <w:r w:rsidRPr="00E62FE6">
        <w:t>(</w:t>
      </w:r>
      <w:proofErr w:type="spellStart"/>
      <w:r w:rsidRPr="00E62FE6">
        <w:t>i</w:t>
      </w:r>
      <w:proofErr w:type="spellEnd"/>
      <w:r w:rsidRPr="00E62FE6">
        <w:t>)</w:t>
      </w:r>
      <w:r w:rsidRPr="00E62FE6">
        <w:tab/>
        <w:t>An</w:t>
      </w:r>
      <w:r w:rsidR="008243CA">
        <w:t xml:space="preserve"> </w:t>
      </w:r>
      <w:r w:rsidRPr="00E62FE6">
        <w:t>inter-agency</w:t>
      </w:r>
      <w:r w:rsidR="008243CA">
        <w:t xml:space="preserve"> </w:t>
      </w:r>
      <w:r w:rsidRPr="00E62FE6">
        <w:t>coordination</w:t>
      </w:r>
      <w:r w:rsidR="008243CA">
        <w:t xml:space="preserve"> </w:t>
      </w:r>
      <w:r w:rsidRPr="00E62FE6">
        <w:t>mechanism</w:t>
      </w:r>
      <w:r w:rsidR="008243CA">
        <w:t xml:space="preserve"> </w:t>
      </w:r>
      <w:r w:rsidRPr="00E62FE6">
        <w:t>has</w:t>
      </w:r>
      <w:r w:rsidR="008243CA">
        <w:t xml:space="preserve"> </w:t>
      </w:r>
      <w:r w:rsidRPr="00E62FE6">
        <w:t>been</w:t>
      </w:r>
      <w:r w:rsidR="008243CA">
        <w:t xml:space="preserve"> </w:t>
      </w:r>
      <w:r w:rsidRPr="00E62FE6">
        <w:t>established</w:t>
      </w:r>
      <w:r w:rsidR="008243CA">
        <w:t xml:space="preserve"> </w:t>
      </w:r>
      <w:r w:rsidRPr="00E62FE6">
        <w:t>to</w:t>
      </w:r>
      <w:r w:rsidR="008243CA">
        <w:t xml:space="preserve"> </w:t>
      </w:r>
      <w:r w:rsidRPr="00E62FE6">
        <w:t>provide</w:t>
      </w:r>
      <w:r w:rsidR="008243CA">
        <w:t xml:space="preserve"> </w:t>
      </w:r>
      <w:r w:rsidRPr="00E62FE6">
        <w:t>care</w:t>
      </w:r>
      <w:r w:rsidR="008243CA">
        <w:t xml:space="preserve"> </w:t>
      </w:r>
      <w:r w:rsidRPr="00E62FE6">
        <w:t>by</w:t>
      </w:r>
      <w:r w:rsidR="008243CA">
        <w:t xml:space="preserve"> </w:t>
      </w:r>
      <w:r w:rsidRPr="00E62FE6">
        <w:t>mental</w:t>
      </w:r>
      <w:r w:rsidR="008243CA">
        <w:t xml:space="preserve"> </w:t>
      </w:r>
      <w:r w:rsidRPr="00E62FE6">
        <w:t>health</w:t>
      </w:r>
      <w:r w:rsidR="008243CA">
        <w:t xml:space="preserve"> </w:t>
      </w:r>
      <w:r w:rsidRPr="00E62FE6">
        <w:t>specialists</w:t>
      </w:r>
      <w:r w:rsidR="008243CA">
        <w:t xml:space="preserve"> </w:t>
      </w:r>
      <w:r w:rsidRPr="00E62FE6">
        <w:t>to</w:t>
      </w:r>
      <w:r w:rsidR="008243CA">
        <w:t xml:space="preserve"> </w:t>
      </w:r>
      <w:r w:rsidRPr="00E62FE6">
        <w:t>182</w:t>
      </w:r>
      <w:r w:rsidR="008243CA">
        <w:t xml:space="preserve"> </w:t>
      </w:r>
      <w:r w:rsidRPr="00E62FE6">
        <w:t>children</w:t>
      </w:r>
      <w:r w:rsidR="008243CA">
        <w:t xml:space="preserve"> </w:t>
      </w:r>
      <w:r w:rsidRPr="00E62FE6">
        <w:t>and</w:t>
      </w:r>
      <w:r w:rsidR="008243CA">
        <w:t xml:space="preserve"> </w:t>
      </w:r>
      <w:r w:rsidRPr="00E62FE6">
        <w:t>adolescents</w:t>
      </w:r>
      <w:r w:rsidR="008243CA">
        <w:t xml:space="preserve"> </w:t>
      </w:r>
      <w:r w:rsidRPr="00E62FE6">
        <w:t>identified</w:t>
      </w:r>
      <w:r w:rsidR="008243CA">
        <w:t xml:space="preserve"> </w:t>
      </w:r>
      <w:r w:rsidRPr="00E62FE6">
        <w:t>by</w:t>
      </w:r>
      <w:r w:rsidR="008243CA">
        <w:t xml:space="preserve"> </w:t>
      </w:r>
      <w:r w:rsidRPr="00E62FE6">
        <w:t>the</w:t>
      </w:r>
      <w:r w:rsidR="008243CA">
        <w:t xml:space="preserve"> </w:t>
      </w:r>
      <w:r w:rsidRPr="00E62FE6">
        <w:t>teams</w:t>
      </w:r>
      <w:r w:rsidR="008243CA">
        <w:t xml:space="preserve"> </w:t>
      </w:r>
      <w:r w:rsidRPr="00E62FE6">
        <w:t>in</w:t>
      </w:r>
      <w:r w:rsidR="008243CA">
        <w:t xml:space="preserve"> </w:t>
      </w:r>
      <w:r w:rsidRPr="00E62FE6">
        <w:t>the</w:t>
      </w:r>
      <w:r w:rsidR="008243CA">
        <w:t xml:space="preserve"> </w:t>
      </w:r>
      <w:r w:rsidRPr="00E62FE6">
        <w:t>residential</w:t>
      </w:r>
      <w:r w:rsidR="008243CA">
        <w:t xml:space="preserve"> </w:t>
      </w:r>
      <w:r w:rsidRPr="00E62FE6">
        <w:t>centres</w:t>
      </w:r>
      <w:r w:rsidR="008243CA">
        <w:t xml:space="preserve"> </w:t>
      </w:r>
      <w:r w:rsidRPr="00E62FE6">
        <w:t>operated</w:t>
      </w:r>
      <w:r w:rsidR="008243CA">
        <w:t xml:space="preserve"> </w:t>
      </w:r>
      <w:r w:rsidRPr="00E62FE6">
        <w:t>by</w:t>
      </w:r>
      <w:r w:rsidR="008243CA">
        <w:t xml:space="preserve"> </w:t>
      </w:r>
      <w:r w:rsidRPr="00E62FE6">
        <w:t>SENAME.</w:t>
      </w:r>
      <w:r w:rsidR="008243CA">
        <w:t xml:space="preserve"> </w:t>
      </w:r>
      <w:r w:rsidRPr="00E62FE6">
        <w:t>The</w:t>
      </w:r>
      <w:r w:rsidR="008243CA">
        <w:t xml:space="preserve"> </w:t>
      </w:r>
      <w:r w:rsidRPr="00E62FE6">
        <w:t>children</w:t>
      </w:r>
      <w:r w:rsidR="008243CA">
        <w:t xml:space="preserve"> </w:t>
      </w:r>
      <w:r w:rsidRPr="00E62FE6">
        <w:t>and</w:t>
      </w:r>
      <w:r w:rsidR="008243CA">
        <w:t xml:space="preserve"> </w:t>
      </w:r>
      <w:r w:rsidRPr="00E62FE6">
        <w:t>adolescents</w:t>
      </w:r>
      <w:r w:rsidR="008243CA">
        <w:t xml:space="preserve"> </w:t>
      </w:r>
      <w:r w:rsidRPr="00E62FE6">
        <w:t>have</w:t>
      </w:r>
      <w:r w:rsidR="008243CA">
        <w:t xml:space="preserve"> </w:t>
      </w:r>
      <w:r w:rsidRPr="00E62FE6">
        <w:t>begun</w:t>
      </w:r>
      <w:r w:rsidR="008243CA">
        <w:t xml:space="preserve"> </w:t>
      </w:r>
      <w:r w:rsidRPr="00E62FE6">
        <w:t>to</w:t>
      </w:r>
      <w:r w:rsidR="008243CA">
        <w:t xml:space="preserve"> </w:t>
      </w:r>
      <w:r w:rsidRPr="00E62FE6">
        <w:t>receive</w:t>
      </w:r>
      <w:r w:rsidR="008243CA">
        <w:t xml:space="preserve"> </w:t>
      </w:r>
      <w:r w:rsidRPr="00E62FE6">
        <w:t>care</w:t>
      </w:r>
      <w:r w:rsidR="008243CA">
        <w:t xml:space="preserve"> </w:t>
      </w:r>
      <w:r w:rsidRPr="00E62FE6">
        <w:t>and</w:t>
      </w:r>
      <w:r w:rsidR="008243CA">
        <w:t xml:space="preserve"> </w:t>
      </w:r>
      <w:r w:rsidRPr="00E62FE6">
        <w:t>treatment,</w:t>
      </w:r>
      <w:r w:rsidR="008243CA">
        <w:t xml:space="preserve"> </w:t>
      </w:r>
      <w:r w:rsidRPr="00E62FE6">
        <w:t>and</w:t>
      </w:r>
      <w:r w:rsidR="008243CA">
        <w:t xml:space="preserve"> </w:t>
      </w:r>
      <w:r w:rsidRPr="00E62FE6">
        <w:t>public</w:t>
      </w:r>
      <w:r w:rsidR="008243CA">
        <w:t xml:space="preserve"> </w:t>
      </w:r>
      <w:r w:rsidRPr="00E62FE6">
        <w:t>health-care</w:t>
      </w:r>
      <w:r w:rsidR="008243CA">
        <w:t xml:space="preserve"> </w:t>
      </w:r>
      <w:r w:rsidRPr="00E62FE6">
        <w:t>establishments</w:t>
      </w:r>
      <w:r w:rsidR="008243CA">
        <w:t xml:space="preserve"> </w:t>
      </w:r>
      <w:r w:rsidRPr="00E62FE6">
        <w:t>where</w:t>
      </w:r>
      <w:r w:rsidR="008243CA">
        <w:t xml:space="preserve"> </w:t>
      </w:r>
      <w:r w:rsidRPr="00E62FE6">
        <w:t>they</w:t>
      </w:r>
      <w:r w:rsidR="008243CA">
        <w:t xml:space="preserve"> </w:t>
      </w:r>
      <w:r w:rsidRPr="00E62FE6">
        <w:t>could</w:t>
      </w:r>
      <w:r w:rsidR="008243CA">
        <w:t xml:space="preserve"> </w:t>
      </w:r>
      <w:r w:rsidRPr="00E62FE6">
        <w:t>be</w:t>
      </w:r>
      <w:r w:rsidR="008243CA">
        <w:t xml:space="preserve"> </w:t>
      </w:r>
      <w:r w:rsidRPr="00E62FE6">
        <w:t>hospitalized</w:t>
      </w:r>
      <w:r w:rsidR="008243CA">
        <w:t xml:space="preserve"> </w:t>
      </w:r>
      <w:r w:rsidRPr="00E62FE6">
        <w:t>are</w:t>
      </w:r>
      <w:r w:rsidR="008243CA">
        <w:t xml:space="preserve"> </w:t>
      </w:r>
      <w:r w:rsidRPr="00E62FE6">
        <w:t>being</w:t>
      </w:r>
      <w:r w:rsidR="008243CA">
        <w:t xml:space="preserve"> </w:t>
      </w:r>
      <w:r w:rsidRPr="00E62FE6">
        <w:t>identified.</w:t>
      </w:r>
      <w:r w:rsidR="008243CA">
        <w:t xml:space="preserve"> </w:t>
      </w:r>
      <w:r w:rsidRPr="00E62FE6">
        <w:t>Of</w:t>
      </w:r>
      <w:r w:rsidR="008243CA">
        <w:t xml:space="preserve"> </w:t>
      </w:r>
      <w:r w:rsidRPr="00E62FE6">
        <w:t>the</w:t>
      </w:r>
      <w:r w:rsidR="008243CA">
        <w:t xml:space="preserve"> </w:t>
      </w:r>
      <w:r w:rsidRPr="00E62FE6">
        <w:t>total</w:t>
      </w:r>
      <w:r w:rsidR="008243CA">
        <w:t xml:space="preserve"> </w:t>
      </w:r>
      <w:r w:rsidRPr="00E62FE6">
        <w:t>number</w:t>
      </w:r>
      <w:r w:rsidR="008243CA">
        <w:t xml:space="preserve"> </w:t>
      </w:r>
      <w:r w:rsidRPr="00E62FE6">
        <w:t>of</w:t>
      </w:r>
      <w:r w:rsidR="008243CA">
        <w:t xml:space="preserve"> </w:t>
      </w:r>
      <w:r w:rsidRPr="00E62FE6">
        <w:t>children</w:t>
      </w:r>
      <w:r w:rsidR="008243CA">
        <w:t xml:space="preserve"> </w:t>
      </w:r>
      <w:r w:rsidRPr="00E62FE6">
        <w:t>and</w:t>
      </w:r>
      <w:r w:rsidR="008243CA">
        <w:t xml:space="preserve"> </w:t>
      </w:r>
      <w:r w:rsidRPr="00E62FE6">
        <w:t>adolescents,</w:t>
      </w:r>
      <w:r w:rsidR="008243CA">
        <w:t xml:space="preserve"> </w:t>
      </w:r>
      <w:r w:rsidRPr="00E62FE6">
        <w:t>44</w:t>
      </w:r>
      <w:r w:rsidR="008243CA">
        <w:t xml:space="preserve"> </w:t>
      </w:r>
      <w:r w:rsidRPr="00E62FE6">
        <w:t>have</w:t>
      </w:r>
      <w:r w:rsidR="008243CA">
        <w:t xml:space="preserve"> </w:t>
      </w:r>
      <w:r w:rsidRPr="00E62FE6">
        <w:t>been</w:t>
      </w:r>
      <w:r w:rsidR="008243CA">
        <w:t xml:space="preserve"> </w:t>
      </w:r>
      <w:r w:rsidRPr="00E62FE6">
        <w:t>hospitalized</w:t>
      </w:r>
      <w:r w:rsidR="008243CA">
        <w:t xml:space="preserve"> </w:t>
      </w:r>
      <w:r w:rsidRPr="00E62FE6">
        <w:t>and</w:t>
      </w:r>
      <w:r w:rsidR="008243CA">
        <w:t xml:space="preserve"> </w:t>
      </w:r>
      <w:r w:rsidRPr="00E62FE6">
        <w:t>123</w:t>
      </w:r>
      <w:r w:rsidR="008243CA">
        <w:t xml:space="preserve"> </w:t>
      </w:r>
      <w:r w:rsidRPr="00E62FE6">
        <w:t>are</w:t>
      </w:r>
      <w:r w:rsidR="008243CA">
        <w:t xml:space="preserve"> </w:t>
      </w:r>
      <w:r w:rsidRPr="00E62FE6">
        <w:t>receiving</w:t>
      </w:r>
      <w:r w:rsidR="008243CA">
        <w:t xml:space="preserve"> </w:t>
      </w:r>
      <w:r w:rsidRPr="00E62FE6">
        <w:t>specialist</w:t>
      </w:r>
      <w:r w:rsidR="008243CA">
        <w:t xml:space="preserve"> </w:t>
      </w:r>
      <w:r w:rsidRPr="00E62FE6">
        <w:t>care.</w:t>
      </w:r>
      <w:r w:rsidR="008243CA">
        <w:t xml:space="preserve"> </w:t>
      </w:r>
    </w:p>
    <w:p w:rsidR="003F7D03" w:rsidRPr="00E62FE6" w:rsidRDefault="003F7D03" w:rsidP="00C84882">
      <w:pPr>
        <w:pStyle w:val="SingleTxtG"/>
        <w:ind w:left="1701"/>
      </w:pPr>
      <w:r w:rsidRPr="00E62FE6">
        <w:t>(ii)</w:t>
      </w:r>
      <w:r w:rsidRPr="00E62FE6">
        <w:tab/>
      </w:r>
      <w:r w:rsidR="008243CA">
        <w:t xml:space="preserve"> </w:t>
      </w:r>
      <w:r w:rsidRPr="00E62FE6">
        <w:t>The</w:t>
      </w:r>
      <w:r w:rsidR="008243CA">
        <w:t xml:space="preserve"> </w:t>
      </w:r>
      <w:r w:rsidRPr="00E62FE6">
        <w:t>ongoing</w:t>
      </w:r>
      <w:r w:rsidR="008243CA">
        <w:t xml:space="preserve"> </w:t>
      </w:r>
      <w:r w:rsidRPr="00E62FE6">
        <w:t>coordination</w:t>
      </w:r>
      <w:r w:rsidR="008243CA">
        <w:t xml:space="preserve"> </w:t>
      </w:r>
      <w:r w:rsidRPr="00E62FE6">
        <w:t>between</w:t>
      </w:r>
      <w:r w:rsidR="008243CA">
        <w:t xml:space="preserve"> </w:t>
      </w:r>
      <w:r w:rsidRPr="00E62FE6">
        <w:t>the</w:t>
      </w:r>
      <w:r w:rsidR="008243CA">
        <w:t xml:space="preserve"> </w:t>
      </w:r>
      <w:r w:rsidRPr="00E62FE6">
        <w:t>residences</w:t>
      </w:r>
      <w:r w:rsidR="008243CA">
        <w:t xml:space="preserve"> </w:t>
      </w:r>
      <w:r w:rsidRPr="00E62FE6">
        <w:t>of</w:t>
      </w:r>
      <w:r w:rsidR="008243CA">
        <w:t xml:space="preserve"> </w:t>
      </w:r>
      <w:r w:rsidRPr="00E62FE6">
        <w:t>SENAME</w:t>
      </w:r>
      <w:r w:rsidR="008243CA">
        <w:t xml:space="preserve"> </w:t>
      </w:r>
      <w:r w:rsidRPr="00E62FE6">
        <w:t>and</w:t>
      </w:r>
      <w:r w:rsidR="008243CA">
        <w:t xml:space="preserve"> </w:t>
      </w:r>
      <w:r w:rsidRPr="00E62FE6">
        <w:t>the</w:t>
      </w:r>
      <w:r w:rsidR="008243CA">
        <w:t xml:space="preserve"> </w:t>
      </w:r>
      <w:r w:rsidRPr="00E62FE6">
        <w:t>primary</w:t>
      </w:r>
      <w:r w:rsidR="008243CA">
        <w:t xml:space="preserve"> </w:t>
      </w:r>
      <w:r w:rsidRPr="00E62FE6">
        <w:t>health-care</w:t>
      </w:r>
      <w:r w:rsidR="008243CA">
        <w:t xml:space="preserve"> </w:t>
      </w:r>
      <w:r w:rsidRPr="00E62FE6">
        <w:t>centres</w:t>
      </w:r>
      <w:r w:rsidR="008243CA">
        <w:t xml:space="preserve"> </w:t>
      </w:r>
      <w:r w:rsidRPr="00E62FE6">
        <w:t>assigned</w:t>
      </w:r>
      <w:r w:rsidR="008243CA">
        <w:t xml:space="preserve"> </w:t>
      </w:r>
      <w:r w:rsidRPr="00E62FE6">
        <w:t>to</w:t>
      </w:r>
      <w:r w:rsidR="008243CA">
        <w:t xml:space="preserve"> </w:t>
      </w:r>
      <w:r w:rsidRPr="00E62FE6">
        <w:t>them</w:t>
      </w:r>
      <w:r w:rsidR="008243CA">
        <w:t xml:space="preserve"> </w:t>
      </w:r>
      <w:r w:rsidRPr="00E62FE6">
        <w:t>throughout</w:t>
      </w:r>
      <w:r w:rsidR="008243CA">
        <w:t xml:space="preserve"> </w:t>
      </w:r>
      <w:r w:rsidRPr="00E62FE6">
        <w:t>the</w:t>
      </w:r>
      <w:r w:rsidR="008243CA">
        <w:t xml:space="preserve"> </w:t>
      </w:r>
      <w:r w:rsidRPr="00E62FE6">
        <w:t>country</w:t>
      </w:r>
      <w:r w:rsidR="008243CA">
        <w:t xml:space="preserve"> </w:t>
      </w:r>
      <w:r w:rsidRPr="00E62FE6">
        <w:t>has</w:t>
      </w:r>
      <w:r w:rsidR="008243CA">
        <w:t xml:space="preserve"> </w:t>
      </w:r>
      <w:r w:rsidRPr="00E62FE6">
        <w:t>been</w:t>
      </w:r>
      <w:r w:rsidR="008243CA">
        <w:t xml:space="preserve"> </w:t>
      </w:r>
      <w:r w:rsidRPr="00E62FE6">
        <w:t>strengthened</w:t>
      </w:r>
      <w:r w:rsidR="008243CA">
        <w:t xml:space="preserve"> </w:t>
      </w:r>
      <w:r w:rsidRPr="00E62FE6">
        <w:t>to</w:t>
      </w:r>
      <w:r w:rsidR="008243CA">
        <w:t xml:space="preserve"> </w:t>
      </w:r>
      <w:r w:rsidRPr="00E62FE6">
        <w:t>improve</w:t>
      </w:r>
      <w:r w:rsidR="008243CA">
        <w:t xml:space="preserve"> </w:t>
      </w:r>
      <w:r w:rsidRPr="00E62FE6">
        <w:t>the</w:t>
      </w:r>
      <w:r w:rsidR="008243CA">
        <w:t xml:space="preserve"> </w:t>
      </w:r>
      <w:r w:rsidRPr="00E62FE6">
        <w:t>delivery</w:t>
      </w:r>
      <w:r w:rsidR="008243CA">
        <w:t xml:space="preserve"> </w:t>
      </w:r>
      <w:r w:rsidRPr="00E62FE6">
        <w:t>of</w:t>
      </w:r>
      <w:r w:rsidR="008243CA">
        <w:t xml:space="preserve"> </w:t>
      </w:r>
      <w:r w:rsidRPr="00E62FE6">
        <w:t>general</w:t>
      </w:r>
      <w:r w:rsidR="008243CA">
        <w:t xml:space="preserve"> </w:t>
      </w:r>
      <w:r w:rsidRPr="00E62FE6">
        <w:t>health-care</w:t>
      </w:r>
      <w:r w:rsidR="008243CA">
        <w:t xml:space="preserve"> </w:t>
      </w:r>
      <w:r w:rsidRPr="00E62FE6">
        <w:t>services</w:t>
      </w:r>
      <w:r w:rsidR="008243CA">
        <w:t xml:space="preserve"> </w:t>
      </w:r>
      <w:r w:rsidRPr="00E62FE6">
        <w:t>and</w:t>
      </w:r>
      <w:r w:rsidR="008243CA">
        <w:t xml:space="preserve"> </w:t>
      </w:r>
      <w:r w:rsidRPr="00E62FE6">
        <w:t>medical</w:t>
      </w:r>
      <w:r w:rsidR="008243CA">
        <w:t xml:space="preserve"> </w:t>
      </w:r>
      <w:r w:rsidRPr="00E62FE6">
        <w:t>examinations</w:t>
      </w:r>
      <w:r w:rsidR="008243CA">
        <w:t xml:space="preserve"> </w:t>
      </w:r>
      <w:r w:rsidRPr="00E62FE6">
        <w:t>to</w:t>
      </w:r>
      <w:r w:rsidR="008243CA">
        <w:t xml:space="preserve"> </w:t>
      </w:r>
      <w:r w:rsidRPr="00E62FE6">
        <w:t>the</w:t>
      </w:r>
      <w:r w:rsidR="008243CA">
        <w:t xml:space="preserve"> </w:t>
      </w:r>
      <w:r w:rsidRPr="00E62FE6">
        <w:t>children</w:t>
      </w:r>
      <w:r w:rsidR="008243CA">
        <w:t xml:space="preserve"> </w:t>
      </w:r>
      <w:r w:rsidRPr="00E62FE6">
        <w:t>and</w:t>
      </w:r>
      <w:r w:rsidR="008243CA">
        <w:t xml:space="preserve"> </w:t>
      </w:r>
      <w:r w:rsidRPr="00E62FE6">
        <w:t>adolescents</w:t>
      </w:r>
      <w:r w:rsidR="008243CA">
        <w:t xml:space="preserve"> </w:t>
      </w:r>
      <w:r w:rsidRPr="00E62FE6">
        <w:t>in</w:t>
      </w:r>
      <w:r w:rsidR="008243CA">
        <w:t xml:space="preserve"> </w:t>
      </w:r>
      <w:r w:rsidRPr="00E62FE6">
        <w:t>those</w:t>
      </w:r>
      <w:r w:rsidR="008243CA">
        <w:t xml:space="preserve"> </w:t>
      </w:r>
      <w:r w:rsidRPr="00E62FE6">
        <w:t>residences.</w:t>
      </w:r>
      <w:r w:rsidR="008243CA">
        <w:t xml:space="preserve"> </w:t>
      </w:r>
      <w:r w:rsidRPr="00E62FE6">
        <w:t>In</w:t>
      </w:r>
      <w:r w:rsidR="008243CA">
        <w:t xml:space="preserve"> </w:t>
      </w:r>
      <w:r w:rsidRPr="00E62FE6">
        <w:t>order</w:t>
      </w:r>
      <w:r w:rsidR="008243CA">
        <w:t xml:space="preserve"> </w:t>
      </w:r>
      <w:r w:rsidRPr="00E62FE6">
        <w:t>to</w:t>
      </w:r>
      <w:r w:rsidR="008243CA">
        <w:t xml:space="preserve"> </w:t>
      </w:r>
      <w:r w:rsidRPr="00E62FE6">
        <w:t>strengthen</w:t>
      </w:r>
      <w:r w:rsidR="008243CA">
        <w:t xml:space="preserve"> </w:t>
      </w:r>
      <w:r w:rsidRPr="00E62FE6">
        <w:t>this</w:t>
      </w:r>
      <w:r w:rsidR="008243CA">
        <w:t xml:space="preserve"> </w:t>
      </w:r>
      <w:r w:rsidRPr="00E62FE6">
        <w:t>link</w:t>
      </w:r>
      <w:r w:rsidR="008243CA">
        <w:t xml:space="preserve"> </w:t>
      </w:r>
      <w:r w:rsidRPr="00E62FE6">
        <w:t>and</w:t>
      </w:r>
      <w:r w:rsidR="008243CA">
        <w:t xml:space="preserve"> </w:t>
      </w:r>
      <w:r w:rsidRPr="00E62FE6">
        <w:t>to</w:t>
      </w:r>
      <w:r w:rsidR="008243CA">
        <w:t xml:space="preserve"> </w:t>
      </w:r>
      <w:r w:rsidRPr="00E62FE6">
        <w:t>ensure</w:t>
      </w:r>
      <w:r w:rsidR="008243CA">
        <w:t xml:space="preserve"> </w:t>
      </w:r>
      <w:r w:rsidRPr="00E62FE6">
        <w:t>the</w:t>
      </w:r>
      <w:r w:rsidR="008243CA">
        <w:t xml:space="preserve"> </w:t>
      </w:r>
      <w:r w:rsidRPr="00E62FE6">
        <w:t>availability</w:t>
      </w:r>
      <w:r w:rsidR="008243CA">
        <w:t xml:space="preserve"> </w:t>
      </w:r>
      <w:r w:rsidRPr="00E62FE6">
        <w:t>of</w:t>
      </w:r>
      <w:r w:rsidR="008243CA">
        <w:t xml:space="preserve"> </w:t>
      </w:r>
      <w:r w:rsidRPr="00E62FE6">
        <w:t>up-to-date</w:t>
      </w:r>
      <w:r w:rsidR="008243CA">
        <w:t xml:space="preserve"> </w:t>
      </w:r>
      <w:r w:rsidRPr="00E62FE6">
        <w:t>information,</w:t>
      </w:r>
      <w:r w:rsidR="008243CA">
        <w:t xml:space="preserve"> </w:t>
      </w:r>
      <w:r w:rsidRPr="00E62FE6">
        <w:t>visits</w:t>
      </w:r>
      <w:r w:rsidR="008243CA">
        <w:t xml:space="preserve"> </w:t>
      </w:r>
      <w:r w:rsidRPr="00E62FE6">
        <w:t>have</w:t>
      </w:r>
      <w:r w:rsidR="008243CA">
        <w:t xml:space="preserve"> </w:t>
      </w:r>
      <w:r w:rsidRPr="00E62FE6">
        <w:t>been</w:t>
      </w:r>
      <w:r w:rsidR="008243CA">
        <w:t xml:space="preserve"> </w:t>
      </w:r>
      <w:r w:rsidRPr="00E62FE6">
        <w:t>conducted</w:t>
      </w:r>
      <w:r w:rsidR="008243CA">
        <w:t xml:space="preserve"> </w:t>
      </w:r>
      <w:r w:rsidRPr="00E62FE6">
        <w:t>to</w:t>
      </w:r>
      <w:r w:rsidR="008243CA">
        <w:t xml:space="preserve"> </w:t>
      </w:r>
      <w:r w:rsidRPr="00E62FE6">
        <w:t>the</w:t>
      </w:r>
      <w:r w:rsidR="008243CA">
        <w:t xml:space="preserve"> </w:t>
      </w:r>
      <w:r w:rsidRPr="00E62FE6">
        <w:t>161</w:t>
      </w:r>
      <w:r w:rsidR="008243CA">
        <w:t xml:space="preserve"> </w:t>
      </w:r>
      <w:r w:rsidRPr="00E62FE6">
        <w:t>residences,</w:t>
      </w:r>
      <w:r w:rsidR="008243CA">
        <w:t xml:space="preserve"> </w:t>
      </w:r>
      <w:r w:rsidRPr="00E62FE6">
        <w:t>including</w:t>
      </w:r>
      <w:r w:rsidR="008243CA">
        <w:t xml:space="preserve"> </w:t>
      </w:r>
      <w:r w:rsidRPr="00E62FE6">
        <w:t>those</w:t>
      </w:r>
      <w:r w:rsidR="008243CA">
        <w:t xml:space="preserve"> </w:t>
      </w:r>
      <w:r w:rsidRPr="00E62FE6">
        <w:t>under</w:t>
      </w:r>
      <w:r w:rsidR="008243CA">
        <w:t xml:space="preserve"> </w:t>
      </w:r>
      <w:r w:rsidRPr="00E62FE6">
        <w:t>the</w:t>
      </w:r>
      <w:r w:rsidR="008243CA">
        <w:t xml:space="preserve"> </w:t>
      </w:r>
      <w:r w:rsidRPr="00E62FE6">
        <w:t>direct</w:t>
      </w:r>
      <w:r w:rsidR="008243CA">
        <w:t xml:space="preserve"> </w:t>
      </w:r>
      <w:r w:rsidRPr="00E62FE6">
        <w:t>authority</w:t>
      </w:r>
      <w:r w:rsidR="008243CA">
        <w:t xml:space="preserve"> </w:t>
      </w:r>
      <w:r w:rsidRPr="00E62FE6">
        <w:t>of</w:t>
      </w:r>
      <w:r w:rsidR="008243CA">
        <w:t xml:space="preserve"> </w:t>
      </w:r>
      <w:r w:rsidRPr="00E62FE6">
        <w:t>SENAME</w:t>
      </w:r>
      <w:r w:rsidR="008243CA">
        <w:t xml:space="preserve"> </w:t>
      </w:r>
      <w:r w:rsidRPr="00E62FE6">
        <w:t>and</w:t>
      </w:r>
      <w:r w:rsidR="008243CA">
        <w:t xml:space="preserve"> </w:t>
      </w:r>
      <w:r w:rsidRPr="00E62FE6">
        <w:t>those</w:t>
      </w:r>
      <w:r w:rsidR="008243CA">
        <w:t xml:space="preserve"> </w:t>
      </w:r>
      <w:r w:rsidRPr="00E62FE6">
        <w:t>run</w:t>
      </w:r>
      <w:r w:rsidR="008243CA">
        <w:t xml:space="preserve"> </w:t>
      </w:r>
      <w:r w:rsidRPr="00E62FE6">
        <w:t>by</w:t>
      </w:r>
      <w:r w:rsidR="008243CA">
        <w:t xml:space="preserve"> </w:t>
      </w:r>
      <w:r w:rsidRPr="00E62FE6">
        <w:t>third</w:t>
      </w:r>
      <w:r w:rsidR="008243CA">
        <w:t xml:space="preserve"> </w:t>
      </w:r>
      <w:r w:rsidRPr="00E62FE6">
        <w:t>parties,</w:t>
      </w:r>
      <w:r w:rsidR="008243CA">
        <w:t xml:space="preserve"> </w:t>
      </w:r>
      <w:r w:rsidRPr="00E62FE6">
        <w:t>to</w:t>
      </w:r>
      <w:r w:rsidR="008243CA">
        <w:t xml:space="preserve"> </w:t>
      </w:r>
      <w:r w:rsidRPr="00E62FE6">
        <w:t>check</w:t>
      </w:r>
      <w:r w:rsidR="008243CA">
        <w:t xml:space="preserve"> </w:t>
      </w:r>
      <w:r w:rsidRPr="00E62FE6">
        <w:t>the</w:t>
      </w:r>
      <w:r w:rsidR="008243CA">
        <w:t xml:space="preserve"> </w:t>
      </w:r>
      <w:r w:rsidRPr="00E62FE6">
        <w:t>state</w:t>
      </w:r>
      <w:r w:rsidR="008243CA">
        <w:t xml:space="preserve"> </w:t>
      </w:r>
      <w:r w:rsidRPr="00E62FE6">
        <w:t>of</w:t>
      </w:r>
      <w:r w:rsidR="008243CA">
        <w:t xml:space="preserve"> </w:t>
      </w:r>
      <w:r w:rsidRPr="00E62FE6">
        <w:t>health</w:t>
      </w:r>
      <w:r w:rsidR="008243CA">
        <w:t xml:space="preserve"> </w:t>
      </w:r>
      <w:r w:rsidRPr="00E62FE6">
        <w:t>of</w:t>
      </w:r>
      <w:r w:rsidR="008243CA">
        <w:t xml:space="preserve"> </w:t>
      </w:r>
      <w:r w:rsidRPr="00E62FE6">
        <w:t>8,377</w:t>
      </w:r>
      <w:r w:rsidR="008243CA">
        <w:t xml:space="preserve"> </w:t>
      </w:r>
      <w:r w:rsidRPr="00E62FE6">
        <w:t>children</w:t>
      </w:r>
      <w:r w:rsidR="008243CA">
        <w:t xml:space="preserve"> </w:t>
      </w:r>
      <w:r w:rsidRPr="00E62FE6">
        <w:t>and</w:t>
      </w:r>
      <w:r w:rsidR="008243CA">
        <w:t xml:space="preserve"> </w:t>
      </w:r>
      <w:r w:rsidRPr="00E62FE6">
        <w:t>adolescents,</w:t>
      </w:r>
      <w:r w:rsidR="008243CA">
        <w:t xml:space="preserve"> </w:t>
      </w:r>
      <w:r w:rsidRPr="00E62FE6">
        <w:t>who</w:t>
      </w:r>
      <w:r w:rsidR="008243CA">
        <w:t xml:space="preserve"> </w:t>
      </w:r>
      <w:r w:rsidRPr="00E62FE6">
        <w:t>accounted</w:t>
      </w:r>
      <w:r w:rsidR="008243CA">
        <w:t xml:space="preserve"> </w:t>
      </w:r>
      <w:r w:rsidRPr="00E62FE6">
        <w:t>for</w:t>
      </w:r>
      <w:r w:rsidR="008243CA">
        <w:t xml:space="preserve"> </w:t>
      </w:r>
      <w:r w:rsidRPr="00E62FE6">
        <w:t>98.06</w:t>
      </w:r>
      <w:r w:rsidR="008243CA">
        <w:t xml:space="preserve"> </w:t>
      </w:r>
      <w:r w:rsidRPr="00E62FE6">
        <w:t>per</w:t>
      </w:r>
      <w:r w:rsidR="008243CA">
        <w:t xml:space="preserve"> </w:t>
      </w:r>
      <w:r w:rsidRPr="00E62FE6">
        <w:t>cent</w:t>
      </w:r>
      <w:r w:rsidR="008243CA">
        <w:t xml:space="preserve"> </w:t>
      </w:r>
      <w:r w:rsidRPr="00E62FE6">
        <w:t>of</w:t>
      </w:r>
      <w:r w:rsidR="008243CA">
        <w:t xml:space="preserve"> </w:t>
      </w:r>
      <w:r w:rsidRPr="00E62FE6">
        <w:t>those</w:t>
      </w:r>
      <w:r w:rsidR="008243CA">
        <w:t xml:space="preserve"> </w:t>
      </w:r>
      <w:r w:rsidRPr="00E62FE6">
        <w:t>present</w:t>
      </w:r>
      <w:r w:rsidR="008243CA">
        <w:t xml:space="preserve"> </w:t>
      </w:r>
      <w:r w:rsidRPr="00E62FE6">
        <w:t>in</w:t>
      </w:r>
      <w:r w:rsidR="008243CA">
        <w:t xml:space="preserve"> </w:t>
      </w:r>
      <w:r w:rsidRPr="00E62FE6">
        <w:t>the</w:t>
      </w:r>
      <w:r w:rsidR="008243CA">
        <w:t xml:space="preserve"> </w:t>
      </w:r>
      <w:r w:rsidRPr="00E62FE6">
        <w:t>residences.</w:t>
      </w:r>
      <w:r w:rsidR="008243CA">
        <w:t xml:space="preserve"> </w:t>
      </w:r>
    </w:p>
    <w:p w:rsidR="003F7D03" w:rsidRPr="00E62FE6" w:rsidRDefault="003F7D03" w:rsidP="00C84882">
      <w:pPr>
        <w:pStyle w:val="SingleTxtG"/>
        <w:ind w:left="1701"/>
      </w:pPr>
      <w:r w:rsidRPr="00E62FE6">
        <w:t>(iii)</w:t>
      </w:r>
      <w:r w:rsidRPr="00E62FE6">
        <w:tab/>
        <w:t>The</w:t>
      </w:r>
      <w:r w:rsidR="008243CA">
        <w:t xml:space="preserve"> </w:t>
      </w:r>
      <w:r w:rsidRPr="00E62FE6">
        <w:t>results</w:t>
      </w:r>
      <w:r w:rsidR="008243CA">
        <w:t xml:space="preserve"> </w:t>
      </w:r>
      <w:r w:rsidRPr="00E62FE6">
        <w:t>of</w:t>
      </w:r>
      <w:r w:rsidR="008243CA">
        <w:t xml:space="preserve"> </w:t>
      </w:r>
      <w:r w:rsidRPr="00E62FE6">
        <w:t>screening</w:t>
      </w:r>
      <w:r w:rsidR="008243CA">
        <w:t xml:space="preserve"> </w:t>
      </w:r>
      <w:r w:rsidRPr="00E62FE6">
        <w:t>tests</w:t>
      </w:r>
      <w:r w:rsidR="008243CA">
        <w:t xml:space="preserve"> </w:t>
      </w:r>
      <w:r w:rsidRPr="00E62FE6">
        <w:t>and</w:t>
      </w:r>
      <w:r w:rsidR="008243CA">
        <w:t xml:space="preserve"> </w:t>
      </w:r>
      <w:r w:rsidRPr="00E62FE6">
        <w:t>data</w:t>
      </w:r>
      <w:r w:rsidR="008243CA">
        <w:t xml:space="preserve"> </w:t>
      </w:r>
      <w:r w:rsidRPr="00E62FE6">
        <w:t>cross-checked</w:t>
      </w:r>
      <w:r w:rsidR="008243CA">
        <w:t xml:space="preserve"> </w:t>
      </w:r>
      <w:r w:rsidRPr="00E62FE6">
        <w:t>with</w:t>
      </w:r>
      <w:r w:rsidR="008243CA">
        <w:t xml:space="preserve"> </w:t>
      </w:r>
      <w:r w:rsidRPr="00E62FE6">
        <w:t>the</w:t>
      </w:r>
      <w:r w:rsidR="008243CA">
        <w:t xml:space="preserve"> </w:t>
      </w:r>
      <w:r w:rsidRPr="00E62FE6">
        <w:t>record</w:t>
      </w:r>
      <w:r w:rsidR="008243CA">
        <w:t xml:space="preserve"> </w:t>
      </w:r>
      <w:r w:rsidRPr="00E62FE6">
        <w:t>of</w:t>
      </w:r>
      <w:r w:rsidR="008243CA">
        <w:t xml:space="preserve"> </w:t>
      </w:r>
      <w:r w:rsidRPr="00E62FE6">
        <w:t>waiting</w:t>
      </w:r>
      <w:r w:rsidR="008243CA">
        <w:t xml:space="preserve"> </w:t>
      </w:r>
      <w:r w:rsidRPr="00E62FE6">
        <w:t>times</w:t>
      </w:r>
      <w:r w:rsidR="008243CA">
        <w:t xml:space="preserve"> </w:t>
      </w:r>
      <w:r w:rsidRPr="00E62FE6">
        <w:t>kept</w:t>
      </w:r>
      <w:r w:rsidR="008243CA">
        <w:t xml:space="preserve"> </w:t>
      </w:r>
      <w:r w:rsidRPr="00E62FE6">
        <w:t>by</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Health</w:t>
      </w:r>
      <w:r w:rsidR="008243CA">
        <w:t xml:space="preserve"> </w:t>
      </w:r>
      <w:r w:rsidRPr="00E62FE6">
        <w:t>were</w:t>
      </w:r>
      <w:r w:rsidR="008243CA">
        <w:t xml:space="preserve"> </w:t>
      </w:r>
      <w:r w:rsidRPr="00E62FE6">
        <w:t>used</w:t>
      </w:r>
      <w:r w:rsidR="008243CA">
        <w:t xml:space="preserve"> </w:t>
      </w:r>
      <w:r w:rsidRPr="00E62FE6">
        <w:t>to</w:t>
      </w:r>
      <w:r w:rsidR="008243CA">
        <w:t xml:space="preserve"> </w:t>
      </w:r>
      <w:r w:rsidRPr="00E62FE6">
        <w:t>identify</w:t>
      </w:r>
      <w:r w:rsidR="008243CA">
        <w:t xml:space="preserve"> </w:t>
      </w:r>
      <w:r w:rsidRPr="00E62FE6">
        <w:t>2,011</w:t>
      </w:r>
      <w:r w:rsidR="008243CA">
        <w:t xml:space="preserve"> </w:t>
      </w:r>
      <w:r w:rsidRPr="00E62FE6">
        <w:t>children</w:t>
      </w:r>
      <w:r w:rsidR="008243CA">
        <w:t xml:space="preserve"> </w:t>
      </w:r>
      <w:r w:rsidRPr="00E62FE6">
        <w:t>and</w:t>
      </w:r>
      <w:r w:rsidR="008243CA">
        <w:t xml:space="preserve"> </w:t>
      </w:r>
      <w:r w:rsidRPr="00E62FE6">
        <w:t>adolescents</w:t>
      </w:r>
      <w:r w:rsidR="008243CA">
        <w:t xml:space="preserve"> </w:t>
      </w:r>
      <w:r w:rsidRPr="00E62FE6">
        <w:t>requiring</w:t>
      </w:r>
      <w:r w:rsidR="008243CA">
        <w:t xml:space="preserve"> </w:t>
      </w:r>
      <w:r w:rsidRPr="00E62FE6">
        <w:t>different</w:t>
      </w:r>
      <w:r w:rsidR="008243CA">
        <w:t xml:space="preserve"> </w:t>
      </w:r>
      <w:r w:rsidRPr="00E62FE6">
        <w:t>types</w:t>
      </w:r>
      <w:r w:rsidR="008243CA">
        <w:t xml:space="preserve"> </w:t>
      </w:r>
      <w:r w:rsidRPr="00E62FE6">
        <w:t>of</w:t>
      </w:r>
      <w:r w:rsidR="008243CA">
        <w:t xml:space="preserve"> </w:t>
      </w:r>
      <w:r w:rsidRPr="00E62FE6">
        <w:t>specialist</w:t>
      </w:r>
      <w:r w:rsidR="008243CA">
        <w:t xml:space="preserve"> </w:t>
      </w:r>
      <w:r w:rsidRPr="00E62FE6">
        <w:t>treatment.</w:t>
      </w:r>
      <w:r w:rsidR="008243CA">
        <w:t xml:space="preserve"> </w:t>
      </w:r>
      <w:r w:rsidRPr="00E62FE6">
        <w:t>These</w:t>
      </w:r>
      <w:r w:rsidR="008243CA">
        <w:t xml:space="preserve"> </w:t>
      </w:r>
      <w:r w:rsidRPr="00E62FE6">
        <w:t>children</w:t>
      </w:r>
      <w:r w:rsidR="008243CA">
        <w:t xml:space="preserve"> </w:t>
      </w:r>
      <w:r w:rsidRPr="00E62FE6">
        <w:t>receive</w:t>
      </w:r>
      <w:r w:rsidR="008243CA">
        <w:t xml:space="preserve"> </w:t>
      </w:r>
      <w:r w:rsidRPr="00E62FE6">
        <w:t>priority</w:t>
      </w:r>
      <w:r w:rsidR="008243CA">
        <w:t xml:space="preserve"> </w:t>
      </w:r>
      <w:r w:rsidRPr="00E62FE6">
        <w:t>care</w:t>
      </w:r>
      <w:r w:rsidR="008243CA">
        <w:t xml:space="preserve"> </w:t>
      </w:r>
      <w:r w:rsidRPr="00E62FE6">
        <w:t>at</w:t>
      </w:r>
      <w:r w:rsidR="008243CA">
        <w:t xml:space="preserve"> </w:t>
      </w:r>
      <w:r w:rsidRPr="00E62FE6">
        <w:t>each</w:t>
      </w:r>
      <w:r w:rsidR="008243CA">
        <w:t xml:space="preserve"> </w:t>
      </w:r>
      <w:r w:rsidRPr="00E62FE6">
        <w:t>of</w:t>
      </w:r>
      <w:r w:rsidR="008243CA">
        <w:t xml:space="preserve"> </w:t>
      </w:r>
      <w:r w:rsidRPr="00E62FE6">
        <w:t>the</w:t>
      </w:r>
      <w:r w:rsidR="008243CA">
        <w:t xml:space="preserve"> </w:t>
      </w:r>
      <w:r w:rsidRPr="00E62FE6">
        <w:t>country</w:t>
      </w:r>
      <w:r w:rsidR="00116F0B">
        <w:t>’</w:t>
      </w:r>
      <w:r w:rsidRPr="00E62FE6">
        <w:t>s</w:t>
      </w:r>
      <w:r w:rsidR="008243CA">
        <w:t xml:space="preserve"> </w:t>
      </w:r>
      <w:r w:rsidRPr="00E62FE6">
        <w:t>29</w:t>
      </w:r>
      <w:r w:rsidR="008243CA">
        <w:t xml:space="preserve"> </w:t>
      </w:r>
      <w:r w:rsidRPr="00E62FE6">
        <w:t>health-care</w:t>
      </w:r>
      <w:r w:rsidR="008243CA">
        <w:t xml:space="preserve"> </w:t>
      </w:r>
      <w:r w:rsidRPr="00E62FE6">
        <w:t>centres;</w:t>
      </w:r>
      <w:r w:rsidR="008243CA">
        <w:t xml:space="preserve"> </w:t>
      </w:r>
      <w:r w:rsidRPr="00E62FE6">
        <w:t>as</w:t>
      </w:r>
      <w:r w:rsidR="008243CA">
        <w:t xml:space="preserve"> </w:t>
      </w:r>
      <w:r w:rsidRPr="00E62FE6">
        <w:t>patients</w:t>
      </w:r>
      <w:r w:rsidR="008243CA">
        <w:t xml:space="preserve"> </w:t>
      </w:r>
      <w:r w:rsidRPr="00E62FE6">
        <w:t>in</w:t>
      </w:r>
      <w:r w:rsidR="008243CA">
        <w:t xml:space="preserve"> </w:t>
      </w:r>
      <w:r w:rsidRPr="00E62FE6">
        <w:t>need</w:t>
      </w:r>
      <w:r w:rsidR="008243CA">
        <w:t xml:space="preserve"> </w:t>
      </w:r>
      <w:r w:rsidRPr="00E62FE6">
        <w:t>of</w:t>
      </w:r>
      <w:r w:rsidR="008243CA">
        <w:t xml:space="preserve"> </w:t>
      </w:r>
      <w:r w:rsidRPr="00E62FE6">
        <w:t>specialist</w:t>
      </w:r>
      <w:r w:rsidR="008243CA">
        <w:t xml:space="preserve"> </w:t>
      </w:r>
      <w:r w:rsidRPr="00E62FE6">
        <w:t>and/or</w:t>
      </w:r>
      <w:r w:rsidR="008243CA">
        <w:t xml:space="preserve"> </w:t>
      </w:r>
      <w:r w:rsidRPr="00E62FE6">
        <w:t>surgical</w:t>
      </w:r>
      <w:r w:rsidR="008243CA">
        <w:t xml:space="preserve"> </w:t>
      </w:r>
      <w:r w:rsidRPr="00E62FE6">
        <w:t>treatment,</w:t>
      </w:r>
      <w:r w:rsidR="008243CA">
        <w:t xml:space="preserve"> </w:t>
      </w:r>
      <w:r w:rsidRPr="00E62FE6">
        <w:t>receive</w:t>
      </w:r>
      <w:r w:rsidR="008243CA">
        <w:t xml:space="preserve"> </w:t>
      </w:r>
      <w:r w:rsidRPr="00E62FE6">
        <w:t>a</w:t>
      </w:r>
      <w:r w:rsidR="008243CA">
        <w:t xml:space="preserve"> </w:t>
      </w:r>
      <w:r w:rsidRPr="00E62FE6">
        <w:t>weekly</w:t>
      </w:r>
      <w:r w:rsidR="008243CA">
        <w:t xml:space="preserve"> </w:t>
      </w:r>
      <w:r w:rsidRPr="00E62FE6">
        <w:t>check-up</w:t>
      </w:r>
      <w:r w:rsidR="008243CA">
        <w:t xml:space="preserve"> </w:t>
      </w:r>
      <w:r w:rsidRPr="00E62FE6">
        <w:t>from</w:t>
      </w:r>
      <w:r w:rsidR="008243CA">
        <w:t xml:space="preserve"> </w:t>
      </w:r>
      <w:r w:rsidRPr="00E62FE6">
        <w:t>a</w:t>
      </w:r>
      <w:r w:rsidR="008243CA">
        <w:t xml:space="preserve"> </w:t>
      </w:r>
      <w:r w:rsidRPr="00E62FE6">
        <w:t>professional</w:t>
      </w:r>
      <w:r w:rsidR="008243CA">
        <w:t xml:space="preserve"> </w:t>
      </w:r>
      <w:r w:rsidRPr="00E62FE6">
        <w:t>case</w:t>
      </w:r>
      <w:r w:rsidR="008243CA">
        <w:t xml:space="preserve"> </w:t>
      </w:r>
      <w:r w:rsidRPr="00E62FE6">
        <w:t>manager</w:t>
      </w:r>
      <w:r w:rsidR="008243CA">
        <w:t xml:space="preserve"> </w:t>
      </w:r>
      <w:r w:rsidRPr="00E62FE6">
        <w:t>specializing</w:t>
      </w:r>
      <w:r w:rsidR="008243CA">
        <w:t xml:space="preserve"> </w:t>
      </w:r>
      <w:r w:rsidRPr="00E62FE6">
        <w:t>in</w:t>
      </w:r>
      <w:r w:rsidR="008243CA">
        <w:t xml:space="preserve"> </w:t>
      </w:r>
      <w:r w:rsidRPr="00E62FE6">
        <w:t>the</w:t>
      </w:r>
      <w:r w:rsidR="008243CA">
        <w:t xml:space="preserve"> </w:t>
      </w:r>
      <w:r w:rsidRPr="00E62FE6">
        <w:t>health</w:t>
      </w:r>
      <w:r w:rsidR="008243CA">
        <w:t xml:space="preserve"> </w:t>
      </w:r>
      <w:r w:rsidRPr="00E62FE6">
        <w:t>of</w:t>
      </w:r>
      <w:r w:rsidR="008243CA">
        <w:t xml:space="preserve"> </w:t>
      </w:r>
      <w:r w:rsidRPr="00E62FE6">
        <w:t>children</w:t>
      </w:r>
      <w:r w:rsidR="008243CA">
        <w:t xml:space="preserve"> </w:t>
      </w:r>
      <w:r w:rsidRPr="00E62FE6">
        <w:t>and</w:t>
      </w:r>
      <w:r w:rsidR="008243CA">
        <w:t xml:space="preserve"> </w:t>
      </w:r>
      <w:r w:rsidRPr="00E62FE6">
        <w:t>adolescents</w:t>
      </w:r>
      <w:r w:rsidR="008243CA">
        <w:t xml:space="preserve"> </w:t>
      </w:r>
      <w:r w:rsidRPr="00E62FE6">
        <w:t>in</w:t>
      </w:r>
      <w:r w:rsidR="008243CA">
        <w:t xml:space="preserve"> </w:t>
      </w:r>
      <w:r w:rsidRPr="00E62FE6">
        <w:t>the</w:t>
      </w:r>
      <w:r w:rsidR="008243CA">
        <w:t xml:space="preserve"> </w:t>
      </w:r>
      <w:r w:rsidRPr="00E62FE6">
        <w:t>care</w:t>
      </w:r>
      <w:r w:rsidR="008243CA">
        <w:t xml:space="preserve"> </w:t>
      </w:r>
      <w:r w:rsidRPr="00E62FE6">
        <w:t>of</w:t>
      </w:r>
      <w:r w:rsidR="008243CA">
        <w:t xml:space="preserve"> </w:t>
      </w:r>
      <w:r w:rsidRPr="00E62FE6">
        <w:t>SENAME.</w:t>
      </w:r>
      <w:r w:rsidR="008243CA">
        <w:t xml:space="preserve"> </w:t>
      </w:r>
    </w:p>
    <w:p w:rsidR="003F7D03" w:rsidRPr="00E62FE6" w:rsidRDefault="003F7D03" w:rsidP="00C84882">
      <w:pPr>
        <w:pStyle w:val="SingleTxtG"/>
        <w:ind w:left="1701"/>
      </w:pPr>
      <w:r w:rsidRPr="00E62FE6">
        <w:t>(iv)</w:t>
      </w:r>
      <w:r w:rsidRPr="00E62FE6">
        <w:tab/>
        <w:t>Furthermore,</w:t>
      </w:r>
      <w:r w:rsidR="008243CA">
        <w:t xml:space="preserve"> </w:t>
      </w:r>
      <w:r w:rsidRPr="00E62FE6">
        <w:t>additional</w:t>
      </w:r>
      <w:r w:rsidR="008243CA">
        <w:t xml:space="preserve"> </w:t>
      </w:r>
      <w:r w:rsidRPr="00E62FE6">
        <w:t>resources</w:t>
      </w:r>
      <w:r w:rsidR="008243CA">
        <w:t xml:space="preserve"> </w:t>
      </w:r>
      <w:r w:rsidRPr="00E62FE6">
        <w:t>have</w:t>
      </w:r>
      <w:r w:rsidR="008243CA">
        <w:t xml:space="preserve"> </w:t>
      </w:r>
      <w:r w:rsidRPr="00E62FE6">
        <w:t>been</w:t>
      </w:r>
      <w:r w:rsidR="008243CA">
        <w:t xml:space="preserve"> </w:t>
      </w:r>
      <w:r w:rsidRPr="00E62FE6">
        <w:t>earmarked</w:t>
      </w:r>
      <w:r w:rsidR="008243CA">
        <w:t xml:space="preserve"> </w:t>
      </w:r>
      <w:r w:rsidRPr="00E62FE6">
        <w:t>in</w:t>
      </w:r>
      <w:r w:rsidR="008243CA">
        <w:t xml:space="preserve"> </w:t>
      </w:r>
      <w:r w:rsidRPr="00E62FE6">
        <w:t>the</w:t>
      </w:r>
      <w:r w:rsidR="008243CA">
        <w:t xml:space="preserve"> </w:t>
      </w:r>
      <w:r w:rsidRPr="00E62FE6">
        <w:t>2017</w:t>
      </w:r>
      <w:r w:rsidR="008243CA">
        <w:t xml:space="preserve"> </w:t>
      </w:r>
      <w:r w:rsidRPr="00E62FE6">
        <w:t>national</w:t>
      </w:r>
      <w:r w:rsidR="008243CA">
        <w:t xml:space="preserve"> </w:t>
      </w:r>
      <w:r w:rsidRPr="00E62FE6">
        <w:t>budget</w:t>
      </w:r>
      <w:r w:rsidR="008243CA">
        <w:t xml:space="preserve"> </w:t>
      </w:r>
      <w:r w:rsidRPr="00E62FE6">
        <w:t>with</w:t>
      </w:r>
      <w:r w:rsidR="008243CA">
        <w:t xml:space="preserve"> </w:t>
      </w:r>
      <w:r w:rsidRPr="00E62FE6">
        <w:t>the</w:t>
      </w:r>
      <w:r w:rsidR="008243CA">
        <w:t xml:space="preserve"> </w:t>
      </w:r>
      <w:r w:rsidRPr="00E62FE6">
        <w:t>aim</w:t>
      </w:r>
      <w:r w:rsidR="008243CA">
        <w:t xml:space="preserve"> </w:t>
      </w:r>
      <w:r w:rsidRPr="00E62FE6">
        <w:t>of</w:t>
      </w:r>
      <w:r w:rsidR="008243CA">
        <w:t xml:space="preserve"> </w:t>
      </w:r>
      <w:r w:rsidRPr="00E62FE6">
        <w:t>improving</w:t>
      </w:r>
      <w:r w:rsidR="008243CA">
        <w:t xml:space="preserve"> </w:t>
      </w:r>
      <w:r w:rsidRPr="00E62FE6">
        <w:t>the</w:t>
      </w:r>
      <w:r w:rsidR="008243CA">
        <w:t xml:space="preserve"> </w:t>
      </w:r>
      <w:r w:rsidRPr="00E62FE6">
        <w:t>comprehensive</w:t>
      </w:r>
      <w:r w:rsidR="008243CA">
        <w:t xml:space="preserve"> </w:t>
      </w:r>
      <w:r w:rsidRPr="00E62FE6">
        <w:t>health</w:t>
      </w:r>
      <w:r w:rsidR="008243CA">
        <w:t xml:space="preserve"> </w:t>
      </w:r>
      <w:r w:rsidRPr="00E62FE6">
        <w:t>care</w:t>
      </w:r>
      <w:r w:rsidR="008243CA">
        <w:t xml:space="preserve"> </w:t>
      </w:r>
      <w:r w:rsidRPr="00E62FE6">
        <w:t>delivered</w:t>
      </w:r>
      <w:r w:rsidR="008243CA">
        <w:t xml:space="preserve"> </w:t>
      </w:r>
      <w:r w:rsidRPr="00E62FE6">
        <w:t>by</w:t>
      </w:r>
      <w:r w:rsidR="008243CA">
        <w:t xml:space="preserve"> </w:t>
      </w:r>
      <w:r w:rsidRPr="00E62FE6">
        <w:t>six</w:t>
      </w:r>
      <w:r w:rsidR="008243CA">
        <w:t xml:space="preserve"> </w:t>
      </w:r>
      <w:r w:rsidRPr="00E62FE6">
        <w:t>health-care</w:t>
      </w:r>
      <w:r w:rsidR="008243CA">
        <w:t xml:space="preserve"> </w:t>
      </w:r>
      <w:r w:rsidRPr="00E62FE6">
        <w:t>centres,</w:t>
      </w:r>
      <w:r w:rsidR="008243CA">
        <w:t xml:space="preserve"> </w:t>
      </w:r>
      <w:r w:rsidRPr="00E62FE6">
        <w:t>with</w:t>
      </w:r>
      <w:r w:rsidR="008243CA">
        <w:t xml:space="preserve"> </w:t>
      </w:r>
      <w:r w:rsidRPr="00E62FE6">
        <w:t>a</w:t>
      </w:r>
      <w:r w:rsidR="008243CA">
        <w:t xml:space="preserve"> </w:t>
      </w:r>
      <w:r w:rsidRPr="00E62FE6">
        <w:t>focus</w:t>
      </w:r>
      <w:r w:rsidR="008243CA">
        <w:t xml:space="preserve"> </w:t>
      </w:r>
      <w:r w:rsidRPr="00E62FE6">
        <w:t>on</w:t>
      </w:r>
      <w:r w:rsidR="008243CA">
        <w:t xml:space="preserve"> </w:t>
      </w:r>
      <w:r w:rsidRPr="00E62FE6">
        <w:t>mental</w:t>
      </w:r>
      <w:r w:rsidR="008243CA">
        <w:t xml:space="preserve"> </w:t>
      </w:r>
      <w:r w:rsidRPr="00E62FE6">
        <w:t>health</w:t>
      </w:r>
      <w:r w:rsidR="008243CA">
        <w:t xml:space="preserve"> </w:t>
      </w:r>
      <w:r w:rsidRPr="00E62FE6">
        <w:t>care.</w:t>
      </w:r>
      <w:r w:rsidR="008243CA">
        <w:t xml:space="preserve"> </w:t>
      </w:r>
    </w:p>
    <w:p w:rsidR="003F7D03" w:rsidRPr="00E62FE6" w:rsidRDefault="00C84882" w:rsidP="000C6D98">
      <w:pPr>
        <w:pStyle w:val="SingleTxtG"/>
      </w:pPr>
      <w:r>
        <w:tab/>
      </w:r>
      <w:r w:rsidR="003F7D03" w:rsidRPr="00E62FE6">
        <w:t>(3)</w:t>
      </w:r>
      <w:r w:rsidR="003F7D03" w:rsidRPr="00E62FE6">
        <w:tab/>
        <w:t>The</w:t>
      </w:r>
      <w:r w:rsidR="008243CA">
        <w:t xml:space="preserve"> </w:t>
      </w:r>
      <w:r w:rsidR="003F7D03" w:rsidRPr="00E62FE6">
        <w:t>framework</w:t>
      </w:r>
      <w:r w:rsidR="008243CA">
        <w:t xml:space="preserve"> </w:t>
      </w:r>
      <w:r w:rsidR="003F7D03" w:rsidRPr="00E62FE6">
        <w:t>cooperation</w:t>
      </w:r>
      <w:r w:rsidR="008243CA">
        <w:t xml:space="preserve"> </w:t>
      </w:r>
      <w:r w:rsidR="003F7D03" w:rsidRPr="00E62FE6">
        <w:t>agreement</w:t>
      </w:r>
      <w:r w:rsidR="008243CA">
        <w:t xml:space="preserve"> </w:t>
      </w:r>
      <w:r w:rsidR="003F7D03" w:rsidRPr="00E62FE6">
        <w:t>between</w:t>
      </w:r>
      <w:r w:rsidR="008243CA">
        <w:t xml:space="preserve"> </w:t>
      </w:r>
      <w:r w:rsidR="003F7D03" w:rsidRPr="00E62FE6">
        <w:t>the</w:t>
      </w:r>
      <w:r w:rsidR="008243CA">
        <w:t xml:space="preserve"> </w:t>
      </w:r>
      <w:r w:rsidR="003F7D03" w:rsidRPr="00E62FE6">
        <w:t>Ministry</w:t>
      </w:r>
      <w:r w:rsidR="008243CA">
        <w:t xml:space="preserve"> </w:t>
      </w:r>
      <w:r w:rsidR="003F7D03" w:rsidRPr="00E62FE6">
        <w:t>of</w:t>
      </w:r>
      <w:r w:rsidR="008243CA">
        <w:t xml:space="preserve"> </w:t>
      </w:r>
      <w:r w:rsidR="003F7D03" w:rsidRPr="00E62FE6">
        <w:t>Justice</w:t>
      </w:r>
      <w:r w:rsidR="008243CA">
        <w:t xml:space="preserve"> </w:t>
      </w:r>
      <w:r w:rsidR="003F7D03" w:rsidRPr="00E62FE6">
        <w:t>and</w:t>
      </w:r>
      <w:r w:rsidR="008243CA">
        <w:t xml:space="preserve"> </w:t>
      </w:r>
      <w:r w:rsidR="003F7D03" w:rsidRPr="00E62FE6">
        <w:t>Human</w:t>
      </w:r>
      <w:r w:rsidR="008243CA">
        <w:t xml:space="preserve"> </w:t>
      </w:r>
      <w:r w:rsidR="003F7D03" w:rsidRPr="00E62FE6">
        <w:t>Rights,</w:t>
      </w:r>
      <w:r w:rsidR="008243CA">
        <w:t xml:space="preserve"> </w:t>
      </w:r>
      <w:r w:rsidR="003F7D03" w:rsidRPr="00E62FE6">
        <w:t>the</w:t>
      </w:r>
      <w:r w:rsidR="008243CA">
        <w:t xml:space="preserve"> </w:t>
      </w:r>
      <w:r w:rsidR="003F7D03" w:rsidRPr="00E62FE6">
        <w:t>Ministry</w:t>
      </w:r>
      <w:r w:rsidR="008243CA">
        <w:t xml:space="preserve"> </w:t>
      </w:r>
      <w:r w:rsidR="003F7D03" w:rsidRPr="00E62FE6">
        <w:t>of</w:t>
      </w:r>
      <w:r w:rsidR="008243CA">
        <w:t xml:space="preserve"> </w:t>
      </w:r>
      <w:r w:rsidR="003F7D03" w:rsidRPr="00E62FE6">
        <w:t>Health,</w:t>
      </w:r>
      <w:r w:rsidR="008243CA">
        <w:t xml:space="preserve"> </w:t>
      </w:r>
      <w:r w:rsidR="003F7D03" w:rsidRPr="00E62FE6">
        <w:t>the</w:t>
      </w:r>
      <w:r w:rsidR="008243CA">
        <w:t xml:space="preserve"> </w:t>
      </w:r>
      <w:r w:rsidR="003F7D03" w:rsidRPr="00E62FE6">
        <w:t>Prison</w:t>
      </w:r>
      <w:r w:rsidR="008243CA">
        <w:t xml:space="preserve"> </w:t>
      </w:r>
      <w:r w:rsidR="003F7D03" w:rsidRPr="00E62FE6">
        <w:t>Service,</w:t>
      </w:r>
      <w:r w:rsidR="008243CA">
        <w:t xml:space="preserve"> </w:t>
      </w:r>
      <w:r w:rsidR="003F7D03" w:rsidRPr="00E62FE6">
        <w:t>the</w:t>
      </w:r>
      <w:r w:rsidR="008243CA">
        <w:t xml:space="preserve"> </w:t>
      </w:r>
      <w:r w:rsidR="003F7D03" w:rsidRPr="00E62FE6">
        <w:t>National</w:t>
      </w:r>
      <w:r w:rsidR="008243CA">
        <w:t xml:space="preserve"> </w:t>
      </w:r>
      <w:r w:rsidR="003F7D03" w:rsidRPr="00E62FE6">
        <w:t>Health</w:t>
      </w:r>
      <w:r w:rsidR="008243CA">
        <w:t xml:space="preserve"> </w:t>
      </w:r>
      <w:r w:rsidR="003F7D03" w:rsidRPr="00E62FE6">
        <w:t>Fund</w:t>
      </w:r>
      <w:r w:rsidR="008243CA">
        <w:t xml:space="preserve"> </w:t>
      </w:r>
      <w:r w:rsidR="003F7D03" w:rsidRPr="00E62FE6">
        <w:t>and</w:t>
      </w:r>
      <w:r w:rsidR="008243CA">
        <w:t xml:space="preserve"> </w:t>
      </w:r>
      <w:r w:rsidR="003F7D03" w:rsidRPr="00E62FE6">
        <w:t>the</w:t>
      </w:r>
      <w:r w:rsidR="008243CA">
        <w:t xml:space="preserve"> </w:t>
      </w:r>
      <w:r w:rsidR="003F7D03" w:rsidRPr="00E62FE6">
        <w:t>Office</w:t>
      </w:r>
      <w:r w:rsidR="008243CA">
        <w:t xml:space="preserve"> </w:t>
      </w:r>
      <w:r w:rsidR="003F7D03" w:rsidRPr="00E62FE6">
        <w:t>of</w:t>
      </w:r>
      <w:r w:rsidR="008243CA">
        <w:t xml:space="preserve"> </w:t>
      </w:r>
      <w:r w:rsidR="003F7D03" w:rsidRPr="00E62FE6">
        <w:t>the</w:t>
      </w:r>
      <w:r w:rsidR="008243CA">
        <w:t xml:space="preserve"> </w:t>
      </w:r>
      <w:r w:rsidR="003F7D03" w:rsidRPr="00E62FE6">
        <w:t>Superintendent</w:t>
      </w:r>
      <w:r w:rsidR="008243CA">
        <w:t xml:space="preserve"> </w:t>
      </w:r>
      <w:r w:rsidR="003F7D03" w:rsidRPr="00E62FE6">
        <w:t>for</w:t>
      </w:r>
      <w:r w:rsidR="008243CA">
        <w:t xml:space="preserve"> </w:t>
      </w:r>
      <w:r w:rsidR="003F7D03" w:rsidRPr="00E62FE6">
        <w:t>Health:</w:t>
      </w:r>
      <w:r w:rsidR="008243CA">
        <w:t xml:space="preserve"> </w:t>
      </w:r>
      <w:r w:rsidR="003F7D03" w:rsidRPr="00E62FE6">
        <w:t>The</w:t>
      </w:r>
      <w:r w:rsidR="008243CA">
        <w:t xml:space="preserve"> </w:t>
      </w:r>
      <w:r w:rsidR="003F7D03" w:rsidRPr="00E62FE6">
        <w:t>Ministry</w:t>
      </w:r>
      <w:r w:rsidR="008243CA">
        <w:t xml:space="preserve"> </w:t>
      </w:r>
      <w:r w:rsidR="003F7D03" w:rsidRPr="00E62FE6">
        <w:t>of</w:t>
      </w:r>
      <w:r w:rsidR="008243CA">
        <w:t xml:space="preserve"> </w:t>
      </w:r>
      <w:r w:rsidR="003F7D03" w:rsidRPr="00E62FE6">
        <w:t>Health</w:t>
      </w:r>
      <w:r w:rsidR="008243CA">
        <w:t xml:space="preserve"> </w:t>
      </w:r>
      <w:r w:rsidR="003F7D03" w:rsidRPr="00E62FE6">
        <w:t>has</w:t>
      </w:r>
      <w:r w:rsidR="008243CA">
        <w:t xml:space="preserve"> </w:t>
      </w:r>
      <w:r w:rsidR="003F7D03" w:rsidRPr="00E62FE6">
        <w:t>just</w:t>
      </w:r>
      <w:r w:rsidR="008243CA">
        <w:t xml:space="preserve"> </w:t>
      </w:r>
      <w:r w:rsidR="003F7D03" w:rsidRPr="00E62FE6">
        <w:t>concluded</w:t>
      </w:r>
      <w:r w:rsidR="008243CA">
        <w:t xml:space="preserve"> </w:t>
      </w:r>
      <w:r w:rsidR="003F7D03" w:rsidRPr="00E62FE6">
        <w:t>this</w:t>
      </w:r>
      <w:r w:rsidR="008243CA">
        <w:t xml:space="preserve"> </w:t>
      </w:r>
      <w:r w:rsidR="003F7D03" w:rsidRPr="00E62FE6">
        <w:t>agreement</w:t>
      </w:r>
      <w:r w:rsidR="008243CA">
        <w:t xml:space="preserve"> </w:t>
      </w:r>
      <w:r w:rsidR="003F7D03" w:rsidRPr="00E62FE6">
        <w:t>as</w:t>
      </w:r>
      <w:r w:rsidR="008243CA">
        <w:t xml:space="preserve"> </w:t>
      </w:r>
      <w:r w:rsidR="003F7D03" w:rsidRPr="00E62FE6">
        <w:t>a</w:t>
      </w:r>
      <w:r w:rsidR="008243CA">
        <w:t xml:space="preserve"> </w:t>
      </w:r>
      <w:r w:rsidR="003F7D03" w:rsidRPr="00E62FE6">
        <w:t>means</w:t>
      </w:r>
      <w:r w:rsidR="008243CA">
        <w:t xml:space="preserve"> </w:t>
      </w:r>
      <w:r w:rsidR="003F7D03" w:rsidRPr="00E62FE6">
        <w:t>of</w:t>
      </w:r>
      <w:r w:rsidR="008243CA">
        <w:t xml:space="preserve"> </w:t>
      </w:r>
      <w:r w:rsidR="003F7D03" w:rsidRPr="00E62FE6">
        <w:t>guaranteeing</w:t>
      </w:r>
      <w:r w:rsidR="008243CA">
        <w:t xml:space="preserve"> </w:t>
      </w:r>
      <w:r w:rsidR="003F7D03" w:rsidRPr="00E62FE6">
        <w:t>persons</w:t>
      </w:r>
      <w:r w:rsidR="008243CA">
        <w:t xml:space="preserve"> </w:t>
      </w:r>
      <w:r w:rsidR="003F7D03" w:rsidRPr="00E62FE6">
        <w:t>deprived</w:t>
      </w:r>
      <w:r w:rsidR="008243CA">
        <w:t xml:space="preserve"> </w:t>
      </w:r>
      <w:r w:rsidR="003F7D03" w:rsidRPr="00E62FE6">
        <w:t>of</w:t>
      </w:r>
      <w:r w:rsidR="008243CA">
        <w:t xml:space="preserve"> </w:t>
      </w:r>
      <w:r w:rsidR="003F7D03" w:rsidRPr="00E62FE6">
        <w:t>their</w:t>
      </w:r>
      <w:r w:rsidR="008243CA">
        <w:t xml:space="preserve"> </w:t>
      </w:r>
      <w:r w:rsidR="003F7D03" w:rsidRPr="00E62FE6">
        <w:t>liberty</w:t>
      </w:r>
      <w:r w:rsidR="008243CA">
        <w:t xml:space="preserve"> </w:t>
      </w:r>
      <w:r w:rsidR="003F7D03" w:rsidRPr="00E62FE6">
        <w:t>in</w:t>
      </w:r>
      <w:r w:rsidR="008243CA">
        <w:t xml:space="preserve"> </w:t>
      </w:r>
      <w:r w:rsidR="003F7D03" w:rsidRPr="00E62FE6">
        <w:t>detention</w:t>
      </w:r>
      <w:r w:rsidR="008243CA">
        <w:t xml:space="preserve"> </w:t>
      </w:r>
      <w:r w:rsidR="003F7D03" w:rsidRPr="00E62FE6">
        <w:t>facilities</w:t>
      </w:r>
      <w:r w:rsidR="008243CA">
        <w:t xml:space="preserve"> </w:t>
      </w:r>
      <w:r w:rsidR="003F7D03" w:rsidRPr="00E62FE6">
        <w:t>the</w:t>
      </w:r>
      <w:r w:rsidR="008243CA">
        <w:t xml:space="preserve"> </w:t>
      </w:r>
      <w:r w:rsidR="003F7D03" w:rsidRPr="00E62FE6">
        <w:t>exercise</w:t>
      </w:r>
      <w:r w:rsidR="008243CA">
        <w:t xml:space="preserve"> </w:t>
      </w:r>
      <w:r w:rsidR="003F7D03" w:rsidRPr="00E62FE6">
        <w:t>of</w:t>
      </w:r>
      <w:r w:rsidR="008243CA">
        <w:t xml:space="preserve"> </w:t>
      </w:r>
      <w:r w:rsidR="003F7D03" w:rsidRPr="00E62FE6">
        <w:t>their</w:t>
      </w:r>
      <w:r w:rsidR="008243CA">
        <w:t xml:space="preserve"> </w:t>
      </w:r>
      <w:r w:rsidR="003F7D03" w:rsidRPr="00E62FE6">
        <w:t>right</w:t>
      </w:r>
      <w:r w:rsidR="008243CA">
        <w:t xml:space="preserve"> </w:t>
      </w:r>
      <w:r w:rsidR="003F7D03" w:rsidRPr="00E62FE6">
        <w:t>to</w:t>
      </w:r>
      <w:r w:rsidR="008243CA">
        <w:t xml:space="preserve"> </w:t>
      </w:r>
      <w:r w:rsidR="003F7D03" w:rsidRPr="00E62FE6">
        <w:t>protection</w:t>
      </w:r>
      <w:r w:rsidR="008243CA">
        <w:t xml:space="preserve"> </w:t>
      </w:r>
      <w:r w:rsidR="003F7D03" w:rsidRPr="00E62FE6">
        <w:t>of</w:t>
      </w:r>
      <w:r w:rsidR="008243CA">
        <w:t xml:space="preserve"> </w:t>
      </w:r>
      <w:r w:rsidR="003F7D03" w:rsidRPr="00E62FE6">
        <w:t>health.</w:t>
      </w:r>
    </w:p>
    <w:p w:rsidR="003F7D03" w:rsidRPr="00E62FE6" w:rsidRDefault="003F7D03" w:rsidP="000C6D98">
      <w:pPr>
        <w:pStyle w:val="SingleTxtG"/>
      </w:pPr>
      <w:r w:rsidRPr="00E62FE6">
        <w:t>66.</w:t>
      </w:r>
      <w:r w:rsidRPr="00E62FE6">
        <w:tab/>
        <w:t>It</w:t>
      </w:r>
      <w:r w:rsidR="008243CA">
        <w:t xml:space="preserve"> </w:t>
      </w:r>
      <w:r w:rsidRPr="00E62FE6">
        <w:t>should</w:t>
      </w:r>
      <w:r w:rsidR="008243CA">
        <w:t xml:space="preserve"> </w:t>
      </w:r>
      <w:r w:rsidRPr="00E62FE6">
        <w:t>also</w:t>
      </w:r>
      <w:r w:rsidR="008243CA">
        <w:t xml:space="preserve"> </w:t>
      </w:r>
      <w:r w:rsidRPr="00E62FE6">
        <w:t>be</w:t>
      </w:r>
      <w:r w:rsidR="008243CA">
        <w:t xml:space="preserve"> </w:t>
      </w:r>
      <w:r w:rsidRPr="00E62FE6">
        <w:t>mentioned</w:t>
      </w:r>
      <w:r w:rsidR="008243CA">
        <w:t xml:space="preserve"> </w:t>
      </w:r>
      <w:r w:rsidRPr="00E62FE6">
        <w:t>that</w:t>
      </w:r>
      <w:r w:rsidR="008243CA">
        <w:t xml:space="preserve"> </w:t>
      </w:r>
      <w:r w:rsidRPr="00E62FE6">
        <w:t>implementation</w:t>
      </w:r>
      <w:r w:rsidR="008243CA">
        <w:t xml:space="preserve"> </w:t>
      </w:r>
      <w:r w:rsidRPr="00E62FE6">
        <w:t>of</w:t>
      </w:r>
      <w:r w:rsidR="008243CA">
        <w:t xml:space="preserve"> </w:t>
      </w:r>
      <w:r w:rsidRPr="00E62FE6">
        <w:t>a</w:t>
      </w:r>
      <w:r w:rsidR="008243CA">
        <w:t xml:space="preserve"> </w:t>
      </w:r>
      <w:r w:rsidRPr="00E62FE6">
        <w:t>comprehensive</w:t>
      </w:r>
      <w:r w:rsidR="008243CA">
        <w:t xml:space="preserve"> </w:t>
      </w:r>
      <w:r w:rsidRPr="00E62FE6">
        <w:t>health-care</w:t>
      </w:r>
      <w:r w:rsidR="008243CA">
        <w:t xml:space="preserve"> </w:t>
      </w:r>
      <w:r w:rsidRPr="00E62FE6">
        <w:t>programme,</w:t>
      </w:r>
      <w:r w:rsidR="008243CA">
        <w:t xml:space="preserve"> </w:t>
      </w:r>
      <w:r w:rsidRPr="00E62FE6">
        <w:t>with</w:t>
      </w:r>
      <w:r w:rsidR="008243CA">
        <w:t xml:space="preserve"> </w:t>
      </w:r>
      <w:r w:rsidRPr="00E62FE6">
        <w:t>a</w:t>
      </w:r>
      <w:r w:rsidR="008243CA">
        <w:t xml:space="preserve"> </w:t>
      </w:r>
      <w:r w:rsidRPr="00E62FE6">
        <w:t>focus</w:t>
      </w:r>
      <w:r w:rsidR="008243CA">
        <w:t xml:space="preserve"> </w:t>
      </w:r>
      <w:r w:rsidRPr="00E62FE6">
        <w:t>on</w:t>
      </w:r>
      <w:r w:rsidR="008243CA">
        <w:t xml:space="preserve"> </w:t>
      </w:r>
      <w:r w:rsidRPr="00E62FE6">
        <w:t>the</w:t>
      </w:r>
      <w:r w:rsidR="008243CA">
        <w:t xml:space="preserve"> </w:t>
      </w:r>
      <w:r w:rsidRPr="00E62FE6">
        <w:t>mental</w:t>
      </w:r>
      <w:r w:rsidR="008243CA">
        <w:t xml:space="preserve"> </w:t>
      </w:r>
      <w:r w:rsidRPr="00E62FE6">
        <w:t>health</w:t>
      </w:r>
      <w:r w:rsidR="008243CA">
        <w:t xml:space="preserve"> </w:t>
      </w:r>
      <w:r w:rsidRPr="00E62FE6">
        <w:t>of</w:t>
      </w:r>
      <w:r w:rsidR="008243CA">
        <w:t xml:space="preserve"> </w:t>
      </w:r>
      <w:r w:rsidRPr="00E62FE6">
        <w:t>children</w:t>
      </w:r>
      <w:r w:rsidR="008243CA">
        <w:t xml:space="preserve"> </w:t>
      </w:r>
      <w:r w:rsidRPr="00E62FE6">
        <w:t>and</w:t>
      </w:r>
      <w:r w:rsidR="008243CA">
        <w:t xml:space="preserve"> </w:t>
      </w:r>
      <w:r w:rsidRPr="00E62FE6">
        <w:t>adolescents</w:t>
      </w:r>
      <w:r w:rsidR="008243CA">
        <w:t xml:space="preserve"> </w:t>
      </w:r>
      <w:r w:rsidRPr="00E62FE6">
        <w:t>whose</w:t>
      </w:r>
      <w:r w:rsidR="008243CA">
        <w:t xml:space="preserve"> </w:t>
      </w:r>
      <w:r w:rsidRPr="00E62FE6">
        <w:t>rights</w:t>
      </w:r>
      <w:r w:rsidR="008243CA">
        <w:t xml:space="preserve"> </w:t>
      </w:r>
      <w:r w:rsidRPr="00E62FE6">
        <w:t>have</w:t>
      </w:r>
      <w:r w:rsidR="008243CA">
        <w:t xml:space="preserve"> </w:t>
      </w:r>
      <w:r w:rsidRPr="00E62FE6">
        <w:t>been</w:t>
      </w:r>
      <w:r w:rsidR="008243CA">
        <w:t xml:space="preserve"> </w:t>
      </w:r>
      <w:r w:rsidRPr="00E62FE6">
        <w:t>violated</w:t>
      </w:r>
      <w:r w:rsidR="008243CA">
        <w:t xml:space="preserve"> </w:t>
      </w:r>
      <w:r w:rsidRPr="00E62FE6">
        <w:t>and/or</w:t>
      </w:r>
      <w:r w:rsidR="008243CA">
        <w:t xml:space="preserve"> </w:t>
      </w:r>
      <w:r w:rsidRPr="00E62FE6">
        <w:t>who</w:t>
      </w:r>
      <w:r w:rsidR="008243CA">
        <w:t xml:space="preserve"> </w:t>
      </w:r>
      <w:r w:rsidRPr="00E62FE6">
        <w:t>are</w:t>
      </w:r>
      <w:r w:rsidR="008243CA">
        <w:t xml:space="preserve"> </w:t>
      </w:r>
      <w:r w:rsidRPr="00E62FE6">
        <w:t>subject</w:t>
      </w:r>
      <w:r w:rsidR="008243CA">
        <w:t xml:space="preserve"> </w:t>
      </w:r>
      <w:r w:rsidRPr="00E62FE6">
        <w:t>to</w:t>
      </w:r>
      <w:r w:rsidR="008243CA">
        <w:t xml:space="preserve"> </w:t>
      </w:r>
      <w:r w:rsidRPr="00E62FE6">
        <w:t>the</w:t>
      </w:r>
      <w:r w:rsidR="008243CA">
        <w:t xml:space="preserve"> </w:t>
      </w:r>
      <w:r w:rsidRPr="00E62FE6">
        <w:t>Act</w:t>
      </w:r>
      <w:r w:rsidR="008243CA">
        <w:t xml:space="preserve"> </w:t>
      </w:r>
      <w:r w:rsidRPr="00E62FE6">
        <w:t>on</w:t>
      </w:r>
      <w:r w:rsidR="008243CA">
        <w:t xml:space="preserve"> </w:t>
      </w:r>
      <w:r w:rsidRPr="00E62FE6">
        <w:t>Juvenile</w:t>
      </w:r>
      <w:r w:rsidR="008243CA">
        <w:t xml:space="preserve"> </w:t>
      </w:r>
      <w:r w:rsidRPr="00E62FE6">
        <w:t>Criminal</w:t>
      </w:r>
      <w:r w:rsidR="008243CA">
        <w:t xml:space="preserve"> </w:t>
      </w:r>
      <w:r w:rsidRPr="00E62FE6">
        <w:t>Responsibility,</w:t>
      </w:r>
      <w:r w:rsidR="008243CA">
        <w:t xml:space="preserve"> </w:t>
      </w:r>
      <w:r w:rsidRPr="00E62FE6">
        <w:t>will</w:t>
      </w:r>
      <w:r w:rsidR="008243CA">
        <w:t xml:space="preserve"> </w:t>
      </w:r>
      <w:r w:rsidRPr="00E62FE6">
        <w:t>begin</w:t>
      </w:r>
      <w:r w:rsidR="008243CA">
        <w:t xml:space="preserve"> </w:t>
      </w:r>
      <w:r w:rsidRPr="00E62FE6">
        <w:t>in</w:t>
      </w:r>
      <w:r w:rsidR="008243CA">
        <w:t xml:space="preserve"> </w:t>
      </w:r>
      <w:r w:rsidRPr="00E62FE6">
        <w:t>2017.</w:t>
      </w:r>
      <w:r w:rsidR="008243CA">
        <w:t xml:space="preserve"> </w:t>
      </w:r>
      <w:r w:rsidRPr="00E62FE6">
        <w:t>The</w:t>
      </w:r>
      <w:r w:rsidR="008243CA">
        <w:t xml:space="preserve"> </w:t>
      </w:r>
      <w:r w:rsidRPr="00E62FE6">
        <w:t>programme</w:t>
      </w:r>
      <w:r w:rsidR="008243CA">
        <w:t xml:space="preserve"> </w:t>
      </w:r>
      <w:r w:rsidRPr="00E62FE6">
        <w:t>will</w:t>
      </w:r>
      <w:r w:rsidR="008243CA">
        <w:t xml:space="preserve"> </w:t>
      </w:r>
      <w:proofErr w:type="gramStart"/>
      <w:r w:rsidRPr="00E62FE6">
        <w:t>launched</w:t>
      </w:r>
      <w:proofErr w:type="gramEnd"/>
      <w:r w:rsidR="008243CA">
        <w:t xml:space="preserve"> </w:t>
      </w:r>
      <w:r w:rsidRPr="00E62FE6">
        <w:t>at</w:t>
      </w:r>
      <w:r w:rsidR="008243CA">
        <w:t xml:space="preserve"> </w:t>
      </w:r>
      <w:r w:rsidRPr="00E62FE6">
        <w:t>six</w:t>
      </w:r>
      <w:r w:rsidR="008243CA">
        <w:t xml:space="preserve"> </w:t>
      </w:r>
      <w:r w:rsidRPr="00E62FE6">
        <w:t>health-care</w:t>
      </w:r>
      <w:r w:rsidR="008243CA">
        <w:t xml:space="preserve"> </w:t>
      </w:r>
      <w:r w:rsidRPr="00E62FE6">
        <w:t>centres,</w:t>
      </w:r>
      <w:r w:rsidR="008243CA">
        <w:t xml:space="preserve"> </w:t>
      </w:r>
      <w:r w:rsidRPr="00E62FE6">
        <w:t>and</w:t>
      </w:r>
      <w:r w:rsidR="008243CA">
        <w:t xml:space="preserve"> </w:t>
      </w:r>
      <w:r w:rsidRPr="00E62FE6">
        <w:t>is</w:t>
      </w:r>
      <w:r w:rsidR="008243CA">
        <w:t xml:space="preserve"> </w:t>
      </w:r>
      <w:r w:rsidRPr="00E62FE6">
        <w:t>expected</w:t>
      </w:r>
      <w:r w:rsidR="008243CA">
        <w:t xml:space="preserve"> </w:t>
      </w:r>
      <w:r w:rsidRPr="00E62FE6">
        <w:t>to</w:t>
      </w:r>
      <w:r w:rsidR="008243CA">
        <w:t xml:space="preserve"> </w:t>
      </w:r>
      <w:r w:rsidRPr="00E62FE6">
        <w:t>be</w:t>
      </w:r>
      <w:r w:rsidR="008243CA">
        <w:t xml:space="preserve"> </w:t>
      </w:r>
      <w:r w:rsidRPr="00E62FE6">
        <w:t>gradually</w:t>
      </w:r>
      <w:r w:rsidR="008243CA">
        <w:t xml:space="preserve"> </w:t>
      </w:r>
      <w:r w:rsidRPr="00E62FE6">
        <w:t>extended</w:t>
      </w:r>
      <w:r w:rsidR="008243CA">
        <w:t xml:space="preserve"> </w:t>
      </w:r>
      <w:r w:rsidRPr="00E62FE6">
        <w:t>to</w:t>
      </w:r>
      <w:r w:rsidR="008243CA">
        <w:t xml:space="preserve"> </w:t>
      </w:r>
      <w:r w:rsidRPr="00E62FE6">
        <w:t>cover</w:t>
      </w:r>
      <w:r w:rsidR="008243CA">
        <w:t xml:space="preserve"> </w:t>
      </w:r>
      <w:r w:rsidRPr="00E62FE6">
        <w:t>the</w:t>
      </w:r>
      <w:r w:rsidR="008243CA">
        <w:t xml:space="preserve"> </w:t>
      </w:r>
      <w:r w:rsidRPr="00E62FE6">
        <w:t>entire</w:t>
      </w:r>
      <w:r w:rsidR="008243CA">
        <w:t xml:space="preserve"> </w:t>
      </w:r>
      <w:r w:rsidRPr="00E62FE6">
        <w:t>public</w:t>
      </w:r>
      <w:r w:rsidR="008243CA">
        <w:t xml:space="preserve"> </w:t>
      </w:r>
      <w:r w:rsidRPr="00E62FE6">
        <w:t>health</w:t>
      </w:r>
      <w:r w:rsidR="008243CA">
        <w:t xml:space="preserve"> </w:t>
      </w:r>
      <w:r w:rsidRPr="00E62FE6">
        <w:t>network</w:t>
      </w:r>
      <w:r w:rsidR="008243CA">
        <w:t xml:space="preserve"> </w:t>
      </w:r>
      <w:r w:rsidRPr="00E62FE6">
        <w:t>(the</w:t>
      </w:r>
      <w:r w:rsidR="008243CA">
        <w:t xml:space="preserve"> </w:t>
      </w:r>
      <w:r w:rsidRPr="00E62FE6">
        <w:t>remaining</w:t>
      </w:r>
      <w:r w:rsidR="008243CA">
        <w:t xml:space="preserve"> </w:t>
      </w:r>
      <w:r w:rsidRPr="00E62FE6">
        <w:t>23</w:t>
      </w:r>
      <w:r w:rsidR="008243CA">
        <w:t xml:space="preserve"> </w:t>
      </w:r>
      <w:r w:rsidRPr="00E62FE6">
        <w:t>health-care</w:t>
      </w:r>
      <w:r w:rsidR="008243CA">
        <w:t xml:space="preserve"> </w:t>
      </w:r>
      <w:r w:rsidRPr="00E62FE6">
        <w:t>centres)</w:t>
      </w:r>
      <w:r w:rsidR="008243CA">
        <w:t xml:space="preserve"> </w:t>
      </w:r>
      <w:r w:rsidRPr="00E62FE6">
        <w:t>in</w:t>
      </w:r>
      <w:r w:rsidR="008243CA">
        <w:t xml:space="preserve"> </w:t>
      </w:r>
      <w:r w:rsidRPr="00E62FE6">
        <w:t>the</w:t>
      </w:r>
      <w:r w:rsidR="008243CA">
        <w:t xml:space="preserve"> </w:t>
      </w:r>
      <w:r w:rsidRPr="00E62FE6">
        <w:t>next</w:t>
      </w:r>
      <w:r w:rsidR="008243CA">
        <w:t xml:space="preserve"> </w:t>
      </w:r>
      <w:r w:rsidRPr="00E62FE6">
        <w:t>few</w:t>
      </w:r>
      <w:r w:rsidR="008243CA">
        <w:t xml:space="preserve"> </w:t>
      </w:r>
      <w:r w:rsidRPr="00E62FE6">
        <w:t>years.</w:t>
      </w:r>
      <w:bookmarkStart w:id="51" w:name="page21"/>
      <w:bookmarkEnd w:id="51"/>
    </w:p>
    <w:p w:rsidR="003F7D03" w:rsidRPr="00E62FE6" w:rsidRDefault="003F7D03" w:rsidP="00C84882">
      <w:pPr>
        <w:pStyle w:val="H23G"/>
      </w:pPr>
      <w:r w:rsidRPr="00E62FE6">
        <w:tab/>
      </w:r>
      <w:bookmarkStart w:id="52" w:name="_Toc512870686"/>
      <w:bookmarkStart w:id="53" w:name="_Toc512870848"/>
      <w:r w:rsidRPr="00E62FE6">
        <w:t>2.2.2</w:t>
      </w:r>
      <w:r w:rsidRPr="00E62FE6">
        <w:tab/>
        <w:t>Public</w:t>
      </w:r>
      <w:r w:rsidR="008243CA">
        <w:t xml:space="preserve"> </w:t>
      </w:r>
      <w:r w:rsidRPr="00E62FE6">
        <w:t>policy</w:t>
      </w:r>
      <w:r w:rsidR="008243CA">
        <w:t xml:space="preserve"> </w:t>
      </w:r>
      <w:r w:rsidRPr="00E62FE6">
        <w:t>on</w:t>
      </w:r>
      <w:r w:rsidR="008243CA">
        <w:t xml:space="preserve"> </w:t>
      </w:r>
      <w:r w:rsidRPr="00E62FE6">
        <w:t>prisons</w:t>
      </w:r>
      <w:bookmarkEnd w:id="52"/>
      <w:bookmarkEnd w:id="53"/>
      <w:r w:rsidR="008243CA">
        <w:t xml:space="preserve"> </w:t>
      </w:r>
    </w:p>
    <w:p w:rsidR="003F7D03" w:rsidRPr="00C84882" w:rsidRDefault="003F7D03" w:rsidP="000C6D98">
      <w:pPr>
        <w:pStyle w:val="SingleTxtG"/>
        <w:rPr>
          <w:i/>
          <w:iCs/>
        </w:rPr>
      </w:pPr>
      <w:r w:rsidRPr="00E62FE6">
        <w:t>67.</w:t>
      </w:r>
      <w:r w:rsidRPr="00E62FE6">
        <w:tab/>
        <w:t>Paragraph</w:t>
      </w:r>
      <w:r w:rsidR="008243CA">
        <w:t xml:space="preserve"> </w:t>
      </w:r>
      <w:r w:rsidRPr="00E62FE6">
        <w:t>76:</w:t>
      </w:r>
      <w:r w:rsidR="008243CA">
        <w:t xml:space="preserve"> </w:t>
      </w:r>
      <w:r w:rsidRPr="00C84882">
        <w:rPr>
          <w:i/>
          <w:iCs/>
        </w:rPr>
        <w:t>The</w:t>
      </w:r>
      <w:r w:rsidR="008243CA">
        <w:rPr>
          <w:i/>
          <w:iCs/>
        </w:rPr>
        <w:t xml:space="preserve"> </w:t>
      </w:r>
      <w:r w:rsidRPr="00C84882">
        <w:rPr>
          <w:i/>
          <w:iCs/>
        </w:rPr>
        <w:t>Subcommittee</w:t>
      </w:r>
      <w:r w:rsidR="008243CA">
        <w:rPr>
          <w:i/>
          <w:iCs/>
        </w:rPr>
        <w:t xml:space="preserve"> </w:t>
      </w:r>
      <w:r w:rsidRPr="00C84882">
        <w:rPr>
          <w:i/>
          <w:iCs/>
        </w:rPr>
        <w:t>recommends</w:t>
      </w:r>
      <w:r w:rsidR="008243CA">
        <w:rPr>
          <w:i/>
          <w:iCs/>
        </w:rPr>
        <w:t xml:space="preserve"> </w:t>
      </w:r>
      <w:r w:rsidRPr="00C84882">
        <w:rPr>
          <w:i/>
          <w:iCs/>
        </w:rPr>
        <w:t>that</w:t>
      </w:r>
      <w:r w:rsidR="008243CA">
        <w:rPr>
          <w:i/>
          <w:iCs/>
        </w:rPr>
        <w:t xml:space="preserve"> </w:t>
      </w:r>
      <w:r w:rsidRPr="00C84882">
        <w:rPr>
          <w:i/>
          <w:iCs/>
        </w:rPr>
        <w:t>the</w:t>
      </w:r>
      <w:r w:rsidR="008243CA">
        <w:rPr>
          <w:i/>
          <w:iCs/>
        </w:rPr>
        <w:t xml:space="preserve"> </w:t>
      </w:r>
      <w:r w:rsidRPr="00C84882">
        <w:rPr>
          <w:i/>
          <w:iCs/>
        </w:rPr>
        <w:t>State</w:t>
      </w:r>
      <w:r w:rsidR="008243CA">
        <w:rPr>
          <w:i/>
          <w:iCs/>
        </w:rPr>
        <w:t xml:space="preserve"> </w:t>
      </w:r>
      <w:r w:rsidRPr="00C84882">
        <w:rPr>
          <w:i/>
          <w:iCs/>
        </w:rPr>
        <w:t>party</w:t>
      </w:r>
      <w:r w:rsidR="008243CA">
        <w:rPr>
          <w:i/>
          <w:iCs/>
        </w:rPr>
        <w:t xml:space="preserve"> </w:t>
      </w:r>
      <w:r w:rsidRPr="00C84882">
        <w:rPr>
          <w:i/>
          <w:iCs/>
        </w:rPr>
        <w:t>take</w:t>
      </w:r>
      <w:r w:rsidR="008243CA">
        <w:rPr>
          <w:i/>
          <w:iCs/>
        </w:rPr>
        <w:t xml:space="preserve"> </w:t>
      </w:r>
      <w:r w:rsidRPr="00C84882">
        <w:rPr>
          <w:i/>
          <w:iCs/>
        </w:rPr>
        <w:t>measures,</w:t>
      </w:r>
      <w:r w:rsidR="008243CA">
        <w:rPr>
          <w:i/>
          <w:iCs/>
        </w:rPr>
        <w:t xml:space="preserve"> </w:t>
      </w:r>
      <w:r w:rsidRPr="00C84882">
        <w:rPr>
          <w:i/>
          <w:iCs/>
        </w:rPr>
        <w:t>as</w:t>
      </w:r>
      <w:r w:rsidR="008243CA">
        <w:rPr>
          <w:i/>
          <w:iCs/>
        </w:rPr>
        <w:t xml:space="preserve"> </w:t>
      </w:r>
      <w:r w:rsidRPr="00C84882">
        <w:rPr>
          <w:i/>
          <w:iCs/>
        </w:rPr>
        <w:t>a</w:t>
      </w:r>
      <w:r w:rsidR="008243CA">
        <w:rPr>
          <w:i/>
          <w:iCs/>
        </w:rPr>
        <w:t xml:space="preserve"> </w:t>
      </w:r>
      <w:r w:rsidRPr="00C84882">
        <w:rPr>
          <w:i/>
          <w:iCs/>
        </w:rPr>
        <w:t>matter</w:t>
      </w:r>
      <w:r w:rsidR="008243CA">
        <w:rPr>
          <w:i/>
          <w:iCs/>
        </w:rPr>
        <w:t xml:space="preserve"> </w:t>
      </w:r>
      <w:r w:rsidRPr="00C84882">
        <w:rPr>
          <w:i/>
          <w:iCs/>
        </w:rPr>
        <w:t>of</w:t>
      </w:r>
      <w:r w:rsidR="008243CA">
        <w:rPr>
          <w:i/>
          <w:iCs/>
        </w:rPr>
        <w:t xml:space="preserve"> </w:t>
      </w:r>
      <w:r w:rsidRPr="00C84882">
        <w:rPr>
          <w:i/>
          <w:iCs/>
        </w:rPr>
        <w:t>urgency,</w:t>
      </w:r>
      <w:r w:rsidR="008243CA">
        <w:rPr>
          <w:i/>
          <w:iCs/>
        </w:rPr>
        <w:t xml:space="preserve"> </w:t>
      </w:r>
      <w:r w:rsidRPr="00C84882">
        <w:rPr>
          <w:i/>
          <w:iCs/>
        </w:rPr>
        <w:t>to</w:t>
      </w:r>
      <w:r w:rsidR="008243CA">
        <w:rPr>
          <w:i/>
          <w:iCs/>
        </w:rPr>
        <w:t xml:space="preserve"> </w:t>
      </w:r>
      <w:r w:rsidRPr="00C84882">
        <w:rPr>
          <w:i/>
          <w:iCs/>
        </w:rPr>
        <w:t>address</w:t>
      </w:r>
      <w:r w:rsidR="008243CA">
        <w:rPr>
          <w:i/>
          <w:iCs/>
        </w:rPr>
        <w:t xml:space="preserve"> </w:t>
      </w:r>
      <w:r w:rsidRPr="00C84882">
        <w:rPr>
          <w:i/>
          <w:iCs/>
        </w:rPr>
        <w:t>overcrowding</w:t>
      </w:r>
      <w:r w:rsidR="008243CA">
        <w:rPr>
          <w:i/>
          <w:iCs/>
        </w:rPr>
        <w:t xml:space="preserve"> </w:t>
      </w:r>
      <w:r w:rsidRPr="00C84882">
        <w:rPr>
          <w:i/>
          <w:iCs/>
        </w:rPr>
        <w:t>by</w:t>
      </w:r>
      <w:r w:rsidR="008243CA">
        <w:rPr>
          <w:i/>
          <w:iCs/>
        </w:rPr>
        <w:t xml:space="preserve"> </w:t>
      </w:r>
      <w:r w:rsidRPr="00C84882">
        <w:rPr>
          <w:i/>
          <w:iCs/>
        </w:rPr>
        <w:t>making</w:t>
      </w:r>
      <w:r w:rsidR="008243CA">
        <w:rPr>
          <w:i/>
          <w:iCs/>
        </w:rPr>
        <w:t xml:space="preserve"> </w:t>
      </w:r>
      <w:r w:rsidRPr="00C84882">
        <w:rPr>
          <w:i/>
          <w:iCs/>
        </w:rPr>
        <w:t>greater</w:t>
      </w:r>
      <w:r w:rsidR="008243CA">
        <w:rPr>
          <w:i/>
          <w:iCs/>
        </w:rPr>
        <w:t xml:space="preserve"> </w:t>
      </w:r>
      <w:r w:rsidRPr="00C84882">
        <w:rPr>
          <w:i/>
          <w:iCs/>
        </w:rPr>
        <w:t>use</w:t>
      </w:r>
      <w:r w:rsidR="008243CA">
        <w:rPr>
          <w:i/>
          <w:iCs/>
        </w:rPr>
        <w:t xml:space="preserve"> </w:t>
      </w:r>
      <w:r w:rsidRPr="00C84882">
        <w:rPr>
          <w:i/>
          <w:iCs/>
        </w:rPr>
        <w:t>of</w:t>
      </w:r>
      <w:r w:rsidR="008243CA">
        <w:rPr>
          <w:i/>
          <w:iCs/>
        </w:rPr>
        <w:t xml:space="preserve"> </w:t>
      </w:r>
      <w:r w:rsidRPr="00C84882">
        <w:rPr>
          <w:i/>
          <w:iCs/>
        </w:rPr>
        <w:t>non-custodial</w:t>
      </w:r>
      <w:r w:rsidR="008243CA">
        <w:rPr>
          <w:i/>
          <w:iCs/>
        </w:rPr>
        <w:t xml:space="preserve"> </w:t>
      </w:r>
      <w:r w:rsidRPr="00C84882">
        <w:rPr>
          <w:i/>
          <w:iCs/>
        </w:rPr>
        <w:t>sentences</w:t>
      </w:r>
      <w:r w:rsidR="008243CA">
        <w:rPr>
          <w:i/>
          <w:iCs/>
        </w:rPr>
        <w:t xml:space="preserve"> </w:t>
      </w:r>
      <w:r w:rsidRPr="00C84882">
        <w:rPr>
          <w:i/>
          <w:iCs/>
        </w:rPr>
        <w:t>in</w:t>
      </w:r>
      <w:r w:rsidR="008243CA">
        <w:rPr>
          <w:i/>
          <w:iCs/>
        </w:rPr>
        <w:t xml:space="preserve"> </w:t>
      </w:r>
      <w:r w:rsidRPr="00C84882">
        <w:rPr>
          <w:i/>
          <w:iCs/>
        </w:rPr>
        <w:t>accordance</w:t>
      </w:r>
      <w:r w:rsidR="008243CA">
        <w:rPr>
          <w:i/>
          <w:iCs/>
        </w:rPr>
        <w:t xml:space="preserve"> </w:t>
      </w:r>
      <w:r w:rsidRPr="00C84882">
        <w:rPr>
          <w:i/>
          <w:iCs/>
        </w:rPr>
        <w:t>with</w:t>
      </w:r>
      <w:r w:rsidR="008243CA">
        <w:rPr>
          <w:i/>
          <w:iCs/>
        </w:rPr>
        <w:t xml:space="preserve"> </w:t>
      </w:r>
      <w:r w:rsidRPr="00C84882">
        <w:rPr>
          <w:i/>
          <w:iCs/>
        </w:rPr>
        <w:t>the</w:t>
      </w:r>
      <w:r w:rsidR="008243CA">
        <w:rPr>
          <w:i/>
          <w:iCs/>
        </w:rPr>
        <w:t xml:space="preserve"> </w:t>
      </w:r>
      <w:r w:rsidRPr="00C84882">
        <w:rPr>
          <w:i/>
          <w:iCs/>
        </w:rPr>
        <w:t>United</w:t>
      </w:r>
      <w:r w:rsidR="008243CA">
        <w:rPr>
          <w:i/>
          <w:iCs/>
        </w:rPr>
        <w:t xml:space="preserve"> </w:t>
      </w:r>
      <w:r w:rsidRPr="00C84882">
        <w:rPr>
          <w:i/>
          <w:iCs/>
        </w:rPr>
        <w:t>Nations</w:t>
      </w:r>
      <w:r w:rsidR="008243CA">
        <w:rPr>
          <w:i/>
          <w:iCs/>
        </w:rPr>
        <w:t xml:space="preserve"> </w:t>
      </w:r>
      <w:r w:rsidRPr="00C84882">
        <w:rPr>
          <w:i/>
          <w:iCs/>
        </w:rPr>
        <w:t>Standard</w:t>
      </w:r>
      <w:r w:rsidR="008243CA">
        <w:rPr>
          <w:i/>
          <w:iCs/>
        </w:rPr>
        <w:t xml:space="preserve"> </w:t>
      </w:r>
      <w:r w:rsidRPr="00C84882">
        <w:rPr>
          <w:i/>
          <w:iCs/>
        </w:rPr>
        <w:t>Minimum</w:t>
      </w:r>
      <w:r w:rsidR="008243CA">
        <w:rPr>
          <w:i/>
          <w:iCs/>
        </w:rPr>
        <w:t xml:space="preserve"> </w:t>
      </w:r>
      <w:r w:rsidRPr="00C84882">
        <w:rPr>
          <w:i/>
          <w:iCs/>
        </w:rPr>
        <w:t>Rules</w:t>
      </w:r>
      <w:r w:rsidR="008243CA">
        <w:rPr>
          <w:i/>
          <w:iCs/>
        </w:rPr>
        <w:t xml:space="preserve"> </w:t>
      </w:r>
      <w:r w:rsidRPr="00C84882">
        <w:rPr>
          <w:i/>
          <w:iCs/>
        </w:rPr>
        <w:t>for</w:t>
      </w:r>
      <w:r w:rsidR="008243CA">
        <w:rPr>
          <w:i/>
          <w:iCs/>
        </w:rPr>
        <w:t xml:space="preserve"> </w:t>
      </w:r>
      <w:r w:rsidRPr="00C84882">
        <w:rPr>
          <w:i/>
          <w:iCs/>
        </w:rPr>
        <w:t>Non-</w:t>
      </w:r>
      <w:proofErr w:type="gramStart"/>
      <w:r w:rsidRPr="00C84882">
        <w:rPr>
          <w:i/>
          <w:iCs/>
        </w:rPr>
        <w:t>custodial</w:t>
      </w:r>
      <w:proofErr w:type="gramEnd"/>
      <w:r w:rsidR="008243CA">
        <w:rPr>
          <w:i/>
          <w:iCs/>
        </w:rPr>
        <w:t xml:space="preserve"> </w:t>
      </w:r>
      <w:r w:rsidRPr="00C84882">
        <w:rPr>
          <w:i/>
          <w:iCs/>
        </w:rPr>
        <w:t>Measures</w:t>
      </w:r>
      <w:r w:rsidR="008243CA">
        <w:rPr>
          <w:i/>
          <w:iCs/>
        </w:rPr>
        <w:t xml:space="preserve"> </w:t>
      </w:r>
      <w:r w:rsidRPr="00C84882">
        <w:rPr>
          <w:i/>
          <w:iCs/>
        </w:rPr>
        <w:t>(Tokyo</w:t>
      </w:r>
      <w:r w:rsidR="008243CA">
        <w:rPr>
          <w:i/>
          <w:iCs/>
        </w:rPr>
        <w:t xml:space="preserve"> </w:t>
      </w:r>
      <w:r w:rsidRPr="00C84882">
        <w:rPr>
          <w:i/>
          <w:iCs/>
        </w:rPr>
        <w:t>Rules).</w:t>
      </w:r>
    </w:p>
    <w:p w:rsidR="003F7D03" w:rsidRPr="00C84882" w:rsidRDefault="003F7D03" w:rsidP="000C6D98">
      <w:pPr>
        <w:pStyle w:val="SingleTxtG"/>
        <w:rPr>
          <w:i/>
          <w:iCs/>
        </w:rPr>
      </w:pPr>
      <w:r w:rsidRPr="00E62FE6">
        <w:t>68.</w:t>
      </w:r>
      <w:r w:rsidRPr="00E62FE6">
        <w:tab/>
        <w:t>Paragraph</w:t>
      </w:r>
      <w:r w:rsidR="008243CA">
        <w:t xml:space="preserve"> </w:t>
      </w:r>
      <w:r w:rsidRPr="00E62FE6">
        <w:t>68:</w:t>
      </w:r>
      <w:r w:rsidR="008243CA">
        <w:t xml:space="preserve"> </w:t>
      </w:r>
      <w:r w:rsidRPr="00C84882">
        <w:rPr>
          <w:i/>
          <w:iCs/>
        </w:rPr>
        <w:t>The</w:t>
      </w:r>
      <w:r w:rsidR="008243CA">
        <w:rPr>
          <w:i/>
          <w:iCs/>
        </w:rPr>
        <w:t xml:space="preserve"> </w:t>
      </w:r>
      <w:r w:rsidRPr="00C84882">
        <w:rPr>
          <w:i/>
          <w:iCs/>
        </w:rPr>
        <w:t>Subcommittee</w:t>
      </w:r>
      <w:r w:rsidR="008243CA">
        <w:rPr>
          <w:i/>
          <w:iCs/>
        </w:rPr>
        <w:t xml:space="preserve"> </w:t>
      </w:r>
      <w:r w:rsidRPr="00C84882">
        <w:rPr>
          <w:i/>
          <w:iCs/>
        </w:rPr>
        <w:t>recommends</w:t>
      </w:r>
      <w:r w:rsidR="008243CA">
        <w:rPr>
          <w:i/>
          <w:iCs/>
        </w:rPr>
        <w:t xml:space="preserve"> </w:t>
      </w:r>
      <w:r w:rsidRPr="00C84882">
        <w:rPr>
          <w:i/>
          <w:iCs/>
        </w:rPr>
        <w:t>that</w:t>
      </w:r>
      <w:r w:rsidR="008243CA">
        <w:rPr>
          <w:i/>
          <w:iCs/>
        </w:rPr>
        <w:t xml:space="preserve"> </w:t>
      </w:r>
      <w:r w:rsidRPr="00C84882">
        <w:rPr>
          <w:i/>
          <w:iCs/>
        </w:rPr>
        <w:t>modifications</w:t>
      </w:r>
      <w:r w:rsidR="008243CA">
        <w:rPr>
          <w:i/>
          <w:iCs/>
        </w:rPr>
        <w:t xml:space="preserve"> </w:t>
      </w:r>
      <w:r w:rsidRPr="00C84882">
        <w:rPr>
          <w:i/>
          <w:iCs/>
        </w:rPr>
        <w:t>be</w:t>
      </w:r>
      <w:r w:rsidR="008243CA">
        <w:rPr>
          <w:i/>
          <w:iCs/>
        </w:rPr>
        <w:t xml:space="preserve"> </w:t>
      </w:r>
      <w:r w:rsidRPr="00C84882">
        <w:rPr>
          <w:i/>
          <w:iCs/>
        </w:rPr>
        <w:t>made,</w:t>
      </w:r>
      <w:r w:rsidR="008243CA">
        <w:rPr>
          <w:i/>
          <w:iCs/>
        </w:rPr>
        <w:t xml:space="preserve"> </w:t>
      </w:r>
      <w:r w:rsidRPr="00C84882">
        <w:rPr>
          <w:i/>
          <w:iCs/>
        </w:rPr>
        <w:t>as</w:t>
      </w:r>
      <w:r w:rsidR="008243CA">
        <w:rPr>
          <w:i/>
          <w:iCs/>
        </w:rPr>
        <w:t xml:space="preserve"> </w:t>
      </w:r>
      <w:r w:rsidRPr="00C84882">
        <w:rPr>
          <w:i/>
          <w:iCs/>
        </w:rPr>
        <w:t>a</w:t>
      </w:r>
      <w:r w:rsidR="008243CA">
        <w:rPr>
          <w:i/>
          <w:iCs/>
        </w:rPr>
        <w:t xml:space="preserve"> </w:t>
      </w:r>
      <w:r w:rsidRPr="00C84882">
        <w:rPr>
          <w:i/>
          <w:iCs/>
        </w:rPr>
        <w:t>matter</w:t>
      </w:r>
      <w:r w:rsidR="008243CA">
        <w:rPr>
          <w:i/>
          <w:iCs/>
        </w:rPr>
        <w:t xml:space="preserve"> </w:t>
      </w:r>
      <w:r w:rsidRPr="00C84882">
        <w:rPr>
          <w:i/>
          <w:iCs/>
        </w:rPr>
        <w:t>of</w:t>
      </w:r>
      <w:r w:rsidR="008243CA">
        <w:rPr>
          <w:i/>
          <w:iCs/>
        </w:rPr>
        <w:t xml:space="preserve"> </w:t>
      </w:r>
      <w:r w:rsidRPr="00C84882">
        <w:rPr>
          <w:i/>
          <w:iCs/>
        </w:rPr>
        <w:t>urgency,</w:t>
      </w:r>
      <w:r w:rsidR="008243CA">
        <w:rPr>
          <w:i/>
          <w:iCs/>
        </w:rPr>
        <w:t xml:space="preserve"> </w:t>
      </w:r>
      <w:r w:rsidRPr="00C84882">
        <w:rPr>
          <w:i/>
          <w:iCs/>
        </w:rPr>
        <w:t>in</w:t>
      </w:r>
      <w:r w:rsidR="008243CA">
        <w:rPr>
          <w:i/>
          <w:iCs/>
        </w:rPr>
        <w:t xml:space="preserve"> </w:t>
      </w:r>
      <w:r w:rsidRPr="00C84882">
        <w:rPr>
          <w:i/>
          <w:iCs/>
        </w:rPr>
        <w:t>the</w:t>
      </w:r>
      <w:r w:rsidR="008243CA">
        <w:rPr>
          <w:i/>
          <w:iCs/>
        </w:rPr>
        <w:t xml:space="preserve"> </w:t>
      </w:r>
      <w:r w:rsidRPr="00C84882">
        <w:rPr>
          <w:i/>
          <w:iCs/>
        </w:rPr>
        <w:t>policy</w:t>
      </w:r>
      <w:r w:rsidR="008243CA">
        <w:rPr>
          <w:i/>
          <w:iCs/>
        </w:rPr>
        <w:t xml:space="preserve"> </w:t>
      </w:r>
      <w:r w:rsidRPr="00C84882">
        <w:rPr>
          <w:i/>
          <w:iCs/>
        </w:rPr>
        <w:t>governing</w:t>
      </w:r>
      <w:r w:rsidR="008243CA">
        <w:rPr>
          <w:i/>
          <w:iCs/>
        </w:rPr>
        <w:t xml:space="preserve"> </w:t>
      </w:r>
      <w:r w:rsidRPr="00C84882">
        <w:rPr>
          <w:i/>
          <w:iCs/>
        </w:rPr>
        <w:t>criminal</w:t>
      </w:r>
      <w:r w:rsidR="008243CA">
        <w:rPr>
          <w:i/>
          <w:iCs/>
        </w:rPr>
        <w:t xml:space="preserve"> </w:t>
      </w:r>
      <w:r w:rsidRPr="00C84882">
        <w:rPr>
          <w:i/>
          <w:iCs/>
        </w:rPr>
        <w:t>prosecution</w:t>
      </w:r>
      <w:r w:rsidR="008243CA">
        <w:rPr>
          <w:i/>
          <w:iCs/>
        </w:rPr>
        <w:t xml:space="preserve"> </w:t>
      </w:r>
      <w:r w:rsidRPr="00C84882">
        <w:rPr>
          <w:i/>
          <w:iCs/>
        </w:rPr>
        <w:t>and</w:t>
      </w:r>
      <w:r w:rsidR="008243CA">
        <w:rPr>
          <w:i/>
          <w:iCs/>
        </w:rPr>
        <w:t xml:space="preserve"> </w:t>
      </w:r>
      <w:r w:rsidRPr="00C84882">
        <w:rPr>
          <w:i/>
          <w:iCs/>
        </w:rPr>
        <w:t>the</w:t>
      </w:r>
      <w:r w:rsidR="008243CA">
        <w:rPr>
          <w:i/>
          <w:iCs/>
        </w:rPr>
        <w:t xml:space="preserve"> </w:t>
      </w:r>
      <w:r w:rsidRPr="00C84882">
        <w:rPr>
          <w:i/>
          <w:iCs/>
        </w:rPr>
        <w:t>administration</w:t>
      </w:r>
      <w:r w:rsidR="008243CA">
        <w:rPr>
          <w:i/>
          <w:iCs/>
        </w:rPr>
        <w:t xml:space="preserve"> </w:t>
      </w:r>
      <w:r w:rsidRPr="00C84882">
        <w:rPr>
          <w:i/>
          <w:iCs/>
        </w:rPr>
        <w:t>of</w:t>
      </w:r>
      <w:r w:rsidR="008243CA">
        <w:rPr>
          <w:i/>
          <w:iCs/>
        </w:rPr>
        <w:t xml:space="preserve"> </w:t>
      </w:r>
      <w:r w:rsidRPr="00C84882">
        <w:rPr>
          <w:i/>
          <w:iCs/>
        </w:rPr>
        <w:lastRenderedPageBreak/>
        <w:t>criminal</w:t>
      </w:r>
      <w:r w:rsidR="008243CA">
        <w:rPr>
          <w:i/>
          <w:iCs/>
        </w:rPr>
        <w:t xml:space="preserve"> </w:t>
      </w:r>
      <w:r w:rsidRPr="00C84882">
        <w:rPr>
          <w:i/>
          <w:iCs/>
        </w:rPr>
        <w:t>justice</w:t>
      </w:r>
      <w:r w:rsidR="008243CA">
        <w:rPr>
          <w:i/>
          <w:iCs/>
        </w:rPr>
        <w:t xml:space="preserve"> </w:t>
      </w:r>
      <w:r w:rsidRPr="00C84882">
        <w:rPr>
          <w:i/>
          <w:iCs/>
        </w:rPr>
        <w:t>in</w:t>
      </w:r>
      <w:r w:rsidR="008243CA">
        <w:rPr>
          <w:i/>
          <w:iCs/>
        </w:rPr>
        <w:t xml:space="preserve"> </w:t>
      </w:r>
      <w:r w:rsidRPr="00C84882">
        <w:rPr>
          <w:i/>
          <w:iCs/>
        </w:rPr>
        <w:t>order</w:t>
      </w:r>
      <w:r w:rsidR="008243CA">
        <w:rPr>
          <w:i/>
          <w:iCs/>
        </w:rPr>
        <w:t xml:space="preserve"> </w:t>
      </w:r>
      <w:r w:rsidRPr="00C84882">
        <w:rPr>
          <w:i/>
          <w:iCs/>
        </w:rPr>
        <w:t>to</w:t>
      </w:r>
      <w:r w:rsidR="008243CA">
        <w:rPr>
          <w:i/>
          <w:iCs/>
        </w:rPr>
        <w:t xml:space="preserve"> </w:t>
      </w:r>
      <w:r w:rsidRPr="00C84882">
        <w:rPr>
          <w:i/>
          <w:iCs/>
        </w:rPr>
        <w:t>reduce</w:t>
      </w:r>
      <w:r w:rsidR="008243CA">
        <w:rPr>
          <w:i/>
          <w:iCs/>
        </w:rPr>
        <w:t xml:space="preserve"> </w:t>
      </w:r>
      <w:r w:rsidRPr="00C84882">
        <w:rPr>
          <w:i/>
          <w:iCs/>
        </w:rPr>
        <w:t>the</w:t>
      </w:r>
      <w:r w:rsidR="008243CA">
        <w:rPr>
          <w:i/>
          <w:iCs/>
        </w:rPr>
        <w:t xml:space="preserve"> </w:t>
      </w:r>
      <w:r w:rsidRPr="00C84882">
        <w:rPr>
          <w:i/>
          <w:iCs/>
        </w:rPr>
        <w:t>number</w:t>
      </w:r>
      <w:r w:rsidR="008243CA">
        <w:rPr>
          <w:i/>
          <w:iCs/>
        </w:rPr>
        <w:t xml:space="preserve"> </w:t>
      </w:r>
      <w:r w:rsidRPr="00C84882">
        <w:rPr>
          <w:i/>
          <w:iCs/>
        </w:rPr>
        <w:t>of</w:t>
      </w:r>
      <w:r w:rsidR="008243CA">
        <w:rPr>
          <w:i/>
          <w:iCs/>
        </w:rPr>
        <w:t xml:space="preserve"> </w:t>
      </w:r>
      <w:r w:rsidRPr="00C84882">
        <w:rPr>
          <w:i/>
          <w:iCs/>
        </w:rPr>
        <w:t>persons</w:t>
      </w:r>
      <w:r w:rsidR="008243CA">
        <w:rPr>
          <w:i/>
          <w:iCs/>
        </w:rPr>
        <w:t xml:space="preserve"> </w:t>
      </w:r>
      <w:r w:rsidRPr="00C84882">
        <w:rPr>
          <w:i/>
          <w:iCs/>
        </w:rPr>
        <w:t>deprived</w:t>
      </w:r>
      <w:r w:rsidR="008243CA">
        <w:rPr>
          <w:i/>
          <w:iCs/>
        </w:rPr>
        <w:t xml:space="preserve"> </w:t>
      </w:r>
      <w:r w:rsidRPr="00C84882">
        <w:rPr>
          <w:i/>
          <w:iCs/>
        </w:rPr>
        <w:t>of</w:t>
      </w:r>
      <w:r w:rsidR="008243CA">
        <w:rPr>
          <w:i/>
          <w:iCs/>
        </w:rPr>
        <w:t xml:space="preserve"> </w:t>
      </w:r>
      <w:r w:rsidRPr="00C84882">
        <w:rPr>
          <w:i/>
          <w:iCs/>
        </w:rPr>
        <w:t>their</w:t>
      </w:r>
      <w:r w:rsidR="008243CA">
        <w:rPr>
          <w:i/>
          <w:iCs/>
        </w:rPr>
        <w:t xml:space="preserve"> </w:t>
      </w:r>
      <w:r w:rsidRPr="00C84882">
        <w:rPr>
          <w:i/>
          <w:iCs/>
        </w:rPr>
        <w:t>liberty</w:t>
      </w:r>
      <w:r w:rsidR="008243CA">
        <w:rPr>
          <w:i/>
          <w:iCs/>
        </w:rPr>
        <w:t xml:space="preserve"> </w:t>
      </w:r>
      <w:r w:rsidRPr="00C84882">
        <w:rPr>
          <w:i/>
          <w:iCs/>
        </w:rPr>
        <w:t>and</w:t>
      </w:r>
      <w:r w:rsidR="008243CA">
        <w:rPr>
          <w:i/>
          <w:iCs/>
        </w:rPr>
        <w:t xml:space="preserve"> </w:t>
      </w:r>
      <w:r w:rsidRPr="00C84882">
        <w:rPr>
          <w:i/>
          <w:iCs/>
        </w:rPr>
        <w:t>reverse</w:t>
      </w:r>
      <w:r w:rsidR="008243CA">
        <w:rPr>
          <w:i/>
          <w:iCs/>
        </w:rPr>
        <w:t xml:space="preserve"> </w:t>
      </w:r>
      <w:r w:rsidRPr="00C84882">
        <w:rPr>
          <w:i/>
          <w:iCs/>
        </w:rPr>
        <w:t>the</w:t>
      </w:r>
      <w:r w:rsidR="008243CA">
        <w:rPr>
          <w:i/>
          <w:iCs/>
        </w:rPr>
        <w:t xml:space="preserve"> </w:t>
      </w:r>
      <w:r w:rsidRPr="00C84882">
        <w:rPr>
          <w:i/>
          <w:iCs/>
        </w:rPr>
        <w:t>rise</w:t>
      </w:r>
      <w:r w:rsidR="008243CA">
        <w:rPr>
          <w:i/>
          <w:iCs/>
        </w:rPr>
        <w:t xml:space="preserve"> </w:t>
      </w:r>
      <w:r w:rsidRPr="00C84882">
        <w:rPr>
          <w:i/>
          <w:iCs/>
        </w:rPr>
        <w:t>in</w:t>
      </w:r>
      <w:r w:rsidR="008243CA">
        <w:rPr>
          <w:i/>
          <w:iCs/>
        </w:rPr>
        <w:t xml:space="preserve"> </w:t>
      </w:r>
      <w:r w:rsidRPr="00C84882">
        <w:rPr>
          <w:i/>
          <w:iCs/>
        </w:rPr>
        <w:t>the</w:t>
      </w:r>
      <w:r w:rsidR="008243CA">
        <w:rPr>
          <w:i/>
          <w:iCs/>
        </w:rPr>
        <w:t xml:space="preserve"> </w:t>
      </w:r>
      <w:r w:rsidRPr="00C84882">
        <w:rPr>
          <w:i/>
          <w:iCs/>
        </w:rPr>
        <w:t>prison</w:t>
      </w:r>
      <w:r w:rsidR="008243CA">
        <w:rPr>
          <w:i/>
          <w:iCs/>
        </w:rPr>
        <w:t xml:space="preserve"> </w:t>
      </w:r>
      <w:r w:rsidRPr="00C84882">
        <w:rPr>
          <w:i/>
          <w:iCs/>
        </w:rPr>
        <w:t>population.</w:t>
      </w:r>
    </w:p>
    <w:p w:rsidR="003F7D03" w:rsidRPr="00E62FE6" w:rsidRDefault="003F7D03" w:rsidP="000C6D98">
      <w:pPr>
        <w:pStyle w:val="SingleTxtG"/>
      </w:pPr>
      <w:r w:rsidRPr="00E62FE6">
        <w:t>69.</w:t>
      </w:r>
      <w:r w:rsidRPr="00E62FE6">
        <w:tab/>
        <w:t>Following</w:t>
      </w:r>
      <w:r w:rsidR="008243CA">
        <w:t xml:space="preserve"> </w:t>
      </w:r>
      <w:r w:rsidRPr="00E62FE6">
        <w:t>the</w:t>
      </w:r>
      <w:r w:rsidR="008243CA">
        <w:t xml:space="preserve"> </w:t>
      </w:r>
      <w:r w:rsidRPr="00E62FE6">
        <w:t>fire</w:t>
      </w:r>
      <w:r w:rsidR="008243CA">
        <w:t xml:space="preserve"> </w:t>
      </w:r>
      <w:r w:rsidRPr="00E62FE6">
        <w:t>in</w:t>
      </w:r>
      <w:r w:rsidR="008243CA">
        <w:t xml:space="preserve"> </w:t>
      </w:r>
      <w:r w:rsidRPr="00E62FE6">
        <w:t>San</w:t>
      </w:r>
      <w:r w:rsidR="008243CA">
        <w:t xml:space="preserve"> </w:t>
      </w:r>
      <w:r w:rsidRPr="00E62FE6">
        <w:t>Miguel</w:t>
      </w:r>
      <w:r w:rsidR="008243CA">
        <w:t xml:space="preserve"> </w:t>
      </w:r>
      <w:r w:rsidRPr="00E62FE6">
        <w:t>prison</w:t>
      </w:r>
      <w:r w:rsidR="008243CA">
        <w:t xml:space="preserve"> </w:t>
      </w:r>
      <w:r w:rsidRPr="00E62FE6">
        <w:t>in</w:t>
      </w:r>
      <w:r w:rsidR="008243CA">
        <w:t xml:space="preserve"> </w:t>
      </w:r>
      <w:r w:rsidRPr="00E62FE6">
        <w:t>2010,</w:t>
      </w:r>
      <w:r w:rsidR="008243CA">
        <w:t xml:space="preserve"> </w:t>
      </w:r>
      <w:r w:rsidRPr="00E62FE6">
        <w:t>the</w:t>
      </w:r>
      <w:r w:rsidR="008243CA">
        <w:t xml:space="preserve"> </w:t>
      </w:r>
      <w:r w:rsidRPr="00E62FE6">
        <w:t>Government</w:t>
      </w:r>
      <w:r w:rsidR="008243CA">
        <w:t xml:space="preserve"> </w:t>
      </w:r>
      <w:r w:rsidRPr="00E62FE6">
        <w:t>was</w:t>
      </w:r>
      <w:r w:rsidR="008243CA">
        <w:t xml:space="preserve"> </w:t>
      </w:r>
      <w:r w:rsidRPr="00E62FE6">
        <w:t>reminded</w:t>
      </w:r>
      <w:r w:rsidR="008243CA">
        <w:t xml:space="preserve"> </w:t>
      </w:r>
      <w:r w:rsidRPr="00E62FE6">
        <w:t>of</w:t>
      </w:r>
      <w:r w:rsidR="008243CA">
        <w:t xml:space="preserve"> </w:t>
      </w:r>
      <w:r w:rsidRPr="00E62FE6">
        <w:t>the</w:t>
      </w:r>
      <w:r w:rsidR="008243CA">
        <w:t xml:space="preserve"> </w:t>
      </w:r>
      <w:r w:rsidRPr="00E62FE6">
        <w:t>importance</w:t>
      </w:r>
      <w:r w:rsidR="008243CA">
        <w:t xml:space="preserve"> </w:t>
      </w:r>
      <w:r w:rsidRPr="00E62FE6">
        <w:t>of</w:t>
      </w:r>
      <w:r w:rsidR="008243CA">
        <w:t xml:space="preserve"> </w:t>
      </w:r>
      <w:r w:rsidRPr="00E62FE6">
        <w:t>addressing</w:t>
      </w:r>
      <w:r w:rsidR="008243CA">
        <w:t xml:space="preserve"> </w:t>
      </w:r>
      <w:r w:rsidRPr="00E62FE6">
        <w:t>the</w:t>
      </w:r>
      <w:r w:rsidR="008243CA">
        <w:t xml:space="preserve"> </w:t>
      </w:r>
      <w:r w:rsidRPr="00E62FE6">
        <w:t>situation</w:t>
      </w:r>
      <w:r w:rsidR="008243CA">
        <w:t xml:space="preserve"> </w:t>
      </w:r>
      <w:r w:rsidRPr="00E62FE6">
        <w:t>in</w:t>
      </w:r>
      <w:r w:rsidR="008243CA">
        <w:t xml:space="preserve"> </w:t>
      </w:r>
      <w:r w:rsidRPr="00E62FE6">
        <w:t>Chilean</w:t>
      </w:r>
      <w:r w:rsidR="008243CA">
        <w:t xml:space="preserve"> </w:t>
      </w:r>
      <w:r w:rsidRPr="00E62FE6">
        <w:t>prisons</w:t>
      </w:r>
      <w:r w:rsidR="008243CA">
        <w:t xml:space="preserve"> </w:t>
      </w:r>
      <w:r w:rsidRPr="00E62FE6">
        <w:t>and</w:t>
      </w:r>
      <w:r w:rsidR="008243CA">
        <w:t xml:space="preserve"> </w:t>
      </w:r>
      <w:r w:rsidRPr="00E62FE6">
        <w:t>has</w:t>
      </w:r>
      <w:r w:rsidR="008243CA">
        <w:t xml:space="preserve"> </w:t>
      </w:r>
      <w:r w:rsidRPr="00E62FE6">
        <w:t>undertaken</w:t>
      </w:r>
      <w:r w:rsidR="008243CA">
        <w:t xml:space="preserve"> </w:t>
      </w:r>
      <w:r w:rsidRPr="00E62FE6">
        <w:t>a</w:t>
      </w:r>
      <w:r w:rsidR="008243CA">
        <w:t xml:space="preserve"> </w:t>
      </w:r>
      <w:r w:rsidRPr="00E62FE6">
        <w:t>process</w:t>
      </w:r>
      <w:r w:rsidR="008243CA">
        <w:t xml:space="preserve"> </w:t>
      </w:r>
      <w:r w:rsidRPr="00E62FE6">
        <w:t>of</w:t>
      </w:r>
      <w:r w:rsidR="008243CA">
        <w:t xml:space="preserve"> </w:t>
      </w:r>
      <w:r w:rsidRPr="00E62FE6">
        <w:t>legal</w:t>
      </w:r>
      <w:r w:rsidR="008243CA">
        <w:t xml:space="preserve"> </w:t>
      </w:r>
      <w:r w:rsidRPr="00E62FE6">
        <w:t>and</w:t>
      </w:r>
      <w:r w:rsidR="008243CA">
        <w:t xml:space="preserve"> </w:t>
      </w:r>
      <w:r w:rsidRPr="00E62FE6">
        <w:t>administrative</w:t>
      </w:r>
      <w:r w:rsidR="008243CA">
        <w:t xml:space="preserve"> </w:t>
      </w:r>
      <w:r w:rsidRPr="00E62FE6">
        <w:t>reform</w:t>
      </w:r>
      <w:r w:rsidR="008243CA">
        <w:t xml:space="preserve"> </w:t>
      </w:r>
      <w:r w:rsidRPr="00E62FE6">
        <w:t>to</w:t>
      </w:r>
      <w:r w:rsidR="008243CA">
        <w:t xml:space="preserve"> </w:t>
      </w:r>
      <w:r w:rsidRPr="00E62FE6">
        <w:t>that</w:t>
      </w:r>
      <w:r w:rsidR="008243CA">
        <w:t xml:space="preserve"> </w:t>
      </w:r>
      <w:r w:rsidRPr="00E62FE6">
        <w:t>end.</w:t>
      </w:r>
      <w:r w:rsidR="008243CA">
        <w:t xml:space="preserve"> </w:t>
      </w:r>
      <w:r w:rsidRPr="00E62FE6">
        <w:t>Six</w:t>
      </w:r>
      <w:r w:rsidR="008243CA">
        <w:t xml:space="preserve"> </w:t>
      </w:r>
      <w:r w:rsidRPr="00E62FE6">
        <w:t>years</w:t>
      </w:r>
      <w:r w:rsidR="008243CA">
        <w:t xml:space="preserve"> </w:t>
      </w:r>
      <w:r w:rsidRPr="00E62FE6">
        <w:t>after</w:t>
      </w:r>
      <w:r w:rsidR="008243CA">
        <w:t xml:space="preserve"> </w:t>
      </w:r>
      <w:r w:rsidRPr="00E62FE6">
        <w:t>the</w:t>
      </w:r>
      <w:r w:rsidR="008243CA">
        <w:t xml:space="preserve"> </w:t>
      </w:r>
      <w:r w:rsidRPr="00E62FE6">
        <w:t>tragic</w:t>
      </w:r>
      <w:r w:rsidR="008243CA">
        <w:t xml:space="preserve"> </w:t>
      </w:r>
      <w:r w:rsidRPr="00E62FE6">
        <w:t>event,</w:t>
      </w:r>
      <w:r w:rsidR="008243CA">
        <w:t xml:space="preserve"> </w:t>
      </w:r>
      <w:r w:rsidRPr="00E62FE6">
        <w:t>changes</w:t>
      </w:r>
      <w:r w:rsidR="008243CA">
        <w:t xml:space="preserve"> </w:t>
      </w:r>
      <w:r w:rsidRPr="00E62FE6">
        <w:t>inspired</w:t>
      </w:r>
      <w:r w:rsidR="008243CA">
        <w:t xml:space="preserve"> </w:t>
      </w:r>
      <w:r w:rsidRPr="00E62FE6">
        <w:t>by</w:t>
      </w:r>
      <w:r w:rsidR="008243CA">
        <w:t xml:space="preserve"> </w:t>
      </w:r>
      <w:r w:rsidRPr="00E62FE6">
        <w:t>the</w:t>
      </w:r>
      <w:r w:rsidR="008243CA">
        <w:t xml:space="preserve"> </w:t>
      </w:r>
      <w:r w:rsidRPr="00E62FE6">
        <w:t>Subcommittee</w:t>
      </w:r>
      <w:r w:rsidR="00116F0B">
        <w:t>’</w:t>
      </w:r>
      <w:r w:rsidRPr="00E62FE6">
        <w:t>s</w:t>
      </w:r>
      <w:r w:rsidR="008243CA">
        <w:t xml:space="preserve"> </w:t>
      </w:r>
      <w:r w:rsidRPr="00E62FE6">
        <w:t>recommendations</w:t>
      </w:r>
      <w:r w:rsidR="008243CA">
        <w:t xml:space="preserve"> </w:t>
      </w:r>
      <w:r w:rsidRPr="00E62FE6">
        <w:t>have</w:t>
      </w:r>
      <w:r w:rsidR="008243CA">
        <w:t xml:space="preserve"> </w:t>
      </w:r>
      <w:r w:rsidRPr="00E62FE6">
        <w:t>been</w:t>
      </w:r>
      <w:r w:rsidR="008243CA">
        <w:t xml:space="preserve"> </w:t>
      </w:r>
      <w:r w:rsidRPr="00E62FE6">
        <w:t>introduced.</w:t>
      </w:r>
      <w:r w:rsidR="00116F0B">
        <w:t xml:space="preserve"> </w:t>
      </w:r>
    </w:p>
    <w:p w:rsidR="003F7D03" w:rsidRPr="00E62FE6" w:rsidRDefault="003F7D03" w:rsidP="000C6D98">
      <w:pPr>
        <w:pStyle w:val="SingleTxtG"/>
      </w:pPr>
      <w:r w:rsidRPr="00E62FE6">
        <w:t>70.</w:t>
      </w:r>
      <w:r w:rsidRPr="00E62FE6">
        <w:tab/>
        <w:t>An</w:t>
      </w:r>
      <w:r w:rsidR="008243CA">
        <w:t xml:space="preserve"> </w:t>
      </w:r>
      <w:r w:rsidRPr="00E62FE6">
        <w:t>example</w:t>
      </w:r>
      <w:r w:rsidR="008243CA">
        <w:t xml:space="preserve"> </w:t>
      </w:r>
      <w:r w:rsidRPr="00E62FE6">
        <w:t>of</w:t>
      </w:r>
      <w:r w:rsidR="008243CA">
        <w:t xml:space="preserve"> </w:t>
      </w:r>
      <w:r w:rsidRPr="00E62FE6">
        <w:t>this</w:t>
      </w:r>
      <w:r w:rsidR="008243CA">
        <w:t xml:space="preserve"> </w:t>
      </w:r>
      <w:r w:rsidRPr="00E62FE6">
        <w:t>has</w:t>
      </w:r>
      <w:r w:rsidR="008243CA">
        <w:t xml:space="preserve"> </w:t>
      </w:r>
      <w:r w:rsidRPr="00E62FE6">
        <w:t>been</w:t>
      </w:r>
      <w:r w:rsidR="008243CA">
        <w:t xml:space="preserve"> </w:t>
      </w:r>
      <w:r w:rsidRPr="00E62FE6">
        <w:t>the</w:t>
      </w:r>
      <w:r w:rsidR="008243CA">
        <w:t xml:space="preserve"> </w:t>
      </w:r>
      <w:r w:rsidRPr="00E62FE6">
        <w:t>publication</w:t>
      </w:r>
      <w:r w:rsidR="008243CA">
        <w:t xml:space="preserve"> </w:t>
      </w:r>
      <w:r w:rsidRPr="00E62FE6">
        <w:t>of</w:t>
      </w:r>
      <w:r w:rsidR="008243CA">
        <w:t xml:space="preserve"> </w:t>
      </w:r>
      <w:r w:rsidRPr="00E62FE6">
        <w:t>Act</w:t>
      </w:r>
      <w:r w:rsidR="008243CA">
        <w:t xml:space="preserve"> </w:t>
      </w:r>
      <w:r w:rsidRPr="00E62FE6">
        <w:t>No.</w:t>
      </w:r>
      <w:r w:rsidR="008243CA">
        <w:t xml:space="preserve"> </w:t>
      </w:r>
      <w:r w:rsidRPr="00E62FE6">
        <w:t>20587,</w:t>
      </w:r>
      <w:r w:rsidR="008243CA">
        <w:t xml:space="preserve"> </w:t>
      </w:r>
      <w:r w:rsidRPr="00E62FE6">
        <w:t>which</w:t>
      </w:r>
      <w:r w:rsidR="008243CA">
        <w:t xml:space="preserve"> </w:t>
      </w:r>
      <w:r w:rsidRPr="00E62FE6">
        <w:t>modifies</w:t>
      </w:r>
      <w:r w:rsidR="008243CA">
        <w:t xml:space="preserve"> </w:t>
      </w:r>
      <w:r w:rsidRPr="00E62FE6">
        <w:t>the</w:t>
      </w:r>
      <w:r w:rsidR="008243CA">
        <w:t xml:space="preserve"> </w:t>
      </w:r>
      <w:r w:rsidRPr="00E62FE6">
        <w:t>parole</w:t>
      </w:r>
      <w:r w:rsidR="008243CA">
        <w:t xml:space="preserve"> </w:t>
      </w:r>
      <w:r w:rsidRPr="00E62FE6">
        <w:t>regime</w:t>
      </w:r>
      <w:r w:rsidR="008243CA">
        <w:t xml:space="preserve"> </w:t>
      </w:r>
      <w:r w:rsidRPr="00E62FE6">
        <w:t>and</w:t>
      </w:r>
      <w:r w:rsidR="008243CA">
        <w:t xml:space="preserve"> </w:t>
      </w:r>
      <w:r w:rsidRPr="00E62FE6">
        <w:t>introduces</w:t>
      </w:r>
      <w:r w:rsidR="008243CA">
        <w:t xml:space="preserve"> </w:t>
      </w:r>
      <w:r w:rsidRPr="00E62FE6">
        <w:t>the</w:t>
      </w:r>
      <w:r w:rsidR="008243CA">
        <w:t xml:space="preserve"> </w:t>
      </w:r>
      <w:r w:rsidRPr="00E62FE6">
        <w:t>possibility</w:t>
      </w:r>
      <w:r w:rsidR="008243CA">
        <w:t xml:space="preserve"> </w:t>
      </w:r>
      <w:r w:rsidRPr="00E62FE6">
        <w:t>of</w:t>
      </w:r>
      <w:r w:rsidR="008243CA">
        <w:t xml:space="preserve"> </w:t>
      </w:r>
      <w:r w:rsidRPr="00E62FE6">
        <w:t>replacing</w:t>
      </w:r>
      <w:r w:rsidR="008243CA">
        <w:t xml:space="preserve"> </w:t>
      </w:r>
      <w:r w:rsidRPr="00E62FE6">
        <w:t>the</w:t>
      </w:r>
      <w:r w:rsidR="008243CA">
        <w:t xml:space="preserve"> </w:t>
      </w:r>
      <w:r w:rsidRPr="00E62FE6">
        <w:t>custodial</w:t>
      </w:r>
      <w:r w:rsidR="008243CA">
        <w:t xml:space="preserve"> </w:t>
      </w:r>
      <w:r w:rsidRPr="00E62FE6">
        <w:t>penalty</w:t>
      </w:r>
      <w:r w:rsidR="008243CA">
        <w:t xml:space="preserve"> </w:t>
      </w:r>
      <w:r w:rsidRPr="00E62FE6">
        <w:t>associated</w:t>
      </w:r>
      <w:r w:rsidR="008243CA">
        <w:t xml:space="preserve"> </w:t>
      </w:r>
      <w:r w:rsidRPr="00E62FE6">
        <w:t>with</w:t>
      </w:r>
      <w:r w:rsidR="008243CA">
        <w:t xml:space="preserve"> </w:t>
      </w:r>
      <w:r w:rsidRPr="00E62FE6">
        <w:t>non-payment</w:t>
      </w:r>
      <w:r w:rsidR="008243CA">
        <w:t xml:space="preserve"> </w:t>
      </w:r>
      <w:r w:rsidRPr="00E62FE6">
        <w:t>of</w:t>
      </w:r>
      <w:r w:rsidR="008243CA">
        <w:t xml:space="preserve"> </w:t>
      </w:r>
      <w:r w:rsidRPr="00E62FE6">
        <w:t>a</w:t>
      </w:r>
      <w:r w:rsidR="008243CA">
        <w:t xml:space="preserve"> </w:t>
      </w:r>
      <w:r w:rsidRPr="00E62FE6">
        <w:t>fine</w:t>
      </w:r>
      <w:r w:rsidR="008243CA">
        <w:t xml:space="preserve"> </w:t>
      </w:r>
      <w:r w:rsidRPr="00E62FE6">
        <w:t>with</w:t>
      </w:r>
      <w:r w:rsidR="008243CA">
        <w:t xml:space="preserve"> </w:t>
      </w:r>
      <w:r w:rsidRPr="00E62FE6">
        <w:t>the</w:t>
      </w:r>
      <w:r w:rsidR="008243CA">
        <w:t xml:space="preserve"> </w:t>
      </w:r>
      <w:r w:rsidRPr="00E62FE6">
        <w:t>non-custodial</w:t>
      </w:r>
      <w:r w:rsidR="008243CA">
        <w:t xml:space="preserve"> </w:t>
      </w:r>
      <w:r w:rsidRPr="00E62FE6">
        <w:t>penalty</w:t>
      </w:r>
      <w:r w:rsidR="008243CA">
        <w:t xml:space="preserve"> </w:t>
      </w:r>
      <w:r w:rsidRPr="00E62FE6">
        <w:t>of</w:t>
      </w:r>
      <w:r w:rsidR="008243CA">
        <w:t xml:space="preserve"> </w:t>
      </w:r>
      <w:r w:rsidRPr="00E62FE6">
        <w:t>community</w:t>
      </w:r>
      <w:r w:rsidR="008243CA">
        <w:t xml:space="preserve"> </w:t>
      </w:r>
      <w:r w:rsidRPr="00E62FE6">
        <w:t>service.</w:t>
      </w:r>
      <w:r w:rsidR="008243CA">
        <w:t xml:space="preserve"> </w:t>
      </w:r>
      <w:r w:rsidRPr="00E62FE6">
        <w:t>Furthermore,</w:t>
      </w:r>
      <w:r w:rsidR="008243CA">
        <w:t xml:space="preserve"> </w:t>
      </w:r>
      <w:r w:rsidRPr="00E62FE6">
        <w:t>the</w:t>
      </w:r>
      <w:r w:rsidR="008243CA">
        <w:t xml:space="preserve"> </w:t>
      </w:r>
      <w:r w:rsidRPr="00E62FE6">
        <w:t>Parole</w:t>
      </w:r>
      <w:r w:rsidR="008243CA">
        <w:t xml:space="preserve"> </w:t>
      </w:r>
      <w:r w:rsidRPr="00E62FE6">
        <w:t>Board,</w:t>
      </w:r>
      <w:r w:rsidR="008243CA">
        <w:t xml:space="preserve"> </w:t>
      </w:r>
      <w:r w:rsidRPr="00E62FE6">
        <w:t>which</w:t>
      </w:r>
      <w:r w:rsidR="008243CA">
        <w:t xml:space="preserve"> </w:t>
      </w:r>
      <w:r w:rsidRPr="00E62FE6">
        <w:t>is</w:t>
      </w:r>
      <w:r w:rsidR="008243CA">
        <w:t xml:space="preserve"> </w:t>
      </w:r>
      <w:r w:rsidRPr="00E62FE6">
        <w:t>composed</w:t>
      </w:r>
      <w:r w:rsidR="008243CA">
        <w:t xml:space="preserve"> </w:t>
      </w:r>
      <w:r w:rsidRPr="00E62FE6">
        <w:t>of</w:t>
      </w:r>
      <w:r w:rsidR="008243CA">
        <w:t xml:space="preserve"> </w:t>
      </w:r>
      <w:r w:rsidRPr="00E62FE6">
        <w:t>members</w:t>
      </w:r>
      <w:r w:rsidR="008243CA">
        <w:t xml:space="preserve"> </w:t>
      </w:r>
      <w:r w:rsidRPr="00E62FE6">
        <w:t>of</w:t>
      </w:r>
      <w:r w:rsidR="008243CA">
        <w:t xml:space="preserve"> </w:t>
      </w:r>
      <w:r w:rsidRPr="00E62FE6">
        <w:t>the</w:t>
      </w:r>
      <w:r w:rsidR="008243CA">
        <w:t xml:space="preserve"> </w:t>
      </w:r>
      <w:r w:rsidRPr="00E62FE6">
        <w:t>judiciary,</w:t>
      </w:r>
      <w:r w:rsidR="008243CA">
        <w:t xml:space="preserve"> </w:t>
      </w:r>
      <w:r w:rsidRPr="00E62FE6">
        <w:t>has</w:t>
      </w:r>
      <w:r w:rsidR="008243CA">
        <w:t xml:space="preserve"> </w:t>
      </w:r>
      <w:r w:rsidRPr="00E62FE6">
        <w:t>been</w:t>
      </w:r>
      <w:r w:rsidR="008243CA">
        <w:t xml:space="preserve"> </w:t>
      </w:r>
      <w:r w:rsidRPr="00E62FE6">
        <w:t>empowered</w:t>
      </w:r>
      <w:r w:rsidR="008243CA">
        <w:t xml:space="preserve"> </w:t>
      </w:r>
      <w:r w:rsidRPr="00E62FE6">
        <w:t>to</w:t>
      </w:r>
      <w:r w:rsidR="008243CA">
        <w:t xml:space="preserve"> </w:t>
      </w:r>
      <w:r w:rsidRPr="00E62FE6">
        <w:t>decide</w:t>
      </w:r>
      <w:r w:rsidR="008243CA">
        <w:t xml:space="preserve"> </w:t>
      </w:r>
      <w:r w:rsidRPr="00E62FE6">
        <w:t>whether</w:t>
      </w:r>
      <w:r w:rsidR="008243CA">
        <w:t xml:space="preserve"> </w:t>
      </w:r>
      <w:r w:rsidRPr="00E62FE6">
        <w:t>to</w:t>
      </w:r>
      <w:r w:rsidR="008243CA">
        <w:t xml:space="preserve"> </w:t>
      </w:r>
      <w:r w:rsidRPr="00E62FE6">
        <w:t>grant</w:t>
      </w:r>
      <w:r w:rsidR="008243CA">
        <w:t xml:space="preserve"> </w:t>
      </w:r>
      <w:r w:rsidRPr="00E62FE6">
        <w:t>parole</w:t>
      </w:r>
      <w:r w:rsidR="008243CA">
        <w:t xml:space="preserve"> </w:t>
      </w:r>
      <w:r w:rsidRPr="00E62FE6">
        <w:t>in</w:t>
      </w:r>
      <w:r w:rsidR="008243CA">
        <w:t xml:space="preserve"> </w:t>
      </w:r>
      <w:r w:rsidRPr="00E62FE6">
        <w:t>accordance</w:t>
      </w:r>
      <w:r w:rsidR="008243CA">
        <w:t xml:space="preserve"> </w:t>
      </w:r>
      <w:r w:rsidRPr="00E62FE6">
        <w:t>with</w:t>
      </w:r>
      <w:r w:rsidR="008243CA">
        <w:t xml:space="preserve"> </w:t>
      </w:r>
      <w:r w:rsidRPr="00E62FE6">
        <w:t>objective</w:t>
      </w:r>
      <w:r w:rsidR="008243CA">
        <w:t xml:space="preserve"> </w:t>
      </w:r>
      <w:r w:rsidRPr="00E62FE6">
        <w:t>criteria.</w:t>
      </w:r>
      <w:r w:rsidR="008243CA">
        <w:t xml:space="preserve"> </w:t>
      </w:r>
      <w:r w:rsidRPr="00E62FE6">
        <w:t>Since</w:t>
      </w:r>
      <w:r w:rsidR="008243CA">
        <w:t xml:space="preserve"> </w:t>
      </w:r>
      <w:r w:rsidRPr="00E62FE6">
        <w:t>the</w:t>
      </w:r>
      <w:r w:rsidR="008243CA">
        <w:t xml:space="preserve"> </w:t>
      </w:r>
      <w:r w:rsidRPr="00E62FE6">
        <w:t>entry</w:t>
      </w:r>
      <w:r w:rsidR="008243CA">
        <w:t xml:space="preserve"> </w:t>
      </w:r>
      <w:r w:rsidRPr="00E62FE6">
        <w:t>into</w:t>
      </w:r>
      <w:r w:rsidR="008243CA">
        <w:t xml:space="preserve"> </w:t>
      </w:r>
      <w:r w:rsidRPr="00E62FE6">
        <w:t>force</w:t>
      </w:r>
      <w:r w:rsidR="008243CA">
        <w:t xml:space="preserve"> </w:t>
      </w:r>
      <w:r w:rsidRPr="00E62FE6">
        <w:t>of</w:t>
      </w:r>
      <w:r w:rsidR="008243CA">
        <w:t xml:space="preserve"> </w:t>
      </w:r>
      <w:r w:rsidRPr="00E62FE6">
        <w:t>the</w:t>
      </w:r>
      <w:r w:rsidR="008243CA">
        <w:t xml:space="preserve"> </w:t>
      </w:r>
      <w:r w:rsidRPr="00E62FE6">
        <w:t>Act</w:t>
      </w:r>
      <w:r w:rsidR="008243CA">
        <w:t xml:space="preserve"> </w:t>
      </w:r>
      <w:r w:rsidRPr="00E62FE6">
        <w:t>in</w:t>
      </w:r>
      <w:r w:rsidR="008243CA">
        <w:t xml:space="preserve"> </w:t>
      </w:r>
      <w:r w:rsidRPr="00E62FE6">
        <w:t>June</w:t>
      </w:r>
      <w:r w:rsidR="008243CA">
        <w:t xml:space="preserve"> </w:t>
      </w:r>
      <w:r w:rsidRPr="00E62FE6">
        <w:t>2012,</w:t>
      </w:r>
      <w:r w:rsidR="008243CA">
        <w:t xml:space="preserve"> </w:t>
      </w:r>
      <w:r w:rsidRPr="00E62FE6">
        <w:t>significant</w:t>
      </w:r>
      <w:r w:rsidR="008243CA">
        <w:t xml:space="preserve"> </w:t>
      </w:r>
      <w:r w:rsidRPr="00E62FE6">
        <w:t>changes</w:t>
      </w:r>
      <w:r w:rsidR="008243CA">
        <w:t xml:space="preserve"> </w:t>
      </w:r>
      <w:r w:rsidRPr="00E62FE6">
        <w:t>have</w:t>
      </w:r>
      <w:r w:rsidR="008243CA">
        <w:t xml:space="preserve"> </w:t>
      </w:r>
      <w:r w:rsidRPr="00E62FE6">
        <w:t>been</w:t>
      </w:r>
      <w:r w:rsidR="008243CA">
        <w:t xml:space="preserve"> </w:t>
      </w:r>
      <w:r w:rsidRPr="00E62FE6">
        <w:t>made:</w:t>
      </w:r>
    </w:p>
    <w:p w:rsidR="00C362B4" w:rsidRDefault="003F7D03" w:rsidP="00C362B4">
      <w:pPr>
        <w:pStyle w:val="SingleTxtG"/>
        <w:spacing w:before="240" w:after="0"/>
      </w:pPr>
      <w:r w:rsidRPr="00E62FE6">
        <w:t>Table</w:t>
      </w:r>
      <w:r w:rsidR="008243CA">
        <w:t xml:space="preserve"> </w:t>
      </w:r>
      <w:r w:rsidRPr="00E62FE6">
        <w:t>1</w:t>
      </w:r>
    </w:p>
    <w:p w:rsidR="003F7D03" w:rsidRPr="00C362B4" w:rsidRDefault="003F7D03" w:rsidP="00C362B4">
      <w:pPr>
        <w:pStyle w:val="SingleTxtG"/>
        <w:rPr>
          <w:b/>
          <w:bCs/>
        </w:rPr>
      </w:pPr>
      <w:r w:rsidRPr="00C362B4">
        <w:rPr>
          <w:b/>
          <w:bCs/>
        </w:rPr>
        <w:t>Total</w:t>
      </w:r>
      <w:r w:rsidR="008243CA">
        <w:rPr>
          <w:b/>
          <w:bCs/>
        </w:rPr>
        <w:t xml:space="preserve"> </w:t>
      </w:r>
      <w:r w:rsidRPr="00C362B4">
        <w:rPr>
          <w:b/>
          <w:bCs/>
        </w:rPr>
        <w:t>number</w:t>
      </w:r>
      <w:r w:rsidR="008243CA">
        <w:rPr>
          <w:b/>
          <w:bCs/>
        </w:rPr>
        <w:t xml:space="preserve"> </w:t>
      </w:r>
      <w:r w:rsidRPr="00C362B4">
        <w:rPr>
          <w:b/>
          <w:bCs/>
        </w:rPr>
        <w:t>of</w:t>
      </w:r>
      <w:r w:rsidR="008243CA">
        <w:rPr>
          <w:b/>
          <w:bCs/>
        </w:rPr>
        <w:t xml:space="preserve"> </w:t>
      </w:r>
      <w:r w:rsidRPr="00C362B4">
        <w:rPr>
          <w:b/>
          <w:bCs/>
        </w:rPr>
        <w:t>cases</w:t>
      </w:r>
      <w:r w:rsidR="008243CA">
        <w:rPr>
          <w:b/>
          <w:bCs/>
        </w:rPr>
        <w:t xml:space="preserve"> </w:t>
      </w:r>
      <w:r w:rsidRPr="00C362B4">
        <w:rPr>
          <w:b/>
          <w:bCs/>
        </w:rPr>
        <w:t>in</w:t>
      </w:r>
      <w:r w:rsidR="008243CA">
        <w:rPr>
          <w:b/>
          <w:bCs/>
        </w:rPr>
        <w:t xml:space="preserve"> </w:t>
      </w:r>
      <w:r w:rsidRPr="00C362B4">
        <w:rPr>
          <w:b/>
          <w:bCs/>
        </w:rPr>
        <w:t>which</w:t>
      </w:r>
      <w:r w:rsidR="008243CA">
        <w:rPr>
          <w:b/>
          <w:bCs/>
        </w:rPr>
        <w:t xml:space="preserve"> </w:t>
      </w:r>
      <w:r w:rsidRPr="00C362B4">
        <w:rPr>
          <w:b/>
          <w:bCs/>
        </w:rPr>
        <w:t>parole</w:t>
      </w:r>
      <w:r w:rsidR="008243CA">
        <w:rPr>
          <w:b/>
          <w:bCs/>
        </w:rPr>
        <w:t xml:space="preserve"> </w:t>
      </w:r>
      <w:r w:rsidRPr="00C362B4">
        <w:rPr>
          <w:b/>
          <w:bCs/>
        </w:rPr>
        <w:t>was</w:t>
      </w:r>
      <w:r w:rsidR="008243CA">
        <w:rPr>
          <w:b/>
          <w:bCs/>
        </w:rPr>
        <w:t xml:space="preserve"> </w:t>
      </w:r>
      <w:r w:rsidRPr="00C362B4">
        <w:rPr>
          <w:b/>
          <w:bCs/>
        </w:rPr>
        <w:t>granted</w:t>
      </w:r>
      <w:r w:rsidR="008243CA">
        <w:rPr>
          <w:b/>
          <w:bCs/>
        </w:rPr>
        <w:t xml:space="preserve"> </w:t>
      </w:r>
      <w:r w:rsidRPr="00C362B4">
        <w:rPr>
          <w:b/>
          <w:bCs/>
        </w:rPr>
        <w:t>(2010</w:t>
      </w:r>
      <w:r w:rsidR="00C362B4">
        <w:rPr>
          <w:b/>
          <w:bCs/>
        </w:rPr>
        <w:t>–</w:t>
      </w:r>
      <w:r w:rsidRPr="00C362B4">
        <w:rPr>
          <w:b/>
          <w:bCs/>
        </w:rPr>
        <w:t>2016)</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065"/>
        <w:gridCol w:w="1048"/>
        <w:gridCol w:w="1048"/>
        <w:gridCol w:w="1048"/>
        <w:gridCol w:w="1048"/>
        <w:gridCol w:w="1048"/>
        <w:gridCol w:w="1065"/>
      </w:tblGrid>
      <w:tr w:rsidR="003F7D03" w:rsidRPr="008243CA" w:rsidTr="005D4067">
        <w:trPr>
          <w:cantSplit/>
          <w:trHeight w:val="240"/>
          <w:tblHeader/>
        </w:trPr>
        <w:tc>
          <w:tcPr>
            <w:tcW w:w="1280" w:type="dxa"/>
            <w:tcBorders>
              <w:top w:val="single" w:sz="4" w:space="0" w:color="auto"/>
              <w:bottom w:val="single" w:sz="12" w:space="0" w:color="auto"/>
            </w:tcBorders>
            <w:shd w:val="clear" w:color="auto" w:fill="auto"/>
            <w:vAlign w:val="bottom"/>
          </w:tcPr>
          <w:p w:rsidR="003F7D03" w:rsidRPr="008243CA" w:rsidRDefault="003F7D03" w:rsidP="008243CA">
            <w:pPr>
              <w:pStyle w:val="SingleTxtG"/>
              <w:suppressAutoHyphens w:val="0"/>
              <w:spacing w:before="80" w:after="80" w:line="200" w:lineRule="exact"/>
              <w:ind w:left="0" w:right="113"/>
              <w:jc w:val="left"/>
              <w:rPr>
                <w:i/>
                <w:sz w:val="16"/>
              </w:rPr>
            </w:pPr>
            <w:r w:rsidRPr="008243CA">
              <w:rPr>
                <w:i/>
                <w:sz w:val="16"/>
              </w:rPr>
              <w:t>2010</w:t>
            </w:r>
          </w:p>
        </w:tc>
        <w:tc>
          <w:tcPr>
            <w:tcW w:w="1260" w:type="dxa"/>
            <w:tcBorders>
              <w:top w:val="single" w:sz="4" w:space="0" w:color="auto"/>
              <w:bottom w:val="single" w:sz="12" w:space="0" w:color="auto"/>
            </w:tcBorders>
            <w:shd w:val="clear" w:color="auto" w:fill="auto"/>
            <w:vAlign w:val="bottom"/>
          </w:tcPr>
          <w:p w:rsidR="003F7D03" w:rsidRPr="008243CA" w:rsidRDefault="003F7D03" w:rsidP="008243CA">
            <w:pPr>
              <w:pStyle w:val="SingleTxtG"/>
              <w:suppressAutoHyphens w:val="0"/>
              <w:spacing w:before="80" w:after="80" w:line="200" w:lineRule="exact"/>
              <w:ind w:left="0" w:right="113"/>
              <w:jc w:val="right"/>
              <w:rPr>
                <w:i/>
                <w:sz w:val="16"/>
              </w:rPr>
            </w:pPr>
            <w:r w:rsidRPr="008243CA">
              <w:rPr>
                <w:i/>
                <w:sz w:val="16"/>
              </w:rPr>
              <w:t>2011</w:t>
            </w:r>
          </w:p>
        </w:tc>
        <w:tc>
          <w:tcPr>
            <w:tcW w:w="1260" w:type="dxa"/>
            <w:tcBorders>
              <w:top w:val="single" w:sz="4" w:space="0" w:color="auto"/>
              <w:bottom w:val="single" w:sz="12" w:space="0" w:color="auto"/>
            </w:tcBorders>
            <w:shd w:val="clear" w:color="auto" w:fill="auto"/>
            <w:vAlign w:val="bottom"/>
          </w:tcPr>
          <w:p w:rsidR="003F7D03" w:rsidRPr="008243CA" w:rsidRDefault="003F7D03" w:rsidP="008243CA">
            <w:pPr>
              <w:pStyle w:val="SingleTxtG"/>
              <w:suppressAutoHyphens w:val="0"/>
              <w:spacing w:before="80" w:after="80" w:line="200" w:lineRule="exact"/>
              <w:ind w:left="0" w:right="113"/>
              <w:jc w:val="right"/>
              <w:rPr>
                <w:i/>
                <w:sz w:val="16"/>
              </w:rPr>
            </w:pPr>
            <w:r w:rsidRPr="008243CA">
              <w:rPr>
                <w:i/>
                <w:sz w:val="16"/>
              </w:rPr>
              <w:t>2012</w:t>
            </w:r>
          </w:p>
        </w:tc>
        <w:tc>
          <w:tcPr>
            <w:tcW w:w="1260" w:type="dxa"/>
            <w:tcBorders>
              <w:top w:val="single" w:sz="4" w:space="0" w:color="auto"/>
              <w:bottom w:val="single" w:sz="12" w:space="0" w:color="auto"/>
            </w:tcBorders>
            <w:shd w:val="clear" w:color="auto" w:fill="auto"/>
            <w:vAlign w:val="bottom"/>
          </w:tcPr>
          <w:p w:rsidR="003F7D03" w:rsidRPr="008243CA" w:rsidRDefault="003F7D03" w:rsidP="008243CA">
            <w:pPr>
              <w:pStyle w:val="SingleTxtG"/>
              <w:suppressAutoHyphens w:val="0"/>
              <w:spacing w:before="80" w:after="80" w:line="200" w:lineRule="exact"/>
              <w:ind w:left="0" w:right="113"/>
              <w:jc w:val="right"/>
              <w:rPr>
                <w:i/>
                <w:sz w:val="16"/>
              </w:rPr>
            </w:pPr>
            <w:r w:rsidRPr="008243CA">
              <w:rPr>
                <w:i/>
                <w:sz w:val="16"/>
              </w:rPr>
              <w:t>2013</w:t>
            </w:r>
          </w:p>
        </w:tc>
        <w:tc>
          <w:tcPr>
            <w:tcW w:w="1260" w:type="dxa"/>
            <w:tcBorders>
              <w:top w:val="single" w:sz="4" w:space="0" w:color="auto"/>
              <w:bottom w:val="single" w:sz="12" w:space="0" w:color="auto"/>
            </w:tcBorders>
            <w:shd w:val="clear" w:color="auto" w:fill="auto"/>
            <w:vAlign w:val="bottom"/>
          </w:tcPr>
          <w:p w:rsidR="003F7D03" w:rsidRPr="008243CA" w:rsidRDefault="003F7D03" w:rsidP="008243CA">
            <w:pPr>
              <w:pStyle w:val="SingleTxtG"/>
              <w:suppressAutoHyphens w:val="0"/>
              <w:spacing w:before="80" w:after="80" w:line="200" w:lineRule="exact"/>
              <w:ind w:left="0" w:right="113"/>
              <w:jc w:val="right"/>
              <w:rPr>
                <w:i/>
                <w:sz w:val="16"/>
              </w:rPr>
            </w:pPr>
            <w:r w:rsidRPr="008243CA">
              <w:rPr>
                <w:i/>
                <w:sz w:val="16"/>
              </w:rPr>
              <w:t>2014</w:t>
            </w:r>
          </w:p>
        </w:tc>
        <w:tc>
          <w:tcPr>
            <w:tcW w:w="1260" w:type="dxa"/>
            <w:tcBorders>
              <w:top w:val="single" w:sz="4" w:space="0" w:color="auto"/>
              <w:bottom w:val="single" w:sz="12" w:space="0" w:color="auto"/>
            </w:tcBorders>
            <w:shd w:val="clear" w:color="auto" w:fill="auto"/>
            <w:vAlign w:val="bottom"/>
          </w:tcPr>
          <w:p w:rsidR="003F7D03" w:rsidRPr="008243CA" w:rsidRDefault="003F7D03" w:rsidP="008243CA">
            <w:pPr>
              <w:pStyle w:val="SingleTxtG"/>
              <w:suppressAutoHyphens w:val="0"/>
              <w:spacing w:before="80" w:after="80" w:line="200" w:lineRule="exact"/>
              <w:ind w:left="0" w:right="113"/>
              <w:jc w:val="right"/>
              <w:rPr>
                <w:i/>
                <w:sz w:val="16"/>
              </w:rPr>
            </w:pPr>
            <w:r w:rsidRPr="008243CA">
              <w:rPr>
                <w:i/>
                <w:sz w:val="16"/>
              </w:rPr>
              <w:t>2015</w:t>
            </w:r>
          </w:p>
        </w:tc>
        <w:tc>
          <w:tcPr>
            <w:tcW w:w="1280" w:type="dxa"/>
            <w:tcBorders>
              <w:top w:val="single" w:sz="4" w:space="0" w:color="auto"/>
              <w:bottom w:val="single" w:sz="12" w:space="0" w:color="auto"/>
            </w:tcBorders>
            <w:shd w:val="clear" w:color="auto" w:fill="auto"/>
            <w:vAlign w:val="bottom"/>
          </w:tcPr>
          <w:p w:rsidR="003F7D03" w:rsidRPr="008243CA" w:rsidRDefault="003F7D03" w:rsidP="008243CA">
            <w:pPr>
              <w:pStyle w:val="SingleTxtG"/>
              <w:suppressAutoHyphens w:val="0"/>
              <w:spacing w:before="80" w:after="80" w:line="200" w:lineRule="exact"/>
              <w:ind w:left="0" w:right="113"/>
              <w:jc w:val="right"/>
              <w:rPr>
                <w:i/>
                <w:sz w:val="16"/>
              </w:rPr>
            </w:pPr>
            <w:r w:rsidRPr="008243CA">
              <w:rPr>
                <w:i/>
                <w:sz w:val="16"/>
              </w:rPr>
              <w:t>2016*</w:t>
            </w:r>
          </w:p>
        </w:tc>
      </w:tr>
      <w:tr w:rsidR="003F7D03" w:rsidRPr="008243CA" w:rsidTr="005D4067">
        <w:trPr>
          <w:cantSplit/>
          <w:trHeight w:val="240"/>
        </w:trPr>
        <w:tc>
          <w:tcPr>
            <w:tcW w:w="1280" w:type="dxa"/>
            <w:tcBorders>
              <w:top w:val="single" w:sz="12" w:space="0" w:color="auto"/>
            </w:tcBorders>
            <w:shd w:val="clear" w:color="auto" w:fill="auto"/>
          </w:tcPr>
          <w:p w:rsidR="003F7D03" w:rsidRPr="008243CA" w:rsidRDefault="003F7D03" w:rsidP="008243CA">
            <w:pPr>
              <w:pStyle w:val="SingleTxtG"/>
              <w:suppressAutoHyphens w:val="0"/>
              <w:spacing w:before="40" w:after="40" w:line="220" w:lineRule="exact"/>
              <w:ind w:left="0" w:right="113"/>
              <w:jc w:val="left"/>
              <w:rPr>
                <w:sz w:val="18"/>
              </w:rPr>
            </w:pPr>
            <w:r w:rsidRPr="008243CA">
              <w:rPr>
                <w:sz w:val="18"/>
              </w:rPr>
              <w:t>795</w:t>
            </w:r>
          </w:p>
        </w:tc>
        <w:tc>
          <w:tcPr>
            <w:tcW w:w="1260" w:type="dxa"/>
            <w:tcBorders>
              <w:top w:val="single" w:sz="12" w:space="0" w:color="auto"/>
            </w:tcBorders>
            <w:shd w:val="clear" w:color="auto" w:fill="auto"/>
            <w:vAlign w:val="bottom"/>
          </w:tcPr>
          <w:p w:rsidR="003F7D03" w:rsidRPr="008243CA" w:rsidRDefault="003F7D03" w:rsidP="008243CA">
            <w:pPr>
              <w:pStyle w:val="SingleTxtG"/>
              <w:suppressAutoHyphens w:val="0"/>
              <w:spacing w:before="40" w:after="40" w:line="220" w:lineRule="exact"/>
              <w:ind w:left="0" w:right="113"/>
              <w:jc w:val="right"/>
              <w:rPr>
                <w:sz w:val="18"/>
              </w:rPr>
            </w:pPr>
            <w:r w:rsidRPr="008243CA">
              <w:rPr>
                <w:sz w:val="18"/>
              </w:rPr>
              <w:t>1</w:t>
            </w:r>
            <w:r w:rsidR="008243CA">
              <w:rPr>
                <w:sz w:val="18"/>
              </w:rPr>
              <w:t xml:space="preserve"> </w:t>
            </w:r>
            <w:r w:rsidRPr="008243CA">
              <w:rPr>
                <w:sz w:val="18"/>
              </w:rPr>
              <w:t>204</w:t>
            </w:r>
          </w:p>
        </w:tc>
        <w:tc>
          <w:tcPr>
            <w:tcW w:w="1260" w:type="dxa"/>
            <w:tcBorders>
              <w:top w:val="single" w:sz="12" w:space="0" w:color="auto"/>
            </w:tcBorders>
            <w:shd w:val="clear" w:color="auto" w:fill="auto"/>
            <w:vAlign w:val="bottom"/>
          </w:tcPr>
          <w:p w:rsidR="003F7D03" w:rsidRPr="008243CA" w:rsidRDefault="003F7D03" w:rsidP="008243CA">
            <w:pPr>
              <w:pStyle w:val="SingleTxtG"/>
              <w:suppressAutoHyphens w:val="0"/>
              <w:spacing w:before="40" w:after="40" w:line="220" w:lineRule="exact"/>
              <w:ind w:left="0" w:right="113"/>
              <w:jc w:val="right"/>
              <w:rPr>
                <w:sz w:val="18"/>
              </w:rPr>
            </w:pPr>
            <w:r w:rsidRPr="008243CA">
              <w:rPr>
                <w:sz w:val="18"/>
              </w:rPr>
              <w:t>2</w:t>
            </w:r>
            <w:r w:rsidR="008243CA">
              <w:rPr>
                <w:sz w:val="18"/>
              </w:rPr>
              <w:t xml:space="preserve"> </w:t>
            </w:r>
            <w:r w:rsidRPr="008243CA">
              <w:rPr>
                <w:sz w:val="18"/>
              </w:rPr>
              <w:t>276</w:t>
            </w:r>
          </w:p>
        </w:tc>
        <w:tc>
          <w:tcPr>
            <w:tcW w:w="1260" w:type="dxa"/>
            <w:tcBorders>
              <w:top w:val="single" w:sz="12" w:space="0" w:color="auto"/>
            </w:tcBorders>
            <w:shd w:val="clear" w:color="auto" w:fill="auto"/>
            <w:vAlign w:val="bottom"/>
          </w:tcPr>
          <w:p w:rsidR="003F7D03" w:rsidRPr="008243CA" w:rsidRDefault="003F7D03" w:rsidP="008243CA">
            <w:pPr>
              <w:pStyle w:val="SingleTxtG"/>
              <w:suppressAutoHyphens w:val="0"/>
              <w:spacing w:before="40" w:after="40" w:line="220" w:lineRule="exact"/>
              <w:ind w:left="0" w:right="113"/>
              <w:jc w:val="right"/>
              <w:rPr>
                <w:sz w:val="18"/>
              </w:rPr>
            </w:pPr>
            <w:r w:rsidRPr="008243CA">
              <w:rPr>
                <w:sz w:val="18"/>
              </w:rPr>
              <w:t>3</w:t>
            </w:r>
            <w:r w:rsidR="008243CA">
              <w:rPr>
                <w:sz w:val="18"/>
              </w:rPr>
              <w:t xml:space="preserve"> </w:t>
            </w:r>
            <w:r w:rsidRPr="008243CA">
              <w:rPr>
                <w:sz w:val="18"/>
              </w:rPr>
              <w:t>561</w:t>
            </w:r>
          </w:p>
        </w:tc>
        <w:tc>
          <w:tcPr>
            <w:tcW w:w="1260" w:type="dxa"/>
            <w:tcBorders>
              <w:top w:val="single" w:sz="12" w:space="0" w:color="auto"/>
            </w:tcBorders>
            <w:shd w:val="clear" w:color="auto" w:fill="auto"/>
            <w:vAlign w:val="bottom"/>
          </w:tcPr>
          <w:p w:rsidR="003F7D03" w:rsidRPr="008243CA" w:rsidRDefault="003F7D03" w:rsidP="008243CA">
            <w:pPr>
              <w:pStyle w:val="SingleTxtG"/>
              <w:suppressAutoHyphens w:val="0"/>
              <w:spacing w:before="40" w:after="40" w:line="220" w:lineRule="exact"/>
              <w:ind w:left="0" w:right="113"/>
              <w:jc w:val="right"/>
              <w:rPr>
                <w:sz w:val="18"/>
              </w:rPr>
            </w:pPr>
            <w:r w:rsidRPr="008243CA">
              <w:rPr>
                <w:sz w:val="18"/>
              </w:rPr>
              <w:t>3</w:t>
            </w:r>
            <w:r w:rsidR="008243CA">
              <w:rPr>
                <w:sz w:val="18"/>
              </w:rPr>
              <w:t xml:space="preserve"> </w:t>
            </w:r>
            <w:r w:rsidRPr="008243CA">
              <w:rPr>
                <w:sz w:val="18"/>
              </w:rPr>
              <w:t>352</w:t>
            </w:r>
          </w:p>
        </w:tc>
        <w:tc>
          <w:tcPr>
            <w:tcW w:w="1260" w:type="dxa"/>
            <w:tcBorders>
              <w:top w:val="single" w:sz="12" w:space="0" w:color="auto"/>
            </w:tcBorders>
            <w:shd w:val="clear" w:color="auto" w:fill="auto"/>
            <w:vAlign w:val="bottom"/>
          </w:tcPr>
          <w:p w:rsidR="003F7D03" w:rsidRPr="008243CA" w:rsidRDefault="003F7D03" w:rsidP="008243CA">
            <w:pPr>
              <w:pStyle w:val="SingleTxtG"/>
              <w:suppressAutoHyphens w:val="0"/>
              <w:spacing w:before="40" w:after="40" w:line="220" w:lineRule="exact"/>
              <w:ind w:left="0" w:right="113"/>
              <w:jc w:val="right"/>
              <w:rPr>
                <w:sz w:val="18"/>
              </w:rPr>
            </w:pPr>
            <w:r w:rsidRPr="008243CA">
              <w:rPr>
                <w:sz w:val="18"/>
              </w:rPr>
              <w:t>2</w:t>
            </w:r>
            <w:r w:rsidR="008243CA">
              <w:rPr>
                <w:sz w:val="18"/>
              </w:rPr>
              <w:t xml:space="preserve"> </w:t>
            </w:r>
            <w:r w:rsidRPr="008243CA">
              <w:rPr>
                <w:sz w:val="18"/>
              </w:rPr>
              <w:t>276</w:t>
            </w:r>
          </w:p>
        </w:tc>
        <w:tc>
          <w:tcPr>
            <w:tcW w:w="1280" w:type="dxa"/>
            <w:tcBorders>
              <w:top w:val="single" w:sz="12" w:space="0" w:color="auto"/>
            </w:tcBorders>
            <w:shd w:val="clear" w:color="auto" w:fill="auto"/>
            <w:vAlign w:val="bottom"/>
          </w:tcPr>
          <w:p w:rsidR="003F7D03" w:rsidRPr="008243CA" w:rsidRDefault="003F7D03" w:rsidP="008243CA">
            <w:pPr>
              <w:pStyle w:val="SingleTxtG"/>
              <w:suppressAutoHyphens w:val="0"/>
              <w:spacing w:before="40" w:after="40" w:line="220" w:lineRule="exact"/>
              <w:ind w:left="0" w:right="113"/>
              <w:jc w:val="right"/>
              <w:rPr>
                <w:sz w:val="18"/>
              </w:rPr>
            </w:pPr>
            <w:r w:rsidRPr="008243CA">
              <w:rPr>
                <w:sz w:val="18"/>
              </w:rPr>
              <w:t>2</w:t>
            </w:r>
            <w:r w:rsidR="008243CA">
              <w:rPr>
                <w:sz w:val="18"/>
              </w:rPr>
              <w:t xml:space="preserve"> </w:t>
            </w:r>
            <w:r w:rsidRPr="008243CA">
              <w:rPr>
                <w:sz w:val="18"/>
              </w:rPr>
              <w:t>258</w:t>
            </w:r>
          </w:p>
        </w:tc>
      </w:tr>
    </w:tbl>
    <w:p w:rsidR="003F7D03" w:rsidRPr="008243CA" w:rsidRDefault="003F7D03" w:rsidP="008243CA">
      <w:pPr>
        <w:spacing w:before="120"/>
        <w:ind w:left="1134" w:right="1134" w:firstLine="170"/>
        <w:rPr>
          <w:sz w:val="18"/>
        </w:rPr>
      </w:pPr>
      <w:r w:rsidRPr="00A02D8F">
        <w:rPr>
          <w:i/>
          <w:iCs/>
          <w:sz w:val="18"/>
        </w:rPr>
        <w:t>Source:</w:t>
      </w:r>
      <w:r w:rsidR="00A02D8F">
        <w:rPr>
          <w:sz w:val="18"/>
        </w:rPr>
        <w:t xml:space="preserve"> </w:t>
      </w:r>
      <w:r w:rsidR="008243CA">
        <w:rPr>
          <w:sz w:val="18"/>
        </w:rPr>
        <w:t xml:space="preserve"> </w:t>
      </w:r>
      <w:r w:rsidRPr="008243CA">
        <w:rPr>
          <w:sz w:val="18"/>
        </w:rPr>
        <w:t>Department</w:t>
      </w:r>
      <w:r w:rsidR="008243CA">
        <w:rPr>
          <w:sz w:val="18"/>
        </w:rPr>
        <w:t xml:space="preserve"> </w:t>
      </w:r>
      <w:r w:rsidRPr="008243CA">
        <w:rPr>
          <w:sz w:val="18"/>
        </w:rPr>
        <w:t>for</w:t>
      </w:r>
      <w:r w:rsidR="008243CA">
        <w:rPr>
          <w:sz w:val="18"/>
        </w:rPr>
        <w:t xml:space="preserve"> </w:t>
      </w:r>
      <w:r w:rsidRPr="008243CA">
        <w:rPr>
          <w:sz w:val="18"/>
        </w:rPr>
        <w:t>Prison</w:t>
      </w:r>
      <w:r w:rsidR="008243CA">
        <w:rPr>
          <w:sz w:val="18"/>
        </w:rPr>
        <w:t xml:space="preserve"> </w:t>
      </w:r>
      <w:r w:rsidRPr="008243CA">
        <w:rPr>
          <w:sz w:val="18"/>
        </w:rPr>
        <w:t>Oversight,</w:t>
      </w:r>
      <w:r w:rsidR="008243CA">
        <w:rPr>
          <w:sz w:val="18"/>
        </w:rPr>
        <w:t xml:space="preserve"> </w:t>
      </w:r>
      <w:r w:rsidRPr="008243CA">
        <w:rPr>
          <w:sz w:val="18"/>
        </w:rPr>
        <w:t>Prison</w:t>
      </w:r>
      <w:r w:rsidR="008243CA">
        <w:rPr>
          <w:sz w:val="18"/>
        </w:rPr>
        <w:t xml:space="preserve"> </w:t>
      </w:r>
      <w:r w:rsidRPr="008243CA">
        <w:rPr>
          <w:sz w:val="18"/>
        </w:rPr>
        <w:t>Service</w:t>
      </w:r>
      <w:r w:rsidR="00767621">
        <w:rPr>
          <w:sz w:val="18"/>
        </w:rPr>
        <w:t>.</w:t>
      </w:r>
    </w:p>
    <w:p w:rsidR="003F7D03" w:rsidRPr="008243CA" w:rsidRDefault="003F7D03" w:rsidP="008243CA">
      <w:pPr>
        <w:spacing w:after="240"/>
        <w:ind w:left="1134" w:right="1134" w:firstLine="170"/>
        <w:rPr>
          <w:sz w:val="18"/>
        </w:rPr>
      </w:pPr>
      <w:r w:rsidRPr="008243CA">
        <w:rPr>
          <w:sz w:val="18"/>
        </w:rPr>
        <w:t>*</w:t>
      </w:r>
      <w:r w:rsidR="008243CA">
        <w:rPr>
          <w:sz w:val="18"/>
        </w:rPr>
        <w:t xml:space="preserve">  </w:t>
      </w:r>
      <w:r w:rsidRPr="008243CA">
        <w:rPr>
          <w:sz w:val="18"/>
        </w:rPr>
        <w:t>First</w:t>
      </w:r>
      <w:r w:rsidR="008243CA">
        <w:rPr>
          <w:sz w:val="18"/>
        </w:rPr>
        <w:t xml:space="preserve"> </w:t>
      </w:r>
      <w:r w:rsidRPr="008243CA">
        <w:rPr>
          <w:sz w:val="18"/>
        </w:rPr>
        <w:t>half</w:t>
      </w:r>
      <w:r w:rsidR="008243CA">
        <w:rPr>
          <w:sz w:val="18"/>
        </w:rPr>
        <w:t xml:space="preserve"> </w:t>
      </w:r>
      <w:r w:rsidRPr="008243CA">
        <w:rPr>
          <w:sz w:val="18"/>
        </w:rPr>
        <w:t>of</w:t>
      </w:r>
      <w:r w:rsidR="00116F0B">
        <w:rPr>
          <w:sz w:val="18"/>
        </w:rPr>
        <w:t xml:space="preserve"> </w:t>
      </w:r>
      <w:r w:rsidRPr="008243CA">
        <w:rPr>
          <w:sz w:val="18"/>
        </w:rPr>
        <w:t>2016</w:t>
      </w:r>
      <w:r w:rsidR="008243CA">
        <w:rPr>
          <w:sz w:val="18"/>
        </w:rPr>
        <w:t xml:space="preserve"> </w:t>
      </w:r>
      <w:r w:rsidRPr="008243CA">
        <w:rPr>
          <w:sz w:val="18"/>
        </w:rPr>
        <w:t>only.</w:t>
      </w:r>
    </w:p>
    <w:p w:rsidR="003F7D03" w:rsidRPr="00E62FE6" w:rsidRDefault="003F7D03" w:rsidP="000C6D98">
      <w:pPr>
        <w:pStyle w:val="SingleTxtG"/>
      </w:pPr>
      <w:r w:rsidRPr="00E62FE6">
        <w:t>71.</w:t>
      </w:r>
      <w:r w:rsidRPr="00E62FE6">
        <w:tab/>
        <w:t>In</w:t>
      </w:r>
      <w:r w:rsidR="008243CA">
        <w:t xml:space="preserve"> </w:t>
      </w:r>
      <w:r w:rsidRPr="00E62FE6">
        <w:t>this</w:t>
      </w:r>
      <w:r w:rsidR="008243CA">
        <w:t xml:space="preserve"> </w:t>
      </w:r>
      <w:r w:rsidRPr="00E62FE6">
        <w:t>connection,</w:t>
      </w:r>
      <w:r w:rsidR="008243CA">
        <w:t xml:space="preserve"> </w:t>
      </w:r>
      <w:r w:rsidRPr="00E62FE6">
        <w:t>it</w:t>
      </w:r>
      <w:r w:rsidR="008243CA">
        <w:t xml:space="preserve"> </w:t>
      </w:r>
      <w:r w:rsidRPr="00E62FE6">
        <w:t>is</w:t>
      </w:r>
      <w:r w:rsidR="008243CA">
        <w:t xml:space="preserve"> </w:t>
      </w:r>
      <w:r w:rsidRPr="00E62FE6">
        <w:t>also</w:t>
      </w:r>
      <w:r w:rsidR="008243CA">
        <w:t xml:space="preserve"> </w:t>
      </w:r>
      <w:r w:rsidRPr="00E62FE6">
        <w:t>worth</w:t>
      </w:r>
      <w:r w:rsidR="008243CA">
        <w:t xml:space="preserve"> </w:t>
      </w:r>
      <w:r w:rsidRPr="00E62FE6">
        <w:t>mentioning</w:t>
      </w:r>
      <w:r w:rsidR="008243CA">
        <w:t xml:space="preserve"> </w:t>
      </w:r>
      <w:r w:rsidRPr="00E62FE6">
        <w:t>Act</w:t>
      </w:r>
      <w:r w:rsidR="008243CA">
        <w:t xml:space="preserve"> </w:t>
      </w:r>
      <w:r w:rsidRPr="00E62FE6">
        <w:t>No.</w:t>
      </w:r>
      <w:r w:rsidR="008243CA">
        <w:t xml:space="preserve"> </w:t>
      </w:r>
      <w:r w:rsidRPr="00E62FE6">
        <w:t>20588,</w:t>
      </w:r>
      <w:r w:rsidR="008243CA">
        <w:t xml:space="preserve"> </w:t>
      </w:r>
      <w:r w:rsidRPr="00E62FE6">
        <w:t>which</w:t>
      </w:r>
      <w:r w:rsidR="008243CA">
        <w:t xml:space="preserve"> </w:t>
      </w:r>
      <w:r w:rsidRPr="00E62FE6">
        <w:t>granted</w:t>
      </w:r>
      <w:r w:rsidR="008243CA">
        <w:t xml:space="preserve"> </w:t>
      </w:r>
      <w:r w:rsidRPr="00E62FE6">
        <w:t>a</w:t>
      </w:r>
      <w:r w:rsidR="008243CA">
        <w:t xml:space="preserve"> </w:t>
      </w:r>
      <w:r w:rsidRPr="00E62FE6">
        <w:t>general</w:t>
      </w:r>
      <w:r w:rsidR="008243CA">
        <w:t xml:space="preserve"> </w:t>
      </w:r>
      <w:r w:rsidRPr="00E62FE6">
        <w:t>commutation</w:t>
      </w:r>
      <w:r w:rsidR="008243CA">
        <w:t xml:space="preserve"> </w:t>
      </w:r>
      <w:r w:rsidRPr="00E62FE6">
        <w:t>to</w:t>
      </w:r>
      <w:r w:rsidR="008243CA">
        <w:t xml:space="preserve"> </w:t>
      </w:r>
      <w:r w:rsidRPr="00E62FE6">
        <w:t>persons</w:t>
      </w:r>
      <w:r w:rsidR="008243CA">
        <w:t xml:space="preserve"> </w:t>
      </w:r>
      <w:r w:rsidRPr="00E62FE6">
        <w:t>deprived</w:t>
      </w:r>
      <w:r w:rsidR="008243CA">
        <w:t xml:space="preserve"> </w:t>
      </w:r>
      <w:r w:rsidRPr="00E62FE6">
        <w:t>of</w:t>
      </w:r>
      <w:r w:rsidR="008243CA">
        <w:t xml:space="preserve"> </w:t>
      </w:r>
      <w:r w:rsidRPr="00E62FE6">
        <w:t>their</w:t>
      </w:r>
      <w:r w:rsidR="008243CA">
        <w:t xml:space="preserve"> </w:t>
      </w:r>
      <w:r w:rsidRPr="00E62FE6">
        <w:t>liberty</w:t>
      </w:r>
      <w:r w:rsidR="008243CA">
        <w:t xml:space="preserve"> </w:t>
      </w:r>
      <w:r w:rsidRPr="00E62FE6">
        <w:t>who</w:t>
      </w:r>
      <w:r w:rsidR="008243CA">
        <w:t xml:space="preserve"> </w:t>
      </w:r>
      <w:r w:rsidRPr="00E62FE6">
        <w:t>had</w:t>
      </w:r>
      <w:r w:rsidR="008243CA">
        <w:t xml:space="preserve"> </w:t>
      </w:r>
      <w:r w:rsidRPr="00E62FE6">
        <w:t>served</w:t>
      </w:r>
      <w:r w:rsidR="008243CA">
        <w:t xml:space="preserve"> </w:t>
      </w:r>
      <w:r w:rsidRPr="00E62FE6">
        <w:t>part</w:t>
      </w:r>
      <w:r w:rsidR="008243CA">
        <w:t xml:space="preserve"> </w:t>
      </w:r>
      <w:r w:rsidRPr="00E62FE6">
        <w:t>of</w:t>
      </w:r>
      <w:r w:rsidR="008243CA">
        <w:t xml:space="preserve"> </w:t>
      </w:r>
      <w:r w:rsidRPr="00E62FE6">
        <w:t>their</w:t>
      </w:r>
      <w:r w:rsidR="008243CA">
        <w:t xml:space="preserve"> </w:t>
      </w:r>
      <w:r w:rsidRPr="00E62FE6">
        <w:t>sentences,</w:t>
      </w:r>
      <w:r w:rsidR="008243CA">
        <w:t xml:space="preserve"> </w:t>
      </w:r>
      <w:r w:rsidRPr="00E62FE6">
        <w:t>provided</w:t>
      </w:r>
      <w:r w:rsidR="008243CA">
        <w:t xml:space="preserve"> </w:t>
      </w:r>
      <w:r w:rsidRPr="00E62FE6">
        <w:t>that</w:t>
      </w:r>
      <w:r w:rsidR="008243CA">
        <w:t xml:space="preserve"> </w:t>
      </w:r>
      <w:r w:rsidRPr="00E62FE6">
        <w:t>their</w:t>
      </w:r>
      <w:r w:rsidR="008243CA">
        <w:t xml:space="preserve"> </w:t>
      </w:r>
      <w:r w:rsidRPr="00E62FE6">
        <w:t>release</w:t>
      </w:r>
      <w:r w:rsidR="008243CA">
        <w:t xml:space="preserve"> </w:t>
      </w:r>
      <w:r w:rsidRPr="00E62FE6">
        <w:t>did</w:t>
      </w:r>
      <w:r w:rsidR="008243CA">
        <w:t xml:space="preserve"> </w:t>
      </w:r>
      <w:r w:rsidRPr="00E62FE6">
        <w:t>not</w:t>
      </w:r>
      <w:r w:rsidR="008243CA">
        <w:t xml:space="preserve"> </w:t>
      </w:r>
      <w:r w:rsidRPr="00E62FE6">
        <w:t>pose</w:t>
      </w:r>
      <w:r w:rsidR="008243CA">
        <w:t xml:space="preserve"> </w:t>
      </w:r>
      <w:r w:rsidRPr="00E62FE6">
        <w:t>a</w:t>
      </w:r>
      <w:r w:rsidR="008243CA">
        <w:t xml:space="preserve"> </w:t>
      </w:r>
      <w:r w:rsidRPr="00E62FE6">
        <w:t>threat</w:t>
      </w:r>
      <w:r w:rsidR="008243CA">
        <w:t xml:space="preserve"> </w:t>
      </w:r>
      <w:r w:rsidRPr="00E62FE6">
        <w:t>to</w:t>
      </w:r>
      <w:r w:rsidR="008243CA">
        <w:t xml:space="preserve"> </w:t>
      </w:r>
      <w:r w:rsidRPr="00E62FE6">
        <w:t>public</w:t>
      </w:r>
      <w:r w:rsidR="008243CA">
        <w:t xml:space="preserve"> </w:t>
      </w:r>
      <w:r w:rsidRPr="00E62FE6">
        <w:t>safety.</w:t>
      </w:r>
      <w:r w:rsidRPr="00116F0B">
        <w:rPr>
          <w:rStyle w:val="FootnoteReference"/>
        </w:rPr>
        <w:footnoteReference w:id="28"/>
      </w:r>
      <w:r w:rsidR="008243CA">
        <w:t xml:space="preserve"> </w:t>
      </w:r>
      <w:r w:rsidRPr="00E62FE6">
        <w:t>Thus,</w:t>
      </w:r>
      <w:r w:rsidR="008243CA">
        <w:t xml:space="preserve"> </w:t>
      </w:r>
      <w:r w:rsidRPr="00E62FE6">
        <w:t>4,008</w:t>
      </w:r>
      <w:r w:rsidR="008243CA">
        <w:t xml:space="preserve"> </w:t>
      </w:r>
      <w:r w:rsidRPr="00E62FE6">
        <w:t>people</w:t>
      </w:r>
      <w:r w:rsidR="008243CA">
        <w:t xml:space="preserve"> </w:t>
      </w:r>
      <w:r w:rsidRPr="00E62FE6">
        <w:t>(460</w:t>
      </w:r>
      <w:r w:rsidR="008243CA">
        <w:t xml:space="preserve"> </w:t>
      </w:r>
      <w:r w:rsidRPr="00E62FE6">
        <w:t>women</w:t>
      </w:r>
      <w:r w:rsidR="008243CA">
        <w:t xml:space="preserve"> </w:t>
      </w:r>
      <w:r w:rsidRPr="00E62FE6">
        <w:t>and</w:t>
      </w:r>
      <w:r w:rsidR="008243CA">
        <w:t xml:space="preserve"> </w:t>
      </w:r>
      <w:r w:rsidRPr="00E62FE6">
        <w:t>3,584</w:t>
      </w:r>
      <w:r w:rsidR="008243CA">
        <w:t xml:space="preserve"> </w:t>
      </w:r>
      <w:r w:rsidRPr="00E62FE6">
        <w:t>men)</w:t>
      </w:r>
      <w:r w:rsidR="008243CA">
        <w:t xml:space="preserve"> </w:t>
      </w:r>
      <w:r w:rsidRPr="00E62FE6">
        <w:t>benefited</w:t>
      </w:r>
      <w:r w:rsidR="008243CA">
        <w:t xml:space="preserve"> </w:t>
      </w:r>
      <w:r w:rsidRPr="00E62FE6">
        <w:t>from</w:t>
      </w:r>
      <w:r w:rsidR="008243CA">
        <w:t xml:space="preserve"> </w:t>
      </w:r>
      <w:r w:rsidRPr="00E62FE6">
        <w:t>the</w:t>
      </w:r>
      <w:r w:rsidR="008243CA">
        <w:t xml:space="preserve"> </w:t>
      </w:r>
      <w:r w:rsidRPr="00E62FE6">
        <w:t>commutation.</w:t>
      </w:r>
      <w:r w:rsidR="008243CA">
        <w:t xml:space="preserve"> </w:t>
      </w:r>
      <w:r w:rsidRPr="00E62FE6">
        <w:t>Lastly,</w:t>
      </w:r>
      <w:r w:rsidR="008243CA">
        <w:t xml:space="preserve"> </w:t>
      </w:r>
      <w:r w:rsidRPr="00E62FE6">
        <w:t>Act</w:t>
      </w:r>
      <w:r w:rsidR="008243CA">
        <w:t xml:space="preserve"> </w:t>
      </w:r>
      <w:r w:rsidRPr="00E62FE6">
        <w:t>No.</w:t>
      </w:r>
      <w:r w:rsidR="008243CA">
        <w:t xml:space="preserve"> </w:t>
      </w:r>
      <w:r w:rsidRPr="00E62FE6">
        <w:t>20603,</w:t>
      </w:r>
      <w:r w:rsidR="008243CA">
        <w:t xml:space="preserve"> </w:t>
      </w:r>
      <w:r w:rsidRPr="00E62FE6">
        <w:t>of</w:t>
      </w:r>
      <w:r w:rsidR="008243CA">
        <w:t xml:space="preserve"> </w:t>
      </w:r>
      <w:r w:rsidRPr="00E62FE6">
        <w:t>June</w:t>
      </w:r>
      <w:r w:rsidR="008243CA">
        <w:t xml:space="preserve"> </w:t>
      </w:r>
      <w:r w:rsidRPr="00E62FE6">
        <w:t>2012,</w:t>
      </w:r>
      <w:r w:rsidR="008243CA">
        <w:t xml:space="preserve"> </w:t>
      </w:r>
      <w:r w:rsidRPr="00E62FE6">
        <w:t>establishing</w:t>
      </w:r>
      <w:r w:rsidR="008243CA">
        <w:t xml:space="preserve"> </w:t>
      </w:r>
      <w:r w:rsidRPr="00E62FE6">
        <w:t>new</w:t>
      </w:r>
      <w:r w:rsidR="008243CA">
        <w:t xml:space="preserve"> </w:t>
      </w:r>
      <w:r w:rsidRPr="00E62FE6">
        <w:t>non-custodial</w:t>
      </w:r>
      <w:r w:rsidR="008243CA">
        <w:t xml:space="preserve"> </w:t>
      </w:r>
      <w:r w:rsidRPr="00E62FE6">
        <w:t>penalties,</w:t>
      </w:r>
      <w:r w:rsidR="008243CA">
        <w:t xml:space="preserve"> </w:t>
      </w:r>
      <w:r w:rsidRPr="00E62FE6">
        <w:t>introduced</w:t>
      </w:r>
      <w:r w:rsidR="008243CA">
        <w:t xml:space="preserve"> </w:t>
      </w:r>
      <w:r w:rsidRPr="00E62FE6">
        <w:t>a</w:t>
      </w:r>
      <w:r w:rsidR="008243CA">
        <w:t xml:space="preserve"> </w:t>
      </w:r>
      <w:r w:rsidRPr="00E62FE6">
        <w:t>system</w:t>
      </w:r>
      <w:r w:rsidR="008243CA">
        <w:t xml:space="preserve"> </w:t>
      </w:r>
      <w:r w:rsidRPr="00E62FE6">
        <w:t>whereby</w:t>
      </w:r>
      <w:r w:rsidR="008243CA">
        <w:t xml:space="preserve"> </w:t>
      </w:r>
      <w:r w:rsidRPr="00E62FE6">
        <w:t>convicts</w:t>
      </w:r>
      <w:r w:rsidR="008243CA">
        <w:t xml:space="preserve"> </w:t>
      </w:r>
      <w:r w:rsidRPr="00E62FE6">
        <w:t>could</w:t>
      </w:r>
      <w:r w:rsidR="008243CA">
        <w:t xml:space="preserve"> </w:t>
      </w:r>
      <w:r w:rsidRPr="00E62FE6">
        <w:t>serve</w:t>
      </w:r>
      <w:r w:rsidR="008243CA">
        <w:t xml:space="preserve"> </w:t>
      </w:r>
      <w:r w:rsidRPr="00E62FE6">
        <w:t>their</w:t>
      </w:r>
      <w:r w:rsidR="008243CA">
        <w:t xml:space="preserve"> </w:t>
      </w:r>
      <w:r w:rsidRPr="00E62FE6">
        <w:t>sentences</w:t>
      </w:r>
      <w:r w:rsidR="008243CA">
        <w:t xml:space="preserve"> </w:t>
      </w:r>
      <w:r w:rsidRPr="00E62FE6">
        <w:t>outside</w:t>
      </w:r>
      <w:r w:rsidR="008243CA">
        <w:t xml:space="preserve"> </w:t>
      </w:r>
      <w:r w:rsidRPr="00E62FE6">
        <w:t>of</w:t>
      </w:r>
      <w:r w:rsidR="008243CA">
        <w:t xml:space="preserve"> </w:t>
      </w:r>
      <w:r w:rsidRPr="00E62FE6">
        <w:t>prison,</w:t>
      </w:r>
      <w:r w:rsidR="008243CA">
        <w:t xml:space="preserve"> </w:t>
      </w:r>
      <w:r w:rsidRPr="00E62FE6">
        <w:t>provided</w:t>
      </w:r>
      <w:r w:rsidR="008243CA">
        <w:t xml:space="preserve"> </w:t>
      </w:r>
      <w:r w:rsidRPr="00E62FE6">
        <w:t>that</w:t>
      </w:r>
      <w:r w:rsidR="008243CA">
        <w:t xml:space="preserve"> </w:t>
      </w:r>
      <w:r w:rsidRPr="00E62FE6">
        <w:t>they</w:t>
      </w:r>
      <w:r w:rsidR="008243CA">
        <w:t xml:space="preserve"> </w:t>
      </w:r>
      <w:r w:rsidRPr="00E62FE6">
        <w:t>did</w:t>
      </w:r>
      <w:r w:rsidR="008243CA">
        <w:t xml:space="preserve"> </w:t>
      </w:r>
      <w:r w:rsidRPr="00E62FE6">
        <w:t>not</w:t>
      </w:r>
      <w:r w:rsidR="008243CA">
        <w:t xml:space="preserve"> </w:t>
      </w:r>
      <w:r w:rsidRPr="00E62FE6">
        <w:t>represent</w:t>
      </w:r>
      <w:r w:rsidR="008243CA">
        <w:t xml:space="preserve"> </w:t>
      </w:r>
      <w:r w:rsidRPr="00E62FE6">
        <w:t>a</w:t>
      </w:r>
      <w:r w:rsidR="008243CA">
        <w:t xml:space="preserve"> </w:t>
      </w:r>
      <w:r w:rsidRPr="00E62FE6">
        <w:t>danger</w:t>
      </w:r>
      <w:r w:rsidR="008243CA">
        <w:t xml:space="preserve"> </w:t>
      </w:r>
      <w:r w:rsidRPr="00E62FE6">
        <w:t>to</w:t>
      </w:r>
      <w:r w:rsidR="008243CA">
        <w:t xml:space="preserve"> </w:t>
      </w:r>
      <w:r w:rsidRPr="00E62FE6">
        <w:t>society</w:t>
      </w:r>
      <w:r w:rsidR="008243CA">
        <w:t xml:space="preserve"> </w:t>
      </w:r>
      <w:r w:rsidRPr="00E62FE6">
        <w:t>and</w:t>
      </w:r>
      <w:r w:rsidR="008243CA">
        <w:t xml:space="preserve"> </w:t>
      </w:r>
      <w:r w:rsidRPr="00E62FE6">
        <w:t>enrolled</w:t>
      </w:r>
      <w:r w:rsidR="008243CA">
        <w:t xml:space="preserve"> </w:t>
      </w:r>
      <w:r w:rsidRPr="00E62FE6">
        <w:t>in</w:t>
      </w:r>
      <w:r w:rsidR="008243CA">
        <w:t xml:space="preserve"> </w:t>
      </w:r>
      <w:r w:rsidRPr="00E62FE6">
        <w:t>reintegration</w:t>
      </w:r>
      <w:r w:rsidR="008243CA">
        <w:t xml:space="preserve"> </w:t>
      </w:r>
      <w:r w:rsidRPr="00E62FE6">
        <w:t>programmes</w:t>
      </w:r>
      <w:r w:rsidR="008243CA">
        <w:t xml:space="preserve"> </w:t>
      </w:r>
      <w:r w:rsidRPr="00E62FE6">
        <w:t>and</w:t>
      </w:r>
      <w:r w:rsidR="008243CA">
        <w:t xml:space="preserve"> </w:t>
      </w:r>
      <w:r w:rsidRPr="00E62FE6">
        <w:t>who</w:t>
      </w:r>
      <w:r w:rsidR="008243CA">
        <w:t xml:space="preserve"> </w:t>
      </w:r>
      <w:r w:rsidRPr="00E62FE6">
        <w:t>could</w:t>
      </w:r>
      <w:r w:rsidR="008243CA">
        <w:t xml:space="preserve"> </w:t>
      </w:r>
      <w:r w:rsidRPr="00E62FE6">
        <w:t>potentially</w:t>
      </w:r>
      <w:r w:rsidR="008243CA">
        <w:t xml:space="preserve"> </w:t>
      </w:r>
      <w:r w:rsidRPr="00E62FE6">
        <w:t>be</w:t>
      </w:r>
      <w:r w:rsidR="008243CA">
        <w:t xml:space="preserve"> </w:t>
      </w:r>
      <w:r w:rsidRPr="00E62FE6">
        <w:t>monitored</w:t>
      </w:r>
      <w:r w:rsidR="008243CA">
        <w:t xml:space="preserve"> </w:t>
      </w:r>
      <w:r w:rsidRPr="00E62FE6">
        <w:t>remotely</w:t>
      </w:r>
      <w:r w:rsidR="008243CA">
        <w:t xml:space="preserve"> </w:t>
      </w:r>
      <w:r w:rsidRPr="00E62FE6">
        <w:t>by</w:t>
      </w:r>
      <w:r w:rsidR="008243CA">
        <w:t xml:space="preserve"> </w:t>
      </w:r>
      <w:r w:rsidRPr="00E62FE6">
        <w:t>means</w:t>
      </w:r>
      <w:r w:rsidR="008243CA">
        <w:t xml:space="preserve"> </w:t>
      </w:r>
      <w:r w:rsidRPr="00E62FE6">
        <w:t>of</w:t>
      </w:r>
      <w:r w:rsidR="008243CA">
        <w:t xml:space="preserve"> </w:t>
      </w:r>
      <w:r w:rsidRPr="00E62FE6">
        <w:t>technologies</w:t>
      </w:r>
      <w:r w:rsidR="008243CA">
        <w:t xml:space="preserve"> </w:t>
      </w:r>
      <w:r w:rsidRPr="00E62FE6">
        <w:t>used</w:t>
      </w:r>
      <w:r w:rsidR="008243CA">
        <w:t xml:space="preserve"> </w:t>
      </w:r>
      <w:r w:rsidRPr="00E62FE6">
        <w:t>by</w:t>
      </w:r>
      <w:r w:rsidR="008243CA">
        <w:t xml:space="preserve"> </w:t>
      </w:r>
      <w:r w:rsidRPr="00E62FE6">
        <w:t>developed</w:t>
      </w:r>
      <w:r w:rsidR="008243CA">
        <w:t xml:space="preserve"> </w:t>
      </w:r>
      <w:r w:rsidRPr="00E62FE6">
        <w:t>countries.</w:t>
      </w:r>
    </w:p>
    <w:p w:rsidR="003F7D03" w:rsidRPr="00E62FE6" w:rsidRDefault="003F7D03" w:rsidP="000C6D98">
      <w:pPr>
        <w:pStyle w:val="SingleTxtG"/>
      </w:pPr>
      <w:r w:rsidRPr="00E62FE6">
        <w:t>72.</w:t>
      </w:r>
      <w:r w:rsidRPr="00E62FE6">
        <w:tab/>
        <w:t>In</w:t>
      </w:r>
      <w:r w:rsidR="008243CA">
        <w:t xml:space="preserve"> </w:t>
      </w:r>
      <w:r w:rsidRPr="00E62FE6">
        <w:t>recent</w:t>
      </w:r>
      <w:r w:rsidR="008243CA">
        <w:t xml:space="preserve"> </w:t>
      </w:r>
      <w:r w:rsidRPr="00E62FE6">
        <w:t>years,</w:t>
      </w:r>
      <w:r w:rsidR="008243CA">
        <w:t xml:space="preserve"> </w:t>
      </w:r>
      <w:r w:rsidRPr="00E62FE6">
        <w:t>the</w:t>
      </w:r>
      <w:r w:rsidR="008243CA">
        <w:t xml:space="preserve"> </w:t>
      </w:r>
      <w:r w:rsidRPr="00E62FE6">
        <w:t>public</w:t>
      </w:r>
      <w:r w:rsidR="008243CA">
        <w:t xml:space="preserve"> </w:t>
      </w:r>
      <w:r w:rsidRPr="00E62FE6">
        <w:t>policy</w:t>
      </w:r>
      <w:r w:rsidR="008243CA">
        <w:t xml:space="preserve"> </w:t>
      </w:r>
      <w:r w:rsidRPr="00E62FE6">
        <w:t>on</w:t>
      </w:r>
      <w:r w:rsidR="008243CA">
        <w:t xml:space="preserve"> </w:t>
      </w:r>
      <w:r w:rsidRPr="00E62FE6">
        <w:t>prisons</w:t>
      </w:r>
      <w:r w:rsidR="008243CA">
        <w:t xml:space="preserve"> </w:t>
      </w:r>
      <w:r w:rsidRPr="00E62FE6">
        <w:t>has</w:t>
      </w:r>
      <w:r w:rsidR="008243CA">
        <w:t xml:space="preserve"> </w:t>
      </w:r>
      <w:r w:rsidRPr="00E62FE6">
        <w:t>had</w:t>
      </w:r>
      <w:r w:rsidR="008243CA">
        <w:t xml:space="preserve"> </w:t>
      </w:r>
      <w:r w:rsidRPr="00E62FE6">
        <w:t>a</w:t>
      </w:r>
      <w:r w:rsidR="008243CA">
        <w:t xml:space="preserve"> </w:t>
      </w:r>
      <w:r w:rsidRPr="00E62FE6">
        <w:t>positive</w:t>
      </w:r>
      <w:r w:rsidR="008243CA">
        <w:t xml:space="preserve"> </w:t>
      </w:r>
      <w:r w:rsidRPr="00E62FE6">
        <w:t>impact</w:t>
      </w:r>
      <w:r w:rsidR="008243CA">
        <w:t xml:space="preserve"> </w:t>
      </w:r>
      <w:r w:rsidRPr="00E62FE6">
        <w:t>from</w:t>
      </w:r>
      <w:r w:rsidR="008243CA">
        <w:t xml:space="preserve"> </w:t>
      </w:r>
      <w:r w:rsidRPr="00E62FE6">
        <w:t>a</w:t>
      </w:r>
      <w:r w:rsidR="008243CA">
        <w:t xml:space="preserve"> </w:t>
      </w:r>
      <w:r w:rsidRPr="00E62FE6">
        <w:t>human</w:t>
      </w:r>
      <w:r w:rsidR="008243CA">
        <w:t xml:space="preserve"> </w:t>
      </w:r>
      <w:r w:rsidRPr="00E62FE6">
        <w:t>rights</w:t>
      </w:r>
      <w:r w:rsidR="008243CA">
        <w:t xml:space="preserve"> </w:t>
      </w:r>
      <w:r w:rsidRPr="00E62FE6">
        <w:t>perspective,</w:t>
      </w:r>
      <w:r w:rsidR="008243CA">
        <w:t xml:space="preserve"> </w:t>
      </w:r>
      <w:r w:rsidRPr="00E62FE6">
        <w:t>having</w:t>
      </w:r>
      <w:r w:rsidR="008243CA">
        <w:t xml:space="preserve"> </w:t>
      </w:r>
      <w:r w:rsidRPr="00E62FE6">
        <w:t>brought</w:t>
      </w:r>
      <w:r w:rsidR="008243CA">
        <w:t xml:space="preserve"> </w:t>
      </w:r>
      <w:r w:rsidRPr="00E62FE6">
        <w:t>about</w:t>
      </w:r>
      <w:r w:rsidR="008243CA">
        <w:t xml:space="preserve"> </w:t>
      </w:r>
      <w:r w:rsidRPr="00E62FE6">
        <w:t>a</w:t>
      </w:r>
      <w:r w:rsidR="008243CA">
        <w:t xml:space="preserve"> </w:t>
      </w:r>
      <w:r w:rsidRPr="00E62FE6">
        <w:t>reduction</w:t>
      </w:r>
      <w:r w:rsidR="008243CA">
        <w:t xml:space="preserve"> </w:t>
      </w:r>
      <w:r w:rsidRPr="00E62FE6">
        <w:t>in</w:t>
      </w:r>
      <w:r w:rsidR="008243CA">
        <w:t xml:space="preserve"> </w:t>
      </w:r>
      <w:r w:rsidRPr="00E62FE6">
        <w:t>the</w:t>
      </w:r>
      <w:r w:rsidR="008243CA">
        <w:t xml:space="preserve"> </w:t>
      </w:r>
      <w:r w:rsidRPr="00E62FE6">
        <w:t>population</w:t>
      </w:r>
      <w:r w:rsidR="008243CA">
        <w:t xml:space="preserve"> </w:t>
      </w:r>
      <w:r w:rsidRPr="00E62FE6">
        <w:t>of</w:t>
      </w:r>
      <w:r w:rsidR="008243CA">
        <w:t xml:space="preserve"> </w:t>
      </w:r>
      <w:r w:rsidRPr="00E62FE6">
        <w:t>custodial</w:t>
      </w:r>
      <w:r w:rsidR="008243CA">
        <w:t xml:space="preserve"> </w:t>
      </w:r>
      <w:r w:rsidRPr="00E62FE6">
        <w:t>institutions</w:t>
      </w:r>
      <w:r w:rsidR="008243CA">
        <w:t xml:space="preserve"> </w:t>
      </w:r>
      <w:r w:rsidRPr="00E62FE6">
        <w:t>and</w:t>
      </w:r>
      <w:r w:rsidR="008243CA">
        <w:t xml:space="preserve"> </w:t>
      </w:r>
      <w:r w:rsidRPr="00E62FE6">
        <w:t>an</w:t>
      </w:r>
      <w:r w:rsidR="008243CA">
        <w:t xml:space="preserve"> </w:t>
      </w:r>
      <w:r w:rsidRPr="00E62FE6">
        <w:t>increase</w:t>
      </w:r>
      <w:r w:rsidR="008243CA">
        <w:t xml:space="preserve"> </w:t>
      </w:r>
      <w:r w:rsidRPr="00E62FE6">
        <w:t>in</w:t>
      </w:r>
      <w:r w:rsidR="008243CA">
        <w:t xml:space="preserve"> </w:t>
      </w:r>
      <w:r w:rsidRPr="00E62FE6">
        <w:t>the</w:t>
      </w:r>
      <w:r w:rsidR="008243CA">
        <w:t xml:space="preserve"> </w:t>
      </w:r>
      <w:r w:rsidRPr="00E62FE6">
        <w:t>population</w:t>
      </w:r>
      <w:r w:rsidR="008243CA">
        <w:t xml:space="preserve"> </w:t>
      </w:r>
      <w:r w:rsidRPr="00E62FE6">
        <w:t>who</w:t>
      </w:r>
      <w:r w:rsidR="008243CA">
        <w:t xml:space="preserve"> </w:t>
      </w:r>
      <w:r w:rsidRPr="00E62FE6">
        <w:t>benefit</w:t>
      </w:r>
      <w:r w:rsidR="008243CA">
        <w:t xml:space="preserve"> </w:t>
      </w:r>
      <w:r w:rsidRPr="00E62FE6">
        <w:t>from</w:t>
      </w:r>
      <w:r w:rsidR="008243CA">
        <w:t xml:space="preserve"> </w:t>
      </w:r>
      <w:r w:rsidRPr="00E62FE6">
        <w:t>non-custodial</w:t>
      </w:r>
      <w:r w:rsidR="008243CA">
        <w:t xml:space="preserve"> </w:t>
      </w:r>
      <w:r w:rsidRPr="00E62FE6">
        <w:t>sentences.</w:t>
      </w:r>
      <w:r w:rsidR="008243CA">
        <w:t xml:space="preserve"> </w:t>
      </w:r>
    </w:p>
    <w:p w:rsidR="008243CA" w:rsidRDefault="003F7D03" w:rsidP="00C81E72">
      <w:pPr>
        <w:pStyle w:val="SingleTxtG"/>
        <w:spacing w:before="240" w:after="0"/>
      </w:pPr>
      <w:r w:rsidRPr="00E62FE6">
        <w:t>Table</w:t>
      </w:r>
      <w:r w:rsidR="008243CA">
        <w:t xml:space="preserve"> </w:t>
      </w:r>
      <w:r w:rsidRPr="00E62FE6">
        <w:t>2</w:t>
      </w:r>
    </w:p>
    <w:p w:rsidR="003F7D03" w:rsidRDefault="003F7D03" w:rsidP="00C81E72">
      <w:pPr>
        <w:pStyle w:val="SingleTxtG"/>
        <w:rPr>
          <w:b/>
          <w:bCs/>
        </w:rPr>
      </w:pPr>
      <w:r w:rsidRPr="008243CA">
        <w:rPr>
          <w:b/>
          <w:bCs/>
        </w:rPr>
        <w:t>Convicted</w:t>
      </w:r>
      <w:r w:rsidR="008243CA" w:rsidRPr="008243CA">
        <w:rPr>
          <w:b/>
          <w:bCs/>
        </w:rPr>
        <w:t xml:space="preserve"> </w:t>
      </w:r>
      <w:r w:rsidRPr="008243CA">
        <w:rPr>
          <w:b/>
          <w:bCs/>
        </w:rPr>
        <w:t>population</w:t>
      </w:r>
      <w:r w:rsidR="008243CA" w:rsidRPr="008243CA">
        <w:rPr>
          <w:b/>
          <w:bCs/>
        </w:rPr>
        <w:t xml:space="preserve"> </w:t>
      </w:r>
      <w:r w:rsidRPr="008243CA">
        <w:rPr>
          <w:b/>
          <w:bCs/>
        </w:rPr>
        <w:t>in</w:t>
      </w:r>
      <w:r w:rsidR="008243CA" w:rsidRPr="008243CA">
        <w:rPr>
          <w:b/>
          <w:bCs/>
        </w:rPr>
        <w:t xml:space="preserve"> </w:t>
      </w:r>
      <w:r w:rsidRPr="008243CA">
        <w:rPr>
          <w:b/>
          <w:bCs/>
        </w:rPr>
        <w:t>a</w:t>
      </w:r>
      <w:r w:rsidR="008243CA" w:rsidRPr="008243CA">
        <w:rPr>
          <w:b/>
          <w:bCs/>
        </w:rPr>
        <w:t xml:space="preserve"> </w:t>
      </w:r>
      <w:r w:rsidRPr="008243CA">
        <w:rPr>
          <w:b/>
          <w:bCs/>
        </w:rPr>
        <w:t>custodial</w:t>
      </w:r>
      <w:r w:rsidR="008243CA" w:rsidRPr="008243CA">
        <w:rPr>
          <w:b/>
          <w:bCs/>
        </w:rPr>
        <w:t xml:space="preserve"> </w:t>
      </w:r>
      <w:r w:rsidRPr="008243CA">
        <w:rPr>
          <w:b/>
          <w:bCs/>
        </w:rPr>
        <w:t>system</w:t>
      </w:r>
      <w:r w:rsidR="008243CA" w:rsidRPr="008243CA">
        <w:rPr>
          <w:b/>
          <w:bCs/>
        </w:rPr>
        <w:t xml:space="preserve"> </w:t>
      </w:r>
      <w:r w:rsidRPr="008243CA">
        <w:rPr>
          <w:b/>
          <w:bCs/>
        </w:rPr>
        <w:t>vs.</w:t>
      </w:r>
      <w:r w:rsidR="008243CA" w:rsidRPr="008243CA">
        <w:rPr>
          <w:b/>
          <w:bCs/>
        </w:rPr>
        <w:t xml:space="preserve"> </w:t>
      </w:r>
      <w:r w:rsidRPr="008243CA">
        <w:rPr>
          <w:b/>
          <w:bCs/>
        </w:rPr>
        <w:t>an</w:t>
      </w:r>
      <w:r w:rsidR="008243CA" w:rsidRPr="008243CA">
        <w:rPr>
          <w:b/>
          <w:bCs/>
        </w:rPr>
        <w:t xml:space="preserve"> </w:t>
      </w:r>
      <w:r w:rsidRPr="008243CA">
        <w:rPr>
          <w:b/>
          <w:bCs/>
        </w:rPr>
        <w:t>open</w:t>
      </w:r>
      <w:r w:rsidR="008243CA" w:rsidRPr="008243CA">
        <w:rPr>
          <w:b/>
          <w:bCs/>
        </w:rPr>
        <w:t xml:space="preserve"> </w:t>
      </w:r>
      <w:r w:rsidRPr="008243CA">
        <w:rPr>
          <w:b/>
          <w:bCs/>
        </w:rPr>
        <w:t>system</w:t>
      </w:r>
      <w:r w:rsidR="008243CA" w:rsidRPr="008243CA">
        <w:rPr>
          <w:b/>
          <w:bCs/>
        </w:rPr>
        <w:t xml:space="preserve"> </w:t>
      </w:r>
      <w:r w:rsidRPr="008243CA">
        <w:rPr>
          <w:b/>
          <w:bCs/>
        </w:rPr>
        <w:t>(2010</w:t>
      </w:r>
      <w:r w:rsidR="00C81E72">
        <w:rPr>
          <w:b/>
          <w:bCs/>
        </w:rPr>
        <w:t>–</w:t>
      </w:r>
      <w:r w:rsidRPr="008243CA">
        <w:rPr>
          <w:b/>
          <w:bCs/>
        </w:rPr>
        <w:t>2016)</w:t>
      </w:r>
    </w:p>
    <w:tbl>
      <w:tblPr>
        <w:tblStyle w:val="TableGrid"/>
        <w:tblW w:w="7371"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648"/>
        <w:gridCol w:w="648"/>
        <w:gridCol w:w="648"/>
        <w:gridCol w:w="648"/>
        <w:gridCol w:w="648"/>
        <w:gridCol w:w="648"/>
        <w:gridCol w:w="648"/>
      </w:tblGrid>
      <w:tr w:rsidR="00705329" w:rsidRPr="005D4067" w:rsidTr="00C846BD">
        <w:trPr>
          <w:cantSplit/>
          <w:tblHeader/>
        </w:trPr>
        <w:tc>
          <w:tcPr>
            <w:tcW w:w="2835" w:type="dxa"/>
            <w:tcBorders>
              <w:top w:val="single" w:sz="4" w:space="0" w:color="auto"/>
              <w:bottom w:val="single" w:sz="12" w:space="0" w:color="auto"/>
            </w:tcBorders>
            <w:vAlign w:val="bottom"/>
          </w:tcPr>
          <w:p w:rsidR="00705329" w:rsidRPr="007B40E7" w:rsidRDefault="00705329" w:rsidP="007B40E7">
            <w:pPr>
              <w:pStyle w:val="SingleTxtG"/>
              <w:suppressAutoHyphens w:val="0"/>
              <w:spacing w:before="80" w:after="80" w:line="200" w:lineRule="exact"/>
              <w:ind w:left="0" w:right="113"/>
              <w:jc w:val="left"/>
              <w:rPr>
                <w:i/>
                <w:sz w:val="16"/>
              </w:rPr>
            </w:pPr>
            <w:r w:rsidRPr="007B40E7">
              <w:rPr>
                <w:i/>
                <w:sz w:val="16"/>
              </w:rPr>
              <w:t>Type of population</w:t>
            </w:r>
          </w:p>
        </w:tc>
        <w:tc>
          <w:tcPr>
            <w:tcW w:w="648" w:type="dxa"/>
            <w:tcBorders>
              <w:top w:val="single" w:sz="4" w:space="0" w:color="auto"/>
              <w:bottom w:val="single" w:sz="12" w:space="0" w:color="auto"/>
            </w:tcBorders>
            <w:shd w:val="clear" w:color="auto" w:fill="auto"/>
            <w:vAlign w:val="bottom"/>
          </w:tcPr>
          <w:p w:rsidR="00705329" w:rsidRPr="007B40E7" w:rsidRDefault="00705329" w:rsidP="007B40E7">
            <w:pPr>
              <w:suppressAutoHyphens w:val="0"/>
              <w:spacing w:before="80" w:after="80" w:line="200" w:lineRule="exact"/>
              <w:ind w:right="113"/>
              <w:jc w:val="right"/>
              <w:rPr>
                <w:rFonts w:eastAsia="SimSun"/>
                <w:i/>
                <w:sz w:val="16"/>
                <w:lang w:eastAsia="zh-CN"/>
              </w:rPr>
            </w:pPr>
            <w:r w:rsidRPr="007B40E7">
              <w:rPr>
                <w:rFonts w:eastAsia="SimSun"/>
                <w:i/>
                <w:sz w:val="16"/>
                <w:lang w:eastAsia="zh-CN"/>
              </w:rPr>
              <w:t>2010</w:t>
            </w:r>
          </w:p>
        </w:tc>
        <w:tc>
          <w:tcPr>
            <w:tcW w:w="648" w:type="dxa"/>
            <w:tcBorders>
              <w:top w:val="single" w:sz="4" w:space="0" w:color="auto"/>
              <w:bottom w:val="single" w:sz="12" w:space="0" w:color="auto"/>
            </w:tcBorders>
            <w:shd w:val="clear" w:color="auto" w:fill="auto"/>
            <w:vAlign w:val="bottom"/>
          </w:tcPr>
          <w:p w:rsidR="00705329" w:rsidRPr="007B40E7" w:rsidRDefault="00705329" w:rsidP="007B40E7">
            <w:pPr>
              <w:suppressAutoHyphens w:val="0"/>
              <w:spacing w:before="80" w:after="80" w:line="200" w:lineRule="exact"/>
              <w:ind w:right="113"/>
              <w:jc w:val="right"/>
              <w:rPr>
                <w:rFonts w:eastAsia="SimSun"/>
                <w:i/>
                <w:sz w:val="16"/>
                <w:lang w:eastAsia="zh-CN"/>
              </w:rPr>
            </w:pPr>
            <w:r w:rsidRPr="007B40E7">
              <w:rPr>
                <w:rFonts w:eastAsia="SimSun"/>
                <w:i/>
                <w:sz w:val="16"/>
                <w:lang w:eastAsia="zh-CN"/>
              </w:rPr>
              <w:t>2011</w:t>
            </w:r>
          </w:p>
        </w:tc>
        <w:tc>
          <w:tcPr>
            <w:tcW w:w="648" w:type="dxa"/>
            <w:tcBorders>
              <w:top w:val="single" w:sz="4" w:space="0" w:color="auto"/>
              <w:bottom w:val="single" w:sz="12" w:space="0" w:color="auto"/>
            </w:tcBorders>
            <w:shd w:val="clear" w:color="auto" w:fill="auto"/>
            <w:vAlign w:val="bottom"/>
          </w:tcPr>
          <w:p w:rsidR="00705329" w:rsidRPr="007B40E7" w:rsidRDefault="00705329" w:rsidP="007B40E7">
            <w:pPr>
              <w:suppressAutoHyphens w:val="0"/>
              <w:spacing w:before="80" w:after="80" w:line="200" w:lineRule="exact"/>
              <w:ind w:right="113"/>
              <w:jc w:val="right"/>
              <w:rPr>
                <w:rFonts w:eastAsia="SimSun"/>
                <w:i/>
                <w:sz w:val="16"/>
                <w:lang w:eastAsia="zh-CN"/>
              </w:rPr>
            </w:pPr>
            <w:r w:rsidRPr="007B40E7">
              <w:rPr>
                <w:rFonts w:eastAsia="SimSun"/>
                <w:i/>
                <w:sz w:val="16"/>
                <w:lang w:eastAsia="zh-CN"/>
              </w:rPr>
              <w:t>2012</w:t>
            </w:r>
          </w:p>
        </w:tc>
        <w:tc>
          <w:tcPr>
            <w:tcW w:w="648" w:type="dxa"/>
            <w:tcBorders>
              <w:top w:val="single" w:sz="4" w:space="0" w:color="auto"/>
              <w:bottom w:val="single" w:sz="12" w:space="0" w:color="auto"/>
            </w:tcBorders>
            <w:shd w:val="clear" w:color="auto" w:fill="auto"/>
            <w:vAlign w:val="bottom"/>
          </w:tcPr>
          <w:p w:rsidR="00705329" w:rsidRPr="007B40E7" w:rsidRDefault="00705329" w:rsidP="007B40E7">
            <w:pPr>
              <w:suppressAutoHyphens w:val="0"/>
              <w:spacing w:before="80" w:after="80" w:line="200" w:lineRule="exact"/>
              <w:ind w:right="113"/>
              <w:jc w:val="right"/>
              <w:rPr>
                <w:rFonts w:eastAsia="SimSun"/>
                <w:i/>
                <w:sz w:val="16"/>
                <w:lang w:eastAsia="zh-CN"/>
              </w:rPr>
            </w:pPr>
            <w:r w:rsidRPr="007B40E7">
              <w:rPr>
                <w:rFonts w:eastAsia="SimSun"/>
                <w:i/>
                <w:sz w:val="16"/>
                <w:lang w:eastAsia="zh-CN"/>
              </w:rPr>
              <w:t>2013</w:t>
            </w:r>
          </w:p>
        </w:tc>
        <w:tc>
          <w:tcPr>
            <w:tcW w:w="648" w:type="dxa"/>
            <w:tcBorders>
              <w:top w:val="single" w:sz="4" w:space="0" w:color="auto"/>
              <w:bottom w:val="single" w:sz="12" w:space="0" w:color="auto"/>
            </w:tcBorders>
            <w:shd w:val="clear" w:color="auto" w:fill="auto"/>
            <w:vAlign w:val="bottom"/>
          </w:tcPr>
          <w:p w:rsidR="00705329" w:rsidRPr="007B40E7" w:rsidRDefault="00705329" w:rsidP="007B40E7">
            <w:pPr>
              <w:suppressAutoHyphens w:val="0"/>
              <w:spacing w:before="80" w:after="80" w:line="200" w:lineRule="exact"/>
              <w:ind w:right="113"/>
              <w:jc w:val="right"/>
              <w:rPr>
                <w:rFonts w:eastAsia="SimSun"/>
                <w:i/>
                <w:sz w:val="16"/>
                <w:lang w:eastAsia="zh-CN"/>
              </w:rPr>
            </w:pPr>
            <w:r w:rsidRPr="007B40E7">
              <w:rPr>
                <w:rFonts w:eastAsia="SimSun"/>
                <w:i/>
                <w:sz w:val="16"/>
                <w:lang w:eastAsia="zh-CN"/>
              </w:rPr>
              <w:t>2014</w:t>
            </w:r>
          </w:p>
        </w:tc>
        <w:tc>
          <w:tcPr>
            <w:tcW w:w="648" w:type="dxa"/>
            <w:tcBorders>
              <w:top w:val="single" w:sz="4" w:space="0" w:color="auto"/>
              <w:bottom w:val="single" w:sz="12" w:space="0" w:color="auto"/>
            </w:tcBorders>
            <w:shd w:val="clear" w:color="auto" w:fill="auto"/>
            <w:vAlign w:val="bottom"/>
          </w:tcPr>
          <w:p w:rsidR="00705329" w:rsidRPr="007B40E7" w:rsidRDefault="00705329" w:rsidP="007B40E7">
            <w:pPr>
              <w:suppressAutoHyphens w:val="0"/>
              <w:spacing w:before="80" w:after="80" w:line="200" w:lineRule="exact"/>
              <w:ind w:right="113"/>
              <w:jc w:val="right"/>
              <w:rPr>
                <w:rFonts w:eastAsia="SimSun"/>
                <w:i/>
                <w:sz w:val="16"/>
                <w:lang w:eastAsia="zh-CN"/>
              </w:rPr>
            </w:pPr>
            <w:r w:rsidRPr="007B40E7">
              <w:rPr>
                <w:rFonts w:eastAsia="SimSun"/>
                <w:i/>
                <w:sz w:val="16"/>
                <w:lang w:eastAsia="zh-CN"/>
              </w:rPr>
              <w:t>2015</w:t>
            </w:r>
          </w:p>
        </w:tc>
        <w:tc>
          <w:tcPr>
            <w:tcW w:w="648" w:type="dxa"/>
            <w:tcBorders>
              <w:top w:val="single" w:sz="4" w:space="0" w:color="auto"/>
              <w:bottom w:val="single" w:sz="12" w:space="0" w:color="auto"/>
            </w:tcBorders>
            <w:shd w:val="clear" w:color="auto" w:fill="auto"/>
            <w:vAlign w:val="bottom"/>
          </w:tcPr>
          <w:p w:rsidR="00705329" w:rsidRPr="007B40E7" w:rsidRDefault="00705329" w:rsidP="007B40E7">
            <w:pPr>
              <w:suppressAutoHyphens w:val="0"/>
              <w:spacing w:before="80" w:after="80" w:line="200" w:lineRule="exact"/>
              <w:ind w:right="113"/>
              <w:jc w:val="right"/>
              <w:rPr>
                <w:rFonts w:eastAsia="SimSun"/>
                <w:i/>
                <w:sz w:val="16"/>
                <w:lang w:eastAsia="zh-CN"/>
              </w:rPr>
            </w:pPr>
            <w:r w:rsidRPr="007B40E7">
              <w:rPr>
                <w:rFonts w:eastAsia="SimSun"/>
                <w:i/>
                <w:sz w:val="16"/>
                <w:lang w:eastAsia="zh-CN"/>
              </w:rPr>
              <w:t>2016*</w:t>
            </w:r>
          </w:p>
        </w:tc>
      </w:tr>
      <w:tr w:rsidR="00705329" w:rsidRPr="005D4067" w:rsidTr="00C846BD">
        <w:trPr>
          <w:cantSplit/>
        </w:trPr>
        <w:tc>
          <w:tcPr>
            <w:tcW w:w="2835" w:type="dxa"/>
            <w:tcBorders>
              <w:top w:val="single" w:sz="12" w:space="0" w:color="auto"/>
            </w:tcBorders>
          </w:tcPr>
          <w:p w:rsidR="00705329" w:rsidRPr="00C81E72" w:rsidRDefault="00705329" w:rsidP="00A02D8F">
            <w:pPr>
              <w:pStyle w:val="SingleTxtG"/>
              <w:suppressAutoHyphens w:val="0"/>
              <w:spacing w:before="40" w:after="40" w:line="220" w:lineRule="exact"/>
              <w:ind w:left="0" w:right="113"/>
              <w:jc w:val="left"/>
              <w:rPr>
                <w:sz w:val="18"/>
              </w:rPr>
            </w:pPr>
            <w:r w:rsidRPr="00C81E72">
              <w:rPr>
                <w:sz w:val="18"/>
              </w:rPr>
              <w:t>Convicted population closed system</w:t>
            </w:r>
          </w:p>
        </w:tc>
        <w:tc>
          <w:tcPr>
            <w:tcW w:w="648" w:type="dxa"/>
            <w:tcBorders>
              <w:top w:val="single" w:sz="12" w:space="0" w:color="auto"/>
            </w:tcBorders>
            <w:shd w:val="clear" w:color="auto" w:fill="auto"/>
            <w:vAlign w:val="bottom"/>
          </w:tcPr>
          <w:p w:rsidR="00705329" w:rsidRPr="005D4067" w:rsidRDefault="00705329" w:rsidP="00A02D8F">
            <w:pPr>
              <w:suppressAutoHyphens w:val="0"/>
              <w:spacing w:before="40" w:after="40" w:line="220" w:lineRule="exact"/>
              <w:ind w:right="113"/>
              <w:jc w:val="right"/>
              <w:rPr>
                <w:sz w:val="18"/>
              </w:rPr>
            </w:pPr>
            <w:r w:rsidRPr="00C81E72">
              <w:rPr>
                <w:sz w:val="18"/>
              </w:rPr>
              <w:t>42</w:t>
            </w:r>
            <w:r>
              <w:rPr>
                <w:sz w:val="18"/>
              </w:rPr>
              <w:t xml:space="preserve"> </w:t>
            </w:r>
            <w:r w:rsidRPr="00C81E72">
              <w:rPr>
                <w:sz w:val="18"/>
              </w:rPr>
              <w:t>868</w:t>
            </w:r>
          </w:p>
        </w:tc>
        <w:tc>
          <w:tcPr>
            <w:tcW w:w="648" w:type="dxa"/>
            <w:tcBorders>
              <w:top w:val="single" w:sz="12" w:space="0" w:color="auto"/>
            </w:tcBorders>
            <w:shd w:val="clear" w:color="auto" w:fill="auto"/>
            <w:vAlign w:val="bottom"/>
          </w:tcPr>
          <w:p w:rsidR="00705329" w:rsidRPr="005D4067" w:rsidRDefault="00705329" w:rsidP="00A02D8F">
            <w:pPr>
              <w:suppressAutoHyphens w:val="0"/>
              <w:spacing w:before="40" w:after="40" w:line="220" w:lineRule="exact"/>
              <w:ind w:right="113"/>
              <w:jc w:val="right"/>
              <w:rPr>
                <w:sz w:val="18"/>
              </w:rPr>
            </w:pPr>
            <w:r w:rsidRPr="00C81E72">
              <w:rPr>
                <w:sz w:val="18"/>
              </w:rPr>
              <w:t>43</w:t>
            </w:r>
            <w:r>
              <w:rPr>
                <w:sz w:val="18"/>
              </w:rPr>
              <w:t xml:space="preserve"> </w:t>
            </w:r>
            <w:r w:rsidRPr="00C81E72">
              <w:rPr>
                <w:sz w:val="18"/>
              </w:rPr>
              <w:t>006</w:t>
            </w:r>
          </w:p>
        </w:tc>
        <w:tc>
          <w:tcPr>
            <w:tcW w:w="648" w:type="dxa"/>
            <w:tcBorders>
              <w:top w:val="single" w:sz="12" w:space="0" w:color="auto"/>
            </w:tcBorders>
            <w:shd w:val="clear" w:color="auto" w:fill="auto"/>
            <w:vAlign w:val="bottom"/>
          </w:tcPr>
          <w:p w:rsidR="00705329" w:rsidRPr="005D4067" w:rsidRDefault="00705329" w:rsidP="00A02D8F">
            <w:pPr>
              <w:suppressAutoHyphens w:val="0"/>
              <w:spacing w:before="40" w:after="40" w:line="220" w:lineRule="exact"/>
              <w:ind w:right="113"/>
              <w:jc w:val="right"/>
              <w:rPr>
                <w:sz w:val="18"/>
              </w:rPr>
            </w:pPr>
            <w:r w:rsidRPr="00C81E72">
              <w:rPr>
                <w:sz w:val="18"/>
              </w:rPr>
              <w:t>40</w:t>
            </w:r>
            <w:r>
              <w:rPr>
                <w:sz w:val="18"/>
              </w:rPr>
              <w:t xml:space="preserve"> </w:t>
            </w:r>
            <w:r w:rsidRPr="00C81E72">
              <w:rPr>
                <w:sz w:val="18"/>
              </w:rPr>
              <w:t>734</w:t>
            </w:r>
          </w:p>
        </w:tc>
        <w:tc>
          <w:tcPr>
            <w:tcW w:w="648" w:type="dxa"/>
            <w:tcBorders>
              <w:top w:val="single" w:sz="12" w:space="0" w:color="auto"/>
            </w:tcBorders>
            <w:shd w:val="clear" w:color="auto" w:fill="auto"/>
            <w:vAlign w:val="bottom"/>
          </w:tcPr>
          <w:p w:rsidR="00705329" w:rsidRPr="005D4067" w:rsidRDefault="00705329" w:rsidP="00A02D8F">
            <w:pPr>
              <w:suppressAutoHyphens w:val="0"/>
              <w:spacing w:before="40" w:after="40" w:line="220" w:lineRule="exact"/>
              <w:ind w:right="113"/>
              <w:jc w:val="right"/>
              <w:rPr>
                <w:sz w:val="18"/>
              </w:rPr>
            </w:pPr>
            <w:r w:rsidRPr="00C81E72">
              <w:rPr>
                <w:sz w:val="18"/>
              </w:rPr>
              <w:t>37</w:t>
            </w:r>
            <w:r>
              <w:rPr>
                <w:sz w:val="18"/>
              </w:rPr>
              <w:t xml:space="preserve"> </w:t>
            </w:r>
            <w:r w:rsidRPr="00C81E72">
              <w:rPr>
                <w:sz w:val="18"/>
              </w:rPr>
              <w:t>059</w:t>
            </w:r>
          </w:p>
        </w:tc>
        <w:tc>
          <w:tcPr>
            <w:tcW w:w="648" w:type="dxa"/>
            <w:tcBorders>
              <w:top w:val="single" w:sz="12" w:space="0" w:color="auto"/>
            </w:tcBorders>
            <w:shd w:val="clear" w:color="auto" w:fill="auto"/>
            <w:vAlign w:val="bottom"/>
          </w:tcPr>
          <w:p w:rsidR="00705329" w:rsidRPr="005D4067" w:rsidRDefault="00705329" w:rsidP="00A02D8F">
            <w:pPr>
              <w:suppressAutoHyphens w:val="0"/>
              <w:spacing w:before="40" w:after="40" w:line="220" w:lineRule="exact"/>
              <w:ind w:right="113"/>
              <w:jc w:val="right"/>
              <w:rPr>
                <w:sz w:val="18"/>
              </w:rPr>
            </w:pPr>
            <w:r w:rsidRPr="00C81E72">
              <w:rPr>
                <w:sz w:val="18"/>
              </w:rPr>
              <w:t>34</w:t>
            </w:r>
            <w:r>
              <w:rPr>
                <w:sz w:val="18"/>
              </w:rPr>
              <w:t xml:space="preserve"> </w:t>
            </w:r>
            <w:r w:rsidRPr="00C81E72">
              <w:rPr>
                <w:sz w:val="18"/>
              </w:rPr>
              <w:t>180</w:t>
            </w:r>
          </w:p>
        </w:tc>
        <w:tc>
          <w:tcPr>
            <w:tcW w:w="648" w:type="dxa"/>
            <w:tcBorders>
              <w:top w:val="single" w:sz="12" w:space="0" w:color="auto"/>
            </w:tcBorders>
            <w:shd w:val="clear" w:color="auto" w:fill="auto"/>
            <w:vAlign w:val="bottom"/>
          </w:tcPr>
          <w:p w:rsidR="00705329" w:rsidRPr="005D4067" w:rsidRDefault="00705329" w:rsidP="00A02D8F">
            <w:pPr>
              <w:suppressAutoHyphens w:val="0"/>
              <w:spacing w:before="40" w:after="40" w:line="220" w:lineRule="exact"/>
              <w:ind w:right="113"/>
              <w:jc w:val="right"/>
              <w:rPr>
                <w:sz w:val="18"/>
              </w:rPr>
            </w:pPr>
            <w:r w:rsidRPr="00C81E72">
              <w:rPr>
                <w:sz w:val="18"/>
              </w:rPr>
              <w:t>32</w:t>
            </w:r>
            <w:r>
              <w:rPr>
                <w:sz w:val="18"/>
              </w:rPr>
              <w:t xml:space="preserve"> </w:t>
            </w:r>
            <w:r w:rsidRPr="00C81E72">
              <w:rPr>
                <w:sz w:val="18"/>
              </w:rPr>
              <w:t>406</w:t>
            </w:r>
          </w:p>
        </w:tc>
        <w:tc>
          <w:tcPr>
            <w:tcW w:w="648" w:type="dxa"/>
            <w:tcBorders>
              <w:top w:val="single" w:sz="12" w:space="0" w:color="auto"/>
            </w:tcBorders>
            <w:shd w:val="clear" w:color="auto" w:fill="auto"/>
            <w:vAlign w:val="bottom"/>
          </w:tcPr>
          <w:p w:rsidR="00705329" w:rsidRPr="005D4067" w:rsidRDefault="00705329" w:rsidP="00A02D8F">
            <w:pPr>
              <w:suppressAutoHyphens w:val="0"/>
              <w:spacing w:before="40" w:after="40" w:line="220" w:lineRule="exact"/>
              <w:ind w:right="113"/>
              <w:jc w:val="right"/>
              <w:rPr>
                <w:sz w:val="18"/>
              </w:rPr>
            </w:pPr>
            <w:r w:rsidRPr="00C81E72">
              <w:rPr>
                <w:sz w:val="18"/>
              </w:rPr>
              <w:t>27</w:t>
            </w:r>
            <w:r>
              <w:rPr>
                <w:sz w:val="18"/>
              </w:rPr>
              <w:t xml:space="preserve"> </w:t>
            </w:r>
            <w:r w:rsidRPr="00C81E72">
              <w:rPr>
                <w:sz w:val="18"/>
              </w:rPr>
              <w:t>877</w:t>
            </w:r>
          </w:p>
        </w:tc>
      </w:tr>
      <w:tr w:rsidR="00705329" w:rsidRPr="005D4067" w:rsidTr="00C846BD">
        <w:trPr>
          <w:cantSplit/>
        </w:trPr>
        <w:tc>
          <w:tcPr>
            <w:tcW w:w="2835" w:type="dxa"/>
          </w:tcPr>
          <w:p w:rsidR="00705329" w:rsidRPr="00C81E72" w:rsidRDefault="00705329" w:rsidP="00A02D8F">
            <w:pPr>
              <w:pStyle w:val="SingleTxtG"/>
              <w:suppressAutoHyphens w:val="0"/>
              <w:spacing w:before="40" w:after="40" w:line="220" w:lineRule="exact"/>
              <w:ind w:left="0" w:right="113"/>
              <w:jc w:val="left"/>
              <w:rPr>
                <w:sz w:val="18"/>
              </w:rPr>
            </w:pPr>
            <w:r w:rsidRPr="00C81E72">
              <w:rPr>
                <w:sz w:val="18"/>
              </w:rPr>
              <w:t xml:space="preserve">Convicted population open system </w:t>
            </w:r>
          </w:p>
        </w:tc>
        <w:tc>
          <w:tcPr>
            <w:tcW w:w="648" w:type="dxa"/>
            <w:shd w:val="clear" w:color="auto" w:fill="auto"/>
            <w:vAlign w:val="bottom"/>
          </w:tcPr>
          <w:p w:rsidR="00705329" w:rsidRPr="00C81E72" w:rsidRDefault="00705329" w:rsidP="00A02D8F">
            <w:pPr>
              <w:pStyle w:val="SingleTxtG"/>
              <w:suppressAutoHyphens w:val="0"/>
              <w:spacing w:before="40" w:after="40" w:line="220" w:lineRule="exact"/>
              <w:ind w:left="0" w:right="113"/>
              <w:jc w:val="right"/>
              <w:rPr>
                <w:sz w:val="18"/>
              </w:rPr>
            </w:pPr>
            <w:r w:rsidRPr="00C81E72">
              <w:rPr>
                <w:sz w:val="18"/>
              </w:rPr>
              <w:t>54</w:t>
            </w:r>
            <w:r>
              <w:rPr>
                <w:sz w:val="18"/>
              </w:rPr>
              <w:t xml:space="preserve"> </w:t>
            </w:r>
            <w:r w:rsidRPr="00C81E72">
              <w:rPr>
                <w:sz w:val="18"/>
              </w:rPr>
              <w:t>872</w:t>
            </w:r>
          </w:p>
        </w:tc>
        <w:tc>
          <w:tcPr>
            <w:tcW w:w="648" w:type="dxa"/>
            <w:shd w:val="clear" w:color="auto" w:fill="auto"/>
            <w:vAlign w:val="bottom"/>
          </w:tcPr>
          <w:p w:rsidR="00705329" w:rsidRPr="005D4067" w:rsidRDefault="00705329" w:rsidP="00A02D8F">
            <w:pPr>
              <w:suppressAutoHyphens w:val="0"/>
              <w:spacing w:before="40" w:after="40" w:line="220" w:lineRule="exact"/>
              <w:ind w:right="113"/>
              <w:jc w:val="right"/>
              <w:rPr>
                <w:sz w:val="18"/>
              </w:rPr>
            </w:pPr>
            <w:r w:rsidRPr="00C81E72">
              <w:rPr>
                <w:sz w:val="18"/>
              </w:rPr>
              <w:t>53</w:t>
            </w:r>
            <w:r>
              <w:rPr>
                <w:sz w:val="18"/>
              </w:rPr>
              <w:t xml:space="preserve"> </w:t>
            </w:r>
            <w:r w:rsidRPr="00C81E72">
              <w:rPr>
                <w:sz w:val="18"/>
              </w:rPr>
              <w:t>434</w:t>
            </w:r>
          </w:p>
        </w:tc>
        <w:tc>
          <w:tcPr>
            <w:tcW w:w="648" w:type="dxa"/>
            <w:shd w:val="clear" w:color="auto" w:fill="auto"/>
            <w:vAlign w:val="bottom"/>
          </w:tcPr>
          <w:p w:rsidR="00705329" w:rsidRPr="005D4067" w:rsidRDefault="00705329" w:rsidP="00A02D8F">
            <w:pPr>
              <w:suppressAutoHyphens w:val="0"/>
              <w:spacing w:before="40" w:after="40" w:line="220" w:lineRule="exact"/>
              <w:ind w:right="113"/>
              <w:jc w:val="right"/>
              <w:rPr>
                <w:sz w:val="18"/>
              </w:rPr>
            </w:pPr>
            <w:r w:rsidRPr="00C81E72">
              <w:rPr>
                <w:sz w:val="18"/>
              </w:rPr>
              <w:t>51</w:t>
            </w:r>
            <w:r>
              <w:rPr>
                <w:sz w:val="18"/>
              </w:rPr>
              <w:t xml:space="preserve"> </w:t>
            </w:r>
            <w:r w:rsidRPr="00C81E72">
              <w:rPr>
                <w:sz w:val="18"/>
              </w:rPr>
              <w:t>420</w:t>
            </w:r>
          </w:p>
        </w:tc>
        <w:tc>
          <w:tcPr>
            <w:tcW w:w="648" w:type="dxa"/>
            <w:shd w:val="clear" w:color="auto" w:fill="auto"/>
            <w:vAlign w:val="bottom"/>
          </w:tcPr>
          <w:p w:rsidR="00705329" w:rsidRPr="005D4067" w:rsidRDefault="00705329" w:rsidP="00A02D8F">
            <w:pPr>
              <w:suppressAutoHyphens w:val="0"/>
              <w:spacing w:before="40" w:after="40" w:line="220" w:lineRule="exact"/>
              <w:ind w:right="113"/>
              <w:jc w:val="right"/>
              <w:rPr>
                <w:sz w:val="18"/>
              </w:rPr>
            </w:pPr>
            <w:r w:rsidRPr="00C81E72">
              <w:rPr>
                <w:sz w:val="18"/>
              </w:rPr>
              <w:t>50</w:t>
            </w:r>
            <w:r>
              <w:rPr>
                <w:sz w:val="18"/>
              </w:rPr>
              <w:t xml:space="preserve"> </w:t>
            </w:r>
            <w:r w:rsidRPr="00C81E72">
              <w:rPr>
                <w:sz w:val="18"/>
              </w:rPr>
              <w:t>150</w:t>
            </w:r>
          </w:p>
        </w:tc>
        <w:tc>
          <w:tcPr>
            <w:tcW w:w="648" w:type="dxa"/>
            <w:shd w:val="clear" w:color="auto" w:fill="auto"/>
            <w:vAlign w:val="bottom"/>
          </w:tcPr>
          <w:p w:rsidR="00705329" w:rsidRPr="005D4067" w:rsidRDefault="00705329" w:rsidP="00A02D8F">
            <w:pPr>
              <w:suppressAutoHyphens w:val="0"/>
              <w:spacing w:before="40" w:after="40" w:line="220" w:lineRule="exact"/>
              <w:ind w:right="113"/>
              <w:jc w:val="right"/>
              <w:rPr>
                <w:sz w:val="18"/>
              </w:rPr>
            </w:pPr>
            <w:r w:rsidRPr="00C81E72">
              <w:rPr>
                <w:sz w:val="18"/>
              </w:rPr>
              <w:t>50</w:t>
            </w:r>
            <w:r>
              <w:rPr>
                <w:sz w:val="18"/>
              </w:rPr>
              <w:t xml:space="preserve"> </w:t>
            </w:r>
            <w:r w:rsidRPr="00C81E72">
              <w:rPr>
                <w:sz w:val="18"/>
              </w:rPr>
              <w:t>773</w:t>
            </w:r>
          </w:p>
        </w:tc>
        <w:tc>
          <w:tcPr>
            <w:tcW w:w="648" w:type="dxa"/>
            <w:shd w:val="clear" w:color="auto" w:fill="auto"/>
            <w:vAlign w:val="bottom"/>
          </w:tcPr>
          <w:p w:rsidR="00705329" w:rsidRPr="005D4067" w:rsidRDefault="00705329" w:rsidP="00A02D8F">
            <w:pPr>
              <w:suppressAutoHyphens w:val="0"/>
              <w:spacing w:before="40" w:after="40" w:line="220" w:lineRule="exact"/>
              <w:ind w:right="113"/>
              <w:jc w:val="right"/>
              <w:rPr>
                <w:sz w:val="18"/>
              </w:rPr>
            </w:pPr>
            <w:r w:rsidRPr="00C81E72">
              <w:rPr>
                <w:sz w:val="18"/>
              </w:rPr>
              <w:t>56</w:t>
            </w:r>
            <w:r>
              <w:rPr>
                <w:sz w:val="18"/>
              </w:rPr>
              <w:t xml:space="preserve"> </w:t>
            </w:r>
            <w:r w:rsidRPr="00C81E72">
              <w:rPr>
                <w:sz w:val="18"/>
              </w:rPr>
              <w:t>060</w:t>
            </w:r>
          </w:p>
        </w:tc>
        <w:tc>
          <w:tcPr>
            <w:tcW w:w="648" w:type="dxa"/>
            <w:shd w:val="clear" w:color="auto" w:fill="auto"/>
            <w:vAlign w:val="bottom"/>
          </w:tcPr>
          <w:p w:rsidR="00705329" w:rsidRPr="005D4067" w:rsidRDefault="00705329" w:rsidP="00A02D8F">
            <w:pPr>
              <w:suppressAutoHyphens w:val="0"/>
              <w:spacing w:before="40" w:after="40" w:line="220" w:lineRule="exact"/>
              <w:ind w:right="113"/>
              <w:jc w:val="right"/>
              <w:rPr>
                <w:sz w:val="18"/>
              </w:rPr>
            </w:pPr>
            <w:r w:rsidRPr="00C81E72">
              <w:rPr>
                <w:sz w:val="18"/>
              </w:rPr>
              <w:t>58</w:t>
            </w:r>
            <w:r>
              <w:rPr>
                <w:sz w:val="18"/>
              </w:rPr>
              <w:t xml:space="preserve"> </w:t>
            </w:r>
            <w:r w:rsidRPr="00C81E72">
              <w:rPr>
                <w:sz w:val="18"/>
              </w:rPr>
              <w:t>946</w:t>
            </w:r>
          </w:p>
        </w:tc>
      </w:tr>
    </w:tbl>
    <w:p w:rsidR="003F7D03" w:rsidRPr="00A02D8F" w:rsidRDefault="003F7D03" w:rsidP="00A02D8F">
      <w:pPr>
        <w:spacing w:before="120"/>
        <w:ind w:left="1134" w:right="1134" w:firstLine="170"/>
        <w:rPr>
          <w:sz w:val="18"/>
        </w:rPr>
      </w:pPr>
      <w:r w:rsidRPr="00A02D8F">
        <w:rPr>
          <w:i/>
          <w:iCs/>
          <w:sz w:val="18"/>
        </w:rPr>
        <w:t>Source:</w:t>
      </w:r>
      <w:r w:rsidR="00A02D8F">
        <w:rPr>
          <w:sz w:val="18"/>
        </w:rPr>
        <w:t xml:space="preserve"> </w:t>
      </w:r>
      <w:r w:rsidR="008243CA" w:rsidRPr="00A02D8F">
        <w:rPr>
          <w:sz w:val="18"/>
        </w:rPr>
        <w:t xml:space="preserve"> </w:t>
      </w:r>
      <w:r w:rsidRPr="00A02D8F">
        <w:rPr>
          <w:sz w:val="18"/>
        </w:rPr>
        <w:t>Prison</w:t>
      </w:r>
      <w:r w:rsidR="008243CA" w:rsidRPr="00A02D8F">
        <w:rPr>
          <w:sz w:val="18"/>
        </w:rPr>
        <w:t xml:space="preserve"> </w:t>
      </w:r>
      <w:r w:rsidRPr="00A02D8F">
        <w:rPr>
          <w:sz w:val="18"/>
        </w:rPr>
        <w:t>Service.</w:t>
      </w:r>
    </w:p>
    <w:p w:rsidR="003F7D03" w:rsidRPr="00A02D8F" w:rsidRDefault="003F7D03" w:rsidP="00A02D8F">
      <w:pPr>
        <w:spacing w:after="240"/>
        <w:ind w:left="1134" w:right="1134" w:firstLine="170"/>
        <w:rPr>
          <w:sz w:val="18"/>
        </w:rPr>
      </w:pPr>
      <w:r w:rsidRPr="00A02D8F">
        <w:rPr>
          <w:sz w:val="18"/>
        </w:rPr>
        <w:t>*</w:t>
      </w:r>
      <w:r w:rsidR="008243CA" w:rsidRPr="00A02D8F">
        <w:rPr>
          <w:sz w:val="18"/>
        </w:rPr>
        <w:t xml:space="preserve">  </w:t>
      </w:r>
      <w:r w:rsidRPr="00A02D8F">
        <w:rPr>
          <w:sz w:val="18"/>
        </w:rPr>
        <w:t>The</w:t>
      </w:r>
      <w:r w:rsidR="008243CA" w:rsidRPr="00A02D8F">
        <w:rPr>
          <w:sz w:val="18"/>
        </w:rPr>
        <w:t xml:space="preserve"> </w:t>
      </w:r>
      <w:r w:rsidRPr="00A02D8F">
        <w:rPr>
          <w:sz w:val="18"/>
        </w:rPr>
        <w:t>data</w:t>
      </w:r>
      <w:r w:rsidR="008243CA" w:rsidRPr="00A02D8F">
        <w:rPr>
          <w:sz w:val="18"/>
        </w:rPr>
        <w:t xml:space="preserve"> </w:t>
      </w:r>
      <w:r w:rsidRPr="00A02D8F">
        <w:rPr>
          <w:sz w:val="18"/>
        </w:rPr>
        <w:t>for</w:t>
      </w:r>
      <w:r w:rsidR="008243CA" w:rsidRPr="00A02D8F">
        <w:rPr>
          <w:sz w:val="18"/>
        </w:rPr>
        <w:t xml:space="preserve"> </w:t>
      </w:r>
      <w:r w:rsidRPr="00A02D8F">
        <w:rPr>
          <w:sz w:val="18"/>
        </w:rPr>
        <w:t>2016</w:t>
      </w:r>
      <w:r w:rsidR="008243CA" w:rsidRPr="00A02D8F">
        <w:rPr>
          <w:sz w:val="18"/>
        </w:rPr>
        <w:t xml:space="preserve"> </w:t>
      </w:r>
      <w:r w:rsidRPr="00A02D8F">
        <w:rPr>
          <w:sz w:val="18"/>
        </w:rPr>
        <w:t>cover</w:t>
      </w:r>
      <w:r w:rsidR="008243CA" w:rsidRPr="00A02D8F">
        <w:rPr>
          <w:sz w:val="18"/>
        </w:rPr>
        <w:t xml:space="preserve"> </w:t>
      </w:r>
      <w:r w:rsidRPr="00A02D8F">
        <w:rPr>
          <w:sz w:val="18"/>
        </w:rPr>
        <w:t>the</w:t>
      </w:r>
      <w:r w:rsidR="008243CA" w:rsidRPr="00A02D8F">
        <w:rPr>
          <w:sz w:val="18"/>
        </w:rPr>
        <w:t xml:space="preserve"> </w:t>
      </w:r>
      <w:r w:rsidRPr="00A02D8F">
        <w:rPr>
          <w:sz w:val="18"/>
        </w:rPr>
        <w:t>period</w:t>
      </w:r>
      <w:r w:rsidR="008243CA" w:rsidRPr="00A02D8F">
        <w:rPr>
          <w:sz w:val="18"/>
        </w:rPr>
        <w:t xml:space="preserve"> </w:t>
      </w:r>
      <w:r w:rsidRPr="00A02D8F">
        <w:rPr>
          <w:sz w:val="18"/>
        </w:rPr>
        <w:t>ending</w:t>
      </w:r>
      <w:r w:rsidR="008243CA" w:rsidRPr="00A02D8F">
        <w:rPr>
          <w:sz w:val="18"/>
        </w:rPr>
        <w:t xml:space="preserve"> </w:t>
      </w:r>
      <w:r w:rsidRPr="00A02D8F">
        <w:rPr>
          <w:sz w:val="18"/>
        </w:rPr>
        <w:t>31</w:t>
      </w:r>
      <w:r w:rsidR="008243CA" w:rsidRPr="00A02D8F">
        <w:rPr>
          <w:sz w:val="18"/>
        </w:rPr>
        <w:t xml:space="preserve"> </w:t>
      </w:r>
      <w:r w:rsidRPr="00A02D8F">
        <w:rPr>
          <w:sz w:val="18"/>
        </w:rPr>
        <w:t>October.</w:t>
      </w:r>
      <w:r w:rsidR="008243CA" w:rsidRPr="00A02D8F">
        <w:rPr>
          <w:sz w:val="18"/>
        </w:rPr>
        <w:t xml:space="preserve"> </w:t>
      </w:r>
    </w:p>
    <w:p w:rsidR="003F7D03" w:rsidRPr="00E62FE6" w:rsidRDefault="003F7D03" w:rsidP="000C6D98">
      <w:pPr>
        <w:pStyle w:val="SingleTxtG"/>
      </w:pPr>
      <w:r w:rsidRPr="00E62FE6">
        <w:t>73.</w:t>
      </w:r>
      <w:r w:rsidRPr="00E62FE6">
        <w:tab/>
        <w:t>Thus,</w:t>
      </w:r>
      <w:r w:rsidR="008243CA">
        <w:t xml:space="preserve"> </w:t>
      </w:r>
      <w:r w:rsidRPr="00E62FE6">
        <w:t>as</w:t>
      </w:r>
      <w:r w:rsidR="008243CA">
        <w:t xml:space="preserve"> </w:t>
      </w:r>
      <w:r w:rsidRPr="00E62FE6">
        <w:t>requested</w:t>
      </w:r>
      <w:r w:rsidR="008243CA">
        <w:t xml:space="preserve"> </w:t>
      </w:r>
      <w:r w:rsidRPr="00E62FE6">
        <w:t>by</w:t>
      </w:r>
      <w:r w:rsidR="008243CA">
        <w:t xml:space="preserve"> </w:t>
      </w:r>
      <w:r w:rsidRPr="00E62FE6">
        <w:t>the</w:t>
      </w:r>
      <w:r w:rsidR="008243CA">
        <w:t xml:space="preserve"> </w:t>
      </w:r>
      <w:r w:rsidRPr="00E62FE6">
        <w:t>Subcommittee,</w:t>
      </w:r>
      <w:r w:rsidR="008243CA">
        <w:t xml:space="preserve"> </w:t>
      </w:r>
      <w:r w:rsidRPr="00E62FE6">
        <w:t>from</w:t>
      </w:r>
      <w:r w:rsidR="008243CA">
        <w:t xml:space="preserve"> </w:t>
      </w:r>
      <w:r w:rsidRPr="00E62FE6">
        <w:t>2010,</w:t>
      </w:r>
      <w:r w:rsidR="008243CA">
        <w:t xml:space="preserve"> </w:t>
      </w:r>
      <w:r w:rsidRPr="00E62FE6">
        <w:t>the</w:t>
      </w:r>
      <w:r w:rsidR="008243CA">
        <w:t xml:space="preserve"> </w:t>
      </w:r>
      <w:r w:rsidRPr="00E62FE6">
        <w:t>rise</w:t>
      </w:r>
      <w:r w:rsidR="008243CA">
        <w:t xml:space="preserve"> </w:t>
      </w:r>
      <w:r w:rsidRPr="00E62FE6">
        <w:t>in</w:t>
      </w:r>
      <w:r w:rsidR="008243CA">
        <w:t xml:space="preserve"> </w:t>
      </w:r>
      <w:r w:rsidRPr="00E62FE6">
        <w:t>the</w:t>
      </w:r>
      <w:r w:rsidR="008243CA">
        <w:t xml:space="preserve"> </w:t>
      </w:r>
      <w:r w:rsidRPr="00E62FE6">
        <w:t>number</w:t>
      </w:r>
      <w:r w:rsidR="008243CA">
        <w:t xml:space="preserve"> </w:t>
      </w:r>
      <w:r w:rsidRPr="00E62FE6">
        <w:t>of</w:t>
      </w:r>
      <w:r w:rsidR="008243CA">
        <w:t xml:space="preserve"> </w:t>
      </w:r>
      <w:r w:rsidRPr="00E62FE6">
        <w:t>persons</w:t>
      </w:r>
      <w:r w:rsidR="008243CA">
        <w:t xml:space="preserve"> </w:t>
      </w:r>
      <w:r w:rsidRPr="00E62FE6">
        <w:t>deprived</w:t>
      </w:r>
      <w:r w:rsidR="008243CA">
        <w:t xml:space="preserve"> </w:t>
      </w:r>
      <w:r w:rsidRPr="00E62FE6">
        <w:t>of</w:t>
      </w:r>
      <w:r w:rsidR="008243CA">
        <w:t xml:space="preserve"> </w:t>
      </w:r>
      <w:r w:rsidRPr="00E62FE6">
        <w:t>their</w:t>
      </w:r>
      <w:r w:rsidR="008243CA">
        <w:t xml:space="preserve"> </w:t>
      </w:r>
      <w:r w:rsidRPr="00E62FE6">
        <w:t>liberty</w:t>
      </w:r>
      <w:r w:rsidR="008243CA">
        <w:t xml:space="preserve"> </w:t>
      </w:r>
      <w:r w:rsidRPr="00E62FE6">
        <w:t>in</w:t>
      </w:r>
      <w:r w:rsidR="008243CA">
        <w:t xml:space="preserve"> </w:t>
      </w:r>
      <w:r w:rsidRPr="00E62FE6">
        <w:t>custodial</w:t>
      </w:r>
      <w:r w:rsidR="008243CA">
        <w:t xml:space="preserve"> </w:t>
      </w:r>
      <w:r w:rsidRPr="00E62FE6">
        <w:t>institutions</w:t>
      </w:r>
      <w:r w:rsidR="008243CA">
        <w:t xml:space="preserve"> </w:t>
      </w:r>
      <w:r w:rsidRPr="00E62FE6">
        <w:t>has</w:t>
      </w:r>
      <w:r w:rsidR="008243CA">
        <w:t xml:space="preserve"> </w:t>
      </w:r>
      <w:r w:rsidRPr="00E62FE6">
        <w:t>been</w:t>
      </w:r>
      <w:r w:rsidR="008243CA">
        <w:t xml:space="preserve"> </w:t>
      </w:r>
      <w:r w:rsidRPr="00E62FE6">
        <w:t>reversed,</w:t>
      </w:r>
      <w:r w:rsidR="008243CA">
        <w:t xml:space="preserve"> </w:t>
      </w:r>
      <w:r w:rsidRPr="00E62FE6">
        <w:t>which</w:t>
      </w:r>
      <w:r w:rsidR="008243CA">
        <w:t xml:space="preserve"> </w:t>
      </w:r>
      <w:r w:rsidRPr="00E62FE6">
        <w:t>is</w:t>
      </w:r>
      <w:r w:rsidR="008243CA">
        <w:t xml:space="preserve"> </w:t>
      </w:r>
      <w:r w:rsidRPr="00E62FE6">
        <w:t>in</w:t>
      </w:r>
      <w:r w:rsidR="008243CA">
        <w:t xml:space="preserve"> </w:t>
      </w:r>
      <w:r w:rsidRPr="00E62FE6">
        <w:t>keeping</w:t>
      </w:r>
      <w:r w:rsidR="008243CA">
        <w:t xml:space="preserve"> </w:t>
      </w:r>
      <w:r w:rsidRPr="00E62FE6">
        <w:t>with</w:t>
      </w:r>
      <w:r w:rsidR="008243CA">
        <w:t xml:space="preserve"> </w:t>
      </w:r>
      <w:r w:rsidRPr="00E62FE6">
        <w:t>the</w:t>
      </w:r>
      <w:r w:rsidR="008243CA">
        <w:t xml:space="preserve"> </w:t>
      </w:r>
      <w:r w:rsidRPr="00E62FE6">
        <w:t>measures</w:t>
      </w:r>
      <w:r w:rsidR="008243CA">
        <w:t xml:space="preserve"> </w:t>
      </w:r>
      <w:r w:rsidRPr="00E62FE6">
        <w:t>mentioned</w:t>
      </w:r>
      <w:r w:rsidR="008243CA">
        <w:t xml:space="preserve"> </w:t>
      </w:r>
      <w:r w:rsidRPr="00E62FE6">
        <w:t>above.</w:t>
      </w:r>
      <w:r w:rsidR="008243CA">
        <w:t xml:space="preserve"> </w:t>
      </w:r>
      <w:r w:rsidRPr="00E62FE6">
        <w:t>This</w:t>
      </w:r>
      <w:r w:rsidR="008243CA">
        <w:t xml:space="preserve"> </w:t>
      </w:r>
      <w:r w:rsidRPr="00E62FE6">
        <w:t>is</w:t>
      </w:r>
      <w:r w:rsidR="008243CA">
        <w:t xml:space="preserve"> </w:t>
      </w:r>
      <w:r w:rsidRPr="00E62FE6">
        <w:t>a</w:t>
      </w:r>
      <w:r w:rsidR="008243CA">
        <w:t xml:space="preserve"> </w:t>
      </w:r>
      <w:r w:rsidRPr="00E62FE6">
        <w:t>dynamic</w:t>
      </w:r>
      <w:r w:rsidR="008243CA">
        <w:t xml:space="preserve"> </w:t>
      </w:r>
      <w:r w:rsidRPr="00E62FE6">
        <w:t>process,</w:t>
      </w:r>
      <w:r w:rsidR="008243CA">
        <w:t xml:space="preserve"> </w:t>
      </w:r>
      <w:r w:rsidRPr="00E62FE6">
        <w:t>however,</w:t>
      </w:r>
      <w:r w:rsidR="008243CA">
        <w:t xml:space="preserve"> </w:t>
      </w:r>
      <w:r w:rsidRPr="00E62FE6">
        <w:t>in</w:t>
      </w:r>
      <w:r w:rsidR="008243CA">
        <w:t xml:space="preserve"> </w:t>
      </w:r>
      <w:r w:rsidRPr="00E62FE6">
        <w:t>which</w:t>
      </w:r>
      <w:r w:rsidR="008243CA">
        <w:t xml:space="preserve"> </w:t>
      </w:r>
      <w:r w:rsidRPr="00E62FE6">
        <w:t>different</w:t>
      </w:r>
      <w:r w:rsidR="008243CA">
        <w:t xml:space="preserve"> </w:t>
      </w:r>
      <w:r w:rsidRPr="00E62FE6">
        <w:t>actors</w:t>
      </w:r>
      <w:r w:rsidR="008243CA">
        <w:t xml:space="preserve"> </w:t>
      </w:r>
      <w:r w:rsidRPr="00E62FE6">
        <w:t>are</w:t>
      </w:r>
      <w:r w:rsidR="008243CA">
        <w:t xml:space="preserve"> </w:t>
      </w:r>
      <w:r w:rsidRPr="00E62FE6">
        <w:t>involved.</w:t>
      </w:r>
      <w:r w:rsidR="008243CA">
        <w:t xml:space="preserve"> </w:t>
      </w:r>
      <w:r w:rsidRPr="00E62FE6">
        <w:t>Accordingly,</w:t>
      </w:r>
      <w:r w:rsidR="008243CA">
        <w:t xml:space="preserve"> </w:t>
      </w:r>
      <w:r w:rsidRPr="00E62FE6">
        <w:t>the</w:t>
      </w:r>
      <w:r w:rsidR="008243CA">
        <w:t xml:space="preserve"> </w:t>
      </w:r>
      <w:r w:rsidRPr="00E62FE6">
        <w:t>executive</w:t>
      </w:r>
      <w:r w:rsidR="008243CA">
        <w:t xml:space="preserve"> </w:t>
      </w:r>
      <w:r w:rsidRPr="00E62FE6">
        <w:t>branch</w:t>
      </w:r>
      <w:r w:rsidR="008243CA">
        <w:t xml:space="preserve"> </w:t>
      </w:r>
      <w:r w:rsidRPr="00E62FE6">
        <w:t>will</w:t>
      </w:r>
      <w:r w:rsidR="008243CA">
        <w:t xml:space="preserve"> </w:t>
      </w:r>
      <w:r w:rsidRPr="00E62FE6">
        <w:t>continuously</w:t>
      </w:r>
      <w:r w:rsidR="008243CA">
        <w:t xml:space="preserve"> </w:t>
      </w:r>
      <w:r w:rsidRPr="00E62FE6">
        <w:t>monitor</w:t>
      </w:r>
      <w:r w:rsidR="008243CA">
        <w:t xml:space="preserve"> </w:t>
      </w:r>
      <w:r w:rsidRPr="00E62FE6">
        <w:t>statistics</w:t>
      </w:r>
      <w:r w:rsidR="008243CA">
        <w:t xml:space="preserve"> </w:t>
      </w:r>
      <w:r w:rsidRPr="00E62FE6">
        <w:t>in</w:t>
      </w:r>
      <w:r w:rsidR="008243CA">
        <w:t xml:space="preserve"> </w:t>
      </w:r>
      <w:r w:rsidRPr="00E62FE6">
        <w:t>this</w:t>
      </w:r>
      <w:r w:rsidR="008243CA">
        <w:t xml:space="preserve"> </w:t>
      </w:r>
      <w:r w:rsidRPr="00E62FE6">
        <w:t>area,</w:t>
      </w:r>
      <w:r w:rsidR="008243CA">
        <w:t xml:space="preserve"> </w:t>
      </w:r>
      <w:r w:rsidRPr="00E62FE6">
        <w:t>primarily</w:t>
      </w:r>
      <w:r w:rsidR="008243CA">
        <w:t xml:space="preserve"> </w:t>
      </w:r>
      <w:r w:rsidRPr="00E62FE6">
        <w:t>to</w:t>
      </w:r>
      <w:r w:rsidR="008243CA">
        <w:t xml:space="preserve"> </w:t>
      </w:r>
      <w:r w:rsidRPr="00E62FE6">
        <w:t>study</w:t>
      </w:r>
      <w:r w:rsidR="008243CA">
        <w:t xml:space="preserve"> </w:t>
      </w:r>
      <w:r w:rsidRPr="00E62FE6">
        <w:t>the</w:t>
      </w:r>
      <w:r w:rsidR="008243CA">
        <w:t xml:space="preserve"> </w:t>
      </w:r>
      <w:r w:rsidRPr="00E62FE6">
        <w:t>possible</w:t>
      </w:r>
      <w:r w:rsidR="008243CA">
        <w:t xml:space="preserve"> </w:t>
      </w:r>
      <w:r w:rsidRPr="00E62FE6">
        <w:t>impact</w:t>
      </w:r>
      <w:r w:rsidR="008243CA">
        <w:t xml:space="preserve"> </w:t>
      </w:r>
      <w:r w:rsidRPr="00E62FE6">
        <w:t>on</w:t>
      </w:r>
      <w:r w:rsidR="008243CA">
        <w:t xml:space="preserve"> </w:t>
      </w:r>
      <w:r w:rsidRPr="00E62FE6">
        <w:t>the</w:t>
      </w:r>
      <w:r w:rsidR="008243CA">
        <w:t xml:space="preserve"> </w:t>
      </w:r>
      <w:r w:rsidRPr="00E62FE6">
        <w:t>prison</w:t>
      </w:r>
      <w:r w:rsidR="008243CA">
        <w:t xml:space="preserve"> </w:t>
      </w:r>
      <w:r w:rsidRPr="00E62FE6">
        <w:t>system</w:t>
      </w:r>
      <w:r w:rsidR="008243CA">
        <w:t xml:space="preserve"> </w:t>
      </w:r>
      <w:r w:rsidRPr="00E62FE6">
        <w:t>of</w:t>
      </w:r>
      <w:r w:rsidR="008243CA">
        <w:t xml:space="preserve"> </w:t>
      </w:r>
      <w:r w:rsidRPr="00E62FE6">
        <w:t>Act</w:t>
      </w:r>
      <w:r w:rsidR="008243CA">
        <w:t xml:space="preserve"> </w:t>
      </w:r>
      <w:r w:rsidRPr="00E62FE6">
        <w:t>No.</w:t>
      </w:r>
      <w:r w:rsidR="008243CA">
        <w:t xml:space="preserve"> </w:t>
      </w:r>
      <w:r w:rsidRPr="00E62FE6">
        <w:t>20931,</w:t>
      </w:r>
      <w:r w:rsidR="008243CA">
        <w:t xml:space="preserve"> </w:t>
      </w:r>
      <w:r w:rsidRPr="00E62FE6">
        <w:t>which</w:t>
      </w:r>
      <w:r w:rsidR="008243CA">
        <w:t xml:space="preserve"> </w:t>
      </w:r>
      <w:r w:rsidRPr="00E62FE6">
        <w:t>facilitates</w:t>
      </w:r>
      <w:r w:rsidR="008243CA">
        <w:t xml:space="preserve"> </w:t>
      </w:r>
      <w:r w:rsidRPr="00E62FE6">
        <w:t>the</w:t>
      </w:r>
      <w:r w:rsidR="008243CA">
        <w:t xml:space="preserve"> </w:t>
      </w:r>
      <w:r w:rsidRPr="00E62FE6">
        <w:t>enforcement</w:t>
      </w:r>
      <w:r w:rsidR="008243CA">
        <w:t xml:space="preserve"> </w:t>
      </w:r>
      <w:r w:rsidRPr="00E62FE6">
        <w:t>of</w:t>
      </w:r>
      <w:r w:rsidR="008243CA">
        <w:t xml:space="preserve"> </w:t>
      </w:r>
      <w:r w:rsidRPr="00E62FE6">
        <w:t>penalties</w:t>
      </w:r>
      <w:r w:rsidR="008243CA">
        <w:t xml:space="preserve"> </w:t>
      </w:r>
      <w:r w:rsidRPr="00E62FE6">
        <w:t>established</w:t>
      </w:r>
      <w:r w:rsidR="008243CA">
        <w:t xml:space="preserve"> </w:t>
      </w:r>
      <w:r w:rsidRPr="00E62FE6">
        <w:t>for</w:t>
      </w:r>
      <w:r w:rsidR="008243CA">
        <w:t xml:space="preserve"> </w:t>
      </w:r>
      <w:r w:rsidRPr="00E62FE6">
        <w:t>the</w:t>
      </w:r>
      <w:r w:rsidR="008243CA">
        <w:t xml:space="preserve"> </w:t>
      </w:r>
      <w:r w:rsidRPr="00E62FE6">
        <w:t>crimes</w:t>
      </w:r>
      <w:r w:rsidR="008243CA">
        <w:t xml:space="preserve"> </w:t>
      </w:r>
      <w:r w:rsidRPr="00E62FE6">
        <w:t>of</w:t>
      </w:r>
      <w:r w:rsidR="008243CA">
        <w:t xml:space="preserve"> </w:t>
      </w:r>
      <w:r w:rsidRPr="00E62FE6">
        <w:t>theft,</w:t>
      </w:r>
      <w:r w:rsidR="008243CA">
        <w:t xml:space="preserve"> </w:t>
      </w:r>
      <w:r w:rsidRPr="00E62FE6">
        <w:lastRenderedPageBreak/>
        <w:t>robbery</w:t>
      </w:r>
      <w:r w:rsidR="008243CA">
        <w:t xml:space="preserve"> </w:t>
      </w:r>
      <w:r w:rsidRPr="00E62FE6">
        <w:t>and</w:t>
      </w:r>
      <w:r w:rsidR="008243CA">
        <w:t xml:space="preserve"> </w:t>
      </w:r>
      <w:r w:rsidRPr="00E62FE6">
        <w:t>receiving</w:t>
      </w:r>
      <w:r w:rsidR="008243CA">
        <w:t xml:space="preserve"> </w:t>
      </w:r>
      <w:r w:rsidRPr="00E62FE6">
        <w:t>stolen</w:t>
      </w:r>
      <w:r w:rsidR="008243CA">
        <w:t xml:space="preserve"> </w:t>
      </w:r>
      <w:r w:rsidRPr="00E62FE6">
        <w:t>property</w:t>
      </w:r>
      <w:r w:rsidR="008243CA">
        <w:t xml:space="preserve"> </w:t>
      </w:r>
      <w:r w:rsidRPr="00E62FE6">
        <w:t>and</w:t>
      </w:r>
      <w:r w:rsidR="008243CA">
        <w:t xml:space="preserve"> </w:t>
      </w:r>
      <w:r w:rsidRPr="00E62FE6">
        <w:t>improves</w:t>
      </w:r>
      <w:r w:rsidR="00116F0B">
        <w:t xml:space="preserve"> </w:t>
      </w:r>
      <w:r w:rsidRPr="00E62FE6">
        <w:t>criminal</w:t>
      </w:r>
      <w:r w:rsidR="008243CA">
        <w:t xml:space="preserve"> </w:t>
      </w:r>
      <w:r w:rsidRPr="00E62FE6">
        <w:t>prosecution</w:t>
      </w:r>
      <w:r w:rsidR="008243CA">
        <w:t xml:space="preserve"> </w:t>
      </w:r>
      <w:r w:rsidRPr="00E62FE6">
        <w:t>of</w:t>
      </w:r>
      <w:r w:rsidR="008243CA">
        <w:t xml:space="preserve"> </w:t>
      </w:r>
      <w:r w:rsidRPr="00E62FE6">
        <w:t>those</w:t>
      </w:r>
      <w:r w:rsidR="008243CA">
        <w:t xml:space="preserve"> </w:t>
      </w:r>
      <w:r w:rsidRPr="00E62FE6">
        <w:t>offences.</w:t>
      </w:r>
      <w:r w:rsidRPr="00116F0B">
        <w:rPr>
          <w:rStyle w:val="FootnoteReference"/>
        </w:rPr>
        <w:footnoteReference w:id="29"/>
      </w:r>
      <w:r w:rsidR="008243CA">
        <w:t xml:space="preserve"> </w:t>
      </w:r>
    </w:p>
    <w:p w:rsidR="003F7D03" w:rsidRPr="00E62FE6" w:rsidRDefault="003F7D03" w:rsidP="000C6D98">
      <w:pPr>
        <w:pStyle w:val="SingleTxtG"/>
      </w:pPr>
      <w:r w:rsidRPr="00E62FE6">
        <w:t>74.</w:t>
      </w:r>
      <w:r w:rsidRPr="00E62FE6">
        <w:tab/>
        <w:t>SENAME</w:t>
      </w:r>
      <w:r w:rsidR="008243CA">
        <w:t xml:space="preserve"> </w:t>
      </w:r>
      <w:r w:rsidRPr="00E62FE6">
        <w:t>is</w:t>
      </w:r>
      <w:r w:rsidR="008243CA">
        <w:t xml:space="preserve"> </w:t>
      </w:r>
      <w:r w:rsidRPr="00E62FE6">
        <w:t>carrying</w:t>
      </w:r>
      <w:r w:rsidR="008243CA">
        <w:t xml:space="preserve"> </w:t>
      </w:r>
      <w:r w:rsidRPr="00E62FE6">
        <w:t>out</w:t>
      </w:r>
      <w:r w:rsidR="008243CA">
        <w:t xml:space="preserve"> </w:t>
      </w:r>
      <w:r w:rsidRPr="00E62FE6">
        <w:t>a</w:t>
      </w:r>
      <w:r w:rsidR="008243CA">
        <w:t xml:space="preserve"> </w:t>
      </w:r>
      <w:r w:rsidRPr="00E62FE6">
        <w:t>number</w:t>
      </w:r>
      <w:r w:rsidR="008243CA">
        <w:t xml:space="preserve"> </w:t>
      </w:r>
      <w:r w:rsidRPr="00E62FE6">
        <w:t>of</w:t>
      </w:r>
      <w:r w:rsidR="008243CA">
        <w:t xml:space="preserve"> </w:t>
      </w:r>
      <w:r w:rsidRPr="00E62FE6">
        <w:t>actions</w:t>
      </w:r>
      <w:r w:rsidR="008243CA">
        <w:t xml:space="preserve"> </w:t>
      </w:r>
      <w:r w:rsidRPr="00E62FE6">
        <w:t>to</w:t>
      </w:r>
      <w:r w:rsidR="008243CA">
        <w:t xml:space="preserve"> </w:t>
      </w:r>
      <w:r w:rsidRPr="00E62FE6">
        <w:t>address</w:t>
      </w:r>
      <w:r w:rsidR="008243CA">
        <w:t xml:space="preserve"> </w:t>
      </w:r>
      <w:r w:rsidRPr="00E62FE6">
        <w:t>the</w:t>
      </w:r>
      <w:r w:rsidR="008243CA">
        <w:t xml:space="preserve"> </w:t>
      </w:r>
      <w:r w:rsidRPr="00E62FE6">
        <w:t>overcrowding</w:t>
      </w:r>
      <w:r w:rsidR="008243CA">
        <w:t xml:space="preserve"> </w:t>
      </w:r>
      <w:r w:rsidRPr="00E62FE6">
        <w:t>caused</w:t>
      </w:r>
      <w:r w:rsidR="008243CA">
        <w:t xml:space="preserve"> </w:t>
      </w:r>
      <w:r w:rsidRPr="00E62FE6">
        <w:t>by</w:t>
      </w:r>
      <w:r w:rsidR="008243CA">
        <w:t xml:space="preserve"> </w:t>
      </w:r>
      <w:r w:rsidRPr="00E62FE6">
        <w:t>the</w:t>
      </w:r>
      <w:r w:rsidR="008243CA">
        <w:t xml:space="preserve"> </w:t>
      </w:r>
      <w:r w:rsidRPr="00E62FE6">
        <w:t>increasing</w:t>
      </w:r>
      <w:r w:rsidR="008243CA">
        <w:t xml:space="preserve"> </w:t>
      </w:r>
      <w:r w:rsidRPr="00E62FE6">
        <w:t>number</w:t>
      </w:r>
      <w:r w:rsidR="008243CA">
        <w:t xml:space="preserve"> </w:t>
      </w:r>
      <w:r w:rsidRPr="00E62FE6">
        <w:t>of</w:t>
      </w:r>
      <w:r w:rsidR="008243CA">
        <w:t xml:space="preserve"> </w:t>
      </w:r>
      <w:r w:rsidRPr="00E62FE6">
        <w:t>children</w:t>
      </w:r>
      <w:r w:rsidR="008243CA">
        <w:t xml:space="preserve"> </w:t>
      </w:r>
      <w:r w:rsidRPr="00E62FE6">
        <w:t>and</w:t>
      </w:r>
      <w:r w:rsidR="008243CA">
        <w:t xml:space="preserve"> </w:t>
      </w:r>
      <w:r w:rsidRPr="00E62FE6">
        <w:t>adolescents</w:t>
      </w:r>
      <w:r w:rsidR="008243CA">
        <w:t xml:space="preserve"> </w:t>
      </w:r>
      <w:r w:rsidRPr="00E62FE6">
        <w:t>entering</w:t>
      </w:r>
      <w:r w:rsidR="008243CA">
        <w:t xml:space="preserve"> </w:t>
      </w:r>
      <w:r w:rsidRPr="00E62FE6">
        <w:t>the</w:t>
      </w:r>
      <w:r w:rsidR="008243CA">
        <w:t xml:space="preserve"> </w:t>
      </w:r>
      <w:r w:rsidRPr="00E62FE6">
        <w:t>juvenile</w:t>
      </w:r>
      <w:r w:rsidR="008243CA">
        <w:t xml:space="preserve"> </w:t>
      </w:r>
      <w:r w:rsidRPr="00E62FE6">
        <w:t>justice</w:t>
      </w:r>
      <w:r w:rsidR="008243CA">
        <w:t xml:space="preserve"> </w:t>
      </w:r>
      <w:r w:rsidRPr="00E62FE6">
        <w:t>and</w:t>
      </w:r>
      <w:r w:rsidR="008243CA">
        <w:t xml:space="preserve"> </w:t>
      </w:r>
      <w:r w:rsidRPr="00E62FE6">
        <w:t>child</w:t>
      </w:r>
      <w:r w:rsidR="008243CA">
        <w:t xml:space="preserve"> </w:t>
      </w:r>
      <w:r w:rsidRPr="00E62FE6">
        <w:t>protection</w:t>
      </w:r>
      <w:r w:rsidR="008243CA">
        <w:t xml:space="preserve"> </w:t>
      </w:r>
      <w:r w:rsidRPr="00E62FE6">
        <w:t>systems.</w:t>
      </w:r>
      <w:r w:rsidR="008243CA">
        <w:t xml:space="preserve"> </w:t>
      </w:r>
      <w:r w:rsidRPr="00E62FE6">
        <w:t>In</w:t>
      </w:r>
      <w:r w:rsidR="008243CA">
        <w:t xml:space="preserve"> </w:t>
      </w:r>
      <w:r w:rsidRPr="00E62FE6">
        <w:t>the</w:t>
      </w:r>
      <w:r w:rsidR="008243CA">
        <w:t xml:space="preserve"> </w:t>
      </w:r>
      <w:r w:rsidRPr="00E62FE6">
        <w:t>case</w:t>
      </w:r>
      <w:r w:rsidR="008243CA">
        <w:t xml:space="preserve"> </w:t>
      </w:r>
      <w:r w:rsidRPr="00E62FE6">
        <w:t>of</w:t>
      </w:r>
      <w:r w:rsidR="008243CA">
        <w:t xml:space="preserve"> </w:t>
      </w:r>
      <w:r w:rsidRPr="00E62FE6">
        <w:t>juvenile</w:t>
      </w:r>
      <w:r w:rsidR="008243CA">
        <w:t xml:space="preserve"> </w:t>
      </w:r>
      <w:r w:rsidRPr="00E62FE6">
        <w:t>justice,</w:t>
      </w:r>
      <w:r w:rsidR="008243CA">
        <w:t xml:space="preserve"> </w:t>
      </w:r>
      <w:r w:rsidRPr="00E62FE6">
        <w:t>in</w:t>
      </w:r>
      <w:r w:rsidR="008243CA">
        <w:t xml:space="preserve"> </w:t>
      </w:r>
      <w:r w:rsidRPr="00E62FE6">
        <w:t>the</w:t>
      </w:r>
      <w:r w:rsidR="008243CA">
        <w:t xml:space="preserve"> </w:t>
      </w:r>
      <w:r w:rsidRPr="00E62FE6">
        <w:t>Metropolitan</w:t>
      </w:r>
      <w:r w:rsidR="008243CA">
        <w:t xml:space="preserve"> </w:t>
      </w:r>
      <w:r w:rsidRPr="00E62FE6">
        <w:t>Region,</w:t>
      </w:r>
      <w:r w:rsidR="008243CA">
        <w:t xml:space="preserve"> </w:t>
      </w:r>
      <w:r w:rsidRPr="00E62FE6">
        <w:t>the</w:t>
      </w:r>
      <w:r w:rsidR="008243CA">
        <w:t xml:space="preserve"> </w:t>
      </w:r>
      <w:r w:rsidRPr="00E62FE6">
        <w:t>referral</w:t>
      </w:r>
      <w:r w:rsidR="008243CA">
        <w:t xml:space="preserve"> </w:t>
      </w:r>
      <w:r w:rsidRPr="00E62FE6">
        <w:t>system</w:t>
      </w:r>
      <w:r w:rsidR="008243CA">
        <w:t xml:space="preserve"> </w:t>
      </w:r>
      <w:r w:rsidRPr="00E62FE6">
        <w:t>operating</w:t>
      </w:r>
      <w:r w:rsidR="008243CA">
        <w:t xml:space="preserve"> </w:t>
      </w:r>
      <w:r w:rsidRPr="00E62FE6">
        <w:t>in</w:t>
      </w:r>
      <w:r w:rsidR="008243CA">
        <w:t xml:space="preserve"> </w:t>
      </w:r>
      <w:r w:rsidRPr="00E62FE6">
        <w:t>the</w:t>
      </w:r>
      <w:r w:rsidR="008243CA">
        <w:t xml:space="preserve"> </w:t>
      </w:r>
      <w:r w:rsidRPr="00E62FE6">
        <w:t>different</w:t>
      </w:r>
      <w:r w:rsidR="008243CA">
        <w:t xml:space="preserve"> </w:t>
      </w:r>
      <w:r w:rsidRPr="00E62FE6">
        <w:t>centres</w:t>
      </w:r>
      <w:r w:rsidR="008243CA">
        <w:t xml:space="preserve"> </w:t>
      </w:r>
      <w:r w:rsidRPr="00E62FE6">
        <w:t>run</w:t>
      </w:r>
      <w:r w:rsidR="008243CA">
        <w:t xml:space="preserve"> </w:t>
      </w:r>
      <w:r w:rsidRPr="00E62FE6">
        <w:t>by</w:t>
      </w:r>
      <w:r w:rsidR="008243CA">
        <w:t xml:space="preserve"> </w:t>
      </w:r>
      <w:r w:rsidRPr="00E62FE6">
        <w:t>SENAME</w:t>
      </w:r>
      <w:r w:rsidR="008243CA">
        <w:t xml:space="preserve"> </w:t>
      </w:r>
      <w:r w:rsidRPr="00E62FE6">
        <w:t>was</w:t>
      </w:r>
      <w:r w:rsidR="008243CA">
        <w:t xml:space="preserve"> </w:t>
      </w:r>
      <w:r w:rsidRPr="00E62FE6">
        <w:t>revamped</w:t>
      </w:r>
      <w:r w:rsidR="008243CA">
        <w:t xml:space="preserve"> </w:t>
      </w:r>
      <w:r w:rsidRPr="00E62FE6">
        <w:t>to</w:t>
      </w:r>
      <w:r w:rsidR="008243CA">
        <w:t xml:space="preserve"> </w:t>
      </w:r>
      <w:r w:rsidRPr="00E62FE6">
        <w:t>relieve</w:t>
      </w:r>
      <w:r w:rsidR="008243CA">
        <w:t xml:space="preserve"> </w:t>
      </w:r>
      <w:r w:rsidRPr="00E62FE6">
        <w:t>the</w:t>
      </w:r>
      <w:r w:rsidR="008243CA">
        <w:t xml:space="preserve"> </w:t>
      </w:r>
      <w:r w:rsidRPr="00E62FE6">
        <w:t>pressure</w:t>
      </w:r>
      <w:r w:rsidR="008243CA">
        <w:t xml:space="preserve"> </w:t>
      </w:r>
      <w:r w:rsidRPr="00E62FE6">
        <w:t>on</w:t>
      </w:r>
      <w:r w:rsidR="008243CA">
        <w:t xml:space="preserve"> </w:t>
      </w:r>
      <w:r w:rsidRPr="00E62FE6">
        <w:t>the</w:t>
      </w:r>
      <w:r w:rsidR="008243CA">
        <w:t xml:space="preserve"> </w:t>
      </w:r>
      <w:r w:rsidRPr="00E62FE6">
        <w:t>San</w:t>
      </w:r>
      <w:r w:rsidR="008243CA">
        <w:t xml:space="preserve"> </w:t>
      </w:r>
      <w:proofErr w:type="spellStart"/>
      <w:r w:rsidRPr="00E62FE6">
        <w:t>Joaquín</w:t>
      </w:r>
      <w:proofErr w:type="spellEnd"/>
      <w:r w:rsidR="008243CA">
        <w:t xml:space="preserve"> </w:t>
      </w:r>
      <w:r w:rsidRPr="00E62FE6">
        <w:t>temporary</w:t>
      </w:r>
      <w:r w:rsidR="008243CA">
        <w:t xml:space="preserve"> </w:t>
      </w:r>
      <w:r w:rsidRPr="00E62FE6">
        <w:t>detention</w:t>
      </w:r>
      <w:r w:rsidR="008243CA">
        <w:t xml:space="preserve"> </w:t>
      </w:r>
      <w:r w:rsidRPr="00E62FE6">
        <w:t>centre,</w:t>
      </w:r>
      <w:r w:rsidR="008243CA">
        <w:t xml:space="preserve"> </w:t>
      </w:r>
      <w:r w:rsidRPr="00E62FE6">
        <w:t>which</w:t>
      </w:r>
      <w:r w:rsidR="008243CA">
        <w:t xml:space="preserve"> </w:t>
      </w:r>
      <w:r w:rsidRPr="00E62FE6">
        <w:t>is</w:t>
      </w:r>
      <w:r w:rsidR="008243CA">
        <w:t xml:space="preserve"> </w:t>
      </w:r>
      <w:r w:rsidRPr="00E62FE6">
        <w:t>currently</w:t>
      </w:r>
      <w:r w:rsidR="008243CA">
        <w:t xml:space="preserve"> </w:t>
      </w:r>
      <w:r w:rsidRPr="00E62FE6">
        <w:t>overcrowded.</w:t>
      </w:r>
      <w:r w:rsidR="008243CA">
        <w:t xml:space="preserve"> </w:t>
      </w:r>
      <w:r w:rsidRPr="00E62FE6">
        <w:t>In</w:t>
      </w:r>
      <w:r w:rsidR="008243CA">
        <w:t xml:space="preserve"> </w:t>
      </w:r>
      <w:r w:rsidRPr="00E62FE6">
        <w:t>this</w:t>
      </w:r>
      <w:r w:rsidR="008243CA">
        <w:t xml:space="preserve"> </w:t>
      </w:r>
      <w:r w:rsidRPr="00E62FE6">
        <w:t>connection,</w:t>
      </w:r>
      <w:r w:rsidR="008243CA">
        <w:t xml:space="preserve"> </w:t>
      </w:r>
      <w:r w:rsidRPr="00E62FE6">
        <w:t>the</w:t>
      </w:r>
      <w:r w:rsidR="008243CA">
        <w:t xml:space="preserve"> </w:t>
      </w:r>
      <w:r w:rsidRPr="00E62FE6">
        <w:t>San</w:t>
      </w:r>
      <w:r w:rsidR="008243CA">
        <w:t xml:space="preserve"> </w:t>
      </w:r>
      <w:r w:rsidRPr="00E62FE6">
        <w:t>Bernardo</w:t>
      </w:r>
      <w:r w:rsidR="008243CA">
        <w:t xml:space="preserve"> </w:t>
      </w:r>
      <w:r w:rsidRPr="00E62FE6">
        <w:t>centre</w:t>
      </w:r>
      <w:r w:rsidR="008243CA">
        <w:t xml:space="preserve"> </w:t>
      </w:r>
      <w:r w:rsidRPr="00E62FE6">
        <w:t>is</w:t>
      </w:r>
      <w:r w:rsidR="008243CA">
        <w:t xml:space="preserve"> </w:t>
      </w:r>
      <w:r w:rsidRPr="00E62FE6">
        <w:t>now</w:t>
      </w:r>
      <w:r w:rsidR="008243CA">
        <w:t xml:space="preserve"> </w:t>
      </w:r>
      <w:r w:rsidRPr="00E62FE6">
        <w:t>receiving</w:t>
      </w:r>
      <w:r w:rsidR="008243CA">
        <w:t xml:space="preserve"> </w:t>
      </w:r>
      <w:r w:rsidRPr="00E62FE6">
        <w:t>adolescents</w:t>
      </w:r>
      <w:r w:rsidR="008243CA">
        <w:t xml:space="preserve"> </w:t>
      </w:r>
      <w:r w:rsidRPr="00E62FE6">
        <w:t>referred</w:t>
      </w:r>
      <w:r w:rsidR="008243CA">
        <w:t xml:space="preserve"> </w:t>
      </w:r>
      <w:r w:rsidRPr="00E62FE6">
        <w:t>to</w:t>
      </w:r>
      <w:r w:rsidR="008243CA">
        <w:t xml:space="preserve"> </w:t>
      </w:r>
      <w:r w:rsidRPr="00E62FE6">
        <w:t>it</w:t>
      </w:r>
      <w:r w:rsidR="008243CA">
        <w:t xml:space="preserve"> </w:t>
      </w:r>
      <w:r w:rsidRPr="00E62FE6">
        <w:t>by</w:t>
      </w:r>
      <w:r w:rsidR="008243CA">
        <w:t xml:space="preserve"> </w:t>
      </w:r>
      <w:r w:rsidRPr="00E62FE6">
        <w:t>supervisory</w:t>
      </w:r>
      <w:r w:rsidR="008243CA">
        <w:t xml:space="preserve"> </w:t>
      </w:r>
      <w:r w:rsidRPr="00E62FE6">
        <w:t>courts</w:t>
      </w:r>
      <w:r w:rsidR="008243CA">
        <w:t xml:space="preserve"> </w:t>
      </w:r>
      <w:r w:rsidRPr="00E62FE6">
        <w:t>in</w:t>
      </w:r>
      <w:r w:rsidR="008243CA">
        <w:t xml:space="preserve"> </w:t>
      </w:r>
      <w:r w:rsidRPr="00E62FE6">
        <w:t>application</w:t>
      </w:r>
      <w:r w:rsidR="008243CA">
        <w:t xml:space="preserve"> </w:t>
      </w:r>
      <w:r w:rsidRPr="00E62FE6">
        <w:t>of</w:t>
      </w:r>
      <w:r w:rsidR="008243CA">
        <w:t xml:space="preserve"> </w:t>
      </w:r>
      <w:r w:rsidRPr="00E62FE6">
        <w:t>the</w:t>
      </w:r>
      <w:r w:rsidR="008243CA">
        <w:t xml:space="preserve"> </w:t>
      </w:r>
      <w:r w:rsidRPr="00E62FE6">
        <w:t>interim</w:t>
      </w:r>
      <w:r w:rsidR="008243CA">
        <w:t xml:space="preserve"> </w:t>
      </w:r>
      <w:r w:rsidRPr="00E62FE6">
        <w:t>measure</w:t>
      </w:r>
      <w:r w:rsidR="008243CA">
        <w:t xml:space="preserve"> </w:t>
      </w:r>
      <w:r w:rsidRPr="00E62FE6">
        <w:t>of</w:t>
      </w:r>
      <w:r w:rsidR="008243CA">
        <w:t xml:space="preserve"> </w:t>
      </w:r>
      <w:bookmarkStart w:id="54" w:name="page23"/>
      <w:bookmarkEnd w:id="54"/>
      <w:r w:rsidRPr="00E62FE6">
        <w:t>temporary</w:t>
      </w:r>
      <w:r w:rsidR="008243CA">
        <w:t xml:space="preserve"> </w:t>
      </w:r>
      <w:r w:rsidRPr="00E62FE6">
        <w:t>detention.</w:t>
      </w:r>
      <w:r w:rsidR="008243CA">
        <w:t xml:space="preserve"> </w:t>
      </w:r>
    </w:p>
    <w:p w:rsidR="003F7D03" w:rsidRPr="00E62FE6" w:rsidRDefault="003F7D03" w:rsidP="000C6D98">
      <w:pPr>
        <w:pStyle w:val="SingleTxtG"/>
      </w:pPr>
      <w:r w:rsidRPr="00E62FE6">
        <w:t>75.</w:t>
      </w:r>
      <w:r w:rsidRPr="00E62FE6">
        <w:tab/>
        <w:t>The</w:t>
      </w:r>
      <w:r w:rsidR="008243CA">
        <w:t xml:space="preserve"> </w:t>
      </w:r>
      <w:r w:rsidRPr="00E62FE6">
        <w:t>Department</w:t>
      </w:r>
      <w:r w:rsidR="008243CA">
        <w:t xml:space="preserve"> </w:t>
      </w:r>
      <w:r w:rsidRPr="00E62FE6">
        <w:t>for</w:t>
      </w:r>
      <w:r w:rsidR="008243CA">
        <w:t xml:space="preserve"> </w:t>
      </w:r>
      <w:r w:rsidRPr="00E62FE6">
        <w:t>the</w:t>
      </w:r>
      <w:r w:rsidR="008243CA">
        <w:t xml:space="preserve"> </w:t>
      </w:r>
      <w:r w:rsidRPr="00E62FE6">
        <w:t>Protection</w:t>
      </w:r>
      <w:r w:rsidR="008243CA">
        <w:t xml:space="preserve"> </w:t>
      </w:r>
      <w:r w:rsidRPr="00E62FE6">
        <w:t>of</w:t>
      </w:r>
      <w:r w:rsidR="008243CA">
        <w:t xml:space="preserve"> </w:t>
      </w:r>
      <w:r w:rsidRPr="00E62FE6">
        <w:t>Rights</w:t>
      </w:r>
      <w:r w:rsidR="008243CA">
        <w:t xml:space="preserve"> </w:t>
      </w:r>
      <w:r w:rsidRPr="00E62FE6">
        <w:t>has</w:t>
      </w:r>
      <w:r w:rsidR="008243CA">
        <w:t xml:space="preserve"> </w:t>
      </w:r>
      <w:r w:rsidRPr="00E62FE6">
        <w:t>adopted</w:t>
      </w:r>
      <w:r w:rsidR="008243CA">
        <w:t xml:space="preserve"> </w:t>
      </w:r>
      <w:r w:rsidRPr="00E62FE6">
        <w:t>the</w:t>
      </w:r>
      <w:r w:rsidR="008243CA">
        <w:t xml:space="preserve"> </w:t>
      </w:r>
      <w:r w:rsidRPr="00E62FE6">
        <w:t>following</w:t>
      </w:r>
      <w:r w:rsidR="008243CA">
        <w:t xml:space="preserve"> </w:t>
      </w:r>
      <w:r w:rsidRPr="00E62FE6">
        <w:t>strategic</w:t>
      </w:r>
      <w:r w:rsidR="008243CA">
        <w:t xml:space="preserve"> </w:t>
      </w:r>
      <w:r w:rsidRPr="00E62FE6">
        <w:t>measures:</w:t>
      </w:r>
    </w:p>
    <w:p w:rsidR="003F7D03" w:rsidRPr="00E62FE6" w:rsidRDefault="003F7D03" w:rsidP="00F807EC">
      <w:pPr>
        <w:pStyle w:val="Bullet1G"/>
      </w:pPr>
      <w:r w:rsidRPr="00E62FE6">
        <w:t>It</w:t>
      </w:r>
      <w:r w:rsidR="008243CA">
        <w:t xml:space="preserve"> </w:t>
      </w:r>
      <w:r w:rsidRPr="00E62FE6">
        <w:t>has</w:t>
      </w:r>
      <w:r w:rsidR="008243CA">
        <w:t xml:space="preserve"> </w:t>
      </w:r>
      <w:r w:rsidRPr="00E62FE6">
        <w:t>introduced</w:t>
      </w:r>
      <w:r w:rsidR="008243CA">
        <w:t xml:space="preserve"> </w:t>
      </w:r>
      <w:r w:rsidRPr="00E62FE6">
        <w:t>the</w:t>
      </w:r>
      <w:r w:rsidR="008243CA">
        <w:t xml:space="preserve"> </w:t>
      </w:r>
      <w:r w:rsidRPr="00E62FE6">
        <w:t>directly</w:t>
      </w:r>
      <w:r w:rsidR="008243CA">
        <w:t xml:space="preserve"> </w:t>
      </w:r>
      <w:r w:rsidRPr="00E62FE6">
        <w:t>administered</w:t>
      </w:r>
      <w:r w:rsidR="008243CA">
        <w:t xml:space="preserve"> </w:t>
      </w:r>
      <w:r w:rsidRPr="00E62FE6">
        <w:t>Foster</w:t>
      </w:r>
      <w:r w:rsidR="008243CA">
        <w:t xml:space="preserve"> </w:t>
      </w:r>
      <w:r w:rsidRPr="00E62FE6">
        <w:t>Family</w:t>
      </w:r>
      <w:r w:rsidR="008243CA">
        <w:t xml:space="preserve"> </w:t>
      </w:r>
      <w:r w:rsidRPr="00E62FE6">
        <w:t>Programme</w:t>
      </w:r>
      <w:r w:rsidR="008243CA">
        <w:t xml:space="preserve"> </w:t>
      </w:r>
      <w:r w:rsidRPr="00E62FE6">
        <w:t>in</w:t>
      </w:r>
      <w:r w:rsidR="008243CA">
        <w:t xml:space="preserve"> </w:t>
      </w:r>
      <w:r w:rsidRPr="00E62FE6">
        <w:t>the</w:t>
      </w:r>
      <w:r w:rsidR="008243CA">
        <w:t xml:space="preserve"> </w:t>
      </w:r>
      <w:r w:rsidRPr="00E62FE6">
        <w:t>Metropolitan</w:t>
      </w:r>
      <w:r w:rsidR="008243CA">
        <w:t xml:space="preserve"> </w:t>
      </w:r>
      <w:r w:rsidRPr="00E62FE6">
        <w:t>Region</w:t>
      </w:r>
      <w:r w:rsidR="008243CA">
        <w:t xml:space="preserve"> </w:t>
      </w:r>
      <w:r w:rsidRPr="00E62FE6">
        <w:t>and</w:t>
      </w:r>
      <w:r w:rsidR="008243CA">
        <w:t xml:space="preserve"> </w:t>
      </w:r>
      <w:r w:rsidRPr="00E62FE6">
        <w:t>in</w:t>
      </w:r>
      <w:r w:rsidR="008243CA">
        <w:t xml:space="preserve"> </w:t>
      </w:r>
      <w:r w:rsidRPr="00E62FE6">
        <w:t>the</w:t>
      </w:r>
      <w:r w:rsidR="008243CA">
        <w:t xml:space="preserve"> </w:t>
      </w:r>
      <w:r w:rsidRPr="00E62FE6">
        <w:t>regions</w:t>
      </w:r>
      <w:r w:rsidR="008243CA">
        <w:t xml:space="preserve"> </w:t>
      </w:r>
      <w:r w:rsidRPr="00E62FE6">
        <w:t>of</w:t>
      </w:r>
      <w:r w:rsidR="008243CA">
        <w:t xml:space="preserve"> </w:t>
      </w:r>
      <w:r w:rsidRPr="00E62FE6">
        <w:t>Biobío</w:t>
      </w:r>
      <w:r w:rsidR="008243CA">
        <w:t xml:space="preserve"> </w:t>
      </w:r>
      <w:r w:rsidRPr="00E62FE6">
        <w:t>and</w:t>
      </w:r>
      <w:r w:rsidR="008243CA">
        <w:t xml:space="preserve"> </w:t>
      </w:r>
      <w:r w:rsidRPr="00E62FE6">
        <w:t>Valparaíso:</w:t>
      </w:r>
      <w:r w:rsidR="008243CA">
        <w:t xml:space="preserve"> </w:t>
      </w:r>
      <w:r w:rsidRPr="00E62FE6">
        <w:t>This</w:t>
      </w:r>
      <w:r w:rsidR="008243CA">
        <w:t xml:space="preserve"> </w:t>
      </w:r>
      <w:r w:rsidRPr="00E62FE6">
        <w:t>programme</w:t>
      </w:r>
      <w:r w:rsidR="008243CA">
        <w:t xml:space="preserve"> </w:t>
      </w:r>
      <w:r w:rsidRPr="00E62FE6">
        <w:t>provides</w:t>
      </w:r>
      <w:r w:rsidR="008243CA">
        <w:t xml:space="preserve"> </w:t>
      </w:r>
      <w:r w:rsidRPr="00E62FE6">
        <w:t>a</w:t>
      </w:r>
      <w:r w:rsidR="008243CA">
        <w:t xml:space="preserve"> </w:t>
      </w:r>
      <w:r w:rsidRPr="00E62FE6">
        <w:t>new</w:t>
      </w:r>
      <w:r w:rsidR="008243CA">
        <w:t xml:space="preserve"> </w:t>
      </w:r>
      <w:r w:rsidRPr="00E62FE6">
        <w:t>means</w:t>
      </w:r>
      <w:r w:rsidR="008243CA">
        <w:t xml:space="preserve"> </w:t>
      </w:r>
      <w:r w:rsidRPr="00E62FE6">
        <w:t>for</w:t>
      </w:r>
      <w:r w:rsidR="008243CA">
        <w:t xml:space="preserve"> </w:t>
      </w:r>
      <w:r w:rsidRPr="00E62FE6">
        <w:t>deinstitutionalizing</w:t>
      </w:r>
      <w:r w:rsidR="008243CA">
        <w:t xml:space="preserve"> </w:t>
      </w:r>
      <w:r w:rsidRPr="00E62FE6">
        <w:t>children</w:t>
      </w:r>
      <w:r w:rsidR="008243CA">
        <w:t xml:space="preserve"> </w:t>
      </w:r>
      <w:r w:rsidRPr="00E62FE6">
        <w:t>under</w:t>
      </w:r>
      <w:r w:rsidR="008243CA">
        <w:t xml:space="preserve"> </w:t>
      </w:r>
      <w:r w:rsidRPr="00E62FE6">
        <w:t>three</w:t>
      </w:r>
      <w:r w:rsidR="008243CA">
        <w:t xml:space="preserve"> </w:t>
      </w:r>
      <w:r w:rsidRPr="00E62FE6">
        <w:t>years</w:t>
      </w:r>
      <w:r w:rsidR="008243CA">
        <w:t xml:space="preserve"> </w:t>
      </w:r>
      <w:r w:rsidRPr="00E62FE6">
        <w:t>of</w:t>
      </w:r>
      <w:r w:rsidR="008243CA">
        <w:t xml:space="preserve"> </w:t>
      </w:r>
      <w:r w:rsidRPr="00E62FE6">
        <w:t>age</w:t>
      </w:r>
      <w:r w:rsidR="008243CA">
        <w:t xml:space="preserve"> </w:t>
      </w:r>
      <w:r w:rsidRPr="00E62FE6">
        <w:t>who</w:t>
      </w:r>
      <w:r w:rsidR="008243CA">
        <w:t xml:space="preserve"> </w:t>
      </w:r>
      <w:r w:rsidRPr="00E62FE6">
        <w:t>are</w:t>
      </w:r>
      <w:r w:rsidR="008243CA">
        <w:t xml:space="preserve"> </w:t>
      </w:r>
      <w:r w:rsidRPr="00E62FE6">
        <w:t>referred</w:t>
      </w:r>
      <w:r w:rsidR="008243CA">
        <w:t xml:space="preserve"> </w:t>
      </w:r>
      <w:r w:rsidRPr="00E62FE6">
        <w:t>to</w:t>
      </w:r>
      <w:r w:rsidR="008243CA">
        <w:t xml:space="preserve"> </w:t>
      </w:r>
      <w:r w:rsidRPr="00E62FE6">
        <w:t>directly</w:t>
      </w:r>
      <w:r w:rsidR="008243CA">
        <w:t xml:space="preserve"> </w:t>
      </w:r>
      <w:r w:rsidRPr="00E62FE6">
        <w:t>administered</w:t>
      </w:r>
      <w:r w:rsidR="008243CA">
        <w:t xml:space="preserve"> </w:t>
      </w:r>
      <w:r w:rsidRPr="00E62FE6">
        <w:t>specialized</w:t>
      </w:r>
      <w:r w:rsidR="008243CA">
        <w:t xml:space="preserve"> </w:t>
      </w:r>
      <w:r w:rsidRPr="00E62FE6">
        <w:t>remedial</w:t>
      </w:r>
      <w:r w:rsidR="008243CA">
        <w:t xml:space="preserve"> </w:t>
      </w:r>
      <w:r w:rsidRPr="00E62FE6">
        <w:t>centres</w:t>
      </w:r>
      <w:r w:rsidR="008243CA">
        <w:t xml:space="preserve"> </w:t>
      </w:r>
      <w:r w:rsidRPr="00E62FE6">
        <w:t>for</w:t>
      </w:r>
      <w:r w:rsidR="008243CA">
        <w:t xml:space="preserve"> </w:t>
      </w:r>
      <w:r w:rsidRPr="00E62FE6">
        <w:t>infants</w:t>
      </w:r>
      <w:r w:rsidR="008243CA">
        <w:t xml:space="preserve"> </w:t>
      </w:r>
      <w:r w:rsidRPr="00E62FE6">
        <w:t>and</w:t>
      </w:r>
      <w:r w:rsidR="008243CA">
        <w:t xml:space="preserve"> </w:t>
      </w:r>
      <w:r w:rsidRPr="00E62FE6">
        <w:t>preschool</w:t>
      </w:r>
      <w:r w:rsidR="008243CA">
        <w:t xml:space="preserve"> </w:t>
      </w:r>
      <w:r w:rsidRPr="00E62FE6">
        <w:t>children</w:t>
      </w:r>
      <w:r w:rsidR="008243CA">
        <w:t xml:space="preserve"> </w:t>
      </w:r>
      <w:r w:rsidRPr="00E62FE6">
        <w:t>from</w:t>
      </w:r>
      <w:r w:rsidR="008243CA">
        <w:t xml:space="preserve"> </w:t>
      </w:r>
      <w:r w:rsidRPr="00E62FE6">
        <w:t>those</w:t>
      </w:r>
      <w:r w:rsidR="008243CA">
        <w:t xml:space="preserve"> </w:t>
      </w:r>
      <w:r w:rsidRPr="00E62FE6">
        <w:t>regions</w:t>
      </w:r>
      <w:r w:rsidR="008243CA">
        <w:t xml:space="preserve"> </w:t>
      </w:r>
      <w:r w:rsidRPr="00E62FE6">
        <w:t>by</w:t>
      </w:r>
      <w:r w:rsidR="008243CA">
        <w:t xml:space="preserve"> </w:t>
      </w:r>
      <w:r w:rsidRPr="00E62FE6">
        <w:t>ensuring</w:t>
      </w:r>
      <w:r w:rsidR="008243CA">
        <w:t xml:space="preserve"> </w:t>
      </w:r>
      <w:r w:rsidRPr="00E62FE6">
        <w:t>that</w:t>
      </w:r>
      <w:r w:rsidR="008243CA">
        <w:t xml:space="preserve"> </w:t>
      </w:r>
      <w:r w:rsidRPr="00E62FE6">
        <w:t>they</w:t>
      </w:r>
      <w:r w:rsidR="008243CA">
        <w:t xml:space="preserve"> </w:t>
      </w:r>
      <w:r w:rsidRPr="00E62FE6">
        <w:t>remain</w:t>
      </w:r>
      <w:r w:rsidR="008243CA">
        <w:t xml:space="preserve"> </w:t>
      </w:r>
      <w:r w:rsidRPr="00E62FE6">
        <w:t>in</w:t>
      </w:r>
      <w:r w:rsidR="008243CA">
        <w:t xml:space="preserve"> </w:t>
      </w:r>
      <w:r w:rsidRPr="00E62FE6">
        <w:t>a</w:t>
      </w:r>
      <w:r w:rsidR="008243CA">
        <w:t xml:space="preserve"> </w:t>
      </w:r>
      <w:r w:rsidRPr="00E62FE6">
        <w:t>family</w:t>
      </w:r>
      <w:r w:rsidR="008243CA">
        <w:t xml:space="preserve"> </w:t>
      </w:r>
      <w:r w:rsidRPr="00E62FE6">
        <w:t>setting</w:t>
      </w:r>
      <w:r w:rsidR="008243CA">
        <w:t xml:space="preserve"> </w:t>
      </w:r>
      <w:r w:rsidRPr="00E62FE6">
        <w:t>until</w:t>
      </w:r>
      <w:r w:rsidR="008243CA">
        <w:t xml:space="preserve"> </w:t>
      </w:r>
      <w:r w:rsidRPr="00E62FE6">
        <w:t>contact</w:t>
      </w:r>
      <w:r w:rsidR="008243CA">
        <w:t xml:space="preserve"> </w:t>
      </w:r>
      <w:r w:rsidRPr="00E62FE6">
        <w:t>is</w:t>
      </w:r>
      <w:r w:rsidR="008243CA">
        <w:t xml:space="preserve"> </w:t>
      </w:r>
      <w:r w:rsidRPr="00E62FE6">
        <w:t>made</w:t>
      </w:r>
      <w:r w:rsidR="008243CA">
        <w:t xml:space="preserve"> </w:t>
      </w:r>
      <w:r w:rsidRPr="00E62FE6">
        <w:t>with</w:t>
      </w:r>
      <w:r w:rsidR="008243CA">
        <w:t xml:space="preserve"> </w:t>
      </w:r>
      <w:r w:rsidRPr="00E62FE6">
        <w:t>their</w:t>
      </w:r>
      <w:r w:rsidR="008243CA">
        <w:t xml:space="preserve"> </w:t>
      </w:r>
      <w:r w:rsidRPr="00E62FE6">
        <w:t>birth</w:t>
      </w:r>
      <w:r w:rsidR="008243CA">
        <w:t xml:space="preserve"> </w:t>
      </w:r>
      <w:r w:rsidRPr="00E62FE6">
        <w:t>family</w:t>
      </w:r>
      <w:r w:rsidR="008243CA">
        <w:t xml:space="preserve"> </w:t>
      </w:r>
      <w:r w:rsidRPr="00E62FE6">
        <w:t>with</w:t>
      </w:r>
      <w:r w:rsidR="008243CA">
        <w:t xml:space="preserve"> </w:t>
      </w:r>
      <w:r w:rsidRPr="00E62FE6">
        <w:t>a</w:t>
      </w:r>
      <w:r w:rsidR="008243CA">
        <w:t xml:space="preserve"> </w:t>
      </w:r>
      <w:r w:rsidRPr="00E62FE6">
        <w:t>view</w:t>
      </w:r>
      <w:r w:rsidR="008243CA">
        <w:t xml:space="preserve"> </w:t>
      </w:r>
      <w:r w:rsidRPr="00E62FE6">
        <w:t>to</w:t>
      </w:r>
      <w:r w:rsidR="008243CA">
        <w:t xml:space="preserve"> </w:t>
      </w:r>
      <w:r w:rsidRPr="00E62FE6">
        <w:t>reintegrating</w:t>
      </w:r>
      <w:r w:rsidR="008243CA">
        <w:t xml:space="preserve"> </w:t>
      </w:r>
      <w:r w:rsidRPr="00E62FE6">
        <w:t>the</w:t>
      </w:r>
      <w:r w:rsidR="008243CA">
        <w:t xml:space="preserve"> </w:t>
      </w:r>
      <w:r w:rsidRPr="00E62FE6">
        <w:t>children</w:t>
      </w:r>
      <w:r w:rsidR="008243CA">
        <w:t xml:space="preserve"> </w:t>
      </w:r>
      <w:r w:rsidRPr="00E62FE6">
        <w:t>into</w:t>
      </w:r>
      <w:r w:rsidR="008243CA">
        <w:t xml:space="preserve"> </w:t>
      </w:r>
      <w:r w:rsidRPr="00E62FE6">
        <w:t>the</w:t>
      </w:r>
      <w:r w:rsidR="008243CA">
        <w:t xml:space="preserve"> </w:t>
      </w:r>
      <w:r w:rsidRPr="00E62FE6">
        <w:t>family</w:t>
      </w:r>
      <w:r w:rsidR="008243CA">
        <w:t xml:space="preserve"> </w:t>
      </w:r>
      <w:r w:rsidRPr="00E62FE6">
        <w:t>unit.</w:t>
      </w:r>
    </w:p>
    <w:p w:rsidR="003F7D03" w:rsidRPr="00E62FE6" w:rsidRDefault="003F7D03" w:rsidP="00F807EC">
      <w:pPr>
        <w:pStyle w:val="Bullet1G"/>
      </w:pPr>
      <w:r w:rsidRPr="00E62FE6">
        <w:t>It</w:t>
      </w:r>
      <w:r w:rsidR="008243CA">
        <w:t xml:space="preserve"> </w:t>
      </w:r>
      <w:r w:rsidRPr="00E62FE6">
        <w:t>has</w:t>
      </w:r>
      <w:r w:rsidR="008243CA">
        <w:t xml:space="preserve"> </w:t>
      </w:r>
      <w:r w:rsidRPr="00E62FE6">
        <w:t>decided,</w:t>
      </w:r>
      <w:r w:rsidR="008243CA">
        <w:t xml:space="preserve"> </w:t>
      </w:r>
      <w:r w:rsidRPr="00E62FE6">
        <w:t>for</w:t>
      </w:r>
      <w:r w:rsidR="008243CA">
        <w:t xml:space="preserve"> </w:t>
      </w:r>
      <w:r w:rsidRPr="00E62FE6">
        <w:t>technical</w:t>
      </w:r>
      <w:r w:rsidR="008243CA">
        <w:t xml:space="preserve"> </w:t>
      </w:r>
      <w:r w:rsidRPr="00E62FE6">
        <w:t>reasons,</w:t>
      </w:r>
      <w:r w:rsidR="008243CA">
        <w:t xml:space="preserve"> </w:t>
      </w:r>
      <w:r w:rsidRPr="00E62FE6">
        <w:t>that</w:t>
      </w:r>
      <w:r w:rsidR="008243CA">
        <w:t xml:space="preserve"> </w:t>
      </w:r>
      <w:r w:rsidRPr="00E62FE6">
        <w:t>any</w:t>
      </w:r>
      <w:r w:rsidR="008243CA">
        <w:t xml:space="preserve"> </w:t>
      </w:r>
      <w:r w:rsidRPr="00E62FE6">
        <w:t>new</w:t>
      </w:r>
      <w:r w:rsidR="008243CA">
        <w:t xml:space="preserve"> </w:t>
      </w:r>
      <w:r w:rsidRPr="00E62FE6">
        <w:t>directly</w:t>
      </w:r>
      <w:r w:rsidR="008243CA">
        <w:t xml:space="preserve"> </w:t>
      </w:r>
      <w:r w:rsidRPr="00E62FE6">
        <w:t>administered</w:t>
      </w:r>
      <w:r w:rsidR="008243CA">
        <w:t xml:space="preserve"> </w:t>
      </w:r>
      <w:r w:rsidRPr="00E62FE6">
        <w:t>centres</w:t>
      </w:r>
      <w:r w:rsidR="008243CA">
        <w:t xml:space="preserve"> </w:t>
      </w:r>
      <w:r w:rsidRPr="00E62FE6">
        <w:t>to</w:t>
      </w:r>
      <w:r w:rsidR="008243CA">
        <w:t xml:space="preserve"> </w:t>
      </w:r>
      <w:r w:rsidRPr="00E62FE6">
        <w:t>be</w:t>
      </w:r>
      <w:r w:rsidR="008243CA">
        <w:t xml:space="preserve"> </w:t>
      </w:r>
      <w:r w:rsidRPr="00E62FE6">
        <w:t>opened</w:t>
      </w:r>
      <w:r w:rsidR="008243CA">
        <w:t xml:space="preserve"> </w:t>
      </w:r>
      <w:r w:rsidRPr="00E62FE6">
        <w:t>should</w:t>
      </w:r>
      <w:r w:rsidR="008243CA">
        <w:t xml:space="preserve"> </w:t>
      </w:r>
      <w:r w:rsidRPr="00E62FE6">
        <w:t>be</w:t>
      </w:r>
      <w:r w:rsidR="008243CA">
        <w:t xml:space="preserve"> </w:t>
      </w:r>
      <w:r w:rsidRPr="00E62FE6">
        <w:t>smaller</w:t>
      </w:r>
      <w:r w:rsidR="008243CA">
        <w:t xml:space="preserve"> </w:t>
      </w:r>
      <w:r w:rsidRPr="00E62FE6">
        <w:t>than</w:t>
      </w:r>
      <w:r w:rsidR="008243CA">
        <w:t xml:space="preserve"> </w:t>
      </w:r>
      <w:r w:rsidRPr="00E62FE6">
        <w:t>the</w:t>
      </w:r>
      <w:r w:rsidR="008243CA">
        <w:t xml:space="preserve"> </w:t>
      </w:r>
      <w:r w:rsidRPr="00E62FE6">
        <w:t>ones</w:t>
      </w:r>
      <w:r w:rsidR="008243CA">
        <w:t xml:space="preserve"> </w:t>
      </w:r>
      <w:r w:rsidRPr="00E62FE6">
        <w:t>currently</w:t>
      </w:r>
      <w:r w:rsidR="008243CA">
        <w:t xml:space="preserve"> </w:t>
      </w:r>
      <w:r w:rsidRPr="00E62FE6">
        <w:t>in</w:t>
      </w:r>
      <w:r w:rsidR="008243CA">
        <w:t xml:space="preserve"> </w:t>
      </w:r>
      <w:r w:rsidRPr="00E62FE6">
        <w:t>operation</w:t>
      </w:r>
      <w:r w:rsidR="008243CA">
        <w:t xml:space="preserve"> </w:t>
      </w:r>
      <w:r w:rsidRPr="00E62FE6">
        <w:t>(20</w:t>
      </w:r>
      <w:r w:rsidR="008243CA">
        <w:t xml:space="preserve"> </w:t>
      </w:r>
      <w:r w:rsidRPr="00E62FE6">
        <w:t>places</w:t>
      </w:r>
      <w:r w:rsidR="008243CA">
        <w:t xml:space="preserve"> </w:t>
      </w:r>
      <w:r w:rsidRPr="00E62FE6">
        <w:t>for</w:t>
      </w:r>
      <w:r w:rsidR="008243CA">
        <w:t xml:space="preserve"> </w:t>
      </w:r>
      <w:r w:rsidRPr="00E62FE6">
        <w:t>boys</w:t>
      </w:r>
      <w:r w:rsidR="008243CA">
        <w:t xml:space="preserve"> </w:t>
      </w:r>
      <w:r w:rsidRPr="00E62FE6">
        <w:t>and</w:t>
      </w:r>
      <w:r w:rsidR="008243CA">
        <w:t xml:space="preserve"> </w:t>
      </w:r>
      <w:r w:rsidRPr="00E62FE6">
        <w:t>20</w:t>
      </w:r>
      <w:r w:rsidR="008243CA">
        <w:t xml:space="preserve"> </w:t>
      </w:r>
      <w:r w:rsidRPr="00E62FE6">
        <w:t>for</w:t>
      </w:r>
      <w:r w:rsidR="008243CA">
        <w:t xml:space="preserve"> </w:t>
      </w:r>
      <w:r w:rsidRPr="00E62FE6">
        <w:t>girls).</w:t>
      </w:r>
    </w:p>
    <w:p w:rsidR="003F7D03" w:rsidRPr="00E62FE6" w:rsidRDefault="003F7D03" w:rsidP="00F807EC">
      <w:pPr>
        <w:pStyle w:val="Bullet1G"/>
      </w:pPr>
      <w:r w:rsidRPr="00E62FE6">
        <w:t>It</w:t>
      </w:r>
      <w:r w:rsidR="008243CA">
        <w:t xml:space="preserve"> </w:t>
      </w:r>
      <w:r w:rsidRPr="00E62FE6">
        <w:t>has</w:t>
      </w:r>
      <w:r w:rsidR="008243CA">
        <w:t xml:space="preserve"> </w:t>
      </w:r>
      <w:r w:rsidRPr="00E62FE6">
        <w:t>adopted</w:t>
      </w:r>
      <w:r w:rsidR="008243CA">
        <w:t xml:space="preserve"> </w:t>
      </w:r>
      <w:r w:rsidRPr="00E62FE6">
        <w:t>new</w:t>
      </w:r>
      <w:r w:rsidR="008243CA">
        <w:t xml:space="preserve"> </w:t>
      </w:r>
      <w:r w:rsidRPr="00E62FE6">
        <w:t>technical</w:t>
      </w:r>
      <w:r w:rsidR="008243CA">
        <w:t xml:space="preserve"> </w:t>
      </w:r>
      <w:r w:rsidRPr="00E62FE6">
        <w:t>guidelines</w:t>
      </w:r>
      <w:r w:rsidR="008243CA">
        <w:t xml:space="preserve"> </w:t>
      </w:r>
      <w:r w:rsidRPr="00E62FE6">
        <w:t>for</w:t>
      </w:r>
      <w:r w:rsidR="008243CA">
        <w:t xml:space="preserve"> </w:t>
      </w:r>
      <w:r w:rsidRPr="00E62FE6">
        <w:t>the</w:t>
      </w:r>
      <w:r w:rsidR="008243CA">
        <w:t xml:space="preserve"> </w:t>
      </w:r>
      <w:r w:rsidRPr="00E62FE6">
        <w:t>directly</w:t>
      </w:r>
      <w:r w:rsidR="008243CA">
        <w:t xml:space="preserve"> </w:t>
      </w:r>
      <w:r w:rsidRPr="00E62FE6">
        <w:t>administered,</w:t>
      </w:r>
      <w:r w:rsidR="008243CA">
        <w:t xml:space="preserve"> </w:t>
      </w:r>
      <w:r w:rsidRPr="00E62FE6">
        <w:t>specialized</w:t>
      </w:r>
      <w:r w:rsidR="008243CA">
        <w:t xml:space="preserve"> </w:t>
      </w:r>
      <w:r w:rsidRPr="00E62FE6">
        <w:t>remedial</w:t>
      </w:r>
      <w:r w:rsidR="008243CA">
        <w:t xml:space="preserve"> </w:t>
      </w:r>
      <w:r w:rsidRPr="00E62FE6">
        <w:t>centres,</w:t>
      </w:r>
      <w:r w:rsidR="008243CA">
        <w:t xml:space="preserve"> </w:t>
      </w:r>
      <w:r w:rsidRPr="00E62FE6">
        <w:t>which</w:t>
      </w:r>
      <w:r w:rsidR="008243CA">
        <w:t xml:space="preserve"> </w:t>
      </w:r>
      <w:r w:rsidRPr="00E62FE6">
        <w:t>are</w:t>
      </w:r>
      <w:r w:rsidR="008243CA">
        <w:t xml:space="preserve"> </w:t>
      </w:r>
      <w:r w:rsidRPr="00E62FE6">
        <w:t>currently</w:t>
      </w:r>
      <w:r w:rsidR="008243CA">
        <w:t xml:space="preserve"> </w:t>
      </w:r>
      <w:r w:rsidRPr="00E62FE6">
        <w:t>under</w:t>
      </w:r>
      <w:r w:rsidR="008243CA">
        <w:t xml:space="preserve"> </w:t>
      </w:r>
      <w:r w:rsidRPr="00E62FE6">
        <w:t>review.</w:t>
      </w:r>
    </w:p>
    <w:p w:rsidR="003F7D03" w:rsidRPr="00E62FE6" w:rsidRDefault="003F7D03" w:rsidP="00F807EC">
      <w:pPr>
        <w:pStyle w:val="Bullet1G"/>
      </w:pPr>
      <w:r w:rsidRPr="00E62FE6">
        <w:t>It</w:t>
      </w:r>
      <w:r w:rsidR="008243CA">
        <w:t xml:space="preserve"> </w:t>
      </w:r>
      <w:r w:rsidRPr="00E62FE6">
        <w:t>has</w:t>
      </w:r>
      <w:r w:rsidR="008243CA">
        <w:t xml:space="preserve"> </w:t>
      </w:r>
      <w:r w:rsidRPr="00E62FE6">
        <w:t>improved</w:t>
      </w:r>
      <w:r w:rsidR="008243CA">
        <w:t xml:space="preserve"> </w:t>
      </w:r>
      <w:r w:rsidRPr="00E62FE6">
        <w:t>the</w:t>
      </w:r>
      <w:r w:rsidR="008243CA">
        <w:t xml:space="preserve"> </w:t>
      </w:r>
      <w:r w:rsidRPr="00E62FE6">
        <w:t>design</w:t>
      </w:r>
      <w:r w:rsidR="008243CA">
        <w:t xml:space="preserve"> </w:t>
      </w:r>
      <w:r w:rsidRPr="00E62FE6">
        <w:t>of</w:t>
      </w:r>
      <w:r w:rsidR="008243CA">
        <w:t xml:space="preserve"> </w:t>
      </w:r>
      <w:r w:rsidRPr="00E62FE6">
        <w:t>infrastructures,</w:t>
      </w:r>
      <w:r w:rsidR="008243CA">
        <w:t xml:space="preserve"> </w:t>
      </w:r>
      <w:r w:rsidRPr="00E62FE6">
        <w:t>in</w:t>
      </w:r>
      <w:r w:rsidR="008243CA">
        <w:t xml:space="preserve"> </w:t>
      </w:r>
      <w:r w:rsidRPr="00E62FE6">
        <w:t>addition</w:t>
      </w:r>
      <w:r w:rsidR="008243CA">
        <w:t xml:space="preserve"> </w:t>
      </w:r>
      <w:r w:rsidRPr="00E62FE6">
        <w:t>to</w:t>
      </w:r>
      <w:r w:rsidR="008243CA">
        <w:t xml:space="preserve"> </w:t>
      </w:r>
      <w:r w:rsidRPr="00E62FE6">
        <w:t>technical</w:t>
      </w:r>
      <w:r w:rsidR="008243CA">
        <w:t xml:space="preserve"> </w:t>
      </w:r>
      <w:r w:rsidRPr="00E62FE6">
        <w:t>areas,</w:t>
      </w:r>
      <w:r w:rsidR="008243CA">
        <w:t xml:space="preserve"> </w:t>
      </w:r>
      <w:r w:rsidRPr="00E62FE6">
        <w:t>in</w:t>
      </w:r>
      <w:r w:rsidR="008243CA">
        <w:t xml:space="preserve"> </w:t>
      </w:r>
      <w:r w:rsidRPr="00E62FE6">
        <w:t>keeping</w:t>
      </w:r>
      <w:r w:rsidR="008243CA">
        <w:t xml:space="preserve"> </w:t>
      </w:r>
      <w:r w:rsidRPr="00E62FE6">
        <w:t>with</w:t>
      </w:r>
      <w:r w:rsidR="008243CA">
        <w:t xml:space="preserve"> </w:t>
      </w:r>
      <w:r w:rsidRPr="00E62FE6">
        <w:t>a</w:t>
      </w:r>
      <w:r w:rsidR="008243CA">
        <w:t xml:space="preserve"> </w:t>
      </w:r>
      <w:r w:rsidRPr="00E62FE6">
        <w:t>new</w:t>
      </w:r>
      <w:r w:rsidR="008243CA">
        <w:t xml:space="preserve"> </w:t>
      </w:r>
      <w:r w:rsidRPr="00E62FE6">
        <w:t>model.</w:t>
      </w:r>
    </w:p>
    <w:p w:rsidR="003F7D03" w:rsidRPr="00E62FE6" w:rsidRDefault="003F7D03" w:rsidP="000C6D98">
      <w:pPr>
        <w:pStyle w:val="SingleTxtG"/>
      </w:pPr>
      <w:r w:rsidRPr="00E62FE6">
        <w:t>76.</w:t>
      </w:r>
      <w:r w:rsidRPr="00E62FE6">
        <w:tab/>
        <w:t>Efforts</w:t>
      </w:r>
      <w:r w:rsidR="008243CA">
        <w:t xml:space="preserve"> </w:t>
      </w:r>
      <w:r w:rsidRPr="00E62FE6">
        <w:t>are</w:t>
      </w:r>
      <w:r w:rsidR="008243CA">
        <w:t xml:space="preserve"> </w:t>
      </w:r>
      <w:r w:rsidRPr="00E62FE6">
        <w:t>under</w:t>
      </w:r>
      <w:r w:rsidR="008243CA">
        <w:t xml:space="preserve"> </w:t>
      </w:r>
      <w:r w:rsidRPr="00E62FE6">
        <w:t>way</w:t>
      </w:r>
      <w:r w:rsidR="008243CA">
        <w:t xml:space="preserve"> </w:t>
      </w:r>
      <w:r w:rsidRPr="00E62FE6">
        <w:t>to</w:t>
      </w:r>
      <w:r w:rsidR="008243CA">
        <w:t xml:space="preserve"> </w:t>
      </w:r>
      <w:r w:rsidRPr="00E62FE6">
        <w:t>reduce</w:t>
      </w:r>
      <w:r w:rsidR="008243CA">
        <w:t xml:space="preserve"> </w:t>
      </w:r>
      <w:r w:rsidRPr="00E62FE6">
        <w:t>reliance</w:t>
      </w:r>
      <w:r w:rsidR="008243CA">
        <w:t xml:space="preserve"> </w:t>
      </w:r>
      <w:r w:rsidRPr="00E62FE6">
        <w:t>on</w:t>
      </w:r>
      <w:r w:rsidR="008243CA">
        <w:t xml:space="preserve"> </w:t>
      </w:r>
      <w:r w:rsidRPr="00E62FE6">
        <w:t>residential</w:t>
      </w:r>
      <w:r w:rsidR="008243CA">
        <w:t xml:space="preserve"> </w:t>
      </w:r>
      <w:r w:rsidRPr="00E62FE6">
        <w:t>centres</w:t>
      </w:r>
      <w:r w:rsidR="008243CA">
        <w:t xml:space="preserve"> </w:t>
      </w:r>
      <w:r w:rsidRPr="00E62FE6">
        <w:t>administered</w:t>
      </w:r>
      <w:r w:rsidR="008243CA">
        <w:t xml:space="preserve"> </w:t>
      </w:r>
      <w:r w:rsidRPr="00E62FE6">
        <w:t>by</w:t>
      </w:r>
      <w:r w:rsidR="008243CA">
        <w:t xml:space="preserve"> </w:t>
      </w:r>
      <w:r w:rsidRPr="00E62FE6">
        <w:t>partner</w:t>
      </w:r>
      <w:r w:rsidR="008243CA">
        <w:t xml:space="preserve"> </w:t>
      </w:r>
      <w:r w:rsidRPr="00E62FE6">
        <w:t>organizations</w:t>
      </w:r>
      <w:r w:rsidR="008243CA">
        <w:t xml:space="preserve"> </w:t>
      </w:r>
      <w:r w:rsidRPr="00E62FE6">
        <w:t>and</w:t>
      </w:r>
      <w:r w:rsidR="008243CA">
        <w:t xml:space="preserve"> </w:t>
      </w:r>
      <w:r w:rsidRPr="00E62FE6">
        <w:t>to</w:t>
      </w:r>
      <w:r w:rsidR="008243CA">
        <w:t xml:space="preserve"> </w:t>
      </w:r>
      <w:r w:rsidRPr="00E62FE6">
        <w:t>establish</w:t>
      </w:r>
      <w:r w:rsidR="008243CA">
        <w:t xml:space="preserve"> </w:t>
      </w:r>
      <w:r w:rsidRPr="00E62FE6">
        <w:t>an</w:t>
      </w:r>
      <w:r w:rsidR="008243CA">
        <w:t xml:space="preserve"> </w:t>
      </w:r>
      <w:r w:rsidRPr="00E62FE6">
        <w:t>infrastructure</w:t>
      </w:r>
      <w:r w:rsidR="008243CA">
        <w:t xml:space="preserve"> </w:t>
      </w:r>
      <w:r w:rsidRPr="00E62FE6">
        <w:t>that</w:t>
      </w:r>
      <w:r w:rsidR="008243CA">
        <w:t xml:space="preserve"> </w:t>
      </w:r>
      <w:r w:rsidRPr="00E62FE6">
        <w:t>will</w:t>
      </w:r>
      <w:r w:rsidR="008243CA">
        <w:t xml:space="preserve"> </w:t>
      </w:r>
      <w:r w:rsidRPr="00E62FE6">
        <w:t>give</w:t>
      </w:r>
      <w:r w:rsidR="00116F0B">
        <w:t xml:space="preserve"> </w:t>
      </w:r>
      <w:r w:rsidRPr="00E62FE6">
        <w:t>children</w:t>
      </w:r>
      <w:r w:rsidR="008243CA">
        <w:t xml:space="preserve"> </w:t>
      </w:r>
      <w:r w:rsidRPr="00E62FE6">
        <w:t>and</w:t>
      </w:r>
      <w:r w:rsidR="008243CA">
        <w:t xml:space="preserve"> </w:t>
      </w:r>
      <w:r w:rsidRPr="00E62FE6">
        <w:t>adolescents</w:t>
      </w:r>
      <w:r w:rsidR="008243CA">
        <w:t xml:space="preserve"> </w:t>
      </w:r>
      <w:r w:rsidRPr="00E62FE6">
        <w:t>the</w:t>
      </w:r>
      <w:r w:rsidR="008243CA">
        <w:t xml:space="preserve"> </w:t>
      </w:r>
      <w:r w:rsidRPr="00E62FE6">
        <w:t>opportunity</w:t>
      </w:r>
      <w:r w:rsidR="008243CA">
        <w:t xml:space="preserve"> </w:t>
      </w:r>
      <w:r w:rsidRPr="00E62FE6">
        <w:t>to</w:t>
      </w:r>
      <w:r w:rsidR="008243CA">
        <w:t xml:space="preserve"> </w:t>
      </w:r>
      <w:r w:rsidRPr="00E62FE6">
        <w:t>live</w:t>
      </w:r>
      <w:r w:rsidR="008243CA">
        <w:t xml:space="preserve"> </w:t>
      </w:r>
      <w:r w:rsidRPr="00E62FE6">
        <w:t>in</w:t>
      </w:r>
      <w:r w:rsidR="008243CA">
        <w:t xml:space="preserve"> </w:t>
      </w:r>
      <w:r w:rsidRPr="00E62FE6">
        <w:t>a</w:t>
      </w:r>
      <w:r w:rsidR="008243CA">
        <w:t xml:space="preserve"> </w:t>
      </w:r>
      <w:r w:rsidRPr="00E62FE6">
        <w:t>family</w:t>
      </w:r>
      <w:r w:rsidR="008243CA">
        <w:t xml:space="preserve"> </w:t>
      </w:r>
      <w:r w:rsidRPr="00E62FE6">
        <w:t>environment</w:t>
      </w:r>
      <w:r w:rsidR="008243CA">
        <w:t xml:space="preserve"> </w:t>
      </w:r>
      <w:r w:rsidRPr="00E62FE6">
        <w:t>as</w:t>
      </w:r>
      <w:r w:rsidR="008243CA">
        <w:t xml:space="preserve"> </w:t>
      </w:r>
      <w:r w:rsidRPr="00E62FE6">
        <w:t>a</w:t>
      </w:r>
      <w:r w:rsidR="008243CA">
        <w:t xml:space="preserve"> </w:t>
      </w:r>
      <w:r w:rsidRPr="00E62FE6">
        <w:t>means</w:t>
      </w:r>
      <w:r w:rsidR="008243CA">
        <w:t xml:space="preserve"> </w:t>
      </w:r>
      <w:r w:rsidRPr="00E62FE6">
        <w:t>of</w:t>
      </w:r>
      <w:r w:rsidR="008243CA">
        <w:t xml:space="preserve"> </w:t>
      </w:r>
      <w:r w:rsidRPr="00E62FE6">
        <w:t>avoiding</w:t>
      </w:r>
      <w:r w:rsidR="008243CA">
        <w:t xml:space="preserve"> </w:t>
      </w:r>
      <w:r w:rsidRPr="00E62FE6">
        <w:t>mass</w:t>
      </w:r>
      <w:r w:rsidR="008243CA">
        <w:t xml:space="preserve"> </w:t>
      </w:r>
      <w:r w:rsidRPr="00E62FE6">
        <w:t>care.</w:t>
      </w:r>
      <w:r w:rsidR="008243CA">
        <w:t xml:space="preserve"> </w:t>
      </w:r>
      <w:r w:rsidRPr="00E62FE6">
        <w:t>The</w:t>
      </w:r>
      <w:r w:rsidR="008243CA">
        <w:t xml:space="preserve"> </w:t>
      </w:r>
      <w:r w:rsidRPr="00E62FE6">
        <w:t>sustained</w:t>
      </w:r>
      <w:r w:rsidR="008243CA">
        <w:t xml:space="preserve"> </w:t>
      </w:r>
      <w:r w:rsidRPr="00E62FE6">
        <w:t>decrease</w:t>
      </w:r>
      <w:r w:rsidR="008243CA">
        <w:t xml:space="preserve"> </w:t>
      </w:r>
      <w:r w:rsidRPr="00E62FE6">
        <w:t>in</w:t>
      </w:r>
      <w:r w:rsidR="008243CA">
        <w:t xml:space="preserve"> </w:t>
      </w:r>
      <w:r w:rsidRPr="00E62FE6">
        <w:t>the</w:t>
      </w:r>
      <w:r w:rsidR="008243CA">
        <w:t xml:space="preserve"> </w:t>
      </w:r>
      <w:r w:rsidRPr="00E62FE6">
        <w:t>number</w:t>
      </w:r>
      <w:r w:rsidR="008243CA">
        <w:t xml:space="preserve"> </w:t>
      </w:r>
      <w:r w:rsidRPr="00E62FE6">
        <w:t>of</w:t>
      </w:r>
      <w:r w:rsidR="008243CA">
        <w:t xml:space="preserve"> </w:t>
      </w:r>
      <w:r w:rsidRPr="00E62FE6">
        <w:t>children</w:t>
      </w:r>
      <w:r w:rsidR="008243CA">
        <w:t xml:space="preserve"> </w:t>
      </w:r>
      <w:r w:rsidRPr="00E62FE6">
        <w:t>and</w:t>
      </w:r>
      <w:r w:rsidR="008243CA">
        <w:t xml:space="preserve"> </w:t>
      </w:r>
      <w:r w:rsidRPr="00E62FE6">
        <w:t>adolescents</w:t>
      </w:r>
      <w:r w:rsidR="008243CA">
        <w:t xml:space="preserve"> </w:t>
      </w:r>
      <w:r w:rsidRPr="00E62FE6">
        <w:t>being</w:t>
      </w:r>
      <w:r w:rsidR="008243CA">
        <w:t xml:space="preserve"> </w:t>
      </w:r>
      <w:r w:rsidRPr="00E62FE6">
        <w:t>placed</w:t>
      </w:r>
      <w:r w:rsidR="008243CA">
        <w:t xml:space="preserve"> </w:t>
      </w:r>
      <w:r w:rsidRPr="00E62FE6">
        <w:t>in</w:t>
      </w:r>
      <w:r w:rsidR="008243CA">
        <w:t xml:space="preserve"> </w:t>
      </w:r>
      <w:r w:rsidRPr="00E62FE6">
        <w:t>residential</w:t>
      </w:r>
      <w:r w:rsidR="008243CA">
        <w:t xml:space="preserve"> </w:t>
      </w:r>
      <w:r w:rsidRPr="00E62FE6">
        <w:t>care</w:t>
      </w:r>
      <w:r w:rsidRPr="00116F0B">
        <w:rPr>
          <w:rStyle w:val="FootnoteReference"/>
        </w:rPr>
        <w:footnoteReference w:id="30"/>
      </w:r>
      <w:r w:rsidR="008243CA">
        <w:t xml:space="preserve"> </w:t>
      </w:r>
      <w:r w:rsidRPr="00E62FE6">
        <w:t>has</w:t>
      </w:r>
      <w:r w:rsidR="008243CA">
        <w:t xml:space="preserve"> </w:t>
      </w:r>
      <w:r w:rsidRPr="00E62FE6">
        <w:t>also</w:t>
      </w:r>
      <w:r w:rsidR="008243CA">
        <w:t xml:space="preserve"> </w:t>
      </w:r>
      <w:r w:rsidRPr="00E62FE6">
        <w:t>led</w:t>
      </w:r>
      <w:r w:rsidR="008243CA">
        <w:t xml:space="preserve"> </w:t>
      </w:r>
      <w:r w:rsidRPr="00E62FE6">
        <w:t>to</w:t>
      </w:r>
      <w:r w:rsidR="008243CA">
        <w:t xml:space="preserve"> </w:t>
      </w:r>
      <w:r w:rsidRPr="00E62FE6">
        <w:t>a</w:t>
      </w:r>
      <w:r w:rsidR="008243CA">
        <w:t xml:space="preserve"> </w:t>
      </w:r>
      <w:r w:rsidRPr="00E62FE6">
        <w:t>gradual</w:t>
      </w:r>
      <w:r w:rsidR="008243CA">
        <w:t xml:space="preserve"> </w:t>
      </w:r>
      <w:r w:rsidRPr="00E62FE6">
        <w:t>reduction</w:t>
      </w:r>
      <w:r w:rsidR="008243CA">
        <w:t xml:space="preserve"> </w:t>
      </w:r>
      <w:r w:rsidRPr="00E62FE6">
        <w:t>in</w:t>
      </w:r>
      <w:r w:rsidR="008243CA">
        <w:t xml:space="preserve"> </w:t>
      </w:r>
      <w:r w:rsidRPr="00E62FE6">
        <w:t>reliance</w:t>
      </w:r>
      <w:r w:rsidR="008243CA">
        <w:t xml:space="preserve"> </w:t>
      </w:r>
      <w:r w:rsidRPr="00E62FE6">
        <w:t>on</w:t>
      </w:r>
      <w:r w:rsidR="008243CA">
        <w:t xml:space="preserve"> </w:t>
      </w:r>
      <w:r w:rsidRPr="00E62FE6">
        <w:t>residential</w:t>
      </w:r>
      <w:r w:rsidR="008243CA">
        <w:t xml:space="preserve"> </w:t>
      </w:r>
      <w:r w:rsidRPr="00E62FE6">
        <w:t>centres,</w:t>
      </w:r>
      <w:r w:rsidR="008243CA">
        <w:t xml:space="preserve"> </w:t>
      </w:r>
      <w:r w:rsidRPr="00E62FE6">
        <w:t>which</w:t>
      </w:r>
      <w:r w:rsidR="008243CA">
        <w:t xml:space="preserve"> </w:t>
      </w:r>
      <w:r w:rsidRPr="00E62FE6">
        <w:lastRenderedPageBreak/>
        <w:t>has</w:t>
      </w:r>
      <w:r w:rsidR="008243CA">
        <w:t xml:space="preserve"> </w:t>
      </w:r>
      <w:r w:rsidRPr="00E62FE6">
        <w:t>been</w:t>
      </w:r>
      <w:r w:rsidR="008243CA">
        <w:t xml:space="preserve"> </w:t>
      </w:r>
      <w:r w:rsidRPr="00E62FE6">
        <w:t>bolstered</w:t>
      </w:r>
      <w:r w:rsidR="008243CA">
        <w:t xml:space="preserve"> </w:t>
      </w:r>
      <w:r w:rsidRPr="00E62FE6">
        <w:t>by</w:t>
      </w:r>
      <w:r w:rsidR="008243CA">
        <w:t xml:space="preserve"> </w:t>
      </w:r>
      <w:r w:rsidRPr="00E62FE6">
        <w:t>the</w:t>
      </w:r>
      <w:r w:rsidR="008243CA">
        <w:t xml:space="preserve"> </w:t>
      </w:r>
      <w:r w:rsidRPr="00E62FE6">
        <w:t>strengthening</w:t>
      </w:r>
      <w:r w:rsidR="008243CA">
        <w:t xml:space="preserve"> </w:t>
      </w:r>
      <w:r w:rsidRPr="00E62FE6">
        <w:t>of</w:t>
      </w:r>
      <w:r w:rsidR="008243CA">
        <w:t xml:space="preserve"> </w:t>
      </w:r>
      <w:r w:rsidRPr="00E62FE6">
        <w:t>the</w:t>
      </w:r>
      <w:r w:rsidR="008243CA">
        <w:t xml:space="preserve"> </w:t>
      </w:r>
      <w:r w:rsidRPr="00E62FE6">
        <w:t>foster</w:t>
      </w:r>
      <w:r w:rsidR="008243CA">
        <w:t xml:space="preserve"> </w:t>
      </w:r>
      <w:r w:rsidRPr="00E62FE6">
        <w:t>family</w:t>
      </w:r>
      <w:r w:rsidR="008243CA">
        <w:t xml:space="preserve"> </w:t>
      </w:r>
      <w:r w:rsidRPr="00E62FE6">
        <w:t>model</w:t>
      </w:r>
      <w:r w:rsidRPr="00116F0B">
        <w:rPr>
          <w:rStyle w:val="FootnoteReference"/>
        </w:rPr>
        <w:footnoteReference w:id="31"/>
      </w:r>
      <w:r w:rsidR="008243CA">
        <w:t xml:space="preserve"> </w:t>
      </w:r>
      <w:r w:rsidRPr="00E62FE6">
        <w:t>by</w:t>
      </w:r>
      <w:r w:rsidR="008243CA">
        <w:t xml:space="preserve"> </w:t>
      </w:r>
      <w:r w:rsidRPr="00E62FE6">
        <w:t>means</w:t>
      </w:r>
      <w:r w:rsidR="008243CA">
        <w:t xml:space="preserve"> </w:t>
      </w:r>
      <w:r w:rsidRPr="00E62FE6">
        <w:t>of</w:t>
      </w:r>
      <w:r w:rsidR="008243CA">
        <w:t xml:space="preserve"> </w:t>
      </w:r>
      <w:r w:rsidRPr="00E62FE6">
        <w:t>an</w:t>
      </w:r>
      <w:r w:rsidR="008243CA">
        <w:t xml:space="preserve"> </w:t>
      </w:r>
      <w:r w:rsidRPr="00E62FE6">
        <w:t>action</w:t>
      </w:r>
      <w:r w:rsidR="008243CA">
        <w:t xml:space="preserve"> </w:t>
      </w:r>
      <w:r w:rsidRPr="00E62FE6">
        <w:t>plan.</w:t>
      </w:r>
      <w:r w:rsidR="00116F0B">
        <w:t xml:space="preserve"> </w:t>
      </w:r>
      <w:bookmarkStart w:id="55" w:name="page24"/>
      <w:bookmarkStart w:id="56" w:name="page31"/>
      <w:bookmarkEnd w:id="55"/>
      <w:bookmarkEnd w:id="56"/>
    </w:p>
    <w:p w:rsidR="003F7D03" w:rsidRPr="00E62FE6" w:rsidRDefault="003F7D03" w:rsidP="00F807EC">
      <w:pPr>
        <w:pStyle w:val="HChG"/>
      </w:pPr>
      <w:r w:rsidRPr="00E62FE6">
        <w:tab/>
      </w:r>
      <w:r w:rsidRPr="00E62FE6">
        <w:tab/>
      </w:r>
      <w:bookmarkStart w:id="57" w:name="_Toc512870687"/>
      <w:bookmarkStart w:id="58" w:name="_Toc512870849"/>
      <w:r w:rsidRPr="00E62FE6">
        <w:t>Chapter</w:t>
      </w:r>
      <w:r w:rsidR="008243CA">
        <w:t xml:space="preserve"> </w:t>
      </w:r>
      <w:r w:rsidRPr="00E62FE6">
        <w:t>3</w:t>
      </w:r>
      <w:r w:rsidR="008243CA">
        <w:t xml:space="preserve"> </w:t>
      </w:r>
      <w:r w:rsidR="00F807EC">
        <w:br/>
      </w:r>
      <w:r w:rsidRPr="00E62FE6">
        <w:t>Administrative</w:t>
      </w:r>
      <w:r w:rsidR="008243CA">
        <w:t xml:space="preserve"> </w:t>
      </w:r>
      <w:r w:rsidRPr="00E62FE6">
        <w:t>measures</w:t>
      </w:r>
      <w:r w:rsidR="008243CA">
        <w:t xml:space="preserve"> </w:t>
      </w:r>
      <w:r w:rsidRPr="00E62FE6">
        <w:t>of</w:t>
      </w:r>
      <w:r w:rsidR="008243CA">
        <w:t xml:space="preserve"> </w:t>
      </w:r>
      <w:r w:rsidRPr="00E62FE6">
        <w:t>the</w:t>
      </w:r>
      <w:r w:rsidR="008243CA">
        <w:t xml:space="preserve"> </w:t>
      </w:r>
      <w:r w:rsidRPr="00E62FE6">
        <w:t>services</w:t>
      </w:r>
      <w:bookmarkEnd w:id="57"/>
      <w:bookmarkEnd w:id="58"/>
    </w:p>
    <w:p w:rsidR="003F7D03" w:rsidRPr="00E62FE6" w:rsidRDefault="003F7D03" w:rsidP="00F807EC">
      <w:pPr>
        <w:pStyle w:val="H1G"/>
      </w:pPr>
      <w:r w:rsidRPr="00E62FE6">
        <w:tab/>
      </w:r>
      <w:bookmarkStart w:id="59" w:name="_Toc512870688"/>
      <w:bookmarkStart w:id="60" w:name="_Toc512870850"/>
      <w:r w:rsidRPr="00E62FE6">
        <w:t>3.1</w:t>
      </w:r>
      <w:r w:rsidRPr="00E62FE6">
        <w:tab/>
        <w:t>Administration</w:t>
      </w:r>
      <w:r w:rsidR="008243CA">
        <w:t xml:space="preserve"> </w:t>
      </w:r>
      <w:r w:rsidRPr="00E62FE6">
        <w:t>of</w:t>
      </w:r>
      <w:r w:rsidR="008243CA">
        <w:t xml:space="preserve"> </w:t>
      </w:r>
      <w:r w:rsidRPr="00E62FE6">
        <w:t>justice</w:t>
      </w:r>
      <w:bookmarkEnd w:id="59"/>
      <w:bookmarkEnd w:id="60"/>
    </w:p>
    <w:p w:rsidR="003F7D03" w:rsidRPr="00E62FE6" w:rsidRDefault="003F7D03" w:rsidP="00F807EC">
      <w:pPr>
        <w:pStyle w:val="H23G"/>
      </w:pPr>
      <w:r w:rsidRPr="00E62FE6">
        <w:tab/>
      </w:r>
      <w:bookmarkStart w:id="61" w:name="_Toc512870689"/>
      <w:bookmarkStart w:id="62" w:name="_Toc512870851"/>
      <w:r w:rsidRPr="00E62FE6">
        <w:t>3.1.1</w:t>
      </w:r>
      <w:r w:rsidRPr="00E62FE6">
        <w:tab/>
        <w:t>Pre-hearing</w:t>
      </w:r>
      <w:r w:rsidR="008243CA">
        <w:t xml:space="preserve"> </w:t>
      </w:r>
      <w:r w:rsidRPr="00E62FE6">
        <w:t>interviews</w:t>
      </w:r>
      <w:r w:rsidR="008243CA">
        <w:t xml:space="preserve"> </w:t>
      </w:r>
      <w:r w:rsidRPr="00E62FE6">
        <w:t>with</w:t>
      </w:r>
      <w:r w:rsidR="008243CA">
        <w:t xml:space="preserve"> </w:t>
      </w:r>
      <w:r w:rsidRPr="00E62FE6">
        <w:t>persons</w:t>
      </w:r>
      <w:r w:rsidR="008243CA">
        <w:t xml:space="preserve"> </w:t>
      </w:r>
      <w:r w:rsidRPr="00E62FE6">
        <w:t>deprived</w:t>
      </w:r>
      <w:r w:rsidR="008243CA">
        <w:t xml:space="preserve"> </w:t>
      </w:r>
      <w:r w:rsidRPr="00E62FE6">
        <w:t>of</w:t>
      </w:r>
      <w:r w:rsidR="008243CA">
        <w:t xml:space="preserve"> </w:t>
      </w:r>
      <w:r w:rsidRPr="00E62FE6">
        <w:t>their</w:t>
      </w:r>
      <w:r w:rsidR="008243CA">
        <w:t xml:space="preserve"> </w:t>
      </w:r>
      <w:r w:rsidRPr="00E62FE6">
        <w:t>liberty</w:t>
      </w:r>
      <w:bookmarkEnd w:id="61"/>
      <w:bookmarkEnd w:id="62"/>
    </w:p>
    <w:p w:rsidR="003F7D03" w:rsidRPr="00E62FE6" w:rsidRDefault="003F7D03" w:rsidP="000C6D98">
      <w:pPr>
        <w:pStyle w:val="SingleTxtG"/>
      </w:pPr>
      <w:r w:rsidRPr="00E62FE6">
        <w:t>77.</w:t>
      </w:r>
      <w:r w:rsidRPr="00E62FE6">
        <w:tab/>
        <w:t>Paragraph</w:t>
      </w:r>
      <w:r w:rsidR="008243CA">
        <w:t xml:space="preserve"> </w:t>
      </w:r>
      <w:r w:rsidRPr="00E62FE6">
        <w:t>28</w:t>
      </w:r>
      <w:r w:rsidR="008243CA">
        <w:t xml:space="preserve"> </w:t>
      </w:r>
      <w:r w:rsidRPr="00E62FE6">
        <w:t>(a):</w:t>
      </w:r>
      <w:r w:rsidR="008243CA">
        <w:t xml:space="preserve"> </w:t>
      </w:r>
      <w:r w:rsidRPr="00F807EC">
        <w:rPr>
          <w:i/>
          <w:iCs/>
        </w:rPr>
        <w:t>Since</w:t>
      </w:r>
      <w:r w:rsidR="008243CA" w:rsidRPr="00F807EC">
        <w:rPr>
          <w:i/>
          <w:iCs/>
        </w:rPr>
        <w:t xml:space="preserve"> </w:t>
      </w:r>
      <w:r w:rsidRPr="00F807EC">
        <w:rPr>
          <w:i/>
          <w:iCs/>
        </w:rPr>
        <w:t>the</w:t>
      </w:r>
      <w:r w:rsidR="008243CA" w:rsidRPr="00F807EC">
        <w:rPr>
          <w:i/>
          <w:iCs/>
        </w:rPr>
        <w:t xml:space="preserve"> </w:t>
      </w:r>
      <w:r w:rsidRPr="00F807EC">
        <w:rPr>
          <w:i/>
          <w:iCs/>
        </w:rPr>
        <w:t>Subcommittee</w:t>
      </w:r>
      <w:r w:rsidR="008243CA" w:rsidRPr="00F807EC">
        <w:rPr>
          <w:i/>
          <w:iCs/>
        </w:rPr>
        <w:t xml:space="preserve"> </w:t>
      </w:r>
      <w:r w:rsidRPr="00F807EC">
        <w:rPr>
          <w:i/>
          <w:iCs/>
        </w:rPr>
        <w:t>considers</w:t>
      </w:r>
      <w:r w:rsidR="008243CA" w:rsidRPr="00F807EC">
        <w:rPr>
          <w:i/>
          <w:iCs/>
        </w:rPr>
        <w:t xml:space="preserve"> </w:t>
      </w:r>
      <w:r w:rsidRPr="00F807EC">
        <w:rPr>
          <w:i/>
          <w:iCs/>
        </w:rPr>
        <w:t>the</w:t>
      </w:r>
      <w:r w:rsidR="008243CA" w:rsidRPr="00F807EC">
        <w:rPr>
          <w:i/>
          <w:iCs/>
        </w:rPr>
        <w:t xml:space="preserve"> </w:t>
      </w:r>
      <w:r w:rsidRPr="00F807EC">
        <w:rPr>
          <w:i/>
          <w:iCs/>
        </w:rPr>
        <w:t>Public</w:t>
      </w:r>
      <w:r w:rsidR="008243CA" w:rsidRPr="00F807EC">
        <w:rPr>
          <w:i/>
          <w:iCs/>
        </w:rPr>
        <w:t xml:space="preserve"> </w:t>
      </w:r>
      <w:r w:rsidRPr="00F807EC">
        <w:rPr>
          <w:i/>
          <w:iCs/>
        </w:rPr>
        <w:t>Criminal</w:t>
      </w:r>
      <w:r w:rsidR="008243CA" w:rsidRPr="00F807EC">
        <w:rPr>
          <w:i/>
          <w:iCs/>
        </w:rPr>
        <w:t xml:space="preserve"> </w:t>
      </w:r>
      <w:r w:rsidRPr="00F807EC">
        <w:rPr>
          <w:i/>
          <w:iCs/>
        </w:rPr>
        <w:t>Defender</w:t>
      </w:r>
      <w:r w:rsidR="008243CA" w:rsidRPr="00F807EC">
        <w:rPr>
          <w:i/>
          <w:iCs/>
        </w:rPr>
        <w:t xml:space="preserve"> </w:t>
      </w:r>
      <w:r w:rsidRPr="00F807EC">
        <w:rPr>
          <w:i/>
          <w:iCs/>
        </w:rPr>
        <w:t>Service</w:t>
      </w:r>
      <w:r w:rsidR="008243CA" w:rsidRPr="00F807EC">
        <w:rPr>
          <w:i/>
          <w:iCs/>
        </w:rPr>
        <w:t xml:space="preserve"> </w:t>
      </w:r>
      <w:r w:rsidRPr="00F807EC">
        <w:rPr>
          <w:i/>
          <w:iCs/>
        </w:rPr>
        <w:t>and</w:t>
      </w:r>
      <w:r w:rsidR="008243CA" w:rsidRPr="00F807EC">
        <w:rPr>
          <w:i/>
          <w:iCs/>
        </w:rPr>
        <w:t xml:space="preserve"> </w:t>
      </w:r>
      <w:r w:rsidRPr="00F807EC">
        <w:rPr>
          <w:i/>
          <w:iCs/>
        </w:rPr>
        <w:t>the</w:t>
      </w:r>
      <w:r w:rsidR="008243CA" w:rsidRPr="00F807EC">
        <w:rPr>
          <w:i/>
          <w:iCs/>
        </w:rPr>
        <w:t xml:space="preserve"> </w:t>
      </w:r>
      <w:r w:rsidRPr="00F807EC">
        <w:rPr>
          <w:i/>
          <w:iCs/>
        </w:rPr>
        <w:t>Attorney</w:t>
      </w:r>
      <w:r w:rsidR="008243CA" w:rsidRPr="00F807EC">
        <w:rPr>
          <w:i/>
          <w:iCs/>
        </w:rPr>
        <w:t xml:space="preserve"> </w:t>
      </w:r>
      <w:r w:rsidRPr="00F807EC">
        <w:rPr>
          <w:i/>
          <w:iCs/>
        </w:rPr>
        <w:t>General</w:t>
      </w:r>
      <w:r w:rsidR="00116F0B">
        <w:rPr>
          <w:i/>
          <w:iCs/>
        </w:rPr>
        <w:t>’</w:t>
      </w:r>
      <w:r w:rsidRPr="00F807EC">
        <w:rPr>
          <w:i/>
          <w:iCs/>
        </w:rPr>
        <w:t>s</w:t>
      </w:r>
      <w:r w:rsidR="008243CA" w:rsidRPr="00F807EC">
        <w:rPr>
          <w:i/>
          <w:iCs/>
        </w:rPr>
        <w:t xml:space="preserve"> </w:t>
      </w:r>
      <w:r w:rsidRPr="00F807EC">
        <w:rPr>
          <w:i/>
          <w:iCs/>
        </w:rPr>
        <w:t>Office</w:t>
      </w:r>
      <w:r w:rsidR="008243CA" w:rsidRPr="00F807EC">
        <w:rPr>
          <w:i/>
          <w:iCs/>
        </w:rPr>
        <w:t xml:space="preserve"> </w:t>
      </w:r>
      <w:r w:rsidRPr="00F807EC">
        <w:rPr>
          <w:i/>
          <w:iCs/>
        </w:rPr>
        <w:t>to</w:t>
      </w:r>
      <w:r w:rsidR="008243CA" w:rsidRPr="00F807EC">
        <w:rPr>
          <w:i/>
          <w:iCs/>
        </w:rPr>
        <w:t xml:space="preserve"> </w:t>
      </w:r>
      <w:r w:rsidRPr="00F807EC">
        <w:rPr>
          <w:i/>
          <w:iCs/>
        </w:rPr>
        <w:t>be</w:t>
      </w:r>
      <w:r w:rsidR="008243CA" w:rsidRPr="00F807EC">
        <w:rPr>
          <w:i/>
          <w:iCs/>
        </w:rPr>
        <w:t xml:space="preserve"> </w:t>
      </w:r>
      <w:r w:rsidRPr="00F807EC">
        <w:rPr>
          <w:i/>
          <w:iCs/>
        </w:rPr>
        <w:t>institutions</w:t>
      </w:r>
      <w:r w:rsidR="008243CA" w:rsidRPr="00F807EC">
        <w:rPr>
          <w:i/>
          <w:iCs/>
        </w:rPr>
        <w:t xml:space="preserve"> </w:t>
      </w:r>
      <w:r w:rsidRPr="00F807EC">
        <w:rPr>
          <w:i/>
          <w:iCs/>
        </w:rPr>
        <w:t>that</w:t>
      </w:r>
      <w:r w:rsidR="008243CA" w:rsidRPr="00F807EC">
        <w:rPr>
          <w:i/>
          <w:iCs/>
        </w:rPr>
        <w:t xml:space="preserve"> </w:t>
      </w:r>
      <w:r w:rsidRPr="00F807EC">
        <w:rPr>
          <w:i/>
          <w:iCs/>
        </w:rPr>
        <w:t>play</w:t>
      </w:r>
      <w:r w:rsidR="008243CA" w:rsidRPr="00F807EC">
        <w:rPr>
          <w:i/>
          <w:iCs/>
        </w:rPr>
        <w:t xml:space="preserve"> </w:t>
      </w:r>
      <w:r w:rsidRPr="00F807EC">
        <w:rPr>
          <w:i/>
          <w:iCs/>
        </w:rPr>
        <w:t>a</w:t>
      </w:r>
      <w:r w:rsidR="008243CA" w:rsidRPr="00F807EC">
        <w:rPr>
          <w:i/>
          <w:iCs/>
        </w:rPr>
        <w:t xml:space="preserve"> </w:t>
      </w:r>
      <w:r w:rsidRPr="00F807EC">
        <w:rPr>
          <w:i/>
          <w:iCs/>
        </w:rPr>
        <w:t>critical</w:t>
      </w:r>
      <w:r w:rsidR="008243CA" w:rsidRPr="00F807EC">
        <w:rPr>
          <w:i/>
          <w:iCs/>
        </w:rPr>
        <w:t xml:space="preserve"> </w:t>
      </w:r>
      <w:r w:rsidRPr="00F807EC">
        <w:rPr>
          <w:i/>
          <w:iCs/>
        </w:rPr>
        <w:t>role</w:t>
      </w:r>
      <w:r w:rsidR="008243CA" w:rsidRPr="00F807EC">
        <w:rPr>
          <w:i/>
          <w:iCs/>
        </w:rPr>
        <w:t xml:space="preserve"> </w:t>
      </w:r>
      <w:r w:rsidRPr="00F807EC">
        <w:rPr>
          <w:i/>
          <w:iCs/>
        </w:rPr>
        <w:t>in</w:t>
      </w:r>
      <w:r w:rsidR="008243CA" w:rsidRPr="00F807EC">
        <w:rPr>
          <w:i/>
          <w:iCs/>
        </w:rPr>
        <w:t xml:space="preserve"> </w:t>
      </w:r>
      <w:r w:rsidRPr="00F807EC">
        <w:rPr>
          <w:i/>
          <w:iCs/>
        </w:rPr>
        <w:t>the</w:t>
      </w:r>
      <w:r w:rsidR="008243CA" w:rsidRPr="00F807EC">
        <w:rPr>
          <w:i/>
          <w:iCs/>
        </w:rPr>
        <w:t xml:space="preserve"> </w:t>
      </w:r>
      <w:r w:rsidRPr="00F807EC">
        <w:rPr>
          <w:i/>
          <w:iCs/>
        </w:rPr>
        <w:t>detection</w:t>
      </w:r>
      <w:r w:rsidR="008243CA" w:rsidRPr="00F807EC">
        <w:rPr>
          <w:i/>
          <w:iCs/>
        </w:rPr>
        <w:t xml:space="preserve"> </w:t>
      </w:r>
      <w:r w:rsidRPr="00F807EC">
        <w:rPr>
          <w:i/>
          <w:iCs/>
        </w:rPr>
        <w:t>of</w:t>
      </w:r>
      <w:r w:rsidR="008243CA" w:rsidRPr="00F807EC">
        <w:rPr>
          <w:i/>
          <w:iCs/>
        </w:rPr>
        <w:t xml:space="preserve"> </w:t>
      </w:r>
      <w:r w:rsidRPr="00F807EC">
        <w:rPr>
          <w:i/>
          <w:iCs/>
        </w:rPr>
        <w:t>torture</w:t>
      </w:r>
      <w:r w:rsidR="008243CA" w:rsidRPr="00F807EC">
        <w:rPr>
          <w:i/>
          <w:iCs/>
        </w:rPr>
        <w:t xml:space="preserve"> </w:t>
      </w:r>
      <w:r w:rsidRPr="00F807EC">
        <w:rPr>
          <w:i/>
          <w:iCs/>
        </w:rPr>
        <w:t>and</w:t>
      </w:r>
      <w:r w:rsidR="008243CA" w:rsidRPr="00F807EC">
        <w:rPr>
          <w:i/>
          <w:iCs/>
        </w:rPr>
        <w:t xml:space="preserve"> </w:t>
      </w:r>
      <w:r w:rsidRPr="00F807EC">
        <w:rPr>
          <w:i/>
          <w:iCs/>
        </w:rPr>
        <w:t>ill-treatment,</w:t>
      </w:r>
      <w:r w:rsidR="008243CA" w:rsidRPr="00F807EC">
        <w:rPr>
          <w:i/>
          <w:iCs/>
        </w:rPr>
        <w:t xml:space="preserve"> </w:t>
      </w:r>
      <w:r w:rsidRPr="00F807EC">
        <w:rPr>
          <w:i/>
          <w:iCs/>
        </w:rPr>
        <w:t>the</w:t>
      </w:r>
      <w:r w:rsidR="008243CA" w:rsidRPr="00F807EC">
        <w:rPr>
          <w:i/>
          <w:iCs/>
        </w:rPr>
        <w:t xml:space="preserve"> </w:t>
      </w:r>
      <w:r w:rsidRPr="00F807EC">
        <w:rPr>
          <w:i/>
          <w:iCs/>
        </w:rPr>
        <w:t>Subcommittee</w:t>
      </w:r>
      <w:r w:rsidR="008243CA" w:rsidRPr="00F807EC">
        <w:rPr>
          <w:i/>
          <w:iCs/>
        </w:rPr>
        <w:t xml:space="preserve"> </w:t>
      </w:r>
      <w:r w:rsidRPr="00F807EC">
        <w:rPr>
          <w:i/>
          <w:iCs/>
        </w:rPr>
        <w:t>recommends</w:t>
      </w:r>
      <w:r w:rsidR="008243CA" w:rsidRPr="00F807EC">
        <w:rPr>
          <w:i/>
          <w:iCs/>
        </w:rPr>
        <w:t xml:space="preserve"> </w:t>
      </w:r>
      <w:r w:rsidRPr="00F807EC">
        <w:rPr>
          <w:i/>
          <w:iCs/>
        </w:rPr>
        <w:t>that</w:t>
      </w:r>
      <w:r w:rsidR="008243CA" w:rsidRPr="00F807EC">
        <w:rPr>
          <w:i/>
          <w:iCs/>
        </w:rPr>
        <w:t xml:space="preserve"> </w:t>
      </w:r>
      <w:r w:rsidRPr="00F807EC">
        <w:rPr>
          <w:i/>
          <w:iCs/>
        </w:rPr>
        <w:t>the</w:t>
      </w:r>
      <w:r w:rsidR="008243CA" w:rsidRPr="00F807EC">
        <w:rPr>
          <w:i/>
          <w:iCs/>
        </w:rPr>
        <w:t xml:space="preserve"> </w:t>
      </w:r>
      <w:r w:rsidRPr="00F807EC">
        <w:rPr>
          <w:i/>
          <w:iCs/>
        </w:rPr>
        <w:t>State</w:t>
      </w:r>
      <w:r w:rsidR="008243CA" w:rsidRPr="00F807EC">
        <w:rPr>
          <w:i/>
          <w:iCs/>
        </w:rPr>
        <w:t xml:space="preserve"> </w:t>
      </w:r>
      <w:r w:rsidRPr="00F807EC">
        <w:rPr>
          <w:i/>
          <w:iCs/>
        </w:rPr>
        <w:t>party:</w:t>
      </w:r>
      <w:r w:rsidR="008243CA" w:rsidRPr="00F807EC">
        <w:rPr>
          <w:i/>
          <w:iCs/>
        </w:rPr>
        <w:t xml:space="preserve"> </w:t>
      </w:r>
      <w:r w:rsidRPr="00F807EC">
        <w:rPr>
          <w:i/>
          <w:iCs/>
        </w:rPr>
        <w:t>guarantee</w:t>
      </w:r>
      <w:r w:rsidR="008243CA" w:rsidRPr="00F807EC">
        <w:rPr>
          <w:i/>
          <w:iCs/>
        </w:rPr>
        <w:t xml:space="preserve"> </w:t>
      </w:r>
      <w:r w:rsidRPr="00F807EC">
        <w:rPr>
          <w:i/>
          <w:iCs/>
        </w:rPr>
        <w:t>the</w:t>
      </w:r>
      <w:r w:rsidR="008243CA" w:rsidRPr="00F807EC">
        <w:rPr>
          <w:i/>
          <w:iCs/>
        </w:rPr>
        <w:t xml:space="preserve"> </w:t>
      </w:r>
      <w:r w:rsidRPr="00F807EC">
        <w:rPr>
          <w:i/>
          <w:iCs/>
        </w:rPr>
        <w:t>availability,</w:t>
      </w:r>
      <w:r w:rsidR="008243CA" w:rsidRPr="00F807EC">
        <w:rPr>
          <w:i/>
          <w:iCs/>
        </w:rPr>
        <w:t xml:space="preserve"> </w:t>
      </w:r>
      <w:r w:rsidRPr="00F807EC">
        <w:rPr>
          <w:i/>
          <w:iCs/>
        </w:rPr>
        <w:t>from</w:t>
      </w:r>
      <w:r w:rsidR="008243CA" w:rsidRPr="00F807EC">
        <w:rPr>
          <w:i/>
          <w:iCs/>
        </w:rPr>
        <w:t xml:space="preserve"> </w:t>
      </w:r>
      <w:r w:rsidRPr="00F807EC">
        <w:rPr>
          <w:i/>
          <w:iCs/>
        </w:rPr>
        <w:t>the</w:t>
      </w:r>
      <w:r w:rsidR="008243CA" w:rsidRPr="00F807EC">
        <w:rPr>
          <w:i/>
          <w:iCs/>
        </w:rPr>
        <w:t xml:space="preserve"> </w:t>
      </w:r>
      <w:r w:rsidRPr="00F807EC">
        <w:rPr>
          <w:i/>
          <w:iCs/>
        </w:rPr>
        <w:t>very</w:t>
      </w:r>
      <w:r w:rsidR="008243CA" w:rsidRPr="00F807EC">
        <w:rPr>
          <w:i/>
          <w:iCs/>
        </w:rPr>
        <w:t xml:space="preserve"> </w:t>
      </w:r>
      <w:r w:rsidRPr="00F807EC">
        <w:rPr>
          <w:i/>
          <w:iCs/>
        </w:rPr>
        <w:t>outset</w:t>
      </w:r>
      <w:r w:rsidR="008243CA" w:rsidRPr="00F807EC">
        <w:rPr>
          <w:i/>
          <w:iCs/>
        </w:rPr>
        <w:t xml:space="preserve"> </w:t>
      </w:r>
      <w:r w:rsidRPr="00F807EC">
        <w:rPr>
          <w:i/>
          <w:iCs/>
        </w:rPr>
        <w:t>of</w:t>
      </w:r>
      <w:r w:rsidR="008243CA" w:rsidRPr="00F807EC">
        <w:rPr>
          <w:i/>
          <w:iCs/>
        </w:rPr>
        <w:t xml:space="preserve"> </w:t>
      </w:r>
      <w:r w:rsidRPr="00F807EC">
        <w:rPr>
          <w:i/>
          <w:iCs/>
        </w:rPr>
        <w:t>a</w:t>
      </w:r>
      <w:r w:rsidR="008243CA" w:rsidRPr="00F807EC">
        <w:rPr>
          <w:i/>
          <w:iCs/>
        </w:rPr>
        <w:t xml:space="preserve"> </w:t>
      </w:r>
      <w:r w:rsidRPr="00F807EC">
        <w:rPr>
          <w:i/>
          <w:iCs/>
        </w:rPr>
        <w:t>person</w:t>
      </w:r>
      <w:r w:rsidR="00116F0B">
        <w:rPr>
          <w:i/>
          <w:iCs/>
        </w:rPr>
        <w:t>’</w:t>
      </w:r>
      <w:r w:rsidRPr="00F807EC">
        <w:rPr>
          <w:i/>
          <w:iCs/>
        </w:rPr>
        <w:t>s</w:t>
      </w:r>
      <w:r w:rsidR="008243CA" w:rsidRPr="00F807EC">
        <w:rPr>
          <w:i/>
          <w:iCs/>
        </w:rPr>
        <w:t xml:space="preserve"> </w:t>
      </w:r>
      <w:r w:rsidRPr="00F807EC">
        <w:rPr>
          <w:i/>
          <w:iCs/>
        </w:rPr>
        <w:t>detention,</w:t>
      </w:r>
      <w:r w:rsidR="008243CA" w:rsidRPr="00F807EC">
        <w:rPr>
          <w:i/>
          <w:iCs/>
        </w:rPr>
        <w:t xml:space="preserve"> </w:t>
      </w:r>
      <w:r w:rsidRPr="00F807EC">
        <w:rPr>
          <w:i/>
          <w:iCs/>
        </w:rPr>
        <w:t>of</w:t>
      </w:r>
      <w:r w:rsidR="008243CA" w:rsidRPr="00F807EC">
        <w:rPr>
          <w:i/>
          <w:iCs/>
        </w:rPr>
        <w:t xml:space="preserve"> </w:t>
      </w:r>
      <w:r w:rsidRPr="00F807EC">
        <w:rPr>
          <w:i/>
          <w:iCs/>
        </w:rPr>
        <w:t>effective</w:t>
      </w:r>
      <w:r w:rsidR="008243CA" w:rsidRPr="00F807EC">
        <w:rPr>
          <w:i/>
          <w:iCs/>
        </w:rPr>
        <w:t xml:space="preserve"> </w:t>
      </w:r>
      <w:r w:rsidRPr="00F807EC">
        <w:rPr>
          <w:i/>
          <w:iCs/>
        </w:rPr>
        <w:t>and</w:t>
      </w:r>
      <w:r w:rsidR="008243CA" w:rsidRPr="00F807EC">
        <w:rPr>
          <w:i/>
          <w:iCs/>
        </w:rPr>
        <w:t xml:space="preserve"> </w:t>
      </w:r>
      <w:r w:rsidRPr="00F807EC">
        <w:rPr>
          <w:i/>
          <w:iCs/>
        </w:rPr>
        <w:t>appropriate</w:t>
      </w:r>
      <w:r w:rsidR="008243CA" w:rsidRPr="00F807EC">
        <w:rPr>
          <w:i/>
          <w:iCs/>
        </w:rPr>
        <w:t xml:space="preserve"> </w:t>
      </w:r>
      <w:r w:rsidRPr="00F807EC">
        <w:rPr>
          <w:i/>
          <w:iCs/>
        </w:rPr>
        <w:t>assistance</w:t>
      </w:r>
      <w:r w:rsidR="008243CA" w:rsidRPr="00F807EC">
        <w:rPr>
          <w:i/>
          <w:iCs/>
        </w:rPr>
        <w:t xml:space="preserve"> </w:t>
      </w:r>
      <w:r w:rsidRPr="00F807EC">
        <w:rPr>
          <w:i/>
          <w:iCs/>
        </w:rPr>
        <w:t>from</w:t>
      </w:r>
      <w:r w:rsidR="008243CA" w:rsidRPr="00F807EC">
        <w:rPr>
          <w:i/>
          <w:iCs/>
        </w:rPr>
        <w:t xml:space="preserve"> </w:t>
      </w:r>
      <w:r w:rsidRPr="00F807EC">
        <w:rPr>
          <w:i/>
          <w:iCs/>
        </w:rPr>
        <w:t>the</w:t>
      </w:r>
      <w:r w:rsidR="008243CA" w:rsidRPr="00F807EC">
        <w:rPr>
          <w:i/>
          <w:iCs/>
        </w:rPr>
        <w:t xml:space="preserve"> </w:t>
      </w:r>
      <w:r w:rsidRPr="00F807EC">
        <w:rPr>
          <w:i/>
          <w:iCs/>
        </w:rPr>
        <w:t>Public</w:t>
      </w:r>
      <w:r w:rsidR="008243CA" w:rsidRPr="00F807EC">
        <w:rPr>
          <w:i/>
          <w:iCs/>
        </w:rPr>
        <w:t xml:space="preserve"> </w:t>
      </w:r>
      <w:r w:rsidRPr="00F807EC">
        <w:rPr>
          <w:i/>
          <w:iCs/>
        </w:rPr>
        <w:t>Criminal</w:t>
      </w:r>
      <w:r w:rsidR="008243CA" w:rsidRPr="00F807EC">
        <w:rPr>
          <w:i/>
          <w:iCs/>
        </w:rPr>
        <w:t xml:space="preserve"> </w:t>
      </w:r>
      <w:r w:rsidRPr="00F807EC">
        <w:rPr>
          <w:i/>
          <w:iCs/>
        </w:rPr>
        <w:t>Defender</w:t>
      </w:r>
      <w:r w:rsidR="008243CA" w:rsidRPr="00F807EC">
        <w:rPr>
          <w:i/>
          <w:iCs/>
        </w:rPr>
        <w:t xml:space="preserve"> </w:t>
      </w:r>
      <w:r w:rsidRPr="00F807EC">
        <w:rPr>
          <w:i/>
          <w:iCs/>
        </w:rPr>
        <w:t>Service</w:t>
      </w:r>
      <w:r w:rsidR="008243CA" w:rsidRPr="00F807EC">
        <w:rPr>
          <w:i/>
          <w:iCs/>
        </w:rPr>
        <w:t xml:space="preserve"> </w:t>
      </w:r>
      <w:r w:rsidRPr="00F807EC">
        <w:rPr>
          <w:i/>
          <w:iCs/>
        </w:rPr>
        <w:t>and</w:t>
      </w:r>
      <w:r w:rsidR="008243CA" w:rsidRPr="00F807EC">
        <w:rPr>
          <w:i/>
          <w:iCs/>
        </w:rPr>
        <w:t xml:space="preserve"> </w:t>
      </w:r>
      <w:r w:rsidRPr="00F807EC">
        <w:rPr>
          <w:i/>
          <w:iCs/>
        </w:rPr>
        <w:t>ensure</w:t>
      </w:r>
      <w:r w:rsidR="008243CA" w:rsidRPr="00F807EC">
        <w:rPr>
          <w:i/>
          <w:iCs/>
        </w:rPr>
        <w:t xml:space="preserve"> </w:t>
      </w:r>
      <w:r w:rsidRPr="00F807EC">
        <w:rPr>
          <w:i/>
          <w:iCs/>
        </w:rPr>
        <w:t>that</w:t>
      </w:r>
      <w:r w:rsidR="008243CA" w:rsidRPr="00F807EC">
        <w:rPr>
          <w:i/>
          <w:iCs/>
        </w:rPr>
        <w:t xml:space="preserve"> </w:t>
      </w:r>
      <w:r w:rsidRPr="00F807EC">
        <w:rPr>
          <w:i/>
          <w:iCs/>
        </w:rPr>
        <w:t>interviews</w:t>
      </w:r>
      <w:r w:rsidR="008243CA" w:rsidRPr="00F807EC">
        <w:rPr>
          <w:i/>
          <w:iCs/>
        </w:rPr>
        <w:t xml:space="preserve"> </w:t>
      </w:r>
      <w:r w:rsidRPr="00F807EC">
        <w:rPr>
          <w:i/>
          <w:iCs/>
        </w:rPr>
        <w:t>with</w:t>
      </w:r>
      <w:r w:rsidR="008243CA" w:rsidRPr="00F807EC">
        <w:rPr>
          <w:i/>
          <w:iCs/>
        </w:rPr>
        <w:t xml:space="preserve"> </w:t>
      </w:r>
      <w:r w:rsidRPr="00F807EC">
        <w:rPr>
          <w:i/>
          <w:iCs/>
        </w:rPr>
        <w:t>persons</w:t>
      </w:r>
      <w:r w:rsidR="008243CA" w:rsidRPr="00F807EC">
        <w:rPr>
          <w:i/>
          <w:iCs/>
        </w:rPr>
        <w:t xml:space="preserve"> </w:t>
      </w:r>
      <w:r w:rsidRPr="00F807EC">
        <w:rPr>
          <w:i/>
          <w:iCs/>
        </w:rPr>
        <w:t>deprived</w:t>
      </w:r>
      <w:r w:rsidR="008243CA" w:rsidRPr="00F807EC">
        <w:rPr>
          <w:i/>
          <w:iCs/>
        </w:rPr>
        <w:t xml:space="preserve"> </w:t>
      </w:r>
      <w:r w:rsidRPr="00F807EC">
        <w:rPr>
          <w:i/>
          <w:iCs/>
        </w:rPr>
        <w:t>of</w:t>
      </w:r>
      <w:r w:rsidR="008243CA" w:rsidRPr="00F807EC">
        <w:rPr>
          <w:i/>
          <w:iCs/>
        </w:rPr>
        <w:t xml:space="preserve"> </w:t>
      </w:r>
      <w:r w:rsidRPr="00F807EC">
        <w:rPr>
          <w:i/>
          <w:iCs/>
        </w:rPr>
        <w:t>their</w:t>
      </w:r>
      <w:r w:rsidR="008243CA" w:rsidRPr="00F807EC">
        <w:rPr>
          <w:i/>
          <w:iCs/>
        </w:rPr>
        <w:t xml:space="preserve"> </w:t>
      </w:r>
      <w:r w:rsidRPr="00F807EC">
        <w:rPr>
          <w:i/>
          <w:iCs/>
        </w:rPr>
        <w:t>liberty</w:t>
      </w:r>
      <w:r w:rsidR="008243CA" w:rsidRPr="00F807EC">
        <w:rPr>
          <w:i/>
          <w:iCs/>
        </w:rPr>
        <w:t xml:space="preserve"> </w:t>
      </w:r>
      <w:r w:rsidRPr="00F807EC">
        <w:rPr>
          <w:i/>
          <w:iCs/>
        </w:rPr>
        <w:t>always</w:t>
      </w:r>
      <w:r w:rsidR="008243CA" w:rsidRPr="00F807EC">
        <w:rPr>
          <w:i/>
          <w:iCs/>
        </w:rPr>
        <w:t xml:space="preserve"> </w:t>
      </w:r>
      <w:r w:rsidRPr="00F807EC">
        <w:rPr>
          <w:i/>
          <w:iCs/>
        </w:rPr>
        <w:t>take</w:t>
      </w:r>
      <w:r w:rsidR="008243CA" w:rsidRPr="00F807EC">
        <w:rPr>
          <w:i/>
          <w:iCs/>
        </w:rPr>
        <w:t xml:space="preserve"> </w:t>
      </w:r>
      <w:r w:rsidRPr="00F807EC">
        <w:rPr>
          <w:i/>
          <w:iCs/>
        </w:rPr>
        <w:t>place</w:t>
      </w:r>
      <w:r w:rsidR="008243CA" w:rsidRPr="00F807EC">
        <w:rPr>
          <w:i/>
          <w:iCs/>
        </w:rPr>
        <w:t xml:space="preserve"> </w:t>
      </w:r>
      <w:r w:rsidRPr="00F807EC">
        <w:rPr>
          <w:i/>
          <w:iCs/>
        </w:rPr>
        <w:t>in</w:t>
      </w:r>
      <w:r w:rsidR="008243CA" w:rsidRPr="00F807EC">
        <w:rPr>
          <w:i/>
          <w:iCs/>
        </w:rPr>
        <w:t xml:space="preserve"> </w:t>
      </w:r>
      <w:r w:rsidRPr="00F807EC">
        <w:rPr>
          <w:i/>
          <w:iCs/>
        </w:rPr>
        <w:t>advance</w:t>
      </w:r>
      <w:r w:rsidR="008243CA" w:rsidRPr="00F807EC">
        <w:rPr>
          <w:i/>
          <w:iCs/>
        </w:rPr>
        <w:t xml:space="preserve"> </w:t>
      </w:r>
      <w:r w:rsidRPr="00F807EC">
        <w:rPr>
          <w:i/>
          <w:iCs/>
        </w:rPr>
        <w:t>of</w:t>
      </w:r>
      <w:r w:rsidR="008243CA" w:rsidRPr="00F807EC">
        <w:rPr>
          <w:i/>
          <w:iCs/>
        </w:rPr>
        <w:t xml:space="preserve"> </w:t>
      </w:r>
      <w:r w:rsidRPr="00F807EC">
        <w:rPr>
          <w:i/>
          <w:iCs/>
        </w:rPr>
        <w:t>court</w:t>
      </w:r>
      <w:r w:rsidR="008243CA" w:rsidRPr="00F807EC">
        <w:rPr>
          <w:i/>
          <w:iCs/>
        </w:rPr>
        <w:t xml:space="preserve"> </w:t>
      </w:r>
      <w:r w:rsidRPr="00F807EC">
        <w:rPr>
          <w:i/>
          <w:iCs/>
        </w:rPr>
        <w:t>hearings</w:t>
      </w:r>
      <w:r w:rsidR="008243CA" w:rsidRPr="00F807EC">
        <w:rPr>
          <w:i/>
          <w:iCs/>
        </w:rPr>
        <w:t xml:space="preserve"> </w:t>
      </w:r>
      <w:r w:rsidRPr="00F807EC">
        <w:rPr>
          <w:i/>
          <w:iCs/>
        </w:rPr>
        <w:t>and</w:t>
      </w:r>
      <w:r w:rsidR="008243CA" w:rsidRPr="00F807EC">
        <w:rPr>
          <w:i/>
          <w:iCs/>
        </w:rPr>
        <w:t xml:space="preserve"> </w:t>
      </w:r>
      <w:r w:rsidRPr="00F807EC">
        <w:rPr>
          <w:i/>
          <w:iCs/>
        </w:rPr>
        <w:t>that</w:t>
      </w:r>
      <w:r w:rsidR="008243CA" w:rsidRPr="00F807EC">
        <w:rPr>
          <w:i/>
          <w:iCs/>
        </w:rPr>
        <w:t xml:space="preserve"> </w:t>
      </w:r>
      <w:r w:rsidRPr="00F807EC">
        <w:rPr>
          <w:i/>
          <w:iCs/>
        </w:rPr>
        <w:t>they</w:t>
      </w:r>
      <w:r w:rsidR="008243CA" w:rsidRPr="00F807EC">
        <w:rPr>
          <w:i/>
          <w:iCs/>
        </w:rPr>
        <w:t xml:space="preserve"> </w:t>
      </w:r>
      <w:r w:rsidRPr="00F807EC">
        <w:rPr>
          <w:i/>
          <w:iCs/>
        </w:rPr>
        <w:t>are</w:t>
      </w:r>
      <w:r w:rsidR="008243CA" w:rsidRPr="00F807EC">
        <w:rPr>
          <w:i/>
          <w:iCs/>
        </w:rPr>
        <w:t xml:space="preserve"> </w:t>
      </w:r>
      <w:r w:rsidRPr="00F807EC">
        <w:rPr>
          <w:i/>
          <w:iCs/>
        </w:rPr>
        <w:t>of</w:t>
      </w:r>
      <w:r w:rsidR="008243CA" w:rsidRPr="00F807EC">
        <w:rPr>
          <w:i/>
          <w:iCs/>
        </w:rPr>
        <w:t xml:space="preserve"> </w:t>
      </w:r>
      <w:r w:rsidRPr="00F807EC">
        <w:rPr>
          <w:i/>
          <w:iCs/>
        </w:rPr>
        <w:t>a</w:t>
      </w:r>
      <w:r w:rsidR="008243CA" w:rsidRPr="00F807EC">
        <w:rPr>
          <w:i/>
          <w:iCs/>
        </w:rPr>
        <w:t xml:space="preserve"> </w:t>
      </w:r>
      <w:r w:rsidRPr="00F807EC">
        <w:rPr>
          <w:i/>
          <w:iCs/>
        </w:rPr>
        <w:t>sufficient</w:t>
      </w:r>
      <w:r w:rsidR="008243CA" w:rsidRPr="00F807EC">
        <w:rPr>
          <w:i/>
          <w:iCs/>
        </w:rPr>
        <w:t xml:space="preserve"> </w:t>
      </w:r>
      <w:r w:rsidRPr="00F807EC">
        <w:rPr>
          <w:i/>
          <w:iCs/>
        </w:rPr>
        <w:t>duration</w:t>
      </w:r>
      <w:r w:rsidR="008243CA" w:rsidRPr="00F807EC">
        <w:rPr>
          <w:i/>
          <w:iCs/>
        </w:rPr>
        <w:t xml:space="preserve"> </w:t>
      </w:r>
      <w:r w:rsidRPr="00F807EC">
        <w:rPr>
          <w:i/>
          <w:iCs/>
        </w:rPr>
        <w:t>and</w:t>
      </w:r>
      <w:r w:rsidR="008243CA" w:rsidRPr="00F807EC">
        <w:rPr>
          <w:i/>
          <w:iCs/>
        </w:rPr>
        <w:t xml:space="preserve"> </w:t>
      </w:r>
      <w:r w:rsidRPr="00F807EC">
        <w:rPr>
          <w:i/>
          <w:iCs/>
        </w:rPr>
        <w:t>cover</w:t>
      </w:r>
      <w:r w:rsidR="008243CA" w:rsidRPr="00F807EC">
        <w:rPr>
          <w:i/>
          <w:iCs/>
        </w:rPr>
        <w:t xml:space="preserve"> </w:t>
      </w:r>
      <w:r w:rsidRPr="00F807EC">
        <w:rPr>
          <w:i/>
          <w:iCs/>
        </w:rPr>
        <w:t>what</w:t>
      </w:r>
      <w:r w:rsidR="008243CA" w:rsidRPr="00F807EC">
        <w:rPr>
          <w:i/>
          <w:iCs/>
        </w:rPr>
        <w:t xml:space="preserve"> </w:t>
      </w:r>
      <w:r w:rsidRPr="00F807EC">
        <w:rPr>
          <w:i/>
          <w:iCs/>
        </w:rPr>
        <w:t>is</w:t>
      </w:r>
      <w:r w:rsidR="008243CA" w:rsidRPr="00F807EC">
        <w:rPr>
          <w:i/>
          <w:iCs/>
        </w:rPr>
        <w:t xml:space="preserve"> </w:t>
      </w:r>
      <w:r w:rsidRPr="00F807EC">
        <w:rPr>
          <w:i/>
          <w:iCs/>
        </w:rPr>
        <w:t>required</w:t>
      </w:r>
      <w:r w:rsidR="008243CA" w:rsidRPr="00F807EC">
        <w:rPr>
          <w:i/>
          <w:iCs/>
        </w:rPr>
        <w:t xml:space="preserve"> </w:t>
      </w:r>
      <w:r w:rsidRPr="00F807EC">
        <w:rPr>
          <w:i/>
          <w:iCs/>
        </w:rPr>
        <w:t>in</w:t>
      </w:r>
      <w:r w:rsidR="008243CA" w:rsidRPr="00F807EC">
        <w:rPr>
          <w:i/>
          <w:iCs/>
        </w:rPr>
        <w:t xml:space="preserve"> </w:t>
      </w:r>
      <w:r w:rsidRPr="00F807EC">
        <w:rPr>
          <w:i/>
          <w:iCs/>
        </w:rPr>
        <w:t>order</w:t>
      </w:r>
      <w:r w:rsidR="008243CA" w:rsidRPr="00F807EC">
        <w:rPr>
          <w:i/>
          <w:iCs/>
        </w:rPr>
        <w:t xml:space="preserve"> </w:t>
      </w:r>
      <w:r w:rsidRPr="00F807EC">
        <w:rPr>
          <w:i/>
          <w:iCs/>
        </w:rPr>
        <w:t>to</w:t>
      </w:r>
      <w:r w:rsidR="008243CA" w:rsidRPr="00F807EC">
        <w:rPr>
          <w:i/>
          <w:iCs/>
        </w:rPr>
        <w:t xml:space="preserve"> </w:t>
      </w:r>
      <w:r w:rsidRPr="00F807EC">
        <w:rPr>
          <w:i/>
          <w:iCs/>
        </w:rPr>
        <w:t>make</w:t>
      </w:r>
      <w:r w:rsidR="008243CA" w:rsidRPr="00F807EC">
        <w:rPr>
          <w:i/>
          <w:iCs/>
        </w:rPr>
        <w:t xml:space="preserve"> </w:t>
      </w:r>
      <w:r w:rsidRPr="00F807EC">
        <w:rPr>
          <w:i/>
          <w:iCs/>
        </w:rPr>
        <w:t>certain</w:t>
      </w:r>
      <w:r w:rsidR="008243CA" w:rsidRPr="00F807EC">
        <w:rPr>
          <w:i/>
          <w:iCs/>
        </w:rPr>
        <w:t xml:space="preserve"> </w:t>
      </w:r>
      <w:r w:rsidRPr="00F807EC">
        <w:rPr>
          <w:i/>
          <w:iCs/>
        </w:rPr>
        <w:t>that</w:t>
      </w:r>
      <w:r w:rsidR="008243CA" w:rsidRPr="00F807EC">
        <w:rPr>
          <w:i/>
          <w:iCs/>
        </w:rPr>
        <w:t xml:space="preserve"> </w:t>
      </w:r>
      <w:r w:rsidRPr="00F807EC">
        <w:rPr>
          <w:i/>
          <w:iCs/>
        </w:rPr>
        <w:t>a</w:t>
      </w:r>
      <w:r w:rsidR="008243CA" w:rsidRPr="00F807EC">
        <w:rPr>
          <w:i/>
          <w:iCs/>
        </w:rPr>
        <w:t xml:space="preserve"> </w:t>
      </w:r>
      <w:r w:rsidRPr="00F807EC">
        <w:rPr>
          <w:i/>
          <w:iCs/>
        </w:rPr>
        <w:t>proper</w:t>
      </w:r>
      <w:r w:rsidR="008243CA" w:rsidRPr="00F807EC">
        <w:rPr>
          <w:i/>
          <w:iCs/>
        </w:rPr>
        <w:t xml:space="preserve"> </w:t>
      </w:r>
      <w:r w:rsidRPr="00F807EC">
        <w:rPr>
          <w:i/>
          <w:iCs/>
        </w:rPr>
        <w:t>defence</w:t>
      </w:r>
      <w:r w:rsidR="008243CA" w:rsidRPr="00F807EC">
        <w:rPr>
          <w:i/>
          <w:iCs/>
        </w:rPr>
        <w:t xml:space="preserve"> </w:t>
      </w:r>
      <w:r w:rsidRPr="00F807EC">
        <w:rPr>
          <w:i/>
          <w:iCs/>
        </w:rPr>
        <w:t>can</w:t>
      </w:r>
      <w:r w:rsidR="008243CA" w:rsidRPr="00F807EC">
        <w:rPr>
          <w:i/>
          <w:iCs/>
        </w:rPr>
        <w:t xml:space="preserve"> </w:t>
      </w:r>
      <w:r w:rsidRPr="00F807EC">
        <w:rPr>
          <w:i/>
          <w:iCs/>
        </w:rPr>
        <w:t>be</w:t>
      </w:r>
      <w:r w:rsidR="008243CA" w:rsidRPr="00F807EC">
        <w:rPr>
          <w:i/>
          <w:iCs/>
        </w:rPr>
        <w:t xml:space="preserve"> </w:t>
      </w:r>
      <w:r w:rsidRPr="00F807EC">
        <w:rPr>
          <w:i/>
          <w:iCs/>
        </w:rPr>
        <w:t>provided</w:t>
      </w:r>
      <w:r w:rsidR="008243CA" w:rsidRPr="00F807EC">
        <w:rPr>
          <w:i/>
          <w:iCs/>
        </w:rPr>
        <w:t xml:space="preserve"> </w:t>
      </w:r>
      <w:r w:rsidRPr="00F807EC">
        <w:rPr>
          <w:i/>
          <w:iCs/>
        </w:rPr>
        <w:t>and</w:t>
      </w:r>
      <w:r w:rsidR="008243CA" w:rsidRPr="00F807EC">
        <w:rPr>
          <w:i/>
          <w:iCs/>
        </w:rPr>
        <w:t xml:space="preserve"> </w:t>
      </w:r>
      <w:r w:rsidRPr="00F807EC">
        <w:rPr>
          <w:i/>
          <w:iCs/>
        </w:rPr>
        <w:t>that</w:t>
      </w:r>
      <w:r w:rsidR="008243CA" w:rsidRPr="00F807EC">
        <w:rPr>
          <w:i/>
          <w:iCs/>
        </w:rPr>
        <w:t xml:space="preserve"> </w:t>
      </w:r>
      <w:r w:rsidRPr="00F807EC">
        <w:rPr>
          <w:i/>
          <w:iCs/>
        </w:rPr>
        <w:t>instances</w:t>
      </w:r>
      <w:r w:rsidR="008243CA" w:rsidRPr="00F807EC">
        <w:rPr>
          <w:i/>
          <w:iCs/>
        </w:rPr>
        <w:t xml:space="preserve"> </w:t>
      </w:r>
      <w:r w:rsidRPr="00F807EC">
        <w:rPr>
          <w:i/>
          <w:iCs/>
        </w:rPr>
        <w:t>of</w:t>
      </w:r>
      <w:r w:rsidR="008243CA" w:rsidRPr="00F807EC">
        <w:rPr>
          <w:i/>
          <w:iCs/>
        </w:rPr>
        <w:t xml:space="preserve"> </w:t>
      </w:r>
      <w:r w:rsidRPr="00F807EC">
        <w:rPr>
          <w:i/>
          <w:iCs/>
        </w:rPr>
        <w:t>torture</w:t>
      </w:r>
      <w:r w:rsidR="008243CA" w:rsidRPr="00F807EC">
        <w:rPr>
          <w:i/>
          <w:iCs/>
        </w:rPr>
        <w:t xml:space="preserve"> </w:t>
      </w:r>
      <w:r w:rsidRPr="00F807EC">
        <w:rPr>
          <w:i/>
          <w:iCs/>
        </w:rPr>
        <w:t>or</w:t>
      </w:r>
      <w:r w:rsidR="008243CA" w:rsidRPr="00F807EC">
        <w:rPr>
          <w:i/>
          <w:iCs/>
        </w:rPr>
        <w:t xml:space="preserve"> </w:t>
      </w:r>
      <w:r w:rsidRPr="00F807EC">
        <w:rPr>
          <w:i/>
          <w:iCs/>
        </w:rPr>
        <w:t>ill-treatment</w:t>
      </w:r>
      <w:r w:rsidR="008243CA" w:rsidRPr="00F807EC">
        <w:rPr>
          <w:i/>
          <w:iCs/>
        </w:rPr>
        <w:t xml:space="preserve"> </w:t>
      </w:r>
      <w:r w:rsidRPr="00F807EC">
        <w:rPr>
          <w:i/>
          <w:iCs/>
        </w:rPr>
        <w:t>are</w:t>
      </w:r>
      <w:r w:rsidR="008243CA" w:rsidRPr="00F807EC">
        <w:rPr>
          <w:i/>
          <w:iCs/>
        </w:rPr>
        <w:t xml:space="preserve"> </w:t>
      </w:r>
      <w:r w:rsidRPr="00F807EC">
        <w:rPr>
          <w:i/>
          <w:iCs/>
        </w:rPr>
        <w:t>detected</w:t>
      </w:r>
      <w:r w:rsidR="008243CA" w:rsidRPr="00F807EC">
        <w:rPr>
          <w:i/>
          <w:iCs/>
        </w:rPr>
        <w:t xml:space="preserve"> </w:t>
      </w:r>
      <w:r w:rsidRPr="00F807EC">
        <w:rPr>
          <w:i/>
          <w:iCs/>
        </w:rPr>
        <w:t>on</w:t>
      </w:r>
      <w:r w:rsidR="008243CA" w:rsidRPr="00F807EC">
        <w:rPr>
          <w:i/>
          <w:iCs/>
        </w:rPr>
        <w:t xml:space="preserve"> </w:t>
      </w:r>
      <w:r w:rsidRPr="00F807EC">
        <w:rPr>
          <w:i/>
          <w:iCs/>
        </w:rPr>
        <w:t>a</w:t>
      </w:r>
      <w:r w:rsidR="008243CA" w:rsidRPr="00F807EC">
        <w:rPr>
          <w:i/>
          <w:iCs/>
        </w:rPr>
        <w:t xml:space="preserve"> </w:t>
      </w:r>
      <w:r w:rsidRPr="00F807EC">
        <w:rPr>
          <w:i/>
          <w:iCs/>
        </w:rPr>
        <w:t>systematic</w:t>
      </w:r>
      <w:r w:rsidR="008243CA" w:rsidRPr="00F807EC">
        <w:rPr>
          <w:i/>
          <w:iCs/>
        </w:rPr>
        <w:t xml:space="preserve"> </w:t>
      </w:r>
      <w:r w:rsidRPr="00F807EC">
        <w:rPr>
          <w:i/>
          <w:iCs/>
        </w:rPr>
        <w:t>basis.</w:t>
      </w:r>
    </w:p>
    <w:p w:rsidR="003F7D03" w:rsidRPr="00E62FE6" w:rsidRDefault="003F7D03" w:rsidP="000C6D98">
      <w:pPr>
        <w:pStyle w:val="SingleTxtG"/>
      </w:pPr>
      <w:r w:rsidRPr="00E62FE6">
        <w:t>78.</w:t>
      </w:r>
      <w:r w:rsidRPr="00E62FE6">
        <w:tab/>
        <w:t>In</w:t>
      </w:r>
      <w:r w:rsidR="008243CA">
        <w:t xml:space="preserve"> </w:t>
      </w:r>
      <w:r w:rsidRPr="00E62FE6">
        <w:t>compliance</w:t>
      </w:r>
      <w:r w:rsidR="008243CA">
        <w:t xml:space="preserve"> </w:t>
      </w:r>
      <w:r w:rsidRPr="00E62FE6">
        <w:t>with</w:t>
      </w:r>
      <w:r w:rsidR="008243CA">
        <w:t xml:space="preserve"> </w:t>
      </w:r>
      <w:r w:rsidRPr="00E62FE6">
        <w:t>the</w:t>
      </w:r>
      <w:r w:rsidR="008243CA">
        <w:t xml:space="preserve"> </w:t>
      </w:r>
      <w:r w:rsidRPr="00E62FE6">
        <w:t>recommendation,</w:t>
      </w:r>
      <w:r w:rsidR="008243CA">
        <w:t xml:space="preserve"> </w:t>
      </w:r>
      <w:r w:rsidRPr="00E62FE6">
        <w:t>the</w:t>
      </w:r>
      <w:r w:rsidR="008243CA">
        <w:t xml:space="preserve"> </w:t>
      </w:r>
      <w:r w:rsidRPr="00E62FE6">
        <w:t>Public</w:t>
      </w:r>
      <w:r w:rsidR="008243CA">
        <w:t xml:space="preserve"> </w:t>
      </w:r>
      <w:r w:rsidRPr="00E62FE6">
        <w:t>Criminal</w:t>
      </w:r>
      <w:r w:rsidR="008243CA">
        <w:t xml:space="preserve"> </w:t>
      </w:r>
      <w:r w:rsidRPr="00E62FE6">
        <w:t>Defender</w:t>
      </w:r>
      <w:r w:rsidR="008243CA">
        <w:t xml:space="preserve"> </w:t>
      </w:r>
      <w:r w:rsidRPr="00E62FE6">
        <w:t>Service</w:t>
      </w:r>
      <w:r w:rsidR="008243CA">
        <w:t xml:space="preserve"> </w:t>
      </w:r>
      <w:r w:rsidRPr="00E62FE6">
        <w:t>carried</w:t>
      </w:r>
      <w:r w:rsidR="008243CA">
        <w:t xml:space="preserve"> </w:t>
      </w:r>
      <w:r w:rsidRPr="00E62FE6">
        <w:t>out</w:t>
      </w:r>
      <w:r w:rsidR="008243CA">
        <w:t xml:space="preserve"> </w:t>
      </w:r>
      <w:r w:rsidRPr="00E62FE6">
        <w:t>a</w:t>
      </w:r>
      <w:r w:rsidR="008243CA">
        <w:t xml:space="preserve"> </w:t>
      </w:r>
      <w:r w:rsidRPr="00E62FE6">
        <w:t>satisfaction</w:t>
      </w:r>
      <w:r w:rsidR="008243CA">
        <w:t xml:space="preserve"> </w:t>
      </w:r>
      <w:r w:rsidRPr="00E62FE6">
        <w:t>survey</w:t>
      </w:r>
      <w:r w:rsidR="008243CA">
        <w:t xml:space="preserve"> </w:t>
      </w:r>
      <w:r w:rsidRPr="00E62FE6">
        <w:t>of</w:t>
      </w:r>
      <w:r w:rsidR="008243CA">
        <w:t xml:space="preserve"> </w:t>
      </w:r>
      <w:r w:rsidRPr="00E62FE6">
        <w:t>persons</w:t>
      </w:r>
      <w:r w:rsidR="008243CA">
        <w:t xml:space="preserve"> </w:t>
      </w:r>
      <w:r w:rsidRPr="00E62FE6">
        <w:t>deprived</w:t>
      </w:r>
      <w:r w:rsidR="008243CA">
        <w:t xml:space="preserve"> </w:t>
      </w:r>
      <w:r w:rsidRPr="00E62FE6">
        <w:t>of</w:t>
      </w:r>
      <w:r w:rsidR="008243CA">
        <w:t xml:space="preserve"> </w:t>
      </w:r>
      <w:r w:rsidRPr="00E62FE6">
        <w:t>their</w:t>
      </w:r>
      <w:r w:rsidR="008243CA">
        <w:t xml:space="preserve"> </w:t>
      </w:r>
      <w:r w:rsidRPr="00E62FE6">
        <w:t>liberty</w:t>
      </w:r>
      <w:r w:rsidR="008243CA">
        <w:t xml:space="preserve"> </w:t>
      </w:r>
      <w:r w:rsidRPr="00E62FE6">
        <w:t>during</w:t>
      </w:r>
      <w:r w:rsidR="008243CA">
        <w:t xml:space="preserve"> </w:t>
      </w:r>
      <w:r w:rsidRPr="00E62FE6">
        <w:t>the</w:t>
      </w:r>
      <w:r w:rsidR="008243CA">
        <w:t xml:space="preserve"> </w:t>
      </w:r>
      <w:r w:rsidRPr="00E62FE6">
        <w:t>last</w:t>
      </w:r>
      <w:r w:rsidR="008243CA">
        <w:t xml:space="preserve"> </w:t>
      </w:r>
      <w:r w:rsidRPr="00E62FE6">
        <w:t>quarter</w:t>
      </w:r>
      <w:r w:rsidR="008243CA">
        <w:t xml:space="preserve"> </w:t>
      </w:r>
      <w:r w:rsidRPr="00E62FE6">
        <w:t>of</w:t>
      </w:r>
      <w:r w:rsidR="008243CA">
        <w:t xml:space="preserve"> </w:t>
      </w:r>
      <w:r w:rsidRPr="00E62FE6">
        <w:t>2016</w:t>
      </w:r>
      <w:r w:rsidR="008243CA">
        <w:t xml:space="preserve"> </w:t>
      </w:r>
      <w:r w:rsidRPr="00E62FE6">
        <w:t>in</w:t>
      </w:r>
      <w:r w:rsidR="008243CA">
        <w:t xml:space="preserve"> </w:t>
      </w:r>
      <w:r w:rsidRPr="00E62FE6">
        <w:t>order</w:t>
      </w:r>
      <w:r w:rsidR="008243CA">
        <w:t xml:space="preserve"> </w:t>
      </w:r>
      <w:r w:rsidRPr="00E62FE6">
        <w:t>to</w:t>
      </w:r>
      <w:r w:rsidR="008243CA">
        <w:t xml:space="preserve"> </w:t>
      </w:r>
      <w:r w:rsidRPr="00E62FE6">
        <w:t>assess</w:t>
      </w:r>
      <w:r w:rsidR="008243CA">
        <w:t xml:space="preserve"> </w:t>
      </w:r>
      <w:r w:rsidRPr="00E62FE6">
        <w:t>detainees</w:t>
      </w:r>
      <w:r w:rsidR="00116F0B">
        <w:t>’</w:t>
      </w:r>
      <w:r w:rsidR="008243CA">
        <w:t xml:space="preserve"> </w:t>
      </w:r>
      <w:r w:rsidRPr="00E62FE6">
        <w:t>opinions</w:t>
      </w:r>
      <w:r w:rsidR="008243CA">
        <w:t xml:space="preserve"> </w:t>
      </w:r>
      <w:r w:rsidRPr="00E62FE6">
        <w:t>of</w:t>
      </w:r>
      <w:r w:rsidR="008243CA">
        <w:t xml:space="preserve"> </w:t>
      </w:r>
      <w:r w:rsidRPr="00E62FE6">
        <w:t>the</w:t>
      </w:r>
      <w:r w:rsidR="008243CA">
        <w:t xml:space="preserve"> </w:t>
      </w:r>
      <w:r w:rsidRPr="00E62FE6">
        <w:t>work</w:t>
      </w:r>
      <w:r w:rsidR="008243CA">
        <w:t xml:space="preserve"> </w:t>
      </w:r>
      <w:r w:rsidRPr="00E62FE6">
        <w:t>of</w:t>
      </w:r>
      <w:r w:rsidR="008243CA">
        <w:t xml:space="preserve"> </w:t>
      </w:r>
      <w:r w:rsidRPr="00E62FE6">
        <w:t>defence</w:t>
      </w:r>
      <w:r w:rsidR="008243CA">
        <w:t xml:space="preserve"> </w:t>
      </w:r>
      <w:r w:rsidRPr="00E62FE6">
        <w:t>counsels</w:t>
      </w:r>
      <w:r w:rsidR="008243CA">
        <w:t xml:space="preserve"> </w:t>
      </w:r>
      <w:r w:rsidRPr="00E62FE6">
        <w:t>at</w:t>
      </w:r>
      <w:r w:rsidR="008243CA">
        <w:t xml:space="preserve"> </w:t>
      </w:r>
      <w:r w:rsidRPr="00E62FE6">
        <w:t>the</w:t>
      </w:r>
      <w:r w:rsidR="008243CA">
        <w:t xml:space="preserve"> </w:t>
      </w:r>
      <w:r w:rsidRPr="00E62FE6">
        <w:t>first</w:t>
      </w:r>
      <w:r w:rsidR="008243CA">
        <w:t xml:space="preserve"> </w:t>
      </w:r>
      <w:r w:rsidRPr="00E62FE6">
        <w:t>hearing.</w:t>
      </w:r>
      <w:r w:rsidR="008243CA">
        <w:t xml:space="preserve"> </w:t>
      </w:r>
      <w:r w:rsidRPr="00E62FE6">
        <w:t>In</w:t>
      </w:r>
      <w:r w:rsidR="008243CA">
        <w:t xml:space="preserve"> </w:t>
      </w:r>
      <w:r w:rsidRPr="00E62FE6">
        <w:t>particular,</w:t>
      </w:r>
      <w:r w:rsidR="008243CA">
        <w:t xml:space="preserve"> </w:t>
      </w:r>
      <w:r w:rsidRPr="00E62FE6">
        <w:t>it</w:t>
      </w:r>
      <w:r w:rsidR="008243CA">
        <w:t xml:space="preserve"> </w:t>
      </w:r>
      <w:r w:rsidRPr="00E62FE6">
        <w:t>is</w:t>
      </w:r>
      <w:r w:rsidR="008243CA">
        <w:t xml:space="preserve"> </w:t>
      </w:r>
      <w:r w:rsidRPr="00E62FE6">
        <w:t>hoped</w:t>
      </w:r>
      <w:r w:rsidR="008243CA">
        <w:t xml:space="preserve"> </w:t>
      </w:r>
      <w:r w:rsidRPr="00E62FE6">
        <w:t>that</w:t>
      </w:r>
      <w:r w:rsidR="008243CA">
        <w:t xml:space="preserve"> </w:t>
      </w:r>
      <w:r w:rsidRPr="00E62FE6">
        <w:t>this</w:t>
      </w:r>
      <w:r w:rsidR="008243CA">
        <w:t xml:space="preserve"> </w:t>
      </w:r>
      <w:r w:rsidRPr="00E62FE6">
        <w:t>will</w:t>
      </w:r>
      <w:r w:rsidR="008243CA">
        <w:t xml:space="preserve"> </w:t>
      </w:r>
      <w:r w:rsidRPr="00E62FE6">
        <w:t>make</w:t>
      </w:r>
      <w:r w:rsidR="008243CA">
        <w:t xml:space="preserve"> </w:t>
      </w:r>
      <w:r w:rsidRPr="00E62FE6">
        <w:t>it</w:t>
      </w:r>
      <w:r w:rsidR="008243CA">
        <w:t xml:space="preserve"> </w:t>
      </w:r>
      <w:r w:rsidRPr="00E62FE6">
        <w:t>possible</w:t>
      </w:r>
      <w:r w:rsidR="008243CA">
        <w:t xml:space="preserve"> </w:t>
      </w:r>
      <w:r w:rsidRPr="00E62FE6">
        <w:t>to</w:t>
      </w:r>
      <w:r w:rsidR="008243CA">
        <w:t xml:space="preserve"> </w:t>
      </w:r>
      <w:r w:rsidRPr="00E62FE6">
        <w:t>determine</w:t>
      </w:r>
      <w:r w:rsidR="008243CA">
        <w:t xml:space="preserve"> </w:t>
      </w:r>
      <w:r w:rsidRPr="00E62FE6">
        <w:t>whether</w:t>
      </w:r>
      <w:r w:rsidR="008243CA">
        <w:t xml:space="preserve"> </w:t>
      </w:r>
      <w:r w:rsidRPr="00E62FE6">
        <w:t>defendant</w:t>
      </w:r>
      <w:r w:rsidR="008243CA">
        <w:t xml:space="preserve"> </w:t>
      </w:r>
      <w:r w:rsidRPr="00E62FE6">
        <w:t>detainees,</w:t>
      </w:r>
      <w:r w:rsidR="008243CA">
        <w:t xml:space="preserve"> </w:t>
      </w:r>
      <w:r w:rsidRPr="00E62FE6">
        <w:t>upon</w:t>
      </w:r>
      <w:r w:rsidR="008243CA">
        <w:t xml:space="preserve"> </w:t>
      </w:r>
      <w:r w:rsidRPr="00E62FE6">
        <w:t>leaving</w:t>
      </w:r>
      <w:r w:rsidR="008243CA">
        <w:t xml:space="preserve"> </w:t>
      </w:r>
      <w:r w:rsidRPr="00E62FE6">
        <w:t>the</w:t>
      </w:r>
      <w:r w:rsidR="008243CA">
        <w:t xml:space="preserve"> </w:t>
      </w:r>
      <w:r w:rsidRPr="00E62FE6">
        <w:t>detention</w:t>
      </w:r>
      <w:r w:rsidR="008243CA">
        <w:t xml:space="preserve"> </w:t>
      </w:r>
      <w:r w:rsidRPr="00E62FE6">
        <w:t>review</w:t>
      </w:r>
      <w:r w:rsidR="008243CA">
        <w:t xml:space="preserve"> </w:t>
      </w:r>
      <w:r w:rsidRPr="00E62FE6">
        <w:t>hearing,</w:t>
      </w:r>
      <w:r w:rsidR="008243CA">
        <w:t xml:space="preserve"> </w:t>
      </w:r>
      <w:r w:rsidRPr="00E62FE6">
        <w:t>believed</w:t>
      </w:r>
      <w:r w:rsidR="008243CA">
        <w:t xml:space="preserve"> </w:t>
      </w:r>
      <w:r w:rsidRPr="00E62FE6">
        <w:t>that</w:t>
      </w:r>
      <w:r w:rsidR="008243CA">
        <w:t xml:space="preserve"> </w:t>
      </w:r>
      <w:r w:rsidRPr="00E62FE6">
        <w:t>the</w:t>
      </w:r>
      <w:r w:rsidR="008243CA">
        <w:t xml:space="preserve"> </w:t>
      </w:r>
      <w:r w:rsidRPr="00E62FE6">
        <w:t>legal</w:t>
      </w:r>
      <w:r w:rsidR="008243CA">
        <w:t xml:space="preserve"> </w:t>
      </w:r>
      <w:r w:rsidRPr="00E62FE6">
        <w:t>assistance</w:t>
      </w:r>
      <w:r w:rsidR="008243CA">
        <w:t xml:space="preserve"> </w:t>
      </w:r>
      <w:r w:rsidRPr="00E62FE6">
        <w:t>provided</w:t>
      </w:r>
      <w:r w:rsidR="008243CA">
        <w:t xml:space="preserve"> </w:t>
      </w:r>
      <w:r w:rsidRPr="00E62FE6">
        <w:t>by</w:t>
      </w:r>
      <w:r w:rsidR="008243CA">
        <w:t xml:space="preserve"> </w:t>
      </w:r>
      <w:r w:rsidRPr="00E62FE6">
        <w:t>the</w:t>
      </w:r>
      <w:r w:rsidR="008243CA">
        <w:t xml:space="preserve"> </w:t>
      </w:r>
      <w:r w:rsidRPr="00E62FE6">
        <w:t>defence</w:t>
      </w:r>
      <w:r w:rsidR="008243CA">
        <w:t xml:space="preserve"> </w:t>
      </w:r>
      <w:r w:rsidRPr="00E62FE6">
        <w:t>counsel</w:t>
      </w:r>
      <w:r w:rsidR="008243CA">
        <w:t xml:space="preserve"> </w:t>
      </w:r>
      <w:r w:rsidRPr="00E62FE6">
        <w:t>was</w:t>
      </w:r>
      <w:r w:rsidR="008243CA">
        <w:t xml:space="preserve"> </w:t>
      </w:r>
      <w:r w:rsidRPr="00E62FE6">
        <w:t>satisfactory.</w:t>
      </w:r>
      <w:r w:rsidR="008243CA">
        <w:t xml:space="preserve"> </w:t>
      </w:r>
      <w:r w:rsidRPr="00E62FE6">
        <w:t>Consultations</w:t>
      </w:r>
      <w:r w:rsidR="008243CA">
        <w:t xml:space="preserve"> </w:t>
      </w:r>
      <w:r w:rsidRPr="00E62FE6">
        <w:t>will</w:t>
      </w:r>
      <w:r w:rsidR="008243CA">
        <w:t xml:space="preserve"> </w:t>
      </w:r>
      <w:r w:rsidRPr="00E62FE6">
        <w:t>be</w:t>
      </w:r>
      <w:r w:rsidR="008243CA">
        <w:t xml:space="preserve"> </w:t>
      </w:r>
      <w:r w:rsidRPr="00E62FE6">
        <w:t>carried</w:t>
      </w:r>
      <w:r w:rsidR="008243CA">
        <w:t xml:space="preserve"> </w:t>
      </w:r>
      <w:r w:rsidRPr="00E62FE6">
        <w:t>out</w:t>
      </w:r>
      <w:r w:rsidR="008243CA">
        <w:t xml:space="preserve"> </w:t>
      </w:r>
      <w:r w:rsidRPr="00E62FE6">
        <w:t>on</w:t>
      </w:r>
      <w:r w:rsidR="008243CA">
        <w:t xml:space="preserve"> </w:t>
      </w:r>
      <w:r w:rsidRPr="00E62FE6">
        <w:t>the</w:t>
      </w:r>
      <w:r w:rsidR="008243CA">
        <w:t xml:space="preserve"> </w:t>
      </w:r>
      <w:r w:rsidRPr="00E62FE6">
        <w:t>quality</w:t>
      </w:r>
      <w:r w:rsidR="008243CA">
        <w:t xml:space="preserve"> </w:t>
      </w:r>
      <w:r w:rsidRPr="00E62FE6">
        <w:t>of</w:t>
      </w:r>
      <w:r w:rsidR="008243CA">
        <w:t xml:space="preserve"> </w:t>
      </w:r>
      <w:r w:rsidRPr="00E62FE6">
        <w:t>the</w:t>
      </w:r>
      <w:r w:rsidR="008243CA">
        <w:t xml:space="preserve"> </w:t>
      </w:r>
      <w:r w:rsidRPr="00E62FE6">
        <w:t>information</w:t>
      </w:r>
      <w:r w:rsidR="008243CA">
        <w:t xml:space="preserve"> </w:t>
      </w:r>
      <w:r w:rsidRPr="00E62FE6">
        <w:t>received</w:t>
      </w:r>
      <w:r w:rsidR="008243CA">
        <w:t xml:space="preserve"> </w:t>
      </w:r>
      <w:r w:rsidRPr="00E62FE6">
        <w:t>by</w:t>
      </w:r>
      <w:r w:rsidR="008243CA">
        <w:t xml:space="preserve"> </w:t>
      </w:r>
      <w:r w:rsidRPr="00E62FE6">
        <w:t>the</w:t>
      </w:r>
      <w:r w:rsidR="008243CA">
        <w:t xml:space="preserve"> </w:t>
      </w:r>
      <w:r w:rsidRPr="00E62FE6">
        <w:t>counsel,</w:t>
      </w:r>
      <w:r w:rsidR="008243CA">
        <w:t xml:space="preserve"> </w:t>
      </w:r>
      <w:r w:rsidRPr="00E62FE6">
        <w:t>the</w:t>
      </w:r>
      <w:r w:rsidR="008243CA">
        <w:t xml:space="preserve"> </w:t>
      </w:r>
      <w:r w:rsidRPr="00E62FE6">
        <w:t>transfer</w:t>
      </w:r>
      <w:r w:rsidR="008243CA">
        <w:t xml:space="preserve"> </w:t>
      </w:r>
      <w:r w:rsidRPr="00E62FE6">
        <w:t>time</w:t>
      </w:r>
      <w:r w:rsidR="008243CA">
        <w:t xml:space="preserve"> </w:t>
      </w:r>
      <w:r w:rsidRPr="00E62FE6">
        <w:t>from</w:t>
      </w:r>
      <w:r w:rsidR="008243CA">
        <w:t xml:space="preserve"> </w:t>
      </w:r>
      <w:r w:rsidRPr="00E62FE6">
        <w:t>the</w:t>
      </w:r>
      <w:r w:rsidR="008243CA">
        <w:t xml:space="preserve"> </w:t>
      </w:r>
      <w:r w:rsidRPr="00E62FE6">
        <w:t>place</w:t>
      </w:r>
      <w:r w:rsidR="008243CA">
        <w:t xml:space="preserve"> </w:t>
      </w:r>
      <w:r w:rsidRPr="00E62FE6">
        <w:t>of</w:t>
      </w:r>
      <w:r w:rsidR="008243CA">
        <w:t xml:space="preserve"> </w:t>
      </w:r>
      <w:r w:rsidRPr="00E62FE6">
        <w:t>detention</w:t>
      </w:r>
      <w:r w:rsidR="008243CA">
        <w:t xml:space="preserve"> </w:t>
      </w:r>
      <w:r w:rsidRPr="00E62FE6">
        <w:t>to</w:t>
      </w:r>
      <w:r w:rsidR="008243CA">
        <w:t xml:space="preserve"> </w:t>
      </w:r>
      <w:r w:rsidRPr="00E62FE6">
        <w:t>the</w:t>
      </w:r>
      <w:r w:rsidR="008243CA">
        <w:t xml:space="preserve"> </w:t>
      </w:r>
      <w:r w:rsidRPr="00E62FE6">
        <w:t>court,</w:t>
      </w:r>
      <w:r w:rsidR="008243CA">
        <w:t xml:space="preserve"> </w:t>
      </w:r>
      <w:r w:rsidRPr="00E62FE6">
        <w:t>the</w:t>
      </w:r>
      <w:r w:rsidR="008243CA">
        <w:t xml:space="preserve"> </w:t>
      </w:r>
      <w:r w:rsidRPr="00E62FE6">
        <w:t>treatment</w:t>
      </w:r>
      <w:r w:rsidR="008243CA">
        <w:t xml:space="preserve"> </w:t>
      </w:r>
      <w:r w:rsidRPr="00E62FE6">
        <w:t>received,</w:t>
      </w:r>
      <w:r w:rsidR="008243CA">
        <w:t xml:space="preserve"> </w:t>
      </w:r>
      <w:r w:rsidRPr="00E62FE6">
        <w:t>and</w:t>
      </w:r>
      <w:r w:rsidR="008243CA">
        <w:t xml:space="preserve"> </w:t>
      </w:r>
      <w:r w:rsidRPr="00E62FE6">
        <w:t>whether</w:t>
      </w:r>
      <w:r w:rsidR="008243CA">
        <w:t xml:space="preserve"> </w:t>
      </w:r>
      <w:r w:rsidRPr="00E62FE6">
        <w:t>the</w:t>
      </w:r>
      <w:r w:rsidR="008243CA">
        <w:t xml:space="preserve"> </w:t>
      </w:r>
      <w:r w:rsidRPr="00E62FE6">
        <w:t>lawyer</w:t>
      </w:r>
      <w:r w:rsidR="00116F0B">
        <w:t>’</w:t>
      </w:r>
      <w:r w:rsidRPr="00E62FE6">
        <w:t>s</w:t>
      </w:r>
      <w:r w:rsidR="008243CA">
        <w:t xml:space="preserve"> </w:t>
      </w:r>
      <w:r w:rsidRPr="00E62FE6">
        <w:t>requests</w:t>
      </w:r>
      <w:r w:rsidR="008243CA">
        <w:t xml:space="preserve"> </w:t>
      </w:r>
      <w:r w:rsidRPr="00E62FE6">
        <w:t>to</w:t>
      </w:r>
      <w:r w:rsidR="008243CA">
        <w:t xml:space="preserve"> </w:t>
      </w:r>
      <w:r w:rsidRPr="00E62FE6">
        <w:t>the</w:t>
      </w:r>
      <w:r w:rsidR="008243CA">
        <w:t xml:space="preserve"> </w:t>
      </w:r>
      <w:r w:rsidRPr="00E62FE6">
        <w:t>court</w:t>
      </w:r>
      <w:r w:rsidR="008243CA">
        <w:t xml:space="preserve"> </w:t>
      </w:r>
      <w:r w:rsidRPr="00E62FE6">
        <w:t>were</w:t>
      </w:r>
      <w:r w:rsidR="008243CA">
        <w:t xml:space="preserve"> </w:t>
      </w:r>
      <w:r w:rsidRPr="00E62FE6">
        <w:t>suited</w:t>
      </w:r>
      <w:r w:rsidR="008243CA">
        <w:t xml:space="preserve"> </w:t>
      </w:r>
      <w:r w:rsidRPr="00E62FE6">
        <w:t>to</w:t>
      </w:r>
      <w:r w:rsidR="008243CA">
        <w:t xml:space="preserve"> </w:t>
      </w:r>
      <w:r w:rsidRPr="00E62FE6">
        <w:t>the</w:t>
      </w:r>
      <w:r w:rsidR="008243CA">
        <w:t xml:space="preserve"> </w:t>
      </w:r>
      <w:r w:rsidRPr="00E62FE6">
        <w:t>defendants</w:t>
      </w:r>
      <w:r w:rsidR="00116F0B">
        <w:t>’</w:t>
      </w:r>
      <w:r w:rsidR="008243CA">
        <w:t xml:space="preserve"> </w:t>
      </w:r>
      <w:r w:rsidRPr="00E62FE6">
        <w:t>requirements.</w:t>
      </w:r>
    </w:p>
    <w:p w:rsidR="003F7D03" w:rsidRPr="00E62FE6" w:rsidRDefault="003F7D03" w:rsidP="000C6D98">
      <w:pPr>
        <w:pStyle w:val="SingleTxtG"/>
      </w:pPr>
      <w:r w:rsidRPr="00E62FE6">
        <w:t>79.</w:t>
      </w:r>
      <w:r w:rsidRPr="00E62FE6">
        <w:tab/>
        <w:t>The</w:t>
      </w:r>
      <w:r w:rsidR="008243CA">
        <w:t xml:space="preserve"> </w:t>
      </w:r>
      <w:r w:rsidRPr="00E62FE6">
        <w:t>findings</w:t>
      </w:r>
      <w:r w:rsidR="008243CA">
        <w:t xml:space="preserve"> </w:t>
      </w:r>
      <w:r w:rsidRPr="00E62FE6">
        <w:t>of</w:t>
      </w:r>
      <w:r w:rsidR="008243CA">
        <w:t xml:space="preserve"> </w:t>
      </w:r>
      <w:r w:rsidRPr="00E62FE6">
        <w:t>this</w:t>
      </w:r>
      <w:r w:rsidR="008243CA">
        <w:t xml:space="preserve"> </w:t>
      </w:r>
      <w:r w:rsidRPr="00E62FE6">
        <w:t>survey</w:t>
      </w:r>
      <w:r w:rsidR="008243CA">
        <w:t xml:space="preserve"> </w:t>
      </w:r>
      <w:r w:rsidRPr="00E62FE6">
        <w:t>will</w:t>
      </w:r>
      <w:r w:rsidR="008243CA">
        <w:t xml:space="preserve"> </w:t>
      </w:r>
      <w:r w:rsidRPr="00E62FE6">
        <w:t>allow</w:t>
      </w:r>
      <w:r w:rsidR="008243CA">
        <w:t xml:space="preserve"> </w:t>
      </w:r>
      <w:r w:rsidRPr="00E62FE6">
        <w:t>the</w:t>
      </w:r>
      <w:r w:rsidR="008243CA">
        <w:t xml:space="preserve"> </w:t>
      </w:r>
      <w:r w:rsidRPr="00E62FE6">
        <w:t>Public</w:t>
      </w:r>
      <w:r w:rsidR="008243CA">
        <w:t xml:space="preserve"> </w:t>
      </w:r>
      <w:r w:rsidRPr="00E62FE6">
        <w:t>Criminal</w:t>
      </w:r>
      <w:r w:rsidR="008243CA">
        <w:t xml:space="preserve"> </w:t>
      </w:r>
      <w:r w:rsidRPr="00E62FE6">
        <w:t>Defender</w:t>
      </w:r>
      <w:r w:rsidR="008243CA">
        <w:t xml:space="preserve"> </w:t>
      </w:r>
      <w:r w:rsidRPr="00E62FE6">
        <w:t>Service</w:t>
      </w:r>
      <w:r w:rsidR="008243CA">
        <w:t xml:space="preserve"> </w:t>
      </w:r>
      <w:r w:rsidRPr="00E62FE6">
        <w:t>to</w:t>
      </w:r>
      <w:r w:rsidR="008243CA">
        <w:t xml:space="preserve"> </w:t>
      </w:r>
      <w:r w:rsidRPr="00E62FE6">
        <w:t>consider</w:t>
      </w:r>
      <w:r w:rsidR="008243CA">
        <w:t xml:space="preserve"> </w:t>
      </w:r>
      <w:r w:rsidRPr="00E62FE6">
        <w:t>the</w:t>
      </w:r>
      <w:r w:rsidR="008243CA">
        <w:t xml:space="preserve"> </w:t>
      </w:r>
      <w:r w:rsidRPr="00E62FE6">
        <w:t>next</w:t>
      </w:r>
      <w:r w:rsidR="008243CA">
        <w:t xml:space="preserve"> </w:t>
      </w:r>
      <w:r w:rsidRPr="00E62FE6">
        <w:t>steps</w:t>
      </w:r>
      <w:r w:rsidR="008243CA">
        <w:t xml:space="preserve"> </w:t>
      </w:r>
      <w:r w:rsidRPr="00E62FE6">
        <w:t>to</w:t>
      </w:r>
      <w:r w:rsidR="008243CA">
        <w:t xml:space="preserve"> </w:t>
      </w:r>
      <w:r w:rsidRPr="00E62FE6">
        <w:t>be</w:t>
      </w:r>
      <w:r w:rsidR="008243CA">
        <w:t xml:space="preserve"> </w:t>
      </w:r>
      <w:r w:rsidRPr="00E62FE6">
        <w:t>taken</w:t>
      </w:r>
      <w:r w:rsidR="008243CA">
        <w:t xml:space="preserve"> </w:t>
      </w:r>
      <w:r w:rsidRPr="00E62FE6">
        <w:t>in</w:t>
      </w:r>
      <w:r w:rsidR="008243CA">
        <w:t xml:space="preserve"> </w:t>
      </w:r>
      <w:r w:rsidRPr="00E62FE6">
        <w:t>this</w:t>
      </w:r>
      <w:r w:rsidR="008243CA">
        <w:t xml:space="preserve"> </w:t>
      </w:r>
      <w:r w:rsidRPr="00E62FE6">
        <w:t>area</w:t>
      </w:r>
      <w:r w:rsidR="008243CA">
        <w:t xml:space="preserve"> </w:t>
      </w:r>
      <w:r w:rsidRPr="00E62FE6">
        <w:t>based</w:t>
      </w:r>
      <w:r w:rsidR="008243CA">
        <w:t xml:space="preserve"> </w:t>
      </w:r>
      <w:r w:rsidRPr="00E62FE6">
        <w:t>on</w:t>
      </w:r>
      <w:r w:rsidR="008243CA">
        <w:t xml:space="preserve"> </w:t>
      </w:r>
      <w:r w:rsidRPr="00E62FE6">
        <w:t>reliable</w:t>
      </w:r>
      <w:r w:rsidR="008243CA">
        <w:t xml:space="preserve"> </w:t>
      </w:r>
      <w:r w:rsidRPr="00E62FE6">
        <w:t>data,</w:t>
      </w:r>
      <w:r w:rsidR="008243CA">
        <w:t xml:space="preserve"> </w:t>
      </w:r>
      <w:r w:rsidRPr="00E62FE6">
        <w:t>where</w:t>
      </w:r>
      <w:r w:rsidR="008243CA">
        <w:t xml:space="preserve"> </w:t>
      </w:r>
      <w:r w:rsidRPr="00E62FE6">
        <w:t>coordination</w:t>
      </w:r>
      <w:r w:rsidR="008243CA">
        <w:t xml:space="preserve"> </w:t>
      </w:r>
      <w:r w:rsidRPr="00E62FE6">
        <w:t>with</w:t>
      </w:r>
      <w:r w:rsidR="008243CA">
        <w:t xml:space="preserve"> </w:t>
      </w:r>
      <w:r w:rsidRPr="00E62FE6">
        <w:t>other</w:t>
      </w:r>
      <w:r w:rsidR="008243CA">
        <w:t xml:space="preserve"> </w:t>
      </w:r>
      <w:r w:rsidRPr="00E62FE6">
        <w:t>institutions</w:t>
      </w:r>
      <w:r w:rsidR="008243CA">
        <w:t xml:space="preserve"> </w:t>
      </w:r>
      <w:r w:rsidRPr="00E62FE6">
        <w:t>(for</w:t>
      </w:r>
      <w:r w:rsidR="008243CA">
        <w:t xml:space="preserve"> </w:t>
      </w:r>
      <w:r w:rsidRPr="00E62FE6">
        <w:t>example,</w:t>
      </w:r>
      <w:r w:rsidR="008243CA">
        <w:t xml:space="preserve"> </w:t>
      </w:r>
      <w:r w:rsidRPr="00E62FE6">
        <w:t>the</w:t>
      </w:r>
      <w:r w:rsidR="008243CA">
        <w:t xml:space="preserve"> </w:t>
      </w:r>
      <w:proofErr w:type="spellStart"/>
      <w:r w:rsidRPr="00E62FE6">
        <w:t>Carabineros</w:t>
      </w:r>
      <w:proofErr w:type="spellEnd"/>
      <w:r w:rsidR="008243CA">
        <w:t xml:space="preserve"> </w:t>
      </w:r>
      <w:r w:rsidRPr="00E62FE6">
        <w:t>and/or</w:t>
      </w:r>
      <w:r w:rsidR="008243CA">
        <w:t xml:space="preserve"> </w:t>
      </w:r>
      <w:r w:rsidRPr="00E62FE6">
        <w:t>the</w:t>
      </w:r>
      <w:r w:rsidR="008243CA">
        <w:t xml:space="preserve"> </w:t>
      </w:r>
      <w:r w:rsidRPr="00E62FE6">
        <w:t>Prison</w:t>
      </w:r>
      <w:r w:rsidR="008243CA">
        <w:t xml:space="preserve"> </w:t>
      </w:r>
      <w:r w:rsidRPr="00E62FE6">
        <w:t>Service)</w:t>
      </w:r>
      <w:r w:rsidR="008243CA">
        <w:t xml:space="preserve"> </w:t>
      </w:r>
      <w:r w:rsidRPr="00E62FE6">
        <w:t>can</w:t>
      </w:r>
      <w:r w:rsidR="008243CA">
        <w:t xml:space="preserve"> </w:t>
      </w:r>
      <w:r w:rsidRPr="00E62FE6">
        <w:t>be</w:t>
      </w:r>
      <w:r w:rsidR="008243CA">
        <w:t xml:space="preserve"> </w:t>
      </w:r>
      <w:r w:rsidRPr="00E62FE6">
        <w:t>requested,</w:t>
      </w:r>
      <w:r w:rsidR="008243CA">
        <w:t xml:space="preserve"> </w:t>
      </w:r>
      <w:r w:rsidRPr="00E62FE6">
        <w:t>to</w:t>
      </w:r>
      <w:r w:rsidR="008243CA">
        <w:t xml:space="preserve"> </w:t>
      </w:r>
      <w:r w:rsidRPr="00E62FE6">
        <w:t>ensure</w:t>
      </w:r>
      <w:r w:rsidR="008243CA">
        <w:t xml:space="preserve"> </w:t>
      </w:r>
      <w:r w:rsidRPr="00E62FE6">
        <w:t>timely</w:t>
      </w:r>
      <w:r w:rsidR="008243CA">
        <w:t xml:space="preserve"> </w:t>
      </w:r>
      <w:r w:rsidRPr="00E62FE6">
        <w:t>contact</w:t>
      </w:r>
      <w:r w:rsidR="008243CA">
        <w:t xml:space="preserve"> </w:t>
      </w:r>
      <w:r w:rsidRPr="00E62FE6">
        <w:t>with</w:t>
      </w:r>
      <w:r w:rsidR="008243CA">
        <w:t xml:space="preserve"> </w:t>
      </w:r>
      <w:r w:rsidRPr="00E62FE6">
        <w:t>the</w:t>
      </w:r>
      <w:r w:rsidR="008243CA">
        <w:t xml:space="preserve"> </w:t>
      </w:r>
      <w:r w:rsidRPr="00E62FE6">
        <w:t>defendant</w:t>
      </w:r>
      <w:r w:rsidR="008243CA">
        <w:t xml:space="preserve"> </w:t>
      </w:r>
      <w:r w:rsidRPr="00E62FE6">
        <w:t>detainee.</w:t>
      </w:r>
    </w:p>
    <w:p w:rsidR="003F7D03" w:rsidRPr="00E62FE6" w:rsidRDefault="003F7D03" w:rsidP="00F807EC">
      <w:pPr>
        <w:pStyle w:val="H23G"/>
      </w:pPr>
      <w:r w:rsidRPr="00E62FE6">
        <w:tab/>
      </w:r>
      <w:bookmarkStart w:id="63" w:name="_Toc512870690"/>
      <w:bookmarkStart w:id="64" w:name="_Toc512870852"/>
      <w:r w:rsidRPr="00E62FE6">
        <w:t>3.1.2</w:t>
      </w:r>
      <w:r w:rsidRPr="00E62FE6">
        <w:tab/>
        <w:t>Protocols</w:t>
      </w:r>
      <w:r w:rsidR="008243CA">
        <w:t xml:space="preserve"> </w:t>
      </w:r>
      <w:r w:rsidRPr="00E62FE6">
        <w:t>on</w:t>
      </w:r>
      <w:r w:rsidR="008243CA">
        <w:t xml:space="preserve"> </w:t>
      </w:r>
      <w:r w:rsidRPr="00E62FE6">
        <w:t>torture</w:t>
      </w:r>
      <w:bookmarkEnd w:id="63"/>
      <w:bookmarkEnd w:id="64"/>
    </w:p>
    <w:p w:rsidR="003F7D03" w:rsidRPr="00F807EC" w:rsidRDefault="003F7D03" w:rsidP="000C6D98">
      <w:pPr>
        <w:pStyle w:val="SingleTxtG"/>
        <w:rPr>
          <w:i/>
          <w:iCs/>
        </w:rPr>
      </w:pPr>
      <w:r w:rsidRPr="00E62FE6">
        <w:t>80.</w:t>
      </w:r>
      <w:r w:rsidRPr="00E62FE6">
        <w:tab/>
        <w:t>Paragraph</w:t>
      </w:r>
      <w:r w:rsidR="008243CA">
        <w:t xml:space="preserve"> </w:t>
      </w:r>
      <w:r w:rsidRPr="00E62FE6">
        <w:t>28</w:t>
      </w:r>
      <w:r w:rsidR="008243CA">
        <w:t xml:space="preserve"> </w:t>
      </w:r>
      <w:r w:rsidRPr="00E62FE6">
        <w:t>(b):</w:t>
      </w:r>
      <w:r w:rsidR="008243CA">
        <w:t xml:space="preserve"> </w:t>
      </w:r>
      <w:r w:rsidRPr="00F807EC">
        <w:rPr>
          <w:i/>
          <w:iCs/>
        </w:rPr>
        <w:t>Since</w:t>
      </w:r>
      <w:r w:rsidR="008243CA" w:rsidRPr="00F807EC">
        <w:rPr>
          <w:i/>
          <w:iCs/>
        </w:rPr>
        <w:t xml:space="preserve"> </w:t>
      </w:r>
      <w:r w:rsidRPr="00F807EC">
        <w:rPr>
          <w:i/>
          <w:iCs/>
        </w:rPr>
        <w:t>the</w:t>
      </w:r>
      <w:r w:rsidR="008243CA" w:rsidRPr="00F807EC">
        <w:rPr>
          <w:i/>
          <w:iCs/>
        </w:rPr>
        <w:t xml:space="preserve"> </w:t>
      </w:r>
      <w:r w:rsidRPr="00F807EC">
        <w:rPr>
          <w:i/>
          <w:iCs/>
        </w:rPr>
        <w:t>Subcommittee</w:t>
      </w:r>
      <w:r w:rsidR="008243CA" w:rsidRPr="00F807EC">
        <w:rPr>
          <w:i/>
          <w:iCs/>
        </w:rPr>
        <w:t xml:space="preserve"> </w:t>
      </w:r>
      <w:r w:rsidRPr="00F807EC">
        <w:rPr>
          <w:i/>
          <w:iCs/>
        </w:rPr>
        <w:t>considers</w:t>
      </w:r>
      <w:r w:rsidR="008243CA" w:rsidRPr="00F807EC">
        <w:rPr>
          <w:i/>
          <w:iCs/>
        </w:rPr>
        <w:t xml:space="preserve"> </w:t>
      </w:r>
      <w:r w:rsidRPr="00F807EC">
        <w:rPr>
          <w:i/>
          <w:iCs/>
        </w:rPr>
        <w:t>the</w:t>
      </w:r>
      <w:r w:rsidR="008243CA" w:rsidRPr="00F807EC">
        <w:rPr>
          <w:i/>
          <w:iCs/>
        </w:rPr>
        <w:t xml:space="preserve"> </w:t>
      </w:r>
      <w:r w:rsidRPr="00F807EC">
        <w:rPr>
          <w:i/>
          <w:iCs/>
        </w:rPr>
        <w:t>Public</w:t>
      </w:r>
      <w:r w:rsidR="008243CA" w:rsidRPr="00F807EC">
        <w:rPr>
          <w:i/>
          <w:iCs/>
        </w:rPr>
        <w:t xml:space="preserve"> </w:t>
      </w:r>
      <w:r w:rsidRPr="00F807EC">
        <w:rPr>
          <w:i/>
          <w:iCs/>
        </w:rPr>
        <w:t>Criminal</w:t>
      </w:r>
      <w:r w:rsidR="008243CA" w:rsidRPr="00F807EC">
        <w:rPr>
          <w:i/>
          <w:iCs/>
        </w:rPr>
        <w:t xml:space="preserve"> </w:t>
      </w:r>
      <w:r w:rsidRPr="00F807EC">
        <w:rPr>
          <w:i/>
          <w:iCs/>
        </w:rPr>
        <w:t>Defender</w:t>
      </w:r>
      <w:r w:rsidR="008243CA" w:rsidRPr="00F807EC">
        <w:rPr>
          <w:i/>
          <w:iCs/>
        </w:rPr>
        <w:t xml:space="preserve"> </w:t>
      </w:r>
      <w:r w:rsidRPr="00F807EC">
        <w:rPr>
          <w:i/>
          <w:iCs/>
        </w:rPr>
        <w:t>Service</w:t>
      </w:r>
      <w:r w:rsidR="008243CA" w:rsidRPr="00F807EC">
        <w:rPr>
          <w:i/>
          <w:iCs/>
        </w:rPr>
        <w:t xml:space="preserve"> </w:t>
      </w:r>
      <w:r w:rsidRPr="00F807EC">
        <w:rPr>
          <w:i/>
          <w:iCs/>
        </w:rPr>
        <w:t>and</w:t>
      </w:r>
      <w:r w:rsidR="008243CA" w:rsidRPr="00F807EC">
        <w:rPr>
          <w:i/>
          <w:iCs/>
        </w:rPr>
        <w:t xml:space="preserve"> </w:t>
      </w:r>
      <w:r w:rsidRPr="00F807EC">
        <w:rPr>
          <w:i/>
          <w:iCs/>
        </w:rPr>
        <w:t>the</w:t>
      </w:r>
      <w:r w:rsidR="008243CA" w:rsidRPr="00F807EC">
        <w:rPr>
          <w:i/>
          <w:iCs/>
        </w:rPr>
        <w:t xml:space="preserve"> </w:t>
      </w:r>
      <w:r w:rsidRPr="00F807EC">
        <w:rPr>
          <w:i/>
          <w:iCs/>
        </w:rPr>
        <w:t>Attorney</w:t>
      </w:r>
      <w:r w:rsidR="008243CA" w:rsidRPr="00F807EC">
        <w:rPr>
          <w:i/>
          <w:iCs/>
        </w:rPr>
        <w:t xml:space="preserve"> </w:t>
      </w:r>
      <w:r w:rsidRPr="00F807EC">
        <w:rPr>
          <w:i/>
          <w:iCs/>
        </w:rPr>
        <w:t>General</w:t>
      </w:r>
      <w:r w:rsidR="00116F0B">
        <w:rPr>
          <w:i/>
          <w:iCs/>
        </w:rPr>
        <w:t>’</w:t>
      </w:r>
      <w:r w:rsidRPr="00F807EC">
        <w:rPr>
          <w:i/>
          <w:iCs/>
        </w:rPr>
        <w:t>s</w:t>
      </w:r>
      <w:r w:rsidR="008243CA" w:rsidRPr="00F807EC">
        <w:rPr>
          <w:i/>
          <w:iCs/>
        </w:rPr>
        <w:t xml:space="preserve"> </w:t>
      </w:r>
      <w:r w:rsidRPr="00F807EC">
        <w:rPr>
          <w:i/>
          <w:iCs/>
        </w:rPr>
        <w:t>Office</w:t>
      </w:r>
      <w:r w:rsidR="008243CA" w:rsidRPr="00F807EC">
        <w:rPr>
          <w:i/>
          <w:iCs/>
        </w:rPr>
        <w:t xml:space="preserve"> </w:t>
      </w:r>
      <w:r w:rsidRPr="00F807EC">
        <w:rPr>
          <w:i/>
          <w:iCs/>
        </w:rPr>
        <w:t>to</w:t>
      </w:r>
      <w:r w:rsidR="008243CA" w:rsidRPr="00F807EC">
        <w:rPr>
          <w:i/>
          <w:iCs/>
        </w:rPr>
        <w:t xml:space="preserve"> </w:t>
      </w:r>
      <w:r w:rsidRPr="00F807EC">
        <w:rPr>
          <w:i/>
          <w:iCs/>
        </w:rPr>
        <w:t>be</w:t>
      </w:r>
      <w:r w:rsidR="008243CA" w:rsidRPr="00F807EC">
        <w:rPr>
          <w:i/>
          <w:iCs/>
        </w:rPr>
        <w:t xml:space="preserve"> </w:t>
      </w:r>
      <w:r w:rsidRPr="00F807EC">
        <w:rPr>
          <w:i/>
          <w:iCs/>
        </w:rPr>
        <w:t>institutions</w:t>
      </w:r>
      <w:r w:rsidR="008243CA" w:rsidRPr="00F807EC">
        <w:rPr>
          <w:i/>
          <w:iCs/>
        </w:rPr>
        <w:t xml:space="preserve"> </w:t>
      </w:r>
      <w:r w:rsidRPr="00F807EC">
        <w:rPr>
          <w:i/>
          <w:iCs/>
        </w:rPr>
        <w:t>that</w:t>
      </w:r>
      <w:r w:rsidR="008243CA" w:rsidRPr="00F807EC">
        <w:rPr>
          <w:i/>
          <w:iCs/>
        </w:rPr>
        <w:t xml:space="preserve"> </w:t>
      </w:r>
      <w:r w:rsidRPr="00F807EC">
        <w:rPr>
          <w:i/>
          <w:iCs/>
        </w:rPr>
        <w:t>play</w:t>
      </w:r>
      <w:r w:rsidR="008243CA" w:rsidRPr="00F807EC">
        <w:rPr>
          <w:i/>
          <w:iCs/>
        </w:rPr>
        <w:t xml:space="preserve"> </w:t>
      </w:r>
      <w:r w:rsidRPr="00F807EC">
        <w:rPr>
          <w:i/>
          <w:iCs/>
        </w:rPr>
        <w:t>a</w:t>
      </w:r>
      <w:r w:rsidR="008243CA" w:rsidRPr="00F807EC">
        <w:rPr>
          <w:i/>
          <w:iCs/>
        </w:rPr>
        <w:t xml:space="preserve"> </w:t>
      </w:r>
      <w:r w:rsidRPr="00F807EC">
        <w:rPr>
          <w:i/>
          <w:iCs/>
        </w:rPr>
        <w:t>critical</w:t>
      </w:r>
      <w:r w:rsidR="008243CA" w:rsidRPr="00F807EC">
        <w:rPr>
          <w:i/>
          <w:iCs/>
        </w:rPr>
        <w:t xml:space="preserve"> </w:t>
      </w:r>
      <w:r w:rsidRPr="00F807EC">
        <w:rPr>
          <w:i/>
          <w:iCs/>
        </w:rPr>
        <w:t>role</w:t>
      </w:r>
      <w:r w:rsidR="008243CA" w:rsidRPr="00F807EC">
        <w:rPr>
          <w:i/>
          <w:iCs/>
        </w:rPr>
        <w:t xml:space="preserve"> </w:t>
      </w:r>
      <w:r w:rsidRPr="00F807EC">
        <w:rPr>
          <w:i/>
          <w:iCs/>
        </w:rPr>
        <w:t>in</w:t>
      </w:r>
      <w:r w:rsidR="008243CA" w:rsidRPr="00F807EC">
        <w:rPr>
          <w:i/>
          <w:iCs/>
        </w:rPr>
        <w:t xml:space="preserve"> </w:t>
      </w:r>
      <w:r w:rsidRPr="00F807EC">
        <w:rPr>
          <w:i/>
          <w:iCs/>
        </w:rPr>
        <w:t>the</w:t>
      </w:r>
      <w:r w:rsidR="008243CA" w:rsidRPr="00F807EC">
        <w:rPr>
          <w:i/>
          <w:iCs/>
        </w:rPr>
        <w:t xml:space="preserve"> </w:t>
      </w:r>
      <w:r w:rsidRPr="00F807EC">
        <w:rPr>
          <w:i/>
          <w:iCs/>
        </w:rPr>
        <w:t>detection</w:t>
      </w:r>
      <w:r w:rsidR="008243CA" w:rsidRPr="00F807EC">
        <w:rPr>
          <w:i/>
          <w:iCs/>
        </w:rPr>
        <w:t xml:space="preserve"> </w:t>
      </w:r>
      <w:r w:rsidRPr="00F807EC">
        <w:rPr>
          <w:i/>
          <w:iCs/>
        </w:rPr>
        <w:t>of</w:t>
      </w:r>
      <w:r w:rsidR="008243CA" w:rsidRPr="00F807EC">
        <w:rPr>
          <w:i/>
          <w:iCs/>
        </w:rPr>
        <w:t xml:space="preserve"> </w:t>
      </w:r>
      <w:r w:rsidRPr="00F807EC">
        <w:rPr>
          <w:i/>
          <w:iCs/>
        </w:rPr>
        <w:t>torture</w:t>
      </w:r>
      <w:r w:rsidR="008243CA" w:rsidRPr="00F807EC">
        <w:rPr>
          <w:i/>
          <w:iCs/>
        </w:rPr>
        <w:t xml:space="preserve"> </w:t>
      </w:r>
      <w:r w:rsidRPr="00F807EC">
        <w:rPr>
          <w:i/>
          <w:iCs/>
        </w:rPr>
        <w:t>and</w:t>
      </w:r>
      <w:r w:rsidR="008243CA" w:rsidRPr="00F807EC">
        <w:rPr>
          <w:i/>
          <w:iCs/>
        </w:rPr>
        <w:t xml:space="preserve"> </w:t>
      </w:r>
      <w:r w:rsidRPr="00F807EC">
        <w:rPr>
          <w:i/>
          <w:iCs/>
        </w:rPr>
        <w:t>ill-treatment,</w:t>
      </w:r>
      <w:r w:rsidR="008243CA" w:rsidRPr="00F807EC">
        <w:rPr>
          <w:i/>
          <w:iCs/>
        </w:rPr>
        <w:t xml:space="preserve"> </w:t>
      </w:r>
      <w:r w:rsidRPr="00F807EC">
        <w:rPr>
          <w:i/>
          <w:iCs/>
        </w:rPr>
        <w:t>the</w:t>
      </w:r>
      <w:r w:rsidR="008243CA" w:rsidRPr="00F807EC">
        <w:rPr>
          <w:i/>
          <w:iCs/>
        </w:rPr>
        <w:t xml:space="preserve"> </w:t>
      </w:r>
      <w:r w:rsidRPr="00F807EC">
        <w:rPr>
          <w:i/>
          <w:iCs/>
        </w:rPr>
        <w:t>Subcommittee</w:t>
      </w:r>
      <w:r w:rsidR="008243CA" w:rsidRPr="00F807EC">
        <w:rPr>
          <w:i/>
          <w:iCs/>
        </w:rPr>
        <w:t xml:space="preserve"> </w:t>
      </w:r>
      <w:r w:rsidRPr="00F807EC">
        <w:rPr>
          <w:i/>
          <w:iCs/>
        </w:rPr>
        <w:t>recommends</w:t>
      </w:r>
      <w:r w:rsidR="008243CA" w:rsidRPr="00F807EC">
        <w:rPr>
          <w:i/>
          <w:iCs/>
        </w:rPr>
        <w:t xml:space="preserve"> </w:t>
      </w:r>
      <w:r w:rsidRPr="00F807EC">
        <w:rPr>
          <w:i/>
          <w:iCs/>
        </w:rPr>
        <w:t>that</w:t>
      </w:r>
      <w:r w:rsidR="008243CA" w:rsidRPr="00F807EC">
        <w:rPr>
          <w:i/>
          <w:iCs/>
        </w:rPr>
        <w:t xml:space="preserve"> </w:t>
      </w:r>
      <w:r w:rsidRPr="00F807EC">
        <w:rPr>
          <w:i/>
          <w:iCs/>
        </w:rPr>
        <w:t>the</w:t>
      </w:r>
      <w:r w:rsidR="008243CA" w:rsidRPr="00F807EC">
        <w:rPr>
          <w:i/>
          <w:iCs/>
        </w:rPr>
        <w:t xml:space="preserve"> </w:t>
      </w:r>
      <w:r w:rsidRPr="00F807EC">
        <w:rPr>
          <w:i/>
          <w:iCs/>
        </w:rPr>
        <w:t>State</w:t>
      </w:r>
      <w:r w:rsidR="008243CA" w:rsidRPr="00F807EC">
        <w:rPr>
          <w:i/>
          <w:iCs/>
        </w:rPr>
        <w:t xml:space="preserve"> </w:t>
      </w:r>
      <w:r w:rsidRPr="00F807EC">
        <w:rPr>
          <w:i/>
          <w:iCs/>
        </w:rPr>
        <w:t>party:</w:t>
      </w:r>
      <w:r w:rsidR="008243CA" w:rsidRPr="00F807EC">
        <w:rPr>
          <w:i/>
          <w:iCs/>
        </w:rPr>
        <w:t xml:space="preserve"> </w:t>
      </w:r>
      <w:r w:rsidRPr="00F807EC">
        <w:rPr>
          <w:i/>
          <w:iCs/>
        </w:rPr>
        <w:t>establish</w:t>
      </w:r>
      <w:r w:rsidR="008243CA" w:rsidRPr="00F807EC">
        <w:rPr>
          <w:i/>
          <w:iCs/>
        </w:rPr>
        <w:t xml:space="preserve"> </w:t>
      </w:r>
      <w:r w:rsidRPr="00F807EC">
        <w:rPr>
          <w:i/>
          <w:iCs/>
        </w:rPr>
        <w:t>suitable</w:t>
      </w:r>
      <w:r w:rsidR="008243CA" w:rsidRPr="00F807EC">
        <w:rPr>
          <w:i/>
          <w:iCs/>
        </w:rPr>
        <w:t xml:space="preserve"> </w:t>
      </w:r>
      <w:r w:rsidRPr="00F807EC">
        <w:rPr>
          <w:i/>
          <w:iCs/>
        </w:rPr>
        <w:t>standard</w:t>
      </w:r>
      <w:r w:rsidR="008243CA" w:rsidRPr="00F807EC">
        <w:rPr>
          <w:i/>
          <w:iCs/>
        </w:rPr>
        <w:t xml:space="preserve"> </w:t>
      </w:r>
      <w:r w:rsidRPr="00F807EC">
        <w:rPr>
          <w:i/>
          <w:iCs/>
        </w:rPr>
        <w:t>operating</w:t>
      </w:r>
      <w:r w:rsidR="008243CA" w:rsidRPr="00F807EC">
        <w:rPr>
          <w:i/>
          <w:iCs/>
        </w:rPr>
        <w:t xml:space="preserve"> </w:t>
      </w:r>
      <w:r w:rsidRPr="00F807EC">
        <w:rPr>
          <w:i/>
          <w:iCs/>
        </w:rPr>
        <w:t>procedures</w:t>
      </w:r>
      <w:r w:rsidR="008243CA" w:rsidRPr="00F807EC">
        <w:rPr>
          <w:i/>
          <w:iCs/>
        </w:rPr>
        <w:t xml:space="preserve"> </w:t>
      </w:r>
      <w:r w:rsidRPr="00F807EC">
        <w:rPr>
          <w:i/>
          <w:iCs/>
        </w:rPr>
        <w:t>for</w:t>
      </w:r>
      <w:r w:rsidR="008243CA" w:rsidRPr="00F807EC">
        <w:rPr>
          <w:i/>
          <w:iCs/>
        </w:rPr>
        <w:t xml:space="preserve"> </w:t>
      </w:r>
      <w:r w:rsidRPr="00F807EC">
        <w:rPr>
          <w:i/>
          <w:iCs/>
        </w:rPr>
        <w:t>the</w:t>
      </w:r>
      <w:r w:rsidR="008243CA" w:rsidRPr="00F807EC">
        <w:rPr>
          <w:i/>
          <w:iCs/>
        </w:rPr>
        <w:t xml:space="preserve"> </w:t>
      </w:r>
      <w:r w:rsidRPr="00F807EC">
        <w:rPr>
          <w:i/>
          <w:iCs/>
        </w:rPr>
        <w:t>Public</w:t>
      </w:r>
      <w:r w:rsidR="008243CA" w:rsidRPr="00F807EC">
        <w:rPr>
          <w:i/>
          <w:iCs/>
        </w:rPr>
        <w:t xml:space="preserve"> </w:t>
      </w:r>
      <w:r w:rsidRPr="00F807EC">
        <w:rPr>
          <w:i/>
          <w:iCs/>
        </w:rPr>
        <w:t>Criminal</w:t>
      </w:r>
      <w:r w:rsidR="008243CA" w:rsidRPr="00F807EC">
        <w:rPr>
          <w:i/>
          <w:iCs/>
        </w:rPr>
        <w:t xml:space="preserve"> </w:t>
      </w:r>
      <w:r w:rsidRPr="00F807EC">
        <w:rPr>
          <w:i/>
          <w:iCs/>
        </w:rPr>
        <w:t>Defender</w:t>
      </w:r>
      <w:r w:rsidR="008243CA" w:rsidRPr="00F807EC">
        <w:rPr>
          <w:i/>
          <w:iCs/>
        </w:rPr>
        <w:t xml:space="preserve"> </w:t>
      </w:r>
      <w:r w:rsidRPr="00F807EC">
        <w:rPr>
          <w:i/>
          <w:iCs/>
        </w:rPr>
        <w:t>Service</w:t>
      </w:r>
      <w:r w:rsidR="008243CA" w:rsidRPr="00F807EC">
        <w:rPr>
          <w:i/>
          <w:iCs/>
        </w:rPr>
        <w:t xml:space="preserve"> </w:t>
      </w:r>
      <w:r w:rsidRPr="00F807EC">
        <w:rPr>
          <w:i/>
          <w:iCs/>
        </w:rPr>
        <w:t>and</w:t>
      </w:r>
      <w:r w:rsidR="008243CA" w:rsidRPr="00F807EC">
        <w:rPr>
          <w:i/>
          <w:iCs/>
        </w:rPr>
        <w:t xml:space="preserve"> </w:t>
      </w:r>
      <w:r w:rsidRPr="00F807EC">
        <w:rPr>
          <w:i/>
          <w:iCs/>
        </w:rPr>
        <w:t>the</w:t>
      </w:r>
      <w:r w:rsidR="008243CA" w:rsidRPr="00F807EC">
        <w:rPr>
          <w:i/>
          <w:iCs/>
        </w:rPr>
        <w:t xml:space="preserve"> </w:t>
      </w:r>
      <w:r w:rsidRPr="00F807EC">
        <w:rPr>
          <w:i/>
          <w:iCs/>
        </w:rPr>
        <w:t>Attorney</w:t>
      </w:r>
      <w:r w:rsidR="008243CA" w:rsidRPr="00F807EC">
        <w:rPr>
          <w:i/>
          <w:iCs/>
        </w:rPr>
        <w:t xml:space="preserve"> </w:t>
      </w:r>
      <w:r w:rsidRPr="00F807EC">
        <w:rPr>
          <w:i/>
          <w:iCs/>
        </w:rPr>
        <w:t>General</w:t>
      </w:r>
      <w:r w:rsidR="00116F0B">
        <w:rPr>
          <w:i/>
          <w:iCs/>
        </w:rPr>
        <w:t>’</w:t>
      </w:r>
      <w:r w:rsidRPr="00F807EC">
        <w:rPr>
          <w:i/>
          <w:iCs/>
        </w:rPr>
        <w:t>s</w:t>
      </w:r>
      <w:r w:rsidR="008243CA" w:rsidRPr="00F807EC">
        <w:rPr>
          <w:i/>
          <w:iCs/>
        </w:rPr>
        <w:t xml:space="preserve"> </w:t>
      </w:r>
      <w:r w:rsidRPr="00F807EC">
        <w:rPr>
          <w:i/>
          <w:iCs/>
        </w:rPr>
        <w:t>Office</w:t>
      </w:r>
      <w:r w:rsidR="008243CA" w:rsidRPr="00F807EC">
        <w:rPr>
          <w:i/>
          <w:iCs/>
        </w:rPr>
        <w:t xml:space="preserve"> </w:t>
      </w:r>
      <w:r w:rsidRPr="00F807EC">
        <w:rPr>
          <w:i/>
          <w:iCs/>
        </w:rPr>
        <w:t>with</w:t>
      </w:r>
      <w:r w:rsidR="008243CA" w:rsidRPr="00F807EC">
        <w:rPr>
          <w:i/>
          <w:iCs/>
        </w:rPr>
        <w:t xml:space="preserve"> </w:t>
      </w:r>
      <w:r w:rsidRPr="00F807EC">
        <w:rPr>
          <w:i/>
          <w:iCs/>
        </w:rPr>
        <w:t>a</w:t>
      </w:r>
      <w:r w:rsidR="008243CA" w:rsidRPr="00F807EC">
        <w:rPr>
          <w:i/>
          <w:iCs/>
        </w:rPr>
        <w:t xml:space="preserve"> </w:t>
      </w:r>
      <w:r w:rsidRPr="00F807EC">
        <w:rPr>
          <w:i/>
          <w:iCs/>
        </w:rPr>
        <w:t>view</w:t>
      </w:r>
      <w:r w:rsidR="008243CA" w:rsidRPr="00F807EC">
        <w:rPr>
          <w:i/>
          <w:iCs/>
        </w:rPr>
        <w:t xml:space="preserve"> </w:t>
      </w:r>
      <w:r w:rsidRPr="00F807EC">
        <w:rPr>
          <w:i/>
          <w:iCs/>
        </w:rPr>
        <w:t>to</w:t>
      </w:r>
      <w:r w:rsidR="008243CA" w:rsidRPr="00F807EC">
        <w:rPr>
          <w:i/>
          <w:iCs/>
        </w:rPr>
        <w:t xml:space="preserve"> </w:t>
      </w:r>
      <w:r w:rsidRPr="00F807EC">
        <w:rPr>
          <w:i/>
          <w:iCs/>
        </w:rPr>
        <w:t>ensuring</w:t>
      </w:r>
      <w:r w:rsidR="008243CA" w:rsidRPr="00F807EC">
        <w:rPr>
          <w:i/>
          <w:iCs/>
        </w:rPr>
        <w:t xml:space="preserve"> </w:t>
      </w:r>
      <w:r w:rsidRPr="00F807EC">
        <w:rPr>
          <w:i/>
          <w:iCs/>
        </w:rPr>
        <w:t>the</w:t>
      </w:r>
      <w:r w:rsidR="008243CA" w:rsidRPr="00F807EC">
        <w:rPr>
          <w:i/>
          <w:iCs/>
        </w:rPr>
        <w:t xml:space="preserve"> </w:t>
      </w:r>
      <w:r w:rsidRPr="00F807EC">
        <w:rPr>
          <w:i/>
          <w:iCs/>
        </w:rPr>
        <w:t>proper</w:t>
      </w:r>
      <w:r w:rsidR="008243CA" w:rsidRPr="00F807EC">
        <w:rPr>
          <w:i/>
          <w:iCs/>
        </w:rPr>
        <w:t xml:space="preserve"> </w:t>
      </w:r>
      <w:r w:rsidRPr="00F807EC">
        <w:rPr>
          <w:i/>
          <w:iCs/>
        </w:rPr>
        <w:t>detection</w:t>
      </w:r>
      <w:r w:rsidR="008243CA" w:rsidRPr="00F807EC">
        <w:rPr>
          <w:i/>
          <w:iCs/>
        </w:rPr>
        <w:t xml:space="preserve"> </w:t>
      </w:r>
      <w:r w:rsidRPr="00F807EC">
        <w:rPr>
          <w:i/>
          <w:iCs/>
        </w:rPr>
        <w:t>and</w:t>
      </w:r>
      <w:r w:rsidR="008243CA" w:rsidRPr="00F807EC">
        <w:rPr>
          <w:i/>
          <w:iCs/>
        </w:rPr>
        <w:t xml:space="preserve"> </w:t>
      </w:r>
      <w:r w:rsidRPr="00F807EC">
        <w:rPr>
          <w:i/>
          <w:iCs/>
        </w:rPr>
        <w:t>reporting</w:t>
      </w:r>
      <w:r w:rsidR="008243CA" w:rsidRPr="00F807EC">
        <w:rPr>
          <w:i/>
          <w:iCs/>
        </w:rPr>
        <w:t xml:space="preserve"> </w:t>
      </w:r>
      <w:r w:rsidRPr="00F807EC">
        <w:rPr>
          <w:i/>
          <w:iCs/>
        </w:rPr>
        <w:t>of</w:t>
      </w:r>
      <w:r w:rsidR="008243CA" w:rsidRPr="00F807EC">
        <w:rPr>
          <w:i/>
          <w:iCs/>
        </w:rPr>
        <w:t xml:space="preserve"> </w:t>
      </w:r>
      <w:r w:rsidRPr="00F807EC">
        <w:rPr>
          <w:i/>
          <w:iCs/>
        </w:rPr>
        <w:t>acts</w:t>
      </w:r>
      <w:r w:rsidR="008243CA" w:rsidRPr="00F807EC">
        <w:rPr>
          <w:i/>
          <w:iCs/>
        </w:rPr>
        <w:t xml:space="preserve"> </w:t>
      </w:r>
      <w:r w:rsidRPr="00F807EC">
        <w:rPr>
          <w:i/>
          <w:iCs/>
        </w:rPr>
        <w:t>of</w:t>
      </w:r>
      <w:r w:rsidR="008243CA" w:rsidRPr="00F807EC">
        <w:rPr>
          <w:i/>
          <w:iCs/>
        </w:rPr>
        <w:t xml:space="preserve"> </w:t>
      </w:r>
      <w:r w:rsidRPr="00F807EC">
        <w:rPr>
          <w:i/>
          <w:iCs/>
        </w:rPr>
        <w:t>torture</w:t>
      </w:r>
      <w:r w:rsidR="008243CA" w:rsidRPr="00F807EC">
        <w:rPr>
          <w:i/>
          <w:iCs/>
        </w:rPr>
        <w:t xml:space="preserve"> </w:t>
      </w:r>
      <w:r w:rsidRPr="00F807EC">
        <w:rPr>
          <w:i/>
          <w:iCs/>
        </w:rPr>
        <w:t>and</w:t>
      </w:r>
      <w:r w:rsidR="008243CA" w:rsidRPr="00F807EC">
        <w:rPr>
          <w:i/>
          <w:iCs/>
        </w:rPr>
        <w:t xml:space="preserve"> </w:t>
      </w:r>
      <w:r w:rsidRPr="00F807EC">
        <w:rPr>
          <w:i/>
          <w:iCs/>
        </w:rPr>
        <w:t>ill-treatment</w:t>
      </w:r>
      <w:r w:rsidR="008243CA" w:rsidRPr="00F807EC">
        <w:rPr>
          <w:i/>
          <w:iCs/>
        </w:rPr>
        <w:t xml:space="preserve"> </w:t>
      </w:r>
      <w:r w:rsidRPr="00F807EC">
        <w:rPr>
          <w:i/>
          <w:iCs/>
        </w:rPr>
        <w:t>and</w:t>
      </w:r>
      <w:r w:rsidR="008243CA" w:rsidRPr="00F807EC">
        <w:rPr>
          <w:i/>
          <w:iCs/>
        </w:rPr>
        <w:t xml:space="preserve"> </w:t>
      </w:r>
      <w:r w:rsidRPr="00F807EC">
        <w:rPr>
          <w:i/>
          <w:iCs/>
        </w:rPr>
        <w:t>the</w:t>
      </w:r>
      <w:r w:rsidR="008243CA" w:rsidRPr="00F807EC">
        <w:rPr>
          <w:i/>
          <w:iCs/>
        </w:rPr>
        <w:t xml:space="preserve"> </w:t>
      </w:r>
      <w:r w:rsidRPr="00F807EC">
        <w:rPr>
          <w:i/>
          <w:iCs/>
        </w:rPr>
        <w:t>punishments</w:t>
      </w:r>
      <w:r w:rsidR="008243CA" w:rsidRPr="00F807EC">
        <w:rPr>
          <w:i/>
          <w:iCs/>
        </w:rPr>
        <w:t xml:space="preserve"> </w:t>
      </w:r>
      <w:r w:rsidRPr="00F807EC">
        <w:rPr>
          <w:i/>
          <w:iCs/>
        </w:rPr>
        <w:t>of</w:t>
      </w:r>
      <w:r w:rsidR="008243CA" w:rsidRPr="00F807EC">
        <w:rPr>
          <w:i/>
          <w:iCs/>
        </w:rPr>
        <w:t xml:space="preserve"> </w:t>
      </w:r>
      <w:r w:rsidRPr="00F807EC">
        <w:rPr>
          <w:i/>
          <w:iCs/>
        </w:rPr>
        <w:t>the</w:t>
      </w:r>
      <w:r w:rsidR="008243CA" w:rsidRPr="00F807EC">
        <w:rPr>
          <w:i/>
          <w:iCs/>
        </w:rPr>
        <w:t xml:space="preserve"> </w:t>
      </w:r>
      <w:r w:rsidRPr="00F807EC">
        <w:rPr>
          <w:i/>
          <w:iCs/>
        </w:rPr>
        <w:t>perpetrators</w:t>
      </w:r>
      <w:r w:rsidR="008243CA" w:rsidRPr="00F807EC">
        <w:rPr>
          <w:i/>
          <w:iCs/>
        </w:rPr>
        <w:t xml:space="preserve"> </w:t>
      </w:r>
      <w:r w:rsidRPr="00F807EC">
        <w:rPr>
          <w:i/>
          <w:iCs/>
        </w:rPr>
        <w:t>of</w:t>
      </w:r>
      <w:r w:rsidR="008243CA" w:rsidRPr="00F807EC">
        <w:rPr>
          <w:i/>
          <w:iCs/>
        </w:rPr>
        <w:t xml:space="preserve"> </w:t>
      </w:r>
      <w:r w:rsidRPr="00F807EC">
        <w:rPr>
          <w:i/>
          <w:iCs/>
        </w:rPr>
        <w:t>such</w:t>
      </w:r>
      <w:r w:rsidR="008243CA" w:rsidRPr="00F807EC">
        <w:rPr>
          <w:i/>
          <w:iCs/>
        </w:rPr>
        <w:t xml:space="preserve"> </w:t>
      </w:r>
      <w:r w:rsidRPr="00F807EC">
        <w:rPr>
          <w:i/>
          <w:iCs/>
        </w:rPr>
        <w:t>acts.</w:t>
      </w:r>
      <w:r w:rsidR="008243CA" w:rsidRPr="00F807EC">
        <w:rPr>
          <w:i/>
          <w:iCs/>
        </w:rPr>
        <w:t xml:space="preserve"> </w:t>
      </w:r>
      <w:r w:rsidRPr="00F807EC">
        <w:rPr>
          <w:i/>
          <w:iCs/>
        </w:rPr>
        <w:t>The</w:t>
      </w:r>
      <w:r w:rsidR="008243CA" w:rsidRPr="00F807EC">
        <w:rPr>
          <w:i/>
          <w:iCs/>
        </w:rPr>
        <w:t xml:space="preserve"> </w:t>
      </w:r>
      <w:r w:rsidRPr="00F807EC">
        <w:rPr>
          <w:i/>
          <w:iCs/>
        </w:rPr>
        <w:t>standard</w:t>
      </w:r>
      <w:r w:rsidR="008243CA" w:rsidRPr="00F807EC">
        <w:rPr>
          <w:i/>
          <w:iCs/>
        </w:rPr>
        <w:t xml:space="preserve"> </w:t>
      </w:r>
      <w:r w:rsidRPr="00F807EC">
        <w:rPr>
          <w:i/>
          <w:iCs/>
        </w:rPr>
        <w:t>operating</w:t>
      </w:r>
      <w:r w:rsidR="008243CA" w:rsidRPr="00F807EC">
        <w:rPr>
          <w:i/>
          <w:iCs/>
        </w:rPr>
        <w:t xml:space="preserve"> </w:t>
      </w:r>
      <w:r w:rsidRPr="00F807EC">
        <w:rPr>
          <w:i/>
          <w:iCs/>
        </w:rPr>
        <w:t>procedures</w:t>
      </w:r>
      <w:r w:rsidR="008243CA" w:rsidRPr="00F807EC">
        <w:rPr>
          <w:i/>
          <w:iCs/>
        </w:rPr>
        <w:t xml:space="preserve"> </w:t>
      </w:r>
      <w:r w:rsidRPr="00F807EC">
        <w:rPr>
          <w:i/>
          <w:iCs/>
        </w:rPr>
        <w:t>should</w:t>
      </w:r>
      <w:r w:rsidR="008243CA" w:rsidRPr="00F807EC">
        <w:rPr>
          <w:i/>
          <w:iCs/>
        </w:rPr>
        <w:t xml:space="preserve"> </w:t>
      </w:r>
      <w:r w:rsidRPr="00F807EC">
        <w:rPr>
          <w:i/>
          <w:iCs/>
        </w:rPr>
        <w:t>also</w:t>
      </w:r>
      <w:r w:rsidR="008243CA" w:rsidRPr="00F807EC">
        <w:rPr>
          <w:i/>
          <w:iCs/>
        </w:rPr>
        <w:t xml:space="preserve"> </w:t>
      </w:r>
      <w:r w:rsidRPr="00F807EC">
        <w:rPr>
          <w:i/>
          <w:iCs/>
        </w:rPr>
        <w:t>ensure</w:t>
      </w:r>
      <w:r w:rsidR="008243CA" w:rsidRPr="00F807EC">
        <w:rPr>
          <w:i/>
          <w:iCs/>
        </w:rPr>
        <w:t xml:space="preserve"> </w:t>
      </w:r>
      <w:r w:rsidRPr="00F807EC">
        <w:rPr>
          <w:i/>
          <w:iCs/>
        </w:rPr>
        <w:t>proper</w:t>
      </w:r>
      <w:r w:rsidR="008243CA" w:rsidRPr="00F807EC">
        <w:rPr>
          <w:i/>
          <w:iCs/>
        </w:rPr>
        <w:t xml:space="preserve"> </w:t>
      </w:r>
      <w:r w:rsidRPr="00F807EC">
        <w:rPr>
          <w:i/>
          <w:iCs/>
        </w:rPr>
        <w:t>record-keeping</w:t>
      </w:r>
      <w:r w:rsidR="008243CA" w:rsidRPr="00F807EC">
        <w:rPr>
          <w:i/>
          <w:iCs/>
        </w:rPr>
        <w:t xml:space="preserve"> </w:t>
      </w:r>
      <w:r w:rsidRPr="00F807EC">
        <w:rPr>
          <w:i/>
          <w:iCs/>
        </w:rPr>
        <w:t>on</w:t>
      </w:r>
      <w:r w:rsidR="008243CA" w:rsidRPr="00F807EC">
        <w:rPr>
          <w:i/>
          <w:iCs/>
        </w:rPr>
        <w:t xml:space="preserve"> </w:t>
      </w:r>
      <w:r w:rsidRPr="00F807EC">
        <w:rPr>
          <w:i/>
          <w:iCs/>
        </w:rPr>
        <w:t>all</w:t>
      </w:r>
      <w:r w:rsidR="008243CA" w:rsidRPr="00F807EC">
        <w:rPr>
          <w:i/>
          <w:iCs/>
        </w:rPr>
        <w:t xml:space="preserve"> </w:t>
      </w:r>
      <w:r w:rsidRPr="00F807EC">
        <w:rPr>
          <w:i/>
          <w:iCs/>
        </w:rPr>
        <w:t>cases</w:t>
      </w:r>
      <w:r w:rsidR="008243CA" w:rsidRPr="00F807EC">
        <w:rPr>
          <w:i/>
          <w:iCs/>
        </w:rPr>
        <w:t xml:space="preserve"> </w:t>
      </w:r>
      <w:r w:rsidRPr="00F807EC">
        <w:rPr>
          <w:i/>
          <w:iCs/>
        </w:rPr>
        <w:t>identified</w:t>
      </w:r>
      <w:r w:rsidR="008243CA" w:rsidRPr="00F807EC">
        <w:rPr>
          <w:i/>
          <w:iCs/>
        </w:rPr>
        <w:t xml:space="preserve"> </w:t>
      </w:r>
      <w:r w:rsidRPr="00F807EC">
        <w:rPr>
          <w:i/>
          <w:iCs/>
        </w:rPr>
        <w:t>or</w:t>
      </w:r>
      <w:r w:rsidR="008243CA" w:rsidRPr="00F807EC">
        <w:rPr>
          <w:i/>
          <w:iCs/>
        </w:rPr>
        <w:t xml:space="preserve"> </w:t>
      </w:r>
      <w:r w:rsidRPr="00F807EC">
        <w:rPr>
          <w:i/>
          <w:iCs/>
        </w:rPr>
        <w:t>reported</w:t>
      </w:r>
      <w:r w:rsidR="008243CA" w:rsidRPr="00F807EC">
        <w:rPr>
          <w:i/>
          <w:iCs/>
        </w:rPr>
        <w:t xml:space="preserve"> </w:t>
      </w:r>
      <w:r w:rsidRPr="00F807EC">
        <w:rPr>
          <w:i/>
          <w:iCs/>
        </w:rPr>
        <w:t>by</w:t>
      </w:r>
      <w:r w:rsidR="008243CA" w:rsidRPr="00F807EC">
        <w:rPr>
          <w:i/>
          <w:iCs/>
        </w:rPr>
        <w:t xml:space="preserve"> </w:t>
      </w:r>
      <w:r w:rsidRPr="00F807EC">
        <w:rPr>
          <w:i/>
          <w:iCs/>
        </w:rPr>
        <w:t>victims;</w:t>
      </w:r>
      <w:r w:rsidR="008243CA" w:rsidRPr="00F807EC">
        <w:rPr>
          <w:i/>
          <w:iCs/>
        </w:rPr>
        <w:t xml:space="preserve"> </w:t>
      </w:r>
      <w:r w:rsidRPr="00F807EC">
        <w:rPr>
          <w:i/>
          <w:iCs/>
        </w:rPr>
        <w:t>the</w:t>
      </w:r>
      <w:r w:rsidR="008243CA" w:rsidRPr="00F807EC">
        <w:rPr>
          <w:i/>
          <w:iCs/>
        </w:rPr>
        <w:t xml:space="preserve"> </w:t>
      </w:r>
      <w:r w:rsidRPr="00F807EC">
        <w:rPr>
          <w:i/>
          <w:iCs/>
        </w:rPr>
        <w:t>corresponding</w:t>
      </w:r>
      <w:r w:rsidR="008243CA" w:rsidRPr="00F807EC">
        <w:rPr>
          <w:i/>
          <w:iCs/>
        </w:rPr>
        <w:t xml:space="preserve"> </w:t>
      </w:r>
      <w:r w:rsidRPr="00F807EC">
        <w:rPr>
          <w:i/>
          <w:iCs/>
        </w:rPr>
        <w:t>records</w:t>
      </w:r>
      <w:r w:rsidR="008243CA" w:rsidRPr="00F807EC">
        <w:rPr>
          <w:i/>
          <w:iCs/>
        </w:rPr>
        <w:t xml:space="preserve"> </w:t>
      </w:r>
      <w:r w:rsidRPr="00F807EC">
        <w:rPr>
          <w:i/>
          <w:iCs/>
        </w:rPr>
        <w:t>should</w:t>
      </w:r>
      <w:r w:rsidR="008243CA" w:rsidRPr="00F807EC">
        <w:rPr>
          <w:i/>
          <w:iCs/>
        </w:rPr>
        <w:t xml:space="preserve"> </w:t>
      </w:r>
      <w:r w:rsidRPr="00F807EC">
        <w:rPr>
          <w:i/>
          <w:iCs/>
        </w:rPr>
        <w:t>include</w:t>
      </w:r>
      <w:r w:rsidR="008243CA" w:rsidRPr="00F807EC">
        <w:rPr>
          <w:i/>
          <w:iCs/>
        </w:rPr>
        <w:t xml:space="preserve"> </w:t>
      </w:r>
      <w:r w:rsidRPr="00F807EC">
        <w:rPr>
          <w:i/>
          <w:iCs/>
        </w:rPr>
        <w:t>information</w:t>
      </w:r>
      <w:r w:rsidR="008243CA" w:rsidRPr="00F807EC">
        <w:rPr>
          <w:i/>
          <w:iCs/>
        </w:rPr>
        <w:t xml:space="preserve"> </w:t>
      </w:r>
      <w:r w:rsidRPr="00F807EC">
        <w:rPr>
          <w:i/>
          <w:iCs/>
        </w:rPr>
        <w:t>on</w:t>
      </w:r>
      <w:r w:rsidR="008243CA" w:rsidRPr="00F807EC">
        <w:rPr>
          <w:i/>
          <w:iCs/>
        </w:rPr>
        <w:t xml:space="preserve"> </w:t>
      </w:r>
      <w:r w:rsidRPr="00F807EC">
        <w:rPr>
          <w:i/>
          <w:iCs/>
        </w:rPr>
        <w:t>the</w:t>
      </w:r>
      <w:r w:rsidR="008243CA" w:rsidRPr="00F807EC">
        <w:rPr>
          <w:i/>
          <w:iCs/>
        </w:rPr>
        <w:t xml:space="preserve"> </w:t>
      </w:r>
      <w:r w:rsidRPr="00F807EC">
        <w:rPr>
          <w:i/>
          <w:iCs/>
        </w:rPr>
        <w:t>prosecution</w:t>
      </w:r>
      <w:r w:rsidR="008243CA" w:rsidRPr="00F807EC">
        <w:rPr>
          <w:i/>
          <w:iCs/>
        </w:rPr>
        <w:t xml:space="preserve"> </w:t>
      </w:r>
      <w:r w:rsidRPr="00F807EC">
        <w:rPr>
          <w:i/>
          <w:iCs/>
        </w:rPr>
        <w:t>of</w:t>
      </w:r>
      <w:r w:rsidR="008243CA" w:rsidRPr="00F807EC">
        <w:rPr>
          <w:i/>
          <w:iCs/>
        </w:rPr>
        <w:t xml:space="preserve"> </w:t>
      </w:r>
      <w:r w:rsidRPr="00F807EC">
        <w:rPr>
          <w:i/>
          <w:iCs/>
        </w:rPr>
        <w:t>those</w:t>
      </w:r>
      <w:r w:rsidR="008243CA" w:rsidRPr="00F807EC">
        <w:rPr>
          <w:i/>
          <w:iCs/>
        </w:rPr>
        <w:t xml:space="preserve"> </w:t>
      </w:r>
      <w:r w:rsidRPr="00F807EC">
        <w:rPr>
          <w:i/>
          <w:iCs/>
        </w:rPr>
        <w:t>cases</w:t>
      </w:r>
      <w:r w:rsidR="008243CA" w:rsidRPr="00F807EC">
        <w:rPr>
          <w:i/>
          <w:iCs/>
        </w:rPr>
        <w:t xml:space="preserve"> </w:t>
      </w:r>
      <w:r w:rsidRPr="00F807EC">
        <w:rPr>
          <w:i/>
          <w:iCs/>
        </w:rPr>
        <w:t>and</w:t>
      </w:r>
      <w:r w:rsidR="008243CA" w:rsidRPr="00F807EC">
        <w:rPr>
          <w:i/>
          <w:iCs/>
        </w:rPr>
        <w:t xml:space="preserve"> </w:t>
      </w:r>
      <w:r w:rsidRPr="00F807EC">
        <w:rPr>
          <w:i/>
          <w:iCs/>
        </w:rPr>
        <w:t>the</w:t>
      </w:r>
      <w:r w:rsidR="008243CA" w:rsidRPr="00F807EC">
        <w:rPr>
          <w:i/>
          <w:iCs/>
        </w:rPr>
        <w:t xml:space="preserve"> </w:t>
      </w:r>
      <w:r w:rsidRPr="00F807EC">
        <w:rPr>
          <w:i/>
          <w:iCs/>
        </w:rPr>
        <w:t>decisions</w:t>
      </w:r>
      <w:r w:rsidR="008243CA" w:rsidRPr="00F807EC">
        <w:rPr>
          <w:i/>
          <w:iCs/>
        </w:rPr>
        <w:t xml:space="preserve"> </w:t>
      </w:r>
      <w:r w:rsidRPr="00F807EC">
        <w:rPr>
          <w:i/>
          <w:iCs/>
        </w:rPr>
        <w:t>handed</w:t>
      </w:r>
      <w:r w:rsidR="008243CA" w:rsidRPr="00F807EC">
        <w:rPr>
          <w:i/>
          <w:iCs/>
        </w:rPr>
        <w:t xml:space="preserve"> </w:t>
      </w:r>
      <w:r w:rsidRPr="00F807EC">
        <w:rPr>
          <w:i/>
          <w:iCs/>
        </w:rPr>
        <w:t>down.</w:t>
      </w:r>
    </w:p>
    <w:p w:rsidR="003F7D03" w:rsidRPr="00E62FE6" w:rsidRDefault="003F7D03" w:rsidP="000C6D98">
      <w:pPr>
        <w:pStyle w:val="SingleTxtG"/>
      </w:pPr>
      <w:r w:rsidRPr="00E62FE6">
        <w:t>81.</w:t>
      </w:r>
      <w:r w:rsidRPr="00E62FE6">
        <w:tab/>
        <w:t>The</w:t>
      </w:r>
      <w:r w:rsidR="008243CA">
        <w:t xml:space="preserve"> </w:t>
      </w:r>
      <w:r w:rsidRPr="00E62FE6">
        <w:t>definition</w:t>
      </w:r>
      <w:r w:rsidR="008243CA">
        <w:t xml:space="preserve"> </w:t>
      </w:r>
      <w:r w:rsidRPr="00E62FE6">
        <w:t>of</w:t>
      </w:r>
      <w:r w:rsidR="008243CA">
        <w:t xml:space="preserve"> </w:t>
      </w:r>
      <w:r w:rsidRPr="00E62FE6">
        <w:t>the</w:t>
      </w:r>
      <w:r w:rsidR="008243CA">
        <w:t xml:space="preserve"> </w:t>
      </w:r>
      <w:r w:rsidRPr="00E62FE6">
        <w:t>offence</w:t>
      </w:r>
      <w:r w:rsidR="008243CA">
        <w:t xml:space="preserve"> </w:t>
      </w:r>
      <w:r w:rsidRPr="00E62FE6">
        <w:t>of</w:t>
      </w:r>
      <w:r w:rsidR="008243CA">
        <w:t xml:space="preserve"> </w:t>
      </w:r>
      <w:r w:rsidRPr="00E62FE6">
        <w:t>torture</w:t>
      </w:r>
      <w:r w:rsidR="008243CA">
        <w:t xml:space="preserve"> </w:t>
      </w:r>
      <w:r w:rsidRPr="00E62FE6">
        <w:t>creates</w:t>
      </w:r>
      <w:r w:rsidR="008243CA">
        <w:t xml:space="preserve"> </w:t>
      </w:r>
      <w:r w:rsidRPr="00E62FE6">
        <w:t>a</w:t>
      </w:r>
      <w:r w:rsidR="008243CA">
        <w:t xml:space="preserve"> </w:t>
      </w:r>
      <w:r w:rsidRPr="00E62FE6">
        <w:t>series</w:t>
      </w:r>
      <w:r w:rsidR="008243CA">
        <w:t xml:space="preserve"> </w:t>
      </w:r>
      <w:r w:rsidRPr="00E62FE6">
        <w:t>of</w:t>
      </w:r>
      <w:r w:rsidR="008243CA">
        <w:t xml:space="preserve"> </w:t>
      </w:r>
      <w:r w:rsidRPr="00E62FE6">
        <w:t>challenges</w:t>
      </w:r>
      <w:r w:rsidR="008243CA">
        <w:t xml:space="preserve"> </w:t>
      </w:r>
      <w:r w:rsidRPr="00E62FE6">
        <w:t>for</w:t>
      </w:r>
      <w:r w:rsidR="008243CA">
        <w:t xml:space="preserve"> </w:t>
      </w:r>
      <w:r w:rsidRPr="00E62FE6">
        <w:t>judicial</w:t>
      </w:r>
      <w:r w:rsidR="008243CA">
        <w:t xml:space="preserve"> </w:t>
      </w:r>
      <w:r w:rsidRPr="00E62FE6">
        <w:t>officials,</w:t>
      </w:r>
      <w:r w:rsidR="008243CA">
        <w:t xml:space="preserve"> </w:t>
      </w:r>
      <w:r w:rsidRPr="00E62FE6">
        <w:t>including</w:t>
      </w:r>
      <w:r w:rsidR="008243CA">
        <w:t xml:space="preserve"> </w:t>
      </w:r>
      <w:r w:rsidRPr="00E62FE6">
        <w:t>adapting</w:t>
      </w:r>
      <w:r w:rsidR="008243CA">
        <w:t xml:space="preserve"> </w:t>
      </w:r>
      <w:r w:rsidRPr="00E62FE6">
        <w:t>its</w:t>
      </w:r>
      <w:r w:rsidR="008243CA">
        <w:t xml:space="preserve"> </w:t>
      </w:r>
      <w:r w:rsidRPr="00E62FE6">
        <w:t>procedures</w:t>
      </w:r>
      <w:r w:rsidR="008243CA">
        <w:t xml:space="preserve"> </w:t>
      </w:r>
      <w:r w:rsidRPr="00E62FE6">
        <w:t>to</w:t>
      </w:r>
      <w:r w:rsidR="008243CA">
        <w:t xml:space="preserve"> </w:t>
      </w:r>
      <w:r w:rsidRPr="00E62FE6">
        <w:t>the</w:t>
      </w:r>
      <w:r w:rsidR="008243CA">
        <w:t xml:space="preserve"> </w:t>
      </w:r>
      <w:r w:rsidRPr="00E62FE6">
        <w:t>investigation</w:t>
      </w:r>
      <w:r w:rsidR="008243CA">
        <w:t xml:space="preserve"> </w:t>
      </w:r>
      <w:r w:rsidRPr="00E62FE6">
        <w:t>and</w:t>
      </w:r>
      <w:r w:rsidR="008243CA">
        <w:t xml:space="preserve"> </w:t>
      </w:r>
      <w:r w:rsidRPr="00E62FE6">
        <w:t>defence</w:t>
      </w:r>
      <w:r w:rsidR="008243CA">
        <w:t xml:space="preserve"> </w:t>
      </w:r>
      <w:r w:rsidRPr="00E62FE6">
        <w:t>of</w:t>
      </w:r>
      <w:r w:rsidR="008243CA">
        <w:t xml:space="preserve"> </w:t>
      </w:r>
      <w:r w:rsidRPr="00E62FE6">
        <w:t>the</w:t>
      </w:r>
      <w:r w:rsidR="008243CA">
        <w:t xml:space="preserve"> </w:t>
      </w:r>
      <w:r w:rsidRPr="00E62FE6">
        <w:t>crime,</w:t>
      </w:r>
      <w:r w:rsidR="008243CA">
        <w:t xml:space="preserve"> </w:t>
      </w:r>
      <w:r w:rsidRPr="00E62FE6">
        <w:t>and</w:t>
      </w:r>
      <w:r w:rsidR="008243CA">
        <w:t xml:space="preserve"> </w:t>
      </w:r>
      <w:r w:rsidRPr="00E62FE6">
        <w:t>establishing</w:t>
      </w:r>
      <w:r w:rsidR="008243CA">
        <w:t xml:space="preserve"> </w:t>
      </w:r>
      <w:r w:rsidRPr="00E62FE6">
        <w:t>information</w:t>
      </w:r>
      <w:r w:rsidR="008243CA">
        <w:t xml:space="preserve"> </w:t>
      </w:r>
      <w:r w:rsidRPr="00E62FE6">
        <w:t>systems</w:t>
      </w:r>
      <w:r w:rsidR="008243CA">
        <w:t xml:space="preserve"> </w:t>
      </w:r>
      <w:r w:rsidRPr="00E62FE6">
        <w:t>that</w:t>
      </w:r>
      <w:r w:rsidR="008243CA">
        <w:t xml:space="preserve"> </w:t>
      </w:r>
      <w:r w:rsidRPr="00E62FE6">
        <w:t>enable</w:t>
      </w:r>
      <w:r w:rsidR="008243CA">
        <w:t xml:space="preserve"> </w:t>
      </w:r>
      <w:r w:rsidRPr="00E62FE6">
        <w:t>statistical</w:t>
      </w:r>
      <w:r w:rsidR="008243CA">
        <w:t xml:space="preserve"> </w:t>
      </w:r>
      <w:r w:rsidRPr="00E62FE6">
        <w:t>monitoring.</w:t>
      </w:r>
    </w:p>
    <w:p w:rsidR="003F7D03" w:rsidRPr="00E62FE6" w:rsidRDefault="003F7D03" w:rsidP="000C6D98">
      <w:pPr>
        <w:pStyle w:val="SingleTxtG"/>
      </w:pPr>
      <w:r w:rsidRPr="00E62FE6">
        <w:t>82.</w:t>
      </w:r>
      <w:r w:rsidRPr="00E62FE6">
        <w:tab/>
        <w:t>In</w:t>
      </w:r>
      <w:r w:rsidR="008243CA">
        <w:t xml:space="preserve"> </w:t>
      </w:r>
      <w:r w:rsidRPr="00E62FE6">
        <w:t>that</w:t>
      </w:r>
      <w:r w:rsidR="008243CA">
        <w:t xml:space="preserve"> </w:t>
      </w:r>
      <w:r w:rsidRPr="00E62FE6">
        <w:t>regard,</w:t>
      </w:r>
      <w:r w:rsidR="008243CA">
        <w:t xml:space="preserve"> </w:t>
      </w:r>
      <w:r w:rsidRPr="00E62FE6">
        <w:t>both</w:t>
      </w:r>
      <w:r w:rsidR="008243CA">
        <w:t xml:space="preserve"> </w:t>
      </w:r>
      <w:r w:rsidRPr="00E62FE6">
        <w:t>the</w:t>
      </w:r>
      <w:r w:rsidR="008243CA">
        <w:t xml:space="preserve"> </w:t>
      </w:r>
      <w:r w:rsidRPr="00E62FE6">
        <w:t>Public</w:t>
      </w:r>
      <w:r w:rsidR="008243CA">
        <w:t xml:space="preserve"> </w:t>
      </w:r>
      <w:r w:rsidRPr="00E62FE6">
        <w:t>Criminal</w:t>
      </w:r>
      <w:r w:rsidR="008243CA">
        <w:t xml:space="preserve"> </w:t>
      </w:r>
      <w:r w:rsidRPr="00E62FE6">
        <w:t>Defender</w:t>
      </w:r>
      <w:r w:rsidR="008243CA">
        <w:t xml:space="preserve"> </w:t>
      </w:r>
      <w:r w:rsidRPr="00E62FE6">
        <w:t>Service</w:t>
      </w:r>
      <w:r w:rsidR="008243CA">
        <w:t xml:space="preserve"> </w:t>
      </w:r>
      <w:r w:rsidRPr="00E62FE6">
        <w:t>and</w:t>
      </w:r>
      <w:r w:rsidR="008243CA">
        <w:t xml:space="preserve"> </w:t>
      </w:r>
      <w:r w:rsidRPr="00E62FE6">
        <w:t>the</w:t>
      </w:r>
      <w:r w:rsidR="008243CA">
        <w:t xml:space="preserve"> </w:t>
      </w:r>
      <w:r w:rsidRPr="00E62FE6">
        <w:t>Public</w:t>
      </w:r>
      <w:r w:rsidR="008243CA">
        <w:t xml:space="preserve"> </w:t>
      </w:r>
      <w:r w:rsidRPr="00E62FE6">
        <w:t>Prosecution</w:t>
      </w:r>
      <w:r w:rsidR="008243CA">
        <w:t xml:space="preserve"> </w:t>
      </w:r>
      <w:r w:rsidRPr="00E62FE6">
        <w:t>Service</w:t>
      </w:r>
      <w:r w:rsidR="008243CA">
        <w:t xml:space="preserve"> </w:t>
      </w:r>
      <w:r w:rsidRPr="00E62FE6">
        <w:t>hold</w:t>
      </w:r>
      <w:r w:rsidR="008243CA">
        <w:t xml:space="preserve"> </w:t>
      </w:r>
      <w:r w:rsidRPr="00E62FE6">
        <w:t>seats</w:t>
      </w:r>
      <w:r w:rsidR="008243CA">
        <w:t xml:space="preserve"> </w:t>
      </w:r>
      <w:r w:rsidRPr="00E62FE6">
        <w:t>on</w:t>
      </w:r>
      <w:r w:rsidR="008243CA">
        <w:t xml:space="preserve"> </w:t>
      </w:r>
      <w:r w:rsidRPr="00E62FE6">
        <w:t>the</w:t>
      </w:r>
      <w:r w:rsidR="008243CA">
        <w:t xml:space="preserve"> </w:t>
      </w:r>
      <w:r w:rsidRPr="00E62FE6">
        <w:t>Torture</w:t>
      </w:r>
      <w:r w:rsidR="008243CA">
        <w:t xml:space="preserve"> </w:t>
      </w:r>
      <w:r w:rsidRPr="00E62FE6">
        <w:t>Prevention</w:t>
      </w:r>
      <w:r w:rsidR="008243CA">
        <w:t xml:space="preserve"> </w:t>
      </w:r>
      <w:r w:rsidRPr="00E62FE6">
        <w:t>Committee</w:t>
      </w:r>
      <w:r w:rsidR="008243CA">
        <w:t xml:space="preserve"> </w:t>
      </w:r>
      <w:r w:rsidRPr="00E62FE6">
        <w:t>set</w:t>
      </w:r>
      <w:r w:rsidR="008243CA">
        <w:t xml:space="preserve"> </w:t>
      </w:r>
      <w:r w:rsidRPr="00E62FE6">
        <w:t>up</w:t>
      </w:r>
      <w:r w:rsidR="008243CA">
        <w:t xml:space="preserve"> </w:t>
      </w:r>
      <w:r w:rsidRPr="00E62FE6">
        <w:t>by</w:t>
      </w:r>
      <w:r w:rsidR="008243CA">
        <w:t xml:space="preserve"> </w:t>
      </w:r>
      <w:r w:rsidRPr="00E62FE6">
        <w:t>the</w:t>
      </w:r>
      <w:r w:rsidR="008243CA">
        <w:t xml:space="preserve"> </w:t>
      </w:r>
      <w:r w:rsidRPr="00E62FE6">
        <w:t>National</w:t>
      </w:r>
      <w:r w:rsidR="008243CA">
        <w:t xml:space="preserve"> </w:t>
      </w:r>
      <w:r w:rsidRPr="00E62FE6">
        <w:t>Human</w:t>
      </w:r>
      <w:r w:rsidR="008243CA">
        <w:t xml:space="preserve"> </w:t>
      </w:r>
      <w:r w:rsidRPr="00E62FE6">
        <w:t>Rights</w:t>
      </w:r>
      <w:r w:rsidR="008243CA">
        <w:t xml:space="preserve"> </w:t>
      </w:r>
      <w:r w:rsidRPr="00E62FE6">
        <w:t>Institute</w:t>
      </w:r>
      <w:r w:rsidR="008243CA">
        <w:t xml:space="preserve"> </w:t>
      </w:r>
      <w:r w:rsidRPr="00E62FE6">
        <w:t>in</w:t>
      </w:r>
      <w:r w:rsidR="008243CA">
        <w:t xml:space="preserve"> </w:t>
      </w:r>
      <w:r w:rsidRPr="00E62FE6">
        <w:t>October</w:t>
      </w:r>
      <w:r w:rsidR="008243CA">
        <w:t xml:space="preserve"> </w:t>
      </w:r>
      <w:r w:rsidRPr="00E62FE6">
        <w:t>2016.</w:t>
      </w:r>
      <w:r w:rsidR="008243CA">
        <w:t xml:space="preserve"> </w:t>
      </w:r>
      <w:r w:rsidRPr="00E62FE6">
        <w:t>The</w:t>
      </w:r>
      <w:r w:rsidR="008243CA">
        <w:t xml:space="preserve"> </w:t>
      </w:r>
      <w:r w:rsidRPr="00E62FE6">
        <w:t>aim</w:t>
      </w:r>
      <w:r w:rsidR="008243CA">
        <w:t xml:space="preserve"> </w:t>
      </w:r>
      <w:r w:rsidRPr="00E62FE6">
        <w:t>of</w:t>
      </w:r>
      <w:r w:rsidR="008243CA">
        <w:t xml:space="preserve"> </w:t>
      </w:r>
      <w:r w:rsidRPr="00E62FE6">
        <w:t>the</w:t>
      </w:r>
      <w:r w:rsidR="008243CA">
        <w:t xml:space="preserve"> </w:t>
      </w:r>
      <w:r w:rsidRPr="00E62FE6">
        <w:t>Committee</w:t>
      </w:r>
      <w:r w:rsidR="008243CA">
        <w:t xml:space="preserve"> </w:t>
      </w:r>
      <w:r w:rsidRPr="00E62FE6">
        <w:t>is</w:t>
      </w:r>
      <w:r w:rsidR="008243CA">
        <w:t xml:space="preserve"> </w:t>
      </w:r>
      <w:r w:rsidRPr="00E62FE6">
        <w:t>to</w:t>
      </w:r>
      <w:r w:rsidR="008243CA">
        <w:t xml:space="preserve"> </w:t>
      </w:r>
      <w:r w:rsidRPr="00E62FE6">
        <w:t>create</w:t>
      </w:r>
      <w:r w:rsidR="008243CA">
        <w:t xml:space="preserve"> </w:t>
      </w:r>
      <w:r w:rsidRPr="00E62FE6">
        <w:t>an</w:t>
      </w:r>
      <w:r w:rsidR="008243CA">
        <w:t xml:space="preserve"> </w:t>
      </w:r>
      <w:r w:rsidRPr="00E62FE6">
        <w:t>environment</w:t>
      </w:r>
      <w:r w:rsidR="008243CA">
        <w:t xml:space="preserve"> </w:t>
      </w:r>
      <w:r w:rsidRPr="00E62FE6">
        <w:t>to</w:t>
      </w:r>
      <w:r w:rsidR="008243CA">
        <w:t xml:space="preserve"> </w:t>
      </w:r>
      <w:r w:rsidRPr="00E62FE6">
        <w:t>encourage</w:t>
      </w:r>
      <w:r w:rsidR="008243CA">
        <w:t xml:space="preserve"> </w:t>
      </w:r>
      <w:r w:rsidRPr="00E62FE6">
        <w:t>State</w:t>
      </w:r>
      <w:r w:rsidR="008243CA">
        <w:t xml:space="preserve"> </w:t>
      </w:r>
      <w:r w:rsidRPr="00E62FE6">
        <w:t>institutions</w:t>
      </w:r>
      <w:r w:rsidR="008243CA">
        <w:t xml:space="preserve"> </w:t>
      </w:r>
      <w:r w:rsidRPr="00E62FE6">
        <w:t>to</w:t>
      </w:r>
      <w:r w:rsidR="008243CA">
        <w:t xml:space="preserve"> </w:t>
      </w:r>
      <w:r w:rsidRPr="00E62FE6">
        <w:t>comply</w:t>
      </w:r>
      <w:r w:rsidR="008243CA">
        <w:t xml:space="preserve"> </w:t>
      </w:r>
      <w:r w:rsidRPr="00E62FE6">
        <w:t>with</w:t>
      </w:r>
      <w:r w:rsidR="008243CA">
        <w:t xml:space="preserve"> </w:t>
      </w:r>
      <w:r w:rsidRPr="00E62FE6">
        <w:t>their</w:t>
      </w:r>
      <w:r w:rsidR="008243CA">
        <w:t xml:space="preserve"> </w:t>
      </w:r>
      <w:r w:rsidRPr="00E62FE6">
        <w:t>international</w:t>
      </w:r>
      <w:r w:rsidR="008243CA">
        <w:t xml:space="preserve"> </w:t>
      </w:r>
      <w:r w:rsidRPr="00E62FE6">
        <w:t>obligations</w:t>
      </w:r>
      <w:r w:rsidR="008243CA">
        <w:t xml:space="preserve"> </w:t>
      </w:r>
      <w:r w:rsidRPr="00E62FE6">
        <w:t>in</w:t>
      </w:r>
      <w:r w:rsidR="008243CA">
        <w:t xml:space="preserve"> </w:t>
      </w:r>
      <w:r w:rsidRPr="00E62FE6">
        <w:t>that</w:t>
      </w:r>
      <w:r w:rsidR="008243CA">
        <w:t xml:space="preserve"> </w:t>
      </w:r>
      <w:r w:rsidRPr="00E62FE6">
        <w:t>regard.</w:t>
      </w:r>
      <w:r w:rsidR="008243CA">
        <w:t xml:space="preserve"> </w:t>
      </w:r>
      <w:r w:rsidRPr="00E62FE6">
        <w:t>One</w:t>
      </w:r>
      <w:r w:rsidR="008243CA">
        <w:t xml:space="preserve"> </w:t>
      </w:r>
      <w:r w:rsidRPr="00E62FE6">
        <w:t>of</w:t>
      </w:r>
      <w:r w:rsidR="008243CA">
        <w:t xml:space="preserve"> </w:t>
      </w:r>
      <w:r w:rsidRPr="00E62FE6">
        <w:t>the</w:t>
      </w:r>
      <w:r w:rsidR="008243CA">
        <w:t xml:space="preserve"> </w:t>
      </w:r>
      <w:r w:rsidRPr="00E62FE6">
        <w:t>working</w:t>
      </w:r>
      <w:r w:rsidR="008243CA">
        <w:t xml:space="preserve"> </w:t>
      </w:r>
      <w:r w:rsidRPr="00E62FE6">
        <w:t>groups</w:t>
      </w:r>
      <w:r w:rsidR="008243CA">
        <w:t xml:space="preserve"> </w:t>
      </w:r>
      <w:r w:rsidRPr="00E62FE6">
        <w:t>will</w:t>
      </w:r>
      <w:r w:rsidR="008243CA">
        <w:t xml:space="preserve"> </w:t>
      </w:r>
      <w:r w:rsidRPr="00E62FE6">
        <w:t>focus</w:t>
      </w:r>
      <w:r w:rsidR="008243CA">
        <w:t xml:space="preserve"> </w:t>
      </w:r>
      <w:r w:rsidRPr="00E62FE6">
        <w:t>on</w:t>
      </w:r>
      <w:r w:rsidR="008243CA">
        <w:t xml:space="preserve"> </w:t>
      </w:r>
      <w:r w:rsidRPr="00E62FE6">
        <w:t>cases</w:t>
      </w:r>
      <w:r w:rsidR="008243CA">
        <w:t xml:space="preserve"> </w:t>
      </w:r>
      <w:r w:rsidRPr="00E62FE6">
        <w:t>of</w:t>
      </w:r>
      <w:r w:rsidR="008243CA">
        <w:t xml:space="preserve"> </w:t>
      </w:r>
      <w:r w:rsidRPr="00E62FE6">
        <w:t>torture,</w:t>
      </w:r>
      <w:r w:rsidR="008243CA">
        <w:t xml:space="preserve"> </w:t>
      </w:r>
      <w:r w:rsidRPr="00E62FE6">
        <w:t>which</w:t>
      </w:r>
      <w:r w:rsidR="008243CA">
        <w:t xml:space="preserve"> </w:t>
      </w:r>
      <w:r w:rsidRPr="00E62FE6">
        <w:t>involves</w:t>
      </w:r>
      <w:r w:rsidR="008243CA">
        <w:t xml:space="preserve"> </w:t>
      </w:r>
      <w:r w:rsidRPr="00E62FE6">
        <w:t>establishing</w:t>
      </w:r>
      <w:r w:rsidR="008243CA">
        <w:t xml:space="preserve"> </w:t>
      </w:r>
      <w:r w:rsidRPr="00E62FE6">
        <w:t>protocols</w:t>
      </w:r>
      <w:r w:rsidR="008243CA">
        <w:t xml:space="preserve"> </w:t>
      </w:r>
      <w:r w:rsidRPr="00E62FE6">
        <w:t>for</w:t>
      </w:r>
      <w:r w:rsidR="008243CA">
        <w:t xml:space="preserve"> </w:t>
      </w:r>
      <w:r w:rsidRPr="00E62FE6">
        <w:t>both</w:t>
      </w:r>
      <w:r w:rsidR="008243CA">
        <w:t xml:space="preserve"> </w:t>
      </w:r>
      <w:r w:rsidRPr="00E62FE6">
        <w:t>institutions</w:t>
      </w:r>
      <w:r w:rsidR="008243CA">
        <w:t xml:space="preserve"> </w:t>
      </w:r>
      <w:r w:rsidRPr="00E62FE6">
        <w:t>when</w:t>
      </w:r>
      <w:r w:rsidR="008243CA">
        <w:t xml:space="preserve"> </w:t>
      </w:r>
      <w:r w:rsidRPr="00E62FE6">
        <w:t>dealing</w:t>
      </w:r>
      <w:r w:rsidR="008243CA">
        <w:t xml:space="preserve"> </w:t>
      </w:r>
      <w:r w:rsidRPr="00E62FE6">
        <w:t>with</w:t>
      </w:r>
      <w:r w:rsidR="008243CA">
        <w:t xml:space="preserve"> </w:t>
      </w:r>
      <w:r w:rsidRPr="00E62FE6">
        <w:t>such</w:t>
      </w:r>
      <w:r w:rsidR="008243CA">
        <w:t xml:space="preserve"> </w:t>
      </w:r>
      <w:r w:rsidRPr="00E62FE6">
        <w:t>cases.</w:t>
      </w:r>
      <w:r w:rsidR="008243CA">
        <w:t xml:space="preserve"> </w:t>
      </w:r>
      <w:r w:rsidRPr="00E62FE6">
        <w:t>In</w:t>
      </w:r>
      <w:r w:rsidR="008243CA">
        <w:t xml:space="preserve"> </w:t>
      </w:r>
      <w:r w:rsidRPr="00E62FE6">
        <w:t>addition,</w:t>
      </w:r>
      <w:r w:rsidR="008243CA">
        <w:t xml:space="preserve"> </w:t>
      </w:r>
      <w:r w:rsidRPr="00E62FE6">
        <w:t>the</w:t>
      </w:r>
      <w:r w:rsidR="008243CA">
        <w:t xml:space="preserve"> </w:t>
      </w:r>
      <w:r w:rsidRPr="00E62FE6">
        <w:t>Public</w:t>
      </w:r>
      <w:r w:rsidR="008243CA">
        <w:t xml:space="preserve"> </w:t>
      </w:r>
      <w:r w:rsidRPr="00E62FE6">
        <w:lastRenderedPageBreak/>
        <w:t>Criminal</w:t>
      </w:r>
      <w:r w:rsidR="008243CA">
        <w:t xml:space="preserve"> </w:t>
      </w:r>
      <w:r w:rsidRPr="00E62FE6">
        <w:t>Defender</w:t>
      </w:r>
      <w:r w:rsidR="008243CA">
        <w:t xml:space="preserve"> </w:t>
      </w:r>
      <w:r w:rsidRPr="00E62FE6">
        <w:t>Service,</w:t>
      </w:r>
      <w:r w:rsidR="008243CA">
        <w:t xml:space="preserve"> </w:t>
      </w:r>
      <w:r w:rsidRPr="00E62FE6">
        <w:t>the</w:t>
      </w:r>
      <w:r w:rsidR="008243CA">
        <w:t xml:space="preserve"> </w:t>
      </w:r>
      <w:r w:rsidRPr="00E62FE6">
        <w:t>Public</w:t>
      </w:r>
      <w:r w:rsidR="008243CA">
        <w:t xml:space="preserve"> </w:t>
      </w:r>
      <w:r w:rsidRPr="00E62FE6">
        <w:t>Prosecution</w:t>
      </w:r>
      <w:r w:rsidR="008243CA">
        <w:t xml:space="preserve"> </w:t>
      </w:r>
      <w:r w:rsidRPr="00E62FE6">
        <w:t>Service</w:t>
      </w:r>
      <w:r w:rsidR="008243CA">
        <w:t xml:space="preserve"> </w:t>
      </w:r>
      <w:r w:rsidRPr="00E62FE6">
        <w:t>and</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Justice</w:t>
      </w:r>
      <w:r w:rsidR="008243CA">
        <w:t xml:space="preserve"> </w:t>
      </w:r>
      <w:r w:rsidRPr="00E62FE6">
        <w:t>and</w:t>
      </w:r>
      <w:r w:rsidR="008243CA">
        <w:t xml:space="preserve"> </w:t>
      </w:r>
      <w:r w:rsidRPr="00E62FE6">
        <w:t>Human</w:t>
      </w:r>
      <w:r w:rsidR="008243CA">
        <w:t xml:space="preserve"> </w:t>
      </w:r>
      <w:r w:rsidRPr="00E62FE6">
        <w:t>Rights</w:t>
      </w:r>
      <w:r w:rsidR="008243CA">
        <w:t xml:space="preserve"> </w:t>
      </w:r>
      <w:r w:rsidRPr="00E62FE6">
        <w:t>will</w:t>
      </w:r>
      <w:r w:rsidR="008243CA">
        <w:t xml:space="preserve"> </w:t>
      </w:r>
      <w:r w:rsidRPr="00E62FE6">
        <w:t>hold</w:t>
      </w:r>
      <w:r w:rsidR="008243CA">
        <w:t xml:space="preserve"> </w:t>
      </w:r>
      <w:r w:rsidRPr="00E62FE6">
        <w:t>meetings</w:t>
      </w:r>
      <w:r w:rsidR="008243CA">
        <w:t xml:space="preserve"> </w:t>
      </w:r>
      <w:r w:rsidRPr="00E62FE6">
        <w:t>to</w:t>
      </w:r>
      <w:r w:rsidR="008243CA">
        <w:t xml:space="preserve"> </w:t>
      </w:r>
      <w:r w:rsidRPr="00E62FE6">
        <w:t>identify</w:t>
      </w:r>
      <w:r w:rsidR="008243CA">
        <w:t xml:space="preserve"> </w:t>
      </w:r>
      <w:r w:rsidRPr="00E62FE6">
        <w:t>the</w:t>
      </w:r>
      <w:r w:rsidR="008243CA">
        <w:t xml:space="preserve"> </w:t>
      </w:r>
      <w:r w:rsidRPr="00E62FE6">
        <w:t>various</w:t>
      </w:r>
      <w:r w:rsidR="008243CA">
        <w:t xml:space="preserve"> </w:t>
      </w:r>
      <w:r w:rsidRPr="00E62FE6">
        <w:t>aspects</w:t>
      </w:r>
      <w:r w:rsidR="008243CA">
        <w:t xml:space="preserve"> </w:t>
      </w:r>
      <w:r w:rsidRPr="00E62FE6">
        <w:t>of</w:t>
      </w:r>
      <w:r w:rsidR="008243CA">
        <w:t xml:space="preserve"> </w:t>
      </w:r>
      <w:r w:rsidRPr="00E62FE6">
        <w:t>torture</w:t>
      </w:r>
      <w:r w:rsidR="008243CA">
        <w:t xml:space="preserve"> </w:t>
      </w:r>
      <w:r w:rsidRPr="00E62FE6">
        <w:t>that</w:t>
      </w:r>
      <w:r w:rsidR="008243CA">
        <w:t xml:space="preserve"> </w:t>
      </w:r>
      <w:r w:rsidRPr="00E62FE6">
        <w:t>require</w:t>
      </w:r>
      <w:r w:rsidR="008243CA">
        <w:t xml:space="preserve"> </w:t>
      </w:r>
      <w:r w:rsidRPr="00E62FE6">
        <w:t>the</w:t>
      </w:r>
      <w:r w:rsidR="008243CA">
        <w:t xml:space="preserve"> </w:t>
      </w:r>
      <w:r w:rsidRPr="00E62FE6">
        <w:t>development</w:t>
      </w:r>
      <w:r w:rsidR="008243CA">
        <w:t xml:space="preserve"> </w:t>
      </w:r>
      <w:r w:rsidRPr="00E62FE6">
        <w:t>of</w:t>
      </w:r>
      <w:r w:rsidR="008243CA">
        <w:t xml:space="preserve"> </w:t>
      </w:r>
      <w:r w:rsidRPr="00E62FE6">
        <w:t>joint</w:t>
      </w:r>
      <w:r w:rsidR="008243CA">
        <w:t xml:space="preserve"> </w:t>
      </w:r>
      <w:r w:rsidRPr="00E62FE6">
        <w:t>instruments,</w:t>
      </w:r>
      <w:r w:rsidR="008243CA">
        <w:t xml:space="preserve"> </w:t>
      </w:r>
      <w:r w:rsidRPr="00E62FE6">
        <w:t>such</w:t>
      </w:r>
      <w:r w:rsidR="008243CA">
        <w:t xml:space="preserve"> </w:t>
      </w:r>
      <w:r w:rsidRPr="00E62FE6">
        <w:t>as</w:t>
      </w:r>
      <w:r w:rsidR="008243CA">
        <w:t xml:space="preserve"> </w:t>
      </w:r>
      <w:r w:rsidRPr="00E62FE6">
        <w:t>protocols.</w:t>
      </w:r>
      <w:r w:rsidR="008243CA">
        <w:t xml:space="preserve"> </w:t>
      </w:r>
      <w:r w:rsidRPr="00E62FE6">
        <w:t>These</w:t>
      </w:r>
      <w:r w:rsidR="008243CA">
        <w:t xml:space="preserve"> </w:t>
      </w:r>
      <w:r w:rsidRPr="00E62FE6">
        <w:t>policy</w:t>
      </w:r>
      <w:r w:rsidR="008243CA">
        <w:t xml:space="preserve"> </w:t>
      </w:r>
      <w:r w:rsidRPr="00E62FE6">
        <w:t>documents</w:t>
      </w:r>
      <w:r w:rsidR="008243CA">
        <w:t xml:space="preserve"> </w:t>
      </w:r>
      <w:r w:rsidRPr="00E62FE6">
        <w:t>will</w:t>
      </w:r>
      <w:r w:rsidR="008243CA">
        <w:t xml:space="preserve"> </w:t>
      </w:r>
      <w:r w:rsidRPr="00E62FE6">
        <w:t>be</w:t>
      </w:r>
      <w:r w:rsidR="008243CA">
        <w:t xml:space="preserve"> </w:t>
      </w:r>
      <w:r w:rsidRPr="00E62FE6">
        <w:t>in</w:t>
      </w:r>
      <w:r w:rsidR="008243CA">
        <w:t xml:space="preserve"> </w:t>
      </w:r>
      <w:r w:rsidRPr="00E62FE6">
        <w:t>effect</w:t>
      </w:r>
      <w:r w:rsidR="008243CA">
        <w:t xml:space="preserve"> </w:t>
      </w:r>
      <w:r w:rsidRPr="00E62FE6">
        <w:t>by</w:t>
      </w:r>
      <w:r w:rsidR="008243CA">
        <w:t xml:space="preserve"> </w:t>
      </w:r>
      <w:r w:rsidRPr="00E62FE6">
        <w:t>mid-2017.</w:t>
      </w:r>
      <w:bookmarkStart w:id="65" w:name="page25"/>
      <w:bookmarkEnd w:id="65"/>
    </w:p>
    <w:p w:rsidR="003F7D03" w:rsidRPr="00E62FE6" w:rsidRDefault="003F7D03" w:rsidP="00D96C56">
      <w:pPr>
        <w:pStyle w:val="H23G"/>
      </w:pPr>
      <w:r w:rsidRPr="00E62FE6">
        <w:tab/>
      </w:r>
      <w:bookmarkStart w:id="66" w:name="_Toc512870691"/>
      <w:bookmarkStart w:id="67" w:name="_Toc512870853"/>
      <w:r w:rsidRPr="00E62FE6">
        <w:t>3.1.3</w:t>
      </w:r>
      <w:r w:rsidRPr="00E62FE6">
        <w:tab/>
        <w:t>Training</w:t>
      </w:r>
      <w:r w:rsidR="008243CA">
        <w:t xml:space="preserve"> </w:t>
      </w:r>
      <w:r w:rsidRPr="00E62FE6">
        <w:t>on</w:t>
      </w:r>
      <w:r w:rsidR="008243CA">
        <w:t xml:space="preserve"> </w:t>
      </w:r>
      <w:r w:rsidRPr="00E62FE6">
        <w:t>the</w:t>
      </w:r>
      <w:r w:rsidR="008243CA">
        <w:t xml:space="preserve"> </w:t>
      </w:r>
      <w:r w:rsidRPr="00E62FE6">
        <w:t>Istanbul</w:t>
      </w:r>
      <w:r w:rsidR="008243CA">
        <w:t xml:space="preserve"> </w:t>
      </w:r>
      <w:r w:rsidRPr="00E62FE6">
        <w:t>Protocol</w:t>
      </w:r>
      <w:bookmarkEnd w:id="66"/>
      <w:bookmarkEnd w:id="67"/>
    </w:p>
    <w:p w:rsidR="003F7D03" w:rsidRPr="00D96C56" w:rsidRDefault="003F7D03" w:rsidP="000C6D98">
      <w:pPr>
        <w:pStyle w:val="SingleTxtG"/>
        <w:rPr>
          <w:i/>
          <w:iCs/>
        </w:rPr>
      </w:pPr>
      <w:r w:rsidRPr="00E62FE6">
        <w:t>83.</w:t>
      </w:r>
      <w:r w:rsidRPr="00E62FE6">
        <w:tab/>
        <w:t>Paragraph</w:t>
      </w:r>
      <w:r w:rsidR="008243CA">
        <w:t xml:space="preserve"> </w:t>
      </w:r>
      <w:r w:rsidRPr="00E62FE6">
        <w:t>28</w:t>
      </w:r>
      <w:r w:rsidR="008243CA">
        <w:t xml:space="preserve"> </w:t>
      </w:r>
      <w:r w:rsidRPr="00E62FE6">
        <w:t>(c):</w:t>
      </w:r>
      <w:r w:rsidR="008243CA">
        <w:t xml:space="preserve"> </w:t>
      </w:r>
      <w:r w:rsidRPr="00D96C56">
        <w:rPr>
          <w:i/>
          <w:iCs/>
        </w:rPr>
        <w:t>Since</w:t>
      </w:r>
      <w:r w:rsidR="008243CA" w:rsidRPr="00D96C56">
        <w:rPr>
          <w:i/>
          <w:iCs/>
        </w:rPr>
        <w:t xml:space="preserve"> </w:t>
      </w:r>
      <w:r w:rsidRPr="00D96C56">
        <w:rPr>
          <w:i/>
          <w:iCs/>
        </w:rPr>
        <w:t>the</w:t>
      </w:r>
      <w:r w:rsidR="008243CA" w:rsidRPr="00D96C56">
        <w:rPr>
          <w:i/>
          <w:iCs/>
        </w:rPr>
        <w:t xml:space="preserve"> </w:t>
      </w:r>
      <w:r w:rsidRPr="00D96C56">
        <w:rPr>
          <w:i/>
          <w:iCs/>
        </w:rPr>
        <w:t>Subcommittee</w:t>
      </w:r>
      <w:r w:rsidR="008243CA" w:rsidRPr="00D96C56">
        <w:rPr>
          <w:i/>
          <w:iCs/>
        </w:rPr>
        <w:t xml:space="preserve"> </w:t>
      </w:r>
      <w:r w:rsidRPr="00D96C56">
        <w:rPr>
          <w:i/>
          <w:iCs/>
        </w:rPr>
        <w:t>considers</w:t>
      </w:r>
      <w:r w:rsidR="008243CA" w:rsidRPr="00D96C56">
        <w:rPr>
          <w:i/>
          <w:iCs/>
        </w:rPr>
        <w:t xml:space="preserve"> </w:t>
      </w:r>
      <w:r w:rsidRPr="00D96C56">
        <w:rPr>
          <w:i/>
          <w:iCs/>
        </w:rPr>
        <w:t>the</w:t>
      </w:r>
      <w:r w:rsidR="008243CA" w:rsidRPr="00D96C56">
        <w:rPr>
          <w:i/>
          <w:iCs/>
        </w:rPr>
        <w:t xml:space="preserve"> </w:t>
      </w:r>
      <w:r w:rsidRPr="00D96C56">
        <w:rPr>
          <w:i/>
          <w:iCs/>
        </w:rPr>
        <w:t>Public</w:t>
      </w:r>
      <w:r w:rsidR="008243CA" w:rsidRPr="00D96C56">
        <w:rPr>
          <w:i/>
          <w:iCs/>
        </w:rPr>
        <w:t xml:space="preserve"> </w:t>
      </w:r>
      <w:r w:rsidRPr="00D96C56">
        <w:rPr>
          <w:i/>
          <w:iCs/>
        </w:rPr>
        <w:t>Criminal</w:t>
      </w:r>
      <w:r w:rsidR="008243CA" w:rsidRPr="00D96C56">
        <w:rPr>
          <w:i/>
          <w:iCs/>
        </w:rPr>
        <w:t xml:space="preserve"> </w:t>
      </w:r>
      <w:r w:rsidRPr="00D96C56">
        <w:rPr>
          <w:i/>
          <w:iCs/>
        </w:rPr>
        <w:t>Defender</w:t>
      </w:r>
      <w:r w:rsidR="008243CA" w:rsidRPr="00D96C56">
        <w:rPr>
          <w:i/>
          <w:iCs/>
        </w:rPr>
        <w:t xml:space="preserve"> </w:t>
      </w:r>
      <w:r w:rsidRPr="00D96C56">
        <w:rPr>
          <w:i/>
          <w:iCs/>
        </w:rPr>
        <w:t>Service</w:t>
      </w:r>
      <w:r w:rsidR="008243CA" w:rsidRPr="00D96C56">
        <w:rPr>
          <w:i/>
          <w:iCs/>
        </w:rPr>
        <w:t xml:space="preserve"> </w:t>
      </w:r>
      <w:r w:rsidRPr="00D96C56">
        <w:rPr>
          <w:i/>
          <w:iCs/>
        </w:rPr>
        <w:t>and</w:t>
      </w:r>
      <w:r w:rsidR="008243CA" w:rsidRPr="00D96C56">
        <w:rPr>
          <w:i/>
          <w:iCs/>
        </w:rPr>
        <w:t xml:space="preserve"> </w:t>
      </w:r>
      <w:r w:rsidRPr="00D96C56">
        <w:rPr>
          <w:i/>
          <w:iCs/>
        </w:rPr>
        <w:t>the</w:t>
      </w:r>
      <w:r w:rsidR="008243CA" w:rsidRPr="00D96C56">
        <w:rPr>
          <w:i/>
          <w:iCs/>
        </w:rPr>
        <w:t xml:space="preserve"> </w:t>
      </w:r>
      <w:r w:rsidRPr="00D96C56">
        <w:rPr>
          <w:i/>
          <w:iCs/>
        </w:rPr>
        <w:t>Attorney</w:t>
      </w:r>
      <w:r w:rsidR="008243CA" w:rsidRPr="00D96C56">
        <w:rPr>
          <w:i/>
          <w:iCs/>
        </w:rPr>
        <w:t xml:space="preserve"> </w:t>
      </w:r>
      <w:r w:rsidRPr="00D96C56">
        <w:rPr>
          <w:i/>
          <w:iCs/>
        </w:rPr>
        <w:t>General</w:t>
      </w:r>
      <w:r w:rsidR="00116F0B">
        <w:rPr>
          <w:i/>
          <w:iCs/>
        </w:rPr>
        <w:t>’</w:t>
      </w:r>
      <w:r w:rsidRPr="00D96C56">
        <w:rPr>
          <w:i/>
          <w:iCs/>
        </w:rPr>
        <w:t>s</w:t>
      </w:r>
      <w:r w:rsidR="008243CA" w:rsidRPr="00D96C56">
        <w:rPr>
          <w:i/>
          <w:iCs/>
        </w:rPr>
        <w:t xml:space="preserve"> </w:t>
      </w:r>
      <w:r w:rsidRPr="00D96C56">
        <w:rPr>
          <w:i/>
          <w:iCs/>
        </w:rPr>
        <w:t>Office</w:t>
      </w:r>
      <w:r w:rsidR="008243CA" w:rsidRPr="00D96C56">
        <w:rPr>
          <w:i/>
          <w:iCs/>
        </w:rPr>
        <w:t xml:space="preserve"> </w:t>
      </w:r>
      <w:r w:rsidRPr="00D96C56">
        <w:rPr>
          <w:i/>
          <w:iCs/>
        </w:rPr>
        <w:t>to</w:t>
      </w:r>
      <w:r w:rsidR="008243CA" w:rsidRPr="00D96C56">
        <w:rPr>
          <w:i/>
          <w:iCs/>
        </w:rPr>
        <w:t xml:space="preserve"> </w:t>
      </w:r>
      <w:r w:rsidRPr="00D96C56">
        <w:rPr>
          <w:i/>
          <w:iCs/>
        </w:rPr>
        <w:t>be</w:t>
      </w:r>
      <w:r w:rsidR="008243CA" w:rsidRPr="00D96C56">
        <w:rPr>
          <w:i/>
          <w:iCs/>
        </w:rPr>
        <w:t xml:space="preserve"> </w:t>
      </w:r>
      <w:r w:rsidRPr="00D96C56">
        <w:rPr>
          <w:i/>
          <w:iCs/>
        </w:rPr>
        <w:t>institutions</w:t>
      </w:r>
      <w:r w:rsidR="008243CA" w:rsidRPr="00D96C56">
        <w:rPr>
          <w:i/>
          <w:iCs/>
        </w:rPr>
        <w:t xml:space="preserve"> </w:t>
      </w:r>
      <w:r w:rsidRPr="00D96C56">
        <w:rPr>
          <w:i/>
          <w:iCs/>
        </w:rPr>
        <w:t>that</w:t>
      </w:r>
      <w:r w:rsidR="008243CA" w:rsidRPr="00D96C56">
        <w:rPr>
          <w:i/>
          <w:iCs/>
        </w:rPr>
        <w:t xml:space="preserve"> </w:t>
      </w:r>
      <w:r w:rsidRPr="00D96C56">
        <w:rPr>
          <w:i/>
          <w:iCs/>
        </w:rPr>
        <w:t>play</w:t>
      </w:r>
      <w:r w:rsidR="008243CA" w:rsidRPr="00D96C56">
        <w:rPr>
          <w:i/>
          <w:iCs/>
        </w:rPr>
        <w:t xml:space="preserve"> </w:t>
      </w:r>
      <w:r w:rsidRPr="00D96C56">
        <w:rPr>
          <w:i/>
          <w:iCs/>
        </w:rPr>
        <w:t>a</w:t>
      </w:r>
      <w:r w:rsidR="008243CA" w:rsidRPr="00D96C56">
        <w:rPr>
          <w:i/>
          <w:iCs/>
        </w:rPr>
        <w:t xml:space="preserve"> </w:t>
      </w:r>
      <w:r w:rsidRPr="00D96C56">
        <w:rPr>
          <w:i/>
          <w:iCs/>
        </w:rPr>
        <w:t>critical</w:t>
      </w:r>
      <w:r w:rsidR="008243CA" w:rsidRPr="00D96C56">
        <w:rPr>
          <w:i/>
          <w:iCs/>
        </w:rPr>
        <w:t xml:space="preserve"> </w:t>
      </w:r>
      <w:r w:rsidRPr="00D96C56">
        <w:rPr>
          <w:i/>
          <w:iCs/>
        </w:rPr>
        <w:t>role</w:t>
      </w:r>
      <w:r w:rsidR="008243CA" w:rsidRPr="00D96C56">
        <w:rPr>
          <w:i/>
          <w:iCs/>
        </w:rPr>
        <w:t xml:space="preserve"> </w:t>
      </w:r>
      <w:r w:rsidRPr="00D96C56">
        <w:rPr>
          <w:i/>
          <w:iCs/>
        </w:rPr>
        <w:t>in</w:t>
      </w:r>
      <w:r w:rsidR="008243CA" w:rsidRPr="00D96C56">
        <w:rPr>
          <w:i/>
          <w:iCs/>
        </w:rPr>
        <w:t xml:space="preserve"> </w:t>
      </w:r>
      <w:r w:rsidRPr="00D96C56">
        <w:rPr>
          <w:i/>
          <w:iCs/>
        </w:rPr>
        <w:t>the</w:t>
      </w:r>
      <w:r w:rsidR="008243CA" w:rsidRPr="00D96C56">
        <w:rPr>
          <w:i/>
          <w:iCs/>
        </w:rPr>
        <w:t xml:space="preserve"> </w:t>
      </w:r>
      <w:r w:rsidRPr="00D96C56">
        <w:rPr>
          <w:i/>
          <w:iCs/>
        </w:rPr>
        <w:t>detection</w:t>
      </w:r>
      <w:r w:rsidR="008243CA" w:rsidRPr="00D96C56">
        <w:rPr>
          <w:i/>
          <w:iCs/>
        </w:rPr>
        <w:t xml:space="preserve"> </w:t>
      </w:r>
      <w:r w:rsidRPr="00D96C56">
        <w:rPr>
          <w:i/>
          <w:iCs/>
        </w:rPr>
        <w:t>of</w:t>
      </w:r>
      <w:r w:rsidR="008243CA" w:rsidRPr="00D96C56">
        <w:rPr>
          <w:i/>
          <w:iCs/>
        </w:rPr>
        <w:t xml:space="preserve"> </w:t>
      </w:r>
      <w:r w:rsidRPr="00D96C56">
        <w:rPr>
          <w:i/>
          <w:iCs/>
        </w:rPr>
        <w:t>torture</w:t>
      </w:r>
      <w:r w:rsidR="008243CA" w:rsidRPr="00D96C56">
        <w:rPr>
          <w:i/>
          <w:iCs/>
        </w:rPr>
        <w:t xml:space="preserve"> </w:t>
      </w:r>
      <w:r w:rsidRPr="00D96C56">
        <w:rPr>
          <w:i/>
          <w:iCs/>
        </w:rPr>
        <w:t>and</w:t>
      </w:r>
      <w:r w:rsidR="008243CA" w:rsidRPr="00D96C56">
        <w:rPr>
          <w:i/>
          <w:iCs/>
        </w:rPr>
        <w:t xml:space="preserve"> </w:t>
      </w:r>
      <w:r w:rsidRPr="00D96C56">
        <w:rPr>
          <w:i/>
          <w:iCs/>
        </w:rPr>
        <w:t>ill-treatment,</w:t>
      </w:r>
      <w:r w:rsidR="008243CA" w:rsidRPr="00D96C56">
        <w:rPr>
          <w:i/>
          <w:iCs/>
        </w:rPr>
        <w:t xml:space="preserve"> </w:t>
      </w:r>
      <w:r w:rsidRPr="00D96C56">
        <w:rPr>
          <w:i/>
          <w:iCs/>
        </w:rPr>
        <w:t>the</w:t>
      </w:r>
      <w:r w:rsidR="008243CA" w:rsidRPr="00D96C56">
        <w:rPr>
          <w:i/>
          <w:iCs/>
        </w:rPr>
        <w:t xml:space="preserve"> </w:t>
      </w:r>
      <w:r w:rsidRPr="00D96C56">
        <w:rPr>
          <w:i/>
          <w:iCs/>
        </w:rPr>
        <w:t>Subcommittee</w:t>
      </w:r>
      <w:r w:rsidR="008243CA" w:rsidRPr="00D96C56">
        <w:rPr>
          <w:i/>
          <w:iCs/>
        </w:rPr>
        <w:t xml:space="preserve"> </w:t>
      </w:r>
      <w:r w:rsidRPr="00D96C56">
        <w:rPr>
          <w:i/>
          <w:iCs/>
        </w:rPr>
        <w:t>recommends</w:t>
      </w:r>
      <w:r w:rsidR="008243CA" w:rsidRPr="00D96C56">
        <w:rPr>
          <w:i/>
          <w:iCs/>
        </w:rPr>
        <w:t xml:space="preserve"> </w:t>
      </w:r>
      <w:r w:rsidRPr="00D96C56">
        <w:rPr>
          <w:i/>
          <w:iCs/>
        </w:rPr>
        <w:t>that</w:t>
      </w:r>
      <w:r w:rsidR="008243CA" w:rsidRPr="00D96C56">
        <w:rPr>
          <w:i/>
          <w:iCs/>
        </w:rPr>
        <w:t xml:space="preserve"> </w:t>
      </w:r>
      <w:r w:rsidRPr="00D96C56">
        <w:rPr>
          <w:i/>
          <w:iCs/>
        </w:rPr>
        <w:t>the</w:t>
      </w:r>
      <w:r w:rsidR="008243CA" w:rsidRPr="00D96C56">
        <w:rPr>
          <w:i/>
          <w:iCs/>
        </w:rPr>
        <w:t xml:space="preserve"> </w:t>
      </w:r>
      <w:r w:rsidRPr="00D96C56">
        <w:rPr>
          <w:i/>
          <w:iCs/>
        </w:rPr>
        <w:t>State</w:t>
      </w:r>
      <w:r w:rsidR="008243CA" w:rsidRPr="00D96C56">
        <w:rPr>
          <w:i/>
          <w:iCs/>
        </w:rPr>
        <w:t xml:space="preserve"> </w:t>
      </w:r>
      <w:r w:rsidRPr="00D96C56">
        <w:rPr>
          <w:i/>
          <w:iCs/>
        </w:rPr>
        <w:t>party:</w:t>
      </w:r>
      <w:r w:rsidR="008243CA" w:rsidRPr="00D96C56">
        <w:rPr>
          <w:i/>
          <w:iCs/>
        </w:rPr>
        <w:t xml:space="preserve"> </w:t>
      </w:r>
      <w:r w:rsidRPr="00D96C56">
        <w:rPr>
          <w:i/>
          <w:iCs/>
        </w:rPr>
        <w:t>train</w:t>
      </w:r>
      <w:r w:rsidR="008243CA" w:rsidRPr="00D96C56">
        <w:rPr>
          <w:i/>
          <w:iCs/>
        </w:rPr>
        <w:t xml:space="preserve"> </w:t>
      </w:r>
      <w:r w:rsidRPr="00D96C56">
        <w:rPr>
          <w:i/>
          <w:iCs/>
        </w:rPr>
        <w:t>all</w:t>
      </w:r>
      <w:r w:rsidR="008243CA" w:rsidRPr="00D96C56">
        <w:rPr>
          <w:i/>
          <w:iCs/>
        </w:rPr>
        <w:t xml:space="preserve"> </w:t>
      </w:r>
      <w:r w:rsidRPr="00D96C56">
        <w:rPr>
          <w:i/>
          <w:iCs/>
        </w:rPr>
        <w:t>relevant</w:t>
      </w:r>
      <w:r w:rsidR="008243CA" w:rsidRPr="00D96C56">
        <w:rPr>
          <w:i/>
          <w:iCs/>
        </w:rPr>
        <w:t xml:space="preserve"> </w:t>
      </w:r>
      <w:r w:rsidRPr="00D96C56">
        <w:rPr>
          <w:i/>
          <w:iCs/>
        </w:rPr>
        <w:t>justice</w:t>
      </w:r>
      <w:r w:rsidR="008243CA" w:rsidRPr="00D96C56">
        <w:rPr>
          <w:i/>
          <w:iCs/>
        </w:rPr>
        <w:t xml:space="preserve"> </w:t>
      </w:r>
      <w:r w:rsidRPr="00D96C56">
        <w:rPr>
          <w:i/>
          <w:iCs/>
        </w:rPr>
        <w:t>officials</w:t>
      </w:r>
      <w:r w:rsidR="008243CA" w:rsidRPr="00D96C56">
        <w:rPr>
          <w:i/>
          <w:iCs/>
        </w:rPr>
        <w:t xml:space="preserve"> </w:t>
      </w:r>
      <w:r w:rsidRPr="00D96C56">
        <w:rPr>
          <w:i/>
          <w:iCs/>
        </w:rPr>
        <w:t>to</w:t>
      </w:r>
      <w:r w:rsidR="008243CA" w:rsidRPr="00D96C56">
        <w:rPr>
          <w:i/>
          <w:iCs/>
        </w:rPr>
        <w:t xml:space="preserve"> </w:t>
      </w:r>
      <w:r w:rsidRPr="00D96C56">
        <w:rPr>
          <w:i/>
          <w:iCs/>
        </w:rPr>
        <w:t>ensure</w:t>
      </w:r>
      <w:r w:rsidR="008243CA" w:rsidRPr="00D96C56">
        <w:rPr>
          <w:i/>
          <w:iCs/>
        </w:rPr>
        <w:t xml:space="preserve"> </w:t>
      </w:r>
      <w:r w:rsidRPr="00D96C56">
        <w:rPr>
          <w:i/>
          <w:iCs/>
        </w:rPr>
        <w:t>the</w:t>
      </w:r>
      <w:r w:rsidR="008243CA" w:rsidRPr="00D96C56">
        <w:rPr>
          <w:i/>
          <w:iCs/>
        </w:rPr>
        <w:t xml:space="preserve"> </w:t>
      </w:r>
      <w:r w:rsidRPr="00D96C56">
        <w:rPr>
          <w:i/>
          <w:iCs/>
        </w:rPr>
        <w:t>proper</w:t>
      </w:r>
      <w:r w:rsidR="008243CA" w:rsidRPr="00D96C56">
        <w:rPr>
          <w:i/>
          <w:iCs/>
        </w:rPr>
        <w:t xml:space="preserve"> </w:t>
      </w:r>
      <w:r w:rsidRPr="00D96C56">
        <w:rPr>
          <w:i/>
          <w:iCs/>
        </w:rPr>
        <w:t>application</w:t>
      </w:r>
      <w:r w:rsidR="008243CA" w:rsidRPr="00D96C56">
        <w:rPr>
          <w:i/>
          <w:iCs/>
        </w:rPr>
        <w:t xml:space="preserve"> </w:t>
      </w:r>
      <w:r w:rsidRPr="00D96C56">
        <w:rPr>
          <w:i/>
          <w:iCs/>
        </w:rPr>
        <w:t>of</w:t>
      </w:r>
      <w:r w:rsidR="008243CA" w:rsidRPr="00D96C56">
        <w:rPr>
          <w:i/>
          <w:iCs/>
        </w:rPr>
        <w:t xml:space="preserve"> </w:t>
      </w:r>
      <w:r w:rsidRPr="00D96C56">
        <w:rPr>
          <w:i/>
          <w:iCs/>
        </w:rPr>
        <w:t>the</w:t>
      </w:r>
      <w:r w:rsidR="008243CA" w:rsidRPr="00D96C56">
        <w:rPr>
          <w:i/>
          <w:iCs/>
        </w:rPr>
        <w:t xml:space="preserve"> </w:t>
      </w:r>
      <w:r w:rsidRPr="00D96C56">
        <w:rPr>
          <w:i/>
          <w:iCs/>
        </w:rPr>
        <w:t>Manual</w:t>
      </w:r>
      <w:r w:rsidR="008243CA" w:rsidRPr="00D96C56">
        <w:rPr>
          <w:i/>
          <w:iCs/>
        </w:rPr>
        <w:t xml:space="preserve"> </w:t>
      </w:r>
      <w:r w:rsidRPr="00D96C56">
        <w:rPr>
          <w:i/>
          <w:iCs/>
        </w:rPr>
        <w:t>on</w:t>
      </w:r>
      <w:r w:rsidR="008243CA" w:rsidRPr="00D96C56">
        <w:rPr>
          <w:i/>
          <w:iCs/>
        </w:rPr>
        <w:t xml:space="preserve"> </w:t>
      </w:r>
      <w:r w:rsidRPr="00D96C56">
        <w:rPr>
          <w:i/>
          <w:iCs/>
        </w:rPr>
        <w:t>the</w:t>
      </w:r>
      <w:r w:rsidR="008243CA" w:rsidRPr="00D96C56">
        <w:rPr>
          <w:i/>
          <w:iCs/>
        </w:rPr>
        <w:t xml:space="preserve"> </w:t>
      </w:r>
      <w:r w:rsidRPr="00D96C56">
        <w:rPr>
          <w:i/>
          <w:iCs/>
        </w:rPr>
        <w:t>Effective</w:t>
      </w:r>
      <w:r w:rsidR="008243CA" w:rsidRPr="00D96C56">
        <w:rPr>
          <w:i/>
          <w:iCs/>
        </w:rPr>
        <w:t xml:space="preserve"> </w:t>
      </w:r>
      <w:r w:rsidRPr="00D96C56">
        <w:rPr>
          <w:i/>
          <w:iCs/>
        </w:rPr>
        <w:t>Investigation</w:t>
      </w:r>
      <w:r w:rsidR="008243CA" w:rsidRPr="00D96C56">
        <w:rPr>
          <w:i/>
          <w:iCs/>
        </w:rPr>
        <w:t xml:space="preserve"> </w:t>
      </w:r>
      <w:r w:rsidRPr="00D96C56">
        <w:rPr>
          <w:i/>
          <w:iCs/>
        </w:rPr>
        <w:t>and</w:t>
      </w:r>
      <w:r w:rsidR="008243CA" w:rsidRPr="00D96C56">
        <w:rPr>
          <w:i/>
          <w:iCs/>
        </w:rPr>
        <w:t xml:space="preserve"> </w:t>
      </w:r>
      <w:r w:rsidRPr="00D96C56">
        <w:rPr>
          <w:i/>
          <w:iCs/>
        </w:rPr>
        <w:t>Documentation</w:t>
      </w:r>
      <w:r w:rsidR="008243CA" w:rsidRPr="00D96C56">
        <w:rPr>
          <w:i/>
          <w:iCs/>
        </w:rPr>
        <w:t xml:space="preserve"> </w:t>
      </w:r>
      <w:r w:rsidRPr="00D96C56">
        <w:rPr>
          <w:i/>
          <w:iCs/>
        </w:rPr>
        <w:t>of</w:t>
      </w:r>
      <w:r w:rsidR="008243CA" w:rsidRPr="00D96C56">
        <w:rPr>
          <w:i/>
          <w:iCs/>
        </w:rPr>
        <w:t xml:space="preserve"> </w:t>
      </w:r>
      <w:r w:rsidRPr="00D96C56">
        <w:rPr>
          <w:i/>
          <w:iCs/>
        </w:rPr>
        <w:t>Torture</w:t>
      </w:r>
      <w:r w:rsidR="008243CA" w:rsidRPr="00D96C56">
        <w:rPr>
          <w:i/>
          <w:iCs/>
        </w:rPr>
        <w:t xml:space="preserve"> </w:t>
      </w:r>
      <w:r w:rsidRPr="00D96C56">
        <w:rPr>
          <w:i/>
          <w:iCs/>
        </w:rPr>
        <w:t>and</w:t>
      </w:r>
      <w:r w:rsidR="008243CA" w:rsidRPr="00D96C56">
        <w:rPr>
          <w:i/>
          <w:iCs/>
        </w:rPr>
        <w:t xml:space="preserve"> </w:t>
      </w:r>
      <w:r w:rsidRPr="00D96C56">
        <w:rPr>
          <w:i/>
          <w:iCs/>
        </w:rPr>
        <w:t>Other</w:t>
      </w:r>
      <w:r w:rsidR="008243CA" w:rsidRPr="00D96C56">
        <w:rPr>
          <w:i/>
          <w:iCs/>
        </w:rPr>
        <w:t xml:space="preserve"> </w:t>
      </w:r>
      <w:r w:rsidRPr="00D96C56">
        <w:rPr>
          <w:i/>
          <w:iCs/>
        </w:rPr>
        <w:t>Cruel,</w:t>
      </w:r>
      <w:r w:rsidR="008243CA" w:rsidRPr="00D96C56">
        <w:rPr>
          <w:i/>
          <w:iCs/>
        </w:rPr>
        <w:t xml:space="preserve"> </w:t>
      </w:r>
      <w:r w:rsidRPr="00D96C56">
        <w:rPr>
          <w:i/>
          <w:iCs/>
        </w:rPr>
        <w:t>Inhuman</w:t>
      </w:r>
      <w:r w:rsidR="008243CA" w:rsidRPr="00D96C56">
        <w:rPr>
          <w:i/>
          <w:iCs/>
        </w:rPr>
        <w:t xml:space="preserve"> </w:t>
      </w:r>
      <w:r w:rsidRPr="00D96C56">
        <w:rPr>
          <w:i/>
          <w:iCs/>
        </w:rPr>
        <w:t>or</w:t>
      </w:r>
      <w:r w:rsidR="008243CA" w:rsidRPr="00D96C56">
        <w:rPr>
          <w:i/>
          <w:iCs/>
        </w:rPr>
        <w:t xml:space="preserve"> </w:t>
      </w:r>
      <w:r w:rsidRPr="00D96C56">
        <w:rPr>
          <w:i/>
          <w:iCs/>
        </w:rPr>
        <w:t>Degrading</w:t>
      </w:r>
      <w:r w:rsidR="008243CA" w:rsidRPr="00D96C56">
        <w:rPr>
          <w:i/>
          <w:iCs/>
        </w:rPr>
        <w:t xml:space="preserve"> </w:t>
      </w:r>
      <w:r w:rsidRPr="00D96C56">
        <w:rPr>
          <w:i/>
          <w:iCs/>
        </w:rPr>
        <w:t>Treatment</w:t>
      </w:r>
      <w:r w:rsidR="008243CA" w:rsidRPr="00D96C56">
        <w:rPr>
          <w:i/>
          <w:iCs/>
        </w:rPr>
        <w:t xml:space="preserve"> </w:t>
      </w:r>
      <w:r w:rsidRPr="00D96C56">
        <w:rPr>
          <w:i/>
          <w:iCs/>
        </w:rPr>
        <w:t>or</w:t>
      </w:r>
      <w:r w:rsidR="008243CA" w:rsidRPr="00D96C56">
        <w:rPr>
          <w:i/>
          <w:iCs/>
        </w:rPr>
        <w:t xml:space="preserve"> </w:t>
      </w:r>
      <w:r w:rsidRPr="00D96C56">
        <w:rPr>
          <w:i/>
          <w:iCs/>
        </w:rPr>
        <w:t>Punishment</w:t>
      </w:r>
      <w:r w:rsidR="008243CA" w:rsidRPr="00D96C56">
        <w:rPr>
          <w:i/>
          <w:iCs/>
        </w:rPr>
        <w:t xml:space="preserve"> </w:t>
      </w:r>
      <w:r w:rsidRPr="00D96C56">
        <w:rPr>
          <w:i/>
          <w:iCs/>
        </w:rPr>
        <w:t>(Istanbul</w:t>
      </w:r>
      <w:r w:rsidR="008243CA" w:rsidRPr="00D96C56">
        <w:rPr>
          <w:i/>
          <w:iCs/>
        </w:rPr>
        <w:t xml:space="preserve"> </w:t>
      </w:r>
      <w:r w:rsidRPr="00D96C56">
        <w:rPr>
          <w:i/>
          <w:iCs/>
        </w:rPr>
        <w:t>Protocol)</w:t>
      </w:r>
      <w:r w:rsidR="008243CA" w:rsidRPr="00D96C56">
        <w:rPr>
          <w:i/>
          <w:iCs/>
        </w:rPr>
        <w:t xml:space="preserve"> </w:t>
      </w:r>
      <w:r w:rsidRPr="00D96C56">
        <w:rPr>
          <w:i/>
          <w:iCs/>
        </w:rPr>
        <w:t>at</w:t>
      </w:r>
      <w:r w:rsidR="008243CA" w:rsidRPr="00D96C56">
        <w:rPr>
          <w:i/>
          <w:iCs/>
        </w:rPr>
        <w:t xml:space="preserve"> </w:t>
      </w:r>
      <w:r w:rsidRPr="00D96C56">
        <w:rPr>
          <w:i/>
          <w:iCs/>
        </w:rPr>
        <w:t>all</w:t>
      </w:r>
      <w:r w:rsidR="008243CA" w:rsidRPr="00D96C56">
        <w:rPr>
          <w:i/>
          <w:iCs/>
        </w:rPr>
        <w:t xml:space="preserve"> </w:t>
      </w:r>
      <w:r w:rsidRPr="00D96C56">
        <w:rPr>
          <w:i/>
          <w:iCs/>
        </w:rPr>
        <w:t>times</w:t>
      </w:r>
      <w:r w:rsidR="008243CA" w:rsidRPr="00D96C56">
        <w:rPr>
          <w:i/>
          <w:iCs/>
        </w:rPr>
        <w:t xml:space="preserve"> </w:t>
      </w:r>
      <w:r w:rsidRPr="00D96C56">
        <w:rPr>
          <w:i/>
          <w:iCs/>
        </w:rPr>
        <w:t>and</w:t>
      </w:r>
      <w:r w:rsidR="008243CA" w:rsidRPr="00D96C56">
        <w:rPr>
          <w:i/>
          <w:iCs/>
        </w:rPr>
        <w:t xml:space="preserve"> </w:t>
      </w:r>
      <w:r w:rsidRPr="00D96C56">
        <w:rPr>
          <w:i/>
          <w:iCs/>
        </w:rPr>
        <w:t>at</w:t>
      </w:r>
      <w:r w:rsidR="008243CA" w:rsidRPr="00D96C56">
        <w:rPr>
          <w:i/>
          <w:iCs/>
        </w:rPr>
        <w:t xml:space="preserve"> </w:t>
      </w:r>
      <w:r w:rsidRPr="00D96C56">
        <w:rPr>
          <w:i/>
          <w:iCs/>
        </w:rPr>
        <w:t>all</w:t>
      </w:r>
      <w:r w:rsidR="008243CA" w:rsidRPr="00D96C56">
        <w:rPr>
          <w:i/>
          <w:iCs/>
        </w:rPr>
        <w:t xml:space="preserve"> </w:t>
      </w:r>
      <w:r w:rsidRPr="00D96C56">
        <w:rPr>
          <w:i/>
          <w:iCs/>
        </w:rPr>
        <w:t>stages</w:t>
      </w:r>
      <w:r w:rsidR="008243CA" w:rsidRPr="00D96C56">
        <w:rPr>
          <w:i/>
          <w:iCs/>
        </w:rPr>
        <w:t xml:space="preserve"> </w:t>
      </w:r>
      <w:r w:rsidRPr="00D96C56">
        <w:rPr>
          <w:i/>
          <w:iCs/>
        </w:rPr>
        <w:t>of</w:t>
      </w:r>
      <w:r w:rsidR="008243CA" w:rsidRPr="00D96C56">
        <w:rPr>
          <w:i/>
          <w:iCs/>
        </w:rPr>
        <w:t xml:space="preserve"> </w:t>
      </w:r>
      <w:r w:rsidRPr="00D96C56">
        <w:rPr>
          <w:i/>
          <w:iCs/>
        </w:rPr>
        <w:t>criminal</w:t>
      </w:r>
      <w:r w:rsidR="008243CA" w:rsidRPr="00D96C56">
        <w:rPr>
          <w:i/>
          <w:iCs/>
        </w:rPr>
        <w:t xml:space="preserve"> </w:t>
      </w:r>
      <w:r w:rsidRPr="00D96C56">
        <w:rPr>
          <w:i/>
          <w:iCs/>
        </w:rPr>
        <w:t>proceedings.</w:t>
      </w:r>
    </w:p>
    <w:p w:rsidR="003F7D03" w:rsidRPr="00E62FE6" w:rsidRDefault="003F7D03" w:rsidP="000C6D98">
      <w:pPr>
        <w:pStyle w:val="SingleTxtG"/>
      </w:pPr>
      <w:r w:rsidRPr="00E62FE6">
        <w:t>84.</w:t>
      </w:r>
      <w:r w:rsidRPr="00E62FE6">
        <w:tab/>
        <w:t>The</w:t>
      </w:r>
      <w:r w:rsidR="008243CA">
        <w:t xml:space="preserve"> </w:t>
      </w:r>
      <w:r w:rsidRPr="00E62FE6">
        <w:t>recommendation</w:t>
      </w:r>
      <w:r w:rsidR="008243CA">
        <w:t xml:space="preserve"> </w:t>
      </w:r>
      <w:r w:rsidRPr="00E62FE6">
        <w:t>states</w:t>
      </w:r>
      <w:r w:rsidR="008243CA">
        <w:t xml:space="preserve"> </w:t>
      </w:r>
      <w:r w:rsidRPr="00E62FE6">
        <w:t>that</w:t>
      </w:r>
      <w:r w:rsidR="008243CA">
        <w:t xml:space="preserve"> </w:t>
      </w:r>
      <w:r w:rsidRPr="00E62FE6">
        <w:t>judicial</w:t>
      </w:r>
      <w:r w:rsidR="008243CA">
        <w:t xml:space="preserve"> </w:t>
      </w:r>
      <w:r w:rsidRPr="00E62FE6">
        <w:t>officials</w:t>
      </w:r>
      <w:r w:rsidR="008243CA">
        <w:t xml:space="preserve"> </w:t>
      </w:r>
      <w:r w:rsidRPr="00E62FE6">
        <w:t>should</w:t>
      </w:r>
      <w:r w:rsidR="008243CA">
        <w:t xml:space="preserve"> </w:t>
      </w:r>
      <w:r w:rsidRPr="00E62FE6">
        <w:t>receive</w:t>
      </w:r>
      <w:r w:rsidR="008243CA">
        <w:t xml:space="preserve"> </w:t>
      </w:r>
      <w:r w:rsidRPr="00E62FE6">
        <w:t>training</w:t>
      </w:r>
      <w:r w:rsidR="008243CA">
        <w:t xml:space="preserve"> </w:t>
      </w:r>
      <w:r w:rsidRPr="00E62FE6">
        <w:t>on</w:t>
      </w:r>
      <w:r w:rsidR="008243CA">
        <w:t xml:space="preserve"> </w:t>
      </w:r>
      <w:r w:rsidRPr="00E62FE6">
        <w:t>the</w:t>
      </w:r>
      <w:r w:rsidR="008243CA">
        <w:t xml:space="preserve"> </w:t>
      </w:r>
      <w:r w:rsidRPr="00E62FE6">
        <w:t>Istanbul</w:t>
      </w:r>
      <w:r w:rsidR="008243CA">
        <w:t xml:space="preserve"> </w:t>
      </w:r>
      <w:r w:rsidRPr="00E62FE6">
        <w:t>Protocol.</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Justice</w:t>
      </w:r>
      <w:r w:rsidR="008243CA">
        <w:t xml:space="preserve"> </w:t>
      </w:r>
      <w:r w:rsidRPr="00E62FE6">
        <w:t>and</w:t>
      </w:r>
      <w:r w:rsidR="008243CA">
        <w:t xml:space="preserve"> </w:t>
      </w:r>
      <w:r w:rsidRPr="00E62FE6">
        <w:t>Human</w:t>
      </w:r>
      <w:r w:rsidR="008243CA">
        <w:t xml:space="preserve"> </w:t>
      </w:r>
      <w:r w:rsidRPr="00E62FE6">
        <w:t>Rights</w:t>
      </w:r>
      <w:r w:rsidR="008243CA">
        <w:t xml:space="preserve"> </w:t>
      </w:r>
      <w:r w:rsidRPr="00E62FE6">
        <w:t>believes</w:t>
      </w:r>
      <w:r w:rsidR="008243CA">
        <w:t xml:space="preserve"> </w:t>
      </w:r>
      <w:r w:rsidRPr="00E62FE6">
        <w:t>that</w:t>
      </w:r>
      <w:r w:rsidR="008243CA">
        <w:t xml:space="preserve"> </w:t>
      </w:r>
      <w:r w:rsidRPr="00E62FE6">
        <w:t>the</w:t>
      </w:r>
      <w:r w:rsidR="008243CA">
        <w:t xml:space="preserve"> </w:t>
      </w:r>
      <w:r w:rsidRPr="00E62FE6">
        <w:t>training</w:t>
      </w:r>
      <w:r w:rsidR="008243CA">
        <w:t xml:space="preserve"> </w:t>
      </w:r>
      <w:r w:rsidRPr="00E62FE6">
        <w:t>programme</w:t>
      </w:r>
      <w:r w:rsidR="008243CA">
        <w:t xml:space="preserve"> </w:t>
      </w:r>
      <w:r w:rsidRPr="00E62FE6">
        <w:t>should</w:t>
      </w:r>
      <w:r w:rsidR="008243CA">
        <w:t xml:space="preserve"> </w:t>
      </w:r>
      <w:r w:rsidRPr="00E62FE6">
        <w:t>be</w:t>
      </w:r>
      <w:r w:rsidR="008243CA">
        <w:t xml:space="preserve"> </w:t>
      </w:r>
      <w:r w:rsidRPr="00E62FE6">
        <w:t>extended</w:t>
      </w:r>
      <w:r w:rsidR="008243CA">
        <w:t xml:space="preserve"> </w:t>
      </w:r>
      <w:r w:rsidRPr="00E62FE6">
        <w:t>beyond</w:t>
      </w:r>
      <w:r w:rsidR="008243CA">
        <w:t xml:space="preserve"> </w:t>
      </w:r>
      <w:r w:rsidRPr="00E62FE6">
        <w:t>judicial</w:t>
      </w:r>
      <w:r w:rsidR="008243CA">
        <w:t xml:space="preserve"> </w:t>
      </w:r>
      <w:r w:rsidRPr="00E62FE6">
        <w:t>officials</w:t>
      </w:r>
      <w:r w:rsidR="008243CA">
        <w:t xml:space="preserve"> </w:t>
      </w:r>
      <w:r w:rsidRPr="00E62FE6">
        <w:t>to</w:t>
      </w:r>
      <w:r w:rsidR="008243CA">
        <w:t xml:space="preserve"> </w:t>
      </w:r>
      <w:r w:rsidRPr="00E62FE6">
        <w:t>officials</w:t>
      </w:r>
      <w:r w:rsidR="008243CA">
        <w:t xml:space="preserve"> </w:t>
      </w:r>
      <w:r w:rsidRPr="00E62FE6">
        <w:t>of</w:t>
      </w:r>
      <w:r w:rsidR="008243CA">
        <w:t xml:space="preserve"> </w:t>
      </w:r>
      <w:r w:rsidRPr="00E62FE6">
        <w:t>the</w:t>
      </w:r>
      <w:r w:rsidR="008243CA">
        <w:t xml:space="preserve"> </w:t>
      </w:r>
      <w:r w:rsidRPr="00E62FE6">
        <w:t>Public</w:t>
      </w:r>
      <w:r w:rsidR="008243CA">
        <w:t xml:space="preserve"> </w:t>
      </w:r>
      <w:r w:rsidRPr="00E62FE6">
        <w:t>Criminal</w:t>
      </w:r>
      <w:r w:rsidR="008243CA">
        <w:t xml:space="preserve"> </w:t>
      </w:r>
      <w:r w:rsidRPr="00E62FE6">
        <w:t>Defender</w:t>
      </w:r>
      <w:r w:rsidR="008243CA">
        <w:t xml:space="preserve"> </w:t>
      </w:r>
      <w:r w:rsidRPr="00E62FE6">
        <w:t>Service,</w:t>
      </w:r>
      <w:r w:rsidR="008243CA">
        <w:t xml:space="preserve"> </w:t>
      </w:r>
      <w:r w:rsidRPr="00E62FE6">
        <w:t>which</w:t>
      </w:r>
      <w:r w:rsidR="008243CA">
        <w:t xml:space="preserve"> </w:t>
      </w:r>
      <w:r w:rsidRPr="00E62FE6">
        <w:t>is</w:t>
      </w:r>
      <w:r w:rsidR="008243CA">
        <w:t xml:space="preserve"> </w:t>
      </w:r>
      <w:r w:rsidRPr="00E62FE6">
        <w:t>part</w:t>
      </w:r>
      <w:r w:rsidR="008243CA">
        <w:t xml:space="preserve"> </w:t>
      </w:r>
      <w:r w:rsidRPr="00E62FE6">
        <w:t>of</w:t>
      </w:r>
      <w:r w:rsidR="008243CA">
        <w:t xml:space="preserve"> </w:t>
      </w:r>
      <w:r w:rsidRPr="00E62FE6">
        <w:t>the</w:t>
      </w:r>
      <w:r w:rsidR="008243CA">
        <w:t xml:space="preserve"> </w:t>
      </w:r>
      <w:r w:rsidRPr="00E62FE6">
        <w:t>justice</w:t>
      </w:r>
      <w:r w:rsidR="008243CA">
        <w:t xml:space="preserve"> </w:t>
      </w:r>
      <w:r w:rsidRPr="00E62FE6">
        <w:t>sector.</w:t>
      </w:r>
    </w:p>
    <w:p w:rsidR="003F7D03" w:rsidRPr="00E62FE6" w:rsidRDefault="003F7D03" w:rsidP="000C6D98">
      <w:pPr>
        <w:pStyle w:val="SingleTxtG"/>
      </w:pPr>
      <w:r w:rsidRPr="00E62FE6">
        <w:t>85.</w:t>
      </w:r>
      <w:r w:rsidRPr="00E62FE6">
        <w:tab/>
        <w:t>The</w:t>
      </w:r>
      <w:r w:rsidR="008243CA">
        <w:t xml:space="preserve"> </w:t>
      </w:r>
      <w:r w:rsidRPr="00E62FE6">
        <w:t>Public</w:t>
      </w:r>
      <w:r w:rsidR="008243CA">
        <w:t xml:space="preserve"> </w:t>
      </w:r>
      <w:r w:rsidRPr="00E62FE6">
        <w:t>Criminal</w:t>
      </w:r>
      <w:r w:rsidR="008243CA">
        <w:t xml:space="preserve"> </w:t>
      </w:r>
      <w:r w:rsidRPr="00E62FE6">
        <w:t>Defender</w:t>
      </w:r>
      <w:r w:rsidR="008243CA">
        <w:t xml:space="preserve"> </w:t>
      </w:r>
      <w:r w:rsidRPr="00E62FE6">
        <w:t>Service</w:t>
      </w:r>
      <w:r w:rsidR="008243CA">
        <w:t xml:space="preserve"> </w:t>
      </w:r>
      <w:r w:rsidRPr="00E62FE6">
        <w:t>has</w:t>
      </w:r>
      <w:r w:rsidR="008243CA">
        <w:t xml:space="preserve"> </w:t>
      </w:r>
      <w:r w:rsidRPr="00E62FE6">
        <w:t>therefore</w:t>
      </w:r>
      <w:r w:rsidR="008243CA">
        <w:t xml:space="preserve"> </w:t>
      </w:r>
      <w:r w:rsidRPr="00E62FE6">
        <w:t>decided</w:t>
      </w:r>
      <w:r w:rsidR="008243CA">
        <w:t xml:space="preserve"> </w:t>
      </w:r>
      <w:r w:rsidRPr="00E62FE6">
        <w:t>to</w:t>
      </w:r>
      <w:r w:rsidR="008243CA">
        <w:t xml:space="preserve"> </w:t>
      </w:r>
      <w:r w:rsidRPr="00E62FE6">
        <w:t>incorporate</w:t>
      </w:r>
      <w:r w:rsidR="008243CA">
        <w:t xml:space="preserve"> </w:t>
      </w:r>
      <w:r w:rsidRPr="00E62FE6">
        <w:t>specific</w:t>
      </w:r>
      <w:r w:rsidR="008243CA">
        <w:t xml:space="preserve"> </w:t>
      </w:r>
      <w:r w:rsidRPr="00E62FE6">
        <w:t>training</w:t>
      </w:r>
      <w:r w:rsidR="008243CA">
        <w:t xml:space="preserve"> </w:t>
      </w:r>
      <w:r w:rsidRPr="00E62FE6">
        <w:t>in</w:t>
      </w:r>
      <w:r w:rsidR="008243CA">
        <w:t xml:space="preserve"> </w:t>
      </w:r>
      <w:r w:rsidRPr="00E62FE6">
        <w:t>this</w:t>
      </w:r>
      <w:r w:rsidR="008243CA">
        <w:t xml:space="preserve"> </w:t>
      </w:r>
      <w:r w:rsidRPr="00E62FE6">
        <w:t>area</w:t>
      </w:r>
      <w:r w:rsidR="008243CA">
        <w:t xml:space="preserve"> </w:t>
      </w:r>
      <w:r w:rsidRPr="00E62FE6">
        <w:t>into</w:t>
      </w:r>
      <w:r w:rsidR="008243CA">
        <w:t xml:space="preserve"> </w:t>
      </w:r>
      <w:r w:rsidRPr="00E62FE6">
        <w:t>its</w:t>
      </w:r>
      <w:r w:rsidR="008243CA">
        <w:t xml:space="preserve"> </w:t>
      </w:r>
      <w:r w:rsidRPr="00E62FE6">
        <w:t>2017</w:t>
      </w:r>
      <w:r w:rsidR="008243CA">
        <w:t xml:space="preserve"> </w:t>
      </w:r>
      <w:r w:rsidRPr="00E62FE6">
        <w:t>Annual</w:t>
      </w:r>
      <w:r w:rsidR="008243CA">
        <w:t xml:space="preserve"> </w:t>
      </w:r>
      <w:r w:rsidRPr="00E62FE6">
        <w:t>Training</w:t>
      </w:r>
      <w:r w:rsidR="008243CA">
        <w:t xml:space="preserve"> </w:t>
      </w:r>
      <w:r w:rsidRPr="00E62FE6">
        <w:t>Plan.</w:t>
      </w:r>
      <w:r w:rsidR="008243CA">
        <w:t xml:space="preserve"> </w:t>
      </w:r>
      <w:r w:rsidRPr="00E62FE6">
        <w:t>Every</w:t>
      </w:r>
      <w:r w:rsidR="008243CA">
        <w:t xml:space="preserve"> </w:t>
      </w:r>
      <w:r w:rsidRPr="00E62FE6">
        <w:t>year,</w:t>
      </w:r>
      <w:r w:rsidR="008243CA">
        <w:t xml:space="preserve"> </w:t>
      </w:r>
      <w:r w:rsidRPr="00E62FE6">
        <w:t>the</w:t>
      </w:r>
      <w:r w:rsidR="008243CA">
        <w:t xml:space="preserve"> </w:t>
      </w:r>
      <w:r w:rsidRPr="00E62FE6">
        <w:t>Public</w:t>
      </w:r>
      <w:r w:rsidR="008243CA">
        <w:t xml:space="preserve"> </w:t>
      </w:r>
      <w:r w:rsidRPr="00E62FE6">
        <w:t>Criminal</w:t>
      </w:r>
      <w:r w:rsidR="008243CA">
        <w:t xml:space="preserve"> </w:t>
      </w:r>
      <w:r w:rsidRPr="00E62FE6">
        <w:t>Defender</w:t>
      </w:r>
      <w:r w:rsidR="008243CA">
        <w:t xml:space="preserve"> </w:t>
      </w:r>
      <w:r w:rsidRPr="00E62FE6">
        <w:t>Service</w:t>
      </w:r>
      <w:r w:rsidR="008243CA">
        <w:t xml:space="preserve"> </w:t>
      </w:r>
      <w:r w:rsidRPr="00E62FE6">
        <w:t>holds</w:t>
      </w:r>
      <w:r w:rsidR="008243CA">
        <w:t xml:space="preserve"> </w:t>
      </w:r>
      <w:r w:rsidRPr="00E62FE6">
        <w:t>four</w:t>
      </w:r>
      <w:r w:rsidR="008243CA">
        <w:t xml:space="preserve"> </w:t>
      </w:r>
      <w:r w:rsidRPr="00E62FE6">
        <w:t>workshops</w:t>
      </w:r>
      <w:r w:rsidR="008243CA">
        <w:t xml:space="preserve"> </w:t>
      </w:r>
      <w:r w:rsidRPr="00E62FE6">
        <w:t>for</w:t>
      </w:r>
      <w:r w:rsidR="008243CA">
        <w:t xml:space="preserve"> </w:t>
      </w:r>
      <w:r w:rsidRPr="00E62FE6">
        <w:t>defence</w:t>
      </w:r>
      <w:r w:rsidR="008243CA">
        <w:t xml:space="preserve"> </w:t>
      </w:r>
      <w:r w:rsidRPr="00E62FE6">
        <w:t>counsels</w:t>
      </w:r>
      <w:r w:rsidR="008243CA">
        <w:t xml:space="preserve"> </w:t>
      </w:r>
      <w:r w:rsidRPr="00E62FE6">
        <w:t>on</w:t>
      </w:r>
      <w:r w:rsidR="008243CA">
        <w:t xml:space="preserve"> </w:t>
      </w:r>
      <w:r w:rsidRPr="00E62FE6">
        <w:t>general</w:t>
      </w:r>
      <w:r w:rsidR="008243CA">
        <w:t xml:space="preserve"> </w:t>
      </w:r>
      <w:r w:rsidRPr="00E62FE6">
        <w:t>criminal</w:t>
      </w:r>
      <w:r w:rsidR="008243CA">
        <w:t xml:space="preserve"> </w:t>
      </w:r>
      <w:r w:rsidRPr="00E62FE6">
        <w:t>defence,</w:t>
      </w:r>
      <w:r w:rsidR="008243CA">
        <w:t xml:space="preserve"> </w:t>
      </w:r>
      <w:r w:rsidRPr="00E62FE6">
        <w:t>two</w:t>
      </w:r>
      <w:r w:rsidR="008243CA">
        <w:t xml:space="preserve"> </w:t>
      </w:r>
      <w:r w:rsidRPr="00E62FE6">
        <w:t>general</w:t>
      </w:r>
      <w:r w:rsidR="008243CA">
        <w:t xml:space="preserve"> </w:t>
      </w:r>
      <w:r w:rsidRPr="00E62FE6">
        <w:t>workshops,</w:t>
      </w:r>
      <w:r w:rsidR="008243CA">
        <w:t xml:space="preserve"> </w:t>
      </w:r>
      <w:r w:rsidRPr="00E62FE6">
        <w:t>one</w:t>
      </w:r>
      <w:r w:rsidR="008243CA">
        <w:t xml:space="preserve"> </w:t>
      </w:r>
      <w:r w:rsidRPr="00E62FE6">
        <w:t>workshop</w:t>
      </w:r>
      <w:r w:rsidR="008243CA">
        <w:t xml:space="preserve"> </w:t>
      </w:r>
      <w:r w:rsidRPr="00E62FE6">
        <w:t>on</w:t>
      </w:r>
      <w:r w:rsidR="008243CA">
        <w:t xml:space="preserve"> </w:t>
      </w:r>
      <w:r w:rsidRPr="00E62FE6">
        <w:t>juvenile</w:t>
      </w:r>
      <w:r w:rsidR="008243CA">
        <w:t xml:space="preserve"> </w:t>
      </w:r>
      <w:r w:rsidRPr="00E62FE6">
        <w:t>criminal</w:t>
      </w:r>
      <w:r w:rsidR="008243CA">
        <w:t xml:space="preserve"> </w:t>
      </w:r>
      <w:r w:rsidRPr="00E62FE6">
        <w:t>defence,</w:t>
      </w:r>
      <w:r w:rsidR="008243CA">
        <w:t xml:space="preserve"> </w:t>
      </w:r>
      <w:r w:rsidRPr="00E62FE6">
        <w:t>one</w:t>
      </w:r>
      <w:r w:rsidR="008243CA">
        <w:t xml:space="preserve"> </w:t>
      </w:r>
      <w:r w:rsidRPr="00E62FE6">
        <w:t>on</w:t>
      </w:r>
      <w:r w:rsidR="008243CA">
        <w:t xml:space="preserve"> </w:t>
      </w:r>
      <w:r w:rsidRPr="00E62FE6">
        <w:t>prison</w:t>
      </w:r>
      <w:r w:rsidR="008243CA">
        <w:t xml:space="preserve"> </w:t>
      </w:r>
      <w:r w:rsidRPr="00E62FE6">
        <w:t>defence</w:t>
      </w:r>
      <w:r w:rsidR="008243CA">
        <w:t xml:space="preserve"> </w:t>
      </w:r>
      <w:r w:rsidRPr="00E62FE6">
        <w:t>and</w:t>
      </w:r>
      <w:r w:rsidR="008243CA">
        <w:t xml:space="preserve"> </w:t>
      </w:r>
      <w:r w:rsidRPr="00E62FE6">
        <w:t>one</w:t>
      </w:r>
      <w:r w:rsidR="008243CA">
        <w:t xml:space="preserve"> </w:t>
      </w:r>
      <w:r w:rsidRPr="00E62FE6">
        <w:t>on</w:t>
      </w:r>
      <w:r w:rsidR="008243CA">
        <w:t xml:space="preserve"> </w:t>
      </w:r>
      <w:r w:rsidRPr="00E62FE6">
        <w:t>the</w:t>
      </w:r>
      <w:r w:rsidR="008243CA">
        <w:t xml:space="preserve"> </w:t>
      </w:r>
      <w:r w:rsidRPr="00E62FE6">
        <w:t>defence</w:t>
      </w:r>
      <w:r w:rsidR="008243CA">
        <w:t xml:space="preserve"> </w:t>
      </w:r>
      <w:r w:rsidRPr="00E62FE6">
        <w:t>of</w:t>
      </w:r>
      <w:r w:rsidR="008243CA">
        <w:t xml:space="preserve"> </w:t>
      </w:r>
      <w:r w:rsidRPr="00E62FE6">
        <w:t>defendants</w:t>
      </w:r>
      <w:r w:rsidR="008243CA">
        <w:t xml:space="preserve"> </w:t>
      </w:r>
      <w:r w:rsidRPr="00E62FE6">
        <w:t>from</w:t>
      </w:r>
      <w:r w:rsidR="008243CA">
        <w:t xml:space="preserve"> </w:t>
      </w:r>
      <w:r w:rsidRPr="00E62FE6">
        <w:t>indigenous</w:t>
      </w:r>
      <w:r w:rsidR="008243CA">
        <w:t xml:space="preserve"> </w:t>
      </w:r>
      <w:r w:rsidRPr="00E62FE6">
        <w:t>communities,</w:t>
      </w:r>
      <w:r w:rsidR="008243CA">
        <w:t xml:space="preserve"> </w:t>
      </w:r>
      <w:r w:rsidRPr="00E62FE6">
        <w:t>as</w:t>
      </w:r>
      <w:r w:rsidR="008243CA">
        <w:t xml:space="preserve"> </w:t>
      </w:r>
      <w:r w:rsidRPr="00E62FE6">
        <w:t>well</w:t>
      </w:r>
      <w:r w:rsidR="008243CA">
        <w:t xml:space="preserve"> </w:t>
      </w:r>
      <w:r w:rsidRPr="00E62FE6">
        <w:t>as</w:t>
      </w:r>
      <w:r w:rsidR="008243CA">
        <w:t xml:space="preserve"> </w:t>
      </w:r>
      <w:r w:rsidRPr="00E62FE6">
        <w:t>regional</w:t>
      </w:r>
      <w:r w:rsidR="008243CA">
        <w:t xml:space="preserve"> </w:t>
      </w:r>
      <w:r w:rsidRPr="00E62FE6">
        <w:t>and/or</w:t>
      </w:r>
      <w:r w:rsidR="008243CA">
        <w:t xml:space="preserve"> </w:t>
      </w:r>
      <w:r w:rsidRPr="00E62FE6">
        <w:t>thematic</w:t>
      </w:r>
      <w:r w:rsidR="008243CA">
        <w:t xml:space="preserve"> </w:t>
      </w:r>
      <w:r w:rsidRPr="00E62FE6">
        <w:t>training</w:t>
      </w:r>
      <w:r w:rsidR="008243CA">
        <w:t xml:space="preserve"> </w:t>
      </w:r>
      <w:r w:rsidRPr="00E62FE6">
        <w:t>sessions.</w:t>
      </w:r>
      <w:r w:rsidR="008243CA">
        <w:t xml:space="preserve"> </w:t>
      </w:r>
      <w:r w:rsidRPr="00E62FE6">
        <w:t>In</w:t>
      </w:r>
      <w:r w:rsidR="008243CA">
        <w:t xml:space="preserve"> </w:t>
      </w:r>
      <w:r w:rsidRPr="00E62FE6">
        <w:t>2017,</w:t>
      </w:r>
      <w:r w:rsidR="008243CA">
        <w:t xml:space="preserve"> </w:t>
      </w:r>
      <w:r w:rsidRPr="00E62FE6">
        <w:t>at</w:t>
      </w:r>
      <w:r w:rsidR="008243CA">
        <w:t xml:space="preserve"> </w:t>
      </w:r>
      <w:r w:rsidRPr="00E62FE6">
        <w:t>least</w:t>
      </w:r>
      <w:r w:rsidR="008243CA">
        <w:t xml:space="preserve"> </w:t>
      </w:r>
      <w:r w:rsidRPr="00E62FE6">
        <w:t>one</w:t>
      </w:r>
      <w:r w:rsidR="008243CA">
        <w:t xml:space="preserve"> </w:t>
      </w:r>
      <w:r w:rsidRPr="00E62FE6">
        <w:t>module</w:t>
      </w:r>
      <w:r w:rsidR="008243CA">
        <w:t xml:space="preserve"> </w:t>
      </w:r>
      <w:r w:rsidRPr="00E62FE6">
        <w:t>on</w:t>
      </w:r>
      <w:r w:rsidR="008243CA">
        <w:t xml:space="preserve"> </w:t>
      </w:r>
      <w:r w:rsidRPr="00E62FE6">
        <w:t>the</w:t>
      </w:r>
      <w:r w:rsidR="008243CA">
        <w:t xml:space="preserve"> </w:t>
      </w:r>
      <w:r w:rsidRPr="00E62FE6">
        <w:t>origin,</w:t>
      </w:r>
      <w:r w:rsidR="008243CA">
        <w:t xml:space="preserve"> </w:t>
      </w:r>
      <w:r w:rsidRPr="00E62FE6">
        <w:t>foundation,</w:t>
      </w:r>
      <w:r w:rsidR="008243CA">
        <w:t xml:space="preserve"> </w:t>
      </w:r>
      <w:r w:rsidRPr="00E62FE6">
        <w:t>functioning</w:t>
      </w:r>
      <w:r w:rsidR="008243CA">
        <w:t xml:space="preserve"> </w:t>
      </w:r>
      <w:r w:rsidRPr="00E62FE6">
        <w:t>and</w:t>
      </w:r>
      <w:r w:rsidR="008243CA">
        <w:t xml:space="preserve"> </w:t>
      </w:r>
      <w:r w:rsidRPr="00E62FE6">
        <w:t>procedures</w:t>
      </w:r>
      <w:r w:rsidR="008243CA">
        <w:t xml:space="preserve"> </w:t>
      </w:r>
      <w:r w:rsidRPr="00E62FE6">
        <w:t>of</w:t>
      </w:r>
      <w:r w:rsidR="008243CA">
        <w:t xml:space="preserve"> </w:t>
      </w:r>
      <w:r w:rsidRPr="00E62FE6">
        <w:t>the</w:t>
      </w:r>
      <w:r w:rsidR="008243CA">
        <w:t xml:space="preserve"> </w:t>
      </w:r>
      <w:r w:rsidRPr="00E62FE6">
        <w:t>Istanbul</w:t>
      </w:r>
      <w:r w:rsidR="008243CA">
        <w:t xml:space="preserve"> </w:t>
      </w:r>
      <w:r w:rsidRPr="00E62FE6">
        <w:t>Protocol</w:t>
      </w:r>
      <w:r w:rsidR="008243CA">
        <w:t xml:space="preserve"> </w:t>
      </w:r>
      <w:r w:rsidRPr="00E62FE6">
        <w:t>will</w:t>
      </w:r>
      <w:r w:rsidR="008243CA">
        <w:t xml:space="preserve"> </w:t>
      </w:r>
      <w:r w:rsidRPr="00E62FE6">
        <w:t>be</w:t>
      </w:r>
      <w:r w:rsidR="008243CA">
        <w:t xml:space="preserve"> </w:t>
      </w:r>
      <w:r w:rsidRPr="00E62FE6">
        <w:t>included</w:t>
      </w:r>
      <w:r w:rsidR="008243CA">
        <w:t xml:space="preserve"> </w:t>
      </w:r>
      <w:r w:rsidRPr="00E62FE6">
        <w:t>in</w:t>
      </w:r>
      <w:r w:rsidR="008243CA">
        <w:t xml:space="preserve"> </w:t>
      </w:r>
      <w:r w:rsidRPr="00E62FE6">
        <w:t>each</w:t>
      </w:r>
      <w:r w:rsidR="008243CA">
        <w:t xml:space="preserve"> </w:t>
      </w:r>
      <w:r w:rsidRPr="00E62FE6">
        <w:t>of</w:t>
      </w:r>
      <w:r w:rsidR="008243CA">
        <w:t xml:space="preserve"> </w:t>
      </w:r>
      <w:r w:rsidRPr="00E62FE6">
        <w:t>the</w:t>
      </w:r>
      <w:r w:rsidR="008243CA">
        <w:t xml:space="preserve"> </w:t>
      </w:r>
      <w:r w:rsidRPr="00E62FE6">
        <w:t>workshops</w:t>
      </w:r>
      <w:r w:rsidR="008243CA">
        <w:t xml:space="preserve"> </w:t>
      </w:r>
      <w:r w:rsidRPr="00E62FE6">
        <w:t>included</w:t>
      </w:r>
      <w:r w:rsidR="008243CA">
        <w:t xml:space="preserve"> </w:t>
      </w:r>
      <w:r w:rsidRPr="00E62FE6">
        <w:t>in</w:t>
      </w:r>
      <w:r w:rsidR="008243CA">
        <w:t xml:space="preserve"> </w:t>
      </w:r>
      <w:r w:rsidRPr="00E62FE6">
        <w:t>the</w:t>
      </w:r>
      <w:r w:rsidR="008243CA">
        <w:t xml:space="preserve"> </w:t>
      </w:r>
      <w:r w:rsidRPr="00E62FE6">
        <w:t>2017</w:t>
      </w:r>
      <w:r w:rsidR="008243CA">
        <w:t xml:space="preserve"> </w:t>
      </w:r>
      <w:r w:rsidRPr="00E62FE6">
        <w:t>Annual</w:t>
      </w:r>
      <w:r w:rsidR="008243CA">
        <w:t xml:space="preserve"> </w:t>
      </w:r>
      <w:r w:rsidRPr="00E62FE6">
        <w:t>Training</w:t>
      </w:r>
      <w:r w:rsidR="008243CA">
        <w:t xml:space="preserve"> </w:t>
      </w:r>
      <w:r w:rsidRPr="00E62FE6">
        <w:t>Plan.</w:t>
      </w:r>
      <w:r w:rsidR="008243CA">
        <w:t xml:space="preserve"> </w:t>
      </w:r>
      <w:r w:rsidRPr="00E62FE6">
        <w:t>The</w:t>
      </w:r>
      <w:r w:rsidR="008243CA">
        <w:t xml:space="preserve"> </w:t>
      </w:r>
      <w:r w:rsidRPr="00E62FE6">
        <w:t>specific</w:t>
      </w:r>
      <w:r w:rsidR="008243CA">
        <w:t xml:space="preserve"> </w:t>
      </w:r>
      <w:r w:rsidRPr="00E62FE6">
        <w:t>dates</w:t>
      </w:r>
      <w:r w:rsidR="008243CA">
        <w:t xml:space="preserve"> </w:t>
      </w:r>
      <w:r w:rsidRPr="00E62FE6">
        <w:t>of</w:t>
      </w:r>
      <w:r w:rsidR="008243CA">
        <w:t xml:space="preserve"> </w:t>
      </w:r>
      <w:r w:rsidRPr="00E62FE6">
        <w:t>these</w:t>
      </w:r>
      <w:r w:rsidR="008243CA">
        <w:t xml:space="preserve"> </w:t>
      </w:r>
      <w:r w:rsidRPr="00E62FE6">
        <w:t>2017</w:t>
      </w:r>
      <w:r w:rsidR="008243CA">
        <w:t xml:space="preserve"> </w:t>
      </w:r>
      <w:r w:rsidRPr="00E62FE6">
        <w:t>training</w:t>
      </w:r>
      <w:r w:rsidR="008243CA">
        <w:t xml:space="preserve"> </w:t>
      </w:r>
      <w:r w:rsidRPr="00E62FE6">
        <w:t>sessions</w:t>
      </w:r>
      <w:r w:rsidR="008243CA">
        <w:t xml:space="preserve"> </w:t>
      </w:r>
      <w:r w:rsidRPr="00E62FE6">
        <w:t>will</w:t>
      </w:r>
      <w:r w:rsidR="008243CA">
        <w:t xml:space="preserve"> </w:t>
      </w:r>
      <w:r w:rsidRPr="00E62FE6">
        <w:t>be</w:t>
      </w:r>
      <w:r w:rsidR="008243CA">
        <w:t xml:space="preserve"> </w:t>
      </w:r>
      <w:r w:rsidRPr="00E62FE6">
        <w:t>established</w:t>
      </w:r>
      <w:r w:rsidR="008243CA">
        <w:t xml:space="preserve"> </w:t>
      </w:r>
      <w:r w:rsidRPr="00E62FE6">
        <w:t>in</w:t>
      </w:r>
      <w:r w:rsidR="008243CA">
        <w:t xml:space="preserve"> </w:t>
      </w:r>
      <w:r w:rsidRPr="00E62FE6">
        <w:t>the</w:t>
      </w:r>
      <w:r w:rsidR="008243CA">
        <w:t xml:space="preserve"> </w:t>
      </w:r>
      <w:r w:rsidRPr="00E62FE6">
        <w:t>respective</w:t>
      </w:r>
      <w:r w:rsidR="008243CA">
        <w:t xml:space="preserve"> </w:t>
      </w:r>
      <w:r w:rsidRPr="00E62FE6">
        <w:t>annual</w:t>
      </w:r>
      <w:r w:rsidR="008243CA">
        <w:t xml:space="preserve"> </w:t>
      </w:r>
      <w:r w:rsidRPr="00E62FE6">
        <w:t>training</w:t>
      </w:r>
      <w:r w:rsidR="008243CA">
        <w:t xml:space="preserve"> </w:t>
      </w:r>
      <w:r w:rsidRPr="00E62FE6">
        <w:t>plan.</w:t>
      </w:r>
    </w:p>
    <w:p w:rsidR="003F7D03" w:rsidRPr="00E62FE6" w:rsidRDefault="003F7D03" w:rsidP="000C6D98">
      <w:pPr>
        <w:pStyle w:val="SingleTxtG"/>
      </w:pPr>
      <w:r w:rsidRPr="00E62FE6">
        <w:t>86.</w:t>
      </w:r>
      <w:r w:rsidRPr="00E62FE6">
        <w:tab/>
        <w:t>For</w:t>
      </w:r>
      <w:r w:rsidR="008243CA">
        <w:t xml:space="preserve"> </w:t>
      </w:r>
      <w:r w:rsidRPr="00E62FE6">
        <w:t>delivering</w:t>
      </w:r>
      <w:r w:rsidR="008243CA">
        <w:t xml:space="preserve"> </w:t>
      </w:r>
      <w:r w:rsidRPr="00E62FE6">
        <w:t>these</w:t>
      </w:r>
      <w:r w:rsidR="008243CA">
        <w:t xml:space="preserve"> </w:t>
      </w:r>
      <w:r w:rsidRPr="00E62FE6">
        <w:t>modules,</w:t>
      </w:r>
      <w:r w:rsidR="008243CA">
        <w:t xml:space="preserve"> </w:t>
      </w:r>
      <w:r w:rsidRPr="00E62FE6">
        <w:t>the</w:t>
      </w:r>
      <w:r w:rsidR="008243CA">
        <w:t xml:space="preserve"> </w:t>
      </w:r>
      <w:r w:rsidRPr="00E62FE6">
        <w:t>Public</w:t>
      </w:r>
      <w:r w:rsidR="008243CA">
        <w:t xml:space="preserve"> </w:t>
      </w:r>
      <w:r w:rsidRPr="00E62FE6">
        <w:t>Criminal</w:t>
      </w:r>
      <w:r w:rsidR="008243CA">
        <w:t xml:space="preserve"> </w:t>
      </w:r>
      <w:r w:rsidRPr="00E62FE6">
        <w:t>Defender</w:t>
      </w:r>
      <w:r w:rsidR="008243CA">
        <w:t xml:space="preserve"> </w:t>
      </w:r>
      <w:r w:rsidRPr="00E62FE6">
        <w:t>Service</w:t>
      </w:r>
      <w:r w:rsidR="008243CA">
        <w:t xml:space="preserve"> </w:t>
      </w:r>
      <w:r w:rsidRPr="00E62FE6">
        <w:t>does</w:t>
      </w:r>
      <w:r w:rsidR="008243CA">
        <w:t xml:space="preserve"> </w:t>
      </w:r>
      <w:r w:rsidRPr="00E62FE6">
        <w:t>not</w:t>
      </w:r>
      <w:r w:rsidR="008243CA">
        <w:t xml:space="preserve"> </w:t>
      </w:r>
      <w:r w:rsidRPr="00E62FE6">
        <w:t>rule</w:t>
      </w:r>
      <w:r w:rsidR="008243CA">
        <w:t xml:space="preserve"> </w:t>
      </w:r>
      <w:r w:rsidRPr="00E62FE6">
        <w:t>out</w:t>
      </w:r>
      <w:r w:rsidR="008243CA">
        <w:t xml:space="preserve"> </w:t>
      </w:r>
      <w:r w:rsidRPr="00E62FE6">
        <w:t>requesting</w:t>
      </w:r>
      <w:r w:rsidR="008243CA">
        <w:t xml:space="preserve"> </w:t>
      </w:r>
      <w:r w:rsidRPr="00E62FE6">
        <w:t>collaboration</w:t>
      </w:r>
      <w:r w:rsidR="008243CA">
        <w:t xml:space="preserve"> </w:t>
      </w:r>
      <w:r w:rsidRPr="00E62FE6">
        <w:t>from</w:t>
      </w:r>
      <w:r w:rsidR="008243CA">
        <w:t xml:space="preserve"> </w:t>
      </w:r>
      <w:r w:rsidRPr="00E62FE6">
        <w:t>other</w:t>
      </w:r>
      <w:r w:rsidR="008243CA">
        <w:t xml:space="preserve"> </w:t>
      </w:r>
      <w:r w:rsidRPr="00E62FE6">
        <w:t>services</w:t>
      </w:r>
      <w:r w:rsidR="008243CA">
        <w:t xml:space="preserve"> </w:t>
      </w:r>
      <w:r w:rsidRPr="00E62FE6">
        <w:t>in</w:t>
      </w:r>
      <w:r w:rsidR="008243CA">
        <w:t xml:space="preserve"> </w:t>
      </w:r>
      <w:r w:rsidRPr="00E62FE6">
        <w:t>the</w:t>
      </w:r>
      <w:r w:rsidR="008243CA">
        <w:t xml:space="preserve"> </w:t>
      </w:r>
      <w:r w:rsidRPr="00E62FE6">
        <w:t>justice</w:t>
      </w:r>
      <w:r w:rsidR="008243CA">
        <w:t xml:space="preserve"> </w:t>
      </w:r>
      <w:r w:rsidRPr="00E62FE6">
        <w:t>sector,</w:t>
      </w:r>
      <w:r w:rsidR="008243CA">
        <w:t xml:space="preserve"> </w:t>
      </w:r>
      <w:r w:rsidRPr="00E62FE6">
        <w:t>such</w:t>
      </w:r>
      <w:r w:rsidR="008243CA">
        <w:t xml:space="preserve"> </w:t>
      </w:r>
      <w:r w:rsidRPr="00E62FE6">
        <w:t>as</w:t>
      </w:r>
      <w:r w:rsidR="008243CA">
        <w:t xml:space="preserve"> </w:t>
      </w:r>
      <w:r w:rsidRPr="00E62FE6">
        <w:t>the</w:t>
      </w:r>
      <w:r w:rsidR="008243CA">
        <w:t xml:space="preserve"> </w:t>
      </w:r>
      <w:r w:rsidRPr="00E62FE6">
        <w:t>Forensic</w:t>
      </w:r>
      <w:r w:rsidR="008243CA">
        <w:t xml:space="preserve"> </w:t>
      </w:r>
      <w:r w:rsidRPr="00E62FE6">
        <w:t>Medical</w:t>
      </w:r>
      <w:r w:rsidR="008243CA">
        <w:t xml:space="preserve"> </w:t>
      </w:r>
      <w:r w:rsidRPr="00E62FE6">
        <w:t>Service,</w:t>
      </w:r>
      <w:r w:rsidR="008243CA">
        <w:t xml:space="preserve"> </w:t>
      </w:r>
      <w:r w:rsidRPr="00E62FE6">
        <w:t>the</w:t>
      </w:r>
      <w:r w:rsidR="008243CA">
        <w:t xml:space="preserve"> </w:t>
      </w:r>
      <w:r w:rsidRPr="00E62FE6">
        <w:t>institution</w:t>
      </w:r>
      <w:r w:rsidR="008243CA">
        <w:t xml:space="preserve"> </w:t>
      </w:r>
      <w:r w:rsidRPr="00E62FE6">
        <w:t>that</w:t>
      </w:r>
      <w:r w:rsidR="008243CA">
        <w:t xml:space="preserve"> </w:t>
      </w:r>
      <w:r w:rsidRPr="00E62FE6">
        <w:t>applies</w:t>
      </w:r>
      <w:r w:rsidR="008243CA">
        <w:t xml:space="preserve"> </w:t>
      </w:r>
      <w:r w:rsidRPr="00E62FE6">
        <w:t>and</w:t>
      </w:r>
      <w:r w:rsidR="008243CA">
        <w:t xml:space="preserve"> </w:t>
      </w:r>
      <w:r w:rsidRPr="00E62FE6">
        <w:t>deals</w:t>
      </w:r>
      <w:r w:rsidR="008243CA">
        <w:t xml:space="preserve"> </w:t>
      </w:r>
      <w:r w:rsidRPr="00E62FE6">
        <w:t>with</w:t>
      </w:r>
      <w:r w:rsidR="008243CA">
        <w:t xml:space="preserve"> </w:t>
      </w:r>
      <w:r w:rsidRPr="00E62FE6">
        <w:t>the</w:t>
      </w:r>
      <w:r w:rsidR="008243CA">
        <w:t xml:space="preserve"> </w:t>
      </w:r>
      <w:r w:rsidRPr="00E62FE6">
        <w:t>Protocol.</w:t>
      </w:r>
    </w:p>
    <w:p w:rsidR="003F7D03" w:rsidRPr="00E62FE6" w:rsidRDefault="003F7D03" w:rsidP="00AF1274">
      <w:pPr>
        <w:pStyle w:val="H23G"/>
      </w:pPr>
      <w:r w:rsidRPr="00E62FE6">
        <w:tab/>
      </w:r>
      <w:bookmarkStart w:id="68" w:name="_Toc512870692"/>
      <w:bookmarkStart w:id="69" w:name="_Toc512870854"/>
      <w:r w:rsidRPr="00E62FE6">
        <w:t>3.1.4</w:t>
      </w:r>
      <w:r w:rsidRPr="00E62FE6">
        <w:tab/>
        <w:t>Use</w:t>
      </w:r>
      <w:r w:rsidR="008243CA">
        <w:t xml:space="preserve"> </w:t>
      </w:r>
      <w:r w:rsidRPr="00E62FE6">
        <w:t>of</w:t>
      </w:r>
      <w:r w:rsidR="008243CA">
        <w:t xml:space="preserve"> </w:t>
      </w:r>
      <w:r w:rsidRPr="00E62FE6">
        <w:t>plea-bargaining</w:t>
      </w:r>
      <w:r w:rsidR="008243CA">
        <w:t xml:space="preserve"> </w:t>
      </w:r>
      <w:r w:rsidRPr="00E62FE6">
        <w:t>procedures</w:t>
      </w:r>
      <w:bookmarkEnd w:id="68"/>
      <w:bookmarkEnd w:id="69"/>
    </w:p>
    <w:p w:rsidR="003F7D03" w:rsidRPr="00AF1274" w:rsidRDefault="003F7D03" w:rsidP="000C6D98">
      <w:pPr>
        <w:pStyle w:val="SingleTxtG"/>
        <w:rPr>
          <w:i/>
          <w:iCs/>
        </w:rPr>
      </w:pPr>
      <w:r w:rsidRPr="00E62FE6">
        <w:t>87.</w:t>
      </w:r>
      <w:r w:rsidRPr="00E62FE6">
        <w:tab/>
        <w:t>Paragraph</w:t>
      </w:r>
      <w:r w:rsidR="008243CA">
        <w:t xml:space="preserve"> </w:t>
      </w:r>
      <w:r w:rsidRPr="00E62FE6">
        <w:t>31:</w:t>
      </w:r>
      <w:r w:rsidR="008243CA">
        <w:t xml:space="preserve"> </w:t>
      </w:r>
      <w:r w:rsidRPr="00AF1274">
        <w:rPr>
          <w:i/>
          <w:iCs/>
        </w:rPr>
        <w:t>The</w:t>
      </w:r>
      <w:r w:rsidR="008243CA" w:rsidRPr="00AF1274">
        <w:rPr>
          <w:i/>
          <w:iCs/>
        </w:rPr>
        <w:t xml:space="preserve"> </w:t>
      </w:r>
      <w:r w:rsidRPr="00AF1274">
        <w:rPr>
          <w:i/>
          <w:iCs/>
        </w:rPr>
        <w:t>Subcommittee</w:t>
      </w:r>
      <w:r w:rsidR="008243CA" w:rsidRPr="00AF1274">
        <w:rPr>
          <w:i/>
          <w:iCs/>
        </w:rPr>
        <w:t xml:space="preserve"> </w:t>
      </w:r>
      <w:r w:rsidRPr="00AF1274">
        <w:rPr>
          <w:i/>
          <w:iCs/>
        </w:rPr>
        <w:t>recommends</w:t>
      </w:r>
      <w:r w:rsidR="008243CA" w:rsidRPr="00AF1274">
        <w:rPr>
          <w:i/>
          <w:iCs/>
        </w:rPr>
        <w:t xml:space="preserve"> </w:t>
      </w:r>
      <w:r w:rsidRPr="00AF1274">
        <w:rPr>
          <w:i/>
          <w:iCs/>
        </w:rPr>
        <w:t>that</w:t>
      </w:r>
      <w:r w:rsidR="008243CA" w:rsidRPr="00AF1274">
        <w:rPr>
          <w:i/>
          <w:iCs/>
        </w:rPr>
        <w:t xml:space="preserve"> </w:t>
      </w:r>
      <w:r w:rsidRPr="00AF1274">
        <w:rPr>
          <w:i/>
          <w:iCs/>
        </w:rPr>
        <w:t>the</w:t>
      </w:r>
      <w:r w:rsidR="008243CA" w:rsidRPr="00AF1274">
        <w:rPr>
          <w:i/>
          <w:iCs/>
        </w:rPr>
        <w:t xml:space="preserve"> </w:t>
      </w:r>
      <w:r w:rsidRPr="00AF1274">
        <w:rPr>
          <w:i/>
          <w:iCs/>
        </w:rPr>
        <w:t>State</w:t>
      </w:r>
      <w:r w:rsidR="008243CA" w:rsidRPr="00AF1274">
        <w:rPr>
          <w:i/>
          <w:iCs/>
        </w:rPr>
        <w:t xml:space="preserve"> </w:t>
      </w:r>
      <w:r w:rsidRPr="00AF1274">
        <w:rPr>
          <w:i/>
          <w:iCs/>
        </w:rPr>
        <w:t>party</w:t>
      </w:r>
      <w:r w:rsidR="008243CA" w:rsidRPr="00AF1274">
        <w:rPr>
          <w:i/>
          <w:iCs/>
        </w:rPr>
        <w:t xml:space="preserve"> </w:t>
      </w:r>
      <w:r w:rsidRPr="00AF1274">
        <w:rPr>
          <w:i/>
          <w:iCs/>
        </w:rPr>
        <w:t>undertake</w:t>
      </w:r>
      <w:r w:rsidR="008243CA" w:rsidRPr="00AF1274">
        <w:rPr>
          <w:i/>
          <w:iCs/>
        </w:rPr>
        <w:t xml:space="preserve"> </w:t>
      </w:r>
      <w:r w:rsidRPr="00AF1274">
        <w:rPr>
          <w:i/>
          <w:iCs/>
        </w:rPr>
        <w:t>a</w:t>
      </w:r>
      <w:r w:rsidR="008243CA" w:rsidRPr="00AF1274">
        <w:rPr>
          <w:i/>
          <w:iCs/>
        </w:rPr>
        <w:t xml:space="preserve"> </w:t>
      </w:r>
      <w:r w:rsidRPr="00AF1274">
        <w:rPr>
          <w:i/>
          <w:iCs/>
        </w:rPr>
        <w:t>thorough</w:t>
      </w:r>
      <w:r w:rsidR="008243CA" w:rsidRPr="00AF1274">
        <w:rPr>
          <w:i/>
          <w:iCs/>
        </w:rPr>
        <w:t xml:space="preserve"> </w:t>
      </w:r>
      <w:r w:rsidRPr="00AF1274">
        <w:rPr>
          <w:i/>
          <w:iCs/>
        </w:rPr>
        <w:t>evaluation</w:t>
      </w:r>
      <w:r w:rsidR="008243CA" w:rsidRPr="00AF1274">
        <w:rPr>
          <w:i/>
          <w:iCs/>
        </w:rPr>
        <w:t xml:space="preserve"> </w:t>
      </w:r>
      <w:r w:rsidRPr="00AF1274">
        <w:rPr>
          <w:i/>
          <w:iCs/>
        </w:rPr>
        <w:t>of</w:t>
      </w:r>
      <w:r w:rsidR="008243CA" w:rsidRPr="00AF1274">
        <w:rPr>
          <w:i/>
          <w:iCs/>
        </w:rPr>
        <w:t xml:space="preserve"> </w:t>
      </w:r>
      <w:r w:rsidRPr="00AF1274">
        <w:rPr>
          <w:i/>
          <w:iCs/>
        </w:rPr>
        <w:t>the</w:t>
      </w:r>
      <w:r w:rsidR="008243CA" w:rsidRPr="00AF1274">
        <w:rPr>
          <w:i/>
          <w:iCs/>
        </w:rPr>
        <w:t xml:space="preserve"> </w:t>
      </w:r>
      <w:r w:rsidRPr="00AF1274">
        <w:rPr>
          <w:i/>
          <w:iCs/>
        </w:rPr>
        <w:t>use</w:t>
      </w:r>
      <w:r w:rsidR="008243CA" w:rsidRPr="00AF1274">
        <w:rPr>
          <w:i/>
          <w:iCs/>
        </w:rPr>
        <w:t xml:space="preserve"> </w:t>
      </w:r>
      <w:r w:rsidRPr="00AF1274">
        <w:rPr>
          <w:i/>
          <w:iCs/>
        </w:rPr>
        <w:t>of</w:t>
      </w:r>
      <w:r w:rsidR="008243CA" w:rsidRPr="00AF1274">
        <w:rPr>
          <w:i/>
          <w:iCs/>
        </w:rPr>
        <w:t xml:space="preserve"> </w:t>
      </w:r>
      <w:r w:rsidRPr="00AF1274">
        <w:rPr>
          <w:i/>
          <w:iCs/>
        </w:rPr>
        <w:t>plea-bargaining</w:t>
      </w:r>
      <w:r w:rsidR="008243CA" w:rsidRPr="00AF1274">
        <w:rPr>
          <w:i/>
          <w:iCs/>
        </w:rPr>
        <w:t xml:space="preserve"> </w:t>
      </w:r>
      <w:r w:rsidRPr="00AF1274">
        <w:rPr>
          <w:i/>
          <w:iCs/>
        </w:rPr>
        <w:t>procedures,</w:t>
      </w:r>
      <w:r w:rsidR="008243CA" w:rsidRPr="00AF1274">
        <w:rPr>
          <w:i/>
          <w:iCs/>
        </w:rPr>
        <w:t xml:space="preserve"> </w:t>
      </w:r>
      <w:r w:rsidRPr="00AF1274">
        <w:rPr>
          <w:i/>
          <w:iCs/>
        </w:rPr>
        <w:t>ensure</w:t>
      </w:r>
      <w:r w:rsidR="008243CA" w:rsidRPr="00AF1274">
        <w:rPr>
          <w:i/>
          <w:iCs/>
        </w:rPr>
        <w:t xml:space="preserve"> </w:t>
      </w:r>
      <w:r w:rsidRPr="00AF1274">
        <w:rPr>
          <w:i/>
          <w:iCs/>
        </w:rPr>
        <w:t>that</w:t>
      </w:r>
      <w:r w:rsidR="008243CA" w:rsidRPr="00AF1274">
        <w:rPr>
          <w:i/>
          <w:iCs/>
        </w:rPr>
        <w:t xml:space="preserve"> </w:t>
      </w:r>
      <w:r w:rsidRPr="00AF1274">
        <w:rPr>
          <w:i/>
          <w:iCs/>
        </w:rPr>
        <w:t>the</w:t>
      </w:r>
      <w:r w:rsidR="008243CA" w:rsidRPr="00AF1274">
        <w:rPr>
          <w:i/>
          <w:iCs/>
        </w:rPr>
        <w:t xml:space="preserve"> </w:t>
      </w:r>
      <w:r w:rsidRPr="00AF1274">
        <w:rPr>
          <w:i/>
          <w:iCs/>
        </w:rPr>
        <w:t>rights</w:t>
      </w:r>
      <w:r w:rsidR="008243CA" w:rsidRPr="00AF1274">
        <w:rPr>
          <w:i/>
          <w:iCs/>
        </w:rPr>
        <w:t xml:space="preserve"> </w:t>
      </w:r>
      <w:r w:rsidRPr="00AF1274">
        <w:rPr>
          <w:i/>
          <w:iCs/>
        </w:rPr>
        <w:t>to</w:t>
      </w:r>
      <w:r w:rsidR="008243CA" w:rsidRPr="00AF1274">
        <w:rPr>
          <w:i/>
          <w:iCs/>
        </w:rPr>
        <w:t xml:space="preserve"> </w:t>
      </w:r>
      <w:r w:rsidRPr="00AF1274">
        <w:rPr>
          <w:i/>
          <w:iCs/>
        </w:rPr>
        <w:t>defend</w:t>
      </w:r>
      <w:r w:rsidR="008243CA" w:rsidRPr="00AF1274">
        <w:rPr>
          <w:i/>
          <w:iCs/>
        </w:rPr>
        <w:t xml:space="preserve"> </w:t>
      </w:r>
      <w:r w:rsidRPr="00AF1274">
        <w:rPr>
          <w:i/>
          <w:iCs/>
        </w:rPr>
        <w:t>oneself</w:t>
      </w:r>
      <w:r w:rsidR="008243CA" w:rsidRPr="00AF1274">
        <w:rPr>
          <w:i/>
          <w:iCs/>
        </w:rPr>
        <w:t xml:space="preserve"> </w:t>
      </w:r>
      <w:r w:rsidRPr="00AF1274">
        <w:rPr>
          <w:i/>
          <w:iCs/>
        </w:rPr>
        <w:t>in</w:t>
      </w:r>
      <w:r w:rsidR="008243CA" w:rsidRPr="00AF1274">
        <w:rPr>
          <w:i/>
          <w:iCs/>
        </w:rPr>
        <w:t xml:space="preserve"> </w:t>
      </w:r>
      <w:r w:rsidRPr="00AF1274">
        <w:rPr>
          <w:i/>
          <w:iCs/>
        </w:rPr>
        <w:t>court</w:t>
      </w:r>
      <w:r w:rsidR="008243CA" w:rsidRPr="00AF1274">
        <w:rPr>
          <w:i/>
          <w:iCs/>
        </w:rPr>
        <w:t xml:space="preserve"> </w:t>
      </w:r>
      <w:r w:rsidRPr="00AF1274">
        <w:rPr>
          <w:i/>
          <w:iCs/>
        </w:rPr>
        <w:t>and</w:t>
      </w:r>
      <w:r w:rsidR="008243CA" w:rsidRPr="00AF1274">
        <w:rPr>
          <w:i/>
          <w:iCs/>
        </w:rPr>
        <w:t xml:space="preserve"> </w:t>
      </w:r>
      <w:r w:rsidRPr="00AF1274">
        <w:rPr>
          <w:i/>
          <w:iCs/>
        </w:rPr>
        <w:t>to</w:t>
      </w:r>
      <w:r w:rsidR="008243CA" w:rsidRPr="00AF1274">
        <w:rPr>
          <w:i/>
          <w:iCs/>
        </w:rPr>
        <w:t xml:space="preserve"> </w:t>
      </w:r>
      <w:r w:rsidRPr="00AF1274">
        <w:rPr>
          <w:i/>
          <w:iCs/>
        </w:rPr>
        <w:t>due</w:t>
      </w:r>
      <w:r w:rsidR="008243CA" w:rsidRPr="00AF1274">
        <w:rPr>
          <w:i/>
          <w:iCs/>
        </w:rPr>
        <w:t xml:space="preserve"> </w:t>
      </w:r>
      <w:r w:rsidRPr="00AF1274">
        <w:rPr>
          <w:i/>
          <w:iCs/>
        </w:rPr>
        <w:t>process</w:t>
      </w:r>
      <w:r w:rsidR="008243CA" w:rsidRPr="00AF1274">
        <w:rPr>
          <w:i/>
          <w:iCs/>
        </w:rPr>
        <w:t xml:space="preserve"> </w:t>
      </w:r>
      <w:r w:rsidRPr="00AF1274">
        <w:rPr>
          <w:i/>
          <w:iCs/>
        </w:rPr>
        <w:t>are</w:t>
      </w:r>
      <w:r w:rsidR="008243CA" w:rsidRPr="00AF1274">
        <w:rPr>
          <w:i/>
          <w:iCs/>
        </w:rPr>
        <w:t xml:space="preserve"> </w:t>
      </w:r>
      <w:r w:rsidRPr="00AF1274">
        <w:rPr>
          <w:i/>
          <w:iCs/>
        </w:rPr>
        <w:t>effectively</w:t>
      </w:r>
      <w:r w:rsidR="008243CA" w:rsidRPr="00AF1274">
        <w:rPr>
          <w:i/>
          <w:iCs/>
        </w:rPr>
        <w:t xml:space="preserve"> </w:t>
      </w:r>
      <w:r w:rsidRPr="00AF1274">
        <w:rPr>
          <w:i/>
          <w:iCs/>
        </w:rPr>
        <w:t>enforced</w:t>
      </w:r>
      <w:r w:rsidR="008243CA" w:rsidRPr="00AF1274">
        <w:rPr>
          <w:i/>
          <w:iCs/>
        </w:rPr>
        <w:t xml:space="preserve"> </w:t>
      </w:r>
      <w:r w:rsidRPr="00AF1274">
        <w:rPr>
          <w:i/>
          <w:iCs/>
        </w:rPr>
        <w:t>and</w:t>
      </w:r>
      <w:r w:rsidR="008243CA" w:rsidRPr="00AF1274">
        <w:rPr>
          <w:i/>
          <w:iCs/>
        </w:rPr>
        <w:t xml:space="preserve"> </w:t>
      </w:r>
      <w:r w:rsidRPr="00AF1274">
        <w:rPr>
          <w:i/>
          <w:iCs/>
        </w:rPr>
        <w:t>ensure</w:t>
      </w:r>
      <w:r w:rsidR="008243CA" w:rsidRPr="00AF1274">
        <w:rPr>
          <w:i/>
          <w:iCs/>
        </w:rPr>
        <w:t xml:space="preserve"> </w:t>
      </w:r>
      <w:r w:rsidRPr="00AF1274">
        <w:rPr>
          <w:i/>
          <w:iCs/>
        </w:rPr>
        <w:t>that</w:t>
      </w:r>
      <w:r w:rsidR="008243CA" w:rsidRPr="00AF1274">
        <w:rPr>
          <w:i/>
          <w:iCs/>
        </w:rPr>
        <w:t xml:space="preserve"> </w:t>
      </w:r>
      <w:r w:rsidRPr="00AF1274">
        <w:rPr>
          <w:i/>
          <w:iCs/>
        </w:rPr>
        <w:t>no</w:t>
      </w:r>
      <w:r w:rsidR="008243CA" w:rsidRPr="00AF1274">
        <w:rPr>
          <w:i/>
          <w:iCs/>
        </w:rPr>
        <w:t xml:space="preserve"> </w:t>
      </w:r>
      <w:r w:rsidRPr="00AF1274">
        <w:rPr>
          <w:i/>
          <w:iCs/>
        </w:rPr>
        <w:t>pressure</w:t>
      </w:r>
      <w:r w:rsidR="008243CA" w:rsidRPr="00AF1274">
        <w:rPr>
          <w:i/>
          <w:iCs/>
        </w:rPr>
        <w:t xml:space="preserve"> </w:t>
      </w:r>
      <w:r w:rsidRPr="00AF1274">
        <w:rPr>
          <w:i/>
          <w:iCs/>
        </w:rPr>
        <w:t>of</w:t>
      </w:r>
      <w:r w:rsidR="008243CA" w:rsidRPr="00AF1274">
        <w:rPr>
          <w:i/>
          <w:iCs/>
        </w:rPr>
        <w:t xml:space="preserve"> </w:t>
      </w:r>
      <w:r w:rsidRPr="00AF1274">
        <w:rPr>
          <w:i/>
          <w:iCs/>
        </w:rPr>
        <w:t>any</w:t>
      </w:r>
      <w:r w:rsidR="008243CA" w:rsidRPr="00AF1274">
        <w:rPr>
          <w:i/>
          <w:iCs/>
        </w:rPr>
        <w:t xml:space="preserve"> </w:t>
      </w:r>
      <w:r w:rsidRPr="00AF1274">
        <w:rPr>
          <w:i/>
          <w:iCs/>
        </w:rPr>
        <w:t>kind</w:t>
      </w:r>
      <w:r w:rsidR="008243CA" w:rsidRPr="00AF1274">
        <w:rPr>
          <w:i/>
          <w:iCs/>
        </w:rPr>
        <w:t xml:space="preserve"> </w:t>
      </w:r>
      <w:r w:rsidRPr="00AF1274">
        <w:rPr>
          <w:i/>
          <w:iCs/>
        </w:rPr>
        <w:t>is</w:t>
      </w:r>
      <w:r w:rsidR="008243CA" w:rsidRPr="00AF1274">
        <w:rPr>
          <w:i/>
          <w:iCs/>
        </w:rPr>
        <w:t xml:space="preserve"> </w:t>
      </w:r>
      <w:r w:rsidRPr="00AF1274">
        <w:rPr>
          <w:i/>
          <w:iCs/>
        </w:rPr>
        <w:t>exerted</w:t>
      </w:r>
      <w:r w:rsidR="008243CA" w:rsidRPr="00AF1274">
        <w:rPr>
          <w:i/>
          <w:iCs/>
        </w:rPr>
        <w:t xml:space="preserve"> </w:t>
      </w:r>
      <w:r w:rsidRPr="00AF1274">
        <w:rPr>
          <w:i/>
          <w:iCs/>
        </w:rPr>
        <w:t>on</w:t>
      </w:r>
      <w:r w:rsidR="008243CA" w:rsidRPr="00AF1274">
        <w:rPr>
          <w:i/>
          <w:iCs/>
        </w:rPr>
        <w:t xml:space="preserve"> </w:t>
      </w:r>
      <w:r w:rsidRPr="00AF1274">
        <w:rPr>
          <w:i/>
          <w:iCs/>
        </w:rPr>
        <w:t>accused</w:t>
      </w:r>
      <w:r w:rsidR="008243CA" w:rsidRPr="00AF1274">
        <w:rPr>
          <w:i/>
          <w:iCs/>
        </w:rPr>
        <w:t xml:space="preserve"> </w:t>
      </w:r>
      <w:r w:rsidRPr="00AF1274">
        <w:rPr>
          <w:i/>
          <w:iCs/>
        </w:rPr>
        <w:t>persons</w:t>
      </w:r>
      <w:r w:rsidR="008243CA" w:rsidRPr="00AF1274">
        <w:rPr>
          <w:i/>
          <w:iCs/>
        </w:rPr>
        <w:t xml:space="preserve"> </w:t>
      </w:r>
      <w:r w:rsidRPr="00AF1274">
        <w:rPr>
          <w:i/>
          <w:iCs/>
        </w:rPr>
        <w:t>to</w:t>
      </w:r>
      <w:r w:rsidR="008243CA" w:rsidRPr="00AF1274">
        <w:rPr>
          <w:i/>
          <w:iCs/>
        </w:rPr>
        <w:t xml:space="preserve"> </w:t>
      </w:r>
      <w:r w:rsidRPr="00AF1274">
        <w:rPr>
          <w:i/>
          <w:iCs/>
        </w:rPr>
        <w:t>convince</w:t>
      </w:r>
      <w:r w:rsidR="008243CA" w:rsidRPr="00AF1274">
        <w:rPr>
          <w:i/>
          <w:iCs/>
        </w:rPr>
        <w:t xml:space="preserve"> </w:t>
      </w:r>
      <w:r w:rsidRPr="00AF1274">
        <w:rPr>
          <w:i/>
          <w:iCs/>
        </w:rPr>
        <w:t>them</w:t>
      </w:r>
      <w:r w:rsidR="008243CA" w:rsidRPr="00AF1274">
        <w:rPr>
          <w:i/>
          <w:iCs/>
        </w:rPr>
        <w:t xml:space="preserve"> </w:t>
      </w:r>
      <w:r w:rsidRPr="00AF1274">
        <w:rPr>
          <w:i/>
          <w:iCs/>
        </w:rPr>
        <w:t>to</w:t>
      </w:r>
      <w:r w:rsidR="008243CA" w:rsidRPr="00AF1274">
        <w:rPr>
          <w:i/>
          <w:iCs/>
        </w:rPr>
        <w:t xml:space="preserve"> </w:t>
      </w:r>
      <w:r w:rsidRPr="00AF1274">
        <w:rPr>
          <w:i/>
          <w:iCs/>
        </w:rPr>
        <w:t>plea</w:t>
      </w:r>
      <w:r w:rsidR="008243CA" w:rsidRPr="00AF1274">
        <w:rPr>
          <w:i/>
          <w:iCs/>
        </w:rPr>
        <w:t xml:space="preserve"> </w:t>
      </w:r>
      <w:r w:rsidRPr="00AF1274">
        <w:rPr>
          <w:i/>
          <w:iCs/>
        </w:rPr>
        <w:t>bargain.</w:t>
      </w:r>
    </w:p>
    <w:p w:rsidR="003F7D03" w:rsidRPr="00E62FE6" w:rsidRDefault="003F7D03" w:rsidP="000C6D98">
      <w:pPr>
        <w:pStyle w:val="SingleTxtG"/>
      </w:pPr>
      <w:bookmarkStart w:id="70" w:name="page26"/>
      <w:bookmarkEnd w:id="70"/>
      <w:r w:rsidRPr="00E62FE6">
        <w:t>88.</w:t>
      </w:r>
      <w:r w:rsidRPr="00E62FE6">
        <w:tab/>
        <w:t>The</w:t>
      </w:r>
      <w:r w:rsidR="008243CA">
        <w:t xml:space="preserve"> </w:t>
      </w:r>
      <w:r w:rsidRPr="00E62FE6">
        <w:t>Public</w:t>
      </w:r>
      <w:r w:rsidR="008243CA">
        <w:t xml:space="preserve"> </w:t>
      </w:r>
      <w:r w:rsidRPr="00E62FE6">
        <w:t>Criminal</w:t>
      </w:r>
      <w:r w:rsidR="008243CA">
        <w:t xml:space="preserve"> </w:t>
      </w:r>
      <w:r w:rsidRPr="00E62FE6">
        <w:t>Defender</w:t>
      </w:r>
      <w:r w:rsidR="008243CA">
        <w:t xml:space="preserve"> </w:t>
      </w:r>
      <w:r w:rsidRPr="00E62FE6">
        <w:t>Service</w:t>
      </w:r>
      <w:r w:rsidR="008243CA">
        <w:t xml:space="preserve"> </w:t>
      </w:r>
      <w:r w:rsidRPr="00E62FE6">
        <w:t>will</w:t>
      </w:r>
      <w:r w:rsidR="008243CA">
        <w:t xml:space="preserve"> </w:t>
      </w:r>
      <w:r w:rsidRPr="00E62FE6">
        <w:t>gather</w:t>
      </w:r>
      <w:r w:rsidR="008243CA">
        <w:t xml:space="preserve"> </w:t>
      </w:r>
      <w:r w:rsidRPr="00E62FE6">
        <w:t>information</w:t>
      </w:r>
      <w:r w:rsidR="008243CA">
        <w:t xml:space="preserve"> </w:t>
      </w:r>
      <w:r w:rsidRPr="00E62FE6">
        <w:t>in</w:t>
      </w:r>
      <w:r w:rsidR="008243CA">
        <w:t xml:space="preserve"> </w:t>
      </w:r>
      <w:r w:rsidRPr="00E62FE6">
        <w:t>order</w:t>
      </w:r>
      <w:r w:rsidR="008243CA">
        <w:t xml:space="preserve"> </w:t>
      </w:r>
      <w:r w:rsidRPr="00E62FE6">
        <w:t>to</w:t>
      </w:r>
      <w:r w:rsidR="008243CA">
        <w:t xml:space="preserve"> </w:t>
      </w:r>
      <w:r w:rsidRPr="00E62FE6">
        <w:t>conduct</w:t>
      </w:r>
      <w:r w:rsidR="008243CA">
        <w:t xml:space="preserve"> </w:t>
      </w:r>
      <w:r w:rsidRPr="00E62FE6">
        <w:t>a</w:t>
      </w:r>
      <w:r w:rsidR="008243CA">
        <w:t xml:space="preserve"> </w:t>
      </w:r>
      <w:r w:rsidRPr="00E62FE6">
        <w:t>diagnostic</w:t>
      </w:r>
      <w:r w:rsidR="008243CA">
        <w:t xml:space="preserve"> </w:t>
      </w:r>
      <w:r w:rsidRPr="00E62FE6">
        <w:t>analysis</w:t>
      </w:r>
      <w:r w:rsidR="008243CA">
        <w:t xml:space="preserve"> </w:t>
      </w:r>
      <w:r w:rsidRPr="00E62FE6">
        <w:t>of</w:t>
      </w:r>
      <w:r w:rsidR="008243CA">
        <w:t xml:space="preserve"> </w:t>
      </w:r>
      <w:r w:rsidRPr="00E62FE6">
        <w:t>plea-bargaining</w:t>
      </w:r>
      <w:r w:rsidR="008243CA">
        <w:t xml:space="preserve"> </w:t>
      </w:r>
      <w:r w:rsidRPr="00E62FE6">
        <w:t>procedures.</w:t>
      </w:r>
      <w:r w:rsidR="008243CA">
        <w:t xml:space="preserve"> </w:t>
      </w:r>
      <w:r w:rsidRPr="00E62FE6">
        <w:t>This</w:t>
      </w:r>
      <w:r w:rsidR="008243CA">
        <w:t xml:space="preserve"> </w:t>
      </w:r>
      <w:r w:rsidRPr="00E62FE6">
        <w:t>will</w:t>
      </w:r>
      <w:r w:rsidR="008243CA">
        <w:t xml:space="preserve"> </w:t>
      </w:r>
      <w:r w:rsidRPr="00E62FE6">
        <w:t>mainly</w:t>
      </w:r>
      <w:r w:rsidR="008243CA">
        <w:t xml:space="preserve"> </w:t>
      </w:r>
      <w:r w:rsidRPr="00E62FE6">
        <w:t>be</w:t>
      </w:r>
      <w:r w:rsidR="008243CA">
        <w:t xml:space="preserve"> </w:t>
      </w:r>
      <w:r w:rsidRPr="00E62FE6">
        <w:t>done</w:t>
      </w:r>
      <w:r w:rsidR="008243CA">
        <w:t xml:space="preserve"> </w:t>
      </w:r>
      <w:r w:rsidRPr="00E62FE6">
        <w:t>by</w:t>
      </w:r>
      <w:r w:rsidR="008243CA">
        <w:t xml:space="preserve"> </w:t>
      </w:r>
      <w:r w:rsidRPr="00E62FE6">
        <w:t>supplementing</w:t>
      </w:r>
      <w:r w:rsidR="008243CA">
        <w:t xml:space="preserve"> </w:t>
      </w:r>
      <w:r w:rsidRPr="00E62FE6">
        <w:t>statistical</w:t>
      </w:r>
      <w:r w:rsidR="008243CA">
        <w:t xml:space="preserve"> </w:t>
      </w:r>
      <w:r w:rsidRPr="00E62FE6">
        <w:t>information</w:t>
      </w:r>
      <w:r w:rsidR="008243CA">
        <w:t xml:space="preserve"> </w:t>
      </w:r>
      <w:r w:rsidRPr="00E62FE6">
        <w:t>from</w:t>
      </w:r>
      <w:r w:rsidR="008243CA">
        <w:t xml:space="preserve"> </w:t>
      </w:r>
      <w:r w:rsidRPr="00E62FE6">
        <w:t>the</w:t>
      </w:r>
      <w:r w:rsidR="008243CA">
        <w:t xml:space="preserve"> </w:t>
      </w:r>
      <w:r w:rsidRPr="00E62FE6">
        <w:t>Public</w:t>
      </w:r>
      <w:r w:rsidR="008243CA">
        <w:t xml:space="preserve"> </w:t>
      </w:r>
      <w:r w:rsidRPr="00E62FE6">
        <w:t>Criminal</w:t>
      </w:r>
      <w:r w:rsidR="008243CA">
        <w:t xml:space="preserve"> </w:t>
      </w:r>
      <w:r w:rsidRPr="00E62FE6">
        <w:t>Defender</w:t>
      </w:r>
      <w:r w:rsidR="008243CA">
        <w:t xml:space="preserve"> </w:t>
      </w:r>
      <w:r w:rsidRPr="00E62FE6">
        <w:t>Service</w:t>
      </w:r>
      <w:r w:rsidR="008243CA">
        <w:t xml:space="preserve"> </w:t>
      </w:r>
      <w:r w:rsidRPr="00E62FE6">
        <w:t>itself</w:t>
      </w:r>
      <w:r w:rsidR="008243CA">
        <w:t xml:space="preserve"> </w:t>
      </w:r>
      <w:r w:rsidRPr="00E62FE6">
        <w:t>with</w:t>
      </w:r>
      <w:r w:rsidR="008243CA">
        <w:t xml:space="preserve"> </w:t>
      </w:r>
      <w:r w:rsidRPr="00E62FE6">
        <w:t>information</w:t>
      </w:r>
      <w:r w:rsidR="008243CA">
        <w:t xml:space="preserve"> </w:t>
      </w:r>
      <w:r w:rsidRPr="00E62FE6">
        <w:t>requested</w:t>
      </w:r>
      <w:r w:rsidR="008243CA">
        <w:t xml:space="preserve"> </w:t>
      </w:r>
      <w:r w:rsidRPr="00E62FE6">
        <w:t>from</w:t>
      </w:r>
      <w:r w:rsidR="008243CA">
        <w:t xml:space="preserve"> </w:t>
      </w:r>
      <w:r w:rsidRPr="00E62FE6">
        <w:t>the</w:t>
      </w:r>
      <w:r w:rsidR="008243CA">
        <w:t xml:space="preserve"> </w:t>
      </w:r>
      <w:r w:rsidRPr="00E62FE6">
        <w:t>judiciary,</w:t>
      </w:r>
      <w:r w:rsidR="008243CA">
        <w:t xml:space="preserve"> </w:t>
      </w:r>
      <w:r w:rsidRPr="00E62FE6">
        <w:t>which</w:t>
      </w:r>
      <w:r w:rsidR="008243CA">
        <w:t xml:space="preserve"> </w:t>
      </w:r>
      <w:r w:rsidRPr="00E62FE6">
        <w:t>will</w:t>
      </w:r>
      <w:r w:rsidR="008243CA">
        <w:t xml:space="preserve"> </w:t>
      </w:r>
      <w:r w:rsidRPr="00E62FE6">
        <w:t>allow</w:t>
      </w:r>
      <w:r w:rsidR="008243CA">
        <w:t xml:space="preserve"> </w:t>
      </w:r>
      <w:r w:rsidRPr="00E62FE6">
        <w:t>for</w:t>
      </w:r>
      <w:r w:rsidR="008243CA">
        <w:t xml:space="preserve"> </w:t>
      </w:r>
      <w:r w:rsidRPr="00E62FE6">
        <w:t>a</w:t>
      </w:r>
      <w:r w:rsidR="008243CA">
        <w:t xml:space="preserve"> </w:t>
      </w:r>
      <w:r w:rsidRPr="00E62FE6">
        <w:t>diagnostic</w:t>
      </w:r>
      <w:r w:rsidR="008243CA">
        <w:t xml:space="preserve"> </w:t>
      </w:r>
      <w:r w:rsidRPr="00E62FE6">
        <w:t>analysis</w:t>
      </w:r>
      <w:r w:rsidR="008243CA">
        <w:t xml:space="preserve"> </w:t>
      </w:r>
      <w:r w:rsidRPr="00E62FE6">
        <w:t>to</w:t>
      </w:r>
      <w:r w:rsidR="008243CA">
        <w:t xml:space="preserve"> </w:t>
      </w:r>
      <w:r w:rsidRPr="00E62FE6">
        <w:t>be</w:t>
      </w:r>
      <w:r w:rsidR="008243CA">
        <w:t xml:space="preserve"> </w:t>
      </w:r>
      <w:r w:rsidRPr="00E62FE6">
        <w:t>made</w:t>
      </w:r>
      <w:r w:rsidR="008243CA">
        <w:t xml:space="preserve"> </w:t>
      </w:r>
      <w:r w:rsidRPr="00E62FE6">
        <w:t>of</w:t>
      </w:r>
      <w:r w:rsidR="008243CA">
        <w:t xml:space="preserve"> </w:t>
      </w:r>
      <w:r w:rsidRPr="00E62FE6">
        <w:t>all</w:t>
      </w:r>
      <w:r w:rsidR="008243CA">
        <w:t xml:space="preserve"> </w:t>
      </w:r>
      <w:r w:rsidRPr="00E62FE6">
        <w:t>cases</w:t>
      </w:r>
      <w:r w:rsidR="008243CA">
        <w:t xml:space="preserve"> </w:t>
      </w:r>
      <w:r w:rsidRPr="00E62FE6">
        <w:t>resolved</w:t>
      </w:r>
      <w:r w:rsidR="008243CA">
        <w:t xml:space="preserve"> </w:t>
      </w:r>
      <w:r w:rsidRPr="00E62FE6">
        <w:t>in</w:t>
      </w:r>
      <w:r w:rsidR="008243CA">
        <w:t xml:space="preserve"> </w:t>
      </w:r>
      <w:r w:rsidRPr="00E62FE6">
        <w:t>this</w:t>
      </w:r>
      <w:r w:rsidR="008243CA">
        <w:t xml:space="preserve"> </w:t>
      </w:r>
      <w:r w:rsidRPr="00E62FE6">
        <w:t>manner.</w:t>
      </w:r>
      <w:r w:rsidR="008243CA">
        <w:t xml:space="preserve"> </w:t>
      </w:r>
      <w:r w:rsidRPr="00E62FE6">
        <w:t>The</w:t>
      </w:r>
      <w:r w:rsidR="008243CA">
        <w:t xml:space="preserve"> </w:t>
      </w:r>
      <w:r w:rsidRPr="00E62FE6">
        <w:t>Public</w:t>
      </w:r>
      <w:r w:rsidR="008243CA">
        <w:t xml:space="preserve"> </w:t>
      </w:r>
      <w:r w:rsidRPr="00E62FE6">
        <w:t>Criminal</w:t>
      </w:r>
      <w:r w:rsidR="008243CA">
        <w:t xml:space="preserve"> </w:t>
      </w:r>
      <w:r w:rsidRPr="00E62FE6">
        <w:t>Defender</w:t>
      </w:r>
      <w:r w:rsidR="008243CA">
        <w:t xml:space="preserve"> </w:t>
      </w:r>
      <w:r w:rsidRPr="00E62FE6">
        <w:t>Service</w:t>
      </w:r>
      <w:r w:rsidR="008243CA">
        <w:t xml:space="preserve"> </w:t>
      </w:r>
      <w:r w:rsidRPr="00E62FE6">
        <w:t>will</w:t>
      </w:r>
      <w:r w:rsidR="008243CA">
        <w:t xml:space="preserve"> </w:t>
      </w:r>
      <w:r w:rsidRPr="00E62FE6">
        <w:t>use</w:t>
      </w:r>
      <w:r w:rsidR="008243CA">
        <w:t xml:space="preserve"> </w:t>
      </w:r>
      <w:r w:rsidRPr="00E62FE6">
        <w:t>the</w:t>
      </w:r>
      <w:r w:rsidR="008243CA">
        <w:t xml:space="preserve"> </w:t>
      </w:r>
      <w:r w:rsidRPr="00E62FE6">
        <w:t>diagnostic</w:t>
      </w:r>
      <w:r w:rsidR="008243CA">
        <w:t xml:space="preserve"> </w:t>
      </w:r>
      <w:r w:rsidRPr="00E62FE6">
        <w:t>analysis</w:t>
      </w:r>
      <w:r w:rsidR="008243CA">
        <w:t xml:space="preserve"> </w:t>
      </w:r>
      <w:r w:rsidRPr="00E62FE6">
        <w:t>to</w:t>
      </w:r>
      <w:r w:rsidR="008243CA">
        <w:t xml:space="preserve"> </w:t>
      </w:r>
      <w:r w:rsidRPr="00E62FE6">
        <w:t>draw</w:t>
      </w:r>
      <w:r w:rsidR="008243CA">
        <w:t xml:space="preserve"> </w:t>
      </w:r>
      <w:r w:rsidRPr="00E62FE6">
        <w:t>up</w:t>
      </w:r>
      <w:r w:rsidR="008243CA">
        <w:t xml:space="preserve"> </w:t>
      </w:r>
      <w:r w:rsidRPr="00E62FE6">
        <w:t>a</w:t>
      </w:r>
      <w:r w:rsidR="008243CA">
        <w:t xml:space="preserve"> </w:t>
      </w:r>
      <w:r w:rsidRPr="00E62FE6">
        <w:t>work</w:t>
      </w:r>
      <w:r w:rsidR="008243CA">
        <w:t xml:space="preserve"> </w:t>
      </w:r>
      <w:r w:rsidRPr="00E62FE6">
        <w:t>plan</w:t>
      </w:r>
      <w:r w:rsidR="008243CA">
        <w:t xml:space="preserve"> </w:t>
      </w:r>
      <w:r w:rsidRPr="00E62FE6">
        <w:t>for</w:t>
      </w:r>
      <w:r w:rsidR="008243CA">
        <w:t xml:space="preserve"> </w:t>
      </w:r>
      <w:r w:rsidRPr="00E62FE6">
        <w:t>addressing</w:t>
      </w:r>
      <w:r w:rsidR="008243CA">
        <w:t xml:space="preserve"> </w:t>
      </w:r>
      <w:r w:rsidRPr="00E62FE6">
        <w:t>the</w:t>
      </w:r>
      <w:r w:rsidR="008243CA">
        <w:t xml:space="preserve"> </w:t>
      </w:r>
      <w:r w:rsidRPr="00E62FE6">
        <w:t>issues</w:t>
      </w:r>
      <w:r w:rsidR="008243CA">
        <w:t xml:space="preserve"> </w:t>
      </w:r>
      <w:r w:rsidRPr="00E62FE6">
        <w:t>brought</w:t>
      </w:r>
      <w:r w:rsidR="008243CA">
        <w:t xml:space="preserve"> </w:t>
      </w:r>
      <w:r w:rsidRPr="00E62FE6">
        <w:t>to</w:t>
      </w:r>
      <w:r w:rsidR="008243CA">
        <w:t xml:space="preserve"> </w:t>
      </w:r>
      <w:r w:rsidRPr="00E62FE6">
        <w:t>light</w:t>
      </w:r>
      <w:r w:rsidR="008243CA">
        <w:t xml:space="preserve"> </w:t>
      </w:r>
      <w:r w:rsidRPr="00E62FE6">
        <w:t>by</w:t>
      </w:r>
      <w:r w:rsidR="008243CA">
        <w:t xml:space="preserve"> </w:t>
      </w:r>
      <w:r w:rsidRPr="00E62FE6">
        <w:t>the</w:t>
      </w:r>
      <w:r w:rsidR="008243CA">
        <w:t xml:space="preserve"> </w:t>
      </w:r>
      <w:r w:rsidRPr="00E62FE6">
        <w:t>information</w:t>
      </w:r>
      <w:r w:rsidR="008243CA">
        <w:t xml:space="preserve"> </w:t>
      </w:r>
      <w:r w:rsidRPr="00E62FE6">
        <w:t>gathered.</w:t>
      </w:r>
    </w:p>
    <w:p w:rsidR="003F7D03" w:rsidRPr="00E62FE6" w:rsidRDefault="003F7D03" w:rsidP="00AF1274">
      <w:pPr>
        <w:pStyle w:val="H23G"/>
      </w:pPr>
      <w:r w:rsidRPr="00E62FE6">
        <w:tab/>
      </w:r>
      <w:bookmarkStart w:id="71" w:name="_Toc512870693"/>
      <w:bookmarkStart w:id="72" w:name="_Toc512870855"/>
      <w:r w:rsidRPr="00E62FE6">
        <w:t>3.1.5</w:t>
      </w:r>
      <w:r w:rsidR="008243CA">
        <w:t xml:space="preserve"> </w:t>
      </w:r>
      <w:r w:rsidRPr="00E62FE6">
        <w:tab/>
        <w:t>Use</w:t>
      </w:r>
      <w:r w:rsidR="008243CA">
        <w:t xml:space="preserve"> </w:t>
      </w:r>
      <w:r w:rsidRPr="00E62FE6">
        <w:t>of</w:t>
      </w:r>
      <w:r w:rsidR="008243CA">
        <w:t xml:space="preserve"> </w:t>
      </w:r>
      <w:r w:rsidRPr="00E62FE6">
        <w:t>the</w:t>
      </w:r>
      <w:r w:rsidR="008243CA">
        <w:t xml:space="preserve"> </w:t>
      </w:r>
      <w:r w:rsidRPr="00E62FE6">
        <w:t>prosecution</w:t>
      </w:r>
      <w:r w:rsidR="008243CA">
        <w:t xml:space="preserve"> </w:t>
      </w:r>
      <w:r w:rsidRPr="00E62FE6">
        <w:t>support</w:t>
      </w:r>
      <w:r w:rsidR="008243CA">
        <w:t xml:space="preserve"> </w:t>
      </w:r>
      <w:r w:rsidRPr="00E62FE6">
        <w:t>system</w:t>
      </w:r>
      <w:bookmarkEnd w:id="71"/>
      <w:bookmarkEnd w:id="72"/>
    </w:p>
    <w:p w:rsidR="003F7D03" w:rsidRPr="00AF1274" w:rsidRDefault="003F7D03" w:rsidP="000C6D98">
      <w:pPr>
        <w:pStyle w:val="SingleTxtG"/>
        <w:rPr>
          <w:i/>
          <w:iCs/>
        </w:rPr>
      </w:pPr>
      <w:r w:rsidRPr="00E62FE6">
        <w:t>89.</w:t>
      </w:r>
      <w:r w:rsidRPr="00E62FE6">
        <w:tab/>
        <w:t>Paragraph</w:t>
      </w:r>
      <w:r w:rsidR="008243CA">
        <w:t xml:space="preserve"> </w:t>
      </w:r>
      <w:r w:rsidRPr="00E62FE6">
        <w:t>34:</w:t>
      </w:r>
      <w:r w:rsidR="008243CA">
        <w:t xml:space="preserve"> </w:t>
      </w:r>
      <w:r w:rsidRPr="00AF1274">
        <w:rPr>
          <w:i/>
          <w:iCs/>
        </w:rPr>
        <w:t>The</w:t>
      </w:r>
      <w:r w:rsidR="008243CA" w:rsidRPr="00AF1274">
        <w:rPr>
          <w:i/>
          <w:iCs/>
        </w:rPr>
        <w:t xml:space="preserve"> </w:t>
      </w:r>
      <w:r w:rsidRPr="00AF1274">
        <w:rPr>
          <w:i/>
          <w:iCs/>
        </w:rPr>
        <w:t>Subcommittee</w:t>
      </w:r>
      <w:r w:rsidR="008243CA" w:rsidRPr="00AF1274">
        <w:rPr>
          <w:i/>
          <w:iCs/>
        </w:rPr>
        <w:t xml:space="preserve"> </w:t>
      </w:r>
      <w:r w:rsidRPr="00AF1274">
        <w:rPr>
          <w:i/>
          <w:iCs/>
        </w:rPr>
        <w:t>recommends</w:t>
      </w:r>
      <w:r w:rsidR="008243CA" w:rsidRPr="00AF1274">
        <w:rPr>
          <w:i/>
          <w:iCs/>
        </w:rPr>
        <w:t xml:space="preserve"> </w:t>
      </w:r>
      <w:r w:rsidRPr="00AF1274">
        <w:rPr>
          <w:i/>
          <w:iCs/>
        </w:rPr>
        <w:t>that</w:t>
      </w:r>
      <w:r w:rsidR="008243CA" w:rsidRPr="00AF1274">
        <w:rPr>
          <w:i/>
          <w:iCs/>
        </w:rPr>
        <w:t xml:space="preserve"> </w:t>
      </w:r>
      <w:r w:rsidRPr="00AF1274">
        <w:rPr>
          <w:i/>
          <w:iCs/>
        </w:rPr>
        <w:t>the</w:t>
      </w:r>
      <w:r w:rsidR="008243CA" w:rsidRPr="00AF1274">
        <w:rPr>
          <w:i/>
          <w:iCs/>
        </w:rPr>
        <w:t xml:space="preserve"> </w:t>
      </w:r>
      <w:r w:rsidRPr="00AF1274">
        <w:rPr>
          <w:i/>
          <w:iCs/>
        </w:rPr>
        <w:t>Attorney</w:t>
      </w:r>
      <w:r w:rsidR="008243CA" w:rsidRPr="00AF1274">
        <w:rPr>
          <w:i/>
          <w:iCs/>
        </w:rPr>
        <w:t xml:space="preserve"> </w:t>
      </w:r>
      <w:r w:rsidRPr="00AF1274">
        <w:rPr>
          <w:i/>
          <w:iCs/>
        </w:rPr>
        <w:t>General</w:t>
      </w:r>
      <w:r w:rsidR="00116F0B">
        <w:rPr>
          <w:i/>
          <w:iCs/>
        </w:rPr>
        <w:t>’</w:t>
      </w:r>
      <w:r w:rsidRPr="00AF1274">
        <w:rPr>
          <w:i/>
          <w:iCs/>
        </w:rPr>
        <w:t>s</w:t>
      </w:r>
      <w:r w:rsidR="008243CA" w:rsidRPr="00AF1274">
        <w:rPr>
          <w:i/>
          <w:iCs/>
        </w:rPr>
        <w:t xml:space="preserve"> </w:t>
      </w:r>
      <w:r w:rsidRPr="00AF1274">
        <w:rPr>
          <w:i/>
          <w:iCs/>
        </w:rPr>
        <w:t>Office</w:t>
      </w:r>
      <w:r w:rsidR="008243CA" w:rsidRPr="00AF1274">
        <w:rPr>
          <w:i/>
          <w:iCs/>
        </w:rPr>
        <w:t xml:space="preserve"> </w:t>
      </w:r>
      <w:r w:rsidRPr="00AF1274">
        <w:rPr>
          <w:i/>
          <w:iCs/>
        </w:rPr>
        <w:t>instruct</w:t>
      </w:r>
      <w:r w:rsidR="008243CA" w:rsidRPr="00AF1274">
        <w:rPr>
          <w:i/>
          <w:iCs/>
        </w:rPr>
        <w:t xml:space="preserve"> </w:t>
      </w:r>
      <w:r w:rsidRPr="00AF1274">
        <w:rPr>
          <w:i/>
          <w:iCs/>
        </w:rPr>
        <w:t>prosecutors</w:t>
      </w:r>
      <w:r w:rsidR="008243CA" w:rsidRPr="00AF1274">
        <w:rPr>
          <w:i/>
          <w:iCs/>
        </w:rPr>
        <w:t xml:space="preserve"> </w:t>
      </w:r>
      <w:r w:rsidRPr="00AF1274">
        <w:rPr>
          <w:i/>
          <w:iCs/>
        </w:rPr>
        <w:t>to</w:t>
      </w:r>
      <w:r w:rsidR="008243CA" w:rsidRPr="00AF1274">
        <w:rPr>
          <w:i/>
          <w:iCs/>
        </w:rPr>
        <w:t xml:space="preserve"> </w:t>
      </w:r>
      <w:r w:rsidRPr="00AF1274">
        <w:rPr>
          <w:i/>
          <w:iCs/>
        </w:rPr>
        <w:t>refrain</w:t>
      </w:r>
      <w:r w:rsidR="008243CA" w:rsidRPr="00AF1274">
        <w:rPr>
          <w:i/>
          <w:iCs/>
        </w:rPr>
        <w:t xml:space="preserve"> </w:t>
      </w:r>
      <w:r w:rsidRPr="00AF1274">
        <w:rPr>
          <w:i/>
          <w:iCs/>
        </w:rPr>
        <w:t>from</w:t>
      </w:r>
      <w:r w:rsidR="008243CA" w:rsidRPr="00AF1274">
        <w:rPr>
          <w:i/>
          <w:iCs/>
        </w:rPr>
        <w:t xml:space="preserve"> </w:t>
      </w:r>
      <w:r w:rsidRPr="00AF1274">
        <w:rPr>
          <w:i/>
          <w:iCs/>
        </w:rPr>
        <w:t>using</w:t>
      </w:r>
      <w:r w:rsidR="008243CA" w:rsidRPr="00AF1274">
        <w:rPr>
          <w:i/>
          <w:iCs/>
        </w:rPr>
        <w:t xml:space="preserve"> </w:t>
      </w:r>
      <w:r w:rsidRPr="00AF1274">
        <w:rPr>
          <w:i/>
          <w:iCs/>
        </w:rPr>
        <w:t>information</w:t>
      </w:r>
      <w:r w:rsidR="008243CA" w:rsidRPr="00AF1274">
        <w:rPr>
          <w:i/>
          <w:iCs/>
        </w:rPr>
        <w:t xml:space="preserve"> </w:t>
      </w:r>
      <w:r w:rsidRPr="00AF1274">
        <w:rPr>
          <w:i/>
          <w:iCs/>
        </w:rPr>
        <w:t>from</w:t>
      </w:r>
      <w:r w:rsidR="008243CA" w:rsidRPr="00AF1274">
        <w:rPr>
          <w:i/>
          <w:iCs/>
        </w:rPr>
        <w:t xml:space="preserve"> </w:t>
      </w:r>
      <w:r w:rsidRPr="00AF1274">
        <w:rPr>
          <w:i/>
          <w:iCs/>
        </w:rPr>
        <w:t>the</w:t>
      </w:r>
      <w:r w:rsidR="008243CA" w:rsidRPr="00AF1274">
        <w:rPr>
          <w:i/>
          <w:iCs/>
        </w:rPr>
        <w:t xml:space="preserve"> </w:t>
      </w:r>
      <w:r w:rsidRPr="00AF1274">
        <w:rPr>
          <w:i/>
          <w:iCs/>
        </w:rPr>
        <w:t>prosecution</w:t>
      </w:r>
      <w:r w:rsidR="008243CA" w:rsidRPr="00AF1274">
        <w:rPr>
          <w:i/>
          <w:iCs/>
        </w:rPr>
        <w:t xml:space="preserve"> </w:t>
      </w:r>
      <w:r w:rsidRPr="00AF1274">
        <w:rPr>
          <w:i/>
          <w:iCs/>
        </w:rPr>
        <w:t>support</w:t>
      </w:r>
      <w:r w:rsidR="008243CA" w:rsidRPr="00AF1274">
        <w:rPr>
          <w:i/>
          <w:iCs/>
        </w:rPr>
        <w:t xml:space="preserve"> </w:t>
      </w:r>
      <w:r w:rsidRPr="00AF1274">
        <w:rPr>
          <w:i/>
          <w:iCs/>
        </w:rPr>
        <w:t>system</w:t>
      </w:r>
      <w:r w:rsidR="008243CA" w:rsidRPr="00AF1274">
        <w:rPr>
          <w:i/>
          <w:iCs/>
        </w:rPr>
        <w:t xml:space="preserve"> </w:t>
      </w:r>
      <w:r w:rsidRPr="00AF1274">
        <w:rPr>
          <w:i/>
          <w:iCs/>
        </w:rPr>
        <w:t>in</w:t>
      </w:r>
      <w:r w:rsidR="008243CA" w:rsidRPr="00AF1274">
        <w:rPr>
          <w:i/>
          <w:iCs/>
        </w:rPr>
        <w:t xml:space="preserve"> </w:t>
      </w:r>
      <w:r w:rsidRPr="00AF1274">
        <w:rPr>
          <w:i/>
          <w:iCs/>
        </w:rPr>
        <w:t>a</w:t>
      </w:r>
      <w:r w:rsidR="008243CA" w:rsidRPr="00AF1274">
        <w:rPr>
          <w:i/>
          <w:iCs/>
        </w:rPr>
        <w:t xml:space="preserve"> </w:t>
      </w:r>
      <w:r w:rsidRPr="00AF1274">
        <w:rPr>
          <w:i/>
          <w:iCs/>
        </w:rPr>
        <w:t>manner</w:t>
      </w:r>
      <w:r w:rsidR="008243CA" w:rsidRPr="00AF1274">
        <w:rPr>
          <w:i/>
          <w:iCs/>
        </w:rPr>
        <w:t xml:space="preserve"> </w:t>
      </w:r>
      <w:r w:rsidRPr="00AF1274">
        <w:rPr>
          <w:i/>
          <w:iCs/>
        </w:rPr>
        <w:t>that</w:t>
      </w:r>
      <w:r w:rsidR="008243CA" w:rsidRPr="00AF1274">
        <w:rPr>
          <w:i/>
          <w:iCs/>
        </w:rPr>
        <w:t xml:space="preserve"> </w:t>
      </w:r>
      <w:r w:rsidRPr="00AF1274">
        <w:rPr>
          <w:i/>
          <w:iCs/>
        </w:rPr>
        <w:t>violates</w:t>
      </w:r>
      <w:r w:rsidR="008243CA" w:rsidRPr="00AF1274">
        <w:rPr>
          <w:i/>
          <w:iCs/>
        </w:rPr>
        <w:t xml:space="preserve"> </w:t>
      </w:r>
      <w:r w:rsidRPr="00AF1274">
        <w:rPr>
          <w:i/>
          <w:iCs/>
        </w:rPr>
        <w:t>due</w:t>
      </w:r>
      <w:r w:rsidR="008243CA" w:rsidRPr="00AF1274">
        <w:rPr>
          <w:i/>
          <w:iCs/>
        </w:rPr>
        <w:t xml:space="preserve"> </w:t>
      </w:r>
      <w:r w:rsidRPr="00AF1274">
        <w:rPr>
          <w:i/>
          <w:iCs/>
        </w:rPr>
        <w:t>process.</w:t>
      </w:r>
    </w:p>
    <w:p w:rsidR="003F7D03" w:rsidRPr="00E62FE6" w:rsidRDefault="003F7D03" w:rsidP="00AF1274">
      <w:pPr>
        <w:pStyle w:val="SingleTxtG"/>
      </w:pPr>
      <w:r w:rsidRPr="00E62FE6">
        <w:t>90.</w:t>
      </w:r>
      <w:r w:rsidRPr="00E62FE6">
        <w:tab/>
        <w:t>As</w:t>
      </w:r>
      <w:r w:rsidR="008243CA">
        <w:t xml:space="preserve"> </w:t>
      </w:r>
      <w:r w:rsidRPr="00E62FE6">
        <w:t>this</w:t>
      </w:r>
      <w:r w:rsidR="008243CA">
        <w:t xml:space="preserve"> </w:t>
      </w:r>
      <w:r w:rsidRPr="00E62FE6">
        <w:t>matter</w:t>
      </w:r>
      <w:r w:rsidR="008243CA">
        <w:t xml:space="preserve"> </w:t>
      </w:r>
      <w:r w:rsidRPr="00E62FE6">
        <w:t>is</w:t>
      </w:r>
      <w:r w:rsidR="008243CA">
        <w:t xml:space="preserve"> </w:t>
      </w:r>
      <w:r w:rsidRPr="00E62FE6">
        <w:t>under</w:t>
      </w:r>
      <w:r w:rsidR="008243CA">
        <w:t xml:space="preserve"> </w:t>
      </w:r>
      <w:r w:rsidRPr="00E62FE6">
        <w:t>the</w:t>
      </w:r>
      <w:r w:rsidR="008243CA">
        <w:t xml:space="preserve"> </w:t>
      </w:r>
      <w:r w:rsidRPr="00E62FE6">
        <w:t>exclusive</w:t>
      </w:r>
      <w:r w:rsidR="008243CA">
        <w:t xml:space="preserve"> </w:t>
      </w:r>
      <w:r w:rsidRPr="00E62FE6">
        <w:t>competence</w:t>
      </w:r>
      <w:r w:rsidR="008243CA">
        <w:t xml:space="preserve"> </w:t>
      </w:r>
      <w:r w:rsidRPr="00E62FE6">
        <w:t>of</w:t>
      </w:r>
      <w:r w:rsidR="008243CA">
        <w:t xml:space="preserve"> </w:t>
      </w:r>
      <w:r w:rsidRPr="00E62FE6">
        <w:t>the</w:t>
      </w:r>
      <w:r w:rsidR="008243CA">
        <w:t xml:space="preserve"> </w:t>
      </w:r>
      <w:r w:rsidRPr="00E62FE6">
        <w:t>Public</w:t>
      </w:r>
      <w:r w:rsidR="008243CA">
        <w:t xml:space="preserve"> </w:t>
      </w:r>
      <w:r w:rsidRPr="00E62FE6">
        <w:t>Prosecution</w:t>
      </w:r>
      <w:r w:rsidR="008243CA">
        <w:t xml:space="preserve"> </w:t>
      </w:r>
      <w:r w:rsidRPr="00E62FE6">
        <w:t>Service,</w:t>
      </w:r>
      <w:r w:rsidR="008243CA">
        <w:t xml:space="preserve"> </w:t>
      </w:r>
      <w:r w:rsidRPr="00E62FE6">
        <w:t>the</w:t>
      </w:r>
      <w:r w:rsidR="008243CA">
        <w:t xml:space="preserve"> </w:t>
      </w:r>
      <w:r w:rsidRPr="00E62FE6">
        <w:t>recommendation</w:t>
      </w:r>
      <w:r w:rsidR="008243CA">
        <w:t xml:space="preserve"> </w:t>
      </w:r>
      <w:r w:rsidRPr="00E62FE6">
        <w:t>was</w:t>
      </w:r>
      <w:r w:rsidR="008243CA">
        <w:t xml:space="preserve"> </w:t>
      </w:r>
      <w:r w:rsidRPr="00E62FE6">
        <w:t>brought</w:t>
      </w:r>
      <w:r w:rsidR="008243CA">
        <w:t xml:space="preserve"> </w:t>
      </w:r>
      <w:r w:rsidRPr="00E62FE6">
        <w:t>to</w:t>
      </w:r>
      <w:r w:rsidR="008243CA">
        <w:t xml:space="preserve"> </w:t>
      </w:r>
      <w:r w:rsidRPr="00E62FE6">
        <w:t>its</w:t>
      </w:r>
      <w:r w:rsidR="008243CA">
        <w:t xml:space="preserve"> </w:t>
      </w:r>
      <w:r w:rsidRPr="00E62FE6">
        <w:t>attention</w:t>
      </w:r>
      <w:r w:rsidR="008243CA">
        <w:t xml:space="preserve"> </w:t>
      </w:r>
      <w:r w:rsidRPr="00E62FE6">
        <w:t>so</w:t>
      </w:r>
      <w:r w:rsidR="008243CA">
        <w:t xml:space="preserve"> </w:t>
      </w:r>
      <w:r w:rsidRPr="00E62FE6">
        <w:t>that,</w:t>
      </w:r>
      <w:r w:rsidR="008243CA">
        <w:t xml:space="preserve"> </w:t>
      </w:r>
      <w:r w:rsidRPr="00E62FE6">
        <w:t>within</w:t>
      </w:r>
      <w:r w:rsidR="008243CA">
        <w:t xml:space="preserve"> </w:t>
      </w:r>
      <w:r w:rsidRPr="00E62FE6">
        <w:t>its</w:t>
      </w:r>
      <w:r w:rsidR="008243CA">
        <w:t xml:space="preserve"> </w:t>
      </w:r>
      <w:r w:rsidRPr="00E62FE6">
        <w:t>powers</w:t>
      </w:r>
      <w:r w:rsidR="008243CA">
        <w:t xml:space="preserve"> </w:t>
      </w:r>
      <w:r w:rsidRPr="00E62FE6">
        <w:t>and</w:t>
      </w:r>
      <w:r w:rsidR="008243CA">
        <w:t xml:space="preserve"> </w:t>
      </w:r>
      <w:r w:rsidRPr="00E62FE6">
        <w:t>remit,</w:t>
      </w:r>
      <w:r w:rsidR="008243CA">
        <w:t xml:space="preserve"> </w:t>
      </w:r>
      <w:r w:rsidRPr="00E62FE6">
        <w:t>it</w:t>
      </w:r>
      <w:r w:rsidR="008243CA">
        <w:t xml:space="preserve"> </w:t>
      </w:r>
      <w:r w:rsidRPr="00E62FE6">
        <w:t>could</w:t>
      </w:r>
      <w:r w:rsidR="008243CA">
        <w:t xml:space="preserve"> </w:t>
      </w:r>
      <w:r w:rsidRPr="00E62FE6">
        <w:t>assess</w:t>
      </w:r>
      <w:r w:rsidR="008243CA">
        <w:t xml:space="preserve"> </w:t>
      </w:r>
      <w:r w:rsidRPr="00E62FE6">
        <w:t>the</w:t>
      </w:r>
      <w:r w:rsidR="008243CA">
        <w:t xml:space="preserve"> </w:t>
      </w:r>
      <w:r w:rsidRPr="00E62FE6">
        <w:t>merits</w:t>
      </w:r>
      <w:r w:rsidR="008243CA">
        <w:t xml:space="preserve"> </w:t>
      </w:r>
      <w:r w:rsidRPr="00E62FE6">
        <w:t>of</w:t>
      </w:r>
      <w:r w:rsidR="008243CA">
        <w:t xml:space="preserve"> </w:t>
      </w:r>
      <w:r w:rsidRPr="00E62FE6">
        <w:t>the</w:t>
      </w:r>
      <w:r w:rsidR="008243CA">
        <w:t xml:space="preserve"> </w:t>
      </w:r>
      <w:r w:rsidRPr="00E62FE6">
        <w:t>recommendation.</w:t>
      </w:r>
      <w:r w:rsidR="008243CA">
        <w:t xml:space="preserve"> </w:t>
      </w:r>
      <w:r w:rsidRPr="00E62FE6">
        <w:t>The</w:t>
      </w:r>
      <w:r w:rsidR="008243CA">
        <w:t xml:space="preserve"> </w:t>
      </w:r>
      <w:r w:rsidRPr="00E62FE6">
        <w:t>Government</w:t>
      </w:r>
      <w:r w:rsidR="008243CA">
        <w:t xml:space="preserve"> </w:t>
      </w:r>
      <w:r w:rsidRPr="00E62FE6">
        <w:t>reiterates</w:t>
      </w:r>
      <w:r w:rsidR="008243CA">
        <w:t xml:space="preserve"> </w:t>
      </w:r>
      <w:r w:rsidRPr="00E62FE6">
        <w:t>that,</w:t>
      </w:r>
      <w:r w:rsidR="008243CA">
        <w:t xml:space="preserve"> </w:t>
      </w:r>
      <w:r w:rsidRPr="00E62FE6">
        <w:t>although</w:t>
      </w:r>
      <w:r w:rsidR="008243CA">
        <w:t xml:space="preserve"> </w:t>
      </w:r>
      <w:r w:rsidRPr="00E62FE6">
        <w:t>international</w:t>
      </w:r>
      <w:r w:rsidR="008243CA">
        <w:t xml:space="preserve"> </w:t>
      </w:r>
      <w:r w:rsidRPr="00E62FE6">
        <w:t>human</w:t>
      </w:r>
      <w:r w:rsidR="008243CA">
        <w:t xml:space="preserve"> </w:t>
      </w:r>
      <w:r w:rsidRPr="00E62FE6">
        <w:t>rights</w:t>
      </w:r>
      <w:r w:rsidR="008243CA">
        <w:t xml:space="preserve"> </w:t>
      </w:r>
      <w:r w:rsidRPr="00E62FE6">
        <w:t>obligations</w:t>
      </w:r>
      <w:r w:rsidR="008243CA">
        <w:t xml:space="preserve"> </w:t>
      </w:r>
      <w:r w:rsidRPr="00E62FE6">
        <w:t>fall</w:t>
      </w:r>
      <w:r w:rsidR="008243CA">
        <w:t xml:space="preserve"> </w:t>
      </w:r>
      <w:r w:rsidRPr="00E62FE6">
        <w:t>on</w:t>
      </w:r>
      <w:r w:rsidR="008243CA">
        <w:t xml:space="preserve"> </w:t>
      </w:r>
      <w:r w:rsidRPr="00E62FE6">
        <w:t>the</w:t>
      </w:r>
      <w:r w:rsidR="008243CA">
        <w:t xml:space="preserve"> </w:t>
      </w:r>
      <w:r w:rsidRPr="00E62FE6">
        <w:t>State,</w:t>
      </w:r>
      <w:r w:rsidR="008243CA">
        <w:t xml:space="preserve"> </w:t>
      </w:r>
      <w:r w:rsidRPr="00E62FE6">
        <w:t>this</w:t>
      </w:r>
      <w:r w:rsidR="008243CA">
        <w:t xml:space="preserve"> </w:t>
      </w:r>
      <w:r w:rsidRPr="00E62FE6">
        <w:t>does</w:t>
      </w:r>
      <w:r w:rsidR="008243CA">
        <w:t xml:space="preserve"> </w:t>
      </w:r>
      <w:r w:rsidRPr="00E62FE6">
        <w:t>not</w:t>
      </w:r>
      <w:r w:rsidR="008243CA">
        <w:t xml:space="preserve"> </w:t>
      </w:r>
      <w:r w:rsidRPr="00E62FE6">
        <w:t>mean</w:t>
      </w:r>
      <w:r w:rsidR="008243CA">
        <w:t xml:space="preserve"> </w:t>
      </w:r>
      <w:r w:rsidRPr="00E62FE6">
        <w:t>that</w:t>
      </w:r>
      <w:r w:rsidR="008243CA">
        <w:t xml:space="preserve"> </w:t>
      </w:r>
      <w:r w:rsidRPr="00E62FE6">
        <w:t>the</w:t>
      </w:r>
      <w:r w:rsidR="008243CA">
        <w:t xml:space="preserve"> </w:t>
      </w:r>
      <w:r w:rsidRPr="00E62FE6">
        <w:t>fulfilment</w:t>
      </w:r>
      <w:r w:rsidR="008243CA">
        <w:t xml:space="preserve"> </w:t>
      </w:r>
      <w:r w:rsidRPr="00E62FE6">
        <w:t>of</w:t>
      </w:r>
      <w:r w:rsidR="008243CA">
        <w:t xml:space="preserve"> </w:t>
      </w:r>
      <w:r w:rsidRPr="00E62FE6">
        <w:t>such</w:t>
      </w:r>
      <w:r w:rsidR="008243CA">
        <w:t xml:space="preserve"> </w:t>
      </w:r>
      <w:r w:rsidRPr="00E62FE6">
        <w:t>obligations</w:t>
      </w:r>
      <w:r w:rsidR="008243CA">
        <w:t xml:space="preserve"> </w:t>
      </w:r>
      <w:r w:rsidRPr="00E62FE6">
        <w:t>cannot</w:t>
      </w:r>
      <w:r w:rsidR="008243CA">
        <w:t xml:space="preserve"> </w:t>
      </w:r>
      <w:r w:rsidRPr="00E62FE6">
        <w:t>be</w:t>
      </w:r>
      <w:r w:rsidR="008243CA">
        <w:t xml:space="preserve"> </w:t>
      </w:r>
      <w:r w:rsidRPr="00E62FE6">
        <w:t>organized</w:t>
      </w:r>
      <w:r w:rsidR="008243CA">
        <w:t xml:space="preserve"> </w:t>
      </w:r>
      <w:r w:rsidRPr="00E62FE6">
        <w:t>in</w:t>
      </w:r>
      <w:r w:rsidR="008243CA">
        <w:t xml:space="preserve"> </w:t>
      </w:r>
      <w:r w:rsidRPr="00E62FE6">
        <w:t>such</w:t>
      </w:r>
      <w:r w:rsidR="008243CA">
        <w:t xml:space="preserve"> </w:t>
      </w:r>
      <w:r w:rsidRPr="00E62FE6">
        <w:t>a</w:t>
      </w:r>
      <w:r w:rsidR="008243CA">
        <w:t xml:space="preserve"> </w:t>
      </w:r>
      <w:r w:rsidRPr="00E62FE6">
        <w:t>way</w:t>
      </w:r>
      <w:r w:rsidR="008243CA">
        <w:t xml:space="preserve"> </w:t>
      </w:r>
      <w:r w:rsidRPr="00E62FE6">
        <w:t>as</w:t>
      </w:r>
      <w:r w:rsidR="008243CA">
        <w:t xml:space="preserve"> </w:t>
      </w:r>
      <w:r w:rsidRPr="00E62FE6">
        <w:t>to</w:t>
      </w:r>
      <w:r w:rsidR="008243CA">
        <w:t xml:space="preserve"> </w:t>
      </w:r>
      <w:r w:rsidRPr="00E62FE6">
        <w:t>respect</w:t>
      </w:r>
      <w:r w:rsidR="008243CA">
        <w:t xml:space="preserve"> </w:t>
      </w:r>
      <w:r w:rsidRPr="00E62FE6">
        <w:t>the</w:t>
      </w:r>
      <w:r w:rsidR="008243CA">
        <w:t xml:space="preserve"> </w:t>
      </w:r>
      <w:r w:rsidRPr="00E62FE6">
        <w:t>separation</w:t>
      </w:r>
      <w:r w:rsidR="008243CA">
        <w:t xml:space="preserve"> </w:t>
      </w:r>
      <w:r w:rsidRPr="00E62FE6">
        <w:t>of</w:t>
      </w:r>
      <w:r w:rsidR="008243CA">
        <w:t xml:space="preserve"> </w:t>
      </w:r>
      <w:r w:rsidRPr="00E62FE6">
        <w:t>powers</w:t>
      </w:r>
      <w:r w:rsidR="008243CA">
        <w:t xml:space="preserve"> </w:t>
      </w:r>
      <w:r w:rsidRPr="00E62FE6">
        <w:t>and</w:t>
      </w:r>
      <w:r w:rsidR="008243CA">
        <w:t xml:space="preserve"> </w:t>
      </w:r>
      <w:r w:rsidRPr="00E62FE6">
        <w:t>autonomy</w:t>
      </w:r>
      <w:r w:rsidR="008243CA">
        <w:t xml:space="preserve"> </w:t>
      </w:r>
      <w:r w:rsidRPr="00E62FE6">
        <w:t>granted</w:t>
      </w:r>
      <w:r w:rsidR="008243CA">
        <w:t xml:space="preserve"> </w:t>
      </w:r>
      <w:r w:rsidRPr="00E62FE6">
        <w:t>to</w:t>
      </w:r>
      <w:r w:rsidR="008243CA">
        <w:t xml:space="preserve"> </w:t>
      </w:r>
      <w:r w:rsidRPr="00E62FE6">
        <w:t>the</w:t>
      </w:r>
      <w:r w:rsidR="008243CA">
        <w:t xml:space="preserve"> </w:t>
      </w:r>
      <w:r w:rsidRPr="00E62FE6">
        <w:t>Public</w:t>
      </w:r>
      <w:r w:rsidR="008243CA">
        <w:t xml:space="preserve"> </w:t>
      </w:r>
      <w:r w:rsidRPr="00E62FE6">
        <w:t>Prosecution</w:t>
      </w:r>
      <w:r w:rsidR="008243CA">
        <w:t xml:space="preserve"> </w:t>
      </w:r>
      <w:r w:rsidRPr="00E62FE6">
        <w:t>Service</w:t>
      </w:r>
      <w:r w:rsidR="008243CA">
        <w:t xml:space="preserve"> </w:t>
      </w:r>
      <w:r w:rsidRPr="00E62FE6">
        <w:t>by</w:t>
      </w:r>
      <w:r w:rsidR="008243CA">
        <w:t xml:space="preserve"> </w:t>
      </w:r>
      <w:r w:rsidRPr="00E62FE6">
        <w:t>the</w:t>
      </w:r>
      <w:r w:rsidR="008243CA">
        <w:t xml:space="preserve"> </w:t>
      </w:r>
      <w:r w:rsidRPr="00E62FE6">
        <w:t>Constitution.</w:t>
      </w:r>
    </w:p>
    <w:p w:rsidR="003F7D03" w:rsidRPr="00E62FE6" w:rsidRDefault="003F7D03" w:rsidP="00AF1274">
      <w:pPr>
        <w:pStyle w:val="H23G"/>
      </w:pPr>
      <w:r w:rsidRPr="00E62FE6">
        <w:lastRenderedPageBreak/>
        <w:tab/>
      </w:r>
      <w:bookmarkStart w:id="73" w:name="_Toc512870694"/>
      <w:bookmarkStart w:id="74" w:name="_Toc512870856"/>
      <w:r w:rsidRPr="00E62FE6">
        <w:t>3.1.6</w:t>
      </w:r>
      <w:r w:rsidR="008243CA">
        <w:t xml:space="preserve"> </w:t>
      </w:r>
      <w:r w:rsidRPr="00E62FE6">
        <w:tab/>
        <w:t>Restrictive</w:t>
      </w:r>
      <w:r w:rsidR="008243CA">
        <w:t xml:space="preserve"> </w:t>
      </w:r>
      <w:r w:rsidRPr="00E62FE6">
        <w:t>use</w:t>
      </w:r>
      <w:r w:rsidR="008243CA">
        <w:t xml:space="preserve"> </w:t>
      </w:r>
      <w:r w:rsidRPr="00E62FE6">
        <w:t>of</w:t>
      </w:r>
      <w:r w:rsidR="008243CA">
        <w:t xml:space="preserve"> </w:t>
      </w:r>
      <w:r w:rsidRPr="00E62FE6">
        <w:t>deprivation</w:t>
      </w:r>
      <w:r w:rsidR="008243CA">
        <w:t xml:space="preserve"> </w:t>
      </w:r>
      <w:r w:rsidRPr="00E62FE6">
        <w:t>of</w:t>
      </w:r>
      <w:r w:rsidR="008243CA">
        <w:t xml:space="preserve"> </w:t>
      </w:r>
      <w:r w:rsidRPr="00E62FE6">
        <w:t>liberty</w:t>
      </w:r>
      <w:r w:rsidR="008243CA">
        <w:t xml:space="preserve"> </w:t>
      </w:r>
      <w:r w:rsidRPr="00E62FE6">
        <w:t>for</w:t>
      </w:r>
      <w:r w:rsidR="008243CA">
        <w:t xml:space="preserve"> </w:t>
      </w:r>
      <w:r w:rsidRPr="00E62FE6">
        <w:t>purposes</w:t>
      </w:r>
      <w:r w:rsidR="008243CA">
        <w:t xml:space="preserve"> </w:t>
      </w:r>
      <w:r w:rsidRPr="00E62FE6">
        <w:t>of</w:t>
      </w:r>
      <w:r w:rsidR="008243CA">
        <w:t xml:space="preserve"> </w:t>
      </w:r>
      <w:r w:rsidRPr="00E62FE6">
        <w:t>psychiatric</w:t>
      </w:r>
      <w:r w:rsidR="008243CA">
        <w:t xml:space="preserve"> </w:t>
      </w:r>
      <w:r w:rsidRPr="00E62FE6">
        <w:t>evaluation</w:t>
      </w:r>
      <w:bookmarkEnd w:id="73"/>
      <w:bookmarkEnd w:id="74"/>
    </w:p>
    <w:p w:rsidR="003F7D03" w:rsidRPr="00E62FE6" w:rsidRDefault="003F7D03" w:rsidP="000C6D98">
      <w:pPr>
        <w:pStyle w:val="SingleTxtG"/>
      </w:pPr>
      <w:r w:rsidRPr="00E62FE6">
        <w:t>91.</w:t>
      </w:r>
      <w:r w:rsidRPr="00E62FE6">
        <w:tab/>
        <w:t>Paragraph</w:t>
      </w:r>
      <w:r w:rsidR="008243CA">
        <w:t xml:space="preserve"> </w:t>
      </w:r>
      <w:r w:rsidRPr="00E62FE6">
        <w:t>36:</w:t>
      </w:r>
      <w:r w:rsidR="008243CA">
        <w:t xml:space="preserve"> </w:t>
      </w:r>
      <w:r w:rsidRPr="00AF1274">
        <w:rPr>
          <w:i/>
          <w:iCs/>
        </w:rPr>
        <w:t>The</w:t>
      </w:r>
      <w:r w:rsidR="008243CA" w:rsidRPr="00AF1274">
        <w:rPr>
          <w:i/>
          <w:iCs/>
        </w:rPr>
        <w:t xml:space="preserve"> </w:t>
      </w:r>
      <w:r w:rsidRPr="00AF1274">
        <w:rPr>
          <w:i/>
          <w:iCs/>
        </w:rPr>
        <w:t>Subcommittee</w:t>
      </w:r>
      <w:r w:rsidR="008243CA" w:rsidRPr="00AF1274">
        <w:rPr>
          <w:i/>
          <w:iCs/>
        </w:rPr>
        <w:t xml:space="preserve"> </w:t>
      </w:r>
      <w:r w:rsidRPr="00AF1274">
        <w:rPr>
          <w:i/>
          <w:iCs/>
        </w:rPr>
        <w:t>recommends</w:t>
      </w:r>
      <w:r w:rsidR="008243CA" w:rsidRPr="00AF1274">
        <w:rPr>
          <w:i/>
          <w:iCs/>
        </w:rPr>
        <w:t xml:space="preserve"> </w:t>
      </w:r>
      <w:r w:rsidRPr="00AF1274">
        <w:rPr>
          <w:i/>
          <w:iCs/>
        </w:rPr>
        <w:t>that</w:t>
      </w:r>
      <w:r w:rsidR="008243CA" w:rsidRPr="00AF1274">
        <w:rPr>
          <w:i/>
          <w:iCs/>
        </w:rPr>
        <w:t xml:space="preserve"> </w:t>
      </w:r>
      <w:r w:rsidRPr="00AF1274">
        <w:rPr>
          <w:i/>
          <w:iCs/>
        </w:rPr>
        <w:t>the</w:t>
      </w:r>
      <w:r w:rsidR="008243CA" w:rsidRPr="00AF1274">
        <w:rPr>
          <w:i/>
          <w:iCs/>
        </w:rPr>
        <w:t xml:space="preserve"> </w:t>
      </w:r>
      <w:r w:rsidRPr="00AF1274">
        <w:rPr>
          <w:i/>
          <w:iCs/>
        </w:rPr>
        <w:t>State</w:t>
      </w:r>
      <w:r w:rsidR="008243CA" w:rsidRPr="00AF1274">
        <w:rPr>
          <w:i/>
          <w:iCs/>
        </w:rPr>
        <w:t xml:space="preserve"> </w:t>
      </w:r>
      <w:r w:rsidRPr="00AF1274">
        <w:rPr>
          <w:i/>
          <w:iCs/>
        </w:rPr>
        <w:t>party</w:t>
      </w:r>
      <w:r w:rsidR="008243CA" w:rsidRPr="00AF1274">
        <w:rPr>
          <w:i/>
          <w:iCs/>
        </w:rPr>
        <w:t xml:space="preserve"> </w:t>
      </w:r>
      <w:r w:rsidRPr="00AF1274">
        <w:rPr>
          <w:i/>
          <w:iCs/>
        </w:rPr>
        <w:t>call</w:t>
      </w:r>
      <w:r w:rsidR="008243CA" w:rsidRPr="00AF1274">
        <w:rPr>
          <w:i/>
          <w:iCs/>
        </w:rPr>
        <w:t xml:space="preserve"> </w:t>
      </w:r>
      <w:r w:rsidRPr="00AF1274">
        <w:rPr>
          <w:i/>
          <w:iCs/>
        </w:rPr>
        <w:t>upon</w:t>
      </w:r>
      <w:r w:rsidR="008243CA" w:rsidRPr="00AF1274">
        <w:rPr>
          <w:i/>
          <w:iCs/>
        </w:rPr>
        <w:t xml:space="preserve"> </w:t>
      </w:r>
      <w:r w:rsidRPr="00AF1274">
        <w:rPr>
          <w:i/>
          <w:iCs/>
        </w:rPr>
        <w:t>all</w:t>
      </w:r>
      <w:r w:rsidR="008243CA" w:rsidRPr="00AF1274">
        <w:rPr>
          <w:i/>
          <w:iCs/>
        </w:rPr>
        <w:t xml:space="preserve"> </w:t>
      </w:r>
      <w:r w:rsidRPr="00AF1274">
        <w:rPr>
          <w:i/>
          <w:iCs/>
        </w:rPr>
        <w:t>justice</w:t>
      </w:r>
      <w:r w:rsidR="008243CA" w:rsidRPr="00AF1274">
        <w:rPr>
          <w:i/>
          <w:iCs/>
        </w:rPr>
        <w:t xml:space="preserve"> </w:t>
      </w:r>
      <w:r w:rsidRPr="00AF1274">
        <w:rPr>
          <w:i/>
          <w:iCs/>
        </w:rPr>
        <w:t>officials</w:t>
      </w:r>
      <w:r w:rsidR="008243CA" w:rsidRPr="00AF1274">
        <w:rPr>
          <w:i/>
          <w:iCs/>
        </w:rPr>
        <w:t xml:space="preserve"> </w:t>
      </w:r>
      <w:r w:rsidRPr="00AF1274">
        <w:rPr>
          <w:i/>
          <w:iCs/>
        </w:rPr>
        <w:t>to</w:t>
      </w:r>
      <w:r w:rsidR="008243CA" w:rsidRPr="00AF1274">
        <w:rPr>
          <w:i/>
          <w:iCs/>
        </w:rPr>
        <w:t xml:space="preserve"> </w:t>
      </w:r>
      <w:r w:rsidRPr="00AF1274">
        <w:rPr>
          <w:i/>
          <w:iCs/>
        </w:rPr>
        <w:t>limit</w:t>
      </w:r>
      <w:r w:rsidR="008243CA" w:rsidRPr="00AF1274">
        <w:rPr>
          <w:i/>
          <w:iCs/>
        </w:rPr>
        <w:t xml:space="preserve"> </w:t>
      </w:r>
      <w:r w:rsidRPr="00AF1274">
        <w:rPr>
          <w:i/>
          <w:iCs/>
        </w:rPr>
        <w:t>the</w:t>
      </w:r>
      <w:r w:rsidR="008243CA" w:rsidRPr="00AF1274">
        <w:rPr>
          <w:i/>
          <w:iCs/>
        </w:rPr>
        <w:t xml:space="preserve"> </w:t>
      </w:r>
      <w:r w:rsidRPr="00AF1274">
        <w:rPr>
          <w:i/>
          <w:iCs/>
        </w:rPr>
        <w:t>use</w:t>
      </w:r>
      <w:r w:rsidR="008243CA" w:rsidRPr="00AF1274">
        <w:rPr>
          <w:i/>
          <w:iCs/>
        </w:rPr>
        <w:t xml:space="preserve"> </w:t>
      </w:r>
      <w:r w:rsidRPr="00AF1274">
        <w:rPr>
          <w:i/>
          <w:iCs/>
        </w:rPr>
        <w:t>of</w:t>
      </w:r>
      <w:r w:rsidR="008243CA" w:rsidRPr="00AF1274">
        <w:rPr>
          <w:i/>
          <w:iCs/>
        </w:rPr>
        <w:t xml:space="preserve"> </w:t>
      </w:r>
      <w:r w:rsidRPr="00AF1274">
        <w:rPr>
          <w:i/>
          <w:iCs/>
        </w:rPr>
        <w:t>deprivation</w:t>
      </w:r>
      <w:r w:rsidR="008243CA" w:rsidRPr="00AF1274">
        <w:rPr>
          <w:i/>
          <w:iCs/>
        </w:rPr>
        <w:t xml:space="preserve"> </w:t>
      </w:r>
      <w:r w:rsidRPr="00AF1274">
        <w:rPr>
          <w:i/>
          <w:iCs/>
        </w:rPr>
        <w:t>of</w:t>
      </w:r>
      <w:r w:rsidR="008243CA" w:rsidRPr="00AF1274">
        <w:rPr>
          <w:i/>
          <w:iCs/>
        </w:rPr>
        <w:t xml:space="preserve"> </w:t>
      </w:r>
      <w:r w:rsidRPr="00AF1274">
        <w:rPr>
          <w:i/>
          <w:iCs/>
        </w:rPr>
        <w:t>liberty</w:t>
      </w:r>
      <w:r w:rsidR="008243CA" w:rsidRPr="00AF1274">
        <w:rPr>
          <w:i/>
          <w:iCs/>
        </w:rPr>
        <w:t xml:space="preserve"> </w:t>
      </w:r>
      <w:r w:rsidRPr="00AF1274">
        <w:rPr>
          <w:i/>
          <w:iCs/>
        </w:rPr>
        <w:t>for</w:t>
      </w:r>
      <w:r w:rsidR="008243CA" w:rsidRPr="00AF1274">
        <w:rPr>
          <w:i/>
          <w:iCs/>
        </w:rPr>
        <w:t xml:space="preserve"> </w:t>
      </w:r>
      <w:r w:rsidRPr="00AF1274">
        <w:rPr>
          <w:i/>
          <w:iCs/>
        </w:rPr>
        <w:t>the</w:t>
      </w:r>
      <w:r w:rsidR="008243CA" w:rsidRPr="00AF1274">
        <w:rPr>
          <w:i/>
          <w:iCs/>
        </w:rPr>
        <w:t xml:space="preserve"> </w:t>
      </w:r>
      <w:r w:rsidRPr="00AF1274">
        <w:rPr>
          <w:i/>
          <w:iCs/>
        </w:rPr>
        <w:t>purpose</w:t>
      </w:r>
      <w:r w:rsidR="008243CA" w:rsidRPr="00AF1274">
        <w:rPr>
          <w:i/>
          <w:iCs/>
        </w:rPr>
        <w:t xml:space="preserve"> </w:t>
      </w:r>
      <w:r w:rsidRPr="00AF1274">
        <w:rPr>
          <w:i/>
          <w:iCs/>
        </w:rPr>
        <w:t>of</w:t>
      </w:r>
      <w:r w:rsidR="008243CA" w:rsidRPr="00AF1274">
        <w:rPr>
          <w:i/>
          <w:iCs/>
        </w:rPr>
        <w:t xml:space="preserve"> </w:t>
      </w:r>
      <w:r w:rsidRPr="00AF1274">
        <w:rPr>
          <w:i/>
          <w:iCs/>
        </w:rPr>
        <w:t>psychiatric</w:t>
      </w:r>
      <w:r w:rsidR="008243CA" w:rsidRPr="00AF1274">
        <w:rPr>
          <w:i/>
          <w:iCs/>
        </w:rPr>
        <w:t xml:space="preserve"> </w:t>
      </w:r>
      <w:r w:rsidRPr="00AF1274">
        <w:rPr>
          <w:i/>
          <w:iCs/>
        </w:rPr>
        <w:t>evaluation</w:t>
      </w:r>
      <w:r w:rsidR="008243CA" w:rsidRPr="00AF1274">
        <w:rPr>
          <w:i/>
          <w:iCs/>
        </w:rPr>
        <w:t xml:space="preserve"> </w:t>
      </w:r>
      <w:r w:rsidRPr="00AF1274">
        <w:rPr>
          <w:i/>
          <w:iCs/>
        </w:rPr>
        <w:t>and</w:t>
      </w:r>
      <w:r w:rsidR="008243CA" w:rsidRPr="00AF1274">
        <w:rPr>
          <w:i/>
          <w:iCs/>
        </w:rPr>
        <w:t xml:space="preserve"> </w:t>
      </w:r>
      <w:r w:rsidRPr="00AF1274">
        <w:rPr>
          <w:i/>
          <w:iCs/>
        </w:rPr>
        <w:t>to</w:t>
      </w:r>
      <w:r w:rsidR="008243CA" w:rsidRPr="00AF1274">
        <w:rPr>
          <w:i/>
          <w:iCs/>
        </w:rPr>
        <w:t xml:space="preserve"> </w:t>
      </w:r>
      <w:r w:rsidRPr="00AF1274">
        <w:rPr>
          <w:i/>
          <w:iCs/>
        </w:rPr>
        <w:t>ensure</w:t>
      </w:r>
      <w:r w:rsidR="008243CA" w:rsidRPr="00AF1274">
        <w:rPr>
          <w:i/>
          <w:iCs/>
        </w:rPr>
        <w:t xml:space="preserve"> </w:t>
      </w:r>
      <w:r w:rsidRPr="00AF1274">
        <w:rPr>
          <w:i/>
          <w:iCs/>
        </w:rPr>
        <w:t>that</w:t>
      </w:r>
      <w:r w:rsidR="008243CA" w:rsidRPr="00AF1274">
        <w:rPr>
          <w:i/>
          <w:iCs/>
        </w:rPr>
        <w:t xml:space="preserve"> </w:t>
      </w:r>
      <w:r w:rsidRPr="00AF1274">
        <w:rPr>
          <w:i/>
          <w:iCs/>
        </w:rPr>
        <w:t>they</w:t>
      </w:r>
      <w:r w:rsidR="008243CA" w:rsidRPr="00AF1274">
        <w:rPr>
          <w:i/>
          <w:iCs/>
        </w:rPr>
        <w:t xml:space="preserve"> </w:t>
      </w:r>
      <w:r w:rsidRPr="00AF1274">
        <w:rPr>
          <w:i/>
          <w:iCs/>
        </w:rPr>
        <w:t>comply</w:t>
      </w:r>
      <w:r w:rsidR="008243CA" w:rsidRPr="00AF1274">
        <w:rPr>
          <w:i/>
          <w:iCs/>
        </w:rPr>
        <w:t xml:space="preserve"> </w:t>
      </w:r>
      <w:r w:rsidRPr="00AF1274">
        <w:rPr>
          <w:i/>
          <w:iCs/>
        </w:rPr>
        <w:t>strictly</w:t>
      </w:r>
      <w:r w:rsidR="008243CA" w:rsidRPr="00AF1274">
        <w:rPr>
          <w:i/>
          <w:iCs/>
        </w:rPr>
        <w:t xml:space="preserve"> </w:t>
      </w:r>
      <w:r w:rsidRPr="00AF1274">
        <w:rPr>
          <w:i/>
          <w:iCs/>
        </w:rPr>
        <w:t>with</w:t>
      </w:r>
      <w:r w:rsidR="008243CA" w:rsidRPr="00AF1274">
        <w:rPr>
          <w:i/>
          <w:iCs/>
        </w:rPr>
        <w:t xml:space="preserve"> </w:t>
      </w:r>
      <w:r w:rsidRPr="00AF1274">
        <w:rPr>
          <w:i/>
          <w:iCs/>
        </w:rPr>
        <w:t>the</w:t>
      </w:r>
      <w:r w:rsidR="008243CA" w:rsidRPr="00AF1274">
        <w:rPr>
          <w:i/>
          <w:iCs/>
        </w:rPr>
        <w:t xml:space="preserve"> </w:t>
      </w:r>
      <w:r w:rsidRPr="00AF1274">
        <w:rPr>
          <w:i/>
          <w:iCs/>
        </w:rPr>
        <w:t>legally</w:t>
      </w:r>
      <w:r w:rsidR="008243CA" w:rsidRPr="00AF1274">
        <w:rPr>
          <w:i/>
          <w:iCs/>
        </w:rPr>
        <w:t xml:space="preserve"> </w:t>
      </w:r>
      <w:r w:rsidRPr="00AF1274">
        <w:rPr>
          <w:i/>
          <w:iCs/>
        </w:rPr>
        <w:t>permissible</w:t>
      </w:r>
      <w:r w:rsidR="008243CA" w:rsidRPr="00AF1274">
        <w:rPr>
          <w:i/>
          <w:iCs/>
        </w:rPr>
        <w:t xml:space="preserve"> </w:t>
      </w:r>
      <w:r w:rsidRPr="00AF1274">
        <w:rPr>
          <w:i/>
          <w:iCs/>
        </w:rPr>
        <w:t>time</w:t>
      </w:r>
      <w:r w:rsidR="008243CA" w:rsidRPr="00AF1274">
        <w:rPr>
          <w:i/>
          <w:iCs/>
        </w:rPr>
        <w:t xml:space="preserve"> </w:t>
      </w:r>
      <w:r w:rsidRPr="00AF1274">
        <w:rPr>
          <w:i/>
          <w:iCs/>
        </w:rPr>
        <w:t>frames</w:t>
      </w:r>
      <w:r w:rsidR="008243CA" w:rsidRPr="00AF1274">
        <w:rPr>
          <w:i/>
          <w:iCs/>
        </w:rPr>
        <w:t xml:space="preserve"> </w:t>
      </w:r>
      <w:r w:rsidRPr="00AF1274">
        <w:rPr>
          <w:i/>
          <w:iCs/>
        </w:rPr>
        <w:t>when</w:t>
      </w:r>
      <w:r w:rsidR="008243CA" w:rsidRPr="00AF1274">
        <w:rPr>
          <w:i/>
          <w:iCs/>
        </w:rPr>
        <w:t xml:space="preserve"> </w:t>
      </w:r>
      <w:r w:rsidRPr="00AF1274">
        <w:rPr>
          <w:i/>
          <w:iCs/>
        </w:rPr>
        <w:t>determining</w:t>
      </w:r>
      <w:r w:rsidR="008243CA" w:rsidRPr="00AF1274">
        <w:rPr>
          <w:i/>
          <w:iCs/>
        </w:rPr>
        <w:t xml:space="preserve"> </w:t>
      </w:r>
      <w:r w:rsidRPr="00AF1274">
        <w:rPr>
          <w:i/>
          <w:iCs/>
        </w:rPr>
        <w:t>that</w:t>
      </w:r>
      <w:r w:rsidR="008243CA" w:rsidRPr="00AF1274">
        <w:rPr>
          <w:i/>
          <w:iCs/>
        </w:rPr>
        <w:t xml:space="preserve"> </w:t>
      </w:r>
      <w:r w:rsidRPr="00AF1274">
        <w:rPr>
          <w:i/>
          <w:iCs/>
        </w:rPr>
        <w:t>deprivation</w:t>
      </w:r>
      <w:r w:rsidR="008243CA" w:rsidRPr="00AF1274">
        <w:rPr>
          <w:i/>
          <w:iCs/>
        </w:rPr>
        <w:t xml:space="preserve"> </w:t>
      </w:r>
      <w:r w:rsidRPr="00AF1274">
        <w:rPr>
          <w:i/>
          <w:iCs/>
        </w:rPr>
        <w:t>of</w:t>
      </w:r>
      <w:r w:rsidR="008243CA" w:rsidRPr="00AF1274">
        <w:rPr>
          <w:i/>
          <w:iCs/>
        </w:rPr>
        <w:t xml:space="preserve"> </w:t>
      </w:r>
      <w:r w:rsidRPr="00AF1274">
        <w:rPr>
          <w:i/>
          <w:iCs/>
        </w:rPr>
        <w:t>liberty</w:t>
      </w:r>
      <w:r w:rsidR="008243CA" w:rsidRPr="00AF1274">
        <w:rPr>
          <w:i/>
          <w:iCs/>
        </w:rPr>
        <w:t xml:space="preserve"> </w:t>
      </w:r>
      <w:r w:rsidRPr="00AF1274">
        <w:rPr>
          <w:i/>
          <w:iCs/>
        </w:rPr>
        <w:t>for</w:t>
      </w:r>
      <w:r w:rsidR="008243CA" w:rsidRPr="00AF1274">
        <w:rPr>
          <w:i/>
          <w:iCs/>
        </w:rPr>
        <w:t xml:space="preserve"> </w:t>
      </w:r>
      <w:r w:rsidRPr="00AF1274">
        <w:rPr>
          <w:i/>
          <w:iCs/>
        </w:rPr>
        <w:t>such</w:t>
      </w:r>
      <w:r w:rsidR="008243CA" w:rsidRPr="00AF1274">
        <w:rPr>
          <w:i/>
          <w:iCs/>
        </w:rPr>
        <w:t xml:space="preserve"> </w:t>
      </w:r>
      <w:r w:rsidRPr="00AF1274">
        <w:rPr>
          <w:i/>
          <w:iCs/>
        </w:rPr>
        <w:t>purposes</w:t>
      </w:r>
      <w:r w:rsidR="008243CA" w:rsidRPr="00AF1274">
        <w:rPr>
          <w:i/>
          <w:iCs/>
        </w:rPr>
        <w:t xml:space="preserve"> </w:t>
      </w:r>
      <w:r w:rsidRPr="00AF1274">
        <w:rPr>
          <w:i/>
          <w:iCs/>
        </w:rPr>
        <w:t>is</w:t>
      </w:r>
      <w:r w:rsidR="008243CA" w:rsidRPr="00AF1274">
        <w:rPr>
          <w:i/>
          <w:iCs/>
        </w:rPr>
        <w:t xml:space="preserve"> </w:t>
      </w:r>
      <w:r w:rsidRPr="00AF1274">
        <w:rPr>
          <w:i/>
          <w:iCs/>
        </w:rPr>
        <w:t>required.</w:t>
      </w:r>
    </w:p>
    <w:p w:rsidR="003F7D03" w:rsidRPr="00E62FE6" w:rsidRDefault="003F7D03" w:rsidP="000C6D98">
      <w:pPr>
        <w:pStyle w:val="SingleTxtG"/>
      </w:pPr>
      <w:r w:rsidRPr="00E62FE6">
        <w:t>92.</w:t>
      </w:r>
      <w:r w:rsidRPr="00E62FE6">
        <w:tab/>
        <w:t>Regarding</w:t>
      </w:r>
      <w:r w:rsidR="008243CA">
        <w:t xml:space="preserve"> </w:t>
      </w:r>
      <w:r w:rsidRPr="00E62FE6">
        <w:t>the</w:t>
      </w:r>
      <w:r w:rsidR="008243CA">
        <w:t xml:space="preserve"> </w:t>
      </w:r>
      <w:r w:rsidRPr="00E62FE6">
        <w:t>Subcommittee</w:t>
      </w:r>
      <w:r w:rsidR="00116F0B">
        <w:t>’</w:t>
      </w:r>
      <w:r w:rsidRPr="00E62FE6">
        <w:t>s</w:t>
      </w:r>
      <w:r w:rsidR="008243CA">
        <w:t xml:space="preserve"> </w:t>
      </w:r>
      <w:r w:rsidRPr="00E62FE6">
        <w:t>observations</w:t>
      </w:r>
      <w:r w:rsidR="008243CA">
        <w:t xml:space="preserve"> </w:t>
      </w:r>
      <w:r w:rsidRPr="00E62FE6">
        <w:t>and</w:t>
      </w:r>
      <w:r w:rsidR="008243CA">
        <w:t xml:space="preserve"> </w:t>
      </w:r>
      <w:r w:rsidRPr="00E62FE6">
        <w:t>recommendation</w:t>
      </w:r>
      <w:r w:rsidR="008243CA">
        <w:t xml:space="preserve"> </w:t>
      </w:r>
      <w:r w:rsidRPr="00E62FE6">
        <w:t>concerning</w:t>
      </w:r>
      <w:r w:rsidR="008243CA">
        <w:t xml:space="preserve"> </w:t>
      </w:r>
      <w:r w:rsidRPr="00E62FE6">
        <w:t>the</w:t>
      </w:r>
      <w:r w:rsidR="008243CA">
        <w:t xml:space="preserve"> </w:t>
      </w:r>
      <w:r w:rsidRPr="00E62FE6">
        <w:t>use</w:t>
      </w:r>
      <w:r w:rsidR="008243CA">
        <w:t xml:space="preserve"> </w:t>
      </w:r>
      <w:r w:rsidRPr="00E62FE6">
        <w:t>of</w:t>
      </w:r>
      <w:r w:rsidR="008243CA">
        <w:t xml:space="preserve"> </w:t>
      </w:r>
      <w:r w:rsidRPr="00E62FE6">
        <w:t>psychiatric</w:t>
      </w:r>
      <w:r w:rsidR="008243CA">
        <w:t xml:space="preserve"> </w:t>
      </w:r>
      <w:r w:rsidRPr="00E62FE6">
        <w:t>records</w:t>
      </w:r>
      <w:r w:rsidR="008243CA">
        <w:t xml:space="preserve"> </w:t>
      </w:r>
      <w:r w:rsidRPr="00E62FE6">
        <w:t>in</w:t>
      </w:r>
      <w:r w:rsidR="008243CA">
        <w:t xml:space="preserve"> </w:t>
      </w:r>
      <w:r w:rsidRPr="00E62FE6">
        <w:t>considering</w:t>
      </w:r>
      <w:r w:rsidR="008243CA">
        <w:t xml:space="preserve"> </w:t>
      </w:r>
      <w:r w:rsidRPr="00E62FE6">
        <w:t>exemptions</w:t>
      </w:r>
      <w:r w:rsidR="008243CA">
        <w:t xml:space="preserve"> </w:t>
      </w:r>
      <w:r w:rsidRPr="00E62FE6">
        <w:t>from</w:t>
      </w:r>
      <w:r w:rsidR="008243CA">
        <w:t xml:space="preserve"> </w:t>
      </w:r>
      <w:r w:rsidRPr="00E62FE6">
        <w:t>criminal</w:t>
      </w:r>
      <w:r w:rsidR="008243CA">
        <w:t xml:space="preserve"> </w:t>
      </w:r>
      <w:r w:rsidRPr="00E62FE6">
        <w:t>responsibility,</w:t>
      </w:r>
      <w:r w:rsidR="008243CA">
        <w:t xml:space="preserve"> </w:t>
      </w:r>
      <w:r w:rsidRPr="00E62FE6">
        <w:t>and</w:t>
      </w:r>
      <w:r w:rsidR="008243CA">
        <w:t xml:space="preserve"> </w:t>
      </w:r>
      <w:r w:rsidRPr="00E62FE6">
        <w:t>the</w:t>
      </w:r>
      <w:r w:rsidR="008243CA">
        <w:t xml:space="preserve"> </w:t>
      </w:r>
      <w:r w:rsidRPr="00E62FE6">
        <w:t>advice</w:t>
      </w:r>
      <w:r w:rsidR="008243CA">
        <w:t xml:space="preserve"> </w:t>
      </w:r>
      <w:r w:rsidRPr="00E62FE6">
        <w:t>that</w:t>
      </w:r>
      <w:r w:rsidR="008243CA">
        <w:t xml:space="preserve"> </w:t>
      </w:r>
      <w:r w:rsidRPr="00E62FE6">
        <w:t>all</w:t>
      </w:r>
      <w:r w:rsidR="008243CA">
        <w:t xml:space="preserve"> </w:t>
      </w:r>
      <w:r w:rsidRPr="00E62FE6">
        <w:t>actors</w:t>
      </w:r>
      <w:r w:rsidR="008243CA">
        <w:t xml:space="preserve"> </w:t>
      </w:r>
      <w:r w:rsidRPr="00E62FE6">
        <w:t>in</w:t>
      </w:r>
      <w:r w:rsidR="008243CA">
        <w:t xml:space="preserve"> </w:t>
      </w:r>
      <w:r w:rsidRPr="00E62FE6">
        <w:t>the</w:t>
      </w:r>
      <w:r w:rsidR="008243CA">
        <w:t xml:space="preserve"> </w:t>
      </w:r>
      <w:r w:rsidRPr="00E62FE6">
        <w:t>administration</w:t>
      </w:r>
      <w:r w:rsidR="008243CA">
        <w:t xml:space="preserve"> </w:t>
      </w:r>
      <w:r w:rsidRPr="00E62FE6">
        <w:t>of</w:t>
      </w:r>
      <w:r w:rsidR="008243CA">
        <w:t xml:space="preserve"> </w:t>
      </w:r>
      <w:r w:rsidRPr="00E62FE6">
        <w:t>justice</w:t>
      </w:r>
      <w:r w:rsidR="008243CA">
        <w:t xml:space="preserve"> </w:t>
      </w:r>
      <w:r w:rsidRPr="00E62FE6">
        <w:t>should</w:t>
      </w:r>
      <w:r w:rsidR="008243CA">
        <w:t xml:space="preserve"> </w:t>
      </w:r>
      <w:r w:rsidRPr="00E62FE6">
        <w:t>use</w:t>
      </w:r>
      <w:r w:rsidR="008243CA">
        <w:t xml:space="preserve"> </w:t>
      </w:r>
      <w:r w:rsidRPr="00E62FE6">
        <w:t>deprivation</w:t>
      </w:r>
      <w:r w:rsidR="008243CA">
        <w:t xml:space="preserve"> </w:t>
      </w:r>
      <w:r w:rsidRPr="00E62FE6">
        <w:t>of</w:t>
      </w:r>
      <w:r w:rsidR="008243CA">
        <w:t xml:space="preserve"> </w:t>
      </w:r>
      <w:r w:rsidRPr="00E62FE6">
        <w:t>liberty</w:t>
      </w:r>
      <w:r w:rsidR="008243CA">
        <w:t xml:space="preserve"> </w:t>
      </w:r>
      <w:r w:rsidRPr="00E62FE6">
        <w:t>restrictively,</w:t>
      </w:r>
      <w:r w:rsidR="008243CA">
        <w:t xml:space="preserve"> </w:t>
      </w:r>
      <w:r w:rsidRPr="00E62FE6">
        <w:t>the</w:t>
      </w:r>
      <w:r w:rsidR="008243CA">
        <w:t xml:space="preserve"> </w:t>
      </w:r>
      <w:r w:rsidRPr="00E62FE6">
        <w:t>Government</w:t>
      </w:r>
      <w:r w:rsidR="008243CA">
        <w:t xml:space="preserve"> </w:t>
      </w:r>
      <w:r w:rsidRPr="00E62FE6">
        <w:t>reports</w:t>
      </w:r>
      <w:r w:rsidR="008243CA">
        <w:t xml:space="preserve"> </w:t>
      </w:r>
      <w:r w:rsidRPr="00E62FE6">
        <w:t>that</w:t>
      </w:r>
      <w:r w:rsidR="008243CA">
        <w:t xml:space="preserve"> </w:t>
      </w:r>
      <w:r w:rsidRPr="00E62FE6">
        <w:t>measures</w:t>
      </w:r>
      <w:r w:rsidR="008243CA">
        <w:t xml:space="preserve"> </w:t>
      </w:r>
      <w:r w:rsidRPr="00E62FE6">
        <w:t>will</w:t>
      </w:r>
      <w:r w:rsidR="008243CA">
        <w:t xml:space="preserve"> </w:t>
      </w:r>
      <w:r w:rsidRPr="00E62FE6">
        <w:t>be</w:t>
      </w:r>
      <w:r w:rsidR="008243CA">
        <w:t xml:space="preserve"> </w:t>
      </w:r>
      <w:r w:rsidRPr="00E62FE6">
        <w:t>adopted</w:t>
      </w:r>
      <w:r w:rsidR="008243CA">
        <w:t xml:space="preserve"> </w:t>
      </w:r>
      <w:r w:rsidRPr="00E62FE6">
        <w:t>to</w:t>
      </w:r>
      <w:r w:rsidR="008243CA">
        <w:t xml:space="preserve"> </w:t>
      </w:r>
      <w:r w:rsidRPr="00E62FE6">
        <w:t>accelerate</w:t>
      </w:r>
      <w:r w:rsidR="008243CA">
        <w:t xml:space="preserve"> </w:t>
      </w:r>
      <w:r w:rsidRPr="00E62FE6">
        <w:t>expert</w:t>
      </w:r>
      <w:r w:rsidR="008243CA">
        <w:t xml:space="preserve"> </w:t>
      </w:r>
      <w:r w:rsidRPr="00E62FE6">
        <w:t>procedures</w:t>
      </w:r>
      <w:r w:rsidR="008243CA">
        <w:t xml:space="preserve"> </w:t>
      </w:r>
      <w:r w:rsidRPr="00E62FE6">
        <w:t>and</w:t>
      </w:r>
      <w:r w:rsidR="008243CA">
        <w:t xml:space="preserve"> </w:t>
      </w:r>
      <w:r w:rsidRPr="00E62FE6">
        <w:t>minimize</w:t>
      </w:r>
      <w:r w:rsidR="008243CA">
        <w:t xml:space="preserve"> </w:t>
      </w:r>
      <w:r w:rsidRPr="00E62FE6">
        <w:t>restriction</w:t>
      </w:r>
      <w:r w:rsidR="008243CA">
        <w:t xml:space="preserve"> </w:t>
      </w:r>
      <w:r w:rsidRPr="00E62FE6">
        <w:t>of</w:t>
      </w:r>
      <w:r w:rsidR="008243CA">
        <w:t xml:space="preserve"> </w:t>
      </w:r>
      <w:r w:rsidRPr="00E62FE6">
        <w:t>liberty</w:t>
      </w:r>
      <w:r w:rsidR="008243CA">
        <w:t xml:space="preserve"> </w:t>
      </w:r>
      <w:r w:rsidRPr="00E62FE6">
        <w:t>for</w:t>
      </w:r>
      <w:r w:rsidR="008243CA">
        <w:t xml:space="preserve"> </w:t>
      </w:r>
      <w:r w:rsidRPr="00E62FE6">
        <w:t>psychiatric</w:t>
      </w:r>
      <w:r w:rsidR="008243CA">
        <w:t xml:space="preserve"> </w:t>
      </w:r>
      <w:r w:rsidRPr="00E62FE6">
        <w:t>evaluation</w:t>
      </w:r>
      <w:r w:rsidR="008243CA">
        <w:t xml:space="preserve"> </w:t>
      </w:r>
      <w:r w:rsidRPr="00E62FE6">
        <w:t>in</w:t>
      </w:r>
      <w:r w:rsidR="008243CA">
        <w:t xml:space="preserve"> </w:t>
      </w:r>
      <w:r w:rsidRPr="00E62FE6">
        <w:t>establishing</w:t>
      </w:r>
      <w:r w:rsidR="008243CA">
        <w:t xml:space="preserve"> </w:t>
      </w:r>
      <w:r w:rsidRPr="00E62FE6">
        <w:t>criminal</w:t>
      </w:r>
      <w:r w:rsidR="008243CA">
        <w:t xml:space="preserve"> </w:t>
      </w:r>
      <w:r w:rsidRPr="00E62FE6">
        <w:t>liability.</w:t>
      </w:r>
    </w:p>
    <w:p w:rsidR="003F7D03" w:rsidRPr="00E62FE6" w:rsidRDefault="003F7D03" w:rsidP="00DC0B93">
      <w:pPr>
        <w:pStyle w:val="SingleTxtG"/>
      </w:pPr>
      <w:r w:rsidRPr="00E62FE6">
        <w:t>93.</w:t>
      </w:r>
      <w:r w:rsidRPr="00E62FE6">
        <w:tab/>
        <w:t>The</w:t>
      </w:r>
      <w:r w:rsidR="008243CA">
        <w:t xml:space="preserve"> </w:t>
      </w:r>
      <w:r w:rsidRPr="00E62FE6">
        <w:t>judiciary</w:t>
      </w:r>
      <w:r w:rsidR="008243CA">
        <w:t xml:space="preserve"> </w:t>
      </w:r>
      <w:r w:rsidRPr="00E62FE6">
        <w:t>was</w:t>
      </w:r>
      <w:r w:rsidR="008243CA">
        <w:t xml:space="preserve"> </w:t>
      </w:r>
      <w:r w:rsidRPr="00E62FE6">
        <w:t>formally</w:t>
      </w:r>
      <w:r w:rsidR="008243CA">
        <w:t xml:space="preserve"> </w:t>
      </w:r>
      <w:r w:rsidRPr="00E62FE6">
        <w:t>notified</w:t>
      </w:r>
      <w:r w:rsidR="008243CA">
        <w:t xml:space="preserve"> </w:t>
      </w:r>
      <w:r w:rsidRPr="00E62FE6">
        <w:t>of</w:t>
      </w:r>
      <w:r w:rsidR="008243CA">
        <w:t xml:space="preserve"> </w:t>
      </w:r>
      <w:r w:rsidRPr="00E62FE6">
        <w:t>this</w:t>
      </w:r>
      <w:r w:rsidR="008243CA">
        <w:t xml:space="preserve"> </w:t>
      </w:r>
      <w:r w:rsidRPr="00E62FE6">
        <w:t>recommendation,</w:t>
      </w:r>
      <w:r w:rsidR="008243CA">
        <w:t xml:space="preserve"> </w:t>
      </w:r>
      <w:r w:rsidRPr="00E62FE6">
        <w:t>on</w:t>
      </w:r>
      <w:r w:rsidR="008243CA">
        <w:t xml:space="preserve"> </w:t>
      </w:r>
      <w:r w:rsidRPr="00E62FE6">
        <w:t>the</w:t>
      </w:r>
      <w:r w:rsidR="008243CA">
        <w:t xml:space="preserve"> </w:t>
      </w:r>
      <w:r w:rsidRPr="00E62FE6">
        <w:t>understanding</w:t>
      </w:r>
      <w:r w:rsidR="008243CA">
        <w:t xml:space="preserve"> </w:t>
      </w:r>
      <w:r w:rsidRPr="00E62FE6">
        <w:t>that</w:t>
      </w:r>
      <w:r w:rsidR="008243CA">
        <w:t xml:space="preserve"> </w:t>
      </w:r>
      <w:r w:rsidRPr="00E62FE6">
        <w:t>although</w:t>
      </w:r>
      <w:r w:rsidR="008243CA">
        <w:t xml:space="preserve"> </w:t>
      </w:r>
      <w:r w:rsidRPr="00E62FE6">
        <w:t>compliance</w:t>
      </w:r>
      <w:r w:rsidR="008243CA">
        <w:t xml:space="preserve"> </w:t>
      </w:r>
      <w:r w:rsidRPr="00E62FE6">
        <w:t>with</w:t>
      </w:r>
      <w:r w:rsidR="008243CA">
        <w:t xml:space="preserve"> </w:t>
      </w:r>
      <w:r w:rsidRPr="00E62FE6">
        <w:t>the</w:t>
      </w:r>
      <w:r w:rsidR="008243CA">
        <w:t xml:space="preserve"> </w:t>
      </w:r>
      <w:r w:rsidRPr="00E62FE6">
        <w:t>recommendations</w:t>
      </w:r>
      <w:r w:rsidR="008243CA">
        <w:t xml:space="preserve"> </w:t>
      </w:r>
      <w:r w:rsidRPr="00E62FE6">
        <w:t>is</w:t>
      </w:r>
      <w:r w:rsidR="008243CA">
        <w:t xml:space="preserve"> </w:t>
      </w:r>
      <w:r w:rsidRPr="00E62FE6">
        <w:t>a</w:t>
      </w:r>
      <w:r w:rsidR="008243CA">
        <w:t xml:space="preserve"> </w:t>
      </w:r>
      <w:r w:rsidRPr="00E62FE6">
        <w:t>State</w:t>
      </w:r>
      <w:r w:rsidR="008243CA">
        <w:t xml:space="preserve"> </w:t>
      </w:r>
      <w:r w:rsidRPr="00E62FE6">
        <w:t>obligation,</w:t>
      </w:r>
      <w:r w:rsidR="008243CA">
        <w:t xml:space="preserve"> </w:t>
      </w:r>
      <w:r w:rsidRPr="00E62FE6">
        <w:t>domestic</w:t>
      </w:r>
      <w:r w:rsidR="008243CA">
        <w:t xml:space="preserve"> </w:t>
      </w:r>
      <w:r w:rsidRPr="00E62FE6">
        <w:t>arrangements</w:t>
      </w:r>
      <w:r w:rsidR="008243CA">
        <w:t xml:space="preserve"> </w:t>
      </w:r>
      <w:r w:rsidRPr="00E62FE6">
        <w:t>to</w:t>
      </w:r>
      <w:r w:rsidR="008243CA">
        <w:t xml:space="preserve"> </w:t>
      </w:r>
      <w:r w:rsidRPr="00E62FE6">
        <w:t>that</w:t>
      </w:r>
      <w:r w:rsidR="008243CA">
        <w:t xml:space="preserve"> </w:t>
      </w:r>
      <w:r w:rsidRPr="00E62FE6">
        <w:t>end</w:t>
      </w:r>
      <w:r w:rsidR="008243CA">
        <w:t xml:space="preserve"> </w:t>
      </w:r>
      <w:r w:rsidRPr="00E62FE6">
        <w:t>are</w:t>
      </w:r>
      <w:r w:rsidR="008243CA">
        <w:t xml:space="preserve"> </w:t>
      </w:r>
      <w:r w:rsidRPr="00E62FE6">
        <w:t>part</w:t>
      </w:r>
      <w:r w:rsidR="008243CA">
        <w:t xml:space="preserve"> </w:t>
      </w:r>
      <w:r w:rsidRPr="00E62FE6">
        <w:t>of</w:t>
      </w:r>
      <w:r w:rsidR="008243CA">
        <w:t xml:space="preserve"> </w:t>
      </w:r>
      <w:r w:rsidRPr="00E62FE6">
        <w:t>a</w:t>
      </w:r>
      <w:r w:rsidR="008243CA">
        <w:t xml:space="preserve"> </w:t>
      </w:r>
      <w:r w:rsidRPr="00E62FE6">
        <w:t>political</w:t>
      </w:r>
      <w:r w:rsidR="008243CA">
        <w:t xml:space="preserve"> </w:t>
      </w:r>
      <w:r w:rsidRPr="00E62FE6">
        <w:t>and</w:t>
      </w:r>
      <w:r w:rsidR="008243CA">
        <w:t xml:space="preserve"> </w:t>
      </w:r>
      <w:r w:rsidRPr="00E62FE6">
        <w:t>legal</w:t>
      </w:r>
      <w:r w:rsidR="008243CA">
        <w:t xml:space="preserve"> </w:t>
      </w:r>
      <w:r w:rsidRPr="00E62FE6">
        <w:t>structure</w:t>
      </w:r>
      <w:r w:rsidR="008243CA">
        <w:t xml:space="preserve"> </w:t>
      </w:r>
      <w:r w:rsidRPr="00E62FE6">
        <w:t>based</w:t>
      </w:r>
      <w:r w:rsidR="008243CA">
        <w:t xml:space="preserve"> </w:t>
      </w:r>
      <w:r w:rsidRPr="00E62FE6">
        <w:t>on</w:t>
      </w:r>
      <w:r w:rsidR="008243CA">
        <w:t xml:space="preserve"> </w:t>
      </w:r>
      <w:r w:rsidRPr="00E62FE6">
        <w:t>the</w:t>
      </w:r>
      <w:r w:rsidR="008243CA">
        <w:t xml:space="preserve"> </w:t>
      </w:r>
      <w:r w:rsidRPr="00E62FE6">
        <w:t>separation</w:t>
      </w:r>
      <w:r w:rsidR="008243CA">
        <w:t xml:space="preserve"> </w:t>
      </w:r>
      <w:r w:rsidRPr="00E62FE6">
        <w:t>of</w:t>
      </w:r>
      <w:r w:rsidR="008243CA">
        <w:t xml:space="preserve"> </w:t>
      </w:r>
      <w:r w:rsidRPr="00E62FE6">
        <w:t>powers.</w:t>
      </w:r>
      <w:r w:rsidR="008243CA">
        <w:t xml:space="preserve"> </w:t>
      </w:r>
      <w:r w:rsidRPr="00E62FE6">
        <w:t>The</w:t>
      </w:r>
      <w:r w:rsidR="008243CA">
        <w:t xml:space="preserve"> </w:t>
      </w:r>
      <w:r w:rsidRPr="00E62FE6">
        <w:t>judiciary</w:t>
      </w:r>
      <w:r w:rsidR="008243CA">
        <w:t xml:space="preserve"> </w:t>
      </w:r>
      <w:r w:rsidRPr="00E62FE6">
        <w:t>will</w:t>
      </w:r>
      <w:r w:rsidR="008243CA">
        <w:t xml:space="preserve"> </w:t>
      </w:r>
      <w:r w:rsidRPr="00E62FE6">
        <w:t>therefore</w:t>
      </w:r>
      <w:r w:rsidR="008243CA">
        <w:t xml:space="preserve"> </w:t>
      </w:r>
      <w:r w:rsidRPr="00E62FE6">
        <w:t>be</w:t>
      </w:r>
      <w:r w:rsidR="008243CA">
        <w:t xml:space="preserve"> </w:t>
      </w:r>
      <w:r w:rsidRPr="00E62FE6">
        <w:t>in</w:t>
      </w:r>
      <w:r w:rsidR="008243CA">
        <w:t xml:space="preserve"> </w:t>
      </w:r>
      <w:r w:rsidRPr="00E62FE6">
        <w:t>charge</w:t>
      </w:r>
      <w:r w:rsidR="008243CA">
        <w:t xml:space="preserve"> </w:t>
      </w:r>
      <w:r w:rsidRPr="00E62FE6">
        <w:t>of</w:t>
      </w:r>
      <w:r w:rsidR="008243CA">
        <w:t xml:space="preserve"> </w:t>
      </w:r>
      <w:r w:rsidRPr="00E62FE6">
        <w:t>weighing</w:t>
      </w:r>
      <w:r w:rsidR="008243CA">
        <w:t xml:space="preserve"> </w:t>
      </w:r>
      <w:r w:rsidRPr="00E62FE6">
        <w:t>the</w:t>
      </w:r>
      <w:r w:rsidR="008243CA">
        <w:t xml:space="preserve"> </w:t>
      </w:r>
      <w:r w:rsidRPr="00E62FE6">
        <w:t>merits</w:t>
      </w:r>
      <w:r w:rsidR="008243CA">
        <w:t xml:space="preserve"> </w:t>
      </w:r>
      <w:r w:rsidRPr="00E62FE6">
        <w:t>of</w:t>
      </w:r>
      <w:r w:rsidR="008243CA">
        <w:t xml:space="preserve"> </w:t>
      </w:r>
      <w:r w:rsidRPr="00E62FE6">
        <w:t>this</w:t>
      </w:r>
      <w:r w:rsidR="008243CA">
        <w:t xml:space="preserve"> </w:t>
      </w:r>
      <w:r w:rsidRPr="00E62FE6">
        <w:t>recommendation,</w:t>
      </w:r>
      <w:r w:rsidR="008243CA">
        <w:t xml:space="preserve"> </w:t>
      </w:r>
      <w:r w:rsidRPr="00E62FE6">
        <w:t>as</w:t>
      </w:r>
      <w:r w:rsidR="008243CA">
        <w:t xml:space="preserve"> </w:t>
      </w:r>
      <w:r w:rsidRPr="00E62FE6">
        <w:t>the</w:t>
      </w:r>
      <w:r w:rsidR="008243CA">
        <w:t xml:space="preserve"> </w:t>
      </w:r>
      <w:r w:rsidRPr="00E62FE6">
        <w:t>executive</w:t>
      </w:r>
      <w:r w:rsidR="008243CA">
        <w:t xml:space="preserve"> </w:t>
      </w:r>
      <w:r w:rsidRPr="00E62FE6">
        <w:t>branch</w:t>
      </w:r>
      <w:r w:rsidR="008243CA">
        <w:t xml:space="preserve"> </w:t>
      </w:r>
      <w:r w:rsidRPr="00E62FE6">
        <w:t>does</w:t>
      </w:r>
      <w:r w:rsidR="008243CA">
        <w:t xml:space="preserve"> </w:t>
      </w:r>
      <w:r w:rsidRPr="00E62FE6">
        <w:t>not</w:t>
      </w:r>
      <w:r w:rsidR="008243CA">
        <w:t xml:space="preserve"> </w:t>
      </w:r>
      <w:r w:rsidRPr="00E62FE6">
        <w:t>have</w:t>
      </w:r>
      <w:r w:rsidR="008243CA">
        <w:t xml:space="preserve"> </w:t>
      </w:r>
      <w:r w:rsidRPr="00E62FE6">
        <w:t>the</w:t>
      </w:r>
      <w:r w:rsidR="008243CA">
        <w:t xml:space="preserve"> </w:t>
      </w:r>
      <w:r w:rsidRPr="00E62FE6">
        <w:t>power</w:t>
      </w:r>
      <w:r w:rsidR="008243CA">
        <w:t xml:space="preserve"> </w:t>
      </w:r>
      <w:r w:rsidRPr="00E62FE6">
        <w:t>to</w:t>
      </w:r>
      <w:r w:rsidR="008243CA">
        <w:t xml:space="preserve"> </w:t>
      </w:r>
      <w:r w:rsidRPr="00E62FE6">
        <w:t>interfere</w:t>
      </w:r>
      <w:r w:rsidR="008243CA">
        <w:t xml:space="preserve"> </w:t>
      </w:r>
      <w:r w:rsidRPr="00E62FE6">
        <w:t>in</w:t>
      </w:r>
      <w:r w:rsidR="008243CA">
        <w:t xml:space="preserve"> </w:t>
      </w:r>
      <w:r w:rsidRPr="00E62FE6">
        <w:t>such</w:t>
      </w:r>
      <w:r w:rsidR="008243CA">
        <w:t xml:space="preserve"> </w:t>
      </w:r>
      <w:r w:rsidRPr="00E62FE6">
        <w:t>decisions.</w:t>
      </w:r>
    </w:p>
    <w:p w:rsidR="003F7D03" w:rsidRPr="00E62FE6" w:rsidRDefault="003F7D03" w:rsidP="00DC0B93">
      <w:pPr>
        <w:pStyle w:val="H1G"/>
      </w:pPr>
      <w:r w:rsidRPr="00E62FE6">
        <w:tab/>
      </w:r>
      <w:bookmarkStart w:id="75" w:name="_Toc512870695"/>
      <w:bookmarkStart w:id="76" w:name="_Toc512870857"/>
      <w:r w:rsidRPr="00E62FE6">
        <w:t>3.2</w:t>
      </w:r>
      <w:r w:rsidRPr="00E62FE6">
        <w:tab/>
        <w:t>Health</w:t>
      </w:r>
      <w:bookmarkEnd w:id="75"/>
      <w:bookmarkEnd w:id="76"/>
    </w:p>
    <w:p w:rsidR="003F7D03" w:rsidRPr="00E62FE6" w:rsidRDefault="003F7D03" w:rsidP="000C6D98">
      <w:pPr>
        <w:pStyle w:val="SingleTxtG"/>
      </w:pPr>
      <w:r w:rsidRPr="00E62FE6">
        <w:t>94.</w:t>
      </w:r>
      <w:r w:rsidRPr="00E62FE6">
        <w:tab/>
        <w:t>International</w:t>
      </w:r>
      <w:r w:rsidR="008243CA">
        <w:t xml:space="preserve"> </w:t>
      </w:r>
      <w:r w:rsidRPr="00E62FE6">
        <w:t>human</w:t>
      </w:r>
      <w:r w:rsidR="008243CA">
        <w:t xml:space="preserve"> </w:t>
      </w:r>
      <w:r w:rsidRPr="00E62FE6">
        <w:t>rights</w:t>
      </w:r>
      <w:r w:rsidR="008243CA">
        <w:t xml:space="preserve"> </w:t>
      </w:r>
      <w:r w:rsidRPr="00E62FE6">
        <w:t>law</w:t>
      </w:r>
      <w:r w:rsidR="00116F0B">
        <w:t xml:space="preserve"> </w:t>
      </w:r>
      <w:r w:rsidRPr="00E62FE6">
        <w:t>provides</w:t>
      </w:r>
      <w:r w:rsidR="008243CA">
        <w:t xml:space="preserve"> </w:t>
      </w:r>
      <w:r w:rsidRPr="00E62FE6">
        <w:t>that</w:t>
      </w:r>
      <w:r w:rsidR="008243CA">
        <w:t xml:space="preserve"> </w:t>
      </w:r>
      <w:r w:rsidRPr="00E62FE6">
        <w:t>one</w:t>
      </w:r>
      <w:r w:rsidR="008243CA">
        <w:t xml:space="preserve"> </w:t>
      </w:r>
      <w:r w:rsidRPr="00E62FE6">
        <w:t>of</w:t>
      </w:r>
      <w:r w:rsidR="008243CA">
        <w:t xml:space="preserve"> </w:t>
      </w:r>
      <w:r w:rsidRPr="00E62FE6">
        <w:t>the</w:t>
      </w:r>
      <w:r w:rsidR="008243CA">
        <w:t xml:space="preserve"> </w:t>
      </w:r>
      <w:r w:rsidRPr="00E62FE6">
        <w:t>implications</w:t>
      </w:r>
      <w:r w:rsidR="008243CA">
        <w:t xml:space="preserve"> </w:t>
      </w:r>
      <w:r w:rsidRPr="00E62FE6">
        <w:t>of</w:t>
      </w:r>
      <w:r w:rsidR="008243CA">
        <w:t xml:space="preserve"> </w:t>
      </w:r>
      <w:r w:rsidRPr="00E62FE6">
        <w:t>the</w:t>
      </w:r>
      <w:r w:rsidR="008243CA">
        <w:t xml:space="preserve"> </w:t>
      </w:r>
      <w:r w:rsidRPr="00E62FE6">
        <w:t>Government</w:t>
      </w:r>
      <w:r w:rsidR="00116F0B">
        <w:t>’</w:t>
      </w:r>
      <w:r w:rsidRPr="00E62FE6">
        <w:t>s</w:t>
      </w:r>
      <w:r w:rsidR="008243CA">
        <w:t xml:space="preserve"> </w:t>
      </w:r>
      <w:r w:rsidRPr="00E62FE6">
        <w:t>role</w:t>
      </w:r>
      <w:r w:rsidR="008243CA">
        <w:t xml:space="preserve"> </w:t>
      </w:r>
      <w:r w:rsidRPr="00E62FE6">
        <w:t>as</w:t>
      </w:r>
      <w:r w:rsidR="008243CA">
        <w:t xml:space="preserve"> </w:t>
      </w:r>
      <w:r w:rsidRPr="00E62FE6">
        <w:t>guarantor</w:t>
      </w:r>
      <w:r w:rsidR="008243CA">
        <w:t xml:space="preserve"> </w:t>
      </w:r>
      <w:r w:rsidRPr="00E62FE6">
        <w:t>of</w:t>
      </w:r>
      <w:r w:rsidR="008243CA">
        <w:t xml:space="preserve"> </w:t>
      </w:r>
      <w:r w:rsidRPr="00E62FE6">
        <w:t>the</w:t>
      </w:r>
      <w:r w:rsidR="008243CA">
        <w:t xml:space="preserve"> </w:t>
      </w:r>
      <w:r w:rsidRPr="00E62FE6">
        <w:t>rights</w:t>
      </w:r>
      <w:r w:rsidR="008243CA">
        <w:t xml:space="preserve"> </w:t>
      </w:r>
      <w:r w:rsidRPr="00E62FE6">
        <w:t>of</w:t>
      </w:r>
      <w:r w:rsidR="008243CA">
        <w:t xml:space="preserve"> </w:t>
      </w:r>
      <w:r w:rsidRPr="00E62FE6">
        <w:t>persons</w:t>
      </w:r>
      <w:r w:rsidR="008243CA">
        <w:t xml:space="preserve"> </w:t>
      </w:r>
      <w:r w:rsidRPr="00E62FE6">
        <w:t>deprived</w:t>
      </w:r>
      <w:r w:rsidR="008243CA">
        <w:t xml:space="preserve"> </w:t>
      </w:r>
      <w:r w:rsidRPr="00E62FE6">
        <w:t>of</w:t>
      </w:r>
      <w:r w:rsidR="008243CA">
        <w:t xml:space="preserve"> </w:t>
      </w:r>
      <w:r w:rsidRPr="00E62FE6">
        <w:t>liberty</w:t>
      </w:r>
      <w:r w:rsidR="008243CA">
        <w:t xml:space="preserve"> </w:t>
      </w:r>
      <w:r w:rsidRPr="00E62FE6">
        <w:t>is</w:t>
      </w:r>
      <w:r w:rsidR="008243CA">
        <w:t xml:space="preserve"> </w:t>
      </w:r>
      <w:r w:rsidRPr="00E62FE6">
        <w:t>the</w:t>
      </w:r>
      <w:r w:rsidR="008243CA">
        <w:t xml:space="preserve"> </w:t>
      </w:r>
      <w:r w:rsidRPr="00E62FE6">
        <w:t>duty</w:t>
      </w:r>
      <w:r w:rsidR="008243CA">
        <w:t xml:space="preserve"> </w:t>
      </w:r>
      <w:r w:rsidRPr="00E62FE6">
        <w:t>to</w:t>
      </w:r>
      <w:r w:rsidR="008243CA">
        <w:t xml:space="preserve"> </w:t>
      </w:r>
      <w:r w:rsidRPr="00E62FE6">
        <w:t>guarantee</w:t>
      </w:r>
      <w:r w:rsidR="008243CA">
        <w:t xml:space="preserve"> </w:t>
      </w:r>
      <w:r w:rsidRPr="00E62FE6">
        <w:t>respect</w:t>
      </w:r>
      <w:r w:rsidR="008243CA">
        <w:t xml:space="preserve"> </w:t>
      </w:r>
      <w:r w:rsidRPr="00E62FE6">
        <w:t>of</w:t>
      </w:r>
      <w:r w:rsidR="008243CA">
        <w:t xml:space="preserve"> </w:t>
      </w:r>
      <w:r w:rsidRPr="00E62FE6">
        <w:t>their</w:t>
      </w:r>
      <w:r w:rsidR="008243CA">
        <w:t xml:space="preserve"> </w:t>
      </w:r>
      <w:r w:rsidRPr="00E62FE6">
        <w:t>human</w:t>
      </w:r>
      <w:r w:rsidR="008243CA">
        <w:t xml:space="preserve"> </w:t>
      </w:r>
      <w:r w:rsidRPr="00E62FE6">
        <w:t>rights,</w:t>
      </w:r>
      <w:r w:rsidR="008243CA">
        <w:t xml:space="preserve"> </w:t>
      </w:r>
      <w:r w:rsidRPr="00E62FE6">
        <w:t>including</w:t>
      </w:r>
      <w:r w:rsidR="008243CA">
        <w:t xml:space="preserve"> </w:t>
      </w:r>
      <w:r w:rsidRPr="00E62FE6">
        <w:t>the</w:t>
      </w:r>
      <w:r w:rsidR="008243CA">
        <w:t xml:space="preserve"> </w:t>
      </w:r>
      <w:r w:rsidRPr="00E62FE6">
        <w:t>right</w:t>
      </w:r>
      <w:r w:rsidR="008243CA">
        <w:t xml:space="preserve"> </w:t>
      </w:r>
      <w:r w:rsidRPr="00E62FE6">
        <w:t>to</w:t>
      </w:r>
      <w:r w:rsidR="008243CA">
        <w:t xml:space="preserve"> </w:t>
      </w:r>
      <w:r w:rsidRPr="00E62FE6">
        <w:t>health.</w:t>
      </w:r>
      <w:r w:rsidR="008243CA">
        <w:t xml:space="preserve"> </w:t>
      </w:r>
      <w:r w:rsidRPr="00E62FE6">
        <w:t>This</w:t>
      </w:r>
      <w:r w:rsidR="008243CA">
        <w:t xml:space="preserve"> </w:t>
      </w:r>
      <w:r w:rsidRPr="00E62FE6">
        <w:t>involves</w:t>
      </w:r>
      <w:r w:rsidR="008243CA">
        <w:t xml:space="preserve"> </w:t>
      </w:r>
      <w:r w:rsidRPr="00E62FE6">
        <w:t>the</w:t>
      </w:r>
      <w:r w:rsidR="008243CA">
        <w:t xml:space="preserve"> </w:t>
      </w:r>
      <w:r w:rsidRPr="00E62FE6">
        <w:t>Government</w:t>
      </w:r>
      <w:r w:rsidR="008243CA">
        <w:t xml:space="preserve"> </w:t>
      </w:r>
      <w:r w:rsidRPr="00E62FE6">
        <w:t>taking</w:t>
      </w:r>
      <w:r w:rsidR="008243CA">
        <w:t xml:space="preserve"> </w:t>
      </w:r>
      <w:r w:rsidRPr="00E62FE6">
        <w:t>all</w:t>
      </w:r>
      <w:r w:rsidR="008243CA">
        <w:t xml:space="preserve"> </w:t>
      </w:r>
      <w:r w:rsidRPr="00E62FE6">
        <w:t>necessary</w:t>
      </w:r>
      <w:r w:rsidR="008243CA">
        <w:t xml:space="preserve"> </w:t>
      </w:r>
      <w:r w:rsidRPr="00E62FE6">
        <w:t>measures;</w:t>
      </w:r>
      <w:r w:rsidR="008243CA">
        <w:t xml:space="preserve"> </w:t>
      </w:r>
      <w:r w:rsidRPr="00E62FE6">
        <w:t>in</w:t>
      </w:r>
      <w:r w:rsidR="008243CA">
        <w:t xml:space="preserve"> </w:t>
      </w:r>
      <w:r w:rsidRPr="00E62FE6">
        <w:t>this</w:t>
      </w:r>
      <w:r w:rsidR="008243CA">
        <w:t xml:space="preserve"> </w:t>
      </w:r>
      <w:r w:rsidRPr="00E62FE6">
        <w:t>regard,</w:t>
      </w:r>
      <w:r w:rsidR="008243CA">
        <w:t xml:space="preserve"> </w:t>
      </w:r>
      <w:r w:rsidRPr="00E62FE6">
        <w:t>attention</w:t>
      </w:r>
      <w:r w:rsidR="008243CA">
        <w:t xml:space="preserve"> </w:t>
      </w:r>
      <w:r w:rsidRPr="00E62FE6">
        <w:t>should</w:t>
      </w:r>
      <w:r w:rsidR="008243CA">
        <w:t xml:space="preserve"> </w:t>
      </w:r>
      <w:r w:rsidRPr="00E62FE6">
        <w:t>be</w:t>
      </w:r>
      <w:r w:rsidR="008243CA">
        <w:t xml:space="preserve"> </w:t>
      </w:r>
      <w:r w:rsidRPr="00E62FE6">
        <w:t>drawn</w:t>
      </w:r>
      <w:r w:rsidR="008243CA">
        <w:t xml:space="preserve"> </w:t>
      </w:r>
      <w:r w:rsidRPr="00E62FE6">
        <w:t>to</w:t>
      </w:r>
      <w:r w:rsidR="008243CA">
        <w:t xml:space="preserve"> </w:t>
      </w:r>
      <w:r w:rsidRPr="00E62FE6">
        <w:t>the</w:t>
      </w:r>
      <w:r w:rsidR="008243CA">
        <w:t xml:space="preserve"> </w:t>
      </w:r>
      <w:r w:rsidRPr="00E62FE6">
        <w:t>framework</w:t>
      </w:r>
      <w:r w:rsidR="008243CA">
        <w:t xml:space="preserve"> </w:t>
      </w:r>
      <w:r w:rsidRPr="00E62FE6">
        <w:t>cooperation</w:t>
      </w:r>
      <w:r w:rsidR="008243CA">
        <w:t xml:space="preserve"> </w:t>
      </w:r>
      <w:r w:rsidRPr="00E62FE6">
        <w:t>agreement</w:t>
      </w:r>
      <w:r w:rsidR="008243CA">
        <w:t xml:space="preserve"> </w:t>
      </w:r>
      <w:r w:rsidRPr="00E62FE6">
        <w:t>concluded</w:t>
      </w:r>
      <w:r w:rsidR="008243CA">
        <w:t xml:space="preserve"> </w:t>
      </w:r>
      <w:r w:rsidRPr="00E62FE6">
        <w:t>in</w:t>
      </w:r>
      <w:r w:rsidR="008243CA">
        <w:t xml:space="preserve"> </w:t>
      </w:r>
      <w:r w:rsidRPr="00E62FE6">
        <w:t>August</w:t>
      </w:r>
      <w:r w:rsidR="008243CA">
        <w:t xml:space="preserve"> </w:t>
      </w:r>
      <w:r w:rsidRPr="00E62FE6">
        <w:t>2016</w:t>
      </w:r>
      <w:r w:rsidR="008243CA">
        <w:t xml:space="preserve"> </w:t>
      </w:r>
      <w:r w:rsidRPr="00E62FE6">
        <w:t>between</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Justice</w:t>
      </w:r>
      <w:r w:rsidR="008243CA">
        <w:t xml:space="preserve"> </w:t>
      </w:r>
      <w:r w:rsidRPr="00E62FE6">
        <w:t>and</w:t>
      </w:r>
      <w:r w:rsidR="008243CA">
        <w:t xml:space="preserve"> </w:t>
      </w:r>
      <w:r w:rsidRPr="00E62FE6">
        <w:t>Human</w:t>
      </w:r>
      <w:r w:rsidR="008243CA">
        <w:t xml:space="preserve"> </w:t>
      </w:r>
      <w:r w:rsidRPr="00E62FE6">
        <w:t>Rights,</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Health,</w:t>
      </w:r>
      <w:r w:rsidR="008243CA">
        <w:t xml:space="preserve"> </w:t>
      </w:r>
      <w:r w:rsidRPr="00E62FE6">
        <w:t>the</w:t>
      </w:r>
      <w:r w:rsidR="008243CA">
        <w:t xml:space="preserve"> </w:t>
      </w:r>
      <w:r w:rsidRPr="00E62FE6">
        <w:t>Prison</w:t>
      </w:r>
      <w:r w:rsidR="008243CA">
        <w:t xml:space="preserve"> </w:t>
      </w:r>
      <w:r w:rsidRPr="00E62FE6">
        <w:t>Service,</w:t>
      </w:r>
      <w:r w:rsidR="008243CA">
        <w:t xml:space="preserve"> </w:t>
      </w:r>
      <w:r w:rsidRPr="00E62FE6">
        <w:t>the</w:t>
      </w:r>
      <w:r w:rsidR="008243CA">
        <w:t xml:space="preserve"> </w:t>
      </w:r>
      <w:r w:rsidRPr="00E62FE6">
        <w:t>National</w:t>
      </w:r>
      <w:r w:rsidR="008243CA">
        <w:t xml:space="preserve"> </w:t>
      </w:r>
      <w:r w:rsidRPr="00E62FE6">
        <w:t>Health</w:t>
      </w:r>
      <w:r w:rsidR="008243CA">
        <w:t xml:space="preserve"> </w:t>
      </w:r>
      <w:r w:rsidRPr="00E62FE6">
        <w:t>Fund</w:t>
      </w:r>
      <w:r w:rsidR="008243CA">
        <w:t xml:space="preserve"> </w:t>
      </w:r>
      <w:r w:rsidRPr="00E62FE6">
        <w:t>and</w:t>
      </w:r>
      <w:r w:rsidR="008243CA">
        <w:t xml:space="preserve"> </w:t>
      </w:r>
      <w:r w:rsidRPr="00E62FE6">
        <w:t>the</w:t>
      </w:r>
      <w:r w:rsidR="008243CA">
        <w:t xml:space="preserve"> </w:t>
      </w:r>
      <w:r w:rsidRPr="00E62FE6">
        <w:t>Office</w:t>
      </w:r>
      <w:r w:rsidR="008243CA">
        <w:t xml:space="preserve"> </w:t>
      </w:r>
      <w:r w:rsidRPr="00E62FE6">
        <w:t>of</w:t>
      </w:r>
      <w:r w:rsidR="008243CA">
        <w:t xml:space="preserve"> </w:t>
      </w:r>
      <w:r w:rsidRPr="00E62FE6">
        <w:t>the</w:t>
      </w:r>
      <w:r w:rsidR="008243CA">
        <w:t xml:space="preserve"> </w:t>
      </w:r>
      <w:r w:rsidRPr="00E62FE6">
        <w:t>Superintendent</w:t>
      </w:r>
      <w:r w:rsidR="008243CA">
        <w:t xml:space="preserve"> </w:t>
      </w:r>
      <w:r w:rsidRPr="00E62FE6">
        <w:t>of</w:t>
      </w:r>
      <w:r w:rsidR="008243CA">
        <w:t xml:space="preserve"> </w:t>
      </w:r>
      <w:r w:rsidRPr="00E62FE6">
        <w:t>Health,</w:t>
      </w:r>
      <w:r w:rsidR="008243CA">
        <w:t xml:space="preserve"> </w:t>
      </w:r>
      <w:r w:rsidRPr="00E62FE6">
        <w:t>the</w:t>
      </w:r>
      <w:r w:rsidR="008243CA">
        <w:t xml:space="preserve"> </w:t>
      </w:r>
      <w:r w:rsidRPr="00E62FE6">
        <w:t>purpose</w:t>
      </w:r>
      <w:r w:rsidR="008243CA">
        <w:t xml:space="preserve"> </w:t>
      </w:r>
      <w:r w:rsidRPr="00E62FE6">
        <w:t>of</w:t>
      </w:r>
      <w:r w:rsidR="008243CA">
        <w:t xml:space="preserve"> </w:t>
      </w:r>
      <w:r w:rsidRPr="00E62FE6">
        <w:t>which</w:t>
      </w:r>
      <w:r w:rsidR="008243CA">
        <w:t xml:space="preserve"> </w:t>
      </w:r>
      <w:r w:rsidRPr="00E62FE6">
        <w:t>is</w:t>
      </w:r>
      <w:r w:rsidR="008243CA">
        <w:t xml:space="preserve"> </w:t>
      </w:r>
      <w:r w:rsidRPr="00E62FE6">
        <w:t>to</w:t>
      </w:r>
      <w:r w:rsidR="008243CA">
        <w:t xml:space="preserve"> </w:t>
      </w:r>
      <w:r w:rsidRPr="00E62FE6">
        <w:t>provide</w:t>
      </w:r>
      <w:r w:rsidR="008243CA">
        <w:t xml:space="preserve"> </w:t>
      </w:r>
      <w:r w:rsidRPr="00E62FE6">
        <w:t>a</w:t>
      </w:r>
      <w:r w:rsidR="008243CA">
        <w:t xml:space="preserve"> </w:t>
      </w:r>
      <w:r w:rsidRPr="00E62FE6">
        <w:t>general</w:t>
      </w:r>
      <w:r w:rsidR="008243CA">
        <w:t xml:space="preserve"> </w:t>
      </w:r>
      <w:r w:rsidRPr="00E62FE6">
        <w:t>framework</w:t>
      </w:r>
      <w:r w:rsidR="008243CA">
        <w:t xml:space="preserve"> </w:t>
      </w:r>
      <w:r w:rsidRPr="00E62FE6">
        <w:t>for</w:t>
      </w:r>
      <w:r w:rsidR="008243CA">
        <w:t xml:space="preserve"> </w:t>
      </w:r>
      <w:r w:rsidRPr="00E62FE6">
        <w:t>inter-agency</w:t>
      </w:r>
      <w:r w:rsidR="008243CA">
        <w:t xml:space="preserve"> </w:t>
      </w:r>
      <w:r w:rsidRPr="00E62FE6">
        <w:t>coordination</w:t>
      </w:r>
      <w:r w:rsidR="008243CA">
        <w:t xml:space="preserve"> </w:t>
      </w:r>
      <w:r w:rsidRPr="00E62FE6">
        <w:t>and</w:t>
      </w:r>
      <w:r w:rsidR="008243CA">
        <w:t xml:space="preserve"> </w:t>
      </w:r>
      <w:r w:rsidRPr="00E62FE6">
        <w:t>work</w:t>
      </w:r>
      <w:r w:rsidR="008243CA">
        <w:t xml:space="preserve"> </w:t>
      </w:r>
      <w:r w:rsidRPr="00E62FE6">
        <w:t>with</w:t>
      </w:r>
      <w:r w:rsidR="008243CA">
        <w:t xml:space="preserve"> </w:t>
      </w:r>
      <w:r w:rsidRPr="00E62FE6">
        <w:t>a</w:t>
      </w:r>
      <w:r w:rsidR="008243CA">
        <w:t xml:space="preserve"> </w:t>
      </w:r>
      <w:r w:rsidRPr="00E62FE6">
        <w:t>view</w:t>
      </w:r>
      <w:r w:rsidR="008243CA">
        <w:t xml:space="preserve"> </w:t>
      </w:r>
      <w:r w:rsidRPr="00E62FE6">
        <w:t>to</w:t>
      </w:r>
      <w:r w:rsidR="008243CA">
        <w:t xml:space="preserve"> </w:t>
      </w:r>
      <w:r w:rsidRPr="00E62FE6">
        <w:t>gradually</w:t>
      </w:r>
      <w:r w:rsidR="008243CA">
        <w:t xml:space="preserve"> </w:t>
      </w:r>
      <w:r w:rsidRPr="00E62FE6">
        <w:t>improving</w:t>
      </w:r>
      <w:r w:rsidR="008243CA">
        <w:t xml:space="preserve"> </w:t>
      </w:r>
      <w:r w:rsidRPr="00E62FE6">
        <w:t>the</w:t>
      </w:r>
      <w:r w:rsidR="008243CA">
        <w:t xml:space="preserve"> </w:t>
      </w:r>
      <w:r w:rsidRPr="00E62FE6">
        <w:t>sanitary</w:t>
      </w:r>
      <w:r w:rsidR="008243CA">
        <w:t xml:space="preserve"> </w:t>
      </w:r>
      <w:r w:rsidRPr="00E62FE6">
        <w:t>conditions</w:t>
      </w:r>
      <w:r w:rsidR="008243CA">
        <w:t xml:space="preserve"> </w:t>
      </w:r>
      <w:r w:rsidRPr="00E62FE6">
        <w:t>of</w:t>
      </w:r>
      <w:r w:rsidR="008243CA">
        <w:t xml:space="preserve"> </w:t>
      </w:r>
      <w:r w:rsidRPr="00E62FE6">
        <w:t>prisons</w:t>
      </w:r>
      <w:r w:rsidR="008243CA">
        <w:t xml:space="preserve"> </w:t>
      </w:r>
      <w:r w:rsidRPr="00E62FE6">
        <w:t>and</w:t>
      </w:r>
      <w:r w:rsidR="008243CA">
        <w:t xml:space="preserve"> </w:t>
      </w:r>
      <w:r w:rsidRPr="00E62FE6">
        <w:t>the</w:t>
      </w:r>
      <w:r w:rsidR="008243CA">
        <w:t xml:space="preserve"> </w:t>
      </w:r>
      <w:r w:rsidRPr="00E62FE6">
        <w:t>health</w:t>
      </w:r>
      <w:r w:rsidR="008243CA">
        <w:t xml:space="preserve"> </w:t>
      </w:r>
      <w:r w:rsidRPr="00E62FE6">
        <w:t>of</w:t>
      </w:r>
      <w:r w:rsidR="008243CA">
        <w:t xml:space="preserve"> </w:t>
      </w:r>
      <w:r w:rsidRPr="00E62FE6">
        <w:t>persons</w:t>
      </w:r>
      <w:r w:rsidR="008243CA">
        <w:t xml:space="preserve"> </w:t>
      </w:r>
      <w:r w:rsidRPr="00E62FE6">
        <w:t>deprived</w:t>
      </w:r>
      <w:r w:rsidR="008243CA">
        <w:t xml:space="preserve"> </w:t>
      </w:r>
      <w:r w:rsidRPr="00E62FE6">
        <w:t>of</w:t>
      </w:r>
      <w:r w:rsidR="008243CA">
        <w:t xml:space="preserve"> </w:t>
      </w:r>
      <w:r w:rsidRPr="00E62FE6">
        <w:t>their</w:t>
      </w:r>
      <w:r w:rsidR="008243CA">
        <w:t xml:space="preserve"> </w:t>
      </w:r>
      <w:r w:rsidRPr="00E62FE6">
        <w:t>liberty</w:t>
      </w:r>
      <w:r w:rsidR="00AF5455">
        <w:t>.</w:t>
      </w:r>
      <w:r w:rsidRPr="00116F0B">
        <w:rPr>
          <w:rStyle w:val="FootnoteReference"/>
        </w:rPr>
        <w:footnoteReference w:id="32"/>
      </w:r>
      <w:r w:rsidR="008243CA">
        <w:t xml:space="preserve"> </w:t>
      </w:r>
      <w:r w:rsidRPr="00E62FE6">
        <w:t>For</w:t>
      </w:r>
      <w:r w:rsidR="008243CA">
        <w:t xml:space="preserve"> </w:t>
      </w:r>
      <w:r w:rsidRPr="00E62FE6">
        <w:t>its</w:t>
      </w:r>
      <w:r w:rsidR="008243CA">
        <w:t xml:space="preserve"> </w:t>
      </w:r>
      <w:r w:rsidRPr="00E62FE6">
        <w:t>proper</w:t>
      </w:r>
      <w:r w:rsidR="008243CA">
        <w:t xml:space="preserve"> </w:t>
      </w:r>
      <w:r w:rsidRPr="00E62FE6">
        <w:t>implementation,</w:t>
      </w:r>
      <w:r w:rsidR="008243CA">
        <w:t xml:space="preserve"> </w:t>
      </w:r>
      <w:r w:rsidRPr="00E62FE6">
        <w:t>the</w:t>
      </w:r>
      <w:r w:rsidR="008243CA">
        <w:t xml:space="preserve"> </w:t>
      </w:r>
      <w:r w:rsidRPr="00E62FE6">
        <w:t>agreement</w:t>
      </w:r>
      <w:r w:rsidR="008243CA">
        <w:t xml:space="preserve"> </w:t>
      </w:r>
      <w:r w:rsidRPr="00E62FE6">
        <w:t>establishes</w:t>
      </w:r>
      <w:r w:rsidR="008243CA">
        <w:t xml:space="preserve"> </w:t>
      </w:r>
      <w:r w:rsidRPr="00E62FE6">
        <w:t>a</w:t>
      </w:r>
      <w:r w:rsidR="008243CA">
        <w:t xml:space="preserve"> </w:t>
      </w:r>
      <w:r w:rsidRPr="00E62FE6">
        <w:t>technical</w:t>
      </w:r>
      <w:r w:rsidR="008243CA">
        <w:t xml:space="preserve"> </w:t>
      </w:r>
      <w:r w:rsidRPr="00E62FE6">
        <w:t>working</w:t>
      </w:r>
      <w:r w:rsidR="008243CA">
        <w:t xml:space="preserve"> </w:t>
      </w:r>
      <w:r w:rsidRPr="00E62FE6">
        <w:t>group</w:t>
      </w:r>
      <w:r w:rsidR="008243CA">
        <w:t xml:space="preserve"> </w:t>
      </w:r>
      <w:r w:rsidRPr="00E62FE6">
        <w:t>composed</w:t>
      </w:r>
      <w:r w:rsidR="008243CA">
        <w:t xml:space="preserve"> </w:t>
      </w:r>
      <w:r w:rsidRPr="00E62FE6">
        <w:t>of</w:t>
      </w:r>
      <w:r w:rsidR="008243CA">
        <w:t xml:space="preserve"> </w:t>
      </w:r>
      <w:r w:rsidRPr="00E62FE6">
        <w:t>one</w:t>
      </w:r>
      <w:r w:rsidR="008243CA">
        <w:t xml:space="preserve"> </w:t>
      </w:r>
      <w:r w:rsidRPr="00E62FE6">
        <w:t>representative</w:t>
      </w:r>
      <w:r w:rsidR="008243CA">
        <w:t xml:space="preserve"> </w:t>
      </w:r>
      <w:r w:rsidRPr="00E62FE6">
        <w:t>from</w:t>
      </w:r>
      <w:r w:rsidR="008243CA">
        <w:t xml:space="preserve"> </w:t>
      </w:r>
      <w:r w:rsidRPr="00E62FE6">
        <w:t>each</w:t>
      </w:r>
      <w:r w:rsidR="008243CA">
        <w:t xml:space="preserve"> </w:t>
      </w:r>
      <w:r w:rsidRPr="00E62FE6">
        <w:t>of</w:t>
      </w:r>
      <w:r w:rsidR="008243CA">
        <w:t xml:space="preserve"> </w:t>
      </w:r>
      <w:r w:rsidRPr="00E62FE6">
        <w:t>the</w:t>
      </w:r>
      <w:r w:rsidR="008243CA">
        <w:t xml:space="preserve"> </w:t>
      </w:r>
      <w:r w:rsidRPr="00E62FE6">
        <w:t>signatory</w:t>
      </w:r>
      <w:r w:rsidR="008243CA">
        <w:t xml:space="preserve"> </w:t>
      </w:r>
      <w:r w:rsidRPr="00E62FE6">
        <w:t>parties.</w:t>
      </w:r>
      <w:bookmarkStart w:id="77" w:name="page27"/>
      <w:bookmarkEnd w:id="77"/>
    </w:p>
    <w:p w:rsidR="003F7D03" w:rsidRPr="00E62FE6" w:rsidRDefault="003F7D03" w:rsidP="000C6D98">
      <w:pPr>
        <w:pStyle w:val="SingleTxtG"/>
      </w:pPr>
      <w:r w:rsidRPr="00E62FE6">
        <w:t>95.</w:t>
      </w:r>
      <w:r w:rsidRPr="00E62FE6">
        <w:tab/>
        <w:t>The</w:t>
      </w:r>
      <w:r w:rsidR="008243CA">
        <w:t xml:space="preserve"> </w:t>
      </w:r>
      <w:r w:rsidRPr="00E62FE6">
        <w:t>objectives</w:t>
      </w:r>
      <w:r w:rsidR="008243CA">
        <w:t xml:space="preserve"> </w:t>
      </w:r>
      <w:r w:rsidRPr="00E62FE6">
        <w:t>of</w:t>
      </w:r>
      <w:r w:rsidR="008243CA">
        <w:t xml:space="preserve"> </w:t>
      </w:r>
      <w:r w:rsidRPr="00E62FE6">
        <w:t>the</w:t>
      </w:r>
      <w:r w:rsidR="008243CA">
        <w:t xml:space="preserve"> </w:t>
      </w:r>
      <w:r w:rsidRPr="00E62FE6">
        <w:t>working</w:t>
      </w:r>
      <w:r w:rsidR="008243CA">
        <w:t xml:space="preserve"> </w:t>
      </w:r>
      <w:r w:rsidRPr="00E62FE6">
        <w:t>group</w:t>
      </w:r>
      <w:r w:rsidR="008243CA">
        <w:t xml:space="preserve"> </w:t>
      </w:r>
      <w:r w:rsidRPr="00E62FE6">
        <w:t>are:</w:t>
      </w:r>
      <w:r w:rsidR="008243CA">
        <w:t xml:space="preserve"> </w:t>
      </w:r>
      <w:r w:rsidRPr="00E62FE6">
        <w:t>(a)</w:t>
      </w:r>
      <w:r w:rsidR="008243CA">
        <w:t xml:space="preserve"> </w:t>
      </w:r>
      <w:r w:rsidRPr="00E62FE6">
        <w:t>to</w:t>
      </w:r>
      <w:r w:rsidR="008243CA">
        <w:t xml:space="preserve"> </w:t>
      </w:r>
      <w:r w:rsidRPr="00E62FE6">
        <w:t>maintain</w:t>
      </w:r>
      <w:r w:rsidR="008243CA">
        <w:t xml:space="preserve"> </w:t>
      </w:r>
      <w:r w:rsidRPr="00E62FE6">
        <w:t>the</w:t>
      </w:r>
      <w:r w:rsidR="008243CA">
        <w:t xml:space="preserve"> </w:t>
      </w:r>
      <w:r w:rsidRPr="00E62FE6">
        <w:t>level</w:t>
      </w:r>
      <w:r w:rsidR="008243CA">
        <w:t xml:space="preserve"> </w:t>
      </w:r>
      <w:r w:rsidRPr="00E62FE6">
        <w:t>of</w:t>
      </w:r>
      <w:r w:rsidR="008243CA">
        <w:t xml:space="preserve"> </w:t>
      </w:r>
      <w:r w:rsidRPr="00E62FE6">
        <w:t>inter-agency</w:t>
      </w:r>
      <w:r w:rsidR="008243CA">
        <w:t xml:space="preserve"> </w:t>
      </w:r>
      <w:r w:rsidRPr="00E62FE6">
        <w:t>communication</w:t>
      </w:r>
      <w:r w:rsidR="008243CA">
        <w:t xml:space="preserve"> </w:t>
      </w:r>
      <w:r w:rsidRPr="00E62FE6">
        <w:t>needed</w:t>
      </w:r>
      <w:r w:rsidR="008243CA">
        <w:t xml:space="preserve"> </w:t>
      </w:r>
      <w:r w:rsidRPr="00E62FE6">
        <w:t>to</w:t>
      </w:r>
      <w:r w:rsidR="008243CA">
        <w:t xml:space="preserve"> </w:t>
      </w:r>
      <w:r w:rsidRPr="00E62FE6">
        <w:t>implement</w:t>
      </w:r>
      <w:r w:rsidR="008243CA">
        <w:t xml:space="preserve"> </w:t>
      </w:r>
      <w:r w:rsidRPr="00E62FE6">
        <w:t>the</w:t>
      </w:r>
      <w:r w:rsidR="008243CA">
        <w:t xml:space="preserve"> </w:t>
      </w:r>
      <w:r w:rsidRPr="00E62FE6">
        <w:t>agreement;</w:t>
      </w:r>
      <w:r w:rsidR="008243CA">
        <w:t xml:space="preserve"> </w:t>
      </w:r>
      <w:r w:rsidRPr="00E62FE6">
        <w:t>(b)</w:t>
      </w:r>
      <w:r w:rsidR="008243CA">
        <w:t xml:space="preserve"> </w:t>
      </w:r>
      <w:r w:rsidRPr="00E62FE6">
        <w:t>to</w:t>
      </w:r>
      <w:r w:rsidR="008243CA">
        <w:t xml:space="preserve"> </w:t>
      </w:r>
      <w:r w:rsidRPr="00E62FE6">
        <w:t>report</w:t>
      </w:r>
      <w:r w:rsidR="008243CA">
        <w:t xml:space="preserve"> </w:t>
      </w:r>
      <w:r w:rsidRPr="00E62FE6">
        <w:t>on</w:t>
      </w:r>
      <w:r w:rsidR="008243CA">
        <w:t xml:space="preserve"> </w:t>
      </w:r>
      <w:r w:rsidRPr="00E62FE6">
        <w:t>the</w:t>
      </w:r>
      <w:r w:rsidR="008243CA">
        <w:t xml:space="preserve"> </w:t>
      </w:r>
      <w:r w:rsidRPr="00E62FE6">
        <w:t>need</w:t>
      </w:r>
      <w:r w:rsidR="008243CA">
        <w:t xml:space="preserve"> </w:t>
      </w:r>
      <w:r w:rsidRPr="00E62FE6">
        <w:t>to</w:t>
      </w:r>
      <w:r w:rsidR="008243CA">
        <w:t xml:space="preserve"> </w:t>
      </w:r>
      <w:r w:rsidRPr="00E62FE6">
        <w:t>establish</w:t>
      </w:r>
      <w:r w:rsidR="008243CA">
        <w:t xml:space="preserve"> </w:t>
      </w:r>
      <w:r w:rsidRPr="00E62FE6">
        <w:t>and</w:t>
      </w:r>
      <w:r w:rsidR="008243CA">
        <w:t xml:space="preserve"> </w:t>
      </w:r>
      <w:r w:rsidRPr="00E62FE6">
        <w:t>update</w:t>
      </w:r>
      <w:r w:rsidR="008243CA">
        <w:t xml:space="preserve"> </w:t>
      </w:r>
      <w:r w:rsidRPr="00E62FE6">
        <w:t>the</w:t>
      </w:r>
      <w:r w:rsidR="008243CA">
        <w:t xml:space="preserve"> </w:t>
      </w:r>
      <w:r w:rsidRPr="00E62FE6">
        <w:t>baseline(s)</w:t>
      </w:r>
      <w:r w:rsidR="008243CA">
        <w:t xml:space="preserve"> </w:t>
      </w:r>
      <w:r w:rsidRPr="00E62FE6">
        <w:t>for</w:t>
      </w:r>
      <w:r w:rsidR="008243CA">
        <w:t xml:space="preserve"> </w:t>
      </w:r>
      <w:r w:rsidRPr="00E62FE6">
        <w:t>the</w:t>
      </w:r>
      <w:r w:rsidR="008243CA">
        <w:t xml:space="preserve"> </w:t>
      </w:r>
      <w:r w:rsidRPr="00E62FE6">
        <w:t>measures</w:t>
      </w:r>
      <w:r w:rsidR="008243CA">
        <w:t xml:space="preserve"> </w:t>
      </w:r>
      <w:r w:rsidRPr="00E62FE6">
        <w:t>to</w:t>
      </w:r>
      <w:r w:rsidR="008243CA">
        <w:t xml:space="preserve"> </w:t>
      </w:r>
      <w:r w:rsidRPr="00E62FE6">
        <w:t>be</w:t>
      </w:r>
      <w:r w:rsidR="008243CA">
        <w:t xml:space="preserve"> </w:t>
      </w:r>
      <w:r w:rsidRPr="00E62FE6">
        <w:t>adopted</w:t>
      </w:r>
      <w:r w:rsidR="008243CA">
        <w:t xml:space="preserve"> </w:t>
      </w:r>
      <w:r w:rsidRPr="00E62FE6">
        <w:t>by</w:t>
      </w:r>
      <w:r w:rsidR="008243CA">
        <w:t xml:space="preserve"> </w:t>
      </w:r>
      <w:r w:rsidRPr="00E62FE6">
        <w:t>each</w:t>
      </w:r>
      <w:r w:rsidR="008243CA">
        <w:t xml:space="preserve"> </w:t>
      </w:r>
      <w:r w:rsidRPr="00E62FE6">
        <w:t>signatory</w:t>
      </w:r>
      <w:r w:rsidR="008243CA">
        <w:t xml:space="preserve"> </w:t>
      </w:r>
      <w:r w:rsidRPr="00E62FE6">
        <w:t>institution</w:t>
      </w:r>
      <w:r w:rsidR="008243CA">
        <w:t xml:space="preserve"> </w:t>
      </w:r>
      <w:r w:rsidRPr="00E62FE6">
        <w:t>in</w:t>
      </w:r>
      <w:r w:rsidR="008243CA">
        <w:t xml:space="preserve"> </w:t>
      </w:r>
      <w:r w:rsidRPr="00E62FE6">
        <w:t>the</w:t>
      </w:r>
      <w:r w:rsidR="008243CA">
        <w:t xml:space="preserve"> </w:t>
      </w:r>
      <w:r w:rsidRPr="00E62FE6">
        <w:t>context</w:t>
      </w:r>
      <w:r w:rsidR="008243CA">
        <w:t xml:space="preserve"> </w:t>
      </w:r>
      <w:r w:rsidRPr="00E62FE6">
        <w:t>of</w:t>
      </w:r>
      <w:r w:rsidR="008243CA">
        <w:t xml:space="preserve"> </w:t>
      </w:r>
      <w:r w:rsidRPr="00E62FE6">
        <w:t>its</w:t>
      </w:r>
      <w:r w:rsidR="008243CA">
        <w:t xml:space="preserve"> </w:t>
      </w:r>
      <w:r w:rsidRPr="00E62FE6">
        <w:t>functions</w:t>
      </w:r>
      <w:r w:rsidR="008243CA">
        <w:t xml:space="preserve"> </w:t>
      </w:r>
      <w:r w:rsidRPr="00E62FE6">
        <w:t>and</w:t>
      </w:r>
      <w:r w:rsidR="008243CA">
        <w:t xml:space="preserve"> </w:t>
      </w:r>
      <w:r w:rsidRPr="00E62FE6">
        <w:t>powers;</w:t>
      </w:r>
      <w:r w:rsidR="008243CA">
        <w:t xml:space="preserve"> </w:t>
      </w:r>
      <w:r w:rsidRPr="00E62FE6">
        <w:t>(c)</w:t>
      </w:r>
      <w:r w:rsidR="008243CA">
        <w:t xml:space="preserve"> </w:t>
      </w:r>
      <w:r w:rsidRPr="00E62FE6">
        <w:t>to</w:t>
      </w:r>
      <w:r w:rsidR="008243CA">
        <w:t xml:space="preserve"> </w:t>
      </w:r>
      <w:r w:rsidRPr="00E62FE6">
        <w:t>propose</w:t>
      </w:r>
      <w:r w:rsidR="008243CA">
        <w:t xml:space="preserve"> </w:t>
      </w:r>
      <w:r w:rsidRPr="00E62FE6">
        <w:t>the</w:t>
      </w:r>
      <w:r w:rsidR="008243CA">
        <w:t xml:space="preserve"> </w:t>
      </w:r>
      <w:r w:rsidRPr="00E62FE6">
        <w:t>measures</w:t>
      </w:r>
      <w:r w:rsidR="008243CA">
        <w:t xml:space="preserve"> </w:t>
      </w:r>
      <w:r w:rsidRPr="00E62FE6">
        <w:t>and</w:t>
      </w:r>
      <w:r w:rsidR="008243CA">
        <w:t xml:space="preserve"> </w:t>
      </w:r>
      <w:r w:rsidRPr="00E62FE6">
        <w:t>programmes</w:t>
      </w:r>
      <w:r w:rsidR="008243CA">
        <w:t xml:space="preserve"> </w:t>
      </w:r>
      <w:r w:rsidRPr="00E62FE6">
        <w:t>of</w:t>
      </w:r>
      <w:r w:rsidR="008243CA">
        <w:t xml:space="preserve"> </w:t>
      </w:r>
      <w:r w:rsidRPr="00E62FE6">
        <w:t>action</w:t>
      </w:r>
      <w:r w:rsidR="008243CA">
        <w:t xml:space="preserve"> </w:t>
      </w:r>
      <w:r w:rsidRPr="00E62FE6">
        <w:t>deemed</w:t>
      </w:r>
      <w:r w:rsidR="008243CA">
        <w:t xml:space="preserve"> </w:t>
      </w:r>
      <w:r w:rsidRPr="00E62FE6">
        <w:t>necessary</w:t>
      </w:r>
      <w:r w:rsidR="008243CA">
        <w:t xml:space="preserve"> </w:t>
      </w:r>
      <w:r w:rsidRPr="00E62FE6">
        <w:t>to</w:t>
      </w:r>
      <w:r w:rsidR="008243CA">
        <w:t xml:space="preserve"> </w:t>
      </w:r>
      <w:r w:rsidRPr="00E62FE6">
        <w:t>the</w:t>
      </w:r>
      <w:r w:rsidR="008243CA">
        <w:t xml:space="preserve"> </w:t>
      </w:r>
      <w:r w:rsidRPr="00E62FE6">
        <w:t>respective</w:t>
      </w:r>
      <w:r w:rsidR="008243CA">
        <w:t xml:space="preserve"> </w:t>
      </w:r>
      <w:r w:rsidRPr="00E62FE6">
        <w:t>authorities;</w:t>
      </w:r>
      <w:r w:rsidR="008243CA">
        <w:t xml:space="preserve"> </w:t>
      </w:r>
      <w:r w:rsidRPr="00E62FE6">
        <w:t>(d)</w:t>
      </w:r>
      <w:r w:rsidR="008243CA">
        <w:t xml:space="preserve"> </w:t>
      </w:r>
      <w:r w:rsidRPr="00E62FE6">
        <w:t>to</w:t>
      </w:r>
      <w:r w:rsidR="008243CA">
        <w:t xml:space="preserve"> </w:t>
      </w:r>
      <w:r w:rsidRPr="00E62FE6">
        <w:t>report</w:t>
      </w:r>
      <w:r w:rsidR="008243CA">
        <w:t xml:space="preserve"> </w:t>
      </w:r>
      <w:r w:rsidRPr="00E62FE6">
        <w:t>to</w:t>
      </w:r>
      <w:r w:rsidR="008243CA">
        <w:t xml:space="preserve"> </w:t>
      </w:r>
      <w:r w:rsidRPr="00E62FE6">
        <w:t>the</w:t>
      </w:r>
      <w:r w:rsidR="008243CA">
        <w:t xml:space="preserve"> </w:t>
      </w:r>
      <w:r w:rsidRPr="00E62FE6">
        <w:t>authorities</w:t>
      </w:r>
      <w:r w:rsidR="008243CA">
        <w:t xml:space="preserve"> </w:t>
      </w:r>
      <w:r w:rsidRPr="00E62FE6">
        <w:t>of</w:t>
      </w:r>
      <w:r w:rsidR="008243CA">
        <w:t xml:space="preserve"> </w:t>
      </w:r>
      <w:r w:rsidRPr="00E62FE6">
        <w:t>the</w:t>
      </w:r>
      <w:r w:rsidR="008243CA">
        <w:t xml:space="preserve"> </w:t>
      </w:r>
      <w:r w:rsidRPr="00E62FE6">
        <w:t>signatory</w:t>
      </w:r>
      <w:r w:rsidR="008243CA">
        <w:t xml:space="preserve"> </w:t>
      </w:r>
      <w:r w:rsidRPr="00E62FE6">
        <w:t>institutions</w:t>
      </w:r>
      <w:r w:rsidR="008243CA">
        <w:t xml:space="preserve"> </w:t>
      </w:r>
      <w:r w:rsidRPr="00E62FE6">
        <w:t>on</w:t>
      </w:r>
      <w:r w:rsidR="008243CA">
        <w:t xml:space="preserve"> </w:t>
      </w:r>
      <w:r w:rsidRPr="00E62FE6">
        <w:t>all</w:t>
      </w:r>
      <w:r w:rsidR="008243CA">
        <w:t xml:space="preserve"> </w:t>
      </w:r>
      <w:r w:rsidRPr="00E62FE6">
        <w:t>matters</w:t>
      </w:r>
      <w:r w:rsidR="008243CA">
        <w:t xml:space="preserve"> </w:t>
      </w:r>
      <w:r w:rsidRPr="00E62FE6">
        <w:t>relevant</w:t>
      </w:r>
      <w:r w:rsidR="008243CA">
        <w:t xml:space="preserve"> </w:t>
      </w:r>
      <w:r w:rsidRPr="00E62FE6">
        <w:t>to</w:t>
      </w:r>
      <w:r w:rsidR="008243CA">
        <w:t xml:space="preserve"> </w:t>
      </w:r>
      <w:r w:rsidRPr="00E62FE6">
        <w:t>implementation</w:t>
      </w:r>
      <w:r w:rsidR="008243CA">
        <w:t xml:space="preserve"> </w:t>
      </w:r>
      <w:r w:rsidRPr="00E62FE6">
        <w:t>of</w:t>
      </w:r>
      <w:r w:rsidR="008243CA">
        <w:t xml:space="preserve"> </w:t>
      </w:r>
      <w:r w:rsidRPr="00E62FE6">
        <w:t>the</w:t>
      </w:r>
      <w:r w:rsidR="008243CA">
        <w:t xml:space="preserve"> </w:t>
      </w:r>
      <w:r w:rsidRPr="00E62FE6">
        <w:t>agreement;</w:t>
      </w:r>
      <w:r w:rsidR="008243CA">
        <w:t xml:space="preserve"> </w:t>
      </w:r>
      <w:r w:rsidRPr="00E62FE6">
        <w:t>and</w:t>
      </w:r>
      <w:r w:rsidR="008243CA">
        <w:t xml:space="preserve"> </w:t>
      </w:r>
      <w:r w:rsidRPr="00E62FE6">
        <w:t>(e)</w:t>
      </w:r>
      <w:r w:rsidR="008243CA">
        <w:t xml:space="preserve"> </w:t>
      </w:r>
      <w:r w:rsidRPr="00E62FE6">
        <w:t>draw</w:t>
      </w:r>
      <w:r w:rsidR="008243CA">
        <w:t xml:space="preserve"> </w:t>
      </w:r>
      <w:r w:rsidRPr="00E62FE6">
        <w:t>up</w:t>
      </w:r>
      <w:r w:rsidR="008243CA">
        <w:t xml:space="preserve"> </w:t>
      </w:r>
      <w:r w:rsidRPr="00E62FE6">
        <w:t>and</w:t>
      </w:r>
      <w:r w:rsidR="008243CA">
        <w:t xml:space="preserve"> </w:t>
      </w:r>
      <w:r w:rsidRPr="00E62FE6">
        <w:t>submit</w:t>
      </w:r>
      <w:r w:rsidR="008243CA">
        <w:t xml:space="preserve"> </w:t>
      </w:r>
      <w:r w:rsidRPr="00E62FE6">
        <w:t>to</w:t>
      </w:r>
      <w:r w:rsidR="008243CA">
        <w:t xml:space="preserve"> </w:t>
      </w:r>
      <w:r w:rsidRPr="00E62FE6">
        <w:t>the</w:t>
      </w:r>
      <w:r w:rsidR="008243CA">
        <w:t xml:space="preserve"> </w:t>
      </w:r>
      <w:r w:rsidRPr="00E62FE6">
        <w:t>parties</w:t>
      </w:r>
      <w:r w:rsidR="008243CA">
        <w:t xml:space="preserve"> </w:t>
      </w:r>
      <w:r w:rsidRPr="00E62FE6">
        <w:t>an</w:t>
      </w:r>
      <w:r w:rsidR="008243CA">
        <w:t xml:space="preserve"> </w:t>
      </w:r>
      <w:r w:rsidRPr="00E62FE6">
        <w:t>annual</w:t>
      </w:r>
      <w:r w:rsidR="008243CA">
        <w:t xml:space="preserve"> </w:t>
      </w:r>
      <w:r w:rsidRPr="00E62FE6">
        <w:t>progress</w:t>
      </w:r>
      <w:r w:rsidR="008243CA">
        <w:t xml:space="preserve"> </w:t>
      </w:r>
      <w:r w:rsidRPr="00E62FE6">
        <w:t>report</w:t>
      </w:r>
      <w:r w:rsidR="008243CA">
        <w:t xml:space="preserve"> </w:t>
      </w:r>
      <w:r w:rsidRPr="00E62FE6">
        <w:t>on</w:t>
      </w:r>
      <w:r w:rsidR="008243CA">
        <w:t xml:space="preserve"> </w:t>
      </w:r>
      <w:r w:rsidRPr="00E62FE6">
        <w:t>the</w:t>
      </w:r>
      <w:r w:rsidR="008243CA">
        <w:t xml:space="preserve"> </w:t>
      </w:r>
      <w:r w:rsidRPr="00E62FE6">
        <w:t>measures</w:t>
      </w:r>
      <w:r w:rsidR="008243CA">
        <w:t xml:space="preserve"> </w:t>
      </w:r>
      <w:r w:rsidRPr="00E62FE6">
        <w:t>implemented</w:t>
      </w:r>
      <w:r w:rsidR="008243CA">
        <w:t xml:space="preserve"> </w:t>
      </w:r>
      <w:r w:rsidRPr="00E62FE6">
        <w:t>and</w:t>
      </w:r>
      <w:r w:rsidR="008243CA">
        <w:t xml:space="preserve"> </w:t>
      </w:r>
      <w:r w:rsidRPr="00E62FE6">
        <w:t>the</w:t>
      </w:r>
      <w:r w:rsidR="008243CA">
        <w:t xml:space="preserve"> </w:t>
      </w:r>
      <w:r w:rsidRPr="00E62FE6">
        <w:t>outcome</w:t>
      </w:r>
      <w:r w:rsidR="008243CA">
        <w:t xml:space="preserve"> </w:t>
      </w:r>
      <w:r w:rsidRPr="00E62FE6">
        <w:t>thereof.</w:t>
      </w:r>
    </w:p>
    <w:p w:rsidR="003F7D03" w:rsidRPr="0007753D" w:rsidRDefault="003F7D03" w:rsidP="000C6D98">
      <w:pPr>
        <w:pStyle w:val="SingleTxtG"/>
        <w:rPr>
          <w:i/>
          <w:iCs/>
        </w:rPr>
      </w:pPr>
      <w:r w:rsidRPr="00E62FE6">
        <w:t>96.</w:t>
      </w:r>
      <w:r w:rsidRPr="00E62FE6">
        <w:tab/>
        <w:t>Paragraph</w:t>
      </w:r>
      <w:r w:rsidR="008243CA">
        <w:t xml:space="preserve"> </w:t>
      </w:r>
      <w:r w:rsidRPr="00E62FE6">
        <w:t>53:</w:t>
      </w:r>
      <w:r w:rsidR="008243CA">
        <w:t xml:space="preserve"> </w:t>
      </w:r>
      <w:r w:rsidRPr="0007753D">
        <w:rPr>
          <w:i/>
          <w:iCs/>
        </w:rPr>
        <w:t>The</w:t>
      </w:r>
      <w:r w:rsidR="008243CA" w:rsidRPr="0007753D">
        <w:rPr>
          <w:i/>
          <w:iCs/>
        </w:rPr>
        <w:t xml:space="preserve"> </w:t>
      </w:r>
      <w:r w:rsidRPr="0007753D">
        <w:rPr>
          <w:i/>
          <w:iCs/>
        </w:rPr>
        <w:t>Subcommittee</w:t>
      </w:r>
      <w:r w:rsidR="008243CA" w:rsidRPr="0007753D">
        <w:rPr>
          <w:i/>
          <w:iCs/>
        </w:rPr>
        <w:t xml:space="preserve"> </w:t>
      </w:r>
      <w:r w:rsidRPr="0007753D">
        <w:rPr>
          <w:i/>
          <w:iCs/>
        </w:rPr>
        <w:t>recommends</w:t>
      </w:r>
      <w:r w:rsidR="008243CA" w:rsidRPr="0007753D">
        <w:rPr>
          <w:i/>
          <w:iCs/>
        </w:rPr>
        <w:t xml:space="preserve"> </w:t>
      </w:r>
      <w:r w:rsidRPr="0007753D">
        <w:rPr>
          <w:i/>
          <w:iCs/>
        </w:rPr>
        <w:t>that,</w:t>
      </w:r>
      <w:r w:rsidR="008243CA" w:rsidRPr="0007753D">
        <w:rPr>
          <w:i/>
          <w:iCs/>
        </w:rPr>
        <w:t xml:space="preserve"> </w:t>
      </w:r>
      <w:r w:rsidRPr="0007753D">
        <w:rPr>
          <w:i/>
          <w:iCs/>
        </w:rPr>
        <w:t>following</w:t>
      </w:r>
      <w:r w:rsidR="008243CA" w:rsidRPr="0007753D">
        <w:rPr>
          <w:i/>
          <w:iCs/>
        </w:rPr>
        <w:t xml:space="preserve"> </w:t>
      </w:r>
      <w:r w:rsidRPr="0007753D">
        <w:rPr>
          <w:i/>
          <w:iCs/>
        </w:rPr>
        <w:t>their</w:t>
      </w:r>
      <w:r w:rsidR="008243CA" w:rsidRPr="0007753D">
        <w:rPr>
          <w:i/>
          <w:iCs/>
        </w:rPr>
        <w:t xml:space="preserve"> </w:t>
      </w:r>
      <w:r w:rsidRPr="0007753D">
        <w:rPr>
          <w:i/>
          <w:iCs/>
        </w:rPr>
        <w:t>arrest,</w:t>
      </w:r>
      <w:r w:rsidR="008243CA" w:rsidRPr="0007753D">
        <w:rPr>
          <w:i/>
          <w:iCs/>
        </w:rPr>
        <w:t xml:space="preserve"> </w:t>
      </w:r>
      <w:r w:rsidRPr="0007753D">
        <w:rPr>
          <w:i/>
          <w:iCs/>
        </w:rPr>
        <w:t>all</w:t>
      </w:r>
      <w:r w:rsidR="008243CA" w:rsidRPr="0007753D">
        <w:rPr>
          <w:i/>
          <w:iCs/>
        </w:rPr>
        <w:t xml:space="preserve"> </w:t>
      </w:r>
      <w:r w:rsidRPr="0007753D">
        <w:rPr>
          <w:i/>
          <w:iCs/>
        </w:rPr>
        <w:t>detainees</w:t>
      </w:r>
      <w:r w:rsidR="008243CA" w:rsidRPr="0007753D">
        <w:rPr>
          <w:i/>
          <w:iCs/>
        </w:rPr>
        <w:t xml:space="preserve"> </w:t>
      </w:r>
      <w:r w:rsidRPr="0007753D">
        <w:rPr>
          <w:i/>
          <w:iCs/>
        </w:rPr>
        <w:t>be</w:t>
      </w:r>
      <w:r w:rsidR="008243CA" w:rsidRPr="0007753D">
        <w:rPr>
          <w:i/>
          <w:iCs/>
        </w:rPr>
        <w:t xml:space="preserve"> </w:t>
      </w:r>
      <w:r w:rsidRPr="0007753D">
        <w:rPr>
          <w:i/>
          <w:iCs/>
        </w:rPr>
        <w:t>given</w:t>
      </w:r>
      <w:r w:rsidR="008243CA" w:rsidRPr="0007753D">
        <w:rPr>
          <w:i/>
          <w:iCs/>
        </w:rPr>
        <w:t xml:space="preserve"> </w:t>
      </w:r>
      <w:r w:rsidRPr="0007753D">
        <w:rPr>
          <w:i/>
          <w:iCs/>
        </w:rPr>
        <w:t>medical</w:t>
      </w:r>
      <w:r w:rsidR="008243CA" w:rsidRPr="0007753D">
        <w:rPr>
          <w:i/>
          <w:iCs/>
        </w:rPr>
        <w:t xml:space="preserve"> </w:t>
      </w:r>
      <w:r w:rsidRPr="0007753D">
        <w:rPr>
          <w:i/>
          <w:iCs/>
        </w:rPr>
        <w:t>examinations</w:t>
      </w:r>
      <w:r w:rsidR="008243CA" w:rsidRPr="0007753D">
        <w:rPr>
          <w:i/>
          <w:iCs/>
        </w:rPr>
        <w:t xml:space="preserve"> </w:t>
      </w:r>
      <w:r w:rsidRPr="0007753D">
        <w:rPr>
          <w:i/>
          <w:iCs/>
        </w:rPr>
        <w:t>in</w:t>
      </w:r>
      <w:r w:rsidR="008243CA" w:rsidRPr="0007753D">
        <w:rPr>
          <w:i/>
          <w:iCs/>
        </w:rPr>
        <w:t xml:space="preserve"> </w:t>
      </w:r>
      <w:r w:rsidRPr="0007753D">
        <w:rPr>
          <w:i/>
          <w:iCs/>
        </w:rPr>
        <w:t>a</w:t>
      </w:r>
      <w:r w:rsidR="008243CA" w:rsidRPr="0007753D">
        <w:rPr>
          <w:i/>
          <w:iCs/>
        </w:rPr>
        <w:t xml:space="preserve"> </w:t>
      </w:r>
      <w:r w:rsidRPr="0007753D">
        <w:rPr>
          <w:i/>
          <w:iCs/>
        </w:rPr>
        <w:t>public</w:t>
      </w:r>
      <w:r w:rsidR="008243CA" w:rsidRPr="0007753D">
        <w:rPr>
          <w:i/>
          <w:iCs/>
        </w:rPr>
        <w:t xml:space="preserve"> </w:t>
      </w:r>
      <w:r w:rsidRPr="0007753D">
        <w:rPr>
          <w:i/>
          <w:iCs/>
        </w:rPr>
        <w:t>health</w:t>
      </w:r>
      <w:r w:rsidR="008243CA" w:rsidRPr="0007753D">
        <w:rPr>
          <w:i/>
          <w:iCs/>
        </w:rPr>
        <w:t xml:space="preserve"> </w:t>
      </w:r>
      <w:r w:rsidRPr="0007753D">
        <w:rPr>
          <w:i/>
          <w:iCs/>
        </w:rPr>
        <w:t>institution</w:t>
      </w:r>
      <w:r w:rsidR="008243CA" w:rsidRPr="0007753D">
        <w:rPr>
          <w:i/>
          <w:iCs/>
        </w:rPr>
        <w:t xml:space="preserve"> </w:t>
      </w:r>
      <w:r w:rsidRPr="0007753D">
        <w:rPr>
          <w:i/>
          <w:iCs/>
        </w:rPr>
        <w:t>as</w:t>
      </w:r>
      <w:r w:rsidR="008243CA" w:rsidRPr="0007753D">
        <w:rPr>
          <w:i/>
          <w:iCs/>
        </w:rPr>
        <w:t xml:space="preserve"> </w:t>
      </w:r>
      <w:r w:rsidRPr="0007753D">
        <w:rPr>
          <w:i/>
          <w:iCs/>
        </w:rPr>
        <w:t>a</w:t>
      </w:r>
      <w:r w:rsidR="008243CA" w:rsidRPr="0007753D">
        <w:rPr>
          <w:i/>
          <w:iCs/>
        </w:rPr>
        <w:t xml:space="preserve"> </w:t>
      </w:r>
      <w:r w:rsidRPr="0007753D">
        <w:rPr>
          <w:i/>
          <w:iCs/>
        </w:rPr>
        <w:t>matter</w:t>
      </w:r>
      <w:r w:rsidR="008243CA" w:rsidRPr="0007753D">
        <w:rPr>
          <w:i/>
          <w:iCs/>
        </w:rPr>
        <w:t xml:space="preserve"> </w:t>
      </w:r>
      <w:r w:rsidRPr="0007753D">
        <w:rPr>
          <w:i/>
          <w:iCs/>
        </w:rPr>
        <w:t>of</w:t>
      </w:r>
      <w:r w:rsidR="008243CA" w:rsidRPr="0007753D">
        <w:rPr>
          <w:i/>
          <w:iCs/>
        </w:rPr>
        <w:t xml:space="preserve"> </w:t>
      </w:r>
      <w:r w:rsidRPr="0007753D">
        <w:rPr>
          <w:i/>
          <w:iCs/>
        </w:rPr>
        <w:t>course.</w:t>
      </w:r>
      <w:r w:rsidR="008243CA" w:rsidRPr="0007753D">
        <w:rPr>
          <w:i/>
          <w:iCs/>
        </w:rPr>
        <w:t xml:space="preserve"> </w:t>
      </w:r>
      <w:r w:rsidRPr="0007753D">
        <w:rPr>
          <w:i/>
          <w:iCs/>
        </w:rPr>
        <w:t>The</w:t>
      </w:r>
      <w:r w:rsidR="008243CA" w:rsidRPr="0007753D">
        <w:rPr>
          <w:i/>
          <w:iCs/>
        </w:rPr>
        <w:t xml:space="preserve"> </w:t>
      </w:r>
      <w:r w:rsidRPr="0007753D">
        <w:rPr>
          <w:i/>
          <w:iCs/>
        </w:rPr>
        <w:t>examination</w:t>
      </w:r>
      <w:r w:rsidR="008243CA" w:rsidRPr="0007753D">
        <w:rPr>
          <w:i/>
          <w:iCs/>
        </w:rPr>
        <w:t xml:space="preserve"> </w:t>
      </w:r>
      <w:r w:rsidRPr="0007753D">
        <w:rPr>
          <w:i/>
          <w:iCs/>
        </w:rPr>
        <w:t>should</w:t>
      </w:r>
      <w:r w:rsidR="008243CA" w:rsidRPr="0007753D">
        <w:rPr>
          <w:i/>
          <w:iCs/>
        </w:rPr>
        <w:t xml:space="preserve"> </w:t>
      </w:r>
      <w:r w:rsidRPr="0007753D">
        <w:rPr>
          <w:i/>
          <w:iCs/>
        </w:rPr>
        <w:t>take</w:t>
      </w:r>
      <w:r w:rsidR="008243CA" w:rsidRPr="0007753D">
        <w:rPr>
          <w:i/>
          <w:iCs/>
        </w:rPr>
        <w:t xml:space="preserve"> </w:t>
      </w:r>
      <w:r w:rsidRPr="0007753D">
        <w:rPr>
          <w:i/>
          <w:iCs/>
        </w:rPr>
        <w:t>place</w:t>
      </w:r>
      <w:r w:rsidR="008243CA" w:rsidRPr="0007753D">
        <w:rPr>
          <w:i/>
          <w:iCs/>
        </w:rPr>
        <w:t xml:space="preserve"> </w:t>
      </w:r>
      <w:r w:rsidRPr="0007753D">
        <w:rPr>
          <w:i/>
          <w:iCs/>
        </w:rPr>
        <w:t>in</w:t>
      </w:r>
      <w:r w:rsidR="008243CA" w:rsidRPr="0007753D">
        <w:rPr>
          <w:i/>
          <w:iCs/>
        </w:rPr>
        <w:t xml:space="preserve"> </w:t>
      </w:r>
      <w:r w:rsidRPr="0007753D">
        <w:rPr>
          <w:i/>
          <w:iCs/>
        </w:rPr>
        <w:t>private,</w:t>
      </w:r>
      <w:r w:rsidR="008243CA" w:rsidRPr="0007753D">
        <w:rPr>
          <w:i/>
          <w:iCs/>
        </w:rPr>
        <w:t xml:space="preserve"> </w:t>
      </w:r>
      <w:r w:rsidRPr="0007753D">
        <w:rPr>
          <w:i/>
          <w:iCs/>
        </w:rPr>
        <w:t>and</w:t>
      </w:r>
      <w:r w:rsidR="008243CA" w:rsidRPr="0007753D">
        <w:rPr>
          <w:i/>
          <w:iCs/>
        </w:rPr>
        <w:t xml:space="preserve"> </w:t>
      </w:r>
      <w:r w:rsidRPr="0007753D">
        <w:rPr>
          <w:i/>
          <w:iCs/>
        </w:rPr>
        <w:t>the</w:t>
      </w:r>
      <w:r w:rsidR="008243CA" w:rsidRPr="0007753D">
        <w:rPr>
          <w:i/>
          <w:iCs/>
        </w:rPr>
        <w:t xml:space="preserve"> </w:t>
      </w:r>
      <w:r w:rsidRPr="0007753D">
        <w:rPr>
          <w:i/>
          <w:iCs/>
        </w:rPr>
        <w:t>health</w:t>
      </w:r>
      <w:r w:rsidR="008243CA" w:rsidRPr="0007753D">
        <w:rPr>
          <w:i/>
          <w:iCs/>
        </w:rPr>
        <w:t xml:space="preserve"> </w:t>
      </w:r>
      <w:r w:rsidRPr="0007753D">
        <w:rPr>
          <w:i/>
          <w:iCs/>
        </w:rPr>
        <w:t>record</w:t>
      </w:r>
      <w:r w:rsidR="008243CA" w:rsidRPr="0007753D">
        <w:rPr>
          <w:i/>
          <w:iCs/>
        </w:rPr>
        <w:t xml:space="preserve"> </w:t>
      </w:r>
      <w:r w:rsidRPr="0007753D">
        <w:rPr>
          <w:i/>
          <w:iCs/>
        </w:rPr>
        <w:t>should</w:t>
      </w:r>
      <w:r w:rsidR="008243CA" w:rsidRPr="0007753D">
        <w:rPr>
          <w:i/>
          <w:iCs/>
        </w:rPr>
        <w:t xml:space="preserve"> </w:t>
      </w:r>
      <w:r w:rsidRPr="0007753D">
        <w:rPr>
          <w:i/>
          <w:iCs/>
        </w:rPr>
        <w:t>be</w:t>
      </w:r>
      <w:r w:rsidR="008243CA" w:rsidRPr="0007753D">
        <w:rPr>
          <w:i/>
          <w:iCs/>
        </w:rPr>
        <w:t xml:space="preserve"> </w:t>
      </w:r>
      <w:r w:rsidRPr="0007753D">
        <w:rPr>
          <w:i/>
          <w:iCs/>
        </w:rPr>
        <w:t>filled</w:t>
      </w:r>
      <w:r w:rsidR="008243CA" w:rsidRPr="0007753D">
        <w:rPr>
          <w:i/>
          <w:iCs/>
        </w:rPr>
        <w:t xml:space="preserve"> </w:t>
      </w:r>
      <w:r w:rsidRPr="0007753D">
        <w:rPr>
          <w:i/>
          <w:iCs/>
        </w:rPr>
        <w:t>in</w:t>
      </w:r>
      <w:r w:rsidR="008243CA" w:rsidRPr="0007753D">
        <w:rPr>
          <w:i/>
          <w:iCs/>
        </w:rPr>
        <w:t xml:space="preserve"> </w:t>
      </w:r>
      <w:r w:rsidRPr="0007753D">
        <w:rPr>
          <w:i/>
          <w:iCs/>
        </w:rPr>
        <w:t>by</w:t>
      </w:r>
      <w:r w:rsidR="008243CA" w:rsidRPr="0007753D">
        <w:rPr>
          <w:i/>
          <w:iCs/>
        </w:rPr>
        <w:t xml:space="preserve"> </w:t>
      </w:r>
      <w:r w:rsidRPr="0007753D">
        <w:rPr>
          <w:i/>
          <w:iCs/>
        </w:rPr>
        <w:t>health-care</w:t>
      </w:r>
      <w:r w:rsidR="008243CA" w:rsidRPr="0007753D">
        <w:rPr>
          <w:i/>
          <w:iCs/>
        </w:rPr>
        <w:t xml:space="preserve"> </w:t>
      </w:r>
      <w:r w:rsidRPr="0007753D">
        <w:rPr>
          <w:i/>
          <w:iCs/>
        </w:rPr>
        <w:t>staff.</w:t>
      </w:r>
      <w:r w:rsidR="008243CA" w:rsidRPr="0007753D">
        <w:rPr>
          <w:i/>
          <w:iCs/>
        </w:rPr>
        <w:t xml:space="preserve"> </w:t>
      </w:r>
      <w:r w:rsidRPr="0007753D">
        <w:rPr>
          <w:i/>
          <w:iCs/>
        </w:rPr>
        <w:t>It</w:t>
      </w:r>
      <w:r w:rsidR="008243CA" w:rsidRPr="0007753D">
        <w:rPr>
          <w:i/>
          <w:iCs/>
        </w:rPr>
        <w:t xml:space="preserve"> </w:t>
      </w:r>
      <w:r w:rsidRPr="0007753D">
        <w:rPr>
          <w:i/>
          <w:iCs/>
        </w:rPr>
        <w:t>also</w:t>
      </w:r>
      <w:r w:rsidR="008243CA" w:rsidRPr="0007753D">
        <w:rPr>
          <w:i/>
          <w:iCs/>
        </w:rPr>
        <w:t xml:space="preserve"> </w:t>
      </w:r>
      <w:r w:rsidRPr="0007753D">
        <w:rPr>
          <w:i/>
          <w:iCs/>
        </w:rPr>
        <w:t>recommends</w:t>
      </w:r>
      <w:r w:rsidR="008243CA" w:rsidRPr="0007753D">
        <w:rPr>
          <w:i/>
          <w:iCs/>
        </w:rPr>
        <w:t xml:space="preserve"> </w:t>
      </w:r>
      <w:r w:rsidRPr="0007753D">
        <w:rPr>
          <w:i/>
          <w:iCs/>
        </w:rPr>
        <w:t>that:</w:t>
      </w:r>
      <w:r w:rsidR="008243CA" w:rsidRPr="0007753D">
        <w:rPr>
          <w:i/>
          <w:iCs/>
        </w:rPr>
        <w:t xml:space="preserve"> </w:t>
      </w:r>
      <w:r w:rsidRPr="0007753D">
        <w:rPr>
          <w:i/>
          <w:iCs/>
        </w:rPr>
        <w:t>standard</w:t>
      </w:r>
      <w:r w:rsidR="008243CA" w:rsidRPr="0007753D">
        <w:rPr>
          <w:i/>
          <w:iCs/>
        </w:rPr>
        <w:t xml:space="preserve"> </w:t>
      </w:r>
      <w:r w:rsidRPr="0007753D">
        <w:rPr>
          <w:i/>
          <w:iCs/>
        </w:rPr>
        <w:t>operating</w:t>
      </w:r>
      <w:r w:rsidR="008243CA" w:rsidRPr="0007753D">
        <w:rPr>
          <w:i/>
          <w:iCs/>
        </w:rPr>
        <w:t xml:space="preserve"> </w:t>
      </w:r>
      <w:r w:rsidRPr="0007753D">
        <w:rPr>
          <w:i/>
          <w:iCs/>
        </w:rPr>
        <w:t>procedures</w:t>
      </w:r>
      <w:r w:rsidR="008243CA" w:rsidRPr="0007753D">
        <w:rPr>
          <w:i/>
          <w:iCs/>
        </w:rPr>
        <w:t xml:space="preserve"> </w:t>
      </w:r>
      <w:r w:rsidRPr="0007753D">
        <w:rPr>
          <w:i/>
          <w:iCs/>
        </w:rPr>
        <w:t>be</w:t>
      </w:r>
      <w:r w:rsidR="008243CA" w:rsidRPr="0007753D">
        <w:rPr>
          <w:i/>
          <w:iCs/>
        </w:rPr>
        <w:t xml:space="preserve"> </w:t>
      </w:r>
      <w:r w:rsidRPr="0007753D">
        <w:rPr>
          <w:i/>
          <w:iCs/>
        </w:rPr>
        <w:t>established</w:t>
      </w:r>
      <w:r w:rsidR="008243CA" w:rsidRPr="0007753D">
        <w:rPr>
          <w:i/>
          <w:iCs/>
        </w:rPr>
        <w:t xml:space="preserve"> </w:t>
      </w:r>
      <w:r w:rsidRPr="0007753D">
        <w:rPr>
          <w:i/>
          <w:iCs/>
        </w:rPr>
        <w:t>for</w:t>
      </w:r>
      <w:r w:rsidR="008243CA" w:rsidRPr="0007753D">
        <w:rPr>
          <w:i/>
          <w:iCs/>
        </w:rPr>
        <w:t xml:space="preserve"> </w:t>
      </w:r>
      <w:r w:rsidRPr="0007753D">
        <w:rPr>
          <w:i/>
          <w:iCs/>
        </w:rPr>
        <w:t>these</w:t>
      </w:r>
      <w:r w:rsidR="008243CA" w:rsidRPr="0007753D">
        <w:rPr>
          <w:i/>
          <w:iCs/>
        </w:rPr>
        <w:t xml:space="preserve"> </w:t>
      </w:r>
      <w:r w:rsidRPr="0007753D">
        <w:rPr>
          <w:i/>
          <w:iCs/>
        </w:rPr>
        <w:t>examinations,</w:t>
      </w:r>
      <w:r w:rsidR="008243CA" w:rsidRPr="0007753D">
        <w:rPr>
          <w:i/>
          <w:iCs/>
        </w:rPr>
        <w:t xml:space="preserve"> </w:t>
      </w:r>
      <w:r w:rsidRPr="0007753D">
        <w:rPr>
          <w:i/>
          <w:iCs/>
        </w:rPr>
        <w:t>with</w:t>
      </w:r>
      <w:r w:rsidR="008243CA" w:rsidRPr="0007753D">
        <w:rPr>
          <w:i/>
          <w:iCs/>
        </w:rPr>
        <w:t xml:space="preserve"> </w:t>
      </w:r>
      <w:r w:rsidRPr="0007753D">
        <w:rPr>
          <w:i/>
          <w:iCs/>
        </w:rPr>
        <w:t>particular</w:t>
      </w:r>
      <w:r w:rsidR="008243CA" w:rsidRPr="0007753D">
        <w:rPr>
          <w:i/>
          <w:iCs/>
        </w:rPr>
        <w:t xml:space="preserve"> </w:t>
      </w:r>
      <w:r w:rsidRPr="0007753D">
        <w:rPr>
          <w:i/>
          <w:iCs/>
        </w:rPr>
        <w:t>emphasis</w:t>
      </w:r>
      <w:r w:rsidR="008243CA" w:rsidRPr="0007753D">
        <w:rPr>
          <w:i/>
          <w:iCs/>
        </w:rPr>
        <w:t xml:space="preserve"> </w:t>
      </w:r>
      <w:r w:rsidRPr="0007753D">
        <w:rPr>
          <w:i/>
          <w:iCs/>
        </w:rPr>
        <w:t>being</w:t>
      </w:r>
      <w:r w:rsidR="008243CA" w:rsidRPr="0007753D">
        <w:rPr>
          <w:i/>
          <w:iCs/>
        </w:rPr>
        <w:t xml:space="preserve"> </w:t>
      </w:r>
      <w:r w:rsidRPr="0007753D">
        <w:rPr>
          <w:i/>
          <w:iCs/>
        </w:rPr>
        <w:t>placed</w:t>
      </w:r>
      <w:r w:rsidR="008243CA" w:rsidRPr="0007753D">
        <w:rPr>
          <w:i/>
          <w:iCs/>
        </w:rPr>
        <w:t xml:space="preserve"> </w:t>
      </w:r>
      <w:r w:rsidRPr="0007753D">
        <w:rPr>
          <w:i/>
          <w:iCs/>
        </w:rPr>
        <w:t>on</w:t>
      </w:r>
      <w:r w:rsidR="008243CA" w:rsidRPr="0007753D">
        <w:rPr>
          <w:i/>
          <w:iCs/>
        </w:rPr>
        <w:t xml:space="preserve"> </w:t>
      </w:r>
      <w:r w:rsidRPr="0007753D">
        <w:rPr>
          <w:i/>
          <w:iCs/>
        </w:rPr>
        <w:t>the</w:t>
      </w:r>
      <w:r w:rsidR="008243CA" w:rsidRPr="0007753D">
        <w:rPr>
          <w:i/>
          <w:iCs/>
        </w:rPr>
        <w:t xml:space="preserve"> </w:t>
      </w:r>
      <w:r w:rsidRPr="0007753D">
        <w:rPr>
          <w:i/>
          <w:iCs/>
        </w:rPr>
        <w:t>proactive</w:t>
      </w:r>
      <w:r w:rsidR="008243CA" w:rsidRPr="0007753D">
        <w:rPr>
          <w:i/>
          <w:iCs/>
        </w:rPr>
        <w:t xml:space="preserve"> </w:t>
      </w:r>
      <w:r w:rsidRPr="0007753D">
        <w:rPr>
          <w:i/>
          <w:iCs/>
        </w:rPr>
        <w:t>detection</w:t>
      </w:r>
      <w:r w:rsidR="008243CA" w:rsidRPr="0007753D">
        <w:rPr>
          <w:i/>
          <w:iCs/>
        </w:rPr>
        <w:t xml:space="preserve"> </w:t>
      </w:r>
      <w:r w:rsidRPr="0007753D">
        <w:rPr>
          <w:i/>
          <w:iCs/>
        </w:rPr>
        <w:t>of</w:t>
      </w:r>
      <w:r w:rsidR="008243CA" w:rsidRPr="0007753D">
        <w:rPr>
          <w:i/>
          <w:iCs/>
        </w:rPr>
        <w:t xml:space="preserve"> </w:t>
      </w:r>
      <w:r w:rsidRPr="0007753D">
        <w:rPr>
          <w:i/>
          <w:iCs/>
        </w:rPr>
        <w:t>injuries,</w:t>
      </w:r>
      <w:r w:rsidR="008243CA" w:rsidRPr="0007753D">
        <w:rPr>
          <w:i/>
          <w:iCs/>
        </w:rPr>
        <w:t xml:space="preserve"> </w:t>
      </w:r>
      <w:r w:rsidRPr="0007753D">
        <w:rPr>
          <w:i/>
          <w:iCs/>
        </w:rPr>
        <w:t>in</w:t>
      </w:r>
      <w:r w:rsidR="008243CA" w:rsidRPr="0007753D">
        <w:rPr>
          <w:i/>
          <w:iCs/>
        </w:rPr>
        <w:t xml:space="preserve"> </w:t>
      </w:r>
      <w:r w:rsidRPr="0007753D">
        <w:rPr>
          <w:i/>
          <w:iCs/>
        </w:rPr>
        <w:t>accordance</w:t>
      </w:r>
      <w:r w:rsidR="008243CA" w:rsidRPr="0007753D">
        <w:rPr>
          <w:i/>
          <w:iCs/>
        </w:rPr>
        <w:t xml:space="preserve"> </w:t>
      </w:r>
      <w:r w:rsidRPr="0007753D">
        <w:rPr>
          <w:i/>
          <w:iCs/>
        </w:rPr>
        <w:t>with</w:t>
      </w:r>
      <w:r w:rsidR="008243CA" w:rsidRPr="0007753D">
        <w:rPr>
          <w:i/>
          <w:iCs/>
        </w:rPr>
        <w:t xml:space="preserve"> </w:t>
      </w:r>
      <w:r w:rsidRPr="0007753D">
        <w:rPr>
          <w:i/>
          <w:iCs/>
        </w:rPr>
        <w:t>the</w:t>
      </w:r>
      <w:r w:rsidR="008243CA" w:rsidRPr="0007753D">
        <w:rPr>
          <w:i/>
          <w:iCs/>
        </w:rPr>
        <w:t xml:space="preserve"> </w:t>
      </w:r>
      <w:r w:rsidRPr="0007753D">
        <w:rPr>
          <w:i/>
          <w:iCs/>
        </w:rPr>
        <w:t>Istanbul</w:t>
      </w:r>
      <w:r w:rsidR="008243CA" w:rsidRPr="0007753D">
        <w:rPr>
          <w:i/>
          <w:iCs/>
        </w:rPr>
        <w:t xml:space="preserve"> </w:t>
      </w:r>
      <w:r w:rsidRPr="0007753D">
        <w:rPr>
          <w:i/>
          <w:iCs/>
        </w:rPr>
        <w:t>Protocol;</w:t>
      </w:r>
      <w:r w:rsidR="008243CA" w:rsidRPr="0007753D">
        <w:rPr>
          <w:i/>
          <w:iCs/>
        </w:rPr>
        <w:t xml:space="preserve"> </w:t>
      </w:r>
      <w:r w:rsidRPr="0007753D">
        <w:rPr>
          <w:i/>
          <w:iCs/>
        </w:rPr>
        <w:t>that</w:t>
      </w:r>
      <w:r w:rsidR="008243CA" w:rsidRPr="0007753D">
        <w:rPr>
          <w:i/>
          <w:iCs/>
        </w:rPr>
        <w:t xml:space="preserve"> </w:t>
      </w:r>
      <w:r w:rsidRPr="0007753D">
        <w:rPr>
          <w:i/>
          <w:iCs/>
        </w:rPr>
        <w:t>there</w:t>
      </w:r>
      <w:r w:rsidR="008243CA" w:rsidRPr="0007753D">
        <w:rPr>
          <w:i/>
          <w:iCs/>
        </w:rPr>
        <w:t xml:space="preserve"> </w:t>
      </w:r>
      <w:r w:rsidRPr="0007753D">
        <w:rPr>
          <w:i/>
          <w:iCs/>
        </w:rPr>
        <w:t>be</w:t>
      </w:r>
      <w:r w:rsidR="008243CA" w:rsidRPr="0007753D">
        <w:rPr>
          <w:i/>
          <w:iCs/>
        </w:rPr>
        <w:t xml:space="preserve"> </w:t>
      </w:r>
      <w:r w:rsidRPr="0007753D">
        <w:rPr>
          <w:i/>
          <w:iCs/>
        </w:rPr>
        <w:t>a</w:t>
      </w:r>
      <w:r w:rsidR="008243CA" w:rsidRPr="0007753D">
        <w:rPr>
          <w:i/>
          <w:iCs/>
        </w:rPr>
        <w:t xml:space="preserve"> </w:t>
      </w:r>
      <w:r w:rsidRPr="0007753D">
        <w:rPr>
          <w:i/>
          <w:iCs/>
        </w:rPr>
        <w:t>written</w:t>
      </w:r>
      <w:r w:rsidR="008243CA" w:rsidRPr="0007753D">
        <w:rPr>
          <w:i/>
          <w:iCs/>
        </w:rPr>
        <w:t xml:space="preserve"> </w:t>
      </w:r>
      <w:r w:rsidRPr="0007753D">
        <w:rPr>
          <w:i/>
          <w:iCs/>
        </w:rPr>
        <w:t>attestation</w:t>
      </w:r>
      <w:r w:rsidR="008243CA" w:rsidRPr="0007753D">
        <w:rPr>
          <w:i/>
          <w:iCs/>
        </w:rPr>
        <w:t xml:space="preserve"> </w:t>
      </w:r>
      <w:r w:rsidRPr="0007753D">
        <w:rPr>
          <w:i/>
          <w:iCs/>
        </w:rPr>
        <w:t>of</w:t>
      </w:r>
      <w:r w:rsidR="008243CA" w:rsidRPr="0007753D">
        <w:rPr>
          <w:i/>
          <w:iCs/>
        </w:rPr>
        <w:t xml:space="preserve"> </w:t>
      </w:r>
      <w:r w:rsidRPr="0007753D">
        <w:rPr>
          <w:i/>
          <w:iCs/>
        </w:rPr>
        <w:t>the</w:t>
      </w:r>
      <w:r w:rsidR="008243CA" w:rsidRPr="0007753D">
        <w:rPr>
          <w:i/>
          <w:iCs/>
        </w:rPr>
        <w:t xml:space="preserve"> </w:t>
      </w:r>
      <w:r w:rsidRPr="0007753D">
        <w:rPr>
          <w:i/>
          <w:iCs/>
        </w:rPr>
        <w:t>detainee-patient</w:t>
      </w:r>
      <w:r w:rsidR="00116F0B">
        <w:rPr>
          <w:i/>
          <w:iCs/>
        </w:rPr>
        <w:t>’</w:t>
      </w:r>
      <w:r w:rsidRPr="0007753D">
        <w:rPr>
          <w:i/>
          <w:iCs/>
        </w:rPr>
        <w:t>s</w:t>
      </w:r>
      <w:r w:rsidR="008243CA" w:rsidRPr="0007753D">
        <w:rPr>
          <w:i/>
          <w:iCs/>
        </w:rPr>
        <w:t xml:space="preserve"> </w:t>
      </w:r>
      <w:r w:rsidRPr="0007753D">
        <w:rPr>
          <w:i/>
          <w:iCs/>
        </w:rPr>
        <w:t>consent;</w:t>
      </w:r>
      <w:r w:rsidR="008243CA" w:rsidRPr="0007753D">
        <w:rPr>
          <w:i/>
          <w:iCs/>
        </w:rPr>
        <w:t xml:space="preserve"> </w:t>
      </w:r>
      <w:r w:rsidRPr="0007753D">
        <w:rPr>
          <w:i/>
          <w:iCs/>
        </w:rPr>
        <w:t>and</w:t>
      </w:r>
      <w:r w:rsidR="008243CA" w:rsidRPr="0007753D">
        <w:rPr>
          <w:i/>
          <w:iCs/>
        </w:rPr>
        <w:t xml:space="preserve"> </w:t>
      </w:r>
      <w:r w:rsidRPr="0007753D">
        <w:rPr>
          <w:i/>
          <w:iCs/>
        </w:rPr>
        <w:t>that</w:t>
      </w:r>
      <w:r w:rsidR="008243CA" w:rsidRPr="0007753D">
        <w:rPr>
          <w:i/>
          <w:iCs/>
        </w:rPr>
        <w:t xml:space="preserve"> </w:t>
      </w:r>
      <w:r w:rsidRPr="0007753D">
        <w:rPr>
          <w:i/>
          <w:iCs/>
        </w:rPr>
        <w:t>the</w:t>
      </w:r>
      <w:r w:rsidR="008243CA" w:rsidRPr="0007753D">
        <w:rPr>
          <w:i/>
          <w:iCs/>
        </w:rPr>
        <w:t xml:space="preserve"> </w:t>
      </w:r>
      <w:r w:rsidRPr="0007753D">
        <w:rPr>
          <w:i/>
          <w:iCs/>
        </w:rPr>
        <w:t>report,</w:t>
      </w:r>
      <w:r w:rsidR="008243CA" w:rsidRPr="0007753D">
        <w:rPr>
          <w:i/>
          <w:iCs/>
        </w:rPr>
        <w:t xml:space="preserve"> </w:t>
      </w:r>
      <w:r w:rsidRPr="0007753D">
        <w:rPr>
          <w:i/>
          <w:iCs/>
        </w:rPr>
        <w:t>in</w:t>
      </w:r>
      <w:r w:rsidR="008243CA" w:rsidRPr="0007753D">
        <w:rPr>
          <w:i/>
          <w:iCs/>
        </w:rPr>
        <w:t xml:space="preserve"> </w:t>
      </w:r>
      <w:r w:rsidRPr="0007753D">
        <w:rPr>
          <w:i/>
          <w:iCs/>
        </w:rPr>
        <w:t>accordance</w:t>
      </w:r>
      <w:r w:rsidR="008243CA" w:rsidRPr="0007753D">
        <w:rPr>
          <w:i/>
          <w:iCs/>
        </w:rPr>
        <w:t xml:space="preserve"> </w:t>
      </w:r>
      <w:r w:rsidRPr="0007753D">
        <w:rPr>
          <w:i/>
          <w:iCs/>
        </w:rPr>
        <w:t>with</w:t>
      </w:r>
      <w:r w:rsidR="008243CA" w:rsidRPr="0007753D">
        <w:rPr>
          <w:i/>
          <w:iCs/>
        </w:rPr>
        <w:t xml:space="preserve"> </w:t>
      </w:r>
      <w:r w:rsidRPr="0007753D">
        <w:rPr>
          <w:i/>
          <w:iCs/>
        </w:rPr>
        <w:t>the</w:t>
      </w:r>
      <w:r w:rsidR="008243CA" w:rsidRPr="0007753D">
        <w:rPr>
          <w:i/>
          <w:iCs/>
        </w:rPr>
        <w:t xml:space="preserve"> </w:t>
      </w:r>
      <w:r w:rsidRPr="0007753D">
        <w:rPr>
          <w:i/>
          <w:iCs/>
        </w:rPr>
        <w:t>need</w:t>
      </w:r>
      <w:r w:rsidR="008243CA" w:rsidRPr="0007753D">
        <w:rPr>
          <w:i/>
          <w:iCs/>
        </w:rPr>
        <w:t xml:space="preserve"> </w:t>
      </w:r>
      <w:r w:rsidRPr="0007753D">
        <w:rPr>
          <w:i/>
          <w:iCs/>
        </w:rPr>
        <w:t>to</w:t>
      </w:r>
      <w:r w:rsidR="008243CA" w:rsidRPr="0007753D">
        <w:rPr>
          <w:i/>
          <w:iCs/>
        </w:rPr>
        <w:t xml:space="preserve"> </w:t>
      </w:r>
      <w:r w:rsidRPr="0007753D">
        <w:rPr>
          <w:i/>
          <w:iCs/>
        </w:rPr>
        <w:t>preserve</w:t>
      </w:r>
      <w:r w:rsidR="008243CA" w:rsidRPr="0007753D">
        <w:rPr>
          <w:i/>
          <w:iCs/>
        </w:rPr>
        <w:t xml:space="preserve"> </w:t>
      </w:r>
      <w:r w:rsidRPr="0007753D">
        <w:rPr>
          <w:i/>
          <w:iCs/>
        </w:rPr>
        <w:t>confidentiality,</w:t>
      </w:r>
      <w:r w:rsidR="008243CA" w:rsidRPr="0007753D">
        <w:rPr>
          <w:i/>
          <w:iCs/>
        </w:rPr>
        <w:t xml:space="preserve"> </w:t>
      </w:r>
      <w:r w:rsidRPr="0007753D">
        <w:rPr>
          <w:i/>
          <w:iCs/>
        </w:rPr>
        <w:t>be</w:t>
      </w:r>
      <w:r w:rsidR="008243CA" w:rsidRPr="0007753D">
        <w:rPr>
          <w:i/>
          <w:iCs/>
        </w:rPr>
        <w:t xml:space="preserve"> </w:t>
      </w:r>
      <w:r w:rsidRPr="0007753D">
        <w:rPr>
          <w:i/>
          <w:iCs/>
        </w:rPr>
        <w:t>delivered</w:t>
      </w:r>
      <w:r w:rsidR="008243CA" w:rsidRPr="0007753D">
        <w:rPr>
          <w:i/>
          <w:iCs/>
        </w:rPr>
        <w:t xml:space="preserve"> </w:t>
      </w:r>
      <w:r w:rsidRPr="0007753D">
        <w:rPr>
          <w:i/>
          <w:iCs/>
        </w:rPr>
        <w:t>in</w:t>
      </w:r>
      <w:r w:rsidR="008243CA" w:rsidRPr="0007753D">
        <w:rPr>
          <w:i/>
          <w:iCs/>
        </w:rPr>
        <w:t xml:space="preserve"> </w:t>
      </w:r>
      <w:r w:rsidRPr="0007753D">
        <w:rPr>
          <w:i/>
          <w:iCs/>
        </w:rPr>
        <w:t>a</w:t>
      </w:r>
      <w:r w:rsidR="008243CA" w:rsidRPr="0007753D">
        <w:rPr>
          <w:i/>
          <w:iCs/>
        </w:rPr>
        <w:t xml:space="preserve"> </w:t>
      </w:r>
      <w:r w:rsidRPr="0007753D">
        <w:rPr>
          <w:i/>
          <w:iCs/>
        </w:rPr>
        <w:t>sealed</w:t>
      </w:r>
      <w:r w:rsidR="008243CA" w:rsidRPr="0007753D">
        <w:rPr>
          <w:i/>
          <w:iCs/>
        </w:rPr>
        <w:t xml:space="preserve"> </w:t>
      </w:r>
      <w:r w:rsidRPr="0007753D">
        <w:rPr>
          <w:i/>
          <w:iCs/>
        </w:rPr>
        <w:t>envelope</w:t>
      </w:r>
      <w:r w:rsidR="008243CA" w:rsidRPr="0007753D">
        <w:rPr>
          <w:i/>
          <w:iCs/>
        </w:rPr>
        <w:t xml:space="preserve"> </w:t>
      </w:r>
      <w:r w:rsidRPr="0007753D">
        <w:rPr>
          <w:i/>
          <w:iCs/>
        </w:rPr>
        <w:t>addressed</w:t>
      </w:r>
      <w:r w:rsidR="008243CA" w:rsidRPr="0007753D">
        <w:rPr>
          <w:i/>
          <w:iCs/>
        </w:rPr>
        <w:t xml:space="preserve"> </w:t>
      </w:r>
      <w:r w:rsidRPr="0007753D">
        <w:rPr>
          <w:i/>
          <w:iCs/>
        </w:rPr>
        <w:t>to</w:t>
      </w:r>
      <w:r w:rsidR="008243CA" w:rsidRPr="0007753D">
        <w:rPr>
          <w:i/>
          <w:iCs/>
        </w:rPr>
        <w:t xml:space="preserve"> </w:t>
      </w:r>
      <w:r w:rsidRPr="0007753D">
        <w:rPr>
          <w:i/>
          <w:iCs/>
        </w:rPr>
        <w:t>the</w:t>
      </w:r>
      <w:r w:rsidR="008243CA" w:rsidRPr="0007753D">
        <w:rPr>
          <w:i/>
          <w:iCs/>
        </w:rPr>
        <w:t xml:space="preserve"> </w:t>
      </w:r>
      <w:r w:rsidRPr="0007753D">
        <w:rPr>
          <w:i/>
          <w:iCs/>
        </w:rPr>
        <w:t>judge</w:t>
      </w:r>
      <w:r w:rsidR="008243CA" w:rsidRPr="0007753D">
        <w:rPr>
          <w:i/>
          <w:iCs/>
        </w:rPr>
        <w:t xml:space="preserve"> </w:t>
      </w:r>
      <w:r w:rsidRPr="0007753D">
        <w:rPr>
          <w:i/>
          <w:iCs/>
        </w:rPr>
        <w:t>responsible</w:t>
      </w:r>
      <w:r w:rsidR="008243CA" w:rsidRPr="0007753D">
        <w:rPr>
          <w:i/>
          <w:iCs/>
        </w:rPr>
        <w:t xml:space="preserve"> </w:t>
      </w:r>
      <w:r w:rsidRPr="0007753D">
        <w:rPr>
          <w:i/>
          <w:iCs/>
        </w:rPr>
        <w:t>for</w:t>
      </w:r>
      <w:r w:rsidR="008243CA" w:rsidRPr="0007753D">
        <w:rPr>
          <w:i/>
          <w:iCs/>
        </w:rPr>
        <w:t xml:space="preserve"> </w:t>
      </w:r>
      <w:r w:rsidRPr="0007753D">
        <w:rPr>
          <w:i/>
          <w:iCs/>
        </w:rPr>
        <w:t>procedural</w:t>
      </w:r>
      <w:r w:rsidR="008243CA" w:rsidRPr="0007753D">
        <w:rPr>
          <w:i/>
          <w:iCs/>
        </w:rPr>
        <w:t xml:space="preserve"> </w:t>
      </w:r>
      <w:r w:rsidRPr="0007753D">
        <w:rPr>
          <w:i/>
          <w:iCs/>
        </w:rPr>
        <w:t>safeguards.</w:t>
      </w:r>
      <w:r w:rsidR="008243CA" w:rsidRPr="0007753D">
        <w:rPr>
          <w:i/>
          <w:iCs/>
        </w:rPr>
        <w:t xml:space="preserve"> </w:t>
      </w:r>
      <w:r w:rsidRPr="0007753D">
        <w:rPr>
          <w:i/>
          <w:iCs/>
        </w:rPr>
        <w:t>The</w:t>
      </w:r>
      <w:r w:rsidR="008243CA" w:rsidRPr="0007753D">
        <w:rPr>
          <w:i/>
          <w:iCs/>
        </w:rPr>
        <w:t xml:space="preserve"> </w:t>
      </w:r>
      <w:r w:rsidRPr="0007753D">
        <w:rPr>
          <w:i/>
          <w:iCs/>
        </w:rPr>
        <w:t>health-care</w:t>
      </w:r>
      <w:r w:rsidR="008243CA" w:rsidRPr="0007753D">
        <w:rPr>
          <w:i/>
          <w:iCs/>
        </w:rPr>
        <w:t xml:space="preserve"> </w:t>
      </w:r>
      <w:r w:rsidRPr="0007753D">
        <w:rPr>
          <w:i/>
          <w:iCs/>
        </w:rPr>
        <w:t>system</w:t>
      </w:r>
      <w:r w:rsidR="008243CA" w:rsidRPr="0007753D">
        <w:rPr>
          <w:i/>
          <w:iCs/>
        </w:rPr>
        <w:t xml:space="preserve"> </w:t>
      </w:r>
      <w:r w:rsidRPr="0007753D">
        <w:rPr>
          <w:i/>
          <w:iCs/>
        </w:rPr>
        <w:t>is</w:t>
      </w:r>
      <w:r w:rsidR="008243CA" w:rsidRPr="0007753D">
        <w:rPr>
          <w:i/>
          <w:iCs/>
        </w:rPr>
        <w:t xml:space="preserve"> </w:t>
      </w:r>
      <w:r w:rsidRPr="0007753D">
        <w:rPr>
          <w:i/>
          <w:iCs/>
        </w:rPr>
        <w:t>also</w:t>
      </w:r>
      <w:r w:rsidR="008243CA" w:rsidRPr="0007753D">
        <w:rPr>
          <w:i/>
          <w:iCs/>
        </w:rPr>
        <w:t xml:space="preserve"> </w:t>
      </w:r>
      <w:r w:rsidRPr="0007753D">
        <w:rPr>
          <w:i/>
          <w:iCs/>
        </w:rPr>
        <w:t>urged</w:t>
      </w:r>
      <w:r w:rsidR="008243CA" w:rsidRPr="0007753D">
        <w:rPr>
          <w:i/>
          <w:iCs/>
        </w:rPr>
        <w:t xml:space="preserve"> </w:t>
      </w:r>
      <w:r w:rsidRPr="0007753D">
        <w:rPr>
          <w:i/>
          <w:iCs/>
        </w:rPr>
        <w:t>to</w:t>
      </w:r>
      <w:r w:rsidR="008243CA" w:rsidRPr="0007753D">
        <w:rPr>
          <w:i/>
          <w:iCs/>
        </w:rPr>
        <w:t xml:space="preserve"> </w:t>
      </w:r>
      <w:r w:rsidRPr="0007753D">
        <w:rPr>
          <w:i/>
          <w:iCs/>
        </w:rPr>
        <w:t>keep</w:t>
      </w:r>
      <w:r w:rsidR="008243CA" w:rsidRPr="0007753D">
        <w:rPr>
          <w:i/>
          <w:iCs/>
        </w:rPr>
        <w:t xml:space="preserve"> </w:t>
      </w:r>
      <w:r w:rsidRPr="0007753D">
        <w:rPr>
          <w:i/>
          <w:iCs/>
        </w:rPr>
        <w:t>a</w:t>
      </w:r>
      <w:r w:rsidR="008243CA" w:rsidRPr="0007753D">
        <w:rPr>
          <w:i/>
          <w:iCs/>
        </w:rPr>
        <w:t xml:space="preserve"> </w:t>
      </w:r>
      <w:r w:rsidRPr="0007753D">
        <w:rPr>
          <w:i/>
          <w:iCs/>
        </w:rPr>
        <w:t>record</w:t>
      </w:r>
      <w:r w:rsidR="008243CA" w:rsidRPr="0007753D">
        <w:rPr>
          <w:i/>
          <w:iCs/>
        </w:rPr>
        <w:t xml:space="preserve"> </w:t>
      </w:r>
      <w:r w:rsidRPr="0007753D">
        <w:rPr>
          <w:i/>
          <w:iCs/>
        </w:rPr>
        <w:t>of</w:t>
      </w:r>
      <w:r w:rsidR="008243CA" w:rsidRPr="0007753D">
        <w:rPr>
          <w:i/>
          <w:iCs/>
        </w:rPr>
        <w:t xml:space="preserve"> </w:t>
      </w:r>
      <w:r w:rsidRPr="0007753D">
        <w:rPr>
          <w:i/>
          <w:iCs/>
        </w:rPr>
        <w:t>injuries</w:t>
      </w:r>
      <w:r w:rsidR="008243CA" w:rsidRPr="0007753D">
        <w:rPr>
          <w:i/>
          <w:iCs/>
        </w:rPr>
        <w:t xml:space="preserve"> </w:t>
      </w:r>
      <w:r w:rsidRPr="0007753D">
        <w:rPr>
          <w:i/>
          <w:iCs/>
        </w:rPr>
        <w:t>identified</w:t>
      </w:r>
      <w:r w:rsidR="008243CA" w:rsidRPr="0007753D">
        <w:rPr>
          <w:i/>
          <w:iCs/>
        </w:rPr>
        <w:t xml:space="preserve"> </w:t>
      </w:r>
      <w:r w:rsidRPr="0007753D">
        <w:rPr>
          <w:i/>
          <w:iCs/>
        </w:rPr>
        <w:t>as</w:t>
      </w:r>
      <w:r w:rsidR="008243CA" w:rsidRPr="0007753D">
        <w:rPr>
          <w:i/>
          <w:iCs/>
        </w:rPr>
        <w:t xml:space="preserve"> </w:t>
      </w:r>
      <w:r w:rsidRPr="0007753D">
        <w:rPr>
          <w:i/>
          <w:iCs/>
        </w:rPr>
        <w:t>being</w:t>
      </w:r>
      <w:r w:rsidR="008243CA" w:rsidRPr="0007753D">
        <w:rPr>
          <w:i/>
          <w:iCs/>
        </w:rPr>
        <w:t xml:space="preserve"> </w:t>
      </w:r>
      <w:r w:rsidRPr="0007753D">
        <w:rPr>
          <w:i/>
          <w:iCs/>
        </w:rPr>
        <w:t>compatible</w:t>
      </w:r>
      <w:r w:rsidR="008243CA" w:rsidRPr="0007753D">
        <w:rPr>
          <w:i/>
          <w:iCs/>
        </w:rPr>
        <w:t xml:space="preserve"> </w:t>
      </w:r>
      <w:r w:rsidRPr="0007753D">
        <w:rPr>
          <w:i/>
          <w:iCs/>
        </w:rPr>
        <w:t>with</w:t>
      </w:r>
      <w:r w:rsidR="008243CA" w:rsidRPr="0007753D">
        <w:rPr>
          <w:i/>
          <w:iCs/>
        </w:rPr>
        <w:t xml:space="preserve"> </w:t>
      </w:r>
      <w:r w:rsidRPr="0007753D">
        <w:rPr>
          <w:i/>
          <w:iCs/>
        </w:rPr>
        <w:t>torture</w:t>
      </w:r>
      <w:r w:rsidR="008243CA" w:rsidRPr="0007753D">
        <w:rPr>
          <w:i/>
          <w:iCs/>
        </w:rPr>
        <w:t xml:space="preserve"> </w:t>
      </w:r>
      <w:r w:rsidRPr="0007753D">
        <w:rPr>
          <w:i/>
          <w:iCs/>
        </w:rPr>
        <w:t>and</w:t>
      </w:r>
      <w:r w:rsidR="008243CA" w:rsidRPr="0007753D">
        <w:rPr>
          <w:i/>
          <w:iCs/>
        </w:rPr>
        <w:t xml:space="preserve"> </w:t>
      </w:r>
      <w:r w:rsidRPr="0007753D">
        <w:rPr>
          <w:i/>
          <w:iCs/>
        </w:rPr>
        <w:t>ill-treatment</w:t>
      </w:r>
      <w:r w:rsidR="008243CA" w:rsidRPr="0007753D">
        <w:rPr>
          <w:i/>
          <w:iCs/>
        </w:rPr>
        <w:t xml:space="preserve"> </w:t>
      </w:r>
      <w:r w:rsidRPr="0007753D">
        <w:rPr>
          <w:i/>
          <w:iCs/>
        </w:rPr>
        <w:t>and</w:t>
      </w:r>
      <w:r w:rsidR="008243CA" w:rsidRPr="0007753D">
        <w:rPr>
          <w:i/>
          <w:iCs/>
        </w:rPr>
        <w:t xml:space="preserve"> </w:t>
      </w:r>
      <w:r w:rsidRPr="0007753D">
        <w:rPr>
          <w:i/>
          <w:iCs/>
        </w:rPr>
        <w:t>of</w:t>
      </w:r>
      <w:r w:rsidR="008243CA" w:rsidRPr="0007753D">
        <w:rPr>
          <w:i/>
          <w:iCs/>
        </w:rPr>
        <w:t xml:space="preserve"> </w:t>
      </w:r>
      <w:r w:rsidRPr="0007753D">
        <w:rPr>
          <w:i/>
          <w:iCs/>
        </w:rPr>
        <w:t>allegations</w:t>
      </w:r>
      <w:r w:rsidR="008243CA" w:rsidRPr="0007753D">
        <w:rPr>
          <w:i/>
          <w:iCs/>
        </w:rPr>
        <w:t xml:space="preserve"> </w:t>
      </w:r>
      <w:r w:rsidRPr="0007753D">
        <w:rPr>
          <w:i/>
          <w:iCs/>
        </w:rPr>
        <w:t>made</w:t>
      </w:r>
      <w:r w:rsidR="008243CA" w:rsidRPr="0007753D">
        <w:rPr>
          <w:i/>
          <w:iCs/>
        </w:rPr>
        <w:t xml:space="preserve"> </w:t>
      </w:r>
      <w:r w:rsidRPr="0007753D">
        <w:rPr>
          <w:i/>
          <w:iCs/>
        </w:rPr>
        <w:t>by</w:t>
      </w:r>
      <w:r w:rsidR="008243CA" w:rsidRPr="0007753D">
        <w:rPr>
          <w:i/>
          <w:iCs/>
        </w:rPr>
        <w:t xml:space="preserve"> </w:t>
      </w:r>
      <w:r w:rsidRPr="0007753D">
        <w:rPr>
          <w:i/>
          <w:iCs/>
        </w:rPr>
        <w:t>persons</w:t>
      </w:r>
      <w:r w:rsidR="008243CA" w:rsidRPr="0007753D">
        <w:rPr>
          <w:i/>
          <w:iCs/>
        </w:rPr>
        <w:t xml:space="preserve"> </w:t>
      </w:r>
      <w:r w:rsidRPr="0007753D">
        <w:rPr>
          <w:i/>
          <w:iCs/>
        </w:rPr>
        <w:t>deprived</w:t>
      </w:r>
      <w:r w:rsidR="008243CA" w:rsidRPr="0007753D">
        <w:rPr>
          <w:i/>
          <w:iCs/>
        </w:rPr>
        <w:t xml:space="preserve"> </w:t>
      </w:r>
      <w:r w:rsidRPr="0007753D">
        <w:rPr>
          <w:i/>
          <w:iCs/>
        </w:rPr>
        <w:t>of</w:t>
      </w:r>
      <w:r w:rsidR="008243CA" w:rsidRPr="0007753D">
        <w:rPr>
          <w:i/>
          <w:iCs/>
        </w:rPr>
        <w:t xml:space="preserve"> </w:t>
      </w:r>
      <w:r w:rsidRPr="0007753D">
        <w:rPr>
          <w:i/>
          <w:iCs/>
        </w:rPr>
        <w:t>their</w:t>
      </w:r>
      <w:r w:rsidR="008243CA" w:rsidRPr="0007753D">
        <w:rPr>
          <w:i/>
          <w:iCs/>
        </w:rPr>
        <w:t xml:space="preserve"> </w:t>
      </w:r>
      <w:r w:rsidRPr="0007753D">
        <w:rPr>
          <w:i/>
          <w:iCs/>
        </w:rPr>
        <w:t>liberty</w:t>
      </w:r>
      <w:r w:rsidR="008243CA" w:rsidRPr="0007753D">
        <w:rPr>
          <w:i/>
          <w:iCs/>
        </w:rPr>
        <w:t xml:space="preserve"> </w:t>
      </w:r>
      <w:r w:rsidRPr="0007753D">
        <w:rPr>
          <w:i/>
          <w:iCs/>
        </w:rPr>
        <w:t>who</w:t>
      </w:r>
      <w:r w:rsidR="008243CA" w:rsidRPr="0007753D">
        <w:rPr>
          <w:i/>
          <w:iCs/>
        </w:rPr>
        <w:t xml:space="preserve"> </w:t>
      </w:r>
      <w:r w:rsidRPr="0007753D">
        <w:rPr>
          <w:i/>
          <w:iCs/>
        </w:rPr>
        <w:t>have</w:t>
      </w:r>
      <w:r w:rsidR="008243CA" w:rsidRPr="0007753D">
        <w:rPr>
          <w:i/>
          <w:iCs/>
        </w:rPr>
        <w:t xml:space="preserve"> </w:t>
      </w:r>
      <w:r w:rsidRPr="0007753D">
        <w:rPr>
          <w:i/>
          <w:iCs/>
        </w:rPr>
        <w:t>been</w:t>
      </w:r>
      <w:r w:rsidR="008243CA" w:rsidRPr="0007753D">
        <w:rPr>
          <w:i/>
          <w:iCs/>
        </w:rPr>
        <w:t xml:space="preserve"> </w:t>
      </w:r>
      <w:r w:rsidRPr="0007753D">
        <w:rPr>
          <w:i/>
          <w:iCs/>
        </w:rPr>
        <w:t>examined.</w:t>
      </w:r>
    </w:p>
    <w:p w:rsidR="003F7D03" w:rsidRPr="00E62FE6" w:rsidRDefault="003F7D03" w:rsidP="000C6D98">
      <w:pPr>
        <w:pStyle w:val="SingleTxtG"/>
      </w:pPr>
      <w:r w:rsidRPr="00E62FE6">
        <w:t>97.</w:t>
      </w:r>
      <w:r w:rsidRPr="00E62FE6">
        <w:tab/>
        <w:t>In</w:t>
      </w:r>
      <w:r w:rsidR="008243CA">
        <w:t xml:space="preserve"> </w:t>
      </w:r>
      <w:r w:rsidRPr="00E62FE6">
        <w:t>the</w:t>
      </w:r>
      <w:r w:rsidR="008243CA">
        <w:t xml:space="preserve"> </w:t>
      </w:r>
      <w:r w:rsidRPr="00E62FE6">
        <w:t>context</w:t>
      </w:r>
      <w:r w:rsidR="008243CA">
        <w:t xml:space="preserve"> </w:t>
      </w:r>
      <w:r w:rsidRPr="00E62FE6">
        <w:t>of</w:t>
      </w:r>
      <w:r w:rsidR="008243CA">
        <w:t xml:space="preserve"> </w:t>
      </w:r>
      <w:r w:rsidRPr="00E62FE6">
        <w:t>the</w:t>
      </w:r>
      <w:r w:rsidR="008243CA">
        <w:t xml:space="preserve"> </w:t>
      </w:r>
      <w:r w:rsidRPr="00E62FE6">
        <w:t>aforementioned</w:t>
      </w:r>
      <w:r w:rsidR="008243CA">
        <w:t xml:space="preserve"> </w:t>
      </w:r>
      <w:r w:rsidRPr="00E62FE6">
        <w:t>framework</w:t>
      </w:r>
      <w:r w:rsidR="008243CA">
        <w:t xml:space="preserve"> </w:t>
      </w:r>
      <w:r w:rsidRPr="00E62FE6">
        <w:t>agreement,</w:t>
      </w:r>
      <w:r w:rsidR="008243CA">
        <w:t xml:space="preserve"> </w:t>
      </w:r>
      <w:r w:rsidRPr="00E62FE6">
        <w:t>work</w:t>
      </w:r>
      <w:r w:rsidR="008243CA">
        <w:t xml:space="preserve"> </w:t>
      </w:r>
      <w:r w:rsidRPr="00E62FE6">
        <w:t>is</w:t>
      </w:r>
      <w:r w:rsidR="008243CA">
        <w:t xml:space="preserve"> </w:t>
      </w:r>
      <w:r w:rsidRPr="00E62FE6">
        <w:t>under</w:t>
      </w:r>
      <w:r w:rsidR="008243CA">
        <w:t xml:space="preserve"> </w:t>
      </w:r>
      <w:r w:rsidRPr="00E62FE6">
        <w:t>way</w:t>
      </w:r>
      <w:r w:rsidR="008243CA">
        <w:t xml:space="preserve"> </w:t>
      </w:r>
      <w:r w:rsidRPr="00E62FE6">
        <w:t>on</w:t>
      </w:r>
      <w:r w:rsidR="008243CA">
        <w:t xml:space="preserve"> </w:t>
      </w:r>
      <w:r w:rsidRPr="00E62FE6">
        <w:t>a</w:t>
      </w:r>
      <w:r w:rsidR="008243CA">
        <w:t xml:space="preserve"> </w:t>
      </w:r>
      <w:r w:rsidRPr="00E62FE6">
        <w:t>rule</w:t>
      </w:r>
      <w:r w:rsidR="008243CA">
        <w:t xml:space="preserve"> </w:t>
      </w:r>
      <w:r w:rsidRPr="00E62FE6">
        <w:t>for</w:t>
      </w:r>
      <w:r w:rsidR="008243CA">
        <w:t xml:space="preserve"> </w:t>
      </w:r>
      <w:r w:rsidRPr="00E62FE6">
        <w:t>examining</w:t>
      </w:r>
      <w:r w:rsidR="008243CA">
        <w:t xml:space="preserve"> </w:t>
      </w:r>
      <w:r w:rsidRPr="00E62FE6">
        <w:t>the</w:t>
      </w:r>
      <w:r w:rsidR="008243CA">
        <w:t xml:space="preserve"> </w:t>
      </w:r>
      <w:r w:rsidRPr="00E62FE6">
        <w:t>injuries</w:t>
      </w:r>
      <w:r w:rsidR="008243CA">
        <w:t xml:space="preserve"> </w:t>
      </w:r>
      <w:r w:rsidRPr="00E62FE6">
        <w:t>of</w:t>
      </w:r>
      <w:r w:rsidR="008243CA">
        <w:t xml:space="preserve"> </w:t>
      </w:r>
      <w:r w:rsidRPr="00E62FE6">
        <w:t>persons</w:t>
      </w:r>
      <w:r w:rsidR="008243CA">
        <w:t xml:space="preserve"> </w:t>
      </w:r>
      <w:r w:rsidRPr="00E62FE6">
        <w:t>deprived</w:t>
      </w:r>
      <w:r w:rsidR="008243CA">
        <w:t xml:space="preserve"> </w:t>
      </w:r>
      <w:r w:rsidRPr="00E62FE6">
        <w:t>of</w:t>
      </w:r>
      <w:r w:rsidR="008243CA">
        <w:t xml:space="preserve"> </w:t>
      </w:r>
      <w:r w:rsidRPr="00E62FE6">
        <w:t>their</w:t>
      </w:r>
      <w:r w:rsidR="008243CA">
        <w:t xml:space="preserve"> </w:t>
      </w:r>
      <w:r w:rsidRPr="00E62FE6">
        <w:t>liberty,</w:t>
      </w:r>
      <w:r w:rsidR="008243CA">
        <w:t xml:space="preserve"> </w:t>
      </w:r>
      <w:r w:rsidRPr="00E62FE6">
        <w:t>based</w:t>
      </w:r>
      <w:r w:rsidR="008243CA">
        <w:t xml:space="preserve"> </w:t>
      </w:r>
      <w:r w:rsidRPr="00E62FE6">
        <w:t>on</w:t>
      </w:r>
      <w:r w:rsidR="008243CA">
        <w:t xml:space="preserve"> </w:t>
      </w:r>
      <w:r w:rsidRPr="00E62FE6">
        <w:t>the</w:t>
      </w:r>
      <w:r w:rsidR="008243CA">
        <w:t xml:space="preserve"> </w:t>
      </w:r>
      <w:r w:rsidRPr="00E62FE6">
        <w:t>Istanbul</w:t>
      </w:r>
      <w:r w:rsidR="008243CA">
        <w:t xml:space="preserve"> </w:t>
      </w:r>
      <w:r w:rsidRPr="00E62FE6">
        <w:t>Protocol.</w:t>
      </w:r>
      <w:r w:rsidR="008243CA">
        <w:t xml:space="preserve"> </w:t>
      </w:r>
      <w:r w:rsidRPr="00E62FE6">
        <w:t>The</w:t>
      </w:r>
      <w:r w:rsidR="008243CA">
        <w:t xml:space="preserve"> </w:t>
      </w:r>
      <w:r w:rsidRPr="00E62FE6">
        <w:t>rule</w:t>
      </w:r>
      <w:r w:rsidR="008243CA">
        <w:t xml:space="preserve"> </w:t>
      </w:r>
      <w:r w:rsidRPr="00E62FE6">
        <w:t>regulates</w:t>
      </w:r>
      <w:r w:rsidR="008243CA">
        <w:t xml:space="preserve"> </w:t>
      </w:r>
      <w:r w:rsidRPr="00E62FE6">
        <w:t>the</w:t>
      </w:r>
      <w:r w:rsidR="008243CA">
        <w:t xml:space="preserve"> </w:t>
      </w:r>
      <w:r w:rsidRPr="00E62FE6">
        <w:t>procedure</w:t>
      </w:r>
      <w:r w:rsidR="008243CA">
        <w:t xml:space="preserve"> </w:t>
      </w:r>
      <w:r w:rsidRPr="00E62FE6">
        <w:t>from</w:t>
      </w:r>
      <w:r w:rsidR="008243CA">
        <w:t xml:space="preserve"> </w:t>
      </w:r>
      <w:r w:rsidRPr="00E62FE6">
        <w:t>the</w:t>
      </w:r>
      <w:r w:rsidR="008243CA">
        <w:t xml:space="preserve"> </w:t>
      </w:r>
      <w:r w:rsidRPr="00E62FE6">
        <w:t>moment</w:t>
      </w:r>
      <w:r w:rsidR="008243CA">
        <w:t xml:space="preserve"> </w:t>
      </w:r>
      <w:r w:rsidRPr="00E62FE6">
        <w:t>when</w:t>
      </w:r>
      <w:r w:rsidR="008243CA">
        <w:t xml:space="preserve"> </w:t>
      </w:r>
      <w:r w:rsidRPr="00E62FE6">
        <w:t>law</w:t>
      </w:r>
      <w:r w:rsidR="008243CA">
        <w:t xml:space="preserve"> </w:t>
      </w:r>
      <w:r w:rsidRPr="00E62FE6">
        <w:t>enforcement</w:t>
      </w:r>
      <w:r w:rsidR="008243CA">
        <w:t xml:space="preserve"> </w:t>
      </w:r>
      <w:r w:rsidRPr="00E62FE6">
        <w:lastRenderedPageBreak/>
        <w:t>personnel</w:t>
      </w:r>
      <w:r w:rsidR="008243CA">
        <w:t xml:space="preserve"> </w:t>
      </w:r>
      <w:r w:rsidRPr="00E62FE6">
        <w:t>bring</w:t>
      </w:r>
      <w:r w:rsidR="008243CA">
        <w:t xml:space="preserve"> </w:t>
      </w:r>
      <w:r w:rsidRPr="00E62FE6">
        <w:t>the</w:t>
      </w:r>
      <w:r w:rsidR="008243CA">
        <w:t xml:space="preserve"> </w:t>
      </w:r>
      <w:r w:rsidRPr="00E62FE6">
        <w:t>persons</w:t>
      </w:r>
      <w:r w:rsidR="008243CA">
        <w:t xml:space="preserve"> </w:t>
      </w:r>
      <w:r w:rsidRPr="00E62FE6">
        <w:t>deprived</w:t>
      </w:r>
      <w:r w:rsidR="008243CA">
        <w:t xml:space="preserve"> </w:t>
      </w:r>
      <w:r w:rsidRPr="00E62FE6">
        <w:t>of</w:t>
      </w:r>
      <w:r w:rsidR="008243CA">
        <w:t xml:space="preserve"> </w:t>
      </w:r>
      <w:r w:rsidRPr="00E62FE6">
        <w:t>their</w:t>
      </w:r>
      <w:r w:rsidR="008243CA">
        <w:t xml:space="preserve"> </w:t>
      </w:r>
      <w:r w:rsidRPr="00E62FE6">
        <w:t>liberty</w:t>
      </w:r>
      <w:r w:rsidR="008243CA">
        <w:t xml:space="preserve"> </w:t>
      </w:r>
      <w:r w:rsidRPr="00E62FE6">
        <w:t>to</w:t>
      </w:r>
      <w:r w:rsidR="008243CA">
        <w:t xml:space="preserve"> </w:t>
      </w:r>
      <w:r w:rsidRPr="00E62FE6">
        <w:t>the</w:t>
      </w:r>
      <w:r w:rsidR="008243CA">
        <w:t xml:space="preserve"> </w:t>
      </w:r>
      <w:r w:rsidRPr="00E62FE6">
        <w:t>health</w:t>
      </w:r>
      <w:r w:rsidR="008243CA">
        <w:t xml:space="preserve"> </w:t>
      </w:r>
      <w:r w:rsidRPr="00E62FE6">
        <w:t>centre</w:t>
      </w:r>
      <w:r w:rsidR="008243CA">
        <w:t xml:space="preserve"> </w:t>
      </w:r>
      <w:r w:rsidRPr="00E62FE6">
        <w:t>until</w:t>
      </w:r>
      <w:r w:rsidR="008243CA">
        <w:t xml:space="preserve"> </w:t>
      </w:r>
      <w:r w:rsidRPr="00E62FE6">
        <w:t>they</w:t>
      </w:r>
      <w:r w:rsidR="008243CA">
        <w:t xml:space="preserve"> </w:t>
      </w:r>
      <w:r w:rsidRPr="00E62FE6">
        <w:t>are</w:t>
      </w:r>
      <w:r w:rsidR="008243CA">
        <w:t xml:space="preserve"> </w:t>
      </w:r>
      <w:r w:rsidRPr="00E62FE6">
        <w:t>transferred</w:t>
      </w:r>
      <w:r w:rsidR="008243CA">
        <w:t xml:space="preserve"> </w:t>
      </w:r>
      <w:r w:rsidRPr="00E62FE6">
        <w:t>from</w:t>
      </w:r>
      <w:r w:rsidR="008243CA">
        <w:t xml:space="preserve"> </w:t>
      </w:r>
      <w:r w:rsidRPr="00E62FE6">
        <w:t>the</w:t>
      </w:r>
      <w:r w:rsidR="008243CA">
        <w:t xml:space="preserve"> </w:t>
      </w:r>
      <w:r w:rsidRPr="00E62FE6">
        <w:t>centre</w:t>
      </w:r>
      <w:r w:rsidR="008243CA">
        <w:t xml:space="preserve"> </w:t>
      </w:r>
      <w:r w:rsidRPr="00E62FE6">
        <w:t>and</w:t>
      </w:r>
      <w:r w:rsidR="008243CA">
        <w:t xml:space="preserve"> </w:t>
      </w:r>
      <w:r w:rsidRPr="00E62FE6">
        <w:t>brought</w:t>
      </w:r>
      <w:r w:rsidR="008243CA">
        <w:t xml:space="preserve"> </w:t>
      </w:r>
      <w:r w:rsidRPr="00E62FE6">
        <w:t>before</w:t>
      </w:r>
      <w:r w:rsidR="008243CA">
        <w:t xml:space="preserve"> </w:t>
      </w:r>
      <w:r w:rsidRPr="00E62FE6">
        <w:t>the</w:t>
      </w:r>
      <w:r w:rsidR="008243CA">
        <w:t xml:space="preserve"> </w:t>
      </w:r>
      <w:r w:rsidRPr="00E62FE6">
        <w:t>Prison</w:t>
      </w:r>
      <w:r w:rsidR="008243CA">
        <w:t xml:space="preserve"> </w:t>
      </w:r>
      <w:r w:rsidRPr="00E62FE6">
        <w:t>Service</w:t>
      </w:r>
      <w:r w:rsidR="008243CA">
        <w:t xml:space="preserve"> </w:t>
      </w:r>
      <w:r w:rsidRPr="00E62FE6">
        <w:t>for</w:t>
      </w:r>
      <w:r w:rsidR="008243CA">
        <w:t xml:space="preserve"> </w:t>
      </w:r>
      <w:r w:rsidRPr="00E62FE6">
        <w:t>prosecution.</w:t>
      </w:r>
      <w:r w:rsidR="008243CA">
        <w:t xml:space="preserve"> </w:t>
      </w:r>
      <w:r w:rsidRPr="00E62FE6">
        <w:t>Recording</w:t>
      </w:r>
      <w:r w:rsidR="008243CA">
        <w:t xml:space="preserve"> </w:t>
      </w:r>
      <w:r w:rsidRPr="00E62FE6">
        <w:t>this</w:t>
      </w:r>
      <w:r w:rsidR="008243CA">
        <w:t xml:space="preserve"> </w:t>
      </w:r>
      <w:r w:rsidRPr="00E62FE6">
        <w:t>procedure</w:t>
      </w:r>
      <w:r w:rsidR="008243CA">
        <w:t xml:space="preserve"> </w:t>
      </w:r>
      <w:r w:rsidRPr="00E62FE6">
        <w:t>would</w:t>
      </w:r>
      <w:r w:rsidR="008243CA">
        <w:t xml:space="preserve"> </w:t>
      </w:r>
      <w:r w:rsidRPr="00E62FE6">
        <w:t>comply</w:t>
      </w:r>
      <w:r w:rsidR="008243CA">
        <w:t xml:space="preserve"> </w:t>
      </w:r>
      <w:r w:rsidRPr="00E62FE6">
        <w:t>with</w:t>
      </w:r>
      <w:r w:rsidR="008243CA">
        <w:t xml:space="preserve"> </w:t>
      </w:r>
      <w:r w:rsidRPr="00E62FE6">
        <w:t>the</w:t>
      </w:r>
      <w:r w:rsidR="008243CA">
        <w:t xml:space="preserve"> </w:t>
      </w:r>
      <w:r w:rsidRPr="00E62FE6">
        <w:t>inter-agency</w:t>
      </w:r>
      <w:r w:rsidR="008243CA">
        <w:t xml:space="preserve"> </w:t>
      </w:r>
      <w:r w:rsidRPr="00E62FE6">
        <w:t>protocol</w:t>
      </w:r>
      <w:r w:rsidR="008243CA">
        <w:t xml:space="preserve"> </w:t>
      </w:r>
      <w:r w:rsidRPr="00E62FE6">
        <w:t>for</w:t>
      </w:r>
      <w:r w:rsidR="008243CA">
        <w:t xml:space="preserve"> </w:t>
      </w:r>
      <w:r w:rsidRPr="00E62FE6">
        <w:t>health</w:t>
      </w:r>
      <w:r w:rsidR="008243CA">
        <w:t xml:space="preserve"> </w:t>
      </w:r>
      <w:r w:rsidRPr="00E62FE6">
        <w:t>examinations</w:t>
      </w:r>
      <w:r w:rsidR="008243CA">
        <w:t xml:space="preserve"> </w:t>
      </w:r>
      <w:r w:rsidRPr="00E62FE6">
        <w:t>of</w:t>
      </w:r>
      <w:r w:rsidR="008243CA">
        <w:t xml:space="preserve"> </w:t>
      </w:r>
      <w:r w:rsidRPr="00E62FE6">
        <w:t>persons</w:t>
      </w:r>
      <w:r w:rsidR="008243CA">
        <w:t xml:space="preserve"> </w:t>
      </w:r>
      <w:r w:rsidRPr="00E62FE6">
        <w:t>detained</w:t>
      </w:r>
      <w:r w:rsidR="008243CA">
        <w:t xml:space="preserve"> </w:t>
      </w:r>
      <w:r w:rsidRPr="00E62FE6">
        <w:t>in</w:t>
      </w:r>
      <w:r w:rsidR="008243CA">
        <w:t xml:space="preserve"> </w:t>
      </w:r>
      <w:r w:rsidRPr="00E62FE6">
        <w:t>criminal</w:t>
      </w:r>
      <w:r w:rsidR="008243CA">
        <w:t xml:space="preserve"> </w:t>
      </w:r>
      <w:r w:rsidRPr="00E62FE6">
        <w:t>proceedings,</w:t>
      </w:r>
      <w:r w:rsidR="008243CA">
        <w:t xml:space="preserve"> </w:t>
      </w:r>
      <w:r w:rsidRPr="00E62FE6">
        <w:t>which</w:t>
      </w:r>
      <w:r w:rsidR="008243CA">
        <w:t xml:space="preserve"> </w:t>
      </w:r>
      <w:r w:rsidRPr="00E62FE6">
        <w:t>regulates</w:t>
      </w:r>
      <w:r w:rsidR="008243CA">
        <w:t xml:space="preserve"> </w:t>
      </w:r>
      <w:r w:rsidRPr="00E62FE6">
        <w:t>the</w:t>
      </w:r>
      <w:r w:rsidR="008243CA">
        <w:t xml:space="preserve"> </w:t>
      </w:r>
      <w:r w:rsidRPr="00E62FE6">
        <w:t>health</w:t>
      </w:r>
      <w:r w:rsidR="008243CA">
        <w:t xml:space="preserve"> </w:t>
      </w:r>
      <w:r w:rsidRPr="00E62FE6">
        <w:t>examination</w:t>
      </w:r>
      <w:r w:rsidR="008243CA">
        <w:t xml:space="preserve"> </w:t>
      </w:r>
      <w:r w:rsidRPr="00E62FE6">
        <w:t>process</w:t>
      </w:r>
      <w:r w:rsidR="008243CA">
        <w:t xml:space="preserve"> </w:t>
      </w:r>
      <w:r w:rsidRPr="00E62FE6">
        <w:t>and</w:t>
      </w:r>
      <w:r w:rsidR="008243CA">
        <w:t xml:space="preserve"> </w:t>
      </w:r>
      <w:r w:rsidRPr="00E62FE6">
        <w:t>has</w:t>
      </w:r>
      <w:r w:rsidR="008243CA">
        <w:t xml:space="preserve"> </w:t>
      </w:r>
      <w:r w:rsidRPr="00E62FE6">
        <w:t>been</w:t>
      </w:r>
      <w:r w:rsidR="008243CA">
        <w:t xml:space="preserve"> </w:t>
      </w:r>
      <w:r w:rsidRPr="00E62FE6">
        <w:t>in</w:t>
      </w:r>
      <w:r w:rsidR="008243CA">
        <w:t xml:space="preserve"> </w:t>
      </w:r>
      <w:r w:rsidRPr="00E62FE6">
        <w:t>force</w:t>
      </w:r>
      <w:r w:rsidR="008243CA">
        <w:t xml:space="preserve"> </w:t>
      </w:r>
      <w:r w:rsidRPr="00E62FE6">
        <w:t>since</w:t>
      </w:r>
      <w:r w:rsidR="008243CA">
        <w:t xml:space="preserve"> </w:t>
      </w:r>
      <w:r w:rsidRPr="00E62FE6">
        <w:t>2013.</w:t>
      </w:r>
    </w:p>
    <w:p w:rsidR="003F7D03" w:rsidRPr="00E62FE6" w:rsidRDefault="003F7D03" w:rsidP="000C6D98">
      <w:pPr>
        <w:pStyle w:val="SingleTxtG"/>
      </w:pPr>
      <w:r w:rsidRPr="00E62FE6">
        <w:t>98.</w:t>
      </w:r>
      <w:r w:rsidRPr="00E62FE6">
        <w:tab/>
        <w:t>In</w:t>
      </w:r>
      <w:r w:rsidR="008243CA">
        <w:t xml:space="preserve"> </w:t>
      </w:r>
      <w:r w:rsidRPr="00E62FE6">
        <w:t>addition,</w:t>
      </w:r>
      <w:r w:rsidR="008243CA">
        <w:t xml:space="preserve"> </w:t>
      </w:r>
      <w:r w:rsidRPr="00E62FE6">
        <w:t>the</w:t>
      </w:r>
      <w:r w:rsidR="008243CA">
        <w:t xml:space="preserve"> </w:t>
      </w:r>
      <w:r w:rsidRPr="00E62FE6">
        <w:t>framework</w:t>
      </w:r>
      <w:r w:rsidR="008243CA">
        <w:t xml:space="preserve"> </w:t>
      </w:r>
      <w:r w:rsidRPr="00E62FE6">
        <w:t>agreement</w:t>
      </w:r>
      <w:r w:rsidR="008243CA">
        <w:t xml:space="preserve"> </w:t>
      </w:r>
      <w:r w:rsidRPr="00E62FE6">
        <w:t>allows</w:t>
      </w:r>
      <w:r w:rsidR="008243CA">
        <w:t xml:space="preserve"> </w:t>
      </w:r>
      <w:r w:rsidRPr="00E62FE6">
        <w:t>for</w:t>
      </w:r>
      <w:r w:rsidR="008243CA">
        <w:t xml:space="preserve"> </w:t>
      </w:r>
      <w:r w:rsidRPr="00E62FE6">
        <w:t>the</w:t>
      </w:r>
      <w:r w:rsidR="008243CA">
        <w:t xml:space="preserve"> </w:t>
      </w:r>
      <w:r w:rsidRPr="00E62FE6">
        <w:t>establishment</w:t>
      </w:r>
      <w:r w:rsidR="008243CA">
        <w:t xml:space="preserve"> </w:t>
      </w:r>
      <w:r w:rsidRPr="00E62FE6">
        <w:t>of</w:t>
      </w:r>
      <w:r w:rsidR="008243CA">
        <w:t xml:space="preserve"> </w:t>
      </w:r>
      <w:r w:rsidRPr="00E62FE6">
        <w:t>working</w:t>
      </w:r>
      <w:r w:rsidR="008243CA">
        <w:t xml:space="preserve"> </w:t>
      </w:r>
      <w:r w:rsidRPr="00E62FE6">
        <w:t>groups</w:t>
      </w:r>
      <w:r w:rsidR="008243CA">
        <w:t xml:space="preserve"> </w:t>
      </w:r>
      <w:r w:rsidRPr="00E62FE6">
        <w:t>to</w:t>
      </w:r>
      <w:r w:rsidR="008243CA">
        <w:t xml:space="preserve"> </w:t>
      </w:r>
      <w:r w:rsidRPr="00E62FE6">
        <w:t>bring</w:t>
      </w:r>
      <w:r w:rsidR="008243CA">
        <w:t xml:space="preserve"> </w:t>
      </w:r>
      <w:r w:rsidRPr="00E62FE6">
        <w:t>forward</w:t>
      </w:r>
      <w:r w:rsidR="008243CA">
        <w:t xml:space="preserve"> </w:t>
      </w:r>
      <w:r w:rsidRPr="00E62FE6">
        <w:t>measures</w:t>
      </w:r>
      <w:r w:rsidR="008243CA">
        <w:t xml:space="preserve"> </w:t>
      </w:r>
      <w:r w:rsidRPr="00E62FE6">
        <w:t>for</w:t>
      </w:r>
      <w:r w:rsidR="008243CA">
        <w:t xml:space="preserve"> </w:t>
      </w:r>
      <w:r w:rsidRPr="00E62FE6">
        <w:t>protecting</w:t>
      </w:r>
      <w:r w:rsidR="008243CA">
        <w:t xml:space="preserve"> </w:t>
      </w:r>
      <w:r w:rsidRPr="00E62FE6">
        <w:t>the</w:t>
      </w:r>
      <w:r w:rsidR="008243CA">
        <w:t xml:space="preserve"> </w:t>
      </w:r>
      <w:r w:rsidRPr="00E62FE6">
        <w:t>right</w:t>
      </w:r>
      <w:r w:rsidR="008243CA">
        <w:t xml:space="preserve"> </w:t>
      </w:r>
      <w:r w:rsidRPr="00E62FE6">
        <w:t>to</w:t>
      </w:r>
      <w:r w:rsidR="008243CA">
        <w:t xml:space="preserve"> </w:t>
      </w:r>
      <w:r w:rsidRPr="00E62FE6">
        <w:t>privacy</w:t>
      </w:r>
      <w:r w:rsidR="008243CA">
        <w:t xml:space="preserve"> </w:t>
      </w:r>
      <w:r w:rsidRPr="00E62FE6">
        <w:t>and</w:t>
      </w:r>
      <w:r w:rsidR="008243CA">
        <w:t xml:space="preserve"> </w:t>
      </w:r>
      <w:r w:rsidRPr="00E62FE6">
        <w:t>medical</w:t>
      </w:r>
      <w:r w:rsidR="008243CA">
        <w:t xml:space="preserve"> </w:t>
      </w:r>
      <w:r w:rsidRPr="00E62FE6">
        <w:t>confidentiality,</w:t>
      </w:r>
      <w:r w:rsidR="008243CA">
        <w:t xml:space="preserve"> </w:t>
      </w:r>
      <w:r w:rsidRPr="00E62FE6">
        <w:t>and</w:t>
      </w:r>
      <w:r w:rsidR="008243CA">
        <w:t xml:space="preserve"> </w:t>
      </w:r>
      <w:r w:rsidRPr="00E62FE6">
        <w:t>to</w:t>
      </w:r>
      <w:r w:rsidR="008243CA">
        <w:t xml:space="preserve"> </w:t>
      </w:r>
      <w:r w:rsidRPr="00E62FE6">
        <w:t>limit</w:t>
      </w:r>
      <w:r w:rsidR="008243CA">
        <w:t xml:space="preserve"> </w:t>
      </w:r>
      <w:r w:rsidRPr="00E62FE6">
        <w:t>the</w:t>
      </w:r>
      <w:r w:rsidR="008243CA">
        <w:t xml:space="preserve"> </w:t>
      </w:r>
      <w:r w:rsidRPr="00E62FE6">
        <w:t>time</w:t>
      </w:r>
      <w:r w:rsidR="008243CA">
        <w:t xml:space="preserve"> </w:t>
      </w:r>
      <w:r w:rsidRPr="00E62FE6">
        <w:t>spent</w:t>
      </w:r>
      <w:r w:rsidR="008243CA">
        <w:t xml:space="preserve"> </w:t>
      </w:r>
      <w:r w:rsidRPr="00E62FE6">
        <w:t>on</w:t>
      </w:r>
      <w:r w:rsidR="008243CA">
        <w:t xml:space="preserve"> </w:t>
      </w:r>
      <w:r w:rsidRPr="00E62FE6">
        <w:t>examining</w:t>
      </w:r>
      <w:r w:rsidR="008243CA">
        <w:t xml:space="preserve"> </w:t>
      </w:r>
      <w:r w:rsidRPr="00E62FE6">
        <w:t>injuries,</w:t>
      </w:r>
      <w:r w:rsidR="008243CA">
        <w:t xml:space="preserve"> </w:t>
      </w:r>
      <w:r w:rsidRPr="00E62FE6">
        <w:t>thereby</w:t>
      </w:r>
      <w:r w:rsidR="008243CA">
        <w:t xml:space="preserve"> </w:t>
      </w:r>
      <w:r w:rsidRPr="00E62FE6">
        <w:t>avoiding</w:t>
      </w:r>
      <w:r w:rsidR="008243CA">
        <w:t xml:space="preserve"> </w:t>
      </w:r>
      <w:r w:rsidRPr="00E62FE6">
        <w:t>situations</w:t>
      </w:r>
      <w:r w:rsidR="008243CA">
        <w:t xml:space="preserve"> </w:t>
      </w:r>
      <w:r w:rsidRPr="00E62FE6">
        <w:t>that</w:t>
      </w:r>
      <w:r w:rsidR="008243CA">
        <w:t xml:space="preserve"> </w:t>
      </w:r>
      <w:r w:rsidRPr="00E62FE6">
        <w:t>might</w:t>
      </w:r>
      <w:r w:rsidR="008243CA">
        <w:t xml:space="preserve"> </w:t>
      </w:r>
      <w:r w:rsidRPr="00E62FE6">
        <w:t>undermine</w:t>
      </w:r>
      <w:r w:rsidR="008243CA">
        <w:t xml:space="preserve"> </w:t>
      </w:r>
      <w:r w:rsidRPr="00E62FE6">
        <w:t>the</w:t>
      </w:r>
      <w:r w:rsidR="008243CA">
        <w:t xml:space="preserve"> </w:t>
      </w:r>
      <w:r w:rsidRPr="00E62FE6">
        <w:t>integrity</w:t>
      </w:r>
      <w:r w:rsidR="008243CA">
        <w:t xml:space="preserve"> </w:t>
      </w:r>
      <w:r w:rsidRPr="00E62FE6">
        <w:t>of</w:t>
      </w:r>
      <w:r w:rsidR="008243CA">
        <w:t xml:space="preserve"> </w:t>
      </w:r>
      <w:r w:rsidRPr="00E62FE6">
        <w:t>the</w:t>
      </w:r>
      <w:r w:rsidR="008243CA">
        <w:t xml:space="preserve"> </w:t>
      </w:r>
      <w:r w:rsidRPr="00E62FE6">
        <w:t>person</w:t>
      </w:r>
      <w:r w:rsidR="008243CA">
        <w:t xml:space="preserve"> </w:t>
      </w:r>
      <w:r w:rsidRPr="00E62FE6">
        <w:t>deprived</w:t>
      </w:r>
      <w:r w:rsidR="008243CA">
        <w:t xml:space="preserve"> </w:t>
      </w:r>
      <w:r w:rsidRPr="00E62FE6">
        <w:t>of</w:t>
      </w:r>
      <w:r w:rsidR="008243CA">
        <w:t xml:space="preserve"> </w:t>
      </w:r>
      <w:r w:rsidRPr="00E62FE6">
        <w:t>liberty.</w:t>
      </w:r>
      <w:bookmarkStart w:id="78" w:name="page28"/>
      <w:bookmarkEnd w:id="78"/>
    </w:p>
    <w:p w:rsidR="003F7D03" w:rsidRPr="0007753D" w:rsidRDefault="003F7D03" w:rsidP="000C6D98">
      <w:pPr>
        <w:pStyle w:val="SingleTxtG"/>
        <w:rPr>
          <w:i/>
          <w:iCs/>
        </w:rPr>
      </w:pPr>
      <w:r w:rsidRPr="00E62FE6">
        <w:t>99.</w:t>
      </w:r>
      <w:r w:rsidRPr="00E62FE6">
        <w:tab/>
        <w:t>Paragraph</w:t>
      </w:r>
      <w:r w:rsidR="008243CA">
        <w:t xml:space="preserve"> </w:t>
      </w:r>
      <w:r w:rsidRPr="00E62FE6">
        <w:t>58:</w:t>
      </w:r>
      <w:r w:rsidR="008243CA">
        <w:t xml:space="preserve"> </w:t>
      </w:r>
      <w:r w:rsidRPr="0007753D">
        <w:rPr>
          <w:i/>
          <w:iCs/>
        </w:rPr>
        <w:t>The</w:t>
      </w:r>
      <w:r w:rsidR="008243CA" w:rsidRPr="0007753D">
        <w:rPr>
          <w:i/>
          <w:iCs/>
        </w:rPr>
        <w:t xml:space="preserve"> </w:t>
      </w:r>
      <w:r w:rsidRPr="0007753D">
        <w:rPr>
          <w:i/>
          <w:iCs/>
        </w:rPr>
        <w:t>Subcommittee</w:t>
      </w:r>
      <w:r w:rsidR="008243CA" w:rsidRPr="0007753D">
        <w:rPr>
          <w:i/>
          <w:iCs/>
        </w:rPr>
        <w:t xml:space="preserve"> </w:t>
      </w:r>
      <w:r w:rsidRPr="0007753D">
        <w:rPr>
          <w:i/>
          <w:iCs/>
        </w:rPr>
        <w:t>recommends</w:t>
      </w:r>
      <w:r w:rsidR="008243CA" w:rsidRPr="0007753D">
        <w:rPr>
          <w:i/>
          <w:iCs/>
        </w:rPr>
        <w:t xml:space="preserve"> </w:t>
      </w:r>
      <w:r w:rsidRPr="0007753D">
        <w:rPr>
          <w:i/>
          <w:iCs/>
        </w:rPr>
        <w:t>that,</w:t>
      </w:r>
      <w:r w:rsidR="008243CA" w:rsidRPr="0007753D">
        <w:rPr>
          <w:i/>
          <w:iCs/>
        </w:rPr>
        <w:t xml:space="preserve"> </w:t>
      </w:r>
      <w:r w:rsidRPr="0007753D">
        <w:rPr>
          <w:i/>
          <w:iCs/>
        </w:rPr>
        <w:t>in</w:t>
      </w:r>
      <w:r w:rsidR="008243CA" w:rsidRPr="0007753D">
        <w:rPr>
          <w:i/>
          <w:iCs/>
        </w:rPr>
        <w:t xml:space="preserve"> </w:t>
      </w:r>
      <w:r w:rsidRPr="0007753D">
        <w:rPr>
          <w:i/>
          <w:iCs/>
        </w:rPr>
        <w:t>all</w:t>
      </w:r>
      <w:r w:rsidR="008243CA" w:rsidRPr="0007753D">
        <w:rPr>
          <w:i/>
          <w:iCs/>
        </w:rPr>
        <w:t xml:space="preserve"> </w:t>
      </w:r>
      <w:r w:rsidRPr="0007753D">
        <w:rPr>
          <w:i/>
          <w:iCs/>
        </w:rPr>
        <w:t>cases,</w:t>
      </w:r>
      <w:r w:rsidR="008243CA" w:rsidRPr="0007753D">
        <w:rPr>
          <w:i/>
          <w:iCs/>
        </w:rPr>
        <w:t xml:space="preserve"> </w:t>
      </w:r>
      <w:r w:rsidRPr="0007753D">
        <w:rPr>
          <w:i/>
          <w:iCs/>
        </w:rPr>
        <w:t>attention</w:t>
      </w:r>
      <w:r w:rsidR="008243CA" w:rsidRPr="0007753D">
        <w:rPr>
          <w:i/>
          <w:iCs/>
        </w:rPr>
        <w:t xml:space="preserve"> </w:t>
      </w:r>
      <w:r w:rsidRPr="0007753D">
        <w:rPr>
          <w:i/>
          <w:iCs/>
        </w:rPr>
        <w:t>should</w:t>
      </w:r>
      <w:r w:rsidR="008243CA" w:rsidRPr="0007753D">
        <w:rPr>
          <w:i/>
          <w:iCs/>
        </w:rPr>
        <w:t xml:space="preserve"> </w:t>
      </w:r>
      <w:r w:rsidRPr="0007753D">
        <w:rPr>
          <w:i/>
          <w:iCs/>
        </w:rPr>
        <w:t>be</w:t>
      </w:r>
      <w:r w:rsidR="008243CA" w:rsidRPr="0007753D">
        <w:rPr>
          <w:i/>
          <w:iCs/>
        </w:rPr>
        <w:t xml:space="preserve"> </w:t>
      </w:r>
      <w:r w:rsidRPr="0007753D">
        <w:rPr>
          <w:i/>
          <w:iCs/>
        </w:rPr>
        <w:t>paid</w:t>
      </w:r>
      <w:r w:rsidR="008243CA" w:rsidRPr="0007753D">
        <w:rPr>
          <w:i/>
          <w:iCs/>
        </w:rPr>
        <w:t xml:space="preserve"> </w:t>
      </w:r>
      <w:r w:rsidRPr="0007753D">
        <w:rPr>
          <w:i/>
          <w:iCs/>
        </w:rPr>
        <w:t>to</w:t>
      </w:r>
      <w:r w:rsidR="008243CA" w:rsidRPr="0007753D">
        <w:rPr>
          <w:i/>
          <w:iCs/>
        </w:rPr>
        <w:t xml:space="preserve"> </w:t>
      </w:r>
      <w:r w:rsidRPr="0007753D">
        <w:rPr>
          <w:i/>
          <w:iCs/>
        </w:rPr>
        <w:t>the</w:t>
      </w:r>
      <w:r w:rsidR="008243CA" w:rsidRPr="0007753D">
        <w:rPr>
          <w:i/>
          <w:iCs/>
        </w:rPr>
        <w:t xml:space="preserve"> </w:t>
      </w:r>
      <w:r w:rsidRPr="0007753D">
        <w:rPr>
          <w:i/>
          <w:iCs/>
        </w:rPr>
        <w:t>proper</w:t>
      </w:r>
      <w:r w:rsidR="008243CA" w:rsidRPr="0007753D">
        <w:rPr>
          <w:i/>
          <w:iCs/>
        </w:rPr>
        <w:t xml:space="preserve"> </w:t>
      </w:r>
      <w:r w:rsidRPr="0007753D">
        <w:rPr>
          <w:i/>
          <w:iCs/>
        </w:rPr>
        <w:t>completion</w:t>
      </w:r>
      <w:r w:rsidR="008243CA" w:rsidRPr="0007753D">
        <w:rPr>
          <w:i/>
          <w:iCs/>
        </w:rPr>
        <w:t xml:space="preserve"> </w:t>
      </w:r>
      <w:r w:rsidRPr="0007753D">
        <w:rPr>
          <w:i/>
          <w:iCs/>
        </w:rPr>
        <w:t>of</w:t>
      </w:r>
      <w:r w:rsidR="008243CA" w:rsidRPr="0007753D">
        <w:rPr>
          <w:i/>
          <w:iCs/>
        </w:rPr>
        <w:t xml:space="preserve"> </w:t>
      </w:r>
      <w:r w:rsidRPr="0007753D">
        <w:rPr>
          <w:i/>
          <w:iCs/>
        </w:rPr>
        <w:t>all</w:t>
      </w:r>
      <w:r w:rsidR="008243CA" w:rsidRPr="0007753D">
        <w:rPr>
          <w:i/>
          <w:iCs/>
        </w:rPr>
        <w:t xml:space="preserve"> </w:t>
      </w:r>
      <w:r w:rsidRPr="0007753D">
        <w:rPr>
          <w:i/>
          <w:iCs/>
        </w:rPr>
        <w:t>medical</w:t>
      </w:r>
      <w:r w:rsidR="008243CA" w:rsidRPr="0007753D">
        <w:rPr>
          <w:i/>
          <w:iCs/>
        </w:rPr>
        <w:t xml:space="preserve"> </w:t>
      </w:r>
      <w:r w:rsidRPr="0007753D">
        <w:rPr>
          <w:i/>
          <w:iCs/>
        </w:rPr>
        <w:t>documentation.</w:t>
      </w:r>
      <w:r w:rsidR="008243CA" w:rsidRPr="0007753D">
        <w:rPr>
          <w:i/>
          <w:iCs/>
        </w:rPr>
        <w:t xml:space="preserve"> </w:t>
      </w:r>
      <w:r w:rsidRPr="0007753D">
        <w:rPr>
          <w:i/>
          <w:iCs/>
        </w:rPr>
        <w:t>Furthermore,</w:t>
      </w:r>
      <w:r w:rsidR="008243CA" w:rsidRPr="0007753D">
        <w:rPr>
          <w:i/>
          <w:iCs/>
        </w:rPr>
        <w:t xml:space="preserve"> </w:t>
      </w:r>
      <w:r w:rsidRPr="0007753D">
        <w:rPr>
          <w:i/>
          <w:iCs/>
        </w:rPr>
        <w:t>treatment</w:t>
      </w:r>
      <w:r w:rsidR="008243CA" w:rsidRPr="0007753D">
        <w:rPr>
          <w:i/>
          <w:iCs/>
        </w:rPr>
        <w:t xml:space="preserve"> </w:t>
      </w:r>
      <w:r w:rsidRPr="0007753D">
        <w:rPr>
          <w:i/>
          <w:iCs/>
        </w:rPr>
        <w:t>in</w:t>
      </w:r>
      <w:r w:rsidR="008243CA" w:rsidRPr="0007753D">
        <w:rPr>
          <w:i/>
          <w:iCs/>
        </w:rPr>
        <w:t xml:space="preserve"> </w:t>
      </w:r>
      <w:r w:rsidRPr="0007753D">
        <w:rPr>
          <w:i/>
          <w:iCs/>
        </w:rPr>
        <w:t>the</w:t>
      </w:r>
      <w:r w:rsidR="008243CA" w:rsidRPr="0007753D">
        <w:rPr>
          <w:i/>
          <w:iCs/>
        </w:rPr>
        <w:t xml:space="preserve"> </w:t>
      </w:r>
      <w:r w:rsidRPr="0007753D">
        <w:rPr>
          <w:i/>
          <w:iCs/>
        </w:rPr>
        <w:t>above-mentioned</w:t>
      </w:r>
      <w:r w:rsidR="008243CA" w:rsidRPr="0007753D">
        <w:rPr>
          <w:i/>
          <w:iCs/>
        </w:rPr>
        <w:t xml:space="preserve"> </w:t>
      </w:r>
      <w:r w:rsidRPr="0007753D">
        <w:rPr>
          <w:i/>
          <w:iCs/>
        </w:rPr>
        <w:t>specialized</w:t>
      </w:r>
      <w:r w:rsidR="008243CA" w:rsidRPr="0007753D">
        <w:rPr>
          <w:i/>
          <w:iCs/>
        </w:rPr>
        <w:t xml:space="preserve"> </w:t>
      </w:r>
      <w:r w:rsidRPr="0007753D">
        <w:rPr>
          <w:i/>
          <w:iCs/>
        </w:rPr>
        <w:t>areas,</w:t>
      </w:r>
      <w:r w:rsidR="008243CA" w:rsidRPr="0007753D">
        <w:rPr>
          <w:i/>
          <w:iCs/>
        </w:rPr>
        <w:t xml:space="preserve"> </w:t>
      </w:r>
      <w:r w:rsidRPr="0007753D">
        <w:rPr>
          <w:i/>
          <w:iCs/>
        </w:rPr>
        <w:t>among</w:t>
      </w:r>
      <w:r w:rsidR="008243CA" w:rsidRPr="0007753D">
        <w:rPr>
          <w:i/>
          <w:iCs/>
        </w:rPr>
        <w:t xml:space="preserve"> </w:t>
      </w:r>
      <w:r w:rsidRPr="0007753D">
        <w:rPr>
          <w:i/>
          <w:iCs/>
        </w:rPr>
        <w:t>others,</w:t>
      </w:r>
      <w:r w:rsidR="008243CA" w:rsidRPr="0007753D">
        <w:rPr>
          <w:i/>
          <w:iCs/>
        </w:rPr>
        <w:t xml:space="preserve"> </w:t>
      </w:r>
      <w:r w:rsidRPr="0007753D">
        <w:rPr>
          <w:i/>
          <w:iCs/>
        </w:rPr>
        <w:t>should</w:t>
      </w:r>
      <w:r w:rsidR="008243CA" w:rsidRPr="0007753D">
        <w:rPr>
          <w:i/>
          <w:iCs/>
        </w:rPr>
        <w:t xml:space="preserve"> </w:t>
      </w:r>
      <w:r w:rsidRPr="0007753D">
        <w:rPr>
          <w:i/>
          <w:iCs/>
        </w:rPr>
        <w:t>be</w:t>
      </w:r>
      <w:r w:rsidR="008243CA" w:rsidRPr="0007753D">
        <w:rPr>
          <w:i/>
          <w:iCs/>
        </w:rPr>
        <w:t xml:space="preserve"> </w:t>
      </w:r>
      <w:r w:rsidRPr="0007753D">
        <w:rPr>
          <w:i/>
          <w:iCs/>
        </w:rPr>
        <w:t>provided</w:t>
      </w:r>
      <w:r w:rsidR="008243CA" w:rsidRPr="0007753D">
        <w:rPr>
          <w:i/>
          <w:iCs/>
        </w:rPr>
        <w:t xml:space="preserve"> </w:t>
      </w:r>
      <w:r w:rsidRPr="0007753D">
        <w:rPr>
          <w:i/>
          <w:iCs/>
        </w:rPr>
        <w:t>at</w:t>
      </w:r>
      <w:r w:rsidR="008243CA" w:rsidRPr="0007753D">
        <w:rPr>
          <w:i/>
          <w:iCs/>
        </w:rPr>
        <w:t xml:space="preserve"> </w:t>
      </w:r>
      <w:r w:rsidRPr="0007753D">
        <w:rPr>
          <w:i/>
          <w:iCs/>
        </w:rPr>
        <w:t>the</w:t>
      </w:r>
      <w:r w:rsidR="008243CA" w:rsidRPr="0007753D">
        <w:rPr>
          <w:i/>
          <w:iCs/>
        </w:rPr>
        <w:t xml:space="preserve"> </w:t>
      </w:r>
      <w:r w:rsidRPr="0007753D">
        <w:rPr>
          <w:i/>
          <w:iCs/>
        </w:rPr>
        <w:t>prison</w:t>
      </w:r>
      <w:r w:rsidR="008243CA" w:rsidRPr="0007753D">
        <w:rPr>
          <w:i/>
          <w:iCs/>
        </w:rPr>
        <w:t xml:space="preserve"> </w:t>
      </w:r>
      <w:r w:rsidRPr="0007753D">
        <w:rPr>
          <w:i/>
          <w:iCs/>
        </w:rPr>
        <w:t>hospital.</w:t>
      </w:r>
      <w:r w:rsidR="008243CA" w:rsidRPr="0007753D">
        <w:rPr>
          <w:i/>
          <w:iCs/>
        </w:rPr>
        <w:t xml:space="preserve"> </w:t>
      </w:r>
      <w:r w:rsidRPr="0007753D">
        <w:rPr>
          <w:i/>
          <w:iCs/>
        </w:rPr>
        <w:t>If</w:t>
      </w:r>
      <w:r w:rsidR="008243CA" w:rsidRPr="0007753D">
        <w:rPr>
          <w:i/>
          <w:iCs/>
        </w:rPr>
        <w:t xml:space="preserve"> </w:t>
      </w:r>
      <w:r w:rsidRPr="0007753D">
        <w:rPr>
          <w:i/>
          <w:iCs/>
        </w:rPr>
        <w:t>this</w:t>
      </w:r>
      <w:r w:rsidR="008243CA" w:rsidRPr="0007753D">
        <w:rPr>
          <w:i/>
          <w:iCs/>
        </w:rPr>
        <w:t xml:space="preserve"> </w:t>
      </w:r>
      <w:r w:rsidRPr="0007753D">
        <w:rPr>
          <w:i/>
          <w:iCs/>
        </w:rPr>
        <w:t>is</w:t>
      </w:r>
      <w:r w:rsidR="008243CA" w:rsidRPr="0007753D">
        <w:rPr>
          <w:i/>
          <w:iCs/>
        </w:rPr>
        <w:t xml:space="preserve"> </w:t>
      </w:r>
      <w:r w:rsidRPr="0007753D">
        <w:rPr>
          <w:i/>
          <w:iCs/>
        </w:rPr>
        <w:t>not</w:t>
      </w:r>
      <w:r w:rsidR="008243CA" w:rsidRPr="0007753D">
        <w:rPr>
          <w:i/>
          <w:iCs/>
        </w:rPr>
        <w:t xml:space="preserve"> </w:t>
      </w:r>
      <w:r w:rsidRPr="0007753D">
        <w:rPr>
          <w:i/>
          <w:iCs/>
        </w:rPr>
        <w:t>possible,</w:t>
      </w:r>
      <w:r w:rsidR="008243CA" w:rsidRPr="0007753D">
        <w:rPr>
          <w:i/>
          <w:iCs/>
        </w:rPr>
        <w:t xml:space="preserve"> </w:t>
      </w:r>
      <w:r w:rsidRPr="0007753D">
        <w:rPr>
          <w:i/>
          <w:iCs/>
        </w:rPr>
        <w:t>the</w:t>
      </w:r>
      <w:r w:rsidR="008243CA" w:rsidRPr="0007753D">
        <w:rPr>
          <w:i/>
          <w:iCs/>
        </w:rPr>
        <w:t xml:space="preserve"> </w:t>
      </w:r>
      <w:r w:rsidRPr="0007753D">
        <w:rPr>
          <w:i/>
          <w:iCs/>
        </w:rPr>
        <w:t>State</w:t>
      </w:r>
      <w:r w:rsidR="008243CA" w:rsidRPr="0007753D">
        <w:rPr>
          <w:i/>
          <w:iCs/>
        </w:rPr>
        <w:t xml:space="preserve"> </w:t>
      </w:r>
      <w:r w:rsidRPr="0007753D">
        <w:rPr>
          <w:i/>
          <w:iCs/>
        </w:rPr>
        <w:t>should</w:t>
      </w:r>
      <w:r w:rsidR="008243CA" w:rsidRPr="0007753D">
        <w:rPr>
          <w:i/>
          <w:iCs/>
        </w:rPr>
        <w:t xml:space="preserve"> </w:t>
      </w:r>
      <w:r w:rsidRPr="0007753D">
        <w:rPr>
          <w:i/>
          <w:iCs/>
        </w:rPr>
        <w:t>ensure</w:t>
      </w:r>
      <w:r w:rsidR="008243CA" w:rsidRPr="0007753D">
        <w:rPr>
          <w:i/>
          <w:iCs/>
        </w:rPr>
        <w:t xml:space="preserve"> </w:t>
      </w:r>
      <w:r w:rsidRPr="0007753D">
        <w:rPr>
          <w:i/>
          <w:iCs/>
        </w:rPr>
        <w:t>that</w:t>
      </w:r>
      <w:r w:rsidR="008243CA" w:rsidRPr="0007753D">
        <w:rPr>
          <w:i/>
          <w:iCs/>
        </w:rPr>
        <w:t xml:space="preserve"> </w:t>
      </w:r>
      <w:r w:rsidRPr="0007753D">
        <w:rPr>
          <w:i/>
          <w:iCs/>
        </w:rPr>
        <w:t>prompt</w:t>
      </w:r>
      <w:r w:rsidR="008243CA" w:rsidRPr="0007753D">
        <w:rPr>
          <w:i/>
          <w:iCs/>
        </w:rPr>
        <w:t xml:space="preserve"> </w:t>
      </w:r>
      <w:r w:rsidRPr="0007753D">
        <w:rPr>
          <w:i/>
          <w:iCs/>
        </w:rPr>
        <w:t>and</w:t>
      </w:r>
      <w:r w:rsidR="008243CA" w:rsidRPr="0007753D">
        <w:rPr>
          <w:i/>
          <w:iCs/>
        </w:rPr>
        <w:t xml:space="preserve"> </w:t>
      </w:r>
      <w:r w:rsidRPr="0007753D">
        <w:rPr>
          <w:i/>
          <w:iCs/>
        </w:rPr>
        <w:t>effective</w:t>
      </w:r>
      <w:r w:rsidR="008243CA" w:rsidRPr="0007753D">
        <w:rPr>
          <w:i/>
          <w:iCs/>
        </w:rPr>
        <w:t xml:space="preserve"> </w:t>
      </w:r>
      <w:r w:rsidRPr="0007753D">
        <w:rPr>
          <w:i/>
          <w:iCs/>
        </w:rPr>
        <w:t>coordination</w:t>
      </w:r>
      <w:r w:rsidR="008243CA" w:rsidRPr="0007753D">
        <w:rPr>
          <w:i/>
          <w:iCs/>
        </w:rPr>
        <w:t xml:space="preserve"> </w:t>
      </w:r>
      <w:r w:rsidRPr="0007753D">
        <w:rPr>
          <w:i/>
          <w:iCs/>
        </w:rPr>
        <w:t>is</w:t>
      </w:r>
      <w:r w:rsidR="008243CA" w:rsidRPr="0007753D">
        <w:rPr>
          <w:i/>
          <w:iCs/>
        </w:rPr>
        <w:t xml:space="preserve"> </w:t>
      </w:r>
      <w:r w:rsidRPr="0007753D">
        <w:rPr>
          <w:i/>
          <w:iCs/>
        </w:rPr>
        <w:t>undertaken</w:t>
      </w:r>
      <w:r w:rsidR="008243CA" w:rsidRPr="0007753D">
        <w:rPr>
          <w:i/>
          <w:iCs/>
        </w:rPr>
        <w:t xml:space="preserve"> </w:t>
      </w:r>
      <w:r w:rsidRPr="0007753D">
        <w:rPr>
          <w:i/>
          <w:iCs/>
        </w:rPr>
        <w:t>to</w:t>
      </w:r>
      <w:r w:rsidR="008243CA" w:rsidRPr="0007753D">
        <w:rPr>
          <w:i/>
          <w:iCs/>
        </w:rPr>
        <w:t xml:space="preserve"> </w:t>
      </w:r>
      <w:r w:rsidRPr="0007753D">
        <w:rPr>
          <w:i/>
          <w:iCs/>
        </w:rPr>
        <w:t>deal</w:t>
      </w:r>
      <w:r w:rsidR="008243CA" w:rsidRPr="0007753D">
        <w:rPr>
          <w:i/>
          <w:iCs/>
        </w:rPr>
        <w:t xml:space="preserve"> </w:t>
      </w:r>
      <w:r w:rsidRPr="0007753D">
        <w:rPr>
          <w:i/>
          <w:iCs/>
        </w:rPr>
        <w:t>with</w:t>
      </w:r>
      <w:r w:rsidR="008243CA" w:rsidRPr="0007753D">
        <w:rPr>
          <w:i/>
          <w:iCs/>
        </w:rPr>
        <w:t xml:space="preserve"> </w:t>
      </w:r>
      <w:r w:rsidRPr="0007753D">
        <w:rPr>
          <w:i/>
          <w:iCs/>
        </w:rPr>
        <w:t>the</w:t>
      </w:r>
      <w:r w:rsidR="008243CA" w:rsidRPr="0007753D">
        <w:rPr>
          <w:i/>
          <w:iCs/>
        </w:rPr>
        <w:t xml:space="preserve"> </w:t>
      </w:r>
      <w:r w:rsidRPr="0007753D">
        <w:rPr>
          <w:i/>
          <w:iCs/>
        </w:rPr>
        <w:t>various</w:t>
      </w:r>
      <w:r w:rsidR="008243CA" w:rsidRPr="0007753D">
        <w:rPr>
          <w:i/>
          <w:iCs/>
        </w:rPr>
        <w:t xml:space="preserve"> </w:t>
      </w:r>
      <w:r w:rsidRPr="0007753D">
        <w:rPr>
          <w:i/>
          <w:iCs/>
        </w:rPr>
        <w:t>pathologies</w:t>
      </w:r>
      <w:r w:rsidR="008243CA" w:rsidRPr="0007753D">
        <w:rPr>
          <w:i/>
          <w:iCs/>
        </w:rPr>
        <w:t xml:space="preserve"> </w:t>
      </w:r>
      <w:r w:rsidRPr="0007753D">
        <w:rPr>
          <w:i/>
          <w:iCs/>
        </w:rPr>
        <w:t>concerned.</w:t>
      </w:r>
      <w:r w:rsidR="008243CA" w:rsidRPr="0007753D">
        <w:rPr>
          <w:i/>
          <w:iCs/>
        </w:rPr>
        <w:t xml:space="preserve"> </w:t>
      </w:r>
      <w:r w:rsidRPr="0007753D">
        <w:rPr>
          <w:i/>
          <w:iCs/>
        </w:rPr>
        <w:t>The</w:t>
      </w:r>
      <w:r w:rsidR="008243CA" w:rsidRPr="0007753D">
        <w:rPr>
          <w:i/>
          <w:iCs/>
        </w:rPr>
        <w:t xml:space="preserve"> </w:t>
      </w:r>
      <w:r w:rsidRPr="0007753D">
        <w:rPr>
          <w:i/>
          <w:iCs/>
        </w:rPr>
        <w:t>Subcommittee</w:t>
      </w:r>
      <w:r w:rsidR="008243CA" w:rsidRPr="0007753D">
        <w:rPr>
          <w:i/>
          <w:iCs/>
        </w:rPr>
        <w:t xml:space="preserve"> </w:t>
      </w:r>
      <w:r w:rsidRPr="0007753D">
        <w:rPr>
          <w:i/>
          <w:iCs/>
        </w:rPr>
        <w:t>believes</w:t>
      </w:r>
      <w:r w:rsidR="008243CA" w:rsidRPr="0007753D">
        <w:rPr>
          <w:i/>
          <w:iCs/>
        </w:rPr>
        <w:t xml:space="preserve"> </w:t>
      </w:r>
      <w:r w:rsidRPr="0007753D">
        <w:rPr>
          <w:i/>
          <w:iCs/>
        </w:rPr>
        <w:t>that</w:t>
      </w:r>
      <w:r w:rsidR="008243CA" w:rsidRPr="0007753D">
        <w:rPr>
          <w:i/>
          <w:iCs/>
        </w:rPr>
        <w:t xml:space="preserve"> </w:t>
      </w:r>
      <w:r w:rsidRPr="0007753D">
        <w:rPr>
          <w:i/>
          <w:iCs/>
        </w:rPr>
        <w:t>an</w:t>
      </w:r>
      <w:r w:rsidR="008243CA" w:rsidRPr="0007753D">
        <w:rPr>
          <w:i/>
          <w:iCs/>
        </w:rPr>
        <w:t xml:space="preserve"> </w:t>
      </w:r>
      <w:r w:rsidRPr="0007753D">
        <w:rPr>
          <w:i/>
          <w:iCs/>
        </w:rPr>
        <w:t>independent</w:t>
      </w:r>
      <w:r w:rsidR="008243CA" w:rsidRPr="0007753D">
        <w:rPr>
          <w:i/>
          <w:iCs/>
        </w:rPr>
        <w:t xml:space="preserve"> </w:t>
      </w:r>
      <w:r w:rsidRPr="0007753D">
        <w:rPr>
          <w:i/>
          <w:iCs/>
        </w:rPr>
        <w:t>observer,</w:t>
      </w:r>
      <w:r w:rsidR="008243CA" w:rsidRPr="0007753D">
        <w:rPr>
          <w:i/>
          <w:iCs/>
        </w:rPr>
        <w:t xml:space="preserve"> </w:t>
      </w:r>
      <w:r w:rsidRPr="0007753D">
        <w:rPr>
          <w:i/>
          <w:iCs/>
        </w:rPr>
        <w:t>such</w:t>
      </w:r>
      <w:r w:rsidR="008243CA" w:rsidRPr="0007753D">
        <w:rPr>
          <w:i/>
          <w:iCs/>
        </w:rPr>
        <w:t xml:space="preserve"> </w:t>
      </w:r>
      <w:r w:rsidRPr="0007753D">
        <w:rPr>
          <w:i/>
          <w:iCs/>
        </w:rPr>
        <w:t>as</w:t>
      </w:r>
      <w:r w:rsidR="008243CA" w:rsidRPr="0007753D">
        <w:rPr>
          <w:i/>
          <w:iCs/>
        </w:rPr>
        <w:t xml:space="preserve"> </w:t>
      </w:r>
      <w:r w:rsidRPr="0007753D">
        <w:rPr>
          <w:i/>
          <w:iCs/>
        </w:rPr>
        <w:t>the</w:t>
      </w:r>
      <w:r w:rsidR="008243CA" w:rsidRPr="0007753D">
        <w:rPr>
          <w:i/>
          <w:iCs/>
        </w:rPr>
        <w:t xml:space="preserve"> </w:t>
      </w:r>
      <w:r w:rsidRPr="0007753D">
        <w:rPr>
          <w:i/>
          <w:iCs/>
        </w:rPr>
        <w:t>representative</w:t>
      </w:r>
      <w:r w:rsidR="008243CA" w:rsidRPr="0007753D">
        <w:rPr>
          <w:i/>
          <w:iCs/>
        </w:rPr>
        <w:t xml:space="preserve"> </w:t>
      </w:r>
      <w:r w:rsidRPr="0007753D">
        <w:rPr>
          <w:i/>
          <w:iCs/>
        </w:rPr>
        <w:t>of</w:t>
      </w:r>
      <w:r w:rsidR="008243CA" w:rsidRPr="0007753D">
        <w:rPr>
          <w:i/>
          <w:iCs/>
        </w:rPr>
        <w:t xml:space="preserve"> </w:t>
      </w:r>
      <w:r w:rsidRPr="0007753D">
        <w:rPr>
          <w:i/>
          <w:iCs/>
        </w:rPr>
        <w:t>a</w:t>
      </w:r>
      <w:r w:rsidR="008243CA" w:rsidRPr="0007753D">
        <w:rPr>
          <w:i/>
          <w:iCs/>
        </w:rPr>
        <w:t xml:space="preserve"> </w:t>
      </w:r>
      <w:r w:rsidRPr="0007753D">
        <w:rPr>
          <w:i/>
          <w:iCs/>
        </w:rPr>
        <w:t>national</w:t>
      </w:r>
      <w:r w:rsidR="008243CA" w:rsidRPr="0007753D">
        <w:rPr>
          <w:i/>
          <w:iCs/>
        </w:rPr>
        <w:t xml:space="preserve"> </w:t>
      </w:r>
      <w:r w:rsidRPr="0007753D">
        <w:rPr>
          <w:i/>
          <w:iCs/>
        </w:rPr>
        <w:t>preventive</w:t>
      </w:r>
      <w:r w:rsidR="008243CA" w:rsidRPr="0007753D">
        <w:rPr>
          <w:i/>
          <w:iCs/>
        </w:rPr>
        <w:t xml:space="preserve"> </w:t>
      </w:r>
      <w:r w:rsidRPr="0007753D">
        <w:rPr>
          <w:i/>
          <w:iCs/>
        </w:rPr>
        <w:t>mechanism,</w:t>
      </w:r>
      <w:r w:rsidR="008243CA" w:rsidRPr="0007753D">
        <w:rPr>
          <w:i/>
          <w:iCs/>
        </w:rPr>
        <w:t xml:space="preserve"> </w:t>
      </w:r>
      <w:r w:rsidRPr="0007753D">
        <w:rPr>
          <w:i/>
          <w:iCs/>
        </w:rPr>
        <w:t>could</w:t>
      </w:r>
      <w:r w:rsidR="008243CA" w:rsidRPr="0007753D">
        <w:rPr>
          <w:i/>
          <w:iCs/>
        </w:rPr>
        <w:t xml:space="preserve"> </w:t>
      </w:r>
      <w:r w:rsidRPr="0007753D">
        <w:rPr>
          <w:i/>
          <w:iCs/>
        </w:rPr>
        <w:t>provide</w:t>
      </w:r>
      <w:r w:rsidR="008243CA" w:rsidRPr="0007753D">
        <w:rPr>
          <w:i/>
          <w:iCs/>
        </w:rPr>
        <w:t xml:space="preserve"> </w:t>
      </w:r>
      <w:r w:rsidRPr="0007753D">
        <w:rPr>
          <w:i/>
          <w:iCs/>
        </w:rPr>
        <w:t>suitable</w:t>
      </w:r>
      <w:r w:rsidR="008243CA" w:rsidRPr="0007753D">
        <w:rPr>
          <w:i/>
          <w:iCs/>
        </w:rPr>
        <w:t xml:space="preserve"> </w:t>
      </w:r>
      <w:r w:rsidRPr="0007753D">
        <w:rPr>
          <w:i/>
          <w:iCs/>
        </w:rPr>
        <w:t>follow-up</w:t>
      </w:r>
      <w:r w:rsidR="008243CA" w:rsidRPr="0007753D">
        <w:rPr>
          <w:i/>
          <w:iCs/>
        </w:rPr>
        <w:t xml:space="preserve"> </w:t>
      </w:r>
      <w:r w:rsidRPr="0007753D">
        <w:rPr>
          <w:i/>
          <w:iCs/>
        </w:rPr>
        <w:t>in</w:t>
      </w:r>
      <w:r w:rsidR="008243CA" w:rsidRPr="0007753D">
        <w:rPr>
          <w:i/>
          <w:iCs/>
        </w:rPr>
        <w:t xml:space="preserve"> </w:t>
      </w:r>
      <w:r w:rsidRPr="0007753D">
        <w:rPr>
          <w:i/>
          <w:iCs/>
        </w:rPr>
        <w:t>such</w:t>
      </w:r>
      <w:r w:rsidR="008243CA" w:rsidRPr="0007753D">
        <w:rPr>
          <w:i/>
          <w:iCs/>
        </w:rPr>
        <w:t xml:space="preserve"> </w:t>
      </w:r>
      <w:r w:rsidRPr="0007753D">
        <w:rPr>
          <w:i/>
          <w:iCs/>
        </w:rPr>
        <w:t>situations.</w:t>
      </w:r>
    </w:p>
    <w:p w:rsidR="003F7D03" w:rsidRPr="00E62FE6" w:rsidRDefault="003F7D03" w:rsidP="000C6D98">
      <w:pPr>
        <w:pStyle w:val="SingleTxtG"/>
      </w:pPr>
      <w:r w:rsidRPr="00E62FE6">
        <w:t>100.</w:t>
      </w:r>
      <w:r w:rsidRPr="00E62FE6">
        <w:tab/>
        <w:t>Through</w:t>
      </w:r>
      <w:r w:rsidR="008243CA">
        <w:t xml:space="preserve"> </w:t>
      </w:r>
      <w:r w:rsidRPr="00E62FE6">
        <w:t>the</w:t>
      </w:r>
      <w:r w:rsidR="008243CA">
        <w:t xml:space="preserve"> </w:t>
      </w:r>
      <w:r w:rsidRPr="00E62FE6">
        <w:t>above-mentioned</w:t>
      </w:r>
      <w:r w:rsidR="008243CA">
        <w:t xml:space="preserve"> </w:t>
      </w:r>
      <w:r w:rsidRPr="00E62FE6">
        <w:t>framework</w:t>
      </w:r>
      <w:r w:rsidR="008243CA">
        <w:t xml:space="preserve"> </w:t>
      </w:r>
      <w:r w:rsidRPr="00E62FE6">
        <w:t>cooperation</w:t>
      </w:r>
      <w:r w:rsidR="008243CA">
        <w:t xml:space="preserve"> </w:t>
      </w:r>
      <w:r w:rsidRPr="00E62FE6">
        <w:t>agreement,</w:t>
      </w:r>
      <w:r w:rsidR="008243CA">
        <w:t xml:space="preserve"> </w:t>
      </w:r>
      <w:r w:rsidRPr="00E62FE6">
        <w:t>the</w:t>
      </w:r>
      <w:r w:rsidR="008243CA">
        <w:t xml:space="preserve"> </w:t>
      </w:r>
      <w:r w:rsidRPr="00E62FE6">
        <w:t>institutions</w:t>
      </w:r>
      <w:r w:rsidR="008243CA">
        <w:t xml:space="preserve"> </w:t>
      </w:r>
      <w:r w:rsidRPr="00E62FE6">
        <w:t>party</w:t>
      </w:r>
      <w:r w:rsidR="008243CA">
        <w:t xml:space="preserve"> </w:t>
      </w:r>
      <w:r w:rsidRPr="00E62FE6">
        <w:t>thereto</w:t>
      </w:r>
      <w:r w:rsidR="008243CA">
        <w:t xml:space="preserve"> </w:t>
      </w:r>
      <w:r w:rsidRPr="00E62FE6">
        <w:t>recognize,</w:t>
      </w:r>
      <w:r w:rsidR="008243CA">
        <w:t xml:space="preserve"> </w:t>
      </w:r>
      <w:r w:rsidRPr="00E62FE6">
        <w:t>within</w:t>
      </w:r>
      <w:r w:rsidR="008243CA">
        <w:t xml:space="preserve"> </w:t>
      </w:r>
      <w:r w:rsidRPr="00E62FE6">
        <w:t>the</w:t>
      </w:r>
      <w:r w:rsidR="008243CA">
        <w:t xml:space="preserve"> </w:t>
      </w:r>
      <w:r w:rsidRPr="00E62FE6">
        <w:t>scope</w:t>
      </w:r>
      <w:r w:rsidR="008243CA">
        <w:t xml:space="preserve"> </w:t>
      </w:r>
      <w:r w:rsidRPr="00E62FE6">
        <w:t>of</w:t>
      </w:r>
      <w:r w:rsidR="008243CA">
        <w:t xml:space="preserve"> </w:t>
      </w:r>
      <w:r w:rsidRPr="00E62FE6">
        <w:t>their</w:t>
      </w:r>
      <w:r w:rsidR="008243CA">
        <w:t xml:space="preserve"> </w:t>
      </w:r>
      <w:r w:rsidRPr="00E62FE6">
        <w:t>respective</w:t>
      </w:r>
      <w:r w:rsidR="008243CA">
        <w:t xml:space="preserve"> </w:t>
      </w:r>
      <w:r w:rsidRPr="00E62FE6">
        <w:t>competence,</w:t>
      </w:r>
      <w:r w:rsidR="008243CA">
        <w:t xml:space="preserve"> </w:t>
      </w:r>
      <w:r w:rsidRPr="00E62FE6">
        <w:t>the</w:t>
      </w:r>
      <w:r w:rsidR="008243CA">
        <w:t xml:space="preserve"> </w:t>
      </w:r>
      <w:r w:rsidRPr="00E62FE6">
        <w:t>importance</w:t>
      </w:r>
      <w:r w:rsidR="008243CA">
        <w:t xml:space="preserve"> </w:t>
      </w:r>
      <w:r w:rsidRPr="00E62FE6">
        <w:t>and</w:t>
      </w:r>
      <w:r w:rsidR="008243CA">
        <w:t xml:space="preserve"> </w:t>
      </w:r>
      <w:r w:rsidRPr="00E62FE6">
        <w:t>necessity</w:t>
      </w:r>
      <w:r w:rsidR="008243CA">
        <w:t xml:space="preserve"> </w:t>
      </w:r>
      <w:r w:rsidRPr="00E62FE6">
        <w:t>of</w:t>
      </w:r>
      <w:r w:rsidR="008243CA">
        <w:t xml:space="preserve"> </w:t>
      </w:r>
      <w:r w:rsidRPr="00E62FE6">
        <w:t>strengthening</w:t>
      </w:r>
      <w:r w:rsidR="008243CA">
        <w:t xml:space="preserve"> </w:t>
      </w:r>
      <w:r w:rsidRPr="00E62FE6">
        <w:t>the</w:t>
      </w:r>
      <w:r w:rsidR="008243CA">
        <w:t xml:space="preserve"> </w:t>
      </w:r>
      <w:r w:rsidRPr="00E62FE6">
        <w:t>development</w:t>
      </w:r>
      <w:r w:rsidR="008243CA">
        <w:t xml:space="preserve"> </w:t>
      </w:r>
      <w:r w:rsidRPr="00E62FE6">
        <w:t>of</w:t>
      </w:r>
      <w:r w:rsidR="008243CA">
        <w:t xml:space="preserve"> </w:t>
      </w:r>
      <w:proofErr w:type="spellStart"/>
      <w:r w:rsidRPr="00E62FE6">
        <w:t>intersectoral</w:t>
      </w:r>
      <w:proofErr w:type="spellEnd"/>
      <w:r w:rsidR="008243CA">
        <w:t xml:space="preserve"> </w:t>
      </w:r>
      <w:r w:rsidRPr="00E62FE6">
        <w:t>policies</w:t>
      </w:r>
      <w:r w:rsidR="008243CA">
        <w:t xml:space="preserve"> </w:t>
      </w:r>
      <w:r w:rsidRPr="00E62FE6">
        <w:t>that</w:t>
      </w:r>
      <w:r w:rsidR="008243CA">
        <w:t xml:space="preserve"> </w:t>
      </w:r>
      <w:r w:rsidRPr="00E62FE6">
        <w:t>seek</w:t>
      </w:r>
      <w:r w:rsidR="008243CA">
        <w:t xml:space="preserve"> </w:t>
      </w:r>
      <w:r w:rsidRPr="00E62FE6">
        <w:t>to</w:t>
      </w:r>
      <w:r w:rsidR="008243CA">
        <w:t xml:space="preserve"> </w:t>
      </w:r>
      <w:r w:rsidRPr="00E62FE6">
        <w:t>safeguard</w:t>
      </w:r>
      <w:r w:rsidR="008243CA">
        <w:t xml:space="preserve"> </w:t>
      </w:r>
      <w:r w:rsidRPr="00E62FE6">
        <w:t>the</w:t>
      </w:r>
      <w:r w:rsidR="008243CA">
        <w:t xml:space="preserve"> </w:t>
      </w:r>
      <w:r w:rsidRPr="00E62FE6">
        <w:t>right</w:t>
      </w:r>
      <w:r w:rsidR="008243CA">
        <w:t xml:space="preserve"> </w:t>
      </w:r>
      <w:r w:rsidRPr="00E62FE6">
        <w:t>to</w:t>
      </w:r>
      <w:r w:rsidR="008243CA">
        <w:t xml:space="preserve"> </w:t>
      </w:r>
      <w:r w:rsidRPr="00E62FE6">
        <w:t>health</w:t>
      </w:r>
      <w:r w:rsidR="008243CA">
        <w:t xml:space="preserve"> </w:t>
      </w:r>
      <w:r w:rsidRPr="00E62FE6">
        <w:t>care.</w:t>
      </w:r>
      <w:r w:rsidR="008243CA">
        <w:t xml:space="preserve"> </w:t>
      </w:r>
      <w:r w:rsidRPr="00E62FE6">
        <w:t>The</w:t>
      </w:r>
      <w:r w:rsidR="008243CA">
        <w:t xml:space="preserve"> </w:t>
      </w:r>
      <w:r w:rsidRPr="00E62FE6">
        <w:t>purpose</w:t>
      </w:r>
      <w:r w:rsidR="008243CA">
        <w:t xml:space="preserve"> </w:t>
      </w:r>
      <w:r w:rsidRPr="00E62FE6">
        <w:t>of</w:t>
      </w:r>
      <w:r w:rsidR="008243CA">
        <w:t xml:space="preserve"> </w:t>
      </w:r>
      <w:r w:rsidRPr="00E62FE6">
        <w:t>this</w:t>
      </w:r>
      <w:r w:rsidR="008243CA">
        <w:t xml:space="preserve"> </w:t>
      </w:r>
      <w:r w:rsidRPr="00E62FE6">
        <w:t>framework</w:t>
      </w:r>
      <w:r w:rsidR="008243CA">
        <w:t xml:space="preserve"> </w:t>
      </w:r>
      <w:r w:rsidRPr="00E62FE6">
        <w:t>agreement</w:t>
      </w:r>
      <w:r w:rsidR="008243CA">
        <w:t xml:space="preserve"> </w:t>
      </w:r>
      <w:r w:rsidRPr="00E62FE6">
        <w:t>is</w:t>
      </w:r>
      <w:r w:rsidR="008243CA">
        <w:t xml:space="preserve"> </w:t>
      </w:r>
      <w:r w:rsidRPr="00E62FE6">
        <w:t>to</w:t>
      </w:r>
      <w:r w:rsidR="008243CA">
        <w:t xml:space="preserve"> </w:t>
      </w:r>
      <w:r w:rsidRPr="00E62FE6">
        <w:t>coordinate</w:t>
      </w:r>
      <w:r w:rsidR="008243CA">
        <w:t xml:space="preserve"> </w:t>
      </w:r>
      <w:r w:rsidRPr="00E62FE6">
        <w:t>inter-institutional</w:t>
      </w:r>
      <w:r w:rsidR="008243CA">
        <w:t xml:space="preserve"> </w:t>
      </w:r>
      <w:r w:rsidRPr="00E62FE6">
        <w:t>work</w:t>
      </w:r>
      <w:r w:rsidR="008243CA">
        <w:t xml:space="preserve"> </w:t>
      </w:r>
      <w:r w:rsidRPr="00E62FE6">
        <w:t>between</w:t>
      </w:r>
      <w:r w:rsidR="008243CA">
        <w:t xml:space="preserve"> </w:t>
      </w:r>
      <w:r w:rsidRPr="00E62FE6">
        <w:t>the</w:t>
      </w:r>
      <w:r w:rsidR="008243CA">
        <w:t xml:space="preserve"> </w:t>
      </w:r>
      <w:r w:rsidRPr="00E62FE6">
        <w:t>entities</w:t>
      </w:r>
      <w:r w:rsidR="008243CA">
        <w:t xml:space="preserve"> </w:t>
      </w:r>
      <w:r w:rsidRPr="00E62FE6">
        <w:t>specified</w:t>
      </w:r>
      <w:r w:rsidR="008243CA">
        <w:t xml:space="preserve"> </w:t>
      </w:r>
      <w:r w:rsidRPr="00E62FE6">
        <w:t>in</w:t>
      </w:r>
      <w:r w:rsidR="008243CA">
        <w:t xml:space="preserve"> </w:t>
      </w:r>
      <w:r w:rsidRPr="00E62FE6">
        <w:t>the</w:t>
      </w:r>
      <w:r w:rsidR="008243CA">
        <w:t xml:space="preserve"> </w:t>
      </w:r>
      <w:r w:rsidRPr="00E62FE6">
        <w:t>agreement</w:t>
      </w:r>
      <w:r w:rsidR="008243CA">
        <w:t xml:space="preserve"> </w:t>
      </w:r>
      <w:r w:rsidRPr="00E62FE6">
        <w:t>with</w:t>
      </w:r>
      <w:r w:rsidR="008243CA">
        <w:t xml:space="preserve"> </w:t>
      </w:r>
      <w:r w:rsidRPr="00E62FE6">
        <w:t>a</w:t>
      </w:r>
      <w:r w:rsidR="008243CA">
        <w:t xml:space="preserve"> </w:t>
      </w:r>
      <w:r w:rsidRPr="00E62FE6">
        <w:t>view</w:t>
      </w:r>
      <w:r w:rsidR="008243CA">
        <w:t xml:space="preserve"> </w:t>
      </w:r>
      <w:r w:rsidRPr="00E62FE6">
        <w:t>to</w:t>
      </w:r>
      <w:r w:rsidR="008243CA">
        <w:t xml:space="preserve"> </w:t>
      </w:r>
      <w:r w:rsidRPr="00E62FE6">
        <w:t>progressively</w:t>
      </w:r>
      <w:r w:rsidR="008243CA">
        <w:t xml:space="preserve"> </w:t>
      </w:r>
      <w:r w:rsidRPr="00E62FE6">
        <w:t>improving</w:t>
      </w:r>
      <w:r w:rsidR="008243CA">
        <w:t xml:space="preserve"> </w:t>
      </w:r>
      <w:r w:rsidRPr="00E62FE6">
        <w:t>the</w:t>
      </w:r>
      <w:r w:rsidR="008243CA">
        <w:t xml:space="preserve"> </w:t>
      </w:r>
      <w:r w:rsidRPr="00E62FE6">
        <w:t>sanitary</w:t>
      </w:r>
      <w:r w:rsidR="008243CA">
        <w:t xml:space="preserve"> </w:t>
      </w:r>
      <w:r w:rsidRPr="00E62FE6">
        <w:t>conditions</w:t>
      </w:r>
      <w:r w:rsidR="008243CA">
        <w:t xml:space="preserve"> </w:t>
      </w:r>
      <w:r w:rsidRPr="00E62FE6">
        <w:t>of</w:t>
      </w:r>
      <w:r w:rsidR="008243CA">
        <w:t xml:space="preserve"> </w:t>
      </w:r>
      <w:r w:rsidRPr="00E62FE6">
        <w:t>prisons</w:t>
      </w:r>
      <w:r w:rsidR="008243CA">
        <w:t xml:space="preserve"> </w:t>
      </w:r>
      <w:r w:rsidRPr="00E62FE6">
        <w:t>and</w:t>
      </w:r>
      <w:r w:rsidR="008243CA">
        <w:t xml:space="preserve"> </w:t>
      </w:r>
      <w:r w:rsidRPr="00E62FE6">
        <w:t>the</w:t>
      </w:r>
      <w:r w:rsidR="008243CA">
        <w:t xml:space="preserve"> </w:t>
      </w:r>
      <w:r w:rsidRPr="00E62FE6">
        <w:t>health</w:t>
      </w:r>
      <w:r w:rsidR="008243CA">
        <w:t xml:space="preserve"> </w:t>
      </w:r>
      <w:r w:rsidRPr="00E62FE6">
        <w:t>of</w:t>
      </w:r>
      <w:r w:rsidR="008243CA">
        <w:t xml:space="preserve"> </w:t>
      </w:r>
      <w:r w:rsidRPr="00E62FE6">
        <w:t>the</w:t>
      </w:r>
      <w:r w:rsidR="008243CA">
        <w:t xml:space="preserve"> </w:t>
      </w:r>
      <w:r w:rsidRPr="00E62FE6">
        <w:t>general</w:t>
      </w:r>
      <w:r w:rsidR="008243CA">
        <w:t xml:space="preserve"> </w:t>
      </w:r>
      <w:r w:rsidRPr="00E62FE6">
        <w:t>prison</w:t>
      </w:r>
      <w:r w:rsidR="008243CA">
        <w:t xml:space="preserve"> </w:t>
      </w:r>
      <w:r w:rsidRPr="00E62FE6">
        <w:t>population.</w:t>
      </w:r>
    </w:p>
    <w:p w:rsidR="003F7D03" w:rsidRPr="00E62FE6" w:rsidRDefault="003F7D03" w:rsidP="005C7A32">
      <w:pPr>
        <w:pStyle w:val="SingleTxtG"/>
      </w:pPr>
      <w:r w:rsidRPr="00E62FE6">
        <w:t>101.</w:t>
      </w:r>
      <w:r w:rsidRPr="00E62FE6">
        <w:tab/>
        <w:t>With</w:t>
      </w:r>
      <w:r w:rsidR="008243CA">
        <w:t xml:space="preserve"> </w:t>
      </w:r>
      <w:r w:rsidRPr="00E62FE6">
        <w:t>regard</w:t>
      </w:r>
      <w:r w:rsidR="008243CA">
        <w:t xml:space="preserve"> </w:t>
      </w:r>
      <w:r w:rsidRPr="00E62FE6">
        <w:t>to</w:t>
      </w:r>
      <w:r w:rsidR="008243CA">
        <w:t xml:space="preserve"> </w:t>
      </w:r>
      <w:r w:rsidRPr="00E62FE6">
        <w:t>the</w:t>
      </w:r>
      <w:r w:rsidR="008243CA">
        <w:t xml:space="preserve"> </w:t>
      </w:r>
      <w:r w:rsidRPr="00E62FE6">
        <w:t>recommendation,</w:t>
      </w:r>
      <w:r w:rsidR="008243CA">
        <w:t xml:space="preserve"> </w:t>
      </w:r>
      <w:r w:rsidRPr="00E62FE6">
        <w:t>the</w:t>
      </w:r>
      <w:r w:rsidR="008243CA">
        <w:t xml:space="preserve"> </w:t>
      </w:r>
      <w:r w:rsidRPr="00E62FE6">
        <w:t>Santiago</w:t>
      </w:r>
      <w:r w:rsidR="008243CA">
        <w:t xml:space="preserve"> </w:t>
      </w:r>
      <w:r w:rsidRPr="00E62FE6">
        <w:t>prison</w:t>
      </w:r>
      <w:r w:rsidR="008243CA">
        <w:t xml:space="preserve"> </w:t>
      </w:r>
      <w:r w:rsidRPr="00E62FE6">
        <w:t>hospital</w:t>
      </w:r>
      <w:r w:rsidR="008243CA">
        <w:t xml:space="preserve"> </w:t>
      </w:r>
      <w:r w:rsidRPr="00E62FE6">
        <w:t>is</w:t>
      </w:r>
      <w:r w:rsidR="008243CA">
        <w:t xml:space="preserve"> </w:t>
      </w:r>
      <w:r w:rsidRPr="00E62FE6">
        <w:t>a</w:t>
      </w:r>
      <w:r w:rsidR="008243CA">
        <w:t xml:space="preserve"> </w:t>
      </w:r>
      <w:r w:rsidRPr="00E62FE6">
        <w:t>specialized</w:t>
      </w:r>
      <w:r w:rsidR="008243CA">
        <w:t xml:space="preserve"> </w:t>
      </w:r>
      <w:r w:rsidRPr="00E62FE6">
        <w:t>care</w:t>
      </w:r>
      <w:r w:rsidR="008243CA">
        <w:t xml:space="preserve"> </w:t>
      </w:r>
      <w:r w:rsidRPr="00E62FE6">
        <w:t>centre</w:t>
      </w:r>
      <w:r w:rsidR="008243CA">
        <w:t xml:space="preserve"> </w:t>
      </w:r>
      <w:r w:rsidRPr="00E62FE6">
        <w:t>not</w:t>
      </w:r>
      <w:r w:rsidR="008243CA">
        <w:t xml:space="preserve"> </w:t>
      </w:r>
      <w:r w:rsidRPr="00E62FE6">
        <w:t>outsourced</w:t>
      </w:r>
      <w:r w:rsidR="008243CA">
        <w:t xml:space="preserve"> </w:t>
      </w:r>
      <w:r w:rsidRPr="00E62FE6">
        <w:t>by</w:t>
      </w:r>
      <w:r w:rsidR="008243CA">
        <w:t xml:space="preserve"> </w:t>
      </w:r>
      <w:r w:rsidRPr="00E62FE6">
        <w:t>the</w:t>
      </w:r>
      <w:r w:rsidR="008243CA">
        <w:t xml:space="preserve"> </w:t>
      </w:r>
      <w:r w:rsidRPr="00E62FE6">
        <w:t>Prison</w:t>
      </w:r>
      <w:r w:rsidR="008243CA">
        <w:t xml:space="preserve"> </w:t>
      </w:r>
      <w:r w:rsidRPr="00E62FE6">
        <w:t>Service</w:t>
      </w:r>
      <w:r w:rsidR="008243CA">
        <w:t xml:space="preserve"> </w:t>
      </w:r>
      <w:r w:rsidRPr="00E62FE6">
        <w:t>which</w:t>
      </w:r>
      <w:r w:rsidR="008243CA">
        <w:t xml:space="preserve"> </w:t>
      </w:r>
      <w:r w:rsidRPr="00E62FE6">
        <w:t>provides</w:t>
      </w:r>
      <w:r w:rsidR="008243CA">
        <w:t xml:space="preserve"> </w:t>
      </w:r>
      <w:r w:rsidRPr="00E62FE6">
        <w:t>specialized</w:t>
      </w:r>
      <w:r w:rsidR="008243CA">
        <w:t xml:space="preserve"> </w:t>
      </w:r>
      <w:r w:rsidRPr="00E62FE6">
        <w:t>care.</w:t>
      </w:r>
      <w:r w:rsidR="008243CA">
        <w:t xml:space="preserve"> </w:t>
      </w:r>
      <w:r w:rsidRPr="00E62FE6">
        <w:t>This</w:t>
      </w:r>
      <w:r w:rsidR="008243CA">
        <w:t xml:space="preserve"> </w:t>
      </w:r>
      <w:r w:rsidRPr="00E62FE6">
        <w:t>centre</w:t>
      </w:r>
      <w:r w:rsidR="008243CA">
        <w:t xml:space="preserve"> </w:t>
      </w:r>
      <w:r w:rsidRPr="00E62FE6">
        <w:t>provides</w:t>
      </w:r>
      <w:r w:rsidR="008243CA">
        <w:t xml:space="preserve"> </w:t>
      </w:r>
      <w:r w:rsidRPr="00E62FE6">
        <w:t>dental</w:t>
      </w:r>
      <w:r w:rsidR="008243CA">
        <w:t xml:space="preserve"> </w:t>
      </w:r>
      <w:r w:rsidRPr="00E62FE6">
        <w:t>care,</w:t>
      </w:r>
      <w:r w:rsidR="008243CA">
        <w:t xml:space="preserve"> </w:t>
      </w:r>
      <w:r w:rsidRPr="00E62FE6">
        <w:t>emergency</w:t>
      </w:r>
      <w:r w:rsidR="008243CA">
        <w:t xml:space="preserve"> </w:t>
      </w:r>
      <w:r w:rsidRPr="00E62FE6">
        <w:t>services</w:t>
      </w:r>
      <w:r w:rsidR="008243CA">
        <w:t xml:space="preserve"> </w:t>
      </w:r>
      <w:r w:rsidRPr="00E62FE6">
        <w:t>and</w:t>
      </w:r>
      <w:r w:rsidR="008243CA">
        <w:t xml:space="preserve"> </w:t>
      </w:r>
      <w:r w:rsidRPr="00E62FE6">
        <w:t>services</w:t>
      </w:r>
      <w:r w:rsidR="008243CA">
        <w:t xml:space="preserve"> </w:t>
      </w:r>
      <w:r w:rsidRPr="00E62FE6">
        <w:t>in</w:t>
      </w:r>
      <w:r w:rsidR="008243CA">
        <w:t xml:space="preserve"> </w:t>
      </w:r>
      <w:r w:rsidRPr="00E62FE6">
        <w:t>psychiatry,</w:t>
      </w:r>
      <w:r w:rsidR="008243CA">
        <w:t xml:space="preserve"> </w:t>
      </w:r>
      <w:r w:rsidR="005C7A32">
        <w:t>s</w:t>
      </w:r>
      <w:r w:rsidRPr="00E62FE6">
        <w:t>urgery,</w:t>
      </w:r>
      <w:r w:rsidR="008243CA">
        <w:t xml:space="preserve"> </w:t>
      </w:r>
      <w:r w:rsidRPr="00E62FE6">
        <w:t>internal</w:t>
      </w:r>
      <w:r w:rsidR="008243CA">
        <w:t xml:space="preserve"> </w:t>
      </w:r>
      <w:r w:rsidRPr="00E62FE6">
        <w:t>medicine,</w:t>
      </w:r>
      <w:r w:rsidR="008243CA">
        <w:t xml:space="preserve"> </w:t>
      </w:r>
      <w:r w:rsidRPr="00E62FE6">
        <w:t>nutrition</w:t>
      </w:r>
      <w:r w:rsidR="008243CA">
        <w:t xml:space="preserve"> </w:t>
      </w:r>
      <w:r w:rsidRPr="00E62FE6">
        <w:t>and</w:t>
      </w:r>
      <w:r w:rsidR="008243CA">
        <w:t xml:space="preserve"> </w:t>
      </w:r>
      <w:r w:rsidRPr="00E62FE6">
        <w:t>physiotherapy.</w:t>
      </w:r>
      <w:r w:rsidR="008243CA">
        <w:t xml:space="preserve"> </w:t>
      </w:r>
      <w:r w:rsidRPr="00E62FE6">
        <w:t>In</w:t>
      </w:r>
      <w:r w:rsidR="008243CA">
        <w:t xml:space="preserve"> </w:t>
      </w:r>
      <w:r w:rsidRPr="00E62FE6">
        <w:t>addition,</w:t>
      </w:r>
      <w:r w:rsidR="008243CA">
        <w:t xml:space="preserve"> </w:t>
      </w:r>
      <w:r w:rsidRPr="00E62FE6">
        <w:t>midwife</w:t>
      </w:r>
      <w:r w:rsidR="008243CA">
        <w:t xml:space="preserve"> </w:t>
      </w:r>
      <w:r w:rsidRPr="00E62FE6">
        <w:t>care</w:t>
      </w:r>
      <w:r w:rsidR="008243CA">
        <w:t xml:space="preserve"> </w:t>
      </w:r>
      <w:r w:rsidRPr="00E62FE6">
        <w:t>is</w:t>
      </w:r>
      <w:r w:rsidR="008243CA">
        <w:t xml:space="preserve"> </w:t>
      </w:r>
      <w:r w:rsidRPr="00E62FE6">
        <w:t>available</w:t>
      </w:r>
      <w:r w:rsidR="008243CA">
        <w:t xml:space="preserve"> </w:t>
      </w:r>
      <w:r w:rsidRPr="00E62FE6">
        <w:t>in</w:t>
      </w:r>
      <w:r w:rsidR="008243CA">
        <w:t xml:space="preserve"> </w:t>
      </w:r>
      <w:r w:rsidRPr="00E62FE6">
        <w:t>prisons</w:t>
      </w:r>
      <w:r w:rsidR="008243CA">
        <w:t xml:space="preserve"> </w:t>
      </w:r>
      <w:r w:rsidRPr="00E62FE6">
        <w:t>with</w:t>
      </w:r>
      <w:r w:rsidR="008243CA">
        <w:t xml:space="preserve"> </w:t>
      </w:r>
      <w:r w:rsidRPr="00E62FE6">
        <w:t>a</w:t>
      </w:r>
      <w:r w:rsidR="008243CA">
        <w:t xml:space="preserve"> </w:t>
      </w:r>
      <w:r w:rsidRPr="00E62FE6">
        <w:t>female</w:t>
      </w:r>
      <w:r w:rsidR="008243CA">
        <w:t xml:space="preserve"> </w:t>
      </w:r>
      <w:r w:rsidRPr="00E62FE6">
        <w:t>population.</w:t>
      </w:r>
      <w:r w:rsidR="008243CA">
        <w:t xml:space="preserve"> </w:t>
      </w:r>
      <w:r w:rsidRPr="00E62FE6">
        <w:t>In</w:t>
      </w:r>
      <w:r w:rsidR="008243CA">
        <w:t xml:space="preserve"> </w:t>
      </w:r>
      <w:r w:rsidRPr="00E62FE6">
        <w:t>November,</w:t>
      </w:r>
      <w:r w:rsidR="008243CA">
        <w:t xml:space="preserve"> </w:t>
      </w:r>
      <w:r w:rsidRPr="00E62FE6">
        <w:t>the</w:t>
      </w:r>
      <w:r w:rsidR="008243CA">
        <w:t xml:space="preserve"> </w:t>
      </w:r>
      <w:r w:rsidRPr="00E62FE6">
        <w:t>number</w:t>
      </w:r>
      <w:r w:rsidR="008243CA">
        <w:t xml:space="preserve"> </w:t>
      </w:r>
      <w:r w:rsidRPr="00E62FE6">
        <w:t>of</w:t>
      </w:r>
      <w:r w:rsidR="008243CA">
        <w:t xml:space="preserve"> </w:t>
      </w:r>
      <w:r w:rsidRPr="00E62FE6">
        <w:t>hours</w:t>
      </w:r>
      <w:r w:rsidR="008243CA">
        <w:t xml:space="preserve"> </w:t>
      </w:r>
      <w:r w:rsidRPr="00E62FE6">
        <w:t>of</w:t>
      </w:r>
      <w:r w:rsidR="008243CA">
        <w:t xml:space="preserve"> </w:t>
      </w:r>
      <w:r w:rsidRPr="00E62FE6">
        <w:t>psychiatric</w:t>
      </w:r>
      <w:r w:rsidR="008243CA">
        <w:t xml:space="preserve"> </w:t>
      </w:r>
      <w:r w:rsidRPr="00E62FE6">
        <w:t>care</w:t>
      </w:r>
      <w:r w:rsidR="008243CA">
        <w:t xml:space="preserve"> </w:t>
      </w:r>
      <w:r w:rsidRPr="00E62FE6">
        <w:t>was</w:t>
      </w:r>
      <w:r w:rsidR="008243CA">
        <w:t xml:space="preserve"> </w:t>
      </w:r>
      <w:r w:rsidRPr="00E62FE6">
        <w:t>increased</w:t>
      </w:r>
      <w:r w:rsidR="008243CA">
        <w:t xml:space="preserve"> </w:t>
      </w:r>
      <w:r w:rsidRPr="00E62FE6">
        <w:t>to</w:t>
      </w:r>
      <w:r w:rsidR="008243CA">
        <w:t xml:space="preserve"> </w:t>
      </w:r>
      <w:r w:rsidRPr="00E62FE6">
        <w:t>33.</w:t>
      </w:r>
    </w:p>
    <w:p w:rsidR="003F7D03" w:rsidRPr="00E62FE6" w:rsidRDefault="003F7D03" w:rsidP="000C6D98">
      <w:pPr>
        <w:pStyle w:val="SingleTxtG"/>
      </w:pPr>
      <w:r w:rsidRPr="00E62FE6">
        <w:t>102.</w:t>
      </w:r>
      <w:r w:rsidRPr="00E62FE6">
        <w:tab/>
        <w:t>Furthermore,</w:t>
      </w:r>
      <w:r w:rsidR="008243CA">
        <w:t xml:space="preserve"> </w:t>
      </w:r>
      <w:r w:rsidRPr="00E62FE6">
        <w:t>the</w:t>
      </w:r>
      <w:r w:rsidR="008243CA">
        <w:t xml:space="preserve"> </w:t>
      </w:r>
      <w:r w:rsidRPr="00E62FE6">
        <w:t>following</w:t>
      </w:r>
      <w:r w:rsidR="008243CA">
        <w:t xml:space="preserve"> </w:t>
      </w:r>
      <w:r w:rsidRPr="00E62FE6">
        <w:t>specializations</w:t>
      </w:r>
      <w:r w:rsidR="008243CA">
        <w:t xml:space="preserve"> </w:t>
      </w:r>
      <w:r w:rsidRPr="00E62FE6">
        <w:t>are</w:t>
      </w:r>
      <w:r w:rsidR="008243CA">
        <w:t xml:space="preserve"> </w:t>
      </w:r>
      <w:r w:rsidRPr="00E62FE6">
        <w:t>available</w:t>
      </w:r>
      <w:r w:rsidR="008243CA">
        <w:t xml:space="preserve"> </w:t>
      </w:r>
      <w:r w:rsidRPr="00E62FE6">
        <w:t>in</w:t>
      </w:r>
      <w:r w:rsidR="008243CA">
        <w:t xml:space="preserve"> </w:t>
      </w:r>
      <w:r w:rsidRPr="00E62FE6">
        <w:t>outsourced</w:t>
      </w:r>
      <w:r w:rsidR="008243CA">
        <w:t xml:space="preserve"> </w:t>
      </w:r>
      <w:r w:rsidRPr="00E62FE6">
        <w:t>units:</w:t>
      </w:r>
      <w:r w:rsidR="008243CA">
        <w:t xml:space="preserve"> </w:t>
      </w:r>
      <w:r w:rsidRPr="00E62FE6">
        <w:t>emergency</w:t>
      </w:r>
      <w:r w:rsidR="008243CA">
        <w:t xml:space="preserve"> </w:t>
      </w:r>
      <w:r w:rsidRPr="00E62FE6">
        <w:t>services,</w:t>
      </w:r>
      <w:r w:rsidR="008243CA">
        <w:t xml:space="preserve"> </w:t>
      </w:r>
      <w:r w:rsidRPr="00E62FE6">
        <w:t>psychiatry,</w:t>
      </w:r>
      <w:r w:rsidR="008243CA">
        <w:t xml:space="preserve"> </w:t>
      </w:r>
      <w:r w:rsidRPr="00E62FE6">
        <w:t>dental</w:t>
      </w:r>
      <w:r w:rsidR="008243CA">
        <w:t xml:space="preserve"> </w:t>
      </w:r>
      <w:r w:rsidRPr="00E62FE6">
        <w:t>care</w:t>
      </w:r>
      <w:r w:rsidR="008243CA">
        <w:t xml:space="preserve"> </w:t>
      </w:r>
      <w:r w:rsidRPr="00E62FE6">
        <w:t>and</w:t>
      </w:r>
      <w:r w:rsidR="008243CA">
        <w:t xml:space="preserve"> </w:t>
      </w:r>
      <w:r w:rsidRPr="00E62FE6">
        <w:t>internal</w:t>
      </w:r>
      <w:r w:rsidR="008243CA">
        <w:t xml:space="preserve"> </w:t>
      </w:r>
      <w:r w:rsidRPr="00E62FE6">
        <w:t>medicine.</w:t>
      </w:r>
      <w:r w:rsidR="008243CA">
        <w:t xml:space="preserve"> </w:t>
      </w:r>
      <w:r w:rsidRPr="00E62FE6">
        <w:t>Gynaecologists,</w:t>
      </w:r>
      <w:r w:rsidR="008243CA">
        <w:t xml:space="preserve"> </w:t>
      </w:r>
      <w:r w:rsidRPr="00E62FE6">
        <w:t>midwives</w:t>
      </w:r>
      <w:r w:rsidR="008243CA">
        <w:t xml:space="preserve"> </w:t>
      </w:r>
      <w:r w:rsidRPr="00E62FE6">
        <w:t>and</w:t>
      </w:r>
      <w:r w:rsidR="008243CA">
        <w:t xml:space="preserve"> </w:t>
      </w:r>
      <w:r w:rsidRPr="00E62FE6">
        <w:t>paediatricians</w:t>
      </w:r>
      <w:r w:rsidR="008243CA">
        <w:t xml:space="preserve"> </w:t>
      </w:r>
      <w:r w:rsidRPr="00E62FE6">
        <w:t>are</w:t>
      </w:r>
      <w:r w:rsidR="008243CA">
        <w:t xml:space="preserve"> </w:t>
      </w:r>
      <w:r w:rsidRPr="00E62FE6">
        <w:t>available</w:t>
      </w:r>
      <w:r w:rsidR="008243CA">
        <w:t xml:space="preserve"> </w:t>
      </w:r>
      <w:r w:rsidRPr="00E62FE6">
        <w:t>in</w:t>
      </w:r>
      <w:r w:rsidR="008243CA">
        <w:t xml:space="preserve"> </w:t>
      </w:r>
      <w:r w:rsidRPr="00E62FE6">
        <w:t>prisons</w:t>
      </w:r>
      <w:r w:rsidR="008243CA">
        <w:t xml:space="preserve"> </w:t>
      </w:r>
      <w:r w:rsidRPr="00E62FE6">
        <w:t>with</w:t>
      </w:r>
      <w:r w:rsidR="008243CA">
        <w:t xml:space="preserve"> </w:t>
      </w:r>
      <w:r w:rsidRPr="00E62FE6">
        <w:t>a</w:t>
      </w:r>
      <w:r w:rsidR="008243CA">
        <w:t xml:space="preserve"> </w:t>
      </w:r>
      <w:r w:rsidRPr="00E62FE6">
        <w:t>female</w:t>
      </w:r>
      <w:r w:rsidR="008243CA">
        <w:t xml:space="preserve"> </w:t>
      </w:r>
      <w:r w:rsidRPr="00E62FE6">
        <w:t>population.</w:t>
      </w:r>
    </w:p>
    <w:p w:rsidR="003F7D03" w:rsidRPr="00E62FE6" w:rsidRDefault="003F7D03" w:rsidP="000C6D98">
      <w:pPr>
        <w:pStyle w:val="SingleTxtG"/>
      </w:pPr>
      <w:r w:rsidRPr="00E62FE6">
        <w:t>103.</w:t>
      </w:r>
      <w:r w:rsidRPr="00E62FE6">
        <w:tab/>
        <w:t>A</w:t>
      </w:r>
      <w:r w:rsidR="008243CA">
        <w:t xml:space="preserve"> </w:t>
      </w:r>
      <w:r w:rsidRPr="00E62FE6">
        <w:t>unified</w:t>
      </w:r>
      <w:r w:rsidR="008243CA">
        <w:t xml:space="preserve"> </w:t>
      </w:r>
      <w:r w:rsidRPr="00E62FE6">
        <w:t>health</w:t>
      </w:r>
      <w:r w:rsidR="008243CA">
        <w:t xml:space="preserve"> </w:t>
      </w:r>
      <w:r w:rsidRPr="00E62FE6">
        <w:t>card</w:t>
      </w:r>
      <w:r w:rsidR="008243CA">
        <w:t xml:space="preserve"> </w:t>
      </w:r>
      <w:r w:rsidRPr="00E62FE6">
        <w:t>has</w:t>
      </w:r>
      <w:r w:rsidR="008243CA">
        <w:t xml:space="preserve"> </w:t>
      </w:r>
      <w:r w:rsidRPr="00E62FE6">
        <w:t>been</w:t>
      </w:r>
      <w:r w:rsidR="008243CA">
        <w:t xml:space="preserve"> </w:t>
      </w:r>
      <w:r w:rsidRPr="00E62FE6">
        <w:t>rolled</w:t>
      </w:r>
      <w:r w:rsidR="008243CA">
        <w:t xml:space="preserve"> </w:t>
      </w:r>
      <w:r w:rsidRPr="00E62FE6">
        <w:t>out</w:t>
      </w:r>
      <w:r w:rsidR="008243CA">
        <w:t xml:space="preserve"> </w:t>
      </w:r>
      <w:r w:rsidRPr="00E62FE6">
        <w:t>nationally</w:t>
      </w:r>
      <w:r w:rsidR="008243CA">
        <w:t xml:space="preserve"> </w:t>
      </w:r>
      <w:r w:rsidRPr="00E62FE6">
        <w:t>for</w:t>
      </w:r>
      <w:r w:rsidR="008243CA">
        <w:t xml:space="preserve"> </w:t>
      </w:r>
      <w:r w:rsidRPr="00E62FE6">
        <w:t>managing</w:t>
      </w:r>
      <w:r w:rsidR="008243CA">
        <w:t xml:space="preserve"> </w:t>
      </w:r>
      <w:r w:rsidRPr="00E62FE6">
        <w:t>the</w:t>
      </w:r>
      <w:r w:rsidR="008243CA">
        <w:t xml:space="preserve"> </w:t>
      </w:r>
      <w:r w:rsidRPr="00E62FE6">
        <w:t>medical</w:t>
      </w:r>
      <w:r w:rsidR="008243CA">
        <w:t xml:space="preserve"> </w:t>
      </w:r>
      <w:r w:rsidRPr="00E62FE6">
        <w:t>information</w:t>
      </w:r>
      <w:r w:rsidR="008243CA">
        <w:t xml:space="preserve"> </w:t>
      </w:r>
      <w:r w:rsidRPr="00E62FE6">
        <w:t>of</w:t>
      </w:r>
      <w:r w:rsidR="008243CA">
        <w:t xml:space="preserve"> </w:t>
      </w:r>
      <w:r w:rsidRPr="00E62FE6">
        <w:t>all</w:t>
      </w:r>
      <w:r w:rsidR="008243CA">
        <w:t xml:space="preserve"> </w:t>
      </w:r>
      <w:r w:rsidRPr="00E62FE6">
        <w:t>persons</w:t>
      </w:r>
      <w:r w:rsidR="008243CA">
        <w:t xml:space="preserve"> </w:t>
      </w:r>
      <w:r w:rsidRPr="00E62FE6">
        <w:t>deprived</w:t>
      </w:r>
      <w:r w:rsidR="008243CA">
        <w:t xml:space="preserve"> </w:t>
      </w:r>
      <w:r w:rsidRPr="00E62FE6">
        <w:t>of</w:t>
      </w:r>
      <w:r w:rsidR="008243CA">
        <w:t xml:space="preserve"> </w:t>
      </w:r>
      <w:r w:rsidRPr="00E62FE6">
        <w:t>their</w:t>
      </w:r>
      <w:r w:rsidR="008243CA">
        <w:t xml:space="preserve"> </w:t>
      </w:r>
      <w:r w:rsidRPr="00E62FE6">
        <w:t>liberty.</w:t>
      </w:r>
      <w:r w:rsidR="008243CA">
        <w:t xml:space="preserve"> </w:t>
      </w:r>
      <w:r w:rsidRPr="00E62FE6">
        <w:t>An</w:t>
      </w:r>
      <w:r w:rsidR="008243CA">
        <w:t xml:space="preserve"> </w:t>
      </w:r>
      <w:r w:rsidRPr="00E62FE6">
        <w:t>electronic</w:t>
      </w:r>
      <w:r w:rsidR="008243CA">
        <w:t xml:space="preserve"> </w:t>
      </w:r>
      <w:r w:rsidRPr="00E62FE6">
        <w:t>medical</w:t>
      </w:r>
      <w:r w:rsidR="008243CA">
        <w:t xml:space="preserve"> </w:t>
      </w:r>
      <w:r w:rsidRPr="00E62FE6">
        <w:t>card</w:t>
      </w:r>
      <w:r w:rsidR="008243CA">
        <w:t xml:space="preserve"> </w:t>
      </w:r>
      <w:r w:rsidRPr="00E62FE6">
        <w:t>is</w:t>
      </w:r>
      <w:r w:rsidR="008243CA">
        <w:t xml:space="preserve"> </w:t>
      </w:r>
      <w:r w:rsidRPr="00E62FE6">
        <w:t>available</w:t>
      </w:r>
      <w:r w:rsidR="008243CA">
        <w:t xml:space="preserve"> </w:t>
      </w:r>
      <w:r w:rsidRPr="00E62FE6">
        <w:t>at</w:t>
      </w:r>
      <w:r w:rsidR="008243CA">
        <w:t xml:space="preserve"> </w:t>
      </w:r>
      <w:r w:rsidRPr="00E62FE6">
        <w:t>the</w:t>
      </w:r>
      <w:r w:rsidR="008243CA">
        <w:t xml:space="preserve"> </w:t>
      </w:r>
      <w:r w:rsidRPr="00E62FE6">
        <w:t>South</w:t>
      </w:r>
      <w:r w:rsidR="008243CA">
        <w:t xml:space="preserve"> </w:t>
      </w:r>
      <w:r w:rsidRPr="00E62FE6">
        <w:t>Santiago</w:t>
      </w:r>
      <w:r w:rsidR="008243CA">
        <w:t xml:space="preserve"> </w:t>
      </w:r>
      <w:proofErr w:type="spellStart"/>
      <w:r w:rsidRPr="00E62FE6">
        <w:t>Pretrial</w:t>
      </w:r>
      <w:proofErr w:type="spellEnd"/>
      <w:r w:rsidR="008243CA">
        <w:t xml:space="preserve"> </w:t>
      </w:r>
      <w:r w:rsidRPr="00E62FE6">
        <w:t>Detention</w:t>
      </w:r>
      <w:r w:rsidR="008243CA">
        <w:t xml:space="preserve"> </w:t>
      </w:r>
      <w:r w:rsidRPr="00E62FE6">
        <w:t>Centre,</w:t>
      </w:r>
      <w:r w:rsidR="008243CA">
        <w:t xml:space="preserve"> </w:t>
      </w:r>
      <w:r w:rsidRPr="00E62FE6">
        <w:t>and</w:t>
      </w:r>
      <w:r w:rsidR="008243CA">
        <w:t xml:space="preserve"> </w:t>
      </w:r>
      <w:r w:rsidRPr="00E62FE6">
        <w:t>a</w:t>
      </w:r>
      <w:r w:rsidR="008243CA">
        <w:t xml:space="preserve"> </w:t>
      </w:r>
      <w:r w:rsidRPr="00E62FE6">
        <w:t>pilot</w:t>
      </w:r>
      <w:r w:rsidR="008243CA">
        <w:t xml:space="preserve"> </w:t>
      </w:r>
      <w:r w:rsidRPr="00E62FE6">
        <w:t>plan</w:t>
      </w:r>
      <w:r w:rsidR="008243CA">
        <w:t xml:space="preserve"> </w:t>
      </w:r>
      <w:r w:rsidRPr="00E62FE6">
        <w:t>is</w:t>
      </w:r>
      <w:r w:rsidR="008243CA">
        <w:t xml:space="preserve"> </w:t>
      </w:r>
      <w:r w:rsidRPr="00E62FE6">
        <w:t>being</w:t>
      </w:r>
      <w:r w:rsidR="008243CA">
        <w:t xml:space="preserve"> </w:t>
      </w:r>
      <w:r w:rsidRPr="00E62FE6">
        <w:t>put</w:t>
      </w:r>
      <w:r w:rsidR="008243CA">
        <w:t xml:space="preserve"> </w:t>
      </w:r>
      <w:r w:rsidRPr="00E62FE6">
        <w:t>under</w:t>
      </w:r>
      <w:r w:rsidR="008243CA">
        <w:t xml:space="preserve"> </w:t>
      </w:r>
      <w:r w:rsidRPr="00E62FE6">
        <w:t>way</w:t>
      </w:r>
      <w:r w:rsidR="008243CA">
        <w:t xml:space="preserve"> </w:t>
      </w:r>
      <w:r w:rsidRPr="00E62FE6">
        <w:t>at</w:t>
      </w:r>
      <w:r w:rsidR="008243CA">
        <w:t xml:space="preserve"> </w:t>
      </w:r>
      <w:r w:rsidRPr="00E62FE6">
        <w:t>the</w:t>
      </w:r>
      <w:r w:rsidR="008243CA">
        <w:t xml:space="preserve"> </w:t>
      </w:r>
      <w:r w:rsidRPr="00E62FE6">
        <w:t>prison</w:t>
      </w:r>
      <w:r w:rsidR="008243CA">
        <w:t xml:space="preserve"> </w:t>
      </w:r>
      <w:r w:rsidRPr="00E62FE6">
        <w:t>hospital,</w:t>
      </w:r>
      <w:r w:rsidR="008243CA">
        <w:t xml:space="preserve"> </w:t>
      </w:r>
      <w:r w:rsidRPr="00E62FE6">
        <w:t>with</w:t>
      </w:r>
      <w:r w:rsidR="008243CA">
        <w:t xml:space="preserve"> </w:t>
      </w:r>
      <w:r w:rsidRPr="00E62FE6">
        <w:t>the</w:t>
      </w:r>
      <w:r w:rsidR="008243CA">
        <w:t xml:space="preserve"> </w:t>
      </w:r>
      <w:r w:rsidRPr="00E62FE6">
        <w:t>aim</w:t>
      </w:r>
      <w:r w:rsidR="008243CA">
        <w:t xml:space="preserve"> </w:t>
      </w:r>
      <w:r w:rsidRPr="00E62FE6">
        <w:t>of</w:t>
      </w:r>
      <w:r w:rsidR="008243CA">
        <w:t xml:space="preserve"> </w:t>
      </w:r>
      <w:r w:rsidRPr="00E62FE6">
        <w:t>extending</w:t>
      </w:r>
      <w:r w:rsidR="008243CA">
        <w:t xml:space="preserve"> </w:t>
      </w:r>
      <w:r w:rsidRPr="00E62FE6">
        <w:t>this</w:t>
      </w:r>
      <w:r w:rsidR="008243CA">
        <w:t xml:space="preserve"> </w:t>
      </w:r>
      <w:r w:rsidRPr="00E62FE6">
        <w:t>initiative</w:t>
      </w:r>
      <w:r w:rsidR="008243CA">
        <w:t xml:space="preserve"> </w:t>
      </w:r>
      <w:r w:rsidRPr="00E62FE6">
        <w:t>nationwide.</w:t>
      </w:r>
    </w:p>
    <w:p w:rsidR="003F7D03" w:rsidRPr="00E62FE6" w:rsidRDefault="003F7D03" w:rsidP="000C6D98">
      <w:pPr>
        <w:pStyle w:val="SingleTxtG"/>
      </w:pPr>
      <w:r w:rsidRPr="00E62FE6">
        <w:t>104.</w:t>
      </w:r>
      <w:r w:rsidRPr="00E62FE6">
        <w:tab/>
        <w:t>For</w:t>
      </w:r>
      <w:r w:rsidR="008243CA">
        <w:t xml:space="preserve"> </w:t>
      </w:r>
      <w:r w:rsidRPr="00E62FE6">
        <w:t>its</w:t>
      </w:r>
      <w:r w:rsidR="008243CA">
        <w:t xml:space="preserve"> </w:t>
      </w:r>
      <w:r w:rsidRPr="00E62FE6">
        <w:t>part,</w:t>
      </w:r>
      <w:r w:rsidR="008243CA">
        <w:t xml:space="preserve"> </w:t>
      </w:r>
      <w:r w:rsidRPr="00E62FE6">
        <w:t>SENAME</w:t>
      </w:r>
      <w:r w:rsidR="008243CA">
        <w:t xml:space="preserve"> </w:t>
      </w:r>
      <w:r w:rsidRPr="00E62FE6">
        <w:t>will</w:t>
      </w:r>
      <w:r w:rsidR="008243CA">
        <w:t xml:space="preserve"> </w:t>
      </w:r>
      <w:r w:rsidRPr="00E62FE6">
        <w:t>enter</w:t>
      </w:r>
      <w:r w:rsidR="008243CA">
        <w:t xml:space="preserve"> </w:t>
      </w:r>
      <w:r w:rsidRPr="00E62FE6">
        <w:t>into</w:t>
      </w:r>
      <w:r w:rsidR="008243CA">
        <w:t xml:space="preserve"> </w:t>
      </w:r>
      <w:r w:rsidRPr="00E62FE6">
        <w:t>a</w:t>
      </w:r>
      <w:r w:rsidR="008243CA">
        <w:t xml:space="preserve"> </w:t>
      </w:r>
      <w:r w:rsidRPr="00E62FE6">
        <w:t>cooperation</w:t>
      </w:r>
      <w:r w:rsidR="008243CA">
        <w:t xml:space="preserve"> </w:t>
      </w:r>
      <w:r w:rsidRPr="00E62FE6">
        <w:t>agreement</w:t>
      </w:r>
      <w:r w:rsidR="008243CA">
        <w:t xml:space="preserve"> </w:t>
      </w:r>
      <w:r w:rsidRPr="00E62FE6">
        <w:t>with</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Health</w:t>
      </w:r>
      <w:r w:rsidR="008243CA">
        <w:t xml:space="preserve"> </w:t>
      </w:r>
      <w:r w:rsidRPr="00E62FE6">
        <w:t>which</w:t>
      </w:r>
      <w:r w:rsidR="008243CA">
        <w:t xml:space="preserve"> </w:t>
      </w:r>
      <w:r w:rsidRPr="00E62FE6">
        <w:t>will</w:t>
      </w:r>
      <w:r w:rsidR="008243CA">
        <w:t xml:space="preserve"> </w:t>
      </w:r>
      <w:r w:rsidRPr="00E62FE6">
        <w:t>include</w:t>
      </w:r>
      <w:r w:rsidR="008243CA">
        <w:t xml:space="preserve"> </w:t>
      </w:r>
      <w:r w:rsidRPr="00E62FE6">
        <w:t>specialized</w:t>
      </w:r>
      <w:r w:rsidR="008243CA">
        <w:t xml:space="preserve"> </w:t>
      </w:r>
      <w:r w:rsidRPr="00E62FE6">
        <w:t>care</w:t>
      </w:r>
      <w:r w:rsidR="008243CA">
        <w:t xml:space="preserve"> </w:t>
      </w:r>
      <w:r w:rsidRPr="00E62FE6">
        <w:t>and</w:t>
      </w:r>
      <w:r w:rsidR="008243CA">
        <w:t xml:space="preserve"> </w:t>
      </w:r>
      <w:r w:rsidRPr="00E62FE6">
        <w:t>treatment.</w:t>
      </w:r>
      <w:r w:rsidR="008243CA">
        <w:t xml:space="preserve"> </w:t>
      </w:r>
      <w:r w:rsidRPr="00E62FE6">
        <w:t>The</w:t>
      </w:r>
      <w:r w:rsidR="008243CA">
        <w:t xml:space="preserve"> </w:t>
      </w:r>
      <w:r w:rsidRPr="00E62FE6">
        <w:t>Service</w:t>
      </w:r>
      <w:r w:rsidR="008243CA">
        <w:t xml:space="preserve"> </w:t>
      </w:r>
      <w:r w:rsidRPr="00E62FE6">
        <w:t>will</w:t>
      </w:r>
      <w:r w:rsidR="008243CA">
        <w:t xml:space="preserve"> </w:t>
      </w:r>
      <w:r w:rsidRPr="00E62FE6">
        <w:t>work</w:t>
      </w:r>
      <w:r w:rsidR="008243CA">
        <w:t xml:space="preserve"> </w:t>
      </w:r>
      <w:r w:rsidRPr="00E62FE6">
        <w:t>on</w:t>
      </w:r>
      <w:r w:rsidR="008243CA">
        <w:t xml:space="preserve"> </w:t>
      </w:r>
      <w:r w:rsidRPr="00E62FE6">
        <w:t>the</w:t>
      </w:r>
      <w:r w:rsidR="008243CA">
        <w:t xml:space="preserve"> </w:t>
      </w:r>
      <w:r w:rsidRPr="00E62FE6">
        <w:t>agreement</w:t>
      </w:r>
      <w:r w:rsidR="008243CA">
        <w:t xml:space="preserve"> </w:t>
      </w:r>
      <w:r w:rsidRPr="00E62FE6">
        <w:t>with</w:t>
      </w:r>
      <w:r w:rsidR="008243CA">
        <w:t xml:space="preserve"> </w:t>
      </w:r>
      <w:r w:rsidRPr="00E62FE6">
        <w:t>the</w:t>
      </w:r>
      <w:r w:rsidR="008243CA">
        <w:t xml:space="preserve"> </w:t>
      </w:r>
      <w:r w:rsidRPr="00E62FE6">
        <w:t>aim</w:t>
      </w:r>
      <w:r w:rsidR="008243CA">
        <w:t xml:space="preserve"> </w:t>
      </w:r>
      <w:r w:rsidRPr="00E62FE6">
        <w:t>of</w:t>
      </w:r>
      <w:r w:rsidR="008243CA">
        <w:t xml:space="preserve"> </w:t>
      </w:r>
      <w:r w:rsidRPr="00E62FE6">
        <w:t>having</w:t>
      </w:r>
      <w:r w:rsidR="008243CA">
        <w:t xml:space="preserve"> </w:t>
      </w:r>
      <w:r w:rsidRPr="00E62FE6">
        <w:t>it</w:t>
      </w:r>
      <w:r w:rsidR="008243CA">
        <w:t xml:space="preserve"> </w:t>
      </w:r>
      <w:r w:rsidRPr="00E62FE6">
        <w:t>in</w:t>
      </w:r>
      <w:r w:rsidR="008243CA">
        <w:t xml:space="preserve"> </w:t>
      </w:r>
      <w:r w:rsidRPr="00E62FE6">
        <w:t>place</w:t>
      </w:r>
      <w:r w:rsidR="008243CA">
        <w:t xml:space="preserve"> </w:t>
      </w:r>
      <w:r w:rsidRPr="00E62FE6">
        <w:t>after</w:t>
      </w:r>
      <w:r w:rsidR="008243CA">
        <w:t xml:space="preserve"> </w:t>
      </w:r>
      <w:r w:rsidRPr="00E62FE6">
        <w:t>the</w:t>
      </w:r>
      <w:r w:rsidR="008243CA">
        <w:t xml:space="preserve"> </w:t>
      </w:r>
      <w:r w:rsidRPr="00E62FE6">
        <w:t>first</w:t>
      </w:r>
      <w:r w:rsidR="008243CA">
        <w:t xml:space="preserve"> </w:t>
      </w:r>
      <w:r w:rsidRPr="00E62FE6">
        <w:t>half</w:t>
      </w:r>
      <w:r w:rsidR="008243CA">
        <w:t xml:space="preserve"> </w:t>
      </w:r>
      <w:r w:rsidRPr="00E62FE6">
        <w:t>of</w:t>
      </w:r>
      <w:r w:rsidR="008243CA">
        <w:t xml:space="preserve"> </w:t>
      </w:r>
      <w:r w:rsidRPr="00E62FE6">
        <w:t>2017.</w:t>
      </w:r>
    </w:p>
    <w:p w:rsidR="003F7D03" w:rsidRPr="0007753D" w:rsidRDefault="003F7D03" w:rsidP="000C6D98">
      <w:pPr>
        <w:pStyle w:val="SingleTxtG"/>
        <w:rPr>
          <w:i/>
          <w:iCs/>
        </w:rPr>
      </w:pPr>
      <w:r w:rsidRPr="00E62FE6">
        <w:t>105.</w:t>
      </w:r>
      <w:r w:rsidRPr="00E62FE6">
        <w:tab/>
        <w:t>Paragraph</w:t>
      </w:r>
      <w:r w:rsidR="008243CA">
        <w:t xml:space="preserve"> </w:t>
      </w:r>
      <w:r w:rsidRPr="00E62FE6">
        <w:t>61:</w:t>
      </w:r>
      <w:r w:rsidR="008243CA">
        <w:t xml:space="preserve"> </w:t>
      </w:r>
      <w:r w:rsidRPr="0007753D">
        <w:rPr>
          <w:i/>
          <w:iCs/>
        </w:rPr>
        <w:t>The</w:t>
      </w:r>
      <w:r w:rsidR="008243CA" w:rsidRPr="0007753D">
        <w:rPr>
          <w:i/>
          <w:iCs/>
        </w:rPr>
        <w:t xml:space="preserve"> </w:t>
      </w:r>
      <w:r w:rsidRPr="0007753D">
        <w:rPr>
          <w:i/>
          <w:iCs/>
        </w:rPr>
        <w:t>Subcommittee</w:t>
      </w:r>
      <w:r w:rsidR="008243CA" w:rsidRPr="0007753D">
        <w:rPr>
          <w:i/>
          <w:iCs/>
        </w:rPr>
        <w:t xml:space="preserve"> </w:t>
      </w:r>
      <w:r w:rsidRPr="0007753D">
        <w:rPr>
          <w:i/>
          <w:iCs/>
        </w:rPr>
        <w:t>recommends</w:t>
      </w:r>
      <w:r w:rsidR="008243CA" w:rsidRPr="0007753D">
        <w:rPr>
          <w:i/>
          <w:iCs/>
        </w:rPr>
        <w:t xml:space="preserve"> </w:t>
      </w:r>
      <w:r w:rsidRPr="0007753D">
        <w:rPr>
          <w:i/>
          <w:iCs/>
        </w:rPr>
        <w:t>that</w:t>
      </w:r>
      <w:r w:rsidR="008243CA" w:rsidRPr="0007753D">
        <w:rPr>
          <w:i/>
          <w:iCs/>
        </w:rPr>
        <w:t xml:space="preserve"> </w:t>
      </w:r>
      <w:r w:rsidRPr="0007753D">
        <w:rPr>
          <w:i/>
          <w:iCs/>
        </w:rPr>
        <w:t>a</w:t>
      </w:r>
      <w:r w:rsidR="008243CA" w:rsidRPr="0007753D">
        <w:rPr>
          <w:i/>
          <w:iCs/>
        </w:rPr>
        <w:t xml:space="preserve"> </w:t>
      </w:r>
      <w:r w:rsidRPr="0007753D">
        <w:rPr>
          <w:i/>
          <w:iCs/>
        </w:rPr>
        <w:t>register</w:t>
      </w:r>
      <w:r w:rsidR="008243CA" w:rsidRPr="0007753D">
        <w:rPr>
          <w:i/>
          <w:iCs/>
        </w:rPr>
        <w:t xml:space="preserve"> </w:t>
      </w:r>
      <w:r w:rsidRPr="0007753D">
        <w:rPr>
          <w:i/>
          <w:iCs/>
        </w:rPr>
        <w:t>be</w:t>
      </w:r>
      <w:r w:rsidR="008243CA" w:rsidRPr="0007753D">
        <w:rPr>
          <w:i/>
          <w:iCs/>
        </w:rPr>
        <w:t xml:space="preserve"> </w:t>
      </w:r>
      <w:r w:rsidRPr="0007753D">
        <w:rPr>
          <w:i/>
          <w:iCs/>
        </w:rPr>
        <w:t>set</w:t>
      </w:r>
      <w:r w:rsidR="008243CA" w:rsidRPr="0007753D">
        <w:rPr>
          <w:i/>
          <w:iCs/>
        </w:rPr>
        <w:t xml:space="preserve"> </w:t>
      </w:r>
      <w:r w:rsidRPr="0007753D">
        <w:rPr>
          <w:i/>
          <w:iCs/>
        </w:rPr>
        <w:t>up</w:t>
      </w:r>
      <w:r w:rsidR="008243CA" w:rsidRPr="0007753D">
        <w:rPr>
          <w:i/>
          <w:iCs/>
        </w:rPr>
        <w:t xml:space="preserve"> </w:t>
      </w:r>
      <w:r w:rsidRPr="0007753D">
        <w:rPr>
          <w:i/>
          <w:iCs/>
        </w:rPr>
        <w:t>for</w:t>
      </w:r>
      <w:r w:rsidR="008243CA" w:rsidRPr="0007753D">
        <w:rPr>
          <w:i/>
          <w:iCs/>
        </w:rPr>
        <w:t xml:space="preserve"> </w:t>
      </w:r>
      <w:r w:rsidRPr="0007753D">
        <w:rPr>
          <w:i/>
          <w:iCs/>
        </w:rPr>
        <w:t>use</w:t>
      </w:r>
      <w:r w:rsidR="008243CA" w:rsidRPr="0007753D">
        <w:rPr>
          <w:i/>
          <w:iCs/>
        </w:rPr>
        <w:t xml:space="preserve"> </w:t>
      </w:r>
      <w:r w:rsidRPr="0007753D">
        <w:rPr>
          <w:i/>
          <w:iCs/>
        </w:rPr>
        <w:t>in</w:t>
      </w:r>
      <w:r w:rsidR="008243CA" w:rsidRPr="0007753D">
        <w:rPr>
          <w:i/>
          <w:iCs/>
        </w:rPr>
        <w:t xml:space="preserve"> </w:t>
      </w:r>
      <w:r w:rsidRPr="0007753D">
        <w:rPr>
          <w:i/>
          <w:iCs/>
        </w:rPr>
        <w:t>scheduling</w:t>
      </w:r>
      <w:r w:rsidR="008243CA" w:rsidRPr="0007753D">
        <w:rPr>
          <w:i/>
          <w:iCs/>
        </w:rPr>
        <w:t xml:space="preserve"> </w:t>
      </w:r>
      <w:r w:rsidRPr="0007753D">
        <w:rPr>
          <w:i/>
          <w:iCs/>
        </w:rPr>
        <w:t>appointments</w:t>
      </w:r>
      <w:r w:rsidR="008243CA" w:rsidRPr="0007753D">
        <w:rPr>
          <w:i/>
          <w:iCs/>
        </w:rPr>
        <w:t xml:space="preserve"> </w:t>
      </w:r>
      <w:r w:rsidRPr="0007753D">
        <w:rPr>
          <w:i/>
          <w:iCs/>
        </w:rPr>
        <w:t>on</w:t>
      </w:r>
      <w:r w:rsidR="008243CA" w:rsidRPr="0007753D">
        <w:rPr>
          <w:i/>
          <w:iCs/>
        </w:rPr>
        <w:t xml:space="preserve"> </w:t>
      </w:r>
      <w:r w:rsidRPr="0007753D">
        <w:rPr>
          <w:i/>
          <w:iCs/>
        </w:rPr>
        <w:t>a</w:t>
      </w:r>
      <w:r w:rsidR="008243CA" w:rsidRPr="0007753D">
        <w:rPr>
          <w:i/>
          <w:iCs/>
        </w:rPr>
        <w:t xml:space="preserve"> </w:t>
      </w:r>
      <w:r w:rsidRPr="0007753D">
        <w:rPr>
          <w:i/>
          <w:iCs/>
        </w:rPr>
        <w:t>regular</w:t>
      </w:r>
      <w:r w:rsidR="008243CA" w:rsidRPr="0007753D">
        <w:rPr>
          <w:i/>
          <w:iCs/>
        </w:rPr>
        <w:t xml:space="preserve"> </w:t>
      </w:r>
      <w:r w:rsidRPr="0007753D">
        <w:rPr>
          <w:i/>
          <w:iCs/>
        </w:rPr>
        <w:t>basis</w:t>
      </w:r>
      <w:r w:rsidR="008243CA" w:rsidRPr="0007753D">
        <w:rPr>
          <w:i/>
          <w:iCs/>
        </w:rPr>
        <w:t xml:space="preserve"> </w:t>
      </w:r>
      <w:r w:rsidRPr="0007753D">
        <w:rPr>
          <w:i/>
          <w:iCs/>
        </w:rPr>
        <w:t>and</w:t>
      </w:r>
      <w:r w:rsidR="008243CA" w:rsidRPr="0007753D">
        <w:rPr>
          <w:i/>
          <w:iCs/>
        </w:rPr>
        <w:t xml:space="preserve"> </w:t>
      </w:r>
      <w:r w:rsidRPr="0007753D">
        <w:rPr>
          <w:i/>
          <w:iCs/>
        </w:rPr>
        <w:t>that</w:t>
      </w:r>
      <w:r w:rsidR="008243CA" w:rsidRPr="0007753D">
        <w:rPr>
          <w:i/>
          <w:iCs/>
        </w:rPr>
        <w:t xml:space="preserve"> </w:t>
      </w:r>
      <w:r w:rsidRPr="0007753D">
        <w:rPr>
          <w:i/>
          <w:iCs/>
        </w:rPr>
        <w:t>steps</w:t>
      </w:r>
      <w:r w:rsidR="008243CA" w:rsidRPr="0007753D">
        <w:rPr>
          <w:i/>
          <w:iCs/>
        </w:rPr>
        <w:t xml:space="preserve"> </w:t>
      </w:r>
      <w:r w:rsidRPr="0007753D">
        <w:rPr>
          <w:i/>
          <w:iCs/>
        </w:rPr>
        <w:t>be</w:t>
      </w:r>
      <w:r w:rsidR="008243CA" w:rsidRPr="0007753D">
        <w:rPr>
          <w:i/>
          <w:iCs/>
        </w:rPr>
        <w:t xml:space="preserve"> </w:t>
      </w:r>
      <w:r w:rsidRPr="0007753D">
        <w:rPr>
          <w:i/>
          <w:iCs/>
        </w:rPr>
        <w:t>taken</w:t>
      </w:r>
      <w:r w:rsidR="008243CA" w:rsidRPr="0007753D">
        <w:rPr>
          <w:i/>
          <w:iCs/>
        </w:rPr>
        <w:t xml:space="preserve"> </w:t>
      </w:r>
      <w:r w:rsidRPr="0007753D">
        <w:rPr>
          <w:i/>
          <w:iCs/>
        </w:rPr>
        <w:t>to</w:t>
      </w:r>
      <w:r w:rsidR="008243CA" w:rsidRPr="0007753D">
        <w:rPr>
          <w:i/>
          <w:iCs/>
        </w:rPr>
        <w:t xml:space="preserve"> </w:t>
      </w:r>
      <w:r w:rsidRPr="0007753D">
        <w:rPr>
          <w:i/>
          <w:iCs/>
        </w:rPr>
        <w:t>ensure</w:t>
      </w:r>
      <w:r w:rsidR="008243CA" w:rsidRPr="0007753D">
        <w:rPr>
          <w:i/>
          <w:iCs/>
        </w:rPr>
        <w:t xml:space="preserve"> </w:t>
      </w:r>
      <w:r w:rsidRPr="0007753D">
        <w:rPr>
          <w:i/>
          <w:iCs/>
        </w:rPr>
        <w:t>that</w:t>
      </w:r>
      <w:r w:rsidR="008243CA" w:rsidRPr="0007753D">
        <w:rPr>
          <w:i/>
          <w:iCs/>
        </w:rPr>
        <w:t xml:space="preserve"> </w:t>
      </w:r>
      <w:r w:rsidRPr="0007753D">
        <w:rPr>
          <w:i/>
          <w:iCs/>
        </w:rPr>
        <w:t>no</w:t>
      </w:r>
      <w:r w:rsidR="008243CA" w:rsidRPr="0007753D">
        <w:rPr>
          <w:i/>
          <w:iCs/>
        </w:rPr>
        <w:t xml:space="preserve"> </w:t>
      </w:r>
      <w:r w:rsidRPr="0007753D">
        <w:rPr>
          <w:i/>
          <w:iCs/>
        </w:rPr>
        <w:t>discrimination</w:t>
      </w:r>
      <w:r w:rsidR="008243CA" w:rsidRPr="0007753D">
        <w:rPr>
          <w:i/>
          <w:iCs/>
        </w:rPr>
        <w:t xml:space="preserve"> </w:t>
      </w:r>
      <w:r w:rsidRPr="0007753D">
        <w:rPr>
          <w:i/>
          <w:iCs/>
        </w:rPr>
        <w:t>of</w:t>
      </w:r>
      <w:r w:rsidR="008243CA" w:rsidRPr="0007753D">
        <w:rPr>
          <w:i/>
          <w:iCs/>
        </w:rPr>
        <w:t xml:space="preserve"> </w:t>
      </w:r>
      <w:r w:rsidRPr="0007753D">
        <w:rPr>
          <w:i/>
          <w:iCs/>
        </w:rPr>
        <w:t>any</w:t>
      </w:r>
      <w:r w:rsidR="008243CA" w:rsidRPr="0007753D">
        <w:rPr>
          <w:i/>
          <w:iCs/>
        </w:rPr>
        <w:t xml:space="preserve"> </w:t>
      </w:r>
      <w:r w:rsidRPr="0007753D">
        <w:rPr>
          <w:i/>
          <w:iCs/>
        </w:rPr>
        <w:t>kind</w:t>
      </w:r>
      <w:r w:rsidR="008243CA" w:rsidRPr="0007753D">
        <w:rPr>
          <w:i/>
          <w:iCs/>
        </w:rPr>
        <w:t xml:space="preserve"> </w:t>
      </w:r>
      <w:r w:rsidRPr="0007753D">
        <w:rPr>
          <w:i/>
          <w:iCs/>
        </w:rPr>
        <w:t>is</w:t>
      </w:r>
      <w:r w:rsidR="008243CA" w:rsidRPr="0007753D">
        <w:rPr>
          <w:i/>
          <w:iCs/>
        </w:rPr>
        <w:t xml:space="preserve"> </w:t>
      </w:r>
      <w:r w:rsidRPr="0007753D">
        <w:rPr>
          <w:i/>
          <w:iCs/>
        </w:rPr>
        <w:t>practised</w:t>
      </w:r>
      <w:r w:rsidR="008243CA" w:rsidRPr="0007753D">
        <w:rPr>
          <w:i/>
          <w:iCs/>
        </w:rPr>
        <w:t xml:space="preserve"> </w:t>
      </w:r>
      <w:r w:rsidRPr="0007753D">
        <w:rPr>
          <w:i/>
          <w:iCs/>
        </w:rPr>
        <w:t>by</w:t>
      </w:r>
      <w:r w:rsidR="008243CA" w:rsidRPr="0007753D">
        <w:rPr>
          <w:i/>
          <w:iCs/>
        </w:rPr>
        <w:t xml:space="preserve"> </w:t>
      </w:r>
      <w:r w:rsidRPr="0007753D">
        <w:rPr>
          <w:i/>
          <w:iCs/>
        </w:rPr>
        <w:t>officials</w:t>
      </w:r>
      <w:r w:rsidR="008243CA" w:rsidRPr="0007753D">
        <w:rPr>
          <w:i/>
          <w:iCs/>
        </w:rPr>
        <w:t xml:space="preserve"> </w:t>
      </w:r>
      <w:r w:rsidRPr="0007753D">
        <w:rPr>
          <w:i/>
          <w:iCs/>
        </w:rPr>
        <w:t>or</w:t>
      </w:r>
      <w:r w:rsidR="008243CA" w:rsidRPr="0007753D">
        <w:rPr>
          <w:i/>
          <w:iCs/>
        </w:rPr>
        <w:t xml:space="preserve"> </w:t>
      </w:r>
      <w:r w:rsidRPr="0007753D">
        <w:rPr>
          <w:i/>
          <w:iCs/>
        </w:rPr>
        <w:t>dentists</w:t>
      </w:r>
      <w:r w:rsidR="008243CA" w:rsidRPr="0007753D">
        <w:rPr>
          <w:i/>
          <w:iCs/>
        </w:rPr>
        <w:t xml:space="preserve"> </w:t>
      </w:r>
      <w:r w:rsidRPr="0007753D">
        <w:rPr>
          <w:i/>
          <w:iCs/>
        </w:rPr>
        <w:t>themselves.</w:t>
      </w:r>
    </w:p>
    <w:p w:rsidR="003F7D03" w:rsidRPr="00E62FE6" w:rsidRDefault="003F7D03" w:rsidP="000C6D98">
      <w:pPr>
        <w:pStyle w:val="SingleTxtG"/>
      </w:pPr>
      <w:bookmarkStart w:id="79" w:name="page29"/>
      <w:bookmarkEnd w:id="79"/>
      <w:r w:rsidRPr="00E62FE6">
        <w:t>106.</w:t>
      </w:r>
      <w:r w:rsidRPr="00E62FE6">
        <w:tab/>
        <w:t>With</w:t>
      </w:r>
      <w:r w:rsidR="008243CA">
        <w:t xml:space="preserve"> </w:t>
      </w:r>
      <w:r w:rsidRPr="00E62FE6">
        <w:t>regard</w:t>
      </w:r>
      <w:r w:rsidR="008243CA">
        <w:t xml:space="preserve"> </w:t>
      </w:r>
      <w:r w:rsidRPr="00E62FE6">
        <w:t>to</w:t>
      </w:r>
      <w:r w:rsidR="008243CA">
        <w:t xml:space="preserve"> </w:t>
      </w:r>
      <w:r w:rsidRPr="00E62FE6">
        <w:t>the</w:t>
      </w:r>
      <w:r w:rsidR="008243CA">
        <w:t xml:space="preserve"> </w:t>
      </w:r>
      <w:r w:rsidRPr="00E62FE6">
        <w:t>concern</w:t>
      </w:r>
      <w:r w:rsidR="008243CA">
        <w:t xml:space="preserve"> </w:t>
      </w:r>
      <w:r w:rsidRPr="00E62FE6">
        <w:t>expressed</w:t>
      </w:r>
      <w:r w:rsidR="008243CA">
        <w:t xml:space="preserve"> </w:t>
      </w:r>
      <w:r w:rsidRPr="00E62FE6">
        <w:t>by</w:t>
      </w:r>
      <w:r w:rsidR="008243CA">
        <w:t xml:space="preserve"> </w:t>
      </w:r>
      <w:r w:rsidRPr="00E62FE6">
        <w:t>the</w:t>
      </w:r>
      <w:r w:rsidR="008243CA">
        <w:t xml:space="preserve"> </w:t>
      </w:r>
      <w:r w:rsidRPr="00E62FE6">
        <w:t>Subcommittee</w:t>
      </w:r>
      <w:r w:rsidR="008243CA">
        <w:t xml:space="preserve"> </w:t>
      </w:r>
      <w:r w:rsidRPr="00E62FE6">
        <w:t>regarding</w:t>
      </w:r>
      <w:r w:rsidR="008243CA">
        <w:t xml:space="preserve"> </w:t>
      </w:r>
      <w:r w:rsidRPr="00E62FE6">
        <w:t>the</w:t>
      </w:r>
      <w:r w:rsidR="008243CA">
        <w:t xml:space="preserve"> </w:t>
      </w:r>
      <w:r w:rsidRPr="00E62FE6">
        <w:t>dental</w:t>
      </w:r>
      <w:r w:rsidR="008243CA">
        <w:t xml:space="preserve"> </w:t>
      </w:r>
      <w:r w:rsidRPr="00E62FE6">
        <w:t>care</w:t>
      </w:r>
      <w:r w:rsidR="008243CA">
        <w:t xml:space="preserve"> </w:t>
      </w:r>
      <w:r w:rsidRPr="00E62FE6">
        <w:t>of</w:t>
      </w:r>
      <w:r w:rsidR="008243CA">
        <w:t xml:space="preserve"> </w:t>
      </w:r>
      <w:r w:rsidRPr="00E62FE6">
        <w:t>persons</w:t>
      </w:r>
      <w:r w:rsidR="008243CA">
        <w:t xml:space="preserve"> </w:t>
      </w:r>
      <w:r w:rsidRPr="00E62FE6">
        <w:t>deprived</w:t>
      </w:r>
      <w:r w:rsidR="008243CA">
        <w:t xml:space="preserve"> </w:t>
      </w:r>
      <w:r w:rsidRPr="00E62FE6">
        <w:t>of</w:t>
      </w:r>
      <w:r w:rsidR="008243CA">
        <w:t xml:space="preserve"> </w:t>
      </w:r>
      <w:r w:rsidRPr="00E62FE6">
        <w:t>their</w:t>
      </w:r>
      <w:r w:rsidR="008243CA">
        <w:t xml:space="preserve"> </w:t>
      </w:r>
      <w:r w:rsidRPr="00E62FE6">
        <w:t>liberty,</w:t>
      </w:r>
      <w:r w:rsidR="008243CA">
        <w:t xml:space="preserve"> </w:t>
      </w:r>
      <w:r w:rsidRPr="00E62FE6">
        <w:t>the</w:t>
      </w:r>
      <w:r w:rsidR="008243CA">
        <w:t xml:space="preserve"> </w:t>
      </w:r>
      <w:r w:rsidRPr="00E62FE6">
        <w:t>Prison</w:t>
      </w:r>
      <w:r w:rsidR="008243CA">
        <w:t xml:space="preserve"> </w:t>
      </w:r>
      <w:r w:rsidRPr="00E62FE6">
        <w:t>Service</w:t>
      </w:r>
      <w:r w:rsidR="008243CA">
        <w:t xml:space="preserve"> </w:t>
      </w:r>
      <w:r w:rsidRPr="00E62FE6">
        <w:t>has</w:t>
      </w:r>
      <w:r w:rsidR="008243CA">
        <w:t xml:space="preserve"> </w:t>
      </w:r>
      <w:r w:rsidRPr="00E62FE6">
        <w:t>45</w:t>
      </w:r>
      <w:r w:rsidR="008243CA">
        <w:t xml:space="preserve"> </w:t>
      </w:r>
      <w:r w:rsidRPr="00E62FE6">
        <w:t>infirmaries</w:t>
      </w:r>
      <w:r w:rsidRPr="00116F0B">
        <w:rPr>
          <w:rStyle w:val="FootnoteReference"/>
        </w:rPr>
        <w:footnoteReference w:id="33"/>
      </w:r>
      <w:r w:rsidR="008243CA">
        <w:t xml:space="preserve"> </w:t>
      </w:r>
      <w:r w:rsidRPr="00E62FE6">
        <w:t>delivering</w:t>
      </w:r>
      <w:r w:rsidR="008243CA">
        <w:t xml:space="preserve"> </w:t>
      </w:r>
      <w:r w:rsidRPr="00E62FE6">
        <w:t>this</w:t>
      </w:r>
      <w:r w:rsidR="008243CA">
        <w:t xml:space="preserve"> </w:t>
      </w:r>
      <w:r w:rsidRPr="00E62FE6">
        <w:t>type</w:t>
      </w:r>
      <w:r w:rsidR="008243CA">
        <w:t xml:space="preserve"> </w:t>
      </w:r>
      <w:r w:rsidRPr="00E62FE6">
        <w:t>of</w:t>
      </w:r>
      <w:r w:rsidR="008243CA">
        <w:t xml:space="preserve"> </w:t>
      </w:r>
      <w:r w:rsidRPr="00E62FE6">
        <w:t>care</w:t>
      </w:r>
      <w:r w:rsidR="008243CA">
        <w:t xml:space="preserve"> </w:t>
      </w:r>
      <w:r w:rsidRPr="00E62FE6">
        <w:t>within</w:t>
      </w:r>
      <w:r w:rsidR="008243CA">
        <w:t xml:space="preserve"> </w:t>
      </w:r>
      <w:r w:rsidRPr="00E62FE6">
        <w:t>prisons,</w:t>
      </w:r>
      <w:r w:rsidR="008243CA">
        <w:t xml:space="preserve"> </w:t>
      </w:r>
      <w:r w:rsidRPr="00E62FE6">
        <w:t>since</w:t>
      </w:r>
      <w:r w:rsidR="008243CA">
        <w:t xml:space="preserve"> </w:t>
      </w:r>
      <w:r w:rsidRPr="00E62FE6">
        <w:t>dental</w:t>
      </w:r>
      <w:r w:rsidR="008243CA">
        <w:t xml:space="preserve"> </w:t>
      </w:r>
      <w:r w:rsidRPr="00E62FE6">
        <w:t>care</w:t>
      </w:r>
      <w:r w:rsidR="008243CA">
        <w:t xml:space="preserve"> </w:t>
      </w:r>
      <w:r w:rsidRPr="00E62FE6">
        <w:t>is</w:t>
      </w:r>
      <w:r w:rsidR="008243CA">
        <w:t xml:space="preserve"> </w:t>
      </w:r>
      <w:r w:rsidRPr="00E62FE6">
        <w:t>considered</w:t>
      </w:r>
      <w:r w:rsidR="008243CA">
        <w:t xml:space="preserve"> </w:t>
      </w:r>
      <w:r w:rsidRPr="00E62FE6">
        <w:t>primary</w:t>
      </w:r>
      <w:r w:rsidR="008243CA">
        <w:t xml:space="preserve"> </w:t>
      </w:r>
      <w:r w:rsidRPr="00E62FE6">
        <w:t>care.</w:t>
      </w:r>
      <w:r w:rsidR="008243CA">
        <w:t xml:space="preserve"> </w:t>
      </w:r>
      <w:r w:rsidRPr="00E62FE6">
        <w:t>In</w:t>
      </w:r>
      <w:r w:rsidR="008243CA">
        <w:t xml:space="preserve"> </w:t>
      </w:r>
      <w:r w:rsidRPr="00E62FE6">
        <w:t>addition,</w:t>
      </w:r>
      <w:r w:rsidR="008243CA">
        <w:t xml:space="preserve"> </w:t>
      </w:r>
      <w:r w:rsidRPr="00E62FE6">
        <w:t>the</w:t>
      </w:r>
      <w:r w:rsidR="008243CA">
        <w:t xml:space="preserve"> </w:t>
      </w:r>
      <w:r w:rsidRPr="00E62FE6">
        <w:t>prison</w:t>
      </w:r>
      <w:r w:rsidR="008243CA">
        <w:t xml:space="preserve"> </w:t>
      </w:r>
      <w:r w:rsidRPr="00E62FE6">
        <w:t>hospital</w:t>
      </w:r>
      <w:r w:rsidRPr="00116F0B">
        <w:rPr>
          <w:rStyle w:val="FootnoteReference"/>
        </w:rPr>
        <w:footnoteReference w:id="34"/>
      </w:r>
      <w:r w:rsidR="008243CA">
        <w:t xml:space="preserve"> </w:t>
      </w:r>
      <w:r w:rsidRPr="00E62FE6">
        <w:t>provides</w:t>
      </w:r>
      <w:r w:rsidR="008243CA">
        <w:t xml:space="preserve"> </w:t>
      </w:r>
      <w:r w:rsidRPr="00E62FE6">
        <w:t>specialized</w:t>
      </w:r>
      <w:r w:rsidR="008243CA">
        <w:t xml:space="preserve"> </w:t>
      </w:r>
      <w:r w:rsidRPr="00E62FE6">
        <w:t>maxillofacial</w:t>
      </w:r>
      <w:r w:rsidR="008243CA">
        <w:t xml:space="preserve"> </w:t>
      </w:r>
      <w:r w:rsidRPr="00E62FE6">
        <w:t>and</w:t>
      </w:r>
      <w:r w:rsidR="008243CA">
        <w:t xml:space="preserve"> </w:t>
      </w:r>
      <w:r w:rsidRPr="00E62FE6">
        <w:t>orthodontic</w:t>
      </w:r>
      <w:r w:rsidR="008243CA">
        <w:t xml:space="preserve"> </w:t>
      </w:r>
      <w:r w:rsidRPr="00E62FE6">
        <w:t>care.</w:t>
      </w:r>
      <w:r w:rsidR="008243CA">
        <w:t xml:space="preserve"> </w:t>
      </w:r>
      <w:r w:rsidRPr="00E62FE6">
        <w:t>There</w:t>
      </w:r>
      <w:r w:rsidR="008243CA">
        <w:t xml:space="preserve"> </w:t>
      </w:r>
      <w:r w:rsidRPr="00E62FE6">
        <w:t>are</w:t>
      </w:r>
      <w:r w:rsidR="008243CA">
        <w:t xml:space="preserve"> </w:t>
      </w:r>
      <w:r w:rsidRPr="00E62FE6">
        <w:t>also</w:t>
      </w:r>
      <w:r w:rsidR="008243CA">
        <w:t xml:space="preserve"> </w:t>
      </w:r>
      <w:r w:rsidRPr="00E62FE6">
        <w:t>radiological</w:t>
      </w:r>
      <w:r w:rsidR="008243CA">
        <w:t xml:space="preserve"> </w:t>
      </w:r>
      <w:r w:rsidRPr="00E62FE6">
        <w:t>systems</w:t>
      </w:r>
      <w:r w:rsidR="008243CA">
        <w:t xml:space="preserve"> </w:t>
      </w:r>
      <w:r w:rsidRPr="00E62FE6">
        <w:t>with</w:t>
      </w:r>
      <w:r w:rsidR="008243CA">
        <w:t xml:space="preserve"> </w:t>
      </w:r>
      <w:r w:rsidRPr="00E62FE6">
        <w:t>which</w:t>
      </w:r>
      <w:r w:rsidR="008243CA">
        <w:t xml:space="preserve"> </w:t>
      </w:r>
      <w:r w:rsidRPr="00E62FE6">
        <w:t>to</w:t>
      </w:r>
      <w:r w:rsidR="008243CA">
        <w:t xml:space="preserve"> </w:t>
      </w:r>
      <w:r w:rsidRPr="00E62FE6">
        <w:t>conduct</w:t>
      </w:r>
      <w:r w:rsidR="008243CA">
        <w:t xml:space="preserve"> </w:t>
      </w:r>
      <w:r w:rsidRPr="00E62FE6">
        <w:t>dental</w:t>
      </w:r>
      <w:r w:rsidR="008243CA">
        <w:t xml:space="preserve"> </w:t>
      </w:r>
      <w:r w:rsidRPr="00E62FE6">
        <w:t>examinations</w:t>
      </w:r>
      <w:r w:rsidR="008243CA">
        <w:t xml:space="preserve"> </w:t>
      </w:r>
      <w:r w:rsidRPr="00E62FE6">
        <w:t>upon</w:t>
      </w:r>
      <w:r w:rsidR="008243CA">
        <w:t xml:space="preserve"> </w:t>
      </w:r>
      <w:r w:rsidRPr="00E62FE6">
        <w:t>imprisonment,</w:t>
      </w:r>
      <w:r w:rsidR="008243CA">
        <w:t xml:space="preserve"> </w:t>
      </w:r>
      <w:r w:rsidRPr="00E62FE6">
        <w:t>which</w:t>
      </w:r>
      <w:r w:rsidR="008243CA">
        <w:t xml:space="preserve"> </w:t>
      </w:r>
      <w:r w:rsidRPr="00E62FE6">
        <w:t>also</w:t>
      </w:r>
      <w:r w:rsidR="008243CA">
        <w:t xml:space="preserve"> </w:t>
      </w:r>
      <w:r w:rsidRPr="00E62FE6">
        <w:t>serves</w:t>
      </w:r>
      <w:r w:rsidR="008243CA">
        <w:t xml:space="preserve"> </w:t>
      </w:r>
      <w:r w:rsidRPr="00E62FE6">
        <w:t>as</w:t>
      </w:r>
      <w:r w:rsidR="008243CA">
        <w:t xml:space="preserve"> </w:t>
      </w:r>
      <w:r w:rsidRPr="00E62FE6">
        <w:t>a</w:t>
      </w:r>
      <w:r w:rsidR="008243CA">
        <w:t xml:space="preserve"> </w:t>
      </w:r>
      <w:r w:rsidRPr="00E62FE6">
        <w:t>means</w:t>
      </w:r>
      <w:r w:rsidR="008243CA">
        <w:t xml:space="preserve"> </w:t>
      </w:r>
      <w:r w:rsidRPr="00E62FE6">
        <w:t>of</w:t>
      </w:r>
      <w:r w:rsidR="008243CA">
        <w:t xml:space="preserve"> </w:t>
      </w:r>
      <w:r w:rsidRPr="00E62FE6">
        <w:t>identification.</w:t>
      </w:r>
      <w:r w:rsidR="008243CA">
        <w:t xml:space="preserve"> </w:t>
      </w:r>
      <w:r w:rsidRPr="00E62FE6">
        <w:t>The</w:t>
      </w:r>
      <w:r w:rsidR="008243CA">
        <w:t xml:space="preserve"> </w:t>
      </w:r>
      <w:r w:rsidRPr="00E62FE6">
        <w:t>equipment</w:t>
      </w:r>
      <w:r w:rsidR="008243CA">
        <w:t xml:space="preserve"> </w:t>
      </w:r>
      <w:r w:rsidRPr="00E62FE6">
        <w:t>is</w:t>
      </w:r>
      <w:r w:rsidR="008243CA">
        <w:t xml:space="preserve"> </w:t>
      </w:r>
      <w:r w:rsidRPr="00E62FE6">
        <w:t>repaired</w:t>
      </w:r>
      <w:r w:rsidR="008243CA">
        <w:t xml:space="preserve"> </w:t>
      </w:r>
      <w:r w:rsidRPr="00E62FE6">
        <w:t>and</w:t>
      </w:r>
      <w:r w:rsidR="008243CA">
        <w:t xml:space="preserve"> </w:t>
      </w:r>
      <w:r w:rsidRPr="00E62FE6">
        <w:t>replaced</w:t>
      </w:r>
      <w:r w:rsidR="008243CA">
        <w:t xml:space="preserve"> </w:t>
      </w:r>
      <w:r w:rsidRPr="00E62FE6">
        <w:t>regularly</w:t>
      </w:r>
      <w:r w:rsidR="008243CA">
        <w:t xml:space="preserve"> </w:t>
      </w:r>
      <w:r w:rsidRPr="00E62FE6">
        <w:t>to</w:t>
      </w:r>
      <w:r w:rsidR="008243CA">
        <w:t xml:space="preserve"> </w:t>
      </w:r>
      <w:r w:rsidRPr="00E62FE6">
        <w:t>ensure</w:t>
      </w:r>
      <w:r w:rsidR="008243CA">
        <w:t xml:space="preserve"> </w:t>
      </w:r>
      <w:r w:rsidRPr="00E62FE6">
        <w:t>that</w:t>
      </w:r>
      <w:r w:rsidR="008243CA">
        <w:t xml:space="preserve"> </w:t>
      </w:r>
      <w:r w:rsidRPr="00E62FE6">
        <w:t>it</w:t>
      </w:r>
      <w:r w:rsidR="008243CA">
        <w:t xml:space="preserve"> </w:t>
      </w:r>
      <w:r w:rsidRPr="00E62FE6">
        <w:t>is</w:t>
      </w:r>
      <w:r w:rsidR="008243CA">
        <w:t xml:space="preserve"> </w:t>
      </w:r>
      <w:r w:rsidRPr="00E62FE6">
        <w:t>fit</w:t>
      </w:r>
      <w:r w:rsidR="008243CA">
        <w:t xml:space="preserve"> </w:t>
      </w:r>
      <w:r w:rsidRPr="00E62FE6">
        <w:t>for</w:t>
      </w:r>
      <w:r w:rsidR="008243CA">
        <w:t xml:space="preserve"> </w:t>
      </w:r>
      <w:r w:rsidRPr="00E62FE6">
        <w:t>purpose.</w:t>
      </w:r>
      <w:r w:rsidR="008243CA">
        <w:t xml:space="preserve"> </w:t>
      </w:r>
      <w:r w:rsidRPr="00E62FE6">
        <w:t>The</w:t>
      </w:r>
      <w:r w:rsidR="008243CA">
        <w:t xml:space="preserve"> </w:t>
      </w:r>
      <w:r w:rsidRPr="00E62FE6">
        <w:t>amount</w:t>
      </w:r>
      <w:r w:rsidR="008243CA">
        <w:t xml:space="preserve"> </w:t>
      </w:r>
      <w:r w:rsidRPr="00E62FE6">
        <w:t>of</w:t>
      </w:r>
      <w:r w:rsidR="008243CA">
        <w:t xml:space="preserve"> </w:t>
      </w:r>
      <w:r w:rsidRPr="00E62FE6">
        <w:t>equipment</w:t>
      </w:r>
      <w:r w:rsidR="008243CA">
        <w:t xml:space="preserve"> </w:t>
      </w:r>
      <w:r w:rsidRPr="00E62FE6">
        <w:t>is</w:t>
      </w:r>
      <w:r w:rsidR="008243CA">
        <w:t xml:space="preserve"> </w:t>
      </w:r>
      <w:r w:rsidRPr="00E62FE6">
        <w:t>expected</w:t>
      </w:r>
      <w:r w:rsidR="008243CA">
        <w:t xml:space="preserve"> </w:t>
      </w:r>
      <w:r w:rsidRPr="00E62FE6">
        <w:t>to</w:t>
      </w:r>
      <w:r w:rsidR="008243CA">
        <w:t xml:space="preserve"> </w:t>
      </w:r>
      <w:r w:rsidRPr="00E62FE6">
        <w:t>be</w:t>
      </w:r>
      <w:r w:rsidR="008243CA">
        <w:t xml:space="preserve"> </w:t>
      </w:r>
      <w:r w:rsidRPr="00E62FE6">
        <w:t>gradually</w:t>
      </w:r>
      <w:r w:rsidR="008243CA">
        <w:t xml:space="preserve"> </w:t>
      </w:r>
      <w:r w:rsidRPr="00E62FE6">
        <w:lastRenderedPageBreak/>
        <w:t>increased</w:t>
      </w:r>
      <w:r w:rsidR="008243CA">
        <w:t xml:space="preserve"> </w:t>
      </w:r>
      <w:r w:rsidRPr="00E62FE6">
        <w:t>in</w:t>
      </w:r>
      <w:r w:rsidR="008243CA">
        <w:t xml:space="preserve"> </w:t>
      </w:r>
      <w:r w:rsidRPr="00E62FE6">
        <w:t>different</w:t>
      </w:r>
      <w:r w:rsidR="008243CA">
        <w:t xml:space="preserve"> </w:t>
      </w:r>
      <w:r w:rsidRPr="00E62FE6">
        <w:t>regions</w:t>
      </w:r>
      <w:r w:rsidR="008243CA">
        <w:t xml:space="preserve"> </w:t>
      </w:r>
      <w:r w:rsidRPr="00E62FE6">
        <w:t>of</w:t>
      </w:r>
      <w:r w:rsidR="008243CA">
        <w:t xml:space="preserve"> </w:t>
      </w:r>
      <w:r w:rsidRPr="00E62FE6">
        <w:t>the</w:t>
      </w:r>
      <w:r w:rsidR="008243CA">
        <w:t xml:space="preserve"> </w:t>
      </w:r>
      <w:r w:rsidRPr="00E62FE6">
        <w:t>country</w:t>
      </w:r>
      <w:r w:rsidR="008243CA">
        <w:t xml:space="preserve"> </w:t>
      </w:r>
      <w:r w:rsidRPr="00E62FE6">
        <w:t>in</w:t>
      </w:r>
      <w:r w:rsidR="008243CA">
        <w:t xml:space="preserve"> </w:t>
      </w:r>
      <w:r w:rsidRPr="00E62FE6">
        <w:t>order</w:t>
      </w:r>
      <w:r w:rsidR="008243CA">
        <w:t xml:space="preserve"> </w:t>
      </w:r>
      <w:r w:rsidRPr="00E62FE6">
        <w:t>to</w:t>
      </w:r>
      <w:r w:rsidR="008243CA">
        <w:t xml:space="preserve"> </w:t>
      </w:r>
      <w:r w:rsidRPr="00E62FE6">
        <w:t>achieve</w:t>
      </w:r>
      <w:r w:rsidR="008243CA">
        <w:t xml:space="preserve"> </w:t>
      </w:r>
      <w:r w:rsidRPr="00E62FE6">
        <w:t>national</w:t>
      </w:r>
      <w:r w:rsidR="008243CA">
        <w:t xml:space="preserve"> </w:t>
      </w:r>
      <w:r w:rsidRPr="00E62FE6">
        <w:t>coverage</w:t>
      </w:r>
      <w:r w:rsidR="008243CA">
        <w:t xml:space="preserve"> </w:t>
      </w:r>
      <w:r w:rsidRPr="00E62FE6">
        <w:t>or</w:t>
      </w:r>
      <w:r w:rsidR="008243CA">
        <w:t xml:space="preserve"> </w:t>
      </w:r>
      <w:r w:rsidRPr="00E62FE6">
        <w:t>to</w:t>
      </w:r>
      <w:r w:rsidR="008243CA">
        <w:t xml:space="preserve"> </w:t>
      </w:r>
      <w:r w:rsidRPr="00E62FE6">
        <w:t>ensure</w:t>
      </w:r>
      <w:r w:rsidR="008243CA">
        <w:t xml:space="preserve"> </w:t>
      </w:r>
      <w:r w:rsidRPr="00E62FE6">
        <w:t>the</w:t>
      </w:r>
      <w:r w:rsidR="008243CA">
        <w:t xml:space="preserve"> </w:t>
      </w:r>
      <w:r w:rsidRPr="00E62FE6">
        <w:t>necessary</w:t>
      </w:r>
      <w:r w:rsidR="008243CA">
        <w:t xml:space="preserve"> </w:t>
      </w:r>
      <w:r w:rsidRPr="00E62FE6">
        <w:t>coordination</w:t>
      </w:r>
      <w:r w:rsidR="008243CA">
        <w:t xml:space="preserve"> </w:t>
      </w:r>
      <w:r w:rsidRPr="00E62FE6">
        <w:t>with</w:t>
      </w:r>
      <w:r w:rsidR="008243CA">
        <w:t xml:space="preserve"> </w:t>
      </w:r>
      <w:r w:rsidRPr="00E62FE6">
        <w:t>the</w:t>
      </w:r>
      <w:r w:rsidR="008243CA">
        <w:t xml:space="preserve"> </w:t>
      </w:r>
      <w:r w:rsidRPr="00E62FE6">
        <w:t>corresponding</w:t>
      </w:r>
      <w:r w:rsidR="008243CA">
        <w:t xml:space="preserve"> </w:t>
      </w:r>
      <w:r w:rsidRPr="00E62FE6">
        <w:t>health</w:t>
      </w:r>
      <w:r w:rsidR="008243CA">
        <w:t xml:space="preserve"> </w:t>
      </w:r>
      <w:r w:rsidRPr="00E62FE6">
        <w:t>services.</w:t>
      </w:r>
    </w:p>
    <w:p w:rsidR="003F7D03" w:rsidRPr="00E62FE6" w:rsidRDefault="003F7D03" w:rsidP="000C6D98">
      <w:pPr>
        <w:pStyle w:val="SingleTxtG"/>
      </w:pPr>
      <w:r w:rsidRPr="00E62FE6">
        <w:t>107.</w:t>
      </w:r>
      <w:r w:rsidRPr="00E62FE6">
        <w:tab/>
        <w:t>With</w:t>
      </w:r>
      <w:r w:rsidR="008243CA">
        <w:t xml:space="preserve"> </w:t>
      </w:r>
      <w:r w:rsidRPr="00E62FE6">
        <w:t>regard</w:t>
      </w:r>
      <w:r w:rsidR="008243CA">
        <w:t xml:space="preserve"> </w:t>
      </w:r>
      <w:r w:rsidRPr="00E62FE6">
        <w:t>to</w:t>
      </w:r>
      <w:r w:rsidR="008243CA">
        <w:t xml:space="preserve"> </w:t>
      </w:r>
      <w:r w:rsidRPr="00E62FE6">
        <w:t>the</w:t>
      </w:r>
      <w:r w:rsidR="008243CA">
        <w:t xml:space="preserve"> </w:t>
      </w:r>
      <w:r w:rsidRPr="00E62FE6">
        <w:t>Subcommittee</w:t>
      </w:r>
      <w:r w:rsidR="00116F0B">
        <w:t>’</w:t>
      </w:r>
      <w:r w:rsidRPr="00E62FE6">
        <w:t>s</w:t>
      </w:r>
      <w:r w:rsidR="008243CA">
        <w:t xml:space="preserve"> </w:t>
      </w:r>
      <w:r w:rsidRPr="00E62FE6">
        <w:t>recommendation,</w:t>
      </w:r>
      <w:r w:rsidR="008243CA">
        <w:t xml:space="preserve"> </w:t>
      </w:r>
      <w:r w:rsidRPr="00E62FE6">
        <w:t>the</w:t>
      </w:r>
      <w:r w:rsidR="008243CA">
        <w:t xml:space="preserve"> </w:t>
      </w:r>
      <w:r w:rsidRPr="00E62FE6">
        <w:t>Prison</w:t>
      </w:r>
      <w:r w:rsidR="008243CA">
        <w:t xml:space="preserve"> </w:t>
      </w:r>
      <w:r w:rsidRPr="00E62FE6">
        <w:t>Service</w:t>
      </w:r>
      <w:r w:rsidR="008243CA">
        <w:t xml:space="preserve"> </w:t>
      </w:r>
      <w:r w:rsidRPr="00E62FE6">
        <w:t>has</w:t>
      </w:r>
      <w:r w:rsidR="008243CA">
        <w:t xml:space="preserve"> </w:t>
      </w:r>
      <w:r w:rsidRPr="00E62FE6">
        <w:t>stated</w:t>
      </w:r>
      <w:r w:rsidR="008243CA">
        <w:t xml:space="preserve"> </w:t>
      </w:r>
      <w:r w:rsidRPr="00E62FE6">
        <w:t>that</w:t>
      </w:r>
      <w:r w:rsidR="008243CA">
        <w:t xml:space="preserve"> </w:t>
      </w:r>
      <w:r w:rsidRPr="00E62FE6">
        <w:t>all</w:t>
      </w:r>
      <w:r w:rsidR="008243CA">
        <w:t xml:space="preserve"> </w:t>
      </w:r>
      <w:r w:rsidRPr="00E62FE6">
        <w:t>health</w:t>
      </w:r>
      <w:r w:rsidR="008243CA">
        <w:t xml:space="preserve"> </w:t>
      </w:r>
      <w:r w:rsidRPr="00E62FE6">
        <w:t>care</w:t>
      </w:r>
      <w:r w:rsidR="008243CA">
        <w:t xml:space="preserve"> </w:t>
      </w:r>
      <w:r w:rsidRPr="00E62FE6">
        <w:t>should</w:t>
      </w:r>
      <w:r w:rsidR="008243CA">
        <w:t xml:space="preserve"> </w:t>
      </w:r>
      <w:r w:rsidRPr="00E62FE6">
        <w:t>be</w:t>
      </w:r>
      <w:r w:rsidR="008243CA">
        <w:t xml:space="preserve"> </w:t>
      </w:r>
      <w:r w:rsidRPr="00E62FE6">
        <w:t>assessed</w:t>
      </w:r>
      <w:r w:rsidR="008243CA">
        <w:t xml:space="preserve"> </w:t>
      </w:r>
      <w:r w:rsidRPr="00E62FE6">
        <w:t>on</w:t>
      </w:r>
      <w:r w:rsidR="008243CA">
        <w:t xml:space="preserve"> </w:t>
      </w:r>
      <w:r w:rsidRPr="00E62FE6">
        <w:t>the</w:t>
      </w:r>
      <w:r w:rsidR="008243CA">
        <w:t xml:space="preserve"> </w:t>
      </w:r>
      <w:r w:rsidRPr="00E62FE6">
        <w:t>basis</w:t>
      </w:r>
      <w:r w:rsidR="008243CA">
        <w:t xml:space="preserve"> </w:t>
      </w:r>
      <w:r w:rsidRPr="00E62FE6">
        <w:t>of</w:t>
      </w:r>
      <w:r w:rsidR="008243CA">
        <w:t xml:space="preserve"> </w:t>
      </w:r>
      <w:r w:rsidRPr="00E62FE6">
        <w:t>urgency</w:t>
      </w:r>
      <w:r w:rsidR="008243CA">
        <w:t xml:space="preserve"> </w:t>
      </w:r>
      <w:r w:rsidRPr="00E62FE6">
        <w:t>and</w:t>
      </w:r>
      <w:r w:rsidR="008243CA">
        <w:t xml:space="preserve"> </w:t>
      </w:r>
      <w:r w:rsidRPr="00E62FE6">
        <w:t>continuity</w:t>
      </w:r>
      <w:r w:rsidR="008243CA">
        <w:t xml:space="preserve"> </w:t>
      </w:r>
      <w:r w:rsidRPr="00E62FE6">
        <w:t>of</w:t>
      </w:r>
      <w:r w:rsidR="008243CA">
        <w:t xml:space="preserve"> </w:t>
      </w:r>
      <w:r w:rsidRPr="00E62FE6">
        <w:t>dental</w:t>
      </w:r>
      <w:r w:rsidR="008243CA">
        <w:t xml:space="preserve"> </w:t>
      </w:r>
      <w:r w:rsidRPr="00E62FE6">
        <w:t>treatment</w:t>
      </w:r>
      <w:r w:rsidR="008243CA">
        <w:t xml:space="preserve"> </w:t>
      </w:r>
      <w:r w:rsidRPr="00E62FE6">
        <w:t>through</w:t>
      </w:r>
      <w:r w:rsidR="008243CA">
        <w:t xml:space="preserve"> </w:t>
      </w:r>
      <w:r w:rsidRPr="00E62FE6">
        <w:t>the</w:t>
      </w:r>
      <w:r w:rsidR="008243CA">
        <w:t xml:space="preserve"> </w:t>
      </w:r>
      <w:r w:rsidRPr="00E62FE6">
        <w:t>registration</w:t>
      </w:r>
      <w:r w:rsidR="008243CA">
        <w:t xml:space="preserve"> </w:t>
      </w:r>
      <w:r w:rsidRPr="00E62FE6">
        <w:t>system</w:t>
      </w:r>
      <w:r w:rsidR="008243CA">
        <w:t xml:space="preserve"> </w:t>
      </w:r>
      <w:r w:rsidRPr="00E62FE6">
        <w:t>that</w:t>
      </w:r>
      <w:r w:rsidR="008243CA">
        <w:t xml:space="preserve"> </w:t>
      </w:r>
      <w:r w:rsidRPr="00E62FE6">
        <w:t>includes</w:t>
      </w:r>
      <w:r w:rsidR="008243CA">
        <w:t xml:space="preserve"> </w:t>
      </w:r>
      <w:r w:rsidRPr="00E62FE6">
        <w:t>a</w:t>
      </w:r>
      <w:r w:rsidR="008243CA">
        <w:t xml:space="preserve"> </w:t>
      </w:r>
      <w:r w:rsidRPr="00E62FE6">
        <w:t>record</w:t>
      </w:r>
      <w:r w:rsidR="008243CA">
        <w:t xml:space="preserve"> </w:t>
      </w:r>
      <w:r w:rsidRPr="00E62FE6">
        <w:t>of</w:t>
      </w:r>
      <w:r w:rsidR="008243CA">
        <w:t xml:space="preserve"> </w:t>
      </w:r>
      <w:r w:rsidRPr="00E62FE6">
        <w:t>appointments</w:t>
      </w:r>
      <w:r w:rsidR="008243CA">
        <w:t xml:space="preserve"> </w:t>
      </w:r>
      <w:r w:rsidRPr="00E62FE6">
        <w:t>and</w:t>
      </w:r>
      <w:r w:rsidR="008243CA">
        <w:t xml:space="preserve"> </w:t>
      </w:r>
      <w:r w:rsidRPr="00E62FE6">
        <w:t>shows</w:t>
      </w:r>
      <w:r w:rsidR="008243CA">
        <w:t xml:space="preserve"> </w:t>
      </w:r>
      <w:r w:rsidRPr="00E62FE6">
        <w:t>whether</w:t>
      </w:r>
      <w:r w:rsidR="008243CA">
        <w:t xml:space="preserve"> </w:t>
      </w:r>
      <w:r w:rsidRPr="00E62FE6">
        <w:t>or</w:t>
      </w:r>
      <w:r w:rsidR="008243CA">
        <w:t xml:space="preserve"> </w:t>
      </w:r>
      <w:r w:rsidRPr="00E62FE6">
        <w:t>not</w:t>
      </w:r>
      <w:r w:rsidR="008243CA">
        <w:t xml:space="preserve"> </w:t>
      </w:r>
      <w:r w:rsidRPr="00E62FE6">
        <w:t>the</w:t>
      </w:r>
      <w:r w:rsidR="008243CA">
        <w:t xml:space="preserve"> </w:t>
      </w:r>
      <w:r w:rsidRPr="00E62FE6">
        <w:t>patients</w:t>
      </w:r>
      <w:r w:rsidR="008243CA">
        <w:t xml:space="preserve"> </w:t>
      </w:r>
      <w:r w:rsidRPr="00E62FE6">
        <w:t>received</w:t>
      </w:r>
      <w:r w:rsidR="008243CA">
        <w:t xml:space="preserve"> </w:t>
      </w:r>
      <w:r w:rsidRPr="00E62FE6">
        <w:t>care.</w:t>
      </w:r>
    </w:p>
    <w:p w:rsidR="003F7D03" w:rsidRPr="00E62FE6" w:rsidRDefault="003F7D03" w:rsidP="000C6D98">
      <w:pPr>
        <w:pStyle w:val="SingleTxtG"/>
      </w:pPr>
      <w:r w:rsidRPr="00E62FE6">
        <w:t>108.</w:t>
      </w:r>
      <w:r w:rsidRPr="00E62FE6">
        <w:tab/>
        <w:t>Furthermore,</w:t>
      </w:r>
      <w:r w:rsidR="008243CA">
        <w:t xml:space="preserve"> </w:t>
      </w:r>
      <w:r w:rsidRPr="00E62FE6">
        <w:t>while</w:t>
      </w:r>
      <w:r w:rsidR="008243CA">
        <w:t xml:space="preserve"> </w:t>
      </w:r>
      <w:r w:rsidRPr="00E62FE6">
        <w:t>the</w:t>
      </w:r>
      <w:r w:rsidR="008243CA">
        <w:t xml:space="preserve"> </w:t>
      </w:r>
      <w:r w:rsidRPr="00E62FE6">
        <w:t>recommendation</w:t>
      </w:r>
      <w:r w:rsidR="008243CA">
        <w:t xml:space="preserve"> </w:t>
      </w:r>
      <w:r w:rsidRPr="00E62FE6">
        <w:t>is</w:t>
      </w:r>
      <w:r w:rsidR="008243CA">
        <w:t xml:space="preserve"> </w:t>
      </w:r>
      <w:r w:rsidRPr="00E62FE6">
        <w:t>expressly</w:t>
      </w:r>
      <w:r w:rsidR="008243CA">
        <w:t xml:space="preserve"> </w:t>
      </w:r>
      <w:r w:rsidRPr="00E62FE6">
        <w:t>addressed</w:t>
      </w:r>
      <w:r w:rsidR="008243CA">
        <w:t xml:space="preserve"> </w:t>
      </w:r>
      <w:r w:rsidRPr="00E62FE6">
        <w:t>to</w:t>
      </w:r>
      <w:r w:rsidR="008243CA">
        <w:t xml:space="preserve"> </w:t>
      </w:r>
      <w:r w:rsidRPr="00E62FE6">
        <w:t>the</w:t>
      </w:r>
      <w:r w:rsidR="008243CA">
        <w:t xml:space="preserve"> </w:t>
      </w:r>
      <w:r w:rsidRPr="00E62FE6">
        <w:t>Prison</w:t>
      </w:r>
      <w:r w:rsidR="008243CA">
        <w:t xml:space="preserve"> </w:t>
      </w:r>
      <w:r w:rsidRPr="00E62FE6">
        <w:t>Service,</w:t>
      </w:r>
      <w:r w:rsidR="008243CA">
        <w:t xml:space="preserve"> </w:t>
      </w:r>
      <w:r w:rsidRPr="00E62FE6">
        <w:t>SENAME</w:t>
      </w:r>
      <w:r w:rsidR="008243CA">
        <w:t xml:space="preserve"> </w:t>
      </w:r>
      <w:r w:rsidRPr="00E62FE6">
        <w:t>will</w:t>
      </w:r>
      <w:r w:rsidR="008243CA">
        <w:t xml:space="preserve"> </w:t>
      </w:r>
      <w:r w:rsidRPr="00E62FE6">
        <w:t>include</w:t>
      </w:r>
      <w:r w:rsidR="008243CA">
        <w:t xml:space="preserve"> </w:t>
      </w:r>
      <w:r w:rsidRPr="00E62FE6">
        <w:t>dental</w:t>
      </w:r>
      <w:r w:rsidR="008243CA">
        <w:t xml:space="preserve"> </w:t>
      </w:r>
      <w:r w:rsidRPr="00E62FE6">
        <w:t>care</w:t>
      </w:r>
      <w:r w:rsidR="008243CA">
        <w:t xml:space="preserve"> </w:t>
      </w:r>
      <w:r w:rsidRPr="00E62FE6">
        <w:t>and</w:t>
      </w:r>
      <w:r w:rsidR="008243CA">
        <w:t xml:space="preserve"> </w:t>
      </w:r>
      <w:r w:rsidRPr="00E62FE6">
        <w:t>special</w:t>
      </w:r>
      <w:r w:rsidR="008243CA">
        <w:t xml:space="preserve"> </w:t>
      </w:r>
      <w:r w:rsidRPr="00E62FE6">
        <w:t>treatment</w:t>
      </w:r>
      <w:r w:rsidR="008243CA">
        <w:t xml:space="preserve"> </w:t>
      </w:r>
      <w:r w:rsidRPr="00E62FE6">
        <w:t>for</w:t>
      </w:r>
      <w:r w:rsidR="008243CA">
        <w:t xml:space="preserve"> </w:t>
      </w:r>
      <w:r w:rsidRPr="00E62FE6">
        <w:t>children</w:t>
      </w:r>
      <w:r w:rsidR="008243CA">
        <w:t xml:space="preserve"> </w:t>
      </w:r>
      <w:r w:rsidRPr="00E62FE6">
        <w:t>and</w:t>
      </w:r>
      <w:r w:rsidR="008243CA">
        <w:t xml:space="preserve"> </w:t>
      </w:r>
      <w:r w:rsidRPr="00E62FE6">
        <w:t>adolescents</w:t>
      </w:r>
      <w:r w:rsidR="008243CA">
        <w:t xml:space="preserve"> </w:t>
      </w:r>
      <w:r w:rsidRPr="00E62FE6">
        <w:t>subject</w:t>
      </w:r>
      <w:r w:rsidR="008243CA">
        <w:t xml:space="preserve"> </w:t>
      </w:r>
      <w:r w:rsidRPr="00E62FE6">
        <w:t>to</w:t>
      </w:r>
      <w:r w:rsidR="008243CA">
        <w:t xml:space="preserve"> </w:t>
      </w:r>
      <w:r w:rsidRPr="00E62FE6">
        <w:t>protection</w:t>
      </w:r>
      <w:r w:rsidR="008243CA">
        <w:t xml:space="preserve"> </w:t>
      </w:r>
      <w:r w:rsidRPr="00E62FE6">
        <w:t>and</w:t>
      </w:r>
      <w:r w:rsidR="008243CA">
        <w:t xml:space="preserve"> </w:t>
      </w:r>
      <w:r w:rsidRPr="00E62FE6">
        <w:t>the</w:t>
      </w:r>
      <w:r w:rsidR="008243CA">
        <w:t xml:space="preserve"> </w:t>
      </w:r>
      <w:r w:rsidRPr="00E62FE6">
        <w:t>adolescent</w:t>
      </w:r>
      <w:r w:rsidR="008243CA">
        <w:t xml:space="preserve"> </w:t>
      </w:r>
      <w:r w:rsidRPr="00E62FE6">
        <w:t>criminal</w:t>
      </w:r>
      <w:r w:rsidR="008243CA">
        <w:t xml:space="preserve"> </w:t>
      </w:r>
      <w:r w:rsidRPr="00E62FE6">
        <w:t>system,</w:t>
      </w:r>
      <w:r w:rsidR="008243CA">
        <w:t xml:space="preserve"> </w:t>
      </w:r>
      <w:r w:rsidRPr="00E62FE6">
        <w:t>in</w:t>
      </w:r>
      <w:r w:rsidR="008243CA">
        <w:t xml:space="preserve"> </w:t>
      </w:r>
      <w:r w:rsidRPr="00E62FE6">
        <w:t>the</w:t>
      </w:r>
      <w:r w:rsidR="008243CA">
        <w:t xml:space="preserve"> </w:t>
      </w:r>
      <w:r w:rsidRPr="00E62FE6">
        <w:t>context</w:t>
      </w:r>
      <w:r w:rsidR="008243CA">
        <w:t xml:space="preserve"> </w:t>
      </w:r>
      <w:r w:rsidRPr="00E62FE6">
        <w:t>of</w:t>
      </w:r>
      <w:r w:rsidR="008243CA">
        <w:t xml:space="preserve"> </w:t>
      </w:r>
      <w:r w:rsidRPr="00E62FE6">
        <w:t>the</w:t>
      </w:r>
      <w:r w:rsidR="008243CA">
        <w:t xml:space="preserve"> </w:t>
      </w:r>
      <w:r w:rsidRPr="00E62FE6">
        <w:t>agreement</w:t>
      </w:r>
      <w:r w:rsidR="008243CA">
        <w:t xml:space="preserve"> </w:t>
      </w:r>
      <w:r w:rsidRPr="00E62FE6">
        <w:t>being</w:t>
      </w:r>
      <w:r w:rsidR="008243CA">
        <w:t xml:space="preserve"> </w:t>
      </w:r>
      <w:r w:rsidRPr="00E62FE6">
        <w:t>drawn</w:t>
      </w:r>
      <w:r w:rsidR="008243CA">
        <w:t xml:space="preserve"> </w:t>
      </w:r>
      <w:r w:rsidRPr="00E62FE6">
        <w:t>up</w:t>
      </w:r>
      <w:r w:rsidR="008243CA">
        <w:t xml:space="preserve"> </w:t>
      </w:r>
      <w:r w:rsidRPr="00E62FE6">
        <w:t>with</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Health,</w:t>
      </w:r>
      <w:r w:rsidR="008243CA">
        <w:t xml:space="preserve"> </w:t>
      </w:r>
      <w:r w:rsidRPr="00E62FE6">
        <w:t>to</w:t>
      </w:r>
      <w:r w:rsidR="008243CA">
        <w:t xml:space="preserve"> </w:t>
      </w:r>
      <w:r w:rsidRPr="00E62FE6">
        <w:t>ensure</w:t>
      </w:r>
      <w:r w:rsidR="008243CA">
        <w:t xml:space="preserve"> </w:t>
      </w:r>
      <w:r w:rsidRPr="00E62FE6">
        <w:t>that</w:t>
      </w:r>
      <w:r w:rsidR="008243CA">
        <w:t xml:space="preserve"> </w:t>
      </w:r>
      <w:r w:rsidRPr="00E62FE6">
        <w:t>they</w:t>
      </w:r>
      <w:r w:rsidR="008243CA">
        <w:t xml:space="preserve"> </w:t>
      </w:r>
      <w:r w:rsidRPr="00E62FE6">
        <w:t>receive</w:t>
      </w:r>
      <w:r w:rsidR="008243CA">
        <w:t xml:space="preserve"> </w:t>
      </w:r>
      <w:r w:rsidRPr="00E62FE6">
        <w:t>appropriate</w:t>
      </w:r>
      <w:r w:rsidR="008243CA">
        <w:t xml:space="preserve"> </w:t>
      </w:r>
      <w:r w:rsidRPr="00E62FE6">
        <w:t>dental</w:t>
      </w:r>
      <w:r w:rsidR="008243CA">
        <w:t xml:space="preserve"> </w:t>
      </w:r>
      <w:r w:rsidRPr="00E62FE6">
        <w:t>care</w:t>
      </w:r>
      <w:r w:rsidR="008243CA">
        <w:t xml:space="preserve"> </w:t>
      </w:r>
      <w:r w:rsidRPr="00E62FE6">
        <w:t>without</w:t>
      </w:r>
      <w:r w:rsidR="008243CA">
        <w:t xml:space="preserve"> </w:t>
      </w:r>
      <w:r w:rsidRPr="00E62FE6">
        <w:t>discrimination.</w:t>
      </w:r>
    </w:p>
    <w:p w:rsidR="003F7D03" w:rsidRPr="0007753D" w:rsidRDefault="003F7D03" w:rsidP="000C6D98">
      <w:pPr>
        <w:pStyle w:val="SingleTxtG"/>
        <w:rPr>
          <w:i/>
          <w:iCs/>
        </w:rPr>
      </w:pPr>
      <w:r w:rsidRPr="00E62FE6">
        <w:t>109.</w:t>
      </w:r>
      <w:r w:rsidRPr="00E62FE6">
        <w:tab/>
        <w:t>Paragraph</w:t>
      </w:r>
      <w:r w:rsidR="008243CA">
        <w:t xml:space="preserve"> </w:t>
      </w:r>
      <w:r w:rsidRPr="00E62FE6">
        <w:t>63:</w:t>
      </w:r>
      <w:r w:rsidR="008243CA">
        <w:t xml:space="preserve"> </w:t>
      </w:r>
      <w:r w:rsidRPr="0007753D">
        <w:rPr>
          <w:i/>
          <w:iCs/>
        </w:rPr>
        <w:t>[T]he</w:t>
      </w:r>
      <w:r w:rsidR="008243CA" w:rsidRPr="0007753D">
        <w:rPr>
          <w:i/>
          <w:iCs/>
        </w:rPr>
        <w:t xml:space="preserve"> </w:t>
      </w:r>
      <w:r w:rsidRPr="0007753D">
        <w:rPr>
          <w:i/>
          <w:iCs/>
        </w:rPr>
        <w:t>Subcommittee</w:t>
      </w:r>
      <w:r w:rsidR="008243CA" w:rsidRPr="0007753D">
        <w:rPr>
          <w:i/>
          <w:iCs/>
        </w:rPr>
        <w:t xml:space="preserve"> </w:t>
      </w:r>
      <w:r w:rsidRPr="0007753D">
        <w:rPr>
          <w:i/>
          <w:iCs/>
        </w:rPr>
        <w:t>recommends</w:t>
      </w:r>
      <w:r w:rsidR="008243CA" w:rsidRPr="0007753D">
        <w:rPr>
          <w:i/>
          <w:iCs/>
        </w:rPr>
        <w:t xml:space="preserve"> </w:t>
      </w:r>
      <w:r w:rsidRPr="0007753D">
        <w:rPr>
          <w:i/>
          <w:iCs/>
        </w:rPr>
        <w:t>that</w:t>
      </w:r>
      <w:r w:rsidR="008243CA" w:rsidRPr="0007753D">
        <w:rPr>
          <w:i/>
          <w:iCs/>
        </w:rPr>
        <w:t xml:space="preserve"> </w:t>
      </w:r>
      <w:r w:rsidRPr="0007753D">
        <w:rPr>
          <w:i/>
          <w:iCs/>
        </w:rPr>
        <w:t>particular</w:t>
      </w:r>
      <w:r w:rsidR="008243CA" w:rsidRPr="0007753D">
        <w:rPr>
          <w:i/>
          <w:iCs/>
        </w:rPr>
        <w:t xml:space="preserve"> </w:t>
      </w:r>
      <w:r w:rsidRPr="0007753D">
        <w:rPr>
          <w:i/>
          <w:iCs/>
        </w:rPr>
        <w:t>attention</w:t>
      </w:r>
      <w:r w:rsidR="008243CA" w:rsidRPr="0007753D">
        <w:rPr>
          <w:i/>
          <w:iCs/>
        </w:rPr>
        <w:t xml:space="preserve"> </w:t>
      </w:r>
      <w:r w:rsidRPr="0007753D">
        <w:rPr>
          <w:i/>
          <w:iCs/>
        </w:rPr>
        <w:t>be</w:t>
      </w:r>
      <w:r w:rsidR="008243CA" w:rsidRPr="0007753D">
        <w:rPr>
          <w:i/>
          <w:iCs/>
        </w:rPr>
        <w:t xml:space="preserve"> </w:t>
      </w:r>
      <w:r w:rsidRPr="0007753D">
        <w:rPr>
          <w:i/>
          <w:iCs/>
        </w:rPr>
        <w:t>paid</w:t>
      </w:r>
      <w:r w:rsidR="008243CA" w:rsidRPr="0007753D">
        <w:rPr>
          <w:i/>
          <w:iCs/>
        </w:rPr>
        <w:t xml:space="preserve"> </w:t>
      </w:r>
      <w:r w:rsidRPr="0007753D">
        <w:rPr>
          <w:i/>
          <w:iCs/>
        </w:rPr>
        <w:t>to</w:t>
      </w:r>
      <w:r w:rsidR="008243CA" w:rsidRPr="0007753D">
        <w:rPr>
          <w:i/>
          <w:iCs/>
        </w:rPr>
        <w:t xml:space="preserve"> </w:t>
      </w:r>
      <w:r w:rsidRPr="0007753D">
        <w:rPr>
          <w:i/>
          <w:iCs/>
        </w:rPr>
        <w:t>the</w:t>
      </w:r>
      <w:r w:rsidR="008243CA" w:rsidRPr="0007753D">
        <w:rPr>
          <w:i/>
          <w:iCs/>
        </w:rPr>
        <w:t xml:space="preserve"> </w:t>
      </w:r>
      <w:r w:rsidRPr="0007753D">
        <w:rPr>
          <w:i/>
          <w:iCs/>
        </w:rPr>
        <w:t>provision</w:t>
      </w:r>
      <w:r w:rsidR="008243CA" w:rsidRPr="0007753D">
        <w:rPr>
          <w:i/>
          <w:iCs/>
        </w:rPr>
        <w:t xml:space="preserve"> </w:t>
      </w:r>
      <w:r w:rsidRPr="0007753D">
        <w:rPr>
          <w:i/>
          <w:iCs/>
        </w:rPr>
        <w:t>of</w:t>
      </w:r>
      <w:r w:rsidR="008243CA" w:rsidRPr="0007753D">
        <w:rPr>
          <w:i/>
          <w:iCs/>
        </w:rPr>
        <w:t xml:space="preserve"> </w:t>
      </w:r>
      <w:r w:rsidRPr="0007753D">
        <w:rPr>
          <w:i/>
          <w:iCs/>
        </w:rPr>
        <w:t>medication</w:t>
      </w:r>
      <w:r w:rsidR="008243CA" w:rsidRPr="0007753D">
        <w:rPr>
          <w:i/>
          <w:iCs/>
        </w:rPr>
        <w:t xml:space="preserve"> </w:t>
      </w:r>
      <w:r w:rsidRPr="0007753D">
        <w:rPr>
          <w:i/>
          <w:iCs/>
        </w:rPr>
        <w:t>to</w:t>
      </w:r>
      <w:r w:rsidR="008243CA" w:rsidRPr="0007753D">
        <w:rPr>
          <w:i/>
          <w:iCs/>
        </w:rPr>
        <w:t xml:space="preserve"> </w:t>
      </w:r>
      <w:r w:rsidRPr="0007753D">
        <w:rPr>
          <w:i/>
          <w:iCs/>
        </w:rPr>
        <w:t>people</w:t>
      </w:r>
      <w:r w:rsidR="008243CA" w:rsidRPr="0007753D">
        <w:rPr>
          <w:i/>
          <w:iCs/>
        </w:rPr>
        <w:t xml:space="preserve"> </w:t>
      </w:r>
      <w:r w:rsidRPr="0007753D">
        <w:rPr>
          <w:i/>
          <w:iCs/>
        </w:rPr>
        <w:t>with</w:t>
      </w:r>
      <w:r w:rsidR="008243CA" w:rsidRPr="0007753D">
        <w:rPr>
          <w:i/>
          <w:iCs/>
        </w:rPr>
        <w:t xml:space="preserve"> </w:t>
      </w:r>
      <w:r w:rsidRPr="0007753D">
        <w:rPr>
          <w:i/>
          <w:iCs/>
        </w:rPr>
        <w:t>HIV,</w:t>
      </w:r>
      <w:r w:rsidR="008243CA" w:rsidRPr="0007753D">
        <w:rPr>
          <w:i/>
          <w:iCs/>
        </w:rPr>
        <w:t xml:space="preserve"> </w:t>
      </w:r>
      <w:r w:rsidRPr="0007753D">
        <w:rPr>
          <w:i/>
          <w:iCs/>
        </w:rPr>
        <w:t>other</w:t>
      </w:r>
      <w:r w:rsidR="008243CA" w:rsidRPr="0007753D">
        <w:rPr>
          <w:i/>
          <w:iCs/>
        </w:rPr>
        <w:t xml:space="preserve"> </w:t>
      </w:r>
      <w:r w:rsidRPr="0007753D">
        <w:rPr>
          <w:i/>
          <w:iCs/>
        </w:rPr>
        <w:t>chronically</w:t>
      </w:r>
      <w:r w:rsidR="008243CA" w:rsidRPr="0007753D">
        <w:rPr>
          <w:i/>
          <w:iCs/>
        </w:rPr>
        <w:t xml:space="preserve"> </w:t>
      </w:r>
      <w:r w:rsidRPr="0007753D">
        <w:rPr>
          <w:i/>
          <w:iCs/>
        </w:rPr>
        <w:t>ill</w:t>
      </w:r>
      <w:r w:rsidR="008243CA" w:rsidRPr="0007753D">
        <w:rPr>
          <w:i/>
          <w:iCs/>
        </w:rPr>
        <w:t xml:space="preserve"> </w:t>
      </w:r>
      <w:r w:rsidRPr="0007753D">
        <w:rPr>
          <w:i/>
          <w:iCs/>
        </w:rPr>
        <w:t>patients</w:t>
      </w:r>
      <w:r w:rsidR="008243CA" w:rsidRPr="0007753D">
        <w:rPr>
          <w:i/>
          <w:iCs/>
        </w:rPr>
        <w:t xml:space="preserve"> </w:t>
      </w:r>
      <w:r w:rsidRPr="0007753D">
        <w:rPr>
          <w:i/>
          <w:iCs/>
        </w:rPr>
        <w:t>and</w:t>
      </w:r>
      <w:r w:rsidR="008243CA" w:rsidRPr="0007753D">
        <w:rPr>
          <w:i/>
          <w:iCs/>
        </w:rPr>
        <w:t xml:space="preserve"> </w:t>
      </w:r>
      <w:r w:rsidRPr="0007753D">
        <w:rPr>
          <w:i/>
          <w:iCs/>
        </w:rPr>
        <w:t>other</w:t>
      </w:r>
      <w:r w:rsidR="008243CA" w:rsidRPr="0007753D">
        <w:rPr>
          <w:i/>
          <w:iCs/>
        </w:rPr>
        <w:t xml:space="preserve"> </w:t>
      </w:r>
      <w:r w:rsidRPr="0007753D">
        <w:rPr>
          <w:i/>
          <w:iCs/>
        </w:rPr>
        <w:t>prisoners</w:t>
      </w:r>
      <w:r w:rsidR="008243CA" w:rsidRPr="0007753D">
        <w:rPr>
          <w:i/>
          <w:iCs/>
        </w:rPr>
        <w:t xml:space="preserve"> </w:t>
      </w:r>
      <w:r w:rsidRPr="0007753D">
        <w:rPr>
          <w:i/>
          <w:iCs/>
        </w:rPr>
        <w:t>who</w:t>
      </w:r>
      <w:r w:rsidR="008243CA" w:rsidRPr="0007753D">
        <w:rPr>
          <w:i/>
          <w:iCs/>
        </w:rPr>
        <w:t xml:space="preserve"> </w:t>
      </w:r>
      <w:r w:rsidRPr="0007753D">
        <w:rPr>
          <w:i/>
          <w:iCs/>
        </w:rPr>
        <w:t>require</w:t>
      </w:r>
      <w:r w:rsidR="008243CA" w:rsidRPr="0007753D">
        <w:rPr>
          <w:i/>
          <w:iCs/>
        </w:rPr>
        <w:t xml:space="preserve"> </w:t>
      </w:r>
      <w:r w:rsidRPr="0007753D">
        <w:rPr>
          <w:i/>
          <w:iCs/>
        </w:rPr>
        <w:t>treatment.</w:t>
      </w:r>
      <w:r w:rsidR="008243CA" w:rsidRPr="0007753D">
        <w:rPr>
          <w:i/>
          <w:iCs/>
        </w:rPr>
        <w:t xml:space="preserve"> </w:t>
      </w:r>
      <w:r w:rsidRPr="0007753D">
        <w:rPr>
          <w:i/>
          <w:iCs/>
        </w:rPr>
        <w:t>In</w:t>
      </w:r>
      <w:r w:rsidR="008243CA" w:rsidRPr="0007753D">
        <w:rPr>
          <w:i/>
          <w:iCs/>
        </w:rPr>
        <w:t xml:space="preserve"> </w:t>
      </w:r>
      <w:r w:rsidRPr="0007753D">
        <w:rPr>
          <w:i/>
          <w:iCs/>
        </w:rPr>
        <w:t>all</w:t>
      </w:r>
      <w:r w:rsidR="008243CA" w:rsidRPr="0007753D">
        <w:rPr>
          <w:i/>
          <w:iCs/>
        </w:rPr>
        <w:t xml:space="preserve"> </w:t>
      </w:r>
      <w:r w:rsidRPr="0007753D">
        <w:rPr>
          <w:i/>
          <w:iCs/>
        </w:rPr>
        <w:t>cases,</w:t>
      </w:r>
      <w:r w:rsidR="008243CA" w:rsidRPr="0007753D">
        <w:rPr>
          <w:i/>
          <w:iCs/>
        </w:rPr>
        <w:t xml:space="preserve"> </w:t>
      </w:r>
      <w:r w:rsidRPr="0007753D">
        <w:rPr>
          <w:i/>
          <w:iCs/>
        </w:rPr>
        <w:t>a</w:t>
      </w:r>
      <w:r w:rsidR="008243CA" w:rsidRPr="0007753D">
        <w:rPr>
          <w:i/>
          <w:iCs/>
        </w:rPr>
        <w:t xml:space="preserve"> </w:t>
      </w:r>
      <w:r w:rsidRPr="0007753D">
        <w:rPr>
          <w:i/>
          <w:iCs/>
        </w:rPr>
        <w:t>register</w:t>
      </w:r>
      <w:r w:rsidR="008243CA" w:rsidRPr="0007753D">
        <w:rPr>
          <w:i/>
          <w:iCs/>
        </w:rPr>
        <w:t xml:space="preserve"> </w:t>
      </w:r>
      <w:r w:rsidRPr="0007753D">
        <w:rPr>
          <w:i/>
          <w:iCs/>
        </w:rPr>
        <w:t>should</w:t>
      </w:r>
      <w:r w:rsidR="008243CA" w:rsidRPr="0007753D">
        <w:rPr>
          <w:i/>
          <w:iCs/>
        </w:rPr>
        <w:t xml:space="preserve"> </w:t>
      </w:r>
      <w:r w:rsidRPr="0007753D">
        <w:rPr>
          <w:i/>
          <w:iCs/>
        </w:rPr>
        <w:t>be</w:t>
      </w:r>
      <w:r w:rsidR="008243CA" w:rsidRPr="0007753D">
        <w:rPr>
          <w:i/>
          <w:iCs/>
        </w:rPr>
        <w:t xml:space="preserve"> </w:t>
      </w:r>
      <w:r w:rsidRPr="0007753D">
        <w:rPr>
          <w:i/>
          <w:iCs/>
        </w:rPr>
        <w:t>signed</w:t>
      </w:r>
      <w:r w:rsidR="008243CA" w:rsidRPr="0007753D">
        <w:rPr>
          <w:i/>
          <w:iCs/>
        </w:rPr>
        <w:t xml:space="preserve"> </w:t>
      </w:r>
      <w:r w:rsidRPr="0007753D">
        <w:rPr>
          <w:i/>
          <w:iCs/>
        </w:rPr>
        <w:t>by</w:t>
      </w:r>
      <w:r w:rsidR="008243CA" w:rsidRPr="0007753D">
        <w:rPr>
          <w:i/>
          <w:iCs/>
        </w:rPr>
        <w:t xml:space="preserve"> </w:t>
      </w:r>
      <w:r w:rsidRPr="0007753D">
        <w:rPr>
          <w:i/>
          <w:iCs/>
        </w:rPr>
        <w:t>prisoners</w:t>
      </w:r>
      <w:r w:rsidR="008243CA" w:rsidRPr="0007753D">
        <w:rPr>
          <w:i/>
          <w:iCs/>
        </w:rPr>
        <w:t xml:space="preserve"> </w:t>
      </w:r>
      <w:r w:rsidRPr="0007753D">
        <w:rPr>
          <w:i/>
          <w:iCs/>
        </w:rPr>
        <w:t>to</w:t>
      </w:r>
      <w:r w:rsidR="008243CA" w:rsidRPr="0007753D">
        <w:rPr>
          <w:i/>
          <w:iCs/>
        </w:rPr>
        <w:t xml:space="preserve"> </w:t>
      </w:r>
      <w:r w:rsidRPr="0007753D">
        <w:rPr>
          <w:i/>
          <w:iCs/>
        </w:rPr>
        <w:t>confirm</w:t>
      </w:r>
      <w:r w:rsidR="008243CA" w:rsidRPr="0007753D">
        <w:rPr>
          <w:i/>
          <w:iCs/>
        </w:rPr>
        <w:t xml:space="preserve"> </w:t>
      </w:r>
      <w:r w:rsidRPr="0007753D">
        <w:rPr>
          <w:i/>
          <w:iCs/>
        </w:rPr>
        <w:t>that</w:t>
      </w:r>
      <w:r w:rsidR="008243CA" w:rsidRPr="0007753D">
        <w:rPr>
          <w:i/>
          <w:iCs/>
        </w:rPr>
        <w:t xml:space="preserve"> </w:t>
      </w:r>
      <w:r w:rsidRPr="0007753D">
        <w:rPr>
          <w:i/>
          <w:iCs/>
        </w:rPr>
        <w:t>they</w:t>
      </w:r>
      <w:r w:rsidR="008243CA" w:rsidRPr="0007753D">
        <w:rPr>
          <w:i/>
          <w:iCs/>
        </w:rPr>
        <w:t xml:space="preserve"> </w:t>
      </w:r>
      <w:r w:rsidRPr="0007753D">
        <w:rPr>
          <w:i/>
          <w:iCs/>
        </w:rPr>
        <w:t>received</w:t>
      </w:r>
      <w:r w:rsidR="008243CA" w:rsidRPr="0007753D">
        <w:rPr>
          <w:i/>
          <w:iCs/>
        </w:rPr>
        <w:t xml:space="preserve"> </w:t>
      </w:r>
      <w:r w:rsidRPr="0007753D">
        <w:rPr>
          <w:i/>
          <w:iCs/>
        </w:rPr>
        <w:t>their</w:t>
      </w:r>
      <w:r w:rsidR="008243CA" w:rsidRPr="0007753D">
        <w:rPr>
          <w:i/>
          <w:iCs/>
        </w:rPr>
        <w:t xml:space="preserve"> </w:t>
      </w:r>
      <w:r w:rsidRPr="0007753D">
        <w:rPr>
          <w:i/>
          <w:iCs/>
        </w:rPr>
        <w:t>medication.</w:t>
      </w:r>
      <w:r w:rsidR="008243CA" w:rsidRPr="0007753D">
        <w:rPr>
          <w:i/>
          <w:iCs/>
        </w:rPr>
        <w:t xml:space="preserve"> </w:t>
      </w:r>
      <w:r w:rsidRPr="0007753D">
        <w:rPr>
          <w:i/>
          <w:iCs/>
        </w:rPr>
        <w:t>The</w:t>
      </w:r>
      <w:r w:rsidR="008243CA" w:rsidRPr="0007753D">
        <w:rPr>
          <w:i/>
          <w:iCs/>
        </w:rPr>
        <w:t xml:space="preserve"> </w:t>
      </w:r>
      <w:r w:rsidRPr="0007753D">
        <w:rPr>
          <w:i/>
          <w:iCs/>
        </w:rPr>
        <w:t>Subcommittee</w:t>
      </w:r>
      <w:r w:rsidR="008243CA" w:rsidRPr="0007753D">
        <w:rPr>
          <w:i/>
          <w:iCs/>
        </w:rPr>
        <w:t xml:space="preserve"> </w:t>
      </w:r>
      <w:r w:rsidRPr="0007753D">
        <w:rPr>
          <w:i/>
          <w:iCs/>
        </w:rPr>
        <w:t>recommends</w:t>
      </w:r>
      <w:r w:rsidR="008243CA" w:rsidRPr="0007753D">
        <w:rPr>
          <w:i/>
          <w:iCs/>
        </w:rPr>
        <w:t xml:space="preserve"> </w:t>
      </w:r>
      <w:r w:rsidRPr="0007753D">
        <w:rPr>
          <w:i/>
          <w:iCs/>
        </w:rPr>
        <w:t>that</w:t>
      </w:r>
      <w:r w:rsidR="008243CA" w:rsidRPr="0007753D">
        <w:rPr>
          <w:i/>
          <w:iCs/>
        </w:rPr>
        <w:t xml:space="preserve"> </w:t>
      </w:r>
      <w:r w:rsidRPr="0007753D">
        <w:rPr>
          <w:i/>
          <w:iCs/>
        </w:rPr>
        <w:t>prison</w:t>
      </w:r>
      <w:r w:rsidR="008243CA" w:rsidRPr="0007753D">
        <w:rPr>
          <w:i/>
          <w:iCs/>
        </w:rPr>
        <w:t xml:space="preserve"> </w:t>
      </w:r>
      <w:r w:rsidRPr="0007753D">
        <w:rPr>
          <w:i/>
          <w:iCs/>
        </w:rPr>
        <w:t>health</w:t>
      </w:r>
      <w:r w:rsidR="008243CA" w:rsidRPr="0007753D">
        <w:rPr>
          <w:i/>
          <w:iCs/>
        </w:rPr>
        <w:t xml:space="preserve"> </w:t>
      </w:r>
      <w:r w:rsidRPr="0007753D">
        <w:rPr>
          <w:i/>
          <w:iCs/>
        </w:rPr>
        <w:t>services</w:t>
      </w:r>
      <w:r w:rsidR="008243CA" w:rsidRPr="0007753D">
        <w:rPr>
          <w:i/>
          <w:iCs/>
        </w:rPr>
        <w:t xml:space="preserve"> </w:t>
      </w:r>
      <w:r w:rsidRPr="0007753D">
        <w:rPr>
          <w:i/>
          <w:iCs/>
        </w:rPr>
        <w:t>adapt</w:t>
      </w:r>
      <w:r w:rsidR="008243CA" w:rsidRPr="0007753D">
        <w:rPr>
          <w:i/>
          <w:iCs/>
        </w:rPr>
        <w:t xml:space="preserve"> </w:t>
      </w:r>
      <w:r w:rsidRPr="0007753D">
        <w:rPr>
          <w:i/>
          <w:iCs/>
        </w:rPr>
        <w:t>their</w:t>
      </w:r>
      <w:r w:rsidR="008243CA" w:rsidRPr="0007753D">
        <w:rPr>
          <w:i/>
          <w:iCs/>
        </w:rPr>
        <w:t xml:space="preserve"> </w:t>
      </w:r>
      <w:r w:rsidRPr="0007753D">
        <w:rPr>
          <w:i/>
          <w:iCs/>
        </w:rPr>
        <w:t>protocols</w:t>
      </w:r>
      <w:r w:rsidR="008243CA" w:rsidRPr="0007753D">
        <w:rPr>
          <w:i/>
          <w:iCs/>
        </w:rPr>
        <w:t xml:space="preserve"> </w:t>
      </w:r>
      <w:r w:rsidRPr="0007753D">
        <w:rPr>
          <w:i/>
          <w:iCs/>
        </w:rPr>
        <w:t>and</w:t>
      </w:r>
      <w:r w:rsidR="008243CA" w:rsidRPr="0007753D">
        <w:rPr>
          <w:i/>
          <w:iCs/>
        </w:rPr>
        <w:t xml:space="preserve"> </w:t>
      </w:r>
      <w:r w:rsidRPr="0007753D">
        <w:rPr>
          <w:i/>
          <w:iCs/>
        </w:rPr>
        <w:t>facilities</w:t>
      </w:r>
      <w:r w:rsidR="008243CA" w:rsidRPr="0007753D">
        <w:rPr>
          <w:i/>
          <w:iCs/>
        </w:rPr>
        <w:t xml:space="preserve"> </w:t>
      </w:r>
      <w:r w:rsidRPr="0007753D">
        <w:rPr>
          <w:i/>
          <w:iCs/>
        </w:rPr>
        <w:t>to</w:t>
      </w:r>
      <w:r w:rsidR="008243CA" w:rsidRPr="0007753D">
        <w:rPr>
          <w:i/>
          <w:iCs/>
        </w:rPr>
        <w:t xml:space="preserve"> </w:t>
      </w:r>
      <w:r w:rsidRPr="0007753D">
        <w:rPr>
          <w:i/>
          <w:iCs/>
        </w:rPr>
        <w:t>ensure</w:t>
      </w:r>
      <w:r w:rsidR="008243CA" w:rsidRPr="0007753D">
        <w:rPr>
          <w:i/>
          <w:iCs/>
        </w:rPr>
        <w:t xml:space="preserve"> </w:t>
      </w:r>
      <w:r w:rsidRPr="0007753D">
        <w:rPr>
          <w:i/>
          <w:iCs/>
        </w:rPr>
        <w:t>that</w:t>
      </w:r>
      <w:r w:rsidR="008243CA" w:rsidRPr="0007753D">
        <w:rPr>
          <w:i/>
          <w:iCs/>
        </w:rPr>
        <w:t xml:space="preserve"> </w:t>
      </w:r>
      <w:r w:rsidRPr="0007753D">
        <w:rPr>
          <w:i/>
          <w:iCs/>
        </w:rPr>
        <w:t>persons</w:t>
      </w:r>
      <w:r w:rsidR="008243CA" w:rsidRPr="0007753D">
        <w:rPr>
          <w:i/>
          <w:iCs/>
        </w:rPr>
        <w:t xml:space="preserve"> </w:t>
      </w:r>
      <w:r w:rsidRPr="0007753D">
        <w:rPr>
          <w:i/>
          <w:iCs/>
        </w:rPr>
        <w:t>deprived</w:t>
      </w:r>
      <w:r w:rsidR="008243CA" w:rsidRPr="0007753D">
        <w:rPr>
          <w:i/>
          <w:iCs/>
        </w:rPr>
        <w:t xml:space="preserve"> </w:t>
      </w:r>
      <w:r w:rsidRPr="0007753D">
        <w:rPr>
          <w:i/>
          <w:iCs/>
        </w:rPr>
        <w:t>of</w:t>
      </w:r>
      <w:r w:rsidR="008243CA" w:rsidRPr="0007753D">
        <w:rPr>
          <w:i/>
          <w:iCs/>
        </w:rPr>
        <w:t xml:space="preserve"> </w:t>
      </w:r>
      <w:r w:rsidRPr="0007753D">
        <w:rPr>
          <w:i/>
          <w:iCs/>
        </w:rPr>
        <w:t>their</w:t>
      </w:r>
      <w:r w:rsidR="008243CA" w:rsidRPr="0007753D">
        <w:rPr>
          <w:i/>
          <w:iCs/>
        </w:rPr>
        <w:t xml:space="preserve"> </w:t>
      </w:r>
      <w:r w:rsidRPr="0007753D">
        <w:rPr>
          <w:i/>
          <w:iCs/>
        </w:rPr>
        <w:t>liberty</w:t>
      </w:r>
      <w:r w:rsidR="008243CA" w:rsidRPr="0007753D">
        <w:rPr>
          <w:i/>
          <w:iCs/>
        </w:rPr>
        <w:t xml:space="preserve"> </w:t>
      </w:r>
      <w:r w:rsidRPr="0007753D">
        <w:rPr>
          <w:i/>
          <w:iCs/>
        </w:rPr>
        <w:t>who</w:t>
      </w:r>
      <w:r w:rsidR="008243CA" w:rsidRPr="0007753D">
        <w:rPr>
          <w:i/>
          <w:iCs/>
        </w:rPr>
        <w:t xml:space="preserve"> </w:t>
      </w:r>
      <w:r w:rsidRPr="0007753D">
        <w:rPr>
          <w:i/>
          <w:iCs/>
        </w:rPr>
        <w:t>wish</w:t>
      </w:r>
      <w:r w:rsidR="008243CA" w:rsidRPr="0007753D">
        <w:rPr>
          <w:i/>
          <w:iCs/>
        </w:rPr>
        <w:t xml:space="preserve"> </w:t>
      </w:r>
      <w:r w:rsidRPr="0007753D">
        <w:rPr>
          <w:i/>
          <w:iCs/>
        </w:rPr>
        <w:t>to</w:t>
      </w:r>
      <w:r w:rsidR="008243CA" w:rsidRPr="0007753D">
        <w:rPr>
          <w:i/>
          <w:iCs/>
        </w:rPr>
        <w:t xml:space="preserve"> </w:t>
      </w:r>
      <w:r w:rsidRPr="0007753D">
        <w:rPr>
          <w:i/>
          <w:iCs/>
        </w:rPr>
        <w:t>do</w:t>
      </w:r>
      <w:r w:rsidR="008243CA" w:rsidRPr="0007753D">
        <w:rPr>
          <w:i/>
          <w:iCs/>
        </w:rPr>
        <w:t xml:space="preserve"> </w:t>
      </w:r>
      <w:r w:rsidRPr="0007753D">
        <w:rPr>
          <w:i/>
          <w:iCs/>
        </w:rPr>
        <w:t>so</w:t>
      </w:r>
      <w:r w:rsidR="008243CA" w:rsidRPr="0007753D">
        <w:rPr>
          <w:i/>
          <w:iCs/>
        </w:rPr>
        <w:t xml:space="preserve"> </w:t>
      </w:r>
      <w:r w:rsidRPr="0007753D">
        <w:rPr>
          <w:i/>
          <w:iCs/>
        </w:rPr>
        <w:t>can</w:t>
      </w:r>
      <w:r w:rsidR="008243CA" w:rsidRPr="0007753D">
        <w:rPr>
          <w:i/>
          <w:iCs/>
        </w:rPr>
        <w:t xml:space="preserve"> </w:t>
      </w:r>
      <w:r w:rsidRPr="0007753D">
        <w:rPr>
          <w:i/>
          <w:iCs/>
        </w:rPr>
        <w:t>use</w:t>
      </w:r>
      <w:r w:rsidR="008243CA" w:rsidRPr="0007753D">
        <w:rPr>
          <w:i/>
          <w:iCs/>
        </w:rPr>
        <w:t xml:space="preserve"> </w:t>
      </w:r>
      <w:r w:rsidRPr="0007753D">
        <w:rPr>
          <w:i/>
          <w:iCs/>
        </w:rPr>
        <w:t>traditional</w:t>
      </w:r>
      <w:r w:rsidR="008243CA" w:rsidRPr="0007753D">
        <w:rPr>
          <w:i/>
          <w:iCs/>
        </w:rPr>
        <w:t xml:space="preserve"> </w:t>
      </w:r>
      <w:r w:rsidRPr="0007753D">
        <w:rPr>
          <w:i/>
          <w:iCs/>
        </w:rPr>
        <w:t>knowledge</w:t>
      </w:r>
      <w:r w:rsidR="008243CA" w:rsidRPr="0007753D">
        <w:rPr>
          <w:i/>
          <w:iCs/>
        </w:rPr>
        <w:t xml:space="preserve"> </w:t>
      </w:r>
      <w:r w:rsidRPr="0007753D">
        <w:rPr>
          <w:i/>
          <w:iCs/>
        </w:rPr>
        <w:t>and</w:t>
      </w:r>
      <w:r w:rsidR="008243CA" w:rsidRPr="0007753D">
        <w:rPr>
          <w:i/>
          <w:iCs/>
        </w:rPr>
        <w:t xml:space="preserve"> </w:t>
      </w:r>
      <w:r w:rsidRPr="0007753D">
        <w:rPr>
          <w:i/>
          <w:iCs/>
        </w:rPr>
        <w:t>medicines</w:t>
      </w:r>
      <w:r w:rsidR="008243CA" w:rsidRPr="0007753D">
        <w:rPr>
          <w:i/>
          <w:iCs/>
        </w:rPr>
        <w:t xml:space="preserve"> </w:t>
      </w:r>
      <w:r w:rsidRPr="0007753D">
        <w:rPr>
          <w:i/>
          <w:iCs/>
        </w:rPr>
        <w:t>as</w:t>
      </w:r>
      <w:r w:rsidR="008243CA" w:rsidRPr="0007753D">
        <w:rPr>
          <w:i/>
          <w:iCs/>
        </w:rPr>
        <w:t xml:space="preserve"> </w:t>
      </w:r>
      <w:r w:rsidRPr="0007753D">
        <w:rPr>
          <w:i/>
          <w:iCs/>
        </w:rPr>
        <w:t>an</w:t>
      </w:r>
      <w:r w:rsidR="008243CA" w:rsidRPr="0007753D">
        <w:rPr>
          <w:i/>
          <w:iCs/>
        </w:rPr>
        <w:t xml:space="preserve"> </w:t>
      </w:r>
      <w:r w:rsidRPr="0007753D">
        <w:rPr>
          <w:i/>
          <w:iCs/>
        </w:rPr>
        <w:t>alternative</w:t>
      </w:r>
      <w:r w:rsidR="008243CA" w:rsidRPr="0007753D">
        <w:rPr>
          <w:i/>
          <w:iCs/>
        </w:rPr>
        <w:t xml:space="preserve"> </w:t>
      </w:r>
      <w:r w:rsidRPr="0007753D">
        <w:rPr>
          <w:i/>
          <w:iCs/>
        </w:rPr>
        <w:t>or</w:t>
      </w:r>
      <w:r w:rsidR="008243CA" w:rsidRPr="0007753D">
        <w:rPr>
          <w:i/>
          <w:iCs/>
        </w:rPr>
        <w:t xml:space="preserve"> </w:t>
      </w:r>
      <w:r w:rsidRPr="0007753D">
        <w:rPr>
          <w:i/>
          <w:iCs/>
        </w:rPr>
        <w:t>supplement</w:t>
      </w:r>
      <w:r w:rsidR="008243CA" w:rsidRPr="0007753D">
        <w:rPr>
          <w:i/>
          <w:iCs/>
        </w:rPr>
        <w:t xml:space="preserve"> </w:t>
      </w:r>
      <w:r w:rsidRPr="0007753D">
        <w:rPr>
          <w:i/>
          <w:iCs/>
        </w:rPr>
        <w:t>to</w:t>
      </w:r>
      <w:r w:rsidR="008243CA" w:rsidRPr="0007753D">
        <w:rPr>
          <w:i/>
          <w:iCs/>
        </w:rPr>
        <w:t xml:space="preserve"> </w:t>
      </w:r>
      <w:r w:rsidRPr="0007753D">
        <w:rPr>
          <w:i/>
          <w:iCs/>
        </w:rPr>
        <w:t>the</w:t>
      </w:r>
      <w:r w:rsidR="008243CA" w:rsidRPr="0007753D">
        <w:rPr>
          <w:i/>
          <w:iCs/>
        </w:rPr>
        <w:t xml:space="preserve"> </w:t>
      </w:r>
      <w:r w:rsidRPr="0007753D">
        <w:rPr>
          <w:i/>
          <w:iCs/>
        </w:rPr>
        <w:t>treatments</w:t>
      </w:r>
      <w:r w:rsidR="008243CA" w:rsidRPr="0007753D">
        <w:rPr>
          <w:i/>
          <w:iCs/>
        </w:rPr>
        <w:t xml:space="preserve"> </w:t>
      </w:r>
      <w:r w:rsidRPr="0007753D">
        <w:rPr>
          <w:i/>
          <w:iCs/>
        </w:rPr>
        <w:t>that</w:t>
      </w:r>
      <w:r w:rsidR="008243CA" w:rsidRPr="0007753D">
        <w:rPr>
          <w:i/>
          <w:iCs/>
        </w:rPr>
        <w:t xml:space="preserve"> </w:t>
      </w:r>
      <w:r w:rsidRPr="0007753D">
        <w:rPr>
          <w:i/>
          <w:iCs/>
        </w:rPr>
        <w:t>the</w:t>
      </w:r>
      <w:r w:rsidR="008243CA" w:rsidRPr="0007753D">
        <w:rPr>
          <w:i/>
          <w:iCs/>
        </w:rPr>
        <w:t xml:space="preserve"> </w:t>
      </w:r>
      <w:r w:rsidRPr="0007753D">
        <w:rPr>
          <w:i/>
          <w:iCs/>
        </w:rPr>
        <w:t>health</w:t>
      </w:r>
      <w:r w:rsidR="008243CA" w:rsidRPr="0007753D">
        <w:rPr>
          <w:i/>
          <w:iCs/>
        </w:rPr>
        <w:t xml:space="preserve"> </w:t>
      </w:r>
      <w:r w:rsidRPr="0007753D">
        <w:rPr>
          <w:i/>
          <w:iCs/>
        </w:rPr>
        <w:t>services</w:t>
      </w:r>
      <w:r w:rsidR="008243CA" w:rsidRPr="0007753D">
        <w:rPr>
          <w:i/>
          <w:iCs/>
        </w:rPr>
        <w:t xml:space="preserve"> </w:t>
      </w:r>
      <w:r w:rsidRPr="0007753D">
        <w:rPr>
          <w:i/>
          <w:iCs/>
        </w:rPr>
        <w:t>normally</w:t>
      </w:r>
      <w:r w:rsidR="008243CA" w:rsidRPr="0007753D">
        <w:rPr>
          <w:i/>
          <w:iCs/>
        </w:rPr>
        <w:t xml:space="preserve"> </w:t>
      </w:r>
      <w:r w:rsidRPr="0007753D">
        <w:rPr>
          <w:i/>
          <w:iCs/>
        </w:rPr>
        <w:t>dispense.</w:t>
      </w:r>
    </w:p>
    <w:p w:rsidR="003F7D03" w:rsidRPr="00E62FE6" w:rsidRDefault="003F7D03" w:rsidP="000C6D98">
      <w:pPr>
        <w:pStyle w:val="SingleTxtG"/>
      </w:pPr>
      <w:r w:rsidRPr="00E62FE6">
        <w:t>110.</w:t>
      </w:r>
      <w:r w:rsidRPr="00E62FE6">
        <w:tab/>
        <w:t>In</w:t>
      </w:r>
      <w:r w:rsidR="008243CA">
        <w:t xml:space="preserve"> </w:t>
      </w:r>
      <w:r w:rsidRPr="00E62FE6">
        <w:t>April</w:t>
      </w:r>
      <w:r w:rsidR="008243CA">
        <w:t xml:space="preserve"> </w:t>
      </w:r>
      <w:r w:rsidRPr="00E62FE6">
        <w:t>2016,</w:t>
      </w:r>
      <w:r w:rsidR="008243CA">
        <w:t xml:space="preserve"> </w:t>
      </w:r>
      <w:r w:rsidRPr="00E62FE6">
        <w:t>the</w:t>
      </w:r>
      <w:r w:rsidR="008243CA">
        <w:t xml:space="preserve"> </w:t>
      </w:r>
      <w:r w:rsidRPr="00E62FE6">
        <w:t>Prison</w:t>
      </w:r>
      <w:r w:rsidR="008243CA">
        <w:t xml:space="preserve"> </w:t>
      </w:r>
      <w:r w:rsidRPr="00E62FE6">
        <w:t>Service</w:t>
      </w:r>
      <w:r w:rsidR="008243CA">
        <w:t xml:space="preserve"> </w:t>
      </w:r>
      <w:r w:rsidRPr="00E62FE6">
        <w:t>and</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Health</w:t>
      </w:r>
      <w:r w:rsidR="008243CA">
        <w:t xml:space="preserve"> </w:t>
      </w:r>
      <w:r w:rsidRPr="00E62FE6">
        <w:t>entered</w:t>
      </w:r>
      <w:r w:rsidR="008243CA">
        <w:t xml:space="preserve"> </w:t>
      </w:r>
      <w:r w:rsidRPr="00E62FE6">
        <w:t>into</w:t>
      </w:r>
      <w:r w:rsidR="008243CA">
        <w:t xml:space="preserve"> </w:t>
      </w:r>
      <w:r w:rsidRPr="00E62FE6">
        <w:t>a</w:t>
      </w:r>
      <w:r w:rsidR="008243CA">
        <w:t xml:space="preserve"> </w:t>
      </w:r>
      <w:r w:rsidRPr="00E62FE6">
        <w:t>cooperation</w:t>
      </w:r>
      <w:r w:rsidR="008243CA">
        <w:t xml:space="preserve"> </w:t>
      </w:r>
      <w:r w:rsidRPr="00E62FE6">
        <w:t>agreement</w:t>
      </w:r>
      <w:r w:rsidR="008243CA">
        <w:t xml:space="preserve"> </w:t>
      </w:r>
      <w:r w:rsidRPr="00E62FE6">
        <w:t>to</w:t>
      </w:r>
      <w:r w:rsidR="008243CA">
        <w:t xml:space="preserve"> </w:t>
      </w:r>
      <w:r w:rsidRPr="00E62FE6">
        <w:t>provide</w:t>
      </w:r>
      <w:r w:rsidR="008243CA">
        <w:t xml:space="preserve"> </w:t>
      </w:r>
      <w:r w:rsidRPr="00E62FE6">
        <w:t>preventive</w:t>
      </w:r>
      <w:r w:rsidR="008243CA">
        <w:t xml:space="preserve"> </w:t>
      </w:r>
      <w:r w:rsidRPr="00E62FE6">
        <w:t>care</w:t>
      </w:r>
      <w:r w:rsidR="008243CA">
        <w:t xml:space="preserve"> </w:t>
      </w:r>
      <w:r w:rsidRPr="00E62FE6">
        <w:t>and</w:t>
      </w:r>
      <w:r w:rsidR="008243CA">
        <w:t xml:space="preserve"> </w:t>
      </w:r>
      <w:r w:rsidRPr="00E62FE6">
        <w:t>comprehensive</w:t>
      </w:r>
      <w:r w:rsidR="008243CA">
        <w:t xml:space="preserve"> </w:t>
      </w:r>
      <w:r w:rsidRPr="00E62FE6">
        <w:t>treatment</w:t>
      </w:r>
      <w:r w:rsidR="008243CA">
        <w:t xml:space="preserve"> </w:t>
      </w:r>
      <w:r w:rsidRPr="00E62FE6">
        <w:t>to</w:t>
      </w:r>
      <w:r w:rsidR="008243CA">
        <w:t xml:space="preserve"> </w:t>
      </w:r>
      <w:r w:rsidRPr="00E62FE6">
        <w:t>prisoners</w:t>
      </w:r>
      <w:r w:rsidR="008243CA">
        <w:t xml:space="preserve"> </w:t>
      </w:r>
      <w:r w:rsidRPr="00E62FE6">
        <w:t>living</w:t>
      </w:r>
      <w:r w:rsidR="008243CA">
        <w:t xml:space="preserve"> </w:t>
      </w:r>
      <w:r w:rsidRPr="00E62FE6">
        <w:t>with</w:t>
      </w:r>
      <w:r w:rsidR="008243CA">
        <w:t xml:space="preserve"> </w:t>
      </w:r>
      <w:r w:rsidRPr="00E62FE6">
        <w:t>HIV/AIDS</w:t>
      </w:r>
      <w:r w:rsidR="00380599">
        <w:t>.</w:t>
      </w:r>
      <w:r w:rsidRPr="00116F0B">
        <w:rPr>
          <w:rStyle w:val="FootnoteReference"/>
        </w:rPr>
        <w:footnoteReference w:id="35"/>
      </w:r>
      <w:r w:rsidR="008243CA">
        <w:t xml:space="preserve"> </w:t>
      </w:r>
      <w:r w:rsidRPr="00E62FE6">
        <w:t>The</w:t>
      </w:r>
      <w:r w:rsidR="008243CA">
        <w:t xml:space="preserve"> </w:t>
      </w:r>
      <w:r w:rsidRPr="00E62FE6">
        <w:t>agreement</w:t>
      </w:r>
      <w:r w:rsidR="008243CA">
        <w:t xml:space="preserve"> </w:t>
      </w:r>
      <w:r w:rsidRPr="00E62FE6">
        <w:t>allows</w:t>
      </w:r>
      <w:r w:rsidR="008243CA">
        <w:t xml:space="preserve"> </w:t>
      </w:r>
      <w:r w:rsidRPr="00E62FE6">
        <w:t>them</w:t>
      </w:r>
      <w:r w:rsidR="008243CA">
        <w:t xml:space="preserve"> </w:t>
      </w:r>
      <w:r w:rsidRPr="00E62FE6">
        <w:t>access</w:t>
      </w:r>
      <w:r w:rsidR="008243CA">
        <w:t xml:space="preserve"> </w:t>
      </w:r>
      <w:r w:rsidRPr="00E62FE6">
        <w:t>to</w:t>
      </w:r>
      <w:r w:rsidR="008243CA">
        <w:t xml:space="preserve"> </w:t>
      </w:r>
      <w:r w:rsidRPr="00E62FE6">
        <w:t>antiretroviral</w:t>
      </w:r>
      <w:r w:rsidR="008243CA">
        <w:t xml:space="preserve"> </w:t>
      </w:r>
      <w:r w:rsidRPr="00E62FE6">
        <w:t>treatment.</w:t>
      </w:r>
      <w:r w:rsidR="008243CA">
        <w:t xml:space="preserve"> </w:t>
      </w:r>
      <w:r w:rsidRPr="00E62FE6">
        <w:t>It</w:t>
      </w:r>
      <w:r w:rsidR="008243CA">
        <w:t xml:space="preserve"> </w:t>
      </w:r>
      <w:r w:rsidRPr="00E62FE6">
        <w:t>also</w:t>
      </w:r>
      <w:r w:rsidR="008243CA">
        <w:t xml:space="preserve"> </w:t>
      </w:r>
      <w:r w:rsidRPr="00E62FE6">
        <w:t>provides</w:t>
      </w:r>
      <w:r w:rsidR="008243CA">
        <w:t xml:space="preserve"> </w:t>
      </w:r>
      <w:r w:rsidRPr="00E62FE6">
        <w:t>for</w:t>
      </w:r>
      <w:r w:rsidR="008243CA">
        <w:t xml:space="preserve"> </w:t>
      </w:r>
      <w:r w:rsidRPr="00E62FE6">
        <w:t>education</w:t>
      </w:r>
      <w:r w:rsidR="008243CA">
        <w:t xml:space="preserve"> </w:t>
      </w:r>
      <w:r w:rsidRPr="00E62FE6">
        <w:t>programmes</w:t>
      </w:r>
      <w:r w:rsidR="008243CA">
        <w:t xml:space="preserve"> </w:t>
      </w:r>
      <w:r w:rsidRPr="00E62FE6">
        <w:t>focused</w:t>
      </w:r>
      <w:r w:rsidR="008243CA">
        <w:t xml:space="preserve"> </w:t>
      </w:r>
      <w:r w:rsidRPr="00E62FE6">
        <w:t>on</w:t>
      </w:r>
      <w:r w:rsidR="008243CA">
        <w:t xml:space="preserve"> </w:t>
      </w:r>
      <w:r w:rsidRPr="00E62FE6">
        <w:t>HIV</w:t>
      </w:r>
      <w:r w:rsidR="008243CA">
        <w:t xml:space="preserve"> </w:t>
      </w:r>
      <w:r w:rsidRPr="00E62FE6">
        <w:t>prevention</w:t>
      </w:r>
      <w:r w:rsidR="008243CA">
        <w:t xml:space="preserve"> </w:t>
      </w:r>
      <w:r w:rsidRPr="00E62FE6">
        <w:t>targeted</w:t>
      </w:r>
      <w:r w:rsidR="008243CA">
        <w:t xml:space="preserve"> </w:t>
      </w:r>
      <w:r w:rsidRPr="00E62FE6">
        <w:t>at</w:t>
      </w:r>
      <w:r w:rsidR="008243CA">
        <w:t xml:space="preserve"> </w:t>
      </w:r>
      <w:r w:rsidRPr="00E62FE6">
        <w:t>officials</w:t>
      </w:r>
      <w:r w:rsidR="008243CA">
        <w:t xml:space="preserve"> </w:t>
      </w:r>
      <w:r w:rsidRPr="00E62FE6">
        <w:t>and</w:t>
      </w:r>
      <w:r w:rsidR="008243CA">
        <w:t xml:space="preserve"> </w:t>
      </w:r>
      <w:r w:rsidRPr="00E62FE6">
        <w:t>persons</w:t>
      </w:r>
      <w:r w:rsidR="008243CA">
        <w:t xml:space="preserve"> </w:t>
      </w:r>
      <w:r w:rsidRPr="00E62FE6">
        <w:t>deprived</w:t>
      </w:r>
      <w:r w:rsidR="008243CA">
        <w:t xml:space="preserve"> </w:t>
      </w:r>
      <w:r w:rsidRPr="00E62FE6">
        <w:t>of</w:t>
      </w:r>
      <w:r w:rsidR="008243CA">
        <w:t xml:space="preserve"> </w:t>
      </w:r>
      <w:r w:rsidRPr="00E62FE6">
        <w:t>their</w:t>
      </w:r>
      <w:r w:rsidR="008243CA">
        <w:t xml:space="preserve"> </w:t>
      </w:r>
      <w:r w:rsidRPr="00E62FE6">
        <w:t>liberty,</w:t>
      </w:r>
      <w:r w:rsidR="008243CA">
        <w:t xml:space="preserve"> </w:t>
      </w:r>
      <w:r w:rsidRPr="00E62FE6">
        <w:t>as</w:t>
      </w:r>
      <w:r w:rsidR="008243CA">
        <w:t xml:space="preserve"> </w:t>
      </w:r>
      <w:r w:rsidRPr="00E62FE6">
        <w:t>well</w:t>
      </w:r>
      <w:r w:rsidR="008243CA">
        <w:t xml:space="preserve"> </w:t>
      </w:r>
      <w:r w:rsidRPr="00E62FE6">
        <w:t>as</w:t>
      </w:r>
      <w:r w:rsidR="008243CA">
        <w:t xml:space="preserve"> </w:t>
      </w:r>
      <w:r w:rsidRPr="00E62FE6">
        <w:t>the</w:t>
      </w:r>
      <w:r w:rsidR="008243CA">
        <w:t xml:space="preserve"> </w:t>
      </w:r>
      <w:r w:rsidRPr="00E62FE6">
        <w:t>handing</w:t>
      </w:r>
      <w:r w:rsidR="008243CA">
        <w:t xml:space="preserve"> </w:t>
      </w:r>
      <w:r w:rsidRPr="00E62FE6">
        <w:t>out</w:t>
      </w:r>
      <w:r w:rsidR="008243CA">
        <w:t xml:space="preserve"> </w:t>
      </w:r>
      <w:r w:rsidRPr="00E62FE6">
        <w:t>of</w:t>
      </w:r>
      <w:r w:rsidR="008243CA">
        <w:t xml:space="preserve"> </w:t>
      </w:r>
      <w:r w:rsidRPr="00E62FE6">
        <w:t>condoms.</w:t>
      </w:r>
    </w:p>
    <w:p w:rsidR="003F7D03" w:rsidRPr="00E62FE6" w:rsidRDefault="003F7D03" w:rsidP="000C6D98">
      <w:pPr>
        <w:pStyle w:val="SingleTxtG"/>
      </w:pPr>
      <w:bookmarkStart w:id="80" w:name="page30"/>
      <w:bookmarkEnd w:id="80"/>
      <w:r w:rsidRPr="00E62FE6">
        <w:t>111.</w:t>
      </w:r>
      <w:r w:rsidRPr="00E62FE6">
        <w:tab/>
        <w:t>In</w:t>
      </w:r>
      <w:r w:rsidR="008243CA">
        <w:t xml:space="preserve"> </w:t>
      </w:r>
      <w:r w:rsidRPr="00E62FE6">
        <w:t>addition</w:t>
      </w:r>
      <w:r w:rsidR="008243CA">
        <w:t xml:space="preserve"> </w:t>
      </w:r>
      <w:r w:rsidRPr="00E62FE6">
        <w:t>to</w:t>
      </w:r>
      <w:r w:rsidR="008243CA">
        <w:t xml:space="preserve"> </w:t>
      </w:r>
      <w:r w:rsidRPr="00E62FE6">
        <w:t>the</w:t>
      </w:r>
      <w:r w:rsidR="008243CA">
        <w:t xml:space="preserve"> </w:t>
      </w:r>
      <w:r w:rsidRPr="00E62FE6">
        <w:t>above,</w:t>
      </w:r>
      <w:r w:rsidR="008243CA">
        <w:t xml:space="preserve"> </w:t>
      </w:r>
      <w:r w:rsidRPr="00E62FE6">
        <w:t>with</w:t>
      </w:r>
      <w:r w:rsidR="008243CA">
        <w:t xml:space="preserve"> </w:t>
      </w:r>
      <w:r w:rsidRPr="00E62FE6">
        <w:t>the</w:t>
      </w:r>
      <w:r w:rsidR="008243CA">
        <w:t xml:space="preserve"> </w:t>
      </w:r>
      <w:r w:rsidRPr="00E62FE6">
        <w:t>aim</w:t>
      </w:r>
      <w:r w:rsidR="008243CA">
        <w:t xml:space="preserve"> </w:t>
      </w:r>
      <w:r w:rsidRPr="00E62FE6">
        <w:t>of</w:t>
      </w:r>
      <w:r w:rsidR="008243CA">
        <w:t xml:space="preserve"> </w:t>
      </w:r>
      <w:r w:rsidRPr="00E62FE6">
        <w:t>providing</w:t>
      </w:r>
      <w:r w:rsidR="008243CA">
        <w:t xml:space="preserve"> </w:t>
      </w:r>
      <w:r w:rsidRPr="00E62FE6">
        <w:t>timely</w:t>
      </w:r>
      <w:r w:rsidR="008243CA">
        <w:t xml:space="preserve"> </w:t>
      </w:r>
      <w:r w:rsidRPr="00E62FE6">
        <w:t>care</w:t>
      </w:r>
      <w:r w:rsidR="008243CA">
        <w:t xml:space="preserve"> </w:t>
      </w:r>
      <w:r w:rsidRPr="00E62FE6">
        <w:t>to</w:t>
      </w:r>
      <w:r w:rsidR="008243CA">
        <w:t xml:space="preserve"> </w:t>
      </w:r>
      <w:r w:rsidRPr="00E62FE6">
        <w:t>prisoners</w:t>
      </w:r>
      <w:r w:rsidR="008243CA">
        <w:t xml:space="preserve"> </w:t>
      </w:r>
      <w:r w:rsidRPr="00E62FE6">
        <w:t>living</w:t>
      </w:r>
      <w:r w:rsidR="008243CA">
        <w:t xml:space="preserve"> </w:t>
      </w:r>
      <w:r w:rsidRPr="00E62FE6">
        <w:t>with</w:t>
      </w:r>
      <w:r w:rsidR="008243CA">
        <w:t xml:space="preserve"> </w:t>
      </w:r>
      <w:r w:rsidRPr="00E62FE6">
        <w:t>HIV/AIDS,</w:t>
      </w:r>
      <w:r w:rsidR="008243CA">
        <w:t xml:space="preserve"> </w:t>
      </w:r>
      <w:r w:rsidRPr="00E62FE6">
        <w:t>regulations</w:t>
      </w:r>
      <w:r w:rsidR="008243CA">
        <w:t xml:space="preserve"> </w:t>
      </w:r>
      <w:r w:rsidRPr="00E62FE6">
        <w:t>on</w:t>
      </w:r>
      <w:r w:rsidR="008243CA">
        <w:t xml:space="preserve"> </w:t>
      </w:r>
      <w:r w:rsidRPr="00E62FE6">
        <w:t>performing</w:t>
      </w:r>
      <w:r w:rsidR="008243CA">
        <w:t xml:space="preserve"> </w:t>
      </w:r>
      <w:r w:rsidRPr="00E62FE6">
        <w:t>HIV</w:t>
      </w:r>
      <w:r w:rsidR="008243CA">
        <w:t xml:space="preserve"> </w:t>
      </w:r>
      <w:r w:rsidRPr="00E62FE6">
        <w:t>tests</w:t>
      </w:r>
      <w:r w:rsidR="008243CA">
        <w:t xml:space="preserve"> </w:t>
      </w:r>
      <w:r w:rsidRPr="00E62FE6">
        <w:t>on</w:t>
      </w:r>
      <w:r w:rsidR="008243CA">
        <w:t xml:space="preserve"> </w:t>
      </w:r>
      <w:r w:rsidRPr="00E62FE6">
        <w:t>persons</w:t>
      </w:r>
      <w:r w:rsidR="008243CA">
        <w:t xml:space="preserve"> </w:t>
      </w:r>
      <w:r w:rsidRPr="00E62FE6">
        <w:t>deprived</w:t>
      </w:r>
      <w:r w:rsidR="008243CA">
        <w:t xml:space="preserve"> </w:t>
      </w:r>
      <w:r w:rsidRPr="00E62FE6">
        <w:t>of</w:t>
      </w:r>
      <w:r w:rsidR="008243CA">
        <w:t xml:space="preserve"> </w:t>
      </w:r>
      <w:r w:rsidRPr="00E62FE6">
        <w:t>their</w:t>
      </w:r>
      <w:r w:rsidR="008243CA">
        <w:t xml:space="preserve"> </w:t>
      </w:r>
      <w:r w:rsidRPr="00E62FE6">
        <w:t>liberty</w:t>
      </w:r>
      <w:r w:rsidR="008243CA">
        <w:t xml:space="preserve"> </w:t>
      </w:r>
      <w:r w:rsidRPr="00E62FE6">
        <w:t>were</w:t>
      </w:r>
      <w:r w:rsidR="008243CA">
        <w:t xml:space="preserve"> </w:t>
      </w:r>
      <w:r w:rsidRPr="00E62FE6">
        <w:t>published</w:t>
      </w:r>
      <w:r w:rsidR="008243CA">
        <w:t xml:space="preserve"> </w:t>
      </w:r>
      <w:r w:rsidRPr="00E62FE6">
        <w:t>in</w:t>
      </w:r>
      <w:r w:rsidR="008243CA">
        <w:t xml:space="preserve"> </w:t>
      </w:r>
      <w:r w:rsidRPr="00E62FE6">
        <w:t>March</w:t>
      </w:r>
      <w:r w:rsidR="008243CA">
        <w:t xml:space="preserve"> </w:t>
      </w:r>
      <w:r w:rsidRPr="00E62FE6">
        <w:t>2016.</w:t>
      </w:r>
      <w:r w:rsidRPr="00116F0B">
        <w:rPr>
          <w:rStyle w:val="FootnoteReference"/>
        </w:rPr>
        <w:footnoteReference w:id="36"/>
      </w:r>
      <w:r w:rsidR="008243CA">
        <w:t xml:space="preserve"> </w:t>
      </w:r>
      <w:r w:rsidRPr="00E62FE6">
        <w:t>In</w:t>
      </w:r>
      <w:r w:rsidR="008243CA">
        <w:t xml:space="preserve"> </w:t>
      </w:r>
      <w:r w:rsidRPr="00E62FE6">
        <w:t>addition</w:t>
      </w:r>
      <w:r w:rsidR="008243CA">
        <w:t xml:space="preserve"> </w:t>
      </w:r>
      <w:r w:rsidRPr="00E62FE6">
        <w:t>covering</w:t>
      </w:r>
      <w:r w:rsidR="008243CA">
        <w:t xml:space="preserve"> </w:t>
      </w:r>
      <w:r w:rsidRPr="00E62FE6">
        <w:t>the</w:t>
      </w:r>
      <w:r w:rsidR="008243CA">
        <w:t xml:space="preserve"> </w:t>
      </w:r>
      <w:r w:rsidRPr="00E62FE6">
        <w:t>procedure</w:t>
      </w:r>
      <w:r w:rsidR="008243CA">
        <w:t xml:space="preserve"> </w:t>
      </w:r>
      <w:r w:rsidRPr="00E62FE6">
        <w:t>for</w:t>
      </w:r>
      <w:r w:rsidR="008243CA">
        <w:t xml:space="preserve"> </w:t>
      </w:r>
      <w:r w:rsidRPr="00E62FE6">
        <w:t>taking</w:t>
      </w:r>
      <w:r w:rsidR="008243CA">
        <w:t xml:space="preserve"> </w:t>
      </w:r>
      <w:r w:rsidRPr="00E62FE6">
        <w:t>samples,</w:t>
      </w:r>
      <w:r w:rsidR="008243CA">
        <w:t xml:space="preserve"> </w:t>
      </w:r>
      <w:r w:rsidRPr="00E62FE6">
        <w:t>the</w:t>
      </w:r>
      <w:r w:rsidR="008243CA">
        <w:t xml:space="preserve"> </w:t>
      </w:r>
      <w:r w:rsidRPr="00E62FE6">
        <w:t>regulations</w:t>
      </w:r>
      <w:r w:rsidR="008243CA">
        <w:t xml:space="preserve"> </w:t>
      </w:r>
      <w:r w:rsidRPr="00E62FE6">
        <w:t>stipulate</w:t>
      </w:r>
      <w:r w:rsidR="008243CA">
        <w:t xml:space="preserve"> </w:t>
      </w:r>
      <w:r w:rsidRPr="00E62FE6">
        <w:t>that</w:t>
      </w:r>
      <w:r w:rsidR="008243CA">
        <w:t xml:space="preserve"> </w:t>
      </w:r>
      <w:r w:rsidRPr="00E62FE6">
        <w:t>prisoners</w:t>
      </w:r>
      <w:r w:rsidR="008243CA">
        <w:t xml:space="preserve"> </w:t>
      </w:r>
      <w:r w:rsidRPr="00E62FE6">
        <w:t>who</w:t>
      </w:r>
      <w:r w:rsidR="008243CA">
        <w:t xml:space="preserve"> </w:t>
      </w:r>
      <w:r w:rsidRPr="00E62FE6">
        <w:t>test</w:t>
      </w:r>
      <w:r w:rsidR="008243CA">
        <w:t xml:space="preserve"> </w:t>
      </w:r>
      <w:r w:rsidRPr="00E62FE6">
        <w:t>positive</w:t>
      </w:r>
      <w:r w:rsidR="008243CA">
        <w:t xml:space="preserve"> </w:t>
      </w:r>
      <w:r w:rsidRPr="00E62FE6">
        <w:t>cannot</w:t>
      </w:r>
      <w:r w:rsidR="008243CA">
        <w:t xml:space="preserve"> </w:t>
      </w:r>
      <w:r w:rsidRPr="00E62FE6">
        <w:t>be</w:t>
      </w:r>
      <w:r w:rsidR="008243CA">
        <w:t xml:space="preserve"> </w:t>
      </w:r>
      <w:r w:rsidRPr="00E62FE6">
        <w:t>discriminated</w:t>
      </w:r>
      <w:r w:rsidR="008243CA">
        <w:t xml:space="preserve"> </w:t>
      </w:r>
      <w:r w:rsidRPr="00E62FE6">
        <w:t>against</w:t>
      </w:r>
      <w:r w:rsidR="008243CA">
        <w:t xml:space="preserve"> </w:t>
      </w:r>
      <w:r w:rsidRPr="00E62FE6">
        <w:t>or</w:t>
      </w:r>
      <w:r w:rsidR="008243CA">
        <w:t xml:space="preserve"> </w:t>
      </w:r>
      <w:r w:rsidRPr="00E62FE6">
        <w:t>segregated</w:t>
      </w:r>
      <w:r w:rsidR="008243CA">
        <w:t xml:space="preserve"> </w:t>
      </w:r>
      <w:r w:rsidRPr="00E62FE6">
        <w:t>within</w:t>
      </w:r>
      <w:r w:rsidR="008243CA">
        <w:t xml:space="preserve"> </w:t>
      </w:r>
      <w:r w:rsidRPr="00E62FE6">
        <w:t>the</w:t>
      </w:r>
      <w:r w:rsidR="008243CA">
        <w:t xml:space="preserve"> </w:t>
      </w:r>
      <w:r w:rsidRPr="00E62FE6">
        <w:t>prison,</w:t>
      </w:r>
      <w:r w:rsidR="008243CA">
        <w:t xml:space="preserve"> </w:t>
      </w:r>
      <w:r w:rsidRPr="00E62FE6">
        <w:t>the</w:t>
      </w:r>
      <w:r w:rsidR="008243CA">
        <w:t xml:space="preserve"> </w:t>
      </w:r>
      <w:r w:rsidRPr="00E62FE6">
        <w:t>outcome</w:t>
      </w:r>
      <w:r w:rsidR="008243CA">
        <w:t xml:space="preserve"> </w:t>
      </w:r>
      <w:r w:rsidRPr="00E62FE6">
        <w:t>of</w:t>
      </w:r>
      <w:r w:rsidR="008243CA">
        <w:t xml:space="preserve"> </w:t>
      </w:r>
      <w:r w:rsidRPr="00E62FE6">
        <w:t>the</w:t>
      </w:r>
      <w:r w:rsidR="008243CA">
        <w:t xml:space="preserve"> </w:t>
      </w:r>
      <w:r w:rsidRPr="00E62FE6">
        <w:t>test</w:t>
      </w:r>
      <w:r w:rsidR="008243CA">
        <w:t xml:space="preserve"> </w:t>
      </w:r>
      <w:r w:rsidRPr="00E62FE6">
        <w:t>must</w:t>
      </w:r>
      <w:r w:rsidR="008243CA">
        <w:t xml:space="preserve"> </w:t>
      </w:r>
      <w:r w:rsidRPr="00E62FE6">
        <w:t>remain</w:t>
      </w:r>
      <w:r w:rsidR="008243CA">
        <w:t xml:space="preserve"> </w:t>
      </w:r>
      <w:r w:rsidRPr="00E62FE6">
        <w:t>confidential,</w:t>
      </w:r>
      <w:r w:rsidR="008243CA">
        <w:t xml:space="preserve"> </w:t>
      </w:r>
      <w:r w:rsidRPr="00E62FE6">
        <w:t>and</w:t>
      </w:r>
      <w:r w:rsidR="008243CA">
        <w:t xml:space="preserve"> </w:t>
      </w:r>
      <w:r w:rsidRPr="00E62FE6">
        <w:t>the</w:t>
      </w:r>
      <w:r w:rsidR="008243CA">
        <w:t xml:space="preserve"> </w:t>
      </w:r>
      <w:r w:rsidRPr="00E62FE6">
        <w:t>test</w:t>
      </w:r>
      <w:r w:rsidR="008243CA">
        <w:t xml:space="preserve"> </w:t>
      </w:r>
      <w:r w:rsidRPr="00E62FE6">
        <w:t>must</w:t>
      </w:r>
      <w:r w:rsidR="008243CA">
        <w:t xml:space="preserve"> </w:t>
      </w:r>
      <w:r w:rsidRPr="00E62FE6">
        <w:t>be</w:t>
      </w:r>
      <w:r w:rsidR="008243CA">
        <w:t xml:space="preserve"> </w:t>
      </w:r>
      <w:r w:rsidRPr="00E62FE6">
        <w:t>taken</w:t>
      </w:r>
      <w:r w:rsidR="008243CA">
        <w:t xml:space="preserve"> </w:t>
      </w:r>
      <w:r w:rsidRPr="00E62FE6">
        <w:t>voluntarily.</w:t>
      </w:r>
      <w:r w:rsidRPr="00116F0B">
        <w:rPr>
          <w:rStyle w:val="FootnoteReference"/>
        </w:rPr>
        <w:footnoteReference w:id="37"/>
      </w:r>
      <w:r w:rsidR="008243CA">
        <w:t xml:space="preserve"> </w:t>
      </w:r>
      <w:r w:rsidRPr="00E62FE6">
        <w:t>They</w:t>
      </w:r>
      <w:r w:rsidR="008243CA">
        <w:t xml:space="preserve"> </w:t>
      </w:r>
      <w:r w:rsidRPr="00E62FE6">
        <w:t>also</w:t>
      </w:r>
      <w:r w:rsidR="008243CA">
        <w:t xml:space="preserve"> </w:t>
      </w:r>
      <w:r w:rsidRPr="00E62FE6">
        <w:t>lay</w:t>
      </w:r>
      <w:r w:rsidR="008243CA">
        <w:t xml:space="preserve"> </w:t>
      </w:r>
      <w:r w:rsidRPr="00E62FE6">
        <w:t>down</w:t>
      </w:r>
      <w:r w:rsidR="008243CA">
        <w:t xml:space="preserve"> </w:t>
      </w:r>
      <w:r w:rsidRPr="00E62FE6">
        <w:t>the</w:t>
      </w:r>
      <w:r w:rsidR="008243CA">
        <w:t xml:space="preserve"> </w:t>
      </w:r>
      <w:r w:rsidRPr="00E62FE6">
        <w:t>conditions</w:t>
      </w:r>
      <w:r w:rsidR="008243CA">
        <w:t xml:space="preserve"> </w:t>
      </w:r>
      <w:r w:rsidRPr="00E62FE6">
        <w:t>under</w:t>
      </w:r>
      <w:r w:rsidR="008243CA">
        <w:t xml:space="preserve"> </w:t>
      </w:r>
      <w:r w:rsidRPr="00E62FE6">
        <w:t>which</w:t>
      </w:r>
      <w:r w:rsidR="008243CA">
        <w:t xml:space="preserve"> </w:t>
      </w:r>
      <w:r w:rsidRPr="00E62FE6">
        <w:t>tests</w:t>
      </w:r>
      <w:r w:rsidR="008243CA">
        <w:t xml:space="preserve"> </w:t>
      </w:r>
      <w:r w:rsidRPr="00E62FE6">
        <w:t>are</w:t>
      </w:r>
      <w:r w:rsidR="008243CA">
        <w:t xml:space="preserve"> </w:t>
      </w:r>
      <w:r w:rsidRPr="00E62FE6">
        <w:t>to</w:t>
      </w:r>
      <w:r w:rsidR="008243CA">
        <w:t xml:space="preserve"> </w:t>
      </w:r>
      <w:r w:rsidRPr="00E62FE6">
        <w:t>be</w:t>
      </w:r>
      <w:r w:rsidR="008243CA">
        <w:t xml:space="preserve"> </w:t>
      </w:r>
      <w:r w:rsidRPr="00E62FE6">
        <w:t>conducted.</w:t>
      </w:r>
    </w:p>
    <w:p w:rsidR="003F7D03" w:rsidRPr="00E62FE6" w:rsidRDefault="003F7D03" w:rsidP="000C6D98">
      <w:pPr>
        <w:pStyle w:val="SingleTxtG"/>
      </w:pPr>
      <w:r w:rsidRPr="00E62FE6">
        <w:t>112.</w:t>
      </w:r>
      <w:r w:rsidRPr="00E62FE6">
        <w:tab/>
        <w:t>With</w:t>
      </w:r>
      <w:r w:rsidR="008243CA">
        <w:t xml:space="preserve"> </w:t>
      </w:r>
      <w:r w:rsidRPr="00E62FE6">
        <w:t>regard</w:t>
      </w:r>
      <w:r w:rsidR="008243CA">
        <w:t xml:space="preserve"> </w:t>
      </w:r>
      <w:r w:rsidRPr="00E62FE6">
        <w:t>to</w:t>
      </w:r>
      <w:r w:rsidR="008243CA">
        <w:t xml:space="preserve"> </w:t>
      </w:r>
      <w:r w:rsidRPr="00E62FE6">
        <w:t>the</w:t>
      </w:r>
      <w:r w:rsidR="008243CA">
        <w:t xml:space="preserve"> </w:t>
      </w:r>
      <w:r w:rsidRPr="00E62FE6">
        <w:t>provision</w:t>
      </w:r>
      <w:r w:rsidR="008243CA">
        <w:t xml:space="preserve"> </w:t>
      </w:r>
      <w:r w:rsidRPr="00E62FE6">
        <w:t>of</w:t>
      </w:r>
      <w:r w:rsidR="008243CA">
        <w:t xml:space="preserve"> </w:t>
      </w:r>
      <w:r w:rsidRPr="00E62FE6">
        <w:t>medicines,</w:t>
      </w:r>
      <w:r w:rsidR="008243CA">
        <w:t xml:space="preserve"> </w:t>
      </w:r>
      <w:r w:rsidRPr="00E62FE6">
        <w:t>medications</w:t>
      </w:r>
      <w:r w:rsidR="008243CA">
        <w:t xml:space="preserve"> </w:t>
      </w:r>
      <w:r w:rsidRPr="00E62FE6">
        <w:t>brought</w:t>
      </w:r>
      <w:r w:rsidR="008243CA">
        <w:t xml:space="preserve"> </w:t>
      </w:r>
      <w:r w:rsidRPr="00E62FE6">
        <w:t>in</w:t>
      </w:r>
      <w:r w:rsidR="008243CA">
        <w:t xml:space="preserve"> </w:t>
      </w:r>
      <w:r w:rsidRPr="00E62FE6">
        <w:t>to</w:t>
      </w:r>
      <w:r w:rsidR="008243CA">
        <w:t xml:space="preserve"> </w:t>
      </w:r>
      <w:r w:rsidRPr="00E62FE6">
        <w:t>prisons</w:t>
      </w:r>
      <w:r w:rsidR="008243CA">
        <w:t xml:space="preserve"> </w:t>
      </w:r>
      <w:r w:rsidRPr="00E62FE6">
        <w:t>by</w:t>
      </w:r>
      <w:r w:rsidR="008243CA">
        <w:t xml:space="preserve"> </w:t>
      </w:r>
      <w:r w:rsidRPr="00E62FE6">
        <w:t>family</w:t>
      </w:r>
      <w:r w:rsidR="008243CA">
        <w:t xml:space="preserve"> </w:t>
      </w:r>
      <w:r w:rsidRPr="00E62FE6">
        <w:t>members</w:t>
      </w:r>
      <w:r w:rsidR="008243CA">
        <w:t xml:space="preserve"> </w:t>
      </w:r>
      <w:r w:rsidRPr="00E62FE6">
        <w:t>are</w:t>
      </w:r>
      <w:r w:rsidR="008243CA">
        <w:t xml:space="preserve"> </w:t>
      </w:r>
      <w:r w:rsidRPr="00E62FE6">
        <w:t>now</w:t>
      </w:r>
      <w:r w:rsidR="008243CA">
        <w:t xml:space="preserve"> </w:t>
      </w:r>
      <w:r w:rsidRPr="00E62FE6">
        <w:t>monitored.</w:t>
      </w:r>
      <w:r w:rsidR="008243CA">
        <w:t xml:space="preserve"> </w:t>
      </w:r>
      <w:r w:rsidRPr="00E62FE6">
        <w:t>Medicines</w:t>
      </w:r>
      <w:r w:rsidR="008243CA">
        <w:t xml:space="preserve"> </w:t>
      </w:r>
      <w:r w:rsidRPr="00E62FE6">
        <w:t>supplied</w:t>
      </w:r>
      <w:r w:rsidR="008243CA">
        <w:t xml:space="preserve"> </w:t>
      </w:r>
      <w:r w:rsidRPr="00E62FE6">
        <w:t>by</w:t>
      </w:r>
      <w:r w:rsidR="008243CA">
        <w:t xml:space="preserve"> </w:t>
      </w:r>
      <w:r w:rsidRPr="00E62FE6">
        <w:t>the</w:t>
      </w:r>
      <w:r w:rsidR="008243CA">
        <w:t xml:space="preserve"> </w:t>
      </w:r>
      <w:r w:rsidRPr="00E62FE6">
        <w:t>Prison</w:t>
      </w:r>
      <w:r w:rsidR="008243CA">
        <w:t xml:space="preserve"> </w:t>
      </w:r>
      <w:r w:rsidRPr="00E62FE6">
        <w:t>Service</w:t>
      </w:r>
      <w:r w:rsidR="008243CA">
        <w:t xml:space="preserve"> </w:t>
      </w:r>
      <w:r w:rsidRPr="00E62FE6">
        <w:t>are</w:t>
      </w:r>
      <w:r w:rsidR="008243CA">
        <w:t xml:space="preserve"> </w:t>
      </w:r>
      <w:r w:rsidRPr="00E62FE6">
        <w:t>recorded</w:t>
      </w:r>
      <w:r w:rsidR="008243CA">
        <w:t xml:space="preserve"> </w:t>
      </w:r>
      <w:r w:rsidRPr="00E62FE6">
        <w:t>on</w:t>
      </w:r>
      <w:r w:rsidR="008243CA">
        <w:t xml:space="preserve"> </w:t>
      </w:r>
      <w:r w:rsidRPr="00E62FE6">
        <w:t>the</w:t>
      </w:r>
      <w:r w:rsidR="008243CA">
        <w:t xml:space="preserve"> </w:t>
      </w:r>
      <w:r w:rsidRPr="00E62FE6">
        <w:t>bin</w:t>
      </w:r>
      <w:r w:rsidR="008243CA">
        <w:t xml:space="preserve"> </w:t>
      </w:r>
      <w:r w:rsidRPr="00E62FE6">
        <w:t>card.</w:t>
      </w:r>
      <w:r w:rsidRPr="00116F0B">
        <w:rPr>
          <w:rStyle w:val="FootnoteReference"/>
        </w:rPr>
        <w:footnoteReference w:id="38"/>
      </w:r>
      <w:r w:rsidR="008243CA">
        <w:t xml:space="preserve"> </w:t>
      </w:r>
      <w:r w:rsidRPr="00E62FE6">
        <w:t>Work</w:t>
      </w:r>
      <w:r w:rsidR="008243CA">
        <w:t xml:space="preserve"> </w:t>
      </w:r>
      <w:r w:rsidRPr="00E62FE6">
        <w:t>is</w:t>
      </w:r>
      <w:r w:rsidR="008243CA">
        <w:t xml:space="preserve"> </w:t>
      </w:r>
      <w:r w:rsidRPr="00E62FE6">
        <w:t>currently</w:t>
      </w:r>
      <w:r w:rsidR="008243CA">
        <w:t xml:space="preserve"> </w:t>
      </w:r>
      <w:r w:rsidRPr="00E62FE6">
        <w:t>under</w:t>
      </w:r>
      <w:r w:rsidR="008243CA">
        <w:t xml:space="preserve"> </w:t>
      </w:r>
      <w:r w:rsidRPr="00E62FE6">
        <w:t>way</w:t>
      </w:r>
      <w:r w:rsidR="008243CA">
        <w:t xml:space="preserve"> </w:t>
      </w:r>
      <w:r w:rsidRPr="00E62FE6">
        <w:t>on</w:t>
      </w:r>
      <w:r w:rsidR="008243CA">
        <w:t xml:space="preserve"> </w:t>
      </w:r>
      <w:r w:rsidRPr="00E62FE6">
        <w:t>a</w:t>
      </w:r>
      <w:r w:rsidR="008243CA">
        <w:t xml:space="preserve"> </w:t>
      </w:r>
      <w:r w:rsidRPr="00E62FE6">
        <w:t>pilot</w:t>
      </w:r>
      <w:r w:rsidR="008243CA">
        <w:t xml:space="preserve"> </w:t>
      </w:r>
      <w:r w:rsidRPr="00E62FE6">
        <w:t>project</w:t>
      </w:r>
      <w:r w:rsidR="008243CA">
        <w:t xml:space="preserve"> </w:t>
      </w:r>
      <w:r w:rsidRPr="00E62FE6">
        <w:t>to</w:t>
      </w:r>
      <w:r w:rsidR="008243CA">
        <w:t xml:space="preserve"> </w:t>
      </w:r>
      <w:r w:rsidRPr="00E62FE6">
        <w:t>automatically</w:t>
      </w:r>
      <w:r w:rsidR="008243CA">
        <w:t xml:space="preserve"> </w:t>
      </w:r>
      <w:r w:rsidRPr="00E62FE6">
        <w:t>record</w:t>
      </w:r>
      <w:r w:rsidR="008243CA">
        <w:t xml:space="preserve"> </w:t>
      </w:r>
      <w:r w:rsidRPr="00E62FE6">
        <w:t>medicine</w:t>
      </w:r>
      <w:r w:rsidR="008243CA">
        <w:t xml:space="preserve"> </w:t>
      </w:r>
      <w:r w:rsidRPr="00E62FE6">
        <w:t>stocks</w:t>
      </w:r>
      <w:r w:rsidR="008243CA">
        <w:t xml:space="preserve"> </w:t>
      </w:r>
      <w:r w:rsidRPr="00E62FE6">
        <w:t>through</w:t>
      </w:r>
      <w:r w:rsidR="008243CA">
        <w:t xml:space="preserve"> </w:t>
      </w:r>
      <w:r w:rsidRPr="00E62FE6">
        <w:t>software</w:t>
      </w:r>
      <w:r w:rsidR="008243CA">
        <w:t xml:space="preserve"> </w:t>
      </w:r>
      <w:r w:rsidRPr="00E62FE6">
        <w:t>installed</w:t>
      </w:r>
      <w:r w:rsidR="008243CA">
        <w:t xml:space="preserve"> </w:t>
      </w:r>
      <w:r w:rsidRPr="00E62FE6">
        <w:t>in</w:t>
      </w:r>
      <w:r w:rsidR="008243CA">
        <w:t xml:space="preserve"> </w:t>
      </w:r>
      <w:r w:rsidRPr="00E62FE6">
        <w:t>the</w:t>
      </w:r>
      <w:r w:rsidR="008243CA">
        <w:t xml:space="preserve"> </w:t>
      </w:r>
      <w:r w:rsidRPr="00E62FE6">
        <w:t>central</w:t>
      </w:r>
      <w:r w:rsidR="008243CA">
        <w:t xml:space="preserve"> </w:t>
      </w:r>
      <w:r w:rsidRPr="00E62FE6">
        <w:t>pharmacy,</w:t>
      </w:r>
      <w:r w:rsidR="008243CA">
        <w:t xml:space="preserve"> </w:t>
      </w:r>
      <w:r w:rsidRPr="00E62FE6">
        <w:t>which</w:t>
      </w:r>
      <w:r w:rsidR="008243CA">
        <w:t xml:space="preserve"> </w:t>
      </w:r>
      <w:r w:rsidRPr="00E62FE6">
        <w:t>will</w:t>
      </w:r>
      <w:r w:rsidR="008243CA">
        <w:t xml:space="preserve"> </w:t>
      </w:r>
      <w:r w:rsidRPr="00E62FE6">
        <w:t>be</w:t>
      </w:r>
      <w:r w:rsidR="008243CA">
        <w:t xml:space="preserve"> </w:t>
      </w:r>
      <w:r w:rsidRPr="00E62FE6">
        <w:t>rolled</w:t>
      </w:r>
      <w:r w:rsidR="008243CA">
        <w:t xml:space="preserve"> </w:t>
      </w:r>
      <w:r w:rsidRPr="00E62FE6">
        <w:t>out</w:t>
      </w:r>
      <w:r w:rsidR="008243CA">
        <w:t xml:space="preserve"> </w:t>
      </w:r>
      <w:r w:rsidRPr="00E62FE6">
        <w:t>nationwide</w:t>
      </w:r>
      <w:r w:rsidR="008243CA">
        <w:t xml:space="preserve"> </w:t>
      </w:r>
      <w:r w:rsidRPr="00E62FE6">
        <w:t>when</w:t>
      </w:r>
      <w:r w:rsidR="008243CA">
        <w:t xml:space="preserve"> </w:t>
      </w:r>
      <w:r w:rsidRPr="00E62FE6">
        <w:t>the</w:t>
      </w:r>
      <w:r w:rsidR="008243CA">
        <w:t xml:space="preserve"> </w:t>
      </w:r>
      <w:r w:rsidRPr="00E62FE6">
        <w:t>necessary</w:t>
      </w:r>
      <w:r w:rsidR="008243CA">
        <w:t xml:space="preserve"> </w:t>
      </w:r>
      <w:r w:rsidRPr="00E62FE6">
        <w:t>IT</w:t>
      </w:r>
      <w:r w:rsidR="008243CA">
        <w:t xml:space="preserve"> </w:t>
      </w:r>
      <w:r w:rsidRPr="00E62FE6">
        <w:t>support</w:t>
      </w:r>
      <w:r w:rsidR="008243CA">
        <w:t xml:space="preserve"> </w:t>
      </w:r>
      <w:r w:rsidRPr="00E62FE6">
        <w:t>system</w:t>
      </w:r>
      <w:r w:rsidR="008243CA">
        <w:t xml:space="preserve"> </w:t>
      </w:r>
      <w:r w:rsidRPr="00E62FE6">
        <w:t>is</w:t>
      </w:r>
      <w:r w:rsidR="008243CA">
        <w:t xml:space="preserve"> </w:t>
      </w:r>
      <w:r w:rsidRPr="00E62FE6">
        <w:t>in</w:t>
      </w:r>
      <w:r w:rsidR="008243CA">
        <w:t xml:space="preserve"> </w:t>
      </w:r>
      <w:r w:rsidRPr="00E62FE6">
        <w:t>place.</w:t>
      </w:r>
    </w:p>
    <w:p w:rsidR="003F7D03" w:rsidRPr="00E62FE6" w:rsidRDefault="003F7D03" w:rsidP="000C6D98">
      <w:pPr>
        <w:pStyle w:val="SingleTxtG"/>
      </w:pPr>
      <w:r w:rsidRPr="00E62FE6">
        <w:t>113.</w:t>
      </w:r>
      <w:r w:rsidRPr="00E62FE6">
        <w:tab/>
        <w:t>While</w:t>
      </w:r>
      <w:r w:rsidR="008243CA">
        <w:t xml:space="preserve"> </w:t>
      </w:r>
      <w:r w:rsidRPr="00E62FE6">
        <w:t>the</w:t>
      </w:r>
      <w:r w:rsidR="008243CA">
        <w:t xml:space="preserve"> </w:t>
      </w:r>
      <w:r w:rsidRPr="00E62FE6">
        <w:t>recommendation</w:t>
      </w:r>
      <w:r w:rsidR="008243CA">
        <w:t xml:space="preserve"> </w:t>
      </w:r>
      <w:r w:rsidRPr="00E62FE6">
        <w:t>is</w:t>
      </w:r>
      <w:r w:rsidR="008243CA">
        <w:t xml:space="preserve"> </w:t>
      </w:r>
      <w:r w:rsidRPr="00E62FE6">
        <w:t>focused</w:t>
      </w:r>
      <w:r w:rsidR="008243CA">
        <w:t xml:space="preserve"> </w:t>
      </w:r>
      <w:r w:rsidRPr="00E62FE6">
        <w:t>on</w:t>
      </w:r>
      <w:r w:rsidR="008243CA">
        <w:t xml:space="preserve"> </w:t>
      </w:r>
      <w:r w:rsidRPr="00E62FE6">
        <w:t>centres</w:t>
      </w:r>
      <w:r w:rsidR="008243CA">
        <w:t xml:space="preserve"> </w:t>
      </w:r>
      <w:r w:rsidRPr="00E62FE6">
        <w:t>run</w:t>
      </w:r>
      <w:r w:rsidR="008243CA">
        <w:t xml:space="preserve"> </w:t>
      </w:r>
      <w:r w:rsidRPr="00E62FE6">
        <w:t>by</w:t>
      </w:r>
      <w:r w:rsidR="008243CA">
        <w:t xml:space="preserve"> </w:t>
      </w:r>
      <w:r w:rsidRPr="00E62FE6">
        <w:t>the</w:t>
      </w:r>
      <w:r w:rsidR="008243CA">
        <w:t xml:space="preserve"> </w:t>
      </w:r>
      <w:r w:rsidRPr="00E62FE6">
        <w:t>Prison</w:t>
      </w:r>
      <w:r w:rsidR="008243CA">
        <w:t xml:space="preserve"> </w:t>
      </w:r>
      <w:r w:rsidRPr="00E62FE6">
        <w:t>Service,</w:t>
      </w:r>
      <w:r w:rsidR="008243CA">
        <w:t xml:space="preserve"> </w:t>
      </w:r>
      <w:r w:rsidRPr="00E62FE6">
        <w:t>it</w:t>
      </w:r>
      <w:r w:rsidR="008243CA">
        <w:t xml:space="preserve"> </w:t>
      </w:r>
      <w:r w:rsidRPr="00E62FE6">
        <w:t>should</w:t>
      </w:r>
      <w:r w:rsidR="008243CA">
        <w:t xml:space="preserve"> </w:t>
      </w:r>
      <w:r w:rsidRPr="00E62FE6">
        <w:t>also</w:t>
      </w:r>
      <w:r w:rsidR="008243CA">
        <w:t xml:space="preserve"> </w:t>
      </w:r>
      <w:r w:rsidRPr="00E62FE6">
        <w:t>be</w:t>
      </w:r>
      <w:r w:rsidR="008243CA">
        <w:t xml:space="preserve"> </w:t>
      </w:r>
      <w:r w:rsidRPr="00E62FE6">
        <w:t>noted</w:t>
      </w:r>
      <w:r w:rsidR="008243CA">
        <w:t xml:space="preserve"> </w:t>
      </w:r>
      <w:r w:rsidRPr="00E62FE6">
        <w:t>that</w:t>
      </w:r>
      <w:r w:rsidR="008243CA">
        <w:t xml:space="preserve"> </w:t>
      </w:r>
      <w:r w:rsidRPr="00E62FE6">
        <w:t>an</w:t>
      </w:r>
      <w:r w:rsidR="008243CA">
        <w:t xml:space="preserve"> </w:t>
      </w:r>
      <w:r w:rsidRPr="00E62FE6">
        <w:t>inter-agency</w:t>
      </w:r>
      <w:r w:rsidR="008243CA">
        <w:t xml:space="preserve"> </w:t>
      </w:r>
      <w:r w:rsidRPr="00E62FE6">
        <w:t>cooperation</w:t>
      </w:r>
      <w:r w:rsidR="008243CA">
        <w:t xml:space="preserve"> </w:t>
      </w:r>
      <w:r w:rsidRPr="00E62FE6">
        <w:t>agreement</w:t>
      </w:r>
      <w:r w:rsidR="008243CA">
        <w:t xml:space="preserve"> </w:t>
      </w:r>
      <w:r w:rsidRPr="00E62FE6">
        <w:t>is</w:t>
      </w:r>
      <w:r w:rsidR="008243CA">
        <w:t xml:space="preserve"> </w:t>
      </w:r>
      <w:r w:rsidRPr="00E62FE6">
        <w:t>in</w:t>
      </w:r>
      <w:r w:rsidR="008243CA">
        <w:t xml:space="preserve"> </w:t>
      </w:r>
      <w:r w:rsidRPr="00E62FE6">
        <w:t>effect</w:t>
      </w:r>
      <w:r w:rsidR="008243CA">
        <w:t xml:space="preserve"> </w:t>
      </w:r>
      <w:r w:rsidRPr="00E62FE6">
        <w:t>between</w:t>
      </w:r>
      <w:r w:rsidR="008243CA">
        <w:t xml:space="preserve"> </w:t>
      </w:r>
      <w:r w:rsidRPr="00E62FE6">
        <w:t>SENAME</w:t>
      </w:r>
      <w:r w:rsidR="008243CA">
        <w:t xml:space="preserve"> </w:t>
      </w:r>
      <w:r w:rsidRPr="00E62FE6">
        <w:t>and</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Health.</w:t>
      </w:r>
      <w:r w:rsidR="008243CA">
        <w:t xml:space="preserve"> </w:t>
      </w:r>
      <w:r w:rsidRPr="00116F0B">
        <w:rPr>
          <w:rStyle w:val="FootnoteReference"/>
        </w:rPr>
        <w:footnoteReference w:id="39"/>
      </w:r>
      <w:r w:rsidR="008243CA">
        <w:t xml:space="preserve"> </w:t>
      </w:r>
      <w:r w:rsidRPr="00E62FE6">
        <w:t>The</w:t>
      </w:r>
      <w:r w:rsidR="008243CA">
        <w:t xml:space="preserve"> </w:t>
      </w:r>
      <w:r w:rsidRPr="00E62FE6">
        <w:t>aim</w:t>
      </w:r>
      <w:r w:rsidR="008243CA">
        <w:t xml:space="preserve"> </w:t>
      </w:r>
      <w:r w:rsidRPr="00E62FE6">
        <w:t>of</w:t>
      </w:r>
      <w:r w:rsidR="008243CA">
        <w:t xml:space="preserve"> </w:t>
      </w:r>
      <w:r w:rsidRPr="00E62FE6">
        <w:t>the</w:t>
      </w:r>
      <w:r w:rsidR="008243CA">
        <w:t xml:space="preserve"> </w:t>
      </w:r>
      <w:r w:rsidRPr="00E62FE6">
        <w:t>agreement</w:t>
      </w:r>
      <w:r w:rsidR="008243CA">
        <w:t xml:space="preserve"> </w:t>
      </w:r>
      <w:r w:rsidRPr="00E62FE6">
        <w:t>is</w:t>
      </w:r>
      <w:r w:rsidR="008243CA">
        <w:t xml:space="preserve"> </w:t>
      </w:r>
      <w:r w:rsidRPr="00E62FE6">
        <w:t>to</w:t>
      </w:r>
      <w:r w:rsidR="008243CA">
        <w:t xml:space="preserve"> </w:t>
      </w:r>
      <w:r w:rsidRPr="00E62FE6">
        <w:t>promote</w:t>
      </w:r>
      <w:r w:rsidR="008243CA">
        <w:t xml:space="preserve"> </w:t>
      </w:r>
      <w:r w:rsidRPr="00E62FE6">
        <w:t>sexual</w:t>
      </w:r>
      <w:r w:rsidR="008243CA">
        <w:t xml:space="preserve"> </w:t>
      </w:r>
      <w:r w:rsidRPr="00E62FE6">
        <w:t>health</w:t>
      </w:r>
      <w:r w:rsidR="008243CA">
        <w:t xml:space="preserve"> </w:t>
      </w:r>
      <w:r w:rsidRPr="00E62FE6">
        <w:t>and</w:t>
      </w:r>
      <w:r w:rsidR="008243CA">
        <w:t xml:space="preserve"> </w:t>
      </w:r>
      <w:r w:rsidRPr="00E62FE6">
        <w:t>to</w:t>
      </w:r>
      <w:r w:rsidR="008243CA">
        <w:t xml:space="preserve"> </w:t>
      </w:r>
      <w:r w:rsidRPr="00E62FE6">
        <w:t>prevent</w:t>
      </w:r>
      <w:r w:rsidR="008243CA">
        <w:t xml:space="preserve"> </w:t>
      </w:r>
      <w:r w:rsidRPr="00E62FE6">
        <w:t>and</w:t>
      </w:r>
      <w:r w:rsidR="008243CA">
        <w:t xml:space="preserve"> </w:t>
      </w:r>
      <w:r w:rsidRPr="00E62FE6">
        <w:t>control</w:t>
      </w:r>
      <w:r w:rsidR="008243CA">
        <w:t xml:space="preserve"> </w:t>
      </w:r>
      <w:r w:rsidRPr="00E62FE6">
        <w:t>HIV/AIDS</w:t>
      </w:r>
      <w:r w:rsidR="008243CA">
        <w:t xml:space="preserve"> </w:t>
      </w:r>
      <w:r w:rsidRPr="00E62FE6">
        <w:t>and</w:t>
      </w:r>
      <w:r w:rsidR="008243CA">
        <w:t xml:space="preserve"> </w:t>
      </w:r>
      <w:r w:rsidRPr="00E62FE6">
        <w:t>sexually</w:t>
      </w:r>
      <w:r w:rsidR="008243CA">
        <w:t xml:space="preserve"> </w:t>
      </w:r>
      <w:r w:rsidRPr="00E62FE6">
        <w:t>transmitted</w:t>
      </w:r>
      <w:r w:rsidR="008243CA">
        <w:t xml:space="preserve"> </w:t>
      </w:r>
      <w:r w:rsidRPr="00E62FE6">
        <w:t>infections</w:t>
      </w:r>
      <w:r w:rsidR="008243CA">
        <w:t xml:space="preserve"> </w:t>
      </w:r>
      <w:r w:rsidRPr="00E62FE6">
        <w:t>(STIs)</w:t>
      </w:r>
      <w:r w:rsidR="008243CA">
        <w:t xml:space="preserve"> </w:t>
      </w:r>
      <w:r w:rsidRPr="00E62FE6">
        <w:t>in</w:t>
      </w:r>
      <w:r w:rsidR="008243CA">
        <w:t xml:space="preserve"> </w:t>
      </w:r>
      <w:r w:rsidRPr="00E62FE6">
        <w:t>a</w:t>
      </w:r>
      <w:r w:rsidR="008243CA">
        <w:t xml:space="preserve"> </w:t>
      </w:r>
      <w:r w:rsidRPr="00E62FE6">
        <w:t>context</w:t>
      </w:r>
      <w:r w:rsidR="008243CA">
        <w:t xml:space="preserve"> </w:t>
      </w:r>
      <w:r w:rsidRPr="00E62FE6">
        <w:t>of</w:t>
      </w:r>
      <w:r w:rsidR="008243CA">
        <w:t xml:space="preserve"> </w:t>
      </w:r>
      <w:r w:rsidRPr="00E62FE6">
        <w:t>non-discrimination.</w:t>
      </w:r>
      <w:r w:rsidR="008243CA">
        <w:t xml:space="preserve"> </w:t>
      </w:r>
      <w:r w:rsidRPr="00E62FE6">
        <w:t>In</w:t>
      </w:r>
      <w:r w:rsidR="008243CA">
        <w:t xml:space="preserve"> </w:t>
      </w:r>
      <w:r w:rsidRPr="00E62FE6">
        <w:t>that</w:t>
      </w:r>
      <w:r w:rsidR="008243CA">
        <w:t xml:space="preserve"> </w:t>
      </w:r>
      <w:r w:rsidRPr="00E62FE6">
        <w:t>regard,</w:t>
      </w:r>
      <w:r w:rsidR="008243CA">
        <w:t xml:space="preserve"> </w:t>
      </w:r>
      <w:r w:rsidRPr="00E62FE6">
        <w:t>the</w:t>
      </w:r>
      <w:r w:rsidR="008243CA">
        <w:t xml:space="preserve"> </w:t>
      </w:r>
      <w:r w:rsidRPr="00E62FE6">
        <w:t>role</w:t>
      </w:r>
      <w:r w:rsidR="008243CA">
        <w:t xml:space="preserve"> </w:t>
      </w:r>
      <w:r w:rsidRPr="00E62FE6">
        <w:t>of</w:t>
      </w:r>
      <w:r w:rsidR="008243CA">
        <w:t xml:space="preserve"> </w:t>
      </w:r>
      <w:r w:rsidRPr="00E62FE6">
        <w:t>both</w:t>
      </w:r>
      <w:r w:rsidR="008243CA">
        <w:t xml:space="preserve"> </w:t>
      </w:r>
      <w:r w:rsidRPr="00E62FE6">
        <w:t>institutions</w:t>
      </w:r>
      <w:r w:rsidR="008243CA">
        <w:t xml:space="preserve"> </w:t>
      </w:r>
      <w:r w:rsidRPr="00E62FE6">
        <w:t>is</w:t>
      </w:r>
      <w:r w:rsidR="008243CA">
        <w:t xml:space="preserve"> </w:t>
      </w:r>
      <w:r w:rsidRPr="00E62FE6">
        <w:t>to</w:t>
      </w:r>
      <w:r w:rsidR="008243CA">
        <w:t xml:space="preserve"> </w:t>
      </w:r>
      <w:r w:rsidRPr="00E62FE6">
        <w:t>help</w:t>
      </w:r>
      <w:r w:rsidR="008243CA">
        <w:t xml:space="preserve"> </w:t>
      </w:r>
      <w:r w:rsidRPr="00E62FE6">
        <w:t>achieve</w:t>
      </w:r>
      <w:r w:rsidR="008243CA">
        <w:t xml:space="preserve"> </w:t>
      </w:r>
      <w:r w:rsidRPr="00E62FE6">
        <w:t>the</w:t>
      </w:r>
      <w:r w:rsidR="008243CA">
        <w:t xml:space="preserve"> </w:t>
      </w:r>
      <w:r w:rsidRPr="00E62FE6">
        <w:t>health</w:t>
      </w:r>
      <w:r w:rsidR="008243CA">
        <w:t xml:space="preserve"> </w:t>
      </w:r>
      <w:r w:rsidRPr="00E62FE6">
        <w:t>objectives</w:t>
      </w:r>
      <w:r w:rsidR="008243CA">
        <w:t xml:space="preserve"> </w:t>
      </w:r>
      <w:r w:rsidRPr="00E62FE6">
        <w:t>in</w:t>
      </w:r>
      <w:r w:rsidR="008243CA">
        <w:t xml:space="preserve"> </w:t>
      </w:r>
      <w:r w:rsidRPr="00E62FE6">
        <w:t>terms</w:t>
      </w:r>
      <w:r w:rsidR="008243CA">
        <w:t xml:space="preserve"> </w:t>
      </w:r>
      <w:r w:rsidRPr="00E62FE6">
        <w:t>of</w:t>
      </w:r>
      <w:r w:rsidR="008243CA">
        <w:t xml:space="preserve"> </w:t>
      </w:r>
      <w:r w:rsidRPr="00E62FE6">
        <w:t>promoting</w:t>
      </w:r>
      <w:r w:rsidR="008243CA">
        <w:t xml:space="preserve"> </w:t>
      </w:r>
      <w:r w:rsidRPr="00E62FE6">
        <w:t>sexual</w:t>
      </w:r>
      <w:r w:rsidR="008243CA">
        <w:t xml:space="preserve"> </w:t>
      </w:r>
      <w:r w:rsidRPr="00E62FE6">
        <w:t>health</w:t>
      </w:r>
      <w:r w:rsidR="008243CA">
        <w:t xml:space="preserve"> </w:t>
      </w:r>
      <w:r w:rsidRPr="00E62FE6">
        <w:t>and</w:t>
      </w:r>
      <w:r w:rsidR="008243CA">
        <w:t xml:space="preserve"> </w:t>
      </w:r>
      <w:r w:rsidRPr="00E62FE6">
        <w:t>preventing</w:t>
      </w:r>
      <w:r w:rsidR="008243CA">
        <w:t xml:space="preserve"> </w:t>
      </w:r>
      <w:r w:rsidRPr="00E62FE6">
        <w:t>and</w:t>
      </w:r>
      <w:r w:rsidR="008243CA">
        <w:t xml:space="preserve"> </w:t>
      </w:r>
      <w:r w:rsidRPr="00E62FE6">
        <w:t>controlling</w:t>
      </w:r>
      <w:r w:rsidR="008243CA">
        <w:t xml:space="preserve"> </w:t>
      </w:r>
      <w:r w:rsidRPr="00E62FE6">
        <w:t>HIV/AIDS</w:t>
      </w:r>
      <w:r w:rsidR="008243CA">
        <w:t xml:space="preserve"> </w:t>
      </w:r>
      <w:r w:rsidRPr="00E62FE6">
        <w:lastRenderedPageBreak/>
        <w:t>and</w:t>
      </w:r>
      <w:r w:rsidR="008243CA">
        <w:t xml:space="preserve"> </w:t>
      </w:r>
      <w:r w:rsidRPr="00E62FE6">
        <w:t>STIs.</w:t>
      </w:r>
      <w:r w:rsidR="008243CA">
        <w:t xml:space="preserve"> </w:t>
      </w:r>
      <w:r w:rsidRPr="00E62FE6">
        <w:t>The</w:t>
      </w:r>
      <w:r w:rsidR="008243CA">
        <w:t xml:space="preserve"> </w:t>
      </w:r>
      <w:r w:rsidRPr="00E62FE6">
        <w:t>agreement</w:t>
      </w:r>
      <w:r w:rsidR="008243CA">
        <w:t xml:space="preserve"> </w:t>
      </w:r>
      <w:r w:rsidRPr="00E62FE6">
        <w:t>guarantees</w:t>
      </w:r>
      <w:r w:rsidR="008243CA">
        <w:t xml:space="preserve"> </w:t>
      </w:r>
      <w:r w:rsidRPr="00E62FE6">
        <w:t>timely</w:t>
      </w:r>
      <w:r w:rsidR="008243CA">
        <w:t xml:space="preserve"> </w:t>
      </w:r>
      <w:r w:rsidRPr="00E62FE6">
        <w:t>access</w:t>
      </w:r>
      <w:r w:rsidR="008243CA">
        <w:t xml:space="preserve"> </w:t>
      </w:r>
      <w:r w:rsidRPr="00E62FE6">
        <w:t>to</w:t>
      </w:r>
      <w:r w:rsidR="008243CA">
        <w:t xml:space="preserve"> </w:t>
      </w:r>
      <w:r w:rsidRPr="00E62FE6">
        <w:t>the</w:t>
      </w:r>
      <w:r w:rsidR="008243CA">
        <w:t xml:space="preserve"> </w:t>
      </w:r>
      <w:r w:rsidRPr="00E62FE6">
        <w:t>health-care</w:t>
      </w:r>
      <w:r w:rsidR="008243CA">
        <w:t xml:space="preserve"> </w:t>
      </w:r>
      <w:r w:rsidRPr="00E62FE6">
        <w:t>network</w:t>
      </w:r>
      <w:r w:rsidR="008243CA">
        <w:t xml:space="preserve"> </w:t>
      </w:r>
      <w:r w:rsidRPr="00E62FE6">
        <w:t>by</w:t>
      </w:r>
      <w:r w:rsidR="008243CA">
        <w:t xml:space="preserve"> </w:t>
      </w:r>
      <w:r w:rsidRPr="00E62FE6">
        <w:t>children</w:t>
      </w:r>
      <w:r w:rsidR="008243CA">
        <w:t xml:space="preserve"> </w:t>
      </w:r>
      <w:r w:rsidRPr="00E62FE6">
        <w:t>and</w:t>
      </w:r>
      <w:r w:rsidR="008243CA">
        <w:t xml:space="preserve"> </w:t>
      </w:r>
      <w:r w:rsidRPr="00E62FE6">
        <w:t>adolescents</w:t>
      </w:r>
      <w:r w:rsidR="008243CA">
        <w:t xml:space="preserve"> </w:t>
      </w:r>
      <w:r w:rsidRPr="00E62FE6">
        <w:t>who</w:t>
      </w:r>
      <w:r w:rsidR="008243CA">
        <w:t xml:space="preserve"> </w:t>
      </w:r>
      <w:r w:rsidRPr="00E62FE6">
        <w:t>use</w:t>
      </w:r>
      <w:r w:rsidR="008243CA">
        <w:t xml:space="preserve"> </w:t>
      </w:r>
      <w:r w:rsidRPr="00E62FE6">
        <w:t>SENAME.</w:t>
      </w:r>
    </w:p>
    <w:p w:rsidR="003F7D03" w:rsidRPr="00E62FE6" w:rsidRDefault="003F7D03" w:rsidP="000C6D98">
      <w:pPr>
        <w:pStyle w:val="SingleTxtG"/>
      </w:pPr>
      <w:r w:rsidRPr="00E62FE6">
        <w:t>114.</w:t>
      </w:r>
      <w:r w:rsidRPr="00E62FE6">
        <w:tab/>
        <w:t>Moving</w:t>
      </w:r>
      <w:r w:rsidR="008243CA">
        <w:t xml:space="preserve"> </w:t>
      </w:r>
      <w:r w:rsidRPr="00E62FE6">
        <w:t>beyond</w:t>
      </w:r>
      <w:r w:rsidR="008243CA">
        <w:t xml:space="preserve"> </w:t>
      </w:r>
      <w:r w:rsidRPr="00E62FE6">
        <w:t>the</w:t>
      </w:r>
      <w:r w:rsidR="008243CA">
        <w:t xml:space="preserve"> </w:t>
      </w:r>
      <w:r w:rsidRPr="00E62FE6">
        <w:t>Subcommittee</w:t>
      </w:r>
      <w:r w:rsidR="00116F0B">
        <w:t>’</w:t>
      </w:r>
      <w:r w:rsidRPr="00E62FE6">
        <w:t>s</w:t>
      </w:r>
      <w:r w:rsidR="008243CA">
        <w:t xml:space="preserve"> </w:t>
      </w:r>
      <w:r w:rsidRPr="00E62FE6">
        <w:t>recommendations,</w:t>
      </w:r>
      <w:r w:rsidR="008243CA">
        <w:t xml:space="preserve"> </w:t>
      </w:r>
      <w:r w:rsidRPr="00E62FE6">
        <w:t>both</w:t>
      </w:r>
      <w:r w:rsidR="008243CA">
        <w:t xml:space="preserve"> </w:t>
      </w:r>
      <w:r w:rsidRPr="00E62FE6">
        <w:t>institutions</w:t>
      </w:r>
      <w:r w:rsidR="008243CA">
        <w:t xml:space="preserve"> </w:t>
      </w:r>
      <w:r w:rsidRPr="00E62FE6">
        <w:t>will</w:t>
      </w:r>
      <w:r w:rsidR="008243CA">
        <w:t xml:space="preserve"> </w:t>
      </w:r>
      <w:r w:rsidRPr="00E62FE6">
        <w:t>work,</w:t>
      </w:r>
      <w:r w:rsidR="008243CA">
        <w:t xml:space="preserve"> </w:t>
      </w:r>
      <w:r w:rsidRPr="00E62FE6">
        <w:t>within</w:t>
      </w:r>
      <w:r w:rsidR="008243CA">
        <w:t xml:space="preserve"> </w:t>
      </w:r>
      <w:r w:rsidRPr="00E62FE6">
        <w:t>the</w:t>
      </w:r>
      <w:r w:rsidR="008243CA">
        <w:t xml:space="preserve"> </w:t>
      </w:r>
      <w:r w:rsidRPr="00E62FE6">
        <w:t>context</w:t>
      </w:r>
      <w:r w:rsidR="008243CA">
        <w:t xml:space="preserve"> </w:t>
      </w:r>
      <w:r w:rsidRPr="00E62FE6">
        <w:t>of</w:t>
      </w:r>
      <w:r w:rsidR="008243CA">
        <w:t xml:space="preserve"> </w:t>
      </w:r>
      <w:r w:rsidRPr="00E62FE6">
        <w:t>the</w:t>
      </w:r>
      <w:r w:rsidR="008243CA">
        <w:t xml:space="preserve"> </w:t>
      </w:r>
      <w:r w:rsidRPr="00E62FE6">
        <w:t>health</w:t>
      </w:r>
      <w:r w:rsidR="008243CA">
        <w:t xml:space="preserve"> </w:t>
      </w:r>
      <w:r w:rsidRPr="00E62FE6">
        <w:t>subcommittee</w:t>
      </w:r>
      <w:r w:rsidR="008243CA">
        <w:t xml:space="preserve"> </w:t>
      </w:r>
      <w:r w:rsidRPr="00E62FE6">
        <w:t>set</w:t>
      </w:r>
      <w:r w:rsidR="008243CA">
        <w:t xml:space="preserve"> </w:t>
      </w:r>
      <w:r w:rsidRPr="00E62FE6">
        <w:t>up</w:t>
      </w:r>
      <w:r w:rsidR="008243CA">
        <w:t xml:space="preserve"> </w:t>
      </w:r>
      <w:r w:rsidRPr="00E62FE6">
        <w:t>to</w:t>
      </w:r>
      <w:r w:rsidR="008243CA">
        <w:t xml:space="preserve"> </w:t>
      </w:r>
      <w:r w:rsidRPr="00E62FE6">
        <w:t>prepare</w:t>
      </w:r>
      <w:r w:rsidR="008243CA">
        <w:t xml:space="preserve"> </w:t>
      </w:r>
      <w:r w:rsidRPr="00E62FE6">
        <w:t>this</w:t>
      </w:r>
      <w:r w:rsidR="008243CA">
        <w:t xml:space="preserve"> </w:t>
      </w:r>
      <w:r w:rsidRPr="00E62FE6">
        <w:t>report,</w:t>
      </w:r>
      <w:r w:rsidR="008243CA">
        <w:t xml:space="preserve"> </w:t>
      </w:r>
      <w:r w:rsidRPr="00E62FE6">
        <w:t>on</w:t>
      </w:r>
      <w:r w:rsidR="008243CA">
        <w:t xml:space="preserve"> </w:t>
      </w:r>
      <w:r w:rsidRPr="00E62FE6">
        <w:t>a</w:t>
      </w:r>
      <w:r w:rsidR="008243CA">
        <w:t xml:space="preserve"> </w:t>
      </w:r>
      <w:r w:rsidRPr="00E62FE6">
        <w:t>regulation</w:t>
      </w:r>
      <w:r w:rsidR="008243CA">
        <w:t xml:space="preserve"> </w:t>
      </w:r>
      <w:r w:rsidRPr="00E62FE6">
        <w:t>concerning</w:t>
      </w:r>
      <w:r w:rsidR="008243CA">
        <w:t xml:space="preserve"> </w:t>
      </w:r>
      <w:r w:rsidRPr="00E62FE6">
        <w:t>HIV/AIDS</w:t>
      </w:r>
      <w:r w:rsidR="008243CA">
        <w:t xml:space="preserve"> </w:t>
      </w:r>
      <w:r w:rsidRPr="00E62FE6">
        <w:t>tests</w:t>
      </w:r>
      <w:r w:rsidR="008243CA">
        <w:t xml:space="preserve"> </w:t>
      </w:r>
      <w:r w:rsidRPr="00E62FE6">
        <w:t>for</w:t>
      </w:r>
      <w:r w:rsidR="008243CA">
        <w:t xml:space="preserve"> </w:t>
      </w:r>
      <w:r w:rsidRPr="00E62FE6">
        <w:t>adolescents</w:t>
      </w:r>
      <w:r w:rsidR="008243CA">
        <w:t xml:space="preserve"> </w:t>
      </w:r>
      <w:r w:rsidRPr="00E62FE6">
        <w:t>under</w:t>
      </w:r>
      <w:r w:rsidR="008243CA">
        <w:t xml:space="preserve"> </w:t>
      </w:r>
      <w:r w:rsidRPr="00E62FE6">
        <w:t>the</w:t>
      </w:r>
      <w:r w:rsidR="008243CA">
        <w:t xml:space="preserve"> </w:t>
      </w:r>
      <w:r w:rsidRPr="00E62FE6">
        <w:t>age</w:t>
      </w:r>
      <w:r w:rsidR="008243CA">
        <w:t xml:space="preserve"> </w:t>
      </w:r>
      <w:r w:rsidRPr="00E62FE6">
        <w:t>of</w:t>
      </w:r>
      <w:r w:rsidR="008243CA">
        <w:t xml:space="preserve"> </w:t>
      </w:r>
      <w:r w:rsidRPr="00E62FE6">
        <w:t>18</w:t>
      </w:r>
      <w:r w:rsidR="008243CA">
        <w:t xml:space="preserve"> </w:t>
      </w:r>
      <w:r w:rsidRPr="00E62FE6">
        <w:t>who</w:t>
      </w:r>
      <w:r w:rsidR="008243CA">
        <w:t xml:space="preserve"> </w:t>
      </w:r>
      <w:r w:rsidRPr="00E62FE6">
        <w:t>are</w:t>
      </w:r>
      <w:r w:rsidR="008243CA">
        <w:t xml:space="preserve"> </w:t>
      </w:r>
      <w:r w:rsidRPr="00E62FE6">
        <w:t>in</w:t>
      </w:r>
      <w:r w:rsidR="008243CA">
        <w:t xml:space="preserve"> </w:t>
      </w:r>
      <w:r w:rsidRPr="00E62FE6">
        <w:t>the</w:t>
      </w:r>
      <w:r w:rsidR="008243CA">
        <w:t xml:space="preserve"> </w:t>
      </w:r>
      <w:r w:rsidRPr="00E62FE6">
        <w:t>juvenile</w:t>
      </w:r>
      <w:r w:rsidR="008243CA">
        <w:t xml:space="preserve"> </w:t>
      </w:r>
      <w:r w:rsidRPr="00E62FE6">
        <w:t>criminal</w:t>
      </w:r>
      <w:r w:rsidR="008243CA">
        <w:t xml:space="preserve"> </w:t>
      </w:r>
      <w:r w:rsidRPr="00E62FE6">
        <w:t>responsibility</w:t>
      </w:r>
      <w:r w:rsidR="008243CA">
        <w:t xml:space="preserve"> </w:t>
      </w:r>
      <w:r w:rsidRPr="00E62FE6">
        <w:t>system.</w:t>
      </w:r>
      <w:r w:rsidR="008243CA">
        <w:t xml:space="preserve"> </w:t>
      </w:r>
      <w:r w:rsidRPr="00E62FE6">
        <w:t>In</w:t>
      </w:r>
      <w:r w:rsidR="008243CA">
        <w:t xml:space="preserve"> </w:t>
      </w:r>
      <w:r w:rsidRPr="00E62FE6">
        <w:t>addition</w:t>
      </w:r>
      <w:r w:rsidR="008243CA">
        <w:t xml:space="preserve"> </w:t>
      </w:r>
      <w:r w:rsidRPr="00E62FE6">
        <w:t>to</w:t>
      </w:r>
      <w:r w:rsidR="008243CA">
        <w:t xml:space="preserve"> </w:t>
      </w:r>
      <w:r w:rsidRPr="00E62FE6">
        <w:t>this,</w:t>
      </w:r>
      <w:r w:rsidR="008243CA">
        <w:t xml:space="preserve"> </w:t>
      </w:r>
      <w:r w:rsidRPr="00E62FE6">
        <w:t>they</w:t>
      </w:r>
      <w:r w:rsidR="008243CA">
        <w:t xml:space="preserve"> </w:t>
      </w:r>
      <w:r w:rsidRPr="00E62FE6">
        <w:t>will</w:t>
      </w:r>
      <w:r w:rsidR="008243CA">
        <w:t xml:space="preserve"> </w:t>
      </w:r>
      <w:r w:rsidRPr="00E62FE6">
        <w:t>establish</w:t>
      </w:r>
      <w:r w:rsidR="008243CA">
        <w:t xml:space="preserve"> </w:t>
      </w:r>
      <w:r w:rsidRPr="00E62FE6">
        <w:t>a</w:t>
      </w:r>
      <w:r w:rsidR="008243CA">
        <w:t xml:space="preserve"> </w:t>
      </w:r>
      <w:r w:rsidRPr="00E62FE6">
        <w:t>treatment</w:t>
      </w:r>
      <w:r w:rsidR="008243CA">
        <w:t xml:space="preserve"> </w:t>
      </w:r>
      <w:r w:rsidRPr="00E62FE6">
        <w:t>protocol</w:t>
      </w:r>
      <w:r w:rsidR="008243CA">
        <w:t xml:space="preserve"> </w:t>
      </w:r>
      <w:r w:rsidRPr="00E62FE6">
        <w:t>for</w:t>
      </w:r>
      <w:r w:rsidR="008243CA">
        <w:t xml:space="preserve"> </w:t>
      </w:r>
      <w:r w:rsidRPr="00E62FE6">
        <w:t>patients</w:t>
      </w:r>
      <w:r w:rsidR="008243CA">
        <w:t xml:space="preserve"> </w:t>
      </w:r>
      <w:r w:rsidRPr="00E62FE6">
        <w:t>with</w:t>
      </w:r>
      <w:r w:rsidR="008243CA">
        <w:t xml:space="preserve"> </w:t>
      </w:r>
      <w:r w:rsidRPr="00E62FE6">
        <w:t>HIV/AIDS</w:t>
      </w:r>
      <w:r w:rsidR="008243CA">
        <w:t xml:space="preserve"> </w:t>
      </w:r>
      <w:r w:rsidRPr="00E62FE6">
        <w:t>and</w:t>
      </w:r>
      <w:r w:rsidR="008243CA">
        <w:t xml:space="preserve"> </w:t>
      </w:r>
      <w:r w:rsidRPr="00E62FE6">
        <w:t>STIs,</w:t>
      </w:r>
      <w:r w:rsidR="008243CA">
        <w:t xml:space="preserve"> </w:t>
      </w:r>
      <w:r w:rsidRPr="00E62FE6">
        <w:t>explicitly</w:t>
      </w:r>
      <w:r w:rsidR="008243CA">
        <w:t xml:space="preserve"> </w:t>
      </w:r>
      <w:r w:rsidRPr="00E62FE6">
        <w:t>preventing</w:t>
      </w:r>
      <w:r w:rsidR="008243CA">
        <w:t xml:space="preserve"> </w:t>
      </w:r>
      <w:r w:rsidRPr="00E62FE6">
        <w:t>discrimination</w:t>
      </w:r>
      <w:r w:rsidR="008243CA">
        <w:t xml:space="preserve"> </w:t>
      </w:r>
      <w:r w:rsidRPr="00E62FE6">
        <w:t>within</w:t>
      </w:r>
      <w:r w:rsidR="008243CA">
        <w:t xml:space="preserve"> </w:t>
      </w:r>
      <w:r w:rsidRPr="00E62FE6">
        <w:t>centres</w:t>
      </w:r>
      <w:r w:rsidR="008243CA">
        <w:t xml:space="preserve"> </w:t>
      </w:r>
      <w:r w:rsidRPr="00E62FE6">
        <w:t>directly</w:t>
      </w:r>
      <w:r w:rsidR="008243CA">
        <w:t xml:space="preserve"> </w:t>
      </w:r>
      <w:r w:rsidRPr="00E62FE6">
        <w:t>administered</w:t>
      </w:r>
      <w:r w:rsidR="008243CA">
        <w:t xml:space="preserve"> </w:t>
      </w:r>
      <w:r w:rsidRPr="00E62FE6">
        <w:t>by</w:t>
      </w:r>
      <w:r w:rsidR="008243CA">
        <w:t xml:space="preserve"> </w:t>
      </w:r>
      <w:r w:rsidRPr="00E62FE6">
        <w:t>SENAME.</w:t>
      </w:r>
      <w:r w:rsidR="008243CA">
        <w:t xml:space="preserve"> </w:t>
      </w:r>
      <w:r w:rsidRPr="00E62FE6">
        <w:t>It</w:t>
      </w:r>
      <w:r w:rsidR="008243CA">
        <w:t xml:space="preserve"> </w:t>
      </w:r>
      <w:r w:rsidRPr="00E62FE6">
        <w:t>is</w:t>
      </w:r>
      <w:r w:rsidR="008243CA">
        <w:t xml:space="preserve"> </w:t>
      </w:r>
      <w:r w:rsidRPr="00E62FE6">
        <w:t>hoped</w:t>
      </w:r>
      <w:r w:rsidR="008243CA">
        <w:t xml:space="preserve"> </w:t>
      </w:r>
      <w:r w:rsidRPr="00E62FE6">
        <w:t>that</w:t>
      </w:r>
      <w:r w:rsidR="008243CA">
        <w:t xml:space="preserve"> </w:t>
      </w:r>
      <w:r w:rsidRPr="00E62FE6">
        <w:t>both</w:t>
      </w:r>
      <w:r w:rsidR="008243CA">
        <w:t xml:space="preserve"> </w:t>
      </w:r>
      <w:r w:rsidRPr="00E62FE6">
        <w:t>rules</w:t>
      </w:r>
      <w:r w:rsidR="008243CA">
        <w:t xml:space="preserve"> </w:t>
      </w:r>
      <w:r w:rsidRPr="00E62FE6">
        <w:t>will</w:t>
      </w:r>
      <w:r w:rsidR="008243CA">
        <w:t xml:space="preserve"> </w:t>
      </w:r>
      <w:r w:rsidRPr="00E62FE6">
        <w:t>come</w:t>
      </w:r>
      <w:r w:rsidR="008243CA">
        <w:t xml:space="preserve"> </w:t>
      </w:r>
      <w:r w:rsidRPr="00E62FE6">
        <w:t>into</w:t>
      </w:r>
      <w:r w:rsidR="008243CA">
        <w:t xml:space="preserve"> </w:t>
      </w:r>
      <w:r w:rsidRPr="00E62FE6">
        <w:t>effect</w:t>
      </w:r>
      <w:r w:rsidR="008243CA">
        <w:t xml:space="preserve"> </w:t>
      </w:r>
      <w:r w:rsidRPr="00E62FE6">
        <w:t>during</w:t>
      </w:r>
      <w:r w:rsidR="008243CA">
        <w:t xml:space="preserve"> </w:t>
      </w:r>
      <w:r w:rsidRPr="00E62FE6">
        <w:t>the</w:t>
      </w:r>
      <w:r w:rsidR="008243CA">
        <w:t xml:space="preserve"> </w:t>
      </w:r>
      <w:r w:rsidRPr="00E62FE6">
        <w:t>second</w:t>
      </w:r>
      <w:r w:rsidR="008243CA">
        <w:t xml:space="preserve"> </w:t>
      </w:r>
      <w:r w:rsidRPr="00E62FE6">
        <w:t>half</w:t>
      </w:r>
      <w:r w:rsidR="008243CA">
        <w:t xml:space="preserve"> </w:t>
      </w:r>
      <w:r w:rsidRPr="00E62FE6">
        <w:t>of</w:t>
      </w:r>
      <w:r w:rsidR="008243CA">
        <w:t xml:space="preserve"> </w:t>
      </w:r>
      <w:r w:rsidRPr="00E62FE6">
        <w:t>2017.</w:t>
      </w:r>
    </w:p>
    <w:p w:rsidR="003F7D03" w:rsidRPr="0007753D" w:rsidRDefault="003F7D03" w:rsidP="000C6D98">
      <w:pPr>
        <w:pStyle w:val="SingleTxtG"/>
        <w:rPr>
          <w:i/>
          <w:iCs/>
        </w:rPr>
      </w:pPr>
      <w:r w:rsidRPr="00E62FE6">
        <w:t>115.</w:t>
      </w:r>
      <w:r w:rsidRPr="00E62FE6">
        <w:tab/>
        <w:t>Paragraph</w:t>
      </w:r>
      <w:r w:rsidR="008243CA">
        <w:t xml:space="preserve"> </w:t>
      </w:r>
      <w:r w:rsidRPr="00E62FE6">
        <w:t>66:</w:t>
      </w:r>
      <w:r w:rsidR="008243CA">
        <w:t xml:space="preserve"> </w:t>
      </w:r>
      <w:r w:rsidRPr="0007753D">
        <w:rPr>
          <w:i/>
          <w:iCs/>
        </w:rPr>
        <w:t>The</w:t>
      </w:r>
      <w:r w:rsidR="008243CA" w:rsidRPr="0007753D">
        <w:rPr>
          <w:i/>
          <w:iCs/>
        </w:rPr>
        <w:t xml:space="preserve"> </w:t>
      </w:r>
      <w:r w:rsidRPr="0007753D">
        <w:rPr>
          <w:i/>
          <w:iCs/>
        </w:rPr>
        <w:t>Subcommittee</w:t>
      </w:r>
      <w:r w:rsidR="008243CA" w:rsidRPr="0007753D">
        <w:rPr>
          <w:i/>
          <w:iCs/>
        </w:rPr>
        <w:t xml:space="preserve"> </w:t>
      </w:r>
      <w:r w:rsidRPr="0007753D">
        <w:rPr>
          <w:i/>
          <w:iCs/>
        </w:rPr>
        <w:t>recommends</w:t>
      </w:r>
      <w:r w:rsidR="008243CA" w:rsidRPr="0007753D">
        <w:rPr>
          <w:i/>
          <w:iCs/>
        </w:rPr>
        <w:t xml:space="preserve"> </w:t>
      </w:r>
      <w:r w:rsidRPr="0007753D">
        <w:rPr>
          <w:i/>
          <w:iCs/>
        </w:rPr>
        <w:t>that</w:t>
      </w:r>
      <w:r w:rsidR="008243CA" w:rsidRPr="0007753D">
        <w:rPr>
          <w:i/>
          <w:iCs/>
        </w:rPr>
        <w:t xml:space="preserve"> </w:t>
      </w:r>
      <w:r w:rsidRPr="0007753D">
        <w:rPr>
          <w:i/>
          <w:iCs/>
        </w:rPr>
        <w:t>particular</w:t>
      </w:r>
      <w:r w:rsidR="008243CA" w:rsidRPr="0007753D">
        <w:rPr>
          <w:i/>
          <w:iCs/>
        </w:rPr>
        <w:t xml:space="preserve"> </w:t>
      </w:r>
      <w:r w:rsidRPr="0007753D">
        <w:rPr>
          <w:i/>
          <w:iCs/>
        </w:rPr>
        <w:t>attention</w:t>
      </w:r>
      <w:r w:rsidR="008243CA" w:rsidRPr="0007753D">
        <w:rPr>
          <w:i/>
          <w:iCs/>
        </w:rPr>
        <w:t xml:space="preserve"> </w:t>
      </w:r>
      <w:r w:rsidRPr="0007753D">
        <w:rPr>
          <w:i/>
          <w:iCs/>
        </w:rPr>
        <w:t>be</w:t>
      </w:r>
      <w:r w:rsidR="008243CA" w:rsidRPr="0007753D">
        <w:rPr>
          <w:i/>
          <w:iCs/>
        </w:rPr>
        <w:t xml:space="preserve"> </w:t>
      </w:r>
      <w:r w:rsidRPr="0007753D">
        <w:rPr>
          <w:i/>
          <w:iCs/>
        </w:rPr>
        <w:t>devoted</w:t>
      </w:r>
      <w:r w:rsidR="008243CA" w:rsidRPr="0007753D">
        <w:rPr>
          <w:i/>
          <w:iCs/>
        </w:rPr>
        <w:t xml:space="preserve"> </w:t>
      </w:r>
      <w:r w:rsidRPr="0007753D">
        <w:rPr>
          <w:i/>
          <w:iCs/>
        </w:rPr>
        <w:t>to</w:t>
      </w:r>
      <w:r w:rsidR="008243CA" w:rsidRPr="0007753D">
        <w:rPr>
          <w:i/>
          <w:iCs/>
        </w:rPr>
        <w:t xml:space="preserve"> </w:t>
      </w:r>
      <w:r w:rsidRPr="0007753D">
        <w:rPr>
          <w:i/>
          <w:iCs/>
        </w:rPr>
        <w:t>the</w:t>
      </w:r>
      <w:r w:rsidR="008243CA" w:rsidRPr="0007753D">
        <w:rPr>
          <w:i/>
          <w:iCs/>
        </w:rPr>
        <w:t xml:space="preserve"> </w:t>
      </w:r>
      <w:r w:rsidRPr="0007753D">
        <w:rPr>
          <w:i/>
          <w:iCs/>
        </w:rPr>
        <w:t>examination</w:t>
      </w:r>
      <w:r w:rsidR="008243CA" w:rsidRPr="0007753D">
        <w:rPr>
          <w:i/>
          <w:iCs/>
        </w:rPr>
        <w:t xml:space="preserve"> </w:t>
      </w:r>
      <w:r w:rsidRPr="0007753D">
        <w:rPr>
          <w:i/>
          <w:iCs/>
        </w:rPr>
        <w:t>of</w:t>
      </w:r>
      <w:r w:rsidR="008243CA" w:rsidRPr="0007753D">
        <w:rPr>
          <w:i/>
          <w:iCs/>
        </w:rPr>
        <w:t xml:space="preserve"> </w:t>
      </w:r>
      <w:r w:rsidRPr="0007753D">
        <w:rPr>
          <w:i/>
          <w:iCs/>
        </w:rPr>
        <w:t>patients</w:t>
      </w:r>
      <w:r w:rsidR="008243CA" w:rsidRPr="0007753D">
        <w:rPr>
          <w:i/>
          <w:iCs/>
        </w:rPr>
        <w:t xml:space="preserve"> </w:t>
      </w:r>
      <w:r w:rsidRPr="0007753D">
        <w:rPr>
          <w:i/>
          <w:iCs/>
        </w:rPr>
        <w:t>exhibiting</w:t>
      </w:r>
      <w:r w:rsidR="008243CA" w:rsidRPr="0007753D">
        <w:rPr>
          <w:i/>
          <w:iCs/>
        </w:rPr>
        <w:t xml:space="preserve"> </w:t>
      </w:r>
      <w:r w:rsidRPr="0007753D">
        <w:rPr>
          <w:i/>
          <w:iCs/>
        </w:rPr>
        <w:t>injuries</w:t>
      </w:r>
      <w:r w:rsidR="008243CA" w:rsidRPr="0007753D">
        <w:rPr>
          <w:i/>
          <w:iCs/>
        </w:rPr>
        <w:t xml:space="preserve"> </w:t>
      </w:r>
      <w:r w:rsidRPr="0007753D">
        <w:rPr>
          <w:i/>
          <w:iCs/>
        </w:rPr>
        <w:t>and</w:t>
      </w:r>
      <w:r w:rsidR="008243CA" w:rsidRPr="0007753D">
        <w:rPr>
          <w:i/>
          <w:iCs/>
        </w:rPr>
        <w:t xml:space="preserve"> </w:t>
      </w:r>
      <w:r w:rsidRPr="0007753D">
        <w:rPr>
          <w:i/>
          <w:iCs/>
        </w:rPr>
        <w:t>that</w:t>
      </w:r>
      <w:r w:rsidR="008243CA" w:rsidRPr="0007753D">
        <w:rPr>
          <w:i/>
          <w:iCs/>
        </w:rPr>
        <w:t xml:space="preserve"> </w:t>
      </w:r>
      <w:r w:rsidRPr="0007753D">
        <w:rPr>
          <w:i/>
          <w:iCs/>
        </w:rPr>
        <w:t>specialized</w:t>
      </w:r>
      <w:r w:rsidR="008243CA" w:rsidRPr="0007753D">
        <w:rPr>
          <w:i/>
          <w:iCs/>
        </w:rPr>
        <w:t xml:space="preserve"> </w:t>
      </w:r>
      <w:r w:rsidRPr="0007753D">
        <w:rPr>
          <w:i/>
          <w:iCs/>
        </w:rPr>
        <w:t>training</w:t>
      </w:r>
      <w:r w:rsidR="008243CA" w:rsidRPr="0007753D">
        <w:rPr>
          <w:i/>
          <w:iCs/>
        </w:rPr>
        <w:t xml:space="preserve"> </w:t>
      </w:r>
      <w:r w:rsidRPr="0007753D">
        <w:rPr>
          <w:i/>
          <w:iCs/>
        </w:rPr>
        <w:t>be</w:t>
      </w:r>
      <w:r w:rsidR="008243CA" w:rsidRPr="0007753D">
        <w:rPr>
          <w:i/>
          <w:iCs/>
        </w:rPr>
        <w:t xml:space="preserve"> </w:t>
      </w:r>
      <w:r w:rsidRPr="0007753D">
        <w:rPr>
          <w:i/>
          <w:iCs/>
        </w:rPr>
        <w:t>provided</w:t>
      </w:r>
      <w:r w:rsidR="008243CA" w:rsidRPr="0007753D">
        <w:rPr>
          <w:i/>
          <w:iCs/>
        </w:rPr>
        <w:t xml:space="preserve"> </w:t>
      </w:r>
      <w:r w:rsidRPr="0007753D">
        <w:rPr>
          <w:i/>
          <w:iCs/>
        </w:rPr>
        <w:t>in</w:t>
      </w:r>
      <w:r w:rsidR="008243CA" w:rsidRPr="0007753D">
        <w:rPr>
          <w:i/>
          <w:iCs/>
        </w:rPr>
        <w:t xml:space="preserve"> </w:t>
      </w:r>
      <w:r w:rsidRPr="0007753D">
        <w:rPr>
          <w:i/>
          <w:iCs/>
        </w:rPr>
        <w:t>this</w:t>
      </w:r>
      <w:r w:rsidR="008243CA" w:rsidRPr="0007753D">
        <w:rPr>
          <w:i/>
          <w:iCs/>
        </w:rPr>
        <w:t xml:space="preserve"> </w:t>
      </w:r>
      <w:r w:rsidRPr="0007753D">
        <w:rPr>
          <w:i/>
          <w:iCs/>
        </w:rPr>
        <w:t>area.</w:t>
      </w:r>
    </w:p>
    <w:p w:rsidR="003F7D03" w:rsidRPr="00E62FE6" w:rsidRDefault="003F7D03" w:rsidP="000C6D98">
      <w:pPr>
        <w:pStyle w:val="SingleTxtG"/>
      </w:pPr>
      <w:r w:rsidRPr="00E62FE6">
        <w:t>116.</w:t>
      </w:r>
      <w:r w:rsidRPr="00E62FE6">
        <w:tab/>
        <w:t>On</w:t>
      </w:r>
      <w:r w:rsidR="008243CA">
        <w:t xml:space="preserve"> </w:t>
      </w:r>
      <w:r w:rsidRPr="00E62FE6">
        <w:t>this</w:t>
      </w:r>
      <w:r w:rsidR="008243CA">
        <w:t xml:space="preserve"> </w:t>
      </w:r>
      <w:r w:rsidRPr="00E62FE6">
        <w:t>point,</w:t>
      </w:r>
      <w:r w:rsidR="008243CA">
        <w:t xml:space="preserve"> </w:t>
      </w:r>
      <w:r w:rsidRPr="00E62FE6">
        <w:t>the</w:t>
      </w:r>
      <w:r w:rsidR="008243CA">
        <w:t xml:space="preserve"> </w:t>
      </w:r>
      <w:r w:rsidRPr="00E62FE6">
        <w:t>Government</w:t>
      </w:r>
      <w:r w:rsidR="008243CA">
        <w:t xml:space="preserve"> </w:t>
      </w:r>
      <w:r w:rsidRPr="00E62FE6">
        <w:t>is</w:t>
      </w:r>
      <w:r w:rsidR="008243CA">
        <w:t xml:space="preserve"> </w:t>
      </w:r>
      <w:r w:rsidRPr="00E62FE6">
        <w:t>in</w:t>
      </w:r>
      <w:r w:rsidR="008243CA">
        <w:t xml:space="preserve"> </w:t>
      </w:r>
      <w:r w:rsidRPr="00E62FE6">
        <w:t>the</w:t>
      </w:r>
      <w:r w:rsidR="008243CA">
        <w:t xml:space="preserve"> </w:t>
      </w:r>
      <w:r w:rsidRPr="00E62FE6">
        <w:t>process</w:t>
      </w:r>
      <w:r w:rsidR="008243CA">
        <w:t xml:space="preserve"> </w:t>
      </w:r>
      <w:r w:rsidRPr="00E62FE6">
        <w:t>of</w:t>
      </w:r>
      <w:r w:rsidR="008243CA">
        <w:t xml:space="preserve"> </w:t>
      </w:r>
      <w:r w:rsidRPr="00E62FE6">
        <w:t>updating</w:t>
      </w:r>
      <w:r w:rsidR="008243CA">
        <w:t xml:space="preserve"> </w:t>
      </w:r>
      <w:r w:rsidRPr="00E62FE6">
        <w:t>the</w:t>
      </w:r>
      <w:r w:rsidR="008243CA">
        <w:t xml:space="preserve"> </w:t>
      </w:r>
      <w:r w:rsidRPr="00E62FE6">
        <w:t>regulations</w:t>
      </w:r>
      <w:r w:rsidR="008243CA">
        <w:t xml:space="preserve"> </w:t>
      </w:r>
      <w:r w:rsidRPr="00E62FE6">
        <w:t>for</w:t>
      </w:r>
      <w:r w:rsidR="008243CA">
        <w:t xml:space="preserve"> </w:t>
      </w:r>
      <w:r w:rsidRPr="00E62FE6">
        <w:t>admission</w:t>
      </w:r>
      <w:r w:rsidR="008243CA">
        <w:t xml:space="preserve"> </w:t>
      </w:r>
      <w:r w:rsidRPr="00E62FE6">
        <w:t>to</w:t>
      </w:r>
      <w:r w:rsidR="008243CA">
        <w:t xml:space="preserve"> </w:t>
      </w:r>
      <w:r w:rsidRPr="00E62FE6">
        <w:t>psychiatric</w:t>
      </w:r>
      <w:r w:rsidR="008243CA">
        <w:t xml:space="preserve"> </w:t>
      </w:r>
      <w:r w:rsidRPr="00E62FE6">
        <w:t>hospitals,</w:t>
      </w:r>
      <w:r w:rsidR="008243CA">
        <w:t xml:space="preserve"> </w:t>
      </w:r>
      <w:r w:rsidRPr="00E62FE6">
        <w:t>instructions</w:t>
      </w:r>
      <w:r w:rsidR="008243CA">
        <w:t xml:space="preserve"> </w:t>
      </w:r>
      <w:r w:rsidRPr="00E62FE6">
        <w:t>for</w:t>
      </w:r>
      <w:r w:rsidR="008243CA">
        <w:t xml:space="preserve"> </w:t>
      </w:r>
      <w:r w:rsidRPr="00E62FE6">
        <w:t>conducting</w:t>
      </w:r>
      <w:r w:rsidR="008243CA">
        <w:t xml:space="preserve"> </w:t>
      </w:r>
      <w:r w:rsidRPr="00E62FE6">
        <w:t>physical</w:t>
      </w:r>
      <w:r w:rsidR="008243CA">
        <w:t xml:space="preserve"> </w:t>
      </w:r>
      <w:r w:rsidRPr="00E62FE6">
        <w:t>examinations</w:t>
      </w:r>
      <w:r w:rsidR="008243CA">
        <w:t xml:space="preserve"> </w:t>
      </w:r>
      <w:r w:rsidRPr="00E62FE6">
        <w:t>and</w:t>
      </w:r>
      <w:r w:rsidR="008243CA">
        <w:t xml:space="preserve"> </w:t>
      </w:r>
      <w:r w:rsidRPr="00E62FE6">
        <w:t>writing</w:t>
      </w:r>
      <w:r w:rsidR="008243CA">
        <w:t xml:space="preserve"> </w:t>
      </w:r>
      <w:r w:rsidRPr="00E62FE6">
        <w:t>clinical</w:t>
      </w:r>
      <w:r w:rsidR="008243CA">
        <w:t xml:space="preserve"> </w:t>
      </w:r>
      <w:r w:rsidRPr="00E62FE6">
        <w:t>record</w:t>
      </w:r>
      <w:r w:rsidR="008243CA">
        <w:t xml:space="preserve"> </w:t>
      </w:r>
      <w:r w:rsidRPr="00E62FE6">
        <w:t>cards</w:t>
      </w:r>
      <w:r w:rsidR="008243CA">
        <w:t xml:space="preserve"> </w:t>
      </w:r>
      <w:r w:rsidRPr="00E62FE6">
        <w:t>in</w:t>
      </w:r>
      <w:r w:rsidR="008243CA">
        <w:t xml:space="preserve"> </w:t>
      </w:r>
      <w:r w:rsidRPr="00E62FE6">
        <w:t>order</w:t>
      </w:r>
      <w:r w:rsidR="008243CA">
        <w:t xml:space="preserve"> </w:t>
      </w:r>
      <w:r w:rsidRPr="00E62FE6">
        <w:t>to</w:t>
      </w:r>
      <w:r w:rsidR="008243CA">
        <w:t xml:space="preserve"> </w:t>
      </w:r>
      <w:r w:rsidRPr="00E62FE6">
        <w:t>detect</w:t>
      </w:r>
      <w:r w:rsidR="008243CA">
        <w:t xml:space="preserve"> </w:t>
      </w:r>
      <w:r w:rsidRPr="00E62FE6">
        <w:t>injuries</w:t>
      </w:r>
      <w:r w:rsidR="008243CA">
        <w:t xml:space="preserve"> </w:t>
      </w:r>
      <w:r w:rsidRPr="00E62FE6">
        <w:t>on</w:t>
      </w:r>
      <w:r w:rsidR="008243CA">
        <w:t xml:space="preserve"> </w:t>
      </w:r>
      <w:r w:rsidRPr="00E62FE6">
        <w:t>persons</w:t>
      </w:r>
      <w:r w:rsidR="008243CA">
        <w:t xml:space="preserve"> </w:t>
      </w:r>
      <w:r w:rsidRPr="00E62FE6">
        <w:t>forcibly</w:t>
      </w:r>
      <w:r w:rsidR="008243CA">
        <w:t xml:space="preserve"> </w:t>
      </w:r>
      <w:r w:rsidRPr="00E62FE6">
        <w:t>admitted</w:t>
      </w:r>
      <w:r w:rsidR="008243CA">
        <w:t xml:space="preserve"> </w:t>
      </w:r>
      <w:r w:rsidRPr="00E62FE6">
        <w:t>by</w:t>
      </w:r>
      <w:r w:rsidR="008243CA">
        <w:t xml:space="preserve"> </w:t>
      </w:r>
      <w:r w:rsidRPr="00E62FE6">
        <w:t>the</w:t>
      </w:r>
      <w:r w:rsidR="008243CA">
        <w:t xml:space="preserve"> </w:t>
      </w:r>
      <w:r w:rsidRPr="00E62FE6">
        <w:t>authorities.</w:t>
      </w:r>
      <w:r w:rsidR="008243CA">
        <w:t xml:space="preserve"> </w:t>
      </w:r>
      <w:r w:rsidRPr="00E62FE6">
        <w:t>In</w:t>
      </w:r>
      <w:r w:rsidR="008243CA">
        <w:t xml:space="preserve"> </w:t>
      </w:r>
      <w:r w:rsidRPr="00E62FE6">
        <w:t>addition,</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Health</w:t>
      </w:r>
      <w:r w:rsidR="008243CA">
        <w:t xml:space="preserve"> </w:t>
      </w:r>
      <w:r w:rsidRPr="00E62FE6">
        <w:t>will</w:t>
      </w:r>
      <w:r w:rsidR="008243CA">
        <w:t xml:space="preserve"> </w:t>
      </w:r>
      <w:r w:rsidRPr="00E62FE6">
        <w:t>send</w:t>
      </w:r>
      <w:r w:rsidR="008243CA">
        <w:t xml:space="preserve"> </w:t>
      </w:r>
      <w:r w:rsidRPr="00E62FE6">
        <w:t>instructions</w:t>
      </w:r>
      <w:r w:rsidR="008243CA">
        <w:t xml:space="preserve"> </w:t>
      </w:r>
      <w:r w:rsidRPr="00E62FE6">
        <w:t>to</w:t>
      </w:r>
      <w:r w:rsidR="008243CA">
        <w:t xml:space="preserve"> </w:t>
      </w:r>
      <w:r w:rsidRPr="00E62FE6">
        <w:t>expedite</w:t>
      </w:r>
      <w:r w:rsidR="008243CA">
        <w:t xml:space="preserve"> </w:t>
      </w:r>
      <w:r w:rsidRPr="00E62FE6">
        <w:t>the</w:t>
      </w:r>
      <w:r w:rsidR="008243CA">
        <w:t xml:space="preserve"> </w:t>
      </w:r>
      <w:r w:rsidRPr="00E62FE6">
        <w:t>evaluation</w:t>
      </w:r>
      <w:r w:rsidR="008243CA">
        <w:t xml:space="preserve"> </w:t>
      </w:r>
      <w:r w:rsidRPr="00E62FE6">
        <w:t>processes</w:t>
      </w:r>
      <w:r w:rsidR="008243CA">
        <w:t xml:space="preserve"> </w:t>
      </w:r>
      <w:r w:rsidRPr="00E62FE6">
        <w:t>that</w:t>
      </w:r>
      <w:r w:rsidR="008243CA">
        <w:t xml:space="preserve"> </w:t>
      </w:r>
      <w:r w:rsidRPr="00E62FE6">
        <w:t>allow</w:t>
      </w:r>
      <w:r w:rsidR="008243CA">
        <w:t xml:space="preserve"> </w:t>
      </w:r>
      <w:r w:rsidRPr="00E62FE6">
        <w:t>the</w:t>
      </w:r>
      <w:r w:rsidR="008243CA">
        <w:t xml:space="preserve"> </w:t>
      </w:r>
      <w:r w:rsidRPr="00E62FE6">
        <w:t>judicial</w:t>
      </w:r>
      <w:r w:rsidR="008243CA">
        <w:t xml:space="preserve"> </w:t>
      </w:r>
      <w:r w:rsidRPr="00E62FE6">
        <w:t>authorities</w:t>
      </w:r>
      <w:r w:rsidR="008243CA">
        <w:t xml:space="preserve"> </w:t>
      </w:r>
      <w:r w:rsidRPr="00E62FE6">
        <w:t>to</w:t>
      </w:r>
      <w:r w:rsidR="008243CA">
        <w:t xml:space="preserve"> </w:t>
      </w:r>
      <w:r w:rsidRPr="00E62FE6">
        <w:t>expedite</w:t>
      </w:r>
      <w:r w:rsidR="008243CA">
        <w:t xml:space="preserve"> </w:t>
      </w:r>
      <w:r w:rsidRPr="00E62FE6">
        <w:t>suspension</w:t>
      </w:r>
      <w:r w:rsidR="008243CA">
        <w:t xml:space="preserve"> </w:t>
      </w:r>
      <w:r w:rsidRPr="00E62FE6">
        <w:t>of</w:t>
      </w:r>
      <w:r w:rsidR="008243CA">
        <w:t xml:space="preserve"> </w:t>
      </w:r>
      <w:r w:rsidRPr="00E62FE6">
        <w:t>psychiatric</w:t>
      </w:r>
      <w:r w:rsidR="008243CA">
        <w:t xml:space="preserve"> </w:t>
      </w:r>
      <w:r w:rsidRPr="00E62FE6">
        <w:t>hospital</w:t>
      </w:r>
      <w:r w:rsidR="008243CA">
        <w:t xml:space="preserve"> </w:t>
      </w:r>
      <w:r w:rsidRPr="00E62FE6">
        <w:t>admissions.</w:t>
      </w:r>
      <w:r w:rsidR="008243CA">
        <w:t xml:space="preserve"> </w:t>
      </w:r>
      <w:r w:rsidRPr="00E62FE6">
        <w:t>These</w:t>
      </w:r>
      <w:r w:rsidR="008243CA">
        <w:t xml:space="preserve"> </w:t>
      </w:r>
      <w:r w:rsidRPr="00E62FE6">
        <w:t>instructions</w:t>
      </w:r>
      <w:r w:rsidR="008243CA">
        <w:t xml:space="preserve"> </w:t>
      </w:r>
      <w:r w:rsidRPr="00E62FE6">
        <w:t>will</w:t>
      </w:r>
      <w:r w:rsidR="008243CA">
        <w:t xml:space="preserve"> </w:t>
      </w:r>
      <w:r w:rsidRPr="00E62FE6">
        <w:t>be</w:t>
      </w:r>
      <w:r w:rsidR="008243CA">
        <w:t xml:space="preserve"> </w:t>
      </w:r>
      <w:r w:rsidRPr="00E62FE6">
        <w:t>distributed</w:t>
      </w:r>
      <w:r w:rsidR="008243CA">
        <w:t xml:space="preserve"> </w:t>
      </w:r>
      <w:r w:rsidRPr="00E62FE6">
        <w:t>no</w:t>
      </w:r>
      <w:r w:rsidR="008243CA">
        <w:t xml:space="preserve"> </w:t>
      </w:r>
      <w:r w:rsidRPr="00E62FE6">
        <w:t>later</w:t>
      </w:r>
      <w:r w:rsidR="008243CA">
        <w:t xml:space="preserve"> </w:t>
      </w:r>
      <w:r w:rsidRPr="00E62FE6">
        <w:t>than</w:t>
      </w:r>
      <w:r w:rsidR="008243CA">
        <w:t xml:space="preserve"> </w:t>
      </w:r>
      <w:r w:rsidRPr="00E62FE6">
        <w:t>30</w:t>
      </w:r>
      <w:r w:rsidR="008243CA">
        <w:t xml:space="preserve"> </w:t>
      </w:r>
      <w:r w:rsidRPr="00E62FE6">
        <w:t>March</w:t>
      </w:r>
      <w:r w:rsidR="008243CA">
        <w:t xml:space="preserve"> </w:t>
      </w:r>
      <w:r w:rsidRPr="00E62FE6">
        <w:t>2017.</w:t>
      </w:r>
    </w:p>
    <w:p w:rsidR="003F7D03" w:rsidRPr="00E62FE6" w:rsidRDefault="009C1A95" w:rsidP="009C1A95">
      <w:pPr>
        <w:pStyle w:val="H1G"/>
      </w:pPr>
      <w:r>
        <w:tab/>
      </w:r>
      <w:bookmarkStart w:id="81" w:name="_Toc512870696"/>
      <w:bookmarkStart w:id="82" w:name="_Toc512870858"/>
      <w:r>
        <w:t>3.3</w:t>
      </w:r>
      <w:r>
        <w:tab/>
      </w:r>
      <w:r w:rsidR="003F7D03" w:rsidRPr="00E62FE6">
        <w:t>Conditions</w:t>
      </w:r>
      <w:r w:rsidR="008243CA">
        <w:t xml:space="preserve"> </w:t>
      </w:r>
      <w:r w:rsidR="003F7D03" w:rsidRPr="00E62FE6">
        <w:t>of</w:t>
      </w:r>
      <w:r w:rsidR="008243CA">
        <w:t xml:space="preserve"> </w:t>
      </w:r>
      <w:r w:rsidR="003F7D03" w:rsidRPr="00E62FE6">
        <w:t>detention</w:t>
      </w:r>
      <w:bookmarkEnd w:id="81"/>
      <w:bookmarkEnd w:id="82"/>
    </w:p>
    <w:p w:rsidR="003F7D03" w:rsidRPr="00E62FE6" w:rsidRDefault="003F7D03" w:rsidP="009C1A95">
      <w:pPr>
        <w:pStyle w:val="H23G"/>
      </w:pPr>
      <w:r w:rsidRPr="00E62FE6">
        <w:tab/>
      </w:r>
      <w:bookmarkStart w:id="83" w:name="_Toc512870697"/>
      <w:bookmarkStart w:id="84" w:name="_Toc512870859"/>
      <w:r w:rsidRPr="00E62FE6">
        <w:t>3.3.1</w:t>
      </w:r>
      <w:r w:rsidRPr="00E62FE6">
        <w:tab/>
        <w:t>Infrastructure</w:t>
      </w:r>
      <w:bookmarkEnd w:id="83"/>
      <w:bookmarkEnd w:id="84"/>
    </w:p>
    <w:p w:rsidR="003F7D03" w:rsidRPr="00E62FE6" w:rsidRDefault="003F7D03" w:rsidP="000C6D98">
      <w:pPr>
        <w:pStyle w:val="SingleTxtG"/>
      </w:pPr>
      <w:r w:rsidRPr="00E62FE6">
        <w:t>117.</w:t>
      </w:r>
      <w:r w:rsidRPr="00E62FE6">
        <w:tab/>
        <w:t>The</w:t>
      </w:r>
      <w:r w:rsidR="008243CA">
        <w:t xml:space="preserve"> </w:t>
      </w:r>
      <w:r w:rsidRPr="00E62FE6">
        <w:t>Government</w:t>
      </w:r>
      <w:r w:rsidR="008243CA">
        <w:t xml:space="preserve"> </w:t>
      </w:r>
      <w:r w:rsidRPr="00E62FE6">
        <w:t>is</w:t>
      </w:r>
      <w:r w:rsidR="008243CA">
        <w:t xml:space="preserve"> </w:t>
      </w:r>
      <w:r w:rsidRPr="00E62FE6">
        <w:t>focused</w:t>
      </w:r>
      <w:r w:rsidR="008243CA">
        <w:t xml:space="preserve"> </w:t>
      </w:r>
      <w:r w:rsidRPr="00E62FE6">
        <w:t>on</w:t>
      </w:r>
      <w:r w:rsidR="008243CA">
        <w:t xml:space="preserve"> </w:t>
      </w:r>
      <w:r w:rsidRPr="00E62FE6">
        <w:t>improving</w:t>
      </w:r>
      <w:r w:rsidR="008243CA">
        <w:t xml:space="preserve"> </w:t>
      </w:r>
      <w:r w:rsidRPr="00E62FE6">
        <w:t>living</w:t>
      </w:r>
      <w:r w:rsidR="008243CA">
        <w:t xml:space="preserve"> </w:t>
      </w:r>
      <w:r w:rsidRPr="00E62FE6">
        <w:t>conditions</w:t>
      </w:r>
      <w:r w:rsidR="008243CA">
        <w:t xml:space="preserve"> </w:t>
      </w:r>
      <w:r w:rsidRPr="00E62FE6">
        <w:t>in</w:t>
      </w:r>
      <w:r w:rsidR="008243CA">
        <w:t xml:space="preserve"> </w:t>
      </w:r>
      <w:r w:rsidRPr="00E62FE6">
        <w:t>places</w:t>
      </w:r>
      <w:r w:rsidR="008243CA">
        <w:t xml:space="preserve"> </w:t>
      </w:r>
      <w:r w:rsidRPr="00E62FE6">
        <w:t>of</w:t>
      </w:r>
      <w:r w:rsidR="008243CA">
        <w:t xml:space="preserve"> </w:t>
      </w:r>
      <w:r w:rsidRPr="00E62FE6">
        <w:t>deprivation</w:t>
      </w:r>
      <w:r w:rsidR="008243CA">
        <w:t xml:space="preserve"> </w:t>
      </w:r>
      <w:r w:rsidRPr="00E62FE6">
        <w:t>of</w:t>
      </w:r>
      <w:r w:rsidR="008243CA">
        <w:t xml:space="preserve"> </w:t>
      </w:r>
      <w:r w:rsidRPr="00E62FE6">
        <w:t>liberty.</w:t>
      </w:r>
      <w:r w:rsidR="008243CA">
        <w:t xml:space="preserve"> </w:t>
      </w:r>
      <w:r w:rsidRPr="00E62FE6">
        <w:t>The</w:t>
      </w:r>
      <w:r w:rsidR="008243CA">
        <w:t xml:space="preserve"> </w:t>
      </w:r>
      <w:r w:rsidRPr="00E62FE6">
        <w:t>Prison</w:t>
      </w:r>
      <w:r w:rsidR="008243CA">
        <w:t xml:space="preserve"> </w:t>
      </w:r>
      <w:r w:rsidRPr="00E62FE6">
        <w:t>Service</w:t>
      </w:r>
      <w:r w:rsidR="008243CA">
        <w:t xml:space="preserve"> </w:t>
      </w:r>
      <w:r w:rsidRPr="00E62FE6">
        <w:t>has</w:t>
      </w:r>
      <w:r w:rsidR="008243CA">
        <w:t xml:space="preserve"> </w:t>
      </w:r>
      <w:r w:rsidRPr="00E62FE6">
        <w:t>responded</w:t>
      </w:r>
      <w:r w:rsidR="008243CA">
        <w:t xml:space="preserve"> </w:t>
      </w:r>
      <w:r w:rsidRPr="00E62FE6">
        <w:t>to</w:t>
      </w:r>
      <w:r w:rsidR="008243CA">
        <w:t xml:space="preserve"> </w:t>
      </w:r>
      <w:r w:rsidRPr="00E62FE6">
        <w:t>the</w:t>
      </w:r>
      <w:r w:rsidR="008243CA">
        <w:t xml:space="preserve"> </w:t>
      </w:r>
      <w:r w:rsidRPr="00E62FE6">
        <w:t>Subcommittee</w:t>
      </w:r>
      <w:r w:rsidR="00116F0B">
        <w:t>’</w:t>
      </w:r>
      <w:r w:rsidRPr="00E62FE6">
        <w:t>s</w:t>
      </w:r>
      <w:r w:rsidR="008243CA">
        <w:t xml:space="preserve"> </w:t>
      </w:r>
      <w:r w:rsidRPr="00E62FE6">
        <w:t>recommendations</w:t>
      </w:r>
      <w:r w:rsidR="008243CA">
        <w:t xml:space="preserve"> </w:t>
      </w:r>
      <w:r w:rsidRPr="00E62FE6">
        <w:t>by</w:t>
      </w:r>
      <w:r w:rsidR="008243CA">
        <w:t xml:space="preserve"> </w:t>
      </w:r>
      <w:r w:rsidRPr="00E62FE6">
        <w:t>drafting</w:t>
      </w:r>
      <w:r w:rsidR="008243CA">
        <w:t xml:space="preserve"> </w:t>
      </w:r>
      <w:r w:rsidRPr="00E62FE6">
        <w:t>proposals</w:t>
      </w:r>
      <w:r w:rsidR="008243CA">
        <w:t xml:space="preserve"> </w:t>
      </w:r>
      <w:r w:rsidRPr="00E62FE6">
        <w:t>to</w:t>
      </w:r>
      <w:r w:rsidR="008243CA">
        <w:t xml:space="preserve"> </w:t>
      </w:r>
      <w:r w:rsidRPr="00E62FE6">
        <w:t>improve</w:t>
      </w:r>
      <w:r w:rsidR="008243CA">
        <w:t xml:space="preserve"> </w:t>
      </w:r>
      <w:r w:rsidRPr="00E62FE6">
        <w:t>the</w:t>
      </w:r>
      <w:r w:rsidR="008243CA">
        <w:t xml:space="preserve"> </w:t>
      </w:r>
      <w:r w:rsidRPr="00E62FE6">
        <w:t>situation</w:t>
      </w:r>
      <w:r w:rsidR="008243CA">
        <w:t xml:space="preserve"> </w:t>
      </w:r>
      <w:r w:rsidRPr="00E62FE6">
        <w:t>in</w:t>
      </w:r>
      <w:r w:rsidR="008243CA">
        <w:t xml:space="preserve"> </w:t>
      </w:r>
      <w:r w:rsidRPr="00E62FE6">
        <w:t>this</w:t>
      </w:r>
      <w:r w:rsidR="008243CA">
        <w:t xml:space="preserve"> </w:t>
      </w:r>
      <w:r w:rsidRPr="00E62FE6">
        <w:t>regard.</w:t>
      </w:r>
    </w:p>
    <w:p w:rsidR="003F7D03" w:rsidRPr="000949BE" w:rsidRDefault="003F7D03" w:rsidP="000C6D98">
      <w:pPr>
        <w:pStyle w:val="SingleTxtG"/>
        <w:rPr>
          <w:i/>
          <w:iCs/>
        </w:rPr>
      </w:pPr>
      <w:r w:rsidRPr="00E62FE6">
        <w:t>118.</w:t>
      </w:r>
      <w:r w:rsidRPr="00E62FE6">
        <w:tab/>
        <w:t>Paragraph</w:t>
      </w:r>
      <w:r w:rsidR="008243CA">
        <w:t xml:space="preserve"> </w:t>
      </w:r>
      <w:r w:rsidRPr="00E62FE6">
        <w:t>78:</w:t>
      </w:r>
      <w:r w:rsidR="008243CA">
        <w:t xml:space="preserve"> </w:t>
      </w:r>
      <w:r w:rsidRPr="000949BE">
        <w:rPr>
          <w:i/>
          <w:iCs/>
        </w:rPr>
        <w:t>The</w:t>
      </w:r>
      <w:r w:rsidR="008243CA" w:rsidRPr="000949BE">
        <w:rPr>
          <w:i/>
          <w:iCs/>
        </w:rPr>
        <w:t xml:space="preserve"> </w:t>
      </w:r>
      <w:r w:rsidRPr="000949BE">
        <w:rPr>
          <w:i/>
          <w:iCs/>
        </w:rPr>
        <w:t>Subcommittee</w:t>
      </w:r>
      <w:r w:rsidR="008243CA" w:rsidRPr="000949BE">
        <w:rPr>
          <w:i/>
          <w:iCs/>
        </w:rPr>
        <w:t xml:space="preserve"> </w:t>
      </w:r>
      <w:r w:rsidRPr="000949BE">
        <w:rPr>
          <w:i/>
          <w:iCs/>
        </w:rPr>
        <w:t>recommends</w:t>
      </w:r>
      <w:r w:rsidR="008243CA" w:rsidRPr="000949BE">
        <w:rPr>
          <w:i/>
          <w:iCs/>
        </w:rPr>
        <w:t xml:space="preserve"> </w:t>
      </w:r>
      <w:r w:rsidRPr="000949BE">
        <w:rPr>
          <w:i/>
          <w:iCs/>
        </w:rPr>
        <w:t>that</w:t>
      </w:r>
      <w:r w:rsidR="008243CA" w:rsidRPr="000949BE">
        <w:rPr>
          <w:i/>
          <w:iCs/>
        </w:rPr>
        <w:t xml:space="preserve"> </w:t>
      </w:r>
      <w:r w:rsidRPr="000949BE">
        <w:rPr>
          <w:i/>
          <w:iCs/>
        </w:rPr>
        <w:t>urgent</w:t>
      </w:r>
      <w:r w:rsidR="008243CA" w:rsidRPr="000949BE">
        <w:rPr>
          <w:i/>
          <w:iCs/>
        </w:rPr>
        <w:t xml:space="preserve"> </w:t>
      </w:r>
      <w:r w:rsidRPr="000949BE">
        <w:rPr>
          <w:i/>
          <w:iCs/>
        </w:rPr>
        <w:t>measures</w:t>
      </w:r>
      <w:r w:rsidR="008243CA" w:rsidRPr="000949BE">
        <w:rPr>
          <w:i/>
          <w:iCs/>
        </w:rPr>
        <w:t xml:space="preserve"> </w:t>
      </w:r>
      <w:r w:rsidRPr="000949BE">
        <w:rPr>
          <w:i/>
          <w:iCs/>
        </w:rPr>
        <w:t>be</w:t>
      </w:r>
      <w:r w:rsidR="008243CA" w:rsidRPr="000949BE">
        <w:rPr>
          <w:i/>
          <w:iCs/>
        </w:rPr>
        <w:t xml:space="preserve"> </w:t>
      </w:r>
      <w:r w:rsidRPr="000949BE">
        <w:rPr>
          <w:i/>
          <w:iCs/>
        </w:rPr>
        <w:t>taken</w:t>
      </w:r>
      <w:r w:rsidR="008243CA" w:rsidRPr="000949BE">
        <w:rPr>
          <w:i/>
          <w:iCs/>
        </w:rPr>
        <w:t xml:space="preserve"> </w:t>
      </w:r>
      <w:r w:rsidRPr="000949BE">
        <w:rPr>
          <w:i/>
          <w:iCs/>
        </w:rPr>
        <w:t>to</w:t>
      </w:r>
      <w:r w:rsidR="008243CA" w:rsidRPr="000949BE">
        <w:rPr>
          <w:i/>
          <w:iCs/>
        </w:rPr>
        <w:t xml:space="preserve"> </w:t>
      </w:r>
      <w:r w:rsidRPr="000949BE">
        <w:rPr>
          <w:i/>
          <w:iCs/>
        </w:rPr>
        <w:t>improve</w:t>
      </w:r>
      <w:r w:rsidR="008243CA" w:rsidRPr="000949BE">
        <w:rPr>
          <w:i/>
          <w:iCs/>
        </w:rPr>
        <w:t xml:space="preserve"> </w:t>
      </w:r>
      <w:r w:rsidRPr="000949BE">
        <w:rPr>
          <w:i/>
          <w:iCs/>
        </w:rPr>
        <w:t>the</w:t>
      </w:r>
      <w:r w:rsidR="008243CA" w:rsidRPr="000949BE">
        <w:rPr>
          <w:i/>
          <w:iCs/>
        </w:rPr>
        <w:t xml:space="preserve"> </w:t>
      </w:r>
      <w:r w:rsidRPr="000949BE">
        <w:rPr>
          <w:i/>
          <w:iCs/>
        </w:rPr>
        <w:t>unacceptable</w:t>
      </w:r>
      <w:r w:rsidR="008243CA" w:rsidRPr="000949BE">
        <w:rPr>
          <w:i/>
          <w:iCs/>
        </w:rPr>
        <w:t xml:space="preserve"> </w:t>
      </w:r>
      <w:r w:rsidRPr="000949BE">
        <w:rPr>
          <w:i/>
          <w:iCs/>
        </w:rPr>
        <w:t>conditions</w:t>
      </w:r>
      <w:r w:rsidR="008243CA" w:rsidRPr="000949BE">
        <w:rPr>
          <w:i/>
          <w:iCs/>
        </w:rPr>
        <w:t xml:space="preserve"> </w:t>
      </w:r>
      <w:r w:rsidRPr="000949BE">
        <w:rPr>
          <w:i/>
          <w:iCs/>
        </w:rPr>
        <w:t>in</w:t>
      </w:r>
      <w:r w:rsidR="008243CA" w:rsidRPr="000949BE">
        <w:rPr>
          <w:i/>
          <w:iCs/>
        </w:rPr>
        <w:t xml:space="preserve"> </w:t>
      </w:r>
      <w:r w:rsidRPr="000949BE">
        <w:rPr>
          <w:i/>
          <w:iCs/>
        </w:rPr>
        <w:t>Valparaíso</w:t>
      </w:r>
      <w:r w:rsidR="008243CA" w:rsidRPr="000949BE">
        <w:rPr>
          <w:i/>
          <w:iCs/>
        </w:rPr>
        <w:t xml:space="preserve"> </w:t>
      </w:r>
      <w:r w:rsidRPr="000949BE">
        <w:rPr>
          <w:i/>
          <w:iCs/>
        </w:rPr>
        <w:t>Prison</w:t>
      </w:r>
      <w:r w:rsidR="008243CA" w:rsidRPr="000949BE">
        <w:rPr>
          <w:i/>
          <w:iCs/>
        </w:rPr>
        <w:t xml:space="preserve"> </w:t>
      </w:r>
      <w:r w:rsidRPr="000949BE">
        <w:rPr>
          <w:i/>
          <w:iCs/>
        </w:rPr>
        <w:t>and</w:t>
      </w:r>
      <w:r w:rsidR="008243CA" w:rsidRPr="000949BE">
        <w:rPr>
          <w:i/>
          <w:iCs/>
        </w:rPr>
        <w:t xml:space="preserve"> </w:t>
      </w:r>
      <w:r w:rsidRPr="000949BE">
        <w:rPr>
          <w:i/>
          <w:iCs/>
        </w:rPr>
        <w:t>the</w:t>
      </w:r>
      <w:r w:rsidR="008243CA" w:rsidRPr="000949BE">
        <w:rPr>
          <w:i/>
          <w:iCs/>
        </w:rPr>
        <w:t xml:space="preserve"> </w:t>
      </w:r>
      <w:r w:rsidRPr="000949BE">
        <w:rPr>
          <w:i/>
          <w:iCs/>
        </w:rPr>
        <w:t>South</w:t>
      </w:r>
      <w:r w:rsidR="008243CA" w:rsidRPr="000949BE">
        <w:rPr>
          <w:i/>
          <w:iCs/>
        </w:rPr>
        <w:t xml:space="preserve"> </w:t>
      </w:r>
      <w:r w:rsidRPr="000949BE">
        <w:rPr>
          <w:i/>
          <w:iCs/>
        </w:rPr>
        <w:t>Santiago</w:t>
      </w:r>
      <w:r w:rsidR="008243CA" w:rsidRPr="000949BE">
        <w:rPr>
          <w:i/>
          <w:iCs/>
        </w:rPr>
        <w:t xml:space="preserve"> </w:t>
      </w:r>
      <w:proofErr w:type="spellStart"/>
      <w:r w:rsidRPr="000949BE">
        <w:rPr>
          <w:i/>
          <w:iCs/>
        </w:rPr>
        <w:t>Pretrial</w:t>
      </w:r>
      <w:proofErr w:type="spellEnd"/>
      <w:r w:rsidR="008243CA" w:rsidRPr="000949BE">
        <w:rPr>
          <w:i/>
          <w:iCs/>
        </w:rPr>
        <w:t xml:space="preserve"> </w:t>
      </w:r>
      <w:r w:rsidRPr="000949BE">
        <w:rPr>
          <w:i/>
          <w:iCs/>
        </w:rPr>
        <w:t>Detention</w:t>
      </w:r>
      <w:r w:rsidR="008243CA" w:rsidRPr="000949BE">
        <w:rPr>
          <w:i/>
          <w:iCs/>
        </w:rPr>
        <w:t xml:space="preserve"> </w:t>
      </w:r>
      <w:r w:rsidRPr="000949BE">
        <w:rPr>
          <w:i/>
          <w:iCs/>
        </w:rPr>
        <w:t>Centre.</w:t>
      </w:r>
      <w:r w:rsidR="008243CA" w:rsidRPr="000949BE">
        <w:rPr>
          <w:i/>
          <w:iCs/>
        </w:rPr>
        <w:t xml:space="preserve"> </w:t>
      </w:r>
      <w:r w:rsidRPr="000949BE">
        <w:rPr>
          <w:i/>
          <w:iCs/>
        </w:rPr>
        <w:t>In</w:t>
      </w:r>
      <w:r w:rsidR="008243CA" w:rsidRPr="000949BE">
        <w:rPr>
          <w:i/>
          <w:iCs/>
        </w:rPr>
        <w:t xml:space="preserve"> </w:t>
      </w:r>
      <w:r w:rsidRPr="000949BE">
        <w:rPr>
          <w:i/>
          <w:iCs/>
        </w:rPr>
        <w:t>the</w:t>
      </w:r>
      <w:r w:rsidR="008243CA" w:rsidRPr="000949BE">
        <w:rPr>
          <w:i/>
          <w:iCs/>
        </w:rPr>
        <w:t xml:space="preserve"> </w:t>
      </w:r>
      <w:r w:rsidRPr="000949BE">
        <w:rPr>
          <w:i/>
          <w:iCs/>
        </w:rPr>
        <w:t>latter</w:t>
      </w:r>
      <w:r w:rsidR="008243CA" w:rsidRPr="000949BE">
        <w:rPr>
          <w:i/>
          <w:iCs/>
        </w:rPr>
        <w:t xml:space="preserve"> </w:t>
      </w:r>
      <w:r w:rsidRPr="000949BE">
        <w:rPr>
          <w:i/>
          <w:iCs/>
        </w:rPr>
        <w:t>facility,</w:t>
      </w:r>
      <w:r w:rsidR="008243CA" w:rsidRPr="000949BE">
        <w:rPr>
          <w:i/>
          <w:iCs/>
        </w:rPr>
        <w:t xml:space="preserve"> </w:t>
      </w:r>
      <w:r w:rsidRPr="000949BE">
        <w:rPr>
          <w:i/>
          <w:iCs/>
        </w:rPr>
        <w:t>it</w:t>
      </w:r>
      <w:r w:rsidR="008243CA" w:rsidRPr="000949BE">
        <w:rPr>
          <w:i/>
          <w:iCs/>
        </w:rPr>
        <w:t xml:space="preserve"> </w:t>
      </w:r>
      <w:r w:rsidRPr="000949BE">
        <w:rPr>
          <w:i/>
          <w:iCs/>
        </w:rPr>
        <w:t>is</w:t>
      </w:r>
      <w:r w:rsidR="008243CA" w:rsidRPr="000949BE">
        <w:rPr>
          <w:i/>
          <w:iCs/>
        </w:rPr>
        <w:t xml:space="preserve"> </w:t>
      </w:r>
      <w:r w:rsidRPr="000949BE">
        <w:rPr>
          <w:i/>
          <w:iCs/>
        </w:rPr>
        <w:t>recommended</w:t>
      </w:r>
      <w:r w:rsidR="008243CA" w:rsidRPr="000949BE">
        <w:rPr>
          <w:i/>
          <w:iCs/>
        </w:rPr>
        <w:t xml:space="preserve"> </w:t>
      </w:r>
      <w:r w:rsidRPr="000949BE">
        <w:rPr>
          <w:i/>
          <w:iCs/>
        </w:rPr>
        <w:t>that</w:t>
      </w:r>
      <w:r w:rsidR="008243CA" w:rsidRPr="000949BE">
        <w:rPr>
          <w:i/>
          <w:iCs/>
        </w:rPr>
        <w:t xml:space="preserve"> </w:t>
      </w:r>
      <w:r w:rsidRPr="000949BE">
        <w:rPr>
          <w:i/>
          <w:iCs/>
        </w:rPr>
        <w:t>the</w:t>
      </w:r>
      <w:r w:rsidR="008243CA" w:rsidRPr="000949BE">
        <w:rPr>
          <w:i/>
          <w:iCs/>
        </w:rPr>
        <w:t xml:space="preserve"> </w:t>
      </w:r>
      <w:r w:rsidRPr="000949BE">
        <w:rPr>
          <w:i/>
          <w:iCs/>
        </w:rPr>
        <w:t>State</w:t>
      </w:r>
      <w:r w:rsidR="008243CA" w:rsidRPr="000949BE">
        <w:rPr>
          <w:i/>
          <w:iCs/>
        </w:rPr>
        <w:t xml:space="preserve"> </w:t>
      </w:r>
      <w:r w:rsidRPr="000949BE">
        <w:rPr>
          <w:i/>
          <w:iCs/>
        </w:rPr>
        <w:t>party</w:t>
      </w:r>
      <w:r w:rsidR="008243CA" w:rsidRPr="000949BE">
        <w:rPr>
          <w:i/>
          <w:iCs/>
        </w:rPr>
        <w:t xml:space="preserve"> </w:t>
      </w:r>
      <w:r w:rsidRPr="000949BE">
        <w:rPr>
          <w:i/>
          <w:iCs/>
        </w:rPr>
        <w:t>relocate</w:t>
      </w:r>
      <w:r w:rsidR="008243CA" w:rsidRPr="000949BE">
        <w:rPr>
          <w:i/>
          <w:iCs/>
        </w:rPr>
        <w:t xml:space="preserve"> </w:t>
      </w:r>
      <w:r w:rsidRPr="000949BE">
        <w:rPr>
          <w:i/>
          <w:iCs/>
        </w:rPr>
        <w:t>the</w:t>
      </w:r>
      <w:r w:rsidR="008243CA" w:rsidRPr="000949BE">
        <w:rPr>
          <w:i/>
          <w:iCs/>
        </w:rPr>
        <w:t xml:space="preserve"> </w:t>
      </w:r>
      <w:r w:rsidRPr="000949BE">
        <w:rPr>
          <w:i/>
          <w:iCs/>
        </w:rPr>
        <w:t>detainees</w:t>
      </w:r>
      <w:r w:rsidR="008243CA" w:rsidRPr="000949BE">
        <w:rPr>
          <w:i/>
          <w:iCs/>
        </w:rPr>
        <w:t xml:space="preserve"> </w:t>
      </w:r>
      <w:r w:rsidRPr="000949BE">
        <w:rPr>
          <w:i/>
          <w:iCs/>
        </w:rPr>
        <w:t>in</w:t>
      </w:r>
      <w:r w:rsidR="008243CA" w:rsidRPr="000949BE">
        <w:rPr>
          <w:i/>
          <w:iCs/>
        </w:rPr>
        <w:t xml:space="preserve"> </w:t>
      </w:r>
      <w:r w:rsidRPr="000949BE">
        <w:rPr>
          <w:i/>
          <w:iCs/>
        </w:rPr>
        <w:t>a</w:t>
      </w:r>
      <w:r w:rsidR="008243CA" w:rsidRPr="000949BE">
        <w:rPr>
          <w:i/>
          <w:iCs/>
        </w:rPr>
        <w:t xml:space="preserve"> </w:t>
      </w:r>
      <w:r w:rsidRPr="000949BE">
        <w:rPr>
          <w:i/>
          <w:iCs/>
        </w:rPr>
        <w:t>manner</w:t>
      </w:r>
      <w:r w:rsidR="008243CA" w:rsidRPr="000949BE">
        <w:rPr>
          <w:i/>
          <w:iCs/>
        </w:rPr>
        <w:t xml:space="preserve"> </w:t>
      </w:r>
      <w:r w:rsidRPr="000949BE">
        <w:rPr>
          <w:i/>
          <w:iCs/>
        </w:rPr>
        <w:t>that</w:t>
      </w:r>
      <w:r w:rsidR="008243CA" w:rsidRPr="000949BE">
        <w:rPr>
          <w:i/>
          <w:iCs/>
        </w:rPr>
        <w:t xml:space="preserve"> </w:t>
      </w:r>
      <w:r w:rsidRPr="000949BE">
        <w:rPr>
          <w:i/>
          <w:iCs/>
        </w:rPr>
        <w:t>is</w:t>
      </w:r>
      <w:r w:rsidR="008243CA" w:rsidRPr="000949BE">
        <w:rPr>
          <w:i/>
          <w:iCs/>
        </w:rPr>
        <w:t xml:space="preserve"> </w:t>
      </w:r>
      <w:r w:rsidRPr="000949BE">
        <w:rPr>
          <w:i/>
          <w:iCs/>
        </w:rPr>
        <w:t>in</w:t>
      </w:r>
      <w:r w:rsidR="008243CA" w:rsidRPr="000949BE">
        <w:rPr>
          <w:i/>
          <w:iCs/>
        </w:rPr>
        <w:t xml:space="preserve"> </w:t>
      </w:r>
      <w:r w:rsidRPr="000949BE">
        <w:rPr>
          <w:i/>
          <w:iCs/>
        </w:rPr>
        <w:t>keeping</w:t>
      </w:r>
      <w:r w:rsidR="008243CA" w:rsidRPr="000949BE">
        <w:rPr>
          <w:i/>
          <w:iCs/>
        </w:rPr>
        <w:t xml:space="preserve"> </w:t>
      </w:r>
      <w:r w:rsidRPr="000949BE">
        <w:rPr>
          <w:i/>
          <w:iCs/>
        </w:rPr>
        <w:t>with</w:t>
      </w:r>
      <w:r w:rsidR="008243CA" w:rsidRPr="000949BE">
        <w:rPr>
          <w:i/>
          <w:iCs/>
        </w:rPr>
        <w:t xml:space="preserve"> </w:t>
      </w:r>
      <w:r w:rsidRPr="000949BE">
        <w:rPr>
          <w:i/>
          <w:iCs/>
        </w:rPr>
        <w:t>their</w:t>
      </w:r>
      <w:r w:rsidR="008243CA" w:rsidRPr="000949BE">
        <w:rPr>
          <w:i/>
          <w:iCs/>
        </w:rPr>
        <w:t xml:space="preserve"> </w:t>
      </w:r>
      <w:r w:rsidRPr="000949BE">
        <w:rPr>
          <w:i/>
          <w:iCs/>
        </w:rPr>
        <w:t>status</w:t>
      </w:r>
      <w:r w:rsidR="008243CA" w:rsidRPr="000949BE">
        <w:rPr>
          <w:i/>
          <w:iCs/>
        </w:rPr>
        <w:t xml:space="preserve"> </w:t>
      </w:r>
      <w:r w:rsidRPr="000949BE">
        <w:rPr>
          <w:i/>
          <w:iCs/>
        </w:rPr>
        <w:t>as</w:t>
      </w:r>
      <w:r w:rsidR="008243CA" w:rsidRPr="000949BE">
        <w:rPr>
          <w:i/>
          <w:iCs/>
        </w:rPr>
        <w:t xml:space="preserve"> </w:t>
      </w:r>
      <w:r w:rsidRPr="000949BE">
        <w:rPr>
          <w:i/>
          <w:iCs/>
        </w:rPr>
        <w:t>persons</w:t>
      </w:r>
      <w:r w:rsidR="008243CA" w:rsidRPr="000949BE">
        <w:rPr>
          <w:i/>
          <w:iCs/>
        </w:rPr>
        <w:t xml:space="preserve"> </w:t>
      </w:r>
      <w:r w:rsidRPr="000949BE">
        <w:rPr>
          <w:i/>
          <w:iCs/>
        </w:rPr>
        <w:t>charged</w:t>
      </w:r>
      <w:r w:rsidR="008243CA" w:rsidRPr="000949BE">
        <w:rPr>
          <w:i/>
          <w:iCs/>
        </w:rPr>
        <w:t xml:space="preserve"> </w:t>
      </w:r>
      <w:r w:rsidRPr="000949BE">
        <w:rPr>
          <w:i/>
          <w:iCs/>
        </w:rPr>
        <w:t>with</w:t>
      </w:r>
      <w:r w:rsidR="008243CA" w:rsidRPr="000949BE">
        <w:rPr>
          <w:i/>
          <w:iCs/>
        </w:rPr>
        <w:t xml:space="preserve"> </w:t>
      </w:r>
      <w:r w:rsidRPr="000949BE">
        <w:rPr>
          <w:i/>
          <w:iCs/>
        </w:rPr>
        <w:t>a</w:t>
      </w:r>
      <w:r w:rsidR="008243CA" w:rsidRPr="000949BE">
        <w:rPr>
          <w:i/>
          <w:iCs/>
        </w:rPr>
        <w:t xml:space="preserve"> </w:t>
      </w:r>
      <w:r w:rsidRPr="000949BE">
        <w:rPr>
          <w:i/>
          <w:iCs/>
        </w:rPr>
        <w:t>first</w:t>
      </w:r>
      <w:r w:rsidR="008243CA" w:rsidRPr="000949BE">
        <w:rPr>
          <w:i/>
          <w:iCs/>
        </w:rPr>
        <w:t xml:space="preserve"> </w:t>
      </w:r>
      <w:r w:rsidRPr="000949BE">
        <w:rPr>
          <w:i/>
          <w:iCs/>
        </w:rPr>
        <w:t>offence</w:t>
      </w:r>
      <w:r w:rsidR="008243CA" w:rsidRPr="000949BE">
        <w:rPr>
          <w:i/>
          <w:iCs/>
        </w:rPr>
        <w:t xml:space="preserve"> </w:t>
      </w:r>
      <w:r w:rsidRPr="000949BE">
        <w:rPr>
          <w:i/>
          <w:iCs/>
        </w:rPr>
        <w:t>and</w:t>
      </w:r>
      <w:r w:rsidR="008243CA" w:rsidRPr="000949BE">
        <w:rPr>
          <w:i/>
          <w:iCs/>
        </w:rPr>
        <w:t xml:space="preserve"> </w:t>
      </w:r>
      <w:r w:rsidRPr="000949BE">
        <w:rPr>
          <w:i/>
          <w:iCs/>
        </w:rPr>
        <w:t>dismantle</w:t>
      </w:r>
      <w:r w:rsidR="008243CA" w:rsidRPr="000949BE">
        <w:rPr>
          <w:i/>
          <w:iCs/>
        </w:rPr>
        <w:t xml:space="preserve"> </w:t>
      </w:r>
      <w:r w:rsidRPr="000949BE">
        <w:rPr>
          <w:i/>
          <w:iCs/>
        </w:rPr>
        <w:t>the</w:t>
      </w:r>
      <w:r w:rsidR="008243CA" w:rsidRPr="000949BE">
        <w:rPr>
          <w:i/>
          <w:iCs/>
        </w:rPr>
        <w:t xml:space="preserve"> </w:t>
      </w:r>
      <w:r w:rsidRPr="000949BE">
        <w:rPr>
          <w:i/>
          <w:iCs/>
        </w:rPr>
        <w:t>precarious</w:t>
      </w:r>
      <w:r w:rsidR="008243CA" w:rsidRPr="000949BE">
        <w:rPr>
          <w:i/>
          <w:iCs/>
        </w:rPr>
        <w:t xml:space="preserve"> </w:t>
      </w:r>
      <w:r w:rsidRPr="000949BE">
        <w:rPr>
          <w:i/>
          <w:iCs/>
        </w:rPr>
        <w:t>annexed</w:t>
      </w:r>
      <w:r w:rsidR="008243CA" w:rsidRPr="000949BE">
        <w:rPr>
          <w:i/>
          <w:iCs/>
        </w:rPr>
        <w:t xml:space="preserve"> </w:t>
      </w:r>
      <w:r w:rsidRPr="000949BE">
        <w:rPr>
          <w:i/>
          <w:iCs/>
        </w:rPr>
        <w:t>structure</w:t>
      </w:r>
      <w:r w:rsidR="008243CA" w:rsidRPr="000949BE">
        <w:rPr>
          <w:i/>
          <w:iCs/>
        </w:rPr>
        <w:t xml:space="preserve"> </w:t>
      </w:r>
      <w:r w:rsidRPr="000949BE">
        <w:rPr>
          <w:i/>
          <w:iCs/>
        </w:rPr>
        <w:t>in</w:t>
      </w:r>
      <w:r w:rsidR="008243CA" w:rsidRPr="000949BE">
        <w:rPr>
          <w:i/>
          <w:iCs/>
        </w:rPr>
        <w:t xml:space="preserve"> </w:t>
      </w:r>
      <w:r w:rsidRPr="000949BE">
        <w:rPr>
          <w:i/>
          <w:iCs/>
        </w:rPr>
        <w:t>view</w:t>
      </w:r>
      <w:r w:rsidR="008243CA" w:rsidRPr="000949BE">
        <w:rPr>
          <w:i/>
          <w:iCs/>
        </w:rPr>
        <w:t xml:space="preserve"> </w:t>
      </w:r>
      <w:r w:rsidRPr="000949BE">
        <w:rPr>
          <w:i/>
          <w:iCs/>
        </w:rPr>
        <w:t>of</w:t>
      </w:r>
      <w:r w:rsidR="008243CA" w:rsidRPr="000949BE">
        <w:rPr>
          <w:i/>
          <w:iCs/>
        </w:rPr>
        <w:t xml:space="preserve"> </w:t>
      </w:r>
      <w:r w:rsidRPr="000949BE">
        <w:rPr>
          <w:i/>
          <w:iCs/>
        </w:rPr>
        <w:t>the</w:t>
      </w:r>
      <w:r w:rsidR="008243CA" w:rsidRPr="000949BE">
        <w:rPr>
          <w:i/>
          <w:iCs/>
        </w:rPr>
        <w:t xml:space="preserve"> </w:t>
      </w:r>
      <w:r w:rsidRPr="000949BE">
        <w:rPr>
          <w:i/>
          <w:iCs/>
        </w:rPr>
        <w:t>inhuman</w:t>
      </w:r>
      <w:r w:rsidR="008243CA" w:rsidRPr="000949BE">
        <w:rPr>
          <w:i/>
          <w:iCs/>
        </w:rPr>
        <w:t xml:space="preserve"> </w:t>
      </w:r>
      <w:r w:rsidRPr="000949BE">
        <w:rPr>
          <w:i/>
          <w:iCs/>
        </w:rPr>
        <w:t>conditions</w:t>
      </w:r>
      <w:r w:rsidR="008243CA" w:rsidRPr="000949BE">
        <w:rPr>
          <w:i/>
          <w:iCs/>
        </w:rPr>
        <w:t xml:space="preserve"> </w:t>
      </w:r>
      <w:r w:rsidRPr="000949BE">
        <w:rPr>
          <w:i/>
          <w:iCs/>
        </w:rPr>
        <w:t>that</w:t>
      </w:r>
      <w:r w:rsidR="008243CA" w:rsidRPr="000949BE">
        <w:rPr>
          <w:i/>
          <w:iCs/>
        </w:rPr>
        <w:t xml:space="preserve"> </w:t>
      </w:r>
      <w:r w:rsidRPr="000949BE">
        <w:rPr>
          <w:i/>
          <w:iCs/>
        </w:rPr>
        <w:t>it</w:t>
      </w:r>
      <w:r w:rsidR="008243CA" w:rsidRPr="000949BE">
        <w:rPr>
          <w:i/>
          <w:iCs/>
        </w:rPr>
        <w:t xml:space="preserve"> </w:t>
      </w:r>
      <w:r w:rsidRPr="000949BE">
        <w:rPr>
          <w:i/>
          <w:iCs/>
        </w:rPr>
        <w:t>affords.</w:t>
      </w:r>
    </w:p>
    <w:p w:rsidR="003F7D03" w:rsidRPr="00E62FE6" w:rsidRDefault="003F7D03" w:rsidP="000C6D98">
      <w:pPr>
        <w:pStyle w:val="SingleTxtG"/>
      </w:pPr>
      <w:r w:rsidRPr="00E62FE6">
        <w:t>119.</w:t>
      </w:r>
      <w:r w:rsidRPr="00E62FE6">
        <w:tab/>
        <w:t>The</w:t>
      </w:r>
      <w:r w:rsidR="008243CA">
        <w:t xml:space="preserve"> </w:t>
      </w:r>
      <w:r w:rsidRPr="00E62FE6">
        <w:t>Prison</w:t>
      </w:r>
      <w:r w:rsidR="008243CA">
        <w:t xml:space="preserve"> </w:t>
      </w:r>
      <w:r w:rsidRPr="00E62FE6">
        <w:t>Service</w:t>
      </w:r>
      <w:r w:rsidR="008243CA">
        <w:t xml:space="preserve"> </w:t>
      </w:r>
      <w:r w:rsidRPr="00E62FE6">
        <w:t>is</w:t>
      </w:r>
      <w:r w:rsidR="008243CA">
        <w:t xml:space="preserve"> </w:t>
      </w:r>
      <w:r w:rsidRPr="00E62FE6">
        <w:t>taking</w:t>
      </w:r>
      <w:r w:rsidR="008243CA">
        <w:t xml:space="preserve"> </w:t>
      </w:r>
      <w:r w:rsidRPr="00E62FE6">
        <w:t>concrete</w:t>
      </w:r>
      <w:r w:rsidR="008243CA">
        <w:t xml:space="preserve"> </w:t>
      </w:r>
      <w:r w:rsidRPr="00E62FE6">
        <w:t>steps</w:t>
      </w:r>
      <w:r w:rsidR="008243CA">
        <w:t xml:space="preserve"> </w:t>
      </w:r>
      <w:r w:rsidRPr="00E62FE6">
        <w:t>to</w:t>
      </w:r>
      <w:r w:rsidR="008243CA">
        <w:t xml:space="preserve"> </w:t>
      </w:r>
      <w:r w:rsidRPr="00E62FE6">
        <w:t>upgrade</w:t>
      </w:r>
      <w:r w:rsidR="008243CA">
        <w:t xml:space="preserve"> </w:t>
      </w:r>
      <w:r w:rsidRPr="00E62FE6">
        <w:t>the</w:t>
      </w:r>
      <w:r w:rsidR="008243CA">
        <w:t xml:space="preserve"> </w:t>
      </w:r>
      <w:r w:rsidRPr="00E62FE6">
        <w:t>infrastructure</w:t>
      </w:r>
      <w:r w:rsidR="008243CA">
        <w:t xml:space="preserve"> </w:t>
      </w:r>
      <w:r w:rsidRPr="00E62FE6">
        <w:t>at</w:t>
      </w:r>
      <w:r w:rsidR="008243CA">
        <w:t xml:space="preserve"> </w:t>
      </w:r>
      <w:r w:rsidRPr="00E62FE6">
        <w:t>its</w:t>
      </w:r>
      <w:r w:rsidR="008243CA">
        <w:t xml:space="preserve"> </w:t>
      </w:r>
      <w:r w:rsidRPr="00E62FE6">
        <w:t>custodial</w:t>
      </w:r>
      <w:r w:rsidR="008243CA">
        <w:t xml:space="preserve"> </w:t>
      </w:r>
      <w:r w:rsidRPr="00E62FE6">
        <w:t>facilities,</w:t>
      </w:r>
      <w:r w:rsidR="008243CA">
        <w:t xml:space="preserve"> </w:t>
      </w:r>
      <w:r w:rsidRPr="00E62FE6">
        <w:t>focusing</w:t>
      </w:r>
      <w:r w:rsidR="008243CA">
        <w:t xml:space="preserve"> </w:t>
      </w:r>
      <w:r w:rsidRPr="00E62FE6">
        <w:t>mainly</w:t>
      </w:r>
      <w:r w:rsidR="008243CA">
        <w:t xml:space="preserve"> </w:t>
      </w:r>
      <w:r w:rsidRPr="00E62FE6">
        <w:t>on</w:t>
      </w:r>
      <w:r w:rsidR="008243CA">
        <w:t xml:space="preserve"> </w:t>
      </w:r>
      <w:r w:rsidRPr="00E62FE6">
        <w:t>the</w:t>
      </w:r>
      <w:r w:rsidR="008243CA">
        <w:t xml:space="preserve"> </w:t>
      </w:r>
      <w:r w:rsidRPr="00E62FE6">
        <w:t>improvement</w:t>
      </w:r>
      <w:r w:rsidR="008243CA">
        <w:t xml:space="preserve"> </w:t>
      </w:r>
      <w:r w:rsidRPr="00E62FE6">
        <w:t>and</w:t>
      </w:r>
      <w:r w:rsidR="008243CA">
        <w:t xml:space="preserve"> </w:t>
      </w:r>
      <w:r w:rsidRPr="00E62FE6">
        <w:t>expansion</w:t>
      </w:r>
      <w:r w:rsidR="008243CA">
        <w:t xml:space="preserve"> </w:t>
      </w:r>
      <w:r w:rsidRPr="00E62FE6">
        <w:t>of</w:t>
      </w:r>
      <w:r w:rsidR="008243CA">
        <w:t xml:space="preserve"> </w:t>
      </w:r>
      <w:r w:rsidRPr="00E62FE6">
        <w:t>employment</w:t>
      </w:r>
      <w:r w:rsidR="008243CA">
        <w:t xml:space="preserve"> </w:t>
      </w:r>
      <w:r w:rsidRPr="00E62FE6">
        <w:t>workshops.</w:t>
      </w:r>
      <w:r w:rsidR="008243CA">
        <w:t xml:space="preserve"> </w:t>
      </w:r>
      <w:r w:rsidRPr="00E62FE6">
        <w:t>To</w:t>
      </w:r>
      <w:r w:rsidR="008243CA">
        <w:t xml:space="preserve"> </w:t>
      </w:r>
      <w:r w:rsidRPr="00E62FE6">
        <w:t>address</w:t>
      </w:r>
      <w:r w:rsidR="008243CA">
        <w:t xml:space="preserve"> </w:t>
      </w:r>
      <w:r w:rsidRPr="00E62FE6">
        <w:t>this</w:t>
      </w:r>
      <w:r w:rsidR="008243CA">
        <w:t xml:space="preserve"> </w:t>
      </w:r>
      <w:r w:rsidRPr="00E62FE6">
        <w:t>issue,</w:t>
      </w:r>
      <w:r w:rsidR="008243CA">
        <w:t xml:space="preserve"> </w:t>
      </w:r>
      <w:r w:rsidRPr="00E62FE6">
        <w:t>it</w:t>
      </w:r>
      <w:r w:rsidR="008243CA">
        <w:t xml:space="preserve"> </w:t>
      </w:r>
      <w:r w:rsidRPr="00E62FE6">
        <w:t>has</w:t>
      </w:r>
      <w:r w:rsidR="008243CA">
        <w:t xml:space="preserve"> </w:t>
      </w:r>
      <w:r w:rsidRPr="00E62FE6">
        <w:t>prepared</w:t>
      </w:r>
      <w:r w:rsidR="008243CA">
        <w:t xml:space="preserve"> </w:t>
      </w:r>
      <w:r w:rsidRPr="00E62FE6">
        <w:t>several</w:t>
      </w:r>
      <w:r w:rsidR="008243CA">
        <w:t xml:space="preserve"> </w:t>
      </w:r>
      <w:r w:rsidRPr="00E62FE6">
        <w:t>technical</w:t>
      </w:r>
      <w:r w:rsidR="008243CA">
        <w:t xml:space="preserve"> </w:t>
      </w:r>
      <w:r w:rsidRPr="00E62FE6">
        <w:t>reports</w:t>
      </w:r>
      <w:r w:rsidRPr="00116F0B">
        <w:rPr>
          <w:rStyle w:val="FootnoteReference"/>
        </w:rPr>
        <w:footnoteReference w:id="40"/>
      </w:r>
      <w:r w:rsidR="008243CA">
        <w:t xml:space="preserve"> </w:t>
      </w:r>
      <w:r w:rsidRPr="00E62FE6">
        <w:t>which</w:t>
      </w:r>
      <w:r w:rsidR="008243CA">
        <w:t xml:space="preserve"> </w:t>
      </w:r>
      <w:r w:rsidRPr="00E62FE6">
        <w:t>provide</w:t>
      </w:r>
      <w:r w:rsidR="008243CA">
        <w:t xml:space="preserve"> </w:t>
      </w:r>
      <w:r w:rsidRPr="00E62FE6">
        <w:t>an</w:t>
      </w:r>
      <w:r w:rsidR="008243CA">
        <w:t xml:space="preserve"> </w:t>
      </w:r>
      <w:r w:rsidRPr="00E62FE6">
        <w:t>overall</w:t>
      </w:r>
      <w:r w:rsidR="008243CA">
        <w:t xml:space="preserve"> </w:t>
      </w:r>
      <w:r w:rsidRPr="00E62FE6">
        <w:t>picture</w:t>
      </w:r>
      <w:r w:rsidR="008243CA">
        <w:t xml:space="preserve"> </w:t>
      </w:r>
      <w:r w:rsidRPr="00E62FE6">
        <w:t>of</w:t>
      </w:r>
      <w:r w:rsidR="008243CA">
        <w:t xml:space="preserve"> </w:t>
      </w:r>
      <w:r w:rsidRPr="00E62FE6">
        <w:t>the</w:t>
      </w:r>
      <w:r w:rsidR="008243CA">
        <w:t xml:space="preserve"> </w:t>
      </w:r>
      <w:r w:rsidRPr="00E62FE6">
        <w:t>state</w:t>
      </w:r>
      <w:r w:rsidR="008243CA">
        <w:t xml:space="preserve"> </w:t>
      </w:r>
      <w:r w:rsidRPr="00E62FE6">
        <w:t>of</w:t>
      </w:r>
      <w:r w:rsidR="008243CA">
        <w:t xml:space="preserve"> </w:t>
      </w:r>
      <w:r w:rsidRPr="00E62FE6">
        <w:t>infrastructure</w:t>
      </w:r>
      <w:r w:rsidR="008243CA">
        <w:t xml:space="preserve"> </w:t>
      </w:r>
      <w:r w:rsidRPr="00E62FE6">
        <w:t>at</w:t>
      </w:r>
      <w:r w:rsidR="008243CA">
        <w:t xml:space="preserve"> </w:t>
      </w:r>
      <w:r w:rsidRPr="00E62FE6">
        <w:t>Valparaíso</w:t>
      </w:r>
      <w:r w:rsidR="008243CA">
        <w:t xml:space="preserve"> </w:t>
      </w:r>
      <w:r w:rsidRPr="00E62FE6">
        <w:t>Prison</w:t>
      </w:r>
      <w:r w:rsidR="008243CA">
        <w:t xml:space="preserve"> </w:t>
      </w:r>
      <w:r w:rsidRPr="00E62FE6">
        <w:t>and</w:t>
      </w:r>
      <w:r w:rsidR="008243CA">
        <w:t xml:space="preserve"> </w:t>
      </w:r>
      <w:r w:rsidRPr="00E62FE6">
        <w:t>South</w:t>
      </w:r>
      <w:r w:rsidR="008243CA">
        <w:t xml:space="preserve"> </w:t>
      </w:r>
      <w:r w:rsidRPr="00E62FE6">
        <w:t>Santiago</w:t>
      </w:r>
      <w:r w:rsidR="008243CA">
        <w:t xml:space="preserve"> </w:t>
      </w:r>
      <w:proofErr w:type="spellStart"/>
      <w:r w:rsidRPr="00E62FE6">
        <w:t>Pretrial</w:t>
      </w:r>
      <w:proofErr w:type="spellEnd"/>
      <w:r w:rsidR="008243CA">
        <w:t xml:space="preserve"> </w:t>
      </w:r>
      <w:r w:rsidRPr="00E62FE6">
        <w:t>Detention</w:t>
      </w:r>
      <w:r w:rsidR="008243CA">
        <w:t xml:space="preserve"> </w:t>
      </w:r>
      <w:r w:rsidRPr="00E62FE6">
        <w:t>Centre.</w:t>
      </w:r>
    </w:p>
    <w:p w:rsidR="003F7D03" w:rsidRPr="00E62FE6" w:rsidRDefault="003F7D03" w:rsidP="000C6D98">
      <w:pPr>
        <w:pStyle w:val="SingleTxtG"/>
      </w:pPr>
      <w:r w:rsidRPr="00E62FE6">
        <w:t>120.</w:t>
      </w:r>
      <w:r w:rsidRPr="00E62FE6">
        <w:tab/>
        <w:t>A</w:t>
      </w:r>
      <w:r w:rsidR="008243CA">
        <w:t xml:space="preserve"> </w:t>
      </w:r>
      <w:r w:rsidRPr="00E62FE6">
        <w:t>total</w:t>
      </w:r>
      <w:r w:rsidR="008243CA">
        <w:t xml:space="preserve"> </w:t>
      </w:r>
      <w:r w:rsidRPr="00E62FE6">
        <w:t>of</w:t>
      </w:r>
      <w:r w:rsidR="008243CA">
        <w:t xml:space="preserve"> </w:t>
      </w:r>
      <w:r w:rsidRPr="00E62FE6">
        <w:t>859,049,930</w:t>
      </w:r>
      <w:r w:rsidR="008243CA">
        <w:t xml:space="preserve"> </w:t>
      </w:r>
      <w:r w:rsidRPr="00E62FE6">
        <w:t>pesos</w:t>
      </w:r>
      <w:r w:rsidRPr="00116F0B">
        <w:rPr>
          <w:rStyle w:val="FootnoteReference"/>
        </w:rPr>
        <w:footnoteReference w:id="41"/>
      </w:r>
      <w:r w:rsidR="008243CA">
        <w:t xml:space="preserve"> </w:t>
      </w:r>
      <w:r w:rsidRPr="00E62FE6">
        <w:t>has</w:t>
      </w:r>
      <w:r w:rsidR="008243CA">
        <w:t xml:space="preserve"> </w:t>
      </w:r>
      <w:r w:rsidRPr="00E62FE6">
        <w:t>been</w:t>
      </w:r>
      <w:r w:rsidR="008243CA">
        <w:t xml:space="preserve"> </w:t>
      </w:r>
      <w:r w:rsidRPr="00E62FE6">
        <w:t>invested</w:t>
      </w:r>
      <w:r w:rsidR="008243CA">
        <w:t xml:space="preserve"> </w:t>
      </w:r>
      <w:r w:rsidRPr="00E62FE6">
        <w:t>in</w:t>
      </w:r>
      <w:r w:rsidR="008243CA">
        <w:t xml:space="preserve"> </w:t>
      </w:r>
      <w:r w:rsidRPr="00E62FE6">
        <w:t>the</w:t>
      </w:r>
      <w:r w:rsidR="008243CA">
        <w:t xml:space="preserve"> </w:t>
      </w:r>
      <w:r w:rsidRPr="00E62FE6">
        <w:t>Valparaíso</w:t>
      </w:r>
      <w:r w:rsidR="008243CA">
        <w:t xml:space="preserve"> </w:t>
      </w:r>
      <w:r w:rsidRPr="00E62FE6">
        <w:t>Prison</w:t>
      </w:r>
      <w:r w:rsidR="008243CA">
        <w:t xml:space="preserve"> </w:t>
      </w:r>
      <w:r w:rsidRPr="00E62FE6">
        <w:t>Complex</w:t>
      </w:r>
      <w:r w:rsidR="008243CA">
        <w:t xml:space="preserve"> </w:t>
      </w:r>
      <w:r w:rsidRPr="00E62FE6">
        <w:t>since</w:t>
      </w:r>
      <w:r w:rsidR="008243CA">
        <w:t xml:space="preserve"> </w:t>
      </w:r>
      <w:r w:rsidRPr="00E62FE6">
        <w:t>the</w:t>
      </w:r>
      <w:r w:rsidR="008243CA">
        <w:t xml:space="preserve"> </w:t>
      </w:r>
      <w:r w:rsidRPr="00E62FE6">
        <w:t>Subcommittee</w:t>
      </w:r>
      <w:r w:rsidR="00116F0B">
        <w:t>’</w:t>
      </w:r>
      <w:r w:rsidRPr="00E62FE6">
        <w:t>s</w:t>
      </w:r>
      <w:r w:rsidR="008243CA">
        <w:t xml:space="preserve"> </w:t>
      </w:r>
      <w:r w:rsidRPr="00E62FE6">
        <w:t>visit</w:t>
      </w:r>
      <w:r w:rsidR="008243CA">
        <w:t xml:space="preserve"> </w:t>
      </w:r>
      <w:r w:rsidRPr="00E62FE6">
        <w:t>in</w:t>
      </w:r>
      <w:r w:rsidR="008243CA">
        <w:t xml:space="preserve"> </w:t>
      </w:r>
      <w:r w:rsidRPr="00E62FE6">
        <w:t>April</w:t>
      </w:r>
      <w:r w:rsidR="008243CA">
        <w:t xml:space="preserve"> </w:t>
      </w:r>
      <w:r w:rsidRPr="00E62FE6">
        <w:t>2016.</w:t>
      </w:r>
      <w:r w:rsidR="008243CA">
        <w:t xml:space="preserve"> </w:t>
      </w:r>
      <w:r w:rsidRPr="00E62FE6">
        <w:t>This</w:t>
      </w:r>
      <w:r w:rsidR="008243CA">
        <w:t xml:space="preserve"> </w:t>
      </w:r>
      <w:r w:rsidRPr="00E62FE6">
        <w:t>investment</w:t>
      </w:r>
      <w:r w:rsidR="008243CA">
        <w:t xml:space="preserve"> </w:t>
      </w:r>
      <w:r w:rsidRPr="00E62FE6">
        <w:t>covered</w:t>
      </w:r>
      <w:r w:rsidR="008243CA">
        <w:t xml:space="preserve"> </w:t>
      </w:r>
      <w:r w:rsidRPr="00E62FE6">
        <w:t>the</w:t>
      </w:r>
      <w:r w:rsidR="008243CA">
        <w:t xml:space="preserve"> </w:t>
      </w:r>
      <w:r w:rsidRPr="00E62FE6">
        <w:t>following</w:t>
      </w:r>
      <w:r w:rsidR="008243CA">
        <w:t xml:space="preserve"> </w:t>
      </w:r>
      <w:r w:rsidRPr="00E62FE6">
        <w:t>repairs</w:t>
      </w:r>
      <w:r w:rsidR="008243CA">
        <w:t xml:space="preserve"> </w:t>
      </w:r>
      <w:r w:rsidRPr="00E62FE6">
        <w:t>and</w:t>
      </w:r>
      <w:r w:rsidR="008243CA">
        <w:t xml:space="preserve"> </w:t>
      </w:r>
      <w:r w:rsidRPr="00E62FE6">
        <w:t>works:</w:t>
      </w:r>
    </w:p>
    <w:p w:rsidR="003F7D03" w:rsidRPr="00E62FE6" w:rsidRDefault="003F7D03" w:rsidP="000949BE">
      <w:pPr>
        <w:pStyle w:val="Bullet1G"/>
      </w:pPr>
      <w:r w:rsidRPr="00E62FE6">
        <w:t>Expansion</w:t>
      </w:r>
      <w:r w:rsidR="008243CA">
        <w:t xml:space="preserve"> </w:t>
      </w:r>
      <w:r w:rsidRPr="00E62FE6">
        <w:t>of</w:t>
      </w:r>
      <w:r w:rsidR="008243CA">
        <w:t xml:space="preserve"> </w:t>
      </w:r>
      <w:r w:rsidRPr="00E62FE6">
        <w:t>employment</w:t>
      </w:r>
      <w:r w:rsidR="008243CA">
        <w:t xml:space="preserve"> </w:t>
      </w:r>
      <w:r w:rsidRPr="00E62FE6">
        <w:t>workshops</w:t>
      </w:r>
      <w:r w:rsidR="008243CA">
        <w:t xml:space="preserve"> </w:t>
      </w:r>
      <w:r w:rsidRPr="00E62FE6">
        <w:t>(National</w:t>
      </w:r>
      <w:r w:rsidR="008243CA">
        <w:t xml:space="preserve"> </w:t>
      </w:r>
      <w:r w:rsidRPr="00E62FE6">
        <w:t>Fund</w:t>
      </w:r>
      <w:r w:rsidR="008243CA">
        <w:t xml:space="preserve"> </w:t>
      </w:r>
      <w:r w:rsidRPr="00E62FE6">
        <w:t>for</w:t>
      </w:r>
      <w:r w:rsidR="008243CA">
        <w:t xml:space="preserve"> </w:t>
      </w:r>
      <w:r w:rsidRPr="00E62FE6">
        <w:t>Regional</w:t>
      </w:r>
      <w:r w:rsidR="008243CA">
        <w:t xml:space="preserve"> </w:t>
      </w:r>
      <w:r w:rsidRPr="00E62FE6">
        <w:t>Development)</w:t>
      </w:r>
      <w:r w:rsidR="008243CA">
        <w:t xml:space="preserve"> </w:t>
      </w:r>
      <w:r w:rsidRPr="00E62FE6">
        <w:t>by</w:t>
      </w:r>
      <w:r w:rsidR="008243CA">
        <w:t xml:space="preserve"> </w:t>
      </w:r>
      <w:r w:rsidRPr="00E62FE6">
        <w:t>installing</w:t>
      </w:r>
      <w:r w:rsidR="008243CA">
        <w:t xml:space="preserve"> </w:t>
      </w:r>
      <w:r w:rsidRPr="00E62FE6">
        <w:t>mezzanine</w:t>
      </w:r>
      <w:r w:rsidR="008243CA">
        <w:t xml:space="preserve"> </w:t>
      </w:r>
      <w:r w:rsidRPr="00E62FE6">
        <w:t>levels</w:t>
      </w:r>
      <w:r w:rsidR="008243CA">
        <w:t xml:space="preserve"> </w:t>
      </w:r>
      <w:r w:rsidRPr="00E62FE6">
        <w:t>in</w:t>
      </w:r>
      <w:r w:rsidR="008243CA">
        <w:t xml:space="preserve"> </w:t>
      </w:r>
      <w:r w:rsidRPr="00E62FE6">
        <w:t>two</w:t>
      </w:r>
      <w:r w:rsidR="008243CA">
        <w:t xml:space="preserve"> </w:t>
      </w:r>
      <w:r w:rsidRPr="00E62FE6">
        <w:t>work</w:t>
      </w:r>
      <w:r w:rsidR="008243CA">
        <w:t xml:space="preserve"> </w:t>
      </w:r>
      <w:r w:rsidRPr="00E62FE6">
        <w:t>centres,</w:t>
      </w:r>
      <w:r w:rsidR="008243CA">
        <w:t xml:space="preserve"> </w:t>
      </w:r>
      <w:r w:rsidRPr="00E62FE6">
        <w:t>creating</w:t>
      </w:r>
      <w:r w:rsidR="008243CA">
        <w:t xml:space="preserve"> </w:t>
      </w:r>
      <w:r w:rsidRPr="00E62FE6">
        <w:t>space</w:t>
      </w:r>
      <w:r w:rsidR="008243CA">
        <w:t xml:space="preserve"> </w:t>
      </w:r>
      <w:r w:rsidRPr="00E62FE6">
        <w:t>for</w:t>
      </w:r>
      <w:r w:rsidR="008243CA">
        <w:t xml:space="preserve"> </w:t>
      </w:r>
      <w:r w:rsidRPr="00E62FE6">
        <w:t>specialized</w:t>
      </w:r>
      <w:r w:rsidR="008243CA">
        <w:t xml:space="preserve"> </w:t>
      </w:r>
      <w:r w:rsidRPr="00E62FE6">
        <w:t>workshops</w:t>
      </w:r>
      <w:r w:rsidR="008243CA">
        <w:t xml:space="preserve"> </w:t>
      </w:r>
      <w:r w:rsidRPr="00E62FE6">
        <w:t>and</w:t>
      </w:r>
      <w:r w:rsidR="008243CA">
        <w:t xml:space="preserve"> </w:t>
      </w:r>
      <w:r w:rsidRPr="00E62FE6">
        <w:t>offices.</w:t>
      </w:r>
    </w:p>
    <w:p w:rsidR="003F7D03" w:rsidRPr="00E62FE6" w:rsidRDefault="003F7D03" w:rsidP="000949BE">
      <w:pPr>
        <w:pStyle w:val="Bullet1G"/>
      </w:pPr>
      <w:r w:rsidRPr="00E62FE6">
        <w:t>Repairs</w:t>
      </w:r>
      <w:r w:rsidR="008243CA">
        <w:t xml:space="preserve"> </w:t>
      </w:r>
      <w:r w:rsidRPr="00E62FE6">
        <w:t>to</w:t>
      </w:r>
      <w:r w:rsidR="008243CA">
        <w:t xml:space="preserve"> </w:t>
      </w:r>
      <w:r w:rsidRPr="00E62FE6">
        <w:t>Unit</w:t>
      </w:r>
      <w:r w:rsidR="008243CA">
        <w:t xml:space="preserve"> </w:t>
      </w:r>
      <w:r w:rsidRPr="00E62FE6">
        <w:t>109,</w:t>
      </w:r>
      <w:r w:rsidR="008243CA">
        <w:t xml:space="preserve"> </w:t>
      </w:r>
      <w:r w:rsidRPr="00E62FE6">
        <w:t>including</w:t>
      </w:r>
      <w:r w:rsidR="008243CA">
        <w:t xml:space="preserve"> </w:t>
      </w:r>
      <w:r w:rsidRPr="00E62FE6">
        <w:t>repair</w:t>
      </w:r>
      <w:r w:rsidR="008243CA">
        <w:t xml:space="preserve"> </w:t>
      </w:r>
      <w:r w:rsidRPr="00E62FE6">
        <w:t>of</w:t>
      </w:r>
      <w:r w:rsidR="008243CA">
        <w:t xml:space="preserve"> </w:t>
      </w:r>
      <w:r w:rsidRPr="00E62FE6">
        <w:t>sanitation</w:t>
      </w:r>
      <w:r w:rsidR="008243CA">
        <w:t xml:space="preserve"> </w:t>
      </w:r>
      <w:r w:rsidRPr="00E62FE6">
        <w:t>systems</w:t>
      </w:r>
      <w:r w:rsidR="008243CA">
        <w:t xml:space="preserve"> </w:t>
      </w:r>
      <w:r w:rsidRPr="00E62FE6">
        <w:t>in</w:t>
      </w:r>
      <w:r w:rsidR="008243CA">
        <w:t xml:space="preserve"> </w:t>
      </w:r>
      <w:r w:rsidRPr="00E62FE6">
        <w:t>cells</w:t>
      </w:r>
      <w:r w:rsidR="00116F0B">
        <w:t>’</w:t>
      </w:r>
      <w:r w:rsidR="008243CA">
        <w:t xml:space="preserve"> </w:t>
      </w:r>
      <w:r w:rsidRPr="00E62FE6">
        <w:t>shared</w:t>
      </w:r>
      <w:r w:rsidR="008243CA">
        <w:t xml:space="preserve"> </w:t>
      </w:r>
      <w:r w:rsidRPr="00E62FE6">
        <w:t>bathrooms,</w:t>
      </w:r>
      <w:r w:rsidR="008243CA">
        <w:t xml:space="preserve"> </w:t>
      </w:r>
      <w:r w:rsidRPr="00E62FE6">
        <w:t>repair</w:t>
      </w:r>
      <w:r w:rsidR="008243CA">
        <w:t xml:space="preserve"> </w:t>
      </w:r>
      <w:r w:rsidRPr="00E62FE6">
        <w:t>of</w:t>
      </w:r>
      <w:r w:rsidR="008243CA">
        <w:t xml:space="preserve"> </w:t>
      </w:r>
      <w:r w:rsidRPr="00E62FE6">
        <w:t>discharge</w:t>
      </w:r>
      <w:r w:rsidR="008243CA">
        <w:t xml:space="preserve"> </w:t>
      </w:r>
      <w:r w:rsidRPr="00E62FE6">
        <w:t>pipes,</w:t>
      </w:r>
      <w:r w:rsidR="008243CA">
        <w:t xml:space="preserve"> </w:t>
      </w:r>
      <w:r w:rsidRPr="00E62FE6">
        <w:t>electrical</w:t>
      </w:r>
      <w:r w:rsidR="008243CA">
        <w:t xml:space="preserve"> </w:t>
      </w:r>
      <w:r w:rsidRPr="00E62FE6">
        <w:t>repairs</w:t>
      </w:r>
      <w:r w:rsidR="008243CA">
        <w:t xml:space="preserve"> </w:t>
      </w:r>
      <w:r w:rsidRPr="00E62FE6">
        <w:t>and</w:t>
      </w:r>
      <w:r w:rsidR="008243CA">
        <w:t xml:space="preserve"> </w:t>
      </w:r>
      <w:r w:rsidRPr="00E62FE6">
        <w:t>painting.</w:t>
      </w:r>
    </w:p>
    <w:p w:rsidR="003F7D03" w:rsidRPr="00E62FE6" w:rsidRDefault="003F7D03" w:rsidP="000949BE">
      <w:pPr>
        <w:pStyle w:val="Bullet1G"/>
      </w:pPr>
      <w:r w:rsidRPr="00E62FE6">
        <w:t>Repairs</w:t>
      </w:r>
      <w:r w:rsidR="008243CA">
        <w:t xml:space="preserve"> </w:t>
      </w:r>
      <w:r w:rsidRPr="00E62FE6">
        <w:t>to</w:t>
      </w:r>
      <w:r w:rsidR="008243CA">
        <w:t xml:space="preserve"> </w:t>
      </w:r>
      <w:r w:rsidRPr="00E62FE6">
        <w:t>Unit</w:t>
      </w:r>
      <w:r w:rsidR="008243CA">
        <w:t xml:space="preserve"> </w:t>
      </w:r>
      <w:r w:rsidRPr="00E62FE6">
        <w:t>113.</w:t>
      </w:r>
    </w:p>
    <w:p w:rsidR="003F7D03" w:rsidRPr="00E62FE6" w:rsidRDefault="003F7D03" w:rsidP="000949BE">
      <w:pPr>
        <w:pStyle w:val="Bullet1G"/>
      </w:pPr>
      <w:r w:rsidRPr="00E62FE6">
        <w:t>Electrical</w:t>
      </w:r>
      <w:r w:rsidR="008243CA">
        <w:t xml:space="preserve"> </w:t>
      </w:r>
      <w:r w:rsidRPr="00E62FE6">
        <w:t>repairs</w:t>
      </w:r>
      <w:r w:rsidR="008243CA">
        <w:t xml:space="preserve"> </w:t>
      </w:r>
      <w:r w:rsidRPr="00E62FE6">
        <w:t>in</w:t>
      </w:r>
      <w:r w:rsidR="008243CA">
        <w:t xml:space="preserve"> </w:t>
      </w:r>
      <w:r w:rsidRPr="00E62FE6">
        <w:t>Units</w:t>
      </w:r>
      <w:r w:rsidR="008243CA">
        <w:t xml:space="preserve"> </w:t>
      </w:r>
      <w:r w:rsidRPr="00E62FE6">
        <w:t>104,</w:t>
      </w:r>
      <w:r w:rsidR="008243CA">
        <w:t xml:space="preserve"> </w:t>
      </w:r>
      <w:r w:rsidRPr="00E62FE6">
        <w:t>114</w:t>
      </w:r>
      <w:r w:rsidR="008243CA">
        <w:t xml:space="preserve"> </w:t>
      </w:r>
      <w:r w:rsidRPr="00E62FE6">
        <w:t>and</w:t>
      </w:r>
      <w:r w:rsidR="008243CA">
        <w:t xml:space="preserve"> </w:t>
      </w:r>
      <w:r w:rsidRPr="00E62FE6">
        <w:t>115,</w:t>
      </w:r>
      <w:r w:rsidR="008243CA">
        <w:t xml:space="preserve"> </w:t>
      </w:r>
      <w:r w:rsidRPr="00E62FE6">
        <w:t>including</w:t>
      </w:r>
      <w:r w:rsidR="008243CA">
        <w:t xml:space="preserve"> </w:t>
      </w:r>
      <w:r w:rsidRPr="00E62FE6">
        <w:t>replacement</w:t>
      </w:r>
      <w:r w:rsidR="008243CA">
        <w:t xml:space="preserve"> </w:t>
      </w:r>
      <w:r w:rsidRPr="00E62FE6">
        <w:t>of</w:t>
      </w:r>
      <w:r w:rsidR="008243CA">
        <w:t xml:space="preserve"> </w:t>
      </w:r>
      <w:r w:rsidRPr="00E62FE6">
        <w:t>sockets</w:t>
      </w:r>
      <w:r w:rsidR="008243CA">
        <w:t xml:space="preserve"> </w:t>
      </w:r>
      <w:r w:rsidRPr="00E62FE6">
        <w:t>and</w:t>
      </w:r>
      <w:r w:rsidR="008243CA">
        <w:t xml:space="preserve"> </w:t>
      </w:r>
      <w:r w:rsidRPr="00E62FE6">
        <w:t>light</w:t>
      </w:r>
      <w:r w:rsidR="008243CA">
        <w:t xml:space="preserve"> </w:t>
      </w:r>
      <w:r w:rsidRPr="00E62FE6">
        <w:t>fittings</w:t>
      </w:r>
      <w:r w:rsidR="008243CA">
        <w:t xml:space="preserve"> </w:t>
      </w:r>
      <w:r w:rsidRPr="00E62FE6">
        <w:t>in</w:t>
      </w:r>
      <w:r w:rsidR="008243CA">
        <w:t xml:space="preserve"> </w:t>
      </w:r>
      <w:r w:rsidRPr="00E62FE6">
        <w:t>cells</w:t>
      </w:r>
      <w:r w:rsidR="008243CA">
        <w:t xml:space="preserve"> </w:t>
      </w:r>
      <w:r w:rsidRPr="00E62FE6">
        <w:t>and</w:t>
      </w:r>
      <w:r w:rsidR="008243CA">
        <w:t xml:space="preserve"> </w:t>
      </w:r>
      <w:r w:rsidRPr="00E62FE6">
        <w:t>light</w:t>
      </w:r>
      <w:r w:rsidR="008243CA">
        <w:t xml:space="preserve"> </w:t>
      </w:r>
      <w:r w:rsidRPr="00E62FE6">
        <w:t>fittings</w:t>
      </w:r>
      <w:r w:rsidR="008243CA">
        <w:t xml:space="preserve"> </w:t>
      </w:r>
      <w:r w:rsidRPr="00E62FE6">
        <w:t>in</w:t>
      </w:r>
      <w:r w:rsidR="008243CA">
        <w:t xml:space="preserve"> </w:t>
      </w:r>
      <w:r w:rsidRPr="00E62FE6">
        <w:t>corridors</w:t>
      </w:r>
      <w:r w:rsidR="008243CA">
        <w:t xml:space="preserve"> </w:t>
      </w:r>
      <w:r w:rsidRPr="00E62FE6">
        <w:t>and</w:t>
      </w:r>
      <w:r w:rsidR="008243CA">
        <w:t xml:space="preserve"> </w:t>
      </w:r>
      <w:r w:rsidRPr="00E62FE6">
        <w:t>staircase.</w:t>
      </w:r>
      <w:r w:rsidR="008243CA">
        <w:t xml:space="preserve"> </w:t>
      </w:r>
      <w:r w:rsidRPr="00E62FE6">
        <w:t>This</w:t>
      </w:r>
      <w:r w:rsidR="008243CA">
        <w:t xml:space="preserve"> </w:t>
      </w:r>
      <w:r w:rsidRPr="00E62FE6">
        <w:t>work</w:t>
      </w:r>
      <w:r w:rsidR="008243CA">
        <w:t xml:space="preserve"> </w:t>
      </w:r>
      <w:r w:rsidRPr="00E62FE6">
        <w:t>was</w:t>
      </w:r>
      <w:r w:rsidR="008243CA">
        <w:t xml:space="preserve"> </w:t>
      </w:r>
      <w:r w:rsidRPr="00E62FE6">
        <w:t>carried</w:t>
      </w:r>
      <w:r w:rsidR="008243CA">
        <w:t xml:space="preserve"> </w:t>
      </w:r>
      <w:r w:rsidRPr="00E62FE6">
        <w:t>out</w:t>
      </w:r>
      <w:r w:rsidR="008243CA">
        <w:t xml:space="preserve"> </w:t>
      </w:r>
      <w:r w:rsidRPr="00E62FE6">
        <w:t>by</w:t>
      </w:r>
      <w:r w:rsidR="008243CA">
        <w:t xml:space="preserve"> </w:t>
      </w:r>
      <w:r w:rsidRPr="00E62FE6">
        <w:t>the</w:t>
      </w:r>
      <w:r w:rsidR="008243CA">
        <w:t xml:space="preserve"> </w:t>
      </w:r>
      <w:r w:rsidRPr="00E62FE6">
        <w:t>inmates.</w:t>
      </w:r>
    </w:p>
    <w:p w:rsidR="003F7D03" w:rsidRPr="00E62FE6" w:rsidRDefault="003F7D03" w:rsidP="000949BE">
      <w:pPr>
        <w:pStyle w:val="Bullet1G"/>
      </w:pPr>
      <w:r w:rsidRPr="00E62FE6">
        <w:lastRenderedPageBreak/>
        <w:t>Replacement</w:t>
      </w:r>
      <w:r w:rsidR="008243CA">
        <w:t xml:space="preserve"> </w:t>
      </w:r>
      <w:r w:rsidRPr="00E62FE6">
        <w:t>of</w:t>
      </w:r>
      <w:r w:rsidR="008243CA">
        <w:t xml:space="preserve"> </w:t>
      </w:r>
      <w:r w:rsidRPr="00E62FE6">
        <w:t>toilets</w:t>
      </w:r>
      <w:r w:rsidR="008243CA">
        <w:t xml:space="preserve"> </w:t>
      </w:r>
      <w:r w:rsidRPr="00E62FE6">
        <w:t>in</w:t>
      </w:r>
      <w:r w:rsidR="008243CA">
        <w:t xml:space="preserve"> </w:t>
      </w:r>
      <w:r w:rsidRPr="00E62FE6">
        <w:t>inmates</w:t>
      </w:r>
      <w:r w:rsidR="00116F0B">
        <w:t>’</w:t>
      </w:r>
      <w:r w:rsidR="008243CA">
        <w:t xml:space="preserve"> </w:t>
      </w:r>
      <w:r w:rsidRPr="00E62FE6">
        <w:t>cells:</w:t>
      </w:r>
      <w:r w:rsidR="008243CA">
        <w:t xml:space="preserve"> </w:t>
      </w:r>
      <w:r w:rsidRPr="00E62FE6">
        <w:t>replacement</w:t>
      </w:r>
      <w:r w:rsidR="008243CA">
        <w:t xml:space="preserve"> </w:t>
      </w:r>
      <w:r w:rsidRPr="00E62FE6">
        <w:t>of</w:t>
      </w:r>
      <w:r w:rsidR="008243CA">
        <w:t xml:space="preserve"> </w:t>
      </w:r>
      <w:r w:rsidRPr="00E62FE6">
        <w:t>toilet</w:t>
      </w:r>
      <w:r w:rsidR="008243CA">
        <w:t xml:space="preserve"> </w:t>
      </w:r>
      <w:r w:rsidRPr="00E62FE6">
        <w:t>bowls</w:t>
      </w:r>
      <w:r w:rsidR="008243CA">
        <w:t xml:space="preserve"> </w:t>
      </w:r>
      <w:r w:rsidRPr="00E62FE6">
        <w:t>in</w:t>
      </w:r>
      <w:r w:rsidR="008243CA">
        <w:t xml:space="preserve"> </w:t>
      </w:r>
      <w:r w:rsidRPr="00E62FE6">
        <w:t>cells</w:t>
      </w:r>
      <w:r w:rsidR="008243CA">
        <w:t xml:space="preserve"> </w:t>
      </w:r>
      <w:r w:rsidRPr="00E62FE6">
        <w:t>in</w:t>
      </w:r>
      <w:r w:rsidR="008243CA">
        <w:t xml:space="preserve"> </w:t>
      </w:r>
      <w:r w:rsidRPr="00E62FE6">
        <w:t>several</w:t>
      </w:r>
      <w:r w:rsidR="008243CA">
        <w:t xml:space="preserve"> </w:t>
      </w:r>
      <w:r w:rsidRPr="00E62FE6">
        <w:t>units,</w:t>
      </w:r>
      <w:r w:rsidR="008243CA">
        <w:t xml:space="preserve"> </w:t>
      </w:r>
      <w:r w:rsidRPr="00E62FE6">
        <w:t>carried</w:t>
      </w:r>
      <w:r w:rsidR="008243CA">
        <w:t xml:space="preserve"> </w:t>
      </w:r>
      <w:r w:rsidRPr="00E62FE6">
        <w:t>out</w:t>
      </w:r>
      <w:r w:rsidR="008243CA">
        <w:t xml:space="preserve"> </w:t>
      </w:r>
      <w:r w:rsidRPr="00E62FE6">
        <w:t>by</w:t>
      </w:r>
      <w:r w:rsidR="008243CA">
        <w:t xml:space="preserve"> </w:t>
      </w:r>
      <w:r w:rsidRPr="00E62FE6">
        <w:t>inmates.</w:t>
      </w:r>
    </w:p>
    <w:p w:rsidR="003F7D03" w:rsidRPr="00E62FE6" w:rsidRDefault="003F7D03" w:rsidP="005C7A32">
      <w:pPr>
        <w:pStyle w:val="SingleTxtG"/>
      </w:pPr>
      <w:bookmarkStart w:id="85" w:name="page32"/>
      <w:bookmarkEnd w:id="85"/>
      <w:r w:rsidRPr="00E62FE6">
        <w:t>121.</w:t>
      </w:r>
      <w:r w:rsidRPr="00E62FE6">
        <w:tab/>
        <w:t>Regarding</w:t>
      </w:r>
      <w:r w:rsidR="008243CA">
        <w:t xml:space="preserve"> </w:t>
      </w:r>
      <w:r w:rsidRPr="00E62FE6">
        <w:t>the</w:t>
      </w:r>
      <w:r w:rsidR="008243CA">
        <w:t xml:space="preserve"> </w:t>
      </w:r>
      <w:r w:rsidRPr="00E62FE6">
        <w:t>South</w:t>
      </w:r>
      <w:r w:rsidR="008243CA">
        <w:t xml:space="preserve"> </w:t>
      </w:r>
      <w:r w:rsidRPr="00E62FE6">
        <w:t>Santiago</w:t>
      </w:r>
      <w:r w:rsidR="008243CA">
        <w:t xml:space="preserve"> </w:t>
      </w:r>
      <w:proofErr w:type="spellStart"/>
      <w:r w:rsidRPr="00E62FE6">
        <w:t>Pretrial</w:t>
      </w:r>
      <w:proofErr w:type="spellEnd"/>
      <w:r w:rsidR="008243CA">
        <w:t xml:space="preserve"> </w:t>
      </w:r>
      <w:r w:rsidRPr="00E62FE6">
        <w:t>Detention</w:t>
      </w:r>
      <w:r w:rsidR="008243CA">
        <w:t xml:space="preserve"> </w:t>
      </w:r>
      <w:r w:rsidRPr="00E62FE6">
        <w:t>Centre,</w:t>
      </w:r>
      <w:r w:rsidR="008243CA">
        <w:t xml:space="preserve"> </w:t>
      </w:r>
      <w:r w:rsidRPr="00E62FE6">
        <w:t>the</w:t>
      </w:r>
      <w:r w:rsidR="008243CA">
        <w:t xml:space="preserve"> </w:t>
      </w:r>
      <w:r w:rsidRPr="00E62FE6">
        <w:t>Prison</w:t>
      </w:r>
      <w:r w:rsidR="008243CA">
        <w:t xml:space="preserve"> </w:t>
      </w:r>
      <w:r w:rsidRPr="00E62FE6">
        <w:t>Service</w:t>
      </w:r>
      <w:r w:rsidR="008243CA">
        <w:t xml:space="preserve"> </w:t>
      </w:r>
      <w:r w:rsidRPr="00E62FE6">
        <w:t>issued</w:t>
      </w:r>
      <w:r w:rsidR="008243CA">
        <w:t xml:space="preserve"> </w:t>
      </w:r>
      <w:r w:rsidRPr="00E62FE6">
        <w:t>a</w:t>
      </w:r>
      <w:r w:rsidR="008243CA">
        <w:t xml:space="preserve"> </w:t>
      </w:r>
      <w:r w:rsidRPr="00E62FE6">
        <w:t>technical</w:t>
      </w:r>
      <w:r w:rsidR="008243CA">
        <w:t xml:space="preserve"> </w:t>
      </w:r>
      <w:r w:rsidRPr="00E62FE6">
        <w:t>report</w:t>
      </w:r>
      <w:r w:rsidRPr="00116F0B">
        <w:rPr>
          <w:rStyle w:val="FootnoteReference"/>
        </w:rPr>
        <w:footnoteReference w:id="42"/>
      </w:r>
      <w:r w:rsidR="008243CA">
        <w:t xml:space="preserve"> </w:t>
      </w:r>
      <w:r w:rsidRPr="00E62FE6">
        <w:t>describing</w:t>
      </w:r>
      <w:r w:rsidR="008243CA">
        <w:t xml:space="preserve"> </w:t>
      </w:r>
      <w:r w:rsidRPr="00E62FE6">
        <w:t>current</w:t>
      </w:r>
      <w:r w:rsidR="008243CA">
        <w:t xml:space="preserve"> </w:t>
      </w:r>
      <w:r w:rsidRPr="00E62FE6">
        <w:t>conditions</w:t>
      </w:r>
      <w:r w:rsidR="008243CA">
        <w:t xml:space="preserve"> </w:t>
      </w:r>
      <w:r w:rsidRPr="00E62FE6">
        <w:t>at</w:t>
      </w:r>
      <w:r w:rsidR="008243CA">
        <w:t xml:space="preserve"> </w:t>
      </w:r>
      <w:r w:rsidRPr="00E62FE6">
        <w:t>the</w:t>
      </w:r>
      <w:r w:rsidR="008243CA">
        <w:t xml:space="preserve"> </w:t>
      </w:r>
      <w:r w:rsidRPr="00E62FE6">
        <w:t>facility</w:t>
      </w:r>
      <w:r w:rsidR="008243CA">
        <w:t xml:space="preserve"> </w:t>
      </w:r>
      <w:r w:rsidRPr="00E62FE6">
        <w:t>and</w:t>
      </w:r>
      <w:r w:rsidR="008243CA">
        <w:t xml:space="preserve"> </w:t>
      </w:r>
      <w:r w:rsidRPr="00E62FE6">
        <w:t>recommending</w:t>
      </w:r>
      <w:r w:rsidR="008243CA">
        <w:t xml:space="preserve"> </w:t>
      </w:r>
      <w:r w:rsidRPr="00E62FE6">
        <w:t>that</w:t>
      </w:r>
      <w:r w:rsidR="008243CA">
        <w:t xml:space="preserve"> </w:t>
      </w:r>
      <w:r w:rsidRPr="00E62FE6">
        <w:t>certain</w:t>
      </w:r>
      <w:r w:rsidR="008243CA">
        <w:t xml:space="preserve"> </w:t>
      </w:r>
      <w:r w:rsidRPr="00E62FE6">
        <w:t>urgent</w:t>
      </w:r>
      <w:r w:rsidR="008243CA">
        <w:t xml:space="preserve"> </w:t>
      </w:r>
      <w:r w:rsidRPr="00E62FE6">
        <w:t>actions</w:t>
      </w:r>
      <w:r w:rsidR="008243CA">
        <w:t xml:space="preserve"> </w:t>
      </w:r>
      <w:r w:rsidRPr="00E62FE6">
        <w:t>to</w:t>
      </w:r>
      <w:r w:rsidR="008243CA">
        <w:t xml:space="preserve"> </w:t>
      </w:r>
      <w:r w:rsidRPr="00E62FE6">
        <w:t>be</w:t>
      </w:r>
      <w:r w:rsidR="008243CA">
        <w:t xml:space="preserve"> </w:t>
      </w:r>
      <w:r w:rsidRPr="00E62FE6">
        <w:t>taken.</w:t>
      </w:r>
      <w:r w:rsidR="008243CA">
        <w:t xml:space="preserve"> </w:t>
      </w:r>
      <w:r w:rsidRPr="00E62FE6">
        <w:t>The</w:t>
      </w:r>
      <w:r w:rsidR="008243CA">
        <w:t xml:space="preserve"> </w:t>
      </w:r>
      <w:r w:rsidRPr="00E62FE6">
        <w:t>work</w:t>
      </w:r>
      <w:r w:rsidR="008243CA">
        <w:t xml:space="preserve"> </w:t>
      </w:r>
      <w:r w:rsidRPr="00E62FE6">
        <w:t>will</w:t>
      </w:r>
      <w:r w:rsidR="008243CA">
        <w:t xml:space="preserve"> </w:t>
      </w:r>
      <w:r w:rsidRPr="00E62FE6">
        <w:t>cost</w:t>
      </w:r>
      <w:r w:rsidR="008243CA">
        <w:t xml:space="preserve"> </w:t>
      </w:r>
      <w:r w:rsidRPr="00E62FE6">
        <w:t>12,413,248</w:t>
      </w:r>
      <w:r w:rsidR="008243CA">
        <w:t xml:space="preserve"> </w:t>
      </w:r>
      <w:r w:rsidRPr="00E62FE6">
        <w:t>pesos</w:t>
      </w:r>
      <w:r w:rsidRPr="00116F0B">
        <w:rPr>
          <w:rStyle w:val="FootnoteReference"/>
        </w:rPr>
        <w:footnoteReference w:id="43"/>
      </w:r>
      <w:r w:rsidR="008243CA">
        <w:t xml:space="preserve"> </w:t>
      </w:r>
      <w:r w:rsidRPr="00E62FE6">
        <w:t>and</w:t>
      </w:r>
      <w:r w:rsidR="008243CA">
        <w:t xml:space="preserve"> </w:t>
      </w:r>
      <w:r w:rsidRPr="00E62FE6">
        <w:t>will</w:t>
      </w:r>
      <w:r w:rsidR="008243CA">
        <w:t xml:space="preserve"> </w:t>
      </w:r>
      <w:r w:rsidRPr="00E62FE6">
        <w:t>be</w:t>
      </w:r>
      <w:r w:rsidR="008243CA">
        <w:t xml:space="preserve"> </w:t>
      </w:r>
      <w:r w:rsidRPr="00E62FE6">
        <w:t>implemented</w:t>
      </w:r>
      <w:r w:rsidR="008243CA">
        <w:t xml:space="preserve"> </w:t>
      </w:r>
      <w:r w:rsidRPr="00E62FE6">
        <w:t>by</w:t>
      </w:r>
      <w:r w:rsidR="008243CA">
        <w:t xml:space="preserve"> </w:t>
      </w:r>
      <w:r w:rsidRPr="00E62FE6">
        <w:t>the</w:t>
      </w:r>
      <w:r w:rsidR="008243CA">
        <w:t xml:space="preserve"> </w:t>
      </w:r>
      <w:r w:rsidRPr="00E62FE6">
        <w:t>facility</w:t>
      </w:r>
      <w:r w:rsidR="00116F0B">
        <w:t>’</w:t>
      </w:r>
      <w:r w:rsidRPr="00E62FE6">
        <w:t>s</w:t>
      </w:r>
      <w:r w:rsidR="008243CA">
        <w:t xml:space="preserve"> </w:t>
      </w:r>
      <w:r w:rsidRPr="00E62FE6">
        <w:t>maintenance</w:t>
      </w:r>
      <w:r w:rsidR="008243CA">
        <w:t xml:space="preserve"> </w:t>
      </w:r>
      <w:r w:rsidRPr="00E62FE6">
        <w:t>unit</w:t>
      </w:r>
      <w:r w:rsidR="008243CA">
        <w:t xml:space="preserve"> </w:t>
      </w:r>
      <w:r w:rsidRPr="00E62FE6">
        <w:t>with</w:t>
      </w:r>
      <w:r w:rsidR="008243CA">
        <w:t xml:space="preserve"> </w:t>
      </w:r>
      <w:r w:rsidRPr="00E62FE6">
        <w:t>the</w:t>
      </w:r>
      <w:r w:rsidR="008243CA">
        <w:t xml:space="preserve"> </w:t>
      </w:r>
      <w:r w:rsidRPr="00E62FE6">
        <w:t>cooperation</w:t>
      </w:r>
      <w:r w:rsidR="008243CA">
        <w:t xml:space="preserve"> </w:t>
      </w:r>
      <w:r w:rsidRPr="00E62FE6">
        <w:t>of</w:t>
      </w:r>
      <w:r w:rsidR="008243CA">
        <w:t xml:space="preserve"> </w:t>
      </w:r>
      <w:r w:rsidRPr="00E62FE6">
        <w:t>inmates.</w:t>
      </w:r>
      <w:r w:rsidR="008243CA">
        <w:t xml:space="preserve"> </w:t>
      </w:r>
      <w:r w:rsidRPr="00E62FE6">
        <w:t>Funding</w:t>
      </w:r>
      <w:r w:rsidR="008243CA">
        <w:t xml:space="preserve"> </w:t>
      </w:r>
      <w:r w:rsidRPr="00E62FE6">
        <w:t>for</w:t>
      </w:r>
      <w:r w:rsidR="008243CA">
        <w:t xml:space="preserve"> </w:t>
      </w:r>
      <w:r w:rsidRPr="00E62FE6">
        <w:t>repairs</w:t>
      </w:r>
      <w:r w:rsidR="008243CA">
        <w:t xml:space="preserve"> </w:t>
      </w:r>
      <w:r w:rsidRPr="00E62FE6">
        <w:t>to</w:t>
      </w:r>
      <w:r w:rsidR="008243CA">
        <w:t xml:space="preserve"> </w:t>
      </w:r>
      <w:r w:rsidRPr="00E62FE6">
        <w:t>Cell</w:t>
      </w:r>
      <w:r w:rsidR="008243CA">
        <w:t xml:space="preserve"> </w:t>
      </w:r>
      <w:r w:rsidRPr="00E62FE6">
        <w:t>Block</w:t>
      </w:r>
      <w:r w:rsidR="008243CA">
        <w:t xml:space="preserve"> </w:t>
      </w:r>
      <w:r w:rsidRPr="00E62FE6">
        <w:t>No.</w:t>
      </w:r>
      <w:r w:rsidR="008243CA">
        <w:t xml:space="preserve"> </w:t>
      </w:r>
      <w:r w:rsidRPr="00E62FE6">
        <w:t>9</w:t>
      </w:r>
      <w:r w:rsidR="008243CA">
        <w:t xml:space="preserve"> </w:t>
      </w:r>
      <w:r w:rsidRPr="00E62FE6">
        <w:t>has</w:t>
      </w:r>
      <w:r w:rsidR="008243CA">
        <w:t xml:space="preserve"> </w:t>
      </w:r>
      <w:r w:rsidRPr="00E62FE6">
        <w:t>been</w:t>
      </w:r>
      <w:r w:rsidR="008243CA">
        <w:t xml:space="preserve"> </w:t>
      </w:r>
      <w:r w:rsidRPr="00E62FE6">
        <w:t>approved</w:t>
      </w:r>
      <w:r w:rsidR="008243CA">
        <w:t xml:space="preserve"> </w:t>
      </w:r>
      <w:r w:rsidRPr="00E62FE6">
        <w:t>and</w:t>
      </w:r>
      <w:r w:rsidR="008243CA">
        <w:t xml:space="preserve"> </w:t>
      </w:r>
      <w:r w:rsidRPr="00E62FE6">
        <w:t>the</w:t>
      </w:r>
      <w:r w:rsidR="008243CA">
        <w:t xml:space="preserve"> </w:t>
      </w:r>
      <w:r w:rsidRPr="00E62FE6">
        <w:t>necessary</w:t>
      </w:r>
      <w:r w:rsidR="008243CA">
        <w:t xml:space="preserve"> </w:t>
      </w:r>
      <w:r w:rsidRPr="00E62FE6">
        <w:t>materials</w:t>
      </w:r>
      <w:r w:rsidR="008243CA">
        <w:t xml:space="preserve"> </w:t>
      </w:r>
      <w:r w:rsidRPr="00E62FE6">
        <w:t>have</w:t>
      </w:r>
      <w:r w:rsidR="008243CA">
        <w:t xml:space="preserve"> </w:t>
      </w:r>
      <w:r w:rsidRPr="00E62FE6">
        <w:t>been</w:t>
      </w:r>
      <w:r w:rsidR="008243CA">
        <w:t xml:space="preserve"> </w:t>
      </w:r>
      <w:r w:rsidRPr="00E62FE6">
        <w:t>purchased,</w:t>
      </w:r>
      <w:r w:rsidR="008243CA">
        <w:t xml:space="preserve"> </w:t>
      </w:r>
      <w:r w:rsidRPr="00E62FE6">
        <w:t>with</w:t>
      </w:r>
      <w:r w:rsidR="008243CA">
        <w:t xml:space="preserve"> </w:t>
      </w:r>
      <w:r w:rsidRPr="00E62FE6">
        <w:t>repair</w:t>
      </w:r>
      <w:r w:rsidR="008243CA">
        <w:t xml:space="preserve"> </w:t>
      </w:r>
      <w:r w:rsidRPr="00E62FE6">
        <w:t>work</w:t>
      </w:r>
      <w:r w:rsidR="008243CA">
        <w:t xml:space="preserve"> </w:t>
      </w:r>
      <w:r w:rsidRPr="00E62FE6">
        <w:t>due</w:t>
      </w:r>
      <w:r w:rsidR="008243CA">
        <w:t xml:space="preserve"> </w:t>
      </w:r>
      <w:r w:rsidRPr="00E62FE6">
        <w:t>to</w:t>
      </w:r>
      <w:r w:rsidR="008243CA">
        <w:t xml:space="preserve"> </w:t>
      </w:r>
      <w:r w:rsidRPr="00E62FE6">
        <w:t>be</w:t>
      </w:r>
      <w:r w:rsidR="008243CA">
        <w:t xml:space="preserve"> </w:t>
      </w:r>
      <w:r w:rsidRPr="00E62FE6">
        <w:t>carried</w:t>
      </w:r>
      <w:r w:rsidR="008243CA">
        <w:t xml:space="preserve"> </w:t>
      </w:r>
      <w:r w:rsidRPr="00E62FE6">
        <w:t>out</w:t>
      </w:r>
      <w:r w:rsidR="008243CA">
        <w:t xml:space="preserve"> </w:t>
      </w:r>
      <w:r w:rsidRPr="00E62FE6">
        <w:t>on</w:t>
      </w:r>
      <w:r w:rsidR="008243CA">
        <w:t xml:space="preserve"> </w:t>
      </w:r>
      <w:r w:rsidRPr="00E62FE6">
        <w:t>floors,</w:t>
      </w:r>
      <w:r w:rsidR="008243CA">
        <w:t xml:space="preserve"> </w:t>
      </w:r>
      <w:r w:rsidRPr="00E62FE6">
        <w:t>walls</w:t>
      </w:r>
      <w:r w:rsidR="008243CA">
        <w:t xml:space="preserve"> </w:t>
      </w:r>
      <w:r w:rsidRPr="00E62FE6">
        <w:t>of</w:t>
      </w:r>
      <w:r w:rsidR="008243CA">
        <w:t xml:space="preserve"> </w:t>
      </w:r>
      <w:r w:rsidRPr="00E62FE6">
        <w:t>the</w:t>
      </w:r>
      <w:r w:rsidR="008243CA">
        <w:t xml:space="preserve"> </w:t>
      </w:r>
      <w:r w:rsidRPr="00E62FE6">
        <w:t>central</w:t>
      </w:r>
      <w:r w:rsidR="008243CA">
        <w:t xml:space="preserve"> </w:t>
      </w:r>
      <w:r w:rsidRPr="00E62FE6">
        <w:t>corridor</w:t>
      </w:r>
      <w:r w:rsidR="008243CA">
        <w:t xml:space="preserve"> </w:t>
      </w:r>
      <w:r w:rsidRPr="00E62FE6">
        <w:t>and</w:t>
      </w:r>
      <w:r w:rsidR="008243CA">
        <w:t xml:space="preserve"> </w:t>
      </w:r>
      <w:r w:rsidRPr="00E62FE6">
        <w:t>inmate</w:t>
      </w:r>
      <w:r w:rsidR="008243CA">
        <w:t xml:space="preserve"> </w:t>
      </w:r>
      <w:r w:rsidRPr="00E62FE6">
        <w:t>cells</w:t>
      </w:r>
      <w:r w:rsidR="008243CA">
        <w:t xml:space="preserve"> </w:t>
      </w:r>
      <w:r w:rsidRPr="00E62FE6">
        <w:t>and</w:t>
      </w:r>
      <w:r w:rsidR="008243CA">
        <w:t xml:space="preserve"> </w:t>
      </w:r>
      <w:r w:rsidRPr="00E62FE6">
        <w:t>bathrooms</w:t>
      </w:r>
      <w:r w:rsidR="008243CA">
        <w:t xml:space="preserve"> </w:t>
      </w:r>
      <w:r w:rsidRPr="00E62FE6">
        <w:t>in</w:t>
      </w:r>
      <w:r w:rsidR="008243CA">
        <w:t xml:space="preserve"> </w:t>
      </w:r>
      <w:r w:rsidRPr="00E62FE6">
        <w:t>the</w:t>
      </w:r>
      <w:r w:rsidR="008243CA">
        <w:t xml:space="preserve"> </w:t>
      </w:r>
      <w:r w:rsidRPr="00E62FE6">
        <w:t>cell</w:t>
      </w:r>
      <w:r w:rsidR="008243CA">
        <w:t xml:space="preserve"> </w:t>
      </w:r>
      <w:r w:rsidRPr="00E62FE6">
        <w:t>block.</w:t>
      </w:r>
    </w:p>
    <w:p w:rsidR="003F7D03" w:rsidRPr="00E62FE6" w:rsidRDefault="003F7D03" w:rsidP="000C6D98">
      <w:pPr>
        <w:pStyle w:val="SingleTxtG"/>
      </w:pPr>
      <w:r w:rsidRPr="00E62FE6">
        <w:t>122.</w:t>
      </w:r>
      <w:r w:rsidRPr="00E62FE6">
        <w:tab/>
        <w:t>Finally,</w:t>
      </w:r>
      <w:r w:rsidR="008243CA">
        <w:t xml:space="preserve"> </w:t>
      </w:r>
      <w:r w:rsidRPr="00E62FE6">
        <w:t>in</w:t>
      </w:r>
      <w:r w:rsidR="008243CA">
        <w:t xml:space="preserve"> </w:t>
      </w:r>
      <w:r w:rsidRPr="00E62FE6">
        <w:t>October</w:t>
      </w:r>
      <w:r w:rsidR="008243CA">
        <w:t xml:space="preserve"> </w:t>
      </w:r>
      <w:r w:rsidRPr="00E62FE6">
        <w:t>and</w:t>
      </w:r>
      <w:r w:rsidR="008243CA">
        <w:t xml:space="preserve"> </w:t>
      </w:r>
      <w:r w:rsidRPr="00E62FE6">
        <w:t>November</w:t>
      </w:r>
      <w:r w:rsidR="008243CA">
        <w:t xml:space="preserve"> </w:t>
      </w:r>
      <w:r w:rsidRPr="00E62FE6">
        <w:t>2016,</w:t>
      </w:r>
      <w:r w:rsidR="008243CA">
        <w:t xml:space="preserve"> </w:t>
      </w:r>
      <w:r w:rsidRPr="00E62FE6">
        <w:t>more</w:t>
      </w:r>
      <w:r w:rsidR="008243CA">
        <w:t xml:space="preserve"> </w:t>
      </w:r>
      <w:r w:rsidRPr="00E62FE6">
        <w:t>than</w:t>
      </w:r>
      <w:r w:rsidR="008243CA">
        <w:t xml:space="preserve"> </w:t>
      </w:r>
      <w:r w:rsidRPr="00E62FE6">
        <w:t>1,600</w:t>
      </w:r>
      <w:r w:rsidR="008243CA">
        <w:t xml:space="preserve"> </w:t>
      </w:r>
      <w:r w:rsidRPr="00E62FE6">
        <w:t>inmates</w:t>
      </w:r>
      <w:r w:rsidR="008243CA">
        <w:t xml:space="preserve"> </w:t>
      </w:r>
      <w:r w:rsidRPr="00E62FE6">
        <w:t>at</w:t>
      </w:r>
      <w:r w:rsidR="008243CA">
        <w:t xml:space="preserve"> </w:t>
      </w:r>
      <w:r w:rsidRPr="00E62FE6">
        <w:t>South</w:t>
      </w:r>
      <w:r w:rsidR="008243CA">
        <w:t xml:space="preserve"> </w:t>
      </w:r>
      <w:r w:rsidRPr="00E62FE6">
        <w:t>Santiago</w:t>
      </w:r>
      <w:r w:rsidR="008243CA">
        <w:t xml:space="preserve"> </w:t>
      </w:r>
      <w:proofErr w:type="spellStart"/>
      <w:r w:rsidRPr="00E62FE6">
        <w:t>Pretrial</w:t>
      </w:r>
      <w:proofErr w:type="spellEnd"/>
      <w:r w:rsidR="008243CA">
        <w:t xml:space="preserve"> </w:t>
      </w:r>
      <w:r w:rsidRPr="00E62FE6">
        <w:t>Detention</w:t>
      </w:r>
      <w:r w:rsidR="008243CA">
        <w:t xml:space="preserve"> </w:t>
      </w:r>
      <w:r w:rsidRPr="00E62FE6">
        <w:t>Centre</w:t>
      </w:r>
      <w:r w:rsidR="008243CA">
        <w:t xml:space="preserve"> </w:t>
      </w:r>
      <w:r w:rsidRPr="00E62FE6">
        <w:t>were</w:t>
      </w:r>
      <w:r w:rsidR="008243CA">
        <w:t xml:space="preserve"> </w:t>
      </w:r>
      <w:r w:rsidRPr="00E62FE6">
        <w:t>relocated</w:t>
      </w:r>
      <w:r w:rsidR="008243CA">
        <w:t xml:space="preserve"> </w:t>
      </w:r>
      <w:r w:rsidRPr="00E62FE6">
        <w:t>in</w:t>
      </w:r>
      <w:r w:rsidR="008243CA">
        <w:t xml:space="preserve"> </w:t>
      </w:r>
      <w:r w:rsidRPr="00E62FE6">
        <w:t>order</w:t>
      </w:r>
      <w:r w:rsidR="008243CA">
        <w:t xml:space="preserve"> </w:t>
      </w:r>
      <w:r w:rsidRPr="00E62FE6">
        <w:t>to</w:t>
      </w:r>
      <w:r w:rsidR="008243CA">
        <w:t xml:space="preserve"> </w:t>
      </w:r>
      <w:r w:rsidRPr="00E62FE6">
        <w:t>optimize</w:t>
      </w:r>
      <w:r w:rsidR="008243CA">
        <w:t xml:space="preserve"> </w:t>
      </w:r>
      <w:r w:rsidRPr="00E62FE6">
        <w:t>segregation</w:t>
      </w:r>
      <w:r w:rsidR="008243CA">
        <w:t xml:space="preserve"> </w:t>
      </w:r>
      <w:r w:rsidRPr="00E62FE6">
        <w:t>and</w:t>
      </w:r>
      <w:r w:rsidR="008243CA">
        <w:t xml:space="preserve"> </w:t>
      </w:r>
      <w:r w:rsidRPr="00E62FE6">
        <w:t>improve</w:t>
      </w:r>
      <w:r w:rsidR="008243CA">
        <w:t xml:space="preserve"> </w:t>
      </w:r>
      <w:r w:rsidRPr="00E62FE6">
        <w:t>conditions</w:t>
      </w:r>
      <w:r w:rsidR="008243CA">
        <w:t xml:space="preserve"> </w:t>
      </w:r>
      <w:r w:rsidRPr="00E62FE6">
        <w:t>for</w:t>
      </w:r>
      <w:r w:rsidR="008243CA">
        <w:t xml:space="preserve"> </w:t>
      </w:r>
      <w:r w:rsidRPr="00E62FE6">
        <w:t>first-time</w:t>
      </w:r>
      <w:r w:rsidR="008243CA">
        <w:t xml:space="preserve"> </w:t>
      </w:r>
      <w:r w:rsidRPr="00E62FE6">
        <w:t>detainees.</w:t>
      </w:r>
    </w:p>
    <w:p w:rsidR="003F7D03" w:rsidRPr="00E62FE6" w:rsidRDefault="003F7D03" w:rsidP="000949BE">
      <w:pPr>
        <w:pStyle w:val="H23G"/>
      </w:pPr>
      <w:r w:rsidRPr="00E62FE6">
        <w:tab/>
      </w:r>
      <w:bookmarkStart w:id="86" w:name="_Toc512870698"/>
      <w:bookmarkStart w:id="87" w:name="_Toc512870860"/>
      <w:r w:rsidRPr="00E62FE6">
        <w:t>3.3.2</w:t>
      </w:r>
      <w:r w:rsidR="008243CA">
        <w:t xml:space="preserve"> </w:t>
      </w:r>
      <w:r w:rsidRPr="00E62FE6">
        <w:tab/>
        <w:t>Food</w:t>
      </w:r>
      <w:r w:rsidR="008243CA">
        <w:t xml:space="preserve"> </w:t>
      </w:r>
      <w:r w:rsidRPr="00E62FE6">
        <w:t>and</w:t>
      </w:r>
      <w:r w:rsidR="008243CA">
        <w:t xml:space="preserve"> </w:t>
      </w:r>
      <w:r w:rsidRPr="00E62FE6">
        <w:t>essential</w:t>
      </w:r>
      <w:r w:rsidR="008243CA">
        <w:t xml:space="preserve"> </w:t>
      </w:r>
      <w:r w:rsidRPr="00E62FE6">
        <w:t>goods</w:t>
      </w:r>
      <w:bookmarkEnd w:id="86"/>
      <w:bookmarkEnd w:id="87"/>
    </w:p>
    <w:p w:rsidR="003F7D03" w:rsidRPr="00E62FE6" w:rsidRDefault="003F7D03" w:rsidP="000C6D98">
      <w:pPr>
        <w:pStyle w:val="SingleTxtG"/>
      </w:pPr>
      <w:r w:rsidRPr="00E62FE6">
        <w:t>123.</w:t>
      </w:r>
      <w:r w:rsidRPr="00E62FE6">
        <w:tab/>
        <w:t>The</w:t>
      </w:r>
      <w:r w:rsidR="008243CA">
        <w:t xml:space="preserve"> </w:t>
      </w:r>
      <w:r w:rsidRPr="00E62FE6">
        <w:t>Government</w:t>
      </w:r>
      <w:r w:rsidR="008243CA">
        <w:t xml:space="preserve"> </w:t>
      </w:r>
      <w:r w:rsidRPr="00E62FE6">
        <w:t>still</w:t>
      </w:r>
      <w:r w:rsidR="008243CA">
        <w:t xml:space="preserve"> </w:t>
      </w:r>
      <w:r w:rsidRPr="00E62FE6">
        <w:t>needs</w:t>
      </w:r>
      <w:r w:rsidR="008243CA">
        <w:t xml:space="preserve"> </w:t>
      </w:r>
      <w:r w:rsidRPr="00E62FE6">
        <w:t>to</w:t>
      </w:r>
      <w:r w:rsidR="008243CA">
        <w:t xml:space="preserve"> </w:t>
      </w:r>
      <w:r w:rsidRPr="00E62FE6">
        <w:t>rectify</w:t>
      </w:r>
      <w:r w:rsidR="008243CA">
        <w:t xml:space="preserve"> </w:t>
      </w:r>
      <w:r w:rsidRPr="00E62FE6">
        <w:t>a</w:t>
      </w:r>
      <w:r w:rsidR="008243CA">
        <w:t xml:space="preserve"> </w:t>
      </w:r>
      <w:r w:rsidRPr="00E62FE6">
        <w:t>number</w:t>
      </w:r>
      <w:r w:rsidR="008243CA">
        <w:t xml:space="preserve"> </w:t>
      </w:r>
      <w:r w:rsidRPr="00E62FE6">
        <w:t>of</w:t>
      </w:r>
      <w:r w:rsidR="008243CA">
        <w:t xml:space="preserve"> </w:t>
      </w:r>
      <w:r w:rsidRPr="00E62FE6">
        <w:t>shortcomings</w:t>
      </w:r>
      <w:r w:rsidR="008243CA">
        <w:t xml:space="preserve"> </w:t>
      </w:r>
      <w:r w:rsidRPr="00E62FE6">
        <w:t>in</w:t>
      </w:r>
      <w:r w:rsidR="008243CA">
        <w:t xml:space="preserve"> </w:t>
      </w:r>
      <w:r w:rsidRPr="00E62FE6">
        <w:t>relation</w:t>
      </w:r>
      <w:r w:rsidR="008243CA">
        <w:t xml:space="preserve"> </w:t>
      </w:r>
      <w:r w:rsidRPr="00E62FE6">
        <w:t>to</w:t>
      </w:r>
      <w:r w:rsidR="008243CA">
        <w:t xml:space="preserve"> </w:t>
      </w:r>
      <w:r w:rsidRPr="00E62FE6">
        <w:t>food</w:t>
      </w:r>
      <w:r w:rsidR="008243CA">
        <w:t xml:space="preserve"> </w:t>
      </w:r>
      <w:r w:rsidRPr="00E62FE6">
        <w:t>and</w:t>
      </w:r>
      <w:r w:rsidR="008243CA">
        <w:t xml:space="preserve"> </w:t>
      </w:r>
      <w:r w:rsidRPr="00E62FE6">
        <w:t>the</w:t>
      </w:r>
      <w:r w:rsidR="008243CA">
        <w:t xml:space="preserve"> </w:t>
      </w:r>
      <w:r w:rsidRPr="00E62FE6">
        <w:t>supply</w:t>
      </w:r>
      <w:r w:rsidR="008243CA">
        <w:t xml:space="preserve"> </w:t>
      </w:r>
      <w:r w:rsidRPr="00E62FE6">
        <w:t>of</w:t>
      </w:r>
      <w:r w:rsidR="008243CA">
        <w:t xml:space="preserve"> </w:t>
      </w:r>
      <w:r w:rsidRPr="00E62FE6">
        <w:t>essential</w:t>
      </w:r>
      <w:r w:rsidR="008243CA">
        <w:t xml:space="preserve"> </w:t>
      </w:r>
      <w:r w:rsidRPr="00E62FE6">
        <w:t>goods.</w:t>
      </w:r>
      <w:r w:rsidR="008243CA">
        <w:t xml:space="preserve"> </w:t>
      </w:r>
      <w:r w:rsidRPr="00E62FE6">
        <w:t>Accordingly,</w:t>
      </w:r>
      <w:r w:rsidR="008243CA">
        <w:t xml:space="preserve"> </w:t>
      </w:r>
      <w:r w:rsidRPr="00E62FE6">
        <w:t>and</w:t>
      </w:r>
      <w:r w:rsidR="008243CA">
        <w:t xml:space="preserve"> </w:t>
      </w:r>
      <w:r w:rsidRPr="00E62FE6">
        <w:t>in</w:t>
      </w:r>
      <w:r w:rsidR="008243CA">
        <w:t xml:space="preserve"> </w:t>
      </w:r>
      <w:r w:rsidRPr="00E62FE6">
        <w:t>response</w:t>
      </w:r>
      <w:r w:rsidR="008243CA">
        <w:t xml:space="preserve"> </w:t>
      </w:r>
      <w:r w:rsidRPr="00E62FE6">
        <w:t>to</w:t>
      </w:r>
      <w:r w:rsidR="008243CA">
        <w:t xml:space="preserve"> </w:t>
      </w:r>
      <w:r w:rsidRPr="00E62FE6">
        <w:t>the</w:t>
      </w:r>
      <w:r w:rsidR="008243CA">
        <w:t xml:space="preserve"> </w:t>
      </w:r>
      <w:r w:rsidRPr="00E62FE6">
        <w:t>recommendations</w:t>
      </w:r>
      <w:r w:rsidR="008243CA">
        <w:t xml:space="preserve"> </w:t>
      </w:r>
      <w:r w:rsidRPr="00E62FE6">
        <w:t>of</w:t>
      </w:r>
      <w:r w:rsidR="008243CA">
        <w:t xml:space="preserve"> </w:t>
      </w:r>
      <w:r w:rsidRPr="00E62FE6">
        <w:t>the</w:t>
      </w:r>
      <w:r w:rsidR="008243CA">
        <w:t xml:space="preserve"> </w:t>
      </w:r>
      <w:r w:rsidRPr="00E62FE6">
        <w:t>Subcommittee,</w:t>
      </w:r>
      <w:r w:rsidR="008243CA">
        <w:t xml:space="preserve"> </w:t>
      </w:r>
      <w:r w:rsidRPr="00E62FE6">
        <w:t>the</w:t>
      </w:r>
      <w:r w:rsidR="008243CA">
        <w:t xml:space="preserve"> </w:t>
      </w:r>
      <w:r w:rsidRPr="00E62FE6">
        <w:t>authorities</w:t>
      </w:r>
      <w:r w:rsidR="008243CA">
        <w:t xml:space="preserve"> </w:t>
      </w:r>
      <w:r w:rsidRPr="00E62FE6">
        <w:t>have</w:t>
      </w:r>
      <w:r w:rsidR="008243CA">
        <w:t xml:space="preserve"> </w:t>
      </w:r>
      <w:r w:rsidRPr="00E62FE6">
        <w:t>taken</w:t>
      </w:r>
      <w:r w:rsidR="008243CA">
        <w:t xml:space="preserve"> </w:t>
      </w:r>
      <w:r w:rsidRPr="00E62FE6">
        <w:t>the</w:t>
      </w:r>
      <w:r w:rsidR="008243CA">
        <w:t xml:space="preserve"> </w:t>
      </w:r>
      <w:r w:rsidRPr="00E62FE6">
        <w:t>actions</w:t>
      </w:r>
      <w:r w:rsidR="008243CA">
        <w:t xml:space="preserve"> </w:t>
      </w:r>
      <w:r w:rsidRPr="00E62FE6">
        <w:t>described</w:t>
      </w:r>
      <w:r w:rsidR="008243CA">
        <w:t xml:space="preserve"> </w:t>
      </w:r>
      <w:r w:rsidRPr="00E62FE6">
        <w:t>below.</w:t>
      </w:r>
    </w:p>
    <w:p w:rsidR="003F7D03" w:rsidRPr="000949BE" w:rsidRDefault="003F7D03" w:rsidP="000C6D98">
      <w:pPr>
        <w:pStyle w:val="SingleTxtG"/>
        <w:rPr>
          <w:i/>
          <w:iCs/>
        </w:rPr>
      </w:pPr>
      <w:r w:rsidRPr="00E62FE6">
        <w:t>124.</w:t>
      </w:r>
      <w:r w:rsidRPr="00E62FE6">
        <w:tab/>
        <w:t>Paragraph</w:t>
      </w:r>
      <w:r w:rsidR="008243CA">
        <w:t xml:space="preserve"> </w:t>
      </w:r>
      <w:r w:rsidRPr="00E62FE6">
        <w:t>81:</w:t>
      </w:r>
      <w:r w:rsidR="008243CA">
        <w:t xml:space="preserve"> </w:t>
      </w:r>
      <w:r w:rsidRPr="000949BE">
        <w:rPr>
          <w:i/>
          <w:iCs/>
        </w:rPr>
        <w:t>In</w:t>
      </w:r>
      <w:r w:rsidR="008243CA" w:rsidRPr="000949BE">
        <w:rPr>
          <w:i/>
          <w:iCs/>
        </w:rPr>
        <w:t xml:space="preserve"> </w:t>
      </w:r>
      <w:r w:rsidRPr="000949BE">
        <w:rPr>
          <w:i/>
          <w:iCs/>
        </w:rPr>
        <w:t>view</w:t>
      </w:r>
      <w:r w:rsidR="008243CA" w:rsidRPr="000949BE">
        <w:rPr>
          <w:i/>
          <w:iCs/>
        </w:rPr>
        <w:t xml:space="preserve"> </w:t>
      </w:r>
      <w:r w:rsidRPr="000949BE">
        <w:rPr>
          <w:i/>
          <w:iCs/>
        </w:rPr>
        <w:t>of</w:t>
      </w:r>
      <w:r w:rsidR="008243CA" w:rsidRPr="000949BE">
        <w:rPr>
          <w:i/>
          <w:iCs/>
        </w:rPr>
        <w:t xml:space="preserve"> </w:t>
      </w:r>
      <w:r w:rsidRPr="000949BE">
        <w:rPr>
          <w:i/>
          <w:iCs/>
        </w:rPr>
        <w:t>the</w:t>
      </w:r>
      <w:r w:rsidR="008243CA" w:rsidRPr="000949BE">
        <w:rPr>
          <w:i/>
          <w:iCs/>
        </w:rPr>
        <w:t xml:space="preserve"> </w:t>
      </w:r>
      <w:r w:rsidRPr="000949BE">
        <w:rPr>
          <w:i/>
          <w:iCs/>
        </w:rPr>
        <w:t>fact</w:t>
      </w:r>
      <w:r w:rsidR="008243CA" w:rsidRPr="000949BE">
        <w:rPr>
          <w:i/>
          <w:iCs/>
        </w:rPr>
        <w:t xml:space="preserve"> </w:t>
      </w:r>
      <w:r w:rsidRPr="000949BE">
        <w:rPr>
          <w:i/>
          <w:iCs/>
        </w:rPr>
        <w:t>that</w:t>
      </w:r>
      <w:r w:rsidR="008243CA" w:rsidRPr="000949BE">
        <w:rPr>
          <w:i/>
          <w:iCs/>
        </w:rPr>
        <w:t xml:space="preserve"> </w:t>
      </w:r>
      <w:r w:rsidRPr="000949BE">
        <w:rPr>
          <w:i/>
          <w:iCs/>
        </w:rPr>
        <w:t>food</w:t>
      </w:r>
      <w:r w:rsidR="008243CA" w:rsidRPr="000949BE">
        <w:rPr>
          <w:i/>
          <w:iCs/>
        </w:rPr>
        <w:t xml:space="preserve"> </w:t>
      </w:r>
      <w:r w:rsidRPr="000949BE">
        <w:rPr>
          <w:i/>
          <w:iCs/>
        </w:rPr>
        <w:t>is</w:t>
      </w:r>
      <w:r w:rsidR="008243CA" w:rsidRPr="000949BE">
        <w:rPr>
          <w:i/>
          <w:iCs/>
        </w:rPr>
        <w:t xml:space="preserve"> </w:t>
      </w:r>
      <w:r w:rsidRPr="000949BE">
        <w:rPr>
          <w:i/>
          <w:iCs/>
        </w:rPr>
        <w:t>an</w:t>
      </w:r>
      <w:r w:rsidR="008243CA" w:rsidRPr="000949BE">
        <w:rPr>
          <w:i/>
          <w:iCs/>
        </w:rPr>
        <w:t xml:space="preserve"> </w:t>
      </w:r>
      <w:r w:rsidRPr="000949BE">
        <w:rPr>
          <w:i/>
          <w:iCs/>
        </w:rPr>
        <w:t>essential</w:t>
      </w:r>
      <w:r w:rsidR="008243CA" w:rsidRPr="000949BE">
        <w:rPr>
          <w:i/>
          <w:iCs/>
        </w:rPr>
        <w:t xml:space="preserve"> </w:t>
      </w:r>
      <w:r w:rsidRPr="000949BE">
        <w:rPr>
          <w:i/>
          <w:iCs/>
        </w:rPr>
        <w:t>component</w:t>
      </w:r>
      <w:r w:rsidR="008243CA" w:rsidRPr="000949BE">
        <w:rPr>
          <w:i/>
          <w:iCs/>
        </w:rPr>
        <w:t xml:space="preserve"> </w:t>
      </w:r>
      <w:r w:rsidRPr="000949BE">
        <w:rPr>
          <w:i/>
          <w:iCs/>
        </w:rPr>
        <w:t>of</w:t>
      </w:r>
      <w:r w:rsidR="008243CA" w:rsidRPr="000949BE">
        <w:rPr>
          <w:i/>
          <w:iCs/>
        </w:rPr>
        <w:t xml:space="preserve"> </w:t>
      </w:r>
      <w:r w:rsidRPr="000949BE">
        <w:rPr>
          <w:i/>
          <w:iCs/>
        </w:rPr>
        <w:t>good</w:t>
      </w:r>
      <w:r w:rsidR="008243CA" w:rsidRPr="000949BE">
        <w:rPr>
          <w:i/>
          <w:iCs/>
        </w:rPr>
        <w:t xml:space="preserve"> </w:t>
      </w:r>
      <w:r w:rsidRPr="000949BE">
        <w:rPr>
          <w:i/>
          <w:iCs/>
        </w:rPr>
        <w:t>health,</w:t>
      </w:r>
      <w:r w:rsidR="008243CA" w:rsidRPr="000949BE">
        <w:rPr>
          <w:i/>
          <w:iCs/>
        </w:rPr>
        <w:t xml:space="preserve"> </w:t>
      </w:r>
      <w:r w:rsidRPr="000949BE">
        <w:rPr>
          <w:i/>
          <w:iCs/>
        </w:rPr>
        <w:t>the</w:t>
      </w:r>
      <w:r w:rsidR="008243CA" w:rsidRPr="000949BE">
        <w:rPr>
          <w:i/>
          <w:iCs/>
        </w:rPr>
        <w:t xml:space="preserve"> </w:t>
      </w:r>
      <w:r w:rsidRPr="000949BE">
        <w:rPr>
          <w:i/>
          <w:iCs/>
        </w:rPr>
        <w:t>Subcommittee</w:t>
      </w:r>
      <w:r w:rsidR="008243CA" w:rsidRPr="000949BE">
        <w:rPr>
          <w:i/>
          <w:iCs/>
        </w:rPr>
        <w:t xml:space="preserve"> </w:t>
      </w:r>
      <w:r w:rsidRPr="000949BE">
        <w:rPr>
          <w:i/>
          <w:iCs/>
        </w:rPr>
        <w:t>recommends</w:t>
      </w:r>
      <w:r w:rsidR="008243CA" w:rsidRPr="000949BE">
        <w:rPr>
          <w:i/>
          <w:iCs/>
        </w:rPr>
        <w:t xml:space="preserve"> </w:t>
      </w:r>
      <w:r w:rsidRPr="000949BE">
        <w:rPr>
          <w:i/>
          <w:iCs/>
        </w:rPr>
        <w:t>that</w:t>
      </w:r>
      <w:r w:rsidR="008243CA" w:rsidRPr="000949BE">
        <w:rPr>
          <w:i/>
          <w:iCs/>
        </w:rPr>
        <w:t xml:space="preserve"> </w:t>
      </w:r>
      <w:r w:rsidRPr="000949BE">
        <w:rPr>
          <w:i/>
          <w:iCs/>
        </w:rPr>
        <w:t>the</w:t>
      </w:r>
      <w:r w:rsidR="008243CA" w:rsidRPr="000949BE">
        <w:rPr>
          <w:i/>
          <w:iCs/>
        </w:rPr>
        <w:t xml:space="preserve"> </w:t>
      </w:r>
      <w:r w:rsidRPr="000949BE">
        <w:rPr>
          <w:i/>
          <w:iCs/>
        </w:rPr>
        <w:t>State</w:t>
      </w:r>
      <w:r w:rsidR="008243CA" w:rsidRPr="000949BE">
        <w:rPr>
          <w:i/>
          <w:iCs/>
        </w:rPr>
        <w:t xml:space="preserve"> </w:t>
      </w:r>
      <w:r w:rsidRPr="000949BE">
        <w:rPr>
          <w:i/>
          <w:iCs/>
        </w:rPr>
        <w:t>party</w:t>
      </w:r>
      <w:r w:rsidR="008243CA" w:rsidRPr="000949BE">
        <w:rPr>
          <w:i/>
          <w:iCs/>
        </w:rPr>
        <w:t xml:space="preserve"> </w:t>
      </w:r>
      <w:r w:rsidRPr="000949BE">
        <w:rPr>
          <w:i/>
          <w:iCs/>
        </w:rPr>
        <w:t>ensure</w:t>
      </w:r>
      <w:r w:rsidR="008243CA" w:rsidRPr="000949BE">
        <w:rPr>
          <w:i/>
          <w:iCs/>
        </w:rPr>
        <w:t xml:space="preserve"> </w:t>
      </w:r>
      <w:r w:rsidRPr="000949BE">
        <w:rPr>
          <w:i/>
          <w:iCs/>
        </w:rPr>
        <w:t>that</w:t>
      </w:r>
      <w:r w:rsidR="008243CA" w:rsidRPr="000949BE">
        <w:rPr>
          <w:i/>
          <w:iCs/>
        </w:rPr>
        <w:t xml:space="preserve"> </w:t>
      </w:r>
      <w:r w:rsidRPr="000949BE">
        <w:rPr>
          <w:i/>
          <w:iCs/>
        </w:rPr>
        <w:t>prison</w:t>
      </w:r>
      <w:r w:rsidR="008243CA" w:rsidRPr="000949BE">
        <w:rPr>
          <w:i/>
          <w:iCs/>
        </w:rPr>
        <w:t xml:space="preserve"> </w:t>
      </w:r>
      <w:r w:rsidRPr="000949BE">
        <w:rPr>
          <w:i/>
          <w:iCs/>
        </w:rPr>
        <w:t>facilities</w:t>
      </w:r>
      <w:r w:rsidR="008243CA" w:rsidRPr="000949BE">
        <w:rPr>
          <w:i/>
          <w:iCs/>
        </w:rPr>
        <w:t xml:space="preserve"> </w:t>
      </w:r>
      <w:r w:rsidRPr="000949BE">
        <w:rPr>
          <w:i/>
          <w:iCs/>
        </w:rPr>
        <w:t>provide</w:t>
      </w:r>
      <w:r w:rsidR="008243CA" w:rsidRPr="000949BE">
        <w:rPr>
          <w:i/>
          <w:iCs/>
        </w:rPr>
        <w:t xml:space="preserve"> </w:t>
      </w:r>
      <w:r w:rsidRPr="000949BE">
        <w:rPr>
          <w:i/>
          <w:iCs/>
        </w:rPr>
        <w:t>regular,</w:t>
      </w:r>
      <w:r w:rsidR="008243CA" w:rsidRPr="000949BE">
        <w:rPr>
          <w:i/>
          <w:iCs/>
        </w:rPr>
        <w:t xml:space="preserve"> </w:t>
      </w:r>
      <w:r w:rsidRPr="000949BE">
        <w:rPr>
          <w:i/>
          <w:iCs/>
        </w:rPr>
        <w:t>good-quality</w:t>
      </w:r>
      <w:r w:rsidR="008243CA" w:rsidRPr="000949BE">
        <w:rPr>
          <w:i/>
          <w:iCs/>
        </w:rPr>
        <w:t xml:space="preserve"> </w:t>
      </w:r>
      <w:r w:rsidRPr="000949BE">
        <w:rPr>
          <w:i/>
          <w:iCs/>
        </w:rPr>
        <w:t>meals</w:t>
      </w:r>
      <w:r w:rsidR="008243CA" w:rsidRPr="000949BE">
        <w:rPr>
          <w:i/>
          <w:iCs/>
        </w:rPr>
        <w:t xml:space="preserve"> </w:t>
      </w:r>
      <w:r w:rsidRPr="000949BE">
        <w:rPr>
          <w:i/>
          <w:iCs/>
        </w:rPr>
        <w:t>that</w:t>
      </w:r>
      <w:r w:rsidR="008243CA" w:rsidRPr="000949BE">
        <w:rPr>
          <w:i/>
          <w:iCs/>
        </w:rPr>
        <w:t xml:space="preserve"> </w:t>
      </w:r>
      <w:r w:rsidRPr="000949BE">
        <w:rPr>
          <w:i/>
          <w:iCs/>
        </w:rPr>
        <w:t>are</w:t>
      </w:r>
      <w:r w:rsidR="008243CA" w:rsidRPr="000949BE">
        <w:rPr>
          <w:i/>
          <w:iCs/>
        </w:rPr>
        <w:t xml:space="preserve"> </w:t>
      </w:r>
      <w:r w:rsidRPr="000949BE">
        <w:rPr>
          <w:i/>
          <w:iCs/>
        </w:rPr>
        <w:t>well</w:t>
      </w:r>
      <w:r w:rsidR="008243CA" w:rsidRPr="000949BE">
        <w:rPr>
          <w:i/>
          <w:iCs/>
        </w:rPr>
        <w:t xml:space="preserve"> </w:t>
      </w:r>
      <w:r w:rsidRPr="000949BE">
        <w:rPr>
          <w:i/>
          <w:iCs/>
        </w:rPr>
        <w:t>prepared</w:t>
      </w:r>
      <w:r w:rsidR="008243CA" w:rsidRPr="000949BE">
        <w:rPr>
          <w:i/>
          <w:iCs/>
        </w:rPr>
        <w:t xml:space="preserve"> </w:t>
      </w:r>
      <w:r w:rsidRPr="000949BE">
        <w:rPr>
          <w:i/>
          <w:iCs/>
        </w:rPr>
        <w:t>and</w:t>
      </w:r>
      <w:r w:rsidR="008243CA" w:rsidRPr="000949BE">
        <w:rPr>
          <w:i/>
          <w:iCs/>
        </w:rPr>
        <w:t xml:space="preserve"> </w:t>
      </w:r>
      <w:r w:rsidRPr="000949BE">
        <w:rPr>
          <w:i/>
          <w:iCs/>
        </w:rPr>
        <w:t>served</w:t>
      </w:r>
      <w:r w:rsidR="008243CA" w:rsidRPr="000949BE">
        <w:rPr>
          <w:i/>
          <w:iCs/>
        </w:rPr>
        <w:t xml:space="preserve"> </w:t>
      </w:r>
      <w:r w:rsidRPr="000949BE">
        <w:rPr>
          <w:i/>
          <w:iCs/>
        </w:rPr>
        <w:t>and</w:t>
      </w:r>
      <w:r w:rsidR="008243CA" w:rsidRPr="000949BE">
        <w:rPr>
          <w:i/>
          <w:iCs/>
        </w:rPr>
        <w:t xml:space="preserve"> </w:t>
      </w:r>
      <w:r w:rsidRPr="000949BE">
        <w:rPr>
          <w:i/>
          <w:iCs/>
        </w:rPr>
        <w:t>offer</w:t>
      </w:r>
      <w:r w:rsidR="008243CA" w:rsidRPr="000949BE">
        <w:rPr>
          <w:i/>
          <w:iCs/>
        </w:rPr>
        <w:t xml:space="preserve"> </w:t>
      </w:r>
      <w:r w:rsidRPr="000949BE">
        <w:rPr>
          <w:i/>
          <w:iCs/>
        </w:rPr>
        <w:t>sufficient</w:t>
      </w:r>
      <w:r w:rsidR="008243CA" w:rsidRPr="000949BE">
        <w:rPr>
          <w:i/>
          <w:iCs/>
        </w:rPr>
        <w:t xml:space="preserve"> </w:t>
      </w:r>
      <w:r w:rsidRPr="000949BE">
        <w:rPr>
          <w:i/>
          <w:iCs/>
        </w:rPr>
        <w:t>nutritional</w:t>
      </w:r>
      <w:r w:rsidR="008243CA" w:rsidRPr="000949BE">
        <w:rPr>
          <w:i/>
          <w:iCs/>
        </w:rPr>
        <w:t xml:space="preserve"> </w:t>
      </w:r>
      <w:r w:rsidRPr="000949BE">
        <w:rPr>
          <w:i/>
          <w:iCs/>
        </w:rPr>
        <w:t>value.</w:t>
      </w:r>
      <w:r w:rsidR="008243CA" w:rsidRPr="000949BE">
        <w:rPr>
          <w:i/>
          <w:iCs/>
        </w:rPr>
        <w:t xml:space="preserve"> </w:t>
      </w:r>
      <w:r w:rsidRPr="000949BE">
        <w:rPr>
          <w:i/>
          <w:iCs/>
        </w:rPr>
        <w:t>Similarly,</w:t>
      </w:r>
      <w:r w:rsidR="008243CA" w:rsidRPr="000949BE">
        <w:rPr>
          <w:i/>
          <w:iCs/>
        </w:rPr>
        <w:t xml:space="preserve"> </w:t>
      </w:r>
      <w:r w:rsidRPr="000949BE">
        <w:rPr>
          <w:i/>
          <w:iCs/>
        </w:rPr>
        <w:t>the</w:t>
      </w:r>
      <w:r w:rsidR="008243CA" w:rsidRPr="000949BE">
        <w:rPr>
          <w:i/>
          <w:iCs/>
        </w:rPr>
        <w:t xml:space="preserve"> </w:t>
      </w:r>
      <w:r w:rsidRPr="000949BE">
        <w:rPr>
          <w:i/>
          <w:iCs/>
        </w:rPr>
        <w:t>health-care</w:t>
      </w:r>
      <w:r w:rsidR="008243CA" w:rsidRPr="000949BE">
        <w:rPr>
          <w:i/>
          <w:iCs/>
        </w:rPr>
        <w:t xml:space="preserve"> </w:t>
      </w:r>
      <w:r w:rsidRPr="000949BE">
        <w:rPr>
          <w:i/>
          <w:iCs/>
        </w:rPr>
        <w:t>team</w:t>
      </w:r>
      <w:r w:rsidR="008243CA" w:rsidRPr="000949BE">
        <w:rPr>
          <w:i/>
          <w:iCs/>
        </w:rPr>
        <w:t xml:space="preserve"> </w:t>
      </w:r>
      <w:r w:rsidRPr="000949BE">
        <w:rPr>
          <w:i/>
          <w:iCs/>
        </w:rPr>
        <w:t>should</w:t>
      </w:r>
      <w:r w:rsidR="008243CA" w:rsidRPr="000949BE">
        <w:rPr>
          <w:i/>
          <w:iCs/>
        </w:rPr>
        <w:t xml:space="preserve"> </w:t>
      </w:r>
      <w:r w:rsidRPr="000949BE">
        <w:rPr>
          <w:i/>
          <w:iCs/>
        </w:rPr>
        <w:t>monitor</w:t>
      </w:r>
      <w:r w:rsidR="008243CA" w:rsidRPr="000949BE">
        <w:rPr>
          <w:i/>
          <w:iCs/>
        </w:rPr>
        <w:t xml:space="preserve"> </w:t>
      </w:r>
      <w:r w:rsidRPr="000949BE">
        <w:rPr>
          <w:i/>
          <w:iCs/>
        </w:rPr>
        <w:t>every</w:t>
      </w:r>
      <w:r w:rsidR="008243CA" w:rsidRPr="000949BE">
        <w:rPr>
          <w:i/>
          <w:iCs/>
        </w:rPr>
        <w:t xml:space="preserve"> </w:t>
      </w:r>
      <w:r w:rsidRPr="000949BE">
        <w:rPr>
          <w:i/>
          <w:iCs/>
        </w:rPr>
        <w:t>stage</w:t>
      </w:r>
      <w:r w:rsidR="008243CA" w:rsidRPr="000949BE">
        <w:rPr>
          <w:i/>
          <w:iCs/>
        </w:rPr>
        <w:t xml:space="preserve"> </w:t>
      </w:r>
      <w:r w:rsidRPr="000949BE">
        <w:rPr>
          <w:i/>
          <w:iCs/>
        </w:rPr>
        <w:t>in</w:t>
      </w:r>
      <w:r w:rsidR="008243CA" w:rsidRPr="000949BE">
        <w:rPr>
          <w:i/>
          <w:iCs/>
        </w:rPr>
        <w:t xml:space="preserve"> </w:t>
      </w:r>
      <w:r w:rsidRPr="000949BE">
        <w:rPr>
          <w:i/>
          <w:iCs/>
        </w:rPr>
        <w:t>the</w:t>
      </w:r>
      <w:r w:rsidR="008243CA" w:rsidRPr="000949BE">
        <w:rPr>
          <w:i/>
          <w:iCs/>
        </w:rPr>
        <w:t xml:space="preserve"> </w:t>
      </w:r>
      <w:r w:rsidRPr="000949BE">
        <w:rPr>
          <w:i/>
          <w:iCs/>
        </w:rPr>
        <w:t>production</w:t>
      </w:r>
      <w:r w:rsidR="008243CA" w:rsidRPr="000949BE">
        <w:rPr>
          <w:i/>
          <w:iCs/>
        </w:rPr>
        <w:t xml:space="preserve"> </w:t>
      </w:r>
      <w:r w:rsidRPr="000949BE">
        <w:rPr>
          <w:i/>
          <w:iCs/>
        </w:rPr>
        <w:t>and</w:t>
      </w:r>
      <w:r w:rsidR="008243CA" w:rsidRPr="000949BE">
        <w:rPr>
          <w:i/>
          <w:iCs/>
        </w:rPr>
        <w:t xml:space="preserve"> </w:t>
      </w:r>
      <w:r w:rsidRPr="000949BE">
        <w:rPr>
          <w:i/>
          <w:iCs/>
        </w:rPr>
        <w:t>delivery</w:t>
      </w:r>
      <w:r w:rsidR="008243CA" w:rsidRPr="000949BE">
        <w:rPr>
          <w:i/>
          <w:iCs/>
        </w:rPr>
        <w:t xml:space="preserve"> </w:t>
      </w:r>
      <w:r w:rsidRPr="000949BE">
        <w:rPr>
          <w:i/>
          <w:iCs/>
        </w:rPr>
        <w:t>of</w:t>
      </w:r>
      <w:r w:rsidR="008243CA" w:rsidRPr="000949BE">
        <w:rPr>
          <w:i/>
          <w:iCs/>
        </w:rPr>
        <w:t xml:space="preserve"> </w:t>
      </w:r>
      <w:r w:rsidRPr="000949BE">
        <w:rPr>
          <w:i/>
          <w:iCs/>
        </w:rPr>
        <w:t>food</w:t>
      </w:r>
      <w:r w:rsidR="008243CA" w:rsidRPr="000949BE">
        <w:rPr>
          <w:i/>
          <w:iCs/>
        </w:rPr>
        <w:t xml:space="preserve"> </w:t>
      </w:r>
      <w:r w:rsidRPr="000949BE">
        <w:rPr>
          <w:i/>
          <w:iCs/>
        </w:rPr>
        <w:t>to</w:t>
      </w:r>
      <w:r w:rsidR="008243CA" w:rsidRPr="000949BE">
        <w:rPr>
          <w:i/>
          <w:iCs/>
        </w:rPr>
        <w:t xml:space="preserve"> </w:t>
      </w:r>
      <w:r w:rsidRPr="000949BE">
        <w:rPr>
          <w:i/>
          <w:iCs/>
        </w:rPr>
        <w:t>inmates</w:t>
      </w:r>
      <w:r w:rsidR="008243CA" w:rsidRPr="000949BE">
        <w:rPr>
          <w:i/>
          <w:iCs/>
        </w:rPr>
        <w:t xml:space="preserve"> </w:t>
      </w:r>
      <w:r w:rsidRPr="000949BE">
        <w:rPr>
          <w:i/>
          <w:iCs/>
        </w:rPr>
        <w:t>and</w:t>
      </w:r>
      <w:r w:rsidR="008243CA" w:rsidRPr="000949BE">
        <w:rPr>
          <w:i/>
          <w:iCs/>
        </w:rPr>
        <w:t xml:space="preserve"> </w:t>
      </w:r>
      <w:r w:rsidRPr="000949BE">
        <w:rPr>
          <w:i/>
          <w:iCs/>
        </w:rPr>
        <w:t>ensure</w:t>
      </w:r>
      <w:r w:rsidR="008243CA" w:rsidRPr="000949BE">
        <w:rPr>
          <w:i/>
          <w:iCs/>
        </w:rPr>
        <w:t xml:space="preserve"> </w:t>
      </w:r>
      <w:r w:rsidRPr="000949BE">
        <w:rPr>
          <w:i/>
          <w:iCs/>
        </w:rPr>
        <w:t>that</w:t>
      </w:r>
      <w:r w:rsidR="008243CA" w:rsidRPr="000949BE">
        <w:rPr>
          <w:i/>
          <w:iCs/>
        </w:rPr>
        <w:t xml:space="preserve"> </w:t>
      </w:r>
      <w:r w:rsidRPr="000949BE">
        <w:rPr>
          <w:i/>
          <w:iCs/>
        </w:rPr>
        <w:t>a</w:t>
      </w:r>
      <w:r w:rsidR="008243CA" w:rsidRPr="000949BE">
        <w:rPr>
          <w:i/>
          <w:iCs/>
        </w:rPr>
        <w:t xml:space="preserve"> </w:t>
      </w:r>
      <w:r w:rsidRPr="000949BE">
        <w:rPr>
          <w:i/>
          <w:iCs/>
        </w:rPr>
        <w:t>record</w:t>
      </w:r>
      <w:r w:rsidR="008243CA" w:rsidRPr="000949BE">
        <w:rPr>
          <w:i/>
          <w:iCs/>
        </w:rPr>
        <w:t xml:space="preserve"> </w:t>
      </w:r>
      <w:r w:rsidRPr="000949BE">
        <w:rPr>
          <w:i/>
          <w:iCs/>
        </w:rPr>
        <w:t>is</w:t>
      </w:r>
      <w:r w:rsidR="008243CA" w:rsidRPr="000949BE">
        <w:rPr>
          <w:i/>
          <w:iCs/>
        </w:rPr>
        <w:t xml:space="preserve"> </w:t>
      </w:r>
      <w:r w:rsidRPr="000949BE">
        <w:rPr>
          <w:i/>
          <w:iCs/>
        </w:rPr>
        <w:t>kept</w:t>
      </w:r>
      <w:r w:rsidR="008243CA" w:rsidRPr="000949BE">
        <w:rPr>
          <w:i/>
          <w:iCs/>
        </w:rPr>
        <w:t xml:space="preserve"> </w:t>
      </w:r>
      <w:r w:rsidRPr="000949BE">
        <w:rPr>
          <w:i/>
          <w:iCs/>
        </w:rPr>
        <w:t>of</w:t>
      </w:r>
      <w:r w:rsidR="008243CA" w:rsidRPr="000949BE">
        <w:rPr>
          <w:i/>
          <w:iCs/>
        </w:rPr>
        <w:t xml:space="preserve"> </w:t>
      </w:r>
      <w:r w:rsidRPr="000949BE">
        <w:rPr>
          <w:i/>
          <w:iCs/>
        </w:rPr>
        <w:t>food</w:t>
      </w:r>
      <w:r w:rsidR="008243CA" w:rsidRPr="000949BE">
        <w:rPr>
          <w:i/>
          <w:iCs/>
        </w:rPr>
        <w:t xml:space="preserve"> </w:t>
      </w:r>
      <w:r w:rsidRPr="000949BE">
        <w:rPr>
          <w:i/>
          <w:iCs/>
        </w:rPr>
        <w:t>deliveries.</w:t>
      </w:r>
    </w:p>
    <w:p w:rsidR="003F7D03" w:rsidRPr="00E62FE6" w:rsidRDefault="003F7D03" w:rsidP="000C6D98">
      <w:pPr>
        <w:pStyle w:val="SingleTxtG"/>
      </w:pPr>
      <w:r w:rsidRPr="00E62FE6">
        <w:t>125.</w:t>
      </w:r>
      <w:r w:rsidRPr="00E62FE6">
        <w:tab/>
        <w:t>Paragraph</w:t>
      </w:r>
      <w:r w:rsidR="008243CA">
        <w:t xml:space="preserve"> </w:t>
      </w:r>
      <w:r w:rsidRPr="00E62FE6">
        <w:t>83:</w:t>
      </w:r>
      <w:r w:rsidR="008243CA">
        <w:t xml:space="preserve"> </w:t>
      </w:r>
      <w:r w:rsidRPr="000949BE">
        <w:rPr>
          <w:i/>
          <w:iCs/>
        </w:rPr>
        <w:t>The</w:t>
      </w:r>
      <w:r w:rsidR="008243CA" w:rsidRPr="000949BE">
        <w:rPr>
          <w:i/>
          <w:iCs/>
        </w:rPr>
        <w:t xml:space="preserve"> </w:t>
      </w:r>
      <w:r w:rsidRPr="000949BE">
        <w:rPr>
          <w:i/>
          <w:iCs/>
        </w:rPr>
        <w:t>Subcommittee</w:t>
      </w:r>
      <w:r w:rsidR="008243CA" w:rsidRPr="000949BE">
        <w:rPr>
          <w:i/>
          <w:iCs/>
        </w:rPr>
        <w:t xml:space="preserve"> </w:t>
      </w:r>
      <w:r w:rsidRPr="000949BE">
        <w:rPr>
          <w:i/>
          <w:iCs/>
        </w:rPr>
        <w:t>recommends</w:t>
      </w:r>
      <w:r w:rsidR="008243CA" w:rsidRPr="000949BE">
        <w:rPr>
          <w:i/>
          <w:iCs/>
        </w:rPr>
        <w:t xml:space="preserve"> </w:t>
      </w:r>
      <w:r w:rsidRPr="000949BE">
        <w:rPr>
          <w:i/>
          <w:iCs/>
        </w:rPr>
        <w:t>that,</w:t>
      </w:r>
      <w:r w:rsidR="008243CA" w:rsidRPr="000949BE">
        <w:rPr>
          <w:i/>
          <w:iCs/>
        </w:rPr>
        <w:t xml:space="preserve"> </w:t>
      </w:r>
      <w:r w:rsidRPr="000949BE">
        <w:rPr>
          <w:i/>
          <w:iCs/>
        </w:rPr>
        <w:t>in</w:t>
      </w:r>
      <w:r w:rsidR="008243CA" w:rsidRPr="000949BE">
        <w:rPr>
          <w:i/>
          <w:iCs/>
        </w:rPr>
        <w:t xml:space="preserve"> </w:t>
      </w:r>
      <w:r w:rsidRPr="000949BE">
        <w:rPr>
          <w:i/>
          <w:iCs/>
        </w:rPr>
        <w:t>accordance</w:t>
      </w:r>
      <w:r w:rsidR="008243CA" w:rsidRPr="000949BE">
        <w:rPr>
          <w:i/>
          <w:iCs/>
        </w:rPr>
        <w:t xml:space="preserve"> </w:t>
      </w:r>
      <w:r w:rsidRPr="000949BE">
        <w:rPr>
          <w:i/>
          <w:iCs/>
        </w:rPr>
        <w:t>with</w:t>
      </w:r>
      <w:r w:rsidR="008243CA" w:rsidRPr="000949BE">
        <w:rPr>
          <w:i/>
          <w:iCs/>
        </w:rPr>
        <w:t xml:space="preserve"> </w:t>
      </w:r>
      <w:r w:rsidRPr="000949BE">
        <w:rPr>
          <w:i/>
          <w:iCs/>
        </w:rPr>
        <w:t>the</w:t>
      </w:r>
      <w:r w:rsidR="008243CA" w:rsidRPr="000949BE">
        <w:rPr>
          <w:i/>
          <w:iCs/>
        </w:rPr>
        <w:t xml:space="preserve"> </w:t>
      </w:r>
      <w:r w:rsidRPr="000949BE">
        <w:rPr>
          <w:i/>
          <w:iCs/>
        </w:rPr>
        <w:t>Nelson</w:t>
      </w:r>
      <w:r w:rsidR="008243CA" w:rsidRPr="000949BE">
        <w:rPr>
          <w:i/>
          <w:iCs/>
        </w:rPr>
        <w:t xml:space="preserve"> </w:t>
      </w:r>
      <w:r w:rsidRPr="000949BE">
        <w:rPr>
          <w:i/>
          <w:iCs/>
        </w:rPr>
        <w:t>Mandela</w:t>
      </w:r>
      <w:r w:rsidR="008243CA" w:rsidRPr="000949BE">
        <w:rPr>
          <w:i/>
          <w:iCs/>
        </w:rPr>
        <w:t xml:space="preserve"> </w:t>
      </w:r>
      <w:r w:rsidRPr="000949BE">
        <w:rPr>
          <w:i/>
          <w:iCs/>
        </w:rPr>
        <w:t>Rules</w:t>
      </w:r>
      <w:r w:rsidR="008243CA" w:rsidRPr="000949BE">
        <w:rPr>
          <w:i/>
          <w:iCs/>
        </w:rPr>
        <w:t xml:space="preserve"> </w:t>
      </w:r>
      <w:r w:rsidRPr="000949BE">
        <w:rPr>
          <w:i/>
          <w:iCs/>
        </w:rPr>
        <w:t>(rule</w:t>
      </w:r>
      <w:r w:rsidR="008243CA" w:rsidRPr="000949BE">
        <w:rPr>
          <w:i/>
          <w:iCs/>
        </w:rPr>
        <w:t xml:space="preserve"> </w:t>
      </w:r>
      <w:r w:rsidRPr="000949BE">
        <w:rPr>
          <w:i/>
          <w:iCs/>
        </w:rPr>
        <w:t>22),</w:t>
      </w:r>
      <w:r w:rsidR="008243CA" w:rsidRPr="000949BE">
        <w:rPr>
          <w:i/>
          <w:iCs/>
        </w:rPr>
        <w:t xml:space="preserve"> </w:t>
      </w:r>
      <w:r w:rsidRPr="000949BE">
        <w:rPr>
          <w:i/>
          <w:iCs/>
        </w:rPr>
        <w:t>the</w:t>
      </w:r>
      <w:r w:rsidR="008243CA" w:rsidRPr="000949BE">
        <w:rPr>
          <w:i/>
          <w:iCs/>
        </w:rPr>
        <w:t xml:space="preserve"> </w:t>
      </w:r>
      <w:r w:rsidRPr="000949BE">
        <w:rPr>
          <w:i/>
          <w:iCs/>
        </w:rPr>
        <w:t>State</w:t>
      </w:r>
      <w:r w:rsidR="008243CA" w:rsidRPr="000949BE">
        <w:rPr>
          <w:i/>
          <w:iCs/>
        </w:rPr>
        <w:t xml:space="preserve"> </w:t>
      </w:r>
      <w:r w:rsidRPr="000949BE">
        <w:rPr>
          <w:i/>
          <w:iCs/>
        </w:rPr>
        <w:t>party</w:t>
      </w:r>
      <w:r w:rsidR="008243CA" w:rsidRPr="000949BE">
        <w:rPr>
          <w:i/>
          <w:iCs/>
        </w:rPr>
        <w:t xml:space="preserve"> </w:t>
      </w:r>
      <w:r w:rsidRPr="000949BE">
        <w:rPr>
          <w:i/>
          <w:iCs/>
        </w:rPr>
        <w:t>ensure</w:t>
      </w:r>
      <w:r w:rsidR="008243CA" w:rsidRPr="000949BE">
        <w:rPr>
          <w:i/>
          <w:iCs/>
        </w:rPr>
        <w:t xml:space="preserve"> </w:t>
      </w:r>
      <w:r w:rsidRPr="000949BE">
        <w:rPr>
          <w:i/>
          <w:iCs/>
        </w:rPr>
        <w:t>that</w:t>
      </w:r>
      <w:r w:rsidR="008243CA" w:rsidRPr="000949BE">
        <w:rPr>
          <w:i/>
          <w:iCs/>
        </w:rPr>
        <w:t xml:space="preserve"> </w:t>
      </w:r>
      <w:r w:rsidRPr="000949BE">
        <w:rPr>
          <w:i/>
          <w:iCs/>
        </w:rPr>
        <w:t>every</w:t>
      </w:r>
      <w:r w:rsidR="008243CA" w:rsidRPr="000949BE">
        <w:rPr>
          <w:i/>
          <w:iCs/>
        </w:rPr>
        <w:t xml:space="preserve"> </w:t>
      </w:r>
      <w:r w:rsidRPr="000949BE">
        <w:rPr>
          <w:i/>
          <w:iCs/>
        </w:rPr>
        <w:t>prisoner</w:t>
      </w:r>
      <w:r w:rsidR="008243CA" w:rsidRPr="000949BE">
        <w:rPr>
          <w:i/>
          <w:iCs/>
        </w:rPr>
        <w:t xml:space="preserve"> </w:t>
      </w:r>
      <w:r w:rsidRPr="000949BE">
        <w:rPr>
          <w:i/>
          <w:iCs/>
        </w:rPr>
        <w:t>is</w:t>
      </w:r>
      <w:r w:rsidR="008243CA" w:rsidRPr="000949BE">
        <w:rPr>
          <w:i/>
          <w:iCs/>
        </w:rPr>
        <w:t xml:space="preserve"> </w:t>
      </w:r>
      <w:r w:rsidR="00116F0B">
        <w:rPr>
          <w:i/>
          <w:iCs/>
        </w:rPr>
        <w:t>“</w:t>
      </w:r>
      <w:r w:rsidRPr="000949BE">
        <w:rPr>
          <w:i/>
          <w:iCs/>
        </w:rPr>
        <w:t>provided</w:t>
      </w:r>
      <w:r w:rsidR="008243CA" w:rsidRPr="000949BE">
        <w:rPr>
          <w:i/>
          <w:iCs/>
        </w:rPr>
        <w:t xml:space="preserve"> </w:t>
      </w:r>
      <w:r w:rsidRPr="000949BE">
        <w:rPr>
          <w:i/>
          <w:iCs/>
        </w:rPr>
        <w:t>by</w:t>
      </w:r>
      <w:r w:rsidR="008243CA" w:rsidRPr="000949BE">
        <w:rPr>
          <w:i/>
          <w:iCs/>
        </w:rPr>
        <w:t xml:space="preserve"> </w:t>
      </w:r>
      <w:r w:rsidRPr="000949BE">
        <w:rPr>
          <w:i/>
          <w:iCs/>
        </w:rPr>
        <w:t>the</w:t>
      </w:r>
      <w:r w:rsidR="008243CA" w:rsidRPr="000949BE">
        <w:rPr>
          <w:i/>
          <w:iCs/>
        </w:rPr>
        <w:t xml:space="preserve"> </w:t>
      </w:r>
      <w:r w:rsidRPr="000949BE">
        <w:rPr>
          <w:i/>
          <w:iCs/>
        </w:rPr>
        <w:t>prison</w:t>
      </w:r>
      <w:r w:rsidR="008243CA" w:rsidRPr="000949BE">
        <w:rPr>
          <w:i/>
          <w:iCs/>
        </w:rPr>
        <w:t xml:space="preserve"> </w:t>
      </w:r>
      <w:r w:rsidRPr="000949BE">
        <w:rPr>
          <w:i/>
          <w:iCs/>
        </w:rPr>
        <w:t>administration</w:t>
      </w:r>
      <w:r w:rsidR="008243CA" w:rsidRPr="000949BE">
        <w:rPr>
          <w:i/>
          <w:iCs/>
        </w:rPr>
        <w:t xml:space="preserve"> </w:t>
      </w:r>
      <w:r w:rsidRPr="000949BE">
        <w:rPr>
          <w:i/>
          <w:iCs/>
        </w:rPr>
        <w:t>at</w:t>
      </w:r>
      <w:r w:rsidR="008243CA" w:rsidRPr="000949BE">
        <w:rPr>
          <w:i/>
          <w:iCs/>
        </w:rPr>
        <w:t xml:space="preserve"> </w:t>
      </w:r>
      <w:r w:rsidRPr="000949BE">
        <w:rPr>
          <w:i/>
          <w:iCs/>
        </w:rPr>
        <w:t>the</w:t>
      </w:r>
      <w:r w:rsidR="008243CA" w:rsidRPr="000949BE">
        <w:rPr>
          <w:i/>
          <w:iCs/>
        </w:rPr>
        <w:t xml:space="preserve"> </w:t>
      </w:r>
      <w:r w:rsidRPr="000949BE">
        <w:rPr>
          <w:i/>
          <w:iCs/>
        </w:rPr>
        <w:t>usual</w:t>
      </w:r>
      <w:r w:rsidR="008243CA" w:rsidRPr="000949BE">
        <w:rPr>
          <w:i/>
          <w:iCs/>
        </w:rPr>
        <w:t xml:space="preserve"> </w:t>
      </w:r>
      <w:r w:rsidRPr="000949BE">
        <w:rPr>
          <w:i/>
          <w:iCs/>
        </w:rPr>
        <w:t>hours</w:t>
      </w:r>
      <w:r w:rsidR="008243CA" w:rsidRPr="000949BE">
        <w:rPr>
          <w:i/>
          <w:iCs/>
        </w:rPr>
        <w:t xml:space="preserve"> </w:t>
      </w:r>
      <w:r w:rsidRPr="000949BE">
        <w:rPr>
          <w:i/>
          <w:iCs/>
        </w:rPr>
        <w:t>with</w:t>
      </w:r>
      <w:r w:rsidR="008243CA" w:rsidRPr="000949BE">
        <w:rPr>
          <w:i/>
          <w:iCs/>
        </w:rPr>
        <w:t xml:space="preserve"> </w:t>
      </w:r>
      <w:r w:rsidRPr="000949BE">
        <w:rPr>
          <w:i/>
          <w:iCs/>
        </w:rPr>
        <w:t>food</w:t>
      </w:r>
      <w:r w:rsidR="008243CA" w:rsidRPr="000949BE">
        <w:rPr>
          <w:i/>
          <w:iCs/>
        </w:rPr>
        <w:t xml:space="preserve"> </w:t>
      </w:r>
      <w:r w:rsidRPr="000949BE">
        <w:rPr>
          <w:i/>
          <w:iCs/>
        </w:rPr>
        <w:t>of</w:t>
      </w:r>
      <w:r w:rsidR="008243CA" w:rsidRPr="000949BE">
        <w:rPr>
          <w:i/>
          <w:iCs/>
        </w:rPr>
        <w:t xml:space="preserve"> </w:t>
      </w:r>
      <w:r w:rsidRPr="000949BE">
        <w:rPr>
          <w:i/>
          <w:iCs/>
        </w:rPr>
        <w:t>nutritional</w:t>
      </w:r>
      <w:r w:rsidR="008243CA" w:rsidRPr="000949BE">
        <w:rPr>
          <w:i/>
          <w:iCs/>
        </w:rPr>
        <w:t xml:space="preserve"> </w:t>
      </w:r>
      <w:r w:rsidRPr="000949BE">
        <w:rPr>
          <w:i/>
          <w:iCs/>
        </w:rPr>
        <w:t>value</w:t>
      </w:r>
      <w:r w:rsidR="008243CA" w:rsidRPr="000949BE">
        <w:rPr>
          <w:i/>
          <w:iCs/>
        </w:rPr>
        <w:t xml:space="preserve"> </w:t>
      </w:r>
      <w:r w:rsidRPr="000949BE">
        <w:rPr>
          <w:i/>
          <w:iCs/>
        </w:rPr>
        <w:t>adequate</w:t>
      </w:r>
      <w:r w:rsidR="008243CA" w:rsidRPr="000949BE">
        <w:rPr>
          <w:i/>
          <w:iCs/>
        </w:rPr>
        <w:t xml:space="preserve"> </w:t>
      </w:r>
      <w:r w:rsidRPr="000949BE">
        <w:rPr>
          <w:i/>
          <w:iCs/>
        </w:rPr>
        <w:t>for</w:t>
      </w:r>
      <w:r w:rsidR="008243CA" w:rsidRPr="000949BE">
        <w:rPr>
          <w:i/>
          <w:iCs/>
        </w:rPr>
        <w:t xml:space="preserve"> </w:t>
      </w:r>
      <w:r w:rsidRPr="000949BE">
        <w:rPr>
          <w:i/>
          <w:iCs/>
        </w:rPr>
        <w:t>health</w:t>
      </w:r>
      <w:r w:rsidR="008243CA" w:rsidRPr="000949BE">
        <w:rPr>
          <w:i/>
          <w:iCs/>
        </w:rPr>
        <w:t xml:space="preserve"> </w:t>
      </w:r>
      <w:r w:rsidRPr="000949BE">
        <w:rPr>
          <w:i/>
          <w:iCs/>
        </w:rPr>
        <w:t>and</w:t>
      </w:r>
      <w:r w:rsidR="008243CA" w:rsidRPr="000949BE">
        <w:rPr>
          <w:i/>
          <w:iCs/>
        </w:rPr>
        <w:t xml:space="preserve"> </w:t>
      </w:r>
      <w:r w:rsidRPr="000949BE">
        <w:rPr>
          <w:i/>
          <w:iCs/>
        </w:rPr>
        <w:t>strength,</w:t>
      </w:r>
      <w:r w:rsidR="008243CA" w:rsidRPr="000949BE">
        <w:rPr>
          <w:i/>
          <w:iCs/>
        </w:rPr>
        <w:t xml:space="preserve"> </w:t>
      </w:r>
      <w:r w:rsidRPr="000949BE">
        <w:rPr>
          <w:i/>
          <w:iCs/>
        </w:rPr>
        <w:t>of</w:t>
      </w:r>
      <w:r w:rsidR="008243CA" w:rsidRPr="000949BE">
        <w:rPr>
          <w:i/>
          <w:iCs/>
        </w:rPr>
        <w:t xml:space="preserve"> </w:t>
      </w:r>
      <w:r w:rsidRPr="000949BE">
        <w:rPr>
          <w:i/>
          <w:iCs/>
        </w:rPr>
        <w:t>wholesome</w:t>
      </w:r>
      <w:r w:rsidR="008243CA" w:rsidRPr="000949BE">
        <w:rPr>
          <w:i/>
          <w:iCs/>
        </w:rPr>
        <w:t xml:space="preserve"> </w:t>
      </w:r>
      <w:r w:rsidRPr="000949BE">
        <w:rPr>
          <w:i/>
          <w:iCs/>
        </w:rPr>
        <w:t>quality</w:t>
      </w:r>
      <w:r w:rsidR="008243CA" w:rsidRPr="000949BE">
        <w:rPr>
          <w:i/>
          <w:iCs/>
        </w:rPr>
        <w:t xml:space="preserve"> </w:t>
      </w:r>
      <w:r w:rsidRPr="000949BE">
        <w:rPr>
          <w:i/>
          <w:iCs/>
        </w:rPr>
        <w:t>and</w:t>
      </w:r>
      <w:r w:rsidR="008243CA" w:rsidRPr="000949BE">
        <w:rPr>
          <w:i/>
          <w:iCs/>
        </w:rPr>
        <w:t xml:space="preserve"> </w:t>
      </w:r>
      <w:r w:rsidRPr="000949BE">
        <w:rPr>
          <w:i/>
          <w:iCs/>
        </w:rPr>
        <w:t>well</w:t>
      </w:r>
      <w:r w:rsidR="008243CA" w:rsidRPr="000949BE">
        <w:rPr>
          <w:i/>
          <w:iCs/>
        </w:rPr>
        <w:t xml:space="preserve"> </w:t>
      </w:r>
      <w:r w:rsidRPr="000949BE">
        <w:rPr>
          <w:i/>
          <w:iCs/>
        </w:rPr>
        <w:t>prepared</w:t>
      </w:r>
      <w:r w:rsidR="008243CA" w:rsidRPr="000949BE">
        <w:rPr>
          <w:i/>
          <w:iCs/>
        </w:rPr>
        <w:t xml:space="preserve"> </w:t>
      </w:r>
      <w:r w:rsidRPr="000949BE">
        <w:rPr>
          <w:i/>
          <w:iCs/>
        </w:rPr>
        <w:t>and</w:t>
      </w:r>
      <w:r w:rsidR="008243CA" w:rsidRPr="000949BE">
        <w:rPr>
          <w:i/>
          <w:iCs/>
        </w:rPr>
        <w:t xml:space="preserve"> </w:t>
      </w:r>
      <w:r w:rsidRPr="000949BE">
        <w:rPr>
          <w:i/>
          <w:iCs/>
        </w:rPr>
        <w:t>served</w:t>
      </w:r>
      <w:r w:rsidR="00116F0B">
        <w:rPr>
          <w:i/>
          <w:iCs/>
        </w:rPr>
        <w:t>”</w:t>
      </w:r>
      <w:r w:rsidRPr="000949BE">
        <w:rPr>
          <w:i/>
          <w:iCs/>
        </w:rPr>
        <w:t>.</w:t>
      </w:r>
      <w:r w:rsidR="008243CA" w:rsidRPr="000949BE">
        <w:rPr>
          <w:i/>
          <w:iCs/>
        </w:rPr>
        <w:t xml:space="preserve"> </w:t>
      </w:r>
      <w:r w:rsidRPr="000949BE">
        <w:rPr>
          <w:i/>
          <w:iCs/>
        </w:rPr>
        <w:t>No</w:t>
      </w:r>
      <w:r w:rsidR="008243CA" w:rsidRPr="000949BE">
        <w:rPr>
          <w:i/>
          <w:iCs/>
        </w:rPr>
        <w:t xml:space="preserve"> </w:t>
      </w:r>
      <w:r w:rsidRPr="000949BE">
        <w:rPr>
          <w:i/>
          <w:iCs/>
        </w:rPr>
        <w:t>detainee</w:t>
      </w:r>
      <w:r w:rsidR="008243CA" w:rsidRPr="000949BE">
        <w:rPr>
          <w:i/>
          <w:iCs/>
        </w:rPr>
        <w:t xml:space="preserve"> </w:t>
      </w:r>
      <w:r w:rsidRPr="000949BE">
        <w:rPr>
          <w:i/>
          <w:iCs/>
        </w:rPr>
        <w:t>should</w:t>
      </w:r>
      <w:r w:rsidR="008243CA" w:rsidRPr="000949BE">
        <w:rPr>
          <w:i/>
          <w:iCs/>
        </w:rPr>
        <w:t xml:space="preserve"> </w:t>
      </w:r>
      <w:r w:rsidRPr="000949BE">
        <w:rPr>
          <w:i/>
          <w:iCs/>
        </w:rPr>
        <w:t>need</w:t>
      </w:r>
      <w:r w:rsidR="008243CA" w:rsidRPr="000949BE">
        <w:rPr>
          <w:i/>
          <w:iCs/>
        </w:rPr>
        <w:t xml:space="preserve"> </w:t>
      </w:r>
      <w:r w:rsidRPr="000949BE">
        <w:rPr>
          <w:i/>
          <w:iCs/>
        </w:rPr>
        <w:t>to</w:t>
      </w:r>
      <w:r w:rsidR="008243CA" w:rsidRPr="000949BE">
        <w:rPr>
          <w:i/>
          <w:iCs/>
        </w:rPr>
        <w:t xml:space="preserve"> </w:t>
      </w:r>
      <w:r w:rsidRPr="000949BE">
        <w:rPr>
          <w:i/>
          <w:iCs/>
        </w:rPr>
        <w:t>depend</w:t>
      </w:r>
      <w:r w:rsidR="008243CA" w:rsidRPr="000949BE">
        <w:rPr>
          <w:i/>
          <w:iCs/>
        </w:rPr>
        <w:t xml:space="preserve"> </w:t>
      </w:r>
      <w:r w:rsidRPr="000949BE">
        <w:rPr>
          <w:i/>
          <w:iCs/>
        </w:rPr>
        <w:t>on</w:t>
      </w:r>
      <w:r w:rsidR="008243CA" w:rsidRPr="000949BE">
        <w:rPr>
          <w:i/>
          <w:iCs/>
        </w:rPr>
        <w:t xml:space="preserve"> </w:t>
      </w:r>
      <w:r w:rsidRPr="000949BE">
        <w:rPr>
          <w:i/>
          <w:iCs/>
        </w:rPr>
        <w:t>third</w:t>
      </w:r>
      <w:r w:rsidR="008243CA" w:rsidRPr="000949BE">
        <w:rPr>
          <w:i/>
          <w:iCs/>
        </w:rPr>
        <w:t xml:space="preserve"> </w:t>
      </w:r>
      <w:r w:rsidRPr="000949BE">
        <w:rPr>
          <w:i/>
          <w:iCs/>
        </w:rPr>
        <w:t>parties</w:t>
      </w:r>
      <w:r w:rsidR="008243CA" w:rsidRPr="000949BE">
        <w:rPr>
          <w:i/>
          <w:iCs/>
        </w:rPr>
        <w:t xml:space="preserve"> </w:t>
      </w:r>
      <w:r w:rsidRPr="000949BE">
        <w:rPr>
          <w:i/>
          <w:iCs/>
        </w:rPr>
        <w:t>for</w:t>
      </w:r>
      <w:r w:rsidR="008243CA" w:rsidRPr="000949BE">
        <w:rPr>
          <w:i/>
          <w:iCs/>
        </w:rPr>
        <w:t xml:space="preserve"> </w:t>
      </w:r>
      <w:r w:rsidRPr="000949BE">
        <w:rPr>
          <w:i/>
          <w:iCs/>
        </w:rPr>
        <w:t>food.</w:t>
      </w:r>
      <w:r w:rsidR="008243CA" w:rsidRPr="000949BE">
        <w:rPr>
          <w:i/>
          <w:iCs/>
        </w:rPr>
        <w:t xml:space="preserve"> </w:t>
      </w:r>
      <w:r w:rsidRPr="000949BE">
        <w:rPr>
          <w:i/>
          <w:iCs/>
        </w:rPr>
        <w:t>The</w:t>
      </w:r>
      <w:r w:rsidR="008243CA" w:rsidRPr="000949BE">
        <w:rPr>
          <w:i/>
          <w:iCs/>
        </w:rPr>
        <w:t xml:space="preserve"> </w:t>
      </w:r>
      <w:r w:rsidRPr="000949BE">
        <w:rPr>
          <w:i/>
          <w:iCs/>
        </w:rPr>
        <w:t>Subcommittee</w:t>
      </w:r>
      <w:r w:rsidR="008243CA" w:rsidRPr="000949BE">
        <w:rPr>
          <w:i/>
          <w:iCs/>
        </w:rPr>
        <w:t xml:space="preserve"> </w:t>
      </w:r>
      <w:r w:rsidRPr="000949BE">
        <w:rPr>
          <w:i/>
          <w:iCs/>
        </w:rPr>
        <w:t>recommends</w:t>
      </w:r>
      <w:r w:rsidR="008243CA" w:rsidRPr="000949BE">
        <w:rPr>
          <w:i/>
          <w:iCs/>
        </w:rPr>
        <w:t xml:space="preserve"> </w:t>
      </w:r>
      <w:r w:rsidRPr="000949BE">
        <w:rPr>
          <w:i/>
          <w:iCs/>
        </w:rPr>
        <w:t>that</w:t>
      </w:r>
      <w:r w:rsidR="008243CA" w:rsidRPr="000949BE">
        <w:rPr>
          <w:i/>
          <w:iCs/>
        </w:rPr>
        <w:t xml:space="preserve"> </w:t>
      </w:r>
      <w:r w:rsidRPr="000949BE">
        <w:rPr>
          <w:i/>
          <w:iCs/>
        </w:rPr>
        <w:t>the</w:t>
      </w:r>
      <w:r w:rsidR="008243CA" w:rsidRPr="000949BE">
        <w:rPr>
          <w:i/>
          <w:iCs/>
        </w:rPr>
        <w:t xml:space="preserve"> </w:t>
      </w:r>
      <w:r w:rsidRPr="000949BE">
        <w:rPr>
          <w:i/>
          <w:iCs/>
        </w:rPr>
        <w:t>prison</w:t>
      </w:r>
      <w:r w:rsidR="008243CA" w:rsidRPr="000949BE">
        <w:rPr>
          <w:i/>
          <w:iCs/>
        </w:rPr>
        <w:t xml:space="preserve"> </w:t>
      </w:r>
      <w:r w:rsidRPr="000949BE">
        <w:rPr>
          <w:i/>
          <w:iCs/>
        </w:rPr>
        <w:t>system</w:t>
      </w:r>
      <w:r w:rsidR="008243CA" w:rsidRPr="000949BE">
        <w:rPr>
          <w:i/>
          <w:iCs/>
        </w:rPr>
        <w:t xml:space="preserve"> </w:t>
      </w:r>
      <w:r w:rsidRPr="000949BE">
        <w:rPr>
          <w:i/>
          <w:iCs/>
        </w:rPr>
        <w:t>be</w:t>
      </w:r>
      <w:r w:rsidR="008243CA" w:rsidRPr="000949BE">
        <w:rPr>
          <w:i/>
          <w:iCs/>
        </w:rPr>
        <w:t xml:space="preserve"> </w:t>
      </w:r>
      <w:r w:rsidRPr="000949BE">
        <w:rPr>
          <w:i/>
          <w:iCs/>
        </w:rPr>
        <w:t>allocated</w:t>
      </w:r>
      <w:r w:rsidR="008243CA" w:rsidRPr="000949BE">
        <w:rPr>
          <w:i/>
          <w:iCs/>
        </w:rPr>
        <w:t xml:space="preserve"> </w:t>
      </w:r>
      <w:r w:rsidRPr="000949BE">
        <w:rPr>
          <w:i/>
          <w:iCs/>
        </w:rPr>
        <w:t>enough</w:t>
      </w:r>
      <w:r w:rsidR="008243CA" w:rsidRPr="000949BE">
        <w:rPr>
          <w:i/>
          <w:iCs/>
        </w:rPr>
        <w:t xml:space="preserve"> </w:t>
      </w:r>
      <w:r w:rsidRPr="000949BE">
        <w:rPr>
          <w:i/>
          <w:iCs/>
        </w:rPr>
        <w:t>funding</w:t>
      </w:r>
      <w:r w:rsidR="008243CA" w:rsidRPr="000949BE">
        <w:rPr>
          <w:i/>
          <w:iCs/>
        </w:rPr>
        <w:t xml:space="preserve"> </w:t>
      </w:r>
      <w:r w:rsidRPr="000949BE">
        <w:rPr>
          <w:i/>
          <w:iCs/>
        </w:rPr>
        <w:t>to</w:t>
      </w:r>
      <w:r w:rsidR="008243CA" w:rsidRPr="000949BE">
        <w:rPr>
          <w:i/>
          <w:iCs/>
        </w:rPr>
        <w:t xml:space="preserve"> </w:t>
      </w:r>
      <w:r w:rsidRPr="000949BE">
        <w:rPr>
          <w:i/>
          <w:iCs/>
        </w:rPr>
        <w:t>provide</w:t>
      </w:r>
      <w:r w:rsidR="008243CA" w:rsidRPr="000949BE">
        <w:rPr>
          <w:i/>
          <w:iCs/>
        </w:rPr>
        <w:t xml:space="preserve"> </w:t>
      </w:r>
      <w:r w:rsidRPr="000949BE">
        <w:rPr>
          <w:i/>
          <w:iCs/>
        </w:rPr>
        <w:t>all</w:t>
      </w:r>
      <w:r w:rsidR="008243CA" w:rsidRPr="000949BE">
        <w:rPr>
          <w:i/>
          <w:iCs/>
        </w:rPr>
        <w:t xml:space="preserve"> </w:t>
      </w:r>
      <w:r w:rsidRPr="000949BE">
        <w:rPr>
          <w:i/>
          <w:iCs/>
        </w:rPr>
        <w:t>persons</w:t>
      </w:r>
      <w:r w:rsidR="008243CA" w:rsidRPr="000949BE">
        <w:rPr>
          <w:i/>
          <w:iCs/>
        </w:rPr>
        <w:t xml:space="preserve"> </w:t>
      </w:r>
      <w:r w:rsidRPr="000949BE">
        <w:rPr>
          <w:i/>
          <w:iCs/>
        </w:rPr>
        <w:t>deprived</w:t>
      </w:r>
      <w:r w:rsidR="008243CA" w:rsidRPr="000949BE">
        <w:rPr>
          <w:i/>
          <w:iCs/>
        </w:rPr>
        <w:t xml:space="preserve"> </w:t>
      </w:r>
      <w:r w:rsidRPr="000949BE">
        <w:rPr>
          <w:i/>
          <w:iCs/>
        </w:rPr>
        <w:t>of</w:t>
      </w:r>
      <w:r w:rsidR="008243CA" w:rsidRPr="000949BE">
        <w:rPr>
          <w:i/>
          <w:iCs/>
        </w:rPr>
        <w:t xml:space="preserve"> </w:t>
      </w:r>
      <w:r w:rsidRPr="000949BE">
        <w:rPr>
          <w:i/>
          <w:iCs/>
        </w:rPr>
        <w:t>their</w:t>
      </w:r>
      <w:r w:rsidR="008243CA" w:rsidRPr="000949BE">
        <w:rPr>
          <w:i/>
          <w:iCs/>
        </w:rPr>
        <w:t xml:space="preserve"> </w:t>
      </w:r>
      <w:r w:rsidRPr="000949BE">
        <w:rPr>
          <w:i/>
          <w:iCs/>
        </w:rPr>
        <w:t>liberty,</w:t>
      </w:r>
      <w:r w:rsidR="008243CA" w:rsidRPr="000949BE">
        <w:rPr>
          <w:i/>
          <w:iCs/>
        </w:rPr>
        <w:t xml:space="preserve"> </w:t>
      </w:r>
      <w:r w:rsidRPr="000949BE">
        <w:rPr>
          <w:i/>
          <w:iCs/>
        </w:rPr>
        <w:t>including</w:t>
      </w:r>
      <w:r w:rsidR="008243CA" w:rsidRPr="000949BE">
        <w:rPr>
          <w:i/>
          <w:iCs/>
        </w:rPr>
        <w:t xml:space="preserve"> </w:t>
      </w:r>
      <w:r w:rsidRPr="000949BE">
        <w:rPr>
          <w:i/>
          <w:iCs/>
        </w:rPr>
        <w:t>those</w:t>
      </w:r>
      <w:r w:rsidR="008243CA" w:rsidRPr="000949BE">
        <w:rPr>
          <w:i/>
          <w:iCs/>
        </w:rPr>
        <w:t xml:space="preserve"> </w:t>
      </w:r>
      <w:r w:rsidRPr="000949BE">
        <w:rPr>
          <w:i/>
          <w:iCs/>
        </w:rPr>
        <w:t>held</w:t>
      </w:r>
      <w:r w:rsidR="008243CA" w:rsidRPr="000949BE">
        <w:rPr>
          <w:i/>
          <w:iCs/>
        </w:rPr>
        <w:t xml:space="preserve"> </w:t>
      </w:r>
      <w:r w:rsidRPr="000949BE">
        <w:rPr>
          <w:i/>
          <w:iCs/>
        </w:rPr>
        <w:t>in</w:t>
      </w:r>
      <w:r w:rsidR="008243CA" w:rsidRPr="000949BE">
        <w:rPr>
          <w:i/>
          <w:iCs/>
        </w:rPr>
        <w:t xml:space="preserve"> </w:t>
      </w:r>
      <w:r w:rsidRPr="000949BE">
        <w:rPr>
          <w:i/>
          <w:iCs/>
        </w:rPr>
        <w:t>privately</w:t>
      </w:r>
      <w:r w:rsidR="008243CA" w:rsidRPr="000949BE">
        <w:rPr>
          <w:i/>
          <w:iCs/>
        </w:rPr>
        <w:t xml:space="preserve"> </w:t>
      </w:r>
      <w:r w:rsidRPr="000949BE">
        <w:rPr>
          <w:i/>
          <w:iCs/>
        </w:rPr>
        <w:t>run</w:t>
      </w:r>
      <w:r w:rsidR="008243CA" w:rsidRPr="000949BE">
        <w:rPr>
          <w:i/>
          <w:iCs/>
        </w:rPr>
        <w:t xml:space="preserve"> </w:t>
      </w:r>
      <w:r w:rsidRPr="000949BE">
        <w:rPr>
          <w:i/>
          <w:iCs/>
        </w:rPr>
        <w:t>prisons,</w:t>
      </w:r>
      <w:r w:rsidR="008243CA" w:rsidRPr="000949BE">
        <w:rPr>
          <w:i/>
          <w:iCs/>
        </w:rPr>
        <w:t xml:space="preserve"> </w:t>
      </w:r>
      <w:r w:rsidRPr="000949BE">
        <w:rPr>
          <w:i/>
          <w:iCs/>
        </w:rPr>
        <w:t>with</w:t>
      </w:r>
      <w:r w:rsidR="008243CA" w:rsidRPr="000949BE">
        <w:rPr>
          <w:i/>
          <w:iCs/>
        </w:rPr>
        <w:t xml:space="preserve"> </w:t>
      </w:r>
      <w:r w:rsidRPr="000949BE">
        <w:rPr>
          <w:i/>
          <w:iCs/>
        </w:rPr>
        <w:t>sufficient</w:t>
      </w:r>
      <w:r w:rsidR="008243CA" w:rsidRPr="000949BE">
        <w:rPr>
          <w:i/>
          <w:iCs/>
        </w:rPr>
        <w:t xml:space="preserve"> </w:t>
      </w:r>
      <w:r w:rsidRPr="000949BE">
        <w:rPr>
          <w:i/>
          <w:iCs/>
        </w:rPr>
        <w:t>food.</w:t>
      </w:r>
      <w:r w:rsidR="008243CA" w:rsidRPr="000949BE">
        <w:rPr>
          <w:i/>
          <w:iCs/>
        </w:rPr>
        <w:t xml:space="preserve"> </w:t>
      </w:r>
      <w:r w:rsidRPr="000949BE">
        <w:rPr>
          <w:i/>
          <w:iCs/>
        </w:rPr>
        <w:t>With</w:t>
      </w:r>
      <w:r w:rsidR="008243CA" w:rsidRPr="000949BE">
        <w:rPr>
          <w:i/>
          <w:iCs/>
        </w:rPr>
        <w:t xml:space="preserve"> </w:t>
      </w:r>
      <w:r w:rsidRPr="000949BE">
        <w:rPr>
          <w:i/>
          <w:iCs/>
        </w:rPr>
        <w:t>respect</w:t>
      </w:r>
      <w:r w:rsidR="008243CA" w:rsidRPr="000949BE">
        <w:rPr>
          <w:i/>
          <w:iCs/>
        </w:rPr>
        <w:t xml:space="preserve"> </w:t>
      </w:r>
      <w:r w:rsidRPr="000949BE">
        <w:rPr>
          <w:i/>
          <w:iCs/>
        </w:rPr>
        <w:t>to</w:t>
      </w:r>
      <w:r w:rsidR="008243CA" w:rsidRPr="000949BE">
        <w:rPr>
          <w:i/>
          <w:iCs/>
        </w:rPr>
        <w:t xml:space="preserve"> </w:t>
      </w:r>
      <w:r w:rsidRPr="000949BE">
        <w:rPr>
          <w:i/>
          <w:iCs/>
        </w:rPr>
        <w:t>the</w:t>
      </w:r>
      <w:r w:rsidR="008243CA" w:rsidRPr="000949BE">
        <w:rPr>
          <w:i/>
          <w:iCs/>
        </w:rPr>
        <w:t xml:space="preserve"> </w:t>
      </w:r>
      <w:r w:rsidRPr="000949BE">
        <w:rPr>
          <w:i/>
          <w:iCs/>
        </w:rPr>
        <w:t>provision</w:t>
      </w:r>
      <w:r w:rsidR="008243CA" w:rsidRPr="000949BE">
        <w:rPr>
          <w:i/>
          <w:iCs/>
        </w:rPr>
        <w:t xml:space="preserve"> </w:t>
      </w:r>
      <w:r w:rsidRPr="000949BE">
        <w:rPr>
          <w:i/>
          <w:iCs/>
        </w:rPr>
        <w:t>and</w:t>
      </w:r>
      <w:r w:rsidR="008243CA" w:rsidRPr="000949BE">
        <w:rPr>
          <w:i/>
          <w:iCs/>
        </w:rPr>
        <w:t xml:space="preserve"> </w:t>
      </w:r>
      <w:r w:rsidRPr="000949BE">
        <w:rPr>
          <w:i/>
          <w:iCs/>
        </w:rPr>
        <w:t>distribution</w:t>
      </w:r>
      <w:r w:rsidR="008243CA" w:rsidRPr="000949BE">
        <w:rPr>
          <w:i/>
          <w:iCs/>
        </w:rPr>
        <w:t xml:space="preserve"> </w:t>
      </w:r>
      <w:r w:rsidRPr="000949BE">
        <w:rPr>
          <w:i/>
          <w:iCs/>
        </w:rPr>
        <w:t>of</w:t>
      </w:r>
      <w:r w:rsidR="008243CA" w:rsidRPr="000949BE">
        <w:rPr>
          <w:i/>
          <w:iCs/>
        </w:rPr>
        <w:t xml:space="preserve"> </w:t>
      </w:r>
      <w:r w:rsidRPr="000949BE">
        <w:rPr>
          <w:i/>
          <w:iCs/>
        </w:rPr>
        <w:t>food,</w:t>
      </w:r>
      <w:r w:rsidR="008243CA" w:rsidRPr="000949BE">
        <w:rPr>
          <w:i/>
          <w:iCs/>
        </w:rPr>
        <w:t xml:space="preserve"> </w:t>
      </w:r>
      <w:r w:rsidRPr="000949BE">
        <w:rPr>
          <w:i/>
          <w:iCs/>
        </w:rPr>
        <w:t>medicine,</w:t>
      </w:r>
      <w:r w:rsidR="008243CA" w:rsidRPr="000949BE">
        <w:rPr>
          <w:i/>
          <w:iCs/>
        </w:rPr>
        <w:t xml:space="preserve"> </w:t>
      </w:r>
      <w:r w:rsidRPr="000949BE">
        <w:rPr>
          <w:i/>
          <w:iCs/>
        </w:rPr>
        <w:t>toiletries</w:t>
      </w:r>
      <w:r w:rsidR="008243CA" w:rsidRPr="000949BE">
        <w:rPr>
          <w:i/>
          <w:iCs/>
        </w:rPr>
        <w:t xml:space="preserve"> </w:t>
      </w:r>
      <w:r w:rsidRPr="000949BE">
        <w:rPr>
          <w:i/>
          <w:iCs/>
        </w:rPr>
        <w:t>and</w:t>
      </w:r>
      <w:r w:rsidR="008243CA" w:rsidRPr="000949BE">
        <w:rPr>
          <w:i/>
          <w:iCs/>
        </w:rPr>
        <w:t xml:space="preserve"> </w:t>
      </w:r>
      <w:r w:rsidRPr="000949BE">
        <w:rPr>
          <w:i/>
          <w:iCs/>
        </w:rPr>
        <w:t>clothing,</w:t>
      </w:r>
      <w:r w:rsidR="008243CA" w:rsidRPr="000949BE">
        <w:rPr>
          <w:i/>
          <w:iCs/>
        </w:rPr>
        <w:t xml:space="preserve"> </w:t>
      </w:r>
      <w:r w:rsidRPr="000949BE">
        <w:rPr>
          <w:i/>
          <w:iCs/>
        </w:rPr>
        <w:t>it</w:t>
      </w:r>
      <w:r w:rsidR="008243CA" w:rsidRPr="000949BE">
        <w:rPr>
          <w:i/>
          <w:iCs/>
        </w:rPr>
        <w:t xml:space="preserve"> </w:t>
      </w:r>
      <w:r w:rsidRPr="000949BE">
        <w:rPr>
          <w:i/>
          <w:iCs/>
        </w:rPr>
        <w:t>is</w:t>
      </w:r>
      <w:r w:rsidR="008243CA" w:rsidRPr="000949BE">
        <w:rPr>
          <w:i/>
          <w:iCs/>
        </w:rPr>
        <w:t xml:space="preserve"> </w:t>
      </w:r>
      <w:r w:rsidRPr="000949BE">
        <w:rPr>
          <w:i/>
          <w:iCs/>
        </w:rPr>
        <w:t>recommended</w:t>
      </w:r>
      <w:r w:rsidR="008243CA" w:rsidRPr="000949BE">
        <w:rPr>
          <w:i/>
          <w:iCs/>
        </w:rPr>
        <w:t xml:space="preserve"> </w:t>
      </w:r>
      <w:r w:rsidRPr="000949BE">
        <w:rPr>
          <w:i/>
          <w:iCs/>
        </w:rPr>
        <w:t>that</w:t>
      </w:r>
      <w:r w:rsidR="008243CA" w:rsidRPr="000949BE">
        <w:rPr>
          <w:i/>
          <w:iCs/>
        </w:rPr>
        <w:t xml:space="preserve"> </w:t>
      </w:r>
      <w:r w:rsidRPr="000949BE">
        <w:rPr>
          <w:i/>
          <w:iCs/>
        </w:rPr>
        <w:t>regular</w:t>
      </w:r>
      <w:r w:rsidR="008243CA" w:rsidRPr="000949BE">
        <w:rPr>
          <w:i/>
          <w:iCs/>
        </w:rPr>
        <w:t xml:space="preserve"> </w:t>
      </w:r>
      <w:r w:rsidRPr="000949BE">
        <w:rPr>
          <w:i/>
          <w:iCs/>
        </w:rPr>
        <w:t>procedures</w:t>
      </w:r>
      <w:r w:rsidR="008243CA" w:rsidRPr="000949BE">
        <w:rPr>
          <w:i/>
          <w:iCs/>
        </w:rPr>
        <w:t xml:space="preserve"> </w:t>
      </w:r>
      <w:r w:rsidRPr="000949BE">
        <w:rPr>
          <w:i/>
          <w:iCs/>
        </w:rPr>
        <w:t>should</w:t>
      </w:r>
      <w:r w:rsidR="008243CA" w:rsidRPr="000949BE">
        <w:rPr>
          <w:i/>
          <w:iCs/>
        </w:rPr>
        <w:t xml:space="preserve"> </w:t>
      </w:r>
      <w:r w:rsidRPr="000949BE">
        <w:rPr>
          <w:i/>
          <w:iCs/>
        </w:rPr>
        <w:t>be</w:t>
      </w:r>
      <w:r w:rsidR="008243CA" w:rsidRPr="000949BE">
        <w:rPr>
          <w:i/>
          <w:iCs/>
        </w:rPr>
        <w:t xml:space="preserve"> </w:t>
      </w:r>
      <w:r w:rsidRPr="000949BE">
        <w:rPr>
          <w:i/>
          <w:iCs/>
        </w:rPr>
        <w:t>implemented</w:t>
      </w:r>
      <w:r w:rsidR="008243CA" w:rsidRPr="000949BE">
        <w:rPr>
          <w:i/>
          <w:iCs/>
        </w:rPr>
        <w:t xml:space="preserve"> </w:t>
      </w:r>
      <w:r w:rsidRPr="000949BE">
        <w:rPr>
          <w:i/>
          <w:iCs/>
        </w:rPr>
        <w:t>to</w:t>
      </w:r>
      <w:r w:rsidR="008243CA" w:rsidRPr="000949BE">
        <w:rPr>
          <w:i/>
          <w:iCs/>
        </w:rPr>
        <w:t xml:space="preserve"> </w:t>
      </w:r>
      <w:r w:rsidRPr="000949BE">
        <w:rPr>
          <w:i/>
          <w:iCs/>
        </w:rPr>
        <w:t>ensure</w:t>
      </w:r>
      <w:r w:rsidR="008243CA" w:rsidRPr="000949BE">
        <w:rPr>
          <w:i/>
          <w:iCs/>
        </w:rPr>
        <w:t xml:space="preserve"> </w:t>
      </w:r>
      <w:r w:rsidRPr="000949BE">
        <w:rPr>
          <w:i/>
          <w:iCs/>
        </w:rPr>
        <w:t>that</w:t>
      </w:r>
      <w:r w:rsidR="008243CA" w:rsidRPr="000949BE">
        <w:rPr>
          <w:i/>
          <w:iCs/>
        </w:rPr>
        <w:t xml:space="preserve"> </w:t>
      </w:r>
      <w:r w:rsidRPr="000949BE">
        <w:rPr>
          <w:i/>
          <w:iCs/>
        </w:rPr>
        <w:t>these</w:t>
      </w:r>
      <w:r w:rsidR="008243CA" w:rsidRPr="000949BE">
        <w:rPr>
          <w:i/>
          <w:iCs/>
        </w:rPr>
        <w:t xml:space="preserve"> </w:t>
      </w:r>
      <w:r w:rsidRPr="000949BE">
        <w:rPr>
          <w:i/>
          <w:iCs/>
        </w:rPr>
        <w:t>articles</w:t>
      </w:r>
      <w:r w:rsidR="008243CA" w:rsidRPr="000949BE">
        <w:rPr>
          <w:i/>
          <w:iCs/>
        </w:rPr>
        <w:t xml:space="preserve"> </w:t>
      </w:r>
      <w:r w:rsidRPr="000949BE">
        <w:rPr>
          <w:i/>
          <w:iCs/>
        </w:rPr>
        <w:t>reach</w:t>
      </w:r>
      <w:r w:rsidR="008243CA" w:rsidRPr="000949BE">
        <w:rPr>
          <w:i/>
          <w:iCs/>
        </w:rPr>
        <w:t xml:space="preserve"> </w:t>
      </w:r>
      <w:r w:rsidRPr="000949BE">
        <w:rPr>
          <w:i/>
          <w:iCs/>
        </w:rPr>
        <w:t>their</w:t>
      </w:r>
      <w:r w:rsidR="008243CA" w:rsidRPr="000949BE">
        <w:rPr>
          <w:i/>
          <w:iCs/>
        </w:rPr>
        <w:t xml:space="preserve"> </w:t>
      </w:r>
      <w:r w:rsidRPr="000949BE">
        <w:rPr>
          <w:i/>
          <w:iCs/>
        </w:rPr>
        <w:t>intended</w:t>
      </w:r>
      <w:r w:rsidR="008243CA" w:rsidRPr="000949BE">
        <w:rPr>
          <w:i/>
          <w:iCs/>
        </w:rPr>
        <w:t xml:space="preserve"> </w:t>
      </w:r>
      <w:r w:rsidRPr="000949BE">
        <w:rPr>
          <w:i/>
          <w:iCs/>
        </w:rPr>
        <w:t>recipients,</w:t>
      </w:r>
      <w:r w:rsidR="008243CA" w:rsidRPr="000949BE">
        <w:rPr>
          <w:i/>
          <w:iCs/>
        </w:rPr>
        <w:t xml:space="preserve"> </w:t>
      </w:r>
      <w:r w:rsidRPr="000949BE">
        <w:rPr>
          <w:i/>
          <w:iCs/>
        </w:rPr>
        <w:t>in</w:t>
      </w:r>
      <w:r w:rsidR="008243CA" w:rsidRPr="000949BE">
        <w:rPr>
          <w:i/>
          <w:iCs/>
        </w:rPr>
        <w:t xml:space="preserve"> </w:t>
      </w:r>
      <w:r w:rsidRPr="000949BE">
        <w:rPr>
          <w:i/>
          <w:iCs/>
        </w:rPr>
        <w:t>accordance</w:t>
      </w:r>
      <w:r w:rsidR="008243CA" w:rsidRPr="000949BE">
        <w:rPr>
          <w:i/>
          <w:iCs/>
        </w:rPr>
        <w:t xml:space="preserve"> </w:t>
      </w:r>
      <w:r w:rsidRPr="000949BE">
        <w:rPr>
          <w:i/>
          <w:iCs/>
        </w:rPr>
        <w:t>with</w:t>
      </w:r>
      <w:r w:rsidR="008243CA" w:rsidRPr="000949BE">
        <w:rPr>
          <w:i/>
          <w:iCs/>
        </w:rPr>
        <w:t xml:space="preserve"> </w:t>
      </w:r>
      <w:r w:rsidRPr="000949BE">
        <w:rPr>
          <w:i/>
          <w:iCs/>
        </w:rPr>
        <w:t>the</w:t>
      </w:r>
      <w:r w:rsidR="008243CA" w:rsidRPr="000949BE">
        <w:rPr>
          <w:i/>
          <w:iCs/>
        </w:rPr>
        <w:t xml:space="preserve"> </w:t>
      </w:r>
      <w:r w:rsidRPr="000949BE">
        <w:rPr>
          <w:i/>
          <w:iCs/>
        </w:rPr>
        <w:t>Nelson</w:t>
      </w:r>
      <w:r w:rsidR="008243CA" w:rsidRPr="000949BE">
        <w:rPr>
          <w:i/>
          <w:iCs/>
        </w:rPr>
        <w:t xml:space="preserve"> </w:t>
      </w:r>
      <w:r w:rsidRPr="000949BE">
        <w:rPr>
          <w:i/>
          <w:iCs/>
        </w:rPr>
        <w:t>Mandela</w:t>
      </w:r>
      <w:r w:rsidR="008243CA" w:rsidRPr="000949BE">
        <w:rPr>
          <w:i/>
          <w:iCs/>
        </w:rPr>
        <w:t xml:space="preserve"> </w:t>
      </w:r>
      <w:r w:rsidRPr="000949BE">
        <w:rPr>
          <w:i/>
          <w:iCs/>
        </w:rPr>
        <w:t>Rules</w:t>
      </w:r>
      <w:r w:rsidR="008243CA" w:rsidRPr="000949BE">
        <w:rPr>
          <w:i/>
          <w:iCs/>
        </w:rPr>
        <w:t xml:space="preserve"> </w:t>
      </w:r>
      <w:r w:rsidRPr="000949BE">
        <w:rPr>
          <w:i/>
          <w:iCs/>
        </w:rPr>
        <w:t>(rules</w:t>
      </w:r>
      <w:r w:rsidR="008243CA" w:rsidRPr="000949BE">
        <w:rPr>
          <w:i/>
          <w:iCs/>
        </w:rPr>
        <w:t xml:space="preserve"> </w:t>
      </w:r>
      <w:r w:rsidRPr="000949BE">
        <w:rPr>
          <w:i/>
          <w:iCs/>
        </w:rPr>
        <w:t>18</w:t>
      </w:r>
      <w:r w:rsidR="008243CA" w:rsidRPr="000949BE">
        <w:rPr>
          <w:i/>
          <w:iCs/>
        </w:rPr>
        <w:t xml:space="preserve"> </w:t>
      </w:r>
      <w:r w:rsidRPr="000949BE">
        <w:rPr>
          <w:i/>
          <w:iCs/>
        </w:rPr>
        <w:t>and</w:t>
      </w:r>
      <w:r w:rsidR="008243CA" w:rsidRPr="000949BE">
        <w:rPr>
          <w:i/>
          <w:iCs/>
        </w:rPr>
        <w:t xml:space="preserve"> </w:t>
      </w:r>
      <w:r w:rsidRPr="000949BE">
        <w:rPr>
          <w:i/>
          <w:iCs/>
        </w:rPr>
        <w:t>19).</w:t>
      </w:r>
      <w:r w:rsidR="008243CA">
        <w:t xml:space="preserve"> </w:t>
      </w:r>
    </w:p>
    <w:p w:rsidR="003F7D03" w:rsidRPr="00E62FE6" w:rsidRDefault="003F7D03" w:rsidP="000C6D98">
      <w:pPr>
        <w:pStyle w:val="SingleTxtG"/>
      </w:pPr>
      <w:bookmarkStart w:id="88" w:name="page33"/>
      <w:bookmarkEnd w:id="88"/>
      <w:r w:rsidRPr="00E62FE6">
        <w:t>126.</w:t>
      </w:r>
      <w:r w:rsidRPr="00E62FE6">
        <w:tab/>
        <w:t>The</w:t>
      </w:r>
      <w:r w:rsidR="008243CA">
        <w:t xml:space="preserve"> </w:t>
      </w:r>
      <w:r w:rsidRPr="00E62FE6">
        <w:t>Prison</w:t>
      </w:r>
      <w:r w:rsidR="008243CA">
        <w:t xml:space="preserve"> </w:t>
      </w:r>
      <w:r w:rsidRPr="00E62FE6">
        <w:t>Service</w:t>
      </w:r>
      <w:r w:rsidR="008243CA">
        <w:t xml:space="preserve"> </w:t>
      </w:r>
      <w:r w:rsidRPr="00E62FE6">
        <w:t>employs</w:t>
      </w:r>
      <w:r w:rsidR="008243CA">
        <w:t xml:space="preserve"> </w:t>
      </w:r>
      <w:r w:rsidRPr="00E62FE6">
        <w:t>professional</w:t>
      </w:r>
      <w:r w:rsidR="008243CA">
        <w:t xml:space="preserve"> </w:t>
      </w:r>
      <w:r w:rsidRPr="00E62FE6">
        <w:t>nutritionists</w:t>
      </w:r>
      <w:r w:rsidR="008243CA">
        <w:t xml:space="preserve"> </w:t>
      </w:r>
      <w:r w:rsidRPr="00E62FE6">
        <w:t>who</w:t>
      </w:r>
      <w:r w:rsidR="008243CA">
        <w:t xml:space="preserve"> </w:t>
      </w:r>
      <w:r w:rsidRPr="00E62FE6">
        <w:t>plan</w:t>
      </w:r>
      <w:r w:rsidR="008243CA">
        <w:t xml:space="preserve"> </w:t>
      </w:r>
      <w:r w:rsidRPr="00E62FE6">
        <w:t>four</w:t>
      </w:r>
      <w:r w:rsidR="008243CA">
        <w:t xml:space="preserve"> </w:t>
      </w:r>
      <w:r w:rsidRPr="00E62FE6">
        <w:t>meals</w:t>
      </w:r>
      <w:r w:rsidR="008243CA">
        <w:t xml:space="preserve"> </w:t>
      </w:r>
      <w:r w:rsidRPr="00E62FE6">
        <w:t>a</w:t>
      </w:r>
      <w:r w:rsidR="008243CA">
        <w:t xml:space="preserve"> </w:t>
      </w:r>
      <w:r w:rsidRPr="00E62FE6">
        <w:t>day,</w:t>
      </w:r>
      <w:r w:rsidRPr="00116F0B">
        <w:rPr>
          <w:rStyle w:val="FootnoteReference"/>
        </w:rPr>
        <w:footnoteReference w:id="44"/>
      </w:r>
      <w:r w:rsidR="008243CA">
        <w:t xml:space="preserve"> </w:t>
      </w:r>
      <w:r w:rsidRPr="00E62FE6">
        <w:t>which</w:t>
      </w:r>
      <w:r w:rsidR="008243CA">
        <w:t xml:space="preserve"> </w:t>
      </w:r>
      <w:r w:rsidRPr="00E62FE6">
        <w:t>in</w:t>
      </w:r>
      <w:r w:rsidR="008243CA">
        <w:t xml:space="preserve"> </w:t>
      </w:r>
      <w:r w:rsidRPr="00E62FE6">
        <w:t>traditional</w:t>
      </w:r>
      <w:r w:rsidR="008243CA">
        <w:t xml:space="preserve"> </w:t>
      </w:r>
      <w:r w:rsidRPr="00E62FE6">
        <w:t>prisons</w:t>
      </w:r>
      <w:r w:rsidR="008243CA">
        <w:t xml:space="preserve"> </w:t>
      </w:r>
      <w:r w:rsidRPr="00E62FE6">
        <w:t>are</w:t>
      </w:r>
      <w:r w:rsidR="008243CA">
        <w:t xml:space="preserve"> </w:t>
      </w:r>
      <w:r w:rsidRPr="00E62FE6">
        <w:t>served</w:t>
      </w:r>
      <w:r w:rsidR="008243CA">
        <w:t xml:space="preserve"> </w:t>
      </w:r>
      <w:r w:rsidRPr="00E62FE6">
        <w:t>taking</w:t>
      </w:r>
      <w:r w:rsidR="008243CA">
        <w:t xml:space="preserve"> </w:t>
      </w:r>
      <w:r w:rsidRPr="00E62FE6">
        <w:t>the</w:t>
      </w:r>
      <w:r w:rsidR="008243CA">
        <w:t xml:space="preserve"> </w:t>
      </w:r>
      <w:r w:rsidRPr="00E62FE6">
        <w:t>following</w:t>
      </w:r>
      <w:r w:rsidR="008243CA">
        <w:t xml:space="preserve"> </w:t>
      </w:r>
      <w:r w:rsidRPr="00E62FE6">
        <w:t>criteria</w:t>
      </w:r>
      <w:r w:rsidR="008243CA">
        <w:t xml:space="preserve"> </w:t>
      </w:r>
      <w:r w:rsidRPr="00E62FE6">
        <w:t>into</w:t>
      </w:r>
      <w:r w:rsidR="008243CA">
        <w:t xml:space="preserve"> </w:t>
      </w:r>
      <w:r w:rsidRPr="00E62FE6">
        <w:t>account:</w:t>
      </w:r>
    </w:p>
    <w:p w:rsidR="003F7D03" w:rsidRPr="00E62FE6" w:rsidRDefault="003F7D03" w:rsidP="000949BE">
      <w:pPr>
        <w:pStyle w:val="Bullet1G"/>
      </w:pPr>
      <w:r w:rsidRPr="00E62FE6">
        <w:t>The</w:t>
      </w:r>
      <w:r w:rsidR="008243CA">
        <w:t xml:space="preserve"> </w:t>
      </w:r>
      <w:r w:rsidRPr="00E62FE6">
        <w:t>nutritional</w:t>
      </w:r>
      <w:r w:rsidR="008243CA">
        <w:t xml:space="preserve"> </w:t>
      </w:r>
      <w:r w:rsidRPr="00E62FE6">
        <w:t>value</w:t>
      </w:r>
      <w:r w:rsidR="008243CA">
        <w:t xml:space="preserve"> </w:t>
      </w:r>
      <w:r w:rsidRPr="00E62FE6">
        <w:t>of</w:t>
      </w:r>
      <w:r w:rsidR="008243CA">
        <w:t xml:space="preserve"> </w:t>
      </w:r>
      <w:r w:rsidRPr="00E62FE6">
        <w:t>the</w:t>
      </w:r>
      <w:r w:rsidR="008243CA">
        <w:t xml:space="preserve"> </w:t>
      </w:r>
      <w:r w:rsidRPr="00E62FE6">
        <w:t>food</w:t>
      </w:r>
      <w:r w:rsidR="008243CA">
        <w:t xml:space="preserve"> </w:t>
      </w:r>
      <w:r w:rsidRPr="00E62FE6">
        <w:t>served,</w:t>
      </w:r>
      <w:r w:rsidR="008243CA">
        <w:t xml:space="preserve"> </w:t>
      </w:r>
      <w:r w:rsidRPr="00E62FE6">
        <w:t>which</w:t>
      </w:r>
      <w:r w:rsidR="008243CA">
        <w:t xml:space="preserve"> </w:t>
      </w:r>
      <w:r w:rsidRPr="00E62FE6">
        <w:t>meets</w:t>
      </w:r>
      <w:r w:rsidR="008243CA">
        <w:t xml:space="preserve"> </w:t>
      </w:r>
      <w:r w:rsidRPr="00E62FE6">
        <w:t>the</w:t>
      </w:r>
      <w:r w:rsidR="008243CA">
        <w:t xml:space="preserve"> </w:t>
      </w:r>
      <w:r w:rsidRPr="00E62FE6">
        <w:t>nutritional</w:t>
      </w:r>
      <w:r w:rsidR="008243CA">
        <w:t xml:space="preserve"> </w:t>
      </w:r>
      <w:r w:rsidRPr="00E62FE6">
        <w:t>recommendations</w:t>
      </w:r>
      <w:r w:rsidR="008243CA">
        <w:t xml:space="preserve"> </w:t>
      </w:r>
      <w:r w:rsidRPr="00E62FE6">
        <w:t>developed</w:t>
      </w:r>
      <w:r w:rsidR="008243CA">
        <w:t xml:space="preserve"> </w:t>
      </w:r>
      <w:r w:rsidRPr="00E62FE6">
        <w:t>for</w:t>
      </w:r>
      <w:r w:rsidR="008243CA">
        <w:t xml:space="preserve"> </w:t>
      </w:r>
      <w:r w:rsidRPr="00E62FE6">
        <w:t>the</w:t>
      </w:r>
      <w:r w:rsidR="008243CA">
        <w:t xml:space="preserve"> </w:t>
      </w:r>
      <w:r w:rsidRPr="00E62FE6">
        <w:t>Chilean</w:t>
      </w:r>
      <w:r w:rsidR="008243CA">
        <w:t xml:space="preserve"> </w:t>
      </w:r>
      <w:r w:rsidRPr="00E62FE6">
        <w:t>population</w:t>
      </w:r>
      <w:r w:rsidR="008243CA">
        <w:t xml:space="preserve"> </w:t>
      </w:r>
      <w:r w:rsidRPr="00E62FE6">
        <w:t>under</w:t>
      </w:r>
      <w:r w:rsidR="008243CA">
        <w:t xml:space="preserve"> </w:t>
      </w:r>
      <w:r w:rsidRPr="00E62FE6">
        <w:t>Ministry</w:t>
      </w:r>
      <w:r w:rsidR="008243CA">
        <w:t xml:space="preserve"> </w:t>
      </w:r>
      <w:r w:rsidRPr="00E62FE6">
        <w:t>of</w:t>
      </w:r>
      <w:r w:rsidR="008243CA">
        <w:t xml:space="preserve"> </w:t>
      </w:r>
      <w:r w:rsidRPr="00E62FE6">
        <w:t>Health</w:t>
      </w:r>
      <w:r w:rsidR="008243CA">
        <w:t xml:space="preserve"> </w:t>
      </w:r>
      <w:r w:rsidRPr="00E62FE6">
        <w:t>guidelines.</w:t>
      </w:r>
    </w:p>
    <w:p w:rsidR="003F7D03" w:rsidRPr="00E62FE6" w:rsidRDefault="003F7D03" w:rsidP="000949BE">
      <w:pPr>
        <w:pStyle w:val="Bullet1G"/>
      </w:pPr>
      <w:r w:rsidRPr="00E62FE6">
        <w:t>The</w:t>
      </w:r>
      <w:r w:rsidR="008243CA">
        <w:t xml:space="preserve"> </w:t>
      </w:r>
      <w:r w:rsidRPr="00E62FE6">
        <w:t>weekly</w:t>
      </w:r>
      <w:r w:rsidR="008243CA">
        <w:t xml:space="preserve"> </w:t>
      </w:r>
      <w:r w:rsidRPr="00E62FE6">
        <w:t>consumption</w:t>
      </w:r>
      <w:r w:rsidR="008243CA">
        <w:t xml:space="preserve"> </w:t>
      </w:r>
      <w:r w:rsidRPr="00E62FE6">
        <w:t>frequency</w:t>
      </w:r>
      <w:r w:rsidR="008243CA">
        <w:t xml:space="preserve"> </w:t>
      </w:r>
      <w:r w:rsidRPr="00E62FE6">
        <w:t>table,</w:t>
      </w:r>
      <w:r w:rsidR="008243CA">
        <w:t xml:space="preserve"> </w:t>
      </w:r>
      <w:r w:rsidRPr="00E62FE6">
        <w:t>drawn</w:t>
      </w:r>
      <w:r w:rsidR="008243CA">
        <w:t xml:space="preserve"> </w:t>
      </w:r>
      <w:r w:rsidRPr="00E62FE6">
        <w:t>up</w:t>
      </w:r>
      <w:r w:rsidR="008243CA">
        <w:t xml:space="preserve"> </w:t>
      </w:r>
      <w:r w:rsidRPr="00E62FE6">
        <w:t>in</w:t>
      </w:r>
      <w:r w:rsidR="008243CA">
        <w:t xml:space="preserve"> </w:t>
      </w:r>
      <w:r w:rsidRPr="00E62FE6">
        <w:t>accordance</w:t>
      </w:r>
      <w:r w:rsidR="008243CA">
        <w:t xml:space="preserve"> </w:t>
      </w:r>
      <w:r w:rsidRPr="00E62FE6">
        <w:t>with</w:t>
      </w:r>
      <w:r w:rsidR="008243CA">
        <w:t xml:space="preserve"> </w:t>
      </w:r>
      <w:r w:rsidRPr="00E62FE6">
        <w:t>healthy</w:t>
      </w:r>
      <w:r w:rsidR="008243CA">
        <w:t xml:space="preserve"> </w:t>
      </w:r>
      <w:r w:rsidRPr="00E62FE6">
        <w:t>eating</w:t>
      </w:r>
      <w:r w:rsidR="008243CA">
        <w:t xml:space="preserve"> </w:t>
      </w:r>
      <w:r w:rsidRPr="00E62FE6">
        <w:t>guidelines</w:t>
      </w:r>
      <w:r w:rsidR="008243CA">
        <w:t xml:space="preserve"> </w:t>
      </w:r>
      <w:r w:rsidRPr="00E62FE6">
        <w:t>of</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Health.</w:t>
      </w:r>
    </w:p>
    <w:p w:rsidR="003F7D03" w:rsidRPr="00E62FE6" w:rsidRDefault="003F7D03" w:rsidP="000949BE">
      <w:pPr>
        <w:pStyle w:val="Bullet1G"/>
      </w:pPr>
      <w:r w:rsidRPr="00E62FE6">
        <w:t>The</w:t>
      </w:r>
      <w:r w:rsidR="008243CA">
        <w:t xml:space="preserve"> </w:t>
      </w:r>
      <w:r w:rsidRPr="00E62FE6">
        <w:t>availability</w:t>
      </w:r>
      <w:r w:rsidR="008243CA">
        <w:t xml:space="preserve"> </w:t>
      </w:r>
      <w:r w:rsidRPr="00E62FE6">
        <w:t>of</w:t>
      </w:r>
      <w:r w:rsidR="008243CA">
        <w:t xml:space="preserve"> </w:t>
      </w:r>
      <w:r w:rsidRPr="00E62FE6">
        <w:t>resources</w:t>
      </w:r>
      <w:r w:rsidR="008243CA">
        <w:t xml:space="preserve"> </w:t>
      </w:r>
      <w:r w:rsidRPr="00E62FE6">
        <w:t>for</w:t>
      </w:r>
      <w:r w:rsidR="008243CA">
        <w:t xml:space="preserve"> </w:t>
      </w:r>
      <w:r w:rsidRPr="00E62FE6">
        <w:t>developing</w:t>
      </w:r>
      <w:r w:rsidR="008243CA">
        <w:t xml:space="preserve"> </w:t>
      </w:r>
      <w:r w:rsidRPr="00E62FE6">
        <w:t>a</w:t>
      </w:r>
      <w:r w:rsidR="008243CA">
        <w:t xml:space="preserve"> </w:t>
      </w:r>
      <w:r w:rsidRPr="00E62FE6">
        <w:t>food</w:t>
      </w:r>
      <w:r w:rsidR="008243CA">
        <w:t xml:space="preserve"> </w:t>
      </w:r>
      <w:r w:rsidRPr="00E62FE6">
        <w:t>distribution</w:t>
      </w:r>
      <w:r w:rsidR="008243CA">
        <w:t xml:space="preserve"> </w:t>
      </w:r>
      <w:r w:rsidRPr="00E62FE6">
        <w:t>system.</w:t>
      </w:r>
    </w:p>
    <w:p w:rsidR="003F7D03" w:rsidRPr="00E62FE6" w:rsidRDefault="003F7D03" w:rsidP="000949BE">
      <w:pPr>
        <w:pStyle w:val="Bullet1G"/>
      </w:pPr>
      <w:r w:rsidRPr="00E62FE6">
        <w:t>The</w:t>
      </w:r>
      <w:r w:rsidR="008243CA">
        <w:t xml:space="preserve"> </w:t>
      </w:r>
      <w:r w:rsidRPr="00E62FE6">
        <w:t>security</w:t>
      </w:r>
      <w:r w:rsidR="008243CA">
        <w:t xml:space="preserve"> </w:t>
      </w:r>
      <w:r w:rsidRPr="00E62FE6">
        <w:t>arrangements</w:t>
      </w:r>
      <w:r w:rsidR="008243CA">
        <w:t xml:space="preserve"> </w:t>
      </w:r>
      <w:r w:rsidRPr="00E62FE6">
        <w:t>of</w:t>
      </w:r>
      <w:r w:rsidR="008243CA">
        <w:t xml:space="preserve"> </w:t>
      </w:r>
      <w:r w:rsidRPr="00E62FE6">
        <w:t>the</w:t>
      </w:r>
      <w:r w:rsidR="008243CA">
        <w:t xml:space="preserve"> </w:t>
      </w:r>
      <w:r w:rsidRPr="00E62FE6">
        <w:t>correctional</w:t>
      </w:r>
      <w:r w:rsidR="008243CA">
        <w:t xml:space="preserve"> </w:t>
      </w:r>
      <w:r w:rsidRPr="00E62FE6">
        <w:t>facility</w:t>
      </w:r>
      <w:r w:rsidR="008243CA">
        <w:t xml:space="preserve"> </w:t>
      </w:r>
      <w:r w:rsidRPr="00E62FE6">
        <w:t>concerned.</w:t>
      </w:r>
    </w:p>
    <w:p w:rsidR="003F7D03" w:rsidRPr="00E62FE6" w:rsidRDefault="003F7D03" w:rsidP="000C6D98">
      <w:pPr>
        <w:pStyle w:val="SingleTxtG"/>
      </w:pPr>
      <w:r w:rsidRPr="00E62FE6">
        <w:t>127.</w:t>
      </w:r>
      <w:r w:rsidRPr="00E62FE6">
        <w:tab/>
        <w:t>Nutritional</w:t>
      </w:r>
      <w:r w:rsidR="008243CA">
        <w:t xml:space="preserve"> </w:t>
      </w:r>
      <w:r w:rsidRPr="00E62FE6">
        <w:t>value</w:t>
      </w:r>
      <w:r w:rsidR="008243CA">
        <w:t xml:space="preserve"> </w:t>
      </w:r>
      <w:r w:rsidRPr="00E62FE6">
        <w:t>is</w:t>
      </w:r>
      <w:r w:rsidR="008243CA">
        <w:t xml:space="preserve"> </w:t>
      </w:r>
      <w:r w:rsidRPr="00E62FE6">
        <w:t>regulated</w:t>
      </w:r>
      <w:r w:rsidR="008243CA">
        <w:t xml:space="preserve"> </w:t>
      </w:r>
      <w:r w:rsidRPr="00E62FE6">
        <w:t>by</w:t>
      </w:r>
      <w:r w:rsidR="008243CA">
        <w:t xml:space="preserve"> </w:t>
      </w:r>
      <w:r w:rsidRPr="00E62FE6">
        <w:t>standardizing</w:t>
      </w:r>
      <w:r w:rsidR="008243CA">
        <w:t xml:space="preserve"> </w:t>
      </w:r>
      <w:r w:rsidRPr="00E62FE6">
        <w:t>the</w:t>
      </w:r>
      <w:r w:rsidR="008243CA">
        <w:t xml:space="preserve"> </w:t>
      </w:r>
      <w:r w:rsidRPr="00E62FE6">
        <w:t>weight</w:t>
      </w:r>
      <w:r w:rsidR="008243CA">
        <w:t xml:space="preserve"> </w:t>
      </w:r>
      <w:r w:rsidRPr="00E62FE6">
        <w:t>in</w:t>
      </w:r>
      <w:r w:rsidR="008243CA">
        <w:t xml:space="preserve"> </w:t>
      </w:r>
      <w:r w:rsidRPr="00E62FE6">
        <w:t>grams</w:t>
      </w:r>
      <w:r w:rsidR="008243CA">
        <w:t xml:space="preserve"> </w:t>
      </w:r>
      <w:r w:rsidRPr="00E62FE6">
        <w:t>of</w:t>
      </w:r>
      <w:r w:rsidR="008243CA">
        <w:t xml:space="preserve"> </w:t>
      </w:r>
      <w:r w:rsidRPr="00E62FE6">
        <w:t>each</w:t>
      </w:r>
      <w:r w:rsidR="008243CA">
        <w:t xml:space="preserve"> </w:t>
      </w:r>
      <w:r w:rsidRPr="00E62FE6">
        <w:t>dish,</w:t>
      </w:r>
      <w:r w:rsidR="008243CA">
        <w:t xml:space="preserve"> </w:t>
      </w:r>
      <w:r w:rsidRPr="00E62FE6">
        <w:t>in</w:t>
      </w:r>
      <w:r w:rsidR="008243CA">
        <w:t xml:space="preserve"> </w:t>
      </w:r>
      <w:r w:rsidRPr="00E62FE6">
        <w:t>accordance</w:t>
      </w:r>
      <w:r w:rsidR="008243CA">
        <w:t xml:space="preserve"> </w:t>
      </w:r>
      <w:r w:rsidRPr="00E62FE6">
        <w:t>with</w:t>
      </w:r>
      <w:r w:rsidR="008243CA">
        <w:t xml:space="preserve"> </w:t>
      </w:r>
      <w:r w:rsidRPr="00E62FE6">
        <w:t>a</w:t>
      </w:r>
      <w:r w:rsidR="008243CA">
        <w:t xml:space="preserve"> </w:t>
      </w:r>
      <w:r w:rsidRPr="00E62FE6">
        <w:t>manual</w:t>
      </w:r>
      <w:r w:rsidR="008243CA">
        <w:t xml:space="preserve"> </w:t>
      </w:r>
      <w:r w:rsidRPr="00E62FE6">
        <w:t>on</w:t>
      </w:r>
      <w:r w:rsidR="008243CA">
        <w:t xml:space="preserve"> </w:t>
      </w:r>
      <w:r w:rsidRPr="00E62FE6">
        <w:t>food</w:t>
      </w:r>
      <w:r w:rsidR="008243CA">
        <w:t xml:space="preserve"> </w:t>
      </w:r>
      <w:r w:rsidRPr="00E62FE6">
        <w:t>planning</w:t>
      </w:r>
      <w:r w:rsidR="008243CA">
        <w:t xml:space="preserve"> </w:t>
      </w:r>
      <w:r w:rsidRPr="00E62FE6">
        <w:t>and</w:t>
      </w:r>
      <w:r w:rsidR="008243CA">
        <w:t xml:space="preserve"> </w:t>
      </w:r>
      <w:r w:rsidRPr="00E62FE6">
        <w:t>healthy</w:t>
      </w:r>
      <w:r w:rsidR="008243CA">
        <w:t xml:space="preserve"> </w:t>
      </w:r>
      <w:r w:rsidRPr="00E62FE6">
        <w:t>eating</w:t>
      </w:r>
      <w:r w:rsidR="008243CA">
        <w:t xml:space="preserve"> </w:t>
      </w:r>
      <w:r w:rsidRPr="00E62FE6">
        <w:t>and</w:t>
      </w:r>
      <w:r w:rsidR="008243CA">
        <w:t xml:space="preserve"> </w:t>
      </w:r>
      <w:r w:rsidRPr="00E62FE6">
        <w:t>additional</w:t>
      </w:r>
      <w:r w:rsidR="008243CA">
        <w:t xml:space="preserve"> </w:t>
      </w:r>
      <w:r w:rsidRPr="00E62FE6">
        <w:t>instructions.</w:t>
      </w:r>
      <w:r w:rsidR="008243CA">
        <w:t xml:space="preserve"> </w:t>
      </w:r>
      <w:r w:rsidRPr="00E62FE6">
        <w:t>This</w:t>
      </w:r>
      <w:r w:rsidR="008243CA">
        <w:t xml:space="preserve"> </w:t>
      </w:r>
      <w:r w:rsidRPr="00E62FE6">
        <w:t>is</w:t>
      </w:r>
      <w:r w:rsidR="008243CA">
        <w:t xml:space="preserve"> </w:t>
      </w:r>
      <w:r w:rsidRPr="00E62FE6">
        <w:t>done</w:t>
      </w:r>
      <w:r w:rsidR="008243CA">
        <w:t xml:space="preserve"> </w:t>
      </w:r>
      <w:r w:rsidRPr="00E62FE6">
        <w:t>under</w:t>
      </w:r>
      <w:r w:rsidR="008243CA">
        <w:t xml:space="preserve"> </w:t>
      </w:r>
      <w:r w:rsidRPr="00E62FE6">
        <w:t>the</w:t>
      </w:r>
      <w:r w:rsidR="008243CA">
        <w:t xml:space="preserve"> </w:t>
      </w:r>
      <w:r w:rsidRPr="00E62FE6">
        <w:t>supervision</w:t>
      </w:r>
      <w:r w:rsidR="008243CA">
        <w:t xml:space="preserve"> </w:t>
      </w:r>
      <w:r w:rsidRPr="00E62FE6">
        <w:t>of</w:t>
      </w:r>
      <w:r w:rsidR="008243CA">
        <w:t xml:space="preserve"> </w:t>
      </w:r>
      <w:r w:rsidRPr="00E62FE6">
        <w:t>the</w:t>
      </w:r>
      <w:r w:rsidR="008243CA">
        <w:t xml:space="preserve"> </w:t>
      </w:r>
      <w:r w:rsidRPr="00E62FE6">
        <w:t>prison</w:t>
      </w:r>
      <w:r w:rsidR="008243CA">
        <w:t xml:space="preserve"> </w:t>
      </w:r>
      <w:r w:rsidRPr="00E62FE6">
        <w:t>director,</w:t>
      </w:r>
      <w:r w:rsidR="008243CA">
        <w:t xml:space="preserve"> </w:t>
      </w:r>
      <w:r w:rsidRPr="00E62FE6">
        <w:t>the</w:t>
      </w:r>
      <w:r w:rsidR="008243CA">
        <w:t xml:space="preserve"> </w:t>
      </w:r>
      <w:r w:rsidRPr="00E62FE6">
        <w:t>administrative</w:t>
      </w:r>
      <w:r w:rsidR="008243CA">
        <w:t xml:space="preserve"> </w:t>
      </w:r>
      <w:r w:rsidRPr="00E62FE6">
        <w:t>director</w:t>
      </w:r>
      <w:r w:rsidR="008243CA">
        <w:t xml:space="preserve"> </w:t>
      </w:r>
      <w:r w:rsidRPr="00E62FE6">
        <w:t>or</w:t>
      </w:r>
      <w:r w:rsidR="008243CA">
        <w:t xml:space="preserve"> </w:t>
      </w:r>
      <w:r w:rsidRPr="00E62FE6">
        <w:t>the</w:t>
      </w:r>
      <w:r w:rsidR="008243CA">
        <w:t xml:space="preserve"> </w:t>
      </w:r>
      <w:r w:rsidRPr="00E62FE6">
        <w:t>professional</w:t>
      </w:r>
      <w:r w:rsidR="008243CA">
        <w:t xml:space="preserve"> </w:t>
      </w:r>
      <w:r w:rsidRPr="00E62FE6">
        <w:t>nutritionist</w:t>
      </w:r>
      <w:r w:rsidR="008243CA">
        <w:t xml:space="preserve"> </w:t>
      </w:r>
      <w:r w:rsidRPr="00E62FE6">
        <w:t>responsible</w:t>
      </w:r>
      <w:r w:rsidR="008243CA">
        <w:t xml:space="preserve"> </w:t>
      </w:r>
      <w:r w:rsidRPr="00E62FE6">
        <w:t>for</w:t>
      </w:r>
      <w:r w:rsidR="008243CA">
        <w:t xml:space="preserve"> </w:t>
      </w:r>
      <w:r w:rsidRPr="00E62FE6">
        <w:t>the</w:t>
      </w:r>
      <w:r w:rsidR="008243CA">
        <w:t xml:space="preserve"> </w:t>
      </w:r>
      <w:r w:rsidRPr="00E62FE6">
        <w:t>facility.</w:t>
      </w:r>
    </w:p>
    <w:p w:rsidR="003F7D03" w:rsidRPr="00E62FE6" w:rsidRDefault="003F7D03" w:rsidP="000C6D98">
      <w:pPr>
        <w:pStyle w:val="SingleTxtG"/>
      </w:pPr>
      <w:r w:rsidRPr="00E62FE6">
        <w:lastRenderedPageBreak/>
        <w:t>128.</w:t>
      </w:r>
      <w:r w:rsidRPr="00E62FE6">
        <w:tab/>
        <w:t>The</w:t>
      </w:r>
      <w:r w:rsidR="008243CA">
        <w:t xml:space="preserve"> </w:t>
      </w:r>
      <w:r w:rsidRPr="00E62FE6">
        <w:t>prison</w:t>
      </w:r>
      <w:r w:rsidR="00116F0B">
        <w:t>’</w:t>
      </w:r>
      <w:r w:rsidRPr="00E62FE6">
        <w:t>s</w:t>
      </w:r>
      <w:r w:rsidR="008243CA">
        <w:t xml:space="preserve"> </w:t>
      </w:r>
      <w:r w:rsidRPr="00E62FE6">
        <w:t>technical</w:t>
      </w:r>
      <w:r w:rsidR="008243CA">
        <w:t xml:space="preserve"> </w:t>
      </w:r>
      <w:r w:rsidRPr="00E62FE6">
        <w:t>council</w:t>
      </w:r>
      <w:r w:rsidR="008243CA">
        <w:t xml:space="preserve"> </w:t>
      </w:r>
      <w:r w:rsidRPr="00E62FE6">
        <w:t>selects</w:t>
      </w:r>
      <w:r w:rsidR="008243CA">
        <w:t xml:space="preserve"> </w:t>
      </w:r>
      <w:r w:rsidRPr="00E62FE6">
        <w:t>inmates</w:t>
      </w:r>
      <w:r w:rsidR="008243CA">
        <w:t xml:space="preserve"> </w:t>
      </w:r>
      <w:r w:rsidRPr="00E62FE6">
        <w:t>to</w:t>
      </w:r>
      <w:r w:rsidR="008243CA">
        <w:t xml:space="preserve"> </w:t>
      </w:r>
      <w:r w:rsidRPr="00E62FE6">
        <w:t>prepare</w:t>
      </w:r>
      <w:r w:rsidR="008243CA">
        <w:t xml:space="preserve"> </w:t>
      </w:r>
      <w:r w:rsidRPr="00E62FE6">
        <w:t>meals</w:t>
      </w:r>
      <w:r w:rsidR="008243CA">
        <w:t xml:space="preserve"> </w:t>
      </w:r>
      <w:r w:rsidRPr="00E62FE6">
        <w:t>under</w:t>
      </w:r>
      <w:r w:rsidR="008243CA">
        <w:t xml:space="preserve"> </w:t>
      </w:r>
      <w:r w:rsidRPr="00E62FE6">
        <w:t>the</w:t>
      </w:r>
      <w:r w:rsidR="008243CA">
        <w:t xml:space="preserve"> </w:t>
      </w:r>
      <w:r w:rsidRPr="00E62FE6">
        <w:t>instruction</w:t>
      </w:r>
      <w:r w:rsidR="008243CA">
        <w:t xml:space="preserve"> </w:t>
      </w:r>
      <w:r w:rsidRPr="00E62FE6">
        <w:t>of</w:t>
      </w:r>
      <w:r w:rsidR="008243CA">
        <w:t xml:space="preserve"> </w:t>
      </w:r>
      <w:r w:rsidRPr="00E62FE6">
        <w:t>food</w:t>
      </w:r>
      <w:r w:rsidR="008243CA">
        <w:t xml:space="preserve"> </w:t>
      </w:r>
      <w:r w:rsidRPr="00E62FE6">
        <w:t>service</w:t>
      </w:r>
      <w:r w:rsidR="008243CA">
        <w:t xml:space="preserve"> </w:t>
      </w:r>
      <w:r w:rsidRPr="00E62FE6">
        <w:t>professionals.</w:t>
      </w:r>
      <w:r w:rsidR="008243CA">
        <w:t xml:space="preserve"> </w:t>
      </w:r>
      <w:r w:rsidRPr="00E62FE6">
        <w:t>In</w:t>
      </w:r>
      <w:r w:rsidR="008243CA">
        <w:t xml:space="preserve"> </w:t>
      </w:r>
      <w:r w:rsidRPr="00E62FE6">
        <w:t>terms</w:t>
      </w:r>
      <w:r w:rsidR="008243CA">
        <w:t xml:space="preserve"> </w:t>
      </w:r>
      <w:r w:rsidRPr="00E62FE6">
        <w:t>of</w:t>
      </w:r>
      <w:r w:rsidR="008243CA">
        <w:t xml:space="preserve"> </w:t>
      </w:r>
      <w:r w:rsidRPr="00E62FE6">
        <w:t>distribution,</w:t>
      </w:r>
      <w:r w:rsidR="008243CA">
        <w:t xml:space="preserve"> </w:t>
      </w:r>
      <w:r w:rsidRPr="00E62FE6">
        <w:t>food</w:t>
      </w:r>
      <w:r w:rsidR="008243CA">
        <w:t xml:space="preserve"> </w:t>
      </w:r>
      <w:r w:rsidRPr="00E62FE6">
        <w:t>is</w:t>
      </w:r>
      <w:r w:rsidR="008243CA">
        <w:t xml:space="preserve"> </w:t>
      </w:r>
      <w:r w:rsidRPr="00E62FE6">
        <w:t>mostly</w:t>
      </w:r>
      <w:r w:rsidR="008243CA">
        <w:t xml:space="preserve"> </w:t>
      </w:r>
      <w:r w:rsidRPr="00E62FE6">
        <w:t>prepared</w:t>
      </w:r>
      <w:r w:rsidR="008243CA">
        <w:t xml:space="preserve"> </w:t>
      </w:r>
      <w:r w:rsidRPr="00E62FE6">
        <w:t>in</w:t>
      </w:r>
      <w:r w:rsidR="008243CA">
        <w:t xml:space="preserve"> </w:t>
      </w:r>
      <w:r w:rsidRPr="00E62FE6">
        <w:t>bulk,</w:t>
      </w:r>
      <w:r w:rsidR="008243CA">
        <w:t xml:space="preserve"> </w:t>
      </w:r>
      <w:r w:rsidRPr="00E62FE6">
        <w:t>transported</w:t>
      </w:r>
      <w:r w:rsidR="008243CA">
        <w:t xml:space="preserve"> </w:t>
      </w:r>
      <w:r w:rsidRPr="00E62FE6">
        <w:t>to</w:t>
      </w:r>
      <w:r w:rsidR="008243CA">
        <w:t xml:space="preserve"> </w:t>
      </w:r>
      <w:r w:rsidRPr="00E62FE6">
        <w:t>the</w:t>
      </w:r>
      <w:r w:rsidR="008243CA">
        <w:t xml:space="preserve"> </w:t>
      </w:r>
      <w:r w:rsidRPr="00E62FE6">
        <w:t>prison</w:t>
      </w:r>
      <w:r w:rsidR="008243CA">
        <w:t xml:space="preserve"> </w:t>
      </w:r>
      <w:r w:rsidRPr="00E62FE6">
        <w:t>yard</w:t>
      </w:r>
      <w:r w:rsidR="008243CA">
        <w:t xml:space="preserve"> </w:t>
      </w:r>
      <w:r w:rsidRPr="00E62FE6">
        <w:t>in</w:t>
      </w:r>
      <w:r w:rsidR="008243CA">
        <w:t xml:space="preserve"> </w:t>
      </w:r>
      <w:r w:rsidRPr="00E62FE6">
        <w:t>thermal</w:t>
      </w:r>
      <w:r w:rsidR="008243CA">
        <w:t xml:space="preserve"> </w:t>
      </w:r>
      <w:r w:rsidRPr="00E62FE6">
        <w:t>cooking</w:t>
      </w:r>
      <w:r w:rsidR="008243CA">
        <w:t xml:space="preserve"> </w:t>
      </w:r>
      <w:r w:rsidRPr="00E62FE6">
        <w:t>pots</w:t>
      </w:r>
      <w:r w:rsidR="008243CA">
        <w:t xml:space="preserve"> </w:t>
      </w:r>
      <w:r w:rsidRPr="00E62FE6">
        <w:t>and</w:t>
      </w:r>
      <w:r w:rsidR="008243CA">
        <w:t xml:space="preserve"> </w:t>
      </w:r>
      <w:r w:rsidRPr="00E62FE6">
        <w:t>rationed</w:t>
      </w:r>
      <w:r w:rsidR="008243CA">
        <w:t xml:space="preserve"> </w:t>
      </w:r>
      <w:r w:rsidRPr="00E62FE6">
        <w:t>according</w:t>
      </w:r>
      <w:r w:rsidR="008243CA">
        <w:t xml:space="preserve"> </w:t>
      </w:r>
      <w:r w:rsidRPr="00E62FE6">
        <w:t>to</w:t>
      </w:r>
      <w:r w:rsidR="008243CA">
        <w:t xml:space="preserve"> </w:t>
      </w:r>
      <w:r w:rsidRPr="00E62FE6">
        <w:t>the</w:t>
      </w:r>
      <w:r w:rsidR="008243CA">
        <w:t xml:space="preserve"> </w:t>
      </w:r>
      <w:r w:rsidRPr="00E62FE6">
        <w:t>internal</w:t>
      </w:r>
      <w:r w:rsidR="008243CA">
        <w:t xml:space="preserve"> </w:t>
      </w:r>
      <w:r w:rsidRPr="00E62FE6">
        <w:t>regime</w:t>
      </w:r>
      <w:r w:rsidR="008243CA">
        <w:t xml:space="preserve"> </w:t>
      </w:r>
      <w:r w:rsidRPr="00E62FE6">
        <w:t>of</w:t>
      </w:r>
      <w:r w:rsidR="008243CA">
        <w:t xml:space="preserve"> </w:t>
      </w:r>
      <w:r w:rsidRPr="00E62FE6">
        <w:t>the</w:t>
      </w:r>
      <w:r w:rsidR="008243CA">
        <w:t xml:space="preserve"> </w:t>
      </w:r>
      <w:r w:rsidRPr="00E62FE6">
        <w:t>unit.</w:t>
      </w:r>
      <w:r w:rsidR="008243CA">
        <w:t xml:space="preserve"> </w:t>
      </w:r>
      <w:r w:rsidRPr="00E62FE6">
        <w:t>In</w:t>
      </w:r>
      <w:r w:rsidR="008243CA">
        <w:t xml:space="preserve"> </w:t>
      </w:r>
      <w:r w:rsidRPr="00E62FE6">
        <w:t>units</w:t>
      </w:r>
      <w:r w:rsidR="008243CA">
        <w:t xml:space="preserve"> </w:t>
      </w:r>
      <w:r w:rsidRPr="00E62FE6">
        <w:t>with</w:t>
      </w:r>
      <w:r w:rsidR="008243CA">
        <w:t xml:space="preserve"> </w:t>
      </w:r>
      <w:r w:rsidRPr="00E62FE6">
        <w:t>canteens,</w:t>
      </w:r>
      <w:r w:rsidR="008243CA">
        <w:t xml:space="preserve"> </w:t>
      </w:r>
      <w:r w:rsidRPr="00E62FE6">
        <w:t>food</w:t>
      </w:r>
      <w:r w:rsidR="008243CA">
        <w:t xml:space="preserve"> </w:t>
      </w:r>
      <w:r w:rsidRPr="00E62FE6">
        <w:t>is</w:t>
      </w:r>
      <w:r w:rsidR="008243CA">
        <w:t xml:space="preserve"> </w:t>
      </w:r>
      <w:r w:rsidRPr="00E62FE6">
        <w:t>served</w:t>
      </w:r>
      <w:r w:rsidR="008243CA">
        <w:t xml:space="preserve"> </w:t>
      </w:r>
      <w:r w:rsidRPr="00E62FE6">
        <w:t>on</w:t>
      </w:r>
      <w:r w:rsidR="008243CA">
        <w:t xml:space="preserve"> </w:t>
      </w:r>
      <w:r w:rsidRPr="00E62FE6">
        <w:t>individual</w:t>
      </w:r>
      <w:r w:rsidR="008243CA">
        <w:t xml:space="preserve"> </w:t>
      </w:r>
      <w:r w:rsidRPr="00E62FE6">
        <w:t>trays</w:t>
      </w:r>
      <w:r w:rsidR="008243CA">
        <w:t xml:space="preserve"> </w:t>
      </w:r>
      <w:r w:rsidRPr="00E62FE6">
        <w:t>in</w:t>
      </w:r>
      <w:r w:rsidR="008243CA">
        <w:t xml:space="preserve"> </w:t>
      </w:r>
      <w:r w:rsidRPr="00E62FE6">
        <w:t>the</w:t>
      </w:r>
      <w:r w:rsidR="008243CA">
        <w:t xml:space="preserve"> </w:t>
      </w:r>
      <w:r w:rsidRPr="00E62FE6">
        <w:t>amount</w:t>
      </w:r>
      <w:r w:rsidR="008243CA">
        <w:t xml:space="preserve"> </w:t>
      </w:r>
      <w:r w:rsidRPr="00E62FE6">
        <w:t>corresponding</w:t>
      </w:r>
      <w:r w:rsidR="008243CA">
        <w:t xml:space="preserve"> </w:t>
      </w:r>
      <w:r w:rsidRPr="00E62FE6">
        <w:t>to</w:t>
      </w:r>
      <w:r w:rsidR="008243CA">
        <w:t xml:space="preserve"> </w:t>
      </w:r>
      <w:r w:rsidRPr="00E62FE6">
        <w:t>each</w:t>
      </w:r>
      <w:r w:rsidR="008243CA">
        <w:t xml:space="preserve"> </w:t>
      </w:r>
      <w:r w:rsidRPr="00E62FE6">
        <w:t>prisoner.</w:t>
      </w:r>
    </w:p>
    <w:p w:rsidR="003F7D03" w:rsidRPr="00E62FE6" w:rsidRDefault="003F7D03" w:rsidP="000C6D98">
      <w:pPr>
        <w:pStyle w:val="SingleTxtG"/>
      </w:pPr>
      <w:r w:rsidRPr="00E62FE6">
        <w:t>129.</w:t>
      </w:r>
      <w:r w:rsidRPr="00E62FE6">
        <w:tab/>
        <w:t>In</w:t>
      </w:r>
      <w:r w:rsidR="008243CA">
        <w:t xml:space="preserve"> </w:t>
      </w:r>
      <w:r w:rsidRPr="00E62FE6">
        <w:t>addition,</w:t>
      </w:r>
      <w:r w:rsidR="008243CA">
        <w:t xml:space="preserve"> </w:t>
      </w:r>
      <w:r w:rsidRPr="00E62FE6">
        <w:t>prisons</w:t>
      </w:r>
      <w:r w:rsidR="008243CA">
        <w:t xml:space="preserve"> </w:t>
      </w:r>
      <w:r w:rsidRPr="00E62FE6">
        <w:t>operated</w:t>
      </w:r>
      <w:r w:rsidR="008243CA">
        <w:t xml:space="preserve"> </w:t>
      </w:r>
      <w:r w:rsidRPr="00E62FE6">
        <w:t>under</w:t>
      </w:r>
      <w:r w:rsidR="008243CA">
        <w:t xml:space="preserve"> </w:t>
      </w:r>
      <w:r w:rsidRPr="00E62FE6">
        <w:t>the</w:t>
      </w:r>
      <w:r w:rsidR="008243CA">
        <w:t xml:space="preserve"> </w:t>
      </w:r>
      <w:r w:rsidRPr="00E62FE6">
        <w:t>concession</w:t>
      </w:r>
      <w:r w:rsidR="008243CA">
        <w:t xml:space="preserve"> </w:t>
      </w:r>
      <w:r w:rsidRPr="00E62FE6">
        <w:t>system</w:t>
      </w:r>
      <w:r w:rsidR="008243CA">
        <w:t xml:space="preserve"> </w:t>
      </w:r>
      <w:r w:rsidRPr="00E62FE6">
        <w:t>must</w:t>
      </w:r>
      <w:r w:rsidR="008243CA">
        <w:t xml:space="preserve"> </w:t>
      </w:r>
      <w:r w:rsidRPr="00E62FE6">
        <w:t>adhere</w:t>
      </w:r>
      <w:r w:rsidR="008243CA">
        <w:t xml:space="preserve"> </w:t>
      </w:r>
      <w:r w:rsidRPr="00E62FE6">
        <w:t>to</w:t>
      </w:r>
      <w:r w:rsidR="008243CA">
        <w:t xml:space="preserve"> </w:t>
      </w:r>
      <w:r w:rsidRPr="00E62FE6">
        <w:t>the</w:t>
      </w:r>
      <w:r w:rsidR="008243CA">
        <w:t xml:space="preserve"> </w:t>
      </w:r>
      <w:r w:rsidRPr="00E62FE6">
        <w:t>terms</w:t>
      </w:r>
      <w:r w:rsidR="008243CA">
        <w:t xml:space="preserve"> </w:t>
      </w:r>
      <w:r w:rsidRPr="00E62FE6">
        <w:t>of</w:t>
      </w:r>
      <w:r w:rsidR="008243CA">
        <w:t xml:space="preserve"> </w:t>
      </w:r>
      <w:r w:rsidRPr="00E62FE6">
        <w:t>the</w:t>
      </w:r>
      <w:r w:rsidR="008243CA">
        <w:t xml:space="preserve"> </w:t>
      </w:r>
      <w:r w:rsidRPr="00E62FE6">
        <w:t>contract</w:t>
      </w:r>
      <w:r w:rsidR="008243CA">
        <w:t xml:space="preserve"> </w:t>
      </w:r>
      <w:r w:rsidRPr="00E62FE6">
        <w:t>awarded</w:t>
      </w:r>
      <w:r w:rsidR="008243CA">
        <w:t xml:space="preserve"> </w:t>
      </w:r>
      <w:r w:rsidRPr="00E62FE6">
        <w:t>in</w:t>
      </w:r>
      <w:r w:rsidR="008243CA">
        <w:t xml:space="preserve"> </w:t>
      </w:r>
      <w:r w:rsidRPr="00E62FE6">
        <w:t>a</w:t>
      </w:r>
      <w:r w:rsidR="008243CA">
        <w:t xml:space="preserve"> </w:t>
      </w:r>
      <w:r w:rsidRPr="00E62FE6">
        <w:t>competitive</w:t>
      </w:r>
      <w:r w:rsidR="008243CA">
        <w:t xml:space="preserve"> </w:t>
      </w:r>
      <w:r w:rsidRPr="00E62FE6">
        <w:t>bidding</w:t>
      </w:r>
      <w:r w:rsidR="008243CA">
        <w:t xml:space="preserve"> </w:t>
      </w:r>
      <w:r w:rsidRPr="00E62FE6">
        <w:t>process,</w:t>
      </w:r>
      <w:r w:rsidR="008243CA">
        <w:t xml:space="preserve"> </w:t>
      </w:r>
      <w:r w:rsidRPr="00E62FE6">
        <w:t>which</w:t>
      </w:r>
      <w:r w:rsidR="008243CA">
        <w:t xml:space="preserve"> </w:t>
      </w:r>
      <w:r w:rsidRPr="00E62FE6">
        <w:t>specify</w:t>
      </w:r>
      <w:r w:rsidR="008243CA">
        <w:t xml:space="preserve"> </w:t>
      </w:r>
      <w:r w:rsidRPr="00E62FE6">
        <w:t>the</w:t>
      </w:r>
      <w:r w:rsidR="008243CA">
        <w:t xml:space="preserve"> </w:t>
      </w:r>
      <w:r w:rsidRPr="00E62FE6">
        <w:t>nutritional</w:t>
      </w:r>
      <w:r w:rsidR="008243CA">
        <w:t xml:space="preserve"> </w:t>
      </w:r>
      <w:r w:rsidRPr="00E62FE6">
        <w:t>value</w:t>
      </w:r>
      <w:r w:rsidR="008243CA">
        <w:t xml:space="preserve"> </w:t>
      </w:r>
      <w:r w:rsidRPr="00E62FE6">
        <w:t>and</w:t>
      </w:r>
      <w:r w:rsidR="00116F0B">
        <w:t xml:space="preserve"> </w:t>
      </w:r>
      <w:r w:rsidRPr="00E62FE6">
        <w:t>frequency</w:t>
      </w:r>
      <w:r w:rsidR="008243CA">
        <w:t xml:space="preserve"> </w:t>
      </w:r>
      <w:r w:rsidRPr="00E62FE6">
        <w:t>of</w:t>
      </w:r>
      <w:r w:rsidR="008243CA">
        <w:t xml:space="preserve"> </w:t>
      </w:r>
      <w:r w:rsidRPr="00E62FE6">
        <w:t>meals,</w:t>
      </w:r>
      <w:r w:rsidR="008243CA">
        <w:t xml:space="preserve"> </w:t>
      </w:r>
      <w:r w:rsidRPr="00E62FE6">
        <w:t>as</w:t>
      </w:r>
      <w:r w:rsidR="008243CA">
        <w:t xml:space="preserve"> </w:t>
      </w:r>
      <w:r w:rsidRPr="00E62FE6">
        <w:t>well</w:t>
      </w:r>
      <w:r w:rsidR="008243CA">
        <w:t xml:space="preserve"> </w:t>
      </w:r>
      <w:r w:rsidRPr="00E62FE6">
        <w:t>as</w:t>
      </w:r>
      <w:r w:rsidR="008243CA">
        <w:t xml:space="preserve"> </w:t>
      </w:r>
      <w:r w:rsidRPr="00E62FE6">
        <w:t>the</w:t>
      </w:r>
      <w:r w:rsidR="008243CA">
        <w:t xml:space="preserve"> </w:t>
      </w:r>
      <w:r w:rsidRPr="00E62FE6">
        <w:t>manner</w:t>
      </w:r>
      <w:r w:rsidR="008243CA">
        <w:t xml:space="preserve"> </w:t>
      </w:r>
      <w:r w:rsidRPr="00E62FE6">
        <w:t>in</w:t>
      </w:r>
      <w:r w:rsidR="008243CA">
        <w:t xml:space="preserve"> </w:t>
      </w:r>
      <w:r w:rsidRPr="00E62FE6">
        <w:t>which</w:t>
      </w:r>
      <w:r w:rsidR="008243CA">
        <w:t xml:space="preserve"> </w:t>
      </w:r>
      <w:r w:rsidRPr="00E62FE6">
        <w:t>they</w:t>
      </w:r>
      <w:r w:rsidR="008243CA">
        <w:t xml:space="preserve"> </w:t>
      </w:r>
      <w:r w:rsidRPr="00E62FE6">
        <w:t>are</w:t>
      </w:r>
      <w:r w:rsidR="008243CA">
        <w:t xml:space="preserve"> </w:t>
      </w:r>
      <w:r w:rsidRPr="00E62FE6">
        <w:t>to</w:t>
      </w:r>
      <w:r w:rsidR="008243CA">
        <w:t xml:space="preserve"> </w:t>
      </w:r>
      <w:r w:rsidRPr="00E62FE6">
        <w:t>be</w:t>
      </w:r>
      <w:r w:rsidR="008243CA">
        <w:t xml:space="preserve"> </w:t>
      </w:r>
      <w:r w:rsidRPr="00E62FE6">
        <w:t>served.</w:t>
      </w:r>
    </w:p>
    <w:p w:rsidR="003F7D03" w:rsidRPr="00E62FE6" w:rsidRDefault="003F7D03" w:rsidP="000C6D98">
      <w:pPr>
        <w:pStyle w:val="SingleTxtG"/>
      </w:pPr>
      <w:r w:rsidRPr="00E62FE6">
        <w:t>130.</w:t>
      </w:r>
      <w:r w:rsidRPr="00E62FE6">
        <w:tab/>
        <w:t>There</w:t>
      </w:r>
      <w:r w:rsidR="008243CA">
        <w:t xml:space="preserve"> </w:t>
      </w:r>
      <w:r w:rsidRPr="00E62FE6">
        <w:t>is</w:t>
      </w:r>
      <w:r w:rsidR="008243CA">
        <w:t xml:space="preserve"> </w:t>
      </w:r>
      <w:r w:rsidRPr="00E62FE6">
        <w:t>no</w:t>
      </w:r>
      <w:r w:rsidR="008243CA">
        <w:t xml:space="preserve"> </w:t>
      </w:r>
      <w:r w:rsidRPr="00E62FE6">
        <w:t>budget</w:t>
      </w:r>
      <w:r w:rsidR="008243CA">
        <w:t xml:space="preserve"> </w:t>
      </w:r>
      <w:r w:rsidRPr="00E62FE6">
        <w:t>allocation</w:t>
      </w:r>
      <w:r w:rsidR="008243CA">
        <w:t xml:space="preserve"> </w:t>
      </w:r>
      <w:r w:rsidRPr="00E62FE6">
        <w:t>for</w:t>
      </w:r>
      <w:r w:rsidR="008243CA">
        <w:t xml:space="preserve"> </w:t>
      </w:r>
      <w:r w:rsidRPr="00E62FE6">
        <w:t>the</w:t>
      </w:r>
      <w:r w:rsidR="008243CA">
        <w:t xml:space="preserve"> </w:t>
      </w:r>
      <w:r w:rsidRPr="00E62FE6">
        <w:t>supply</w:t>
      </w:r>
      <w:r w:rsidR="008243CA">
        <w:t xml:space="preserve"> </w:t>
      </w:r>
      <w:r w:rsidRPr="00E62FE6">
        <w:t>of</w:t>
      </w:r>
      <w:r w:rsidR="008243CA">
        <w:t xml:space="preserve"> </w:t>
      </w:r>
      <w:r w:rsidRPr="00E62FE6">
        <w:t>toiletries</w:t>
      </w:r>
      <w:r w:rsidR="008243CA">
        <w:t xml:space="preserve"> </w:t>
      </w:r>
      <w:r w:rsidRPr="00E62FE6">
        <w:t>to</w:t>
      </w:r>
      <w:r w:rsidR="008243CA">
        <w:t xml:space="preserve"> </w:t>
      </w:r>
      <w:r w:rsidRPr="00E62FE6">
        <w:t>inmates.</w:t>
      </w:r>
      <w:r w:rsidR="008243CA">
        <w:t xml:space="preserve"> </w:t>
      </w:r>
      <w:r w:rsidRPr="00E62FE6">
        <w:t>The</w:t>
      </w:r>
      <w:r w:rsidR="008243CA">
        <w:t xml:space="preserve"> </w:t>
      </w:r>
      <w:r w:rsidRPr="00E62FE6">
        <w:t>resources</w:t>
      </w:r>
      <w:r w:rsidR="008243CA">
        <w:t xml:space="preserve"> </w:t>
      </w:r>
      <w:r w:rsidRPr="00E62FE6">
        <w:t>available</w:t>
      </w:r>
      <w:r w:rsidR="008243CA">
        <w:t xml:space="preserve"> </w:t>
      </w:r>
      <w:r w:rsidRPr="00E62FE6">
        <w:t>for</w:t>
      </w:r>
      <w:r w:rsidR="008243CA">
        <w:t xml:space="preserve"> </w:t>
      </w:r>
      <w:r w:rsidRPr="00E62FE6">
        <w:t>this</w:t>
      </w:r>
      <w:r w:rsidR="008243CA">
        <w:t xml:space="preserve"> </w:t>
      </w:r>
      <w:r w:rsidRPr="00E62FE6">
        <w:t>item</w:t>
      </w:r>
      <w:r w:rsidR="008243CA">
        <w:t xml:space="preserve"> </w:t>
      </w:r>
      <w:r w:rsidRPr="00E62FE6">
        <w:t>are</w:t>
      </w:r>
      <w:r w:rsidR="008243CA">
        <w:t xml:space="preserve"> </w:t>
      </w:r>
      <w:r w:rsidRPr="00E62FE6">
        <w:t>used</w:t>
      </w:r>
      <w:r w:rsidR="008243CA">
        <w:t xml:space="preserve"> </w:t>
      </w:r>
      <w:r w:rsidRPr="00E62FE6">
        <w:t>by</w:t>
      </w:r>
      <w:r w:rsidR="008243CA">
        <w:t xml:space="preserve"> </w:t>
      </w:r>
      <w:r w:rsidRPr="00E62FE6">
        <w:t>the</w:t>
      </w:r>
      <w:r w:rsidR="008243CA">
        <w:t xml:space="preserve"> </w:t>
      </w:r>
      <w:r w:rsidRPr="00E62FE6">
        <w:t>prisons</w:t>
      </w:r>
      <w:r w:rsidR="008243CA">
        <w:t xml:space="preserve"> </w:t>
      </w:r>
      <w:r w:rsidRPr="00E62FE6">
        <w:t>to</w:t>
      </w:r>
      <w:r w:rsidR="008243CA">
        <w:t xml:space="preserve"> </w:t>
      </w:r>
      <w:r w:rsidRPr="00E62FE6">
        <w:t>purchase</w:t>
      </w:r>
      <w:r w:rsidR="008243CA">
        <w:t xml:space="preserve"> </w:t>
      </w:r>
      <w:r w:rsidRPr="00E62FE6">
        <w:t>the</w:t>
      </w:r>
      <w:r w:rsidR="008243CA">
        <w:t xml:space="preserve"> </w:t>
      </w:r>
      <w:r w:rsidRPr="00E62FE6">
        <w:t>toiletries</w:t>
      </w:r>
      <w:r w:rsidR="008243CA">
        <w:t xml:space="preserve"> </w:t>
      </w:r>
      <w:r w:rsidRPr="00E62FE6">
        <w:t>and</w:t>
      </w:r>
      <w:r w:rsidR="008243CA">
        <w:t xml:space="preserve"> </w:t>
      </w:r>
      <w:r w:rsidRPr="00E62FE6">
        <w:t>other</w:t>
      </w:r>
      <w:r w:rsidR="008243CA">
        <w:t xml:space="preserve"> </w:t>
      </w:r>
      <w:r w:rsidRPr="00E62FE6">
        <w:t>supplies</w:t>
      </w:r>
      <w:r w:rsidR="008243CA">
        <w:t xml:space="preserve"> </w:t>
      </w:r>
      <w:r w:rsidRPr="00E62FE6">
        <w:t>that</w:t>
      </w:r>
      <w:r w:rsidR="008243CA">
        <w:t xml:space="preserve"> </w:t>
      </w:r>
      <w:r w:rsidRPr="00E62FE6">
        <w:t>they</w:t>
      </w:r>
      <w:r w:rsidR="008243CA">
        <w:t xml:space="preserve"> </w:t>
      </w:r>
      <w:r w:rsidRPr="00E62FE6">
        <w:t>require.</w:t>
      </w:r>
      <w:r w:rsidR="008243CA">
        <w:t xml:space="preserve"> </w:t>
      </w:r>
      <w:r w:rsidRPr="00E62FE6">
        <w:t>Nevertheless,</w:t>
      </w:r>
      <w:r w:rsidR="008243CA">
        <w:t xml:space="preserve"> </w:t>
      </w:r>
      <w:r w:rsidRPr="00E62FE6">
        <w:t>in</w:t>
      </w:r>
      <w:r w:rsidR="008243CA">
        <w:t xml:space="preserve"> </w:t>
      </w:r>
      <w:r w:rsidRPr="00E62FE6">
        <w:t>response</w:t>
      </w:r>
      <w:r w:rsidR="008243CA">
        <w:t xml:space="preserve"> </w:t>
      </w:r>
      <w:r w:rsidRPr="00E62FE6">
        <w:t>to</w:t>
      </w:r>
      <w:r w:rsidR="008243CA">
        <w:t xml:space="preserve"> </w:t>
      </w:r>
      <w:r w:rsidRPr="00E62FE6">
        <w:t>the</w:t>
      </w:r>
      <w:r w:rsidR="008243CA">
        <w:t xml:space="preserve"> </w:t>
      </w:r>
      <w:r w:rsidRPr="00E62FE6">
        <w:t>Subcommittee</w:t>
      </w:r>
      <w:r w:rsidR="00116F0B">
        <w:t>’</w:t>
      </w:r>
      <w:r w:rsidRPr="00E62FE6">
        <w:t>s</w:t>
      </w:r>
      <w:r w:rsidR="008243CA">
        <w:t xml:space="preserve"> </w:t>
      </w:r>
      <w:r w:rsidRPr="00E62FE6">
        <w:t>recommendation,</w:t>
      </w:r>
      <w:r w:rsidR="008243CA">
        <w:t xml:space="preserve"> </w:t>
      </w:r>
      <w:r w:rsidRPr="00E62FE6">
        <w:t>the</w:t>
      </w:r>
      <w:r w:rsidR="008243CA">
        <w:t xml:space="preserve"> </w:t>
      </w:r>
      <w:r w:rsidRPr="00E62FE6">
        <w:t>logistics</w:t>
      </w:r>
      <w:r w:rsidR="008243CA">
        <w:t xml:space="preserve"> </w:t>
      </w:r>
      <w:r w:rsidRPr="00E62FE6">
        <w:t>department</w:t>
      </w:r>
      <w:r w:rsidR="008243CA">
        <w:t xml:space="preserve"> </w:t>
      </w:r>
      <w:r w:rsidRPr="00E62FE6">
        <w:t>of</w:t>
      </w:r>
      <w:r w:rsidR="008243CA">
        <w:t xml:space="preserve"> </w:t>
      </w:r>
      <w:r w:rsidRPr="00E62FE6">
        <w:t>the</w:t>
      </w:r>
      <w:r w:rsidR="008243CA">
        <w:t xml:space="preserve"> </w:t>
      </w:r>
      <w:r w:rsidRPr="00E62FE6">
        <w:t>Prison</w:t>
      </w:r>
      <w:r w:rsidR="008243CA">
        <w:t xml:space="preserve"> </w:t>
      </w:r>
      <w:r w:rsidRPr="00E62FE6">
        <w:t>Service</w:t>
      </w:r>
      <w:r w:rsidR="008243CA">
        <w:t xml:space="preserve"> </w:t>
      </w:r>
      <w:r w:rsidRPr="00E62FE6">
        <w:t>will</w:t>
      </w:r>
      <w:r w:rsidR="008243CA">
        <w:t xml:space="preserve"> </w:t>
      </w:r>
      <w:r w:rsidRPr="00E62FE6">
        <w:t>order</w:t>
      </w:r>
      <w:r w:rsidR="008243CA">
        <w:t xml:space="preserve"> </w:t>
      </w:r>
      <w:r w:rsidRPr="00E62FE6">
        <w:t>the</w:t>
      </w:r>
      <w:r w:rsidR="008243CA">
        <w:t xml:space="preserve"> </w:t>
      </w:r>
      <w:r w:rsidRPr="00E62FE6">
        <w:t>development</w:t>
      </w:r>
      <w:r w:rsidR="008243CA">
        <w:t xml:space="preserve"> </w:t>
      </w:r>
      <w:r w:rsidRPr="00E62FE6">
        <w:t>and</w:t>
      </w:r>
      <w:r w:rsidR="008243CA">
        <w:t xml:space="preserve"> </w:t>
      </w:r>
      <w:r w:rsidRPr="00E62FE6">
        <w:t>introduction</w:t>
      </w:r>
      <w:r w:rsidR="008243CA">
        <w:t xml:space="preserve"> </w:t>
      </w:r>
      <w:r w:rsidRPr="00E62FE6">
        <w:t>of</w:t>
      </w:r>
      <w:r w:rsidR="008243CA">
        <w:t xml:space="preserve"> </w:t>
      </w:r>
      <w:r w:rsidRPr="00E62FE6">
        <w:t>a</w:t>
      </w:r>
      <w:r w:rsidR="008243CA">
        <w:t xml:space="preserve"> </w:t>
      </w:r>
      <w:r w:rsidRPr="00E62FE6">
        <w:t>register</w:t>
      </w:r>
      <w:r w:rsidR="008243CA">
        <w:t xml:space="preserve"> </w:t>
      </w:r>
      <w:r w:rsidRPr="00E62FE6">
        <w:t>to</w:t>
      </w:r>
      <w:r w:rsidR="008243CA">
        <w:t xml:space="preserve"> </w:t>
      </w:r>
      <w:r w:rsidRPr="00E62FE6">
        <w:t>confirm</w:t>
      </w:r>
      <w:r w:rsidR="00116F0B">
        <w:t xml:space="preserve"> </w:t>
      </w:r>
      <w:r w:rsidRPr="00E62FE6">
        <w:t>receipt</w:t>
      </w:r>
      <w:r w:rsidR="008243CA">
        <w:t xml:space="preserve"> </w:t>
      </w:r>
      <w:r w:rsidRPr="00E62FE6">
        <w:t>of</w:t>
      </w:r>
      <w:r w:rsidR="008243CA">
        <w:t xml:space="preserve"> </w:t>
      </w:r>
      <w:r w:rsidRPr="00E62FE6">
        <w:t>food</w:t>
      </w:r>
      <w:r w:rsidR="008243CA">
        <w:t xml:space="preserve"> </w:t>
      </w:r>
      <w:r w:rsidRPr="00E62FE6">
        <w:t>and</w:t>
      </w:r>
      <w:r w:rsidR="008243CA">
        <w:t xml:space="preserve"> </w:t>
      </w:r>
      <w:r w:rsidRPr="00E62FE6">
        <w:t>medicine,</w:t>
      </w:r>
      <w:r w:rsidR="008243CA">
        <w:t xml:space="preserve"> </w:t>
      </w:r>
      <w:r w:rsidRPr="00E62FE6">
        <w:t>thus</w:t>
      </w:r>
      <w:r w:rsidR="008243CA">
        <w:t xml:space="preserve"> </w:t>
      </w:r>
      <w:r w:rsidRPr="00E62FE6">
        <w:t>ensuring</w:t>
      </w:r>
      <w:r w:rsidR="008243CA">
        <w:t xml:space="preserve"> </w:t>
      </w:r>
      <w:r w:rsidRPr="00E62FE6">
        <w:t>that</w:t>
      </w:r>
      <w:r w:rsidR="008243CA">
        <w:t xml:space="preserve"> </w:t>
      </w:r>
      <w:r w:rsidRPr="00E62FE6">
        <w:t>essential</w:t>
      </w:r>
      <w:r w:rsidR="008243CA">
        <w:t xml:space="preserve"> </w:t>
      </w:r>
      <w:r w:rsidRPr="00E62FE6">
        <w:t>goods</w:t>
      </w:r>
      <w:r w:rsidR="008243CA">
        <w:t xml:space="preserve"> </w:t>
      </w:r>
      <w:r w:rsidRPr="00E62FE6">
        <w:t>are</w:t>
      </w:r>
      <w:r w:rsidR="008243CA">
        <w:t xml:space="preserve"> </w:t>
      </w:r>
      <w:r w:rsidRPr="00E62FE6">
        <w:t>effectively</w:t>
      </w:r>
      <w:r w:rsidR="008243CA">
        <w:t xml:space="preserve"> </w:t>
      </w:r>
      <w:r w:rsidRPr="00E62FE6">
        <w:t>delivered</w:t>
      </w:r>
      <w:r w:rsidR="008243CA">
        <w:t xml:space="preserve"> </w:t>
      </w:r>
      <w:r w:rsidRPr="00E62FE6">
        <w:t>to</w:t>
      </w:r>
      <w:r w:rsidR="008243CA">
        <w:t xml:space="preserve"> </w:t>
      </w:r>
      <w:r w:rsidRPr="00E62FE6">
        <w:t>persons</w:t>
      </w:r>
      <w:r w:rsidR="008243CA">
        <w:t xml:space="preserve"> </w:t>
      </w:r>
      <w:r w:rsidRPr="00E62FE6">
        <w:t>deprived</w:t>
      </w:r>
      <w:r w:rsidR="008243CA">
        <w:t xml:space="preserve"> </w:t>
      </w:r>
      <w:r w:rsidRPr="00E62FE6">
        <w:t>of</w:t>
      </w:r>
      <w:r w:rsidR="008243CA">
        <w:t xml:space="preserve"> </w:t>
      </w:r>
      <w:r w:rsidRPr="00E62FE6">
        <w:t>their</w:t>
      </w:r>
      <w:r w:rsidR="008243CA">
        <w:t xml:space="preserve"> </w:t>
      </w:r>
      <w:r w:rsidRPr="00E62FE6">
        <w:t>liberty.</w:t>
      </w:r>
      <w:r w:rsidR="008243CA">
        <w:t xml:space="preserve"> </w:t>
      </w:r>
      <w:r w:rsidRPr="00E62FE6">
        <w:t>This</w:t>
      </w:r>
      <w:r w:rsidR="008243CA">
        <w:t xml:space="preserve"> </w:t>
      </w:r>
      <w:r w:rsidRPr="00E62FE6">
        <w:t>register</w:t>
      </w:r>
      <w:r w:rsidR="008243CA">
        <w:t xml:space="preserve"> </w:t>
      </w:r>
      <w:r w:rsidRPr="00E62FE6">
        <w:t>will</w:t>
      </w:r>
      <w:r w:rsidR="008243CA">
        <w:t xml:space="preserve"> </w:t>
      </w:r>
      <w:r w:rsidRPr="00E62FE6">
        <w:t>be</w:t>
      </w:r>
      <w:r w:rsidR="008243CA">
        <w:t xml:space="preserve"> </w:t>
      </w:r>
      <w:r w:rsidRPr="00E62FE6">
        <w:t>in</w:t>
      </w:r>
      <w:r w:rsidR="008243CA">
        <w:t xml:space="preserve"> </w:t>
      </w:r>
      <w:r w:rsidRPr="00E62FE6">
        <w:t>place</w:t>
      </w:r>
      <w:r w:rsidR="008243CA">
        <w:t xml:space="preserve"> </w:t>
      </w:r>
      <w:r w:rsidRPr="00E62FE6">
        <w:t>beginning</w:t>
      </w:r>
      <w:r w:rsidR="008243CA">
        <w:t xml:space="preserve"> </w:t>
      </w:r>
      <w:r w:rsidRPr="00E62FE6">
        <w:t>in</w:t>
      </w:r>
      <w:r w:rsidR="008243CA">
        <w:t xml:space="preserve"> </w:t>
      </w:r>
      <w:r w:rsidRPr="00E62FE6">
        <w:t>July</w:t>
      </w:r>
      <w:r w:rsidR="008243CA">
        <w:t xml:space="preserve"> </w:t>
      </w:r>
      <w:r w:rsidRPr="00E62FE6">
        <w:t>2017.</w:t>
      </w:r>
    </w:p>
    <w:p w:rsidR="003F7D03" w:rsidRPr="00E62FE6" w:rsidRDefault="003F7D03" w:rsidP="000C6D98">
      <w:pPr>
        <w:pStyle w:val="SingleTxtG"/>
      </w:pPr>
      <w:r w:rsidRPr="00E62FE6">
        <w:t>131.</w:t>
      </w:r>
      <w:r w:rsidRPr="00E62FE6">
        <w:tab/>
        <w:t>Meanwhile,</w:t>
      </w:r>
      <w:r w:rsidR="008243CA">
        <w:t xml:space="preserve"> </w:t>
      </w:r>
      <w:r w:rsidRPr="00E62FE6">
        <w:t>SENAME</w:t>
      </w:r>
      <w:r w:rsidR="008243CA">
        <w:t xml:space="preserve"> </w:t>
      </w:r>
      <w:r w:rsidRPr="00E62FE6">
        <w:t>aims</w:t>
      </w:r>
      <w:r w:rsidR="008243CA">
        <w:t xml:space="preserve"> </w:t>
      </w:r>
      <w:r w:rsidRPr="00E62FE6">
        <w:t>to</w:t>
      </w:r>
      <w:r w:rsidR="008243CA">
        <w:t xml:space="preserve"> </w:t>
      </w:r>
      <w:r w:rsidRPr="00E62FE6">
        <w:t>carry</w:t>
      </w:r>
      <w:r w:rsidR="008243CA">
        <w:t xml:space="preserve"> </w:t>
      </w:r>
      <w:r w:rsidRPr="00E62FE6">
        <w:t>out</w:t>
      </w:r>
      <w:r w:rsidR="008243CA">
        <w:t xml:space="preserve"> </w:t>
      </w:r>
      <w:r w:rsidRPr="00E62FE6">
        <w:t>two</w:t>
      </w:r>
      <w:r w:rsidR="008243CA">
        <w:t xml:space="preserve"> </w:t>
      </w:r>
      <w:r w:rsidRPr="00E62FE6">
        <w:t>specific</w:t>
      </w:r>
      <w:r w:rsidR="008243CA">
        <w:t xml:space="preserve"> </w:t>
      </w:r>
      <w:r w:rsidRPr="00E62FE6">
        <w:t>actions</w:t>
      </w:r>
      <w:r w:rsidR="008243CA">
        <w:t xml:space="preserve"> </w:t>
      </w:r>
      <w:r w:rsidRPr="00E62FE6">
        <w:t>in</w:t>
      </w:r>
      <w:r w:rsidR="008243CA">
        <w:t xml:space="preserve"> </w:t>
      </w:r>
      <w:r w:rsidRPr="00E62FE6">
        <w:t>response</w:t>
      </w:r>
      <w:r w:rsidR="008243CA">
        <w:t xml:space="preserve"> </w:t>
      </w:r>
      <w:r w:rsidRPr="00E62FE6">
        <w:t>to</w:t>
      </w:r>
      <w:r w:rsidR="008243CA">
        <w:t xml:space="preserve"> </w:t>
      </w:r>
      <w:r w:rsidRPr="00E62FE6">
        <w:t>the</w:t>
      </w:r>
      <w:r w:rsidR="008243CA">
        <w:t xml:space="preserve"> </w:t>
      </w:r>
      <w:r w:rsidRPr="00E62FE6">
        <w:t>Subcommittee</w:t>
      </w:r>
      <w:r w:rsidR="00116F0B">
        <w:t>’</w:t>
      </w:r>
      <w:r w:rsidRPr="00E62FE6">
        <w:t>s</w:t>
      </w:r>
      <w:r w:rsidR="008243CA">
        <w:t xml:space="preserve"> </w:t>
      </w:r>
      <w:r w:rsidRPr="00E62FE6">
        <w:t>recommendations:</w:t>
      </w:r>
    </w:p>
    <w:p w:rsidR="003F7D03" w:rsidRPr="00E62FE6" w:rsidRDefault="003F7D03" w:rsidP="00875EC6">
      <w:pPr>
        <w:pStyle w:val="Bullet1G"/>
      </w:pPr>
      <w:r w:rsidRPr="00E62FE6">
        <w:t>Its</w:t>
      </w:r>
      <w:r w:rsidR="008243CA">
        <w:t xml:space="preserve"> </w:t>
      </w:r>
      <w:r w:rsidRPr="00E62FE6">
        <w:t>health</w:t>
      </w:r>
      <w:r w:rsidR="008243CA">
        <w:t xml:space="preserve"> </w:t>
      </w:r>
      <w:r w:rsidRPr="00E62FE6">
        <w:t>unit</w:t>
      </w:r>
      <w:r w:rsidR="008243CA">
        <w:t xml:space="preserve"> </w:t>
      </w:r>
      <w:r w:rsidRPr="00E62FE6">
        <w:t>will</w:t>
      </w:r>
      <w:r w:rsidR="008243CA">
        <w:t xml:space="preserve"> </w:t>
      </w:r>
      <w:r w:rsidRPr="00E62FE6">
        <w:t>develop</w:t>
      </w:r>
      <w:r w:rsidR="008243CA">
        <w:t xml:space="preserve"> </w:t>
      </w:r>
      <w:r w:rsidRPr="00E62FE6">
        <w:t>guidelines</w:t>
      </w:r>
      <w:r w:rsidR="008243CA">
        <w:t xml:space="preserve"> </w:t>
      </w:r>
      <w:r w:rsidRPr="00E62FE6">
        <w:t>for</w:t>
      </w:r>
      <w:r w:rsidR="008243CA">
        <w:t xml:space="preserve"> </w:t>
      </w:r>
      <w:r w:rsidRPr="00E62FE6">
        <w:t>the</w:t>
      </w:r>
      <w:r w:rsidR="008243CA">
        <w:t xml:space="preserve"> </w:t>
      </w:r>
      <w:r w:rsidRPr="00E62FE6">
        <w:t>design</w:t>
      </w:r>
      <w:r w:rsidR="008243CA">
        <w:t xml:space="preserve"> </w:t>
      </w:r>
      <w:r w:rsidRPr="00E62FE6">
        <w:t>of</w:t>
      </w:r>
      <w:r w:rsidR="008243CA">
        <w:t xml:space="preserve"> </w:t>
      </w:r>
      <w:r w:rsidRPr="00E62FE6">
        <w:t>menus</w:t>
      </w:r>
      <w:r w:rsidR="008243CA">
        <w:t xml:space="preserve"> </w:t>
      </w:r>
      <w:r w:rsidRPr="00E62FE6">
        <w:t>for</w:t>
      </w:r>
      <w:r w:rsidR="008243CA">
        <w:t xml:space="preserve"> </w:t>
      </w:r>
      <w:r w:rsidRPr="00E62FE6">
        <w:t>directly</w:t>
      </w:r>
      <w:r w:rsidR="008243CA">
        <w:t xml:space="preserve"> </w:t>
      </w:r>
      <w:r w:rsidRPr="00E62FE6">
        <w:t>administered</w:t>
      </w:r>
      <w:r w:rsidR="008243CA">
        <w:t xml:space="preserve"> </w:t>
      </w:r>
      <w:r w:rsidRPr="00E62FE6">
        <w:t>centres</w:t>
      </w:r>
      <w:r w:rsidR="008243CA">
        <w:t xml:space="preserve"> </w:t>
      </w:r>
      <w:r w:rsidRPr="00E62FE6">
        <w:t>that</w:t>
      </w:r>
      <w:r w:rsidR="008243CA">
        <w:t xml:space="preserve"> </w:t>
      </w:r>
      <w:r w:rsidRPr="00E62FE6">
        <w:t>are</w:t>
      </w:r>
      <w:r w:rsidR="008243CA">
        <w:t xml:space="preserve"> </w:t>
      </w:r>
      <w:r w:rsidRPr="00E62FE6">
        <w:t>part</w:t>
      </w:r>
      <w:r w:rsidR="008243CA">
        <w:t xml:space="preserve"> </w:t>
      </w:r>
      <w:r w:rsidRPr="00E62FE6">
        <w:t>of</w:t>
      </w:r>
      <w:r w:rsidR="008243CA">
        <w:t xml:space="preserve"> </w:t>
      </w:r>
      <w:r w:rsidRPr="00E62FE6">
        <w:t>the</w:t>
      </w:r>
      <w:r w:rsidR="008243CA">
        <w:t xml:space="preserve"> </w:t>
      </w:r>
      <w:r w:rsidRPr="00E62FE6">
        <w:t>child</w:t>
      </w:r>
      <w:r w:rsidR="008243CA">
        <w:t xml:space="preserve"> </w:t>
      </w:r>
      <w:r w:rsidRPr="00E62FE6">
        <w:t>protection</w:t>
      </w:r>
      <w:r w:rsidR="008243CA">
        <w:t xml:space="preserve"> </w:t>
      </w:r>
      <w:r w:rsidRPr="00E62FE6">
        <w:t>and</w:t>
      </w:r>
      <w:r w:rsidR="008243CA">
        <w:t xml:space="preserve"> </w:t>
      </w:r>
      <w:r w:rsidRPr="00E62FE6">
        <w:t>juvenile</w:t>
      </w:r>
      <w:r w:rsidR="008243CA">
        <w:t xml:space="preserve"> </w:t>
      </w:r>
      <w:r w:rsidRPr="00E62FE6">
        <w:t>justice</w:t>
      </w:r>
      <w:r w:rsidR="008243CA">
        <w:t xml:space="preserve"> </w:t>
      </w:r>
      <w:r w:rsidRPr="00E62FE6">
        <w:t>systems.</w:t>
      </w:r>
      <w:r w:rsidR="008243CA">
        <w:t xml:space="preserve"> </w:t>
      </w:r>
      <w:r w:rsidRPr="00E62FE6">
        <w:t>It</w:t>
      </w:r>
      <w:r w:rsidR="008243CA">
        <w:t xml:space="preserve"> </w:t>
      </w:r>
      <w:r w:rsidRPr="00E62FE6">
        <w:t>is</w:t>
      </w:r>
      <w:r w:rsidR="008243CA">
        <w:t xml:space="preserve"> </w:t>
      </w:r>
      <w:r w:rsidRPr="00E62FE6">
        <w:t>expected</w:t>
      </w:r>
      <w:r w:rsidR="008243CA">
        <w:t xml:space="preserve"> </w:t>
      </w:r>
      <w:r w:rsidRPr="00E62FE6">
        <w:t>that</w:t>
      </w:r>
      <w:r w:rsidR="008243CA">
        <w:t xml:space="preserve"> </w:t>
      </w:r>
      <w:r w:rsidRPr="00E62FE6">
        <w:t>these</w:t>
      </w:r>
      <w:r w:rsidR="008243CA">
        <w:t xml:space="preserve"> </w:t>
      </w:r>
      <w:r w:rsidRPr="00E62FE6">
        <w:t>menus</w:t>
      </w:r>
      <w:r w:rsidR="008243CA">
        <w:t xml:space="preserve"> </w:t>
      </w:r>
      <w:r w:rsidRPr="00E62FE6">
        <w:t>will</w:t>
      </w:r>
      <w:r w:rsidR="008243CA">
        <w:t xml:space="preserve"> </w:t>
      </w:r>
      <w:r w:rsidRPr="00E62FE6">
        <w:t>be</w:t>
      </w:r>
      <w:r w:rsidR="008243CA">
        <w:t xml:space="preserve"> </w:t>
      </w:r>
      <w:r w:rsidRPr="00E62FE6">
        <w:t>made</w:t>
      </w:r>
      <w:r w:rsidR="008243CA">
        <w:t xml:space="preserve"> </w:t>
      </w:r>
      <w:r w:rsidRPr="00E62FE6">
        <w:t>available</w:t>
      </w:r>
      <w:r w:rsidR="008243CA">
        <w:t xml:space="preserve"> </w:t>
      </w:r>
      <w:r w:rsidRPr="00E62FE6">
        <w:t>to</w:t>
      </w:r>
      <w:r w:rsidR="008243CA">
        <w:t xml:space="preserve"> </w:t>
      </w:r>
      <w:r w:rsidRPr="00E62FE6">
        <w:t>centres</w:t>
      </w:r>
      <w:r w:rsidR="008243CA">
        <w:t xml:space="preserve"> </w:t>
      </w:r>
      <w:r w:rsidRPr="00E62FE6">
        <w:t>and</w:t>
      </w:r>
      <w:r w:rsidR="008243CA">
        <w:t xml:space="preserve"> </w:t>
      </w:r>
      <w:r w:rsidRPr="00E62FE6">
        <w:t>utilized</w:t>
      </w:r>
      <w:r w:rsidR="008243CA">
        <w:t xml:space="preserve"> </w:t>
      </w:r>
      <w:r w:rsidRPr="00E62FE6">
        <w:t>beginning</w:t>
      </w:r>
      <w:r w:rsidR="008243CA">
        <w:t xml:space="preserve"> </w:t>
      </w:r>
      <w:r w:rsidRPr="00E62FE6">
        <w:t>in</w:t>
      </w:r>
      <w:r w:rsidR="008243CA">
        <w:t xml:space="preserve"> </w:t>
      </w:r>
      <w:r w:rsidRPr="00E62FE6">
        <w:t>the</w:t>
      </w:r>
      <w:r w:rsidR="008243CA">
        <w:t xml:space="preserve"> </w:t>
      </w:r>
      <w:r w:rsidRPr="00E62FE6">
        <w:t>second</w:t>
      </w:r>
      <w:r w:rsidR="008243CA">
        <w:t xml:space="preserve"> </w:t>
      </w:r>
      <w:r w:rsidRPr="00E62FE6">
        <w:t>half</w:t>
      </w:r>
      <w:r w:rsidR="008243CA">
        <w:t xml:space="preserve"> </w:t>
      </w:r>
      <w:r w:rsidRPr="00E62FE6">
        <w:t>of</w:t>
      </w:r>
      <w:r w:rsidR="008243CA">
        <w:t xml:space="preserve"> </w:t>
      </w:r>
      <w:r w:rsidRPr="00E62FE6">
        <w:t>2017.</w:t>
      </w:r>
      <w:bookmarkStart w:id="89" w:name="page34"/>
      <w:bookmarkEnd w:id="89"/>
    </w:p>
    <w:p w:rsidR="003F7D03" w:rsidRPr="00E62FE6" w:rsidRDefault="003F7D03" w:rsidP="00875EC6">
      <w:pPr>
        <w:pStyle w:val="Bullet1G"/>
      </w:pPr>
      <w:r w:rsidRPr="00E62FE6">
        <w:t>It</w:t>
      </w:r>
      <w:r w:rsidR="008243CA">
        <w:t xml:space="preserve"> </w:t>
      </w:r>
      <w:r w:rsidRPr="00E62FE6">
        <w:t>will</w:t>
      </w:r>
      <w:r w:rsidR="008243CA">
        <w:t xml:space="preserve"> </w:t>
      </w:r>
      <w:r w:rsidRPr="00E62FE6">
        <w:t>develop</w:t>
      </w:r>
      <w:r w:rsidR="008243CA">
        <w:t xml:space="preserve"> </w:t>
      </w:r>
      <w:r w:rsidRPr="00E62FE6">
        <w:t>an</w:t>
      </w:r>
      <w:r w:rsidR="008243CA">
        <w:t xml:space="preserve"> </w:t>
      </w:r>
      <w:r w:rsidRPr="00E62FE6">
        <w:t>operational</w:t>
      </w:r>
      <w:r w:rsidR="008243CA">
        <w:t xml:space="preserve"> </w:t>
      </w:r>
      <w:r w:rsidRPr="00E62FE6">
        <w:t>guide</w:t>
      </w:r>
      <w:r w:rsidR="008243CA">
        <w:t xml:space="preserve"> </w:t>
      </w:r>
      <w:r w:rsidRPr="00E62FE6">
        <w:t>and</w:t>
      </w:r>
      <w:r w:rsidR="008243CA">
        <w:t xml:space="preserve"> </w:t>
      </w:r>
      <w:r w:rsidRPr="00E62FE6">
        <w:t>a</w:t>
      </w:r>
      <w:r w:rsidR="008243CA">
        <w:t xml:space="preserve"> </w:t>
      </w:r>
      <w:r w:rsidRPr="00E62FE6">
        <w:t>protocol</w:t>
      </w:r>
      <w:r w:rsidR="008243CA">
        <w:t xml:space="preserve"> </w:t>
      </w:r>
      <w:r w:rsidRPr="00E62FE6">
        <w:t>for</w:t>
      </w:r>
      <w:r w:rsidR="008243CA">
        <w:t xml:space="preserve"> </w:t>
      </w:r>
      <w:r w:rsidRPr="00E62FE6">
        <w:t>the</w:t>
      </w:r>
      <w:r w:rsidR="008243CA">
        <w:t xml:space="preserve"> </w:t>
      </w:r>
      <w:r w:rsidRPr="00E62FE6">
        <w:t>delivery</w:t>
      </w:r>
      <w:r w:rsidR="008243CA">
        <w:t xml:space="preserve"> </w:t>
      </w:r>
      <w:r w:rsidRPr="00E62FE6">
        <w:t>of</w:t>
      </w:r>
      <w:r w:rsidR="008243CA">
        <w:t xml:space="preserve"> </w:t>
      </w:r>
      <w:r w:rsidRPr="00E62FE6">
        <w:t>toiletries</w:t>
      </w:r>
      <w:r w:rsidR="008243CA">
        <w:t xml:space="preserve"> </w:t>
      </w:r>
      <w:r w:rsidRPr="00E62FE6">
        <w:t>so</w:t>
      </w:r>
      <w:r w:rsidR="008243CA">
        <w:t xml:space="preserve"> </w:t>
      </w:r>
      <w:r w:rsidRPr="00E62FE6">
        <w:t>that</w:t>
      </w:r>
      <w:r w:rsidR="008243CA">
        <w:t xml:space="preserve"> </w:t>
      </w:r>
      <w:r w:rsidRPr="00E62FE6">
        <w:t>the</w:t>
      </w:r>
      <w:r w:rsidR="008243CA">
        <w:t xml:space="preserve"> </w:t>
      </w:r>
      <w:r w:rsidRPr="00E62FE6">
        <w:t>receipt</w:t>
      </w:r>
      <w:r w:rsidR="008243CA">
        <w:t xml:space="preserve"> </w:t>
      </w:r>
      <w:r w:rsidRPr="00E62FE6">
        <w:t>of</w:t>
      </w:r>
      <w:r w:rsidR="008243CA">
        <w:t xml:space="preserve"> </w:t>
      </w:r>
      <w:r w:rsidRPr="00E62FE6">
        <w:t>those</w:t>
      </w:r>
      <w:r w:rsidR="008243CA">
        <w:t xml:space="preserve"> </w:t>
      </w:r>
      <w:r w:rsidRPr="00E62FE6">
        <w:t>materials</w:t>
      </w:r>
      <w:r w:rsidR="008243CA">
        <w:t xml:space="preserve"> </w:t>
      </w:r>
      <w:r w:rsidRPr="00E62FE6">
        <w:t>is</w:t>
      </w:r>
      <w:r w:rsidR="008243CA">
        <w:t xml:space="preserve"> </w:t>
      </w:r>
      <w:r w:rsidRPr="00E62FE6">
        <w:t>recorded.</w:t>
      </w:r>
      <w:r w:rsidR="008243CA">
        <w:t xml:space="preserve"> </w:t>
      </w:r>
      <w:r w:rsidRPr="00E62FE6">
        <w:t>It</w:t>
      </w:r>
      <w:r w:rsidR="008243CA">
        <w:t xml:space="preserve"> </w:t>
      </w:r>
      <w:r w:rsidRPr="00E62FE6">
        <w:t>is</w:t>
      </w:r>
      <w:r w:rsidR="008243CA">
        <w:t xml:space="preserve"> </w:t>
      </w:r>
      <w:r w:rsidRPr="00E62FE6">
        <w:t>envisaged</w:t>
      </w:r>
      <w:r w:rsidR="008243CA">
        <w:t xml:space="preserve"> </w:t>
      </w:r>
      <w:r w:rsidRPr="00E62FE6">
        <w:t>that</w:t>
      </w:r>
      <w:r w:rsidR="008243CA">
        <w:t xml:space="preserve"> </w:t>
      </w:r>
      <w:r w:rsidRPr="00E62FE6">
        <w:t>the</w:t>
      </w:r>
      <w:r w:rsidR="008243CA">
        <w:t xml:space="preserve"> </w:t>
      </w:r>
      <w:r w:rsidRPr="00E62FE6">
        <w:t>guide</w:t>
      </w:r>
      <w:r w:rsidR="008243CA">
        <w:t xml:space="preserve"> </w:t>
      </w:r>
      <w:r w:rsidRPr="00E62FE6">
        <w:t>and</w:t>
      </w:r>
      <w:r w:rsidR="008243CA">
        <w:t xml:space="preserve"> </w:t>
      </w:r>
      <w:r w:rsidRPr="00E62FE6">
        <w:t>the</w:t>
      </w:r>
      <w:r w:rsidR="008243CA">
        <w:t xml:space="preserve"> </w:t>
      </w:r>
      <w:r w:rsidRPr="00E62FE6">
        <w:t>protocol</w:t>
      </w:r>
      <w:r w:rsidR="008243CA">
        <w:t xml:space="preserve"> </w:t>
      </w:r>
      <w:r w:rsidRPr="00E62FE6">
        <w:t>will</w:t>
      </w:r>
      <w:r w:rsidR="008243CA">
        <w:t xml:space="preserve"> </w:t>
      </w:r>
      <w:r w:rsidRPr="00E62FE6">
        <w:t>be</w:t>
      </w:r>
      <w:r w:rsidR="008243CA">
        <w:t xml:space="preserve"> </w:t>
      </w:r>
      <w:r w:rsidRPr="00E62FE6">
        <w:t>in</w:t>
      </w:r>
      <w:r w:rsidR="008243CA">
        <w:t xml:space="preserve"> </w:t>
      </w:r>
      <w:r w:rsidRPr="00E62FE6">
        <w:t>use</w:t>
      </w:r>
      <w:r w:rsidR="008243CA">
        <w:t xml:space="preserve"> </w:t>
      </w:r>
      <w:r w:rsidRPr="00E62FE6">
        <w:t>during</w:t>
      </w:r>
      <w:r w:rsidR="008243CA">
        <w:t xml:space="preserve"> </w:t>
      </w:r>
      <w:r w:rsidRPr="00E62FE6">
        <w:t>the</w:t>
      </w:r>
      <w:r w:rsidR="008243CA">
        <w:t xml:space="preserve"> </w:t>
      </w:r>
      <w:r w:rsidRPr="00E62FE6">
        <w:t>second</w:t>
      </w:r>
      <w:r w:rsidR="008243CA">
        <w:t xml:space="preserve"> </w:t>
      </w:r>
      <w:r w:rsidRPr="00E62FE6">
        <w:t>half</w:t>
      </w:r>
      <w:r w:rsidR="008243CA">
        <w:t xml:space="preserve"> </w:t>
      </w:r>
      <w:r w:rsidRPr="00E62FE6">
        <w:t>of</w:t>
      </w:r>
      <w:r w:rsidR="008243CA">
        <w:t xml:space="preserve"> </w:t>
      </w:r>
      <w:r w:rsidRPr="00E62FE6">
        <w:t>2017.</w:t>
      </w:r>
    </w:p>
    <w:p w:rsidR="003F7D03" w:rsidRPr="00E62FE6" w:rsidRDefault="008243CA" w:rsidP="00875EC6">
      <w:pPr>
        <w:pStyle w:val="H1G"/>
      </w:pPr>
      <w:r>
        <w:t xml:space="preserve"> </w:t>
      </w:r>
      <w:r w:rsidR="003F7D03" w:rsidRPr="00E62FE6">
        <w:tab/>
      </w:r>
      <w:bookmarkStart w:id="90" w:name="_Toc512870699"/>
      <w:bookmarkStart w:id="91" w:name="_Toc512870861"/>
      <w:r w:rsidR="003F7D03" w:rsidRPr="00E62FE6">
        <w:t>3.4</w:t>
      </w:r>
      <w:r w:rsidR="003F7D03" w:rsidRPr="00E62FE6">
        <w:tab/>
        <w:t>Groups</w:t>
      </w:r>
      <w:r>
        <w:t xml:space="preserve"> </w:t>
      </w:r>
      <w:r w:rsidR="003F7D03" w:rsidRPr="00E62FE6">
        <w:t>deprived</w:t>
      </w:r>
      <w:r>
        <w:t xml:space="preserve"> </w:t>
      </w:r>
      <w:r w:rsidR="003F7D03" w:rsidRPr="00E62FE6">
        <w:t>of</w:t>
      </w:r>
      <w:r>
        <w:t xml:space="preserve"> </w:t>
      </w:r>
      <w:r w:rsidR="003F7D03" w:rsidRPr="00E62FE6">
        <w:t>their</w:t>
      </w:r>
      <w:r>
        <w:t xml:space="preserve"> </w:t>
      </w:r>
      <w:r w:rsidR="003F7D03" w:rsidRPr="00E62FE6">
        <w:t>liberty</w:t>
      </w:r>
      <w:r>
        <w:t xml:space="preserve"> </w:t>
      </w:r>
      <w:r w:rsidR="003F7D03" w:rsidRPr="00E62FE6">
        <w:t>who</w:t>
      </w:r>
      <w:r>
        <w:t xml:space="preserve"> </w:t>
      </w:r>
      <w:r w:rsidR="003F7D03" w:rsidRPr="00E62FE6">
        <w:t>are</w:t>
      </w:r>
      <w:r>
        <w:t xml:space="preserve"> </w:t>
      </w:r>
      <w:r w:rsidR="003F7D03" w:rsidRPr="00E62FE6">
        <w:t>considered</w:t>
      </w:r>
      <w:r>
        <w:t xml:space="preserve"> </w:t>
      </w:r>
      <w:r w:rsidR="003F7D03" w:rsidRPr="00E62FE6">
        <w:t>to</w:t>
      </w:r>
      <w:r>
        <w:t xml:space="preserve"> </w:t>
      </w:r>
      <w:r w:rsidR="003F7D03" w:rsidRPr="00E62FE6">
        <w:t>be</w:t>
      </w:r>
      <w:r>
        <w:t xml:space="preserve"> </w:t>
      </w:r>
      <w:r w:rsidR="003F7D03" w:rsidRPr="00E62FE6">
        <w:t>especially</w:t>
      </w:r>
      <w:r>
        <w:t xml:space="preserve"> </w:t>
      </w:r>
      <w:r w:rsidR="003F7D03" w:rsidRPr="00E62FE6">
        <w:t>vulnerable</w:t>
      </w:r>
      <w:bookmarkEnd w:id="90"/>
      <w:bookmarkEnd w:id="91"/>
    </w:p>
    <w:p w:rsidR="003F7D03" w:rsidRPr="00E62FE6" w:rsidRDefault="003F7D03" w:rsidP="000C6D98">
      <w:pPr>
        <w:pStyle w:val="SingleTxtG"/>
      </w:pPr>
      <w:r w:rsidRPr="00E62FE6">
        <w:t>132.</w:t>
      </w:r>
      <w:r w:rsidRPr="00E62FE6">
        <w:tab/>
        <w:t>The</w:t>
      </w:r>
      <w:r w:rsidR="008243CA">
        <w:t xml:space="preserve"> </w:t>
      </w:r>
      <w:r w:rsidRPr="00E62FE6">
        <w:t>situation</w:t>
      </w:r>
      <w:r w:rsidR="008243CA">
        <w:t xml:space="preserve"> </w:t>
      </w:r>
      <w:r w:rsidRPr="00E62FE6">
        <w:t>of</w:t>
      </w:r>
      <w:r w:rsidR="008243CA">
        <w:t xml:space="preserve"> </w:t>
      </w:r>
      <w:r w:rsidRPr="00E62FE6">
        <w:t>persons</w:t>
      </w:r>
      <w:r w:rsidR="008243CA">
        <w:t xml:space="preserve"> </w:t>
      </w:r>
      <w:r w:rsidRPr="00E62FE6">
        <w:t>deprived</w:t>
      </w:r>
      <w:r w:rsidR="008243CA">
        <w:t xml:space="preserve"> </w:t>
      </w:r>
      <w:r w:rsidRPr="00E62FE6">
        <w:t>of</w:t>
      </w:r>
      <w:r w:rsidR="008243CA">
        <w:t xml:space="preserve"> </w:t>
      </w:r>
      <w:r w:rsidRPr="00E62FE6">
        <w:t>liberty</w:t>
      </w:r>
      <w:r w:rsidR="008243CA">
        <w:t xml:space="preserve"> </w:t>
      </w:r>
      <w:r w:rsidRPr="00E62FE6">
        <w:t>in</w:t>
      </w:r>
      <w:r w:rsidR="008243CA">
        <w:t xml:space="preserve"> </w:t>
      </w:r>
      <w:r w:rsidRPr="00E62FE6">
        <w:t>Chile</w:t>
      </w:r>
      <w:r w:rsidR="008243CA">
        <w:t xml:space="preserve"> </w:t>
      </w:r>
      <w:r w:rsidRPr="00E62FE6">
        <w:t>is</w:t>
      </w:r>
      <w:r w:rsidR="008243CA">
        <w:t xml:space="preserve"> </w:t>
      </w:r>
      <w:r w:rsidRPr="00E62FE6">
        <w:t>not</w:t>
      </w:r>
      <w:r w:rsidR="008243CA">
        <w:t xml:space="preserve"> </w:t>
      </w:r>
      <w:r w:rsidRPr="00E62FE6">
        <w:t>homogeneous.</w:t>
      </w:r>
      <w:r w:rsidR="008243CA">
        <w:t xml:space="preserve"> </w:t>
      </w:r>
      <w:r w:rsidRPr="00E62FE6">
        <w:t>Although</w:t>
      </w:r>
      <w:r w:rsidR="008243CA">
        <w:t xml:space="preserve"> </w:t>
      </w:r>
      <w:r w:rsidRPr="00E62FE6">
        <w:t>the</w:t>
      </w:r>
      <w:r w:rsidR="008243CA">
        <w:t xml:space="preserve"> </w:t>
      </w:r>
      <w:r w:rsidRPr="00E62FE6">
        <w:t>deprivation</w:t>
      </w:r>
      <w:r w:rsidR="008243CA">
        <w:t xml:space="preserve"> </w:t>
      </w:r>
      <w:r w:rsidRPr="00E62FE6">
        <w:t>of</w:t>
      </w:r>
      <w:r w:rsidR="008243CA">
        <w:t xml:space="preserve"> </w:t>
      </w:r>
      <w:r w:rsidRPr="00E62FE6">
        <w:t>liberty</w:t>
      </w:r>
      <w:r w:rsidR="008243CA">
        <w:t xml:space="preserve"> </w:t>
      </w:r>
      <w:r w:rsidRPr="00E62FE6">
        <w:t>tends</w:t>
      </w:r>
      <w:r w:rsidR="008243CA">
        <w:t xml:space="preserve"> </w:t>
      </w:r>
      <w:r w:rsidRPr="00E62FE6">
        <w:t>to</w:t>
      </w:r>
      <w:r w:rsidR="008243CA">
        <w:t xml:space="preserve"> </w:t>
      </w:r>
      <w:r w:rsidRPr="00E62FE6">
        <w:t>create</w:t>
      </w:r>
      <w:r w:rsidR="008243CA">
        <w:t xml:space="preserve"> </w:t>
      </w:r>
      <w:r w:rsidRPr="00E62FE6">
        <w:t>vulnerability,</w:t>
      </w:r>
      <w:r w:rsidR="008243CA">
        <w:t xml:space="preserve"> </w:t>
      </w:r>
      <w:r w:rsidRPr="00E62FE6">
        <w:t>places</w:t>
      </w:r>
      <w:r w:rsidR="008243CA">
        <w:t xml:space="preserve"> </w:t>
      </w:r>
      <w:r w:rsidRPr="00E62FE6">
        <w:t>of</w:t>
      </w:r>
      <w:r w:rsidR="008243CA">
        <w:t xml:space="preserve"> </w:t>
      </w:r>
      <w:r w:rsidRPr="00E62FE6">
        <w:t>detention</w:t>
      </w:r>
      <w:r w:rsidR="008243CA">
        <w:t xml:space="preserve"> </w:t>
      </w:r>
      <w:r w:rsidRPr="00E62FE6">
        <w:t>house</w:t>
      </w:r>
      <w:r w:rsidR="008243CA">
        <w:t xml:space="preserve"> </w:t>
      </w:r>
      <w:r w:rsidRPr="00E62FE6">
        <w:t>different</w:t>
      </w:r>
      <w:r w:rsidR="008243CA">
        <w:t xml:space="preserve"> </w:t>
      </w:r>
      <w:r w:rsidRPr="00E62FE6">
        <w:t>groups</w:t>
      </w:r>
      <w:r w:rsidR="008243CA">
        <w:t xml:space="preserve"> </w:t>
      </w:r>
      <w:r w:rsidRPr="00E62FE6">
        <w:t>with</w:t>
      </w:r>
      <w:r w:rsidR="008243CA">
        <w:t xml:space="preserve"> </w:t>
      </w:r>
      <w:r w:rsidRPr="00E62FE6">
        <w:t>different</w:t>
      </w:r>
      <w:r w:rsidR="008243CA">
        <w:t xml:space="preserve"> </w:t>
      </w:r>
      <w:r w:rsidRPr="00E62FE6">
        <w:t>vulnerabilities,</w:t>
      </w:r>
      <w:r w:rsidR="008243CA">
        <w:t xml:space="preserve"> </w:t>
      </w:r>
      <w:r w:rsidRPr="00E62FE6">
        <w:t>which</w:t>
      </w:r>
      <w:r w:rsidR="008243CA">
        <w:t xml:space="preserve"> </w:t>
      </w:r>
      <w:r w:rsidRPr="00E62FE6">
        <w:t>the</w:t>
      </w:r>
      <w:r w:rsidR="008243CA">
        <w:t xml:space="preserve"> </w:t>
      </w:r>
      <w:r w:rsidRPr="00E62FE6">
        <w:t>State</w:t>
      </w:r>
      <w:r w:rsidR="008243CA">
        <w:t xml:space="preserve"> </w:t>
      </w:r>
      <w:r w:rsidRPr="00E62FE6">
        <w:t>must</w:t>
      </w:r>
      <w:r w:rsidR="008243CA">
        <w:t xml:space="preserve"> </w:t>
      </w:r>
      <w:r w:rsidRPr="00E62FE6">
        <w:t>address</w:t>
      </w:r>
      <w:r w:rsidR="008243CA">
        <w:t xml:space="preserve"> </w:t>
      </w:r>
      <w:r w:rsidRPr="00E62FE6">
        <w:t>in</w:t>
      </w:r>
      <w:r w:rsidR="008243CA">
        <w:t xml:space="preserve"> </w:t>
      </w:r>
      <w:r w:rsidRPr="00E62FE6">
        <w:t>a</w:t>
      </w:r>
      <w:r w:rsidR="008243CA">
        <w:t xml:space="preserve"> </w:t>
      </w:r>
      <w:r w:rsidRPr="00E62FE6">
        <w:t>targeted</w:t>
      </w:r>
      <w:r w:rsidR="008243CA">
        <w:t xml:space="preserve"> </w:t>
      </w:r>
      <w:r w:rsidRPr="00E62FE6">
        <w:t>manner.</w:t>
      </w:r>
      <w:r w:rsidR="008243CA">
        <w:t xml:space="preserve"> </w:t>
      </w:r>
      <w:r w:rsidRPr="00E62FE6">
        <w:t>This</w:t>
      </w:r>
      <w:r w:rsidR="008243CA">
        <w:t xml:space="preserve"> </w:t>
      </w:r>
      <w:r w:rsidRPr="00E62FE6">
        <w:t>was</w:t>
      </w:r>
      <w:r w:rsidR="008243CA">
        <w:t xml:space="preserve"> </w:t>
      </w:r>
      <w:r w:rsidRPr="00E62FE6">
        <w:t>noted</w:t>
      </w:r>
      <w:r w:rsidR="008243CA">
        <w:t xml:space="preserve"> </w:t>
      </w:r>
      <w:r w:rsidRPr="00E62FE6">
        <w:t>by</w:t>
      </w:r>
      <w:r w:rsidR="008243CA">
        <w:t xml:space="preserve"> </w:t>
      </w:r>
      <w:r w:rsidRPr="00E62FE6">
        <w:t>the</w:t>
      </w:r>
      <w:r w:rsidR="008243CA">
        <w:t xml:space="preserve"> </w:t>
      </w:r>
      <w:r w:rsidRPr="00E62FE6">
        <w:t>Subcommittee</w:t>
      </w:r>
      <w:r w:rsidR="008243CA">
        <w:t xml:space="preserve"> </w:t>
      </w:r>
      <w:r w:rsidRPr="00E62FE6">
        <w:t>during</w:t>
      </w:r>
      <w:r w:rsidR="008243CA">
        <w:t xml:space="preserve"> </w:t>
      </w:r>
      <w:r w:rsidRPr="00E62FE6">
        <w:t>its</w:t>
      </w:r>
      <w:r w:rsidR="008243CA">
        <w:t xml:space="preserve"> </w:t>
      </w:r>
      <w:r w:rsidRPr="00E62FE6">
        <w:t>visits,</w:t>
      </w:r>
      <w:r w:rsidR="008243CA">
        <w:t xml:space="preserve"> </w:t>
      </w:r>
      <w:r w:rsidRPr="00E62FE6">
        <w:t>and</w:t>
      </w:r>
      <w:r w:rsidR="008243CA">
        <w:t xml:space="preserve"> </w:t>
      </w:r>
      <w:r w:rsidRPr="00E62FE6">
        <w:t>in</w:t>
      </w:r>
      <w:r w:rsidR="008243CA">
        <w:t xml:space="preserve"> </w:t>
      </w:r>
      <w:r w:rsidRPr="00E62FE6">
        <w:t>response</w:t>
      </w:r>
      <w:r w:rsidR="008243CA">
        <w:t xml:space="preserve"> </w:t>
      </w:r>
      <w:r w:rsidRPr="00E62FE6">
        <w:t>to</w:t>
      </w:r>
      <w:r w:rsidR="008243CA">
        <w:t xml:space="preserve"> </w:t>
      </w:r>
      <w:r w:rsidRPr="00E62FE6">
        <w:t>its</w:t>
      </w:r>
      <w:r w:rsidR="008243CA">
        <w:t xml:space="preserve"> </w:t>
      </w:r>
      <w:r w:rsidRPr="00E62FE6">
        <w:t>recommendations,</w:t>
      </w:r>
      <w:r w:rsidR="008243CA">
        <w:t xml:space="preserve"> </w:t>
      </w:r>
      <w:r w:rsidRPr="00E62FE6">
        <w:t>both</w:t>
      </w:r>
      <w:r w:rsidR="008243CA">
        <w:t xml:space="preserve"> </w:t>
      </w:r>
      <w:r w:rsidRPr="00E62FE6">
        <w:t>the</w:t>
      </w:r>
      <w:r w:rsidR="008243CA">
        <w:t xml:space="preserve"> </w:t>
      </w:r>
      <w:r w:rsidRPr="00E62FE6">
        <w:t>Prison</w:t>
      </w:r>
      <w:r w:rsidR="008243CA">
        <w:t xml:space="preserve"> </w:t>
      </w:r>
      <w:r w:rsidRPr="00E62FE6">
        <w:t>Service</w:t>
      </w:r>
      <w:r w:rsidR="008243CA">
        <w:t xml:space="preserve"> </w:t>
      </w:r>
      <w:r w:rsidRPr="00E62FE6">
        <w:t>and</w:t>
      </w:r>
      <w:r w:rsidR="008243CA">
        <w:t xml:space="preserve"> </w:t>
      </w:r>
      <w:r w:rsidRPr="00E62FE6">
        <w:t>SENAME</w:t>
      </w:r>
      <w:r w:rsidR="008243CA">
        <w:t xml:space="preserve"> </w:t>
      </w:r>
      <w:r w:rsidRPr="00E62FE6">
        <w:t>have</w:t>
      </w:r>
      <w:r w:rsidR="008243CA">
        <w:t xml:space="preserve"> </w:t>
      </w:r>
      <w:r w:rsidRPr="00E62FE6">
        <w:t>drawn</w:t>
      </w:r>
      <w:r w:rsidR="008243CA">
        <w:t xml:space="preserve"> </w:t>
      </w:r>
      <w:r w:rsidRPr="00E62FE6">
        <w:t>up</w:t>
      </w:r>
      <w:r w:rsidR="008243CA">
        <w:t xml:space="preserve"> </w:t>
      </w:r>
      <w:r w:rsidRPr="00E62FE6">
        <w:t>proposals</w:t>
      </w:r>
      <w:r w:rsidR="008243CA">
        <w:t xml:space="preserve"> </w:t>
      </w:r>
      <w:r w:rsidRPr="00E62FE6">
        <w:t>for</w:t>
      </w:r>
      <w:r w:rsidR="008243CA">
        <w:t xml:space="preserve"> </w:t>
      </w:r>
      <w:r w:rsidRPr="00E62FE6">
        <w:t>action</w:t>
      </w:r>
      <w:r w:rsidR="008243CA">
        <w:t xml:space="preserve"> </w:t>
      </w:r>
      <w:r w:rsidRPr="00E62FE6">
        <w:t>whose</w:t>
      </w:r>
      <w:r w:rsidR="008243CA">
        <w:t xml:space="preserve"> </w:t>
      </w:r>
      <w:r w:rsidRPr="00E62FE6">
        <w:t>ultimate</w:t>
      </w:r>
      <w:r w:rsidR="008243CA">
        <w:t xml:space="preserve"> </w:t>
      </w:r>
      <w:r w:rsidRPr="00E62FE6">
        <w:t>aim</w:t>
      </w:r>
      <w:r w:rsidR="008243CA">
        <w:t xml:space="preserve"> </w:t>
      </w:r>
      <w:r w:rsidRPr="00E62FE6">
        <w:t>is</w:t>
      </w:r>
      <w:r w:rsidR="008243CA">
        <w:t xml:space="preserve"> </w:t>
      </w:r>
      <w:r w:rsidRPr="00E62FE6">
        <w:t>allow</w:t>
      </w:r>
      <w:r w:rsidR="008243CA">
        <w:t xml:space="preserve"> </w:t>
      </w:r>
      <w:r w:rsidRPr="00E62FE6">
        <w:t>for</w:t>
      </w:r>
      <w:r w:rsidR="008243CA">
        <w:t xml:space="preserve"> </w:t>
      </w:r>
      <w:r w:rsidRPr="00E62FE6">
        <w:t>a</w:t>
      </w:r>
      <w:r w:rsidR="008243CA">
        <w:t xml:space="preserve"> </w:t>
      </w:r>
      <w:r w:rsidRPr="00E62FE6">
        <w:t>more</w:t>
      </w:r>
      <w:r w:rsidR="008243CA">
        <w:t xml:space="preserve"> </w:t>
      </w:r>
      <w:r w:rsidRPr="00E62FE6">
        <w:t>dignified</w:t>
      </w:r>
      <w:r w:rsidR="008243CA">
        <w:t xml:space="preserve"> </w:t>
      </w:r>
      <w:r w:rsidRPr="00E62FE6">
        <w:t>life</w:t>
      </w:r>
      <w:r w:rsidR="008243CA">
        <w:t xml:space="preserve"> </w:t>
      </w:r>
      <w:r w:rsidRPr="00E62FE6">
        <w:t>for</w:t>
      </w:r>
      <w:r w:rsidR="008243CA">
        <w:t xml:space="preserve"> </w:t>
      </w:r>
      <w:r w:rsidRPr="00E62FE6">
        <w:t>all</w:t>
      </w:r>
      <w:r w:rsidR="008243CA">
        <w:t xml:space="preserve"> </w:t>
      </w:r>
      <w:r w:rsidRPr="00E62FE6">
        <w:t>men</w:t>
      </w:r>
      <w:r w:rsidR="008243CA">
        <w:t xml:space="preserve"> </w:t>
      </w:r>
      <w:r w:rsidRPr="00E62FE6">
        <w:t>and</w:t>
      </w:r>
      <w:r w:rsidR="008243CA">
        <w:t xml:space="preserve"> </w:t>
      </w:r>
      <w:r w:rsidRPr="00E62FE6">
        <w:t>women</w:t>
      </w:r>
      <w:r w:rsidR="008243CA">
        <w:t xml:space="preserve"> </w:t>
      </w:r>
      <w:r w:rsidRPr="00E62FE6">
        <w:t>living</w:t>
      </w:r>
      <w:r w:rsidR="008243CA">
        <w:t xml:space="preserve"> </w:t>
      </w:r>
      <w:r w:rsidRPr="00E62FE6">
        <w:t>in</w:t>
      </w:r>
      <w:r w:rsidR="008243CA">
        <w:t xml:space="preserve"> </w:t>
      </w:r>
      <w:r w:rsidRPr="00E62FE6">
        <w:t>places</w:t>
      </w:r>
      <w:r w:rsidR="008243CA">
        <w:t xml:space="preserve"> </w:t>
      </w:r>
      <w:r w:rsidRPr="00E62FE6">
        <w:t>of</w:t>
      </w:r>
      <w:r w:rsidR="008243CA">
        <w:t xml:space="preserve"> </w:t>
      </w:r>
      <w:r w:rsidRPr="00E62FE6">
        <w:t>detention.</w:t>
      </w:r>
    </w:p>
    <w:p w:rsidR="003F7D03" w:rsidRPr="00E62FE6" w:rsidRDefault="003F7D03" w:rsidP="00875EC6">
      <w:pPr>
        <w:pStyle w:val="H23G"/>
      </w:pPr>
      <w:r w:rsidRPr="00E62FE6">
        <w:tab/>
      </w:r>
      <w:bookmarkStart w:id="92" w:name="_Toc512870700"/>
      <w:bookmarkStart w:id="93" w:name="_Toc512870862"/>
      <w:r w:rsidRPr="00E62FE6">
        <w:t>3.4.1</w:t>
      </w:r>
      <w:r w:rsidR="008243CA">
        <w:t xml:space="preserve"> </w:t>
      </w:r>
      <w:r w:rsidRPr="00E62FE6">
        <w:tab/>
        <w:t>Women</w:t>
      </w:r>
      <w:bookmarkEnd w:id="92"/>
      <w:bookmarkEnd w:id="93"/>
    </w:p>
    <w:p w:rsidR="003F7D03" w:rsidRPr="00E62FE6" w:rsidRDefault="003F7D03" w:rsidP="000C6D98">
      <w:pPr>
        <w:pStyle w:val="SingleTxtG"/>
      </w:pPr>
      <w:r w:rsidRPr="00E62FE6">
        <w:t>133.</w:t>
      </w:r>
      <w:r w:rsidRPr="00E62FE6">
        <w:tab/>
        <w:t>About</w:t>
      </w:r>
      <w:r w:rsidR="008243CA">
        <w:t xml:space="preserve"> </w:t>
      </w:r>
      <w:r w:rsidRPr="00E62FE6">
        <w:t>3,050</w:t>
      </w:r>
      <w:r w:rsidR="008243CA">
        <w:t xml:space="preserve"> </w:t>
      </w:r>
      <w:r w:rsidRPr="00E62FE6">
        <w:t>female</w:t>
      </w:r>
      <w:r w:rsidR="008243CA">
        <w:t xml:space="preserve"> </w:t>
      </w:r>
      <w:r w:rsidRPr="00E62FE6">
        <w:t>prisoners</w:t>
      </w:r>
      <w:r w:rsidR="008243CA">
        <w:t xml:space="preserve"> </w:t>
      </w:r>
      <w:r w:rsidRPr="00E62FE6">
        <w:t>are</w:t>
      </w:r>
      <w:r w:rsidR="008243CA">
        <w:t xml:space="preserve"> </w:t>
      </w:r>
      <w:r w:rsidRPr="00E62FE6">
        <w:t>held</w:t>
      </w:r>
      <w:r w:rsidR="008243CA">
        <w:t xml:space="preserve"> </w:t>
      </w:r>
      <w:r w:rsidRPr="00E62FE6">
        <w:t>at</w:t>
      </w:r>
      <w:r w:rsidR="008243CA">
        <w:t xml:space="preserve"> </w:t>
      </w:r>
      <w:r w:rsidRPr="00E62FE6">
        <w:t>38</w:t>
      </w:r>
      <w:r w:rsidR="008243CA">
        <w:t xml:space="preserve"> </w:t>
      </w:r>
      <w:r w:rsidRPr="00E62FE6">
        <w:t>correctional</w:t>
      </w:r>
      <w:r w:rsidR="008243CA">
        <w:t xml:space="preserve"> </w:t>
      </w:r>
      <w:r w:rsidRPr="00E62FE6">
        <w:t>facilities</w:t>
      </w:r>
      <w:r w:rsidR="008243CA">
        <w:t xml:space="preserve"> </w:t>
      </w:r>
      <w:r w:rsidRPr="00E62FE6">
        <w:t>throughout</w:t>
      </w:r>
      <w:r w:rsidR="008243CA">
        <w:t xml:space="preserve"> </w:t>
      </w:r>
      <w:r w:rsidRPr="00E62FE6">
        <w:t>the</w:t>
      </w:r>
      <w:r w:rsidR="008243CA">
        <w:t xml:space="preserve"> </w:t>
      </w:r>
      <w:r w:rsidRPr="00E62FE6">
        <w:t>country.</w:t>
      </w:r>
      <w:r w:rsidR="008243CA">
        <w:t xml:space="preserve"> </w:t>
      </w:r>
      <w:r w:rsidRPr="00E62FE6">
        <w:t>Women</w:t>
      </w:r>
      <w:r w:rsidR="008243CA">
        <w:t xml:space="preserve"> </w:t>
      </w:r>
      <w:r w:rsidRPr="00E62FE6">
        <w:t>account</w:t>
      </w:r>
      <w:r w:rsidR="008243CA">
        <w:t xml:space="preserve"> </w:t>
      </w:r>
      <w:r w:rsidRPr="00E62FE6">
        <w:t>for</w:t>
      </w:r>
      <w:r w:rsidR="008243CA">
        <w:t xml:space="preserve"> </w:t>
      </w:r>
      <w:r w:rsidRPr="00E62FE6">
        <w:t>less</w:t>
      </w:r>
      <w:r w:rsidR="008243CA">
        <w:t xml:space="preserve"> </w:t>
      </w:r>
      <w:r w:rsidRPr="00E62FE6">
        <w:t>10</w:t>
      </w:r>
      <w:r w:rsidR="008243CA">
        <w:t xml:space="preserve"> </w:t>
      </w:r>
      <w:r w:rsidRPr="00E62FE6">
        <w:t>per</w:t>
      </w:r>
      <w:r w:rsidR="008243CA">
        <w:t xml:space="preserve"> </w:t>
      </w:r>
      <w:r w:rsidRPr="00E62FE6">
        <w:t>cent</w:t>
      </w:r>
      <w:r w:rsidR="008243CA">
        <w:t xml:space="preserve"> </w:t>
      </w:r>
      <w:r w:rsidRPr="00E62FE6">
        <w:t>of</w:t>
      </w:r>
      <w:r w:rsidR="008243CA">
        <w:t xml:space="preserve"> </w:t>
      </w:r>
      <w:r w:rsidRPr="00E62FE6">
        <w:t>persons</w:t>
      </w:r>
      <w:r w:rsidR="008243CA">
        <w:t xml:space="preserve"> </w:t>
      </w:r>
      <w:r w:rsidRPr="00E62FE6">
        <w:t>deprived</w:t>
      </w:r>
      <w:r w:rsidR="008243CA">
        <w:t xml:space="preserve"> </w:t>
      </w:r>
      <w:r w:rsidRPr="00E62FE6">
        <w:t>of</w:t>
      </w:r>
      <w:r w:rsidR="008243CA">
        <w:t xml:space="preserve"> </w:t>
      </w:r>
      <w:r w:rsidRPr="00E62FE6">
        <w:t>their</w:t>
      </w:r>
      <w:r w:rsidR="008243CA">
        <w:t xml:space="preserve"> </w:t>
      </w:r>
      <w:r w:rsidRPr="00E62FE6">
        <w:t>liberty</w:t>
      </w:r>
      <w:r w:rsidR="008243CA">
        <w:t xml:space="preserve"> </w:t>
      </w:r>
      <w:r w:rsidRPr="00E62FE6">
        <w:t>in</w:t>
      </w:r>
      <w:r w:rsidR="008243CA">
        <w:t xml:space="preserve"> </w:t>
      </w:r>
      <w:r w:rsidRPr="00E62FE6">
        <w:t>the</w:t>
      </w:r>
      <w:r w:rsidR="008243CA">
        <w:t xml:space="preserve"> </w:t>
      </w:r>
      <w:r w:rsidRPr="00E62FE6">
        <w:t>closed</w:t>
      </w:r>
      <w:r w:rsidR="008243CA">
        <w:t xml:space="preserve"> </w:t>
      </w:r>
      <w:r w:rsidRPr="00E62FE6">
        <w:t>system.</w:t>
      </w:r>
      <w:r w:rsidR="008243CA">
        <w:t xml:space="preserve"> </w:t>
      </w:r>
      <w:r w:rsidRPr="00E62FE6">
        <w:t>The</w:t>
      </w:r>
      <w:r w:rsidR="008243CA">
        <w:t xml:space="preserve"> </w:t>
      </w:r>
      <w:r w:rsidRPr="00E62FE6">
        <w:t>fact</w:t>
      </w:r>
      <w:r w:rsidR="008243CA">
        <w:t xml:space="preserve"> </w:t>
      </w:r>
      <w:r w:rsidRPr="00E62FE6">
        <w:t>that</w:t>
      </w:r>
      <w:r w:rsidR="008243CA">
        <w:t xml:space="preserve"> </w:t>
      </w:r>
      <w:r w:rsidRPr="00E62FE6">
        <w:t>they</w:t>
      </w:r>
      <w:r w:rsidR="008243CA">
        <w:t xml:space="preserve"> </w:t>
      </w:r>
      <w:r w:rsidRPr="00E62FE6">
        <w:t>represent</w:t>
      </w:r>
      <w:r w:rsidR="008243CA">
        <w:t xml:space="preserve"> </w:t>
      </w:r>
      <w:r w:rsidRPr="00E62FE6">
        <w:t>a</w:t>
      </w:r>
      <w:r w:rsidR="008243CA">
        <w:t xml:space="preserve"> </w:t>
      </w:r>
      <w:r w:rsidRPr="00E62FE6">
        <w:t>small</w:t>
      </w:r>
      <w:r w:rsidR="008243CA">
        <w:t xml:space="preserve"> </w:t>
      </w:r>
      <w:r w:rsidRPr="00E62FE6">
        <w:t>percentage</w:t>
      </w:r>
      <w:r w:rsidR="008243CA">
        <w:t xml:space="preserve"> </w:t>
      </w:r>
      <w:r w:rsidRPr="00E62FE6">
        <w:t>of</w:t>
      </w:r>
      <w:r w:rsidR="008243CA">
        <w:t xml:space="preserve"> </w:t>
      </w:r>
      <w:r w:rsidRPr="00E62FE6">
        <w:t>the</w:t>
      </w:r>
      <w:r w:rsidR="008243CA">
        <w:t xml:space="preserve"> </w:t>
      </w:r>
      <w:r w:rsidRPr="00E62FE6">
        <w:t>prison</w:t>
      </w:r>
      <w:r w:rsidR="008243CA">
        <w:t xml:space="preserve"> </w:t>
      </w:r>
      <w:r w:rsidRPr="00E62FE6">
        <w:t>population</w:t>
      </w:r>
      <w:r w:rsidR="008243CA">
        <w:t xml:space="preserve"> </w:t>
      </w:r>
      <w:r w:rsidRPr="00E62FE6">
        <w:t>does</w:t>
      </w:r>
      <w:r w:rsidR="008243CA">
        <w:t xml:space="preserve"> </w:t>
      </w:r>
      <w:r w:rsidRPr="00E62FE6">
        <w:t>not</w:t>
      </w:r>
      <w:r w:rsidR="008243CA">
        <w:t xml:space="preserve"> </w:t>
      </w:r>
      <w:r w:rsidRPr="00E62FE6">
        <w:t>mean</w:t>
      </w:r>
      <w:r w:rsidR="008243CA">
        <w:t xml:space="preserve"> </w:t>
      </w:r>
      <w:r w:rsidRPr="00E62FE6">
        <w:t>that</w:t>
      </w:r>
      <w:r w:rsidR="008243CA">
        <w:t xml:space="preserve"> </w:t>
      </w:r>
      <w:r w:rsidRPr="00E62FE6">
        <w:t>they</w:t>
      </w:r>
      <w:r w:rsidR="008243CA">
        <w:t xml:space="preserve"> </w:t>
      </w:r>
      <w:r w:rsidRPr="00E62FE6">
        <w:t>are</w:t>
      </w:r>
      <w:r w:rsidR="008243CA">
        <w:t xml:space="preserve"> </w:t>
      </w:r>
      <w:r w:rsidRPr="00E62FE6">
        <w:t>immune</w:t>
      </w:r>
      <w:r w:rsidR="008243CA">
        <w:t xml:space="preserve"> </w:t>
      </w:r>
      <w:r w:rsidRPr="00E62FE6">
        <w:t>to</w:t>
      </w:r>
      <w:r w:rsidR="008243CA">
        <w:t xml:space="preserve"> </w:t>
      </w:r>
      <w:r w:rsidRPr="00E62FE6">
        <w:t>the</w:t>
      </w:r>
      <w:r w:rsidR="008243CA">
        <w:t xml:space="preserve"> </w:t>
      </w:r>
      <w:r w:rsidRPr="00E62FE6">
        <w:t>gender</w:t>
      </w:r>
      <w:r w:rsidR="008243CA">
        <w:t xml:space="preserve"> </w:t>
      </w:r>
      <w:r w:rsidRPr="00E62FE6">
        <w:t>discrimination</w:t>
      </w:r>
      <w:r w:rsidR="008243CA">
        <w:t xml:space="preserve"> </w:t>
      </w:r>
      <w:r w:rsidRPr="00E62FE6">
        <w:t>or</w:t>
      </w:r>
      <w:r w:rsidR="008243CA">
        <w:t xml:space="preserve"> </w:t>
      </w:r>
      <w:r w:rsidRPr="00E62FE6">
        <w:t>stereotyping</w:t>
      </w:r>
      <w:r w:rsidR="008243CA">
        <w:t xml:space="preserve"> </w:t>
      </w:r>
      <w:r w:rsidRPr="00E62FE6">
        <w:t>that</w:t>
      </w:r>
      <w:r w:rsidR="008243CA">
        <w:t xml:space="preserve"> </w:t>
      </w:r>
      <w:r w:rsidRPr="00E62FE6">
        <w:t>occurs</w:t>
      </w:r>
      <w:r w:rsidR="008243CA">
        <w:t xml:space="preserve"> </w:t>
      </w:r>
      <w:r w:rsidRPr="00E62FE6">
        <w:t>outside</w:t>
      </w:r>
      <w:r w:rsidR="008243CA">
        <w:t xml:space="preserve"> </w:t>
      </w:r>
      <w:r w:rsidRPr="00E62FE6">
        <w:t>of</w:t>
      </w:r>
      <w:r w:rsidR="008243CA">
        <w:t xml:space="preserve"> </w:t>
      </w:r>
      <w:r w:rsidRPr="00E62FE6">
        <w:t>correctional</w:t>
      </w:r>
      <w:r w:rsidR="008243CA">
        <w:t xml:space="preserve"> </w:t>
      </w:r>
      <w:r w:rsidRPr="00E62FE6">
        <w:t>facilities.</w:t>
      </w:r>
      <w:r w:rsidR="008243CA">
        <w:t xml:space="preserve"> </w:t>
      </w:r>
      <w:r w:rsidRPr="00E62FE6">
        <w:t>The</w:t>
      </w:r>
      <w:r w:rsidR="008243CA">
        <w:t xml:space="preserve"> </w:t>
      </w:r>
      <w:r w:rsidRPr="00E62FE6">
        <w:t>Government</w:t>
      </w:r>
      <w:r w:rsidR="008243CA">
        <w:t xml:space="preserve"> </w:t>
      </w:r>
      <w:r w:rsidRPr="00E62FE6">
        <w:t>should</w:t>
      </w:r>
      <w:r w:rsidR="008243CA">
        <w:t xml:space="preserve"> </w:t>
      </w:r>
      <w:r w:rsidRPr="00E62FE6">
        <w:t>seek</w:t>
      </w:r>
      <w:r w:rsidR="008243CA">
        <w:t xml:space="preserve"> </w:t>
      </w:r>
      <w:r w:rsidRPr="00E62FE6">
        <w:t>to</w:t>
      </w:r>
      <w:r w:rsidR="008243CA">
        <w:t xml:space="preserve"> </w:t>
      </w:r>
      <w:r w:rsidRPr="00E62FE6">
        <w:t>improve</w:t>
      </w:r>
      <w:r w:rsidR="008243CA">
        <w:t xml:space="preserve"> </w:t>
      </w:r>
      <w:r w:rsidRPr="00E62FE6">
        <w:t>living</w:t>
      </w:r>
      <w:r w:rsidR="008243CA">
        <w:t xml:space="preserve"> </w:t>
      </w:r>
      <w:r w:rsidRPr="00E62FE6">
        <w:t>conditions</w:t>
      </w:r>
      <w:r w:rsidR="008243CA">
        <w:t xml:space="preserve"> </w:t>
      </w:r>
      <w:r w:rsidRPr="00E62FE6">
        <w:t>and</w:t>
      </w:r>
      <w:r w:rsidR="008243CA">
        <w:t xml:space="preserve"> </w:t>
      </w:r>
      <w:r w:rsidRPr="00E62FE6">
        <w:t>provide</w:t>
      </w:r>
      <w:r w:rsidR="008243CA">
        <w:t xml:space="preserve"> </w:t>
      </w:r>
      <w:r w:rsidRPr="00E62FE6">
        <w:t>services</w:t>
      </w:r>
      <w:r w:rsidR="008243CA">
        <w:t xml:space="preserve"> </w:t>
      </w:r>
      <w:r w:rsidRPr="00E62FE6">
        <w:t>and</w:t>
      </w:r>
      <w:r w:rsidR="008243CA">
        <w:t xml:space="preserve"> </w:t>
      </w:r>
      <w:r w:rsidRPr="00E62FE6">
        <w:t>targeted</w:t>
      </w:r>
      <w:r w:rsidR="008243CA">
        <w:t xml:space="preserve"> </w:t>
      </w:r>
      <w:r w:rsidRPr="00E62FE6">
        <w:t>programmes</w:t>
      </w:r>
      <w:r w:rsidR="008243CA">
        <w:t xml:space="preserve"> </w:t>
      </w:r>
      <w:r w:rsidRPr="00E62FE6">
        <w:t>in</w:t>
      </w:r>
      <w:r w:rsidR="008243CA">
        <w:t xml:space="preserve"> </w:t>
      </w:r>
      <w:r w:rsidRPr="00E62FE6">
        <w:t>response</w:t>
      </w:r>
      <w:r w:rsidR="008243CA">
        <w:t xml:space="preserve"> </w:t>
      </w:r>
      <w:r w:rsidRPr="00E62FE6">
        <w:t>to</w:t>
      </w:r>
      <w:r w:rsidR="008243CA">
        <w:t xml:space="preserve"> </w:t>
      </w:r>
      <w:r w:rsidRPr="00E62FE6">
        <w:t>their</w:t>
      </w:r>
      <w:r w:rsidR="008243CA">
        <w:t xml:space="preserve"> </w:t>
      </w:r>
      <w:r w:rsidRPr="00E62FE6">
        <w:t>demands.</w:t>
      </w:r>
    </w:p>
    <w:p w:rsidR="003F7D03" w:rsidRPr="00634BD1" w:rsidRDefault="003F7D03" w:rsidP="000C6D98">
      <w:pPr>
        <w:pStyle w:val="SingleTxtG"/>
        <w:rPr>
          <w:i/>
          <w:iCs/>
        </w:rPr>
      </w:pPr>
      <w:r w:rsidRPr="00E62FE6">
        <w:t>134.</w:t>
      </w:r>
      <w:r w:rsidRPr="00E62FE6">
        <w:tab/>
        <w:t>Paragraph</w:t>
      </w:r>
      <w:r w:rsidR="008243CA">
        <w:t xml:space="preserve"> </w:t>
      </w:r>
      <w:r w:rsidRPr="00E62FE6">
        <w:t>85:</w:t>
      </w:r>
      <w:r w:rsidR="008243CA">
        <w:t xml:space="preserve"> </w:t>
      </w:r>
      <w:r w:rsidRPr="00634BD1">
        <w:rPr>
          <w:i/>
          <w:iCs/>
        </w:rPr>
        <w:t>The</w:t>
      </w:r>
      <w:r w:rsidR="008243CA" w:rsidRPr="00634BD1">
        <w:rPr>
          <w:i/>
          <w:iCs/>
        </w:rPr>
        <w:t xml:space="preserve"> </w:t>
      </w:r>
      <w:r w:rsidRPr="00634BD1">
        <w:rPr>
          <w:i/>
          <w:iCs/>
        </w:rPr>
        <w:t>Subcommittee</w:t>
      </w:r>
      <w:r w:rsidR="008243CA" w:rsidRPr="00634BD1">
        <w:rPr>
          <w:i/>
          <w:iCs/>
        </w:rPr>
        <w:t xml:space="preserve"> </w:t>
      </w:r>
      <w:r w:rsidRPr="00634BD1">
        <w:rPr>
          <w:i/>
          <w:iCs/>
        </w:rPr>
        <w:t>reminds</w:t>
      </w:r>
      <w:r w:rsidR="008243CA" w:rsidRPr="00634BD1">
        <w:rPr>
          <w:i/>
          <w:iCs/>
        </w:rPr>
        <w:t xml:space="preserve"> </w:t>
      </w:r>
      <w:r w:rsidRPr="00634BD1">
        <w:rPr>
          <w:i/>
          <w:iCs/>
        </w:rPr>
        <w:t>the</w:t>
      </w:r>
      <w:r w:rsidR="008243CA" w:rsidRPr="00634BD1">
        <w:rPr>
          <w:i/>
          <w:iCs/>
        </w:rPr>
        <w:t xml:space="preserve"> </w:t>
      </w:r>
      <w:r w:rsidRPr="00634BD1">
        <w:rPr>
          <w:i/>
          <w:iCs/>
        </w:rPr>
        <w:t>State</w:t>
      </w:r>
      <w:r w:rsidR="008243CA" w:rsidRPr="00634BD1">
        <w:rPr>
          <w:i/>
          <w:iCs/>
        </w:rPr>
        <w:t xml:space="preserve"> </w:t>
      </w:r>
      <w:r w:rsidRPr="00634BD1">
        <w:rPr>
          <w:i/>
          <w:iCs/>
        </w:rPr>
        <w:t>party</w:t>
      </w:r>
      <w:r w:rsidR="008243CA" w:rsidRPr="00634BD1">
        <w:rPr>
          <w:i/>
          <w:iCs/>
        </w:rPr>
        <w:t xml:space="preserve"> </w:t>
      </w:r>
      <w:r w:rsidRPr="00634BD1">
        <w:rPr>
          <w:i/>
          <w:iCs/>
        </w:rPr>
        <w:t>of</w:t>
      </w:r>
      <w:r w:rsidR="008243CA" w:rsidRPr="00634BD1">
        <w:rPr>
          <w:i/>
          <w:iCs/>
        </w:rPr>
        <w:t xml:space="preserve"> </w:t>
      </w:r>
      <w:r w:rsidRPr="00634BD1">
        <w:rPr>
          <w:i/>
          <w:iCs/>
        </w:rPr>
        <w:t>the</w:t>
      </w:r>
      <w:r w:rsidR="008243CA" w:rsidRPr="00634BD1">
        <w:rPr>
          <w:i/>
          <w:iCs/>
        </w:rPr>
        <w:t xml:space="preserve"> </w:t>
      </w:r>
      <w:r w:rsidRPr="00634BD1">
        <w:rPr>
          <w:i/>
          <w:iCs/>
        </w:rPr>
        <w:t>principle</w:t>
      </w:r>
      <w:r w:rsidR="008243CA" w:rsidRPr="00634BD1">
        <w:rPr>
          <w:i/>
          <w:iCs/>
        </w:rPr>
        <w:t xml:space="preserve"> </w:t>
      </w:r>
      <w:r w:rsidRPr="00634BD1">
        <w:rPr>
          <w:i/>
          <w:iCs/>
        </w:rPr>
        <w:t>of</w:t>
      </w:r>
      <w:r w:rsidR="008243CA" w:rsidRPr="00634BD1">
        <w:rPr>
          <w:i/>
          <w:iCs/>
        </w:rPr>
        <w:t xml:space="preserve"> </w:t>
      </w:r>
      <w:r w:rsidRPr="00634BD1">
        <w:rPr>
          <w:i/>
          <w:iCs/>
        </w:rPr>
        <w:t>the</w:t>
      </w:r>
      <w:r w:rsidR="008243CA" w:rsidRPr="00634BD1">
        <w:rPr>
          <w:i/>
          <w:iCs/>
        </w:rPr>
        <w:t xml:space="preserve"> </w:t>
      </w:r>
      <w:r w:rsidRPr="00634BD1">
        <w:rPr>
          <w:i/>
          <w:iCs/>
        </w:rPr>
        <w:t>best</w:t>
      </w:r>
      <w:r w:rsidR="008243CA" w:rsidRPr="00634BD1">
        <w:rPr>
          <w:i/>
          <w:iCs/>
        </w:rPr>
        <w:t xml:space="preserve"> </w:t>
      </w:r>
      <w:r w:rsidRPr="00634BD1">
        <w:rPr>
          <w:i/>
          <w:iCs/>
        </w:rPr>
        <w:t>interests</w:t>
      </w:r>
      <w:r w:rsidR="008243CA" w:rsidRPr="00634BD1">
        <w:rPr>
          <w:i/>
          <w:iCs/>
        </w:rPr>
        <w:t xml:space="preserve"> </w:t>
      </w:r>
      <w:r w:rsidRPr="00634BD1">
        <w:rPr>
          <w:i/>
          <w:iCs/>
        </w:rPr>
        <w:t>of</w:t>
      </w:r>
      <w:r w:rsidR="008243CA" w:rsidRPr="00634BD1">
        <w:rPr>
          <w:i/>
          <w:iCs/>
        </w:rPr>
        <w:t xml:space="preserve"> </w:t>
      </w:r>
      <w:r w:rsidRPr="00634BD1">
        <w:rPr>
          <w:i/>
          <w:iCs/>
        </w:rPr>
        <w:t>the</w:t>
      </w:r>
      <w:r w:rsidR="008243CA" w:rsidRPr="00634BD1">
        <w:rPr>
          <w:i/>
          <w:iCs/>
        </w:rPr>
        <w:t xml:space="preserve"> </w:t>
      </w:r>
      <w:r w:rsidRPr="00634BD1">
        <w:rPr>
          <w:i/>
          <w:iCs/>
        </w:rPr>
        <w:t>child</w:t>
      </w:r>
      <w:r w:rsidR="008243CA" w:rsidRPr="00634BD1">
        <w:rPr>
          <w:i/>
          <w:iCs/>
        </w:rPr>
        <w:t xml:space="preserve"> </w:t>
      </w:r>
      <w:r w:rsidRPr="00634BD1">
        <w:rPr>
          <w:i/>
          <w:iCs/>
        </w:rPr>
        <w:t>and</w:t>
      </w:r>
      <w:r w:rsidR="008243CA" w:rsidRPr="00634BD1">
        <w:rPr>
          <w:i/>
          <w:iCs/>
        </w:rPr>
        <w:t xml:space="preserve"> </w:t>
      </w:r>
      <w:r w:rsidRPr="00634BD1">
        <w:rPr>
          <w:i/>
          <w:iCs/>
        </w:rPr>
        <w:t>rule</w:t>
      </w:r>
      <w:r w:rsidR="008243CA" w:rsidRPr="00634BD1">
        <w:rPr>
          <w:i/>
          <w:iCs/>
        </w:rPr>
        <w:t xml:space="preserve"> </w:t>
      </w:r>
      <w:r w:rsidRPr="00634BD1">
        <w:rPr>
          <w:i/>
          <w:iCs/>
        </w:rPr>
        <w:t>58,</w:t>
      </w:r>
      <w:r w:rsidR="008243CA" w:rsidRPr="00634BD1">
        <w:rPr>
          <w:i/>
          <w:iCs/>
        </w:rPr>
        <w:t xml:space="preserve"> </w:t>
      </w:r>
      <w:r w:rsidRPr="00634BD1">
        <w:rPr>
          <w:i/>
          <w:iCs/>
        </w:rPr>
        <w:t>on</w:t>
      </w:r>
      <w:r w:rsidR="008243CA" w:rsidRPr="00634BD1">
        <w:rPr>
          <w:i/>
          <w:iCs/>
        </w:rPr>
        <w:t xml:space="preserve"> </w:t>
      </w:r>
      <w:proofErr w:type="spellStart"/>
      <w:r w:rsidRPr="00634BD1">
        <w:rPr>
          <w:i/>
          <w:iCs/>
        </w:rPr>
        <w:t>pretrial</w:t>
      </w:r>
      <w:proofErr w:type="spellEnd"/>
      <w:r w:rsidR="008243CA" w:rsidRPr="00634BD1">
        <w:rPr>
          <w:i/>
          <w:iCs/>
        </w:rPr>
        <w:t xml:space="preserve"> </w:t>
      </w:r>
      <w:r w:rsidRPr="00634BD1">
        <w:rPr>
          <w:i/>
          <w:iCs/>
        </w:rPr>
        <w:t>and</w:t>
      </w:r>
      <w:r w:rsidR="008243CA" w:rsidRPr="00634BD1">
        <w:rPr>
          <w:i/>
          <w:iCs/>
        </w:rPr>
        <w:t xml:space="preserve"> </w:t>
      </w:r>
      <w:r w:rsidRPr="00634BD1">
        <w:rPr>
          <w:i/>
          <w:iCs/>
        </w:rPr>
        <w:t>sentencing</w:t>
      </w:r>
      <w:r w:rsidR="008243CA" w:rsidRPr="00634BD1">
        <w:rPr>
          <w:i/>
          <w:iCs/>
        </w:rPr>
        <w:t xml:space="preserve"> </w:t>
      </w:r>
      <w:r w:rsidRPr="00634BD1">
        <w:rPr>
          <w:i/>
          <w:iCs/>
        </w:rPr>
        <w:t>alternatives</w:t>
      </w:r>
      <w:r w:rsidR="008243CA" w:rsidRPr="00634BD1">
        <w:rPr>
          <w:i/>
          <w:iCs/>
        </w:rPr>
        <w:t xml:space="preserve"> </w:t>
      </w:r>
      <w:r w:rsidRPr="00634BD1">
        <w:rPr>
          <w:i/>
          <w:iCs/>
        </w:rPr>
        <w:t>for</w:t>
      </w:r>
      <w:r w:rsidR="008243CA" w:rsidRPr="00634BD1">
        <w:rPr>
          <w:i/>
          <w:iCs/>
        </w:rPr>
        <w:t xml:space="preserve"> </w:t>
      </w:r>
      <w:r w:rsidRPr="00634BD1">
        <w:rPr>
          <w:i/>
          <w:iCs/>
        </w:rPr>
        <w:t>women,</w:t>
      </w:r>
      <w:r w:rsidR="008243CA" w:rsidRPr="00634BD1">
        <w:rPr>
          <w:i/>
          <w:iCs/>
        </w:rPr>
        <w:t xml:space="preserve"> </w:t>
      </w:r>
      <w:r w:rsidRPr="00634BD1">
        <w:rPr>
          <w:i/>
          <w:iCs/>
        </w:rPr>
        <w:t>of</w:t>
      </w:r>
      <w:r w:rsidR="008243CA" w:rsidRPr="00634BD1">
        <w:rPr>
          <w:i/>
          <w:iCs/>
        </w:rPr>
        <w:t xml:space="preserve"> </w:t>
      </w:r>
      <w:r w:rsidRPr="00634BD1">
        <w:rPr>
          <w:i/>
          <w:iCs/>
        </w:rPr>
        <w:t>the</w:t>
      </w:r>
      <w:r w:rsidR="008243CA" w:rsidRPr="00634BD1">
        <w:rPr>
          <w:i/>
          <w:iCs/>
        </w:rPr>
        <w:t xml:space="preserve"> </w:t>
      </w:r>
      <w:r w:rsidRPr="00634BD1">
        <w:rPr>
          <w:i/>
          <w:iCs/>
        </w:rPr>
        <w:t>United</w:t>
      </w:r>
      <w:r w:rsidR="008243CA" w:rsidRPr="00634BD1">
        <w:rPr>
          <w:i/>
          <w:iCs/>
        </w:rPr>
        <w:t xml:space="preserve"> </w:t>
      </w:r>
      <w:r w:rsidRPr="00634BD1">
        <w:rPr>
          <w:i/>
          <w:iCs/>
        </w:rPr>
        <w:t>Nations</w:t>
      </w:r>
      <w:r w:rsidR="008243CA" w:rsidRPr="00634BD1">
        <w:rPr>
          <w:i/>
          <w:iCs/>
        </w:rPr>
        <w:t xml:space="preserve"> </w:t>
      </w:r>
      <w:r w:rsidRPr="00634BD1">
        <w:rPr>
          <w:i/>
          <w:iCs/>
        </w:rPr>
        <w:t>Rules</w:t>
      </w:r>
      <w:r w:rsidR="008243CA" w:rsidRPr="00634BD1">
        <w:rPr>
          <w:i/>
          <w:iCs/>
        </w:rPr>
        <w:t xml:space="preserve"> </w:t>
      </w:r>
      <w:r w:rsidRPr="00634BD1">
        <w:rPr>
          <w:i/>
          <w:iCs/>
        </w:rPr>
        <w:t>for</w:t>
      </w:r>
      <w:r w:rsidR="008243CA" w:rsidRPr="00634BD1">
        <w:rPr>
          <w:i/>
          <w:iCs/>
        </w:rPr>
        <w:t xml:space="preserve"> </w:t>
      </w:r>
      <w:r w:rsidRPr="00634BD1">
        <w:rPr>
          <w:i/>
          <w:iCs/>
        </w:rPr>
        <w:t>the</w:t>
      </w:r>
      <w:r w:rsidR="008243CA" w:rsidRPr="00634BD1">
        <w:rPr>
          <w:i/>
          <w:iCs/>
        </w:rPr>
        <w:t xml:space="preserve"> </w:t>
      </w:r>
      <w:r w:rsidRPr="00634BD1">
        <w:rPr>
          <w:i/>
          <w:iCs/>
        </w:rPr>
        <w:t>Treatment</w:t>
      </w:r>
      <w:r w:rsidR="008243CA" w:rsidRPr="00634BD1">
        <w:rPr>
          <w:i/>
          <w:iCs/>
        </w:rPr>
        <w:t xml:space="preserve"> </w:t>
      </w:r>
      <w:r w:rsidRPr="00634BD1">
        <w:rPr>
          <w:i/>
          <w:iCs/>
        </w:rPr>
        <w:t>of</w:t>
      </w:r>
      <w:r w:rsidR="008243CA" w:rsidRPr="00634BD1">
        <w:rPr>
          <w:i/>
          <w:iCs/>
        </w:rPr>
        <w:t xml:space="preserve"> </w:t>
      </w:r>
      <w:r w:rsidRPr="00634BD1">
        <w:rPr>
          <w:i/>
          <w:iCs/>
        </w:rPr>
        <w:t>Women</w:t>
      </w:r>
      <w:r w:rsidR="008243CA" w:rsidRPr="00634BD1">
        <w:rPr>
          <w:i/>
          <w:iCs/>
        </w:rPr>
        <w:t xml:space="preserve"> </w:t>
      </w:r>
      <w:r w:rsidRPr="00634BD1">
        <w:rPr>
          <w:i/>
          <w:iCs/>
        </w:rPr>
        <w:t>Prisoners</w:t>
      </w:r>
      <w:r w:rsidR="008243CA" w:rsidRPr="00634BD1">
        <w:rPr>
          <w:i/>
          <w:iCs/>
        </w:rPr>
        <w:t xml:space="preserve"> </w:t>
      </w:r>
      <w:r w:rsidRPr="00634BD1">
        <w:rPr>
          <w:i/>
          <w:iCs/>
        </w:rPr>
        <w:t>and</w:t>
      </w:r>
      <w:r w:rsidR="008243CA" w:rsidRPr="00634BD1">
        <w:rPr>
          <w:i/>
          <w:iCs/>
        </w:rPr>
        <w:t xml:space="preserve"> </w:t>
      </w:r>
      <w:r w:rsidRPr="00634BD1">
        <w:rPr>
          <w:i/>
          <w:iCs/>
        </w:rPr>
        <w:t>Non-</w:t>
      </w:r>
      <w:proofErr w:type="gramStart"/>
      <w:r w:rsidRPr="00634BD1">
        <w:rPr>
          <w:i/>
          <w:iCs/>
        </w:rPr>
        <w:t>custodial</w:t>
      </w:r>
      <w:proofErr w:type="gramEnd"/>
      <w:r w:rsidR="008243CA" w:rsidRPr="00634BD1">
        <w:rPr>
          <w:i/>
          <w:iCs/>
        </w:rPr>
        <w:t xml:space="preserve"> </w:t>
      </w:r>
      <w:r w:rsidRPr="00634BD1">
        <w:rPr>
          <w:i/>
          <w:iCs/>
        </w:rPr>
        <w:t>Measures</w:t>
      </w:r>
      <w:r w:rsidR="008243CA" w:rsidRPr="00634BD1">
        <w:rPr>
          <w:i/>
          <w:iCs/>
        </w:rPr>
        <w:t xml:space="preserve"> </w:t>
      </w:r>
      <w:r w:rsidRPr="00634BD1">
        <w:rPr>
          <w:i/>
          <w:iCs/>
        </w:rPr>
        <w:t>for</w:t>
      </w:r>
      <w:r w:rsidR="008243CA" w:rsidRPr="00634BD1">
        <w:rPr>
          <w:i/>
          <w:iCs/>
        </w:rPr>
        <w:t xml:space="preserve"> </w:t>
      </w:r>
      <w:r w:rsidRPr="00634BD1">
        <w:rPr>
          <w:i/>
          <w:iCs/>
        </w:rPr>
        <w:t>Women</w:t>
      </w:r>
      <w:r w:rsidR="008243CA" w:rsidRPr="00634BD1">
        <w:rPr>
          <w:i/>
          <w:iCs/>
        </w:rPr>
        <w:t xml:space="preserve"> </w:t>
      </w:r>
      <w:r w:rsidRPr="00634BD1">
        <w:rPr>
          <w:i/>
          <w:iCs/>
        </w:rPr>
        <w:t>Offenders</w:t>
      </w:r>
      <w:r w:rsidR="008243CA" w:rsidRPr="00634BD1">
        <w:rPr>
          <w:i/>
          <w:iCs/>
        </w:rPr>
        <w:t xml:space="preserve"> </w:t>
      </w:r>
      <w:r w:rsidRPr="00634BD1">
        <w:rPr>
          <w:i/>
          <w:iCs/>
        </w:rPr>
        <w:t>(Bangkok</w:t>
      </w:r>
      <w:r w:rsidR="008243CA" w:rsidRPr="00634BD1">
        <w:rPr>
          <w:i/>
          <w:iCs/>
        </w:rPr>
        <w:t xml:space="preserve"> </w:t>
      </w:r>
      <w:r w:rsidRPr="00634BD1">
        <w:rPr>
          <w:i/>
          <w:iCs/>
        </w:rPr>
        <w:t>Rules).</w:t>
      </w:r>
    </w:p>
    <w:p w:rsidR="003F7D03" w:rsidRPr="00E62FE6" w:rsidRDefault="003F7D03" w:rsidP="000C6D98">
      <w:pPr>
        <w:pStyle w:val="SingleTxtG"/>
      </w:pPr>
      <w:r w:rsidRPr="00E62FE6">
        <w:t>135.</w:t>
      </w:r>
      <w:r w:rsidRPr="00E62FE6">
        <w:tab/>
        <w:t>With</w:t>
      </w:r>
      <w:r w:rsidR="008243CA">
        <w:t xml:space="preserve"> </w:t>
      </w:r>
      <w:r w:rsidRPr="00E62FE6">
        <w:t>regard</w:t>
      </w:r>
      <w:r w:rsidR="008243CA">
        <w:t xml:space="preserve"> </w:t>
      </w:r>
      <w:r w:rsidRPr="00E62FE6">
        <w:t>to</w:t>
      </w:r>
      <w:r w:rsidR="008243CA">
        <w:t xml:space="preserve"> </w:t>
      </w:r>
      <w:r w:rsidRPr="00E62FE6">
        <w:t>the</w:t>
      </w:r>
      <w:r w:rsidR="008243CA">
        <w:t xml:space="preserve"> </w:t>
      </w:r>
      <w:r w:rsidRPr="00E62FE6">
        <w:t>above</w:t>
      </w:r>
      <w:r w:rsidR="008243CA">
        <w:t xml:space="preserve"> </w:t>
      </w:r>
      <w:r w:rsidRPr="00E62FE6">
        <w:t>recommendation,</w:t>
      </w:r>
      <w:r w:rsidR="008243CA">
        <w:t xml:space="preserve"> </w:t>
      </w:r>
      <w:r w:rsidRPr="00E62FE6">
        <w:t>the</w:t>
      </w:r>
      <w:r w:rsidR="008243CA">
        <w:t xml:space="preserve"> </w:t>
      </w:r>
      <w:r w:rsidRPr="00E62FE6">
        <w:t>Prison</w:t>
      </w:r>
      <w:r w:rsidR="008243CA">
        <w:t xml:space="preserve"> </w:t>
      </w:r>
      <w:r w:rsidRPr="00E62FE6">
        <w:t>Service</w:t>
      </w:r>
      <w:r w:rsidR="008243CA">
        <w:t xml:space="preserve"> </w:t>
      </w:r>
      <w:r w:rsidRPr="00E62FE6">
        <w:t>is</w:t>
      </w:r>
      <w:r w:rsidR="008243CA">
        <w:t xml:space="preserve"> </w:t>
      </w:r>
      <w:r w:rsidRPr="00E62FE6">
        <w:t>constant</w:t>
      </w:r>
      <w:r w:rsidR="008243CA">
        <w:t xml:space="preserve"> </w:t>
      </w:r>
      <w:r w:rsidRPr="00E62FE6">
        <w:t>in</w:t>
      </w:r>
      <w:r w:rsidR="008243CA">
        <w:t xml:space="preserve"> </w:t>
      </w:r>
      <w:r w:rsidRPr="00E62FE6">
        <w:t>its</w:t>
      </w:r>
      <w:r w:rsidR="008243CA">
        <w:t xml:space="preserve"> </w:t>
      </w:r>
      <w:r w:rsidRPr="00E62FE6">
        <w:t>concern</w:t>
      </w:r>
      <w:r w:rsidR="008243CA">
        <w:t xml:space="preserve"> </w:t>
      </w:r>
      <w:r w:rsidRPr="00E62FE6">
        <w:t>for</w:t>
      </w:r>
      <w:r w:rsidR="008243CA">
        <w:t xml:space="preserve"> </w:t>
      </w:r>
      <w:r w:rsidRPr="00E62FE6">
        <w:t>the</w:t>
      </w:r>
      <w:r w:rsidR="008243CA">
        <w:t xml:space="preserve"> </w:t>
      </w:r>
      <w:r w:rsidRPr="00E62FE6">
        <w:t>best</w:t>
      </w:r>
      <w:r w:rsidR="008243CA">
        <w:t xml:space="preserve"> </w:t>
      </w:r>
      <w:r w:rsidRPr="00E62FE6">
        <w:t>interests</w:t>
      </w:r>
      <w:r w:rsidR="008243CA">
        <w:t xml:space="preserve"> </w:t>
      </w:r>
      <w:r w:rsidRPr="00E62FE6">
        <w:t>of</w:t>
      </w:r>
      <w:r w:rsidR="008243CA">
        <w:t xml:space="preserve"> </w:t>
      </w:r>
      <w:r w:rsidRPr="00E62FE6">
        <w:t>the</w:t>
      </w:r>
      <w:r w:rsidR="008243CA">
        <w:t xml:space="preserve"> </w:t>
      </w:r>
      <w:r w:rsidRPr="00E62FE6">
        <w:t>child,</w:t>
      </w:r>
      <w:r w:rsidR="008243CA">
        <w:t xml:space="preserve"> </w:t>
      </w:r>
      <w:r w:rsidRPr="00E62FE6">
        <w:t>and</w:t>
      </w:r>
      <w:r w:rsidR="008243CA">
        <w:t xml:space="preserve"> </w:t>
      </w:r>
      <w:r w:rsidRPr="00E62FE6">
        <w:t>for</w:t>
      </w:r>
      <w:r w:rsidR="008243CA">
        <w:t xml:space="preserve"> </w:t>
      </w:r>
      <w:r w:rsidRPr="00E62FE6">
        <w:t>that</w:t>
      </w:r>
      <w:r w:rsidR="008243CA">
        <w:t xml:space="preserve"> </w:t>
      </w:r>
      <w:r w:rsidRPr="00E62FE6">
        <w:t>reason,</w:t>
      </w:r>
      <w:r w:rsidR="008243CA">
        <w:t xml:space="preserve"> </w:t>
      </w:r>
      <w:r w:rsidRPr="00E62FE6">
        <w:t>it</w:t>
      </w:r>
      <w:r w:rsidR="008243CA">
        <w:t xml:space="preserve"> </w:t>
      </w:r>
      <w:r w:rsidRPr="00E62FE6">
        <w:t>created</w:t>
      </w:r>
      <w:r w:rsidR="008243CA">
        <w:t xml:space="preserve"> </w:t>
      </w:r>
      <w:r w:rsidRPr="00E62FE6">
        <w:t>the</w:t>
      </w:r>
      <w:r w:rsidR="008243CA">
        <w:t xml:space="preserve"> </w:t>
      </w:r>
      <w:r w:rsidRPr="00E62FE6">
        <w:t>Programme</w:t>
      </w:r>
      <w:r w:rsidR="008243CA">
        <w:t xml:space="preserve"> </w:t>
      </w:r>
      <w:r w:rsidRPr="00E62FE6">
        <w:t>of</w:t>
      </w:r>
      <w:r w:rsidR="008243CA">
        <w:t xml:space="preserve"> </w:t>
      </w:r>
      <w:r w:rsidRPr="00E62FE6">
        <w:t>Assistance</w:t>
      </w:r>
      <w:r w:rsidR="008243CA">
        <w:t xml:space="preserve"> </w:t>
      </w:r>
      <w:r w:rsidRPr="00E62FE6">
        <w:t>for</w:t>
      </w:r>
      <w:r w:rsidR="008243CA">
        <w:t xml:space="preserve"> </w:t>
      </w:r>
      <w:r w:rsidRPr="00E62FE6">
        <w:t>Pregnant</w:t>
      </w:r>
      <w:r w:rsidR="008243CA">
        <w:t xml:space="preserve"> </w:t>
      </w:r>
      <w:r w:rsidRPr="00E62FE6">
        <w:t>and</w:t>
      </w:r>
      <w:r w:rsidR="008243CA">
        <w:t xml:space="preserve"> </w:t>
      </w:r>
      <w:r w:rsidRPr="00E62FE6">
        <w:t>Nursing</w:t>
      </w:r>
      <w:r w:rsidR="008243CA">
        <w:t xml:space="preserve"> </w:t>
      </w:r>
      <w:r w:rsidRPr="00E62FE6">
        <w:t>Women,</w:t>
      </w:r>
      <w:r w:rsidR="008243CA">
        <w:t xml:space="preserve"> </w:t>
      </w:r>
      <w:r w:rsidRPr="00E62FE6">
        <w:t>which</w:t>
      </w:r>
      <w:r w:rsidR="008243CA">
        <w:t xml:space="preserve"> </w:t>
      </w:r>
      <w:r w:rsidRPr="00E62FE6">
        <w:t>aims</w:t>
      </w:r>
      <w:r w:rsidR="008243CA">
        <w:t xml:space="preserve"> </w:t>
      </w:r>
      <w:r w:rsidRPr="00E62FE6">
        <w:t>to</w:t>
      </w:r>
      <w:r w:rsidR="008243CA">
        <w:t xml:space="preserve"> </w:t>
      </w:r>
      <w:r w:rsidRPr="00E62FE6">
        <w:t>help</w:t>
      </w:r>
      <w:r w:rsidR="008243CA">
        <w:t xml:space="preserve"> </w:t>
      </w:r>
      <w:r w:rsidRPr="00E62FE6">
        <w:t>strengthen</w:t>
      </w:r>
      <w:r w:rsidR="008243CA">
        <w:t xml:space="preserve"> </w:t>
      </w:r>
      <w:r w:rsidRPr="00E62FE6">
        <w:t>the</w:t>
      </w:r>
      <w:r w:rsidR="008243CA">
        <w:t xml:space="preserve"> </w:t>
      </w:r>
      <w:r w:rsidRPr="00E62FE6">
        <w:t>relationship</w:t>
      </w:r>
      <w:r w:rsidR="008243CA">
        <w:t xml:space="preserve"> </w:t>
      </w:r>
      <w:r w:rsidRPr="00E62FE6">
        <w:t>and</w:t>
      </w:r>
      <w:r w:rsidR="008243CA">
        <w:t xml:space="preserve"> </w:t>
      </w:r>
      <w:r w:rsidRPr="00E62FE6">
        <w:t>the</w:t>
      </w:r>
      <w:r w:rsidR="008243CA">
        <w:t xml:space="preserve"> </w:t>
      </w:r>
      <w:r w:rsidRPr="00E62FE6">
        <w:t>attachment</w:t>
      </w:r>
      <w:r w:rsidR="008243CA">
        <w:t xml:space="preserve"> </w:t>
      </w:r>
      <w:r w:rsidRPr="00E62FE6">
        <w:t>between</w:t>
      </w:r>
      <w:r w:rsidR="008243CA">
        <w:t xml:space="preserve"> </w:t>
      </w:r>
      <w:r w:rsidRPr="00E62FE6">
        <w:t>mothers</w:t>
      </w:r>
      <w:r w:rsidR="008243CA">
        <w:t xml:space="preserve"> </w:t>
      </w:r>
      <w:r w:rsidRPr="00E62FE6">
        <w:t>and</w:t>
      </w:r>
      <w:r w:rsidR="008243CA">
        <w:t xml:space="preserve"> </w:t>
      </w:r>
      <w:r w:rsidRPr="00E62FE6">
        <w:t>children</w:t>
      </w:r>
      <w:r w:rsidR="008243CA">
        <w:t xml:space="preserve"> </w:t>
      </w:r>
      <w:r w:rsidRPr="00E62FE6">
        <w:t>by</w:t>
      </w:r>
      <w:r w:rsidR="008243CA">
        <w:t xml:space="preserve"> </w:t>
      </w:r>
      <w:r w:rsidRPr="00E62FE6">
        <w:t>provided</w:t>
      </w:r>
      <w:r w:rsidR="008243CA">
        <w:t xml:space="preserve"> </w:t>
      </w:r>
      <w:r w:rsidRPr="00E62FE6">
        <w:t>a</w:t>
      </w:r>
      <w:r w:rsidR="008243CA">
        <w:t xml:space="preserve"> </w:t>
      </w:r>
      <w:r w:rsidRPr="00E62FE6">
        <w:t>separate</w:t>
      </w:r>
      <w:r w:rsidR="008243CA">
        <w:t xml:space="preserve"> </w:t>
      </w:r>
      <w:r w:rsidRPr="00E62FE6">
        <w:t>space</w:t>
      </w:r>
      <w:r w:rsidR="008243CA">
        <w:t xml:space="preserve"> </w:t>
      </w:r>
      <w:r w:rsidRPr="00E62FE6">
        <w:lastRenderedPageBreak/>
        <w:t>that</w:t>
      </w:r>
      <w:r w:rsidR="008243CA">
        <w:t xml:space="preserve"> </w:t>
      </w:r>
      <w:r w:rsidRPr="00E62FE6">
        <w:t>is</w:t>
      </w:r>
      <w:r w:rsidR="008243CA">
        <w:t xml:space="preserve"> </w:t>
      </w:r>
      <w:r w:rsidRPr="00E62FE6">
        <w:t>especially</w:t>
      </w:r>
      <w:r w:rsidR="008243CA">
        <w:t xml:space="preserve"> </w:t>
      </w:r>
      <w:r w:rsidRPr="00E62FE6">
        <w:t>adapted</w:t>
      </w:r>
      <w:r w:rsidR="008243CA">
        <w:t xml:space="preserve"> </w:t>
      </w:r>
      <w:r w:rsidRPr="00E62FE6">
        <w:t>for</w:t>
      </w:r>
      <w:r w:rsidR="008243CA">
        <w:t xml:space="preserve"> </w:t>
      </w:r>
      <w:r w:rsidRPr="00E62FE6">
        <w:t>that</w:t>
      </w:r>
      <w:r w:rsidR="008243CA">
        <w:t xml:space="preserve"> </w:t>
      </w:r>
      <w:r w:rsidRPr="00E62FE6">
        <w:t>purpose.</w:t>
      </w:r>
      <w:r w:rsidRPr="00116F0B">
        <w:rPr>
          <w:rStyle w:val="FootnoteReference"/>
        </w:rPr>
        <w:footnoteReference w:id="45"/>
      </w:r>
      <w:r w:rsidR="008243CA">
        <w:t xml:space="preserve"> </w:t>
      </w:r>
      <w:r w:rsidRPr="00E62FE6">
        <w:t>Through</w:t>
      </w:r>
      <w:r w:rsidR="008243CA">
        <w:t xml:space="preserve"> </w:t>
      </w:r>
      <w:r w:rsidRPr="00E62FE6">
        <w:t>this</w:t>
      </w:r>
      <w:r w:rsidR="008243CA">
        <w:t xml:space="preserve"> </w:t>
      </w:r>
      <w:r w:rsidRPr="00E62FE6">
        <w:t>programme,</w:t>
      </w:r>
      <w:r w:rsidR="008243CA">
        <w:t xml:space="preserve"> </w:t>
      </w:r>
      <w:r w:rsidRPr="00E62FE6">
        <w:t>pregnant</w:t>
      </w:r>
      <w:r w:rsidR="008243CA">
        <w:t xml:space="preserve"> </w:t>
      </w:r>
      <w:r w:rsidRPr="00E62FE6">
        <w:t>women</w:t>
      </w:r>
      <w:r w:rsidR="008243CA">
        <w:t xml:space="preserve"> </w:t>
      </w:r>
      <w:r w:rsidRPr="00E62FE6">
        <w:t>and</w:t>
      </w:r>
      <w:r w:rsidR="008243CA">
        <w:t xml:space="preserve"> </w:t>
      </w:r>
      <w:r w:rsidRPr="00E62FE6">
        <w:t>women</w:t>
      </w:r>
      <w:r w:rsidR="008243CA">
        <w:t xml:space="preserve"> </w:t>
      </w:r>
      <w:r w:rsidRPr="00E62FE6">
        <w:t>with</w:t>
      </w:r>
      <w:r w:rsidR="008243CA">
        <w:t xml:space="preserve"> </w:t>
      </w:r>
      <w:r w:rsidRPr="00E62FE6">
        <w:t>children</w:t>
      </w:r>
      <w:r w:rsidR="008243CA">
        <w:t xml:space="preserve"> </w:t>
      </w:r>
      <w:r w:rsidRPr="00E62FE6">
        <w:t>up</w:t>
      </w:r>
      <w:r w:rsidR="008243CA">
        <w:t xml:space="preserve"> </w:t>
      </w:r>
      <w:r w:rsidRPr="00E62FE6">
        <w:t>to</w:t>
      </w:r>
      <w:r w:rsidR="008243CA">
        <w:t xml:space="preserve"> </w:t>
      </w:r>
      <w:r w:rsidRPr="00E62FE6">
        <w:t>2</w:t>
      </w:r>
      <w:r w:rsidR="008243CA">
        <w:t xml:space="preserve"> </w:t>
      </w:r>
      <w:r w:rsidRPr="00E62FE6">
        <w:t>years</w:t>
      </w:r>
      <w:r w:rsidR="008243CA">
        <w:t xml:space="preserve"> </w:t>
      </w:r>
      <w:r w:rsidRPr="00E62FE6">
        <w:t>of</w:t>
      </w:r>
      <w:r w:rsidR="008243CA">
        <w:t xml:space="preserve"> </w:t>
      </w:r>
      <w:r w:rsidRPr="00E62FE6">
        <w:t>age</w:t>
      </w:r>
      <w:r w:rsidR="008243CA">
        <w:t xml:space="preserve"> </w:t>
      </w:r>
      <w:r w:rsidRPr="00E62FE6">
        <w:t>receive</w:t>
      </w:r>
      <w:r w:rsidR="008243CA">
        <w:t xml:space="preserve"> </w:t>
      </w:r>
      <w:r w:rsidRPr="00E62FE6">
        <w:t>the</w:t>
      </w:r>
      <w:r w:rsidR="008243CA">
        <w:t xml:space="preserve"> </w:t>
      </w:r>
      <w:r w:rsidRPr="00E62FE6">
        <w:t>support</w:t>
      </w:r>
      <w:r w:rsidR="008243CA">
        <w:t xml:space="preserve"> </w:t>
      </w:r>
      <w:r w:rsidRPr="00E62FE6">
        <w:t>of</w:t>
      </w:r>
      <w:r w:rsidR="008243CA">
        <w:t xml:space="preserve"> </w:t>
      </w:r>
      <w:r w:rsidRPr="00E62FE6">
        <w:t>dedicated</w:t>
      </w:r>
      <w:r w:rsidR="008243CA">
        <w:t xml:space="preserve"> </w:t>
      </w:r>
      <w:r w:rsidRPr="00E62FE6">
        <w:t>professionals</w:t>
      </w:r>
      <w:r w:rsidR="008243CA">
        <w:t xml:space="preserve"> </w:t>
      </w:r>
      <w:r w:rsidRPr="00E62FE6">
        <w:t>whose</w:t>
      </w:r>
      <w:r w:rsidR="008243CA">
        <w:t xml:space="preserve"> </w:t>
      </w:r>
      <w:r w:rsidRPr="00E62FE6">
        <w:t>work</w:t>
      </w:r>
      <w:r w:rsidR="008243CA">
        <w:t xml:space="preserve"> </w:t>
      </w:r>
      <w:r w:rsidRPr="00E62FE6">
        <w:t>involves</w:t>
      </w:r>
      <w:r w:rsidR="008243CA">
        <w:t xml:space="preserve"> </w:t>
      </w:r>
      <w:r w:rsidRPr="00E62FE6">
        <w:t>addressing</w:t>
      </w:r>
      <w:r w:rsidR="008243CA">
        <w:t xml:space="preserve"> </w:t>
      </w:r>
      <w:r w:rsidRPr="00E62FE6">
        <w:t>criminological</w:t>
      </w:r>
      <w:r w:rsidR="008243CA">
        <w:t xml:space="preserve"> </w:t>
      </w:r>
      <w:r w:rsidRPr="00E62FE6">
        <w:t>issues</w:t>
      </w:r>
      <w:r w:rsidR="008243CA">
        <w:t xml:space="preserve"> </w:t>
      </w:r>
      <w:r w:rsidRPr="00E62FE6">
        <w:t>so</w:t>
      </w:r>
      <w:r w:rsidR="008243CA">
        <w:t xml:space="preserve"> </w:t>
      </w:r>
      <w:r w:rsidRPr="00E62FE6">
        <w:t>as</w:t>
      </w:r>
      <w:r w:rsidR="008243CA">
        <w:t xml:space="preserve"> </w:t>
      </w:r>
      <w:r w:rsidRPr="00E62FE6">
        <w:t>to</w:t>
      </w:r>
      <w:r w:rsidR="008243CA">
        <w:t xml:space="preserve"> </w:t>
      </w:r>
      <w:r w:rsidRPr="00E62FE6">
        <w:t>reduce</w:t>
      </w:r>
      <w:r w:rsidR="008243CA">
        <w:t xml:space="preserve"> </w:t>
      </w:r>
      <w:r w:rsidRPr="00E62FE6">
        <w:t>the</w:t>
      </w:r>
      <w:r w:rsidR="008243CA">
        <w:t xml:space="preserve"> </w:t>
      </w:r>
      <w:r w:rsidRPr="00E62FE6">
        <w:t>risk</w:t>
      </w:r>
      <w:r w:rsidR="008243CA">
        <w:t xml:space="preserve"> </w:t>
      </w:r>
      <w:r w:rsidRPr="00E62FE6">
        <w:t>of</w:t>
      </w:r>
      <w:r w:rsidR="008243CA">
        <w:t xml:space="preserve"> </w:t>
      </w:r>
      <w:r w:rsidRPr="00E62FE6">
        <w:t>recidivism,</w:t>
      </w:r>
      <w:r w:rsidR="008243CA">
        <w:t xml:space="preserve"> </w:t>
      </w:r>
      <w:r w:rsidRPr="00E62FE6">
        <w:t>as</w:t>
      </w:r>
      <w:r w:rsidR="008243CA">
        <w:t xml:space="preserve"> </w:t>
      </w:r>
      <w:r w:rsidRPr="00E62FE6">
        <w:t>well</w:t>
      </w:r>
      <w:r w:rsidR="008243CA">
        <w:t xml:space="preserve"> </w:t>
      </w:r>
      <w:r w:rsidRPr="00E62FE6">
        <w:t>as</w:t>
      </w:r>
      <w:r w:rsidR="008243CA">
        <w:t xml:space="preserve"> </w:t>
      </w:r>
      <w:r w:rsidRPr="00E62FE6">
        <w:t>managing</w:t>
      </w:r>
      <w:r w:rsidR="008243CA">
        <w:t xml:space="preserve"> </w:t>
      </w:r>
      <w:r w:rsidRPr="00E62FE6">
        <w:t>the</w:t>
      </w:r>
      <w:r w:rsidR="008243CA">
        <w:t xml:space="preserve"> </w:t>
      </w:r>
      <w:r w:rsidRPr="00E62FE6">
        <w:t>children</w:t>
      </w:r>
      <w:r w:rsidR="00116F0B">
        <w:t>’</w:t>
      </w:r>
      <w:r w:rsidRPr="00E62FE6">
        <w:t>s</w:t>
      </w:r>
      <w:r w:rsidR="008243CA">
        <w:t xml:space="preserve"> </w:t>
      </w:r>
      <w:r w:rsidRPr="00E62FE6">
        <w:t>needs</w:t>
      </w:r>
      <w:r w:rsidR="008243CA">
        <w:t xml:space="preserve"> </w:t>
      </w:r>
      <w:r w:rsidRPr="00E62FE6">
        <w:t>for</w:t>
      </w:r>
      <w:r w:rsidR="008243CA">
        <w:t xml:space="preserve"> </w:t>
      </w:r>
      <w:r w:rsidRPr="00E62FE6">
        <w:t>protection.</w:t>
      </w:r>
      <w:r w:rsidR="008243CA">
        <w:t xml:space="preserve"> </w:t>
      </w:r>
      <w:r w:rsidRPr="00E62FE6">
        <w:t>During</w:t>
      </w:r>
      <w:r w:rsidR="008243CA">
        <w:t xml:space="preserve"> </w:t>
      </w:r>
      <w:r w:rsidRPr="00E62FE6">
        <w:t>2016,</w:t>
      </w:r>
      <w:r w:rsidR="008243CA">
        <w:t xml:space="preserve"> </w:t>
      </w:r>
      <w:r w:rsidRPr="00E62FE6">
        <w:t>assistance</w:t>
      </w:r>
      <w:r w:rsidR="008243CA">
        <w:t xml:space="preserve"> </w:t>
      </w:r>
      <w:r w:rsidRPr="00E62FE6">
        <w:t>was</w:t>
      </w:r>
      <w:r w:rsidR="008243CA">
        <w:t xml:space="preserve"> </w:t>
      </w:r>
      <w:r w:rsidRPr="00E62FE6">
        <w:t>provided</w:t>
      </w:r>
      <w:r w:rsidR="008243CA">
        <w:t xml:space="preserve"> </w:t>
      </w:r>
      <w:r w:rsidRPr="00E62FE6">
        <w:t>to</w:t>
      </w:r>
      <w:r w:rsidR="008243CA">
        <w:t xml:space="preserve"> </w:t>
      </w:r>
      <w:r w:rsidRPr="00E62FE6">
        <w:t>181</w:t>
      </w:r>
      <w:r w:rsidR="008243CA">
        <w:t xml:space="preserve"> </w:t>
      </w:r>
      <w:r w:rsidRPr="00E62FE6">
        <w:t>women</w:t>
      </w:r>
      <w:r w:rsidRPr="00116F0B">
        <w:rPr>
          <w:rStyle w:val="FootnoteReference"/>
        </w:rPr>
        <w:footnoteReference w:id="46"/>
      </w:r>
      <w:r w:rsidR="008243CA">
        <w:t xml:space="preserve"> </w:t>
      </w:r>
      <w:r w:rsidRPr="00E62FE6">
        <w:t>in</w:t>
      </w:r>
      <w:r w:rsidR="008243CA">
        <w:t xml:space="preserve"> </w:t>
      </w:r>
      <w:r w:rsidRPr="00E62FE6">
        <w:t>mother</w:t>
      </w:r>
      <w:r w:rsidR="008243CA">
        <w:t xml:space="preserve"> </w:t>
      </w:r>
      <w:r w:rsidRPr="00E62FE6">
        <w:t>and</w:t>
      </w:r>
      <w:r w:rsidR="008243CA">
        <w:t xml:space="preserve"> </w:t>
      </w:r>
      <w:r w:rsidRPr="00E62FE6">
        <w:t>child</w:t>
      </w:r>
      <w:r w:rsidR="008243CA">
        <w:t xml:space="preserve"> </w:t>
      </w:r>
      <w:r w:rsidRPr="00E62FE6">
        <w:t>units</w:t>
      </w:r>
      <w:r w:rsidR="008243CA">
        <w:t xml:space="preserve"> </w:t>
      </w:r>
      <w:r w:rsidRPr="00E62FE6">
        <w:t>throughout</w:t>
      </w:r>
      <w:r w:rsidR="008243CA">
        <w:t xml:space="preserve"> </w:t>
      </w:r>
      <w:r w:rsidRPr="00E62FE6">
        <w:t>the</w:t>
      </w:r>
      <w:r w:rsidR="008243CA">
        <w:t xml:space="preserve"> </w:t>
      </w:r>
      <w:r w:rsidRPr="00E62FE6">
        <w:t>country.</w:t>
      </w:r>
      <w:bookmarkStart w:id="94" w:name="page35"/>
      <w:bookmarkEnd w:id="94"/>
    </w:p>
    <w:p w:rsidR="003F7D03" w:rsidRPr="00E62FE6" w:rsidRDefault="003F7D03" w:rsidP="000C6D98">
      <w:pPr>
        <w:pStyle w:val="SingleTxtG"/>
      </w:pPr>
      <w:r w:rsidRPr="00E62FE6">
        <w:t>136.</w:t>
      </w:r>
      <w:r w:rsidRPr="00E62FE6">
        <w:tab/>
        <w:t>Furthermore,</w:t>
      </w:r>
      <w:r w:rsidR="008243CA">
        <w:t xml:space="preserve"> </w:t>
      </w:r>
      <w:r w:rsidRPr="00E62FE6">
        <w:t>since</w:t>
      </w:r>
      <w:r w:rsidR="008243CA">
        <w:t xml:space="preserve"> </w:t>
      </w:r>
      <w:r w:rsidRPr="00E62FE6">
        <w:t>2004,</w:t>
      </w:r>
      <w:r w:rsidR="008243CA">
        <w:t xml:space="preserve"> </w:t>
      </w:r>
      <w:r w:rsidRPr="00E62FE6">
        <w:t>the</w:t>
      </w:r>
      <w:r w:rsidR="008243CA">
        <w:t xml:space="preserve"> </w:t>
      </w:r>
      <w:r w:rsidRPr="00E62FE6">
        <w:t>Prison</w:t>
      </w:r>
      <w:r w:rsidR="008243CA">
        <w:t xml:space="preserve"> </w:t>
      </w:r>
      <w:r w:rsidRPr="00E62FE6">
        <w:t>Service</w:t>
      </w:r>
      <w:r w:rsidR="008243CA">
        <w:t xml:space="preserve"> </w:t>
      </w:r>
      <w:r w:rsidRPr="00E62FE6">
        <w:t>has</w:t>
      </w:r>
      <w:r w:rsidR="008243CA">
        <w:t xml:space="preserve"> </w:t>
      </w:r>
      <w:r w:rsidRPr="00E62FE6">
        <w:t>implemented</w:t>
      </w:r>
      <w:r w:rsidR="008243CA">
        <w:t xml:space="preserve"> </w:t>
      </w:r>
      <w:r w:rsidRPr="00E62FE6">
        <w:t>the</w:t>
      </w:r>
      <w:r w:rsidR="008243CA">
        <w:t xml:space="preserve"> </w:t>
      </w:r>
      <w:proofErr w:type="spellStart"/>
      <w:r w:rsidRPr="00E62FE6">
        <w:t>Conozca</w:t>
      </w:r>
      <w:proofErr w:type="spellEnd"/>
      <w:r w:rsidR="008243CA">
        <w:t xml:space="preserve"> </w:t>
      </w:r>
      <w:r w:rsidRPr="00E62FE6">
        <w:t>a</w:t>
      </w:r>
      <w:r w:rsidR="008243CA">
        <w:t xml:space="preserve"> </w:t>
      </w:r>
      <w:proofErr w:type="spellStart"/>
      <w:r w:rsidRPr="00E62FE6">
        <w:t>su</w:t>
      </w:r>
      <w:proofErr w:type="spellEnd"/>
      <w:r w:rsidR="008243CA">
        <w:t xml:space="preserve"> </w:t>
      </w:r>
      <w:proofErr w:type="spellStart"/>
      <w:r w:rsidRPr="00E62FE6">
        <w:t>Hijo</w:t>
      </w:r>
      <w:proofErr w:type="spellEnd"/>
      <w:r w:rsidR="008243CA">
        <w:t xml:space="preserve"> </w:t>
      </w:r>
      <w:r w:rsidRPr="00E62FE6">
        <w:t>(</w:t>
      </w:r>
      <w:r w:rsidR="00116F0B">
        <w:t>“</w:t>
      </w:r>
      <w:r w:rsidRPr="00E62FE6">
        <w:t>Know</w:t>
      </w:r>
      <w:r w:rsidR="008243CA">
        <w:t xml:space="preserve"> </w:t>
      </w:r>
      <w:r w:rsidRPr="00E62FE6">
        <w:t>Your</w:t>
      </w:r>
      <w:r w:rsidR="008243CA">
        <w:t xml:space="preserve"> </w:t>
      </w:r>
      <w:r w:rsidRPr="00E62FE6">
        <w:t>Child</w:t>
      </w:r>
      <w:r w:rsidR="00116F0B">
        <w:t>”</w:t>
      </w:r>
      <w:r w:rsidRPr="00E62FE6">
        <w:t>)</w:t>
      </w:r>
      <w:r w:rsidR="008243CA">
        <w:t xml:space="preserve"> </w:t>
      </w:r>
      <w:r w:rsidRPr="00E62FE6">
        <w:t>programme,</w:t>
      </w:r>
      <w:r w:rsidR="008243CA">
        <w:t xml:space="preserve"> </w:t>
      </w:r>
      <w:r w:rsidRPr="00E62FE6">
        <w:t>which</w:t>
      </w:r>
      <w:r w:rsidR="008243CA">
        <w:t xml:space="preserve"> </w:t>
      </w:r>
      <w:r w:rsidRPr="00E62FE6">
        <w:t>is</w:t>
      </w:r>
      <w:r w:rsidR="008243CA">
        <w:t xml:space="preserve"> </w:t>
      </w:r>
      <w:r w:rsidRPr="00E62FE6">
        <w:t>geared</w:t>
      </w:r>
      <w:r w:rsidR="008243CA">
        <w:t xml:space="preserve"> </w:t>
      </w:r>
      <w:r w:rsidRPr="00E62FE6">
        <w:t>towards</w:t>
      </w:r>
      <w:r w:rsidR="008243CA">
        <w:t xml:space="preserve"> </w:t>
      </w:r>
      <w:r w:rsidRPr="00E62FE6">
        <w:t>enhancing</w:t>
      </w:r>
      <w:r w:rsidR="008243CA">
        <w:t xml:space="preserve"> </w:t>
      </w:r>
      <w:r w:rsidRPr="00E62FE6">
        <w:t>training</w:t>
      </w:r>
      <w:r w:rsidR="008243CA">
        <w:t xml:space="preserve"> </w:t>
      </w:r>
      <w:r w:rsidRPr="00E62FE6">
        <w:t>for</w:t>
      </w:r>
      <w:r w:rsidR="008243CA">
        <w:t xml:space="preserve"> </w:t>
      </w:r>
      <w:r w:rsidRPr="00E62FE6">
        <w:t>parents</w:t>
      </w:r>
      <w:r w:rsidR="008243CA">
        <w:t xml:space="preserve"> </w:t>
      </w:r>
      <w:r w:rsidRPr="00E62FE6">
        <w:t>deprived</w:t>
      </w:r>
      <w:r w:rsidR="008243CA">
        <w:t xml:space="preserve"> </w:t>
      </w:r>
      <w:r w:rsidRPr="00E62FE6">
        <w:t>of</w:t>
      </w:r>
      <w:r w:rsidR="008243CA">
        <w:t xml:space="preserve"> </w:t>
      </w:r>
      <w:r w:rsidRPr="00E62FE6">
        <w:t>their</w:t>
      </w:r>
      <w:r w:rsidR="008243CA">
        <w:t xml:space="preserve"> </w:t>
      </w:r>
      <w:r w:rsidRPr="00E62FE6">
        <w:t>liberty</w:t>
      </w:r>
      <w:r w:rsidR="008243CA">
        <w:t xml:space="preserve"> </w:t>
      </w:r>
      <w:r w:rsidRPr="00E62FE6">
        <w:t>in</w:t>
      </w:r>
      <w:r w:rsidR="008243CA">
        <w:t xml:space="preserve"> </w:t>
      </w:r>
      <w:r w:rsidRPr="00E62FE6">
        <w:t>relation</w:t>
      </w:r>
      <w:r w:rsidR="008243CA">
        <w:t xml:space="preserve"> </w:t>
      </w:r>
      <w:r w:rsidRPr="00E62FE6">
        <w:t>to</w:t>
      </w:r>
      <w:r w:rsidR="008243CA">
        <w:t xml:space="preserve"> </w:t>
      </w:r>
      <w:r w:rsidRPr="00E62FE6">
        <w:t>their</w:t>
      </w:r>
      <w:r w:rsidR="008243CA">
        <w:t xml:space="preserve"> </w:t>
      </w:r>
      <w:r w:rsidRPr="00E62FE6">
        <w:t>children,</w:t>
      </w:r>
      <w:r w:rsidR="008243CA">
        <w:t xml:space="preserve"> </w:t>
      </w:r>
      <w:r w:rsidRPr="00E62FE6">
        <w:t>as</w:t>
      </w:r>
      <w:r w:rsidR="008243CA">
        <w:t xml:space="preserve"> </w:t>
      </w:r>
      <w:r w:rsidRPr="00E62FE6">
        <w:t>well</w:t>
      </w:r>
      <w:r w:rsidR="008243CA">
        <w:t xml:space="preserve"> </w:t>
      </w:r>
      <w:r w:rsidRPr="00E62FE6">
        <w:t>as</w:t>
      </w:r>
      <w:r w:rsidR="008243CA">
        <w:t xml:space="preserve"> </w:t>
      </w:r>
      <w:r w:rsidRPr="00E62FE6">
        <w:t>encouraging</w:t>
      </w:r>
      <w:r w:rsidR="008243CA">
        <w:t xml:space="preserve"> </w:t>
      </w:r>
      <w:r w:rsidRPr="00E62FE6">
        <w:t>learning</w:t>
      </w:r>
      <w:r w:rsidR="008243CA">
        <w:t xml:space="preserve"> </w:t>
      </w:r>
      <w:r w:rsidRPr="00E62FE6">
        <w:t>and</w:t>
      </w:r>
      <w:r w:rsidR="008243CA">
        <w:t xml:space="preserve"> </w:t>
      </w:r>
      <w:r w:rsidRPr="00E62FE6">
        <w:t>development</w:t>
      </w:r>
      <w:r w:rsidR="008243CA">
        <w:t xml:space="preserve"> </w:t>
      </w:r>
      <w:r w:rsidRPr="00E62FE6">
        <w:t>of</w:t>
      </w:r>
      <w:r w:rsidR="008243CA">
        <w:t xml:space="preserve"> </w:t>
      </w:r>
      <w:r w:rsidRPr="00E62FE6">
        <w:t>children</w:t>
      </w:r>
      <w:r w:rsidR="008243CA">
        <w:t xml:space="preserve"> </w:t>
      </w:r>
      <w:r w:rsidRPr="00E62FE6">
        <w:t>participating</w:t>
      </w:r>
      <w:r w:rsidR="008243CA">
        <w:t xml:space="preserve"> </w:t>
      </w:r>
      <w:r w:rsidRPr="00E62FE6">
        <w:t>in</w:t>
      </w:r>
      <w:r w:rsidR="008243CA">
        <w:t xml:space="preserve"> </w:t>
      </w:r>
      <w:r w:rsidRPr="00E62FE6">
        <w:t>the</w:t>
      </w:r>
      <w:r w:rsidR="008243CA">
        <w:t xml:space="preserve"> </w:t>
      </w:r>
      <w:r w:rsidRPr="00E62FE6">
        <w:t>programme.</w:t>
      </w:r>
      <w:r w:rsidR="008243CA">
        <w:t xml:space="preserve"> </w:t>
      </w:r>
      <w:r w:rsidRPr="00E62FE6">
        <w:t>The</w:t>
      </w:r>
      <w:r w:rsidR="008243CA">
        <w:t xml:space="preserve"> </w:t>
      </w:r>
      <w:r w:rsidRPr="00E62FE6">
        <w:t>ultimate</w:t>
      </w:r>
      <w:r w:rsidR="008243CA">
        <w:t xml:space="preserve"> </w:t>
      </w:r>
      <w:r w:rsidRPr="00E62FE6">
        <w:t>goal</w:t>
      </w:r>
      <w:r w:rsidR="008243CA">
        <w:t xml:space="preserve"> </w:t>
      </w:r>
      <w:r w:rsidRPr="00E62FE6">
        <w:t>is</w:t>
      </w:r>
      <w:r w:rsidR="008243CA">
        <w:t xml:space="preserve"> </w:t>
      </w:r>
      <w:r w:rsidRPr="00E62FE6">
        <w:t>to</w:t>
      </w:r>
      <w:r w:rsidR="008243CA">
        <w:t xml:space="preserve"> </w:t>
      </w:r>
      <w:r w:rsidRPr="00E62FE6">
        <w:t>generate</w:t>
      </w:r>
      <w:r w:rsidR="008243CA">
        <w:t xml:space="preserve"> </w:t>
      </w:r>
      <w:r w:rsidRPr="00E62FE6">
        <w:t>better</w:t>
      </w:r>
      <w:r w:rsidR="008243CA">
        <w:t xml:space="preserve"> </w:t>
      </w:r>
      <w:r w:rsidRPr="00E62FE6">
        <w:t>opportunities</w:t>
      </w:r>
      <w:r w:rsidR="008243CA">
        <w:t xml:space="preserve"> </w:t>
      </w:r>
      <w:r w:rsidRPr="00E62FE6">
        <w:t>for</w:t>
      </w:r>
      <w:r w:rsidR="008243CA">
        <w:t xml:space="preserve"> </w:t>
      </w:r>
      <w:r w:rsidRPr="00E62FE6">
        <w:t>the</w:t>
      </w:r>
      <w:r w:rsidR="008243CA">
        <w:t xml:space="preserve"> </w:t>
      </w:r>
      <w:r w:rsidRPr="00E62FE6">
        <w:t>comprehensive</w:t>
      </w:r>
      <w:r w:rsidR="008243CA">
        <w:t xml:space="preserve"> </w:t>
      </w:r>
      <w:r w:rsidRPr="00E62FE6">
        <w:t>development</w:t>
      </w:r>
      <w:r w:rsidR="008243CA">
        <w:t xml:space="preserve"> </w:t>
      </w:r>
      <w:r w:rsidRPr="00E62FE6">
        <w:t>of</w:t>
      </w:r>
      <w:r w:rsidR="008243CA">
        <w:t xml:space="preserve"> </w:t>
      </w:r>
      <w:r w:rsidRPr="00E62FE6">
        <w:t>these</w:t>
      </w:r>
      <w:r w:rsidR="008243CA">
        <w:t xml:space="preserve"> </w:t>
      </w:r>
      <w:r w:rsidRPr="00E62FE6">
        <w:t>children,</w:t>
      </w:r>
      <w:r w:rsidR="008243CA">
        <w:t xml:space="preserve"> </w:t>
      </w:r>
      <w:r w:rsidRPr="00E62FE6">
        <w:t>and</w:t>
      </w:r>
      <w:r w:rsidR="008243CA">
        <w:t xml:space="preserve"> </w:t>
      </w:r>
      <w:r w:rsidRPr="00E62FE6">
        <w:t>to</w:t>
      </w:r>
      <w:r w:rsidR="008243CA">
        <w:t xml:space="preserve"> </w:t>
      </w:r>
      <w:r w:rsidRPr="00E62FE6">
        <w:t>strengthen</w:t>
      </w:r>
      <w:r w:rsidR="008243CA">
        <w:t xml:space="preserve"> </w:t>
      </w:r>
      <w:r w:rsidRPr="00E62FE6">
        <w:t>the</w:t>
      </w:r>
      <w:r w:rsidR="008243CA">
        <w:t xml:space="preserve"> </w:t>
      </w:r>
      <w:r w:rsidRPr="00E62FE6">
        <w:t>emotional</w:t>
      </w:r>
      <w:r w:rsidR="008243CA">
        <w:t xml:space="preserve"> </w:t>
      </w:r>
      <w:r w:rsidRPr="00E62FE6">
        <w:t>bonds</w:t>
      </w:r>
      <w:r w:rsidR="008243CA">
        <w:t xml:space="preserve"> </w:t>
      </w:r>
      <w:r w:rsidRPr="00E62FE6">
        <w:t>between</w:t>
      </w:r>
      <w:r w:rsidR="008243CA">
        <w:t xml:space="preserve"> </w:t>
      </w:r>
      <w:r w:rsidRPr="00E62FE6">
        <w:t>parents</w:t>
      </w:r>
      <w:r w:rsidR="008243CA">
        <w:t xml:space="preserve"> </w:t>
      </w:r>
      <w:r w:rsidRPr="00E62FE6">
        <w:t>deprived</w:t>
      </w:r>
      <w:r w:rsidR="008243CA">
        <w:t xml:space="preserve"> </w:t>
      </w:r>
      <w:r w:rsidRPr="00E62FE6">
        <w:t>of</w:t>
      </w:r>
      <w:r w:rsidR="008243CA">
        <w:t xml:space="preserve"> </w:t>
      </w:r>
      <w:r w:rsidRPr="00E62FE6">
        <w:t>their</w:t>
      </w:r>
      <w:r w:rsidR="008243CA">
        <w:t xml:space="preserve"> </w:t>
      </w:r>
      <w:r w:rsidRPr="00E62FE6">
        <w:t>liberty</w:t>
      </w:r>
      <w:r w:rsidR="008243CA">
        <w:t xml:space="preserve"> </w:t>
      </w:r>
      <w:r w:rsidRPr="00E62FE6">
        <w:t>and</w:t>
      </w:r>
      <w:r w:rsidR="008243CA">
        <w:t xml:space="preserve"> </w:t>
      </w:r>
      <w:r w:rsidRPr="00E62FE6">
        <w:t>their</w:t>
      </w:r>
      <w:r w:rsidR="008243CA">
        <w:t xml:space="preserve"> </w:t>
      </w:r>
      <w:r w:rsidRPr="00E62FE6">
        <w:t>families.</w:t>
      </w:r>
    </w:p>
    <w:p w:rsidR="003F7D03" w:rsidRPr="00D5490A" w:rsidRDefault="003F7D03" w:rsidP="000C6D98">
      <w:pPr>
        <w:pStyle w:val="SingleTxtG"/>
        <w:rPr>
          <w:i/>
          <w:iCs/>
        </w:rPr>
      </w:pPr>
      <w:r w:rsidRPr="00E62FE6">
        <w:t>137.</w:t>
      </w:r>
      <w:r w:rsidRPr="00E62FE6">
        <w:tab/>
        <w:t>Paragraph</w:t>
      </w:r>
      <w:r w:rsidR="008243CA">
        <w:t xml:space="preserve"> </w:t>
      </w:r>
      <w:r w:rsidRPr="00E62FE6">
        <w:t>91:</w:t>
      </w:r>
      <w:r w:rsidR="008243CA">
        <w:t xml:space="preserve"> </w:t>
      </w:r>
      <w:r w:rsidRPr="00D5490A">
        <w:rPr>
          <w:i/>
          <w:iCs/>
        </w:rPr>
        <w:t>The</w:t>
      </w:r>
      <w:r w:rsidR="008243CA" w:rsidRPr="00D5490A">
        <w:rPr>
          <w:i/>
          <w:iCs/>
        </w:rPr>
        <w:t xml:space="preserve"> </w:t>
      </w:r>
      <w:r w:rsidRPr="00D5490A">
        <w:rPr>
          <w:i/>
          <w:iCs/>
        </w:rPr>
        <w:t>Subcommittee</w:t>
      </w:r>
      <w:r w:rsidR="008243CA" w:rsidRPr="00D5490A">
        <w:rPr>
          <w:i/>
          <w:iCs/>
        </w:rPr>
        <w:t xml:space="preserve"> </w:t>
      </w:r>
      <w:r w:rsidRPr="00D5490A">
        <w:rPr>
          <w:i/>
          <w:iCs/>
        </w:rPr>
        <w:t>recommends</w:t>
      </w:r>
      <w:r w:rsidR="008243CA" w:rsidRPr="00D5490A">
        <w:rPr>
          <w:i/>
          <w:iCs/>
        </w:rPr>
        <w:t xml:space="preserve"> </w:t>
      </w:r>
      <w:r w:rsidRPr="00D5490A">
        <w:rPr>
          <w:i/>
          <w:iCs/>
        </w:rPr>
        <w:t>that,</w:t>
      </w:r>
      <w:r w:rsidR="008243CA" w:rsidRPr="00D5490A">
        <w:rPr>
          <w:i/>
          <w:iCs/>
        </w:rPr>
        <w:t xml:space="preserve"> </w:t>
      </w:r>
      <w:r w:rsidRPr="00D5490A">
        <w:rPr>
          <w:i/>
          <w:iCs/>
        </w:rPr>
        <w:t>in</w:t>
      </w:r>
      <w:r w:rsidR="008243CA" w:rsidRPr="00D5490A">
        <w:rPr>
          <w:i/>
          <w:iCs/>
        </w:rPr>
        <w:t xml:space="preserve"> </w:t>
      </w:r>
      <w:r w:rsidRPr="00D5490A">
        <w:rPr>
          <w:i/>
          <w:iCs/>
        </w:rPr>
        <w:t>line</w:t>
      </w:r>
      <w:r w:rsidR="008243CA" w:rsidRPr="00D5490A">
        <w:rPr>
          <w:i/>
          <w:iCs/>
        </w:rPr>
        <w:t xml:space="preserve"> </w:t>
      </w:r>
      <w:r w:rsidRPr="00D5490A">
        <w:rPr>
          <w:i/>
          <w:iCs/>
        </w:rPr>
        <w:t>with</w:t>
      </w:r>
      <w:r w:rsidR="008243CA" w:rsidRPr="00D5490A">
        <w:rPr>
          <w:i/>
          <w:iCs/>
        </w:rPr>
        <w:t xml:space="preserve"> </w:t>
      </w:r>
      <w:r w:rsidRPr="00D5490A">
        <w:rPr>
          <w:i/>
          <w:iCs/>
        </w:rPr>
        <w:t>rule</w:t>
      </w:r>
      <w:r w:rsidR="008243CA" w:rsidRPr="00D5490A">
        <w:rPr>
          <w:i/>
          <w:iCs/>
        </w:rPr>
        <w:t xml:space="preserve"> </w:t>
      </w:r>
      <w:r w:rsidRPr="00D5490A">
        <w:rPr>
          <w:i/>
          <w:iCs/>
        </w:rPr>
        <w:t>16</w:t>
      </w:r>
      <w:r w:rsidR="008243CA" w:rsidRPr="00D5490A">
        <w:rPr>
          <w:i/>
          <w:iCs/>
        </w:rPr>
        <w:t xml:space="preserve"> </w:t>
      </w:r>
      <w:r w:rsidRPr="00D5490A">
        <w:rPr>
          <w:i/>
          <w:iCs/>
        </w:rPr>
        <w:t>of</w:t>
      </w:r>
      <w:r w:rsidR="008243CA" w:rsidRPr="00D5490A">
        <w:rPr>
          <w:i/>
          <w:iCs/>
        </w:rPr>
        <w:t xml:space="preserve"> </w:t>
      </w:r>
      <w:r w:rsidRPr="00D5490A">
        <w:rPr>
          <w:i/>
          <w:iCs/>
        </w:rPr>
        <w:t>the</w:t>
      </w:r>
      <w:r w:rsidR="008243CA" w:rsidRPr="00D5490A">
        <w:rPr>
          <w:i/>
          <w:iCs/>
        </w:rPr>
        <w:t xml:space="preserve"> </w:t>
      </w:r>
      <w:r w:rsidRPr="00D5490A">
        <w:rPr>
          <w:i/>
          <w:iCs/>
        </w:rPr>
        <w:t>Bangkok</w:t>
      </w:r>
      <w:r w:rsidR="008243CA" w:rsidRPr="00D5490A">
        <w:rPr>
          <w:i/>
          <w:iCs/>
        </w:rPr>
        <w:t xml:space="preserve"> </w:t>
      </w:r>
      <w:r w:rsidRPr="00D5490A">
        <w:rPr>
          <w:i/>
          <w:iCs/>
        </w:rPr>
        <w:t>Rules,</w:t>
      </w:r>
      <w:r w:rsidR="008243CA" w:rsidRPr="00D5490A">
        <w:rPr>
          <w:i/>
          <w:iCs/>
        </w:rPr>
        <w:t xml:space="preserve"> </w:t>
      </w:r>
      <w:r w:rsidRPr="00D5490A">
        <w:rPr>
          <w:i/>
          <w:iCs/>
        </w:rPr>
        <w:t>the</w:t>
      </w:r>
      <w:r w:rsidR="008243CA" w:rsidRPr="00D5490A">
        <w:rPr>
          <w:i/>
          <w:iCs/>
        </w:rPr>
        <w:t xml:space="preserve"> </w:t>
      </w:r>
      <w:r w:rsidRPr="00D5490A">
        <w:rPr>
          <w:i/>
          <w:iCs/>
        </w:rPr>
        <w:t>authorities,</w:t>
      </w:r>
      <w:r w:rsidR="008243CA" w:rsidRPr="00D5490A">
        <w:rPr>
          <w:i/>
          <w:iCs/>
        </w:rPr>
        <w:t xml:space="preserve"> </w:t>
      </w:r>
      <w:r w:rsidRPr="00D5490A">
        <w:rPr>
          <w:i/>
          <w:iCs/>
        </w:rPr>
        <w:t>in</w:t>
      </w:r>
      <w:r w:rsidR="008243CA" w:rsidRPr="00D5490A">
        <w:rPr>
          <w:i/>
          <w:iCs/>
        </w:rPr>
        <w:t xml:space="preserve"> </w:t>
      </w:r>
      <w:r w:rsidRPr="00D5490A">
        <w:rPr>
          <w:i/>
          <w:iCs/>
        </w:rPr>
        <w:t>consultation</w:t>
      </w:r>
      <w:r w:rsidR="008243CA" w:rsidRPr="00D5490A">
        <w:rPr>
          <w:i/>
          <w:iCs/>
        </w:rPr>
        <w:t xml:space="preserve"> </w:t>
      </w:r>
      <w:r w:rsidRPr="00D5490A">
        <w:rPr>
          <w:i/>
          <w:iCs/>
        </w:rPr>
        <w:t>with</w:t>
      </w:r>
      <w:r w:rsidR="008243CA" w:rsidRPr="00D5490A">
        <w:rPr>
          <w:i/>
          <w:iCs/>
        </w:rPr>
        <w:t xml:space="preserve"> </w:t>
      </w:r>
      <w:r w:rsidRPr="00D5490A">
        <w:rPr>
          <w:i/>
          <w:iCs/>
        </w:rPr>
        <w:t>the</w:t>
      </w:r>
      <w:r w:rsidR="008243CA" w:rsidRPr="00D5490A">
        <w:rPr>
          <w:i/>
          <w:iCs/>
        </w:rPr>
        <w:t xml:space="preserve"> </w:t>
      </w:r>
      <w:r w:rsidRPr="00D5490A">
        <w:rPr>
          <w:i/>
          <w:iCs/>
        </w:rPr>
        <w:t>mental</w:t>
      </w:r>
      <w:r w:rsidR="008243CA" w:rsidRPr="00D5490A">
        <w:rPr>
          <w:i/>
          <w:iCs/>
        </w:rPr>
        <w:t xml:space="preserve"> </w:t>
      </w:r>
      <w:r w:rsidRPr="00D5490A">
        <w:rPr>
          <w:i/>
          <w:iCs/>
        </w:rPr>
        <w:t>health</w:t>
      </w:r>
      <w:r w:rsidR="008243CA" w:rsidRPr="00D5490A">
        <w:rPr>
          <w:i/>
          <w:iCs/>
        </w:rPr>
        <w:t xml:space="preserve"> </w:t>
      </w:r>
      <w:r w:rsidRPr="00D5490A">
        <w:rPr>
          <w:i/>
          <w:iCs/>
        </w:rPr>
        <w:t>and</w:t>
      </w:r>
      <w:r w:rsidR="008243CA" w:rsidRPr="00D5490A">
        <w:rPr>
          <w:i/>
          <w:iCs/>
        </w:rPr>
        <w:t xml:space="preserve"> </w:t>
      </w:r>
      <w:r w:rsidRPr="00D5490A">
        <w:rPr>
          <w:i/>
          <w:iCs/>
        </w:rPr>
        <w:t>social</w:t>
      </w:r>
      <w:r w:rsidR="008243CA" w:rsidRPr="00D5490A">
        <w:rPr>
          <w:i/>
          <w:iCs/>
        </w:rPr>
        <w:t xml:space="preserve"> </w:t>
      </w:r>
      <w:r w:rsidRPr="00D5490A">
        <w:rPr>
          <w:i/>
          <w:iCs/>
        </w:rPr>
        <w:t>welfare</w:t>
      </w:r>
      <w:r w:rsidR="008243CA" w:rsidRPr="00D5490A">
        <w:rPr>
          <w:i/>
          <w:iCs/>
        </w:rPr>
        <w:t xml:space="preserve"> </w:t>
      </w:r>
      <w:r w:rsidRPr="00D5490A">
        <w:rPr>
          <w:i/>
          <w:iCs/>
        </w:rPr>
        <w:t>services,</w:t>
      </w:r>
      <w:r w:rsidR="008243CA" w:rsidRPr="00D5490A">
        <w:rPr>
          <w:i/>
          <w:iCs/>
        </w:rPr>
        <w:t xml:space="preserve"> </w:t>
      </w:r>
      <w:r w:rsidRPr="00D5490A">
        <w:rPr>
          <w:i/>
          <w:iCs/>
        </w:rPr>
        <w:t>develop</w:t>
      </w:r>
      <w:r w:rsidR="008243CA" w:rsidRPr="00D5490A">
        <w:rPr>
          <w:i/>
          <w:iCs/>
        </w:rPr>
        <w:t xml:space="preserve"> </w:t>
      </w:r>
      <w:r w:rsidRPr="00D5490A">
        <w:rPr>
          <w:i/>
          <w:iCs/>
        </w:rPr>
        <w:t>and</w:t>
      </w:r>
      <w:r w:rsidR="008243CA" w:rsidRPr="00D5490A">
        <w:rPr>
          <w:i/>
          <w:iCs/>
        </w:rPr>
        <w:t xml:space="preserve"> </w:t>
      </w:r>
      <w:r w:rsidRPr="00D5490A">
        <w:rPr>
          <w:i/>
          <w:iCs/>
        </w:rPr>
        <w:t>implement</w:t>
      </w:r>
      <w:r w:rsidR="008243CA" w:rsidRPr="00D5490A">
        <w:rPr>
          <w:i/>
          <w:iCs/>
        </w:rPr>
        <w:t xml:space="preserve"> </w:t>
      </w:r>
      <w:r w:rsidRPr="00D5490A">
        <w:rPr>
          <w:i/>
          <w:iCs/>
        </w:rPr>
        <w:t>strategies</w:t>
      </w:r>
      <w:r w:rsidR="008243CA" w:rsidRPr="00D5490A">
        <w:rPr>
          <w:i/>
          <w:iCs/>
        </w:rPr>
        <w:t xml:space="preserve"> </w:t>
      </w:r>
      <w:r w:rsidRPr="00D5490A">
        <w:rPr>
          <w:i/>
          <w:iCs/>
        </w:rPr>
        <w:t>to</w:t>
      </w:r>
      <w:r w:rsidR="008243CA" w:rsidRPr="00D5490A">
        <w:rPr>
          <w:i/>
          <w:iCs/>
        </w:rPr>
        <w:t xml:space="preserve"> </w:t>
      </w:r>
      <w:r w:rsidRPr="00D5490A">
        <w:rPr>
          <w:i/>
          <w:iCs/>
        </w:rPr>
        <w:t>prevent</w:t>
      </w:r>
      <w:r w:rsidR="008243CA" w:rsidRPr="00D5490A">
        <w:rPr>
          <w:i/>
          <w:iCs/>
        </w:rPr>
        <w:t xml:space="preserve"> </w:t>
      </w:r>
      <w:r w:rsidRPr="00D5490A">
        <w:rPr>
          <w:i/>
          <w:iCs/>
        </w:rPr>
        <w:t>suicide</w:t>
      </w:r>
      <w:r w:rsidR="008243CA" w:rsidRPr="00D5490A">
        <w:rPr>
          <w:i/>
          <w:iCs/>
        </w:rPr>
        <w:t xml:space="preserve"> </w:t>
      </w:r>
      <w:r w:rsidRPr="00D5490A">
        <w:rPr>
          <w:i/>
          <w:iCs/>
        </w:rPr>
        <w:t>and</w:t>
      </w:r>
      <w:r w:rsidR="008243CA" w:rsidRPr="00D5490A">
        <w:rPr>
          <w:i/>
          <w:iCs/>
        </w:rPr>
        <w:t xml:space="preserve"> </w:t>
      </w:r>
      <w:r w:rsidRPr="00D5490A">
        <w:rPr>
          <w:i/>
          <w:iCs/>
        </w:rPr>
        <w:t>self-harm</w:t>
      </w:r>
      <w:r w:rsidR="008243CA" w:rsidRPr="00D5490A">
        <w:rPr>
          <w:i/>
          <w:iCs/>
        </w:rPr>
        <w:t xml:space="preserve"> </w:t>
      </w:r>
      <w:r w:rsidRPr="00D5490A">
        <w:rPr>
          <w:i/>
          <w:iCs/>
        </w:rPr>
        <w:t>among</w:t>
      </w:r>
      <w:r w:rsidR="008243CA" w:rsidRPr="00D5490A">
        <w:rPr>
          <w:i/>
          <w:iCs/>
        </w:rPr>
        <w:t xml:space="preserve"> </w:t>
      </w:r>
      <w:r w:rsidRPr="00D5490A">
        <w:rPr>
          <w:i/>
          <w:iCs/>
        </w:rPr>
        <w:t>women</w:t>
      </w:r>
      <w:r w:rsidR="008243CA" w:rsidRPr="00D5490A">
        <w:rPr>
          <w:i/>
          <w:iCs/>
        </w:rPr>
        <w:t xml:space="preserve"> </w:t>
      </w:r>
      <w:r w:rsidRPr="00D5490A">
        <w:rPr>
          <w:i/>
          <w:iCs/>
        </w:rPr>
        <w:t>prisoners.</w:t>
      </w:r>
      <w:r w:rsidR="008243CA" w:rsidRPr="00D5490A">
        <w:rPr>
          <w:i/>
          <w:iCs/>
        </w:rPr>
        <w:t xml:space="preserve"> </w:t>
      </w:r>
    </w:p>
    <w:p w:rsidR="003F7D03" w:rsidRPr="00E62FE6" w:rsidRDefault="003F7D03" w:rsidP="000C6D98">
      <w:pPr>
        <w:pStyle w:val="SingleTxtG"/>
      </w:pPr>
      <w:r w:rsidRPr="00E62FE6">
        <w:t>138.</w:t>
      </w:r>
      <w:r w:rsidRPr="00E62FE6">
        <w:tab/>
        <w:t>In</w:t>
      </w:r>
      <w:r w:rsidR="008243CA">
        <w:t xml:space="preserve"> </w:t>
      </w:r>
      <w:r w:rsidRPr="00E62FE6">
        <w:t>this</w:t>
      </w:r>
      <w:r w:rsidR="008243CA">
        <w:t xml:space="preserve"> </w:t>
      </w:r>
      <w:r w:rsidRPr="00E62FE6">
        <w:t>regard,</w:t>
      </w:r>
      <w:r w:rsidR="008243CA">
        <w:t xml:space="preserve"> </w:t>
      </w:r>
      <w:r w:rsidRPr="00E62FE6">
        <w:t>the</w:t>
      </w:r>
      <w:r w:rsidR="008243CA">
        <w:t xml:space="preserve"> </w:t>
      </w:r>
      <w:r w:rsidRPr="00E62FE6">
        <w:t>Prison</w:t>
      </w:r>
      <w:r w:rsidR="008243CA">
        <w:t xml:space="preserve"> </w:t>
      </w:r>
      <w:r w:rsidRPr="00E62FE6">
        <w:t>Service</w:t>
      </w:r>
      <w:r w:rsidR="008243CA">
        <w:t xml:space="preserve"> </w:t>
      </w:r>
      <w:r w:rsidRPr="00E62FE6">
        <w:t>updated</w:t>
      </w:r>
      <w:r w:rsidR="008243CA">
        <w:t xml:space="preserve"> </w:t>
      </w:r>
      <w:r w:rsidRPr="00E62FE6">
        <w:t>its</w:t>
      </w:r>
      <w:r w:rsidR="008243CA">
        <w:t xml:space="preserve"> </w:t>
      </w:r>
      <w:r w:rsidRPr="00E62FE6">
        <w:t>general</w:t>
      </w:r>
      <w:r w:rsidR="008243CA">
        <w:t xml:space="preserve"> </w:t>
      </w:r>
      <w:r w:rsidRPr="00E62FE6">
        <w:t>operational</w:t>
      </w:r>
      <w:r w:rsidR="008243CA">
        <w:t xml:space="preserve"> </w:t>
      </w:r>
      <w:r w:rsidRPr="00E62FE6">
        <w:t>guidelines</w:t>
      </w:r>
      <w:r w:rsidR="008243CA">
        <w:t xml:space="preserve"> </w:t>
      </w:r>
      <w:r w:rsidRPr="00E62FE6">
        <w:t>for</w:t>
      </w:r>
      <w:r w:rsidR="008243CA">
        <w:t xml:space="preserve"> </w:t>
      </w:r>
      <w:r w:rsidRPr="00E62FE6">
        <w:t>the</w:t>
      </w:r>
      <w:r w:rsidR="008243CA">
        <w:t xml:space="preserve"> </w:t>
      </w:r>
      <w:r w:rsidRPr="00E62FE6">
        <w:t>prevention</w:t>
      </w:r>
      <w:r w:rsidR="008243CA">
        <w:t xml:space="preserve"> </w:t>
      </w:r>
      <w:r w:rsidRPr="00E62FE6">
        <w:t>of</w:t>
      </w:r>
      <w:r w:rsidR="008243CA">
        <w:t xml:space="preserve"> </w:t>
      </w:r>
      <w:r w:rsidRPr="00E62FE6">
        <w:t>suicide</w:t>
      </w:r>
      <w:r w:rsidR="008243CA">
        <w:t xml:space="preserve"> </w:t>
      </w:r>
      <w:r w:rsidRPr="00E62FE6">
        <w:t>among</w:t>
      </w:r>
      <w:r w:rsidR="008243CA">
        <w:t xml:space="preserve"> </w:t>
      </w:r>
      <w:r w:rsidRPr="00E62FE6">
        <w:t>inmates</w:t>
      </w:r>
      <w:r w:rsidR="008243CA">
        <w:t xml:space="preserve"> </w:t>
      </w:r>
      <w:r w:rsidRPr="00E62FE6">
        <w:t>of</w:t>
      </w:r>
      <w:r w:rsidR="008243CA">
        <w:t xml:space="preserve"> </w:t>
      </w:r>
      <w:r w:rsidRPr="00E62FE6">
        <w:t>both</w:t>
      </w:r>
      <w:r w:rsidR="008243CA">
        <w:t xml:space="preserve"> </w:t>
      </w:r>
      <w:r w:rsidRPr="00E62FE6">
        <w:t>sexes,</w:t>
      </w:r>
      <w:r w:rsidR="008243CA">
        <w:t xml:space="preserve"> </w:t>
      </w:r>
      <w:r w:rsidRPr="00E62FE6">
        <w:t>for</w:t>
      </w:r>
      <w:r w:rsidR="008243CA">
        <w:t xml:space="preserve"> </w:t>
      </w:r>
      <w:r w:rsidRPr="00E62FE6">
        <w:t>the</w:t>
      </w:r>
      <w:r w:rsidR="008243CA">
        <w:t xml:space="preserve"> </w:t>
      </w:r>
      <w:r w:rsidRPr="00E62FE6">
        <w:t>whole</w:t>
      </w:r>
      <w:r w:rsidR="008243CA">
        <w:t xml:space="preserve"> </w:t>
      </w:r>
      <w:r w:rsidRPr="00E62FE6">
        <w:t>prison</w:t>
      </w:r>
      <w:r w:rsidR="008243CA">
        <w:t xml:space="preserve"> </w:t>
      </w:r>
      <w:r w:rsidRPr="00E62FE6">
        <w:t>population,</w:t>
      </w:r>
      <w:r w:rsidR="008243CA">
        <w:t xml:space="preserve"> </w:t>
      </w:r>
      <w:r w:rsidRPr="00E62FE6">
        <w:t>which</w:t>
      </w:r>
      <w:r w:rsidR="008243CA">
        <w:t xml:space="preserve"> </w:t>
      </w:r>
      <w:r w:rsidRPr="00E62FE6">
        <w:t>include</w:t>
      </w:r>
      <w:r w:rsidR="008243CA">
        <w:t xml:space="preserve"> </w:t>
      </w:r>
      <w:r w:rsidRPr="00E62FE6">
        <w:t>the</w:t>
      </w:r>
      <w:r w:rsidR="008243CA">
        <w:t xml:space="preserve"> </w:t>
      </w:r>
      <w:r w:rsidRPr="00E62FE6">
        <w:t>following</w:t>
      </w:r>
      <w:r w:rsidR="008243CA">
        <w:t xml:space="preserve"> </w:t>
      </w:r>
      <w:r w:rsidRPr="00E62FE6">
        <w:t>measures:</w:t>
      </w:r>
    </w:p>
    <w:p w:rsidR="003F7D03" w:rsidRPr="00E62FE6" w:rsidRDefault="003F7D03" w:rsidP="000C6D98">
      <w:pPr>
        <w:pStyle w:val="SingleTxtG"/>
      </w:pPr>
      <w:r w:rsidRPr="00E62FE6">
        <w:tab/>
        <w:t>I.</w:t>
      </w:r>
      <w:r w:rsidRPr="00E62FE6">
        <w:tab/>
        <w:t>Evaluation</w:t>
      </w:r>
      <w:r w:rsidR="008243CA">
        <w:t xml:space="preserve"> </w:t>
      </w:r>
      <w:r w:rsidRPr="00E62FE6">
        <w:t>actions:</w:t>
      </w:r>
    </w:p>
    <w:p w:rsidR="003F7D03" w:rsidRPr="00E62FE6" w:rsidRDefault="003F7D03" w:rsidP="000C6D98">
      <w:pPr>
        <w:pStyle w:val="SingleTxtG"/>
      </w:pPr>
      <w:r w:rsidRPr="00E62FE6">
        <w:tab/>
      </w:r>
      <w:r w:rsidRPr="00E62FE6">
        <w:tab/>
        <w:t>(a)</w:t>
      </w:r>
      <w:r w:rsidRPr="00E62FE6">
        <w:tab/>
        <w:t>Health</w:t>
      </w:r>
      <w:r w:rsidR="008243CA">
        <w:t xml:space="preserve"> </w:t>
      </w:r>
      <w:r w:rsidRPr="00E62FE6">
        <w:t>examination</w:t>
      </w:r>
      <w:r w:rsidR="008243CA">
        <w:t xml:space="preserve"> </w:t>
      </w:r>
      <w:r w:rsidRPr="00E62FE6">
        <w:t>upon</w:t>
      </w:r>
      <w:r w:rsidR="008243CA">
        <w:t xml:space="preserve"> </w:t>
      </w:r>
      <w:r w:rsidRPr="00E62FE6">
        <w:t>arrival</w:t>
      </w:r>
    </w:p>
    <w:p w:rsidR="003F7D03" w:rsidRPr="00E62FE6" w:rsidRDefault="003F7D03" w:rsidP="000C6D98">
      <w:pPr>
        <w:pStyle w:val="SingleTxtG"/>
      </w:pPr>
      <w:r w:rsidRPr="00E62FE6">
        <w:tab/>
      </w:r>
      <w:r w:rsidRPr="00E62FE6">
        <w:tab/>
        <w:t>(b)</w:t>
      </w:r>
      <w:r w:rsidRPr="00E62FE6">
        <w:tab/>
        <w:t>Continuous</w:t>
      </w:r>
      <w:r w:rsidR="008243CA">
        <w:t xml:space="preserve"> </w:t>
      </w:r>
      <w:r w:rsidRPr="00E62FE6">
        <w:t>monitoring</w:t>
      </w:r>
      <w:r w:rsidR="008243CA">
        <w:t xml:space="preserve"> </w:t>
      </w:r>
      <w:r w:rsidRPr="00E62FE6">
        <w:t>for</w:t>
      </w:r>
      <w:r w:rsidR="008243CA">
        <w:t xml:space="preserve"> </w:t>
      </w:r>
      <w:r w:rsidRPr="00E62FE6">
        <w:t>prevention</w:t>
      </w:r>
      <w:r w:rsidR="008243CA">
        <w:t xml:space="preserve"> </w:t>
      </w:r>
      <w:r w:rsidRPr="00E62FE6">
        <w:t>of</w:t>
      </w:r>
      <w:r w:rsidR="008243CA">
        <w:t xml:space="preserve"> </w:t>
      </w:r>
      <w:r w:rsidRPr="00E62FE6">
        <w:t>incidents</w:t>
      </w:r>
    </w:p>
    <w:p w:rsidR="003F7D03" w:rsidRPr="00E62FE6" w:rsidRDefault="003F7D03" w:rsidP="000C6D98">
      <w:pPr>
        <w:pStyle w:val="SingleTxtG"/>
      </w:pPr>
      <w:r w:rsidRPr="00E62FE6">
        <w:tab/>
      </w:r>
      <w:r w:rsidRPr="00E62FE6">
        <w:tab/>
        <w:t>(c)</w:t>
      </w:r>
      <w:r w:rsidRPr="00E62FE6">
        <w:tab/>
        <w:t>Suicide</w:t>
      </w:r>
      <w:r w:rsidR="008243CA">
        <w:t xml:space="preserve"> </w:t>
      </w:r>
      <w:r w:rsidRPr="00E62FE6">
        <w:t>risk</w:t>
      </w:r>
      <w:r w:rsidR="008243CA">
        <w:t xml:space="preserve"> </w:t>
      </w:r>
      <w:r w:rsidRPr="00E62FE6">
        <w:t>assessment</w:t>
      </w:r>
    </w:p>
    <w:p w:rsidR="003F7D03" w:rsidRPr="00E62FE6" w:rsidRDefault="003F7D03" w:rsidP="000C6D98">
      <w:pPr>
        <w:pStyle w:val="SingleTxtG"/>
      </w:pPr>
      <w:r w:rsidRPr="00E62FE6">
        <w:tab/>
      </w:r>
      <w:r w:rsidRPr="00E62FE6">
        <w:tab/>
        <w:t>(d)</w:t>
      </w:r>
      <w:r w:rsidRPr="00E62FE6">
        <w:tab/>
        <w:t>Referral</w:t>
      </w:r>
      <w:r w:rsidR="008243CA">
        <w:t xml:space="preserve"> </w:t>
      </w:r>
      <w:r w:rsidRPr="00E62FE6">
        <w:t>to</w:t>
      </w:r>
      <w:r w:rsidR="008243CA">
        <w:t xml:space="preserve"> </w:t>
      </w:r>
      <w:r w:rsidRPr="00E62FE6">
        <w:t>professional</w:t>
      </w:r>
      <w:r w:rsidR="008243CA">
        <w:t xml:space="preserve"> </w:t>
      </w:r>
      <w:r w:rsidRPr="00E62FE6">
        <w:t>care</w:t>
      </w:r>
    </w:p>
    <w:p w:rsidR="003F7D03" w:rsidRPr="00E62FE6" w:rsidRDefault="00D5490A" w:rsidP="000C6D98">
      <w:pPr>
        <w:pStyle w:val="SingleTxtG"/>
      </w:pPr>
      <w:r>
        <w:tab/>
      </w:r>
      <w:r w:rsidR="003F7D03" w:rsidRPr="00E62FE6">
        <w:t>II.</w:t>
      </w:r>
      <w:r w:rsidR="003F7D03" w:rsidRPr="00E62FE6">
        <w:tab/>
        <w:t>Technical</w:t>
      </w:r>
      <w:r w:rsidR="008243CA">
        <w:t xml:space="preserve"> </w:t>
      </w:r>
      <w:r w:rsidR="003F7D03" w:rsidRPr="00E62FE6">
        <w:t>and</w:t>
      </w:r>
      <w:r w:rsidR="008243CA">
        <w:t xml:space="preserve"> </w:t>
      </w:r>
      <w:r w:rsidR="003F7D03" w:rsidRPr="00E62FE6">
        <w:t>operational</w:t>
      </w:r>
      <w:r w:rsidR="008243CA">
        <w:t xml:space="preserve"> </w:t>
      </w:r>
      <w:r w:rsidR="003F7D03" w:rsidRPr="00E62FE6">
        <w:t>coordination:</w:t>
      </w:r>
    </w:p>
    <w:p w:rsidR="003F7D03" w:rsidRPr="00E62FE6" w:rsidRDefault="003F7D03" w:rsidP="000C6D98">
      <w:pPr>
        <w:pStyle w:val="SingleTxtG"/>
      </w:pPr>
      <w:r w:rsidRPr="00E62FE6">
        <w:tab/>
      </w:r>
      <w:r w:rsidRPr="00E62FE6">
        <w:tab/>
        <w:t>(a)</w:t>
      </w:r>
      <w:r w:rsidRPr="00E62FE6">
        <w:tab/>
        <w:t>Training</w:t>
      </w:r>
      <w:r w:rsidR="008243CA">
        <w:t xml:space="preserve"> </w:t>
      </w:r>
      <w:r w:rsidRPr="00E62FE6">
        <w:t>on</w:t>
      </w:r>
      <w:r w:rsidR="008243CA">
        <w:t xml:space="preserve"> </w:t>
      </w:r>
      <w:r w:rsidRPr="00E62FE6">
        <w:t>the</w:t>
      </w:r>
      <w:r w:rsidR="008243CA">
        <w:t xml:space="preserve"> </w:t>
      </w:r>
      <w:r w:rsidRPr="00E62FE6">
        <w:t>warning</w:t>
      </w:r>
      <w:r w:rsidR="008243CA">
        <w:t xml:space="preserve"> </w:t>
      </w:r>
      <w:r w:rsidRPr="00E62FE6">
        <w:t>signs</w:t>
      </w:r>
      <w:r w:rsidR="008243CA">
        <w:t xml:space="preserve"> </w:t>
      </w:r>
      <w:r w:rsidRPr="00E62FE6">
        <w:t>of</w:t>
      </w:r>
      <w:r w:rsidR="008243CA">
        <w:t xml:space="preserve"> </w:t>
      </w:r>
      <w:r w:rsidR="00963D7E">
        <w:t>suicide</w:t>
      </w:r>
    </w:p>
    <w:p w:rsidR="003F7D03" w:rsidRPr="00E62FE6" w:rsidRDefault="003F7D03" w:rsidP="000C6D98">
      <w:pPr>
        <w:pStyle w:val="SingleTxtG"/>
      </w:pPr>
      <w:r w:rsidRPr="00E62FE6">
        <w:t>139.</w:t>
      </w:r>
      <w:r w:rsidRPr="00E62FE6">
        <w:tab/>
        <w:t>In</w:t>
      </w:r>
      <w:r w:rsidR="008243CA">
        <w:t xml:space="preserve"> </w:t>
      </w:r>
      <w:r w:rsidRPr="00E62FE6">
        <w:t>2016,</w:t>
      </w:r>
      <w:r w:rsidR="008243CA">
        <w:t xml:space="preserve"> </w:t>
      </w:r>
      <w:r w:rsidRPr="00E62FE6">
        <w:t>a</w:t>
      </w:r>
      <w:r w:rsidR="008243CA">
        <w:t xml:space="preserve"> </w:t>
      </w:r>
      <w:r w:rsidRPr="00E62FE6">
        <w:t>document</w:t>
      </w:r>
      <w:r w:rsidR="008243CA">
        <w:t xml:space="preserve"> </w:t>
      </w:r>
      <w:r w:rsidRPr="00E62FE6">
        <w:t>containing</w:t>
      </w:r>
      <w:r w:rsidR="008243CA">
        <w:t xml:space="preserve"> </w:t>
      </w:r>
      <w:r w:rsidRPr="00E62FE6">
        <w:t>operational</w:t>
      </w:r>
      <w:r w:rsidR="008243CA">
        <w:t xml:space="preserve"> </w:t>
      </w:r>
      <w:r w:rsidRPr="00E62FE6">
        <w:t>guidelines</w:t>
      </w:r>
      <w:r w:rsidR="008243CA">
        <w:t xml:space="preserve"> </w:t>
      </w:r>
      <w:r w:rsidRPr="00E62FE6">
        <w:t>to</w:t>
      </w:r>
      <w:r w:rsidR="008243CA">
        <w:t xml:space="preserve"> </w:t>
      </w:r>
      <w:r w:rsidRPr="00E62FE6">
        <w:t>prevent</w:t>
      </w:r>
      <w:r w:rsidR="008243CA">
        <w:t xml:space="preserve"> </w:t>
      </w:r>
      <w:r w:rsidRPr="00E62FE6">
        <w:t>suicide</w:t>
      </w:r>
      <w:r w:rsidR="008243CA">
        <w:t xml:space="preserve"> </w:t>
      </w:r>
      <w:r w:rsidRPr="00E62FE6">
        <w:t>among</w:t>
      </w:r>
      <w:r w:rsidR="008243CA">
        <w:t xml:space="preserve"> </w:t>
      </w:r>
      <w:r w:rsidRPr="00E62FE6">
        <w:t>persons</w:t>
      </w:r>
      <w:r w:rsidR="008243CA">
        <w:t xml:space="preserve"> </w:t>
      </w:r>
      <w:r w:rsidRPr="00E62FE6">
        <w:t>deprived</w:t>
      </w:r>
      <w:r w:rsidR="008243CA">
        <w:t xml:space="preserve"> </w:t>
      </w:r>
      <w:r w:rsidRPr="00E62FE6">
        <w:t>of</w:t>
      </w:r>
      <w:r w:rsidR="008243CA">
        <w:t xml:space="preserve"> </w:t>
      </w:r>
      <w:r w:rsidRPr="00E62FE6">
        <w:t>their</w:t>
      </w:r>
      <w:r w:rsidR="008243CA">
        <w:t xml:space="preserve"> </w:t>
      </w:r>
      <w:r w:rsidRPr="00E62FE6">
        <w:t>liberty</w:t>
      </w:r>
      <w:r w:rsidR="008243CA">
        <w:t xml:space="preserve"> </w:t>
      </w:r>
      <w:r w:rsidRPr="00E62FE6">
        <w:t>in</w:t>
      </w:r>
      <w:r w:rsidR="008243CA">
        <w:t xml:space="preserve"> </w:t>
      </w:r>
      <w:r w:rsidRPr="00E62FE6">
        <w:t>the</w:t>
      </w:r>
      <w:r w:rsidR="008243CA">
        <w:t xml:space="preserve"> </w:t>
      </w:r>
      <w:r w:rsidRPr="00E62FE6">
        <w:t>closed</w:t>
      </w:r>
      <w:r w:rsidR="00116F0B">
        <w:t xml:space="preserve"> </w:t>
      </w:r>
      <w:r w:rsidRPr="00E62FE6">
        <w:t>subsystem)</w:t>
      </w:r>
      <w:r w:rsidRPr="00116F0B">
        <w:rPr>
          <w:rStyle w:val="FootnoteReference"/>
        </w:rPr>
        <w:footnoteReference w:id="47"/>
      </w:r>
      <w:r w:rsidR="008243CA">
        <w:t xml:space="preserve"> </w:t>
      </w:r>
      <w:r w:rsidRPr="00E62FE6">
        <w:t>was</w:t>
      </w:r>
      <w:r w:rsidR="008243CA">
        <w:t xml:space="preserve"> </w:t>
      </w:r>
      <w:r w:rsidRPr="00E62FE6">
        <w:t>drafted;</w:t>
      </w:r>
      <w:r w:rsidR="008243CA">
        <w:t xml:space="preserve"> </w:t>
      </w:r>
      <w:r w:rsidRPr="00E62FE6">
        <w:t>this</w:t>
      </w:r>
      <w:r w:rsidR="008243CA">
        <w:t xml:space="preserve"> </w:t>
      </w:r>
      <w:r w:rsidRPr="00E62FE6">
        <w:t>document</w:t>
      </w:r>
      <w:r w:rsidR="008243CA">
        <w:t xml:space="preserve"> </w:t>
      </w:r>
      <w:r w:rsidRPr="00E62FE6">
        <w:t>includes</w:t>
      </w:r>
      <w:r w:rsidR="008243CA">
        <w:t xml:space="preserve"> </w:t>
      </w:r>
      <w:r w:rsidRPr="00E62FE6">
        <w:t>instructions</w:t>
      </w:r>
      <w:r w:rsidR="008243CA">
        <w:t xml:space="preserve"> </w:t>
      </w:r>
      <w:r w:rsidRPr="00E62FE6">
        <w:t>issued</w:t>
      </w:r>
      <w:r w:rsidR="008243CA">
        <w:t xml:space="preserve"> </w:t>
      </w:r>
      <w:r w:rsidRPr="00E62FE6">
        <w:t>in</w:t>
      </w:r>
      <w:r w:rsidR="008243CA">
        <w:t xml:space="preserve"> </w:t>
      </w:r>
      <w:r w:rsidRPr="00E62FE6">
        <w:t>previous</w:t>
      </w:r>
      <w:r w:rsidR="008243CA">
        <w:t xml:space="preserve"> </w:t>
      </w:r>
      <w:r w:rsidRPr="00E62FE6">
        <w:t>documents</w:t>
      </w:r>
      <w:r w:rsidR="008243CA">
        <w:t xml:space="preserve"> </w:t>
      </w:r>
      <w:r w:rsidRPr="00E62FE6">
        <w:t>and</w:t>
      </w:r>
      <w:r w:rsidR="008243CA">
        <w:t xml:space="preserve"> </w:t>
      </w:r>
      <w:r w:rsidRPr="00E62FE6">
        <w:t>draws</w:t>
      </w:r>
      <w:r w:rsidR="008243CA">
        <w:t xml:space="preserve"> </w:t>
      </w:r>
      <w:r w:rsidRPr="00E62FE6">
        <w:t>on</w:t>
      </w:r>
      <w:r w:rsidR="008243CA">
        <w:t xml:space="preserve"> </w:t>
      </w:r>
      <w:r w:rsidRPr="00E62FE6">
        <w:t>experiences</w:t>
      </w:r>
      <w:r w:rsidR="008243CA">
        <w:t xml:space="preserve"> </w:t>
      </w:r>
      <w:r w:rsidRPr="00E62FE6">
        <w:t>in</w:t>
      </w:r>
      <w:r w:rsidR="008243CA">
        <w:t xml:space="preserve"> </w:t>
      </w:r>
      <w:r w:rsidRPr="00E62FE6">
        <w:t>the</w:t>
      </w:r>
      <w:r w:rsidR="008243CA">
        <w:t xml:space="preserve"> </w:t>
      </w:r>
      <w:r w:rsidRPr="00E62FE6">
        <w:t>regions.</w:t>
      </w:r>
      <w:r w:rsidR="008243CA">
        <w:t xml:space="preserve"> </w:t>
      </w:r>
      <w:r w:rsidRPr="00E62FE6">
        <w:t>Moreover,</w:t>
      </w:r>
      <w:r w:rsidR="008243CA">
        <w:t xml:space="preserve"> </w:t>
      </w:r>
      <w:r w:rsidRPr="00E62FE6">
        <w:t>a</w:t>
      </w:r>
      <w:r w:rsidR="008243CA">
        <w:t xml:space="preserve"> </w:t>
      </w:r>
      <w:r w:rsidRPr="00E62FE6">
        <w:t>number</w:t>
      </w:r>
      <w:r w:rsidR="008243CA">
        <w:t xml:space="preserve"> </w:t>
      </w:r>
      <w:r w:rsidRPr="00E62FE6">
        <w:t>of</w:t>
      </w:r>
      <w:r w:rsidR="008243CA">
        <w:t xml:space="preserve"> </w:t>
      </w:r>
      <w:r w:rsidRPr="00E62FE6">
        <w:t>operational</w:t>
      </w:r>
      <w:r w:rsidR="008243CA">
        <w:t xml:space="preserve"> </w:t>
      </w:r>
      <w:r w:rsidRPr="00E62FE6">
        <w:t>measures</w:t>
      </w:r>
      <w:r w:rsidR="008243CA">
        <w:t xml:space="preserve"> </w:t>
      </w:r>
      <w:r w:rsidRPr="00E62FE6">
        <w:t>were</w:t>
      </w:r>
      <w:r w:rsidR="008243CA">
        <w:t xml:space="preserve"> </w:t>
      </w:r>
      <w:r w:rsidRPr="00E62FE6">
        <w:t>introduced</w:t>
      </w:r>
      <w:r w:rsidR="008243CA">
        <w:t xml:space="preserve"> </w:t>
      </w:r>
      <w:r w:rsidRPr="00E62FE6">
        <w:t>to</w:t>
      </w:r>
      <w:r w:rsidR="008243CA">
        <w:t xml:space="preserve"> </w:t>
      </w:r>
      <w:r w:rsidRPr="00E62FE6">
        <w:t>allow</w:t>
      </w:r>
      <w:r w:rsidR="008243CA">
        <w:t xml:space="preserve"> </w:t>
      </w:r>
      <w:r w:rsidRPr="00E62FE6">
        <w:t>prisoners</w:t>
      </w:r>
      <w:r w:rsidR="008243CA">
        <w:t xml:space="preserve"> </w:t>
      </w:r>
      <w:r w:rsidRPr="00E62FE6">
        <w:t>who</w:t>
      </w:r>
      <w:r w:rsidR="008243CA">
        <w:t xml:space="preserve"> </w:t>
      </w:r>
      <w:r w:rsidRPr="00E62FE6">
        <w:t>have</w:t>
      </w:r>
      <w:r w:rsidR="008243CA">
        <w:t xml:space="preserve"> </w:t>
      </w:r>
      <w:r w:rsidRPr="00E62FE6">
        <w:t>attempted</w:t>
      </w:r>
      <w:r w:rsidR="008243CA">
        <w:t xml:space="preserve"> </w:t>
      </w:r>
      <w:r w:rsidRPr="00E62FE6">
        <w:t>suicide</w:t>
      </w:r>
      <w:r w:rsidR="008243CA">
        <w:t xml:space="preserve"> </w:t>
      </w:r>
      <w:r w:rsidRPr="00E62FE6">
        <w:t>to</w:t>
      </w:r>
      <w:r w:rsidR="008243CA">
        <w:t xml:space="preserve"> </w:t>
      </w:r>
      <w:r w:rsidRPr="00E62FE6">
        <w:t>receive</w:t>
      </w:r>
      <w:r w:rsidR="008243CA">
        <w:t xml:space="preserve"> </w:t>
      </w:r>
      <w:r w:rsidRPr="00E62FE6">
        <w:t>adequate</w:t>
      </w:r>
      <w:r w:rsidR="008243CA">
        <w:t xml:space="preserve"> </w:t>
      </w:r>
      <w:r w:rsidRPr="00E62FE6">
        <w:t>care</w:t>
      </w:r>
      <w:r w:rsidR="008243CA">
        <w:t xml:space="preserve"> </w:t>
      </w:r>
      <w:r w:rsidRPr="00E62FE6">
        <w:t>and</w:t>
      </w:r>
      <w:r w:rsidR="008243CA">
        <w:t xml:space="preserve"> </w:t>
      </w:r>
      <w:r w:rsidRPr="00E62FE6">
        <w:t>to</w:t>
      </w:r>
      <w:r w:rsidR="008243CA">
        <w:t xml:space="preserve"> </w:t>
      </w:r>
      <w:r w:rsidRPr="00E62FE6">
        <w:t>prevent</w:t>
      </w:r>
      <w:r w:rsidR="008243CA">
        <w:t xml:space="preserve"> </w:t>
      </w:r>
      <w:r w:rsidRPr="00E62FE6">
        <w:t>such</w:t>
      </w:r>
      <w:r w:rsidR="008243CA">
        <w:t xml:space="preserve"> </w:t>
      </w:r>
      <w:r w:rsidRPr="00E62FE6">
        <w:t>actions</w:t>
      </w:r>
      <w:r w:rsidR="008243CA">
        <w:t xml:space="preserve"> </w:t>
      </w:r>
      <w:r w:rsidRPr="00E62FE6">
        <w:t>during</w:t>
      </w:r>
      <w:r w:rsidR="008243CA">
        <w:t xml:space="preserve"> </w:t>
      </w:r>
      <w:r w:rsidRPr="00E62FE6">
        <w:t>detention.</w:t>
      </w:r>
    </w:p>
    <w:p w:rsidR="003F7D03" w:rsidRPr="00E62FE6" w:rsidRDefault="003F7D03" w:rsidP="000C6D98">
      <w:pPr>
        <w:pStyle w:val="SingleTxtG"/>
      </w:pPr>
      <w:r w:rsidRPr="00E62FE6">
        <w:t>140.</w:t>
      </w:r>
      <w:r w:rsidRPr="00E62FE6">
        <w:tab/>
        <w:t>In</w:t>
      </w:r>
      <w:r w:rsidR="008243CA">
        <w:t xml:space="preserve"> </w:t>
      </w:r>
      <w:r w:rsidRPr="00E62FE6">
        <w:t>March</w:t>
      </w:r>
      <w:r w:rsidR="008243CA">
        <w:t xml:space="preserve"> </w:t>
      </w:r>
      <w:r w:rsidRPr="00E62FE6">
        <w:t>2016,</w:t>
      </w:r>
      <w:r w:rsidR="008243CA">
        <w:t xml:space="preserve"> </w:t>
      </w:r>
      <w:r w:rsidRPr="00E62FE6">
        <w:t>the</w:t>
      </w:r>
      <w:r w:rsidR="008243CA">
        <w:t xml:space="preserve"> </w:t>
      </w:r>
      <w:r w:rsidRPr="00E62FE6">
        <w:t>health</w:t>
      </w:r>
      <w:r w:rsidR="008243CA">
        <w:t xml:space="preserve"> </w:t>
      </w:r>
      <w:r w:rsidRPr="00E62FE6">
        <w:t>department</w:t>
      </w:r>
      <w:r w:rsidR="008243CA">
        <w:t xml:space="preserve"> </w:t>
      </w:r>
      <w:r w:rsidRPr="00E62FE6">
        <w:t>of</w:t>
      </w:r>
      <w:r w:rsidR="008243CA">
        <w:t xml:space="preserve"> </w:t>
      </w:r>
      <w:r w:rsidRPr="00E62FE6">
        <w:t>the</w:t>
      </w:r>
      <w:r w:rsidR="008243CA">
        <w:t xml:space="preserve"> </w:t>
      </w:r>
      <w:r w:rsidRPr="00E62FE6">
        <w:t>Prison</w:t>
      </w:r>
      <w:r w:rsidR="008243CA">
        <w:t xml:space="preserve"> </w:t>
      </w:r>
      <w:r w:rsidRPr="00E62FE6">
        <w:t>Service</w:t>
      </w:r>
      <w:r w:rsidR="008243CA">
        <w:t xml:space="preserve"> </w:t>
      </w:r>
      <w:r w:rsidRPr="00E62FE6">
        <w:t>launched</w:t>
      </w:r>
      <w:r w:rsidR="008243CA">
        <w:t xml:space="preserve"> </w:t>
      </w:r>
      <w:r w:rsidRPr="00E62FE6">
        <w:t>a</w:t>
      </w:r>
      <w:r w:rsidR="008243CA">
        <w:t xml:space="preserve"> </w:t>
      </w:r>
      <w:r w:rsidRPr="00E62FE6">
        <w:t>mental</w:t>
      </w:r>
      <w:r w:rsidR="008243CA">
        <w:t xml:space="preserve"> </w:t>
      </w:r>
      <w:r w:rsidRPr="00E62FE6">
        <w:t>health-care</w:t>
      </w:r>
      <w:r w:rsidR="008243CA">
        <w:t xml:space="preserve"> </w:t>
      </w:r>
      <w:r w:rsidRPr="00E62FE6">
        <w:t>pilot</w:t>
      </w:r>
      <w:r w:rsidR="008243CA">
        <w:t xml:space="preserve"> </w:t>
      </w:r>
      <w:r w:rsidRPr="00E62FE6">
        <w:t>plan</w:t>
      </w:r>
      <w:r w:rsidR="008243CA">
        <w:t xml:space="preserve"> </w:t>
      </w:r>
      <w:r w:rsidRPr="00E62FE6">
        <w:t>at</w:t>
      </w:r>
      <w:r w:rsidR="008243CA">
        <w:t xml:space="preserve"> </w:t>
      </w:r>
      <w:proofErr w:type="spellStart"/>
      <w:r w:rsidRPr="00E62FE6">
        <w:t>Colina</w:t>
      </w:r>
      <w:proofErr w:type="spellEnd"/>
      <w:r w:rsidR="008243CA">
        <w:t xml:space="preserve"> </w:t>
      </w:r>
      <w:r w:rsidRPr="00E62FE6">
        <w:t>I</w:t>
      </w:r>
      <w:r w:rsidR="008243CA">
        <w:t xml:space="preserve"> </w:t>
      </w:r>
      <w:r w:rsidRPr="00E62FE6">
        <w:t>Prison</w:t>
      </w:r>
      <w:r w:rsidR="008243CA">
        <w:t xml:space="preserve"> </w:t>
      </w:r>
      <w:r w:rsidRPr="00E62FE6">
        <w:t>and</w:t>
      </w:r>
      <w:r w:rsidR="008243CA">
        <w:t xml:space="preserve"> </w:t>
      </w:r>
      <w:r w:rsidRPr="00E62FE6">
        <w:t>Santiago</w:t>
      </w:r>
      <w:r w:rsidR="008243CA">
        <w:t xml:space="preserve"> </w:t>
      </w:r>
      <w:r w:rsidRPr="00E62FE6">
        <w:t>South</w:t>
      </w:r>
      <w:r w:rsidR="008243CA">
        <w:t xml:space="preserve"> </w:t>
      </w:r>
      <w:proofErr w:type="spellStart"/>
      <w:r w:rsidRPr="00E62FE6">
        <w:t>Pretrial</w:t>
      </w:r>
      <w:proofErr w:type="spellEnd"/>
      <w:r w:rsidR="008243CA">
        <w:t xml:space="preserve"> </w:t>
      </w:r>
      <w:r w:rsidRPr="00E62FE6">
        <w:t>Detention</w:t>
      </w:r>
      <w:r w:rsidR="008243CA">
        <w:t xml:space="preserve"> </w:t>
      </w:r>
      <w:r w:rsidRPr="00E62FE6">
        <w:t>Centre.</w:t>
      </w:r>
      <w:r w:rsidR="008243CA">
        <w:t xml:space="preserve"> </w:t>
      </w:r>
      <w:r w:rsidRPr="00E62FE6">
        <w:t>This</w:t>
      </w:r>
      <w:r w:rsidR="008243CA">
        <w:t xml:space="preserve"> </w:t>
      </w:r>
      <w:r w:rsidRPr="00E62FE6">
        <w:t>programme,</w:t>
      </w:r>
      <w:r w:rsidR="008243CA">
        <w:t xml:space="preserve"> </w:t>
      </w:r>
      <w:r w:rsidRPr="00E62FE6">
        <w:t>which</w:t>
      </w:r>
      <w:r w:rsidR="008243CA">
        <w:t xml:space="preserve"> </w:t>
      </w:r>
      <w:r w:rsidRPr="00E62FE6">
        <w:t>is</w:t>
      </w:r>
      <w:r w:rsidR="008243CA">
        <w:t xml:space="preserve"> </w:t>
      </w:r>
      <w:r w:rsidRPr="00E62FE6">
        <w:t>due</w:t>
      </w:r>
      <w:r w:rsidR="008243CA">
        <w:t xml:space="preserve"> </w:t>
      </w:r>
      <w:r w:rsidRPr="00E62FE6">
        <w:t>to</w:t>
      </w:r>
      <w:r w:rsidR="008243CA">
        <w:t xml:space="preserve"> </w:t>
      </w:r>
      <w:r w:rsidRPr="00E62FE6">
        <w:t>end</w:t>
      </w:r>
      <w:r w:rsidR="008243CA">
        <w:t xml:space="preserve"> </w:t>
      </w:r>
      <w:r w:rsidRPr="00E62FE6">
        <w:t>in</w:t>
      </w:r>
      <w:r w:rsidR="008243CA">
        <w:t xml:space="preserve"> </w:t>
      </w:r>
      <w:r w:rsidRPr="00E62FE6">
        <w:t>December</w:t>
      </w:r>
      <w:r w:rsidR="008243CA">
        <w:t xml:space="preserve"> </w:t>
      </w:r>
      <w:r w:rsidRPr="00E62FE6">
        <w:t>2016,</w:t>
      </w:r>
      <w:r w:rsidR="008243CA">
        <w:t xml:space="preserve"> </w:t>
      </w:r>
      <w:r w:rsidRPr="00E62FE6">
        <w:t>consists</w:t>
      </w:r>
      <w:r w:rsidR="008243CA">
        <w:t xml:space="preserve"> </w:t>
      </w:r>
      <w:r w:rsidRPr="00E62FE6">
        <w:t>in</w:t>
      </w:r>
      <w:r w:rsidR="008243CA">
        <w:t xml:space="preserve"> </w:t>
      </w:r>
      <w:r w:rsidRPr="00E62FE6">
        <w:t>group</w:t>
      </w:r>
      <w:r w:rsidR="008243CA">
        <w:t xml:space="preserve"> </w:t>
      </w:r>
      <w:r w:rsidRPr="00E62FE6">
        <w:t>psychotherapy</w:t>
      </w:r>
      <w:r w:rsidR="008243CA">
        <w:t xml:space="preserve"> </w:t>
      </w:r>
      <w:r w:rsidRPr="00E62FE6">
        <w:t>workshops</w:t>
      </w:r>
      <w:r w:rsidR="008243CA">
        <w:t xml:space="preserve"> </w:t>
      </w:r>
      <w:r w:rsidRPr="00E62FE6">
        <w:t>(to</w:t>
      </w:r>
      <w:r w:rsidR="008243CA">
        <w:t xml:space="preserve"> </w:t>
      </w:r>
      <w:r w:rsidRPr="00E62FE6">
        <w:t>date,</w:t>
      </w:r>
      <w:r w:rsidR="008243CA">
        <w:t xml:space="preserve"> </w:t>
      </w:r>
      <w:r w:rsidRPr="00E62FE6">
        <w:t>726</w:t>
      </w:r>
      <w:r w:rsidR="008243CA">
        <w:t xml:space="preserve"> </w:t>
      </w:r>
      <w:r w:rsidRPr="00E62FE6">
        <w:t>cases</w:t>
      </w:r>
      <w:r w:rsidR="008243CA">
        <w:t xml:space="preserve"> </w:t>
      </w:r>
      <w:r w:rsidRPr="00E62FE6">
        <w:t>of</w:t>
      </w:r>
      <w:r w:rsidR="008243CA">
        <w:t xml:space="preserve"> </w:t>
      </w:r>
      <w:r w:rsidRPr="00E62FE6">
        <w:t>treatment</w:t>
      </w:r>
      <w:r w:rsidR="008243CA">
        <w:t xml:space="preserve"> </w:t>
      </w:r>
      <w:r w:rsidRPr="00E62FE6">
        <w:t>provided).</w:t>
      </w:r>
      <w:r w:rsidR="008243CA">
        <w:t xml:space="preserve"> </w:t>
      </w:r>
      <w:r w:rsidRPr="00E62FE6">
        <w:t>Individual</w:t>
      </w:r>
      <w:r w:rsidR="008243CA">
        <w:t xml:space="preserve"> </w:t>
      </w:r>
      <w:r w:rsidRPr="00E62FE6">
        <w:t>psychological</w:t>
      </w:r>
      <w:r w:rsidR="008243CA">
        <w:t xml:space="preserve"> </w:t>
      </w:r>
      <w:r w:rsidRPr="00E62FE6">
        <w:t>care</w:t>
      </w:r>
      <w:r w:rsidR="008243CA">
        <w:t xml:space="preserve"> </w:t>
      </w:r>
      <w:r w:rsidRPr="00E62FE6">
        <w:t>is</w:t>
      </w:r>
      <w:r w:rsidR="008243CA">
        <w:t xml:space="preserve"> </w:t>
      </w:r>
      <w:r w:rsidRPr="00E62FE6">
        <w:t>provided</w:t>
      </w:r>
      <w:r w:rsidR="008243CA">
        <w:t xml:space="preserve"> </w:t>
      </w:r>
      <w:r w:rsidRPr="00E62FE6">
        <w:t>in</w:t>
      </w:r>
      <w:r w:rsidR="008243CA">
        <w:t xml:space="preserve"> </w:t>
      </w:r>
      <w:r w:rsidRPr="00E62FE6">
        <w:t>parallel</w:t>
      </w:r>
      <w:r w:rsidR="008243CA">
        <w:t xml:space="preserve"> </w:t>
      </w:r>
      <w:r w:rsidRPr="00E62FE6">
        <w:t>and</w:t>
      </w:r>
      <w:r w:rsidR="008243CA">
        <w:t xml:space="preserve"> </w:t>
      </w:r>
      <w:r w:rsidRPr="00E62FE6">
        <w:t>has</w:t>
      </w:r>
      <w:r w:rsidR="008243CA">
        <w:t xml:space="preserve"> </w:t>
      </w:r>
      <w:r w:rsidRPr="00E62FE6">
        <w:t>been</w:t>
      </w:r>
      <w:r w:rsidR="008243CA">
        <w:t xml:space="preserve"> </w:t>
      </w:r>
      <w:r w:rsidRPr="00E62FE6">
        <w:t>implemented</w:t>
      </w:r>
      <w:r w:rsidR="008243CA">
        <w:t xml:space="preserve"> </w:t>
      </w:r>
      <w:r w:rsidRPr="00E62FE6">
        <w:t>at</w:t>
      </w:r>
      <w:r w:rsidR="008243CA">
        <w:t xml:space="preserve"> </w:t>
      </w:r>
      <w:r w:rsidRPr="00E62FE6">
        <w:t>the</w:t>
      </w:r>
      <w:r w:rsidR="008243CA">
        <w:t xml:space="preserve"> </w:t>
      </w:r>
      <w:r w:rsidRPr="00E62FE6">
        <w:t>Puente</w:t>
      </w:r>
      <w:r w:rsidR="008243CA">
        <w:t xml:space="preserve"> </w:t>
      </w:r>
      <w:r w:rsidRPr="00E62FE6">
        <w:t>Alto</w:t>
      </w:r>
      <w:r w:rsidR="008243CA">
        <w:t xml:space="preserve"> </w:t>
      </w:r>
      <w:r w:rsidRPr="00E62FE6">
        <w:t>and</w:t>
      </w:r>
      <w:r w:rsidR="008243CA">
        <w:t xml:space="preserve"> </w:t>
      </w:r>
      <w:r w:rsidRPr="00E62FE6">
        <w:t>Santiago</w:t>
      </w:r>
      <w:r w:rsidR="008243CA">
        <w:t xml:space="preserve"> </w:t>
      </w:r>
      <w:r w:rsidRPr="00E62FE6">
        <w:t>South</w:t>
      </w:r>
      <w:r w:rsidR="008243CA">
        <w:t xml:space="preserve"> </w:t>
      </w:r>
      <w:proofErr w:type="spellStart"/>
      <w:r w:rsidRPr="00E62FE6">
        <w:t>Pretrial</w:t>
      </w:r>
      <w:proofErr w:type="spellEnd"/>
      <w:r w:rsidR="008243CA">
        <w:t xml:space="preserve"> </w:t>
      </w:r>
      <w:r w:rsidRPr="00E62FE6">
        <w:t>Detention</w:t>
      </w:r>
      <w:r w:rsidR="008243CA">
        <w:t xml:space="preserve"> </w:t>
      </w:r>
      <w:r w:rsidRPr="00E62FE6">
        <w:t>Centres</w:t>
      </w:r>
      <w:r w:rsidR="008243CA">
        <w:t xml:space="preserve"> </w:t>
      </w:r>
      <w:r w:rsidRPr="00E62FE6">
        <w:t>and</w:t>
      </w:r>
      <w:r w:rsidR="008243CA">
        <w:t xml:space="preserve"> </w:t>
      </w:r>
      <w:r w:rsidRPr="00E62FE6">
        <w:t>the</w:t>
      </w:r>
      <w:r w:rsidR="008243CA">
        <w:t xml:space="preserve"> </w:t>
      </w:r>
      <w:proofErr w:type="spellStart"/>
      <w:r w:rsidRPr="00E62FE6">
        <w:t>Colina</w:t>
      </w:r>
      <w:proofErr w:type="spellEnd"/>
      <w:r w:rsidR="008243CA">
        <w:t xml:space="preserve"> </w:t>
      </w:r>
      <w:r w:rsidRPr="00E62FE6">
        <w:t>I</w:t>
      </w:r>
      <w:r w:rsidR="008243CA">
        <w:t xml:space="preserve"> </w:t>
      </w:r>
      <w:r w:rsidRPr="00E62FE6">
        <w:t>and</w:t>
      </w:r>
      <w:r w:rsidR="008243CA">
        <w:t xml:space="preserve"> </w:t>
      </w:r>
      <w:r w:rsidRPr="00E62FE6">
        <w:t>Punta</w:t>
      </w:r>
      <w:r w:rsidR="008243CA">
        <w:t xml:space="preserve"> </w:t>
      </w:r>
      <w:proofErr w:type="spellStart"/>
      <w:r w:rsidRPr="00E62FE6">
        <w:t>Peuco</w:t>
      </w:r>
      <w:proofErr w:type="spellEnd"/>
      <w:r w:rsidR="008243CA">
        <w:t xml:space="preserve"> </w:t>
      </w:r>
      <w:r w:rsidRPr="00E62FE6">
        <w:t>Prisons.</w:t>
      </w:r>
      <w:r w:rsidR="008243CA">
        <w:t xml:space="preserve"> </w:t>
      </w:r>
      <w:r w:rsidRPr="00E62FE6">
        <w:t>There</w:t>
      </w:r>
      <w:r w:rsidR="008243CA">
        <w:t xml:space="preserve"> </w:t>
      </w:r>
      <w:r w:rsidRPr="00E62FE6">
        <w:t>is</w:t>
      </w:r>
      <w:r w:rsidR="008243CA">
        <w:t xml:space="preserve"> </w:t>
      </w:r>
      <w:r w:rsidRPr="00E62FE6">
        <w:t>a</w:t>
      </w:r>
      <w:r w:rsidR="008243CA">
        <w:t xml:space="preserve"> </w:t>
      </w:r>
      <w:r w:rsidRPr="00E62FE6">
        <w:t>need</w:t>
      </w:r>
      <w:r w:rsidR="008243CA">
        <w:t xml:space="preserve"> </w:t>
      </w:r>
      <w:r w:rsidRPr="00E62FE6">
        <w:t>to</w:t>
      </w:r>
      <w:r w:rsidR="008243CA">
        <w:t xml:space="preserve"> </w:t>
      </w:r>
      <w:r w:rsidRPr="00E62FE6">
        <w:t>extend</w:t>
      </w:r>
      <w:r w:rsidR="008243CA">
        <w:t xml:space="preserve"> </w:t>
      </w:r>
      <w:r w:rsidRPr="00E62FE6">
        <w:t>this</w:t>
      </w:r>
      <w:r w:rsidR="008243CA">
        <w:t xml:space="preserve"> </w:t>
      </w:r>
      <w:r w:rsidRPr="00E62FE6">
        <w:t>plan</w:t>
      </w:r>
      <w:r w:rsidR="008243CA">
        <w:t xml:space="preserve"> </w:t>
      </w:r>
      <w:r w:rsidRPr="00E62FE6">
        <w:t>to</w:t>
      </w:r>
      <w:r w:rsidR="008243CA">
        <w:t xml:space="preserve"> </w:t>
      </w:r>
      <w:r w:rsidRPr="00E62FE6">
        <w:t>the</w:t>
      </w:r>
      <w:r w:rsidR="008243CA">
        <w:t xml:space="preserve"> </w:t>
      </w:r>
      <w:r w:rsidRPr="00E62FE6">
        <w:t>whole</w:t>
      </w:r>
      <w:r w:rsidR="008243CA">
        <w:t xml:space="preserve"> </w:t>
      </w:r>
      <w:r w:rsidRPr="00E62FE6">
        <w:t>of</w:t>
      </w:r>
      <w:r w:rsidR="008243CA">
        <w:t xml:space="preserve"> </w:t>
      </w:r>
      <w:r w:rsidRPr="00E62FE6">
        <w:t>the</w:t>
      </w:r>
      <w:r w:rsidR="008243CA">
        <w:t xml:space="preserve"> </w:t>
      </w:r>
      <w:r w:rsidRPr="00E62FE6">
        <w:t>Metropolitan</w:t>
      </w:r>
      <w:r w:rsidR="008243CA">
        <w:t xml:space="preserve"> </w:t>
      </w:r>
      <w:r w:rsidRPr="00E62FE6">
        <w:t>Region</w:t>
      </w:r>
      <w:r w:rsidR="008243CA">
        <w:t xml:space="preserve"> </w:t>
      </w:r>
      <w:r w:rsidRPr="00E62FE6">
        <w:t>and</w:t>
      </w:r>
      <w:r w:rsidR="008243CA">
        <w:t xml:space="preserve"> </w:t>
      </w:r>
      <w:r w:rsidRPr="00E62FE6">
        <w:t>to</w:t>
      </w:r>
      <w:r w:rsidR="008243CA">
        <w:t xml:space="preserve"> </w:t>
      </w:r>
      <w:r w:rsidRPr="00E62FE6">
        <w:t>other</w:t>
      </w:r>
      <w:r w:rsidR="008243CA">
        <w:t xml:space="preserve"> </w:t>
      </w:r>
      <w:r w:rsidRPr="00E62FE6">
        <w:t>regions.</w:t>
      </w:r>
    </w:p>
    <w:p w:rsidR="003F7D03" w:rsidRPr="00E62FE6" w:rsidRDefault="003F7D03" w:rsidP="000C6D98">
      <w:pPr>
        <w:pStyle w:val="SingleTxtG"/>
      </w:pPr>
      <w:r w:rsidRPr="00E62FE6">
        <w:lastRenderedPageBreak/>
        <w:t>141.</w:t>
      </w:r>
      <w:r w:rsidRPr="00E62FE6">
        <w:tab/>
        <w:t>The</w:t>
      </w:r>
      <w:r w:rsidR="008243CA">
        <w:t xml:space="preserve"> </w:t>
      </w:r>
      <w:r w:rsidRPr="00E62FE6">
        <w:t>annual</w:t>
      </w:r>
      <w:r w:rsidR="008243CA">
        <w:t xml:space="preserve"> </w:t>
      </w:r>
      <w:r w:rsidRPr="00E62FE6">
        <w:t>suicide</w:t>
      </w:r>
      <w:r w:rsidR="008243CA">
        <w:t xml:space="preserve"> </w:t>
      </w:r>
      <w:r w:rsidRPr="00E62FE6">
        <w:t>rate</w:t>
      </w:r>
      <w:r w:rsidR="008243CA">
        <w:t xml:space="preserve"> </w:t>
      </w:r>
      <w:r w:rsidRPr="00E62FE6">
        <w:t>in</w:t>
      </w:r>
      <w:r w:rsidR="008243CA">
        <w:t xml:space="preserve"> </w:t>
      </w:r>
      <w:r w:rsidRPr="00E62FE6">
        <w:t>the</w:t>
      </w:r>
      <w:r w:rsidR="008243CA">
        <w:t xml:space="preserve"> </w:t>
      </w:r>
      <w:r w:rsidRPr="00E62FE6">
        <w:t>custodial</w:t>
      </w:r>
      <w:r w:rsidR="008243CA">
        <w:t xml:space="preserve"> </w:t>
      </w:r>
      <w:r w:rsidRPr="00E62FE6">
        <w:t>system</w:t>
      </w:r>
      <w:r w:rsidR="008243CA">
        <w:t xml:space="preserve"> </w:t>
      </w:r>
      <w:r w:rsidRPr="00E62FE6">
        <w:t>has</w:t>
      </w:r>
      <w:r w:rsidR="008243CA">
        <w:t xml:space="preserve"> </w:t>
      </w:r>
      <w:r w:rsidRPr="00E62FE6">
        <w:t>fallen</w:t>
      </w:r>
      <w:r w:rsidR="008243CA">
        <w:t xml:space="preserve"> </w:t>
      </w:r>
      <w:r w:rsidRPr="00E62FE6">
        <w:t>during</w:t>
      </w:r>
      <w:r w:rsidR="008243CA">
        <w:t xml:space="preserve"> </w:t>
      </w:r>
      <w:r w:rsidRPr="00E62FE6">
        <w:t>2016.</w:t>
      </w:r>
      <w:r w:rsidR="008243CA">
        <w:t xml:space="preserve"> </w:t>
      </w:r>
      <w:r w:rsidRPr="00E62FE6">
        <w:t>The</w:t>
      </w:r>
      <w:r w:rsidR="008243CA">
        <w:t xml:space="preserve"> </w:t>
      </w:r>
      <w:r w:rsidRPr="00E62FE6">
        <w:t>rate</w:t>
      </w:r>
      <w:r w:rsidR="008243CA">
        <w:t xml:space="preserve"> </w:t>
      </w:r>
      <w:r w:rsidRPr="00E62FE6">
        <w:t>for</w:t>
      </w:r>
      <w:r w:rsidR="008243CA">
        <w:t xml:space="preserve"> </w:t>
      </w:r>
      <w:r w:rsidRPr="00E62FE6">
        <w:t>2015</w:t>
      </w:r>
      <w:r w:rsidR="008243CA">
        <w:t xml:space="preserve"> </w:t>
      </w:r>
      <w:r w:rsidRPr="00E62FE6">
        <w:t>was</w:t>
      </w:r>
      <w:r w:rsidR="008243CA">
        <w:t xml:space="preserve"> </w:t>
      </w:r>
      <w:r w:rsidRPr="00E62FE6">
        <w:t>16.58</w:t>
      </w:r>
      <w:r w:rsidR="008243CA">
        <w:t xml:space="preserve"> </w:t>
      </w:r>
      <w:r w:rsidRPr="00E62FE6">
        <w:t>per</w:t>
      </w:r>
      <w:r w:rsidR="008243CA">
        <w:t xml:space="preserve"> </w:t>
      </w:r>
      <w:r w:rsidRPr="00E62FE6">
        <w:t>cent,</w:t>
      </w:r>
      <w:r w:rsidRPr="00116F0B">
        <w:rPr>
          <w:rStyle w:val="FootnoteReference"/>
        </w:rPr>
        <w:footnoteReference w:id="48"/>
      </w:r>
      <w:r w:rsidR="008243CA">
        <w:t xml:space="preserve"> </w:t>
      </w:r>
      <w:r w:rsidRPr="00E62FE6">
        <w:t>as</w:t>
      </w:r>
      <w:r w:rsidR="008243CA">
        <w:t xml:space="preserve"> </w:t>
      </w:r>
      <w:r w:rsidRPr="00E62FE6">
        <w:t>compared</w:t>
      </w:r>
      <w:r w:rsidR="008243CA">
        <w:t xml:space="preserve"> </w:t>
      </w:r>
      <w:r w:rsidRPr="00E62FE6">
        <w:t>with</w:t>
      </w:r>
      <w:r w:rsidR="008243CA">
        <w:t xml:space="preserve"> </w:t>
      </w:r>
      <w:r w:rsidRPr="00E62FE6">
        <w:t>4.62</w:t>
      </w:r>
      <w:r w:rsidR="008243CA">
        <w:t xml:space="preserve"> </w:t>
      </w:r>
      <w:r w:rsidRPr="00E62FE6">
        <w:t>per</w:t>
      </w:r>
      <w:r w:rsidR="008243CA">
        <w:t xml:space="preserve"> </w:t>
      </w:r>
      <w:r w:rsidRPr="00E62FE6">
        <w:t>cent</w:t>
      </w:r>
      <w:r w:rsidR="008243CA">
        <w:t xml:space="preserve"> </w:t>
      </w:r>
      <w:r w:rsidRPr="00E62FE6">
        <w:t>for</w:t>
      </w:r>
      <w:r w:rsidR="008243CA">
        <w:t xml:space="preserve"> </w:t>
      </w:r>
      <w:r w:rsidRPr="00E62FE6">
        <w:t>the</w:t>
      </w:r>
      <w:r w:rsidR="008243CA">
        <w:t xml:space="preserve"> </w:t>
      </w:r>
      <w:r w:rsidRPr="00E62FE6">
        <w:t>period</w:t>
      </w:r>
      <w:r w:rsidR="008243CA">
        <w:t xml:space="preserve"> </w:t>
      </w:r>
      <w:r w:rsidRPr="00E62FE6">
        <w:t>between</w:t>
      </w:r>
      <w:r w:rsidR="008243CA">
        <w:t xml:space="preserve"> </w:t>
      </w:r>
      <w:r w:rsidRPr="00E62FE6">
        <w:t>January</w:t>
      </w:r>
      <w:r w:rsidR="008243CA">
        <w:t xml:space="preserve"> </w:t>
      </w:r>
      <w:r w:rsidRPr="00E62FE6">
        <w:t>and</w:t>
      </w:r>
      <w:r w:rsidR="008243CA">
        <w:t xml:space="preserve"> </w:t>
      </w:r>
      <w:r w:rsidRPr="00E62FE6">
        <w:t>September</w:t>
      </w:r>
      <w:r w:rsidR="008243CA">
        <w:t xml:space="preserve"> </w:t>
      </w:r>
      <w:r w:rsidRPr="00E62FE6">
        <w:t>2016.</w:t>
      </w:r>
      <w:r w:rsidRPr="00116F0B">
        <w:rPr>
          <w:rStyle w:val="FootnoteReference"/>
        </w:rPr>
        <w:footnoteReference w:id="49"/>
      </w:r>
      <w:r w:rsidR="008243CA">
        <w:t xml:space="preserve"> </w:t>
      </w:r>
      <w:r w:rsidRPr="00E62FE6">
        <w:t>Nevertheless,</w:t>
      </w:r>
      <w:r w:rsidR="008243CA">
        <w:t xml:space="preserve"> </w:t>
      </w:r>
      <w:r w:rsidRPr="00E62FE6">
        <w:t>any</w:t>
      </w:r>
      <w:r w:rsidR="008243CA">
        <w:t xml:space="preserve"> </w:t>
      </w:r>
      <w:r w:rsidRPr="00E62FE6">
        <w:t>achievements</w:t>
      </w:r>
      <w:r w:rsidR="008243CA">
        <w:t xml:space="preserve"> </w:t>
      </w:r>
      <w:r w:rsidRPr="00E62FE6">
        <w:t>resulting</w:t>
      </w:r>
      <w:r w:rsidR="008243CA">
        <w:t xml:space="preserve"> </w:t>
      </w:r>
      <w:r w:rsidRPr="00E62FE6">
        <w:t>from</w:t>
      </w:r>
      <w:r w:rsidR="008243CA">
        <w:t xml:space="preserve"> </w:t>
      </w:r>
      <w:r w:rsidRPr="00E62FE6">
        <w:t>the</w:t>
      </w:r>
      <w:r w:rsidR="008243CA">
        <w:t xml:space="preserve"> </w:t>
      </w:r>
      <w:r w:rsidRPr="00E62FE6">
        <w:t>guidelines</w:t>
      </w:r>
      <w:r w:rsidR="008243CA">
        <w:t xml:space="preserve"> </w:t>
      </w:r>
      <w:r w:rsidRPr="00E62FE6">
        <w:t>on</w:t>
      </w:r>
      <w:r w:rsidR="008243CA">
        <w:t xml:space="preserve"> </w:t>
      </w:r>
      <w:r w:rsidRPr="00E62FE6">
        <w:t>suicide</w:t>
      </w:r>
      <w:r w:rsidR="008243CA">
        <w:t xml:space="preserve"> </w:t>
      </w:r>
      <w:r w:rsidRPr="00E62FE6">
        <w:t>prevention</w:t>
      </w:r>
      <w:r w:rsidR="008243CA">
        <w:t xml:space="preserve"> </w:t>
      </w:r>
      <w:r w:rsidRPr="00E62FE6">
        <w:t>and</w:t>
      </w:r>
      <w:r w:rsidR="008243CA">
        <w:t xml:space="preserve"> </w:t>
      </w:r>
      <w:r w:rsidRPr="00E62FE6">
        <w:t>timely</w:t>
      </w:r>
      <w:r w:rsidR="008243CA">
        <w:t xml:space="preserve"> </w:t>
      </w:r>
      <w:r w:rsidRPr="00E62FE6">
        <w:t>mental</w:t>
      </w:r>
      <w:r w:rsidR="008243CA">
        <w:t xml:space="preserve"> </w:t>
      </w:r>
      <w:r w:rsidRPr="00E62FE6">
        <w:t>health</w:t>
      </w:r>
      <w:r w:rsidR="008243CA">
        <w:t xml:space="preserve"> </w:t>
      </w:r>
      <w:r w:rsidRPr="00E62FE6">
        <w:t>care</w:t>
      </w:r>
      <w:r w:rsidR="008243CA">
        <w:t xml:space="preserve"> </w:t>
      </w:r>
      <w:r w:rsidRPr="00E62FE6">
        <w:t>will</w:t>
      </w:r>
      <w:r w:rsidR="008243CA">
        <w:t xml:space="preserve"> </w:t>
      </w:r>
      <w:r w:rsidRPr="00E62FE6">
        <w:t>need</w:t>
      </w:r>
      <w:r w:rsidR="008243CA">
        <w:t xml:space="preserve"> </w:t>
      </w:r>
      <w:r w:rsidRPr="00E62FE6">
        <w:t>to</w:t>
      </w:r>
      <w:r w:rsidR="008243CA">
        <w:t xml:space="preserve"> </w:t>
      </w:r>
      <w:r w:rsidRPr="00E62FE6">
        <w:t>be</w:t>
      </w:r>
      <w:r w:rsidR="008243CA">
        <w:t xml:space="preserve"> </w:t>
      </w:r>
      <w:r w:rsidRPr="00E62FE6">
        <w:t>the</w:t>
      </w:r>
      <w:r w:rsidR="008243CA">
        <w:t xml:space="preserve"> </w:t>
      </w:r>
      <w:r w:rsidRPr="00E62FE6">
        <w:t>subject</w:t>
      </w:r>
      <w:r w:rsidR="008243CA">
        <w:t xml:space="preserve"> </w:t>
      </w:r>
      <w:r w:rsidRPr="00E62FE6">
        <w:t>of</w:t>
      </w:r>
      <w:r w:rsidR="008243CA">
        <w:t xml:space="preserve"> </w:t>
      </w:r>
      <w:r w:rsidRPr="00E62FE6">
        <w:t>a</w:t>
      </w:r>
      <w:r w:rsidR="008243CA">
        <w:t xml:space="preserve"> </w:t>
      </w:r>
      <w:r w:rsidRPr="00E62FE6">
        <w:t>more</w:t>
      </w:r>
      <w:r w:rsidR="008243CA">
        <w:t xml:space="preserve"> </w:t>
      </w:r>
      <w:r w:rsidRPr="00E62FE6">
        <w:t>rigorous</w:t>
      </w:r>
      <w:r w:rsidR="008243CA">
        <w:t xml:space="preserve"> </w:t>
      </w:r>
      <w:r w:rsidRPr="00E62FE6">
        <w:t>analysis</w:t>
      </w:r>
      <w:r w:rsidR="008243CA">
        <w:t xml:space="preserve"> </w:t>
      </w:r>
      <w:r w:rsidRPr="00E62FE6">
        <w:t>at</w:t>
      </w:r>
      <w:r w:rsidR="008243CA">
        <w:t xml:space="preserve"> </w:t>
      </w:r>
      <w:r w:rsidRPr="00E62FE6">
        <w:t>a</w:t>
      </w:r>
      <w:r w:rsidR="008243CA">
        <w:t xml:space="preserve"> </w:t>
      </w:r>
      <w:r w:rsidRPr="00E62FE6">
        <w:t>later</w:t>
      </w:r>
      <w:r w:rsidR="008243CA">
        <w:t xml:space="preserve"> </w:t>
      </w:r>
      <w:r w:rsidRPr="00E62FE6">
        <w:t>date.</w:t>
      </w:r>
      <w:bookmarkStart w:id="95" w:name="page36"/>
      <w:bookmarkEnd w:id="95"/>
    </w:p>
    <w:p w:rsidR="003F7D03" w:rsidRPr="00E62FE6" w:rsidRDefault="003F7D03" w:rsidP="000C6D98">
      <w:pPr>
        <w:pStyle w:val="SingleTxtG"/>
      </w:pPr>
      <w:r w:rsidRPr="00E62FE6">
        <w:t>142.</w:t>
      </w:r>
      <w:r w:rsidRPr="00E62FE6">
        <w:tab/>
        <w:t>SENAME</w:t>
      </w:r>
      <w:r w:rsidR="008243CA">
        <w:t xml:space="preserve"> </w:t>
      </w:r>
      <w:r w:rsidRPr="00E62FE6">
        <w:t>will</w:t>
      </w:r>
      <w:r w:rsidR="008243CA">
        <w:t xml:space="preserve"> </w:t>
      </w:r>
      <w:r w:rsidRPr="00E62FE6">
        <w:t>continue</w:t>
      </w:r>
      <w:r w:rsidR="008243CA">
        <w:t xml:space="preserve"> </w:t>
      </w:r>
      <w:r w:rsidRPr="00E62FE6">
        <w:t>to</w:t>
      </w:r>
      <w:r w:rsidR="008243CA">
        <w:t xml:space="preserve"> </w:t>
      </w:r>
      <w:r w:rsidRPr="00E62FE6">
        <w:t>develop</w:t>
      </w:r>
      <w:r w:rsidR="008243CA">
        <w:t xml:space="preserve"> </w:t>
      </w:r>
      <w:r w:rsidRPr="00E62FE6">
        <w:t>national</w:t>
      </w:r>
      <w:r w:rsidR="008243CA">
        <w:t xml:space="preserve"> </w:t>
      </w:r>
      <w:r w:rsidRPr="00E62FE6">
        <w:t>training</w:t>
      </w:r>
      <w:r w:rsidR="008243CA">
        <w:t xml:space="preserve"> </w:t>
      </w:r>
      <w:r w:rsidRPr="00E62FE6">
        <w:t>programmes</w:t>
      </w:r>
      <w:r w:rsidR="008243CA">
        <w:t xml:space="preserve"> </w:t>
      </w:r>
      <w:r w:rsidRPr="00E62FE6">
        <w:t>and</w:t>
      </w:r>
      <w:r w:rsidR="008243CA">
        <w:t xml:space="preserve"> </w:t>
      </w:r>
      <w:r w:rsidRPr="00E62FE6">
        <w:t>courses</w:t>
      </w:r>
      <w:r w:rsidR="008243CA">
        <w:t xml:space="preserve"> </w:t>
      </w:r>
      <w:r w:rsidRPr="00E62FE6">
        <w:t>on</w:t>
      </w:r>
      <w:r w:rsidR="008243CA">
        <w:t xml:space="preserve"> </w:t>
      </w:r>
      <w:r w:rsidRPr="00E62FE6">
        <w:t>suicide</w:t>
      </w:r>
      <w:r w:rsidR="008243CA">
        <w:t xml:space="preserve"> </w:t>
      </w:r>
      <w:r w:rsidRPr="00E62FE6">
        <w:t>prevention,</w:t>
      </w:r>
      <w:r w:rsidR="008243CA">
        <w:t xml:space="preserve"> </w:t>
      </w:r>
      <w:r w:rsidRPr="00E62FE6">
        <w:t>focusing</w:t>
      </w:r>
      <w:r w:rsidR="008243CA">
        <w:t xml:space="preserve"> </w:t>
      </w:r>
      <w:r w:rsidRPr="00E62FE6">
        <w:t>on</w:t>
      </w:r>
      <w:r w:rsidR="008243CA">
        <w:t xml:space="preserve"> </w:t>
      </w:r>
      <w:r w:rsidRPr="00E62FE6">
        <w:t>gender</w:t>
      </w:r>
      <w:r w:rsidR="008243CA">
        <w:t xml:space="preserve"> </w:t>
      </w:r>
      <w:r w:rsidRPr="00E62FE6">
        <w:t>and</w:t>
      </w:r>
      <w:r w:rsidR="008243CA">
        <w:t xml:space="preserve"> </w:t>
      </w:r>
      <w:r w:rsidRPr="00E62FE6">
        <w:t>in</w:t>
      </w:r>
      <w:r w:rsidR="008243CA">
        <w:t xml:space="preserve"> </w:t>
      </w:r>
      <w:r w:rsidRPr="00E62FE6">
        <w:t>particular</w:t>
      </w:r>
      <w:r w:rsidR="008243CA">
        <w:t xml:space="preserve"> </w:t>
      </w:r>
      <w:r w:rsidRPr="00E62FE6">
        <w:t>on</w:t>
      </w:r>
      <w:r w:rsidR="008243CA">
        <w:t xml:space="preserve"> </w:t>
      </w:r>
      <w:r w:rsidRPr="00E62FE6">
        <w:t>the</w:t>
      </w:r>
      <w:r w:rsidR="008243CA">
        <w:t xml:space="preserve"> </w:t>
      </w:r>
      <w:r w:rsidRPr="00E62FE6">
        <w:t>lesbian,</w:t>
      </w:r>
      <w:r w:rsidR="008243CA">
        <w:t xml:space="preserve"> </w:t>
      </w:r>
      <w:r w:rsidRPr="00E62FE6">
        <w:t>gay,</w:t>
      </w:r>
      <w:r w:rsidR="008243CA">
        <w:t xml:space="preserve"> </w:t>
      </w:r>
      <w:r w:rsidRPr="00E62FE6">
        <w:t>bisexual,</w:t>
      </w:r>
      <w:r w:rsidR="008243CA">
        <w:t xml:space="preserve"> </w:t>
      </w:r>
      <w:r w:rsidRPr="00E62FE6">
        <w:t>transgender</w:t>
      </w:r>
      <w:r w:rsidR="008243CA">
        <w:t xml:space="preserve"> </w:t>
      </w:r>
      <w:r w:rsidRPr="00E62FE6">
        <w:t>and</w:t>
      </w:r>
      <w:r w:rsidR="008243CA">
        <w:t xml:space="preserve"> </w:t>
      </w:r>
      <w:r w:rsidRPr="00E62FE6">
        <w:t>intersex</w:t>
      </w:r>
      <w:r w:rsidR="008243CA">
        <w:t xml:space="preserve"> </w:t>
      </w:r>
      <w:r w:rsidRPr="00E62FE6">
        <w:t>(LGBTI)</w:t>
      </w:r>
      <w:r w:rsidR="008243CA">
        <w:t xml:space="preserve"> </w:t>
      </w:r>
      <w:r w:rsidRPr="00E62FE6">
        <w:t>community,</w:t>
      </w:r>
      <w:r w:rsidR="008243CA">
        <w:t xml:space="preserve"> </w:t>
      </w:r>
      <w:r w:rsidRPr="00E62FE6">
        <w:t>for</w:t>
      </w:r>
      <w:r w:rsidR="00116F0B">
        <w:t xml:space="preserve"> </w:t>
      </w:r>
      <w:r w:rsidRPr="00E62FE6">
        <w:t>officials</w:t>
      </w:r>
      <w:r w:rsidR="008243CA">
        <w:t xml:space="preserve"> </w:t>
      </w:r>
      <w:r w:rsidRPr="00E62FE6">
        <w:t>of</w:t>
      </w:r>
      <w:r w:rsidR="008243CA">
        <w:t xml:space="preserve"> </w:t>
      </w:r>
      <w:r w:rsidRPr="00E62FE6">
        <w:t>the</w:t>
      </w:r>
      <w:r w:rsidR="008243CA">
        <w:t xml:space="preserve"> </w:t>
      </w:r>
      <w:r w:rsidRPr="00E62FE6">
        <w:t>directly</w:t>
      </w:r>
      <w:r w:rsidR="008243CA">
        <w:t xml:space="preserve"> </w:t>
      </w:r>
      <w:r w:rsidRPr="00E62FE6">
        <w:t>administered</w:t>
      </w:r>
      <w:r w:rsidR="008243CA">
        <w:t xml:space="preserve"> </w:t>
      </w:r>
      <w:r w:rsidRPr="00E62FE6">
        <w:t>centres</w:t>
      </w:r>
      <w:r w:rsidR="008243CA">
        <w:t xml:space="preserve"> </w:t>
      </w:r>
      <w:r w:rsidRPr="00E62FE6">
        <w:t>and</w:t>
      </w:r>
      <w:r w:rsidR="008243CA">
        <w:t xml:space="preserve"> </w:t>
      </w:r>
      <w:r w:rsidRPr="00E62FE6">
        <w:t>regional</w:t>
      </w:r>
      <w:r w:rsidR="008243CA">
        <w:t xml:space="preserve"> </w:t>
      </w:r>
      <w:r w:rsidRPr="00E62FE6">
        <w:t>offices</w:t>
      </w:r>
      <w:r w:rsidR="008243CA">
        <w:t xml:space="preserve"> </w:t>
      </w:r>
      <w:r w:rsidRPr="00E62FE6">
        <w:t>in</w:t>
      </w:r>
      <w:r w:rsidR="008243CA">
        <w:t xml:space="preserve"> </w:t>
      </w:r>
      <w:r w:rsidRPr="00E62FE6">
        <w:t>its</w:t>
      </w:r>
      <w:r w:rsidR="008243CA">
        <w:t xml:space="preserve"> </w:t>
      </w:r>
      <w:r w:rsidRPr="00E62FE6">
        <w:t>network.</w:t>
      </w:r>
      <w:r w:rsidR="008243CA">
        <w:t xml:space="preserve"> </w:t>
      </w:r>
      <w:r w:rsidRPr="00E62FE6">
        <w:t>In</w:t>
      </w:r>
      <w:r w:rsidR="008243CA">
        <w:t xml:space="preserve"> </w:t>
      </w:r>
      <w:r w:rsidRPr="00E62FE6">
        <w:t>December</w:t>
      </w:r>
      <w:r w:rsidR="008243CA">
        <w:t xml:space="preserve"> </w:t>
      </w:r>
      <w:r w:rsidRPr="00E62FE6">
        <w:t>2016,</w:t>
      </w:r>
      <w:r w:rsidR="008243CA">
        <w:t xml:space="preserve"> </w:t>
      </w:r>
      <w:r w:rsidRPr="00E62FE6">
        <w:t>he</w:t>
      </w:r>
      <w:r w:rsidR="008243CA">
        <w:t xml:space="preserve"> </w:t>
      </w:r>
      <w:r w:rsidRPr="00E62FE6">
        <w:t>health</w:t>
      </w:r>
      <w:r w:rsidR="008243CA">
        <w:t xml:space="preserve"> </w:t>
      </w:r>
      <w:r w:rsidRPr="00E62FE6">
        <w:t>unit</w:t>
      </w:r>
      <w:r w:rsidR="008243CA">
        <w:t xml:space="preserve"> </w:t>
      </w:r>
      <w:r w:rsidRPr="00E62FE6">
        <w:t>of</w:t>
      </w:r>
      <w:r w:rsidR="008243CA">
        <w:t xml:space="preserve"> </w:t>
      </w:r>
      <w:r w:rsidRPr="00E62FE6">
        <w:t>SENAME</w:t>
      </w:r>
      <w:r w:rsidR="008243CA">
        <w:t xml:space="preserve"> </w:t>
      </w:r>
      <w:r w:rsidRPr="00E62FE6">
        <w:t>will</w:t>
      </w:r>
      <w:r w:rsidR="008243CA">
        <w:t xml:space="preserve"> </w:t>
      </w:r>
      <w:r w:rsidRPr="00E62FE6">
        <w:t>develop</w:t>
      </w:r>
      <w:r w:rsidR="008243CA">
        <w:t xml:space="preserve"> </w:t>
      </w:r>
      <w:r w:rsidRPr="00E62FE6">
        <w:t>a</w:t>
      </w:r>
      <w:r w:rsidR="008243CA">
        <w:t xml:space="preserve"> </w:t>
      </w:r>
      <w:r w:rsidRPr="00E62FE6">
        <w:t>similar</w:t>
      </w:r>
      <w:r w:rsidR="008243CA">
        <w:t xml:space="preserve"> </w:t>
      </w:r>
      <w:r w:rsidRPr="00E62FE6">
        <w:t>national</w:t>
      </w:r>
      <w:r w:rsidR="008243CA">
        <w:t xml:space="preserve"> </w:t>
      </w:r>
      <w:r w:rsidRPr="00E62FE6">
        <w:t>training</w:t>
      </w:r>
      <w:r w:rsidR="008243CA">
        <w:t xml:space="preserve"> </w:t>
      </w:r>
      <w:r w:rsidRPr="00E62FE6">
        <w:t>course</w:t>
      </w:r>
      <w:r w:rsidR="008243CA">
        <w:t xml:space="preserve"> </w:t>
      </w:r>
      <w:r w:rsidRPr="00E62FE6">
        <w:t>for</w:t>
      </w:r>
      <w:r w:rsidR="008243CA">
        <w:t xml:space="preserve"> </w:t>
      </w:r>
      <w:r w:rsidRPr="00E62FE6">
        <w:t>professionals</w:t>
      </w:r>
      <w:r w:rsidR="008243CA">
        <w:t xml:space="preserve"> </w:t>
      </w:r>
      <w:r w:rsidRPr="00E62FE6">
        <w:t>and</w:t>
      </w:r>
      <w:r w:rsidR="008243CA">
        <w:t xml:space="preserve"> </w:t>
      </w:r>
      <w:r w:rsidRPr="00E62FE6">
        <w:t>officials</w:t>
      </w:r>
      <w:r w:rsidR="008243CA">
        <w:t xml:space="preserve"> </w:t>
      </w:r>
      <w:r w:rsidRPr="00E62FE6">
        <w:t>of</w:t>
      </w:r>
      <w:r w:rsidR="008243CA">
        <w:t xml:space="preserve"> </w:t>
      </w:r>
      <w:r w:rsidRPr="00E62FE6">
        <w:t>the</w:t>
      </w:r>
      <w:r w:rsidR="008243CA">
        <w:t xml:space="preserve"> </w:t>
      </w:r>
      <w:r w:rsidRPr="00E62FE6">
        <w:t>directly</w:t>
      </w:r>
      <w:r w:rsidR="008243CA">
        <w:t xml:space="preserve"> </w:t>
      </w:r>
      <w:r w:rsidRPr="00E62FE6">
        <w:t>administered</w:t>
      </w:r>
      <w:r w:rsidR="008243CA">
        <w:t xml:space="preserve"> </w:t>
      </w:r>
      <w:r w:rsidRPr="00E62FE6">
        <w:t>centres</w:t>
      </w:r>
      <w:r w:rsidR="008243CA">
        <w:t xml:space="preserve"> </w:t>
      </w:r>
      <w:r w:rsidRPr="00E62FE6">
        <w:t>and</w:t>
      </w:r>
      <w:r w:rsidR="008243CA">
        <w:t xml:space="preserve"> </w:t>
      </w:r>
      <w:r w:rsidRPr="00E62FE6">
        <w:t>regional</w:t>
      </w:r>
      <w:r w:rsidR="008243CA">
        <w:t xml:space="preserve"> </w:t>
      </w:r>
      <w:r w:rsidRPr="00E62FE6">
        <w:t>offices</w:t>
      </w:r>
      <w:r w:rsidR="008243CA">
        <w:t xml:space="preserve"> </w:t>
      </w:r>
      <w:r w:rsidRPr="00E62FE6">
        <w:t>in</w:t>
      </w:r>
      <w:r w:rsidR="008243CA">
        <w:t xml:space="preserve"> </w:t>
      </w:r>
      <w:r w:rsidRPr="00E62FE6">
        <w:t>its</w:t>
      </w:r>
      <w:r w:rsidR="008243CA">
        <w:t xml:space="preserve"> </w:t>
      </w:r>
      <w:r w:rsidRPr="00E62FE6">
        <w:t>network,</w:t>
      </w:r>
      <w:r w:rsidR="008243CA">
        <w:t xml:space="preserve"> </w:t>
      </w:r>
      <w:r w:rsidRPr="00E62FE6">
        <w:t>focusing</w:t>
      </w:r>
      <w:r w:rsidR="008243CA">
        <w:t xml:space="preserve"> </w:t>
      </w:r>
      <w:r w:rsidRPr="00E62FE6">
        <w:t>on</w:t>
      </w:r>
      <w:r w:rsidR="008243CA">
        <w:t xml:space="preserve"> </w:t>
      </w:r>
      <w:r w:rsidRPr="00E62FE6">
        <w:t>gender</w:t>
      </w:r>
      <w:r w:rsidR="008243CA">
        <w:t xml:space="preserve"> </w:t>
      </w:r>
      <w:r w:rsidRPr="00E62FE6">
        <w:t>and</w:t>
      </w:r>
      <w:r w:rsidR="008243CA">
        <w:t xml:space="preserve"> </w:t>
      </w:r>
      <w:r w:rsidRPr="00E62FE6">
        <w:t>in</w:t>
      </w:r>
      <w:r w:rsidR="008243CA">
        <w:t xml:space="preserve"> </w:t>
      </w:r>
      <w:r w:rsidRPr="00E62FE6">
        <w:t>particular,</w:t>
      </w:r>
      <w:r w:rsidR="008243CA">
        <w:t xml:space="preserve"> </w:t>
      </w:r>
      <w:r w:rsidRPr="00E62FE6">
        <w:t>on</w:t>
      </w:r>
      <w:r w:rsidR="008243CA">
        <w:t xml:space="preserve"> </w:t>
      </w:r>
      <w:r w:rsidRPr="00E62FE6">
        <w:t>the</w:t>
      </w:r>
      <w:r w:rsidR="008243CA">
        <w:t xml:space="preserve"> </w:t>
      </w:r>
      <w:r w:rsidRPr="00E62FE6">
        <w:t>LGBTI</w:t>
      </w:r>
      <w:r w:rsidR="008243CA">
        <w:t xml:space="preserve"> </w:t>
      </w:r>
      <w:r w:rsidRPr="00E62FE6">
        <w:t>community</w:t>
      </w:r>
      <w:r w:rsidR="00490AD0">
        <w:t>.</w:t>
      </w:r>
    </w:p>
    <w:p w:rsidR="003F7D03" w:rsidRPr="00E62FE6" w:rsidRDefault="003F7D03" w:rsidP="000C6D98">
      <w:pPr>
        <w:pStyle w:val="SingleTxtG"/>
      </w:pPr>
      <w:r w:rsidRPr="00E62FE6">
        <w:t>143.</w:t>
      </w:r>
      <w:r w:rsidRPr="00E62FE6">
        <w:tab/>
        <w:t>In</w:t>
      </w:r>
      <w:r w:rsidR="008243CA">
        <w:t xml:space="preserve"> </w:t>
      </w:r>
      <w:r w:rsidRPr="00E62FE6">
        <w:t>addition,</w:t>
      </w:r>
      <w:r w:rsidR="008243CA">
        <w:t xml:space="preserve"> </w:t>
      </w:r>
      <w:r w:rsidRPr="00E62FE6">
        <w:t>SENAME</w:t>
      </w:r>
      <w:r w:rsidR="008243CA">
        <w:t xml:space="preserve"> </w:t>
      </w:r>
      <w:r w:rsidRPr="00E62FE6">
        <w:t>and</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Health</w:t>
      </w:r>
      <w:r w:rsidR="008243CA">
        <w:t xml:space="preserve"> </w:t>
      </w:r>
      <w:r w:rsidRPr="00E62FE6">
        <w:t>will</w:t>
      </w:r>
      <w:r w:rsidR="008243CA">
        <w:t xml:space="preserve"> </w:t>
      </w:r>
      <w:r w:rsidRPr="00E62FE6">
        <w:t>establish</w:t>
      </w:r>
      <w:r w:rsidR="008243CA">
        <w:t xml:space="preserve"> </w:t>
      </w:r>
      <w:r w:rsidRPr="00E62FE6">
        <w:t>a</w:t>
      </w:r>
      <w:r w:rsidR="008243CA">
        <w:t xml:space="preserve"> </w:t>
      </w:r>
      <w:r w:rsidRPr="00E62FE6">
        <w:t>joint</w:t>
      </w:r>
      <w:r w:rsidR="008243CA">
        <w:t xml:space="preserve"> </w:t>
      </w:r>
      <w:r w:rsidRPr="00E62FE6">
        <w:t>committee</w:t>
      </w:r>
      <w:r w:rsidR="008243CA">
        <w:t xml:space="preserve"> </w:t>
      </w:r>
      <w:r w:rsidRPr="00E62FE6">
        <w:t>on</w:t>
      </w:r>
      <w:r w:rsidR="008243CA">
        <w:t xml:space="preserve"> </w:t>
      </w:r>
      <w:r w:rsidRPr="00E62FE6">
        <w:t>suicide</w:t>
      </w:r>
      <w:r w:rsidR="008243CA">
        <w:t xml:space="preserve"> </w:t>
      </w:r>
      <w:r w:rsidRPr="00E62FE6">
        <w:t>prevention</w:t>
      </w:r>
      <w:r w:rsidR="008243CA">
        <w:t xml:space="preserve"> </w:t>
      </w:r>
      <w:r w:rsidRPr="00E62FE6">
        <w:t>which</w:t>
      </w:r>
      <w:r w:rsidR="008243CA">
        <w:t xml:space="preserve"> </w:t>
      </w:r>
      <w:r w:rsidRPr="00E62FE6">
        <w:t>will</w:t>
      </w:r>
      <w:r w:rsidR="008243CA">
        <w:t xml:space="preserve"> </w:t>
      </w:r>
      <w:r w:rsidRPr="00E62FE6">
        <w:t>attempt</w:t>
      </w:r>
      <w:r w:rsidR="008243CA">
        <w:t xml:space="preserve"> </w:t>
      </w:r>
      <w:r w:rsidRPr="00E62FE6">
        <w:t>to</w:t>
      </w:r>
      <w:r w:rsidR="008243CA">
        <w:t xml:space="preserve"> </w:t>
      </w:r>
      <w:r w:rsidRPr="00E62FE6">
        <w:t>define</w:t>
      </w:r>
      <w:r w:rsidR="008243CA">
        <w:t xml:space="preserve"> </w:t>
      </w:r>
      <w:r w:rsidRPr="00E62FE6">
        <w:t>a</w:t>
      </w:r>
      <w:r w:rsidR="008243CA">
        <w:t xml:space="preserve"> </w:t>
      </w:r>
      <w:r w:rsidRPr="00E62FE6">
        <w:t>protocol</w:t>
      </w:r>
      <w:r w:rsidR="008243CA">
        <w:t xml:space="preserve"> </w:t>
      </w:r>
      <w:r w:rsidRPr="00E62FE6">
        <w:t>on</w:t>
      </w:r>
      <w:r w:rsidR="008243CA">
        <w:t xml:space="preserve"> </w:t>
      </w:r>
      <w:r w:rsidRPr="00E62FE6">
        <w:t>the</w:t>
      </w:r>
      <w:r w:rsidR="008243CA">
        <w:t xml:space="preserve"> </w:t>
      </w:r>
      <w:r w:rsidRPr="00E62FE6">
        <w:t>issue</w:t>
      </w:r>
      <w:r w:rsidR="008243CA">
        <w:t xml:space="preserve"> </w:t>
      </w:r>
      <w:r w:rsidRPr="00E62FE6">
        <w:t>for</w:t>
      </w:r>
      <w:r w:rsidR="008243CA">
        <w:t xml:space="preserve"> </w:t>
      </w:r>
      <w:r w:rsidRPr="00E62FE6">
        <w:t>directly</w:t>
      </w:r>
      <w:r w:rsidR="008243CA">
        <w:t xml:space="preserve"> </w:t>
      </w:r>
      <w:r w:rsidRPr="00E62FE6">
        <w:t>administered</w:t>
      </w:r>
      <w:r w:rsidR="008243CA">
        <w:t xml:space="preserve"> </w:t>
      </w:r>
      <w:r w:rsidRPr="00E62FE6">
        <w:t>centres.</w:t>
      </w:r>
      <w:r w:rsidR="008243CA">
        <w:t xml:space="preserve"> </w:t>
      </w:r>
      <w:r w:rsidRPr="00E62FE6">
        <w:t>SENAME</w:t>
      </w:r>
      <w:r w:rsidR="008243CA">
        <w:t xml:space="preserve"> </w:t>
      </w:r>
      <w:r w:rsidRPr="00E62FE6">
        <w:t>will</w:t>
      </w:r>
      <w:r w:rsidR="008243CA">
        <w:t xml:space="preserve"> </w:t>
      </w:r>
      <w:r w:rsidRPr="00E62FE6">
        <w:t>work</w:t>
      </w:r>
      <w:r w:rsidR="008243CA">
        <w:t xml:space="preserve"> </w:t>
      </w:r>
      <w:r w:rsidRPr="00E62FE6">
        <w:t>to</w:t>
      </w:r>
      <w:r w:rsidR="008243CA">
        <w:t xml:space="preserve"> </w:t>
      </w:r>
      <w:r w:rsidRPr="00E62FE6">
        <w:t>bring</w:t>
      </w:r>
      <w:r w:rsidR="008243CA">
        <w:t xml:space="preserve"> </w:t>
      </w:r>
      <w:r w:rsidRPr="00E62FE6">
        <w:t>the</w:t>
      </w:r>
      <w:r w:rsidR="008243CA">
        <w:t xml:space="preserve"> </w:t>
      </w:r>
      <w:r w:rsidRPr="00E62FE6">
        <w:t>protocol</w:t>
      </w:r>
      <w:r w:rsidR="008243CA">
        <w:t xml:space="preserve"> </w:t>
      </w:r>
      <w:r w:rsidRPr="00E62FE6">
        <w:t>to</w:t>
      </w:r>
      <w:r w:rsidR="008243CA">
        <w:t xml:space="preserve"> </w:t>
      </w:r>
      <w:r w:rsidRPr="00E62FE6">
        <w:t>fruition</w:t>
      </w:r>
      <w:r w:rsidR="008243CA">
        <w:t xml:space="preserve"> </w:t>
      </w:r>
      <w:r w:rsidRPr="00E62FE6">
        <w:t>during</w:t>
      </w:r>
      <w:r w:rsidR="008243CA">
        <w:t xml:space="preserve"> </w:t>
      </w:r>
      <w:r w:rsidRPr="00E62FE6">
        <w:t>the</w:t>
      </w:r>
      <w:r w:rsidR="008243CA">
        <w:t xml:space="preserve"> </w:t>
      </w:r>
      <w:r w:rsidRPr="00E62FE6">
        <w:t>first</w:t>
      </w:r>
      <w:r w:rsidR="008243CA">
        <w:t xml:space="preserve"> </w:t>
      </w:r>
      <w:r w:rsidRPr="00E62FE6">
        <w:t>half</w:t>
      </w:r>
      <w:r w:rsidR="008243CA">
        <w:t xml:space="preserve"> </w:t>
      </w:r>
      <w:r w:rsidRPr="00E62FE6">
        <w:t>of</w:t>
      </w:r>
      <w:r w:rsidR="008243CA">
        <w:t xml:space="preserve"> </w:t>
      </w:r>
      <w:r w:rsidRPr="00E62FE6">
        <w:t>2017.</w:t>
      </w:r>
    </w:p>
    <w:p w:rsidR="003F7D03" w:rsidRPr="00D5490A" w:rsidRDefault="003F7D03" w:rsidP="000C6D98">
      <w:pPr>
        <w:pStyle w:val="SingleTxtG"/>
        <w:rPr>
          <w:i/>
          <w:iCs/>
        </w:rPr>
      </w:pPr>
      <w:r w:rsidRPr="00E62FE6">
        <w:t>144.</w:t>
      </w:r>
      <w:r w:rsidRPr="00E62FE6">
        <w:tab/>
        <w:t>Paragraph</w:t>
      </w:r>
      <w:r w:rsidR="008243CA">
        <w:t xml:space="preserve"> </w:t>
      </w:r>
      <w:r w:rsidRPr="00E62FE6">
        <w:t>96:</w:t>
      </w:r>
      <w:r w:rsidR="008243CA">
        <w:t xml:space="preserve"> </w:t>
      </w:r>
      <w:r w:rsidRPr="00D5490A">
        <w:rPr>
          <w:i/>
          <w:iCs/>
        </w:rPr>
        <w:t>The</w:t>
      </w:r>
      <w:r w:rsidR="008243CA" w:rsidRPr="00D5490A">
        <w:rPr>
          <w:i/>
          <w:iCs/>
        </w:rPr>
        <w:t xml:space="preserve"> </w:t>
      </w:r>
      <w:r w:rsidRPr="00D5490A">
        <w:rPr>
          <w:i/>
          <w:iCs/>
        </w:rPr>
        <w:t>Subcommittee</w:t>
      </w:r>
      <w:r w:rsidR="008243CA" w:rsidRPr="00D5490A">
        <w:rPr>
          <w:i/>
          <w:iCs/>
        </w:rPr>
        <w:t xml:space="preserve"> </w:t>
      </w:r>
      <w:r w:rsidRPr="00D5490A">
        <w:rPr>
          <w:i/>
          <w:iCs/>
        </w:rPr>
        <w:t>recommends</w:t>
      </w:r>
      <w:r w:rsidR="008243CA" w:rsidRPr="00D5490A">
        <w:rPr>
          <w:i/>
          <w:iCs/>
        </w:rPr>
        <w:t xml:space="preserve"> </w:t>
      </w:r>
      <w:r w:rsidRPr="00D5490A">
        <w:rPr>
          <w:i/>
          <w:iCs/>
        </w:rPr>
        <w:t>that</w:t>
      </w:r>
      <w:r w:rsidR="008243CA" w:rsidRPr="00D5490A">
        <w:rPr>
          <w:i/>
          <w:iCs/>
        </w:rPr>
        <w:t xml:space="preserve"> </w:t>
      </w:r>
      <w:r w:rsidRPr="00D5490A">
        <w:rPr>
          <w:i/>
          <w:iCs/>
        </w:rPr>
        <w:t>the</w:t>
      </w:r>
      <w:r w:rsidR="008243CA" w:rsidRPr="00D5490A">
        <w:rPr>
          <w:i/>
          <w:iCs/>
        </w:rPr>
        <w:t xml:space="preserve"> </w:t>
      </w:r>
      <w:r w:rsidRPr="00D5490A">
        <w:rPr>
          <w:i/>
          <w:iCs/>
        </w:rPr>
        <w:t>State</w:t>
      </w:r>
      <w:r w:rsidR="008243CA" w:rsidRPr="00D5490A">
        <w:rPr>
          <w:i/>
          <w:iCs/>
        </w:rPr>
        <w:t xml:space="preserve"> </w:t>
      </w:r>
      <w:r w:rsidRPr="00D5490A">
        <w:rPr>
          <w:i/>
          <w:iCs/>
        </w:rPr>
        <w:t>party</w:t>
      </w:r>
      <w:r w:rsidR="008243CA" w:rsidRPr="00D5490A">
        <w:rPr>
          <w:i/>
          <w:iCs/>
        </w:rPr>
        <w:t xml:space="preserve"> </w:t>
      </w:r>
      <w:r w:rsidRPr="00D5490A">
        <w:rPr>
          <w:i/>
          <w:iCs/>
        </w:rPr>
        <w:t>ensure</w:t>
      </w:r>
      <w:r w:rsidR="008243CA" w:rsidRPr="00D5490A">
        <w:rPr>
          <w:i/>
          <w:iCs/>
        </w:rPr>
        <w:t xml:space="preserve"> </w:t>
      </w:r>
      <w:r w:rsidRPr="00D5490A">
        <w:rPr>
          <w:i/>
          <w:iCs/>
        </w:rPr>
        <w:t>that,</w:t>
      </w:r>
      <w:r w:rsidR="008243CA" w:rsidRPr="00D5490A">
        <w:rPr>
          <w:i/>
          <w:iCs/>
        </w:rPr>
        <w:t xml:space="preserve"> </w:t>
      </w:r>
      <w:r w:rsidRPr="00D5490A">
        <w:rPr>
          <w:i/>
          <w:iCs/>
        </w:rPr>
        <w:t>in</w:t>
      </w:r>
      <w:r w:rsidR="008243CA" w:rsidRPr="00D5490A">
        <w:rPr>
          <w:i/>
          <w:iCs/>
        </w:rPr>
        <w:t xml:space="preserve"> </w:t>
      </w:r>
      <w:r w:rsidRPr="00D5490A">
        <w:rPr>
          <w:i/>
          <w:iCs/>
        </w:rPr>
        <w:t>accordance</w:t>
      </w:r>
      <w:r w:rsidR="008243CA" w:rsidRPr="00D5490A">
        <w:rPr>
          <w:i/>
          <w:iCs/>
        </w:rPr>
        <w:t xml:space="preserve"> </w:t>
      </w:r>
      <w:r w:rsidRPr="00D5490A">
        <w:rPr>
          <w:i/>
          <w:iCs/>
        </w:rPr>
        <w:t>with</w:t>
      </w:r>
      <w:r w:rsidR="008243CA" w:rsidRPr="00D5490A">
        <w:rPr>
          <w:i/>
          <w:iCs/>
        </w:rPr>
        <w:t xml:space="preserve"> </w:t>
      </w:r>
      <w:r w:rsidRPr="00D5490A">
        <w:rPr>
          <w:i/>
          <w:iCs/>
        </w:rPr>
        <w:t>rule</w:t>
      </w:r>
      <w:r w:rsidR="008243CA" w:rsidRPr="00D5490A">
        <w:rPr>
          <w:i/>
          <w:iCs/>
        </w:rPr>
        <w:t xml:space="preserve"> </w:t>
      </w:r>
      <w:r w:rsidRPr="00D5490A">
        <w:rPr>
          <w:i/>
          <w:iCs/>
        </w:rPr>
        <w:t>12</w:t>
      </w:r>
      <w:r w:rsidR="008243CA" w:rsidRPr="00D5490A">
        <w:rPr>
          <w:i/>
          <w:iCs/>
        </w:rPr>
        <w:t xml:space="preserve"> </w:t>
      </w:r>
      <w:r w:rsidRPr="00D5490A">
        <w:rPr>
          <w:i/>
          <w:iCs/>
        </w:rPr>
        <w:t>of</w:t>
      </w:r>
      <w:r w:rsidR="008243CA" w:rsidRPr="00D5490A">
        <w:rPr>
          <w:i/>
          <w:iCs/>
        </w:rPr>
        <w:t xml:space="preserve"> </w:t>
      </w:r>
      <w:r w:rsidRPr="00D5490A">
        <w:rPr>
          <w:i/>
          <w:iCs/>
        </w:rPr>
        <w:t>the</w:t>
      </w:r>
      <w:r w:rsidR="008243CA" w:rsidRPr="00D5490A">
        <w:rPr>
          <w:i/>
          <w:iCs/>
        </w:rPr>
        <w:t xml:space="preserve"> </w:t>
      </w:r>
      <w:r w:rsidRPr="00D5490A">
        <w:rPr>
          <w:i/>
          <w:iCs/>
        </w:rPr>
        <w:t>Bangkok</w:t>
      </w:r>
      <w:r w:rsidR="008243CA" w:rsidRPr="00D5490A">
        <w:rPr>
          <w:i/>
          <w:iCs/>
        </w:rPr>
        <w:t xml:space="preserve"> </w:t>
      </w:r>
      <w:r w:rsidRPr="00D5490A">
        <w:rPr>
          <w:i/>
          <w:iCs/>
        </w:rPr>
        <w:t>Rules,</w:t>
      </w:r>
      <w:r w:rsidR="008243CA" w:rsidRPr="00D5490A">
        <w:rPr>
          <w:i/>
          <w:iCs/>
        </w:rPr>
        <w:t xml:space="preserve"> </w:t>
      </w:r>
      <w:r w:rsidRPr="00D5490A">
        <w:rPr>
          <w:i/>
          <w:iCs/>
        </w:rPr>
        <w:t>women</w:t>
      </w:r>
      <w:r w:rsidR="008243CA" w:rsidRPr="00D5490A">
        <w:rPr>
          <w:i/>
          <w:iCs/>
        </w:rPr>
        <w:t xml:space="preserve"> </w:t>
      </w:r>
      <w:r w:rsidRPr="00D5490A">
        <w:rPr>
          <w:i/>
          <w:iCs/>
        </w:rPr>
        <w:t>prisoners</w:t>
      </w:r>
      <w:r w:rsidR="008243CA" w:rsidRPr="00D5490A">
        <w:rPr>
          <w:i/>
          <w:iCs/>
        </w:rPr>
        <w:t xml:space="preserve"> </w:t>
      </w:r>
      <w:r w:rsidRPr="00D5490A">
        <w:rPr>
          <w:i/>
          <w:iCs/>
        </w:rPr>
        <w:t>with</w:t>
      </w:r>
      <w:r w:rsidR="008243CA" w:rsidRPr="00D5490A">
        <w:rPr>
          <w:i/>
          <w:iCs/>
        </w:rPr>
        <w:t xml:space="preserve"> </w:t>
      </w:r>
      <w:r w:rsidRPr="00D5490A">
        <w:rPr>
          <w:i/>
          <w:iCs/>
        </w:rPr>
        <w:t>mental</w:t>
      </w:r>
      <w:r w:rsidR="008243CA" w:rsidRPr="00D5490A">
        <w:rPr>
          <w:i/>
          <w:iCs/>
        </w:rPr>
        <w:t xml:space="preserve"> </w:t>
      </w:r>
      <w:r w:rsidRPr="00D5490A">
        <w:rPr>
          <w:i/>
          <w:iCs/>
        </w:rPr>
        <w:t>health-care</w:t>
      </w:r>
      <w:r w:rsidR="008243CA" w:rsidRPr="00D5490A">
        <w:rPr>
          <w:i/>
          <w:iCs/>
        </w:rPr>
        <w:t xml:space="preserve"> </w:t>
      </w:r>
      <w:r w:rsidRPr="00D5490A">
        <w:rPr>
          <w:i/>
          <w:iCs/>
        </w:rPr>
        <w:t>needs</w:t>
      </w:r>
      <w:r w:rsidR="008243CA" w:rsidRPr="00D5490A">
        <w:rPr>
          <w:i/>
          <w:iCs/>
        </w:rPr>
        <w:t xml:space="preserve"> </w:t>
      </w:r>
      <w:r w:rsidRPr="00D5490A">
        <w:rPr>
          <w:i/>
          <w:iCs/>
        </w:rPr>
        <w:t>have</w:t>
      </w:r>
      <w:r w:rsidR="008243CA" w:rsidRPr="00D5490A">
        <w:rPr>
          <w:i/>
          <w:iCs/>
        </w:rPr>
        <w:t xml:space="preserve"> </w:t>
      </w:r>
      <w:r w:rsidRPr="00D5490A">
        <w:rPr>
          <w:i/>
          <w:iCs/>
        </w:rPr>
        <w:t>access</w:t>
      </w:r>
      <w:r w:rsidR="008243CA" w:rsidRPr="00D5490A">
        <w:rPr>
          <w:i/>
          <w:iCs/>
        </w:rPr>
        <w:t xml:space="preserve"> </w:t>
      </w:r>
      <w:r w:rsidRPr="00D5490A">
        <w:rPr>
          <w:i/>
          <w:iCs/>
        </w:rPr>
        <w:t>to</w:t>
      </w:r>
      <w:r w:rsidR="008243CA" w:rsidRPr="00D5490A">
        <w:rPr>
          <w:i/>
          <w:iCs/>
        </w:rPr>
        <w:t xml:space="preserve"> </w:t>
      </w:r>
      <w:r w:rsidRPr="00D5490A">
        <w:rPr>
          <w:i/>
          <w:iCs/>
        </w:rPr>
        <w:t>individualized</w:t>
      </w:r>
      <w:r w:rsidR="008243CA" w:rsidRPr="00D5490A">
        <w:rPr>
          <w:i/>
          <w:iCs/>
        </w:rPr>
        <w:t xml:space="preserve"> </w:t>
      </w:r>
      <w:r w:rsidRPr="00D5490A">
        <w:rPr>
          <w:i/>
          <w:iCs/>
        </w:rPr>
        <w:t>healthcare</w:t>
      </w:r>
      <w:r w:rsidR="008243CA" w:rsidRPr="00D5490A">
        <w:rPr>
          <w:i/>
          <w:iCs/>
        </w:rPr>
        <w:t xml:space="preserve"> </w:t>
      </w:r>
      <w:r w:rsidRPr="00D5490A">
        <w:rPr>
          <w:i/>
          <w:iCs/>
        </w:rPr>
        <w:t>and</w:t>
      </w:r>
      <w:r w:rsidR="008243CA" w:rsidRPr="00D5490A">
        <w:rPr>
          <w:i/>
          <w:iCs/>
        </w:rPr>
        <w:t xml:space="preserve"> </w:t>
      </w:r>
      <w:r w:rsidRPr="00D5490A">
        <w:rPr>
          <w:i/>
          <w:iCs/>
        </w:rPr>
        <w:t>rehabilitation</w:t>
      </w:r>
      <w:r w:rsidR="008243CA" w:rsidRPr="00D5490A">
        <w:rPr>
          <w:i/>
          <w:iCs/>
        </w:rPr>
        <w:t xml:space="preserve"> </w:t>
      </w:r>
      <w:r w:rsidRPr="00D5490A">
        <w:rPr>
          <w:i/>
          <w:iCs/>
        </w:rPr>
        <w:t>programmes</w:t>
      </w:r>
      <w:r w:rsidR="008243CA" w:rsidRPr="00D5490A">
        <w:rPr>
          <w:i/>
          <w:iCs/>
        </w:rPr>
        <w:t xml:space="preserve"> </w:t>
      </w:r>
      <w:r w:rsidRPr="00D5490A">
        <w:rPr>
          <w:i/>
          <w:iCs/>
        </w:rPr>
        <w:t>which</w:t>
      </w:r>
      <w:r w:rsidR="008243CA" w:rsidRPr="00D5490A">
        <w:rPr>
          <w:i/>
          <w:iCs/>
        </w:rPr>
        <w:t xml:space="preserve"> </w:t>
      </w:r>
      <w:r w:rsidRPr="00D5490A">
        <w:rPr>
          <w:i/>
          <w:iCs/>
        </w:rPr>
        <w:t>are</w:t>
      </w:r>
      <w:r w:rsidR="008243CA" w:rsidRPr="00D5490A">
        <w:rPr>
          <w:i/>
          <w:iCs/>
        </w:rPr>
        <w:t xml:space="preserve"> </w:t>
      </w:r>
      <w:r w:rsidRPr="00D5490A">
        <w:rPr>
          <w:i/>
          <w:iCs/>
        </w:rPr>
        <w:t>both</w:t>
      </w:r>
      <w:r w:rsidR="008243CA" w:rsidRPr="00D5490A">
        <w:rPr>
          <w:i/>
          <w:iCs/>
        </w:rPr>
        <w:t xml:space="preserve"> </w:t>
      </w:r>
      <w:r w:rsidRPr="00D5490A">
        <w:rPr>
          <w:i/>
          <w:iCs/>
        </w:rPr>
        <w:t>comprehensive</w:t>
      </w:r>
      <w:r w:rsidR="008243CA" w:rsidRPr="00D5490A">
        <w:rPr>
          <w:i/>
          <w:iCs/>
        </w:rPr>
        <w:t xml:space="preserve"> </w:t>
      </w:r>
      <w:r w:rsidRPr="00D5490A">
        <w:rPr>
          <w:i/>
          <w:iCs/>
        </w:rPr>
        <w:t>and</w:t>
      </w:r>
      <w:r w:rsidR="008243CA" w:rsidRPr="00D5490A">
        <w:rPr>
          <w:i/>
          <w:iCs/>
        </w:rPr>
        <w:t xml:space="preserve"> </w:t>
      </w:r>
      <w:r w:rsidRPr="00D5490A">
        <w:rPr>
          <w:i/>
          <w:iCs/>
        </w:rPr>
        <w:t>gender-sensitive.</w:t>
      </w:r>
    </w:p>
    <w:p w:rsidR="003F7D03" w:rsidRPr="00E62FE6" w:rsidRDefault="003F7D03" w:rsidP="000C6D98">
      <w:pPr>
        <w:pStyle w:val="SingleTxtG"/>
      </w:pPr>
      <w:r w:rsidRPr="00E62FE6">
        <w:t>145.</w:t>
      </w:r>
      <w:r w:rsidRPr="00E62FE6">
        <w:tab/>
        <w:t>Recognizing</w:t>
      </w:r>
      <w:r w:rsidR="008243CA">
        <w:t xml:space="preserve"> </w:t>
      </w:r>
      <w:r w:rsidRPr="00E62FE6">
        <w:t>the</w:t>
      </w:r>
      <w:r w:rsidR="008243CA">
        <w:t xml:space="preserve"> </w:t>
      </w:r>
      <w:r w:rsidRPr="00E62FE6">
        <w:t>need</w:t>
      </w:r>
      <w:r w:rsidR="008243CA">
        <w:t xml:space="preserve"> </w:t>
      </w:r>
      <w:r w:rsidRPr="00E62FE6">
        <w:t>for</w:t>
      </w:r>
      <w:r w:rsidR="008243CA">
        <w:t xml:space="preserve"> </w:t>
      </w:r>
      <w:r w:rsidRPr="00E62FE6">
        <w:t>mental</w:t>
      </w:r>
      <w:r w:rsidR="008243CA">
        <w:t xml:space="preserve"> </w:t>
      </w:r>
      <w:r w:rsidRPr="00E62FE6">
        <w:t>health</w:t>
      </w:r>
      <w:r w:rsidR="008243CA">
        <w:t xml:space="preserve"> </w:t>
      </w:r>
      <w:r w:rsidRPr="00E62FE6">
        <w:t>care</w:t>
      </w:r>
      <w:r w:rsidR="008243CA">
        <w:t xml:space="preserve"> </w:t>
      </w:r>
      <w:r w:rsidRPr="00E62FE6">
        <w:t>and</w:t>
      </w:r>
      <w:r w:rsidR="008243CA">
        <w:t xml:space="preserve"> </w:t>
      </w:r>
      <w:r w:rsidRPr="00E62FE6">
        <w:t>for</w:t>
      </w:r>
      <w:r w:rsidR="008243CA">
        <w:t xml:space="preserve"> </w:t>
      </w:r>
      <w:r w:rsidRPr="00E62FE6">
        <w:t>comprehensive</w:t>
      </w:r>
      <w:r w:rsidR="008243CA">
        <w:t xml:space="preserve"> </w:t>
      </w:r>
      <w:r w:rsidRPr="00E62FE6">
        <w:t>gender-sensitive</w:t>
      </w:r>
      <w:r w:rsidR="008243CA">
        <w:t xml:space="preserve"> </w:t>
      </w:r>
      <w:r w:rsidRPr="00E62FE6">
        <w:t>health-care</w:t>
      </w:r>
      <w:r w:rsidR="008243CA">
        <w:t xml:space="preserve"> </w:t>
      </w:r>
      <w:r w:rsidRPr="00E62FE6">
        <w:t>programmes</w:t>
      </w:r>
      <w:r w:rsidR="008243CA">
        <w:t xml:space="preserve"> </w:t>
      </w:r>
      <w:r w:rsidRPr="00E62FE6">
        <w:t>for</w:t>
      </w:r>
      <w:r w:rsidR="008243CA">
        <w:t xml:space="preserve"> </w:t>
      </w:r>
      <w:r w:rsidRPr="00E62FE6">
        <w:t>women,</w:t>
      </w:r>
      <w:r w:rsidR="008243CA">
        <w:t xml:space="preserve"> </w:t>
      </w:r>
      <w:r w:rsidRPr="00E62FE6">
        <w:t>the</w:t>
      </w:r>
      <w:r w:rsidR="008243CA">
        <w:t xml:space="preserve"> </w:t>
      </w:r>
      <w:r w:rsidRPr="00E62FE6">
        <w:t>Prison</w:t>
      </w:r>
      <w:r w:rsidR="008243CA">
        <w:t xml:space="preserve"> </w:t>
      </w:r>
      <w:r w:rsidRPr="00E62FE6">
        <w:t>Service</w:t>
      </w:r>
      <w:r w:rsidR="008243CA">
        <w:t xml:space="preserve"> </w:t>
      </w:r>
      <w:r w:rsidRPr="00E62FE6">
        <w:t>will</w:t>
      </w:r>
      <w:r w:rsidR="008243CA">
        <w:t xml:space="preserve"> </w:t>
      </w:r>
      <w:r w:rsidRPr="00E62FE6">
        <w:t>work</w:t>
      </w:r>
      <w:r w:rsidR="008243CA">
        <w:t xml:space="preserve"> </w:t>
      </w:r>
      <w:r w:rsidRPr="00E62FE6">
        <w:t>with</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Health</w:t>
      </w:r>
      <w:r w:rsidR="008243CA">
        <w:t xml:space="preserve"> </w:t>
      </w:r>
      <w:r w:rsidRPr="00E62FE6">
        <w:t>to</w:t>
      </w:r>
      <w:r w:rsidR="008243CA">
        <w:t xml:space="preserve"> </w:t>
      </w:r>
      <w:r w:rsidRPr="00E62FE6">
        <w:t>develop</w:t>
      </w:r>
      <w:r w:rsidR="008243CA">
        <w:t xml:space="preserve"> </w:t>
      </w:r>
      <w:r w:rsidRPr="00E62FE6">
        <w:t>plans</w:t>
      </w:r>
      <w:r w:rsidR="008243CA">
        <w:t xml:space="preserve"> </w:t>
      </w:r>
      <w:r w:rsidRPr="00E62FE6">
        <w:t>in</w:t>
      </w:r>
      <w:r w:rsidR="008243CA">
        <w:t xml:space="preserve"> </w:t>
      </w:r>
      <w:r w:rsidRPr="00E62FE6">
        <w:t>response</w:t>
      </w:r>
      <w:r w:rsidR="008243CA">
        <w:t xml:space="preserve"> </w:t>
      </w:r>
      <w:r w:rsidRPr="00E62FE6">
        <w:t>to</w:t>
      </w:r>
      <w:r w:rsidR="008243CA">
        <w:t xml:space="preserve"> </w:t>
      </w:r>
      <w:r w:rsidRPr="00E62FE6">
        <w:t>the</w:t>
      </w:r>
      <w:r w:rsidR="008243CA">
        <w:t xml:space="preserve"> </w:t>
      </w:r>
      <w:r w:rsidRPr="00E62FE6">
        <w:t>Subcommittee</w:t>
      </w:r>
      <w:r w:rsidR="00116F0B">
        <w:t>’</w:t>
      </w:r>
      <w:r w:rsidRPr="00E62FE6">
        <w:t>s</w:t>
      </w:r>
      <w:r w:rsidR="008243CA">
        <w:t xml:space="preserve"> </w:t>
      </w:r>
      <w:r w:rsidRPr="00E62FE6">
        <w:t>recommendation.</w:t>
      </w:r>
      <w:r w:rsidR="008243CA">
        <w:t xml:space="preserve"> </w:t>
      </w:r>
      <w:r w:rsidRPr="00E62FE6">
        <w:t>It</w:t>
      </w:r>
      <w:r w:rsidR="008243CA">
        <w:t xml:space="preserve"> </w:t>
      </w:r>
      <w:r w:rsidRPr="00E62FE6">
        <w:t>is</w:t>
      </w:r>
      <w:r w:rsidR="008243CA">
        <w:t xml:space="preserve"> </w:t>
      </w:r>
      <w:r w:rsidRPr="00E62FE6">
        <w:t>expected</w:t>
      </w:r>
      <w:r w:rsidR="008243CA">
        <w:t xml:space="preserve"> </w:t>
      </w:r>
      <w:r w:rsidRPr="00E62FE6">
        <w:t>that</w:t>
      </w:r>
      <w:r w:rsidR="008243CA">
        <w:t xml:space="preserve"> </w:t>
      </w:r>
      <w:r w:rsidRPr="00E62FE6">
        <w:t>mental</w:t>
      </w:r>
      <w:r w:rsidR="008243CA">
        <w:t xml:space="preserve"> </w:t>
      </w:r>
      <w:r w:rsidRPr="00E62FE6">
        <w:t>health</w:t>
      </w:r>
      <w:r w:rsidR="008243CA">
        <w:t xml:space="preserve"> </w:t>
      </w:r>
      <w:r w:rsidRPr="00E62FE6">
        <w:t>care</w:t>
      </w:r>
      <w:r w:rsidR="008243CA">
        <w:t xml:space="preserve"> </w:t>
      </w:r>
      <w:r w:rsidRPr="00E62FE6">
        <w:t>and</w:t>
      </w:r>
      <w:r w:rsidR="008243CA">
        <w:t xml:space="preserve"> </w:t>
      </w:r>
      <w:r w:rsidRPr="00E62FE6">
        <w:t>gender-sensitive</w:t>
      </w:r>
      <w:r w:rsidR="008243CA">
        <w:t xml:space="preserve"> </w:t>
      </w:r>
      <w:r w:rsidRPr="00E62FE6">
        <w:t>health-care</w:t>
      </w:r>
      <w:r w:rsidR="008243CA">
        <w:t xml:space="preserve"> </w:t>
      </w:r>
      <w:r w:rsidRPr="00E62FE6">
        <w:t>programmes</w:t>
      </w:r>
      <w:r w:rsidR="008243CA">
        <w:t xml:space="preserve"> </w:t>
      </w:r>
      <w:r w:rsidRPr="00E62FE6">
        <w:t>for</w:t>
      </w:r>
      <w:r w:rsidR="008243CA">
        <w:t xml:space="preserve"> </w:t>
      </w:r>
      <w:r w:rsidRPr="00E62FE6">
        <w:t>women</w:t>
      </w:r>
      <w:r w:rsidR="008243CA">
        <w:t xml:space="preserve"> </w:t>
      </w:r>
      <w:r w:rsidRPr="00E62FE6">
        <w:t>will</w:t>
      </w:r>
      <w:r w:rsidR="008243CA">
        <w:t xml:space="preserve"> </w:t>
      </w:r>
      <w:r w:rsidRPr="00E62FE6">
        <w:t>be</w:t>
      </w:r>
      <w:r w:rsidR="008243CA">
        <w:t xml:space="preserve"> </w:t>
      </w:r>
      <w:r w:rsidRPr="00E62FE6">
        <w:t>in</w:t>
      </w:r>
      <w:r w:rsidR="008243CA">
        <w:t xml:space="preserve"> </w:t>
      </w:r>
      <w:r w:rsidRPr="00E62FE6">
        <w:t>place</w:t>
      </w:r>
      <w:r w:rsidR="008243CA">
        <w:t xml:space="preserve"> </w:t>
      </w:r>
      <w:r w:rsidRPr="00E62FE6">
        <w:t>after</w:t>
      </w:r>
      <w:r w:rsidR="008243CA">
        <w:t xml:space="preserve"> </w:t>
      </w:r>
      <w:r w:rsidRPr="00E62FE6">
        <w:t>the</w:t>
      </w:r>
      <w:r w:rsidR="008243CA">
        <w:t xml:space="preserve"> </w:t>
      </w:r>
      <w:r w:rsidRPr="00E62FE6">
        <w:t>second</w:t>
      </w:r>
      <w:r w:rsidR="008243CA">
        <w:t xml:space="preserve"> </w:t>
      </w:r>
      <w:r w:rsidRPr="00E62FE6">
        <w:t>half</w:t>
      </w:r>
      <w:r w:rsidR="008243CA">
        <w:t xml:space="preserve"> </w:t>
      </w:r>
      <w:r w:rsidRPr="00E62FE6">
        <w:t>of</w:t>
      </w:r>
      <w:r w:rsidR="008243CA">
        <w:t xml:space="preserve"> </w:t>
      </w:r>
      <w:r w:rsidRPr="00E62FE6">
        <w:t>2017.</w:t>
      </w:r>
    </w:p>
    <w:p w:rsidR="003F7D03" w:rsidRPr="00E62FE6" w:rsidRDefault="003F7D03" w:rsidP="000C6D98">
      <w:pPr>
        <w:pStyle w:val="SingleTxtG"/>
      </w:pPr>
      <w:r w:rsidRPr="00E62FE6">
        <w:t>146.</w:t>
      </w:r>
      <w:r w:rsidRPr="00E62FE6">
        <w:tab/>
        <w:t>In</w:t>
      </w:r>
      <w:r w:rsidR="008243CA">
        <w:t xml:space="preserve"> </w:t>
      </w:r>
      <w:r w:rsidRPr="00E62FE6">
        <w:t>conjunction</w:t>
      </w:r>
      <w:r w:rsidR="008243CA">
        <w:t xml:space="preserve"> </w:t>
      </w:r>
      <w:r w:rsidRPr="00E62FE6">
        <w:t>with</w:t>
      </w:r>
      <w:r w:rsidR="008243CA">
        <w:t xml:space="preserve"> </w:t>
      </w:r>
      <w:r w:rsidRPr="00E62FE6">
        <w:t>these</w:t>
      </w:r>
      <w:r w:rsidR="008243CA">
        <w:t xml:space="preserve"> </w:t>
      </w:r>
      <w:r w:rsidRPr="00E62FE6">
        <w:t>efforts,</w:t>
      </w:r>
      <w:r w:rsidR="008243CA">
        <w:t xml:space="preserve"> </w:t>
      </w:r>
      <w:r w:rsidRPr="00E62FE6">
        <w:t>the</w:t>
      </w:r>
      <w:r w:rsidR="008243CA">
        <w:t xml:space="preserve"> </w:t>
      </w:r>
      <w:r w:rsidRPr="00E62FE6">
        <w:t>Prison</w:t>
      </w:r>
      <w:r w:rsidR="008243CA">
        <w:t xml:space="preserve"> </w:t>
      </w:r>
      <w:r w:rsidRPr="00E62FE6">
        <w:t>Service</w:t>
      </w:r>
      <w:r w:rsidR="008243CA">
        <w:t xml:space="preserve"> </w:t>
      </w:r>
      <w:r w:rsidRPr="00E62FE6">
        <w:t>has</w:t>
      </w:r>
      <w:r w:rsidR="008243CA">
        <w:t xml:space="preserve"> </w:t>
      </w:r>
      <w:r w:rsidRPr="00E62FE6">
        <w:t>taken</w:t>
      </w:r>
      <w:r w:rsidR="008243CA">
        <w:t xml:space="preserve"> </w:t>
      </w:r>
      <w:r w:rsidRPr="00E62FE6">
        <w:t>steps</w:t>
      </w:r>
      <w:r w:rsidR="008243CA">
        <w:t xml:space="preserve"> </w:t>
      </w:r>
      <w:r w:rsidRPr="00E62FE6">
        <w:t>to</w:t>
      </w:r>
      <w:r w:rsidR="008243CA">
        <w:t xml:space="preserve"> </w:t>
      </w:r>
      <w:r w:rsidRPr="00E62FE6">
        <w:t>ensure</w:t>
      </w:r>
      <w:r w:rsidR="008243CA">
        <w:t xml:space="preserve"> </w:t>
      </w:r>
      <w:r w:rsidRPr="00E62FE6">
        <w:t>the</w:t>
      </w:r>
      <w:r w:rsidR="008243CA">
        <w:t xml:space="preserve"> </w:t>
      </w:r>
      <w:r w:rsidRPr="00E62FE6">
        <w:t>health</w:t>
      </w:r>
      <w:r w:rsidR="008243CA">
        <w:t xml:space="preserve"> </w:t>
      </w:r>
      <w:r w:rsidRPr="00E62FE6">
        <w:t>of</w:t>
      </w:r>
      <w:r w:rsidR="008243CA">
        <w:t xml:space="preserve"> </w:t>
      </w:r>
      <w:r w:rsidRPr="00E62FE6">
        <w:t>women</w:t>
      </w:r>
      <w:r w:rsidR="008243CA">
        <w:t xml:space="preserve"> </w:t>
      </w:r>
      <w:r w:rsidRPr="00E62FE6">
        <w:t>prisoners.</w:t>
      </w:r>
      <w:r w:rsidR="008243CA">
        <w:t xml:space="preserve"> </w:t>
      </w:r>
      <w:r w:rsidRPr="00E62FE6">
        <w:t>Accordingly,</w:t>
      </w:r>
      <w:r w:rsidR="008243CA">
        <w:t xml:space="preserve"> </w:t>
      </w:r>
      <w:r w:rsidRPr="00E62FE6">
        <w:t>women</w:t>
      </w:r>
      <w:r w:rsidR="00116F0B">
        <w:t>’</w:t>
      </w:r>
      <w:r w:rsidRPr="00E62FE6">
        <w:t>s</w:t>
      </w:r>
      <w:r w:rsidR="008243CA">
        <w:t xml:space="preserve"> </w:t>
      </w:r>
      <w:r w:rsidRPr="00E62FE6">
        <w:t>prisons</w:t>
      </w:r>
      <w:r w:rsidR="008243CA">
        <w:t xml:space="preserve"> </w:t>
      </w:r>
      <w:r w:rsidRPr="00E62FE6">
        <w:t>operating</w:t>
      </w:r>
      <w:r w:rsidR="008243CA">
        <w:t xml:space="preserve"> </w:t>
      </w:r>
      <w:r w:rsidRPr="00E62FE6">
        <w:t>under</w:t>
      </w:r>
      <w:r w:rsidR="008243CA">
        <w:t xml:space="preserve"> </w:t>
      </w:r>
      <w:r w:rsidRPr="00E62FE6">
        <w:t>the</w:t>
      </w:r>
      <w:r w:rsidR="008243CA">
        <w:t xml:space="preserve"> </w:t>
      </w:r>
      <w:r w:rsidRPr="00E62FE6">
        <w:t>concession</w:t>
      </w:r>
      <w:r w:rsidR="008243CA">
        <w:t xml:space="preserve"> </w:t>
      </w:r>
      <w:r w:rsidRPr="00E62FE6">
        <w:t>system</w:t>
      </w:r>
      <w:r w:rsidR="008243CA">
        <w:t xml:space="preserve"> </w:t>
      </w:r>
      <w:r w:rsidRPr="00E62FE6">
        <w:t>are</w:t>
      </w:r>
      <w:r w:rsidR="008243CA">
        <w:t xml:space="preserve"> </w:t>
      </w:r>
      <w:r w:rsidRPr="00E62FE6">
        <w:t>contractually</w:t>
      </w:r>
      <w:r w:rsidR="008243CA">
        <w:t xml:space="preserve"> </w:t>
      </w:r>
      <w:r w:rsidRPr="00E62FE6">
        <w:t>obliged</w:t>
      </w:r>
      <w:r w:rsidR="008243CA">
        <w:t xml:space="preserve"> </w:t>
      </w:r>
      <w:r w:rsidRPr="00E62FE6">
        <w:t>to</w:t>
      </w:r>
      <w:r w:rsidR="008243CA">
        <w:t xml:space="preserve"> </w:t>
      </w:r>
      <w:r w:rsidRPr="00E62FE6">
        <w:t>maintain</w:t>
      </w:r>
      <w:r w:rsidR="008243CA">
        <w:t xml:space="preserve"> </w:t>
      </w:r>
      <w:r w:rsidRPr="00E62FE6">
        <w:t>sanitary</w:t>
      </w:r>
      <w:r w:rsidR="008243CA">
        <w:t xml:space="preserve"> </w:t>
      </w:r>
      <w:r w:rsidRPr="00E62FE6">
        <w:t>conditions</w:t>
      </w:r>
      <w:r w:rsidR="008243CA">
        <w:t xml:space="preserve"> </w:t>
      </w:r>
      <w:r w:rsidRPr="00E62FE6">
        <w:t>suitable</w:t>
      </w:r>
      <w:r w:rsidR="008243CA">
        <w:t xml:space="preserve"> </w:t>
      </w:r>
      <w:r w:rsidRPr="00E62FE6">
        <w:t>for</w:t>
      </w:r>
      <w:r w:rsidR="008243CA">
        <w:t xml:space="preserve"> </w:t>
      </w:r>
      <w:r w:rsidRPr="00E62FE6">
        <w:t>the</w:t>
      </w:r>
      <w:r w:rsidR="008243CA">
        <w:t xml:space="preserve"> </w:t>
      </w:r>
      <w:r w:rsidRPr="00E62FE6">
        <w:t>provision</w:t>
      </w:r>
      <w:r w:rsidR="008243CA">
        <w:t xml:space="preserve"> </w:t>
      </w:r>
      <w:r w:rsidRPr="00E62FE6">
        <w:t>of</w:t>
      </w:r>
      <w:r w:rsidR="008243CA">
        <w:t xml:space="preserve"> </w:t>
      </w:r>
      <w:r w:rsidRPr="00E62FE6">
        <w:t>services</w:t>
      </w:r>
      <w:r w:rsidR="008243CA">
        <w:t xml:space="preserve"> </w:t>
      </w:r>
      <w:r w:rsidRPr="00E62FE6">
        <w:t>to</w:t>
      </w:r>
      <w:r w:rsidR="008243CA">
        <w:t xml:space="preserve"> </w:t>
      </w:r>
      <w:r w:rsidRPr="00E62FE6">
        <w:t>women,</w:t>
      </w:r>
      <w:r w:rsidR="008243CA">
        <w:t xml:space="preserve"> </w:t>
      </w:r>
      <w:r w:rsidRPr="00E62FE6">
        <w:t>such</w:t>
      </w:r>
      <w:r w:rsidR="008243CA">
        <w:t xml:space="preserve"> </w:t>
      </w:r>
      <w:r w:rsidRPr="00E62FE6">
        <w:t>as</w:t>
      </w:r>
      <w:r w:rsidR="008243CA">
        <w:t xml:space="preserve"> </w:t>
      </w:r>
      <w:r w:rsidRPr="00E62FE6">
        <w:t>gynaecological</w:t>
      </w:r>
      <w:r w:rsidR="008243CA">
        <w:t xml:space="preserve"> </w:t>
      </w:r>
      <w:r w:rsidRPr="00E62FE6">
        <w:t>care.</w:t>
      </w:r>
      <w:r w:rsidR="008243CA">
        <w:t xml:space="preserve"> </w:t>
      </w:r>
      <w:r w:rsidRPr="00E62FE6">
        <w:t>Traditional</w:t>
      </w:r>
      <w:r w:rsidR="008243CA">
        <w:t xml:space="preserve"> </w:t>
      </w:r>
      <w:r w:rsidRPr="00E62FE6">
        <w:t>prisons</w:t>
      </w:r>
      <w:r w:rsidR="008243CA">
        <w:t xml:space="preserve"> </w:t>
      </w:r>
      <w:r w:rsidRPr="00E62FE6">
        <w:t>must</w:t>
      </w:r>
      <w:r w:rsidR="008243CA">
        <w:t xml:space="preserve"> </w:t>
      </w:r>
      <w:r w:rsidRPr="00E62FE6">
        <w:t>also</w:t>
      </w:r>
      <w:r w:rsidR="008243CA">
        <w:t xml:space="preserve"> </w:t>
      </w:r>
      <w:r w:rsidRPr="00E62FE6">
        <w:t>provide</w:t>
      </w:r>
      <w:r w:rsidR="008243CA">
        <w:t xml:space="preserve"> </w:t>
      </w:r>
      <w:r w:rsidRPr="00E62FE6">
        <w:t>services</w:t>
      </w:r>
      <w:r w:rsidR="008243CA">
        <w:t xml:space="preserve"> </w:t>
      </w:r>
      <w:r w:rsidRPr="00E62FE6">
        <w:t>for</w:t>
      </w:r>
      <w:r w:rsidR="008243CA">
        <w:t xml:space="preserve"> </w:t>
      </w:r>
      <w:r w:rsidRPr="00E62FE6">
        <w:t>women</w:t>
      </w:r>
      <w:r w:rsidR="008243CA">
        <w:t xml:space="preserve"> </w:t>
      </w:r>
      <w:r w:rsidRPr="00E62FE6">
        <w:t>through</w:t>
      </w:r>
      <w:r w:rsidR="008243CA">
        <w:t xml:space="preserve"> </w:t>
      </w:r>
      <w:r w:rsidRPr="00E62FE6">
        <w:t>referral</w:t>
      </w:r>
      <w:r w:rsidR="008243CA">
        <w:t xml:space="preserve"> </w:t>
      </w:r>
      <w:r w:rsidRPr="00E62FE6">
        <w:t>systems.</w:t>
      </w:r>
    </w:p>
    <w:p w:rsidR="003F7D03" w:rsidRPr="00E62FE6" w:rsidRDefault="003F7D03" w:rsidP="000C6D98">
      <w:pPr>
        <w:pStyle w:val="SingleTxtG"/>
      </w:pPr>
      <w:r w:rsidRPr="00E62FE6">
        <w:t>147.</w:t>
      </w:r>
      <w:r w:rsidRPr="00E62FE6">
        <w:tab/>
        <w:t>Under</w:t>
      </w:r>
      <w:r w:rsidR="008243CA">
        <w:t xml:space="preserve"> </w:t>
      </w:r>
      <w:r w:rsidRPr="00E62FE6">
        <w:t>an</w:t>
      </w:r>
      <w:r w:rsidR="008243CA">
        <w:t xml:space="preserve"> </w:t>
      </w:r>
      <w:r w:rsidRPr="00E62FE6">
        <w:t>agreement</w:t>
      </w:r>
      <w:r w:rsidR="008243CA">
        <w:t xml:space="preserve"> </w:t>
      </w:r>
      <w:r w:rsidRPr="00E62FE6">
        <w:t>between</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Justice</w:t>
      </w:r>
      <w:r w:rsidR="008243CA">
        <w:t xml:space="preserve"> </w:t>
      </w:r>
      <w:r w:rsidRPr="00E62FE6">
        <w:t>and</w:t>
      </w:r>
      <w:r w:rsidR="008243CA">
        <w:t xml:space="preserve"> </w:t>
      </w:r>
      <w:r w:rsidRPr="00E62FE6">
        <w:t>Human</w:t>
      </w:r>
      <w:r w:rsidR="008243CA">
        <w:t xml:space="preserve"> </w:t>
      </w:r>
      <w:r w:rsidRPr="00E62FE6">
        <w:t>Rights</w:t>
      </w:r>
      <w:r w:rsidR="008243CA">
        <w:t xml:space="preserve"> </w:t>
      </w:r>
      <w:r w:rsidRPr="00E62FE6">
        <w:t>and</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Health,</w:t>
      </w:r>
      <w:r w:rsidR="008243CA">
        <w:t xml:space="preserve"> </w:t>
      </w:r>
      <w:r w:rsidRPr="00E62FE6">
        <w:t>mental</w:t>
      </w:r>
      <w:r w:rsidR="008243CA">
        <w:t xml:space="preserve"> </w:t>
      </w:r>
      <w:r w:rsidRPr="00E62FE6">
        <w:t>health</w:t>
      </w:r>
      <w:r w:rsidR="008243CA">
        <w:t xml:space="preserve"> </w:t>
      </w:r>
      <w:r w:rsidRPr="00E62FE6">
        <w:t>care</w:t>
      </w:r>
      <w:r w:rsidR="008243CA">
        <w:t xml:space="preserve"> </w:t>
      </w:r>
      <w:r w:rsidRPr="00E62FE6">
        <w:t>must</w:t>
      </w:r>
      <w:r w:rsidR="008243CA">
        <w:t xml:space="preserve"> </w:t>
      </w:r>
      <w:r w:rsidRPr="00E62FE6">
        <w:t>be</w:t>
      </w:r>
      <w:r w:rsidR="008243CA">
        <w:t xml:space="preserve"> </w:t>
      </w:r>
      <w:r w:rsidRPr="00E62FE6">
        <w:t>provided</w:t>
      </w:r>
      <w:r w:rsidR="008243CA">
        <w:t xml:space="preserve"> </w:t>
      </w:r>
      <w:r w:rsidRPr="00E62FE6">
        <w:t>for</w:t>
      </w:r>
      <w:r w:rsidR="008243CA">
        <w:t xml:space="preserve"> </w:t>
      </w:r>
      <w:r w:rsidRPr="00E62FE6">
        <w:t>persons</w:t>
      </w:r>
      <w:r w:rsidR="008243CA">
        <w:t xml:space="preserve"> </w:t>
      </w:r>
      <w:r w:rsidRPr="00E62FE6">
        <w:t>remanded</w:t>
      </w:r>
      <w:r w:rsidR="008243CA">
        <w:t xml:space="preserve"> </w:t>
      </w:r>
      <w:r w:rsidRPr="00E62FE6">
        <w:t>in</w:t>
      </w:r>
      <w:r w:rsidR="008243CA">
        <w:t xml:space="preserve"> </w:t>
      </w:r>
      <w:r w:rsidRPr="00E62FE6">
        <w:t>custody,</w:t>
      </w:r>
      <w:r w:rsidR="008243CA">
        <w:t xml:space="preserve"> </w:t>
      </w:r>
      <w:r w:rsidRPr="00E62FE6">
        <w:t>and</w:t>
      </w:r>
      <w:r w:rsidR="008243CA">
        <w:t xml:space="preserve"> </w:t>
      </w:r>
      <w:r w:rsidRPr="00E62FE6">
        <w:t>if</w:t>
      </w:r>
      <w:r w:rsidR="008243CA">
        <w:t xml:space="preserve"> </w:t>
      </w:r>
      <w:r w:rsidRPr="00E62FE6">
        <w:t>deemed</w:t>
      </w:r>
      <w:r w:rsidR="008243CA">
        <w:t xml:space="preserve"> </w:t>
      </w:r>
      <w:r w:rsidRPr="00E62FE6">
        <w:t>necessary,</w:t>
      </w:r>
      <w:r w:rsidR="008243CA">
        <w:t xml:space="preserve"> </w:t>
      </w:r>
      <w:r w:rsidRPr="00E62FE6">
        <w:t>a</w:t>
      </w:r>
      <w:r w:rsidR="008243CA">
        <w:t xml:space="preserve"> </w:t>
      </w:r>
      <w:r w:rsidRPr="00E62FE6">
        <w:t>psychiatric</w:t>
      </w:r>
      <w:r w:rsidR="008243CA">
        <w:t xml:space="preserve"> </w:t>
      </w:r>
      <w:r w:rsidRPr="00E62FE6">
        <w:t>evaluation</w:t>
      </w:r>
      <w:r w:rsidR="008243CA">
        <w:t xml:space="preserve"> </w:t>
      </w:r>
      <w:r w:rsidRPr="00E62FE6">
        <w:t>must</w:t>
      </w:r>
      <w:r w:rsidR="008243CA">
        <w:t xml:space="preserve"> </w:t>
      </w:r>
      <w:r w:rsidRPr="00E62FE6">
        <w:t>be</w:t>
      </w:r>
      <w:r w:rsidR="008243CA">
        <w:t xml:space="preserve"> </w:t>
      </w:r>
      <w:r w:rsidRPr="00E62FE6">
        <w:t>carried</w:t>
      </w:r>
      <w:r w:rsidR="008243CA">
        <w:t xml:space="preserve"> </w:t>
      </w:r>
      <w:r w:rsidRPr="00E62FE6">
        <w:t>out</w:t>
      </w:r>
      <w:r w:rsidR="008243CA">
        <w:t xml:space="preserve"> </w:t>
      </w:r>
      <w:r w:rsidRPr="00E62FE6">
        <w:t>by</w:t>
      </w:r>
      <w:r w:rsidR="008243CA">
        <w:t xml:space="preserve"> </w:t>
      </w:r>
      <w:r w:rsidRPr="00E62FE6">
        <w:t>a</w:t>
      </w:r>
      <w:r w:rsidR="008243CA">
        <w:t xml:space="preserve"> </w:t>
      </w:r>
      <w:r w:rsidRPr="00E62FE6">
        <w:t>Ministry</w:t>
      </w:r>
      <w:r w:rsidR="008243CA">
        <w:t xml:space="preserve"> </w:t>
      </w:r>
      <w:r w:rsidRPr="00E62FE6">
        <w:t>of</w:t>
      </w:r>
      <w:r w:rsidR="008243CA">
        <w:t xml:space="preserve"> </w:t>
      </w:r>
      <w:r w:rsidRPr="00E62FE6">
        <w:t>Health</w:t>
      </w:r>
      <w:r w:rsidR="008243CA">
        <w:t xml:space="preserve"> </w:t>
      </w:r>
      <w:r w:rsidRPr="00E62FE6">
        <w:t>technical</w:t>
      </w:r>
      <w:r w:rsidR="008243CA">
        <w:t xml:space="preserve"> </w:t>
      </w:r>
      <w:r w:rsidRPr="00E62FE6">
        <w:t>team</w:t>
      </w:r>
      <w:r w:rsidR="008243CA">
        <w:t xml:space="preserve"> </w:t>
      </w:r>
      <w:r w:rsidRPr="00E62FE6">
        <w:t>at</w:t>
      </w:r>
      <w:r w:rsidR="008243CA">
        <w:t xml:space="preserve"> </w:t>
      </w:r>
      <w:r w:rsidRPr="00E62FE6">
        <w:t>the</w:t>
      </w:r>
      <w:r w:rsidR="008243CA">
        <w:t xml:space="preserve"> </w:t>
      </w:r>
      <w:r w:rsidRPr="00E62FE6">
        <w:t>temporary</w:t>
      </w:r>
      <w:r w:rsidR="008243CA">
        <w:t xml:space="preserve"> </w:t>
      </w:r>
      <w:r w:rsidRPr="00E62FE6">
        <w:t>forensic</w:t>
      </w:r>
      <w:r w:rsidR="008243CA">
        <w:t xml:space="preserve"> </w:t>
      </w:r>
      <w:r w:rsidRPr="00E62FE6">
        <w:t>psychiatric</w:t>
      </w:r>
      <w:r w:rsidR="008243CA">
        <w:t xml:space="preserve"> </w:t>
      </w:r>
      <w:r w:rsidRPr="00E62FE6">
        <w:t>unit</w:t>
      </w:r>
      <w:r w:rsidR="008243CA">
        <w:t xml:space="preserve"> </w:t>
      </w:r>
      <w:r w:rsidRPr="00E62FE6">
        <w:t>of</w:t>
      </w:r>
      <w:r w:rsidR="008243CA">
        <w:t xml:space="preserve"> </w:t>
      </w:r>
      <w:r w:rsidRPr="00E62FE6">
        <w:t>the</w:t>
      </w:r>
      <w:r w:rsidR="008243CA">
        <w:t xml:space="preserve"> </w:t>
      </w:r>
      <w:r w:rsidRPr="00E62FE6">
        <w:t>place</w:t>
      </w:r>
      <w:r w:rsidR="008243CA">
        <w:t xml:space="preserve"> </w:t>
      </w:r>
      <w:r w:rsidRPr="00E62FE6">
        <w:t>of</w:t>
      </w:r>
      <w:r w:rsidR="008243CA">
        <w:t xml:space="preserve"> </w:t>
      </w:r>
      <w:r w:rsidRPr="00E62FE6">
        <w:t>detention.</w:t>
      </w:r>
      <w:r w:rsidR="008243CA">
        <w:t xml:space="preserve"> </w:t>
      </w:r>
      <w:r w:rsidRPr="00E62FE6">
        <w:t>Once</w:t>
      </w:r>
      <w:r w:rsidR="008243CA">
        <w:t xml:space="preserve"> </w:t>
      </w:r>
      <w:r w:rsidRPr="00E62FE6">
        <w:t>the</w:t>
      </w:r>
      <w:r w:rsidR="008243CA">
        <w:t xml:space="preserve"> </w:t>
      </w:r>
      <w:r w:rsidRPr="00E62FE6">
        <w:t>expert</w:t>
      </w:r>
      <w:r w:rsidR="008243CA">
        <w:t xml:space="preserve"> </w:t>
      </w:r>
      <w:r w:rsidRPr="00E62FE6">
        <w:t>report</w:t>
      </w:r>
      <w:r w:rsidR="008243CA">
        <w:t xml:space="preserve"> </w:t>
      </w:r>
      <w:r w:rsidRPr="00E62FE6">
        <w:t>has</w:t>
      </w:r>
      <w:r w:rsidR="008243CA">
        <w:t xml:space="preserve"> </w:t>
      </w:r>
      <w:r w:rsidRPr="00E62FE6">
        <w:t>been</w:t>
      </w:r>
      <w:r w:rsidR="008243CA">
        <w:t xml:space="preserve"> </w:t>
      </w:r>
      <w:r w:rsidRPr="00E62FE6">
        <w:t>drafted,</w:t>
      </w:r>
      <w:r w:rsidR="008243CA">
        <w:t xml:space="preserve"> </w:t>
      </w:r>
      <w:r w:rsidRPr="00E62FE6">
        <w:t>the</w:t>
      </w:r>
      <w:r w:rsidR="008243CA">
        <w:t xml:space="preserve"> </w:t>
      </w:r>
      <w:r w:rsidRPr="00E62FE6">
        <w:t>court</w:t>
      </w:r>
      <w:r w:rsidR="008243CA">
        <w:t xml:space="preserve"> </w:t>
      </w:r>
      <w:r w:rsidRPr="00E62FE6">
        <w:t>determines</w:t>
      </w:r>
      <w:r w:rsidR="008243CA">
        <w:t xml:space="preserve"> </w:t>
      </w:r>
      <w:r w:rsidRPr="00E62FE6">
        <w:t>whether</w:t>
      </w:r>
      <w:r w:rsidR="008243CA">
        <w:t xml:space="preserve"> </w:t>
      </w:r>
      <w:r w:rsidRPr="00E62FE6">
        <w:t>the</w:t>
      </w:r>
      <w:r w:rsidR="008243CA">
        <w:t xml:space="preserve"> </w:t>
      </w:r>
      <w:r w:rsidRPr="00E62FE6">
        <w:t>accused</w:t>
      </w:r>
      <w:r w:rsidR="008243CA">
        <w:t xml:space="preserve"> </w:t>
      </w:r>
      <w:r w:rsidRPr="00E62FE6">
        <w:t>is</w:t>
      </w:r>
      <w:r w:rsidR="008243CA">
        <w:t xml:space="preserve"> </w:t>
      </w:r>
      <w:r w:rsidRPr="00E62FE6">
        <w:t>criminally</w:t>
      </w:r>
      <w:r w:rsidR="008243CA">
        <w:t xml:space="preserve"> </w:t>
      </w:r>
      <w:r w:rsidRPr="00E62FE6">
        <w:t>responsible</w:t>
      </w:r>
      <w:r w:rsidR="008243CA">
        <w:t xml:space="preserve"> </w:t>
      </w:r>
      <w:r w:rsidRPr="00E62FE6">
        <w:t>for</w:t>
      </w:r>
      <w:r w:rsidR="008243CA">
        <w:t xml:space="preserve"> </w:t>
      </w:r>
      <w:r w:rsidRPr="00E62FE6">
        <w:t>the</w:t>
      </w:r>
      <w:r w:rsidR="008243CA">
        <w:t xml:space="preserve"> </w:t>
      </w:r>
      <w:r w:rsidRPr="00E62FE6">
        <w:t>offence.</w:t>
      </w:r>
    </w:p>
    <w:p w:rsidR="003F7D03" w:rsidRPr="00E62FE6" w:rsidRDefault="003F7D03" w:rsidP="000C6D98">
      <w:pPr>
        <w:pStyle w:val="SingleTxtG"/>
      </w:pPr>
      <w:r w:rsidRPr="00E62FE6">
        <w:t>148.</w:t>
      </w:r>
      <w:r w:rsidRPr="00E62FE6">
        <w:tab/>
        <w:t>SENAME</w:t>
      </w:r>
      <w:r w:rsidR="008243CA">
        <w:t xml:space="preserve"> </w:t>
      </w:r>
      <w:r w:rsidRPr="00E62FE6">
        <w:t>also</w:t>
      </w:r>
      <w:r w:rsidR="008243CA">
        <w:t xml:space="preserve"> </w:t>
      </w:r>
      <w:r w:rsidRPr="00E62FE6">
        <w:t>intends</w:t>
      </w:r>
      <w:r w:rsidR="008243CA">
        <w:t xml:space="preserve"> </w:t>
      </w:r>
      <w:r w:rsidRPr="00E62FE6">
        <w:t>to</w:t>
      </w:r>
      <w:r w:rsidR="008243CA">
        <w:t xml:space="preserve"> </w:t>
      </w:r>
      <w:r w:rsidRPr="00E62FE6">
        <w:t>include</w:t>
      </w:r>
      <w:r w:rsidR="008243CA">
        <w:t xml:space="preserve"> </w:t>
      </w:r>
      <w:r w:rsidRPr="00E62FE6">
        <w:t>in</w:t>
      </w:r>
      <w:r w:rsidR="008243CA">
        <w:t xml:space="preserve"> </w:t>
      </w:r>
      <w:r w:rsidRPr="00E62FE6">
        <w:t>a</w:t>
      </w:r>
      <w:r w:rsidR="008243CA">
        <w:t xml:space="preserve"> </w:t>
      </w:r>
      <w:r w:rsidRPr="00E62FE6">
        <w:t>planned</w:t>
      </w:r>
      <w:r w:rsidR="008243CA">
        <w:t xml:space="preserve"> </w:t>
      </w:r>
      <w:r w:rsidRPr="00E62FE6">
        <w:t>agreement</w:t>
      </w:r>
      <w:r w:rsidR="008243CA">
        <w:t xml:space="preserve"> </w:t>
      </w:r>
      <w:r w:rsidRPr="00E62FE6">
        <w:t>with</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Health</w:t>
      </w:r>
      <w:r w:rsidR="008243CA">
        <w:t xml:space="preserve"> </w:t>
      </w:r>
      <w:r w:rsidRPr="00E62FE6">
        <w:t>a</w:t>
      </w:r>
      <w:r w:rsidR="008243CA">
        <w:t xml:space="preserve"> </w:t>
      </w:r>
      <w:r w:rsidRPr="00E62FE6">
        <w:t>section</w:t>
      </w:r>
      <w:r w:rsidR="008243CA">
        <w:t xml:space="preserve"> </w:t>
      </w:r>
      <w:r w:rsidRPr="00E62FE6">
        <w:t>on</w:t>
      </w:r>
      <w:r w:rsidR="008243CA">
        <w:t xml:space="preserve"> </w:t>
      </w:r>
      <w:r w:rsidRPr="00E62FE6">
        <w:t>mental</w:t>
      </w:r>
      <w:r w:rsidR="008243CA">
        <w:t xml:space="preserve"> </w:t>
      </w:r>
      <w:r w:rsidRPr="00E62FE6">
        <w:t>health</w:t>
      </w:r>
      <w:r w:rsidR="008243CA">
        <w:t xml:space="preserve"> </w:t>
      </w:r>
      <w:r w:rsidRPr="00E62FE6">
        <w:t>treatment</w:t>
      </w:r>
      <w:r w:rsidR="008243CA">
        <w:t xml:space="preserve"> </w:t>
      </w:r>
      <w:r w:rsidRPr="00E62FE6">
        <w:t>for</w:t>
      </w:r>
      <w:r w:rsidR="008243CA">
        <w:t xml:space="preserve"> </w:t>
      </w:r>
      <w:r w:rsidRPr="00E62FE6">
        <w:t>children</w:t>
      </w:r>
      <w:r w:rsidR="008243CA">
        <w:t xml:space="preserve"> </w:t>
      </w:r>
      <w:r w:rsidRPr="00E62FE6">
        <w:t>and</w:t>
      </w:r>
      <w:r w:rsidR="008243CA">
        <w:t xml:space="preserve"> </w:t>
      </w:r>
      <w:r w:rsidRPr="00E62FE6">
        <w:t>adolescents</w:t>
      </w:r>
      <w:r w:rsidR="008243CA">
        <w:t xml:space="preserve"> </w:t>
      </w:r>
      <w:r w:rsidRPr="00E62FE6">
        <w:t>in</w:t>
      </w:r>
      <w:r w:rsidR="008243CA">
        <w:t xml:space="preserve"> </w:t>
      </w:r>
      <w:r w:rsidRPr="00E62FE6">
        <w:t>juvenile</w:t>
      </w:r>
      <w:r w:rsidR="008243CA">
        <w:t xml:space="preserve"> </w:t>
      </w:r>
      <w:r w:rsidRPr="00E62FE6">
        <w:t>detention</w:t>
      </w:r>
      <w:r w:rsidR="008243CA">
        <w:t xml:space="preserve"> </w:t>
      </w:r>
      <w:r w:rsidRPr="00E62FE6">
        <w:t>centres.</w:t>
      </w:r>
      <w:r w:rsidR="008243CA">
        <w:t xml:space="preserve"> </w:t>
      </w:r>
      <w:r w:rsidRPr="00E62FE6">
        <w:t>SENAME</w:t>
      </w:r>
      <w:r w:rsidR="008243CA">
        <w:t xml:space="preserve"> </w:t>
      </w:r>
      <w:r w:rsidRPr="00E62FE6">
        <w:t>considers</w:t>
      </w:r>
      <w:r w:rsidR="008243CA">
        <w:t xml:space="preserve"> </w:t>
      </w:r>
      <w:r w:rsidRPr="00E62FE6">
        <w:t>that</w:t>
      </w:r>
      <w:r w:rsidR="008243CA">
        <w:t xml:space="preserve"> </w:t>
      </w:r>
      <w:r w:rsidRPr="00E62FE6">
        <w:t>this</w:t>
      </w:r>
      <w:r w:rsidR="008243CA">
        <w:t xml:space="preserve"> </w:t>
      </w:r>
      <w:r w:rsidRPr="00E62FE6">
        <w:t>type</w:t>
      </w:r>
      <w:r w:rsidR="008243CA">
        <w:t xml:space="preserve"> </w:t>
      </w:r>
      <w:r w:rsidRPr="00E62FE6">
        <w:t>of</w:t>
      </w:r>
      <w:r w:rsidR="008243CA">
        <w:t xml:space="preserve"> </w:t>
      </w:r>
      <w:r w:rsidRPr="00E62FE6">
        <w:t>measure</w:t>
      </w:r>
      <w:r w:rsidR="008243CA">
        <w:t xml:space="preserve"> </w:t>
      </w:r>
      <w:r w:rsidRPr="00E62FE6">
        <w:t>requires</w:t>
      </w:r>
      <w:r w:rsidR="008243CA">
        <w:t xml:space="preserve"> </w:t>
      </w:r>
      <w:r w:rsidRPr="00E62FE6">
        <w:t>long-term</w:t>
      </w:r>
      <w:r w:rsidR="008243CA">
        <w:t xml:space="preserve"> </w:t>
      </w:r>
      <w:r w:rsidRPr="00E62FE6">
        <w:t>implementation,</w:t>
      </w:r>
      <w:r w:rsidR="008243CA">
        <w:t xml:space="preserve"> </w:t>
      </w:r>
      <w:r w:rsidRPr="00E62FE6">
        <w:t>which</w:t>
      </w:r>
      <w:r w:rsidR="008243CA">
        <w:t xml:space="preserve"> </w:t>
      </w:r>
      <w:r w:rsidRPr="00E62FE6">
        <w:t>is</w:t>
      </w:r>
      <w:r w:rsidR="008243CA">
        <w:t xml:space="preserve"> </w:t>
      </w:r>
      <w:r w:rsidRPr="00E62FE6">
        <w:t>expected</w:t>
      </w:r>
      <w:r w:rsidR="008243CA">
        <w:t xml:space="preserve"> </w:t>
      </w:r>
      <w:r w:rsidRPr="00E62FE6">
        <w:t>to</w:t>
      </w:r>
      <w:r w:rsidR="008243CA">
        <w:t xml:space="preserve"> </w:t>
      </w:r>
      <w:r w:rsidRPr="00E62FE6">
        <w:t>be</w:t>
      </w:r>
      <w:r w:rsidR="008243CA">
        <w:t xml:space="preserve"> </w:t>
      </w:r>
      <w:r w:rsidRPr="00E62FE6">
        <w:t>scheduled</w:t>
      </w:r>
      <w:r w:rsidR="008243CA">
        <w:t xml:space="preserve"> </w:t>
      </w:r>
      <w:r w:rsidRPr="00E62FE6">
        <w:t>for</w:t>
      </w:r>
      <w:r w:rsidR="008243CA">
        <w:t xml:space="preserve"> </w:t>
      </w:r>
      <w:r w:rsidRPr="00E62FE6">
        <w:t>the</w:t>
      </w:r>
      <w:r w:rsidR="008243CA">
        <w:t xml:space="preserve"> </w:t>
      </w:r>
      <w:r w:rsidRPr="00E62FE6">
        <w:t>second</w:t>
      </w:r>
      <w:r w:rsidR="008243CA">
        <w:t xml:space="preserve"> </w:t>
      </w:r>
      <w:r w:rsidRPr="00E62FE6">
        <w:t>half</w:t>
      </w:r>
      <w:r w:rsidR="008243CA">
        <w:t xml:space="preserve"> </w:t>
      </w:r>
      <w:r w:rsidRPr="00E62FE6">
        <w:t>of</w:t>
      </w:r>
      <w:r w:rsidR="008243CA">
        <w:t xml:space="preserve"> </w:t>
      </w:r>
      <w:r w:rsidRPr="00E62FE6">
        <w:t>2017.</w:t>
      </w:r>
    </w:p>
    <w:p w:rsidR="003F7D03" w:rsidRPr="00602777" w:rsidRDefault="003F7D03" w:rsidP="000C6D98">
      <w:pPr>
        <w:pStyle w:val="SingleTxtG"/>
        <w:rPr>
          <w:i/>
          <w:iCs/>
        </w:rPr>
      </w:pPr>
      <w:r w:rsidRPr="00E62FE6">
        <w:t>149.</w:t>
      </w:r>
      <w:r w:rsidRPr="00E62FE6">
        <w:tab/>
        <w:t>Paragraph</w:t>
      </w:r>
      <w:r w:rsidR="008243CA">
        <w:t xml:space="preserve"> </w:t>
      </w:r>
      <w:r w:rsidRPr="00E62FE6">
        <w:t>98:</w:t>
      </w:r>
      <w:r w:rsidR="008243CA">
        <w:t xml:space="preserve"> </w:t>
      </w:r>
      <w:r w:rsidRPr="00602777">
        <w:rPr>
          <w:i/>
          <w:iCs/>
        </w:rPr>
        <w:t>In</w:t>
      </w:r>
      <w:r w:rsidR="008243CA" w:rsidRPr="00602777">
        <w:rPr>
          <w:i/>
          <w:iCs/>
        </w:rPr>
        <w:t xml:space="preserve"> </w:t>
      </w:r>
      <w:r w:rsidRPr="00602777">
        <w:rPr>
          <w:i/>
          <w:iCs/>
        </w:rPr>
        <w:t>line</w:t>
      </w:r>
      <w:r w:rsidR="008243CA" w:rsidRPr="00602777">
        <w:rPr>
          <w:i/>
          <w:iCs/>
        </w:rPr>
        <w:t xml:space="preserve"> </w:t>
      </w:r>
      <w:r w:rsidRPr="00602777">
        <w:rPr>
          <w:i/>
          <w:iCs/>
        </w:rPr>
        <w:t>with</w:t>
      </w:r>
      <w:r w:rsidR="008243CA" w:rsidRPr="00602777">
        <w:rPr>
          <w:i/>
          <w:iCs/>
        </w:rPr>
        <w:t xml:space="preserve"> </w:t>
      </w:r>
      <w:r w:rsidRPr="00602777">
        <w:rPr>
          <w:i/>
          <w:iCs/>
        </w:rPr>
        <w:t>the</w:t>
      </w:r>
      <w:r w:rsidR="008243CA" w:rsidRPr="00602777">
        <w:rPr>
          <w:i/>
          <w:iCs/>
        </w:rPr>
        <w:t xml:space="preserve"> </w:t>
      </w:r>
      <w:r w:rsidRPr="00602777">
        <w:rPr>
          <w:i/>
          <w:iCs/>
        </w:rPr>
        <w:t>Bangkok</w:t>
      </w:r>
      <w:r w:rsidR="008243CA" w:rsidRPr="00602777">
        <w:rPr>
          <w:i/>
          <w:iCs/>
        </w:rPr>
        <w:t xml:space="preserve"> </w:t>
      </w:r>
      <w:r w:rsidRPr="00602777">
        <w:rPr>
          <w:i/>
          <w:iCs/>
        </w:rPr>
        <w:t>Rules,</w:t>
      </w:r>
      <w:r w:rsidR="008243CA" w:rsidRPr="00602777">
        <w:rPr>
          <w:i/>
          <w:iCs/>
        </w:rPr>
        <w:t xml:space="preserve"> </w:t>
      </w:r>
      <w:r w:rsidRPr="00602777">
        <w:rPr>
          <w:i/>
          <w:iCs/>
        </w:rPr>
        <w:t>the</w:t>
      </w:r>
      <w:r w:rsidR="008243CA" w:rsidRPr="00602777">
        <w:rPr>
          <w:i/>
          <w:iCs/>
        </w:rPr>
        <w:t xml:space="preserve"> </w:t>
      </w:r>
      <w:r w:rsidRPr="00602777">
        <w:rPr>
          <w:i/>
          <w:iCs/>
        </w:rPr>
        <w:t>Subcommittee</w:t>
      </w:r>
      <w:r w:rsidR="008243CA" w:rsidRPr="00602777">
        <w:rPr>
          <w:i/>
          <w:iCs/>
        </w:rPr>
        <w:t xml:space="preserve"> </w:t>
      </w:r>
      <w:r w:rsidRPr="00602777">
        <w:rPr>
          <w:i/>
          <w:iCs/>
        </w:rPr>
        <w:t>recommends</w:t>
      </w:r>
      <w:r w:rsidR="008243CA" w:rsidRPr="00602777">
        <w:rPr>
          <w:i/>
          <w:iCs/>
        </w:rPr>
        <w:t xml:space="preserve"> </w:t>
      </w:r>
      <w:r w:rsidRPr="00602777">
        <w:rPr>
          <w:i/>
          <w:iCs/>
        </w:rPr>
        <w:t>that</w:t>
      </w:r>
      <w:r w:rsidR="008243CA" w:rsidRPr="00602777">
        <w:rPr>
          <w:i/>
          <w:iCs/>
        </w:rPr>
        <w:t xml:space="preserve"> </w:t>
      </w:r>
      <w:r w:rsidRPr="00602777">
        <w:rPr>
          <w:i/>
          <w:iCs/>
        </w:rPr>
        <w:t>the</w:t>
      </w:r>
      <w:r w:rsidR="008243CA" w:rsidRPr="00602777">
        <w:rPr>
          <w:i/>
          <w:iCs/>
        </w:rPr>
        <w:t xml:space="preserve"> </w:t>
      </w:r>
      <w:r w:rsidRPr="00602777">
        <w:rPr>
          <w:i/>
          <w:iCs/>
        </w:rPr>
        <w:t>State</w:t>
      </w:r>
      <w:r w:rsidR="008243CA" w:rsidRPr="00602777">
        <w:rPr>
          <w:i/>
          <w:iCs/>
        </w:rPr>
        <w:t xml:space="preserve"> </w:t>
      </w:r>
      <w:r w:rsidRPr="00602777">
        <w:rPr>
          <w:i/>
          <w:iCs/>
        </w:rPr>
        <w:t>party</w:t>
      </w:r>
      <w:r w:rsidR="008243CA" w:rsidRPr="00602777">
        <w:rPr>
          <w:i/>
          <w:iCs/>
        </w:rPr>
        <w:t xml:space="preserve"> </w:t>
      </w:r>
      <w:r w:rsidRPr="00602777">
        <w:rPr>
          <w:i/>
          <w:iCs/>
        </w:rPr>
        <w:t>ensure</w:t>
      </w:r>
      <w:r w:rsidR="008243CA" w:rsidRPr="00602777">
        <w:rPr>
          <w:i/>
          <w:iCs/>
        </w:rPr>
        <w:t xml:space="preserve"> </w:t>
      </w:r>
      <w:r w:rsidRPr="00602777">
        <w:rPr>
          <w:i/>
          <w:iCs/>
        </w:rPr>
        <w:t>that</w:t>
      </w:r>
      <w:r w:rsidR="008243CA" w:rsidRPr="00602777">
        <w:rPr>
          <w:i/>
          <w:iCs/>
        </w:rPr>
        <w:t xml:space="preserve"> </w:t>
      </w:r>
      <w:r w:rsidRPr="00602777">
        <w:rPr>
          <w:i/>
          <w:iCs/>
        </w:rPr>
        <w:t>nursing</w:t>
      </w:r>
      <w:r w:rsidR="008243CA" w:rsidRPr="00602777">
        <w:rPr>
          <w:i/>
          <w:iCs/>
        </w:rPr>
        <w:t xml:space="preserve"> </w:t>
      </w:r>
      <w:r w:rsidRPr="00602777">
        <w:rPr>
          <w:i/>
          <w:iCs/>
        </w:rPr>
        <w:t>mothers</w:t>
      </w:r>
      <w:r w:rsidR="008243CA" w:rsidRPr="00602777">
        <w:rPr>
          <w:i/>
          <w:iCs/>
        </w:rPr>
        <w:t xml:space="preserve"> </w:t>
      </w:r>
      <w:r w:rsidRPr="00602777">
        <w:rPr>
          <w:i/>
          <w:iCs/>
        </w:rPr>
        <w:t>and</w:t>
      </w:r>
      <w:r w:rsidR="008243CA" w:rsidRPr="00602777">
        <w:rPr>
          <w:i/>
          <w:iCs/>
        </w:rPr>
        <w:t xml:space="preserve"> </w:t>
      </w:r>
      <w:r w:rsidRPr="00602777">
        <w:rPr>
          <w:i/>
          <w:iCs/>
        </w:rPr>
        <w:t>their</w:t>
      </w:r>
      <w:r w:rsidR="008243CA" w:rsidRPr="00602777">
        <w:rPr>
          <w:i/>
          <w:iCs/>
        </w:rPr>
        <w:t xml:space="preserve"> </w:t>
      </w:r>
      <w:r w:rsidRPr="00602777">
        <w:rPr>
          <w:i/>
          <w:iCs/>
        </w:rPr>
        <w:t>children,</w:t>
      </w:r>
      <w:r w:rsidR="008243CA" w:rsidRPr="00602777">
        <w:rPr>
          <w:i/>
          <w:iCs/>
        </w:rPr>
        <w:t xml:space="preserve"> </w:t>
      </w:r>
      <w:r w:rsidRPr="00602777">
        <w:rPr>
          <w:i/>
          <w:iCs/>
        </w:rPr>
        <w:t>including</w:t>
      </w:r>
      <w:r w:rsidR="008243CA" w:rsidRPr="00602777">
        <w:rPr>
          <w:i/>
          <w:iCs/>
        </w:rPr>
        <w:t xml:space="preserve"> </w:t>
      </w:r>
      <w:r w:rsidRPr="00602777">
        <w:rPr>
          <w:i/>
          <w:iCs/>
        </w:rPr>
        <w:t>those</w:t>
      </w:r>
      <w:r w:rsidR="008243CA" w:rsidRPr="00602777">
        <w:rPr>
          <w:i/>
          <w:iCs/>
        </w:rPr>
        <w:t xml:space="preserve"> </w:t>
      </w:r>
      <w:r w:rsidRPr="00602777">
        <w:rPr>
          <w:i/>
          <w:iCs/>
        </w:rPr>
        <w:t>in</w:t>
      </w:r>
      <w:r w:rsidR="008243CA" w:rsidRPr="00602777">
        <w:rPr>
          <w:i/>
          <w:iCs/>
        </w:rPr>
        <w:t xml:space="preserve"> </w:t>
      </w:r>
      <w:r w:rsidRPr="00602777">
        <w:rPr>
          <w:i/>
          <w:iCs/>
        </w:rPr>
        <w:t>the</w:t>
      </w:r>
      <w:r w:rsidR="008243CA" w:rsidRPr="00602777">
        <w:rPr>
          <w:i/>
          <w:iCs/>
        </w:rPr>
        <w:t xml:space="preserve"> </w:t>
      </w:r>
      <w:r w:rsidRPr="00602777">
        <w:rPr>
          <w:i/>
          <w:iCs/>
        </w:rPr>
        <w:t>Antofagasta</w:t>
      </w:r>
      <w:r w:rsidR="008243CA" w:rsidRPr="00602777">
        <w:rPr>
          <w:i/>
          <w:iCs/>
        </w:rPr>
        <w:t xml:space="preserve"> </w:t>
      </w:r>
      <w:r w:rsidRPr="00602777">
        <w:rPr>
          <w:i/>
          <w:iCs/>
        </w:rPr>
        <w:t>prison,</w:t>
      </w:r>
      <w:r w:rsidR="008243CA" w:rsidRPr="00602777">
        <w:rPr>
          <w:i/>
          <w:iCs/>
        </w:rPr>
        <w:t xml:space="preserve"> </w:t>
      </w:r>
      <w:r w:rsidRPr="00602777">
        <w:rPr>
          <w:i/>
          <w:iCs/>
        </w:rPr>
        <w:t>have</w:t>
      </w:r>
      <w:r w:rsidR="008243CA" w:rsidRPr="00602777">
        <w:rPr>
          <w:i/>
          <w:iCs/>
        </w:rPr>
        <w:t xml:space="preserve"> </w:t>
      </w:r>
      <w:r w:rsidRPr="00602777">
        <w:rPr>
          <w:i/>
          <w:iCs/>
        </w:rPr>
        <w:t>adequate</w:t>
      </w:r>
      <w:r w:rsidR="008243CA" w:rsidRPr="00602777">
        <w:rPr>
          <w:i/>
          <w:iCs/>
        </w:rPr>
        <w:t xml:space="preserve"> </w:t>
      </w:r>
      <w:r w:rsidRPr="00602777">
        <w:rPr>
          <w:i/>
          <w:iCs/>
        </w:rPr>
        <w:t>space,</w:t>
      </w:r>
      <w:r w:rsidR="008243CA" w:rsidRPr="00602777">
        <w:rPr>
          <w:i/>
          <w:iCs/>
        </w:rPr>
        <w:t xml:space="preserve"> </w:t>
      </w:r>
      <w:r w:rsidRPr="00602777">
        <w:rPr>
          <w:i/>
          <w:iCs/>
        </w:rPr>
        <w:t>daily</w:t>
      </w:r>
      <w:r w:rsidR="008243CA" w:rsidRPr="00602777">
        <w:rPr>
          <w:i/>
          <w:iCs/>
        </w:rPr>
        <w:t xml:space="preserve"> </w:t>
      </w:r>
      <w:r w:rsidRPr="00602777">
        <w:rPr>
          <w:i/>
          <w:iCs/>
        </w:rPr>
        <w:t>exposure</w:t>
      </w:r>
      <w:r w:rsidR="008243CA" w:rsidRPr="00602777">
        <w:rPr>
          <w:i/>
          <w:iCs/>
        </w:rPr>
        <w:t xml:space="preserve"> </w:t>
      </w:r>
      <w:r w:rsidRPr="00602777">
        <w:rPr>
          <w:i/>
          <w:iCs/>
        </w:rPr>
        <w:t>to</w:t>
      </w:r>
      <w:r w:rsidR="008243CA" w:rsidRPr="00602777">
        <w:rPr>
          <w:i/>
          <w:iCs/>
        </w:rPr>
        <w:t xml:space="preserve"> </w:t>
      </w:r>
      <w:r w:rsidRPr="00602777">
        <w:rPr>
          <w:i/>
          <w:iCs/>
        </w:rPr>
        <w:t>natural</w:t>
      </w:r>
      <w:r w:rsidR="008243CA" w:rsidRPr="00602777">
        <w:rPr>
          <w:i/>
          <w:iCs/>
        </w:rPr>
        <w:t xml:space="preserve"> </w:t>
      </w:r>
      <w:r w:rsidRPr="00602777">
        <w:rPr>
          <w:i/>
          <w:iCs/>
        </w:rPr>
        <w:t>light</w:t>
      </w:r>
      <w:r w:rsidR="008243CA" w:rsidRPr="00602777">
        <w:rPr>
          <w:i/>
          <w:iCs/>
        </w:rPr>
        <w:t xml:space="preserve"> </w:t>
      </w:r>
      <w:r w:rsidRPr="00602777">
        <w:rPr>
          <w:i/>
          <w:iCs/>
        </w:rPr>
        <w:t>and</w:t>
      </w:r>
      <w:r w:rsidR="008243CA" w:rsidRPr="00602777">
        <w:rPr>
          <w:i/>
          <w:iCs/>
        </w:rPr>
        <w:t xml:space="preserve"> </w:t>
      </w:r>
      <w:r w:rsidRPr="00602777">
        <w:rPr>
          <w:i/>
          <w:iCs/>
        </w:rPr>
        <w:t>appropriate</w:t>
      </w:r>
      <w:r w:rsidR="008243CA" w:rsidRPr="00602777">
        <w:rPr>
          <w:i/>
          <w:iCs/>
        </w:rPr>
        <w:t xml:space="preserve"> </w:t>
      </w:r>
      <w:r w:rsidRPr="00602777">
        <w:rPr>
          <w:i/>
          <w:iCs/>
        </w:rPr>
        <w:t>ventilation</w:t>
      </w:r>
      <w:r w:rsidR="008243CA" w:rsidRPr="00602777">
        <w:rPr>
          <w:i/>
          <w:iCs/>
        </w:rPr>
        <w:t xml:space="preserve"> </w:t>
      </w:r>
      <w:r w:rsidRPr="00602777">
        <w:rPr>
          <w:i/>
          <w:iCs/>
        </w:rPr>
        <w:t>and</w:t>
      </w:r>
      <w:r w:rsidR="008243CA" w:rsidRPr="00602777">
        <w:rPr>
          <w:i/>
          <w:iCs/>
        </w:rPr>
        <w:t xml:space="preserve"> </w:t>
      </w:r>
      <w:r w:rsidRPr="00602777">
        <w:rPr>
          <w:i/>
          <w:iCs/>
        </w:rPr>
        <w:t>heating</w:t>
      </w:r>
      <w:r w:rsidR="008243CA" w:rsidRPr="00602777">
        <w:rPr>
          <w:i/>
          <w:iCs/>
        </w:rPr>
        <w:t xml:space="preserve"> </w:t>
      </w:r>
      <w:r w:rsidRPr="00602777">
        <w:rPr>
          <w:i/>
          <w:iCs/>
        </w:rPr>
        <w:t>for</w:t>
      </w:r>
      <w:r w:rsidR="008243CA" w:rsidRPr="00602777">
        <w:rPr>
          <w:i/>
          <w:iCs/>
        </w:rPr>
        <w:t xml:space="preserve"> </w:t>
      </w:r>
      <w:r w:rsidRPr="00602777">
        <w:rPr>
          <w:i/>
          <w:iCs/>
        </w:rPr>
        <w:t>the</w:t>
      </w:r>
      <w:r w:rsidR="008243CA" w:rsidRPr="00602777">
        <w:rPr>
          <w:i/>
          <w:iCs/>
        </w:rPr>
        <w:t xml:space="preserve"> </w:t>
      </w:r>
      <w:r w:rsidRPr="00602777">
        <w:rPr>
          <w:i/>
          <w:iCs/>
        </w:rPr>
        <w:t>weather</w:t>
      </w:r>
      <w:r w:rsidR="008243CA" w:rsidRPr="00602777">
        <w:rPr>
          <w:i/>
          <w:iCs/>
        </w:rPr>
        <w:t xml:space="preserve"> </w:t>
      </w:r>
      <w:r w:rsidRPr="00602777">
        <w:rPr>
          <w:i/>
          <w:iCs/>
        </w:rPr>
        <w:t>conditions</w:t>
      </w:r>
      <w:r w:rsidR="008243CA" w:rsidRPr="00602777">
        <w:rPr>
          <w:i/>
          <w:iCs/>
        </w:rPr>
        <w:t xml:space="preserve"> </w:t>
      </w:r>
      <w:r w:rsidRPr="00602777">
        <w:rPr>
          <w:i/>
          <w:iCs/>
        </w:rPr>
        <w:t>of</w:t>
      </w:r>
      <w:r w:rsidR="008243CA" w:rsidRPr="00602777">
        <w:rPr>
          <w:i/>
          <w:iCs/>
        </w:rPr>
        <w:t xml:space="preserve"> </w:t>
      </w:r>
      <w:r w:rsidRPr="00602777">
        <w:rPr>
          <w:i/>
          <w:iCs/>
        </w:rPr>
        <w:t>the</w:t>
      </w:r>
      <w:r w:rsidR="008243CA" w:rsidRPr="00602777">
        <w:rPr>
          <w:i/>
          <w:iCs/>
        </w:rPr>
        <w:t xml:space="preserve"> </w:t>
      </w:r>
      <w:r w:rsidRPr="00602777">
        <w:rPr>
          <w:i/>
          <w:iCs/>
        </w:rPr>
        <w:t>place</w:t>
      </w:r>
      <w:r w:rsidR="008243CA" w:rsidRPr="00602777">
        <w:rPr>
          <w:i/>
          <w:iCs/>
        </w:rPr>
        <w:t xml:space="preserve"> </w:t>
      </w:r>
      <w:r w:rsidRPr="00602777">
        <w:rPr>
          <w:i/>
          <w:iCs/>
        </w:rPr>
        <w:t>of</w:t>
      </w:r>
      <w:r w:rsidR="008243CA" w:rsidRPr="00602777">
        <w:rPr>
          <w:i/>
          <w:iCs/>
        </w:rPr>
        <w:t xml:space="preserve"> </w:t>
      </w:r>
      <w:r w:rsidRPr="00602777">
        <w:rPr>
          <w:i/>
          <w:iCs/>
        </w:rPr>
        <w:t>deprivation</w:t>
      </w:r>
      <w:r w:rsidR="008243CA" w:rsidRPr="00602777">
        <w:rPr>
          <w:i/>
          <w:iCs/>
        </w:rPr>
        <w:t xml:space="preserve"> </w:t>
      </w:r>
      <w:r w:rsidRPr="00602777">
        <w:rPr>
          <w:i/>
          <w:iCs/>
        </w:rPr>
        <w:t>of</w:t>
      </w:r>
      <w:r w:rsidR="008243CA" w:rsidRPr="00602777">
        <w:rPr>
          <w:i/>
          <w:iCs/>
        </w:rPr>
        <w:t xml:space="preserve"> </w:t>
      </w:r>
      <w:r w:rsidRPr="00602777">
        <w:rPr>
          <w:i/>
          <w:iCs/>
        </w:rPr>
        <w:t>liberty.</w:t>
      </w:r>
    </w:p>
    <w:p w:rsidR="003F7D03" w:rsidRPr="00E62FE6" w:rsidRDefault="003F7D03" w:rsidP="000C6D98">
      <w:pPr>
        <w:pStyle w:val="SingleTxtG"/>
      </w:pPr>
      <w:r w:rsidRPr="00E62FE6">
        <w:t>150.</w:t>
      </w:r>
      <w:r w:rsidRPr="00E62FE6">
        <w:tab/>
        <w:t>The</w:t>
      </w:r>
      <w:r w:rsidR="008243CA">
        <w:t xml:space="preserve"> </w:t>
      </w:r>
      <w:r w:rsidRPr="00E62FE6">
        <w:t>Prison</w:t>
      </w:r>
      <w:r w:rsidR="008243CA">
        <w:t xml:space="preserve"> </w:t>
      </w:r>
      <w:r w:rsidRPr="00E62FE6">
        <w:t>Service</w:t>
      </w:r>
      <w:r w:rsidR="008243CA">
        <w:t xml:space="preserve"> </w:t>
      </w:r>
      <w:r w:rsidRPr="00E62FE6">
        <w:t>conducted</w:t>
      </w:r>
      <w:r w:rsidR="008243CA">
        <w:t xml:space="preserve"> </w:t>
      </w:r>
      <w:r w:rsidRPr="00E62FE6">
        <w:t>a</w:t>
      </w:r>
      <w:r w:rsidR="008243CA">
        <w:t xml:space="preserve"> </w:t>
      </w:r>
      <w:r w:rsidRPr="00E62FE6">
        <w:t>survey</w:t>
      </w:r>
      <w:r w:rsidR="008243CA">
        <w:t xml:space="preserve"> </w:t>
      </w:r>
      <w:r w:rsidRPr="00E62FE6">
        <w:t>of</w:t>
      </w:r>
      <w:r w:rsidR="008243CA">
        <w:t xml:space="preserve"> </w:t>
      </w:r>
      <w:r w:rsidRPr="00E62FE6">
        <w:t>the</w:t>
      </w:r>
      <w:r w:rsidR="008243CA">
        <w:t xml:space="preserve"> </w:t>
      </w:r>
      <w:r w:rsidRPr="00E62FE6">
        <w:t>living</w:t>
      </w:r>
      <w:r w:rsidR="008243CA">
        <w:t xml:space="preserve"> </w:t>
      </w:r>
      <w:r w:rsidRPr="00E62FE6">
        <w:t>conditions</w:t>
      </w:r>
      <w:r w:rsidR="008243CA">
        <w:t xml:space="preserve"> </w:t>
      </w:r>
      <w:r w:rsidRPr="00E62FE6">
        <w:t>in</w:t>
      </w:r>
      <w:r w:rsidR="008243CA">
        <w:t xml:space="preserve"> </w:t>
      </w:r>
      <w:r w:rsidRPr="00E62FE6">
        <w:t>all</w:t>
      </w:r>
      <w:r w:rsidR="008243CA">
        <w:t xml:space="preserve"> </w:t>
      </w:r>
      <w:r w:rsidRPr="00E62FE6">
        <w:t>facilities</w:t>
      </w:r>
      <w:r w:rsidR="008243CA">
        <w:t xml:space="preserve"> </w:t>
      </w:r>
      <w:r w:rsidRPr="00E62FE6">
        <w:t>provided</w:t>
      </w:r>
      <w:r w:rsidR="008243CA">
        <w:t xml:space="preserve"> </w:t>
      </w:r>
      <w:r w:rsidRPr="00E62FE6">
        <w:t>for</w:t>
      </w:r>
      <w:r w:rsidR="008243CA">
        <w:t xml:space="preserve"> </w:t>
      </w:r>
      <w:r w:rsidRPr="00E62FE6">
        <w:t>nursing</w:t>
      </w:r>
      <w:r w:rsidR="008243CA">
        <w:t xml:space="preserve"> </w:t>
      </w:r>
      <w:r w:rsidRPr="00E62FE6">
        <w:t>mothers</w:t>
      </w:r>
      <w:r w:rsidR="008243CA">
        <w:t xml:space="preserve"> </w:t>
      </w:r>
      <w:r w:rsidRPr="00E62FE6">
        <w:t>at</w:t>
      </w:r>
      <w:r w:rsidR="008243CA">
        <w:t xml:space="preserve"> </w:t>
      </w:r>
      <w:r w:rsidRPr="00E62FE6">
        <w:t>the</w:t>
      </w:r>
      <w:r w:rsidR="008243CA">
        <w:t xml:space="preserve"> </w:t>
      </w:r>
      <w:r w:rsidRPr="00E62FE6">
        <w:t>national</w:t>
      </w:r>
      <w:r w:rsidR="008243CA">
        <w:t xml:space="preserve"> </w:t>
      </w:r>
      <w:r w:rsidRPr="00E62FE6">
        <w:t>level</w:t>
      </w:r>
      <w:r w:rsidR="008243CA">
        <w:t xml:space="preserve"> </w:t>
      </w:r>
      <w:r w:rsidRPr="00E62FE6">
        <w:t>under</w:t>
      </w:r>
      <w:r w:rsidR="008243CA">
        <w:t xml:space="preserve"> </w:t>
      </w:r>
      <w:r w:rsidRPr="00E62FE6">
        <w:t>the</w:t>
      </w:r>
      <w:r w:rsidR="008243CA">
        <w:t xml:space="preserve"> </w:t>
      </w:r>
      <w:r w:rsidRPr="00E62FE6">
        <w:t>Programme</w:t>
      </w:r>
      <w:r w:rsidR="008243CA">
        <w:t xml:space="preserve"> </w:t>
      </w:r>
      <w:r w:rsidRPr="00E62FE6">
        <w:t>of</w:t>
      </w:r>
      <w:r w:rsidR="008243CA">
        <w:t xml:space="preserve"> </w:t>
      </w:r>
      <w:r w:rsidRPr="00E62FE6">
        <w:t>Assistance</w:t>
      </w:r>
      <w:r w:rsidR="008243CA">
        <w:t xml:space="preserve"> </w:t>
      </w:r>
      <w:r w:rsidRPr="00E62FE6">
        <w:t>for</w:t>
      </w:r>
      <w:r w:rsidR="008243CA">
        <w:t xml:space="preserve"> </w:t>
      </w:r>
      <w:r w:rsidRPr="00E62FE6">
        <w:t>Pregnant</w:t>
      </w:r>
      <w:r w:rsidR="008243CA">
        <w:t xml:space="preserve"> </w:t>
      </w:r>
      <w:r w:rsidRPr="00E62FE6">
        <w:t>and</w:t>
      </w:r>
      <w:r w:rsidR="008243CA">
        <w:t xml:space="preserve"> </w:t>
      </w:r>
      <w:r w:rsidRPr="00E62FE6">
        <w:t>Nursing</w:t>
      </w:r>
      <w:r w:rsidR="008243CA">
        <w:t xml:space="preserve"> </w:t>
      </w:r>
      <w:r w:rsidRPr="00E62FE6">
        <w:t>Mothers.</w:t>
      </w:r>
      <w:r w:rsidR="008243CA">
        <w:t xml:space="preserve"> </w:t>
      </w:r>
      <w:r w:rsidRPr="00E62FE6">
        <w:t>It</w:t>
      </w:r>
      <w:r w:rsidR="008243CA">
        <w:t xml:space="preserve"> </w:t>
      </w:r>
      <w:r w:rsidRPr="00E62FE6">
        <w:t>was</w:t>
      </w:r>
      <w:r w:rsidR="008243CA">
        <w:t xml:space="preserve"> </w:t>
      </w:r>
      <w:r w:rsidRPr="00E62FE6">
        <w:t>found</w:t>
      </w:r>
      <w:r w:rsidR="008243CA">
        <w:t xml:space="preserve"> </w:t>
      </w:r>
      <w:r w:rsidRPr="00E62FE6">
        <w:t>that</w:t>
      </w:r>
      <w:r w:rsidR="008243CA">
        <w:t xml:space="preserve"> </w:t>
      </w:r>
      <w:r w:rsidRPr="00E62FE6">
        <w:t>care</w:t>
      </w:r>
      <w:r w:rsidR="008243CA">
        <w:t xml:space="preserve"> </w:t>
      </w:r>
      <w:r w:rsidRPr="00E62FE6">
        <w:t>facilities</w:t>
      </w:r>
      <w:r w:rsidR="008243CA">
        <w:t xml:space="preserve"> </w:t>
      </w:r>
      <w:r w:rsidRPr="00E62FE6">
        <w:t>for</w:t>
      </w:r>
      <w:r w:rsidR="008243CA">
        <w:t xml:space="preserve"> </w:t>
      </w:r>
      <w:r w:rsidRPr="00E62FE6">
        <w:t>pregnant</w:t>
      </w:r>
      <w:r w:rsidR="008243CA">
        <w:t xml:space="preserve"> </w:t>
      </w:r>
      <w:r w:rsidRPr="00E62FE6">
        <w:t>and</w:t>
      </w:r>
      <w:r w:rsidR="008243CA">
        <w:t xml:space="preserve"> </w:t>
      </w:r>
      <w:r w:rsidRPr="00E62FE6">
        <w:t>nursing</w:t>
      </w:r>
      <w:r w:rsidR="008243CA">
        <w:t xml:space="preserve"> </w:t>
      </w:r>
      <w:r w:rsidRPr="00E62FE6">
        <w:lastRenderedPageBreak/>
        <w:t>mothers</w:t>
      </w:r>
      <w:r w:rsidR="008243CA">
        <w:t xml:space="preserve"> </w:t>
      </w:r>
      <w:r w:rsidRPr="00E62FE6">
        <w:t>were</w:t>
      </w:r>
      <w:r w:rsidR="008243CA">
        <w:t xml:space="preserve"> </w:t>
      </w:r>
      <w:r w:rsidRPr="00E62FE6">
        <w:t>generally</w:t>
      </w:r>
      <w:r w:rsidR="008243CA">
        <w:t xml:space="preserve"> </w:t>
      </w:r>
      <w:r w:rsidRPr="00E62FE6">
        <w:t>rated</w:t>
      </w:r>
      <w:r w:rsidR="008243CA">
        <w:t xml:space="preserve"> </w:t>
      </w:r>
      <w:r w:rsidRPr="00E62FE6">
        <w:t>as</w:t>
      </w:r>
      <w:r w:rsidR="008243CA">
        <w:t xml:space="preserve"> </w:t>
      </w:r>
      <w:r w:rsidRPr="00E62FE6">
        <w:t>regular</w:t>
      </w:r>
      <w:r w:rsidR="008243CA">
        <w:t xml:space="preserve"> </w:t>
      </w:r>
      <w:r w:rsidRPr="00E62FE6">
        <w:t>or</w:t>
      </w:r>
      <w:r w:rsidR="008243CA">
        <w:t xml:space="preserve"> </w:t>
      </w:r>
      <w:r w:rsidRPr="00E62FE6">
        <w:t>good</w:t>
      </w:r>
      <w:r w:rsidRPr="00116F0B">
        <w:rPr>
          <w:rStyle w:val="FootnoteReference"/>
        </w:rPr>
        <w:footnoteReference w:id="50"/>
      </w:r>
      <w:r w:rsidR="008243CA">
        <w:t xml:space="preserve"> </w:t>
      </w:r>
      <w:r w:rsidRPr="00E62FE6">
        <w:t>and</w:t>
      </w:r>
      <w:r w:rsidR="008243CA">
        <w:t xml:space="preserve"> </w:t>
      </w:r>
      <w:r w:rsidRPr="00E62FE6">
        <w:t>therefore</w:t>
      </w:r>
      <w:r w:rsidR="008243CA">
        <w:t xml:space="preserve"> </w:t>
      </w:r>
      <w:r w:rsidRPr="00E62FE6">
        <w:t>did</w:t>
      </w:r>
      <w:r w:rsidR="008243CA">
        <w:t xml:space="preserve"> </w:t>
      </w:r>
      <w:r w:rsidRPr="00E62FE6">
        <w:t>not</w:t>
      </w:r>
      <w:r w:rsidR="008243CA">
        <w:t xml:space="preserve"> </w:t>
      </w:r>
      <w:r w:rsidRPr="00E62FE6">
        <w:t>require</w:t>
      </w:r>
      <w:r w:rsidR="008243CA">
        <w:t xml:space="preserve"> </w:t>
      </w:r>
      <w:r w:rsidRPr="00E62FE6">
        <w:t>immediate</w:t>
      </w:r>
      <w:r w:rsidR="008243CA">
        <w:t xml:space="preserve"> </w:t>
      </w:r>
      <w:r w:rsidRPr="00E62FE6">
        <w:t>intervention.</w:t>
      </w:r>
    </w:p>
    <w:p w:rsidR="003F7D03" w:rsidRPr="00E62FE6" w:rsidRDefault="003F7D03" w:rsidP="000C6D98">
      <w:pPr>
        <w:pStyle w:val="SingleTxtG"/>
      </w:pPr>
      <w:r w:rsidRPr="00E62FE6">
        <w:t>151.</w:t>
      </w:r>
      <w:r w:rsidRPr="00E62FE6">
        <w:tab/>
        <w:t>However,</w:t>
      </w:r>
      <w:r w:rsidR="008243CA">
        <w:t xml:space="preserve"> </w:t>
      </w:r>
      <w:r w:rsidRPr="00E62FE6">
        <w:t>it</w:t>
      </w:r>
      <w:r w:rsidR="008243CA">
        <w:t xml:space="preserve"> </w:t>
      </w:r>
      <w:r w:rsidRPr="00E62FE6">
        <w:t>was</w:t>
      </w:r>
      <w:r w:rsidR="008243CA">
        <w:t xml:space="preserve"> </w:t>
      </w:r>
      <w:r w:rsidRPr="00E62FE6">
        <w:t>found</w:t>
      </w:r>
      <w:r w:rsidR="008243CA">
        <w:t xml:space="preserve"> </w:t>
      </w:r>
      <w:r w:rsidRPr="00E62FE6">
        <w:t>that</w:t>
      </w:r>
      <w:r w:rsidR="008243CA">
        <w:t xml:space="preserve"> </w:t>
      </w:r>
      <w:r w:rsidRPr="00E62FE6">
        <w:t>the</w:t>
      </w:r>
      <w:r w:rsidR="008243CA">
        <w:t xml:space="preserve"> </w:t>
      </w:r>
      <w:r w:rsidRPr="00E62FE6">
        <w:t>need</w:t>
      </w:r>
      <w:r w:rsidR="008243CA">
        <w:t xml:space="preserve"> </w:t>
      </w:r>
      <w:r w:rsidRPr="00E62FE6">
        <w:t>for</w:t>
      </w:r>
      <w:r w:rsidR="008243CA">
        <w:t xml:space="preserve"> </w:t>
      </w:r>
      <w:r w:rsidRPr="00E62FE6">
        <w:t>infrastructure</w:t>
      </w:r>
      <w:r w:rsidR="008243CA">
        <w:t xml:space="preserve"> </w:t>
      </w:r>
      <w:r w:rsidRPr="00E62FE6">
        <w:t>improvements</w:t>
      </w:r>
      <w:r w:rsidR="008243CA">
        <w:t xml:space="preserve"> </w:t>
      </w:r>
      <w:r w:rsidRPr="00E62FE6">
        <w:t>was</w:t>
      </w:r>
      <w:r w:rsidR="008243CA">
        <w:t xml:space="preserve"> </w:t>
      </w:r>
      <w:r w:rsidRPr="00E62FE6">
        <w:t>greater</w:t>
      </w:r>
      <w:r w:rsidR="008243CA">
        <w:t xml:space="preserve"> </w:t>
      </w:r>
      <w:r w:rsidRPr="00E62FE6">
        <w:t>in</w:t>
      </w:r>
      <w:r w:rsidR="008243CA">
        <w:t xml:space="preserve"> </w:t>
      </w:r>
      <w:r w:rsidRPr="00E62FE6">
        <w:t>some</w:t>
      </w:r>
      <w:r w:rsidR="008243CA">
        <w:t xml:space="preserve"> </w:t>
      </w:r>
      <w:r w:rsidRPr="00E62FE6">
        <w:t>regions,</w:t>
      </w:r>
      <w:r w:rsidR="008243CA">
        <w:t xml:space="preserve"> </w:t>
      </w:r>
      <w:r w:rsidRPr="00E62FE6">
        <w:t>primarily</w:t>
      </w:r>
      <w:r w:rsidR="008243CA">
        <w:t xml:space="preserve"> </w:t>
      </w:r>
      <w:r w:rsidRPr="00E62FE6">
        <w:t>in</w:t>
      </w:r>
      <w:r w:rsidR="008243CA">
        <w:t xml:space="preserve"> </w:t>
      </w:r>
      <w:r w:rsidRPr="00E62FE6">
        <w:t>regard</w:t>
      </w:r>
      <w:r w:rsidR="008243CA">
        <w:t xml:space="preserve"> </w:t>
      </w:r>
      <w:r w:rsidRPr="00E62FE6">
        <w:t>to</w:t>
      </w:r>
      <w:r w:rsidR="008243CA">
        <w:t xml:space="preserve"> </w:t>
      </w:r>
      <w:r w:rsidRPr="00E62FE6">
        <w:t>sanitation</w:t>
      </w:r>
      <w:r w:rsidR="008243CA">
        <w:t xml:space="preserve"> </w:t>
      </w:r>
      <w:r w:rsidRPr="00E62FE6">
        <w:t>facilities</w:t>
      </w:r>
      <w:r w:rsidR="008243CA">
        <w:t xml:space="preserve"> </w:t>
      </w:r>
      <w:r w:rsidRPr="00E62FE6">
        <w:t>(poor</w:t>
      </w:r>
      <w:r w:rsidR="008243CA">
        <w:t xml:space="preserve"> </w:t>
      </w:r>
      <w:r w:rsidRPr="00E62FE6">
        <w:t>condition</w:t>
      </w:r>
      <w:r w:rsidR="008243CA">
        <w:t xml:space="preserve"> </w:t>
      </w:r>
      <w:r w:rsidRPr="00E62FE6">
        <w:t>of</w:t>
      </w:r>
      <w:r w:rsidR="008243CA">
        <w:t xml:space="preserve"> </w:t>
      </w:r>
      <w:r w:rsidRPr="00E62FE6">
        <w:t>bathrooms</w:t>
      </w:r>
      <w:r w:rsidR="008243CA">
        <w:t xml:space="preserve"> </w:t>
      </w:r>
      <w:r w:rsidRPr="00E62FE6">
        <w:t>and</w:t>
      </w:r>
      <w:r w:rsidR="008243CA">
        <w:t xml:space="preserve"> </w:t>
      </w:r>
      <w:r w:rsidRPr="00E62FE6">
        <w:t>drainage</w:t>
      </w:r>
      <w:r w:rsidR="008243CA">
        <w:t xml:space="preserve"> </w:t>
      </w:r>
      <w:r w:rsidRPr="00E62FE6">
        <w:t>systems);</w:t>
      </w:r>
      <w:r w:rsidR="008243CA">
        <w:t xml:space="preserve"> </w:t>
      </w:r>
      <w:r w:rsidRPr="00E62FE6">
        <w:t>malfunctioning</w:t>
      </w:r>
      <w:r w:rsidR="008243CA">
        <w:t xml:space="preserve"> </w:t>
      </w:r>
      <w:r w:rsidRPr="00E62FE6">
        <w:t>or</w:t>
      </w:r>
      <w:r w:rsidR="008243CA">
        <w:t xml:space="preserve"> </w:t>
      </w:r>
      <w:r w:rsidRPr="00E62FE6">
        <w:t>non-existent</w:t>
      </w:r>
      <w:r w:rsidR="008243CA">
        <w:t xml:space="preserve"> </w:t>
      </w:r>
      <w:r w:rsidRPr="00E62FE6">
        <w:t>heating;</w:t>
      </w:r>
      <w:r w:rsidR="008243CA">
        <w:t xml:space="preserve"> </w:t>
      </w:r>
      <w:r w:rsidRPr="00E62FE6">
        <w:t>inadequate</w:t>
      </w:r>
      <w:r w:rsidR="008243CA">
        <w:t xml:space="preserve"> </w:t>
      </w:r>
      <w:r w:rsidRPr="00E62FE6">
        <w:t>or</w:t>
      </w:r>
      <w:r w:rsidR="008243CA">
        <w:t xml:space="preserve"> </w:t>
      </w:r>
      <w:r w:rsidRPr="00E62FE6">
        <w:t>non-existent</w:t>
      </w:r>
      <w:r w:rsidR="008243CA">
        <w:t xml:space="preserve"> </w:t>
      </w:r>
      <w:r w:rsidRPr="00E62FE6">
        <w:t>recreational</w:t>
      </w:r>
      <w:r w:rsidR="008243CA">
        <w:t xml:space="preserve"> </w:t>
      </w:r>
      <w:r w:rsidRPr="00E62FE6">
        <w:t>spaces</w:t>
      </w:r>
      <w:r w:rsidR="008243CA">
        <w:t xml:space="preserve"> </w:t>
      </w:r>
      <w:r w:rsidRPr="00E62FE6">
        <w:t>and</w:t>
      </w:r>
      <w:r w:rsidR="008243CA">
        <w:t xml:space="preserve"> </w:t>
      </w:r>
      <w:r w:rsidRPr="00E62FE6">
        <w:t>the</w:t>
      </w:r>
      <w:r w:rsidR="008243CA">
        <w:t xml:space="preserve"> </w:t>
      </w:r>
      <w:r w:rsidRPr="00E62FE6">
        <w:t>lack</w:t>
      </w:r>
      <w:r w:rsidR="008243CA">
        <w:t xml:space="preserve"> </w:t>
      </w:r>
      <w:r w:rsidRPr="00E62FE6">
        <w:t>of</w:t>
      </w:r>
      <w:r w:rsidR="008243CA">
        <w:t xml:space="preserve"> </w:t>
      </w:r>
      <w:r w:rsidRPr="00E62FE6">
        <w:t>spaces</w:t>
      </w:r>
      <w:r w:rsidR="008243CA">
        <w:t xml:space="preserve"> </w:t>
      </w:r>
      <w:r w:rsidRPr="00E62FE6">
        <w:t>affording</w:t>
      </w:r>
      <w:r w:rsidR="008243CA">
        <w:t xml:space="preserve"> </w:t>
      </w:r>
      <w:r w:rsidRPr="00E62FE6">
        <w:t>basic</w:t>
      </w:r>
      <w:r w:rsidR="008243CA">
        <w:t xml:space="preserve"> </w:t>
      </w:r>
      <w:r w:rsidRPr="00E62FE6">
        <w:t>living</w:t>
      </w:r>
      <w:r w:rsidR="008243CA">
        <w:t xml:space="preserve"> </w:t>
      </w:r>
      <w:r w:rsidRPr="00E62FE6">
        <w:t>conditions.</w:t>
      </w:r>
      <w:r w:rsidR="008243CA">
        <w:t xml:space="preserve"> </w:t>
      </w:r>
      <w:r w:rsidRPr="00E62FE6">
        <w:t>In</w:t>
      </w:r>
      <w:r w:rsidR="008243CA">
        <w:t xml:space="preserve"> </w:t>
      </w:r>
      <w:r w:rsidRPr="00E62FE6">
        <w:t>this</w:t>
      </w:r>
      <w:r w:rsidR="008243CA">
        <w:t xml:space="preserve"> </w:t>
      </w:r>
      <w:r w:rsidRPr="00E62FE6">
        <w:t>regard</w:t>
      </w:r>
      <w:r w:rsidR="008243CA">
        <w:t xml:space="preserve"> </w:t>
      </w:r>
      <w:r w:rsidRPr="00E62FE6">
        <w:t>the</w:t>
      </w:r>
      <w:r w:rsidR="008243CA">
        <w:t xml:space="preserve"> </w:t>
      </w:r>
      <w:r w:rsidRPr="00E62FE6">
        <w:t>facilities</w:t>
      </w:r>
      <w:r w:rsidR="008243CA">
        <w:t xml:space="preserve"> </w:t>
      </w:r>
      <w:r w:rsidRPr="00E62FE6">
        <w:t>requiring</w:t>
      </w:r>
      <w:r w:rsidR="008243CA">
        <w:t xml:space="preserve"> </w:t>
      </w:r>
      <w:r w:rsidRPr="00E62FE6">
        <w:t>urgent</w:t>
      </w:r>
      <w:r w:rsidR="008243CA">
        <w:t xml:space="preserve"> </w:t>
      </w:r>
      <w:r w:rsidRPr="00E62FE6">
        <w:t>intervention</w:t>
      </w:r>
      <w:r w:rsidR="008243CA">
        <w:t xml:space="preserve"> </w:t>
      </w:r>
      <w:r w:rsidRPr="00E62FE6">
        <w:t>are:</w:t>
      </w:r>
    </w:p>
    <w:p w:rsidR="003F7D03" w:rsidRPr="00E62FE6" w:rsidRDefault="003F7D03" w:rsidP="002A0B6B">
      <w:pPr>
        <w:pStyle w:val="Bullet1G"/>
      </w:pPr>
      <w:proofErr w:type="spellStart"/>
      <w:r w:rsidRPr="00E62FE6">
        <w:t>Vallenar</w:t>
      </w:r>
      <w:proofErr w:type="spellEnd"/>
      <w:r w:rsidR="008243CA">
        <w:t xml:space="preserve"> </w:t>
      </w:r>
      <w:proofErr w:type="spellStart"/>
      <w:r w:rsidRPr="00E62FE6">
        <w:t>Pretrial</w:t>
      </w:r>
      <w:proofErr w:type="spellEnd"/>
      <w:r w:rsidR="008243CA">
        <w:t xml:space="preserve"> </w:t>
      </w:r>
      <w:r w:rsidRPr="00E62FE6">
        <w:t>Detention</w:t>
      </w:r>
      <w:r w:rsidR="008243CA">
        <w:t xml:space="preserve"> </w:t>
      </w:r>
      <w:r w:rsidRPr="00E62FE6">
        <w:t>Centre,</w:t>
      </w:r>
      <w:r w:rsidR="008243CA">
        <w:t xml:space="preserve"> </w:t>
      </w:r>
      <w:r w:rsidRPr="00E62FE6">
        <w:t>Atacama</w:t>
      </w:r>
      <w:r w:rsidR="008243CA">
        <w:t xml:space="preserve"> </w:t>
      </w:r>
      <w:r w:rsidRPr="00E62FE6">
        <w:t>Region</w:t>
      </w:r>
    </w:p>
    <w:p w:rsidR="003F7D03" w:rsidRPr="00E62FE6" w:rsidRDefault="003F7D03" w:rsidP="002A0B6B">
      <w:pPr>
        <w:pStyle w:val="Bullet1G"/>
      </w:pPr>
      <w:r w:rsidRPr="00E62FE6">
        <w:t>Valparaíso</w:t>
      </w:r>
      <w:r w:rsidR="008243CA">
        <w:t xml:space="preserve"> </w:t>
      </w:r>
      <w:r w:rsidRPr="00E62FE6">
        <w:t>Prison</w:t>
      </w:r>
      <w:r w:rsidR="008243CA">
        <w:t xml:space="preserve"> </w:t>
      </w:r>
      <w:r w:rsidRPr="00E62FE6">
        <w:t>Complex,</w:t>
      </w:r>
      <w:r w:rsidR="008243CA">
        <w:t xml:space="preserve"> </w:t>
      </w:r>
      <w:r w:rsidRPr="00E62FE6">
        <w:t>Valparaíso</w:t>
      </w:r>
      <w:r w:rsidR="008243CA">
        <w:t xml:space="preserve"> </w:t>
      </w:r>
      <w:r w:rsidRPr="00E62FE6">
        <w:t>Region</w:t>
      </w:r>
    </w:p>
    <w:p w:rsidR="003F7D03" w:rsidRPr="00E62FE6" w:rsidRDefault="003F7D03" w:rsidP="002A0B6B">
      <w:pPr>
        <w:pStyle w:val="Bullet1G"/>
      </w:pPr>
      <w:r w:rsidRPr="00E62FE6">
        <w:t>Rancagua</w:t>
      </w:r>
      <w:r w:rsidR="008243CA">
        <w:t xml:space="preserve"> </w:t>
      </w:r>
      <w:r w:rsidRPr="00E62FE6">
        <w:t>Prison</w:t>
      </w:r>
      <w:r w:rsidR="008243CA">
        <w:t xml:space="preserve"> </w:t>
      </w:r>
      <w:r w:rsidRPr="00E62FE6">
        <w:t>Complex,</w:t>
      </w:r>
      <w:r w:rsidR="008243CA">
        <w:t xml:space="preserve"> </w:t>
      </w:r>
      <w:r w:rsidRPr="00E62FE6">
        <w:t>O</w:t>
      </w:r>
      <w:r w:rsidR="00116F0B">
        <w:t>’</w:t>
      </w:r>
      <w:r w:rsidRPr="00E62FE6">
        <w:t>Higgins</w:t>
      </w:r>
      <w:r w:rsidR="008243CA">
        <w:t xml:space="preserve"> </w:t>
      </w:r>
      <w:r w:rsidRPr="00E62FE6">
        <w:t>Region</w:t>
      </w:r>
    </w:p>
    <w:p w:rsidR="003F7D03" w:rsidRPr="00E62FE6" w:rsidRDefault="003F7D03" w:rsidP="002A0B6B">
      <w:pPr>
        <w:pStyle w:val="Bullet1G"/>
      </w:pPr>
      <w:proofErr w:type="spellStart"/>
      <w:r w:rsidRPr="00E62FE6">
        <w:t>Coyhaique</w:t>
      </w:r>
      <w:proofErr w:type="spellEnd"/>
      <w:r w:rsidR="008243CA">
        <w:t xml:space="preserve"> </w:t>
      </w:r>
      <w:r w:rsidRPr="00E62FE6">
        <w:t>Prison,</w:t>
      </w:r>
      <w:r w:rsidR="008243CA">
        <w:t xml:space="preserve"> </w:t>
      </w:r>
      <w:proofErr w:type="spellStart"/>
      <w:r w:rsidRPr="00E62FE6">
        <w:t>Aysén</w:t>
      </w:r>
      <w:proofErr w:type="spellEnd"/>
      <w:r w:rsidR="008243CA">
        <w:t xml:space="preserve"> </w:t>
      </w:r>
      <w:r w:rsidRPr="00E62FE6">
        <w:t>Region</w:t>
      </w:r>
    </w:p>
    <w:p w:rsidR="003F7D03" w:rsidRPr="00E62FE6" w:rsidRDefault="003F7D03" w:rsidP="002A0B6B">
      <w:pPr>
        <w:pStyle w:val="Bullet1G"/>
      </w:pPr>
      <w:r w:rsidRPr="00E62FE6">
        <w:t>Valdivia</w:t>
      </w:r>
      <w:r w:rsidR="008243CA">
        <w:t xml:space="preserve"> </w:t>
      </w:r>
      <w:r w:rsidRPr="00E62FE6">
        <w:t>Education</w:t>
      </w:r>
      <w:r w:rsidR="008243CA">
        <w:t xml:space="preserve"> </w:t>
      </w:r>
      <w:r w:rsidRPr="00E62FE6">
        <w:t>and</w:t>
      </w:r>
      <w:r w:rsidR="008243CA">
        <w:t xml:space="preserve"> </w:t>
      </w:r>
      <w:r w:rsidRPr="00E62FE6">
        <w:t>Labour</w:t>
      </w:r>
      <w:r w:rsidR="008243CA">
        <w:t xml:space="preserve"> </w:t>
      </w:r>
      <w:r w:rsidRPr="00E62FE6">
        <w:t>Centre,</w:t>
      </w:r>
      <w:r w:rsidR="008243CA">
        <w:t xml:space="preserve"> </w:t>
      </w:r>
      <w:r w:rsidRPr="00E62FE6">
        <w:t>Los</w:t>
      </w:r>
      <w:r w:rsidR="008243CA">
        <w:t xml:space="preserve"> </w:t>
      </w:r>
      <w:r w:rsidRPr="00E62FE6">
        <w:t>Ríos</w:t>
      </w:r>
      <w:r w:rsidR="008243CA">
        <w:t xml:space="preserve"> </w:t>
      </w:r>
      <w:r w:rsidRPr="00E62FE6">
        <w:t>Region</w:t>
      </w:r>
    </w:p>
    <w:p w:rsidR="003F7D03" w:rsidRPr="00E62FE6" w:rsidRDefault="003F7D03" w:rsidP="002A0B6B">
      <w:pPr>
        <w:pStyle w:val="Bullet1G"/>
      </w:pPr>
      <w:r w:rsidRPr="00E62FE6">
        <w:t>Santiago</w:t>
      </w:r>
      <w:r w:rsidR="008243CA">
        <w:t xml:space="preserve"> </w:t>
      </w:r>
      <w:r w:rsidRPr="00E62FE6">
        <w:t>Women</w:t>
      </w:r>
      <w:r w:rsidR="00116F0B">
        <w:t>’</w:t>
      </w:r>
      <w:r w:rsidRPr="00E62FE6">
        <w:t>s</w:t>
      </w:r>
      <w:r w:rsidR="008243CA">
        <w:t xml:space="preserve"> </w:t>
      </w:r>
      <w:r w:rsidRPr="00E62FE6">
        <w:t>Prison,</w:t>
      </w:r>
      <w:r w:rsidR="008243CA">
        <w:t xml:space="preserve"> </w:t>
      </w:r>
      <w:r w:rsidRPr="00E62FE6">
        <w:t>Metropolitan</w:t>
      </w:r>
      <w:r w:rsidR="008243CA">
        <w:t xml:space="preserve"> </w:t>
      </w:r>
      <w:r w:rsidRPr="00E62FE6">
        <w:t>Region</w:t>
      </w:r>
    </w:p>
    <w:p w:rsidR="003F7D03" w:rsidRPr="00E62FE6" w:rsidRDefault="003F7D03" w:rsidP="002A0B6B">
      <w:pPr>
        <w:pStyle w:val="Bullet1G"/>
      </w:pPr>
      <w:r w:rsidRPr="00E62FE6">
        <w:t>San</w:t>
      </w:r>
      <w:r w:rsidR="008243CA">
        <w:t xml:space="preserve"> </w:t>
      </w:r>
      <w:r w:rsidRPr="00E62FE6">
        <w:t>Miguel</w:t>
      </w:r>
      <w:r w:rsidR="008243CA">
        <w:t xml:space="preserve"> </w:t>
      </w:r>
      <w:r w:rsidRPr="00E62FE6">
        <w:t>Women</w:t>
      </w:r>
      <w:r w:rsidR="00116F0B">
        <w:t>’</w:t>
      </w:r>
      <w:r w:rsidRPr="00E62FE6">
        <w:t>s</w:t>
      </w:r>
      <w:r w:rsidR="008243CA">
        <w:t xml:space="preserve"> </w:t>
      </w:r>
      <w:r w:rsidRPr="00E62FE6">
        <w:t>Prison,</w:t>
      </w:r>
      <w:r w:rsidR="008243CA">
        <w:t xml:space="preserve"> </w:t>
      </w:r>
      <w:r w:rsidRPr="00E62FE6">
        <w:t>Metropolitan</w:t>
      </w:r>
      <w:r w:rsidR="008243CA">
        <w:t xml:space="preserve"> </w:t>
      </w:r>
      <w:r w:rsidRPr="00E62FE6">
        <w:t>Region</w:t>
      </w:r>
    </w:p>
    <w:p w:rsidR="003F7D03" w:rsidRPr="00E62FE6" w:rsidRDefault="003F7D03" w:rsidP="002A0B6B">
      <w:pPr>
        <w:pStyle w:val="Bullet1G"/>
      </w:pPr>
      <w:r w:rsidRPr="00E62FE6">
        <w:t>Antofagasta</w:t>
      </w:r>
      <w:r w:rsidR="008243CA">
        <w:t xml:space="preserve"> </w:t>
      </w:r>
      <w:r w:rsidRPr="00E62FE6">
        <w:t>Women</w:t>
      </w:r>
      <w:r w:rsidR="00116F0B">
        <w:t>’</w:t>
      </w:r>
      <w:r w:rsidRPr="00E62FE6">
        <w:t>s</w:t>
      </w:r>
      <w:r w:rsidR="008243CA">
        <w:t xml:space="preserve"> </w:t>
      </w:r>
      <w:r w:rsidRPr="00E62FE6">
        <w:t>Prison,</w:t>
      </w:r>
      <w:r w:rsidR="008243CA">
        <w:t xml:space="preserve"> </w:t>
      </w:r>
      <w:r w:rsidRPr="00E62FE6">
        <w:t>Antofagasta</w:t>
      </w:r>
      <w:r w:rsidR="008243CA">
        <w:t xml:space="preserve"> </w:t>
      </w:r>
      <w:r w:rsidRPr="00E62FE6">
        <w:t>Region</w:t>
      </w:r>
    </w:p>
    <w:p w:rsidR="003F7D03" w:rsidRPr="00E62FE6" w:rsidRDefault="003F7D03" w:rsidP="000C6D98">
      <w:pPr>
        <w:pStyle w:val="SingleTxtG"/>
      </w:pPr>
      <w:r w:rsidRPr="00E62FE6">
        <w:t>152.</w:t>
      </w:r>
      <w:r w:rsidRPr="00E62FE6">
        <w:tab/>
        <w:t>As</w:t>
      </w:r>
      <w:r w:rsidR="008243CA">
        <w:t xml:space="preserve"> </w:t>
      </w:r>
      <w:r w:rsidRPr="00E62FE6">
        <w:t>a</w:t>
      </w:r>
      <w:r w:rsidR="008243CA">
        <w:t xml:space="preserve"> </w:t>
      </w:r>
      <w:r w:rsidRPr="00E62FE6">
        <w:t>specific</w:t>
      </w:r>
      <w:r w:rsidR="008243CA">
        <w:t xml:space="preserve"> </w:t>
      </w:r>
      <w:r w:rsidRPr="00E62FE6">
        <w:t>measure</w:t>
      </w:r>
      <w:r w:rsidR="008243CA">
        <w:t xml:space="preserve"> </w:t>
      </w:r>
      <w:r w:rsidRPr="00E62FE6">
        <w:t>to</w:t>
      </w:r>
      <w:r w:rsidR="008243CA">
        <w:t xml:space="preserve"> </w:t>
      </w:r>
      <w:r w:rsidRPr="00E62FE6">
        <w:t>improve</w:t>
      </w:r>
      <w:r w:rsidR="008243CA">
        <w:t xml:space="preserve"> </w:t>
      </w:r>
      <w:r w:rsidRPr="00E62FE6">
        <w:t>conditions</w:t>
      </w:r>
      <w:r w:rsidR="008243CA">
        <w:t xml:space="preserve"> </w:t>
      </w:r>
      <w:r w:rsidRPr="00E62FE6">
        <w:t>for</w:t>
      </w:r>
      <w:r w:rsidR="00116F0B">
        <w:t xml:space="preserve"> </w:t>
      </w:r>
      <w:r w:rsidRPr="00E62FE6">
        <w:t>delivery</w:t>
      </w:r>
      <w:r w:rsidR="008243CA">
        <w:t xml:space="preserve"> </w:t>
      </w:r>
      <w:r w:rsidRPr="00E62FE6">
        <w:t>of</w:t>
      </w:r>
      <w:r w:rsidR="008243CA">
        <w:t xml:space="preserve"> </w:t>
      </w:r>
      <w:r w:rsidRPr="00E62FE6">
        <w:t>the</w:t>
      </w:r>
      <w:r w:rsidR="008243CA">
        <w:t xml:space="preserve"> </w:t>
      </w:r>
      <w:r w:rsidRPr="00E62FE6">
        <w:t>Programme</w:t>
      </w:r>
      <w:r w:rsidR="008243CA">
        <w:t xml:space="preserve"> </w:t>
      </w:r>
      <w:r w:rsidRPr="00E62FE6">
        <w:t>of</w:t>
      </w:r>
      <w:r w:rsidR="008243CA">
        <w:t xml:space="preserve"> </w:t>
      </w:r>
      <w:r w:rsidRPr="00E62FE6">
        <w:t>Assistance</w:t>
      </w:r>
      <w:r w:rsidR="008243CA">
        <w:t xml:space="preserve"> </w:t>
      </w:r>
      <w:r w:rsidRPr="00E62FE6">
        <w:t>for</w:t>
      </w:r>
      <w:r w:rsidR="008243CA">
        <w:t xml:space="preserve"> </w:t>
      </w:r>
      <w:r w:rsidRPr="00E62FE6">
        <w:t>Pregnant</w:t>
      </w:r>
      <w:r w:rsidR="008243CA">
        <w:t xml:space="preserve"> </w:t>
      </w:r>
      <w:r w:rsidRPr="00E62FE6">
        <w:t>and</w:t>
      </w:r>
      <w:r w:rsidR="008243CA">
        <w:t xml:space="preserve"> </w:t>
      </w:r>
      <w:r w:rsidRPr="00E62FE6">
        <w:t>Nursing</w:t>
      </w:r>
      <w:r w:rsidR="008243CA">
        <w:t xml:space="preserve"> </w:t>
      </w:r>
      <w:r w:rsidRPr="00E62FE6">
        <w:t>Mothers,</w:t>
      </w:r>
      <w:r w:rsidR="008243CA">
        <w:t xml:space="preserve"> </w:t>
      </w:r>
      <w:r w:rsidRPr="00E62FE6">
        <w:t>the</w:t>
      </w:r>
      <w:r w:rsidR="008243CA">
        <w:t xml:space="preserve"> </w:t>
      </w:r>
      <w:r w:rsidRPr="00E62FE6">
        <w:t>National</w:t>
      </w:r>
      <w:r w:rsidR="008243CA">
        <w:t xml:space="preserve"> </w:t>
      </w:r>
      <w:r w:rsidRPr="00E62FE6">
        <w:t>Directorate</w:t>
      </w:r>
      <w:r w:rsidR="008243CA">
        <w:t xml:space="preserve"> </w:t>
      </w:r>
      <w:r w:rsidRPr="00E62FE6">
        <w:t>of</w:t>
      </w:r>
      <w:r w:rsidR="008243CA">
        <w:t xml:space="preserve"> </w:t>
      </w:r>
      <w:r w:rsidRPr="00E62FE6">
        <w:t>the</w:t>
      </w:r>
      <w:r w:rsidR="008243CA">
        <w:t xml:space="preserve"> </w:t>
      </w:r>
      <w:r w:rsidRPr="00E62FE6">
        <w:t>Prison</w:t>
      </w:r>
      <w:r w:rsidR="008243CA">
        <w:t xml:space="preserve"> </w:t>
      </w:r>
      <w:r w:rsidRPr="00E62FE6">
        <w:t>Service</w:t>
      </w:r>
      <w:r w:rsidR="008243CA">
        <w:t xml:space="preserve"> </w:t>
      </w:r>
      <w:r w:rsidRPr="00E62FE6">
        <w:t>will</w:t>
      </w:r>
      <w:r w:rsidR="008243CA">
        <w:t xml:space="preserve"> </w:t>
      </w:r>
      <w:r w:rsidRPr="00E62FE6">
        <w:t>write</w:t>
      </w:r>
      <w:r w:rsidR="008243CA">
        <w:t xml:space="preserve"> </w:t>
      </w:r>
      <w:r w:rsidRPr="00E62FE6">
        <w:t>a</w:t>
      </w:r>
      <w:r w:rsidR="008243CA">
        <w:t xml:space="preserve"> </w:t>
      </w:r>
      <w:r w:rsidRPr="00E62FE6">
        <w:t>letter</w:t>
      </w:r>
      <w:r w:rsidR="008243CA">
        <w:t xml:space="preserve"> </w:t>
      </w:r>
      <w:r w:rsidRPr="00E62FE6">
        <w:t>to</w:t>
      </w:r>
      <w:r w:rsidR="008243CA">
        <w:t xml:space="preserve"> </w:t>
      </w:r>
      <w:r w:rsidRPr="00E62FE6">
        <w:t>the</w:t>
      </w:r>
      <w:r w:rsidR="008243CA">
        <w:t xml:space="preserve"> </w:t>
      </w:r>
      <w:r w:rsidRPr="00E62FE6">
        <w:t>regional</w:t>
      </w:r>
      <w:r w:rsidR="008243CA">
        <w:t xml:space="preserve"> </w:t>
      </w:r>
      <w:r w:rsidRPr="00E62FE6">
        <w:t>directorates</w:t>
      </w:r>
      <w:r w:rsidR="008243CA">
        <w:t xml:space="preserve"> </w:t>
      </w:r>
      <w:r w:rsidRPr="00E62FE6">
        <w:t>instructing</w:t>
      </w:r>
      <w:r w:rsidR="008243CA">
        <w:t xml:space="preserve"> </w:t>
      </w:r>
      <w:r w:rsidRPr="00E62FE6">
        <w:t>them</w:t>
      </w:r>
      <w:r w:rsidR="008243CA">
        <w:t xml:space="preserve"> </w:t>
      </w:r>
      <w:r w:rsidRPr="00E62FE6">
        <w:t>to</w:t>
      </w:r>
      <w:r w:rsidR="008243CA">
        <w:t xml:space="preserve"> </w:t>
      </w:r>
      <w:r w:rsidRPr="00E62FE6">
        <w:t>prioritize</w:t>
      </w:r>
      <w:r w:rsidR="008243CA">
        <w:t xml:space="preserve"> </w:t>
      </w:r>
      <w:r w:rsidRPr="00E62FE6">
        <w:t>projects</w:t>
      </w:r>
      <w:r w:rsidR="008243CA">
        <w:t xml:space="preserve"> </w:t>
      </w:r>
      <w:r w:rsidRPr="00E62FE6">
        <w:t>for</w:t>
      </w:r>
      <w:r w:rsidR="008243CA">
        <w:t xml:space="preserve"> </w:t>
      </w:r>
      <w:r w:rsidRPr="00E62FE6">
        <w:t>improving</w:t>
      </w:r>
      <w:r w:rsidR="008243CA">
        <w:t xml:space="preserve"> </w:t>
      </w:r>
      <w:r w:rsidRPr="00E62FE6">
        <w:t>the</w:t>
      </w:r>
      <w:r w:rsidR="008243CA">
        <w:t xml:space="preserve"> </w:t>
      </w:r>
      <w:r w:rsidRPr="00E62FE6">
        <w:t>spaces</w:t>
      </w:r>
      <w:r w:rsidR="008243CA">
        <w:t xml:space="preserve"> </w:t>
      </w:r>
      <w:r w:rsidRPr="00E62FE6">
        <w:t>made</w:t>
      </w:r>
      <w:r w:rsidR="008243CA">
        <w:t xml:space="preserve"> </w:t>
      </w:r>
      <w:r w:rsidRPr="00E62FE6">
        <w:t>available</w:t>
      </w:r>
      <w:r w:rsidR="008243CA">
        <w:t xml:space="preserve"> </w:t>
      </w:r>
      <w:r w:rsidRPr="00E62FE6">
        <w:t>to</w:t>
      </w:r>
      <w:r w:rsidR="008243CA">
        <w:t xml:space="preserve"> </w:t>
      </w:r>
      <w:r w:rsidRPr="00E62FE6">
        <w:t>breastfeeding</w:t>
      </w:r>
      <w:r w:rsidR="008243CA">
        <w:t xml:space="preserve"> </w:t>
      </w:r>
      <w:r w:rsidRPr="00E62FE6">
        <w:t>mothers</w:t>
      </w:r>
      <w:r w:rsidR="008243CA">
        <w:t xml:space="preserve"> </w:t>
      </w:r>
      <w:r w:rsidRPr="00E62FE6">
        <w:t>and</w:t>
      </w:r>
      <w:r w:rsidR="008243CA">
        <w:t xml:space="preserve"> </w:t>
      </w:r>
      <w:r w:rsidRPr="00E62FE6">
        <w:t>their</w:t>
      </w:r>
      <w:r w:rsidR="008243CA">
        <w:t xml:space="preserve"> </w:t>
      </w:r>
      <w:r w:rsidRPr="00E62FE6">
        <w:t>infants,</w:t>
      </w:r>
      <w:r w:rsidR="008243CA">
        <w:t xml:space="preserve"> </w:t>
      </w:r>
      <w:r w:rsidRPr="00E62FE6">
        <w:t>to</w:t>
      </w:r>
      <w:r w:rsidR="008243CA">
        <w:t xml:space="preserve"> </w:t>
      </w:r>
      <w:r w:rsidRPr="00E62FE6">
        <w:t>ensure</w:t>
      </w:r>
      <w:r w:rsidR="008243CA">
        <w:t xml:space="preserve"> </w:t>
      </w:r>
      <w:r w:rsidRPr="00E62FE6">
        <w:t>that</w:t>
      </w:r>
      <w:r w:rsidR="008243CA">
        <w:t xml:space="preserve"> </w:t>
      </w:r>
      <w:r w:rsidRPr="00E62FE6">
        <w:t>such</w:t>
      </w:r>
      <w:r w:rsidR="008243CA">
        <w:t xml:space="preserve"> </w:t>
      </w:r>
      <w:r w:rsidRPr="00E62FE6">
        <w:t>facilities</w:t>
      </w:r>
      <w:r w:rsidR="008243CA">
        <w:t xml:space="preserve"> </w:t>
      </w:r>
      <w:r w:rsidRPr="00E62FE6">
        <w:t>have</w:t>
      </w:r>
      <w:r w:rsidR="008243CA">
        <w:t xml:space="preserve"> </w:t>
      </w:r>
      <w:r w:rsidRPr="00E62FE6">
        <w:t>enough</w:t>
      </w:r>
      <w:r w:rsidR="008243CA">
        <w:t xml:space="preserve"> </w:t>
      </w:r>
      <w:r w:rsidRPr="00E62FE6">
        <w:t>space,</w:t>
      </w:r>
      <w:r w:rsidR="008243CA">
        <w:t xml:space="preserve"> </w:t>
      </w:r>
      <w:r w:rsidRPr="00E62FE6">
        <w:t>receive</w:t>
      </w:r>
      <w:r w:rsidR="008243CA">
        <w:t xml:space="preserve"> </w:t>
      </w:r>
      <w:r w:rsidRPr="00E62FE6">
        <w:t>natural</w:t>
      </w:r>
      <w:r w:rsidR="008243CA">
        <w:t xml:space="preserve"> </w:t>
      </w:r>
      <w:r w:rsidRPr="00E62FE6">
        <w:t>light</w:t>
      </w:r>
      <w:r w:rsidR="008243CA">
        <w:t xml:space="preserve"> </w:t>
      </w:r>
      <w:r w:rsidRPr="00E62FE6">
        <w:t>and</w:t>
      </w:r>
      <w:r w:rsidR="008243CA">
        <w:t xml:space="preserve"> </w:t>
      </w:r>
      <w:r w:rsidRPr="00E62FE6">
        <w:t>have</w:t>
      </w:r>
      <w:r w:rsidR="008243CA">
        <w:t xml:space="preserve"> </w:t>
      </w:r>
      <w:r w:rsidRPr="00E62FE6">
        <w:t>the</w:t>
      </w:r>
      <w:r w:rsidR="008243CA">
        <w:t xml:space="preserve"> </w:t>
      </w:r>
      <w:r w:rsidRPr="00E62FE6">
        <w:t>necessary</w:t>
      </w:r>
      <w:r w:rsidR="008243CA">
        <w:t xml:space="preserve"> </w:t>
      </w:r>
      <w:r w:rsidRPr="00E62FE6">
        <w:t>ventilation</w:t>
      </w:r>
      <w:r w:rsidR="008243CA">
        <w:t xml:space="preserve"> </w:t>
      </w:r>
      <w:r w:rsidRPr="00E62FE6">
        <w:t>and</w:t>
      </w:r>
      <w:r w:rsidR="008243CA">
        <w:t xml:space="preserve"> </w:t>
      </w:r>
      <w:r w:rsidRPr="00E62FE6">
        <w:t>heating</w:t>
      </w:r>
      <w:r w:rsidR="008243CA">
        <w:t xml:space="preserve"> </w:t>
      </w:r>
      <w:r w:rsidRPr="00E62FE6">
        <w:t>for</w:t>
      </w:r>
      <w:r w:rsidR="008243CA">
        <w:t xml:space="preserve"> </w:t>
      </w:r>
      <w:r w:rsidRPr="00E62FE6">
        <w:t>the</w:t>
      </w:r>
      <w:r w:rsidR="008243CA">
        <w:t xml:space="preserve"> </w:t>
      </w:r>
      <w:r w:rsidRPr="00E62FE6">
        <w:t>geographical</w:t>
      </w:r>
      <w:r w:rsidR="008243CA">
        <w:t xml:space="preserve"> </w:t>
      </w:r>
      <w:r w:rsidRPr="00E62FE6">
        <w:t>location</w:t>
      </w:r>
      <w:r w:rsidR="008243CA">
        <w:t xml:space="preserve"> </w:t>
      </w:r>
      <w:r w:rsidRPr="00E62FE6">
        <w:t>of</w:t>
      </w:r>
      <w:r w:rsidR="008243CA">
        <w:t xml:space="preserve"> </w:t>
      </w:r>
      <w:r w:rsidRPr="00E62FE6">
        <w:t>the</w:t>
      </w:r>
      <w:r w:rsidR="008243CA">
        <w:t xml:space="preserve"> </w:t>
      </w:r>
      <w:r w:rsidRPr="00E62FE6">
        <w:t>centre.</w:t>
      </w:r>
      <w:bookmarkStart w:id="96" w:name="page38"/>
      <w:bookmarkEnd w:id="96"/>
    </w:p>
    <w:p w:rsidR="003F7D03" w:rsidRPr="00E62FE6" w:rsidRDefault="003F7D03" w:rsidP="000C6D98">
      <w:pPr>
        <w:pStyle w:val="SingleTxtG"/>
      </w:pPr>
      <w:r w:rsidRPr="00E62FE6">
        <w:t>153.</w:t>
      </w:r>
      <w:r w:rsidRPr="00E62FE6">
        <w:tab/>
        <w:t>Women</w:t>
      </w:r>
      <w:r w:rsidR="00116F0B">
        <w:t>’</w:t>
      </w:r>
      <w:r w:rsidRPr="00E62FE6">
        <w:t>s</w:t>
      </w:r>
      <w:r w:rsidR="008243CA">
        <w:t xml:space="preserve"> </w:t>
      </w:r>
      <w:r w:rsidRPr="00E62FE6">
        <w:t>prisons</w:t>
      </w:r>
      <w:r w:rsidR="008243CA">
        <w:t xml:space="preserve"> </w:t>
      </w:r>
      <w:r w:rsidRPr="00E62FE6">
        <w:t>in</w:t>
      </w:r>
      <w:r w:rsidR="008243CA">
        <w:t xml:space="preserve"> </w:t>
      </w:r>
      <w:r w:rsidRPr="00E62FE6">
        <w:t>the</w:t>
      </w:r>
      <w:r w:rsidR="008243CA">
        <w:t xml:space="preserve"> </w:t>
      </w:r>
      <w:r w:rsidRPr="00E62FE6">
        <w:t>Metropolitan</w:t>
      </w:r>
      <w:r w:rsidR="008243CA">
        <w:t xml:space="preserve"> </w:t>
      </w:r>
      <w:r w:rsidRPr="00E62FE6">
        <w:t>Region</w:t>
      </w:r>
      <w:r w:rsidR="008243CA">
        <w:t xml:space="preserve"> </w:t>
      </w:r>
      <w:r w:rsidRPr="00E62FE6">
        <w:t>are</w:t>
      </w:r>
      <w:r w:rsidR="008243CA">
        <w:t xml:space="preserve"> </w:t>
      </w:r>
      <w:r w:rsidRPr="00E62FE6">
        <w:t>already</w:t>
      </w:r>
      <w:r w:rsidR="008243CA">
        <w:t xml:space="preserve"> </w:t>
      </w:r>
      <w:r w:rsidRPr="00E62FE6">
        <w:t>undertaking</w:t>
      </w:r>
      <w:r w:rsidR="008243CA">
        <w:t xml:space="preserve"> </w:t>
      </w:r>
      <w:r w:rsidRPr="00E62FE6">
        <w:t>projects</w:t>
      </w:r>
      <w:r w:rsidR="008243CA">
        <w:t xml:space="preserve"> </w:t>
      </w:r>
      <w:r w:rsidRPr="00E62FE6">
        <w:t>to</w:t>
      </w:r>
      <w:r w:rsidR="008243CA">
        <w:t xml:space="preserve"> </w:t>
      </w:r>
      <w:r w:rsidRPr="00E62FE6">
        <w:t>improve</w:t>
      </w:r>
      <w:r w:rsidR="008243CA">
        <w:t xml:space="preserve"> </w:t>
      </w:r>
      <w:r w:rsidRPr="00E62FE6">
        <w:t>the</w:t>
      </w:r>
      <w:r w:rsidR="008243CA">
        <w:t xml:space="preserve"> </w:t>
      </w:r>
      <w:r w:rsidRPr="00E62FE6">
        <w:t>conditions</w:t>
      </w:r>
      <w:r w:rsidR="008243CA">
        <w:t xml:space="preserve"> </w:t>
      </w:r>
      <w:r w:rsidRPr="00E62FE6">
        <w:t>in</w:t>
      </w:r>
      <w:r w:rsidR="008243CA">
        <w:t xml:space="preserve"> </w:t>
      </w:r>
      <w:r w:rsidRPr="00E62FE6">
        <w:t>which</w:t>
      </w:r>
      <w:r w:rsidR="008243CA">
        <w:t xml:space="preserve"> </w:t>
      </w:r>
      <w:r w:rsidRPr="00E62FE6">
        <w:t>the</w:t>
      </w:r>
      <w:r w:rsidR="008243CA">
        <w:t xml:space="preserve"> </w:t>
      </w:r>
      <w:r w:rsidRPr="00E62FE6">
        <w:t>Programme</w:t>
      </w:r>
      <w:r w:rsidR="008243CA">
        <w:t xml:space="preserve"> </w:t>
      </w:r>
      <w:r w:rsidRPr="00E62FE6">
        <w:t>of</w:t>
      </w:r>
      <w:r w:rsidR="008243CA">
        <w:t xml:space="preserve"> </w:t>
      </w:r>
      <w:r w:rsidRPr="00E62FE6">
        <w:t>Assistance</w:t>
      </w:r>
      <w:r w:rsidR="008243CA">
        <w:t xml:space="preserve"> </w:t>
      </w:r>
      <w:r w:rsidRPr="00E62FE6">
        <w:t>for</w:t>
      </w:r>
      <w:r w:rsidR="008243CA">
        <w:t xml:space="preserve"> </w:t>
      </w:r>
      <w:r w:rsidRPr="00E62FE6">
        <w:t>Pregnant</w:t>
      </w:r>
      <w:r w:rsidR="008243CA">
        <w:t xml:space="preserve"> </w:t>
      </w:r>
      <w:r w:rsidRPr="00E62FE6">
        <w:t>and</w:t>
      </w:r>
      <w:r w:rsidR="008243CA">
        <w:t xml:space="preserve"> </w:t>
      </w:r>
      <w:r w:rsidRPr="00E62FE6">
        <w:t>Nursing</w:t>
      </w:r>
      <w:r w:rsidR="008243CA">
        <w:t xml:space="preserve"> </w:t>
      </w:r>
      <w:r w:rsidRPr="00E62FE6">
        <w:t>Mothers</w:t>
      </w:r>
      <w:r w:rsidR="008243CA">
        <w:t xml:space="preserve"> </w:t>
      </w:r>
      <w:r w:rsidRPr="00E62FE6">
        <w:t>is</w:t>
      </w:r>
      <w:r w:rsidR="008243CA">
        <w:t xml:space="preserve"> </w:t>
      </w:r>
      <w:r w:rsidRPr="00E62FE6">
        <w:t>implemented.</w:t>
      </w:r>
      <w:r w:rsidR="008243CA">
        <w:t xml:space="preserve"> </w:t>
      </w:r>
      <w:r w:rsidRPr="00E62FE6">
        <w:t>It</w:t>
      </w:r>
      <w:r w:rsidR="008243CA">
        <w:t xml:space="preserve"> </w:t>
      </w:r>
      <w:r w:rsidRPr="00E62FE6">
        <w:t>is</w:t>
      </w:r>
      <w:r w:rsidR="008243CA">
        <w:t xml:space="preserve"> </w:t>
      </w:r>
      <w:r w:rsidRPr="00E62FE6">
        <w:t>envisaged</w:t>
      </w:r>
      <w:r w:rsidR="008243CA">
        <w:t xml:space="preserve"> </w:t>
      </w:r>
      <w:r w:rsidRPr="00E62FE6">
        <w:t>that</w:t>
      </w:r>
      <w:r w:rsidR="008243CA">
        <w:t xml:space="preserve"> </w:t>
      </w:r>
      <w:r w:rsidRPr="00E62FE6">
        <w:t>51,168,207</w:t>
      </w:r>
      <w:r w:rsidR="008243CA">
        <w:t xml:space="preserve"> </w:t>
      </w:r>
      <w:r w:rsidRPr="00E62FE6">
        <w:t>pesos</w:t>
      </w:r>
      <w:r w:rsidRPr="00116F0B">
        <w:rPr>
          <w:rStyle w:val="FootnoteReference"/>
        </w:rPr>
        <w:footnoteReference w:id="51"/>
      </w:r>
      <w:r w:rsidR="008243CA">
        <w:t xml:space="preserve"> </w:t>
      </w:r>
      <w:r w:rsidRPr="00E62FE6">
        <w:t>will</w:t>
      </w:r>
      <w:r w:rsidR="008243CA">
        <w:t xml:space="preserve"> </w:t>
      </w:r>
      <w:r w:rsidRPr="00E62FE6">
        <w:t>be</w:t>
      </w:r>
      <w:r w:rsidR="008243CA">
        <w:t xml:space="preserve"> </w:t>
      </w:r>
      <w:r w:rsidRPr="00E62FE6">
        <w:t>invested</w:t>
      </w:r>
      <w:r w:rsidR="008243CA">
        <w:t xml:space="preserve"> </w:t>
      </w:r>
      <w:r w:rsidRPr="00E62FE6">
        <w:t>in</w:t>
      </w:r>
      <w:r w:rsidR="008243CA">
        <w:t xml:space="preserve"> </w:t>
      </w:r>
      <w:r w:rsidRPr="00E62FE6">
        <w:t>the</w:t>
      </w:r>
      <w:r w:rsidR="008243CA">
        <w:t xml:space="preserve"> </w:t>
      </w:r>
      <w:r w:rsidRPr="00E62FE6">
        <w:t>repair</w:t>
      </w:r>
      <w:r w:rsidR="008243CA">
        <w:t xml:space="preserve"> </w:t>
      </w:r>
      <w:r w:rsidRPr="00E62FE6">
        <w:t>and</w:t>
      </w:r>
      <w:r w:rsidR="008243CA">
        <w:t xml:space="preserve"> </w:t>
      </w:r>
      <w:r w:rsidRPr="00E62FE6">
        <w:t>improvement</w:t>
      </w:r>
      <w:r w:rsidR="008243CA">
        <w:t xml:space="preserve"> </w:t>
      </w:r>
      <w:r w:rsidRPr="00E62FE6">
        <w:t>of</w:t>
      </w:r>
      <w:r w:rsidR="008243CA">
        <w:t xml:space="preserve"> </w:t>
      </w:r>
      <w:r w:rsidRPr="00E62FE6">
        <w:t>bathrooms</w:t>
      </w:r>
      <w:r w:rsidR="008243CA">
        <w:t xml:space="preserve"> </w:t>
      </w:r>
      <w:r w:rsidRPr="00E62FE6">
        <w:t>in</w:t>
      </w:r>
      <w:r w:rsidR="008243CA">
        <w:t xml:space="preserve"> </w:t>
      </w:r>
      <w:r w:rsidRPr="00E62FE6">
        <w:t>the</w:t>
      </w:r>
      <w:r w:rsidR="008243CA">
        <w:t xml:space="preserve"> </w:t>
      </w:r>
      <w:r w:rsidRPr="00E62FE6">
        <w:t>mother</w:t>
      </w:r>
      <w:r w:rsidR="008243CA">
        <w:t xml:space="preserve"> </w:t>
      </w:r>
      <w:r w:rsidRPr="00E62FE6">
        <w:t>and</w:t>
      </w:r>
      <w:r w:rsidR="008243CA">
        <w:t xml:space="preserve"> </w:t>
      </w:r>
      <w:r w:rsidRPr="00E62FE6">
        <w:t>child</w:t>
      </w:r>
      <w:r w:rsidR="008243CA">
        <w:t xml:space="preserve"> </w:t>
      </w:r>
      <w:r w:rsidRPr="00E62FE6">
        <w:t>unit</w:t>
      </w:r>
      <w:r w:rsidR="008243CA">
        <w:t xml:space="preserve"> </w:t>
      </w:r>
      <w:r w:rsidRPr="00E62FE6">
        <w:t>at</w:t>
      </w:r>
      <w:r w:rsidR="008243CA">
        <w:t xml:space="preserve"> </w:t>
      </w:r>
      <w:r w:rsidRPr="00E62FE6">
        <w:t>San</w:t>
      </w:r>
      <w:r w:rsidR="008243CA">
        <w:t xml:space="preserve"> </w:t>
      </w:r>
      <w:r w:rsidRPr="00E62FE6">
        <w:t>Miguel</w:t>
      </w:r>
      <w:r w:rsidR="008243CA">
        <w:t xml:space="preserve"> </w:t>
      </w:r>
      <w:r w:rsidRPr="00E62FE6">
        <w:t>Women</w:t>
      </w:r>
      <w:r w:rsidR="00116F0B">
        <w:t>’</w:t>
      </w:r>
      <w:r w:rsidRPr="00E62FE6">
        <w:t>s</w:t>
      </w:r>
      <w:r w:rsidR="008243CA">
        <w:t xml:space="preserve"> </w:t>
      </w:r>
      <w:r w:rsidRPr="00E62FE6">
        <w:t>Prison;</w:t>
      </w:r>
      <w:r w:rsidR="008243CA">
        <w:t xml:space="preserve"> </w:t>
      </w:r>
      <w:r w:rsidRPr="00E62FE6">
        <w:t>this</w:t>
      </w:r>
      <w:r w:rsidR="008243CA">
        <w:t xml:space="preserve"> </w:t>
      </w:r>
      <w:r w:rsidRPr="00E62FE6">
        <w:t>project</w:t>
      </w:r>
      <w:r w:rsidR="00116F0B">
        <w:t xml:space="preserve"> </w:t>
      </w:r>
      <w:r w:rsidRPr="00E62FE6">
        <w:t>is</w:t>
      </w:r>
      <w:r w:rsidR="008243CA">
        <w:t xml:space="preserve"> </w:t>
      </w:r>
      <w:r w:rsidRPr="00E62FE6">
        <w:t>under</w:t>
      </w:r>
      <w:r w:rsidR="008243CA">
        <w:t xml:space="preserve"> </w:t>
      </w:r>
      <w:r w:rsidRPr="00E62FE6">
        <w:t>way</w:t>
      </w:r>
      <w:r w:rsidR="008243CA">
        <w:t xml:space="preserve"> </w:t>
      </w:r>
      <w:r w:rsidRPr="00E62FE6">
        <w:t>and</w:t>
      </w:r>
      <w:r w:rsidR="008243CA">
        <w:t xml:space="preserve"> </w:t>
      </w:r>
      <w:r w:rsidRPr="00E62FE6">
        <w:t>due</w:t>
      </w:r>
      <w:r w:rsidR="008243CA">
        <w:t xml:space="preserve"> </w:t>
      </w:r>
      <w:r w:rsidRPr="00E62FE6">
        <w:t>for</w:t>
      </w:r>
      <w:r w:rsidR="008243CA">
        <w:t xml:space="preserve"> </w:t>
      </w:r>
      <w:r w:rsidRPr="00E62FE6">
        <w:t>completion</w:t>
      </w:r>
      <w:r w:rsidR="008243CA">
        <w:t xml:space="preserve"> </w:t>
      </w:r>
      <w:r w:rsidRPr="00E62FE6">
        <w:t>in</w:t>
      </w:r>
      <w:r w:rsidR="008243CA">
        <w:t xml:space="preserve"> </w:t>
      </w:r>
      <w:r w:rsidRPr="00E62FE6">
        <w:t>February</w:t>
      </w:r>
      <w:r w:rsidR="008243CA">
        <w:t xml:space="preserve"> </w:t>
      </w:r>
      <w:r w:rsidRPr="00E62FE6">
        <w:t>2017.</w:t>
      </w:r>
      <w:r w:rsidR="008243CA">
        <w:t xml:space="preserve"> </w:t>
      </w:r>
      <w:r w:rsidRPr="00E62FE6">
        <w:t>At</w:t>
      </w:r>
      <w:r w:rsidR="008243CA">
        <w:t xml:space="preserve"> </w:t>
      </w:r>
      <w:r w:rsidRPr="00E62FE6">
        <w:t>Santiago</w:t>
      </w:r>
      <w:r w:rsidR="008243CA">
        <w:t xml:space="preserve"> </w:t>
      </w:r>
      <w:r w:rsidRPr="00E62FE6">
        <w:t>Women</w:t>
      </w:r>
      <w:r w:rsidR="00116F0B">
        <w:t>’</w:t>
      </w:r>
      <w:r w:rsidRPr="00E62FE6">
        <w:t>s</w:t>
      </w:r>
      <w:r w:rsidR="008243CA">
        <w:t xml:space="preserve"> </w:t>
      </w:r>
      <w:r w:rsidRPr="00E62FE6">
        <w:t>Prison,</w:t>
      </w:r>
      <w:r w:rsidR="008243CA">
        <w:t xml:space="preserve"> </w:t>
      </w:r>
      <w:r w:rsidRPr="00E62FE6">
        <w:t>it</w:t>
      </w:r>
      <w:r w:rsidR="008243CA">
        <w:t xml:space="preserve"> </w:t>
      </w:r>
      <w:r w:rsidRPr="00E62FE6">
        <w:t>is</w:t>
      </w:r>
      <w:r w:rsidR="008243CA">
        <w:t xml:space="preserve"> </w:t>
      </w:r>
      <w:r w:rsidRPr="00E62FE6">
        <w:t>estimated</w:t>
      </w:r>
      <w:r w:rsidR="008243CA">
        <w:t xml:space="preserve"> </w:t>
      </w:r>
      <w:r w:rsidRPr="00E62FE6">
        <w:t>that</w:t>
      </w:r>
      <w:r w:rsidR="008243CA">
        <w:t xml:space="preserve"> </w:t>
      </w:r>
      <w:r w:rsidRPr="00E62FE6">
        <w:t>993,680,000</w:t>
      </w:r>
      <w:r w:rsidR="008243CA">
        <w:t xml:space="preserve"> </w:t>
      </w:r>
      <w:r w:rsidRPr="00E62FE6">
        <w:t>pesos</w:t>
      </w:r>
      <w:r w:rsidRPr="00116F0B">
        <w:rPr>
          <w:rStyle w:val="FootnoteReference"/>
        </w:rPr>
        <w:footnoteReference w:id="52"/>
      </w:r>
      <w:r w:rsidR="008243CA">
        <w:t xml:space="preserve"> </w:t>
      </w:r>
      <w:r w:rsidRPr="00E62FE6">
        <w:t>will</w:t>
      </w:r>
      <w:r w:rsidR="008243CA">
        <w:t xml:space="preserve"> </w:t>
      </w:r>
      <w:r w:rsidRPr="00E62FE6">
        <w:t>be</w:t>
      </w:r>
      <w:r w:rsidR="008243CA">
        <w:t xml:space="preserve"> </w:t>
      </w:r>
      <w:r w:rsidRPr="00E62FE6">
        <w:t>invested</w:t>
      </w:r>
      <w:r w:rsidR="008243CA">
        <w:t xml:space="preserve"> </w:t>
      </w:r>
      <w:r w:rsidRPr="00E62FE6">
        <w:t>in</w:t>
      </w:r>
      <w:r w:rsidR="008243CA">
        <w:t xml:space="preserve"> </w:t>
      </w:r>
      <w:r w:rsidRPr="00E62FE6">
        <w:t>the</w:t>
      </w:r>
      <w:r w:rsidR="008243CA">
        <w:t xml:space="preserve"> </w:t>
      </w:r>
      <w:r w:rsidRPr="00E62FE6">
        <w:t>expansion</w:t>
      </w:r>
      <w:r w:rsidR="008243CA">
        <w:t xml:space="preserve"> </w:t>
      </w:r>
      <w:r w:rsidRPr="00E62FE6">
        <w:t>and</w:t>
      </w:r>
      <w:r w:rsidR="008243CA">
        <w:t xml:space="preserve"> </w:t>
      </w:r>
      <w:r w:rsidRPr="00E62FE6">
        <w:t>refurbishment</w:t>
      </w:r>
      <w:r w:rsidR="008243CA">
        <w:t xml:space="preserve"> </w:t>
      </w:r>
      <w:r w:rsidRPr="00E62FE6">
        <w:t>of</w:t>
      </w:r>
      <w:r w:rsidR="008243CA">
        <w:t xml:space="preserve"> </w:t>
      </w:r>
      <w:r w:rsidRPr="00E62FE6">
        <w:t>the</w:t>
      </w:r>
      <w:r w:rsidR="008243CA">
        <w:t xml:space="preserve"> </w:t>
      </w:r>
      <w:r w:rsidRPr="00E62FE6">
        <w:t>mother</w:t>
      </w:r>
      <w:r w:rsidR="008243CA">
        <w:t xml:space="preserve"> </w:t>
      </w:r>
      <w:r w:rsidRPr="00E62FE6">
        <w:t>and</w:t>
      </w:r>
      <w:r w:rsidR="008243CA">
        <w:t xml:space="preserve"> </w:t>
      </w:r>
      <w:r w:rsidRPr="00E62FE6">
        <w:t>child</w:t>
      </w:r>
      <w:r w:rsidR="008243CA">
        <w:t xml:space="preserve"> </w:t>
      </w:r>
      <w:r w:rsidRPr="00E62FE6">
        <w:t>unit,</w:t>
      </w:r>
      <w:r w:rsidR="008243CA">
        <w:t xml:space="preserve"> </w:t>
      </w:r>
      <w:r w:rsidRPr="00E62FE6">
        <w:t>with</w:t>
      </w:r>
      <w:r w:rsidR="008243CA">
        <w:t xml:space="preserve"> </w:t>
      </w:r>
      <w:r w:rsidRPr="00E62FE6">
        <w:t>work</w:t>
      </w:r>
      <w:r w:rsidR="008243CA">
        <w:t xml:space="preserve"> </w:t>
      </w:r>
      <w:r w:rsidRPr="00E62FE6">
        <w:t>commencing</w:t>
      </w:r>
      <w:r w:rsidR="008243CA">
        <w:t xml:space="preserve"> </w:t>
      </w:r>
      <w:r w:rsidRPr="00E62FE6">
        <w:t>in</w:t>
      </w:r>
      <w:r w:rsidR="008243CA">
        <w:t xml:space="preserve"> </w:t>
      </w:r>
      <w:r w:rsidRPr="00E62FE6">
        <w:t>February</w:t>
      </w:r>
      <w:r w:rsidR="008243CA">
        <w:t xml:space="preserve"> </w:t>
      </w:r>
      <w:r w:rsidRPr="00E62FE6">
        <w:t>2017</w:t>
      </w:r>
      <w:r w:rsidR="008243CA">
        <w:t xml:space="preserve"> </w:t>
      </w:r>
      <w:r w:rsidRPr="00E62FE6">
        <w:t>and</w:t>
      </w:r>
      <w:r w:rsidR="008243CA">
        <w:t xml:space="preserve"> </w:t>
      </w:r>
      <w:r w:rsidRPr="00E62FE6">
        <w:t>due</w:t>
      </w:r>
      <w:r w:rsidR="008243CA">
        <w:t xml:space="preserve"> </w:t>
      </w:r>
      <w:r w:rsidRPr="00E62FE6">
        <w:t>for</w:t>
      </w:r>
      <w:r w:rsidR="008243CA">
        <w:t xml:space="preserve"> </w:t>
      </w:r>
      <w:r w:rsidRPr="00E62FE6">
        <w:t>completion</w:t>
      </w:r>
      <w:r w:rsidR="008243CA">
        <w:t xml:space="preserve"> </w:t>
      </w:r>
      <w:r w:rsidRPr="00E62FE6">
        <w:t>in</w:t>
      </w:r>
      <w:r w:rsidR="008243CA">
        <w:t xml:space="preserve"> </w:t>
      </w:r>
      <w:r w:rsidRPr="00E62FE6">
        <w:t>December</w:t>
      </w:r>
      <w:r w:rsidR="008243CA">
        <w:t xml:space="preserve"> </w:t>
      </w:r>
      <w:r w:rsidRPr="00E62FE6">
        <w:t>2017.</w:t>
      </w:r>
    </w:p>
    <w:p w:rsidR="003F7D03" w:rsidRPr="00E62FE6" w:rsidRDefault="003F7D03" w:rsidP="000C6D98">
      <w:pPr>
        <w:pStyle w:val="SingleTxtG"/>
      </w:pPr>
      <w:r w:rsidRPr="00E62FE6">
        <w:t>154.</w:t>
      </w:r>
      <w:r w:rsidRPr="00E62FE6">
        <w:tab/>
        <w:t>Paragraph</w:t>
      </w:r>
      <w:r w:rsidR="008243CA">
        <w:t xml:space="preserve"> </w:t>
      </w:r>
      <w:r w:rsidRPr="00E62FE6">
        <w:t>100:</w:t>
      </w:r>
      <w:r w:rsidR="008243CA">
        <w:t xml:space="preserve"> </w:t>
      </w:r>
      <w:r w:rsidRPr="002A0B6B">
        <w:rPr>
          <w:i/>
          <w:iCs/>
        </w:rPr>
        <w:t>In</w:t>
      </w:r>
      <w:r w:rsidR="008243CA" w:rsidRPr="002A0B6B">
        <w:rPr>
          <w:i/>
          <w:iCs/>
        </w:rPr>
        <w:t xml:space="preserve"> </w:t>
      </w:r>
      <w:r w:rsidRPr="002A0B6B">
        <w:rPr>
          <w:i/>
          <w:iCs/>
        </w:rPr>
        <w:t>line</w:t>
      </w:r>
      <w:r w:rsidR="008243CA" w:rsidRPr="002A0B6B">
        <w:rPr>
          <w:i/>
          <w:iCs/>
        </w:rPr>
        <w:t xml:space="preserve"> </w:t>
      </w:r>
      <w:r w:rsidRPr="002A0B6B">
        <w:rPr>
          <w:i/>
          <w:iCs/>
        </w:rPr>
        <w:t>with</w:t>
      </w:r>
      <w:r w:rsidR="008243CA" w:rsidRPr="002A0B6B">
        <w:rPr>
          <w:i/>
          <w:iCs/>
        </w:rPr>
        <w:t xml:space="preserve"> </w:t>
      </w:r>
      <w:r w:rsidRPr="002A0B6B">
        <w:rPr>
          <w:i/>
          <w:iCs/>
        </w:rPr>
        <w:t>rules</w:t>
      </w:r>
      <w:r w:rsidR="008243CA" w:rsidRPr="002A0B6B">
        <w:rPr>
          <w:i/>
          <w:iCs/>
        </w:rPr>
        <w:t xml:space="preserve"> </w:t>
      </w:r>
      <w:r w:rsidRPr="002A0B6B">
        <w:rPr>
          <w:i/>
          <w:iCs/>
        </w:rPr>
        <w:t>19</w:t>
      </w:r>
      <w:r w:rsidR="008243CA" w:rsidRPr="002A0B6B">
        <w:rPr>
          <w:i/>
          <w:iCs/>
        </w:rPr>
        <w:t xml:space="preserve"> </w:t>
      </w:r>
      <w:r w:rsidRPr="002A0B6B">
        <w:rPr>
          <w:i/>
          <w:iCs/>
        </w:rPr>
        <w:t>and</w:t>
      </w:r>
      <w:r w:rsidR="008243CA" w:rsidRPr="002A0B6B">
        <w:rPr>
          <w:i/>
          <w:iCs/>
        </w:rPr>
        <w:t xml:space="preserve"> </w:t>
      </w:r>
      <w:r w:rsidRPr="002A0B6B">
        <w:rPr>
          <w:i/>
          <w:iCs/>
        </w:rPr>
        <w:t>20</w:t>
      </w:r>
      <w:r w:rsidR="008243CA" w:rsidRPr="002A0B6B">
        <w:rPr>
          <w:i/>
          <w:iCs/>
        </w:rPr>
        <w:t xml:space="preserve"> </w:t>
      </w:r>
      <w:r w:rsidRPr="002A0B6B">
        <w:rPr>
          <w:i/>
          <w:iCs/>
        </w:rPr>
        <w:t>of</w:t>
      </w:r>
      <w:r w:rsidR="008243CA" w:rsidRPr="002A0B6B">
        <w:rPr>
          <w:i/>
          <w:iCs/>
        </w:rPr>
        <w:t xml:space="preserve"> </w:t>
      </w:r>
      <w:r w:rsidRPr="002A0B6B">
        <w:rPr>
          <w:i/>
          <w:iCs/>
        </w:rPr>
        <w:t>the</w:t>
      </w:r>
      <w:r w:rsidR="008243CA" w:rsidRPr="002A0B6B">
        <w:rPr>
          <w:i/>
          <w:iCs/>
        </w:rPr>
        <w:t xml:space="preserve"> </w:t>
      </w:r>
      <w:r w:rsidRPr="002A0B6B">
        <w:rPr>
          <w:i/>
          <w:iCs/>
        </w:rPr>
        <w:t>Bangkok</w:t>
      </w:r>
      <w:r w:rsidR="008243CA" w:rsidRPr="002A0B6B">
        <w:rPr>
          <w:i/>
          <w:iCs/>
        </w:rPr>
        <w:t xml:space="preserve"> </w:t>
      </w:r>
      <w:r w:rsidRPr="002A0B6B">
        <w:rPr>
          <w:i/>
          <w:iCs/>
        </w:rPr>
        <w:t>Rules,</w:t>
      </w:r>
      <w:r w:rsidR="008243CA" w:rsidRPr="002A0B6B">
        <w:rPr>
          <w:i/>
          <w:iCs/>
        </w:rPr>
        <w:t xml:space="preserve"> </w:t>
      </w:r>
      <w:r w:rsidRPr="002A0B6B">
        <w:rPr>
          <w:i/>
          <w:iCs/>
        </w:rPr>
        <w:t>the</w:t>
      </w:r>
      <w:r w:rsidR="008243CA" w:rsidRPr="002A0B6B">
        <w:rPr>
          <w:i/>
          <w:iCs/>
        </w:rPr>
        <w:t xml:space="preserve"> </w:t>
      </w:r>
      <w:r w:rsidRPr="002A0B6B">
        <w:rPr>
          <w:i/>
          <w:iCs/>
        </w:rPr>
        <w:t>Subcommittee</w:t>
      </w:r>
      <w:r w:rsidR="008243CA" w:rsidRPr="002A0B6B">
        <w:rPr>
          <w:i/>
          <w:iCs/>
        </w:rPr>
        <w:t xml:space="preserve"> </w:t>
      </w:r>
      <w:r w:rsidRPr="002A0B6B">
        <w:rPr>
          <w:i/>
          <w:iCs/>
        </w:rPr>
        <w:t>urges</w:t>
      </w:r>
      <w:r w:rsidR="008243CA" w:rsidRPr="002A0B6B">
        <w:rPr>
          <w:i/>
          <w:iCs/>
        </w:rPr>
        <w:t xml:space="preserve"> </w:t>
      </w:r>
      <w:r w:rsidRPr="002A0B6B">
        <w:rPr>
          <w:i/>
          <w:iCs/>
        </w:rPr>
        <w:t>the</w:t>
      </w:r>
      <w:r w:rsidR="008243CA" w:rsidRPr="002A0B6B">
        <w:rPr>
          <w:i/>
          <w:iCs/>
        </w:rPr>
        <w:t xml:space="preserve"> </w:t>
      </w:r>
      <w:r w:rsidRPr="002A0B6B">
        <w:rPr>
          <w:i/>
          <w:iCs/>
        </w:rPr>
        <w:t>State</w:t>
      </w:r>
      <w:r w:rsidR="008243CA" w:rsidRPr="002A0B6B">
        <w:rPr>
          <w:i/>
          <w:iCs/>
        </w:rPr>
        <w:t xml:space="preserve"> </w:t>
      </w:r>
      <w:r w:rsidRPr="002A0B6B">
        <w:rPr>
          <w:i/>
          <w:iCs/>
        </w:rPr>
        <w:t>party</w:t>
      </w:r>
      <w:r w:rsidR="008243CA" w:rsidRPr="002A0B6B">
        <w:rPr>
          <w:i/>
          <w:iCs/>
        </w:rPr>
        <w:t xml:space="preserve"> </w:t>
      </w:r>
      <w:r w:rsidRPr="002A0B6B">
        <w:rPr>
          <w:i/>
          <w:iCs/>
        </w:rPr>
        <w:t>to</w:t>
      </w:r>
      <w:r w:rsidR="008243CA" w:rsidRPr="002A0B6B">
        <w:rPr>
          <w:i/>
          <w:iCs/>
        </w:rPr>
        <w:t xml:space="preserve"> </w:t>
      </w:r>
      <w:r w:rsidRPr="002A0B6B">
        <w:rPr>
          <w:i/>
          <w:iCs/>
        </w:rPr>
        <w:t>take</w:t>
      </w:r>
      <w:r w:rsidR="008243CA" w:rsidRPr="002A0B6B">
        <w:rPr>
          <w:i/>
          <w:iCs/>
        </w:rPr>
        <w:t xml:space="preserve"> </w:t>
      </w:r>
      <w:r w:rsidRPr="002A0B6B">
        <w:rPr>
          <w:i/>
          <w:iCs/>
        </w:rPr>
        <w:t>effective</w:t>
      </w:r>
      <w:r w:rsidR="008243CA" w:rsidRPr="002A0B6B">
        <w:rPr>
          <w:i/>
          <w:iCs/>
        </w:rPr>
        <w:t xml:space="preserve"> </w:t>
      </w:r>
      <w:r w:rsidRPr="002A0B6B">
        <w:rPr>
          <w:i/>
          <w:iCs/>
        </w:rPr>
        <w:t>measures</w:t>
      </w:r>
      <w:r w:rsidR="008243CA" w:rsidRPr="002A0B6B">
        <w:rPr>
          <w:i/>
          <w:iCs/>
        </w:rPr>
        <w:t xml:space="preserve"> </w:t>
      </w:r>
      <w:r w:rsidR="00116F0B">
        <w:rPr>
          <w:i/>
          <w:iCs/>
        </w:rPr>
        <w:t>“</w:t>
      </w:r>
      <w:r w:rsidRPr="002A0B6B">
        <w:rPr>
          <w:i/>
          <w:iCs/>
        </w:rPr>
        <w:t>to</w:t>
      </w:r>
      <w:r w:rsidR="008243CA" w:rsidRPr="002A0B6B">
        <w:rPr>
          <w:i/>
          <w:iCs/>
        </w:rPr>
        <w:t xml:space="preserve"> </w:t>
      </w:r>
      <w:r w:rsidRPr="002A0B6B">
        <w:rPr>
          <w:i/>
          <w:iCs/>
        </w:rPr>
        <w:t>ensure</w:t>
      </w:r>
      <w:r w:rsidR="008243CA" w:rsidRPr="002A0B6B">
        <w:rPr>
          <w:i/>
          <w:iCs/>
        </w:rPr>
        <w:t xml:space="preserve"> </w:t>
      </w:r>
      <w:r w:rsidRPr="002A0B6B">
        <w:rPr>
          <w:i/>
          <w:iCs/>
        </w:rPr>
        <w:t>that</w:t>
      </w:r>
      <w:r w:rsidR="008243CA" w:rsidRPr="002A0B6B">
        <w:rPr>
          <w:i/>
          <w:iCs/>
        </w:rPr>
        <w:t xml:space="preserve"> </w:t>
      </w:r>
      <w:r w:rsidRPr="002A0B6B">
        <w:rPr>
          <w:i/>
          <w:iCs/>
        </w:rPr>
        <w:t>the</w:t>
      </w:r>
      <w:r w:rsidR="008243CA" w:rsidRPr="002A0B6B">
        <w:rPr>
          <w:i/>
          <w:iCs/>
        </w:rPr>
        <w:t xml:space="preserve"> </w:t>
      </w:r>
      <w:r w:rsidRPr="002A0B6B">
        <w:rPr>
          <w:i/>
          <w:iCs/>
        </w:rPr>
        <w:t>dignity</w:t>
      </w:r>
      <w:r w:rsidR="008243CA" w:rsidRPr="002A0B6B">
        <w:rPr>
          <w:i/>
          <w:iCs/>
        </w:rPr>
        <w:t xml:space="preserve"> </w:t>
      </w:r>
      <w:r w:rsidRPr="002A0B6B">
        <w:rPr>
          <w:i/>
          <w:iCs/>
        </w:rPr>
        <w:t>and</w:t>
      </w:r>
      <w:r w:rsidR="008243CA" w:rsidRPr="002A0B6B">
        <w:rPr>
          <w:i/>
          <w:iCs/>
        </w:rPr>
        <w:t xml:space="preserve"> </w:t>
      </w:r>
      <w:r w:rsidRPr="002A0B6B">
        <w:rPr>
          <w:i/>
          <w:iCs/>
        </w:rPr>
        <w:t>respect</w:t>
      </w:r>
      <w:r w:rsidR="008243CA" w:rsidRPr="002A0B6B">
        <w:rPr>
          <w:i/>
          <w:iCs/>
        </w:rPr>
        <w:t xml:space="preserve"> </w:t>
      </w:r>
      <w:r w:rsidRPr="002A0B6B">
        <w:rPr>
          <w:i/>
          <w:iCs/>
        </w:rPr>
        <w:t>of</w:t>
      </w:r>
      <w:r w:rsidR="008243CA" w:rsidRPr="002A0B6B">
        <w:rPr>
          <w:i/>
          <w:iCs/>
        </w:rPr>
        <w:t xml:space="preserve"> </w:t>
      </w:r>
      <w:r w:rsidRPr="002A0B6B">
        <w:rPr>
          <w:i/>
          <w:iCs/>
        </w:rPr>
        <w:t>imprisoned</w:t>
      </w:r>
      <w:r w:rsidR="008243CA" w:rsidRPr="002A0B6B">
        <w:rPr>
          <w:i/>
          <w:iCs/>
        </w:rPr>
        <w:t xml:space="preserve"> </w:t>
      </w:r>
      <w:r w:rsidRPr="002A0B6B">
        <w:rPr>
          <w:i/>
          <w:iCs/>
        </w:rPr>
        <w:t>mothers</w:t>
      </w:r>
      <w:r w:rsidR="008243CA" w:rsidRPr="002A0B6B">
        <w:rPr>
          <w:i/>
          <w:iCs/>
        </w:rPr>
        <w:t xml:space="preserve"> </w:t>
      </w:r>
      <w:r w:rsidRPr="002A0B6B">
        <w:rPr>
          <w:i/>
          <w:iCs/>
        </w:rPr>
        <w:t>are</w:t>
      </w:r>
      <w:r w:rsidR="008243CA" w:rsidRPr="002A0B6B">
        <w:rPr>
          <w:i/>
          <w:iCs/>
        </w:rPr>
        <w:t xml:space="preserve"> </w:t>
      </w:r>
      <w:r w:rsidRPr="002A0B6B">
        <w:rPr>
          <w:i/>
          <w:iCs/>
        </w:rPr>
        <w:t>protected</w:t>
      </w:r>
      <w:r w:rsidR="008243CA" w:rsidRPr="002A0B6B">
        <w:rPr>
          <w:i/>
          <w:iCs/>
        </w:rPr>
        <w:t xml:space="preserve"> </w:t>
      </w:r>
      <w:r w:rsidRPr="002A0B6B">
        <w:rPr>
          <w:i/>
          <w:iCs/>
        </w:rPr>
        <w:t>during</w:t>
      </w:r>
      <w:r w:rsidR="008243CA" w:rsidRPr="002A0B6B">
        <w:rPr>
          <w:i/>
          <w:iCs/>
        </w:rPr>
        <w:t xml:space="preserve"> </w:t>
      </w:r>
      <w:r w:rsidRPr="002A0B6B">
        <w:rPr>
          <w:i/>
          <w:iCs/>
        </w:rPr>
        <w:t>body</w:t>
      </w:r>
      <w:r w:rsidR="008243CA" w:rsidRPr="002A0B6B">
        <w:rPr>
          <w:i/>
          <w:iCs/>
        </w:rPr>
        <w:t xml:space="preserve"> </w:t>
      </w:r>
      <w:r w:rsidRPr="002A0B6B">
        <w:rPr>
          <w:i/>
          <w:iCs/>
        </w:rPr>
        <w:t>searches</w:t>
      </w:r>
      <w:r w:rsidR="00116F0B">
        <w:rPr>
          <w:i/>
          <w:iCs/>
        </w:rPr>
        <w:t>”</w:t>
      </w:r>
      <w:r w:rsidR="008243CA" w:rsidRPr="002A0B6B">
        <w:rPr>
          <w:i/>
          <w:iCs/>
        </w:rPr>
        <w:t xml:space="preserve"> </w:t>
      </w:r>
      <w:r w:rsidRPr="002A0B6B">
        <w:rPr>
          <w:i/>
          <w:iCs/>
        </w:rPr>
        <w:t>and</w:t>
      </w:r>
      <w:r w:rsidR="008243CA" w:rsidRPr="002A0B6B">
        <w:rPr>
          <w:i/>
          <w:iCs/>
        </w:rPr>
        <w:t xml:space="preserve"> </w:t>
      </w:r>
      <w:r w:rsidR="00116F0B">
        <w:rPr>
          <w:i/>
          <w:iCs/>
        </w:rPr>
        <w:t>“</w:t>
      </w:r>
      <w:r w:rsidRPr="002A0B6B">
        <w:rPr>
          <w:i/>
          <w:iCs/>
        </w:rPr>
        <w:t>to</w:t>
      </w:r>
      <w:r w:rsidR="008243CA" w:rsidRPr="002A0B6B">
        <w:rPr>
          <w:i/>
          <w:iCs/>
        </w:rPr>
        <w:t xml:space="preserve"> </w:t>
      </w:r>
      <w:r w:rsidRPr="002A0B6B">
        <w:rPr>
          <w:i/>
          <w:iCs/>
        </w:rPr>
        <w:t>replace</w:t>
      </w:r>
      <w:r w:rsidR="008243CA" w:rsidRPr="002A0B6B">
        <w:rPr>
          <w:i/>
          <w:iCs/>
        </w:rPr>
        <w:t xml:space="preserve"> </w:t>
      </w:r>
      <w:r w:rsidRPr="002A0B6B">
        <w:rPr>
          <w:i/>
          <w:iCs/>
        </w:rPr>
        <w:t>strip</w:t>
      </w:r>
      <w:r w:rsidR="008243CA" w:rsidRPr="002A0B6B">
        <w:rPr>
          <w:i/>
          <w:iCs/>
        </w:rPr>
        <w:t xml:space="preserve"> </w:t>
      </w:r>
      <w:r w:rsidRPr="002A0B6B">
        <w:rPr>
          <w:i/>
          <w:iCs/>
        </w:rPr>
        <w:t>searches</w:t>
      </w:r>
      <w:r w:rsidR="008243CA" w:rsidRPr="002A0B6B">
        <w:rPr>
          <w:i/>
          <w:iCs/>
        </w:rPr>
        <w:t xml:space="preserve"> </w:t>
      </w:r>
      <w:r w:rsidRPr="002A0B6B">
        <w:rPr>
          <w:i/>
          <w:iCs/>
        </w:rPr>
        <w:t>and</w:t>
      </w:r>
      <w:r w:rsidR="008243CA" w:rsidRPr="002A0B6B">
        <w:rPr>
          <w:i/>
          <w:iCs/>
        </w:rPr>
        <w:t xml:space="preserve"> </w:t>
      </w:r>
      <w:r w:rsidRPr="002A0B6B">
        <w:rPr>
          <w:i/>
          <w:iCs/>
        </w:rPr>
        <w:t>invasive</w:t>
      </w:r>
      <w:r w:rsidR="008243CA" w:rsidRPr="002A0B6B">
        <w:rPr>
          <w:i/>
          <w:iCs/>
        </w:rPr>
        <w:t xml:space="preserve"> </w:t>
      </w:r>
      <w:r w:rsidRPr="002A0B6B">
        <w:rPr>
          <w:i/>
          <w:iCs/>
        </w:rPr>
        <w:t>body</w:t>
      </w:r>
      <w:r w:rsidR="008243CA" w:rsidRPr="002A0B6B">
        <w:rPr>
          <w:i/>
          <w:iCs/>
        </w:rPr>
        <w:t xml:space="preserve"> </w:t>
      </w:r>
      <w:r w:rsidRPr="002A0B6B">
        <w:rPr>
          <w:i/>
          <w:iCs/>
        </w:rPr>
        <w:t>searches</w:t>
      </w:r>
      <w:r w:rsidR="00116F0B">
        <w:rPr>
          <w:i/>
          <w:iCs/>
        </w:rPr>
        <w:t>”</w:t>
      </w:r>
      <w:r w:rsidR="008243CA" w:rsidRPr="002A0B6B">
        <w:rPr>
          <w:i/>
          <w:iCs/>
        </w:rPr>
        <w:t xml:space="preserve"> </w:t>
      </w:r>
      <w:r w:rsidRPr="002A0B6B">
        <w:rPr>
          <w:i/>
          <w:iCs/>
        </w:rPr>
        <w:t>with</w:t>
      </w:r>
      <w:r w:rsidR="008243CA" w:rsidRPr="002A0B6B">
        <w:rPr>
          <w:i/>
          <w:iCs/>
        </w:rPr>
        <w:t xml:space="preserve"> </w:t>
      </w:r>
      <w:r w:rsidRPr="002A0B6B">
        <w:rPr>
          <w:i/>
          <w:iCs/>
        </w:rPr>
        <w:t>alternative</w:t>
      </w:r>
      <w:r w:rsidR="008243CA" w:rsidRPr="002A0B6B">
        <w:rPr>
          <w:i/>
          <w:iCs/>
        </w:rPr>
        <w:t xml:space="preserve"> </w:t>
      </w:r>
      <w:r w:rsidRPr="002A0B6B">
        <w:rPr>
          <w:i/>
          <w:iCs/>
        </w:rPr>
        <w:t>methods</w:t>
      </w:r>
      <w:r w:rsidR="008243CA" w:rsidRPr="002A0B6B">
        <w:rPr>
          <w:i/>
          <w:iCs/>
        </w:rPr>
        <w:t xml:space="preserve"> </w:t>
      </w:r>
      <w:r w:rsidRPr="002A0B6B">
        <w:rPr>
          <w:i/>
          <w:iCs/>
        </w:rPr>
        <w:t>of</w:t>
      </w:r>
      <w:r w:rsidR="008243CA" w:rsidRPr="002A0B6B">
        <w:rPr>
          <w:i/>
          <w:iCs/>
        </w:rPr>
        <w:t xml:space="preserve"> </w:t>
      </w:r>
      <w:r w:rsidRPr="002A0B6B">
        <w:rPr>
          <w:i/>
          <w:iCs/>
        </w:rPr>
        <w:t>inspection,</w:t>
      </w:r>
      <w:r w:rsidR="008243CA" w:rsidRPr="002A0B6B">
        <w:rPr>
          <w:i/>
          <w:iCs/>
        </w:rPr>
        <w:t xml:space="preserve"> </w:t>
      </w:r>
      <w:r w:rsidRPr="002A0B6B">
        <w:rPr>
          <w:i/>
          <w:iCs/>
        </w:rPr>
        <w:t>such</w:t>
      </w:r>
      <w:r w:rsidR="008243CA" w:rsidRPr="002A0B6B">
        <w:rPr>
          <w:i/>
          <w:iCs/>
        </w:rPr>
        <w:t xml:space="preserve"> </w:t>
      </w:r>
      <w:r w:rsidRPr="002A0B6B">
        <w:rPr>
          <w:i/>
          <w:iCs/>
        </w:rPr>
        <w:t>as</w:t>
      </w:r>
      <w:r w:rsidR="008243CA" w:rsidRPr="002A0B6B">
        <w:rPr>
          <w:i/>
          <w:iCs/>
        </w:rPr>
        <w:t xml:space="preserve"> </w:t>
      </w:r>
      <w:r w:rsidRPr="002A0B6B">
        <w:rPr>
          <w:i/>
          <w:iCs/>
        </w:rPr>
        <w:t>the</w:t>
      </w:r>
      <w:r w:rsidR="008243CA" w:rsidRPr="002A0B6B">
        <w:rPr>
          <w:i/>
          <w:iCs/>
        </w:rPr>
        <w:t xml:space="preserve"> </w:t>
      </w:r>
      <w:r w:rsidRPr="002A0B6B">
        <w:rPr>
          <w:i/>
          <w:iCs/>
        </w:rPr>
        <w:t>widespread</w:t>
      </w:r>
      <w:r w:rsidR="008243CA" w:rsidRPr="002A0B6B">
        <w:rPr>
          <w:i/>
          <w:iCs/>
        </w:rPr>
        <w:t xml:space="preserve"> </w:t>
      </w:r>
      <w:r w:rsidRPr="002A0B6B">
        <w:rPr>
          <w:i/>
          <w:iCs/>
        </w:rPr>
        <w:t>use</w:t>
      </w:r>
      <w:r w:rsidR="008243CA" w:rsidRPr="002A0B6B">
        <w:rPr>
          <w:i/>
          <w:iCs/>
        </w:rPr>
        <w:t xml:space="preserve"> </w:t>
      </w:r>
      <w:r w:rsidRPr="002A0B6B">
        <w:rPr>
          <w:i/>
          <w:iCs/>
        </w:rPr>
        <w:t>of</w:t>
      </w:r>
      <w:r w:rsidR="008243CA" w:rsidRPr="002A0B6B">
        <w:rPr>
          <w:i/>
          <w:iCs/>
        </w:rPr>
        <w:t xml:space="preserve"> </w:t>
      </w:r>
      <w:r w:rsidRPr="002A0B6B">
        <w:rPr>
          <w:i/>
          <w:iCs/>
        </w:rPr>
        <w:t>scanners.</w:t>
      </w:r>
    </w:p>
    <w:p w:rsidR="003F7D03" w:rsidRPr="00E62FE6" w:rsidRDefault="003F7D03" w:rsidP="000C6D98">
      <w:pPr>
        <w:pStyle w:val="SingleTxtG"/>
      </w:pPr>
      <w:r w:rsidRPr="00E62FE6">
        <w:t>155.</w:t>
      </w:r>
      <w:r w:rsidRPr="00E62FE6">
        <w:tab/>
        <w:t>With</w:t>
      </w:r>
      <w:r w:rsidR="008243CA">
        <w:t xml:space="preserve"> </w:t>
      </w:r>
      <w:r w:rsidRPr="00E62FE6">
        <w:t>regard</w:t>
      </w:r>
      <w:r w:rsidR="008243CA">
        <w:t xml:space="preserve"> </w:t>
      </w:r>
      <w:r w:rsidRPr="00E62FE6">
        <w:t>to</w:t>
      </w:r>
      <w:r w:rsidR="008243CA">
        <w:t xml:space="preserve"> </w:t>
      </w:r>
      <w:r w:rsidRPr="00E62FE6">
        <w:t>non-invasive</w:t>
      </w:r>
      <w:r w:rsidR="008243CA">
        <w:t xml:space="preserve"> </w:t>
      </w:r>
      <w:r w:rsidRPr="00E62FE6">
        <w:t>inspection</w:t>
      </w:r>
      <w:r w:rsidR="008243CA">
        <w:t xml:space="preserve"> </w:t>
      </w:r>
      <w:r w:rsidRPr="00E62FE6">
        <w:t>methods,</w:t>
      </w:r>
      <w:r w:rsidR="008243CA">
        <w:t xml:space="preserve"> </w:t>
      </w:r>
      <w:r w:rsidRPr="00E62FE6">
        <w:t>the</w:t>
      </w:r>
      <w:r w:rsidR="008243CA">
        <w:t xml:space="preserve"> </w:t>
      </w:r>
      <w:r w:rsidRPr="00E62FE6">
        <w:t>Prison</w:t>
      </w:r>
      <w:r w:rsidR="008243CA">
        <w:t xml:space="preserve"> </w:t>
      </w:r>
      <w:r w:rsidRPr="00E62FE6">
        <w:t>Service</w:t>
      </w:r>
      <w:r w:rsidR="008243CA">
        <w:t xml:space="preserve"> </w:t>
      </w:r>
      <w:r w:rsidRPr="00E62FE6">
        <w:t>reports</w:t>
      </w:r>
      <w:r w:rsidR="008243CA">
        <w:t xml:space="preserve"> </w:t>
      </w:r>
      <w:r w:rsidRPr="00E62FE6">
        <w:t>that</w:t>
      </w:r>
      <w:r w:rsidR="008243CA">
        <w:t xml:space="preserve"> </w:t>
      </w:r>
      <w:r w:rsidRPr="00E62FE6">
        <w:t>body-scanning</w:t>
      </w:r>
      <w:r w:rsidR="008243CA">
        <w:t xml:space="preserve"> </w:t>
      </w:r>
      <w:r w:rsidRPr="00E62FE6">
        <w:t>equipment</w:t>
      </w:r>
      <w:r w:rsidR="008243CA">
        <w:t xml:space="preserve"> </w:t>
      </w:r>
      <w:r w:rsidRPr="00E62FE6">
        <w:t>has</w:t>
      </w:r>
      <w:r w:rsidR="008243CA">
        <w:t xml:space="preserve"> </w:t>
      </w:r>
      <w:r w:rsidRPr="00E62FE6">
        <w:t>been</w:t>
      </w:r>
      <w:r w:rsidR="008243CA">
        <w:t xml:space="preserve"> </w:t>
      </w:r>
      <w:r w:rsidRPr="00E62FE6">
        <w:t>installed</w:t>
      </w:r>
      <w:r w:rsidR="008243CA">
        <w:t xml:space="preserve"> </w:t>
      </w:r>
      <w:r w:rsidRPr="00E62FE6">
        <w:t>at</w:t>
      </w:r>
      <w:r w:rsidR="008243CA">
        <w:t xml:space="preserve"> </w:t>
      </w:r>
      <w:r w:rsidRPr="00E62FE6">
        <w:t>the</w:t>
      </w:r>
      <w:r w:rsidR="008243CA">
        <w:t xml:space="preserve"> </w:t>
      </w:r>
      <w:r w:rsidRPr="00E62FE6">
        <w:t>following</w:t>
      </w:r>
      <w:r w:rsidR="008243CA">
        <w:t xml:space="preserve"> </w:t>
      </w:r>
      <w:r w:rsidRPr="00E62FE6">
        <w:t>three</w:t>
      </w:r>
      <w:r w:rsidR="008243CA">
        <w:t xml:space="preserve"> </w:t>
      </w:r>
      <w:r w:rsidRPr="00E62FE6">
        <w:t>establishments</w:t>
      </w:r>
      <w:r w:rsidR="008243CA">
        <w:t xml:space="preserve"> </w:t>
      </w:r>
      <w:r w:rsidRPr="00E62FE6">
        <w:t>of</w:t>
      </w:r>
      <w:r w:rsidR="008243CA">
        <w:t xml:space="preserve"> </w:t>
      </w:r>
      <w:r w:rsidRPr="00E62FE6">
        <w:t>the</w:t>
      </w:r>
      <w:r w:rsidR="008243CA">
        <w:t xml:space="preserve"> </w:t>
      </w:r>
      <w:r w:rsidRPr="00E62FE6">
        <w:t>custodial</w:t>
      </w:r>
      <w:r w:rsidR="008243CA">
        <w:t xml:space="preserve"> </w:t>
      </w:r>
      <w:r w:rsidRPr="00E62FE6">
        <w:t>system:</w:t>
      </w:r>
    </w:p>
    <w:p w:rsidR="003F7D03" w:rsidRPr="00E62FE6" w:rsidRDefault="003F7D03" w:rsidP="002A0B6B">
      <w:pPr>
        <w:pStyle w:val="Bullet1G"/>
      </w:pPr>
      <w:proofErr w:type="spellStart"/>
      <w:r w:rsidRPr="00E62FE6">
        <w:t>Colina</w:t>
      </w:r>
      <w:proofErr w:type="spellEnd"/>
      <w:r w:rsidR="008243CA">
        <w:t xml:space="preserve"> </w:t>
      </w:r>
      <w:r w:rsidRPr="00E62FE6">
        <w:t>I</w:t>
      </w:r>
      <w:r w:rsidR="008243CA">
        <w:t xml:space="preserve"> </w:t>
      </w:r>
      <w:r w:rsidRPr="00E62FE6">
        <w:t>Prison</w:t>
      </w:r>
    </w:p>
    <w:p w:rsidR="003F7D03" w:rsidRPr="00E62FE6" w:rsidRDefault="003F7D03" w:rsidP="002A0B6B">
      <w:pPr>
        <w:pStyle w:val="Bullet1G"/>
      </w:pPr>
      <w:r w:rsidRPr="00E62FE6">
        <w:t>South</w:t>
      </w:r>
      <w:r w:rsidR="008243CA">
        <w:t xml:space="preserve"> </w:t>
      </w:r>
      <w:r w:rsidRPr="00E62FE6">
        <w:t>Santiago</w:t>
      </w:r>
      <w:r w:rsidR="008243CA">
        <w:t xml:space="preserve"> </w:t>
      </w:r>
      <w:proofErr w:type="spellStart"/>
      <w:r w:rsidRPr="00E62FE6">
        <w:t>Pretrial</w:t>
      </w:r>
      <w:proofErr w:type="spellEnd"/>
      <w:r w:rsidR="008243CA">
        <w:t xml:space="preserve"> </w:t>
      </w:r>
      <w:r w:rsidRPr="00E62FE6">
        <w:t>Detention</w:t>
      </w:r>
      <w:r w:rsidR="008243CA">
        <w:t xml:space="preserve"> </w:t>
      </w:r>
      <w:r w:rsidRPr="00E62FE6">
        <w:t>Centre</w:t>
      </w:r>
    </w:p>
    <w:p w:rsidR="003F7D03" w:rsidRPr="00E62FE6" w:rsidRDefault="003F7D03" w:rsidP="002A0B6B">
      <w:pPr>
        <w:pStyle w:val="Bullet1G"/>
      </w:pPr>
      <w:r w:rsidRPr="00E62FE6">
        <w:t>The</w:t>
      </w:r>
      <w:r w:rsidR="008243CA">
        <w:t xml:space="preserve"> </w:t>
      </w:r>
      <w:r w:rsidRPr="00E62FE6">
        <w:t>Special</w:t>
      </w:r>
      <w:r w:rsidR="008243CA">
        <w:t xml:space="preserve"> </w:t>
      </w:r>
      <w:r w:rsidRPr="00E62FE6">
        <w:t>High</w:t>
      </w:r>
      <w:r w:rsidR="008243CA">
        <w:t xml:space="preserve"> </w:t>
      </w:r>
      <w:r w:rsidRPr="00E62FE6">
        <w:t>Security</w:t>
      </w:r>
      <w:r w:rsidR="008243CA">
        <w:t xml:space="preserve"> </w:t>
      </w:r>
      <w:r w:rsidRPr="00E62FE6">
        <w:t>Unit</w:t>
      </w:r>
    </w:p>
    <w:p w:rsidR="003F7D03" w:rsidRPr="00E62FE6" w:rsidRDefault="003F7D03" w:rsidP="000C6D98">
      <w:pPr>
        <w:pStyle w:val="SingleTxtG"/>
      </w:pPr>
      <w:r w:rsidRPr="00E62FE6">
        <w:t>156.</w:t>
      </w:r>
      <w:r w:rsidRPr="00E62FE6">
        <w:tab/>
        <w:t>The</w:t>
      </w:r>
      <w:r w:rsidR="008243CA">
        <w:t xml:space="preserve"> </w:t>
      </w:r>
      <w:r w:rsidRPr="00E62FE6">
        <w:t>regional</w:t>
      </w:r>
      <w:r w:rsidR="008243CA">
        <w:t xml:space="preserve"> </w:t>
      </w:r>
      <w:r w:rsidRPr="00E62FE6">
        <w:t>directorate</w:t>
      </w:r>
      <w:r w:rsidR="008243CA">
        <w:t xml:space="preserve"> </w:t>
      </w:r>
      <w:r w:rsidRPr="00E62FE6">
        <w:t>of</w:t>
      </w:r>
      <w:r w:rsidR="008243CA">
        <w:t xml:space="preserve"> </w:t>
      </w:r>
      <w:r w:rsidRPr="00E62FE6">
        <w:t>Arica</w:t>
      </w:r>
      <w:r w:rsidR="008243CA">
        <w:t xml:space="preserve"> </w:t>
      </w:r>
      <w:r w:rsidRPr="00E62FE6">
        <w:t>y</w:t>
      </w:r>
      <w:r w:rsidR="008243CA">
        <w:t xml:space="preserve"> </w:t>
      </w:r>
      <w:proofErr w:type="spellStart"/>
      <w:r w:rsidRPr="00E62FE6">
        <w:t>Parinacota</w:t>
      </w:r>
      <w:proofErr w:type="spellEnd"/>
      <w:r w:rsidR="008243CA">
        <w:t xml:space="preserve"> </w:t>
      </w:r>
      <w:r w:rsidRPr="00E62FE6">
        <w:t>recently</w:t>
      </w:r>
      <w:r w:rsidR="008243CA">
        <w:t xml:space="preserve"> </w:t>
      </w:r>
      <w:r w:rsidRPr="00E62FE6">
        <w:t>awarded</w:t>
      </w:r>
      <w:r w:rsidR="008243CA">
        <w:t xml:space="preserve"> </w:t>
      </w:r>
      <w:r w:rsidRPr="00E62FE6">
        <w:t>a</w:t>
      </w:r>
      <w:r w:rsidR="008243CA">
        <w:t xml:space="preserve"> </w:t>
      </w:r>
      <w:r w:rsidRPr="00E62FE6">
        <w:t>contract</w:t>
      </w:r>
      <w:r w:rsidR="008243CA">
        <w:t xml:space="preserve"> </w:t>
      </w:r>
      <w:r w:rsidRPr="00E62FE6">
        <w:t>for</w:t>
      </w:r>
      <w:r w:rsidR="008243CA">
        <w:t xml:space="preserve"> </w:t>
      </w:r>
      <w:r w:rsidRPr="00E62FE6">
        <w:t>the</w:t>
      </w:r>
      <w:r w:rsidR="008243CA">
        <w:t xml:space="preserve"> </w:t>
      </w:r>
      <w:r w:rsidRPr="00E62FE6">
        <w:t>supply</w:t>
      </w:r>
      <w:r w:rsidR="008243CA">
        <w:t xml:space="preserve"> </w:t>
      </w:r>
      <w:r w:rsidRPr="00E62FE6">
        <w:t>of</w:t>
      </w:r>
      <w:r w:rsidR="008243CA">
        <w:t xml:space="preserve"> </w:t>
      </w:r>
      <w:r w:rsidRPr="00E62FE6">
        <w:t>this</w:t>
      </w:r>
      <w:r w:rsidR="008243CA">
        <w:t xml:space="preserve"> </w:t>
      </w:r>
      <w:r w:rsidRPr="00E62FE6">
        <w:t>equipment</w:t>
      </w:r>
      <w:r w:rsidRPr="00116F0B">
        <w:rPr>
          <w:rStyle w:val="FootnoteReference"/>
        </w:rPr>
        <w:footnoteReference w:id="53"/>
      </w:r>
      <w:r w:rsidR="008243CA">
        <w:t xml:space="preserve"> </w:t>
      </w:r>
      <w:r w:rsidRPr="00E62FE6">
        <w:t>to</w:t>
      </w:r>
      <w:r w:rsidR="008243CA">
        <w:t xml:space="preserve"> </w:t>
      </w:r>
      <w:r w:rsidRPr="00E62FE6">
        <w:t>the</w:t>
      </w:r>
      <w:r w:rsidR="008243CA">
        <w:t xml:space="preserve"> </w:t>
      </w:r>
      <w:r w:rsidRPr="00E62FE6">
        <w:t>region</w:t>
      </w:r>
      <w:r w:rsidR="00116F0B">
        <w:t>’</w:t>
      </w:r>
      <w:r w:rsidRPr="00E62FE6">
        <w:t>s</w:t>
      </w:r>
      <w:r w:rsidR="008243CA">
        <w:t xml:space="preserve"> </w:t>
      </w:r>
      <w:r w:rsidRPr="00E62FE6">
        <w:t>prison,</w:t>
      </w:r>
      <w:r w:rsidR="008243CA">
        <w:t xml:space="preserve"> </w:t>
      </w:r>
      <w:r w:rsidRPr="00E62FE6">
        <w:t>with</w:t>
      </w:r>
      <w:r w:rsidR="008243CA">
        <w:t xml:space="preserve"> </w:t>
      </w:r>
      <w:r w:rsidRPr="00E62FE6">
        <w:t>funding</w:t>
      </w:r>
      <w:r w:rsidR="008243CA">
        <w:t xml:space="preserve"> </w:t>
      </w:r>
      <w:r w:rsidRPr="00E62FE6">
        <w:t>from</w:t>
      </w:r>
      <w:r w:rsidR="008243CA">
        <w:t xml:space="preserve"> </w:t>
      </w:r>
      <w:r w:rsidRPr="00E62FE6">
        <w:t>the</w:t>
      </w:r>
      <w:r w:rsidR="008243CA">
        <w:t xml:space="preserve"> </w:t>
      </w:r>
      <w:r w:rsidRPr="00E62FE6">
        <w:t>National</w:t>
      </w:r>
      <w:r w:rsidR="008243CA">
        <w:t xml:space="preserve"> </w:t>
      </w:r>
      <w:r w:rsidRPr="00E62FE6">
        <w:t>Fund</w:t>
      </w:r>
      <w:r w:rsidR="008243CA">
        <w:t xml:space="preserve"> </w:t>
      </w:r>
      <w:r w:rsidRPr="00E62FE6">
        <w:t>for</w:t>
      </w:r>
      <w:r w:rsidR="008243CA">
        <w:t xml:space="preserve"> </w:t>
      </w:r>
      <w:r w:rsidRPr="00E62FE6">
        <w:lastRenderedPageBreak/>
        <w:t>Regional</w:t>
      </w:r>
      <w:r w:rsidR="008243CA">
        <w:t xml:space="preserve"> </w:t>
      </w:r>
      <w:r w:rsidRPr="00E62FE6">
        <w:t>Development.</w:t>
      </w:r>
      <w:r w:rsidRPr="00116F0B">
        <w:rPr>
          <w:rStyle w:val="FootnoteReference"/>
        </w:rPr>
        <w:footnoteReference w:id="54"/>
      </w:r>
      <w:r w:rsidR="008243CA">
        <w:t xml:space="preserve"> </w:t>
      </w:r>
      <w:r w:rsidRPr="00E62FE6">
        <w:t>It</w:t>
      </w:r>
      <w:r w:rsidR="008243CA">
        <w:t xml:space="preserve"> </w:t>
      </w:r>
      <w:r w:rsidRPr="00E62FE6">
        <w:t>is</w:t>
      </w:r>
      <w:r w:rsidR="008243CA">
        <w:t xml:space="preserve"> </w:t>
      </w:r>
      <w:r w:rsidRPr="00E62FE6">
        <w:t>also</w:t>
      </w:r>
      <w:r w:rsidR="008243CA">
        <w:t xml:space="preserve"> </w:t>
      </w:r>
      <w:r w:rsidRPr="00E62FE6">
        <w:t>considering</w:t>
      </w:r>
      <w:r w:rsidR="008243CA">
        <w:t xml:space="preserve"> </w:t>
      </w:r>
      <w:r w:rsidRPr="00E62FE6">
        <w:t>the</w:t>
      </w:r>
      <w:r w:rsidR="008243CA">
        <w:t xml:space="preserve"> </w:t>
      </w:r>
      <w:r w:rsidRPr="00E62FE6">
        <w:t>procurement</w:t>
      </w:r>
      <w:r w:rsidR="008243CA">
        <w:t xml:space="preserve"> </w:t>
      </w:r>
      <w:r w:rsidRPr="00E62FE6">
        <w:t>of</w:t>
      </w:r>
      <w:r w:rsidR="008243CA">
        <w:t xml:space="preserve"> </w:t>
      </w:r>
      <w:r w:rsidRPr="00E62FE6">
        <w:t>new</w:t>
      </w:r>
      <w:r w:rsidR="008243CA">
        <w:t xml:space="preserve"> </w:t>
      </w:r>
      <w:r w:rsidRPr="00E62FE6">
        <w:t>specialized</w:t>
      </w:r>
      <w:r w:rsidR="008243CA">
        <w:t xml:space="preserve"> </w:t>
      </w:r>
      <w:r w:rsidRPr="00E62FE6">
        <w:t>equipment</w:t>
      </w:r>
      <w:r w:rsidR="008243CA">
        <w:t xml:space="preserve"> </w:t>
      </w:r>
      <w:r w:rsidRPr="00E62FE6">
        <w:t>to</w:t>
      </w:r>
      <w:r w:rsidR="008243CA">
        <w:t xml:space="preserve"> </w:t>
      </w:r>
      <w:r w:rsidRPr="00E62FE6">
        <w:t>expand</w:t>
      </w:r>
      <w:r w:rsidR="008243CA">
        <w:t xml:space="preserve"> </w:t>
      </w:r>
      <w:r w:rsidRPr="00E62FE6">
        <w:t>the</w:t>
      </w:r>
      <w:r w:rsidR="008243CA">
        <w:t xml:space="preserve"> </w:t>
      </w:r>
      <w:r w:rsidRPr="00E62FE6">
        <w:t>coverage</w:t>
      </w:r>
      <w:r w:rsidR="008243CA">
        <w:t xml:space="preserve"> </w:t>
      </w:r>
      <w:r w:rsidRPr="00E62FE6">
        <w:t>of</w:t>
      </w:r>
      <w:r w:rsidR="008243CA">
        <w:t xml:space="preserve"> </w:t>
      </w:r>
      <w:r w:rsidRPr="00E62FE6">
        <w:t>specialized</w:t>
      </w:r>
      <w:r w:rsidR="008243CA">
        <w:t xml:space="preserve"> </w:t>
      </w:r>
      <w:r w:rsidRPr="00E62FE6">
        <w:t>equipment</w:t>
      </w:r>
      <w:r w:rsidR="008243CA">
        <w:t xml:space="preserve"> </w:t>
      </w:r>
      <w:r w:rsidRPr="00E62FE6">
        <w:t>for</w:t>
      </w:r>
      <w:r w:rsidR="008243CA">
        <w:t xml:space="preserve"> </w:t>
      </w:r>
      <w:r w:rsidRPr="00E62FE6">
        <w:t>non-invasive</w:t>
      </w:r>
      <w:r w:rsidR="008243CA">
        <w:t xml:space="preserve"> </w:t>
      </w:r>
      <w:r w:rsidRPr="00E62FE6">
        <w:t>body</w:t>
      </w:r>
      <w:r w:rsidR="008243CA">
        <w:t xml:space="preserve"> </w:t>
      </w:r>
      <w:r w:rsidRPr="00E62FE6">
        <w:t>searches.</w:t>
      </w:r>
      <w:r w:rsidR="008243CA">
        <w:t xml:space="preserve"> </w:t>
      </w:r>
      <w:r w:rsidRPr="00E62FE6">
        <w:t>Moreover,</w:t>
      </w:r>
      <w:r w:rsidR="008243CA">
        <w:t xml:space="preserve"> </w:t>
      </w:r>
      <w:r w:rsidRPr="00E62FE6">
        <w:t>the</w:t>
      </w:r>
      <w:r w:rsidR="008243CA">
        <w:t xml:space="preserve"> </w:t>
      </w:r>
      <w:r w:rsidRPr="00E62FE6">
        <w:t>design</w:t>
      </w:r>
      <w:r w:rsidR="008243CA">
        <w:t xml:space="preserve"> </w:t>
      </w:r>
      <w:r w:rsidRPr="00E62FE6">
        <w:t>of</w:t>
      </w:r>
      <w:r w:rsidR="008243CA">
        <w:t xml:space="preserve"> </w:t>
      </w:r>
      <w:r w:rsidRPr="00E62FE6">
        <w:t>the</w:t>
      </w:r>
      <w:r w:rsidR="008243CA">
        <w:t xml:space="preserve"> </w:t>
      </w:r>
      <w:r w:rsidRPr="00E62FE6">
        <w:t>new</w:t>
      </w:r>
      <w:r w:rsidR="008243CA">
        <w:t xml:space="preserve"> </w:t>
      </w:r>
      <w:r w:rsidRPr="00E62FE6">
        <w:t>correctional</w:t>
      </w:r>
      <w:r w:rsidR="008243CA">
        <w:t xml:space="preserve"> </w:t>
      </w:r>
      <w:r w:rsidRPr="00E62FE6">
        <w:t>facilities</w:t>
      </w:r>
      <w:r w:rsidR="008243CA">
        <w:t xml:space="preserve"> </w:t>
      </w:r>
      <w:r w:rsidRPr="00E62FE6">
        <w:t>under</w:t>
      </w:r>
      <w:r w:rsidR="008243CA">
        <w:t xml:space="preserve"> </w:t>
      </w:r>
      <w:r w:rsidRPr="00E62FE6">
        <w:t>construction</w:t>
      </w:r>
      <w:r w:rsidR="008243CA">
        <w:t xml:space="preserve"> </w:t>
      </w:r>
      <w:r w:rsidRPr="00E62FE6">
        <w:t>in</w:t>
      </w:r>
      <w:r w:rsidR="008243CA">
        <w:t xml:space="preserve"> </w:t>
      </w:r>
      <w:r w:rsidRPr="00E62FE6">
        <w:t>Chile</w:t>
      </w:r>
      <w:r w:rsidR="008243CA">
        <w:t xml:space="preserve"> </w:t>
      </w:r>
      <w:r w:rsidRPr="00E62FE6">
        <w:t>requires</w:t>
      </w:r>
      <w:r w:rsidR="008243CA">
        <w:t xml:space="preserve"> </w:t>
      </w:r>
      <w:r w:rsidRPr="00E62FE6">
        <w:t>the</w:t>
      </w:r>
      <w:r w:rsidR="008243CA">
        <w:t xml:space="preserve"> </w:t>
      </w:r>
      <w:r w:rsidRPr="00E62FE6">
        <w:t>integration</w:t>
      </w:r>
      <w:r w:rsidR="008243CA">
        <w:t xml:space="preserve"> </w:t>
      </w:r>
      <w:r w:rsidRPr="00E62FE6">
        <w:t>of</w:t>
      </w:r>
      <w:r w:rsidR="008243CA">
        <w:t xml:space="preserve"> </w:t>
      </w:r>
      <w:r w:rsidRPr="00E62FE6">
        <w:t>this</w:t>
      </w:r>
      <w:r w:rsidR="008243CA">
        <w:t xml:space="preserve"> </w:t>
      </w:r>
      <w:r w:rsidRPr="00E62FE6">
        <w:t>type</w:t>
      </w:r>
      <w:r w:rsidR="008243CA">
        <w:t xml:space="preserve"> </w:t>
      </w:r>
      <w:r w:rsidRPr="00E62FE6">
        <w:t>of</w:t>
      </w:r>
      <w:r w:rsidR="008243CA">
        <w:t xml:space="preserve"> </w:t>
      </w:r>
      <w:r w:rsidRPr="00E62FE6">
        <w:t>technology</w:t>
      </w:r>
      <w:r w:rsidR="008243CA">
        <w:t xml:space="preserve"> </w:t>
      </w:r>
      <w:r w:rsidRPr="00E62FE6">
        <w:t>to</w:t>
      </w:r>
      <w:r w:rsidR="008243CA">
        <w:t xml:space="preserve"> </w:t>
      </w:r>
      <w:r w:rsidRPr="00E62FE6">
        <w:t>prevent</w:t>
      </w:r>
      <w:r w:rsidR="008243CA">
        <w:t xml:space="preserve"> </w:t>
      </w:r>
      <w:r w:rsidRPr="00E62FE6">
        <w:t>violations</w:t>
      </w:r>
      <w:r w:rsidR="008243CA">
        <w:t xml:space="preserve"> </w:t>
      </w:r>
      <w:r w:rsidRPr="00E62FE6">
        <w:t>of</w:t>
      </w:r>
      <w:r w:rsidR="008243CA">
        <w:t xml:space="preserve"> </w:t>
      </w:r>
      <w:r w:rsidRPr="00E62FE6">
        <w:t>the</w:t>
      </w:r>
      <w:r w:rsidR="008243CA">
        <w:t xml:space="preserve"> </w:t>
      </w:r>
      <w:r w:rsidRPr="00E62FE6">
        <w:t>rights</w:t>
      </w:r>
      <w:r w:rsidR="008243CA">
        <w:t xml:space="preserve"> </w:t>
      </w:r>
      <w:r w:rsidRPr="00E62FE6">
        <w:t>of</w:t>
      </w:r>
      <w:r w:rsidR="008243CA">
        <w:t xml:space="preserve"> </w:t>
      </w:r>
      <w:r w:rsidRPr="00E62FE6">
        <w:t>detainees</w:t>
      </w:r>
      <w:r w:rsidR="008243CA">
        <w:t xml:space="preserve"> </w:t>
      </w:r>
      <w:r w:rsidRPr="00E62FE6">
        <w:t>and</w:t>
      </w:r>
      <w:r w:rsidR="008243CA">
        <w:t xml:space="preserve"> </w:t>
      </w:r>
      <w:r w:rsidRPr="00E62FE6">
        <w:t>their</w:t>
      </w:r>
      <w:r w:rsidR="008243CA">
        <w:t xml:space="preserve"> </w:t>
      </w:r>
      <w:r w:rsidRPr="00E62FE6">
        <w:t>families.</w:t>
      </w:r>
      <w:r w:rsidR="008243CA">
        <w:t xml:space="preserve"> </w:t>
      </w:r>
      <w:r w:rsidRPr="00E62FE6">
        <w:t>All</w:t>
      </w:r>
      <w:r w:rsidR="008243CA">
        <w:t xml:space="preserve"> </w:t>
      </w:r>
      <w:r w:rsidRPr="00E62FE6">
        <w:t>of</w:t>
      </w:r>
      <w:r w:rsidR="008243CA">
        <w:t xml:space="preserve"> </w:t>
      </w:r>
      <w:r w:rsidRPr="00E62FE6">
        <w:t>these</w:t>
      </w:r>
      <w:r w:rsidR="008243CA">
        <w:t xml:space="preserve"> </w:t>
      </w:r>
      <w:r w:rsidRPr="00E62FE6">
        <w:t>measures</w:t>
      </w:r>
      <w:r w:rsidR="008243CA">
        <w:t xml:space="preserve"> </w:t>
      </w:r>
      <w:r w:rsidRPr="00E62FE6">
        <w:t>should</w:t>
      </w:r>
      <w:r w:rsidR="008243CA">
        <w:t xml:space="preserve"> </w:t>
      </w:r>
      <w:r w:rsidRPr="00E62FE6">
        <w:t>be</w:t>
      </w:r>
      <w:r w:rsidR="008243CA">
        <w:t xml:space="preserve"> </w:t>
      </w:r>
      <w:r w:rsidRPr="00E62FE6">
        <w:t>implemented</w:t>
      </w:r>
      <w:r w:rsidR="008243CA">
        <w:t xml:space="preserve"> </w:t>
      </w:r>
      <w:r w:rsidRPr="00E62FE6">
        <w:t>by</w:t>
      </w:r>
      <w:r w:rsidR="008243CA">
        <w:t xml:space="preserve"> </w:t>
      </w:r>
      <w:r w:rsidRPr="00E62FE6">
        <w:t>July</w:t>
      </w:r>
      <w:r w:rsidR="008243CA">
        <w:t xml:space="preserve"> </w:t>
      </w:r>
      <w:r w:rsidRPr="00E62FE6">
        <w:t>2017.</w:t>
      </w:r>
    </w:p>
    <w:p w:rsidR="003F7D03" w:rsidRPr="00E62FE6" w:rsidRDefault="003F7D03" w:rsidP="000C6D98">
      <w:pPr>
        <w:pStyle w:val="SingleTxtG"/>
      </w:pPr>
      <w:r w:rsidRPr="00E62FE6">
        <w:t>157.</w:t>
      </w:r>
      <w:r w:rsidRPr="00E62FE6">
        <w:tab/>
        <w:t>SENAME</w:t>
      </w:r>
      <w:r w:rsidR="008243CA">
        <w:t xml:space="preserve"> </w:t>
      </w:r>
      <w:r w:rsidRPr="00E62FE6">
        <w:t>has</w:t>
      </w:r>
      <w:r w:rsidR="008243CA">
        <w:t xml:space="preserve"> </w:t>
      </w:r>
      <w:r w:rsidRPr="00E62FE6">
        <w:t>reported</w:t>
      </w:r>
      <w:r w:rsidR="008243CA">
        <w:t xml:space="preserve"> </w:t>
      </w:r>
      <w:r w:rsidRPr="00E62FE6">
        <w:t>that</w:t>
      </w:r>
      <w:r w:rsidR="008243CA">
        <w:t xml:space="preserve"> </w:t>
      </w:r>
      <w:r w:rsidRPr="00E62FE6">
        <w:t>while</w:t>
      </w:r>
      <w:r w:rsidR="008243CA">
        <w:t xml:space="preserve"> </w:t>
      </w:r>
      <w:r w:rsidRPr="00E62FE6">
        <w:t>control</w:t>
      </w:r>
      <w:r w:rsidR="008243CA">
        <w:t xml:space="preserve"> </w:t>
      </w:r>
      <w:r w:rsidRPr="00E62FE6">
        <w:t>of</w:t>
      </w:r>
      <w:r w:rsidR="008243CA">
        <w:t xml:space="preserve"> </w:t>
      </w:r>
      <w:r w:rsidRPr="00E62FE6">
        <w:t>admission</w:t>
      </w:r>
      <w:r w:rsidR="008243CA">
        <w:t xml:space="preserve"> </w:t>
      </w:r>
      <w:r w:rsidRPr="00E62FE6">
        <w:t>to</w:t>
      </w:r>
      <w:r w:rsidR="008243CA">
        <w:t xml:space="preserve"> </w:t>
      </w:r>
      <w:r w:rsidRPr="00E62FE6">
        <w:t>its</w:t>
      </w:r>
      <w:r w:rsidR="008243CA">
        <w:t xml:space="preserve"> </w:t>
      </w:r>
      <w:r w:rsidRPr="00E62FE6">
        <w:t>youth</w:t>
      </w:r>
      <w:r w:rsidR="008243CA">
        <w:t xml:space="preserve"> </w:t>
      </w:r>
      <w:r w:rsidRPr="00E62FE6">
        <w:t>detention</w:t>
      </w:r>
      <w:r w:rsidR="008243CA">
        <w:t xml:space="preserve"> </w:t>
      </w:r>
      <w:r w:rsidRPr="00E62FE6">
        <w:t>centres</w:t>
      </w:r>
      <w:r w:rsidR="008243CA">
        <w:t xml:space="preserve"> </w:t>
      </w:r>
      <w:r w:rsidRPr="00E62FE6">
        <w:t>is</w:t>
      </w:r>
      <w:r w:rsidR="008243CA">
        <w:t xml:space="preserve"> </w:t>
      </w:r>
      <w:r w:rsidRPr="00E62FE6">
        <w:t>the</w:t>
      </w:r>
      <w:r w:rsidR="008243CA">
        <w:t xml:space="preserve"> </w:t>
      </w:r>
      <w:r w:rsidRPr="00E62FE6">
        <w:t>responsibility</w:t>
      </w:r>
      <w:r w:rsidR="008243CA">
        <w:t xml:space="preserve"> </w:t>
      </w:r>
      <w:r w:rsidRPr="00E62FE6">
        <w:t>of</w:t>
      </w:r>
      <w:r w:rsidR="008243CA">
        <w:t xml:space="preserve"> </w:t>
      </w:r>
      <w:r w:rsidRPr="00E62FE6">
        <w:t>the</w:t>
      </w:r>
      <w:r w:rsidR="008243CA">
        <w:t xml:space="preserve"> </w:t>
      </w:r>
      <w:r w:rsidRPr="00E62FE6">
        <w:t>Prison</w:t>
      </w:r>
      <w:r w:rsidR="008243CA">
        <w:t xml:space="preserve"> </w:t>
      </w:r>
      <w:r w:rsidRPr="00E62FE6">
        <w:t>Service,</w:t>
      </w:r>
      <w:r w:rsidRPr="00116F0B">
        <w:rPr>
          <w:rStyle w:val="FootnoteReference"/>
        </w:rPr>
        <w:footnoteReference w:id="55"/>
      </w:r>
      <w:r w:rsidR="008243CA">
        <w:t xml:space="preserve"> </w:t>
      </w:r>
      <w:r w:rsidRPr="00E62FE6">
        <w:t>it</w:t>
      </w:r>
      <w:r w:rsidR="008243CA">
        <w:t xml:space="preserve"> </w:t>
      </w:r>
      <w:r w:rsidRPr="00E62FE6">
        <w:t>has</w:t>
      </w:r>
      <w:r w:rsidR="008243CA">
        <w:t xml:space="preserve"> </w:t>
      </w:r>
      <w:r w:rsidRPr="00E62FE6">
        <w:t>the</w:t>
      </w:r>
      <w:r w:rsidR="008243CA">
        <w:t xml:space="preserve"> </w:t>
      </w:r>
      <w:r w:rsidRPr="00E62FE6">
        <w:t>technology</w:t>
      </w:r>
      <w:r w:rsidR="008243CA">
        <w:t xml:space="preserve"> </w:t>
      </w:r>
      <w:r w:rsidRPr="00E62FE6">
        <w:t>in</w:t>
      </w:r>
      <w:r w:rsidR="008243CA">
        <w:t xml:space="preserve"> </w:t>
      </w:r>
      <w:r w:rsidRPr="00E62FE6">
        <w:t>place</w:t>
      </w:r>
      <w:r w:rsidR="008243CA">
        <w:t xml:space="preserve"> </w:t>
      </w:r>
      <w:r w:rsidRPr="00E62FE6">
        <w:t>to</w:t>
      </w:r>
      <w:r w:rsidR="008243CA">
        <w:t xml:space="preserve"> </w:t>
      </w:r>
      <w:r w:rsidRPr="00E62FE6">
        <w:t>conduct</w:t>
      </w:r>
      <w:r w:rsidR="008243CA">
        <w:t xml:space="preserve"> </w:t>
      </w:r>
      <w:r w:rsidRPr="00E62FE6">
        <w:t>non-invasive</w:t>
      </w:r>
      <w:r w:rsidR="008243CA">
        <w:t xml:space="preserve"> </w:t>
      </w:r>
      <w:r w:rsidRPr="00E62FE6">
        <w:t>inspections</w:t>
      </w:r>
      <w:r w:rsidR="008243CA">
        <w:t xml:space="preserve"> </w:t>
      </w:r>
      <w:r w:rsidRPr="00E62FE6">
        <w:t>and</w:t>
      </w:r>
      <w:r w:rsidR="008243CA">
        <w:t xml:space="preserve"> </w:t>
      </w:r>
      <w:r w:rsidRPr="00E62FE6">
        <w:t>has</w:t>
      </w:r>
      <w:r w:rsidR="008243CA">
        <w:t xml:space="preserve"> </w:t>
      </w:r>
      <w:r w:rsidRPr="00E62FE6">
        <w:t>stipulated</w:t>
      </w:r>
      <w:r w:rsidR="008243CA">
        <w:t xml:space="preserve"> </w:t>
      </w:r>
      <w:r w:rsidRPr="00E62FE6">
        <w:t>that</w:t>
      </w:r>
      <w:r w:rsidR="008243CA">
        <w:t xml:space="preserve"> </w:t>
      </w:r>
      <w:r w:rsidRPr="00E62FE6">
        <w:t>checks</w:t>
      </w:r>
      <w:r w:rsidR="008243CA">
        <w:t xml:space="preserve"> </w:t>
      </w:r>
      <w:r w:rsidRPr="00E62FE6">
        <w:t>and</w:t>
      </w:r>
      <w:r w:rsidR="008243CA">
        <w:t xml:space="preserve"> </w:t>
      </w:r>
      <w:r w:rsidRPr="00E62FE6">
        <w:t>searches</w:t>
      </w:r>
      <w:r w:rsidR="008243CA">
        <w:t xml:space="preserve"> </w:t>
      </w:r>
      <w:r w:rsidRPr="00E62FE6">
        <w:t>of</w:t>
      </w:r>
      <w:r w:rsidR="008243CA">
        <w:t xml:space="preserve"> </w:t>
      </w:r>
      <w:r w:rsidRPr="00E62FE6">
        <w:t>visitors</w:t>
      </w:r>
      <w:r w:rsidR="008243CA">
        <w:t xml:space="preserve"> </w:t>
      </w:r>
      <w:r w:rsidRPr="00E62FE6">
        <w:t>should</w:t>
      </w:r>
      <w:r w:rsidR="008243CA">
        <w:t xml:space="preserve"> </w:t>
      </w:r>
      <w:r w:rsidRPr="00E62FE6">
        <w:t>only</w:t>
      </w:r>
      <w:r w:rsidR="008243CA">
        <w:t xml:space="preserve"> </w:t>
      </w:r>
      <w:r w:rsidRPr="00E62FE6">
        <w:t>be</w:t>
      </w:r>
      <w:r w:rsidR="008243CA">
        <w:t xml:space="preserve"> </w:t>
      </w:r>
      <w:r w:rsidRPr="00E62FE6">
        <w:t>carried</w:t>
      </w:r>
      <w:r w:rsidR="008243CA">
        <w:t xml:space="preserve"> </w:t>
      </w:r>
      <w:r w:rsidRPr="00E62FE6">
        <w:t>out</w:t>
      </w:r>
      <w:r w:rsidR="008243CA">
        <w:t xml:space="preserve"> </w:t>
      </w:r>
      <w:r w:rsidRPr="00E62FE6">
        <w:t>using</w:t>
      </w:r>
      <w:r w:rsidR="008243CA">
        <w:t xml:space="preserve"> </w:t>
      </w:r>
      <w:r w:rsidRPr="00E62FE6">
        <w:t>hand-held</w:t>
      </w:r>
      <w:r w:rsidR="008243CA">
        <w:t xml:space="preserve"> </w:t>
      </w:r>
      <w:r w:rsidRPr="00E62FE6">
        <w:t>or</w:t>
      </w:r>
      <w:r w:rsidR="008243CA">
        <w:t xml:space="preserve"> </w:t>
      </w:r>
      <w:r w:rsidRPr="00E62FE6">
        <w:t>walk-through</w:t>
      </w:r>
      <w:r w:rsidR="008243CA">
        <w:t xml:space="preserve"> </w:t>
      </w:r>
      <w:r w:rsidRPr="00E62FE6">
        <w:t>metal</w:t>
      </w:r>
      <w:r w:rsidR="008243CA">
        <w:t xml:space="preserve"> </w:t>
      </w:r>
      <w:r w:rsidRPr="00E62FE6">
        <w:t>detectors.</w:t>
      </w:r>
      <w:r w:rsidR="008243CA">
        <w:t xml:space="preserve"> </w:t>
      </w:r>
      <w:r w:rsidRPr="00E62FE6">
        <w:t>Manual</w:t>
      </w:r>
      <w:r w:rsidR="008243CA">
        <w:t xml:space="preserve"> </w:t>
      </w:r>
      <w:r w:rsidRPr="00E62FE6">
        <w:t>searches</w:t>
      </w:r>
      <w:r w:rsidR="008243CA">
        <w:t xml:space="preserve"> </w:t>
      </w:r>
      <w:r w:rsidRPr="00E62FE6">
        <w:t>are</w:t>
      </w:r>
      <w:r w:rsidR="008243CA">
        <w:t xml:space="preserve"> </w:t>
      </w:r>
      <w:r w:rsidRPr="00E62FE6">
        <w:t>carried</w:t>
      </w:r>
      <w:r w:rsidR="008243CA">
        <w:t xml:space="preserve"> </w:t>
      </w:r>
      <w:r w:rsidRPr="00E62FE6">
        <w:t>out</w:t>
      </w:r>
      <w:r w:rsidR="008243CA">
        <w:t xml:space="preserve"> </w:t>
      </w:r>
      <w:r w:rsidRPr="00E62FE6">
        <w:t>only</w:t>
      </w:r>
      <w:r w:rsidR="008243CA">
        <w:t xml:space="preserve"> </w:t>
      </w:r>
      <w:r w:rsidRPr="00E62FE6">
        <w:t>in</w:t>
      </w:r>
      <w:r w:rsidR="008243CA">
        <w:t xml:space="preserve"> </w:t>
      </w:r>
      <w:r w:rsidRPr="00E62FE6">
        <w:t>exceptional</w:t>
      </w:r>
      <w:r w:rsidR="008243CA">
        <w:t xml:space="preserve"> </w:t>
      </w:r>
      <w:r w:rsidRPr="00E62FE6">
        <w:t>cases</w:t>
      </w:r>
      <w:r w:rsidR="008243CA">
        <w:t xml:space="preserve"> </w:t>
      </w:r>
      <w:r w:rsidRPr="00E62FE6">
        <w:t>by</w:t>
      </w:r>
      <w:r w:rsidR="008243CA">
        <w:t xml:space="preserve"> </w:t>
      </w:r>
      <w:r w:rsidRPr="00E62FE6">
        <w:t>an</w:t>
      </w:r>
      <w:r w:rsidR="008243CA">
        <w:t xml:space="preserve"> </w:t>
      </w:r>
      <w:r w:rsidRPr="00E62FE6">
        <w:t>official</w:t>
      </w:r>
      <w:r w:rsidR="008243CA">
        <w:t xml:space="preserve"> </w:t>
      </w:r>
      <w:r w:rsidRPr="00E62FE6">
        <w:t>of</w:t>
      </w:r>
      <w:r w:rsidR="008243CA">
        <w:t xml:space="preserve"> </w:t>
      </w:r>
      <w:r w:rsidRPr="00E62FE6">
        <w:t>the</w:t>
      </w:r>
      <w:r w:rsidR="008243CA">
        <w:t xml:space="preserve"> </w:t>
      </w:r>
      <w:r w:rsidRPr="00E62FE6">
        <w:t>same</w:t>
      </w:r>
      <w:r w:rsidR="008243CA">
        <w:t xml:space="preserve"> </w:t>
      </w:r>
      <w:r w:rsidRPr="00E62FE6">
        <w:t>sex</w:t>
      </w:r>
      <w:r w:rsidR="008243CA">
        <w:t xml:space="preserve"> </w:t>
      </w:r>
      <w:r w:rsidRPr="00E62FE6">
        <w:t>as</w:t>
      </w:r>
      <w:r w:rsidR="008243CA">
        <w:t xml:space="preserve"> </w:t>
      </w:r>
      <w:r w:rsidRPr="00E62FE6">
        <w:t>the</w:t>
      </w:r>
      <w:r w:rsidR="008243CA">
        <w:t xml:space="preserve"> </w:t>
      </w:r>
      <w:r w:rsidRPr="00E62FE6">
        <w:t>person</w:t>
      </w:r>
      <w:r w:rsidR="008243CA">
        <w:t xml:space="preserve"> </w:t>
      </w:r>
      <w:r w:rsidRPr="00E62FE6">
        <w:t>entering</w:t>
      </w:r>
      <w:r w:rsidR="008243CA">
        <w:t xml:space="preserve"> </w:t>
      </w:r>
      <w:r w:rsidRPr="00E62FE6">
        <w:t>the</w:t>
      </w:r>
      <w:r w:rsidR="008243CA">
        <w:t xml:space="preserve"> </w:t>
      </w:r>
      <w:r w:rsidRPr="00E62FE6">
        <w:t>centre.</w:t>
      </w:r>
      <w:r w:rsidRPr="00116F0B">
        <w:rPr>
          <w:rStyle w:val="FootnoteReference"/>
        </w:rPr>
        <w:footnoteReference w:id="56"/>
      </w:r>
      <w:bookmarkStart w:id="97" w:name="page39"/>
      <w:bookmarkEnd w:id="97"/>
    </w:p>
    <w:p w:rsidR="003F7D03" w:rsidRPr="00E62FE6" w:rsidRDefault="003F7D03" w:rsidP="00BF3A24">
      <w:pPr>
        <w:pStyle w:val="H23G"/>
      </w:pPr>
      <w:r w:rsidRPr="00E62FE6">
        <w:tab/>
      </w:r>
      <w:bookmarkStart w:id="98" w:name="_Toc512870701"/>
      <w:bookmarkStart w:id="99" w:name="_Toc512870863"/>
      <w:r w:rsidRPr="00E62FE6">
        <w:t>3.4.2</w:t>
      </w:r>
      <w:r w:rsidRPr="00E62FE6">
        <w:tab/>
        <w:t>Children</w:t>
      </w:r>
      <w:r w:rsidR="008243CA">
        <w:t xml:space="preserve"> </w:t>
      </w:r>
      <w:r w:rsidRPr="00E62FE6">
        <w:t>and</w:t>
      </w:r>
      <w:r w:rsidR="008243CA">
        <w:t xml:space="preserve"> </w:t>
      </w:r>
      <w:r w:rsidRPr="00E62FE6">
        <w:t>adolescents</w:t>
      </w:r>
      <w:r w:rsidR="008243CA">
        <w:t xml:space="preserve"> </w:t>
      </w:r>
      <w:r w:rsidRPr="00E62FE6">
        <w:t>in</w:t>
      </w:r>
      <w:r w:rsidR="008243CA">
        <w:t xml:space="preserve"> </w:t>
      </w:r>
      <w:r w:rsidRPr="00E62FE6">
        <w:t>conflict</w:t>
      </w:r>
      <w:r w:rsidR="008243CA">
        <w:t xml:space="preserve"> </w:t>
      </w:r>
      <w:r w:rsidRPr="00E62FE6">
        <w:t>with</w:t>
      </w:r>
      <w:r w:rsidR="008243CA">
        <w:t xml:space="preserve"> </w:t>
      </w:r>
      <w:r w:rsidRPr="00E62FE6">
        <w:t>the</w:t>
      </w:r>
      <w:r w:rsidR="008243CA">
        <w:t xml:space="preserve"> </w:t>
      </w:r>
      <w:r w:rsidRPr="00E62FE6">
        <w:t>law</w:t>
      </w:r>
      <w:bookmarkEnd w:id="98"/>
      <w:bookmarkEnd w:id="99"/>
    </w:p>
    <w:p w:rsidR="003F7D03" w:rsidRPr="00E62FE6" w:rsidRDefault="003F7D03" w:rsidP="000C6D98">
      <w:pPr>
        <w:pStyle w:val="SingleTxtG"/>
      </w:pPr>
      <w:r w:rsidRPr="00E62FE6">
        <w:t>158.</w:t>
      </w:r>
      <w:r w:rsidRPr="00E62FE6">
        <w:tab/>
        <w:t>The</w:t>
      </w:r>
      <w:r w:rsidR="008243CA">
        <w:t xml:space="preserve"> </w:t>
      </w:r>
      <w:r w:rsidRPr="00E62FE6">
        <w:t>promotion</w:t>
      </w:r>
      <w:r w:rsidR="008243CA">
        <w:t xml:space="preserve"> </w:t>
      </w:r>
      <w:r w:rsidRPr="00E62FE6">
        <w:t>and</w:t>
      </w:r>
      <w:r w:rsidR="008243CA">
        <w:t xml:space="preserve"> </w:t>
      </w:r>
      <w:r w:rsidRPr="00E62FE6">
        <w:t>protection</w:t>
      </w:r>
      <w:r w:rsidR="008243CA">
        <w:t xml:space="preserve"> </w:t>
      </w:r>
      <w:r w:rsidRPr="00E62FE6">
        <w:t>of</w:t>
      </w:r>
      <w:r w:rsidR="008243CA">
        <w:t xml:space="preserve"> </w:t>
      </w:r>
      <w:r w:rsidRPr="00E62FE6">
        <w:t>the</w:t>
      </w:r>
      <w:r w:rsidR="008243CA">
        <w:t xml:space="preserve"> </w:t>
      </w:r>
      <w:r w:rsidRPr="00E62FE6">
        <w:t>rights</w:t>
      </w:r>
      <w:r w:rsidR="008243CA">
        <w:t xml:space="preserve"> </w:t>
      </w:r>
      <w:r w:rsidRPr="00E62FE6">
        <w:t>of</w:t>
      </w:r>
      <w:r w:rsidR="008243CA">
        <w:t xml:space="preserve"> </w:t>
      </w:r>
      <w:r w:rsidRPr="00E62FE6">
        <w:t>children</w:t>
      </w:r>
      <w:r w:rsidR="008243CA">
        <w:t xml:space="preserve"> </w:t>
      </w:r>
      <w:r w:rsidRPr="00E62FE6">
        <w:t>and</w:t>
      </w:r>
      <w:r w:rsidR="008243CA">
        <w:t xml:space="preserve"> </w:t>
      </w:r>
      <w:r w:rsidRPr="00E62FE6">
        <w:t>adolescents</w:t>
      </w:r>
      <w:r w:rsidR="008243CA">
        <w:t xml:space="preserve"> </w:t>
      </w:r>
      <w:r w:rsidRPr="00E62FE6">
        <w:t>is</w:t>
      </w:r>
      <w:r w:rsidR="008243CA">
        <w:t xml:space="preserve"> </w:t>
      </w:r>
      <w:r w:rsidRPr="00E62FE6">
        <w:t>a</w:t>
      </w:r>
      <w:r w:rsidR="008243CA">
        <w:t xml:space="preserve"> </w:t>
      </w:r>
      <w:r w:rsidRPr="00E62FE6">
        <w:t>topic</w:t>
      </w:r>
      <w:r w:rsidR="008243CA">
        <w:t xml:space="preserve"> </w:t>
      </w:r>
      <w:r w:rsidRPr="00E62FE6">
        <w:t>that</w:t>
      </w:r>
      <w:r w:rsidR="008243CA">
        <w:t xml:space="preserve"> </w:t>
      </w:r>
      <w:r w:rsidRPr="00E62FE6">
        <w:t>is</w:t>
      </w:r>
      <w:r w:rsidR="008243CA">
        <w:t xml:space="preserve"> </w:t>
      </w:r>
      <w:r w:rsidRPr="00E62FE6">
        <w:t>firmly</w:t>
      </w:r>
      <w:r w:rsidR="008243CA">
        <w:t xml:space="preserve"> </w:t>
      </w:r>
      <w:r w:rsidRPr="00E62FE6">
        <w:t>established</w:t>
      </w:r>
      <w:r w:rsidR="008243CA">
        <w:t xml:space="preserve"> </w:t>
      </w:r>
      <w:r w:rsidRPr="00E62FE6">
        <w:t>on</w:t>
      </w:r>
      <w:r w:rsidR="008243CA">
        <w:t xml:space="preserve"> </w:t>
      </w:r>
      <w:r w:rsidRPr="00E62FE6">
        <w:t>the</w:t>
      </w:r>
      <w:r w:rsidR="008243CA">
        <w:t xml:space="preserve"> </w:t>
      </w:r>
      <w:r w:rsidRPr="00E62FE6">
        <w:t>public</w:t>
      </w:r>
      <w:r w:rsidR="008243CA">
        <w:t xml:space="preserve"> </w:t>
      </w:r>
      <w:r w:rsidRPr="00E62FE6">
        <w:t>agenda.</w:t>
      </w:r>
      <w:r w:rsidR="008243CA">
        <w:t xml:space="preserve"> </w:t>
      </w:r>
      <w:r w:rsidRPr="00E62FE6">
        <w:t>Authorities</w:t>
      </w:r>
      <w:r w:rsidR="008243CA">
        <w:t xml:space="preserve"> </w:t>
      </w:r>
      <w:r w:rsidRPr="00E62FE6">
        <w:t>such</w:t>
      </w:r>
      <w:r w:rsidR="008243CA">
        <w:t xml:space="preserve"> </w:t>
      </w:r>
      <w:r w:rsidRPr="00E62FE6">
        <w:t>as</w:t>
      </w:r>
      <w:r w:rsidR="008243CA">
        <w:t xml:space="preserve"> </w:t>
      </w:r>
      <w:r w:rsidRPr="00E62FE6">
        <w:t>SENAME</w:t>
      </w:r>
      <w:r w:rsidR="008243CA">
        <w:t xml:space="preserve"> </w:t>
      </w:r>
      <w:r w:rsidRPr="00E62FE6">
        <w:t>play</w:t>
      </w:r>
      <w:r w:rsidR="008243CA">
        <w:t xml:space="preserve"> </w:t>
      </w:r>
      <w:r w:rsidRPr="00E62FE6">
        <w:t>a</w:t>
      </w:r>
      <w:r w:rsidR="008243CA">
        <w:t xml:space="preserve"> </w:t>
      </w:r>
      <w:r w:rsidRPr="00E62FE6">
        <w:t>key</w:t>
      </w:r>
      <w:r w:rsidR="008243CA">
        <w:t xml:space="preserve"> </w:t>
      </w:r>
      <w:r w:rsidRPr="00E62FE6">
        <w:t>role</w:t>
      </w:r>
      <w:r w:rsidR="008243CA">
        <w:t xml:space="preserve"> </w:t>
      </w:r>
      <w:r w:rsidRPr="00E62FE6">
        <w:t>in</w:t>
      </w:r>
      <w:r w:rsidR="008243CA">
        <w:t xml:space="preserve"> </w:t>
      </w:r>
      <w:r w:rsidRPr="00E62FE6">
        <w:t>this</w:t>
      </w:r>
      <w:r w:rsidR="008243CA">
        <w:t xml:space="preserve"> </w:t>
      </w:r>
      <w:r w:rsidRPr="00E62FE6">
        <w:t>regard</w:t>
      </w:r>
      <w:r w:rsidR="008243CA">
        <w:t xml:space="preserve"> </w:t>
      </w:r>
      <w:r w:rsidRPr="00E62FE6">
        <w:t>and</w:t>
      </w:r>
      <w:r w:rsidR="008243CA">
        <w:t xml:space="preserve"> </w:t>
      </w:r>
      <w:r w:rsidRPr="00E62FE6">
        <w:t>have</w:t>
      </w:r>
      <w:r w:rsidR="008243CA">
        <w:t xml:space="preserve"> </w:t>
      </w:r>
      <w:r w:rsidRPr="00E62FE6">
        <w:t>been</w:t>
      </w:r>
      <w:r w:rsidR="008243CA">
        <w:t xml:space="preserve"> </w:t>
      </w:r>
      <w:r w:rsidRPr="00E62FE6">
        <w:t>the</w:t>
      </w:r>
      <w:r w:rsidR="008243CA">
        <w:t xml:space="preserve"> </w:t>
      </w:r>
      <w:r w:rsidRPr="00E62FE6">
        <w:t>subject</w:t>
      </w:r>
      <w:r w:rsidR="008243CA">
        <w:t xml:space="preserve"> </w:t>
      </w:r>
      <w:r w:rsidRPr="00E62FE6">
        <w:t>of</w:t>
      </w:r>
      <w:r w:rsidR="008243CA">
        <w:t xml:space="preserve"> </w:t>
      </w:r>
      <w:r w:rsidRPr="00E62FE6">
        <w:t>criticism</w:t>
      </w:r>
      <w:r w:rsidR="008243CA">
        <w:t xml:space="preserve"> </w:t>
      </w:r>
      <w:r w:rsidRPr="00E62FE6">
        <w:t>from</w:t>
      </w:r>
      <w:r w:rsidR="008243CA">
        <w:t xml:space="preserve"> </w:t>
      </w:r>
      <w:r w:rsidRPr="00E62FE6">
        <w:t>political</w:t>
      </w:r>
      <w:r w:rsidR="008243CA">
        <w:t xml:space="preserve"> </w:t>
      </w:r>
      <w:r w:rsidRPr="00E62FE6">
        <w:t>circles</w:t>
      </w:r>
      <w:r w:rsidR="008243CA">
        <w:t xml:space="preserve"> </w:t>
      </w:r>
      <w:r w:rsidRPr="00E62FE6">
        <w:t>and</w:t>
      </w:r>
      <w:r w:rsidR="008243CA">
        <w:t xml:space="preserve"> </w:t>
      </w:r>
      <w:r w:rsidRPr="00E62FE6">
        <w:t>civil</w:t>
      </w:r>
      <w:r w:rsidR="008243CA">
        <w:t xml:space="preserve"> </w:t>
      </w:r>
      <w:r w:rsidRPr="00E62FE6">
        <w:t>society</w:t>
      </w:r>
      <w:r w:rsidR="008243CA">
        <w:t xml:space="preserve"> </w:t>
      </w:r>
      <w:r w:rsidRPr="00E62FE6">
        <w:t>organizations</w:t>
      </w:r>
      <w:r w:rsidR="008243CA">
        <w:t xml:space="preserve"> </w:t>
      </w:r>
      <w:r w:rsidRPr="00E62FE6">
        <w:t>working</w:t>
      </w:r>
      <w:r w:rsidR="008243CA">
        <w:t xml:space="preserve"> </w:t>
      </w:r>
      <w:r w:rsidRPr="00E62FE6">
        <w:t>with</w:t>
      </w:r>
      <w:r w:rsidR="008243CA">
        <w:t xml:space="preserve"> </w:t>
      </w:r>
      <w:r w:rsidRPr="00E62FE6">
        <w:t>children.</w:t>
      </w:r>
      <w:r w:rsidR="008243CA">
        <w:t xml:space="preserve"> </w:t>
      </w:r>
      <w:r w:rsidRPr="00E62FE6">
        <w:t>As</w:t>
      </w:r>
      <w:r w:rsidR="008243CA">
        <w:t xml:space="preserve"> </w:t>
      </w:r>
      <w:r w:rsidRPr="00E62FE6">
        <w:t>a</w:t>
      </w:r>
      <w:r w:rsidR="008243CA">
        <w:t xml:space="preserve"> </w:t>
      </w:r>
      <w:r w:rsidRPr="00E62FE6">
        <w:t>result</w:t>
      </w:r>
      <w:r w:rsidR="008243CA">
        <w:t xml:space="preserve"> </w:t>
      </w:r>
      <w:r w:rsidRPr="00E62FE6">
        <w:t>of</w:t>
      </w:r>
      <w:r w:rsidR="008243CA">
        <w:t xml:space="preserve"> </w:t>
      </w:r>
      <w:r w:rsidRPr="00E62FE6">
        <w:t>this</w:t>
      </w:r>
      <w:r w:rsidR="008243CA">
        <w:t xml:space="preserve"> </w:t>
      </w:r>
      <w:r w:rsidRPr="00E62FE6">
        <w:t>public</w:t>
      </w:r>
      <w:r w:rsidR="008243CA">
        <w:t xml:space="preserve"> </w:t>
      </w:r>
      <w:r w:rsidRPr="00E62FE6">
        <w:t>dialogue,</w:t>
      </w:r>
      <w:r w:rsidR="008243CA">
        <w:t xml:space="preserve"> </w:t>
      </w:r>
      <w:r w:rsidRPr="00E62FE6">
        <w:t>the</w:t>
      </w:r>
      <w:r w:rsidR="008243CA">
        <w:t xml:space="preserve"> </w:t>
      </w:r>
      <w:r w:rsidRPr="00E62FE6">
        <w:t>Government</w:t>
      </w:r>
      <w:r w:rsidR="008243CA">
        <w:t xml:space="preserve"> </w:t>
      </w:r>
      <w:r w:rsidRPr="00E62FE6">
        <w:t>has</w:t>
      </w:r>
      <w:r w:rsidR="008243CA">
        <w:t xml:space="preserve"> </w:t>
      </w:r>
      <w:r w:rsidRPr="00E62FE6">
        <w:t>taken</w:t>
      </w:r>
      <w:r w:rsidR="008243CA">
        <w:t xml:space="preserve"> </w:t>
      </w:r>
      <w:r w:rsidRPr="00E62FE6">
        <w:t>several</w:t>
      </w:r>
      <w:r w:rsidR="008243CA">
        <w:t xml:space="preserve"> </w:t>
      </w:r>
      <w:r w:rsidRPr="00E62FE6">
        <w:t>steps</w:t>
      </w:r>
      <w:r w:rsidR="008243CA">
        <w:t xml:space="preserve"> </w:t>
      </w:r>
      <w:r w:rsidRPr="00E62FE6">
        <w:t>to</w:t>
      </w:r>
      <w:r w:rsidR="008243CA">
        <w:t xml:space="preserve"> </w:t>
      </w:r>
      <w:r w:rsidRPr="00E62FE6">
        <w:t>improve</w:t>
      </w:r>
      <w:r w:rsidR="008243CA">
        <w:t xml:space="preserve"> </w:t>
      </w:r>
      <w:r w:rsidRPr="00E62FE6">
        <w:t>certain</w:t>
      </w:r>
      <w:r w:rsidR="008243CA">
        <w:t xml:space="preserve"> </w:t>
      </w:r>
      <w:r w:rsidRPr="00E62FE6">
        <w:t>aspects</w:t>
      </w:r>
      <w:r w:rsidR="008243CA">
        <w:t xml:space="preserve"> </w:t>
      </w:r>
      <w:r w:rsidRPr="00E62FE6">
        <w:t>of</w:t>
      </w:r>
      <w:r w:rsidR="008243CA">
        <w:t xml:space="preserve"> </w:t>
      </w:r>
      <w:r w:rsidRPr="00E62FE6">
        <w:t>children</w:t>
      </w:r>
      <w:r w:rsidR="00116F0B">
        <w:t>’</w:t>
      </w:r>
      <w:r w:rsidRPr="00E62FE6">
        <w:t>s</w:t>
      </w:r>
      <w:r w:rsidR="008243CA">
        <w:t xml:space="preserve"> </w:t>
      </w:r>
      <w:r w:rsidRPr="00E62FE6">
        <w:t>and</w:t>
      </w:r>
      <w:r w:rsidR="008243CA">
        <w:t xml:space="preserve"> </w:t>
      </w:r>
      <w:r w:rsidRPr="00E62FE6">
        <w:t>adolescents</w:t>
      </w:r>
      <w:r w:rsidR="00116F0B">
        <w:t>’</w:t>
      </w:r>
      <w:r w:rsidR="008243CA">
        <w:t xml:space="preserve"> </w:t>
      </w:r>
      <w:r w:rsidRPr="00E62FE6">
        <w:t>rights,</w:t>
      </w:r>
      <w:r w:rsidR="008243CA">
        <w:t xml:space="preserve"> </w:t>
      </w:r>
      <w:r w:rsidRPr="00E62FE6">
        <w:t>including</w:t>
      </w:r>
      <w:r w:rsidR="008243CA">
        <w:t xml:space="preserve"> </w:t>
      </w:r>
      <w:r w:rsidRPr="00E62FE6">
        <w:t>the</w:t>
      </w:r>
      <w:r w:rsidR="008243CA">
        <w:t xml:space="preserve"> </w:t>
      </w:r>
      <w:r w:rsidRPr="00E62FE6">
        <w:t>protection</w:t>
      </w:r>
      <w:r w:rsidR="008243CA">
        <w:t xml:space="preserve"> </w:t>
      </w:r>
      <w:r w:rsidRPr="00E62FE6">
        <w:t>and</w:t>
      </w:r>
      <w:r w:rsidR="008243CA">
        <w:t xml:space="preserve"> </w:t>
      </w:r>
      <w:r w:rsidRPr="00E62FE6">
        <w:t>promotion</w:t>
      </w:r>
      <w:r w:rsidR="008243CA">
        <w:t xml:space="preserve"> </w:t>
      </w:r>
      <w:r w:rsidRPr="00E62FE6">
        <w:t>of</w:t>
      </w:r>
      <w:r w:rsidR="008243CA">
        <w:t xml:space="preserve"> </w:t>
      </w:r>
      <w:r w:rsidRPr="00E62FE6">
        <w:t>those</w:t>
      </w:r>
      <w:r w:rsidR="008243CA">
        <w:t xml:space="preserve"> </w:t>
      </w:r>
      <w:r w:rsidRPr="00E62FE6">
        <w:t>rights,</w:t>
      </w:r>
      <w:r w:rsidR="008243CA">
        <w:t xml:space="preserve"> </w:t>
      </w:r>
      <w:r w:rsidRPr="00E62FE6">
        <w:t>in</w:t>
      </w:r>
      <w:r w:rsidR="008243CA">
        <w:t xml:space="preserve"> </w:t>
      </w:r>
      <w:r w:rsidRPr="00E62FE6">
        <w:t>order</w:t>
      </w:r>
      <w:r w:rsidR="008243CA">
        <w:t xml:space="preserve"> </w:t>
      </w:r>
      <w:r w:rsidRPr="00E62FE6">
        <w:t>to</w:t>
      </w:r>
      <w:r w:rsidR="008243CA">
        <w:t xml:space="preserve"> </w:t>
      </w:r>
      <w:r w:rsidRPr="00E62FE6">
        <w:t>guarantee</w:t>
      </w:r>
      <w:r w:rsidR="008243CA">
        <w:t xml:space="preserve"> </w:t>
      </w:r>
      <w:r w:rsidRPr="00E62FE6">
        <w:t>that</w:t>
      </w:r>
      <w:r w:rsidR="008243CA">
        <w:t xml:space="preserve"> </w:t>
      </w:r>
      <w:r w:rsidRPr="00E62FE6">
        <w:t>the</w:t>
      </w:r>
      <w:r w:rsidR="008243CA">
        <w:t xml:space="preserve"> </w:t>
      </w:r>
      <w:r w:rsidRPr="00E62FE6">
        <w:t>deplorable</w:t>
      </w:r>
      <w:r w:rsidR="008243CA">
        <w:t xml:space="preserve"> </w:t>
      </w:r>
      <w:r w:rsidRPr="00E62FE6">
        <w:t>acts</w:t>
      </w:r>
      <w:r w:rsidR="008243CA">
        <w:t xml:space="preserve"> </w:t>
      </w:r>
      <w:r w:rsidRPr="00E62FE6">
        <w:t>of</w:t>
      </w:r>
      <w:r w:rsidR="008243CA">
        <w:t xml:space="preserve"> </w:t>
      </w:r>
      <w:r w:rsidRPr="00E62FE6">
        <w:t>the</w:t>
      </w:r>
      <w:r w:rsidR="008243CA">
        <w:t xml:space="preserve"> </w:t>
      </w:r>
      <w:r w:rsidRPr="00E62FE6">
        <w:t>past</w:t>
      </w:r>
      <w:r w:rsidR="008243CA">
        <w:t xml:space="preserve"> </w:t>
      </w:r>
      <w:r w:rsidRPr="00E62FE6">
        <w:t>cannot</w:t>
      </w:r>
      <w:r w:rsidR="008243CA">
        <w:t xml:space="preserve"> </w:t>
      </w:r>
      <w:r w:rsidRPr="00E62FE6">
        <w:t>be</w:t>
      </w:r>
      <w:r w:rsidR="008243CA">
        <w:t xml:space="preserve"> </w:t>
      </w:r>
      <w:r w:rsidRPr="00E62FE6">
        <w:t>repeated.</w:t>
      </w:r>
    </w:p>
    <w:p w:rsidR="003F7D03" w:rsidRPr="00E62FE6" w:rsidRDefault="003F7D03" w:rsidP="000C6D98">
      <w:pPr>
        <w:pStyle w:val="SingleTxtG"/>
      </w:pPr>
      <w:r w:rsidRPr="00E62FE6">
        <w:t>159.</w:t>
      </w:r>
      <w:r w:rsidRPr="00E62FE6">
        <w:tab/>
        <w:t>In</w:t>
      </w:r>
      <w:r w:rsidR="008243CA">
        <w:t xml:space="preserve"> </w:t>
      </w:r>
      <w:r w:rsidRPr="00E62FE6">
        <w:t>October</w:t>
      </w:r>
      <w:r w:rsidR="008243CA">
        <w:t xml:space="preserve"> </w:t>
      </w:r>
      <w:r w:rsidRPr="00E62FE6">
        <w:t>2016,</w:t>
      </w:r>
      <w:r w:rsidR="008243CA">
        <w:t xml:space="preserve"> </w:t>
      </w:r>
      <w:r w:rsidRPr="00E62FE6">
        <w:t>the</w:t>
      </w:r>
      <w:r w:rsidR="008243CA">
        <w:t xml:space="preserve"> </w:t>
      </w:r>
      <w:r w:rsidRPr="00E62FE6">
        <w:t>President</w:t>
      </w:r>
      <w:r w:rsidR="008243CA">
        <w:t xml:space="preserve"> </w:t>
      </w:r>
      <w:r w:rsidRPr="00E62FE6">
        <w:t>of</w:t>
      </w:r>
      <w:r w:rsidR="008243CA">
        <w:t xml:space="preserve"> </w:t>
      </w:r>
      <w:r w:rsidRPr="00E62FE6">
        <w:t>the</w:t>
      </w:r>
      <w:r w:rsidR="008243CA">
        <w:t xml:space="preserve"> </w:t>
      </w:r>
      <w:r w:rsidRPr="00E62FE6">
        <w:t>Republic</w:t>
      </w:r>
      <w:r w:rsidR="008243CA">
        <w:t xml:space="preserve"> </w:t>
      </w:r>
      <w:r w:rsidRPr="00E62FE6">
        <w:t>presented</w:t>
      </w:r>
      <w:r w:rsidR="008243CA">
        <w:t xml:space="preserve"> </w:t>
      </w:r>
      <w:r w:rsidRPr="00E62FE6">
        <w:t>the</w:t>
      </w:r>
      <w:r w:rsidR="008243CA">
        <w:t xml:space="preserve"> </w:t>
      </w:r>
      <w:r w:rsidRPr="00E62FE6">
        <w:t>Plan</w:t>
      </w:r>
      <w:r w:rsidR="008243CA">
        <w:t xml:space="preserve"> </w:t>
      </w:r>
      <w:r w:rsidRPr="00E62FE6">
        <w:t>of</w:t>
      </w:r>
      <w:r w:rsidR="008243CA">
        <w:t xml:space="preserve"> </w:t>
      </w:r>
      <w:r w:rsidRPr="00E62FE6">
        <w:t>Action</w:t>
      </w:r>
      <w:r w:rsidR="008243CA">
        <w:t xml:space="preserve"> </w:t>
      </w:r>
      <w:r w:rsidRPr="00E62FE6">
        <w:t>of</w:t>
      </w:r>
      <w:r w:rsidR="008243CA">
        <w:t xml:space="preserve"> </w:t>
      </w:r>
      <w:r w:rsidRPr="00E62FE6">
        <w:t>SENAME,</w:t>
      </w:r>
      <w:r w:rsidR="008243CA">
        <w:t xml:space="preserve"> </w:t>
      </w:r>
      <w:r w:rsidRPr="00E62FE6">
        <w:t>which</w:t>
      </w:r>
      <w:r w:rsidR="008243CA">
        <w:t xml:space="preserve"> </w:t>
      </w:r>
      <w:r w:rsidRPr="00E62FE6">
        <w:t>includes,</w:t>
      </w:r>
      <w:r w:rsidR="008243CA">
        <w:t xml:space="preserve"> </w:t>
      </w:r>
      <w:r w:rsidRPr="00E62FE6">
        <w:t>notably:</w:t>
      </w:r>
      <w:r w:rsidR="008243CA">
        <w:t xml:space="preserve"> </w:t>
      </w:r>
      <w:r w:rsidRPr="00E62FE6">
        <w:t>(</w:t>
      </w:r>
      <w:proofErr w:type="spellStart"/>
      <w:r w:rsidRPr="00E62FE6">
        <w:t>i</w:t>
      </w:r>
      <w:proofErr w:type="spellEnd"/>
      <w:r w:rsidRPr="00E62FE6">
        <w:t>)</w:t>
      </w:r>
      <w:r w:rsidR="008243CA">
        <w:t xml:space="preserve"> </w:t>
      </w:r>
      <w:r w:rsidRPr="00E62FE6">
        <w:t>an</w:t>
      </w:r>
      <w:r w:rsidR="008243CA">
        <w:t xml:space="preserve"> </w:t>
      </w:r>
      <w:r w:rsidRPr="00E62FE6">
        <w:t>increase</w:t>
      </w:r>
      <w:r w:rsidR="008243CA">
        <w:t xml:space="preserve"> </w:t>
      </w:r>
      <w:r w:rsidRPr="00E62FE6">
        <w:t>in</w:t>
      </w:r>
      <w:r w:rsidR="008243CA">
        <w:t xml:space="preserve"> </w:t>
      </w:r>
      <w:r w:rsidRPr="00E62FE6">
        <w:t>the</w:t>
      </w:r>
      <w:r w:rsidR="008243CA">
        <w:t xml:space="preserve"> </w:t>
      </w:r>
      <w:r w:rsidRPr="00E62FE6">
        <w:t>financial</w:t>
      </w:r>
      <w:r w:rsidR="008243CA">
        <w:t xml:space="preserve"> </w:t>
      </w:r>
      <w:r w:rsidRPr="00E62FE6">
        <w:t>resources</w:t>
      </w:r>
      <w:r w:rsidR="008243CA">
        <w:t xml:space="preserve"> </w:t>
      </w:r>
      <w:r w:rsidRPr="00E62FE6">
        <w:t>allocated</w:t>
      </w:r>
      <w:r w:rsidR="008243CA">
        <w:t xml:space="preserve"> </w:t>
      </w:r>
      <w:r w:rsidRPr="00E62FE6">
        <w:t>(an</w:t>
      </w:r>
      <w:r w:rsidR="008243CA">
        <w:t xml:space="preserve"> </w:t>
      </w:r>
      <w:r w:rsidRPr="00E62FE6">
        <w:t>extra</w:t>
      </w:r>
      <w:r w:rsidR="008243CA">
        <w:t xml:space="preserve"> </w:t>
      </w:r>
      <w:r w:rsidRPr="00E62FE6">
        <w:t>2.5</w:t>
      </w:r>
      <w:r w:rsidR="008243CA">
        <w:t xml:space="preserve"> </w:t>
      </w:r>
      <w:r w:rsidRPr="00E62FE6">
        <w:t>billion</w:t>
      </w:r>
      <w:r w:rsidR="008243CA">
        <w:t xml:space="preserve"> </w:t>
      </w:r>
      <w:r w:rsidRPr="00E62FE6">
        <w:t>pesos</w:t>
      </w:r>
      <w:r w:rsidR="008243CA">
        <w:t xml:space="preserve"> </w:t>
      </w:r>
      <w:r w:rsidRPr="00E62FE6">
        <w:t>in</w:t>
      </w:r>
      <w:r w:rsidR="008243CA">
        <w:t xml:space="preserve"> </w:t>
      </w:r>
      <w:r w:rsidRPr="00E62FE6">
        <w:t>2016</w:t>
      </w:r>
      <w:r w:rsidR="008243CA">
        <w:t xml:space="preserve"> </w:t>
      </w:r>
      <w:r w:rsidRPr="00E62FE6">
        <w:t>and</w:t>
      </w:r>
      <w:r w:rsidR="008243CA">
        <w:t xml:space="preserve"> </w:t>
      </w:r>
      <w:r w:rsidRPr="00E62FE6">
        <w:t>an</w:t>
      </w:r>
      <w:r w:rsidR="008243CA">
        <w:t xml:space="preserve"> </w:t>
      </w:r>
      <w:r w:rsidRPr="00E62FE6">
        <w:t>extra</w:t>
      </w:r>
      <w:r w:rsidR="008243CA">
        <w:t xml:space="preserve"> </w:t>
      </w:r>
      <w:r w:rsidRPr="00E62FE6">
        <w:t>16.5</w:t>
      </w:r>
      <w:r w:rsidR="008243CA">
        <w:t xml:space="preserve"> </w:t>
      </w:r>
      <w:r w:rsidRPr="00E62FE6">
        <w:t>billion</w:t>
      </w:r>
      <w:r w:rsidR="008243CA">
        <w:t xml:space="preserve"> </w:t>
      </w:r>
      <w:r w:rsidRPr="00E62FE6">
        <w:t>pesos</w:t>
      </w:r>
      <w:r w:rsidR="008243CA">
        <w:t xml:space="preserve"> </w:t>
      </w:r>
      <w:r w:rsidRPr="00E62FE6">
        <w:t>in</w:t>
      </w:r>
      <w:r w:rsidR="008243CA">
        <w:t xml:space="preserve"> </w:t>
      </w:r>
      <w:r w:rsidRPr="00E62FE6">
        <w:t>2017);</w:t>
      </w:r>
      <w:r w:rsidR="008243CA">
        <w:t xml:space="preserve"> </w:t>
      </w:r>
      <w:r w:rsidRPr="00E62FE6">
        <w:t>(ii)</w:t>
      </w:r>
      <w:r w:rsidR="008243CA">
        <w:t xml:space="preserve"> </w:t>
      </w:r>
      <w:r w:rsidRPr="00E62FE6">
        <w:t>improvements</w:t>
      </w:r>
      <w:r w:rsidR="008243CA">
        <w:t xml:space="preserve"> </w:t>
      </w:r>
      <w:r w:rsidRPr="00E62FE6">
        <w:t>in</w:t>
      </w:r>
      <w:r w:rsidR="008243CA">
        <w:t xml:space="preserve"> </w:t>
      </w:r>
      <w:r w:rsidRPr="00E62FE6">
        <w:t>infrastructure,</w:t>
      </w:r>
      <w:r w:rsidR="008243CA">
        <w:t xml:space="preserve"> </w:t>
      </w:r>
      <w:r w:rsidRPr="00E62FE6">
        <w:t>such</w:t>
      </w:r>
      <w:r w:rsidR="008243CA">
        <w:t xml:space="preserve"> </w:t>
      </w:r>
      <w:r w:rsidRPr="00E62FE6">
        <w:t>as</w:t>
      </w:r>
      <w:r w:rsidR="008243CA">
        <w:t xml:space="preserve"> </w:t>
      </w:r>
      <w:r w:rsidRPr="00E62FE6">
        <w:t>through</w:t>
      </w:r>
      <w:r w:rsidR="008243CA">
        <w:t xml:space="preserve"> </w:t>
      </w:r>
      <w:r w:rsidRPr="00E62FE6">
        <w:t>the</w:t>
      </w:r>
      <w:r w:rsidR="008243CA">
        <w:t xml:space="preserve"> </w:t>
      </w:r>
      <w:r w:rsidRPr="00E62FE6">
        <w:t>transfer</w:t>
      </w:r>
      <w:r w:rsidR="008243CA">
        <w:t xml:space="preserve"> </w:t>
      </w:r>
      <w:r w:rsidRPr="00E62FE6">
        <w:t>of</w:t>
      </w:r>
      <w:r w:rsidR="008243CA">
        <w:t xml:space="preserve"> </w:t>
      </w:r>
      <w:r w:rsidRPr="00E62FE6">
        <w:t>property;</w:t>
      </w:r>
      <w:r w:rsidR="008243CA">
        <w:t xml:space="preserve"> </w:t>
      </w:r>
      <w:r w:rsidRPr="00E62FE6">
        <w:t>(iii)</w:t>
      </w:r>
      <w:r w:rsidR="008243CA">
        <w:t xml:space="preserve"> </w:t>
      </w:r>
      <w:r w:rsidRPr="00E62FE6">
        <w:t>the</w:t>
      </w:r>
      <w:r w:rsidR="008243CA">
        <w:t xml:space="preserve"> </w:t>
      </w:r>
      <w:r w:rsidRPr="00E62FE6">
        <w:t>division</w:t>
      </w:r>
      <w:r w:rsidR="008243CA">
        <w:t xml:space="preserve"> </w:t>
      </w:r>
      <w:r w:rsidRPr="00E62FE6">
        <w:t>of</w:t>
      </w:r>
      <w:r w:rsidR="008243CA">
        <w:t xml:space="preserve"> </w:t>
      </w:r>
      <w:r w:rsidRPr="00E62FE6">
        <w:t>|SENAME</w:t>
      </w:r>
      <w:r w:rsidR="008243CA">
        <w:t xml:space="preserve"> </w:t>
      </w:r>
      <w:r w:rsidRPr="00E62FE6">
        <w:t>into</w:t>
      </w:r>
      <w:r w:rsidR="008243CA">
        <w:t xml:space="preserve"> </w:t>
      </w:r>
      <w:r w:rsidRPr="00E62FE6">
        <w:t>two</w:t>
      </w:r>
      <w:r w:rsidR="008243CA">
        <w:t xml:space="preserve"> </w:t>
      </w:r>
      <w:r w:rsidRPr="00E62FE6">
        <w:t>separate</w:t>
      </w:r>
      <w:r w:rsidR="008243CA">
        <w:t xml:space="preserve"> </w:t>
      </w:r>
      <w:r w:rsidRPr="00E62FE6">
        <w:t>agencies,</w:t>
      </w:r>
      <w:r w:rsidR="008243CA">
        <w:t xml:space="preserve"> </w:t>
      </w:r>
      <w:r w:rsidRPr="00E62FE6">
        <w:t>i.e.,</w:t>
      </w:r>
      <w:r w:rsidR="008243CA">
        <w:t xml:space="preserve"> </w:t>
      </w:r>
      <w:r w:rsidRPr="00E62FE6">
        <w:t>a</w:t>
      </w:r>
      <w:r w:rsidR="008243CA">
        <w:t xml:space="preserve"> </w:t>
      </w:r>
      <w:r w:rsidRPr="00E62FE6">
        <w:t>criminal</w:t>
      </w:r>
      <w:r w:rsidR="008243CA">
        <w:t xml:space="preserve"> </w:t>
      </w:r>
      <w:r w:rsidRPr="00E62FE6">
        <w:t>offences</w:t>
      </w:r>
      <w:r w:rsidR="008243CA">
        <w:t xml:space="preserve"> </w:t>
      </w:r>
      <w:r w:rsidRPr="00E62FE6">
        <w:t>unit</w:t>
      </w:r>
      <w:r w:rsidR="00116F0B">
        <w:t xml:space="preserve"> </w:t>
      </w:r>
      <w:r w:rsidRPr="00E62FE6">
        <w:t>and</w:t>
      </w:r>
      <w:r w:rsidR="008243CA">
        <w:t xml:space="preserve"> </w:t>
      </w:r>
      <w:r w:rsidRPr="00E62FE6">
        <w:t>a</w:t>
      </w:r>
      <w:r w:rsidR="008243CA">
        <w:t xml:space="preserve"> </w:t>
      </w:r>
      <w:r w:rsidRPr="00E62FE6">
        <w:t>child</w:t>
      </w:r>
      <w:r w:rsidR="008243CA">
        <w:t xml:space="preserve"> </w:t>
      </w:r>
      <w:r w:rsidRPr="00E62FE6">
        <w:t>protection</w:t>
      </w:r>
      <w:r w:rsidR="008243CA">
        <w:t xml:space="preserve"> </w:t>
      </w:r>
      <w:r w:rsidRPr="00E62FE6">
        <w:t>unit;</w:t>
      </w:r>
      <w:r w:rsidR="008243CA">
        <w:t xml:space="preserve"> </w:t>
      </w:r>
      <w:r w:rsidRPr="00E62FE6">
        <w:t>(iv)</w:t>
      </w:r>
      <w:r w:rsidR="008243CA">
        <w:t xml:space="preserve"> </w:t>
      </w:r>
      <w:r w:rsidRPr="00E62FE6">
        <w:t>continuous</w:t>
      </w:r>
      <w:r w:rsidR="008243CA">
        <w:t xml:space="preserve"> </w:t>
      </w:r>
      <w:r w:rsidRPr="00E62FE6">
        <w:t>monitoring</w:t>
      </w:r>
      <w:r w:rsidR="008243CA">
        <w:t xml:space="preserve"> </w:t>
      </w:r>
      <w:r w:rsidRPr="00E62FE6">
        <w:t>of</w:t>
      </w:r>
      <w:r w:rsidR="008243CA">
        <w:t xml:space="preserve"> </w:t>
      </w:r>
      <w:r w:rsidRPr="00E62FE6">
        <w:t>centres</w:t>
      </w:r>
      <w:r w:rsidR="008243CA">
        <w:t xml:space="preserve"> </w:t>
      </w:r>
      <w:r w:rsidRPr="00E62FE6">
        <w:t>operated</w:t>
      </w:r>
      <w:r w:rsidR="008243CA">
        <w:t xml:space="preserve"> </w:t>
      </w:r>
      <w:r w:rsidRPr="00E62FE6">
        <w:t>by</w:t>
      </w:r>
      <w:r w:rsidR="008243CA">
        <w:t xml:space="preserve"> </w:t>
      </w:r>
      <w:r w:rsidRPr="00E62FE6">
        <w:t>SENAME,</w:t>
      </w:r>
      <w:r w:rsidR="008243CA">
        <w:t xml:space="preserve"> </w:t>
      </w:r>
      <w:r w:rsidRPr="00E62FE6">
        <w:t>and</w:t>
      </w:r>
      <w:r w:rsidR="008243CA">
        <w:t xml:space="preserve"> </w:t>
      </w:r>
      <w:r w:rsidRPr="00E62FE6">
        <w:t>(v)consolidation</w:t>
      </w:r>
      <w:r w:rsidR="008243CA">
        <w:t xml:space="preserve"> </w:t>
      </w:r>
      <w:r w:rsidRPr="00E62FE6">
        <w:t>of</w:t>
      </w:r>
      <w:r w:rsidR="008243CA">
        <w:t xml:space="preserve"> </w:t>
      </w:r>
      <w:r w:rsidRPr="00E62FE6">
        <w:t>a</w:t>
      </w:r>
      <w:r w:rsidR="008243CA">
        <w:t xml:space="preserve"> </w:t>
      </w:r>
      <w:r w:rsidRPr="00E62FE6">
        <w:t>deinstitutionalization</w:t>
      </w:r>
      <w:r w:rsidR="008243CA">
        <w:t xml:space="preserve"> </w:t>
      </w:r>
      <w:r w:rsidRPr="00E62FE6">
        <w:t>policy.</w:t>
      </w:r>
    </w:p>
    <w:p w:rsidR="003F7D03" w:rsidRPr="00BF3A24" w:rsidRDefault="003F7D03" w:rsidP="000C6D98">
      <w:pPr>
        <w:pStyle w:val="SingleTxtG"/>
        <w:rPr>
          <w:i/>
          <w:iCs/>
        </w:rPr>
      </w:pPr>
      <w:r w:rsidRPr="00E62FE6">
        <w:t>160.</w:t>
      </w:r>
      <w:r w:rsidRPr="00E62FE6">
        <w:tab/>
        <w:t>Paragraph</w:t>
      </w:r>
      <w:r w:rsidR="008243CA">
        <w:t xml:space="preserve"> </w:t>
      </w:r>
      <w:r w:rsidRPr="00E62FE6">
        <w:t>108:</w:t>
      </w:r>
      <w:r w:rsidR="008243CA">
        <w:t xml:space="preserve"> </w:t>
      </w:r>
      <w:r w:rsidRPr="00BF3A24">
        <w:rPr>
          <w:i/>
          <w:iCs/>
        </w:rPr>
        <w:t>The</w:t>
      </w:r>
      <w:r w:rsidR="008243CA" w:rsidRPr="00BF3A24">
        <w:rPr>
          <w:i/>
          <w:iCs/>
        </w:rPr>
        <w:t xml:space="preserve"> </w:t>
      </w:r>
      <w:r w:rsidRPr="00BF3A24">
        <w:rPr>
          <w:i/>
          <w:iCs/>
        </w:rPr>
        <w:t>Subcommittee</w:t>
      </w:r>
      <w:r w:rsidR="008243CA" w:rsidRPr="00BF3A24">
        <w:rPr>
          <w:i/>
          <w:iCs/>
        </w:rPr>
        <w:t xml:space="preserve"> </w:t>
      </w:r>
      <w:r w:rsidRPr="00BF3A24">
        <w:rPr>
          <w:i/>
          <w:iCs/>
        </w:rPr>
        <w:t>expresses</w:t>
      </w:r>
      <w:r w:rsidR="008243CA" w:rsidRPr="00BF3A24">
        <w:rPr>
          <w:i/>
          <w:iCs/>
        </w:rPr>
        <w:t xml:space="preserve"> </w:t>
      </w:r>
      <w:r w:rsidRPr="00BF3A24">
        <w:rPr>
          <w:i/>
          <w:iCs/>
        </w:rPr>
        <w:t>its</w:t>
      </w:r>
      <w:r w:rsidR="008243CA" w:rsidRPr="00BF3A24">
        <w:rPr>
          <w:i/>
          <w:iCs/>
        </w:rPr>
        <w:t xml:space="preserve"> </w:t>
      </w:r>
      <w:r w:rsidRPr="00BF3A24">
        <w:rPr>
          <w:i/>
          <w:iCs/>
        </w:rPr>
        <w:t>great</w:t>
      </w:r>
      <w:r w:rsidR="008243CA" w:rsidRPr="00BF3A24">
        <w:rPr>
          <w:i/>
          <w:iCs/>
        </w:rPr>
        <w:t xml:space="preserve"> </w:t>
      </w:r>
      <w:r w:rsidRPr="00BF3A24">
        <w:rPr>
          <w:i/>
          <w:iCs/>
        </w:rPr>
        <w:t>concern</w:t>
      </w:r>
      <w:r w:rsidR="008243CA" w:rsidRPr="00BF3A24">
        <w:rPr>
          <w:i/>
          <w:iCs/>
        </w:rPr>
        <w:t xml:space="preserve"> </w:t>
      </w:r>
      <w:r w:rsidRPr="00BF3A24">
        <w:rPr>
          <w:i/>
          <w:iCs/>
        </w:rPr>
        <w:t>at</w:t>
      </w:r>
      <w:r w:rsidR="008243CA" w:rsidRPr="00BF3A24">
        <w:rPr>
          <w:i/>
          <w:iCs/>
        </w:rPr>
        <w:t xml:space="preserve"> </w:t>
      </w:r>
      <w:r w:rsidRPr="00BF3A24">
        <w:rPr>
          <w:i/>
          <w:iCs/>
        </w:rPr>
        <w:t>the</w:t>
      </w:r>
      <w:r w:rsidR="008243CA" w:rsidRPr="00BF3A24">
        <w:rPr>
          <w:i/>
          <w:iCs/>
        </w:rPr>
        <w:t xml:space="preserve"> </w:t>
      </w:r>
      <w:r w:rsidRPr="00BF3A24">
        <w:rPr>
          <w:i/>
          <w:iCs/>
        </w:rPr>
        <w:t>removal</w:t>
      </w:r>
      <w:r w:rsidR="008243CA" w:rsidRPr="00BF3A24">
        <w:rPr>
          <w:i/>
          <w:iCs/>
        </w:rPr>
        <w:t xml:space="preserve"> </w:t>
      </w:r>
      <w:r w:rsidRPr="00BF3A24">
        <w:rPr>
          <w:i/>
          <w:iCs/>
        </w:rPr>
        <w:t>of</w:t>
      </w:r>
      <w:r w:rsidR="008243CA" w:rsidRPr="00BF3A24">
        <w:rPr>
          <w:i/>
          <w:iCs/>
        </w:rPr>
        <w:t xml:space="preserve"> </w:t>
      </w:r>
      <w:r w:rsidRPr="00BF3A24">
        <w:rPr>
          <w:i/>
          <w:iCs/>
        </w:rPr>
        <w:t>the</w:t>
      </w:r>
      <w:r w:rsidR="008243CA" w:rsidRPr="00BF3A24">
        <w:rPr>
          <w:i/>
          <w:iCs/>
        </w:rPr>
        <w:t xml:space="preserve"> </w:t>
      </w:r>
      <w:r w:rsidRPr="00BF3A24">
        <w:rPr>
          <w:i/>
          <w:iCs/>
        </w:rPr>
        <w:t>former</w:t>
      </w:r>
      <w:r w:rsidR="008243CA" w:rsidRPr="00BF3A24">
        <w:rPr>
          <w:i/>
          <w:iCs/>
        </w:rPr>
        <w:t xml:space="preserve"> </w:t>
      </w:r>
      <w:r w:rsidRPr="00BF3A24">
        <w:rPr>
          <w:i/>
          <w:iCs/>
        </w:rPr>
        <w:t>director</w:t>
      </w:r>
      <w:r w:rsidR="008243CA" w:rsidRPr="00BF3A24">
        <w:rPr>
          <w:i/>
          <w:iCs/>
        </w:rPr>
        <w:t xml:space="preserve"> </w:t>
      </w:r>
      <w:r w:rsidRPr="00BF3A24">
        <w:rPr>
          <w:i/>
          <w:iCs/>
        </w:rPr>
        <w:t>of</w:t>
      </w:r>
      <w:r w:rsidR="008243CA" w:rsidRPr="00BF3A24">
        <w:rPr>
          <w:i/>
          <w:iCs/>
        </w:rPr>
        <w:t xml:space="preserve"> </w:t>
      </w:r>
      <w:r w:rsidRPr="00BF3A24">
        <w:rPr>
          <w:i/>
          <w:iCs/>
        </w:rPr>
        <w:t>the</w:t>
      </w:r>
      <w:r w:rsidR="008243CA" w:rsidRPr="00BF3A24">
        <w:rPr>
          <w:i/>
          <w:iCs/>
        </w:rPr>
        <w:t xml:space="preserve"> </w:t>
      </w:r>
      <w:r w:rsidRPr="00BF3A24">
        <w:rPr>
          <w:i/>
          <w:iCs/>
        </w:rPr>
        <w:t>centre</w:t>
      </w:r>
      <w:r w:rsidR="008243CA" w:rsidRPr="00BF3A24">
        <w:rPr>
          <w:i/>
          <w:iCs/>
        </w:rPr>
        <w:t xml:space="preserve"> </w:t>
      </w:r>
      <w:r w:rsidRPr="00BF3A24">
        <w:rPr>
          <w:i/>
          <w:iCs/>
        </w:rPr>
        <w:t>from</w:t>
      </w:r>
      <w:r w:rsidR="008243CA" w:rsidRPr="00BF3A24">
        <w:rPr>
          <w:i/>
          <w:iCs/>
        </w:rPr>
        <w:t xml:space="preserve"> </w:t>
      </w:r>
      <w:r w:rsidRPr="00BF3A24">
        <w:rPr>
          <w:i/>
          <w:iCs/>
        </w:rPr>
        <w:t>her</w:t>
      </w:r>
      <w:r w:rsidR="008243CA" w:rsidRPr="00BF3A24">
        <w:rPr>
          <w:i/>
          <w:iCs/>
        </w:rPr>
        <w:t xml:space="preserve"> </w:t>
      </w:r>
      <w:r w:rsidRPr="00BF3A24">
        <w:rPr>
          <w:i/>
          <w:iCs/>
        </w:rPr>
        <w:t>post</w:t>
      </w:r>
      <w:r w:rsidR="008243CA" w:rsidRPr="00BF3A24">
        <w:rPr>
          <w:i/>
          <w:iCs/>
        </w:rPr>
        <w:t xml:space="preserve"> </w:t>
      </w:r>
      <w:r w:rsidRPr="00BF3A24">
        <w:rPr>
          <w:i/>
          <w:iCs/>
        </w:rPr>
        <w:t>in</w:t>
      </w:r>
      <w:r w:rsidR="008243CA" w:rsidRPr="00BF3A24">
        <w:rPr>
          <w:i/>
          <w:iCs/>
        </w:rPr>
        <w:t xml:space="preserve"> </w:t>
      </w:r>
      <w:r w:rsidRPr="00BF3A24">
        <w:rPr>
          <w:i/>
          <w:iCs/>
        </w:rPr>
        <w:t>2014</w:t>
      </w:r>
      <w:r w:rsidR="008243CA" w:rsidRPr="00BF3A24">
        <w:rPr>
          <w:i/>
          <w:iCs/>
        </w:rPr>
        <w:t xml:space="preserve"> </w:t>
      </w:r>
      <w:r w:rsidRPr="00BF3A24">
        <w:rPr>
          <w:i/>
          <w:iCs/>
        </w:rPr>
        <w:t>as</w:t>
      </w:r>
      <w:r w:rsidR="008243CA" w:rsidRPr="00BF3A24">
        <w:rPr>
          <w:i/>
          <w:iCs/>
        </w:rPr>
        <w:t xml:space="preserve"> </w:t>
      </w:r>
      <w:r w:rsidRPr="00BF3A24">
        <w:rPr>
          <w:i/>
          <w:iCs/>
        </w:rPr>
        <w:t>a</w:t>
      </w:r>
      <w:r w:rsidR="008243CA" w:rsidRPr="00BF3A24">
        <w:rPr>
          <w:i/>
          <w:iCs/>
        </w:rPr>
        <w:t xml:space="preserve"> </w:t>
      </w:r>
      <w:r w:rsidRPr="00BF3A24">
        <w:rPr>
          <w:i/>
          <w:iCs/>
        </w:rPr>
        <w:t>disciplinary</w:t>
      </w:r>
      <w:r w:rsidR="008243CA" w:rsidRPr="00BF3A24">
        <w:rPr>
          <w:i/>
          <w:iCs/>
        </w:rPr>
        <w:t xml:space="preserve"> </w:t>
      </w:r>
      <w:r w:rsidRPr="00BF3A24">
        <w:rPr>
          <w:i/>
          <w:iCs/>
        </w:rPr>
        <w:t>measure</w:t>
      </w:r>
      <w:r w:rsidR="008243CA" w:rsidRPr="00BF3A24">
        <w:rPr>
          <w:i/>
          <w:iCs/>
        </w:rPr>
        <w:t xml:space="preserve"> </w:t>
      </w:r>
      <w:r w:rsidRPr="00BF3A24">
        <w:rPr>
          <w:i/>
          <w:iCs/>
        </w:rPr>
        <w:t>allegedly</w:t>
      </w:r>
      <w:r w:rsidR="008243CA" w:rsidRPr="00BF3A24">
        <w:rPr>
          <w:i/>
          <w:iCs/>
        </w:rPr>
        <w:t xml:space="preserve"> </w:t>
      </w:r>
      <w:r w:rsidRPr="00BF3A24">
        <w:rPr>
          <w:i/>
          <w:iCs/>
        </w:rPr>
        <w:t>connected</w:t>
      </w:r>
      <w:r w:rsidR="008243CA" w:rsidRPr="00BF3A24">
        <w:rPr>
          <w:i/>
          <w:iCs/>
        </w:rPr>
        <w:t xml:space="preserve"> </w:t>
      </w:r>
      <w:r w:rsidRPr="00BF3A24">
        <w:rPr>
          <w:i/>
          <w:iCs/>
        </w:rPr>
        <w:t>to</w:t>
      </w:r>
      <w:r w:rsidR="008243CA" w:rsidRPr="00BF3A24">
        <w:rPr>
          <w:i/>
          <w:iCs/>
        </w:rPr>
        <w:t xml:space="preserve"> </w:t>
      </w:r>
      <w:r w:rsidRPr="00BF3A24">
        <w:rPr>
          <w:i/>
          <w:iCs/>
        </w:rPr>
        <w:t>the</w:t>
      </w:r>
      <w:r w:rsidR="008243CA" w:rsidRPr="00BF3A24">
        <w:rPr>
          <w:i/>
          <w:iCs/>
        </w:rPr>
        <w:t xml:space="preserve"> </w:t>
      </w:r>
      <w:r w:rsidRPr="00BF3A24">
        <w:rPr>
          <w:i/>
          <w:iCs/>
        </w:rPr>
        <w:t>ill-treatment</w:t>
      </w:r>
      <w:r w:rsidR="008243CA" w:rsidRPr="00BF3A24">
        <w:rPr>
          <w:i/>
          <w:iCs/>
        </w:rPr>
        <w:t xml:space="preserve"> </w:t>
      </w:r>
      <w:r w:rsidRPr="00BF3A24">
        <w:rPr>
          <w:i/>
          <w:iCs/>
        </w:rPr>
        <w:t>of</w:t>
      </w:r>
      <w:r w:rsidR="008243CA" w:rsidRPr="00BF3A24">
        <w:rPr>
          <w:i/>
          <w:iCs/>
        </w:rPr>
        <w:t xml:space="preserve"> </w:t>
      </w:r>
      <w:r w:rsidRPr="00BF3A24">
        <w:rPr>
          <w:i/>
          <w:iCs/>
        </w:rPr>
        <w:t>minors</w:t>
      </w:r>
      <w:r w:rsidR="008243CA" w:rsidRPr="00BF3A24">
        <w:rPr>
          <w:i/>
          <w:iCs/>
        </w:rPr>
        <w:t xml:space="preserve"> </w:t>
      </w:r>
      <w:r w:rsidRPr="00BF3A24">
        <w:rPr>
          <w:i/>
          <w:iCs/>
        </w:rPr>
        <w:t>in</w:t>
      </w:r>
      <w:r w:rsidR="008243CA" w:rsidRPr="00BF3A24">
        <w:rPr>
          <w:i/>
          <w:iCs/>
        </w:rPr>
        <w:t xml:space="preserve"> </w:t>
      </w:r>
      <w:r w:rsidRPr="00BF3A24">
        <w:rPr>
          <w:i/>
          <w:iCs/>
        </w:rPr>
        <w:t>detention.</w:t>
      </w:r>
      <w:r w:rsidR="008243CA" w:rsidRPr="00BF3A24">
        <w:rPr>
          <w:i/>
          <w:iCs/>
        </w:rPr>
        <w:t xml:space="preserve"> </w:t>
      </w:r>
      <w:r w:rsidRPr="00BF3A24">
        <w:rPr>
          <w:i/>
          <w:iCs/>
        </w:rPr>
        <w:t>The</w:t>
      </w:r>
      <w:r w:rsidR="008243CA" w:rsidRPr="00BF3A24">
        <w:rPr>
          <w:i/>
          <w:iCs/>
        </w:rPr>
        <w:t xml:space="preserve"> </w:t>
      </w:r>
      <w:r w:rsidRPr="00BF3A24">
        <w:rPr>
          <w:i/>
          <w:iCs/>
        </w:rPr>
        <w:t>Subcommittee</w:t>
      </w:r>
      <w:r w:rsidR="008243CA" w:rsidRPr="00BF3A24">
        <w:rPr>
          <w:i/>
          <w:iCs/>
        </w:rPr>
        <w:t xml:space="preserve"> </w:t>
      </w:r>
      <w:r w:rsidRPr="00BF3A24">
        <w:rPr>
          <w:i/>
          <w:iCs/>
        </w:rPr>
        <w:t>urges</w:t>
      </w:r>
      <w:r w:rsidR="008243CA" w:rsidRPr="00BF3A24">
        <w:rPr>
          <w:i/>
          <w:iCs/>
        </w:rPr>
        <w:t xml:space="preserve"> </w:t>
      </w:r>
      <w:r w:rsidRPr="00BF3A24">
        <w:rPr>
          <w:i/>
          <w:iCs/>
        </w:rPr>
        <w:t>the</w:t>
      </w:r>
      <w:r w:rsidR="008243CA" w:rsidRPr="00BF3A24">
        <w:rPr>
          <w:i/>
          <w:iCs/>
        </w:rPr>
        <w:t xml:space="preserve"> </w:t>
      </w:r>
      <w:r w:rsidRPr="00BF3A24">
        <w:rPr>
          <w:i/>
          <w:iCs/>
        </w:rPr>
        <w:t>State</w:t>
      </w:r>
      <w:r w:rsidR="008243CA" w:rsidRPr="00BF3A24">
        <w:rPr>
          <w:i/>
          <w:iCs/>
        </w:rPr>
        <w:t xml:space="preserve"> </w:t>
      </w:r>
      <w:r w:rsidRPr="00BF3A24">
        <w:rPr>
          <w:i/>
          <w:iCs/>
        </w:rPr>
        <w:t>party</w:t>
      </w:r>
      <w:r w:rsidR="008243CA" w:rsidRPr="00BF3A24">
        <w:rPr>
          <w:i/>
          <w:iCs/>
        </w:rPr>
        <w:t xml:space="preserve"> </w:t>
      </w:r>
      <w:r w:rsidRPr="00BF3A24">
        <w:rPr>
          <w:i/>
          <w:iCs/>
        </w:rPr>
        <w:t>to</w:t>
      </w:r>
      <w:r w:rsidR="008243CA" w:rsidRPr="00BF3A24">
        <w:rPr>
          <w:i/>
          <w:iCs/>
        </w:rPr>
        <w:t xml:space="preserve"> </w:t>
      </w:r>
      <w:r w:rsidRPr="00BF3A24">
        <w:rPr>
          <w:i/>
          <w:iCs/>
        </w:rPr>
        <w:t>conduct</w:t>
      </w:r>
      <w:r w:rsidR="008243CA" w:rsidRPr="00BF3A24">
        <w:rPr>
          <w:i/>
          <w:iCs/>
        </w:rPr>
        <w:t xml:space="preserve"> </w:t>
      </w:r>
      <w:r w:rsidRPr="00BF3A24">
        <w:rPr>
          <w:i/>
          <w:iCs/>
        </w:rPr>
        <w:t>an</w:t>
      </w:r>
      <w:r w:rsidR="008243CA" w:rsidRPr="00BF3A24">
        <w:rPr>
          <w:i/>
          <w:iCs/>
        </w:rPr>
        <w:t xml:space="preserve"> </w:t>
      </w:r>
      <w:r w:rsidRPr="00BF3A24">
        <w:rPr>
          <w:i/>
          <w:iCs/>
        </w:rPr>
        <w:t>independent</w:t>
      </w:r>
      <w:r w:rsidR="008243CA" w:rsidRPr="00BF3A24">
        <w:rPr>
          <w:i/>
          <w:iCs/>
        </w:rPr>
        <w:t xml:space="preserve"> </w:t>
      </w:r>
      <w:r w:rsidRPr="00BF3A24">
        <w:rPr>
          <w:i/>
          <w:iCs/>
        </w:rPr>
        <w:t>and</w:t>
      </w:r>
      <w:r w:rsidR="008243CA" w:rsidRPr="00BF3A24">
        <w:rPr>
          <w:i/>
          <w:iCs/>
        </w:rPr>
        <w:t xml:space="preserve"> </w:t>
      </w:r>
      <w:r w:rsidRPr="00BF3A24">
        <w:rPr>
          <w:i/>
          <w:iCs/>
        </w:rPr>
        <w:t>impartial</w:t>
      </w:r>
      <w:r w:rsidR="008243CA" w:rsidRPr="00BF3A24">
        <w:rPr>
          <w:i/>
          <w:iCs/>
        </w:rPr>
        <w:t xml:space="preserve"> </w:t>
      </w:r>
      <w:r w:rsidRPr="00BF3A24">
        <w:rPr>
          <w:i/>
          <w:iCs/>
        </w:rPr>
        <w:t>investigation</w:t>
      </w:r>
      <w:r w:rsidR="008243CA" w:rsidRPr="00BF3A24">
        <w:rPr>
          <w:i/>
          <w:iCs/>
        </w:rPr>
        <w:t xml:space="preserve"> </w:t>
      </w:r>
      <w:r w:rsidRPr="00BF3A24">
        <w:rPr>
          <w:i/>
          <w:iCs/>
        </w:rPr>
        <w:t>and</w:t>
      </w:r>
      <w:r w:rsidR="008243CA" w:rsidRPr="00BF3A24">
        <w:rPr>
          <w:i/>
          <w:iCs/>
        </w:rPr>
        <w:t xml:space="preserve"> </w:t>
      </w:r>
      <w:r w:rsidRPr="00BF3A24">
        <w:rPr>
          <w:i/>
          <w:iCs/>
        </w:rPr>
        <w:t>to</w:t>
      </w:r>
      <w:r w:rsidR="008243CA" w:rsidRPr="00BF3A24">
        <w:rPr>
          <w:i/>
          <w:iCs/>
        </w:rPr>
        <w:t xml:space="preserve"> </w:t>
      </w:r>
      <w:r w:rsidRPr="00BF3A24">
        <w:rPr>
          <w:i/>
          <w:iCs/>
        </w:rPr>
        <w:t>protect</w:t>
      </w:r>
      <w:r w:rsidR="008243CA" w:rsidRPr="00BF3A24">
        <w:rPr>
          <w:i/>
          <w:iCs/>
        </w:rPr>
        <w:t xml:space="preserve"> </w:t>
      </w:r>
      <w:r w:rsidRPr="00BF3A24">
        <w:rPr>
          <w:i/>
          <w:iCs/>
        </w:rPr>
        <w:t>the</w:t>
      </w:r>
      <w:r w:rsidR="008243CA" w:rsidRPr="00BF3A24">
        <w:rPr>
          <w:i/>
          <w:iCs/>
        </w:rPr>
        <w:t xml:space="preserve"> </w:t>
      </w:r>
      <w:r w:rsidRPr="00BF3A24">
        <w:rPr>
          <w:i/>
          <w:iCs/>
        </w:rPr>
        <w:t>witnesses</w:t>
      </w:r>
      <w:r w:rsidR="008243CA" w:rsidRPr="00BF3A24">
        <w:rPr>
          <w:i/>
          <w:iCs/>
        </w:rPr>
        <w:t xml:space="preserve"> </w:t>
      </w:r>
      <w:r w:rsidRPr="00BF3A24">
        <w:rPr>
          <w:i/>
          <w:iCs/>
        </w:rPr>
        <w:t>and</w:t>
      </w:r>
      <w:r w:rsidR="008243CA" w:rsidRPr="00BF3A24">
        <w:rPr>
          <w:i/>
          <w:iCs/>
        </w:rPr>
        <w:t xml:space="preserve"> </w:t>
      </w:r>
      <w:r w:rsidRPr="00BF3A24">
        <w:rPr>
          <w:i/>
          <w:iCs/>
        </w:rPr>
        <w:t>victims</w:t>
      </w:r>
      <w:r w:rsidR="008243CA" w:rsidRPr="00BF3A24">
        <w:rPr>
          <w:i/>
          <w:iCs/>
        </w:rPr>
        <w:t xml:space="preserve"> </w:t>
      </w:r>
      <w:r w:rsidRPr="00BF3A24">
        <w:rPr>
          <w:i/>
          <w:iCs/>
        </w:rPr>
        <w:t>in</w:t>
      </w:r>
      <w:r w:rsidR="008243CA" w:rsidRPr="00BF3A24">
        <w:rPr>
          <w:i/>
          <w:iCs/>
        </w:rPr>
        <w:t xml:space="preserve"> </w:t>
      </w:r>
      <w:r w:rsidRPr="00BF3A24">
        <w:rPr>
          <w:i/>
          <w:iCs/>
        </w:rPr>
        <w:t>the</w:t>
      </w:r>
      <w:r w:rsidR="008243CA" w:rsidRPr="00BF3A24">
        <w:rPr>
          <w:i/>
          <w:iCs/>
        </w:rPr>
        <w:t xml:space="preserve"> </w:t>
      </w:r>
      <w:r w:rsidRPr="00BF3A24">
        <w:rPr>
          <w:i/>
          <w:iCs/>
        </w:rPr>
        <w:t>case.</w:t>
      </w:r>
    </w:p>
    <w:p w:rsidR="003F7D03" w:rsidRPr="00E62FE6" w:rsidRDefault="003F7D03" w:rsidP="000C6D98">
      <w:pPr>
        <w:pStyle w:val="SingleTxtG"/>
      </w:pPr>
      <w:r w:rsidRPr="00E62FE6">
        <w:t>161.</w:t>
      </w:r>
      <w:r w:rsidRPr="00E62FE6">
        <w:tab/>
        <w:t>With</w:t>
      </w:r>
      <w:r w:rsidR="008243CA">
        <w:t xml:space="preserve"> </w:t>
      </w:r>
      <w:r w:rsidRPr="00E62FE6">
        <w:t>regard</w:t>
      </w:r>
      <w:r w:rsidR="008243CA">
        <w:t xml:space="preserve"> </w:t>
      </w:r>
      <w:r w:rsidRPr="00E62FE6">
        <w:t>to</w:t>
      </w:r>
      <w:r w:rsidR="008243CA">
        <w:t xml:space="preserve"> </w:t>
      </w:r>
      <w:r w:rsidRPr="00E62FE6">
        <w:t>the</w:t>
      </w:r>
      <w:r w:rsidR="008243CA">
        <w:t xml:space="preserve"> </w:t>
      </w:r>
      <w:r w:rsidRPr="00E62FE6">
        <w:t>Subcommittee</w:t>
      </w:r>
      <w:r w:rsidR="00116F0B">
        <w:t>’</w:t>
      </w:r>
      <w:r w:rsidRPr="00E62FE6">
        <w:t>s</w:t>
      </w:r>
      <w:r w:rsidR="008243CA">
        <w:t xml:space="preserve"> </w:t>
      </w:r>
      <w:r w:rsidRPr="00E62FE6">
        <w:t>concern</w:t>
      </w:r>
      <w:r w:rsidR="008243CA">
        <w:t xml:space="preserve"> </w:t>
      </w:r>
      <w:r w:rsidRPr="00E62FE6">
        <w:t>at</w:t>
      </w:r>
      <w:r w:rsidR="008243CA">
        <w:t xml:space="preserve"> </w:t>
      </w:r>
      <w:r w:rsidRPr="00E62FE6">
        <w:t>the</w:t>
      </w:r>
      <w:r w:rsidR="008243CA">
        <w:t xml:space="preserve"> </w:t>
      </w:r>
      <w:r w:rsidRPr="00E62FE6">
        <w:t>disciplinary</w:t>
      </w:r>
      <w:r w:rsidR="008243CA">
        <w:t xml:space="preserve"> </w:t>
      </w:r>
      <w:r w:rsidRPr="00E62FE6">
        <w:t>action</w:t>
      </w:r>
      <w:r w:rsidR="008243CA">
        <w:t xml:space="preserve"> </w:t>
      </w:r>
      <w:r w:rsidRPr="00E62FE6">
        <w:t>involving</w:t>
      </w:r>
      <w:r w:rsidR="008243CA">
        <w:t xml:space="preserve"> </w:t>
      </w:r>
      <w:r w:rsidRPr="00E62FE6">
        <w:t>the</w:t>
      </w:r>
      <w:r w:rsidR="008243CA">
        <w:t xml:space="preserve"> </w:t>
      </w:r>
      <w:r w:rsidRPr="00E62FE6">
        <w:t>removal</w:t>
      </w:r>
      <w:r w:rsidR="008243CA">
        <w:t xml:space="preserve"> </w:t>
      </w:r>
      <w:r w:rsidRPr="00E62FE6">
        <w:t>of</w:t>
      </w:r>
      <w:r w:rsidR="008243CA">
        <w:t xml:space="preserve"> </w:t>
      </w:r>
      <w:r w:rsidRPr="00E62FE6">
        <w:t>the</w:t>
      </w:r>
      <w:r w:rsidR="008243CA">
        <w:t xml:space="preserve"> </w:t>
      </w:r>
      <w:r w:rsidRPr="00E62FE6">
        <w:t>director</w:t>
      </w:r>
      <w:r w:rsidR="008243CA">
        <w:t xml:space="preserve"> </w:t>
      </w:r>
      <w:r w:rsidRPr="00E62FE6">
        <w:t>of</w:t>
      </w:r>
      <w:r w:rsidR="008243CA">
        <w:t xml:space="preserve"> </w:t>
      </w:r>
      <w:r w:rsidRPr="00E62FE6">
        <w:t>the</w:t>
      </w:r>
      <w:r w:rsidR="008243CA">
        <w:t xml:space="preserve"> </w:t>
      </w:r>
      <w:r w:rsidRPr="00E62FE6">
        <w:t>San</w:t>
      </w:r>
      <w:r w:rsidR="008243CA">
        <w:t xml:space="preserve"> </w:t>
      </w:r>
      <w:proofErr w:type="spellStart"/>
      <w:r w:rsidRPr="00E62FE6">
        <w:t>Joaquín</w:t>
      </w:r>
      <w:proofErr w:type="spellEnd"/>
      <w:r w:rsidR="008243CA">
        <w:t xml:space="preserve"> </w:t>
      </w:r>
      <w:r w:rsidRPr="00E62FE6">
        <w:t>temporary</w:t>
      </w:r>
      <w:r w:rsidR="008243CA">
        <w:t xml:space="preserve"> </w:t>
      </w:r>
      <w:r w:rsidRPr="00E62FE6">
        <w:t>detention</w:t>
      </w:r>
      <w:r w:rsidR="008243CA">
        <w:t xml:space="preserve"> </w:t>
      </w:r>
      <w:r w:rsidRPr="00E62FE6">
        <w:t>centre</w:t>
      </w:r>
      <w:r w:rsidR="008243CA">
        <w:t xml:space="preserve"> </w:t>
      </w:r>
      <w:r w:rsidRPr="00E62FE6">
        <w:t>from</w:t>
      </w:r>
      <w:r w:rsidR="008243CA">
        <w:t xml:space="preserve"> </w:t>
      </w:r>
      <w:r w:rsidRPr="00E62FE6">
        <w:t>her</w:t>
      </w:r>
      <w:r w:rsidR="008243CA">
        <w:t xml:space="preserve"> </w:t>
      </w:r>
      <w:r w:rsidRPr="00E62FE6">
        <w:t>post,</w:t>
      </w:r>
      <w:r w:rsidR="008243CA">
        <w:t xml:space="preserve"> </w:t>
      </w:r>
      <w:r w:rsidRPr="00E62FE6">
        <w:t>and</w:t>
      </w:r>
      <w:r w:rsidR="008243CA">
        <w:t xml:space="preserve"> </w:t>
      </w:r>
      <w:r w:rsidRPr="00E62FE6">
        <w:t>in</w:t>
      </w:r>
      <w:r w:rsidR="008243CA">
        <w:t xml:space="preserve"> </w:t>
      </w:r>
      <w:r w:rsidRPr="00E62FE6">
        <w:t>relation</w:t>
      </w:r>
      <w:r w:rsidR="008243CA">
        <w:t xml:space="preserve"> </w:t>
      </w:r>
      <w:r w:rsidRPr="00E62FE6">
        <w:t>to</w:t>
      </w:r>
      <w:r w:rsidR="008243CA">
        <w:t xml:space="preserve"> </w:t>
      </w:r>
      <w:r w:rsidRPr="00E62FE6">
        <w:t>the</w:t>
      </w:r>
      <w:r w:rsidR="008243CA">
        <w:t xml:space="preserve"> </w:t>
      </w:r>
      <w:r w:rsidRPr="00E62FE6">
        <w:t>investigation</w:t>
      </w:r>
      <w:r w:rsidR="008243CA">
        <w:t xml:space="preserve"> </w:t>
      </w:r>
      <w:r w:rsidRPr="00E62FE6">
        <w:t>of</w:t>
      </w:r>
      <w:r w:rsidR="008243CA">
        <w:t xml:space="preserve"> </w:t>
      </w:r>
      <w:r w:rsidRPr="00E62FE6">
        <w:t>the</w:t>
      </w:r>
      <w:r w:rsidR="008243CA">
        <w:t xml:space="preserve"> </w:t>
      </w:r>
      <w:r w:rsidRPr="00E62FE6">
        <w:t>alleged</w:t>
      </w:r>
      <w:r w:rsidR="008243CA">
        <w:t xml:space="preserve"> </w:t>
      </w:r>
      <w:r w:rsidRPr="00E62FE6">
        <w:t>facts,</w:t>
      </w:r>
      <w:r w:rsidR="008243CA">
        <w:t xml:space="preserve"> </w:t>
      </w:r>
      <w:r w:rsidRPr="00E62FE6">
        <w:t>SENAME</w:t>
      </w:r>
      <w:r w:rsidR="008243CA">
        <w:t xml:space="preserve"> </w:t>
      </w:r>
      <w:r w:rsidRPr="00E62FE6">
        <w:t>is</w:t>
      </w:r>
      <w:r w:rsidR="008243CA">
        <w:t xml:space="preserve"> </w:t>
      </w:r>
      <w:r w:rsidRPr="00E62FE6">
        <w:t>awaiting</w:t>
      </w:r>
      <w:r w:rsidR="008243CA">
        <w:t xml:space="preserve"> </w:t>
      </w:r>
      <w:r w:rsidRPr="00E62FE6">
        <w:t>the</w:t>
      </w:r>
      <w:r w:rsidR="008243CA">
        <w:t xml:space="preserve"> </w:t>
      </w:r>
      <w:r w:rsidRPr="00E62FE6">
        <w:t>findings</w:t>
      </w:r>
      <w:r w:rsidR="008243CA">
        <w:t xml:space="preserve"> </w:t>
      </w:r>
      <w:r w:rsidRPr="00E62FE6">
        <w:t>of</w:t>
      </w:r>
      <w:r w:rsidR="008243CA">
        <w:t xml:space="preserve"> </w:t>
      </w:r>
      <w:r w:rsidRPr="00E62FE6">
        <w:t>an</w:t>
      </w:r>
      <w:r w:rsidR="008243CA">
        <w:t xml:space="preserve"> </w:t>
      </w:r>
      <w:r w:rsidRPr="00E62FE6">
        <w:t>ongoing</w:t>
      </w:r>
      <w:r w:rsidR="008243CA">
        <w:t xml:space="preserve"> </w:t>
      </w:r>
      <w:r w:rsidRPr="00E62FE6">
        <w:t>summary</w:t>
      </w:r>
      <w:r w:rsidR="008243CA">
        <w:t xml:space="preserve"> </w:t>
      </w:r>
      <w:r w:rsidRPr="00E62FE6">
        <w:t>investigation</w:t>
      </w:r>
      <w:r w:rsidR="008243CA">
        <w:t xml:space="preserve"> </w:t>
      </w:r>
      <w:r w:rsidRPr="00E62FE6">
        <w:t>process.</w:t>
      </w:r>
      <w:r w:rsidR="008243CA">
        <w:t xml:space="preserve"> </w:t>
      </w:r>
      <w:r w:rsidRPr="00E62FE6">
        <w:t>Subject</w:t>
      </w:r>
      <w:r w:rsidR="008243CA">
        <w:t xml:space="preserve"> </w:t>
      </w:r>
      <w:r w:rsidRPr="00E62FE6">
        <w:t>to</w:t>
      </w:r>
      <w:r w:rsidR="008243CA">
        <w:t xml:space="preserve"> </w:t>
      </w:r>
      <w:r w:rsidRPr="00E62FE6">
        <w:t>the</w:t>
      </w:r>
      <w:r w:rsidR="008243CA">
        <w:t xml:space="preserve"> </w:t>
      </w:r>
      <w:r w:rsidRPr="00E62FE6">
        <w:t>outcome</w:t>
      </w:r>
      <w:r w:rsidR="008243CA">
        <w:t xml:space="preserve"> </w:t>
      </w:r>
      <w:r w:rsidRPr="00E62FE6">
        <w:t>of</w:t>
      </w:r>
      <w:r w:rsidR="008243CA">
        <w:t xml:space="preserve"> </w:t>
      </w:r>
      <w:r w:rsidRPr="00E62FE6">
        <w:t>that</w:t>
      </w:r>
      <w:r w:rsidR="008243CA">
        <w:t xml:space="preserve"> </w:t>
      </w:r>
      <w:r w:rsidRPr="00E62FE6">
        <w:t>investigation,</w:t>
      </w:r>
      <w:r w:rsidR="008243CA">
        <w:t xml:space="preserve"> </w:t>
      </w:r>
      <w:r w:rsidRPr="00E62FE6">
        <w:t>the</w:t>
      </w:r>
      <w:r w:rsidR="008243CA">
        <w:t xml:space="preserve"> </w:t>
      </w:r>
      <w:r w:rsidRPr="00E62FE6">
        <w:t>appropriate</w:t>
      </w:r>
      <w:r w:rsidR="008243CA">
        <w:t xml:space="preserve"> </w:t>
      </w:r>
      <w:r w:rsidRPr="00E62FE6">
        <w:t>administrative</w:t>
      </w:r>
      <w:r w:rsidR="008243CA">
        <w:t xml:space="preserve"> </w:t>
      </w:r>
      <w:r w:rsidRPr="00E62FE6">
        <w:t>and</w:t>
      </w:r>
      <w:r w:rsidR="008243CA">
        <w:t xml:space="preserve"> </w:t>
      </w:r>
      <w:r w:rsidRPr="00E62FE6">
        <w:t>disciplinary</w:t>
      </w:r>
      <w:r w:rsidR="008243CA">
        <w:t xml:space="preserve"> </w:t>
      </w:r>
      <w:r w:rsidRPr="00E62FE6">
        <w:t>measures</w:t>
      </w:r>
      <w:r w:rsidR="008243CA">
        <w:t xml:space="preserve"> </w:t>
      </w:r>
      <w:r w:rsidRPr="00E62FE6">
        <w:t>will</w:t>
      </w:r>
      <w:r w:rsidR="008243CA">
        <w:t xml:space="preserve"> </w:t>
      </w:r>
      <w:r w:rsidRPr="00E62FE6">
        <w:t>be</w:t>
      </w:r>
      <w:r w:rsidR="008243CA">
        <w:t xml:space="preserve"> </w:t>
      </w:r>
      <w:r w:rsidRPr="00E62FE6">
        <w:t>taken</w:t>
      </w:r>
      <w:r w:rsidR="008243CA">
        <w:t xml:space="preserve"> </w:t>
      </w:r>
      <w:r w:rsidRPr="00E62FE6">
        <w:t>if</w:t>
      </w:r>
      <w:r w:rsidR="008243CA">
        <w:t xml:space="preserve"> </w:t>
      </w:r>
      <w:r w:rsidRPr="00E62FE6">
        <w:t>administrative</w:t>
      </w:r>
      <w:r w:rsidR="008243CA">
        <w:t xml:space="preserve"> </w:t>
      </w:r>
      <w:r w:rsidRPr="00E62FE6">
        <w:t>liability</w:t>
      </w:r>
      <w:r w:rsidR="008243CA">
        <w:t xml:space="preserve"> </w:t>
      </w:r>
      <w:r w:rsidRPr="00E62FE6">
        <w:t>is</w:t>
      </w:r>
      <w:r w:rsidR="008243CA">
        <w:t xml:space="preserve"> </w:t>
      </w:r>
      <w:r w:rsidRPr="00E62FE6">
        <w:t>determined.</w:t>
      </w:r>
    </w:p>
    <w:p w:rsidR="003F7D03" w:rsidRPr="00E62FE6" w:rsidRDefault="003F7D03" w:rsidP="00FD52D1">
      <w:pPr>
        <w:pStyle w:val="H23G"/>
      </w:pPr>
      <w:r w:rsidRPr="00E62FE6">
        <w:tab/>
      </w:r>
      <w:bookmarkStart w:id="100" w:name="_Toc512870702"/>
      <w:bookmarkStart w:id="101" w:name="_Toc512870864"/>
      <w:r w:rsidRPr="00E62FE6">
        <w:t>3.4.3</w:t>
      </w:r>
      <w:r w:rsidRPr="00E62FE6">
        <w:tab/>
      </w:r>
      <w:proofErr w:type="spellStart"/>
      <w:r w:rsidRPr="00E62FE6">
        <w:t>Mapuche</w:t>
      </w:r>
      <w:bookmarkEnd w:id="100"/>
      <w:bookmarkEnd w:id="101"/>
      <w:proofErr w:type="spellEnd"/>
    </w:p>
    <w:p w:rsidR="003F7D03" w:rsidRPr="00E62FE6" w:rsidRDefault="003F7D03" w:rsidP="000C6D98">
      <w:pPr>
        <w:pStyle w:val="SingleTxtG"/>
      </w:pPr>
      <w:r w:rsidRPr="00E62FE6">
        <w:t>162.</w:t>
      </w:r>
      <w:r w:rsidRPr="00E62FE6">
        <w:tab/>
        <w:t>One</w:t>
      </w:r>
      <w:r w:rsidR="008243CA">
        <w:t xml:space="preserve"> </w:t>
      </w:r>
      <w:r w:rsidRPr="00E62FE6">
        <w:t>of</w:t>
      </w:r>
      <w:r w:rsidR="008243CA">
        <w:t xml:space="preserve"> </w:t>
      </w:r>
      <w:r w:rsidRPr="00E62FE6">
        <w:t>the</w:t>
      </w:r>
      <w:r w:rsidR="008243CA">
        <w:t xml:space="preserve"> </w:t>
      </w:r>
      <w:r w:rsidRPr="00E62FE6">
        <w:t>challenges</w:t>
      </w:r>
      <w:r w:rsidR="008243CA">
        <w:t xml:space="preserve"> </w:t>
      </w:r>
      <w:r w:rsidRPr="00E62FE6">
        <w:t>facing</w:t>
      </w:r>
      <w:r w:rsidR="008243CA">
        <w:t xml:space="preserve"> </w:t>
      </w:r>
      <w:r w:rsidRPr="00E62FE6">
        <w:t>States</w:t>
      </w:r>
      <w:r w:rsidR="008243CA">
        <w:t xml:space="preserve"> </w:t>
      </w:r>
      <w:r w:rsidRPr="00E62FE6">
        <w:t>that</w:t>
      </w:r>
      <w:r w:rsidR="008243CA">
        <w:t xml:space="preserve"> </w:t>
      </w:r>
      <w:r w:rsidRPr="00E62FE6">
        <w:t>are</w:t>
      </w:r>
      <w:r w:rsidR="008243CA">
        <w:t xml:space="preserve"> </w:t>
      </w:r>
      <w:r w:rsidRPr="00E62FE6">
        <w:t>based</w:t>
      </w:r>
      <w:r w:rsidR="008243CA">
        <w:t xml:space="preserve"> </w:t>
      </w:r>
      <w:r w:rsidRPr="00E62FE6">
        <w:t>on</w:t>
      </w:r>
      <w:r w:rsidR="008243CA">
        <w:t xml:space="preserve"> </w:t>
      </w:r>
      <w:r w:rsidRPr="00E62FE6">
        <w:t>the</w:t>
      </w:r>
      <w:r w:rsidR="008243CA">
        <w:t xml:space="preserve"> </w:t>
      </w:r>
      <w:r w:rsidRPr="00E62FE6">
        <w:t>rule</w:t>
      </w:r>
      <w:r w:rsidR="008243CA">
        <w:t xml:space="preserve"> </w:t>
      </w:r>
      <w:r w:rsidRPr="00E62FE6">
        <w:t>of</w:t>
      </w:r>
      <w:r w:rsidR="008243CA">
        <w:t xml:space="preserve"> </w:t>
      </w:r>
      <w:r w:rsidRPr="00E62FE6">
        <w:t>law</w:t>
      </w:r>
      <w:r w:rsidR="008243CA">
        <w:t xml:space="preserve"> </w:t>
      </w:r>
      <w:r w:rsidRPr="00E62FE6">
        <w:t>and</w:t>
      </w:r>
      <w:r w:rsidR="008243CA">
        <w:t xml:space="preserve"> </w:t>
      </w:r>
      <w:r w:rsidRPr="00E62FE6">
        <w:t>which</w:t>
      </w:r>
      <w:r w:rsidR="008243CA">
        <w:t xml:space="preserve"> </w:t>
      </w:r>
      <w:r w:rsidRPr="00E62FE6">
        <w:t>act</w:t>
      </w:r>
      <w:r w:rsidR="008243CA">
        <w:t xml:space="preserve"> </w:t>
      </w:r>
      <w:r w:rsidRPr="00E62FE6">
        <w:t>in</w:t>
      </w:r>
      <w:r w:rsidR="008243CA">
        <w:t xml:space="preserve"> </w:t>
      </w:r>
      <w:r w:rsidRPr="00E62FE6">
        <w:t>accordance</w:t>
      </w:r>
      <w:r w:rsidR="008243CA">
        <w:t xml:space="preserve"> </w:t>
      </w:r>
      <w:r w:rsidRPr="00E62FE6">
        <w:t>with</w:t>
      </w:r>
      <w:r w:rsidR="008243CA">
        <w:t xml:space="preserve"> </w:t>
      </w:r>
      <w:r w:rsidRPr="00E62FE6">
        <w:t>international</w:t>
      </w:r>
      <w:r w:rsidR="008243CA">
        <w:t xml:space="preserve"> </w:t>
      </w:r>
      <w:r w:rsidRPr="00E62FE6">
        <w:t>human</w:t>
      </w:r>
      <w:r w:rsidR="008243CA">
        <w:t xml:space="preserve"> </w:t>
      </w:r>
      <w:r w:rsidRPr="00E62FE6">
        <w:t>rights</w:t>
      </w:r>
      <w:r w:rsidR="008243CA">
        <w:t xml:space="preserve"> </w:t>
      </w:r>
      <w:r w:rsidRPr="00E62FE6">
        <w:t>standards</w:t>
      </w:r>
      <w:r w:rsidR="008243CA">
        <w:t xml:space="preserve"> </w:t>
      </w:r>
      <w:r w:rsidRPr="00E62FE6">
        <w:t>is</w:t>
      </w:r>
      <w:r w:rsidR="008243CA">
        <w:t xml:space="preserve"> </w:t>
      </w:r>
      <w:r w:rsidRPr="00E62FE6">
        <w:t>that</w:t>
      </w:r>
      <w:r w:rsidR="008243CA">
        <w:t xml:space="preserve"> </w:t>
      </w:r>
      <w:r w:rsidRPr="00E62FE6">
        <w:t>of</w:t>
      </w:r>
      <w:r w:rsidR="008243CA">
        <w:t xml:space="preserve"> </w:t>
      </w:r>
      <w:r w:rsidRPr="00E62FE6">
        <w:t>treating</w:t>
      </w:r>
      <w:r w:rsidR="008243CA">
        <w:t xml:space="preserve"> </w:t>
      </w:r>
      <w:r w:rsidRPr="00E62FE6">
        <w:t>persons</w:t>
      </w:r>
      <w:r w:rsidR="008243CA">
        <w:t xml:space="preserve"> </w:t>
      </w:r>
      <w:r w:rsidRPr="00E62FE6">
        <w:t>deprived</w:t>
      </w:r>
      <w:r w:rsidR="008243CA">
        <w:t xml:space="preserve"> </w:t>
      </w:r>
      <w:r w:rsidRPr="00E62FE6">
        <w:t>of</w:t>
      </w:r>
      <w:r w:rsidR="008243CA">
        <w:t xml:space="preserve"> </w:t>
      </w:r>
      <w:r w:rsidRPr="00E62FE6">
        <w:t>their</w:t>
      </w:r>
      <w:r w:rsidR="008243CA">
        <w:t xml:space="preserve"> </w:t>
      </w:r>
      <w:r w:rsidRPr="00E62FE6">
        <w:t>liberty</w:t>
      </w:r>
      <w:r w:rsidR="008243CA">
        <w:t xml:space="preserve"> </w:t>
      </w:r>
      <w:r w:rsidRPr="00E62FE6">
        <w:t>with</w:t>
      </w:r>
      <w:r w:rsidR="008243CA">
        <w:t xml:space="preserve"> </w:t>
      </w:r>
      <w:r w:rsidRPr="00E62FE6">
        <w:t>dignity.</w:t>
      </w:r>
      <w:r w:rsidR="008243CA">
        <w:t xml:space="preserve"> </w:t>
      </w:r>
      <w:r w:rsidRPr="00E62FE6">
        <w:t>This</w:t>
      </w:r>
      <w:r w:rsidR="008243CA">
        <w:t xml:space="preserve"> </w:t>
      </w:r>
      <w:r w:rsidRPr="00E62FE6">
        <w:t>challenge</w:t>
      </w:r>
      <w:r w:rsidR="008243CA">
        <w:t xml:space="preserve"> </w:t>
      </w:r>
      <w:r w:rsidRPr="00E62FE6">
        <w:t>is</w:t>
      </w:r>
      <w:r w:rsidR="008243CA">
        <w:t xml:space="preserve"> </w:t>
      </w:r>
      <w:r w:rsidRPr="00E62FE6">
        <w:t>even</w:t>
      </w:r>
      <w:r w:rsidR="008243CA">
        <w:t xml:space="preserve"> </w:t>
      </w:r>
      <w:r w:rsidRPr="00E62FE6">
        <w:t>greater</w:t>
      </w:r>
      <w:r w:rsidR="008243CA">
        <w:t xml:space="preserve"> </w:t>
      </w:r>
      <w:r w:rsidRPr="00E62FE6">
        <w:t>in</w:t>
      </w:r>
      <w:r w:rsidR="008243CA">
        <w:t xml:space="preserve"> </w:t>
      </w:r>
      <w:r w:rsidRPr="00E62FE6">
        <w:t>cases</w:t>
      </w:r>
      <w:r w:rsidR="008243CA">
        <w:t xml:space="preserve"> </w:t>
      </w:r>
      <w:r w:rsidRPr="00E62FE6">
        <w:t>of</w:t>
      </w:r>
      <w:r w:rsidR="008243CA">
        <w:t xml:space="preserve"> </w:t>
      </w:r>
      <w:r w:rsidRPr="00E62FE6">
        <w:t>structural</w:t>
      </w:r>
      <w:r w:rsidR="008243CA">
        <w:t xml:space="preserve"> </w:t>
      </w:r>
      <w:r w:rsidRPr="00E62FE6">
        <w:t>discrimination,</w:t>
      </w:r>
      <w:r w:rsidR="008243CA">
        <w:t xml:space="preserve"> </w:t>
      </w:r>
      <w:r w:rsidRPr="00E62FE6">
        <w:t>where</w:t>
      </w:r>
      <w:r w:rsidR="008243CA">
        <w:t xml:space="preserve"> </w:t>
      </w:r>
      <w:r w:rsidRPr="00E62FE6">
        <w:t>multiple</w:t>
      </w:r>
      <w:r w:rsidR="008243CA">
        <w:t xml:space="preserve"> </w:t>
      </w:r>
      <w:r w:rsidRPr="00E62FE6">
        <w:t>factors</w:t>
      </w:r>
      <w:r w:rsidR="008243CA">
        <w:t xml:space="preserve"> </w:t>
      </w:r>
      <w:r w:rsidRPr="00E62FE6">
        <w:t>converge</w:t>
      </w:r>
      <w:r w:rsidR="008243CA">
        <w:t xml:space="preserve"> </w:t>
      </w:r>
      <w:r w:rsidRPr="00E62FE6">
        <w:t>to</w:t>
      </w:r>
      <w:r w:rsidR="008243CA">
        <w:t xml:space="preserve"> </w:t>
      </w:r>
      <w:r w:rsidRPr="00E62FE6">
        <w:t>increase</w:t>
      </w:r>
      <w:r w:rsidR="008243CA">
        <w:t xml:space="preserve"> </w:t>
      </w:r>
      <w:r w:rsidRPr="00E62FE6">
        <w:t>the</w:t>
      </w:r>
      <w:r w:rsidR="008243CA">
        <w:t xml:space="preserve"> </w:t>
      </w:r>
      <w:r w:rsidRPr="00E62FE6">
        <w:t>vulnerability</w:t>
      </w:r>
      <w:r w:rsidR="008243CA">
        <w:t xml:space="preserve"> </w:t>
      </w:r>
      <w:r w:rsidRPr="00E62FE6">
        <w:t>of</w:t>
      </w:r>
      <w:r w:rsidR="008243CA">
        <w:t xml:space="preserve"> </w:t>
      </w:r>
      <w:r w:rsidRPr="00E62FE6">
        <w:t>an</w:t>
      </w:r>
      <w:r w:rsidR="008243CA">
        <w:t xml:space="preserve"> </w:t>
      </w:r>
      <w:r w:rsidRPr="00E62FE6">
        <w:t>individual</w:t>
      </w:r>
      <w:r w:rsidR="008243CA">
        <w:t xml:space="preserve"> </w:t>
      </w:r>
      <w:r w:rsidRPr="00E62FE6">
        <w:t>or</w:t>
      </w:r>
      <w:r w:rsidR="008243CA">
        <w:t xml:space="preserve"> </w:t>
      </w:r>
      <w:r w:rsidRPr="00E62FE6">
        <w:t>a</w:t>
      </w:r>
      <w:r w:rsidR="008243CA">
        <w:t xml:space="preserve"> </w:t>
      </w:r>
      <w:r w:rsidRPr="00E62FE6">
        <w:t>group.</w:t>
      </w:r>
      <w:r w:rsidR="008243CA">
        <w:t xml:space="preserve"> </w:t>
      </w:r>
      <w:r w:rsidRPr="00E62FE6">
        <w:t>This</w:t>
      </w:r>
      <w:r w:rsidR="008243CA">
        <w:t xml:space="preserve"> </w:t>
      </w:r>
      <w:r w:rsidRPr="00E62FE6">
        <w:t>is</w:t>
      </w:r>
      <w:r w:rsidR="008243CA">
        <w:t xml:space="preserve"> </w:t>
      </w:r>
      <w:r w:rsidRPr="00E62FE6">
        <w:t>the</w:t>
      </w:r>
      <w:r w:rsidR="008243CA">
        <w:t xml:space="preserve"> </w:t>
      </w:r>
      <w:r w:rsidRPr="00E62FE6">
        <w:t>case</w:t>
      </w:r>
      <w:r w:rsidR="008243CA">
        <w:t xml:space="preserve"> </w:t>
      </w:r>
      <w:r w:rsidRPr="00E62FE6">
        <w:t>with</w:t>
      </w:r>
      <w:r w:rsidR="008243CA">
        <w:t xml:space="preserve"> </w:t>
      </w:r>
      <w:proofErr w:type="spellStart"/>
      <w:r w:rsidRPr="00E62FE6">
        <w:t>Mapuche</w:t>
      </w:r>
      <w:proofErr w:type="spellEnd"/>
      <w:r w:rsidR="008243CA">
        <w:t xml:space="preserve"> </w:t>
      </w:r>
      <w:r w:rsidRPr="00E62FE6">
        <w:t>detainees,</w:t>
      </w:r>
      <w:r w:rsidR="008243CA">
        <w:t xml:space="preserve"> </w:t>
      </w:r>
      <w:r w:rsidRPr="00E62FE6">
        <w:t>a</w:t>
      </w:r>
      <w:r w:rsidR="008243CA">
        <w:t xml:space="preserve"> </w:t>
      </w:r>
      <w:r w:rsidRPr="00E62FE6">
        <w:t>group</w:t>
      </w:r>
      <w:r w:rsidR="008243CA">
        <w:t xml:space="preserve"> </w:t>
      </w:r>
      <w:r w:rsidRPr="00E62FE6">
        <w:t>that</w:t>
      </w:r>
      <w:r w:rsidR="008243CA">
        <w:t xml:space="preserve"> </w:t>
      </w:r>
      <w:r w:rsidRPr="00E62FE6">
        <w:t>has</w:t>
      </w:r>
      <w:r w:rsidR="008243CA">
        <w:t xml:space="preserve"> </w:t>
      </w:r>
      <w:r w:rsidRPr="00E62FE6">
        <w:t>not</w:t>
      </w:r>
      <w:r w:rsidR="008243CA">
        <w:t xml:space="preserve"> </w:t>
      </w:r>
      <w:r w:rsidRPr="00E62FE6">
        <w:t>been</w:t>
      </w:r>
      <w:r w:rsidR="008243CA">
        <w:t xml:space="preserve"> </w:t>
      </w:r>
      <w:r w:rsidRPr="00E62FE6">
        <w:t>absent</w:t>
      </w:r>
      <w:r w:rsidR="008243CA">
        <w:t xml:space="preserve"> </w:t>
      </w:r>
      <w:r w:rsidRPr="00E62FE6">
        <w:t>from</w:t>
      </w:r>
      <w:r w:rsidR="008243CA">
        <w:t xml:space="preserve"> </w:t>
      </w:r>
      <w:r w:rsidRPr="00E62FE6">
        <w:t>public</w:t>
      </w:r>
      <w:r w:rsidR="008243CA">
        <w:t xml:space="preserve"> </w:t>
      </w:r>
      <w:r w:rsidRPr="00E62FE6">
        <w:t>discussions.</w:t>
      </w:r>
      <w:r w:rsidR="008243CA">
        <w:t xml:space="preserve"> </w:t>
      </w:r>
      <w:r w:rsidRPr="00E62FE6">
        <w:t>For</w:t>
      </w:r>
      <w:r w:rsidR="008243CA">
        <w:t xml:space="preserve"> </w:t>
      </w:r>
      <w:r w:rsidRPr="00E62FE6">
        <w:t>this</w:t>
      </w:r>
      <w:r w:rsidR="008243CA">
        <w:t xml:space="preserve"> </w:t>
      </w:r>
      <w:r w:rsidRPr="00E62FE6">
        <w:t>reason,</w:t>
      </w:r>
      <w:r w:rsidR="008243CA">
        <w:t xml:space="preserve"> </w:t>
      </w:r>
      <w:r w:rsidRPr="00E62FE6">
        <w:t>concrete</w:t>
      </w:r>
      <w:r w:rsidR="008243CA">
        <w:t xml:space="preserve"> </w:t>
      </w:r>
      <w:r w:rsidRPr="00E62FE6">
        <w:t>steps</w:t>
      </w:r>
      <w:r w:rsidR="008243CA">
        <w:t xml:space="preserve"> </w:t>
      </w:r>
      <w:r w:rsidRPr="00E62FE6">
        <w:t>have</w:t>
      </w:r>
      <w:r w:rsidR="008243CA">
        <w:t xml:space="preserve"> </w:t>
      </w:r>
      <w:r w:rsidRPr="00E62FE6">
        <w:t>been</w:t>
      </w:r>
      <w:r w:rsidR="008243CA">
        <w:t xml:space="preserve"> </w:t>
      </w:r>
      <w:r w:rsidRPr="00E62FE6">
        <w:t>taken</w:t>
      </w:r>
      <w:r w:rsidR="008243CA">
        <w:t xml:space="preserve"> </w:t>
      </w:r>
      <w:r w:rsidRPr="00E62FE6">
        <w:t>to</w:t>
      </w:r>
      <w:r w:rsidR="008243CA">
        <w:t xml:space="preserve"> </w:t>
      </w:r>
      <w:r w:rsidRPr="00E62FE6">
        <w:t>prevent</w:t>
      </w:r>
      <w:r w:rsidR="008243CA">
        <w:t xml:space="preserve"> </w:t>
      </w:r>
      <w:r w:rsidRPr="00E62FE6">
        <w:t>the</w:t>
      </w:r>
      <w:r w:rsidR="008243CA">
        <w:t xml:space="preserve"> </w:t>
      </w:r>
      <w:r w:rsidRPr="00E62FE6">
        <w:t>recurrence</w:t>
      </w:r>
      <w:r w:rsidR="008243CA">
        <w:t xml:space="preserve"> </w:t>
      </w:r>
      <w:r w:rsidRPr="00E62FE6">
        <w:t>of</w:t>
      </w:r>
      <w:r w:rsidR="008243CA">
        <w:t xml:space="preserve"> </w:t>
      </w:r>
      <w:r w:rsidRPr="00E62FE6">
        <w:t>situations</w:t>
      </w:r>
      <w:r w:rsidR="008243CA">
        <w:t xml:space="preserve"> </w:t>
      </w:r>
      <w:r w:rsidRPr="00E62FE6">
        <w:t>in</w:t>
      </w:r>
      <w:r w:rsidR="008243CA">
        <w:t xml:space="preserve"> </w:t>
      </w:r>
      <w:r w:rsidRPr="00E62FE6">
        <w:t>which</w:t>
      </w:r>
      <w:r w:rsidR="008243CA">
        <w:t xml:space="preserve"> </w:t>
      </w:r>
      <w:r w:rsidRPr="00E62FE6">
        <w:t>they</w:t>
      </w:r>
      <w:r w:rsidR="008243CA">
        <w:t xml:space="preserve"> </w:t>
      </w:r>
      <w:r w:rsidRPr="00E62FE6">
        <w:t>have</w:t>
      </w:r>
      <w:r w:rsidR="008243CA">
        <w:t xml:space="preserve"> </w:t>
      </w:r>
      <w:r w:rsidRPr="00E62FE6">
        <w:t>been</w:t>
      </w:r>
      <w:r w:rsidR="008243CA">
        <w:t xml:space="preserve"> </w:t>
      </w:r>
      <w:r w:rsidRPr="00E62FE6">
        <w:t>vulnerable.</w:t>
      </w:r>
      <w:r w:rsidR="008243CA">
        <w:t xml:space="preserve"> </w:t>
      </w:r>
      <w:r w:rsidRPr="00E62FE6">
        <w:t>In</w:t>
      </w:r>
      <w:r w:rsidR="008243CA">
        <w:t xml:space="preserve"> </w:t>
      </w:r>
      <w:r w:rsidRPr="00E62FE6">
        <w:t>particular,</w:t>
      </w:r>
      <w:r w:rsidR="008243CA">
        <w:t xml:space="preserve"> </w:t>
      </w:r>
      <w:r w:rsidRPr="00E62FE6">
        <w:t>in</w:t>
      </w:r>
      <w:r w:rsidR="008243CA">
        <w:t xml:space="preserve"> </w:t>
      </w:r>
      <w:r w:rsidRPr="00E62FE6">
        <w:t>the</w:t>
      </w:r>
      <w:r w:rsidR="008243CA">
        <w:t xml:space="preserve"> </w:t>
      </w:r>
      <w:r w:rsidRPr="00E62FE6">
        <w:t>case</w:t>
      </w:r>
      <w:r w:rsidR="008243CA">
        <w:t xml:space="preserve"> </w:t>
      </w:r>
      <w:r w:rsidRPr="00E62FE6">
        <w:t>of</w:t>
      </w:r>
      <w:r w:rsidR="008243CA">
        <w:t xml:space="preserve"> </w:t>
      </w:r>
      <w:r w:rsidRPr="00E62FE6">
        <w:t>Lorenza</w:t>
      </w:r>
      <w:r w:rsidR="008243CA">
        <w:t xml:space="preserve"> </w:t>
      </w:r>
      <w:proofErr w:type="spellStart"/>
      <w:r w:rsidRPr="00E62FE6">
        <w:lastRenderedPageBreak/>
        <w:t>Cayuhan</w:t>
      </w:r>
      <w:proofErr w:type="spellEnd"/>
      <w:r w:rsidRPr="00116F0B">
        <w:rPr>
          <w:rStyle w:val="FootnoteReference"/>
        </w:rPr>
        <w:footnoteReference w:id="57"/>
      </w:r>
      <w:r w:rsidR="008243CA">
        <w:t xml:space="preserve"> </w:t>
      </w:r>
      <w:r w:rsidRPr="00E62FE6">
        <w:t>President</w:t>
      </w:r>
      <w:r w:rsidR="008243CA">
        <w:t xml:space="preserve"> </w:t>
      </w:r>
      <w:r w:rsidRPr="00E62FE6">
        <w:t>Bachelet</w:t>
      </w:r>
      <w:r w:rsidR="008243CA">
        <w:t xml:space="preserve"> </w:t>
      </w:r>
      <w:r w:rsidRPr="00E62FE6">
        <w:t>instructed</w:t>
      </w:r>
      <w:r w:rsidR="008243CA">
        <w:t xml:space="preserve"> </w:t>
      </w:r>
      <w:r w:rsidRPr="00E62FE6">
        <w:t>the</w:t>
      </w:r>
      <w:r w:rsidR="008243CA">
        <w:t xml:space="preserve"> </w:t>
      </w:r>
      <w:r w:rsidRPr="00E62FE6">
        <w:t>Office</w:t>
      </w:r>
      <w:r w:rsidR="008243CA">
        <w:t xml:space="preserve"> </w:t>
      </w:r>
      <w:r w:rsidRPr="00E62FE6">
        <w:t>of</w:t>
      </w:r>
      <w:r w:rsidR="008243CA">
        <w:t xml:space="preserve"> </w:t>
      </w:r>
      <w:r w:rsidRPr="00E62FE6">
        <w:t>the</w:t>
      </w:r>
      <w:r w:rsidR="008243CA">
        <w:t xml:space="preserve"> </w:t>
      </w:r>
      <w:r w:rsidRPr="00E62FE6">
        <w:t>Undersecretary</w:t>
      </w:r>
      <w:r w:rsidR="008243CA">
        <w:t xml:space="preserve"> </w:t>
      </w:r>
      <w:r w:rsidRPr="00E62FE6">
        <w:t>for</w:t>
      </w:r>
      <w:r w:rsidR="008243CA">
        <w:t xml:space="preserve"> </w:t>
      </w:r>
      <w:r w:rsidRPr="00E62FE6">
        <w:t>Human</w:t>
      </w:r>
      <w:r w:rsidR="008243CA">
        <w:t xml:space="preserve"> </w:t>
      </w:r>
      <w:r w:rsidRPr="00E62FE6">
        <w:t>Rights</w:t>
      </w:r>
      <w:r w:rsidR="008243CA">
        <w:t xml:space="preserve"> </w:t>
      </w:r>
      <w:r w:rsidRPr="00E62FE6">
        <w:t>to</w:t>
      </w:r>
      <w:r w:rsidR="008243CA">
        <w:t xml:space="preserve"> </w:t>
      </w:r>
      <w:r w:rsidRPr="00E62FE6">
        <w:t>amend</w:t>
      </w:r>
      <w:r w:rsidR="008243CA">
        <w:t xml:space="preserve"> </w:t>
      </w:r>
      <w:r w:rsidRPr="00E62FE6">
        <w:t>the</w:t>
      </w:r>
      <w:r w:rsidR="008243CA">
        <w:t xml:space="preserve"> </w:t>
      </w:r>
      <w:r w:rsidRPr="00E62FE6">
        <w:t>Prison</w:t>
      </w:r>
      <w:r w:rsidR="008243CA">
        <w:t xml:space="preserve"> </w:t>
      </w:r>
      <w:r w:rsidRPr="00E62FE6">
        <w:t>Regulations</w:t>
      </w:r>
      <w:r w:rsidR="008243CA">
        <w:t xml:space="preserve"> </w:t>
      </w:r>
      <w:r w:rsidRPr="00E62FE6">
        <w:t>by</w:t>
      </w:r>
      <w:r w:rsidR="008243CA">
        <w:t xml:space="preserve"> </w:t>
      </w:r>
      <w:r w:rsidRPr="00E62FE6">
        <w:t>incorporating</w:t>
      </w:r>
      <w:r w:rsidR="008243CA">
        <w:t xml:space="preserve"> </w:t>
      </w:r>
      <w:r w:rsidRPr="00E62FE6">
        <w:t>a</w:t>
      </w:r>
      <w:r w:rsidR="008243CA">
        <w:t xml:space="preserve"> </w:t>
      </w:r>
      <w:r w:rsidRPr="00E62FE6">
        <w:t>human</w:t>
      </w:r>
      <w:r w:rsidR="008243CA">
        <w:t xml:space="preserve"> </w:t>
      </w:r>
      <w:r w:rsidRPr="00E62FE6">
        <w:t>rights</w:t>
      </w:r>
      <w:r w:rsidR="008243CA">
        <w:t xml:space="preserve"> </w:t>
      </w:r>
      <w:r w:rsidRPr="00E62FE6">
        <w:t>perspective.</w:t>
      </w:r>
      <w:r w:rsidRPr="00116F0B">
        <w:rPr>
          <w:rStyle w:val="FootnoteReference"/>
        </w:rPr>
        <w:footnoteReference w:id="58"/>
      </w:r>
      <w:bookmarkStart w:id="102" w:name="page40"/>
      <w:bookmarkEnd w:id="102"/>
    </w:p>
    <w:p w:rsidR="003F7D03" w:rsidRPr="00E62FE6" w:rsidRDefault="003F7D03" w:rsidP="000C6D98">
      <w:pPr>
        <w:pStyle w:val="SingleTxtG"/>
      </w:pPr>
      <w:r w:rsidRPr="00E62FE6">
        <w:t>163.</w:t>
      </w:r>
      <w:r w:rsidRPr="00E62FE6">
        <w:tab/>
        <w:t>Noting</w:t>
      </w:r>
      <w:r w:rsidR="008243CA">
        <w:t xml:space="preserve"> </w:t>
      </w:r>
      <w:r w:rsidRPr="00E62FE6">
        <w:t>the</w:t>
      </w:r>
      <w:r w:rsidR="008243CA">
        <w:t xml:space="preserve"> </w:t>
      </w:r>
      <w:r w:rsidRPr="00E62FE6">
        <w:t>Subcommittee</w:t>
      </w:r>
      <w:r w:rsidR="00116F0B">
        <w:t>’</w:t>
      </w:r>
      <w:r w:rsidRPr="00E62FE6">
        <w:t>s</w:t>
      </w:r>
      <w:r w:rsidR="008243CA">
        <w:t xml:space="preserve"> </w:t>
      </w:r>
      <w:r w:rsidRPr="00E62FE6">
        <w:t>concern</w:t>
      </w:r>
      <w:r w:rsidR="008243CA">
        <w:t xml:space="preserve"> </w:t>
      </w:r>
      <w:r w:rsidRPr="00E62FE6">
        <w:t>for</w:t>
      </w:r>
      <w:r w:rsidR="008243CA">
        <w:t xml:space="preserve"> </w:t>
      </w:r>
      <w:r w:rsidRPr="00E62FE6">
        <w:t>the</w:t>
      </w:r>
      <w:r w:rsidR="008243CA">
        <w:t xml:space="preserve"> </w:t>
      </w:r>
      <w:r w:rsidRPr="00E62FE6">
        <w:t>situation</w:t>
      </w:r>
      <w:r w:rsidR="008243CA">
        <w:t xml:space="preserve"> </w:t>
      </w:r>
      <w:r w:rsidRPr="00E62FE6">
        <w:t>of</w:t>
      </w:r>
      <w:r w:rsidR="008243CA">
        <w:t xml:space="preserve"> </w:t>
      </w:r>
      <w:proofErr w:type="spellStart"/>
      <w:r w:rsidRPr="00E62FE6">
        <w:t>Mapuche</w:t>
      </w:r>
      <w:proofErr w:type="spellEnd"/>
      <w:r w:rsidR="008243CA">
        <w:t xml:space="preserve"> </w:t>
      </w:r>
      <w:r w:rsidRPr="00E62FE6">
        <w:t>detainees,</w:t>
      </w:r>
      <w:r w:rsidR="008243CA">
        <w:t xml:space="preserve"> </w:t>
      </w:r>
      <w:r w:rsidRPr="00E62FE6">
        <w:t>the</w:t>
      </w:r>
      <w:r w:rsidR="008243CA">
        <w:t xml:space="preserve"> </w:t>
      </w:r>
      <w:r w:rsidRPr="00E62FE6">
        <w:t>Government</w:t>
      </w:r>
      <w:r w:rsidR="008243CA">
        <w:t xml:space="preserve"> </w:t>
      </w:r>
      <w:r w:rsidRPr="00E62FE6">
        <w:t>responded</w:t>
      </w:r>
      <w:r w:rsidR="008243CA">
        <w:t xml:space="preserve"> </w:t>
      </w:r>
      <w:r w:rsidRPr="00E62FE6">
        <w:t>to</w:t>
      </w:r>
      <w:r w:rsidR="008243CA">
        <w:t xml:space="preserve"> </w:t>
      </w:r>
      <w:r w:rsidRPr="00E62FE6">
        <w:t>its</w:t>
      </w:r>
      <w:r w:rsidR="008243CA">
        <w:t xml:space="preserve"> </w:t>
      </w:r>
      <w:r w:rsidRPr="00E62FE6">
        <w:t>recommendations</w:t>
      </w:r>
      <w:r w:rsidR="008243CA">
        <w:t xml:space="preserve"> </w:t>
      </w:r>
      <w:r w:rsidRPr="00E62FE6">
        <w:t>through</w:t>
      </w:r>
      <w:r w:rsidR="008243CA">
        <w:t xml:space="preserve"> </w:t>
      </w:r>
      <w:r w:rsidRPr="00E62FE6">
        <w:t>the</w:t>
      </w:r>
      <w:r w:rsidR="008243CA">
        <w:t xml:space="preserve"> </w:t>
      </w:r>
      <w:r w:rsidRPr="00E62FE6">
        <w:t>actions</w:t>
      </w:r>
      <w:r w:rsidR="008243CA">
        <w:t xml:space="preserve"> </w:t>
      </w:r>
      <w:r w:rsidRPr="00E62FE6">
        <w:t>set</w:t>
      </w:r>
      <w:r w:rsidR="008243CA">
        <w:t xml:space="preserve"> </w:t>
      </w:r>
      <w:r w:rsidRPr="00E62FE6">
        <w:t>out</w:t>
      </w:r>
      <w:r w:rsidR="008243CA">
        <w:t xml:space="preserve"> </w:t>
      </w:r>
      <w:r w:rsidRPr="00E62FE6">
        <w:t>below:</w:t>
      </w:r>
      <w:r w:rsidR="008243CA">
        <w:t xml:space="preserve"> </w:t>
      </w:r>
    </w:p>
    <w:p w:rsidR="003F7D03" w:rsidRPr="0009708F" w:rsidRDefault="003F7D03" w:rsidP="000C6D98">
      <w:pPr>
        <w:pStyle w:val="SingleTxtG"/>
        <w:rPr>
          <w:i/>
          <w:iCs/>
        </w:rPr>
      </w:pPr>
      <w:r w:rsidRPr="00E62FE6">
        <w:t>164.</w:t>
      </w:r>
      <w:r w:rsidRPr="00E62FE6">
        <w:tab/>
        <w:t>Paragraph</w:t>
      </w:r>
      <w:r w:rsidR="008243CA">
        <w:t xml:space="preserve"> </w:t>
      </w:r>
      <w:r w:rsidRPr="00E62FE6">
        <w:t>121:</w:t>
      </w:r>
      <w:r w:rsidR="008243CA">
        <w:t xml:space="preserve"> </w:t>
      </w:r>
      <w:r w:rsidRPr="0009708F">
        <w:rPr>
          <w:i/>
          <w:iCs/>
        </w:rPr>
        <w:t>The</w:t>
      </w:r>
      <w:r w:rsidR="008243CA" w:rsidRPr="0009708F">
        <w:rPr>
          <w:i/>
          <w:iCs/>
        </w:rPr>
        <w:t xml:space="preserve"> </w:t>
      </w:r>
      <w:r w:rsidRPr="0009708F">
        <w:rPr>
          <w:i/>
          <w:iCs/>
        </w:rPr>
        <w:t>Subcommittee</w:t>
      </w:r>
      <w:r w:rsidR="008243CA" w:rsidRPr="0009708F">
        <w:rPr>
          <w:i/>
          <w:iCs/>
        </w:rPr>
        <w:t xml:space="preserve"> </w:t>
      </w:r>
      <w:r w:rsidRPr="0009708F">
        <w:rPr>
          <w:i/>
          <w:iCs/>
        </w:rPr>
        <w:t>recommends</w:t>
      </w:r>
      <w:r w:rsidR="008243CA" w:rsidRPr="0009708F">
        <w:rPr>
          <w:i/>
          <w:iCs/>
        </w:rPr>
        <w:t xml:space="preserve"> </w:t>
      </w:r>
      <w:r w:rsidRPr="0009708F">
        <w:rPr>
          <w:i/>
          <w:iCs/>
        </w:rPr>
        <w:t>that</w:t>
      </w:r>
      <w:r w:rsidR="008243CA" w:rsidRPr="0009708F">
        <w:rPr>
          <w:i/>
          <w:iCs/>
        </w:rPr>
        <w:t xml:space="preserve"> </w:t>
      </w:r>
      <w:r w:rsidRPr="0009708F">
        <w:rPr>
          <w:i/>
          <w:iCs/>
        </w:rPr>
        <w:t>the</w:t>
      </w:r>
      <w:r w:rsidR="008243CA" w:rsidRPr="0009708F">
        <w:rPr>
          <w:i/>
          <w:iCs/>
        </w:rPr>
        <w:t xml:space="preserve"> </w:t>
      </w:r>
      <w:r w:rsidRPr="0009708F">
        <w:rPr>
          <w:i/>
          <w:iCs/>
        </w:rPr>
        <w:t>State</w:t>
      </w:r>
      <w:r w:rsidR="008243CA" w:rsidRPr="0009708F">
        <w:rPr>
          <w:i/>
          <w:iCs/>
        </w:rPr>
        <w:t xml:space="preserve"> </w:t>
      </w:r>
      <w:r w:rsidRPr="0009708F">
        <w:rPr>
          <w:i/>
          <w:iCs/>
        </w:rPr>
        <w:t>party</w:t>
      </w:r>
      <w:r w:rsidR="008243CA" w:rsidRPr="0009708F">
        <w:rPr>
          <w:i/>
          <w:iCs/>
        </w:rPr>
        <w:t xml:space="preserve"> </w:t>
      </w:r>
      <w:r w:rsidRPr="0009708F">
        <w:rPr>
          <w:i/>
          <w:iCs/>
        </w:rPr>
        <w:t>take</w:t>
      </w:r>
      <w:r w:rsidR="008243CA" w:rsidRPr="0009708F">
        <w:rPr>
          <w:i/>
          <w:iCs/>
        </w:rPr>
        <w:t xml:space="preserve"> </w:t>
      </w:r>
      <w:r w:rsidRPr="0009708F">
        <w:rPr>
          <w:i/>
          <w:iCs/>
        </w:rPr>
        <w:t>the</w:t>
      </w:r>
      <w:r w:rsidR="008243CA" w:rsidRPr="0009708F">
        <w:rPr>
          <w:i/>
          <w:iCs/>
        </w:rPr>
        <w:t xml:space="preserve"> </w:t>
      </w:r>
      <w:r w:rsidRPr="0009708F">
        <w:rPr>
          <w:i/>
          <w:iCs/>
        </w:rPr>
        <w:t>necessary</w:t>
      </w:r>
      <w:r w:rsidR="008243CA" w:rsidRPr="0009708F">
        <w:rPr>
          <w:i/>
          <w:iCs/>
        </w:rPr>
        <w:t xml:space="preserve"> </w:t>
      </w:r>
      <w:r w:rsidRPr="0009708F">
        <w:rPr>
          <w:i/>
          <w:iCs/>
        </w:rPr>
        <w:t>measures</w:t>
      </w:r>
      <w:r w:rsidR="008243CA" w:rsidRPr="0009708F">
        <w:rPr>
          <w:i/>
          <w:iCs/>
        </w:rPr>
        <w:t xml:space="preserve"> </w:t>
      </w:r>
      <w:r w:rsidRPr="0009708F">
        <w:rPr>
          <w:i/>
          <w:iCs/>
        </w:rPr>
        <w:t>to</w:t>
      </w:r>
      <w:r w:rsidR="008243CA" w:rsidRPr="0009708F">
        <w:rPr>
          <w:i/>
          <w:iCs/>
        </w:rPr>
        <w:t xml:space="preserve"> </w:t>
      </w:r>
      <w:r w:rsidRPr="0009708F">
        <w:rPr>
          <w:i/>
          <w:iCs/>
        </w:rPr>
        <w:t>ensure</w:t>
      </w:r>
      <w:r w:rsidR="008243CA" w:rsidRPr="0009708F">
        <w:rPr>
          <w:i/>
          <w:iCs/>
        </w:rPr>
        <w:t xml:space="preserve"> </w:t>
      </w:r>
      <w:r w:rsidRPr="0009708F">
        <w:rPr>
          <w:i/>
          <w:iCs/>
        </w:rPr>
        <w:t>that</w:t>
      </w:r>
      <w:r w:rsidR="008243CA" w:rsidRPr="0009708F">
        <w:rPr>
          <w:i/>
          <w:iCs/>
        </w:rPr>
        <w:t xml:space="preserve"> </w:t>
      </w:r>
      <w:proofErr w:type="spellStart"/>
      <w:r w:rsidRPr="0009708F">
        <w:rPr>
          <w:i/>
          <w:iCs/>
        </w:rPr>
        <w:t>Mapuche</w:t>
      </w:r>
      <w:proofErr w:type="spellEnd"/>
      <w:r w:rsidR="008243CA" w:rsidRPr="0009708F">
        <w:rPr>
          <w:i/>
          <w:iCs/>
        </w:rPr>
        <w:t xml:space="preserve"> </w:t>
      </w:r>
      <w:r w:rsidRPr="0009708F">
        <w:rPr>
          <w:i/>
          <w:iCs/>
        </w:rPr>
        <w:t>detainees</w:t>
      </w:r>
      <w:r w:rsidR="008243CA" w:rsidRPr="0009708F">
        <w:rPr>
          <w:i/>
          <w:iCs/>
        </w:rPr>
        <w:t xml:space="preserve"> </w:t>
      </w:r>
      <w:r w:rsidRPr="0009708F">
        <w:rPr>
          <w:i/>
          <w:iCs/>
        </w:rPr>
        <w:t>can</w:t>
      </w:r>
      <w:r w:rsidR="008243CA" w:rsidRPr="0009708F">
        <w:rPr>
          <w:i/>
          <w:iCs/>
        </w:rPr>
        <w:t xml:space="preserve"> </w:t>
      </w:r>
      <w:r w:rsidRPr="0009708F">
        <w:rPr>
          <w:i/>
          <w:iCs/>
        </w:rPr>
        <w:t>observe</w:t>
      </w:r>
      <w:r w:rsidR="008243CA" w:rsidRPr="0009708F">
        <w:rPr>
          <w:i/>
          <w:iCs/>
        </w:rPr>
        <w:t xml:space="preserve"> </w:t>
      </w:r>
      <w:r w:rsidRPr="0009708F">
        <w:rPr>
          <w:i/>
          <w:iCs/>
        </w:rPr>
        <w:t>their</w:t>
      </w:r>
      <w:r w:rsidR="008243CA" w:rsidRPr="0009708F">
        <w:rPr>
          <w:i/>
          <w:iCs/>
        </w:rPr>
        <w:t xml:space="preserve"> </w:t>
      </w:r>
      <w:r w:rsidRPr="0009708F">
        <w:rPr>
          <w:i/>
          <w:iCs/>
        </w:rPr>
        <w:t>cultural</w:t>
      </w:r>
      <w:r w:rsidR="008243CA" w:rsidRPr="0009708F">
        <w:rPr>
          <w:i/>
          <w:iCs/>
        </w:rPr>
        <w:t xml:space="preserve"> </w:t>
      </w:r>
      <w:r w:rsidRPr="0009708F">
        <w:rPr>
          <w:i/>
          <w:iCs/>
        </w:rPr>
        <w:t>traditions</w:t>
      </w:r>
      <w:r w:rsidR="008243CA" w:rsidRPr="0009708F">
        <w:rPr>
          <w:i/>
          <w:iCs/>
        </w:rPr>
        <w:t xml:space="preserve"> </w:t>
      </w:r>
      <w:r w:rsidRPr="0009708F">
        <w:rPr>
          <w:i/>
          <w:iCs/>
        </w:rPr>
        <w:t>and</w:t>
      </w:r>
      <w:r w:rsidR="008243CA" w:rsidRPr="0009708F">
        <w:rPr>
          <w:i/>
          <w:iCs/>
        </w:rPr>
        <w:t xml:space="preserve"> </w:t>
      </w:r>
      <w:r w:rsidRPr="0009708F">
        <w:rPr>
          <w:i/>
          <w:iCs/>
        </w:rPr>
        <w:t>customs</w:t>
      </w:r>
      <w:r w:rsidR="008243CA" w:rsidRPr="0009708F">
        <w:rPr>
          <w:i/>
          <w:iCs/>
        </w:rPr>
        <w:t xml:space="preserve"> </w:t>
      </w:r>
      <w:r w:rsidRPr="0009708F">
        <w:rPr>
          <w:i/>
          <w:iCs/>
        </w:rPr>
        <w:t>in</w:t>
      </w:r>
      <w:r w:rsidR="008243CA" w:rsidRPr="0009708F">
        <w:rPr>
          <w:i/>
          <w:iCs/>
        </w:rPr>
        <w:t xml:space="preserve"> </w:t>
      </w:r>
      <w:r w:rsidRPr="0009708F">
        <w:rPr>
          <w:i/>
          <w:iCs/>
        </w:rPr>
        <w:t>accordance</w:t>
      </w:r>
      <w:r w:rsidR="008243CA" w:rsidRPr="0009708F">
        <w:rPr>
          <w:i/>
          <w:iCs/>
        </w:rPr>
        <w:t xml:space="preserve"> </w:t>
      </w:r>
      <w:r w:rsidRPr="0009708F">
        <w:rPr>
          <w:i/>
          <w:iCs/>
        </w:rPr>
        <w:t>with</w:t>
      </w:r>
      <w:r w:rsidR="008243CA" w:rsidRPr="0009708F">
        <w:rPr>
          <w:i/>
          <w:iCs/>
        </w:rPr>
        <w:t xml:space="preserve"> </w:t>
      </w:r>
      <w:r w:rsidRPr="0009708F">
        <w:rPr>
          <w:i/>
          <w:iCs/>
        </w:rPr>
        <w:t>international</w:t>
      </w:r>
      <w:r w:rsidR="008243CA" w:rsidRPr="0009708F">
        <w:rPr>
          <w:i/>
          <w:iCs/>
        </w:rPr>
        <w:t xml:space="preserve"> </w:t>
      </w:r>
      <w:r w:rsidRPr="0009708F">
        <w:rPr>
          <w:i/>
          <w:iCs/>
        </w:rPr>
        <w:t>standards</w:t>
      </w:r>
      <w:r w:rsidR="008243CA" w:rsidRPr="0009708F">
        <w:rPr>
          <w:i/>
          <w:iCs/>
        </w:rPr>
        <w:t xml:space="preserve"> </w:t>
      </w:r>
      <w:r w:rsidRPr="0009708F">
        <w:rPr>
          <w:i/>
          <w:iCs/>
        </w:rPr>
        <w:t>in</w:t>
      </w:r>
      <w:r w:rsidR="008243CA" w:rsidRPr="0009708F">
        <w:rPr>
          <w:i/>
          <w:iCs/>
        </w:rPr>
        <w:t xml:space="preserve"> </w:t>
      </w:r>
      <w:r w:rsidRPr="0009708F">
        <w:rPr>
          <w:i/>
          <w:iCs/>
        </w:rPr>
        <w:t>this</w:t>
      </w:r>
      <w:r w:rsidR="008243CA" w:rsidRPr="0009708F">
        <w:rPr>
          <w:i/>
          <w:iCs/>
        </w:rPr>
        <w:t xml:space="preserve"> </w:t>
      </w:r>
      <w:r w:rsidRPr="0009708F">
        <w:rPr>
          <w:i/>
          <w:iCs/>
        </w:rPr>
        <w:t>area,</w:t>
      </w:r>
      <w:r w:rsidR="008243CA" w:rsidRPr="0009708F">
        <w:rPr>
          <w:i/>
          <w:iCs/>
        </w:rPr>
        <w:t xml:space="preserve"> </w:t>
      </w:r>
      <w:r w:rsidRPr="0009708F">
        <w:rPr>
          <w:i/>
          <w:iCs/>
        </w:rPr>
        <w:t>in</w:t>
      </w:r>
      <w:r w:rsidR="008243CA" w:rsidRPr="0009708F">
        <w:rPr>
          <w:i/>
          <w:iCs/>
        </w:rPr>
        <w:t xml:space="preserve"> </w:t>
      </w:r>
      <w:r w:rsidRPr="0009708F">
        <w:rPr>
          <w:i/>
          <w:iCs/>
        </w:rPr>
        <w:t>the</w:t>
      </w:r>
      <w:r w:rsidR="008243CA" w:rsidRPr="0009708F">
        <w:rPr>
          <w:i/>
          <w:iCs/>
        </w:rPr>
        <w:t xml:space="preserve"> </w:t>
      </w:r>
      <w:r w:rsidRPr="0009708F">
        <w:rPr>
          <w:i/>
          <w:iCs/>
        </w:rPr>
        <w:t>same</w:t>
      </w:r>
      <w:r w:rsidR="008243CA" w:rsidRPr="0009708F">
        <w:rPr>
          <w:i/>
          <w:iCs/>
        </w:rPr>
        <w:t xml:space="preserve"> </w:t>
      </w:r>
      <w:r w:rsidRPr="0009708F">
        <w:rPr>
          <w:i/>
          <w:iCs/>
        </w:rPr>
        <w:t>manner</w:t>
      </w:r>
      <w:r w:rsidR="008243CA" w:rsidRPr="0009708F">
        <w:rPr>
          <w:i/>
          <w:iCs/>
        </w:rPr>
        <w:t xml:space="preserve"> </w:t>
      </w:r>
      <w:r w:rsidRPr="0009708F">
        <w:rPr>
          <w:i/>
          <w:iCs/>
        </w:rPr>
        <w:t>that</w:t>
      </w:r>
      <w:r w:rsidR="008243CA" w:rsidRPr="0009708F">
        <w:rPr>
          <w:i/>
          <w:iCs/>
        </w:rPr>
        <w:t xml:space="preserve"> </w:t>
      </w:r>
      <w:r w:rsidRPr="0009708F">
        <w:rPr>
          <w:i/>
          <w:iCs/>
        </w:rPr>
        <w:t>other</w:t>
      </w:r>
      <w:r w:rsidR="008243CA" w:rsidRPr="0009708F">
        <w:rPr>
          <w:i/>
          <w:iCs/>
        </w:rPr>
        <w:t xml:space="preserve"> </w:t>
      </w:r>
      <w:r w:rsidRPr="0009708F">
        <w:rPr>
          <w:i/>
          <w:iCs/>
        </w:rPr>
        <w:t>specific</w:t>
      </w:r>
      <w:r w:rsidR="008243CA" w:rsidRPr="0009708F">
        <w:rPr>
          <w:i/>
          <w:iCs/>
        </w:rPr>
        <w:t xml:space="preserve"> </w:t>
      </w:r>
      <w:r w:rsidRPr="0009708F">
        <w:rPr>
          <w:i/>
          <w:iCs/>
        </w:rPr>
        <w:t>groups</w:t>
      </w:r>
      <w:r w:rsidR="008243CA" w:rsidRPr="0009708F">
        <w:rPr>
          <w:i/>
          <w:iCs/>
        </w:rPr>
        <w:t xml:space="preserve"> </w:t>
      </w:r>
      <w:r w:rsidRPr="0009708F">
        <w:rPr>
          <w:i/>
          <w:iCs/>
        </w:rPr>
        <w:t>of</w:t>
      </w:r>
      <w:r w:rsidR="008243CA" w:rsidRPr="0009708F">
        <w:rPr>
          <w:i/>
          <w:iCs/>
        </w:rPr>
        <w:t xml:space="preserve"> </w:t>
      </w:r>
      <w:r w:rsidRPr="0009708F">
        <w:rPr>
          <w:i/>
          <w:iCs/>
        </w:rPr>
        <w:t>detainees</w:t>
      </w:r>
      <w:r w:rsidR="008243CA" w:rsidRPr="0009708F">
        <w:rPr>
          <w:i/>
          <w:iCs/>
        </w:rPr>
        <w:t xml:space="preserve"> </w:t>
      </w:r>
      <w:r w:rsidRPr="0009708F">
        <w:rPr>
          <w:i/>
          <w:iCs/>
        </w:rPr>
        <w:t>are</w:t>
      </w:r>
      <w:r w:rsidR="008243CA" w:rsidRPr="0009708F">
        <w:rPr>
          <w:i/>
          <w:iCs/>
        </w:rPr>
        <w:t xml:space="preserve"> </w:t>
      </w:r>
      <w:r w:rsidRPr="0009708F">
        <w:rPr>
          <w:i/>
          <w:iCs/>
        </w:rPr>
        <w:t>allowed</w:t>
      </w:r>
      <w:r w:rsidR="008243CA" w:rsidRPr="0009708F">
        <w:rPr>
          <w:i/>
          <w:iCs/>
        </w:rPr>
        <w:t xml:space="preserve"> </w:t>
      </w:r>
      <w:r w:rsidRPr="0009708F">
        <w:rPr>
          <w:i/>
          <w:iCs/>
        </w:rPr>
        <w:t>to</w:t>
      </w:r>
      <w:r w:rsidR="008243CA" w:rsidRPr="0009708F">
        <w:rPr>
          <w:i/>
          <w:iCs/>
        </w:rPr>
        <w:t xml:space="preserve"> </w:t>
      </w:r>
      <w:r w:rsidRPr="0009708F">
        <w:rPr>
          <w:i/>
          <w:iCs/>
        </w:rPr>
        <w:t>practice</w:t>
      </w:r>
      <w:r w:rsidR="008243CA" w:rsidRPr="0009708F">
        <w:rPr>
          <w:i/>
          <w:iCs/>
        </w:rPr>
        <w:t xml:space="preserve"> </w:t>
      </w:r>
      <w:r w:rsidRPr="0009708F">
        <w:rPr>
          <w:i/>
          <w:iCs/>
        </w:rPr>
        <w:t>their</w:t>
      </w:r>
      <w:r w:rsidR="008243CA" w:rsidRPr="0009708F">
        <w:rPr>
          <w:i/>
          <w:iCs/>
        </w:rPr>
        <w:t xml:space="preserve"> </w:t>
      </w:r>
      <w:r w:rsidRPr="0009708F">
        <w:rPr>
          <w:i/>
          <w:iCs/>
        </w:rPr>
        <w:t>religions</w:t>
      </w:r>
      <w:r w:rsidR="008243CA" w:rsidRPr="0009708F">
        <w:rPr>
          <w:i/>
          <w:iCs/>
        </w:rPr>
        <w:t xml:space="preserve"> </w:t>
      </w:r>
      <w:r w:rsidRPr="0009708F">
        <w:rPr>
          <w:i/>
          <w:iCs/>
        </w:rPr>
        <w:t>freely.</w:t>
      </w:r>
    </w:p>
    <w:p w:rsidR="003F7D03" w:rsidRPr="00E62FE6" w:rsidRDefault="003F7D03" w:rsidP="000C6D98">
      <w:pPr>
        <w:pStyle w:val="SingleTxtG"/>
      </w:pPr>
      <w:r w:rsidRPr="00E62FE6">
        <w:t>165.</w:t>
      </w:r>
      <w:r w:rsidRPr="00E62FE6">
        <w:tab/>
        <w:t>The</w:t>
      </w:r>
      <w:r w:rsidR="008243CA">
        <w:t xml:space="preserve"> </w:t>
      </w:r>
      <w:r w:rsidRPr="00E62FE6">
        <w:t>Prison</w:t>
      </w:r>
      <w:r w:rsidR="008243CA">
        <w:t xml:space="preserve"> </w:t>
      </w:r>
      <w:r w:rsidRPr="00E62FE6">
        <w:t>Service</w:t>
      </w:r>
      <w:r w:rsidR="008243CA">
        <w:t xml:space="preserve"> </w:t>
      </w:r>
      <w:r w:rsidRPr="00E62FE6">
        <w:t>has</w:t>
      </w:r>
      <w:r w:rsidR="008243CA">
        <w:t xml:space="preserve"> </w:t>
      </w:r>
      <w:r w:rsidRPr="00E62FE6">
        <w:t>entered</w:t>
      </w:r>
      <w:r w:rsidR="008243CA">
        <w:t xml:space="preserve"> </w:t>
      </w:r>
      <w:r w:rsidRPr="00E62FE6">
        <w:t>into</w:t>
      </w:r>
      <w:r w:rsidR="008243CA">
        <w:t xml:space="preserve"> </w:t>
      </w:r>
      <w:r w:rsidRPr="00E62FE6">
        <w:t>a</w:t>
      </w:r>
      <w:r w:rsidR="008243CA">
        <w:t xml:space="preserve"> </w:t>
      </w:r>
      <w:r w:rsidRPr="00E62FE6">
        <w:t>cooperation</w:t>
      </w:r>
      <w:r w:rsidR="008243CA">
        <w:t xml:space="preserve"> </w:t>
      </w:r>
      <w:r w:rsidRPr="00E62FE6">
        <w:t>agreement</w:t>
      </w:r>
      <w:r w:rsidR="008243CA">
        <w:t xml:space="preserve"> </w:t>
      </w:r>
      <w:r w:rsidRPr="00E62FE6">
        <w:t>with</w:t>
      </w:r>
      <w:r w:rsidR="008243CA">
        <w:t xml:space="preserve"> </w:t>
      </w:r>
      <w:r w:rsidRPr="00E62FE6">
        <w:t>the</w:t>
      </w:r>
      <w:r w:rsidR="008243CA">
        <w:t xml:space="preserve"> </w:t>
      </w:r>
      <w:r w:rsidRPr="00E62FE6">
        <w:t>Catholic</w:t>
      </w:r>
      <w:r w:rsidR="008243CA">
        <w:t xml:space="preserve"> </w:t>
      </w:r>
      <w:r w:rsidRPr="00E62FE6">
        <w:t>University</w:t>
      </w:r>
      <w:r w:rsidR="008243CA">
        <w:t xml:space="preserve"> </w:t>
      </w:r>
      <w:r w:rsidRPr="00E62FE6">
        <w:t>of</w:t>
      </w:r>
      <w:r w:rsidR="008243CA">
        <w:t xml:space="preserve"> </w:t>
      </w:r>
      <w:r w:rsidRPr="00E62FE6">
        <w:t>Temuco</w:t>
      </w:r>
      <w:r w:rsidR="008243CA">
        <w:t xml:space="preserve"> </w:t>
      </w:r>
      <w:r w:rsidRPr="00E62FE6">
        <w:t>for</w:t>
      </w:r>
      <w:r w:rsidR="008243CA">
        <w:t xml:space="preserve"> </w:t>
      </w:r>
      <w:r w:rsidRPr="00E62FE6">
        <w:t>the</w:t>
      </w:r>
      <w:r w:rsidR="008243CA">
        <w:t xml:space="preserve"> </w:t>
      </w:r>
      <w:r w:rsidRPr="00E62FE6">
        <w:t>provision</w:t>
      </w:r>
      <w:r w:rsidR="008243CA">
        <w:t xml:space="preserve"> </w:t>
      </w:r>
      <w:r w:rsidRPr="00E62FE6">
        <w:t>of</w:t>
      </w:r>
      <w:r w:rsidR="008243CA">
        <w:t xml:space="preserve"> </w:t>
      </w:r>
      <w:proofErr w:type="spellStart"/>
      <w:r w:rsidRPr="00E62FE6">
        <w:t>Mapuche</w:t>
      </w:r>
      <w:proofErr w:type="spellEnd"/>
      <w:r w:rsidR="008243CA">
        <w:t xml:space="preserve"> </w:t>
      </w:r>
      <w:r w:rsidRPr="00E62FE6">
        <w:t>medicine</w:t>
      </w:r>
      <w:r w:rsidR="008243CA">
        <w:t xml:space="preserve"> </w:t>
      </w:r>
      <w:r w:rsidRPr="00E62FE6">
        <w:t>kits</w:t>
      </w:r>
      <w:r w:rsidR="008243CA">
        <w:t xml:space="preserve"> </w:t>
      </w:r>
      <w:r w:rsidRPr="00E62FE6">
        <w:t>to</w:t>
      </w:r>
      <w:r w:rsidR="008243CA">
        <w:t xml:space="preserve"> </w:t>
      </w:r>
      <w:r w:rsidRPr="00E62FE6">
        <w:t>correctional</w:t>
      </w:r>
      <w:r w:rsidR="008243CA">
        <w:t xml:space="preserve"> </w:t>
      </w:r>
      <w:r w:rsidRPr="00E62FE6">
        <w:t>facilities</w:t>
      </w:r>
      <w:r w:rsidR="008243CA">
        <w:t xml:space="preserve"> </w:t>
      </w:r>
      <w:r w:rsidRPr="00E62FE6">
        <w:t>in</w:t>
      </w:r>
      <w:r w:rsidR="008243CA">
        <w:t xml:space="preserve"> </w:t>
      </w:r>
      <w:r w:rsidRPr="00E62FE6">
        <w:t>the</w:t>
      </w:r>
      <w:r w:rsidR="008243CA">
        <w:t xml:space="preserve"> </w:t>
      </w:r>
      <w:r w:rsidRPr="00E62FE6">
        <w:t>Araucanía</w:t>
      </w:r>
      <w:r w:rsidR="008243CA">
        <w:t xml:space="preserve"> </w:t>
      </w:r>
      <w:r w:rsidRPr="00E62FE6">
        <w:t>Region.</w:t>
      </w:r>
      <w:r w:rsidR="008243CA">
        <w:t xml:space="preserve"> </w:t>
      </w:r>
      <w:r w:rsidRPr="00E62FE6">
        <w:t>These</w:t>
      </w:r>
      <w:r w:rsidR="008243CA">
        <w:t xml:space="preserve"> </w:t>
      </w:r>
      <w:r w:rsidRPr="00E62FE6">
        <w:t>medicine</w:t>
      </w:r>
      <w:r w:rsidR="008243CA">
        <w:t xml:space="preserve"> </w:t>
      </w:r>
      <w:r w:rsidRPr="00E62FE6">
        <w:t>kits,</w:t>
      </w:r>
      <w:r w:rsidR="008243CA">
        <w:t xml:space="preserve"> </w:t>
      </w:r>
      <w:r w:rsidRPr="00E62FE6">
        <w:t>which</w:t>
      </w:r>
      <w:r w:rsidR="008243CA">
        <w:t xml:space="preserve"> </w:t>
      </w:r>
      <w:r w:rsidRPr="00E62FE6">
        <w:t>are</w:t>
      </w:r>
      <w:r w:rsidR="008243CA">
        <w:t xml:space="preserve"> </w:t>
      </w:r>
      <w:r w:rsidRPr="00E62FE6">
        <w:t>already</w:t>
      </w:r>
      <w:r w:rsidR="008243CA">
        <w:t xml:space="preserve"> </w:t>
      </w:r>
      <w:r w:rsidRPr="00E62FE6">
        <w:t>in</w:t>
      </w:r>
      <w:r w:rsidR="008243CA">
        <w:t xml:space="preserve"> </w:t>
      </w:r>
      <w:r w:rsidRPr="00E62FE6">
        <w:t>use</w:t>
      </w:r>
      <w:r w:rsidR="008243CA">
        <w:t xml:space="preserve"> </w:t>
      </w:r>
      <w:r w:rsidRPr="00E62FE6">
        <w:t>at</w:t>
      </w:r>
      <w:r w:rsidR="008243CA">
        <w:t xml:space="preserve"> </w:t>
      </w:r>
      <w:r w:rsidRPr="00E62FE6">
        <w:t>the</w:t>
      </w:r>
      <w:r w:rsidR="008243CA">
        <w:t xml:space="preserve"> </w:t>
      </w:r>
      <w:r w:rsidRPr="00E62FE6">
        <w:t>Nueva</w:t>
      </w:r>
      <w:r w:rsidR="008243CA">
        <w:t xml:space="preserve"> </w:t>
      </w:r>
      <w:r w:rsidRPr="00E62FE6">
        <w:t>Imperial</w:t>
      </w:r>
      <w:r w:rsidR="008243CA">
        <w:t xml:space="preserve"> </w:t>
      </w:r>
      <w:r w:rsidRPr="00E62FE6">
        <w:t>and</w:t>
      </w:r>
      <w:r w:rsidR="008243CA">
        <w:t xml:space="preserve"> </w:t>
      </w:r>
      <w:proofErr w:type="spellStart"/>
      <w:r w:rsidRPr="00E62FE6">
        <w:t>Collipulli</w:t>
      </w:r>
      <w:proofErr w:type="spellEnd"/>
      <w:r w:rsidR="008243CA">
        <w:t xml:space="preserve"> </w:t>
      </w:r>
      <w:r w:rsidRPr="00E62FE6">
        <w:t>prisons,</w:t>
      </w:r>
      <w:r w:rsidR="008243CA">
        <w:t xml:space="preserve"> </w:t>
      </w:r>
      <w:r w:rsidRPr="00E62FE6">
        <w:t>are</w:t>
      </w:r>
      <w:r w:rsidR="008243CA">
        <w:t xml:space="preserve"> </w:t>
      </w:r>
      <w:r w:rsidRPr="00E62FE6">
        <w:t>intended</w:t>
      </w:r>
      <w:r w:rsidR="008243CA">
        <w:t xml:space="preserve"> </w:t>
      </w:r>
      <w:r w:rsidRPr="00E62FE6">
        <w:t>to</w:t>
      </w:r>
      <w:r w:rsidR="008243CA">
        <w:t xml:space="preserve"> </w:t>
      </w:r>
      <w:r w:rsidRPr="00E62FE6">
        <w:t>provide</w:t>
      </w:r>
      <w:r w:rsidR="008243CA">
        <w:t xml:space="preserve"> </w:t>
      </w:r>
      <w:r w:rsidRPr="00E62FE6">
        <w:t>access</w:t>
      </w:r>
      <w:r w:rsidR="008243CA">
        <w:t xml:space="preserve"> </w:t>
      </w:r>
      <w:r w:rsidRPr="00E62FE6">
        <w:t>to</w:t>
      </w:r>
      <w:r w:rsidR="008243CA">
        <w:t xml:space="preserve"> </w:t>
      </w:r>
      <w:r w:rsidRPr="00E62FE6">
        <w:t>health</w:t>
      </w:r>
      <w:r w:rsidR="008243CA">
        <w:t xml:space="preserve"> </w:t>
      </w:r>
      <w:r w:rsidRPr="00E62FE6">
        <w:t>from</w:t>
      </w:r>
      <w:r w:rsidR="008243CA">
        <w:t xml:space="preserve"> </w:t>
      </w:r>
      <w:r w:rsidRPr="00E62FE6">
        <w:t>the</w:t>
      </w:r>
      <w:r w:rsidR="008243CA">
        <w:t xml:space="preserve"> </w:t>
      </w:r>
      <w:r w:rsidRPr="00E62FE6">
        <w:t>perspective</w:t>
      </w:r>
      <w:r w:rsidR="008243CA">
        <w:t xml:space="preserve"> </w:t>
      </w:r>
      <w:r w:rsidRPr="00E62FE6">
        <w:t>of</w:t>
      </w:r>
      <w:r w:rsidR="008243CA">
        <w:t xml:space="preserve"> </w:t>
      </w:r>
      <w:r w:rsidRPr="00E62FE6">
        <w:t>the</w:t>
      </w:r>
      <w:r w:rsidR="008243CA">
        <w:t xml:space="preserve"> </w:t>
      </w:r>
      <w:proofErr w:type="spellStart"/>
      <w:r w:rsidRPr="00E62FE6">
        <w:t>Mapuche</w:t>
      </w:r>
      <w:proofErr w:type="spellEnd"/>
      <w:r w:rsidR="008243CA">
        <w:t xml:space="preserve"> </w:t>
      </w:r>
      <w:r w:rsidRPr="00E62FE6">
        <w:t>worldview</w:t>
      </w:r>
      <w:r w:rsidR="008243CA">
        <w:t xml:space="preserve"> </w:t>
      </w:r>
      <w:r w:rsidRPr="00E62FE6">
        <w:t>and</w:t>
      </w:r>
      <w:r w:rsidR="008243CA">
        <w:t xml:space="preserve"> </w:t>
      </w:r>
      <w:r w:rsidRPr="00E62FE6">
        <w:t>to</w:t>
      </w:r>
      <w:r w:rsidR="008243CA">
        <w:t xml:space="preserve"> </w:t>
      </w:r>
      <w:r w:rsidRPr="00E62FE6">
        <w:t>provide</w:t>
      </w:r>
      <w:r w:rsidR="008243CA">
        <w:t xml:space="preserve"> </w:t>
      </w:r>
      <w:r w:rsidRPr="00E62FE6">
        <w:t>guidance</w:t>
      </w:r>
      <w:r w:rsidR="008243CA">
        <w:t xml:space="preserve"> </w:t>
      </w:r>
      <w:r w:rsidRPr="00E62FE6">
        <w:t>and</w:t>
      </w:r>
      <w:r w:rsidR="008243CA">
        <w:t xml:space="preserve"> </w:t>
      </w:r>
      <w:r w:rsidRPr="00E62FE6">
        <w:t>training</w:t>
      </w:r>
      <w:r w:rsidR="008243CA">
        <w:t xml:space="preserve"> </w:t>
      </w:r>
      <w:r w:rsidRPr="00E62FE6">
        <w:t>in</w:t>
      </w:r>
      <w:r w:rsidR="008243CA">
        <w:t xml:space="preserve"> </w:t>
      </w:r>
      <w:r w:rsidRPr="00E62FE6">
        <w:t>ancestral</w:t>
      </w:r>
      <w:r w:rsidR="008243CA">
        <w:t xml:space="preserve"> </w:t>
      </w:r>
      <w:r w:rsidRPr="00E62FE6">
        <w:t>healing</w:t>
      </w:r>
      <w:r w:rsidR="008243CA">
        <w:t xml:space="preserve"> </w:t>
      </w:r>
      <w:r w:rsidRPr="00E62FE6">
        <w:t>methods</w:t>
      </w:r>
      <w:r w:rsidR="008243CA">
        <w:t xml:space="preserve"> </w:t>
      </w:r>
      <w:r w:rsidRPr="00E62FE6">
        <w:t>for</w:t>
      </w:r>
      <w:r w:rsidR="008243CA">
        <w:t xml:space="preserve"> </w:t>
      </w:r>
      <w:r w:rsidRPr="00E62FE6">
        <w:t>detainees</w:t>
      </w:r>
      <w:r w:rsidR="008243CA">
        <w:t xml:space="preserve"> </w:t>
      </w:r>
      <w:r w:rsidRPr="00E62FE6">
        <w:t>and</w:t>
      </w:r>
      <w:r w:rsidR="008243CA">
        <w:t xml:space="preserve"> </w:t>
      </w:r>
      <w:r w:rsidRPr="00E62FE6">
        <w:t>Prison</w:t>
      </w:r>
      <w:r w:rsidR="008243CA">
        <w:t xml:space="preserve"> </w:t>
      </w:r>
      <w:r w:rsidRPr="00E62FE6">
        <w:t>Service</w:t>
      </w:r>
      <w:r w:rsidR="008243CA">
        <w:t xml:space="preserve"> </w:t>
      </w:r>
      <w:r w:rsidRPr="00E62FE6">
        <w:t>personnel.</w:t>
      </w:r>
      <w:r w:rsidR="008243CA">
        <w:t xml:space="preserve"> </w:t>
      </w:r>
      <w:r w:rsidRPr="00E62FE6">
        <w:t>This</w:t>
      </w:r>
      <w:r w:rsidR="008243CA">
        <w:t xml:space="preserve"> </w:t>
      </w:r>
      <w:r w:rsidRPr="00E62FE6">
        <w:t>initiative</w:t>
      </w:r>
      <w:r w:rsidR="008243CA">
        <w:t xml:space="preserve"> </w:t>
      </w:r>
      <w:r w:rsidRPr="00E62FE6">
        <w:t>is</w:t>
      </w:r>
      <w:r w:rsidR="008243CA">
        <w:t xml:space="preserve"> </w:t>
      </w:r>
      <w:r w:rsidRPr="00E62FE6">
        <w:t>complementary</w:t>
      </w:r>
      <w:r w:rsidR="008243CA">
        <w:t xml:space="preserve"> </w:t>
      </w:r>
      <w:r w:rsidRPr="00E62FE6">
        <w:t>to</w:t>
      </w:r>
      <w:r w:rsidR="008243CA">
        <w:t xml:space="preserve"> </w:t>
      </w:r>
      <w:proofErr w:type="spellStart"/>
      <w:r w:rsidRPr="00E62FE6">
        <w:t>intersectoral</w:t>
      </w:r>
      <w:proofErr w:type="spellEnd"/>
      <w:r w:rsidR="008243CA">
        <w:t xml:space="preserve"> </w:t>
      </w:r>
      <w:r w:rsidRPr="00E62FE6">
        <w:t>health</w:t>
      </w:r>
      <w:r w:rsidR="008243CA">
        <w:t xml:space="preserve"> </w:t>
      </w:r>
      <w:r w:rsidRPr="00E62FE6">
        <w:t>services;</w:t>
      </w:r>
      <w:r w:rsidR="008243CA">
        <w:t xml:space="preserve"> </w:t>
      </w:r>
      <w:r w:rsidRPr="00E62FE6">
        <w:t>once</w:t>
      </w:r>
      <w:r w:rsidR="008243CA">
        <w:t xml:space="preserve"> </w:t>
      </w:r>
      <w:r w:rsidRPr="00E62FE6">
        <w:t>a</w:t>
      </w:r>
      <w:r w:rsidR="008243CA">
        <w:t xml:space="preserve"> </w:t>
      </w:r>
      <w:r w:rsidRPr="00E62FE6">
        <w:t>primary</w:t>
      </w:r>
      <w:r w:rsidR="008243CA">
        <w:t xml:space="preserve"> </w:t>
      </w:r>
      <w:r w:rsidRPr="00E62FE6">
        <w:t>health</w:t>
      </w:r>
      <w:r w:rsidR="008243CA">
        <w:t xml:space="preserve"> </w:t>
      </w:r>
      <w:r w:rsidRPr="00E62FE6">
        <w:t>assessment</w:t>
      </w:r>
      <w:r w:rsidR="008243CA">
        <w:t xml:space="preserve"> </w:t>
      </w:r>
      <w:r w:rsidRPr="00E62FE6">
        <w:t>is</w:t>
      </w:r>
      <w:r w:rsidR="008243CA">
        <w:t xml:space="preserve"> </w:t>
      </w:r>
      <w:r w:rsidRPr="00E62FE6">
        <w:t>carried</w:t>
      </w:r>
      <w:r w:rsidR="008243CA">
        <w:t xml:space="preserve"> </w:t>
      </w:r>
      <w:r w:rsidRPr="00E62FE6">
        <w:t>out</w:t>
      </w:r>
      <w:r w:rsidR="008243CA">
        <w:t xml:space="preserve"> </w:t>
      </w:r>
      <w:r w:rsidRPr="00E62FE6">
        <w:t>at</w:t>
      </w:r>
      <w:r w:rsidR="008243CA">
        <w:t xml:space="preserve"> </w:t>
      </w:r>
      <w:r w:rsidRPr="00E62FE6">
        <w:t>the</w:t>
      </w:r>
      <w:r w:rsidR="008243CA">
        <w:t xml:space="preserve"> </w:t>
      </w:r>
      <w:r w:rsidRPr="00E62FE6">
        <w:t>detainee</w:t>
      </w:r>
      <w:r w:rsidR="00116F0B">
        <w:t>’</w:t>
      </w:r>
      <w:r w:rsidRPr="00E62FE6">
        <w:t>s</w:t>
      </w:r>
      <w:r w:rsidR="008243CA">
        <w:t xml:space="preserve"> </w:t>
      </w:r>
      <w:r w:rsidRPr="00E62FE6">
        <w:t>request,</w:t>
      </w:r>
      <w:r w:rsidR="008243CA">
        <w:t xml:space="preserve"> </w:t>
      </w:r>
      <w:r w:rsidRPr="00E62FE6">
        <w:t>he</w:t>
      </w:r>
      <w:r w:rsidR="008243CA">
        <w:t xml:space="preserve"> </w:t>
      </w:r>
      <w:r w:rsidRPr="00E62FE6">
        <w:t>or</w:t>
      </w:r>
      <w:r w:rsidR="008243CA">
        <w:t xml:space="preserve"> </w:t>
      </w:r>
      <w:r w:rsidRPr="00E62FE6">
        <w:t>she</w:t>
      </w:r>
      <w:r w:rsidR="008243CA">
        <w:t xml:space="preserve"> </w:t>
      </w:r>
      <w:r w:rsidRPr="00E62FE6">
        <w:t>is</w:t>
      </w:r>
      <w:r w:rsidR="008243CA">
        <w:t xml:space="preserve"> </w:t>
      </w:r>
      <w:r w:rsidRPr="00E62FE6">
        <w:t>then</w:t>
      </w:r>
      <w:r w:rsidR="008243CA">
        <w:t xml:space="preserve"> </w:t>
      </w:r>
      <w:r w:rsidRPr="00E62FE6">
        <w:t>referred</w:t>
      </w:r>
      <w:r w:rsidR="008243CA">
        <w:t xml:space="preserve"> </w:t>
      </w:r>
      <w:r w:rsidRPr="00E62FE6">
        <w:t>to</w:t>
      </w:r>
      <w:r w:rsidR="008243CA">
        <w:t xml:space="preserve"> </w:t>
      </w:r>
      <w:r w:rsidRPr="00E62FE6">
        <w:t>the</w:t>
      </w:r>
      <w:r w:rsidR="008243CA">
        <w:t xml:space="preserve"> </w:t>
      </w:r>
      <w:r w:rsidRPr="00E62FE6">
        <w:t>South</w:t>
      </w:r>
      <w:r w:rsidR="008243CA">
        <w:t xml:space="preserve"> </w:t>
      </w:r>
      <w:r w:rsidRPr="00E62FE6">
        <w:t>Araucanía</w:t>
      </w:r>
      <w:r w:rsidR="008243CA">
        <w:t xml:space="preserve"> </w:t>
      </w:r>
      <w:r w:rsidRPr="00E62FE6">
        <w:t>or</w:t>
      </w:r>
      <w:r w:rsidR="008243CA">
        <w:t xml:space="preserve"> </w:t>
      </w:r>
      <w:r w:rsidRPr="00E62FE6">
        <w:t>North</w:t>
      </w:r>
      <w:r w:rsidR="008243CA">
        <w:t xml:space="preserve"> </w:t>
      </w:r>
      <w:r w:rsidRPr="00E62FE6">
        <w:t>Araucanía</w:t>
      </w:r>
      <w:r w:rsidR="008243CA">
        <w:t xml:space="preserve"> </w:t>
      </w:r>
      <w:r w:rsidRPr="00E62FE6">
        <w:t>health</w:t>
      </w:r>
      <w:r w:rsidR="008243CA">
        <w:t xml:space="preserve"> </w:t>
      </w:r>
      <w:r w:rsidRPr="00E62FE6">
        <w:t>services,</w:t>
      </w:r>
      <w:r w:rsidR="008243CA">
        <w:t xml:space="preserve"> </w:t>
      </w:r>
      <w:r w:rsidRPr="00E62FE6">
        <w:t>which</w:t>
      </w:r>
      <w:r w:rsidR="008243CA">
        <w:t xml:space="preserve"> </w:t>
      </w:r>
      <w:r w:rsidRPr="00E62FE6">
        <w:t>implement</w:t>
      </w:r>
      <w:r w:rsidR="008243CA">
        <w:t xml:space="preserve"> </w:t>
      </w:r>
      <w:r w:rsidRPr="00E62FE6">
        <w:t>a</w:t>
      </w:r>
      <w:r w:rsidR="008243CA">
        <w:t xml:space="preserve"> </w:t>
      </w:r>
      <w:proofErr w:type="spellStart"/>
      <w:r w:rsidRPr="00E62FE6">
        <w:t>Mapuche</w:t>
      </w:r>
      <w:proofErr w:type="spellEnd"/>
      <w:r w:rsidR="008243CA">
        <w:t xml:space="preserve"> </w:t>
      </w:r>
      <w:r w:rsidRPr="00E62FE6">
        <w:t>health</w:t>
      </w:r>
      <w:r w:rsidR="008243CA">
        <w:t xml:space="preserve"> </w:t>
      </w:r>
      <w:r w:rsidRPr="00E62FE6">
        <w:t>programme</w:t>
      </w:r>
      <w:r w:rsidR="008243CA">
        <w:t xml:space="preserve"> </w:t>
      </w:r>
      <w:r w:rsidRPr="00E62FE6">
        <w:t>and</w:t>
      </w:r>
      <w:r w:rsidR="008243CA">
        <w:t xml:space="preserve"> </w:t>
      </w:r>
      <w:r w:rsidRPr="00E62FE6">
        <w:t>have</w:t>
      </w:r>
      <w:r w:rsidR="008243CA">
        <w:t xml:space="preserve"> </w:t>
      </w:r>
      <w:r w:rsidRPr="00E62FE6">
        <w:t>specialized</w:t>
      </w:r>
      <w:r w:rsidR="008243CA">
        <w:t xml:space="preserve"> </w:t>
      </w:r>
      <w:r w:rsidRPr="00E62FE6">
        <w:t>facilities</w:t>
      </w:r>
      <w:r w:rsidR="008243CA">
        <w:t xml:space="preserve"> </w:t>
      </w:r>
      <w:r w:rsidRPr="00E62FE6">
        <w:t>such</w:t>
      </w:r>
      <w:r w:rsidR="008243CA">
        <w:t xml:space="preserve"> </w:t>
      </w:r>
      <w:r w:rsidRPr="00E62FE6">
        <w:t>as</w:t>
      </w:r>
      <w:r w:rsidR="008243CA">
        <w:t xml:space="preserve"> </w:t>
      </w:r>
      <w:r w:rsidRPr="00E62FE6">
        <w:t>Nueva</w:t>
      </w:r>
      <w:r w:rsidR="008243CA">
        <w:t xml:space="preserve"> </w:t>
      </w:r>
      <w:r w:rsidRPr="00E62FE6">
        <w:t>Imperial</w:t>
      </w:r>
      <w:r w:rsidR="008243CA">
        <w:t xml:space="preserve"> </w:t>
      </w:r>
      <w:r w:rsidRPr="00E62FE6">
        <w:t>Intercultural</w:t>
      </w:r>
      <w:r w:rsidR="008243CA">
        <w:t xml:space="preserve"> </w:t>
      </w:r>
      <w:r w:rsidRPr="00E62FE6">
        <w:t>Hospital</w:t>
      </w:r>
      <w:r w:rsidR="008243CA">
        <w:t xml:space="preserve"> </w:t>
      </w:r>
      <w:r w:rsidRPr="00E62FE6">
        <w:t>and</w:t>
      </w:r>
      <w:r w:rsidR="008243CA">
        <w:t xml:space="preserve"> </w:t>
      </w:r>
      <w:proofErr w:type="spellStart"/>
      <w:r w:rsidRPr="00E62FE6">
        <w:t>Makewe</w:t>
      </w:r>
      <w:proofErr w:type="spellEnd"/>
      <w:r w:rsidR="008243CA">
        <w:t xml:space="preserve"> </w:t>
      </w:r>
      <w:r w:rsidRPr="00E62FE6">
        <w:t>Hospital,</w:t>
      </w:r>
      <w:r w:rsidR="008243CA">
        <w:t xml:space="preserve"> </w:t>
      </w:r>
      <w:r w:rsidRPr="00E62FE6">
        <w:t>both</w:t>
      </w:r>
      <w:r w:rsidR="008243CA">
        <w:t xml:space="preserve"> </w:t>
      </w:r>
      <w:r w:rsidRPr="00E62FE6">
        <w:t>of</w:t>
      </w:r>
      <w:r w:rsidR="008243CA">
        <w:t xml:space="preserve"> </w:t>
      </w:r>
      <w:r w:rsidRPr="00E62FE6">
        <w:t>which</w:t>
      </w:r>
      <w:r w:rsidR="008243CA">
        <w:t xml:space="preserve"> </w:t>
      </w:r>
      <w:r w:rsidRPr="00E62FE6">
        <w:t>treat</w:t>
      </w:r>
      <w:r w:rsidR="008243CA">
        <w:t xml:space="preserve"> </w:t>
      </w:r>
      <w:proofErr w:type="spellStart"/>
      <w:r w:rsidRPr="00E62FE6">
        <w:t>Mapuche</w:t>
      </w:r>
      <w:proofErr w:type="spellEnd"/>
      <w:r w:rsidR="008243CA">
        <w:t xml:space="preserve"> </w:t>
      </w:r>
      <w:r w:rsidRPr="00E62FE6">
        <w:t>prisoners.</w:t>
      </w:r>
      <w:r w:rsidR="008243CA">
        <w:t xml:space="preserve"> </w:t>
      </w:r>
      <w:r w:rsidRPr="00E62FE6">
        <w:t>These</w:t>
      </w:r>
      <w:r w:rsidR="008243CA">
        <w:t xml:space="preserve"> </w:t>
      </w:r>
      <w:r w:rsidRPr="00E62FE6">
        <w:t>actions</w:t>
      </w:r>
      <w:r w:rsidR="008243CA">
        <w:t xml:space="preserve"> </w:t>
      </w:r>
      <w:r w:rsidRPr="00E62FE6">
        <w:t>benefit</w:t>
      </w:r>
      <w:r w:rsidR="008243CA">
        <w:t xml:space="preserve"> </w:t>
      </w:r>
      <w:r w:rsidRPr="00E62FE6">
        <w:t>all</w:t>
      </w:r>
      <w:r w:rsidR="008243CA">
        <w:t xml:space="preserve"> </w:t>
      </w:r>
      <w:proofErr w:type="spellStart"/>
      <w:r w:rsidRPr="00E62FE6">
        <w:t>Mapuche</w:t>
      </w:r>
      <w:proofErr w:type="spellEnd"/>
      <w:r w:rsidR="008243CA">
        <w:t xml:space="preserve"> </w:t>
      </w:r>
      <w:r w:rsidRPr="00E62FE6">
        <w:t>detainees,</w:t>
      </w:r>
      <w:r w:rsidR="008243CA">
        <w:t xml:space="preserve"> </w:t>
      </w:r>
      <w:r w:rsidRPr="00E62FE6">
        <w:t>in</w:t>
      </w:r>
      <w:r w:rsidR="008243CA">
        <w:t xml:space="preserve"> </w:t>
      </w:r>
      <w:r w:rsidRPr="00E62FE6">
        <w:t>particular</w:t>
      </w:r>
      <w:r w:rsidR="008243CA">
        <w:t xml:space="preserve"> </w:t>
      </w:r>
      <w:r w:rsidRPr="00E62FE6">
        <w:t>the</w:t>
      </w:r>
      <w:r w:rsidR="008243CA">
        <w:t xml:space="preserve"> </w:t>
      </w:r>
      <w:r w:rsidRPr="00E62FE6">
        <w:t>inmates</w:t>
      </w:r>
      <w:r w:rsidR="008243CA">
        <w:t xml:space="preserve"> </w:t>
      </w:r>
      <w:r w:rsidRPr="00E62FE6">
        <w:t>of</w:t>
      </w:r>
      <w:r w:rsidR="008243CA">
        <w:t xml:space="preserve"> </w:t>
      </w:r>
      <w:r w:rsidRPr="00E62FE6">
        <w:t>correctional</w:t>
      </w:r>
      <w:r w:rsidR="008243CA">
        <w:t xml:space="preserve"> </w:t>
      </w:r>
      <w:r w:rsidRPr="00E62FE6">
        <w:t>facilities</w:t>
      </w:r>
      <w:r w:rsidR="008243CA">
        <w:t xml:space="preserve"> </w:t>
      </w:r>
      <w:r w:rsidRPr="00E62FE6">
        <w:t>with</w:t>
      </w:r>
      <w:r w:rsidR="008243CA">
        <w:t xml:space="preserve"> </w:t>
      </w:r>
      <w:r w:rsidRPr="00E62FE6">
        <w:t>large</w:t>
      </w:r>
      <w:r w:rsidR="008243CA">
        <w:t xml:space="preserve"> </w:t>
      </w:r>
      <w:proofErr w:type="spellStart"/>
      <w:r w:rsidRPr="00E62FE6">
        <w:t>Mapuche</w:t>
      </w:r>
      <w:proofErr w:type="spellEnd"/>
      <w:r w:rsidR="008243CA">
        <w:t xml:space="preserve"> </w:t>
      </w:r>
      <w:r w:rsidRPr="00E62FE6">
        <w:t>populations,</w:t>
      </w:r>
      <w:r w:rsidR="008243CA">
        <w:t xml:space="preserve"> </w:t>
      </w:r>
      <w:r w:rsidRPr="00E62FE6">
        <w:t>such</w:t>
      </w:r>
      <w:r w:rsidR="008243CA">
        <w:t xml:space="preserve"> </w:t>
      </w:r>
      <w:r w:rsidRPr="00E62FE6">
        <w:t>as</w:t>
      </w:r>
      <w:r w:rsidR="008243CA">
        <w:t xml:space="preserve"> </w:t>
      </w:r>
      <w:r w:rsidRPr="00E62FE6">
        <w:t>the</w:t>
      </w:r>
      <w:r w:rsidR="008243CA">
        <w:t xml:space="preserve"> </w:t>
      </w:r>
      <w:r w:rsidRPr="00E62FE6">
        <w:t>Nueva</w:t>
      </w:r>
      <w:r w:rsidR="008243CA">
        <w:t xml:space="preserve"> </w:t>
      </w:r>
      <w:r w:rsidRPr="00E62FE6">
        <w:t>Imperial</w:t>
      </w:r>
      <w:r w:rsidR="008243CA">
        <w:t xml:space="preserve"> </w:t>
      </w:r>
      <w:r w:rsidRPr="00E62FE6">
        <w:t>and</w:t>
      </w:r>
      <w:r w:rsidR="008243CA">
        <w:t xml:space="preserve"> </w:t>
      </w:r>
      <w:r w:rsidRPr="00E62FE6">
        <w:t>Temuco</w:t>
      </w:r>
      <w:r w:rsidR="008243CA">
        <w:t xml:space="preserve"> </w:t>
      </w:r>
      <w:r w:rsidRPr="00E62FE6">
        <w:t>prisons</w:t>
      </w:r>
      <w:r w:rsidR="008243CA">
        <w:t xml:space="preserve"> </w:t>
      </w:r>
      <w:r w:rsidRPr="00E62FE6">
        <w:t>and</w:t>
      </w:r>
      <w:r w:rsidR="008243CA">
        <w:t xml:space="preserve"> </w:t>
      </w:r>
      <w:r w:rsidRPr="00E62FE6">
        <w:t>the</w:t>
      </w:r>
      <w:r w:rsidR="008243CA">
        <w:t xml:space="preserve"> </w:t>
      </w:r>
      <w:proofErr w:type="spellStart"/>
      <w:r w:rsidRPr="00E62FE6">
        <w:t>Villarrica</w:t>
      </w:r>
      <w:proofErr w:type="spellEnd"/>
      <w:r w:rsidR="008243CA">
        <w:t xml:space="preserve"> </w:t>
      </w:r>
      <w:r w:rsidRPr="00E62FE6">
        <w:t>and</w:t>
      </w:r>
      <w:r w:rsidR="008243CA">
        <w:t xml:space="preserve"> </w:t>
      </w:r>
      <w:proofErr w:type="spellStart"/>
      <w:r w:rsidRPr="00E62FE6">
        <w:t>Angol</w:t>
      </w:r>
      <w:proofErr w:type="spellEnd"/>
      <w:r w:rsidR="008243CA">
        <w:t xml:space="preserve"> </w:t>
      </w:r>
      <w:proofErr w:type="spellStart"/>
      <w:r w:rsidRPr="00E62FE6">
        <w:t>pretrial</w:t>
      </w:r>
      <w:proofErr w:type="spellEnd"/>
      <w:r w:rsidR="008243CA">
        <w:t xml:space="preserve"> </w:t>
      </w:r>
      <w:r w:rsidRPr="00E62FE6">
        <w:t>detention</w:t>
      </w:r>
      <w:r w:rsidR="008243CA">
        <w:t xml:space="preserve"> </w:t>
      </w:r>
      <w:r w:rsidRPr="00E62FE6">
        <w:t>centres.</w:t>
      </w:r>
    </w:p>
    <w:p w:rsidR="003F7D03" w:rsidRPr="00E62FE6" w:rsidRDefault="003F7D03" w:rsidP="000C6D98">
      <w:pPr>
        <w:pStyle w:val="SingleTxtG"/>
      </w:pPr>
      <w:r w:rsidRPr="00E62FE6">
        <w:t>166.</w:t>
      </w:r>
      <w:r w:rsidRPr="00E62FE6">
        <w:tab/>
        <w:t>Furthermore,</w:t>
      </w:r>
      <w:r w:rsidR="008243CA">
        <w:t xml:space="preserve"> </w:t>
      </w:r>
      <w:r w:rsidRPr="00E62FE6">
        <w:t>an</w:t>
      </w:r>
      <w:r w:rsidR="008243CA">
        <w:t xml:space="preserve"> </w:t>
      </w:r>
      <w:r w:rsidRPr="00E62FE6">
        <w:t>agreement</w:t>
      </w:r>
      <w:r w:rsidR="008243CA">
        <w:t xml:space="preserve"> </w:t>
      </w:r>
      <w:r w:rsidRPr="00E62FE6">
        <w:t>is</w:t>
      </w:r>
      <w:r w:rsidR="008243CA">
        <w:t xml:space="preserve"> </w:t>
      </w:r>
      <w:r w:rsidRPr="00E62FE6">
        <w:t>being</w:t>
      </w:r>
      <w:r w:rsidR="008243CA">
        <w:t xml:space="preserve"> </w:t>
      </w:r>
      <w:r w:rsidRPr="00E62FE6">
        <w:t>drafted</w:t>
      </w:r>
      <w:r w:rsidR="008243CA">
        <w:t xml:space="preserve"> </w:t>
      </w:r>
      <w:r w:rsidRPr="00E62FE6">
        <w:t>with</w:t>
      </w:r>
      <w:r w:rsidR="008243CA">
        <w:t xml:space="preserve"> </w:t>
      </w:r>
      <w:r w:rsidRPr="00E62FE6">
        <w:t>the</w:t>
      </w:r>
      <w:r w:rsidR="008243CA">
        <w:t xml:space="preserve"> </w:t>
      </w:r>
      <w:proofErr w:type="spellStart"/>
      <w:r w:rsidRPr="00E62FE6">
        <w:t>Mapuche</w:t>
      </w:r>
      <w:proofErr w:type="spellEnd"/>
      <w:r w:rsidR="008243CA">
        <w:t xml:space="preserve"> </w:t>
      </w:r>
      <w:r w:rsidRPr="00E62FE6">
        <w:t>Language</w:t>
      </w:r>
      <w:r w:rsidR="008243CA">
        <w:t xml:space="preserve"> </w:t>
      </w:r>
      <w:r w:rsidRPr="00E62FE6">
        <w:t>Academy</w:t>
      </w:r>
      <w:r w:rsidR="008243CA">
        <w:t xml:space="preserve"> </w:t>
      </w:r>
      <w:r w:rsidRPr="00E62FE6">
        <w:t>whereby</w:t>
      </w:r>
      <w:r w:rsidR="008243CA">
        <w:t xml:space="preserve"> </w:t>
      </w:r>
      <w:r w:rsidRPr="00E62FE6">
        <w:t>training</w:t>
      </w:r>
      <w:r w:rsidR="008243CA">
        <w:t xml:space="preserve"> </w:t>
      </w:r>
      <w:r w:rsidRPr="00E62FE6">
        <w:t>in</w:t>
      </w:r>
      <w:r w:rsidR="008243CA">
        <w:t xml:space="preserve"> </w:t>
      </w:r>
      <w:proofErr w:type="spellStart"/>
      <w:r w:rsidRPr="00E62FE6">
        <w:t>Mapuche</w:t>
      </w:r>
      <w:proofErr w:type="spellEnd"/>
      <w:r w:rsidR="008243CA">
        <w:t xml:space="preserve"> </w:t>
      </w:r>
      <w:r w:rsidRPr="00E62FE6">
        <w:t>culture</w:t>
      </w:r>
      <w:r w:rsidR="008243CA">
        <w:t xml:space="preserve"> </w:t>
      </w:r>
      <w:r w:rsidRPr="00E62FE6">
        <w:t>and</w:t>
      </w:r>
      <w:r w:rsidR="008243CA">
        <w:t xml:space="preserve"> </w:t>
      </w:r>
      <w:r w:rsidRPr="00E62FE6">
        <w:t>medicine</w:t>
      </w:r>
      <w:r w:rsidR="008243CA">
        <w:t xml:space="preserve"> </w:t>
      </w:r>
      <w:r w:rsidRPr="00E62FE6">
        <w:t>in</w:t>
      </w:r>
      <w:r w:rsidR="008243CA">
        <w:t xml:space="preserve"> </w:t>
      </w:r>
      <w:r w:rsidRPr="00E62FE6">
        <w:t>the</w:t>
      </w:r>
      <w:r w:rsidR="008243CA">
        <w:t xml:space="preserve"> </w:t>
      </w:r>
      <w:r w:rsidRPr="00E62FE6">
        <w:t>urban</w:t>
      </w:r>
      <w:r w:rsidR="008243CA">
        <w:t xml:space="preserve"> </w:t>
      </w:r>
      <w:r w:rsidRPr="00E62FE6">
        <w:t>context</w:t>
      </w:r>
      <w:r w:rsidR="008243CA">
        <w:t xml:space="preserve"> </w:t>
      </w:r>
      <w:r w:rsidRPr="00E62FE6">
        <w:t>will</w:t>
      </w:r>
      <w:r w:rsidR="008243CA">
        <w:t xml:space="preserve"> </w:t>
      </w:r>
      <w:r w:rsidRPr="00E62FE6">
        <w:t>be</w:t>
      </w:r>
      <w:r w:rsidR="008243CA">
        <w:t xml:space="preserve"> </w:t>
      </w:r>
      <w:r w:rsidRPr="00E62FE6">
        <w:t>provided</w:t>
      </w:r>
      <w:r w:rsidR="008243CA">
        <w:t xml:space="preserve"> </w:t>
      </w:r>
      <w:r w:rsidRPr="00E62FE6">
        <w:t>to</w:t>
      </w:r>
      <w:r w:rsidR="008243CA">
        <w:t xml:space="preserve"> </w:t>
      </w:r>
      <w:r w:rsidRPr="00E62FE6">
        <w:t>officials</w:t>
      </w:r>
      <w:r w:rsidR="008243CA">
        <w:t xml:space="preserve"> </w:t>
      </w:r>
      <w:r w:rsidRPr="00E62FE6">
        <w:t>and</w:t>
      </w:r>
      <w:r w:rsidR="008243CA">
        <w:t xml:space="preserve"> </w:t>
      </w:r>
      <w:r w:rsidRPr="00E62FE6">
        <w:t>detainees.</w:t>
      </w:r>
      <w:r w:rsidR="008243CA">
        <w:t xml:space="preserve"> </w:t>
      </w:r>
      <w:r w:rsidRPr="00E62FE6">
        <w:t>It</w:t>
      </w:r>
      <w:r w:rsidR="008243CA">
        <w:t xml:space="preserve"> </w:t>
      </w:r>
      <w:r w:rsidRPr="00E62FE6">
        <w:t>is</w:t>
      </w:r>
      <w:r w:rsidR="008243CA">
        <w:t xml:space="preserve"> </w:t>
      </w:r>
      <w:r w:rsidRPr="00E62FE6">
        <w:t>expected</w:t>
      </w:r>
      <w:r w:rsidR="008243CA">
        <w:t xml:space="preserve"> </w:t>
      </w:r>
      <w:r w:rsidRPr="00E62FE6">
        <w:t>that</w:t>
      </w:r>
      <w:r w:rsidR="008243CA">
        <w:t xml:space="preserve"> </w:t>
      </w:r>
      <w:r w:rsidRPr="00E62FE6">
        <w:t>this</w:t>
      </w:r>
      <w:r w:rsidR="008243CA">
        <w:t xml:space="preserve"> </w:t>
      </w:r>
      <w:r w:rsidRPr="00E62FE6">
        <w:t>agreement</w:t>
      </w:r>
      <w:r w:rsidR="008243CA">
        <w:t xml:space="preserve"> </w:t>
      </w:r>
      <w:r w:rsidRPr="00E62FE6">
        <w:t>will</w:t>
      </w:r>
      <w:r w:rsidR="008243CA">
        <w:t xml:space="preserve"> </w:t>
      </w:r>
      <w:r w:rsidRPr="00E62FE6">
        <w:t>enter</w:t>
      </w:r>
      <w:r w:rsidR="008243CA">
        <w:t xml:space="preserve"> </w:t>
      </w:r>
      <w:r w:rsidRPr="00E62FE6">
        <w:t>into</w:t>
      </w:r>
      <w:r w:rsidR="008243CA">
        <w:t xml:space="preserve"> </w:t>
      </w:r>
      <w:r w:rsidRPr="00E62FE6">
        <w:t>force</w:t>
      </w:r>
      <w:r w:rsidR="008243CA">
        <w:t xml:space="preserve"> </w:t>
      </w:r>
      <w:r w:rsidRPr="00E62FE6">
        <w:t>by</w:t>
      </w:r>
      <w:r w:rsidR="008243CA">
        <w:t xml:space="preserve"> </w:t>
      </w:r>
      <w:r w:rsidRPr="00E62FE6">
        <w:t>July</w:t>
      </w:r>
      <w:r w:rsidR="008243CA">
        <w:t xml:space="preserve"> </w:t>
      </w:r>
      <w:r w:rsidRPr="00E62FE6">
        <w:t>2017,</w:t>
      </w:r>
      <w:r w:rsidR="008243CA">
        <w:t xml:space="preserve"> </w:t>
      </w:r>
      <w:r w:rsidRPr="00E62FE6">
        <w:t>with</w:t>
      </w:r>
      <w:r w:rsidR="008243CA">
        <w:t xml:space="preserve"> </w:t>
      </w:r>
      <w:r w:rsidRPr="00E62FE6">
        <w:t>courses</w:t>
      </w:r>
      <w:r w:rsidR="008243CA">
        <w:t xml:space="preserve"> </w:t>
      </w:r>
      <w:r w:rsidRPr="00E62FE6">
        <w:t>in</w:t>
      </w:r>
      <w:r w:rsidR="008243CA">
        <w:t xml:space="preserve"> </w:t>
      </w:r>
      <w:r w:rsidRPr="00E62FE6">
        <w:t>the</w:t>
      </w:r>
      <w:r w:rsidR="008243CA">
        <w:t xml:space="preserve"> </w:t>
      </w:r>
      <w:proofErr w:type="spellStart"/>
      <w:r w:rsidRPr="00E62FE6">
        <w:t>Mapuche</w:t>
      </w:r>
      <w:proofErr w:type="spellEnd"/>
      <w:r w:rsidR="008243CA">
        <w:t xml:space="preserve"> </w:t>
      </w:r>
      <w:r w:rsidRPr="00E62FE6">
        <w:t>language</w:t>
      </w:r>
      <w:r w:rsidR="008243CA">
        <w:t xml:space="preserve"> </w:t>
      </w:r>
      <w:r w:rsidRPr="00E62FE6">
        <w:t>and</w:t>
      </w:r>
      <w:r w:rsidR="008243CA">
        <w:t xml:space="preserve"> </w:t>
      </w:r>
      <w:r w:rsidRPr="00E62FE6">
        <w:t>world</w:t>
      </w:r>
      <w:r w:rsidR="008243CA">
        <w:t xml:space="preserve"> </w:t>
      </w:r>
      <w:r w:rsidRPr="00E62FE6">
        <w:t>view</w:t>
      </w:r>
      <w:r w:rsidR="008243CA">
        <w:t xml:space="preserve"> </w:t>
      </w:r>
      <w:r w:rsidRPr="00E62FE6">
        <w:t>to</w:t>
      </w:r>
      <w:r w:rsidR="008243CA">
        <w:t xml:space="preserve"> </w:t>
      </w:r>
      <w:r w:rsidRPr="00E62FE6">
        <w:t>be</w:t>
      </w:r>
      <w:r w:rsidR="008243CA">
        <w:t xml:space="preserve"> </w:t>
      </w:r>
      <w:r w:rsidRPr="00E62FE6">
        <w:t>delivered</w:t>
      </w:r>
      <w:r w:rsidR="008243CA">
        <w:t xml:space="preserve"> </w:t>
      </w:r>
      <w:r w:rsidRPr="00E62FE6">
        <w:t>at</w:t>
      </w:r>
      <w:r w:rsidR="008243CA">
        <w:t xml:space="preserve"> </w:t>
      </w:r>
      <w:r w:rsidRPr="00E62FE6">
        <w:t>correctional</w:t>
      </w:r>
      <w:r w:rsidR="008243CA">
        <w:t xml:space="preserve"> </w:t>
      </w:r>
      <w:r w:rsidRPr="00E62FE6">
        <w:t>facilities</w:t>
      </w:r>
      <w:r w:rsidR="008243CA">
        <w:t xml:space="preserve"> </w:t>
      </w:r>
      <w:r w:rsidRPr="00E62FE6">
        <w:t>in</w:t>
      </w:r>
      <w:r w:rsidR="008243CA">
        <w:t xml:space="preserve"> </w:t>
      </w:r>
      <w:r w:rsidRPr="00E62FE6">
        <w:t>Santiago</w:t>
      </w:r>
      <w:r w:rsidR="008243CA">
        <w:t xml:space="preserve"> </w:t>
      </w:r>
      <w:r w:rsidRPr="00E62FE6">
        <w:t>for</w:t>
      </w:r>
      <w:r w:rsidR="008243CA">
        <w:t xml:space="preserve"> </w:t>
      </w:r>
      <w:r w:rsidRPr="00E62FE6">
        <w:t>officials</w:t>
      </w:r>
      <w:r w:rsidR="008243CA">
        <w:t xml:space="preserve"> </w:t>
      </w:r>
      <w:r w:rsidRPr="00E62FE6">
        <w:t>who</w:t>
      </w:r>
      <w:r w:rsidR="008243CA">
        <w:t xml:space="preserve"> </w:t>
      </w:r>
      <w:r w:rsidRPr="00E62FE6">
        <w:t>deal</w:t>
      </w:r>
      <w:r w:rsidR="008243CA">
        <w:t xml:space="preserve"> </w:t>
      </w:r>
      <w:r w:rsidRPr="00E62FE6">
        <w:t>directly</w:t>
      </w:r>
      <w:r w:rsidR="008243CA">
        <w:t xml:space="preserve"> </w:t>
      </w:r>
      <w:r w:rsidRPr="00E62FE6">
        <w:t>with</w:t>
      </w:r>
      <w:r w:rsidR="008243CA">
        <w:t xml:space="preserve"> </w:t>
      </w:r>
      <w:r w:rsidRPr="00E62FE6">
        <w:t>prisoners,</w:t>
      </w:r>
      <w:r w:rsidR="008243CA">
        <w:t xml:space="preserve"> </w:t>
      </w:r>
      <w:r w:rsidRPr="00E62FE6">
        <w:t>especially</w:t>
      </w:r>
      <w:r w:rsidR="008243CA">
        <w:t xml:space="preserve"> </w:t>
      </w:r>
      <w:r w:rsidRPr="00E62FE6">
        <w:t>personnel</w:t>
      </w:r>
      <w:r w:rsidR="008243CA">
        <w:t xml:space="preserve"> </w:t>
      </w:r>
      <w:r w:rsidRPr="00E62FE6">
        <w:t>of</w:t>
      </w:r>
      <w:r w:rsidR="008243CA">
        <w:t xml:space="preserve"> </w:t>
      </w:r>
      <w:r w:rsidRPr="00E62FE6">
        <w:t>indigenous</w:t>
      </w:r>
      <w:r w:rsidR="008243CA">
        <w:t xml:space="preserve"> </w:t>
      </w:r>
      <w:r w:rsidRPr="00E62FE6">
        <w:t>origin.</w:t>
      </w:r>
      <w:r w:rsidR="008243CA">
        <w:t xml:space="preserve"> </w:t>
      </w:r>
      <w:r w:rsidRPr="00E62FE6">
        <w:t>The</w:t>
      </w:r>
      <w:r w:rsidR="008243CA">
        <w:t xml:space="preserve"> </w:t>
      </w:r>
      <w:r w:rsidRPr="00E62FE6">
        <w:t>courses</w:t>
      </w:r>
      <w:r w:rsidR="008243CA">
        <w:t xml:space="preserve"> </w:t>
      </w:r>
      <w:r w:rsidRPr="00E62FE6">
        <w:t>will</w:t>
      </w:r>
      <w:r w:rsidR="008243CA">
        <w:t xml:space="preserve"> </w:t>
      </w:r>
      <w:r w:rsidRPr="00E62FE6">
        <w:t>also</w:t>
      </w:r>
      <w:r w:rsidR="008243CA">
        <w:t xml:space="preserve"> </w:t>
      </w:r>
      <w:r w:rsidRPr="00E62FE6">
        <w:t>underscore</w:t>
      </w:r>
      <w:r w:rsidR="008243CA">
        <w:t xml:space="preserve"> </w:t>
      </w:r>
      <w:r w:rsidRPr="00E62FE6">
        <w:t>the</w:t>
      </w:r>
      <w:r w:rsidR="008243CA">
        <w:t xml:space="preserve"> </w:t>
      </w:r>
      <w:r w:rsidRPr="00E62FE6">
        <w:t>importance</w:t>
      </w:r>
      <w:r w:rsidR="008243CA">
        <w:t xml:space="preserve"> </w:t>
      </w:r>
      <w:r w:rsidRPr="00E62FE6">
        <w:t>of</w:t>
      </w:r>
      <w:r w:rsidR="008243CA">
        <w:t xml:space="preserve"> </w:t>
      </w:r>
      <w:r w:rsidRPr="00E62FE6">
        <w:t>respecting</w:t>
      </w:r>
      <w:r w:rsidR="008243CA">
        <w:t xml:space="preserve"> </w:t>
      </w:r>
      <w:proofErr w:type="spellStart"/>
      <w:r w:rsidRPr="00E62FE6">
        <w:t>Mapuche</w:t>
      </w:r>
      <w:proofErr w:type="spellEnd"/>
      <w:r w:rsidR="008243CA">
        <w:t xml:space="preserve"> </w:t>
      </w:r>
      <w:r w:rsidRPr="00E62FE6">
        <w:t>cultural</w:t>
      </w:r>
      <w:r w:rsidR="008243CA">
        <w:t xml:space="preserve"> </w:t>
      </w:r>
      <w:r w:rsidRPr="00E62FE6">
        <w:t>traditions</w:t>
      </w:r>
      <w:r w:rsidR="008243CA">
        <w:t xml:space="preserve"> </w:t>
      </w:r>
      <w:r w:rsidRPr="00E62FE6">
        <w:t>and</w:t>
      </w:r>
      <w:r w:rsidR="008243CA">
        <w:t xml:space="preserve"> </w:t>
      </w:r>
      <w:r w:rsidRPr="00E62FE6">
        <w:t>festivities.</w:t>
      </w:r>
    </w:p>
    <w:p w:rsidR="003F7D03" w:rsidRPr="00E62FE6" w:rsidRDefault="003F7D03" w:rsidP="000C6D98">
      <w:pPr>
        <w:pStyle w:val="SingleTxtG"/>
      </w:pPr>
      <w:bookmarkStart w:id="103" w:name="page41"/>
      <w:bookmarkEnd w:id="103"/>
      <w:r w:rsidRPr="00E62FE6">
        <w:t>167.</w:t>
      </w:r>
      <w:r w:rsidRPr="00E62FE6">
        <w:tab/>
        <w:t>In</w:t>
      </w:r>
      <w:r w:rsidR="008243CA">
        <w:t xml:space="preserve"> </w:t>
      </w:r>
      <w:r w:rsidRPr="00E62FE6">
        <w:t>2009,</w:t>
      </w:r>
      <w:r w:rsidR="008243CA">
        <w:t xml:space="preserve"> </w:t>
      </w:r>
      <w:r w:rsidRPr="00E62FE6">
        <w:t>SENAME</w:t>
      </w:r>
      <w:r w:rsidR="008243CA">
        <w:t xml:space="preserve"> </w:t>
      </w:r>
      <w:r w:rsidRPr="00E62FE6">
        <w:t>published</w:t>
      </w:r>
      <w:r w:rsidR="008243CA">
        <w:t xml:space="preserve"> </w:t>
      </w:r>
      <w:r w:rsidRPr="00E62FE6">
        <w:t>a</w:t>
      </w:r>
      <w:r w:rsidR="008243CA">
        <w:t xml:space="preserve"> </w:t>
      </w:r>
      <w:r w:rsidRPr="00E62FE6">
        <w:t>study</w:t>
      </w:r>
      <w:r w:rsidRPr="00116F0B">
        <w:rPr>
          <w:rStyle w:val="FootnoteReference"/>
        </w:rPr>
        <w:footnoteReference w:id="59"/>
      </w:r>
      <w:r w:rsidR="008243CA">
        <w:t xml:space="preserve"> </w:t>
      </w:r>
      <w:r w:rsidRPr="00E62FE6">
        <w:t>that</w:t>
      </w:r>
      <w:r w:rsidR="008243CA">
        <w:t xml:space="preserve"> </w:t>
      </w:r>
      <w:r w:rsidRPr="00E62FE6">
        <w:t>highlighted</w:t>
      </w:r>
      <w:r w:rsidR="008243CA">
        <w:t xml:space="preserve"> </w:t>
      </w:r>
      <w:r w:rsidRPr="00E62FE6">
        <w:t>a</w:t>
      </w:r>
      <w:r w:rsidR="008243CA">
        <w:t xml:space="preserve"> </w:t>
      </w:r>
      <w:r w:rsidRPr="00E62FE6">
        <w:t>lack</w:t>
      </w:r>
      <w:r w:rsidR="008243CA">
        <w:t xml:space="preserve"> </w:t>
      </w:r>
      <w:r w:rsidRPr="00E62FE6">
        <w:t>of</w:t>
      </w:r>
      <w:r w:rsidR="008243CA">
        <w:t xml:space="preserve"> </w:t>
      </w:r>
      <w:r w:rsidRPr="00E62FE6">
        <w:t>experience</w:t>
      </w:r>
      <w:r w:rsidR="008243CA">
        <w:t xml:space="preserve"> </w:t>
      </w:r>
      <w:r w:rsidRPr="00E62FE6">
        <w:t>or</w:t>
      </w:r>
      <w:r w:rsidR="008243CA">
        <w:t xml:space="preserve"> </w:t>
      </w:r>
      <w:r w:rsidRPr="00E62FE6">
        <w:t>knowledge</w:t>
      </w:r>
      <w:r w:rsidR="008243CA">
        <w:t xml:space="preserve"> </w:t>
      </w:r>
      <w:r w:rsidRPr="00E62FE6">
        <w:t>concerning</w:t>
      </w:r>
      <w:r w:rsidR="008243CA">
        <w:t xml:space="preserve"> </w:t>
      </w:r>
      <w:r w:rsidRPr="00E62FE6">
        <w:t>intercultural</w:t>
      </w:r>
      <w:r w:rsidR="008243CA">
        <w:t xml:space="preserve"> </w:t>
      </w:r>
      <w:r w:rsidRPr="00E62FE6">
        <w:t>relations</w:t>
      </w:r>
      <w:r w:rsidR="008243CA">
        <w:t xml:space="preserve"> </w:t>
      </w:r>
      <w:r w:rsidRPr="00E62FE6">
        <w:t>and</w:t>
      </w:r>
      <w:r w:rsidR="008243CA">
        <w:t xml:space="preserve"> </w:t>
      </w:r>
      <w:r w:rsidRPr="00E62FE6">
        <w:t>respect</w:t>
      </w:r>
      <w:r w:rsidR="008243CA">
        <w:t xml:space="preserve"> </w:t>
      </w:r>
      <w:r w:rsidRPr="00E62FE6">
        <w:t>for</w:t>
      </w:r>
      <w:r w:rsidR="008243CA">
        <w:t xml:space="preserve"> </w:t>
      </w:r>
      <w:r w:rsidRPr="00E62FE6">
        <w:t>the</w:t>
      </w:r>
      <w:r w:rsidR="008243CA">
        <w:t xml:space="preserve"> </w:t>
      </w:r>
      <w:r w:rsidRPr="00E62FE6">
        <w:t>cultural</w:t>
      </w:r>
      <w:r w:rsidR="008243CA">
        <w:t xml:space="preserve"> </w:t>
      </w:r>
      <w:r w:rsidRPr="00E62FE6">
        <w:t>rights</w:t>
      </w:r>
      <w:r w:rsidR="008243CA">
        <w:t xml:space="preserve"> </w:t>
      </w:r>
      <w:r w:rsidRPr="00E62FE6">
        <w:t>of</w:t>
      </w:r>
      <w:r w:rsidR="008243CA">
        <w:t xml:space="preserve"> </w:t>
      </w:r>
      <w:r w:rsidRPr="00E62FE6">
        <w:t>indigenous</w:t>
      </w:r>
      <w:r w:rsidR="008243CA">
        <w:t xml:space="preserve"> </w:t>
      </w:r>
      <w:r w:rsidRPr="00E62FE6">
        <w:t>children</w:t>
      </w:r>
      <w:r w:rsidR="008243CA">
        <w:t xml:space="preserve"> </w:t>
      </w:r>
      <w:r w:rsidRPr="00E62FE6">
        <w:t>and</w:t>
      </w:r>
      <w:r w:rsidR="008243CA">
        <w:t xml:space="preserve"> </w:t>
      </w:r>
      <w:r w:rsidRPr="00E62FE6">
        <w:t>adolescents.</w:t>
      </w:r>
      <w:r w:rsidR="008243CA">
        <w:t xml:space="preserve"> </w:t>
      </w:r>
      <w:r w:rsidRPr="00E62FE6">
        <w:t>In</w:t>
      </w:r>
      <w:r w:rsidR="008243CA">
        <w:t xml:space="preserve"> </w:t>
      </w:r>
      <w:r w:rsidRPr="00E62FE6">
        <w:t>response</w:t>
      </w:r>
      <w:r w:rsidR="008243CA">
        <w:t xml:space="preserve"> </w:t>
      </w:r>
      <w:r w:rsidRPr="00E62FE6">
        <w:t>to</w:t>
      </w:r>
      <w:r w:rsidR="008243CA">
        <w:t xml:space="preserve"> </w:t>
      </w:r>
      <w:r w:rsidRPr="00E62FE6">
        <w:t>that</w:t>
      </w:r>
      <w:r w:rsidR="008243CA">
        <w:t xml:space="preserve"> </w:t>
      </w:r>
      <w:r w:rsidRPr="00E62FE6">
        <w:t>assessment,</w:t>
      </w:r>
      <w:r w:rsidR="008243CA">
        <w:t xml:space="preserve"> </w:t>
      </w:r>
      <w:r w:rsidRPr="00E62FE6">
        <w:t>SENAME</w:t>
      </w:r>
      <w:r w:rsidR="008243CA">
        <w:t xml:space="preserve"> </w:t>
      </w:r>
      <w:r w:rsidRPr="00E62FE6">
        <w:t>updated</w:t>
      </w:r>
      <w:r w:rsidR="008243CA">
        <w:t xml:space="preserve"> </w:t>
      </w:r>
      <w:r w:rsidRPr="00E62FE6">
        <w:t>its</w:t>
      </w:r>
      <w:r w:rsidR="008243CA">
        <w:t xml:space="preserve"> </w:t>
      </w:r>
      <w:r w:rsidRPr="00E62FE6">
        <w:t>technical</w:t>
      </w:r>
      <w:r w:rsidR="008243CA">
        <w:t xml:space="preserve"> </w:t>
      </w:r>
      <w:r w:rsidRPr="00E62FE6">
        <w:t>guidelines</w:t>
      </w:r>
      <w:r w:rsidRPr="00116F0B">
        <w:rPr>
          <w:rStyle w:val="FootnoteReference"/>
        </w:rPr>
        <w:footnoteReference w:id="60"/>
      </w:r>
      <w:r w:rsidR="008243CA">
        <w:t xml:space="preserve"> </w:t>
      </w:r>
      <w:r w:rsidRPr="00E62FE6">
        <w:t>for</w:t>
      </w:r>
      <w:r w:rsidR="008243CA">
        <w:t xml:space="preserve"> </w:t>
      </w:r>
      <w:r w:rsidRPr="00E62FE6">
        <w:t>directly</w:t>
      </w:r>
      <w:r w:rsidR="008243CA">
        <w:t xml:space="preserve"> </w:t>
      </w:r>
      <w:r w:rsidRPr="00E62FE6">
        <w:t>administered</w:t>
      </w:r>
      <w:r w:rsidR="008243CA">
        <w:t xml:space="preserve"> </w:t>
      </w:r>
      <w:r w:rsidRPr="00E62FE6">
        <w:t>centres</w:t>
      </w:r>
      <w:r w:rsidR="008243CA">
        <w:t xml:space="preserve"> </w:t>
      </w:r>
      <w:r w:rsidRPr="00E62FE6">
        <w:t>and</w:t>
      </w:r>
      <w:r w:rsidR="008243CA">
        <w:t xml:space="preserve"> </w:t>
      </w:r>
      <w:r w:rsidRPr="00E62FE6">
        <w:t>partner</w:t>
      </w:r>
      <w:r w:rsidR="008243CA">
        <w:t xml:space="preserve"> </w:t>
      </w:r>
      <w:r w:rsidRPr="00E62FE6">
        <w:t>entities</w:t>
      </w:r>
      <w:r w:rsidR="008243CA">
        <w:t xml:space="preserve"> </w:t>
      </w:r>
      <w:r w:rsidRPr="00E62FE6">
        <w:t>to</w:t>
      </w:r>
      <w:r w:rsidR="008243CA">
        <w:t xml:space="preserve"> </w:t>
      </w:r>
      <w:r w:rsidRPr="00E62FE6">
        <w:t>include</w:t>
      </w:r>
      <w:r w:rsidR="008243CA">
        <w:t xml:space="preserve"> </w:t>
      </w:r>
      <w:r w:rsidRPr="00E62FE6">
        <w:t>certain</w:t>
      </w:r>
      <w:r w:rsidR="008243CA">
        <w:t xml:space="preserve"> </w:t>
      </w:r>
      <w:r w:rsidRPr="00E62FE6">
        <w:t>aspects</w:t>
      </w:r>
      <w:r w:rsidR="008243CA">
        <w:t xml:space="preserve"> </w:t>
      </w:r>
      <w:r w:rsidRPr="00E62FE6">
        <w:t>relating</w:t>
      </w:r>
      <w:r w:rsidR="008243CA">
        <w:t xml:space="preserve"> </w:t>
      </w:r>
      <w:r w:rsidRPr="00E62FE6">
        <w:t>to</w:t>
      </w:r>
      <w:r w:rsidR="008243CA">
        <w:t xml:space="preserve"> </w:t>
      </w:r>
      <w:r w:rsidRPr="00E62FE6">
        <w:t>freedom</w:t>
      </w:r>
      <w:r w:rsidR="008243CA">
        <w:t xml:space="preserve"> </w:t>
      </w:r>
      <w:r w:rsidRPr="00E62FE6">
        <w:t>of</w:t>
      </w:r>
      <w:r w:rsidR="008243CA">
        <w:t xml:space="preserve"> </w:t>
      </w:r>
      <w:r w:rsidRPr="00E62FE6">
        <w:t>religion</w:t>
      </w:r>
      <w:r w:rsidR="008243CA">
        <w:t xml:space="preserve"> </w:t>
      </w:r>
      <w:r w:rsidRPr="00E62FE6">
        <w:t>and</w:t>
      </w:r>
      <w:r w:rsidR="008243CA">
        <w:t xml:space="preserve"> </w:t>
      </w:r>
      <w:r w:rsidRPr="00E62FE6">
        <w:t>traditional</w:t>
      </w:r>
      <w:r w:rsidR="008243CA">
        <w:t xml:space="preserve"> </w:t>
      </w:r>
      <w:r w:rsidRPr="00E62FE6">
        <w:t>practices</w:t>
      </w:r>
      <w:r w:rsidR="008243CA">
        <w:t xml:space="preserve"> </w:t>
      </w:r>
      <w:r w:rsidRPr="00E62FE6">
        <w:t>in</w:t>
      </w:r>
      <w:r w:rsidR="008243CA">
        <w:t xml:space="preserve"> </w:t>
      </w:r>
      <w:r w:rsidRPr="00E62FE6">
        <w:t>the</w:t>
      </w:r>
      <w:r w:rsidR="008243CA">
        <w:t xml:space="preserve"> </w:t>
      </w:r>
      <w:r w:rsidRPr="00E62FE6">
        <w:t>framework</w:t>
      </w:r>
      <w:r w:rsidR="008243CA">
        <w:t xml:space="preserve"> </w:t>
      </w:r>
      <w:r w:rsidRPr="00E62FE6">
        <w:t>of</w:t>
      </w:r>
      <w:r w:rsidR="008243CA">
        <w:t xml:space="preserve"> </w:t>
      </w:r>
      <w:r w:rsidRPr="00E62FE6">
        <w:t>its</w:t>
      </w:r>
      <w:r w:rsidR="008243CA">
        <w:t xml:space="preserve"> </w:t>
      </w:r>
      <w:r w:rsidRPr="00E62FE6">
        <w:t>interventions</w:t>
      </w:r>
      <w:r w:rsidR="008243CA">
        <w:t xml:space="preserve"> </w:t>
      </w:r>
      <w:r w:rsidRPr="00E62FE6">
        <w:t>for</w:t>
      </w:r>
      <w:r w:rsidR="008243CA">
        <w:t xml:space="preserve"> </w:t>
      </w:r>
      <w:r w:rsidRPr="00E62FE6">
        <w:t>children</w:t>
      </w:r>
      <w:r w:rsidR="008243CA">
        <w:t xml:space="preserve"> </w:t>
      </w:r>
      <w:r w:rsidRPr="00E62FE6">
        <w:t>and</w:t>
      </w:r>
      <w:r w:rsidR="008243CA">
        <w:t xml:space="preserve"> </w:t>
      </w:r>
      <w:r w:rsidRPr="00E62FE6">
        <w:t>adolescents,</w:t>
      </w:r>
      <w:r w:rsidR="008243CA">
        <w:t xml:space="preserve"> </w:t>
      </w:r>
      <w:r w:rsidRPr="00E62FE6">
        <w:t>as</w:t>
      </w:r>
      <w:r w:rsidR="008243CA">
        <w:t xml:space="preserve"> </w:t>
      </w:r>
      <w:r w:rsidRPr="00E62FE6">
        <w:t>a</w:t>
      </w:r>
      <w:r w:rsidR="008243CA">
        <w:t xml:space="preserve"> </w:t>
      </w:r>
      <w:r w:rsidRPr="00E62FE6">
        <w:t>way</w:t>
      </w:r>
      <w:r w:rsidR="008243CA">
        <w:t xml:space="preserve"> </w:t>
      </w:r>
      <w:r w:rsidRPr="00E62FE6">
        <w:t>to</w:t>
      </w:r>
      <w:r w:rsidR="00116F0B">
        <w:t xml:space="preserve"> </w:t>
      </w:r>
      <w:r w:rsidRPr="00E62FE6">
        <w:t>promote</w:t>
      </w:r>
      <w:r w:rsidR="008243CA">
        <w:t xml:space="preserve"> </w:t>
      </w:r>
      <w:r w:rsidRPr="00E62FE6">
        <w:t>social</w:t>
      </w:r>
      <w:r w:rsidR="008243CA">
        <w:t xml:space="preserve"> </w:t>
      </w:r>
      <w:r w:rsidRPr="00E62FE6">
        <w:t>reintegration.</w:t>
      </w:r>
      <w:r w:rsidR="008243CA">
        <w:t xml:space="preserve"> </w:t>
      </w:r>
      <w:r w:rsidRPr="00E62FE6">
        <w:t>These</w:t>
      </w:r>
      <w:r w:rsidR="008243CA">
        <w:t xml:space="preserve"> </w:t>
      </w:r>
      <w:r w:rsidRPr="00E62FE6">
        <w:t>guidelines</w:t>
      </w:r>
      <w:r w:rsidR="008243CA">
        <w:t xml:space="preserve"> </w:t>
      </w:r>
      <w:r w:rsidRPr="00E62FE6">
        <w:t>are</w:t>
      </w:r>
      <w:r w:rsidR="008243CA">
        <w:t xml:space="preserve"> </w:t>
      </w:r>
      <w:r w:rsidRPr="00E62FE6">
        <w:t>included</w:t>
      </w:r>
      <w:r w:rsidR="008243CA">
        <w:t xml:space="preserve"> </w:t>
      </w:r>
      <w:r w:rsidRPr="00E62FE6">
        <w:t>in</w:t>
      </w:r>
      <w:r w:rsidR="008243CA">
        <w:t xml:space="preserve"> </w:t>
      </w:r>
      <w:r w:rsidRPr="00E62FE6">
        <w:t>the</w:t>
      </w:r>
      <w:r w:rsidR="008243CA">
        <w:t xml:space="preserve"> </w:t>
      </w:r>
      <w:r w:rsidRPr="00E62FE6">
        <w:t>competitive</w:t>
      </w:r>
      <w:r w:rsidR="008243CA">
        <w:t xml:space="preserve"> </w:t>
      </w:r>
      <w:r w:rsidRPr="00E62FE6">
        <w:t>bidding</w:t>
      </w:r>
      <w:r w:rsidR="008243CA">
        <w:t xml:space="preserve"> </w:t>
      </w:r>
      <w:r w:rsidRPr="00E62FE6">
        <w:t>process</w:t>
      </w:r>
      <w:r w:rsidR="008243CA">
        <w:t xml:space="preserve"> </w:t>
      </w:r>
      <w:r w:rsidRPr="00E62FE6">
        <w:t>whereby</w:t>
      </w:r>
      <w:r w:rsidR="008243CA">
        <w:t xml:space="preserve"> </w:t>
      </w:r>
      <w:r w:rsidRPr="00E62FE6">
        <w:t>partner</w:t>
      </w:r>
      <w:r w:rsidR="008243CA">
        <w:t xml:space="preserve"> </w:t>
      </w:r>
      <w:r w:rsidRPr="00E62FE6">
        <w:t>organizations</w:t>
      </w:r>
      <w:r w:rsidR="008243CA">
        <w:t xml:space="preserve"> </w:t>
      </w:r>
      <w:r w:rsidRPr="00E62FE6">
        <w:t>are</w:t>
      </w:r>
      <w:r w:rsidR="008243CA">
        <w:t xml:space="preserve"> </w:t>
      </w:r>
      <w:r w:rsidRPr="00E62FE6">
        <w:t>awarded</w:t>
      </w:r>
      <w:r w:rsidR="008243CA">
        <w:t xml:space="preserve"> </w:t>
      </w:r>
      <w:r w:rsidRPr="00E62FE6">
        <w:t>contracts</w:t>
      </w:r>
      <w:r w:rsidR="008243CA">
        <w:t xml:space="preserve"> </w:t>
      </w:r>
      <w:r w:rsidRPr="00E62FE6">
        <w:t>to</w:t>
      </w:r>
      <w:r w:rsidR="008243CA">
        <w:t xml:space="preserve"> </w:t>
      </w:r>
      <w:r w:rsidRPr="00E62FE6">
        <w:t>operate</w:t>
      </w:r>
      <w:r w:rsidR="008243CA">
        <w:t xml:space="preserve"> </w:t>
      </w:r>
      <w:r w:rsidRPr="00E62FE6">
        <w:t>residential</w:t>
      </w:r>
      <w:r w:rsidR="008243CA">
        <w:t xml:space="preserve"> </w:t>
      </w:r>
      <w:r w:rsidRPr="00E62FE6">
        <w:t>centres,</w:t>
      </w:r>
      <w:r w:rsidR="008243CA">
        <w:t xml:space="preserve"> </w:t>
      </w:r>
      <w:r w:rsidRPr="00E62FE6">
        <w:t>in</w:t>
      </w:r>
      <w:r w:rsidR="008243CA">
        <w:t xml:space="preserve"> </w:t>
      </w:r>
      <w:r w:rsidRPr="00E62FE6">
        <w:t>accordance</w:t>
      </w:r>
      <w:r w:rsidR="008243CA">
        <w:t xml:space="preserve"> </w:t>
      </w:r>
      <w:r w:rsidRPr="00E62FE6">
        <w:t>with</w:t>
      </w:r>
      <w:r w:rsidR="008243CA">
        <w:t xml:space="preserve"> </w:t>
      </w:r>
      <w:r w:rsidRPr="00E62FE6">
        <w:t>Act</w:t>
      </w:r>
      <w:r w:rsidR="008243CA">
        <w:t xml:space="preserve"> </w:t>
      </w:r>
      <w:r w:rsidRPr="00E62FE6">
        <w:t>No.</w:t>
      </w:r>
      <w:r w:rsidR="008243CA">
        <w:t xml:space="preserve"> </w:t>
      </w:r>
      <w:r w:rsidRPr="00E62FE6">
        <w:t>20032</w:t>
      </w:r>
      <w:r w:rsidR="008243CA">
        <w:t xml:space="preserve"> </w:t>
      </w:r>
      <w:r w:rsidRPr="00E62FE6">
        <w:t>of</w:t>
      </w:r>
      <w:r w:rsidR="008243CA">
        <w:t xml:space="preserve"> </w:t>
      </w:r>
      <w:r w:rsidRPr="00E62FE6">
        <w:t>2005,</w:t>
      </w:r>
      <w:r w:rsidR="008243CA">
        <w:t xml:space="preserve"> </w:t>
      </w:r>
      <w:r w:rsidRPr="00E62FE6">
        <w:t>so</w:t>
      </w:r>
      <w:r w:rsidR="008243CA">
        <w:t xml:space="preserve"> </w:t>
      </w:r>
      <w:r w:rsidRPr="00E62FE6">
        <w:t>that</w:t>
      </w:r>
      <w:r w:rsidR="008243CA">
        <w:t xml:space="preserve"> </w:t>
      </w:r>
      <w:r w:rsidRPr="00E62FE6">
        <w:t>technical</w:t>
      </w:r>
      <w:r w:rsidR="008243CA">
        <w:t xml:space="preserve"> </w:t>
      </w:r>
      <w:r w:rsidRPr="00E62FE6">
        <w:t>recommendations</w:t>
      </w:r>
      <w:r w:rsidR="008243CA">
        <w:t xml:space="preserve"> </w:t>
      </w:r>
      <w:r w:rsidRPr="00E62FE6">
        <w:t>are</w:t>
      </w:r>
      <w:r w:rsidR="008243CA">
        <w:t xml:space="preserve"> </w:t>
      </w:r>
      <w:r w:rsidRPr="00E62FE6">
        <w:t>provided</w:t>
      </w:r>
      <w:r w:rsidR="008243CA">
        <w:t xml:space="preserve"> </w:t>
      </w:r>
      <w:r w:rsidRPr="00E62FE6">
        <w:t>to</w:t>
      </w:r>
      <w:r w:rsidR="008243CA">
        <w:t xml:space="preserve"> </w:t>
      </w:r>
      <w:r w:rsidRPr="00E62FE6">
        <w:t>ensure</w:t>
      </w:r>
      <w:r w:rsidR="008243CA">
        <w:t xml:space="preserve"> </w:t>
      </w:r>
      <w:r w:rsidRPr="00E62FE6">
        <w:t>respect</w:t>
      </w:r>
      <w:r w:rsidR="008243CA">
        <w:t xml:space="preserve"> </w:t>
      </w:r>
      <w:r w:rsidRPr="00E62FE6">
        <w:t>for</w:t>
      </w:r>
      <w:r w:rsidR="008243CA">
        <w:t xml:space="preserve"> </w:t>
      </w:r>
      <w:r w:rsidRPr="00E62FE6">
        <w:t>the</w:t>
      </w:r>
      <w:r w:rsidR="008243CA">
        <w:t xml:space="preserve"> </w:t>
      </w:r>
      <w:r w:rsidRPr="00E62FE6">
        <w:t>world</w:t>
      </w:r>
      <w:r w:rsidR="008243CA">
        <w:t xml:space="preserve"> </w:t>
      </w:r>
      <w:r w:rsidRPr="00E62FE6">
        <w:t>view</w:t>
      </w:r>
      <w:r w:rsidR="008243CA">
        <w:t xml:space="preserve"> </w:t>
      </w:r>
      <w:r w:rsidRPr="00E62FE6">
        <w:t>and</w:t>
      </w:r>
      <w:r w:rsidR="008243CA">
        <w:t xml:space="preserve"> </w:t>
      </w:r>
      <w:r w:rsidRPr="00E62FE6">
        <w:t>identity</w:t>
      </w:r>
      <w:r w:rsidR="008243CA">
        <w:t xml:space="preserve"> </w:t>
      </w:r>
      <w:r w:rsidRPr="00E62FE6">
        <w:t>of</w:t>
      </w:r>
      <w:r w:rsidR="008243CA">
        <w:t xml:space="preserve"> </w:t>
      </w:r>
      <w:r w:rsidRPr="00E62FE6">
        <w:t>children</w:t>
      </w:r>
      <w:r w:rsidR="008243CA">
        <w:t xml:space="preserve"> </w:t>
      </w:r>
      <w:r w:rsidRPr="00E62FE6">
        <w:t>and</w:t>
      </w:r>
      <w:r w:rsidR="008243CA">
        <w:t xml:space="preserve"> </w:t>
      </w:r>
      <w:r w:rsidRPr="00E62FE6">
        <w:t>adolescents</w:t>
      </w:r>
      <w:r w:rsidR="008243CA">
        <w:t xml:space="preserve"> </w:t>
      </w:r>
      <w:r w:rsidRPr="00E62FE6">
        <w:t>of</w:t>
      </w:r>
      <w:r w:rsidR="008243CA">
        <w:t xml:space="preserve"> </w:t>
      </w:r>
      <w:r w:rsidRPr="00E62FE6">
        <w:t>indigenous</w:t>
      </w:r>
      <w:r w:rsidR="008243CA">
        <w:t xml:space="preserve"> </w:t>
      </w:r>
      <w:r w:rsidRPr="00E62FE6">
        <w:t>heritage.</w:t>
      </w:r>
    </w:p>
    <w:p w:rsidR="003F7D03" w:rsidRPr="0009708F" w:rsidRDefault="003F7D03" w:rsidP="000C6D98">
      <w:pPr>
        <w:pStyle w:val="SingleTxtG"/>
        <w:rPr>
          <w:i/>
          <w:iCs/>
        </w:rPr>
      </w:pPr>
      <w:r w:rsidRPr="00E62FE6">
        <w:lastRenderedPageBreak/>
        <w:t>168.</w:t>
      </w:r>
      <w:r w:rsidRPr="00E62FE6">
        <w:tab/>
        <w:t>Paragraph</w:t>
      </w:r>
      <w:r w:rsidR="008243CA">
        <w:t xml:space="preserve"> </w:t>
      </w:r>
      <w:r w:rsidRPr="00E62FE6">
        <w:t>122:</w:t>
      </w:r>
      <w:r w:rsidR="008243CA">
        <w:t xml:space="preserve"> </w:t>
      </w:r>
      <w:r w:rsidRPr="0009708F">
        <w:rPr>
          <w:i/>
          <w:iCs/>
        </w:rPr>
        <w:t>The</w:t>
      </w:r>
      <w:r w:rsidR="008243CA" w:rsidRPr="0009708F">
        <w:rPr>
          <w:i/>
          <w:iCs/>
        </w:rPr>
        <w:t xml:space="preserve"> </w:t>
      </w:r>
      <w:r w:rsidRPr="0009708F">
        <w:rPr>
          <w:i/>
          <w:iCs/>
        </w:rPr>
        <w:t>Subcommittee</w:t>
      </w:r>
      <w:r w:rsidR="008243CA" w:rsidRPr="0009708F">
        <w:rPr>
          <w:i/>
          <w:iCs/>
        </w:rPr>
        <w:t xml:space="preserve"> </w:t>
      </w:r>
      <w:r w:rsidRPr="0009708F">
        <w:rPr>
          <w:i/>
          <w:iCs/>
        </w:rPr>
        <w:t>also</w:t>
      </w:r>
      <w:r w:rsidR="008243CA" w:rsidRPr="0009708F">
        <w:rPr>
          <w:i/>
          <w:iCs/>
        </w:rPr>
        <w:t xml:space="preserve"> </w:t>
      </w:r>
      <w:r w:rsidRPr="0009708F">
        <w:rPr>
          <w:i/>
          <w:iCs/>
        </w:rPr>
        <w:t>recommends</w:t>
      </w:r>
      <w:r w:rsidR="008243CA" w:rsidRPr="0009708F">
        <w:rPr>
          <w:i/>
          <w:iCs/>
        </w:rPr>
        <w:t xml:space="preserve"> </w:t>
      </w:r>
      <w:r w:rsidRPr="0009708F">
        <w:rPr>
          <w:i/>
          <w:iCs/>
        </w:rPr>
        <w:t>that</w:t>
      </w:r>
      <w:r w:rsidR="008243CA" w:rsidRPr="0009708F">
        <w:rPr>
          <w:i/>
          <w:iCs/>
        </w:rPr>
        <w:t xml:space="preserve"> </w:t>
      </w:r>
      <w:r w:rsidRPr="0009708F">
        <w:rPr>
          <w:i/>
          <w:iCs/>
        </w:rPr>
        <w:t>health-care</w:t>
      </w:r>
      <w:r w:rsidR="008243CA" w:rsidRPr="0009708F">
        <w:rPr>
          <w:i/>
          <w:iCs/>
        </w:rPr>
        <w:t xml:space="preserve"> </w:t>
      </w:r>
      <w:r w:rsidRPr="0009708F">
        <w:rPr>
          <w:i/>
          <w:iCs/>
        </w:rPr>
        <w:t>protocols</w:t>
      </w:r>
      <w:r w:rsidR="008243CA" w:rsidRPr="0009708F">
        <w:rPr>
          <w:i/>
          <w:iCs/>
        </w:rPr>
        <w:t xml:space="preserve"> </w:t>
      </w:r>
      <w:r w:rsidRPr="0009708F">
        <w:rPr>
          <w:i/>
          <w:iCs/>
        </w:rPr>
        <w:t>and</w:t>
      </w:r>
      <w:r w:rsidR="008243CA" w:rsidRPr="0009708F">
        <w:rPr>
          <w:i/>
          <w:iCs/>
        </w:rPr>
        <w:t xml:space="preserve"> </w:t>
      </w:r>
      <w:r w:rsidRPr="0009708F">
        <w:rPr>
          <w:i/>
          <w:iCs/>
        </w:rPr>
        <w:t>facilities</w:t>
      </w:r>
      <w:r w:rsidR="008243CA" w:rsidRPr="0009708F">
        <w:rPr>
          <w:i/>
          <w:iCs/>
        </w:rPr>
        <w:t xml:space="preserve"> </w:t>
      </w:r>
      <w:r w:rsidRPr="0009708F">
        <w:rPr>
          <w:i/>
          <w:iCs/>
        </w:rPr>
        <w:t>be</w:t>
      </w:r>
      <w:r w:rsidR="008243CA" w:rsidRPr="0009708F">
        <w:rPr>
          <w:i/>
          <w:iCs/>
        </w:rPr>
        <w:t xml:space="preserve"> </w:t>
      </w:r>
      <w:r w:rsidRPr="0009708F">
        <w:rPr>
          <w:i/>
          <w:iCs/>
        </w:rPr>
        <w:t>adapted</w:t>
      </w:r>
      <w:r w:rsidR="008243CA" w:rsidRPr="0009708F">
        <w:rPr>
          <w:i/>
          <w:iCs/>
        </w:rPr>
        <w:t xml:space="preserve"> </w:t>
      </w:r>
      <w:r w:rsidRPr="0009708F">
        <w:rPr>
          <w:i/>
          <w:iCs/>
        </w:rPr>
        <w:t>to</w:t>
      </w:r>
      <w:r w:rsidR="008243CA" w:rsidRPr="0009708F">
        <w:rPr>
          <w:i/>
          <w:iCs/>
        </w:rPr>
        <w:t xml:space="preserve"> </w:t>
      </w:r>
      <w:r w:rsidRPr="0009708F">
        <w:rPr>
          <w:i/>
          <w:iCs/>
        </w:rPr>
        <w:t>ensure</w:t>
      </w:r>
      <w:r w:rsidR="008243CA" w:rsidRPr="0009708F">
        <w:rPr>
          <w:i/>
          <w:iCs/>
        </w:rPr>
        <w:t xml:space="preserve"> </w:t>
      </w:r>
      <w:r w:rsidRPr="0009708F">
        <w:rPr>
          <w:i/>
          <w:iCs/>
        </w:rPr>
        <w:t>that</w:t>
      </w:r>
      <w:r w:rsidR="008243CA" w:rsidRPr="0009708F">
        <w:rPr>
          <w:i/>
          <w:iCs/>
        </w:rPr>
        <w:t xml:space="preserve"> </w:t>
      </w:r>
      <w:r w:rsidRPr="0009708F">
        <w:rPr>
          <w:i/>
          <w:iCs/>
        </w:rPr>
        <w:t>detainees</w:t>
      </w:r>
      <w:r w:rsidR="008243CA" w:rsidRPr="0009708F">
        <w:rPr>
          <w:i/>
          <w:iCs/>
        </w:rPr>
        <w:t xml:space="preserve"> </w:t>
      </w:r>
      <w:r w:rsidRPr="0009708F">
        <w:rPr>
          <w:i/>
          <w:iCs/>
        </w:rPr>
        <w:t>who</w:t>
      </w:r>
      <w:r w:rsidR="008243CA" w:rsidRPr="0009708F">
        <w:rPr>
          <w:i/>
          <w:iCs/>
        </w:rPr>
        <w:t xml:space="preserve"> </w:t>
      </w:r>
      <w:r w:rsidRPr="0009708F">
        <w:rPr>
          <w:i/>
          <w:iCs/>
        </w:rPr>
        <w:t>wish</w:t>
      </w:r>
      <w:r w:rsidR="008243CA" w:rsidRPr="0009708F">
        <w:rPr>
          <w:i/>
          <w:iCs/>
        </w:rPr>
        <w:t xml:space="preserve"> </w:t>
      </w:r>
      <w:r w:rsidRPr="0009708F">
        <w:rPr>
          <w:i/>
          <w:iCs/>
        </w:rPr>
        <w:t>to</w:t>
      </w:r>
      <w:r w:rsidR="008243CA" w:rsidRPr="0009708F">
        <w:rPr>
          <w:i/>
          <w:iCs/>
        </w:rPr>
        <w:t xml:space="preserve"> </w:t>
      </w:r>
      <w:r w:rsidRPr="0009708F">
        <w:rPr>
          <w:i/>
          <w:iCs/>
        </w:rPr>
        <w:t>use</w:t>
      </w:r>
      <w:r w:rsidR="008243CA" w:rsidRPr="0009708F">
        <w:rPr>
          <w:i/>
          <w:iCs/>
        </w:rPr>
        <w:t xml:space="preserve"> </w:t>
      </w:r>
      <w:r w:rsidRPr="0009708F">
        <w:rPr>
          <w:i/>
          <w:iCs/>
        </w:rPr>
        <w:t>ancestral</w:t>
      </w:r>
      <w:r w:rsidR="008243CA" w:rsidRPr="0009708F">
        <w:rPr>
          <w:i/>
          <w:iCs/>
        </w:rPr>
        <w:t xml:space="preserve"> </w:t>
      </w:r>
      <w:r w:rsidRPr="0009708F">
        <w:rPr>
          <w:i/>
          <w:iCs/>
        </w:rPr>
        <w:t>knowledge</w:t>
      </w:r>
      <w:r w:rsidR="008243CA" w:rsidRPr="0009708F">
        <w:rPr>
          <w:i/>
          <w:iCs/>
        </w:rPr>
        <w:t xml:space="preserve"> </w:t>
      </w:r>
      <w:r w:rsidRPr="0009708F">
        <w:rPr>
          <w:i/>
          <w:iCs/>
        </w:rPr>
        <w:t>and</w:t>
      </w:r>
      <w:r w:rsidR="008243CA" w:rsidRPr="0009708F">
        <w:rPr>
          <w:i/>
          <w:iCs/>
        </w:rPr>
        <w:t xml:space="preserve"> </w:t>
      </w:r>
      <w:r w:rsidRPr="0009708F">
        <w:rPr>
          <w:i/>
          <w:iCs/>
        </w:rPr>
        <w:t>medicine</w:t>
      </w:r>
      <w:r w:rsidR="008243CA" w:rsidRPr="0009708F">
        <w:rPr>
          <w:i/>
          <w:iCs/>
        </w:rPr>
        <w:t xml:space="preserve"> </w:t>
      </w:r>
      <w:r w:rsidRPr="0009708F">
        <w:rPr>
          <w:i/>
          <w:iCs/>
        </w:rPr>
        <w:t>as</w:t>
      </w:r>
      <w:r w:rsidR="008243CA" w:rsidRPr="0009708F">
        <w:rPr>
          <w:i/>
          <w:iCs/>
        </w:rPr>
        <w:t xml:space="preserve"> </w:t>
      </w:r>
      <w:r w:rsidRPr="0009708F">
        <w:rPr>
          <w:i/>
          <w:iCs/>
        </w:rPr>
        <w:t>an</w:t>
      </w:r>
      <w:r w:rsidR="008243CA" w:rsidRPr="0009708F">
        <w:rPr>
          <w:i/>
          <w:iCs/>
        </w:rPr>
        <w:t xml:space="preserve"> </w:t>
      </w:r>
      <w:r w:rsidRPr="0009708F">
        <w:rPr>
          <w:i/>
          <w:iCs/>
        </w:rPr>
        <w:t>alternative</w:t>
      </w:r>
      <w:r w:rsidR="008243CA" w:rsidRPr="0009708F">
        <w:rPr>
          <w:i/>
          <w:iCs/>
        </w:rPr>
        <w:t xml:space="preserve"> </w:t>
      </w:r>
      <w:r w:rsidRPr="0009708F">
        <w:rPr>
          <w:i/>
          <w:iCs/>
        </w:rPr>
        <w:t>or</w:t>
      </w:r>
      <w:r w:rsidR="008243CA" w:rsidRPr="0009708F">
        <w:rPr>
          <w:i/>
          <w:iCs/>
        </w:rPr>
        <w:t xml:space="preserve"> </w:t>
      </w:r>
      <w:r w:rsidRPr="0009708F">
        <w:rPr>
          <w:i/>
          <w:iCs/>
        </w:rPr>
        <w:t>in</w:t>
      </w:r>
      <w:r w:rsidR="008243CA" w:rsidRPr="0009708F">
        <w:rPr>
          <w:i/>
          <w:iCs/>
        </w:rPr>
        <w:t xml:space="preserve"> </w:t>
      </w:r>
      <w:r w:rsidRPr="0009708F">
        <w:rPr>
          <w:i/>
          <w:iCs/>
        </w:rPr>
        <w:t>addition</w:t>
      </w:r>
      <w:r w:rsidR="008243CA" w:rsidRPr="0009708F">
        <w:rPr>
          <w:i/>
          <w:iCs/>
        </w:rPr>
        <w:t xml:space="preserve"> </w:t>
      </w:r>
      <w:r w:rsidRPr="0009708F">
        <w:rPr>
          <w:i/>
          <w:iCs/>
        </w:rPr>
        <w:t>to</w:t>
      </w:r>
      <w:r w:rsidR="008243CA" w:rsidRPr="0009708F">
        <w:rPr>
          <w:i/>
          <w:iCs/>
        </w:rPr>
        <w:t xml:space="preserve"> </w:t>
      </w:r>
      <w:r w:rsidRPr="0009708F">
        <w:rPr>
          <w:i/>
          <w:iCs/>
        </w:rPr>
        <w:t>regular</w:t>
      </w:r>
      <w:r w:rsidR="008243CA" w:rsidRPr="0009708F">
        <w:rPr>
          <w:i/>
          <w:iCs/>
        </w:rPr>
        <w:t xml:space="preserve"> </w:t>
      </w:r>
      <w:r w:rsidRPr="0009708F">
        <w:rPr>
          <w:i/>
          <w:iCs/>
        </w:rPr>
        <w:t>treatment</w:t>
      </w:r>
      <w:r w:rsidR="008243CA" w:rsidRPr="0009708F">
        <w:rPr>
          <w:i/>
          <w:iCs/>
        </w:rPr>
        <w:t xml:space="preserve"> </w:t>
      </w:r>
      <w:r w:rsidRPr="0009708F">
        <w:rPr>
          <w:i/>
          <w:iCs/>
        </w:rPr>
        <w:t>may</w:t>
      </w:r>
      <w:r w:rsidR="008243CA" w:rsidRPr="0009708F">
        <w:rPr>
          <w:i/>
          <w:iCs/>
        </w:rPr>
        <w:t xml:space="preserve"> </w:t>
      </w:r>
      <w:r w:rsidRPr="0009708F">
        <w:rPr>
          <w:i/>
          <w:iCs/>
        </w:rPr>
        <w:t>do</w:t>
      </w:r>
      <w:r w:rsidR="008243CA" w:rsidRPr="0009708F">
        <w:rPr>
          <w:i/>
          <w:iCs/>
        </w:rPr>
        <w:t xml:space="preserve"> </w:t>
      </w:r>
      <w:r w:rsidRPr="0009708F">
        <w:rPr>
          <w:i/>
          <w:iCs/>
        </w:rPr>
        <w:t>so.</w:t>
      </w:r>
    </w:p>
    <w:p w:rsidR="003F7D03" w:rsidRPr="00E62FE6" w:rsidRDefault="003F7D03" w:rsidP="000C6D98">
      <w:pPr>
        <w:pStyle w:val="SingleTxtG"/>
      </w:pPr>
      <w:r w:rsidRPr="00E62FE6">
        <w:t>169.</w:t>
      </w:r>
      <w:r w:rsidRPr="00E62FE6">
        <w:tab/>
        <w:t>The</w:t>
      </w:r>
      <w:r w:rsidR="008243CA">
        <w:t xml:space="preserve"> </w:t>
      </w:r>
      <w:r w:rsidRPr="00E62FE6">
        <w:t>health</w:t>
      </w:r>
      <w:r w:rsidR="008243CA">
        <w:t xml:space="preserve"> </w:t>
      </w:r>
      <w:r w:rsidRPr="00E62FE6">
        <w:t>of</w:t>
      </w:r>
      <w:r w:rsidR="008243CA">
        <w:t xml:space="preserve"> </w:t>
      </w:r>
      <w:proofErr w:type="spellStart"/>
      <w:r w:rsidRPr="00E62FE6">
        <w:t>Mapuche</w:t>
      </w:r>
      <w:proofErr w:type="spellEnd"/>
      <w:r w:rsidR="008243CA">
        <w:t xml:space="preserve"> </w:t>
      </w:r>
      <w:r w:rsidRPr="00E62FE6">
        <w:t>detainees</w:t>
      </w:r>
      <w:r w:rsidR="008243CA">
        <w:t xml:space="preserve"> </w:t>
      </w:r>
      <w:r w:rsidRPr="00E62FE6">
        <w:t>is</w:t>
      </w:r>
      <w:r w:rsidR="008243CA">
        <w:t xml:space="preserve"> </w:t>
      </w:r>
      <w:r w:rsidRPr="00E62FE6">
        <w:t>a</w:t>
      </w:r>
      <w:r w:rsidR="008243CA">
        <w:t xml:space="preserve"> </w:t>
      </w:r>
      <w:r w:rsidRPr="00E62FE6">
        <w:t>topic</w:t>
      </w:r>
      <w:r w:rsidR="008243CA">
        <w:t xml:space="preserve"> </w:t>
      </w:r>
      <w:r w:rsidRPr="00E62FE6">
        <w:t>that</w:t>
      </w:r>
      <w:r w:rsidR="008243CA">
        <w:t xml:space="preserve"> </w:t>
      </w:r>
      <w:r w:rsidRPr="00E62FE6">
        <w:t>is</w:t>
      </w:r>
      <w:r w:rsidR="008243CA">
        <w:t xml:space="preserve"> </w:t>
      </w:r>
      <w:r w:rsidRPr="00E62FE6">
        <w:t>addressed</w:t>
      </w:r>
      <w:r w:rsidR="008243CA">
        <w:t xml:space="preserve"> </w:t>
      </w:r>
      <w:r w:rsidRPr="00E62FE6">
        <w:t>by</w:t>
      </w:r>
      <w:r w:rsidR="008243CA">
        <w:t xml:space="preserve"> </w:t>
      </w:r>
      <w:r w:rsidRPr="00E62FE6">
        <w:t>the</w:t>
      </w:r>
      <w:r w:rsidR="008243CA">
        <w:t xml:space="preserve"> </w:t>
      </w:r>
      <w:r w:rsidRPr="00E62FE6">
        <w:t>agreement</w:t>
      </w:r>
      <w:r w:rsidR="008243CA">
        <w:t xml:space="preserve"> </w:t>
      </w:r>
      <w:r w:rsidRPr="00E62FE6">
        <w:t>between</w:t>
      </w:r>
      <w:r w:rsidR="008243CA">
        <w:t xml:space="preserve"> </w:t>
      </w:r>
      <w:r w:rsidRPr="00E62FE6">
        <w:t>the</w:t>
      </w:r>
      <w:r w:rsidR="008243CA">
        <w:t xml:space="preserve"> </w:t>
      </w:r>
      <w:r w:rsidRPr="00E62FE6">
        <w:t>Prison</w:t>
      </w:r>
      <w:r w:rsidR="008243CA">
        <w:t xml:space="preserve"> </w:t>
      </w:r>
      <w:r w:rsidRPr="00E62FE6">
        <w:t>Service</w:t>
      </w:r>
      <w:r w:rsidR="008243CA">
        <w:t xml:space="preserve"> </w:t>
      </w:r>
      <w:r w:rsidRPr="00E62FE6">
        <w:t>and</w:t>
      </w:r>
      <w:r w:rsidR="008243CA">
        <w:t xml:space="preserve"> </w:t>
      </w:r>
      <w:r w:rsidRPr="00E62FE6">
        <w:t>the</w:t>
      </w:r>
      <w:r w:rsidR="008243CA">
        <w:t xml:space="preserve"> </w:t>
      </w:r>
      <w:r w:rsidRPr="00E62FE6">
        <w:t>Catholic</w:t>
      </w:r>
      <w:r w:rsidR="008243CA">
        <w:t xml:space="preserve"> </w:t>
      </w:r>
      <w:r w:rsidRPr="00E62FE6">
        <w:t>University</w:t>
      </w:r>
      <w:r w:rsidR="008243CA">
        <w:t xml:space="preserve"> </w:t>
      </w:r>
      <w:r w:rsidRPr="00E62FE6">
        <w:t>of</w:t>
      </w:r>
      <w:r w:rsidR="008243CA">
        <w:t xml:space="preserve"> </w:t>
      </w:r>
      <w:r w:rsidRPr="00E62FE6">
        <w:t>Temuco.</w:t>
      </w:r>
      <w:r w:rsidR="008243CA">
        <w:t xml:space="preserve"> </w:t>
      </w:r>
      <w:r w:rsidRPr="00E62FE6">
        <w:t>In</w:t>
      </w:r>
      <w:r w:rsidR="008243CA">
        <w:t xml:space="preserve"> </w:t>
      </w:r>
      <w:r w:rsidRPr="00E62FE6">
        <w:t>this</w:t>
      </w:r>
      <w:r w:rsidR="008243CA">
        <w:t xml:space="preserve"> </w:t>
      </w:r>
      <w:r w:rsidRPr="00E62FE6">
        <w:t>regard,</w:t>
      </w:r>
      <w:r w:rsidR="008243CA">
        <w:t xml:space="preserve"> </w:t>
      </w:r>
      <w:r w:rsidRPr="00E62FE6">
        <w:t>the</w:t>
      </w:r>
      <w:r w:rsidR="008243CA">
        <w:t xml:space="preserve"> </w:t>
      </w:r>
      <w:r w:rsidRPr="00E62FE6">
        <w:t>two</w:t>
      </w:r>
      <w:r w:rsidR="008243CA">
        <w:t xml:space="preserve"> </w:t>
      </w:r>
      <w:r w:rsidRPr="00E62FE6">
        <w:t>institutions</w:t>
      </w:r>
      <w:r w:rsidR="008243CA">
        <w:t xml:space="preserve"> </w:t>
      </w:r>
      <w:r w:rsidRPr="00E62FE6">
        <w:t>should</w:t>
      </w:r>
      <w:r w:rsidR="008243CA">
        <w:t xml:space="preserve"> </w:t>
      </w:r>
      <w:r w:rsidRPr="00E62FE6">
        <w:t>agree</w:t>
      </w:r>
      <w:r w:rsidR="008243CA">
        <w:t xml:space="preserve"> </w:t>
      </w:r>
      <w:r w:rsidRPr="00E62FE6">
        <w:t>on</w:t>
      </w:r>
      <w:r w:rsidR="008243CA">
        <w:t xml:space="preserve"> </w:t>
      </w:r>
      <w:r w:rsidRPr="00E62FE6">
        <w:t>specific</w:t>
      </w:r>
      <w:r w:rsidR="008243CA">
        <w:t xml:space="preserve"> </w:t>
      </w:r>
      <w:r w:rsidRPr="00E62FE6">
        <w:t>cooperation</w:t>
      </w:r>
      <w:r w:rsidR="008243CA">
        <w:t xml:space="preserve"> </w:t>
      </w:r>
      <w:r w:rsidRPr="00E62FE6">
        <w:t>activities</w:t>
      </w:r>
      <w:r w:rsidR="008243CA">
        <w:t xml:space="preserve"> </w:t>
      </w:r>
      <w:r w:rsidRPr="00E62FE6">
        <w:t>in</w:t>
      </w:r>
      <w:r w:rsidR="008243CA">
        <w:t xml:space="preserve"> </w:t>
      </w:r>
      <w:r w:rsidRPr="00E62FE6">
        <w:t>the</w:t>
      </w:r>
      <w:r w:rsidR="008243CA">
        <w:t xml:space="preserve"> </w:t>
      </w:r>
      <w:r w:rsidRPr="00E62FE6">
        <w:t>area</w:t>
      </w:r>
      <w:r w:rsidR="008243CA">
        <w:t xml:space="preserve"> </w:t>
      </w:r>
      <w:r w:rsidRPr="00E62FE6">
        <w:t>of</w:t>
      </w:r>
      <w:r w:rsidR="008243CA">
        <w:t xml:space="preserve"> </w:t>
      </w:r>
      <w:r w:rsidRPr="00E62FE6">
        <w:t>health,</w:t>
      </w:r>
      <w:r w:rsidR="008243CA">
        <w:t xml:space="preserve"> </w:t>
      </w:r>
      <w:r w:rsidRPr="00E62FE6">
        <w:t>favouring</w:t>
      </w:r>
      <w:r w:rsidR="008243CA">
        <w:t xml:space="preserve"> </w:t>
      </w:r>
      <w:r w:rsidRPr="00E62FE6">
        <w:t>the</w:t>
      </w:r>
      <w:r w:rsidR="008243CA">
        <w:t xml:space="preserve"> </w:t>
      </w:r>
      <w:r w:rsidRPr="00E62FE6">
        <w:t>integration</w:t>
      </w:r>
      <w:r w:rsidR="008243CA">
        <w:t xml:space="preserve"> </w:t>
      </w:r>
      <w:r w:rsidRPr="00E62FE6">
        <w:t>of</w:t>
      </w:r>
      <w:r w:rsidR="008243CA">
        <w:t xml:space="preserve"> </w:t>
      </w:r>
      <w:proofErr w:type="spellStart"/>
      <w:r w:rsidRPr="00E62FE6">
        <w:t>Mapuche</w:t>
      </w:r>
      <w:proofErr w:type="spellEnd"/>
      <w:r w:rsidR="008243CA">
        <w:t xml:space="preserve"> </w:t>
      </w:r>
      <w:r w:rsidRPr="00E62FE6">
        <w:t>intercultural</w:t>
      </w:r>
      <w:r w:rsidR="008243CA">
        <w:t xml:space="preserve"> </w:t>
      </w:r>
      <w:r w:rsidRPr="00E62FE6">
        <w:t>health</w:t>
      </w:r>
      <w:r w:rsidR="008243CA">
        <w:t xml:space="preserve"> </w:t>
      </w:r>
      <w:r w:rsidRPr="00E62FE6">
        <w:t>or</w:t>
      </w:r>
      <w:r w:rsidR="008243CA">
        <w:t xml:space="preserve"> </w:t>
      </w:r>
      <w:r w:rsidRPr="00E62FE6">
        <w:t>complementary</w:t>
      </w:r>
      <w:r w:rsidR="008243CA">
        <w:t xml:space="preserve"> </w:t>
      </w:r>
      <w:r w:rsidRPr="00E62FE6">
        <w:t>health</w:t>
      </w:r>
      <w:r w:rsidR="008243CA">
        <w:t xml:space="preserve"> </w:t>
      </w:r>
      <w:r w:rsidRPr="00E62FE6">
        <w:t>care</w:t>
      </w:r>
      <w:r w:rsidR="008243CA">
        <w:t xml:space="preserve"> </w:t>
      </w:r>
      <w:r w:rsidRPr="00E62FE6">
        <w:t>into</w:t>
      </w:r>
      <w:r w:rsidR="008243CA">
        <w:t xml:space="preserve"> </w:t>
      </w:r>
      <w:r w:rsidRPr="00E62FE6">
        <w:t>the</w:t>
      </w:r>
      <w:r w:rsidR="008243CA">
        <w:t xml:space="preserve"> </w:t>
      </w:r>
      <w:r w:rsidRPr="00E62FE6">
        <w:t>planning</w:t>
      </w:r>
      <w:r w:rsidR="008243CA">
        <w:t xml:space="preserve"> </w:t>
      </w:r>
      <w:r w:rsidRPr="00E62FE6">
        <w:t>of</w:t>
      </w:r>
      <w:r w:rsidR="008243CA">
        <w:t xml:space="preserve"> </w:t>
      </w:r>
      <w:r w:rsidRPr="00E62FE6">
        <w:t>activities</w:t>
      </w:r>
      <w:r w:rsidR="008243CA">
        <w:t xml:space="preserve"> </w:t>
      </w:r>
      <w:r w:rsidRPr="00E62FE6">
        <w:t>to</w:t>
      </w:r>
      <w:r w:rsidR="008243CA">
        <w:t xml:space="preserve"> </w:t>
      </w:r>
      <w:r w:rsidRPr="00E62FE6">
        <w:t>be</w:t>
      </w:r>
      <w:r w:rsidR="008243CA">
        <w:t xml:space="preserve"> </w:t>
      </w:r>
      <w:r w:rsidRPr="00E62FE6">
        <w:t>carried</w:t>
      </w:r>
      <w:r w:rsidR="008243CA">
        <w:t xml:space="preserve"> </w:t>
      </w:r>
      <w:r w:rsidRPr="00E62FE6">
        <w:t>out</w:t>
      </w:r>
      <w:r w:rsidR="008243CA">
        <w:t xml:space="preserve"> </w:t>
      </w:r>
      <w:r w:rsidRPr="00E62FE6">
        <w:t>at</w:t>
      </w:r>
      <w:r w:rsidR="008243CA">
        <w:t xml:space="preserve"> </w:t>
      </w:r>
      <w:r w:rsidRPr="00E62FE6">
        <w:t>Prison</w:t>
      </w:r>
      <w:r w:rsidR="008243CA">
        <w:t xml:space="preserve"> </w:t>
      </w:r>
      <w:r w:rsidRPr="00E62FE6">
        <w:t>Service</w:t>
      </w:r>
      <w:r w:rsidR="008243CA">
        <w:t xml:space="preserve"> </w:t>
      </w:r>
      <w:r w:rsidRPr="00E62FE6">
        <w:t>facilities</w:t>
      </w:r>
      <w:r w:rsidR="008243CA">
        <w:t xml:space="preserve"> </w:t>
      </w:r>
      <w:r w:rsidRPr="00E62FE6">
        <w:t>in</w:t>
      </w:r>
      <w:r w:rsidR="008243CA">
        <w:t xml:space="preserve"> </w:t>
      </w:r>
      <w:r w:rsidRPr="00E62FE6">
        <w:t>the</w:t>
      </w:r>
      <w:r w:rsidR="008243CA">
        <w:t xml:space="preserve"> </w:t>
      </w:r>
      <w:r w:rsidRPr="00E62FE6">
        <w:t>Araucanía</w:t>
      </w:r>
      <w:r w:rsidR="008243CA">
        <w:t xml:space="preserve"> </w:t>
      </w:r>
      <w:r w:rsidRPr="00E62FE6">
        <w:t>Region.</w:t>
      </w:r>
    </w:p>
    <w:p w:rsidR="003F7D03" w:rsidRPr="00E62FE6" w:rsidRDefault="003F7D03" w:rsidP="000C6D98">
      <w:pPr>
        <w:pStyle w:val="SingleTxtG"/>
      </w:pPr>
      <w:r w:rsidRPr="00E62FE6">
        <w:t>170.</w:t>
      </w:r>
      <w:r w:rsidRPr="00E62FE6">
        <w:tab/>
        <w:t>In</w:t>
      </w:r>
      <w:r w:rsidR="008243CA">
        <w:t xml:space="preserve"> </w:t>
      </w:r>
      <w:r w:rsidRPr="00E62FE6">
        <w:t>this</w:t>
      </w:r>
      <w:r w:rsidR="008243CA">
        <w:t xml:space="preserve"> </w:t>
      </w:r>
      <w:r w:rsidRPr="00E62FE6">
        <w:t>context,</w:t>
      </w:r>
      <w:r w:rsidR="008243CA">
        <w:t xml:space="preserve"> </w:t>
      </w:r>
      <w:r w:rsidRPr="00E62FE6">
        <w:t>the</w:t>
      </w:r>
      <w:r w:rsidR="008243CA">
        <w:t xml:space="preserve"> </w:t>
      </w:r>
      <w:r w:rsidRPr="00E62FE6">
        <w:t>Catholic</w:t>
      </w:r>
      <w:r w:rsidR="008243CA">
        <w:t xml:space="preserve"> </w:t>
      </w:r>
      <w:r w:rsidRPr="00E62FE6">
        <w:t>University</w:t>
      </w:r>
      <w:r w:rsidR="008243CA">
        <w:t xml:space="preserve"> </w:t>
      </w:r>
      <w:r w:rsidRPr="00E62FE6">
        <w:t>of</w:t>
      </w:r>
      <w:r w:rsidR="008243CA">
        <w:t xml:space="preserve"> </w:t>
      </w:r>
      <w:r w:rsidRPr="00E62FE6">
        <w:t>Temuco</w:t>
      </w:r>
      <w:r w:rsidR="008243CA">
        <w:t xml:space="preserve"> </w:t>
      </w:r>
      <w:r w:rsidRPr="00E62FE6">
        <w:t>delivers</w:t>
      </w:r>
      <w:r w:rsidR="008243CA">
        <w:t xml:space="preserve"> </w:t>
      </w:r>
      <w:r w:rsidRPr="00E62FE6">
        <w:t>kits</w:t>
      </w:r>
      <w:r w:rsidR="008243CA">
        <w:t xml:space="preserve"> </w:t>
      </w:r>
      <w:r w:rsidRPr="00E62FE6">
        <w:t>or</w:t>
      </w:r>
      <w:r w:rsidR="008243CA">
        <w:t xml:space="preserve"> </w:t>
      </w:r>
      <w:r w:rsidRPr="00E62FE6">
        <w:t>cases</w:t>
      </w:r>
      <w:r w:rsidR="008243CA">
        <w:t xml:space="preserve"> </w:t>
      </w:r>
      <w:r w:rsidRPr="00E62FE6">
        <w:t>containing</w:t>
      </w:r>
      <w:r w:rsidR="008243CA">
        <w:t xml:space="preserve"> </w:t>
      </w:r>
      <w:proofErr w:type="spellStart"/>
      <w:r w:rsidRPr="00E62FE6">
        <w:t>Mapuche</w:t>
      </w:r>
      <w:proofErr w:type="spellEnd"/>
      <w:r w:rsidR="008243CA">
        <w:t xml:space="preserve"> </w:t>
      </w:r>
      <w:r w:rsidRPr="00E62FE6">
        <w:t>medicinal</w:t>
      </w:r>
      <w:r w:rsidR="008243CA">
        <w:t xml:space="preserve"> </w:t>
      </w:r>
      <w:r w:rsidRPr="00E62FE6">
        <w:t>inputs.</w:t>
      </w:r>
      <w:r w:rsidRPr="00116F0B">
        <w:rPr>
          <w:rStyle w:val="FootnoteReference"/>
        </w:rPr>
        <w:footnoteReference w:id="61"/>
      </w:r>
      <w:r w:rsidR="008243CA">
        <w:t xml:space="preserve"> </w:t>
      </w:r>
      <w:r w:rsidRPr="00E62FE6">
        <w:t>It</w:t>
      </w:r>
      <w:r w:rsidR="008243CA">
        <w:t xml:space="preserve"> </w:t>
      </w:r>
      <w:r w:rsidRPr="00E62FE6">
        <w:t>is</w:t>
      </w:r>
      <w:r w:rsidR="008243CA">
        <w:t xml:space="preserve"> </w:t>
      </w:r>
      <w:r w:rsidRPr="00E62FE6">
        <w:t>committed</w:t>
      </w:r>
      <w:r w:rsidR="008243CA">
        <w:t xml:space="preserve"> </w:t>
      </w:r>
      <w:r w:rsidRPr="00E62FE6">
        <w:t>to</w:t>
      </w:r>
      <w:r w:rsidR="008243CA">
        <w:t xml:space="preserve"> </w:t>
      </w:r>
      <w:r w:rsidRPr="00E62FE6">
        <w:t>replenishing</w:t>
      </w:r>
      <w:r w:rsidR="008243CA">
        <w:t xml:space="preserve"> </w:t>
      </w:r>
      <w:r w:rsidRPr="00E62FE6">
        <w:t>these</w:t>
      </w:r>
      <w:r w:rsidR="008243CA">
        <w:t xml:space="preserve"> </w:t>
      </w:r>
      <w:r w:rsidRPr="00E62FE6">
        <w:t>medicinal</w:t>
      </w:r>
      <w:r w:rsidR="008243CA">
        <w:t xml:space="preserve"> </w:t>
      </w:r>
      <w:r w:rsidRPr="00E62FE6">
        <w:t>inputs</w:t>
      </w:r>
      <w:r w:rsidR="008243CA">
        <w:t xml:space="preserve"> </w:t>
      </w:r>
      <w:r w:rsidRPr="00E62FE6">
        <w:t>and</w:t>
      </w:r>
      <w:r w:rsidR="008243CA">
        <w:t xml:space="preserve"> </w:t>
      </w:r>
      <w:r w:rsidRPr="00E62FE6">
        <w:t>to</w:t>
      </w:r>
      <w:r w:rsidR="008243CA">
        <w:t xml:space="preserve"> </w:t>
      </w:r>
      <w:r w:rsidRPr="00E62FE6">
        <w:t>providing</w:t>
      </w:r>
      <w:r w:rsidR="008243CA">
        <w:t xml:space="preserve"> </w:t>
      </w:r>
      <w:r w:rsidRPr="00E62FE6">
        <w:t>training</w:t>
      </w:r>
      <w:r w:rsidR="008243CA">
        <w:t xml:space="preserve"> </w:t>
      </w:r>
      <w:r w:rsidRPr="00E62FE6">
        <w:t>for</w:t>
      </w:r>
      <w:r w:rsidR="008243CA">
        <w:t xml:space="preserve"> </w:t>
      </w:r>
      <w:r w:rsidRPr="00E62FE6">
        <w:t>the</w:t>
      </w:r>
      <w:r w:rsidR="008243CA">
        <w:t xml:space="preserve"> </w:t>
      </w:r>
      <w:r w:rsidRPr="00E62FE6">
        <w:t>health</w:t>
      </w:r>
      <w:r w:rsidR="008243CA">
        <w:t xml:space="preserve"> </w:t>
      </w:r>
      <w:r w:rsidRPr="00E62FE6">
        <w:t>personnel</w:t>
      </w:r>
      <w:r w:rsidR="008243CA">
        <w:t xml:space="preserve"> </w:t>
      </w:r>
      <w:r w:rsidRPr="00E62FE6">
        <w:t>of</w:t>
      </w:r>
      <w:r w:rsidR="008243CA">
        <w:t xml:space="preserve"> </w:t>
      </w:r>
      <w:r w:rsidRPr="00E62FE6">
        <w:t>the</w:t>
      </w:r>
      <w:r w:rsidR="008243CA">
        <w:t xml:space="preserve"> </w:t>
      </w:r>
      <w:r w:rsidRPr="00E62FE6">
        <w:t>establishments</w:t>
      </w:r>
      <w:r w:rsidR="008243CA">
        <w:t xml:space="preserve"> </w:t>
      </w:r>
      <w:r w:rsidRPr="00E62FE6">
        <w:t>participating</w:t>
      </w:r>
      <w:r w:rsidR="008243CA">
        <w:t xml:space="preserve"> </w:t>
      </w:r>
      <w:r w:rsidRPr="00E62FE6">
        <w:t>in</w:t>
      </w:r>
      <w:r w:rsidR="008243CA">
        <w:t xml:space="preserve"> </w:t>
      </w:r>
      <w:r w:rsidRPr="00E62FE6">
        <w:t>the</w:t>
      </w:r>
      <w:r w:rsidR="008243CA">
        <w:t xml:space="preserve"> </w:t>
      </w:r>
      <w:r w:rsidRPr="00E62FE6">
        <w:t>agreement.</w:t>
      </w:r>
      <w:r w:rsidRPr="00116F0B">
        <w:rPr>
          <w:rStyle w:val="FootnoteReference"/>
        </w:rPr>
        <w:footnoteReference w:id="62"/>
      </w:r>
    </w:p>
    <w:p w:rsidR="003F7D03" w:rsidRPr="00E62FE6" w:rsidRDefault="003F7D03" w:rsidP="000C6D98">
      <w:pPr>
        <w:pStyle w:val="SingleTxtG"/>
      </w:pPr>
      <w:r w:rsidRPr="00E62FE6">
        <w:t>171.</w:t>
      </w:r>
      <w:r w:rsidRPr="00E62FE6">
        <w:tab/>
        <w:t>SENAME</w:t>
      </w:r>
      <w:r w:rsidR="008243CA">
        <w:t xml:space="preserve"> </w:t>
      </w:r>
      <w:r w:rsidRPr="00E62FE6">
        <w:t>and</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Health</w:t>
      </w:r>
      <w:r w:rsidR="008243CA">
        <w:t xml:space="preserve"> </w:t>
      </w:r>
      <w:r w:rsidRPr="00E62FE6">
        <w:t>will</w:t>
      </w:r>
      <w:r w:rsidR="008243CA">
        <w:t xml:space="preserve"> </w:t>
      </w:r>
      <w:r w:rsidRPr="00E62FE6">
        <w:t>establish</w:t>
      </w:r>
      <w:r w:rsidR="008243CA">
        <w:t xml:space="preserve"> </w:t>
      </w:r>
      <w:r w:rsidRPr="00E62FE6">
        <w:t>a</w:t>
      </w:r>
      <w:r w:rsidR="008243CA">
        <w:t xml:space="preserve"> </w:t>
      </w:r>
      <w:r w:rsidRPr="00E62FE6">
        <w:t>working</w:t>
      </w:r>
      <w:r w:rsidR="008243CA">
        <w:t xml:space="preserve"> </w:t>
      </w:r>
      <w:r w:rsidRPr="00E62FE6">
        <w:t>group</w:t>
      </w:r>
      <w:r w:rsidR="008243CA">
        <w:t xml:space="preserve"> </w:t>
      </w:r>
      <w:r w:rsidRPr="00E62FE6">
        <w:t>to</w:t>
      </w:r>
      <w:r w:rsidR="008243CA">
        <w:t xml:space="preserve"> </w:t>
      </w:r>
      <w:r w:rsidRPr="00E62FE6">
        <w:t>develop</w:t>
      </w:r>
      <w:r w:rsidR="008243CA">
        <w:t xml:space="preserve"> </w:t>
      </w:r>
      <w:r w:rsidRPr="00E62FE6">
        <w:t>a</w:t>
      </w:r>
      <w:r w:rsidR="008243CA">
        <w:t xml:space="preserve"> </w:t>
      </w:r>
      <w:r w:rsidRPr="00E62FE6">
        <w:t>protocol</w:t>
      </w:r>
      <w:r w:rsidR="008243CA">
        <w:t xml:space="preserve"> </w:t>
      </w:r>
      <w:r w:rsidRPr="00E62FE6">
        <w:t>for</w:t>
      </w:r>
      <w:r w:rsidR="008243CA">
        <w:t xml:space="preserve"> </w:t>
      </w:r>
      <w:r w:rsidRPr="00E62FE6">
        <w:t>the</w:t>
      </w:r>
      <w:r w:rsidR="008243CA">
        <w:t xml:space="preserve"> </w:t>
      </w:r>
      <w:r w:rsidRPr="00E62FE6">
        <w:t>inclusion</w:t>
      </w:r>
      <w:r w:rsidR="008243CA">
        <w:t xml:space="preserve"> </w:t>
      </w:r>
      <w:r w:rsidRPr="00E62FE6">
        <w:t>of</w:t>
      </w:r>
      <w:r w:rsidR="008243CA">
        <w:t xml:space="preserve"> </w:t>
      </w:r>
      <w:r w:rsidRPr="00E62FE6">
        <w:t>ancestral</w:t>
      </w:r>
      <w:r w:rsidR="008243CA">
        <w:t xml:space="preserve"> </w:t>
      </w:r>
      <w:r w:rsidRPr="00E62FE6">
        <w:t>medicine</w:t>
      </w:r>
      <w:r w:rsidR="008243CA">
        <w:t xml:space="preserve"> </w:t>
      </w:r>
      <w:r w:rsidRPr="00E62FE6">
        <w:t>among</w:t>
      </w:r>
      <w:r w:rsidR="008243CA">
        <w:t xml:space="preserve"> </w:t>
      </w:r>
      <w:r w:rsidRPr="00E62FE6">
        <w:t>the</w:t>
      </w:r>
      <w:r w:rsidR="008243CA">
        <w:t xml:space="preserve"> </w:t>
      </w:r>
      <w:r w:rsidRPr="00E62FE6">
        <w:t>interventions</w:t>
      </w:r>
      <w:r w:rsidR="008243CA">
        <w:t xml:space="preserve"> </w:t>
      </w:r>
      <w:r w:rsidRPr="00E62FE6">
        <w:t>of</w:t>
      </w:r>
      <w:r w:rsidR="008243CA">
        <w:t xml:space="preserve"> </w:t>
      </w:r>
      <w:r w:rsidRPr="00E62FE6">
        <w:t>the</w:t>
      </w:r>
      <w:r w:rsidR="008243CA">
        <w:t xml:space="preserve"> </w:t>
      </w:r>
      <w:r w:rsidRPr="00E62FE6">
        <w:t>health</w:t>
      </w:r>
      <w:r w:rsidR="008243CA">
        <w:t xml:space="preserve"> </w:t>
      </w:r>
      <w:r w:rsidRPr="00E62FE6">
        <w:t>units</w:t>
      </w:r>
      <w:r w:rsidR="008243CA">
        <w:t xml:space="preserve"> </w:t>
      </w:r>
      <w:r w:rsidRPr="00E62FE6">
        <w:t>of</w:t>
      </w:r>
      <w:r w:rsidR="008243CA">
        <w:t xml:space="preserve"> </w:t>
      </w:r>
      <w:r w:rsidRPr="00E62FE6">
        <w:t>directly</w:t>
      </w:r>
      <w:r w:rsidR="008243CA">
        <w:t xml:space="preserve"> </w:t>
      </w:r>
      <w:r w:rsidRPr="00E62FE6">
        <w:t>administered</w:t>
      </w:r>
      <w:r w:rsidR="008243CA">
        <w:t xml:space="preserve"> </w:t>
      </w:r>
      <w:r w:rsidRPr="00E62FE6">
        <w:t>centres.</w:t>
      </w:r>
      <w:r w:rsidR="008243CA">
        <w:t xml:space="preserve"> </w:t>
      </w:r>
      <w:r w:rsidRPr="00E62FE6">
        <w:t>Moreover,</w:t>
      </w:r>
      <w:r w:rsidR="008243CA">
        <w:t xml:space="preserve"> </w:t>
      </w:r>
      <w:r w:rsidRPr="00E62FE6">
        <w:t>the</w:t>
      </w:r>
      <w:r w:rsidR="008243CA">
        <w:t xml:space="preserve"> </w:t>
      </w:r>
      <w:r w:rsidRPr="00E62FE6">
        <w:t>plan</w:t>
      </w:r>
      <w:r w:rsidR="008243CA">
        <w:t xml:space="preserve"> </w:t>
      </w:r>
      <w:r w:rsidRPr="00E62FE6">
        <w:t>is</w:t>
      </w:r>
      <w:r w:rsidR="008243CA">
        <w:t xml:space="preserve"> </w:t>
      </w:r>
      <w:r w:rsidRPr="00E62FE6">
        <w:t>for</w:t>
      </w:r>
      <w:r w:rsidR="008243CA">
        <w:t xml:space="preserve"> </w:t>
      </w:r>
      <w:r w:rsidRPr="00E62FE6">
        <w:t>officials</w:t>
      </w:r>
      <w:r w:rsidR="008243CA">
        <w:t xml:space="preserve"> </w:t>
      </w:r>
      <w:r w:rsidRPr="00E62FE6">
        <w:t>in</w:t>
      </w:r>
      <w:r w:rsidR="008243CA">
        <w:t xml:space="preserve"> </w:t>
      </w:r>
      <w:r w:rsidRPr="00E62FE6">
        <w:t>the</w:t>
      </w:r>
      <w:r w:rsidR="008243CA">
        <w:t xml:space="preserve"> </w:t>
      </w:r>
      <w:r w:rsidRPr="00E62FE6">
        <w:t>region</w:t>
      </w:r>
      <w:r w:rsidR="008243CA">
        <w:t xml:space="preserve"> </w:t>
      </w:r>
      <w:r w:rsidRPr="00E62FE6">
        <w:t>to</w:t>
      </w:r>
      <w:r w:rsidR="008243CA">
        <w:t xml:space="preserve"> </w:t>
      </w:r>
      <w:r w:rsidRPr="00E62FE6">
        <w:t>receive</w:t>
      </w:r>
      <w:r w:rsidR="008243CA">
        <w:t xml:space="preserve"> </w:t>
      </w:r>
      <w:r w:rsidRPr="00E62FE6">
        <w:t>training</w:t>
      </w:r>
      <w:r w:rsidR="008243CA">
        <w:t xml:space="preserve"> </w:t>
      </w:r>
      <w:r w:rsidRPr="00E62FE6">
        <w:t>on</w:t>
      </w:r>
      <w:r w:rsidR="008243CA">
        <w:t xml:space="preserve"> </w:t>
      </w:r>
      <w:r w:rsidRPr="00E62FE6">
        <w:t>General</w:t>
      </w:r>
      <w:r w:rsidR="008243CA">
        <w:t xml:space="preserve"> </w:t>
      </w:r>
      <w:r w:rsidRPr="00E62FE6">
        <w:t>Administrative</w:t>
      </w:r>
      <w:r w:rsidR="008243CA">
        <w:t xml:space="preserve"> </w:t>
      </w:r>
      <w:r w:rsidRPr="00E62FE6">
        <w:t>Regulation</w:t>
      </w:r>
      <w:r w:rsidR="008243CA">
        <w:t xml:space="preserve"> </w:t>
      </w:r>
      <w:r w:rsidRPr="00E62FE6">
        <w:t>No.</w:t>
      </w:r>
      <w:r w:rsidR="008243CA">
        <w:t xml:space="preserve"> </w:t>
      </w:r>
      <w:r w:rsidRPr="00E62FE6">
        <w:t>16</w:t>
      </w:r>
      <w:r w:rsidR="008243CA">
        <w:t xml:space="preserve"> </w:t>
      </w:r>
      <w:r w:rsidRPr="00E62FE6">
        <w:t>on</w:t>
      </w:r>
      <w:r w:rsidR="008243CA">
        <w:t xml:space="preserve"> </w:t>
      </w:r>
      <w:r w:rsidRPr="00E62FE6">
        <w:t>Intercultural</w:t>
      </w:r>
      <w:r w:rsidR="008243CA">
        <w:t xml:space="preserve"> </w:t>
      </w:r>
      <w:r w:rsidRPr="00E62FE6">
        <w:t>Health</w:t>
      </w:r>
      <w:r w:rsidR="008243CA">
        <w:t xml:space="preserve"> </w:t>
      </w:r>
      <w:r w:rsidRPr="00E62FE6">
        <w:t>Services,</w:t>
      </w:r>
      <w:r w:rsidR="008243CA">
        <w:t xml:space="preserve"> </w:t>
      </w:r>
      <w:r w:rsidRPr="00E62FE6">
        <w:t>Exempt</w:t>
      </w:r>
      <w:r w:rsidR="008243CA">
        <w:t xml:space="preserve"> </w:t>
      </w:r>
      <w:r w:rsidRPr="00E62FE6">
        <w:t>Resolution</w:t>
      </w:r>
      <w:r w:rsidR="008243CA">
        <w:t xml:space="preserve"> </w:t>
      </w:r>
      <w:r w:rsidRPr="00E62FE6">
        <w:t>No.</w:t>
      </w:r>
      <w:r w:rsidR="008243CA">
        <w:t xml:space="preserve"> </w:t>
      </w:r>
      <w:r w:rsidRPr="00E62FE6">
        <w:t>261</w:t>
      </w:r>
      <w:r w:rsidR="008243CA">
        <w:t xml:space="preserve"> </w:t>
      </w:r>
      <w:r w:rsidRPr="00E62FE6">
        <w:t>of</w:t>
      </w:r>
      <w:r w:rsidR="008243CA">
        <w:t xml:space="preserve"> </w:t>
      </w:r>
      <w:r w:rsidRPr="00E62FE6">
        <w:t>2006.</w:t>
      </w:r>
      <w:r w:rsidR="008243CA">
        <w:t xml:space="preserve"> </w:t>
      </w:r>
      <w:r w:rsidRPr="00E62FE6">
        <w:t>Both</w:t>
      </w:r>
      <w:r w:rsidR="008243CA">
        <w:t xml:space="preserve"> </w:t>
      </w:r>
      <w:r w:rsidRPr="00E62FE6">
        <w:t>actions</w:t>
      </w:r>
      <w:r w:rsidR="008243CA">
        <w:t xml:space="preserve"> </w:t>
      </w:r>
      <w:r w:rsidRPr="00E62FE6">
        <w:t>are</w:t>
      </w:r>
      <w:r w:rsidR="008243CA">
        <w:t xml:space="preserve"> </w:t>
      </w:r>
      <w:r w:rsidRPr="00E62FE6">
        <w:t>due</w:t>
      </w:r>
      <w:r w:rsidR="008243CA">
        <w:t xml:space="preserve"> </w:t>
      </w:r>
      <w:r w:rsidRPr="00E62FE6">
        <w:t>to</w:t>
      </w:r>
      <w:r w:rsidR="008243CA">
        <w:t xml:space="preserve"> </w:t>
      </w:r>
      <w:r w:rsidRPr="00E62FE6">
        <w:t>be</w:t>
      </w:r>
      <w:r w:rsidR="008243CA">
        <w:t xml:space="preserve"> </w:t>
      </w:r>
      <w:r w:rsidRPr="00E62FE6">
        <w:t>implemented</w:t>
      </w:r>
      <w:r w:rsidR="008243CA">
        <w:t xml:space="preserve"> </w:t>
      </w:r>
      <w:r w:rsidRPr="00E62FE6">
        <w:t>after</w:t>
      </w:r>
      <w:r w:rsidR="008243CA">
        <w:t xml:space="preserve"> </w:t>
      </w:r>
      <w:r w:rsidRPr="00E62FE6">
        <w:t>the</w:t>
      </w:r>
      <w:r w:rsidR="008243CA">
        <w:t xml:space="preserve"> </w:t>
      </w:r>
      <w:r w:rsidRPr="00E62FE6">
        <w:t>second</w:t>
      </w:r>
      <w:r w:rsidR="008243CA">
        <w:t xml:space="preserve"> </w:t>
      </w:r>
      <w:r w:rsidRPr="00E62FE6">
        <w:t>half</w:t>
      </w:r>
      <w:r w:rsidR="008243CA">
        <w:t xml:space="preserve"> </w:t>
      </w:r>
      <w:r w:rsidRPr="00E62FE6">
        <w:t>of</w:t>
      </w:r>
      <w:r w:rsidR="008243CA">
        <w:t xml:space="preserve"> </w:t>
      </w:r>
      <w:r w:rsidRPr="00E62FE6">
        <w:t>2017.</w:t>
      </w:r>
      <w:bookmarkStart w:id="104" w:name="page42"/>
      <w:bookmarkEnd w:id="104"/>
    </w:p>
    <w:p w:rsidR="003F7D03" w:rsidRPr="00E62FE6" w:rsidRDefault="003F7D03" w:rsidP="00152385">
      <w:pPr>
        <w:pStyle w:val="H23G"/>
      </w:pPr>
      <w:r w:rsidRPr="00E62FE6">
        <w:tab/>
      </w:r>
      <w:bookmarkStart w:id="105" w:name="_Toc512870703"/>
      <w:bookmarkStart w:id="106" w:name="_Toc512870865"/>
      <w:r w:rsidRPr="00E62FE6">
        <w:t>3.4.4</w:t>
      </w:r>
      <w:r w:rsidRPr="00E62FE6">
        <w:tab/>
        <w:t>Lesbian,</w:t>
      </w:r>
      <w:r w:rsidR="008243CA">
        <w:t xml:space="preserve"> </w:t>
      </w:r>
      <w:r w:rsidRPr="00E62FE6">
        <w:t>gay,</w:t>
      </w:r>
      <w:r w:rsidR="008243CA">
        <w:t xml:space="preserve"> </w:t>
      </w:r>
      <w:r w:rsidRPr="00E62FE6">
        <w:t>bisexual,</w:t>
      </w:r>
      <w:r w:rsidR="008243CA">
        <w:t xml:space="preserve"> </w:t>
      </w:r>
      <w:r w:rsidRPr="00E62FE6">
        <w:t>transgender</w:t>
      </w:r>
      <w:r w:rsidR="008243CA">
        <w:t xml:space="preserve"> </w:t>
      </w:r>
      <w:r w:rsidRPr="00E62FE6">
        <w:t>and</w:t>
      </w:r>
      <w:r w:rsidR="008243CA">
        <w:t xml:space="preserve"> </w:t>
      </w:r>
      <w:r w:rsidRPr="00E62FE6">
        <w:t>intersex</w:t>
      </w:r>
      <w:r w:rsidR="008243CA">
        <w:t xml:space="preserve"> </w:t>
      </w:r>
      <w:r w:rsidRPr="00E62FE6">
        <w:t>(LGBTI)</w:t>
      </w:r>
      <w:r w:rsidR="008243CA">
        <w:t xml:space="preserve"> </w:t>
      </w:r>
      <w:r w:rsidRPr="00E62FE6">
        <w:t>persons</w:t>
      </w:r>
      <w:bookmarkEnd w:id="105"/>
      <w:bookmarkEnd w:id="106"/>
    </w:p>
    <w:p w:rsidR="003F7D03" w:rsidRPr="00E62FE6" w:rsidRDefault="003F7D03" w:rsidP="000C6D98">
      <w:pPr>
        <w:pStyle w:val="SingleTxtG"/>
      </w:pPr>
      <w:r w:rsidRPr="00E62FE6">
        <w:t>172.</w:t>
      </w:r>
      <w:r w:rsidRPr="00E62FE6">
        <w:tab/>
        <w:t>The</w:t>
      </w:r>
      <w:r w:rsidR="008243CA">
        <w:t xml:space="preserve"> </w:t>
      </w:r>
      <w:r w:rsidRPr="00E62FE6">
        <w:t>Subcommittee</w:t>
      </w:r>
      <w:r w:rsidR="008243CA">
        <w:t xml:space="preserve"> </w:t>
      </w:r>
      <w:r w:rsidRPr="00E62FE6">
        <w:t>expressed</w:t>
      </w:r>
      <w:r w:rsidR="008243CA">
        <w:t xml:space="preserve"> </w:t>
      </w:r>
      <w:r w:rsidRPr="00E62FE6">
        <w:t>concern</w:t>
      </w:r>
      <w:r w:rsidR="008243CA">
        <w:t xml:space="preserve"> </w:t>
      </w:r>
      <w:r w:rsidRPr="00E62FE6">
        <w:t>about</w:t>
      </w:r>
      <w:r w:rsidR="008243CA">
        <w:t xml:space="preserve"> </w:t>
      </w:r>
      <w:r w:rsidRPr="00E62FE6">
        <w:t>persons</w:t>
      </w:r>
      <w:r w:rsidR="008243CA">
        <w:t xml:space="preserve"> </w:t>
      </w:r>
      <w:r w:rsidRPr="00E62FE6">
        <w:t>deprived</w:t>
      </w:r>
      <w:r w:rsidR="008243CA">
        <w:t xml:space="preserve"> </w:t>
      </w:r>
      <w:r w:rsidRPr="00E62FE6">
        <w:t>of</w:t>
      </w:r>
      <w:r w:rsidR="008243CA">
        <w:t xml:space="preserve"> </w:t>
      </w:r>
      <w:r w:rsidRPr="00E62FE6">
        <w:t>their</w:t>
      </w:r>
      <w:r w:rsidR="008243CA">
        <w:t xml:space="preserve"> </w:t>
      </w:r>
      <w:r w:rsidRPr="00E62FE6">
        <w:t>liberty</w:t>
      </w:r>
      <w:r w:rsidR="008243CA">
        <w:t xml:space="preserve"> </w:t>
      </w:r>
      <w:r w:rsidRPr="00E62FE6">
        <w:t>who</w:t>
      </w:r>
      <w:r w:rsidR="008243CA">
        <w:t xml:space="preserve"> </w:t>
      </w:r>
      <w:r w:rsidRPr="00E62FE6">
        <w:t>are</w:t>
      </w:r>
      <w:r w:rsidR="008243CA">
        <w:t xml:space="preserve"> </w:t>
      </w:r>
      <w:r w:rsidRPr="00E62FE6">
        <w:t>discriminated</w:t>
      </w:r>
      <w:r w:rsidR="008243CA">
        <w:t xml:space="preserve"> </w:t>
      </w:r>
      <w:r w:rsidRPr="00E62FE6">
        <w:t>against</w:t>
      </w:r>
      <w:r w:rsidR="008243CA">
        <w:t xml:space="preserve"> </w:t>
      </w:r>
      <w:r w:rsidRPr="00E62FE6">
        <w:t>because</w:t>
      </w:r>
      <w:r w:rsidR="008243CA">
        <w:t xml:space="preserve"> </w:t>
      </w:r>
      <w:r w:rsidRPr="00E62FE6">
        <w:t>of</w:t>
      </w:r>
      <w:r w:rsidR="008243CA">
        <w:t xml:space="preserve"> </w:t>
      </w:r>
      <w:r w:rsidRPr="00E62FE6">
        <w:t>their</w:t>
      </w:r>
      <w:r w:rsidR="008243CA">
        <w:t xml:space="preserve"> </w:t>
      </w:r>
      <w:r w:rsidRPr="00E62FE6">
        <w:t>sexual</w:t>
      </w:r>
      <w:r w:rsidR="008243CA">
        <w:t xml:space="preserve"> </w:t>
      </w:r>
      <w:r w:rsidRPr="00E62FE6">
        <w:t>orientation</w:t>
      </w:r>
      <w:r w:rsidR="008243CA">
        <w:t xml:space="preserve"> </w:t>
      </w:r>
      <w:r w:rsidRPr="00E62FE6">
        <w:t>or</w:t>
      </w:r>
      <w:r w:rsidR="008243CA">
        <w:t xml:space="preserve"> </w:t>
      </w:r>
      <w:r w:rsidRPr="00E62FE6">
        <w:t>gender</w:t>
      </w:r>
      <w:r w:rsidR="008243CA">
        <w:t xml:space="preserve"> </w:t>
      </w:r>
      <w:r w:rsidRPr="00E62FE6">
        <w:t>identity.</w:t>
      </w:r>
      <w:r w:rsidR="008243CA">
        <w:t xml:space="preserve"> </w:t>
      </w:r>
      <w:r w:rsidRPr="00E62FE6">
        <w:t>For</w:t>
      </w:r>
      <w:r w:rsidR="008243CA">
        <w:t xml:space="preserve"> </w:t>
      </w:r>
      <w:r w:rsidRPr="00E62FE6">
        <w:t>that</w:t>
      </w:r>
      <w:r w:rsidR="008243CA">
        <w:t xml:space="preserve"> </w:t>
      </w:r>
      <w:r w:rsidRPr="00E62FE6">
        <w:t>reason,</w:t>
      </w:r>
      <w:r w:rsidR="008243CA">
        <w:t xml:space="preserve"> </w:t>
      </w:r>
      <w:r w:rsidRPr="00E62FE6">
        <w:t>the</w:t>
      </w:r>
      <w:r w:rsidR="008243CA">
        <w:t xml:space="preserve"> </w:t>
      </w:r>
      <w:r w:rsidRPr="00E62FE6">
        <w:t>authorities</w:t>
      </w:r>
      <w:r w:rsidR="008243CA">
        <w:t xml:space="preserve"> </w:t>
      </w:r>
      <w:r w:rsidRPr="00E62FE6">
        <w:t>in</w:t>
      </w:r>
      <w:r w:rsidR="008243CA">
        <w:t xml:space="preserve"> </w:t>
      </w:r>
      <w:r w:rsidRPr="00E62FE6">
        <w:t>the</w:t>
      </w:r>
      <w:r w:rsidR="008243CA">
        <w:t xml:space="preserve"> </w:t>
      </w:r>
      <w:r w:rsidRPr="00E62FE6">
        <w:t>justice</w:t>
      </w:r>
      <w:r w:rsidR="008243CA">
        <w:t xml:space="preserve"> </w:t>
      </w:r>
      <w:r w:rsidRPr="00E62FE6">
        <w:t>sector</w:t>
      </w:r>
      <w:r w:rsidR="008243CA">
        <w:t xml:space="preserve"> </w:t>
      </w:r>
      <w:r w:rsidRPr="00E62FE6">
        <w:t>have</w:t>
      </w:r>
      <w:r w:rsidR="008243CA">
        <w:t xml:space="preserve"> </w:t>
      </w:r>
      <w:r w:rsidRPr="00E62FE6">
        <w:t>pursued</w:t>
      </w:r>
      <w:r w:rsidR="008243CA">
        <w:t xml:space="preserve"> </w:t>
      </w:r>
      <w:r w:rsidRPr="00E62FE6">
        <w:t>efforts</w:t>
      </w:r>
      <w:r w:rsidR="008243CA">
        <w:t xml:space="preserve"> </w:t>
      </w:r>
      <w:r w:rsidRPr="00E62FE6">
        <w:t>to</w:t>
      </w:r>
      <w:r w:rsidR="008243CA">
        <w:t xml:space="preserve"> </w:t>
      </w:r>
      <w:r w:rsidRPr="00E62FE6">
        <w:t>respond</w:t>
      </w:r>
      <w:r w:rsidR="008243CA">
        <w:t xml:space="preserve"> </w:t>
      </w:r>
      <w:r w:rsidRPr="00E62FE6">
        <w:t>to</w:t>
      </w:r>
      <w:r w:rsidR="008243CA">
        <w:t xml:space="preserve"> </w:t>
      </w:r>
      <w:r w:rsidRPr="00E62FE6">
        <w:t>the</w:t>
      </w:r>
      <w:r w:rsidR="008243CA">
        <w:t xml:space="preserve"> </w:t>
      </w:r>
      <w:r w:rsidRPr="00E62FE6">
        <w:t>Subcommittee</w:t>
      </w:r>
      <w:r w:rsidR="00116F0B">
        <w:t>’</w:t>
      </w:r>
      <w:r w:rsidRPr="00E62FE6">
        <w:t>s</w:t>
      </w:r>
      <w:r w:rsidR="008243CA">
        <w:t xml:space="preserve"> </w:t>
      </w:r>
      <w:r w:rsidRPr="00E62FE6">
        <w:t>recommendations</w:t>
      </w:r>
      <w:r w:rsidR="008243CA">
        <w:t xml:space="preserve"> </w:t>
      </w:r>
      <w:r w:rsidRPr="00E62FE6">
        <w:t>and</w:t>
      </w:r>
      <w:r w:rsidR="008243CA">
        <w:t xml:space="preserve"> </w:t>
      </w:r>
      <w:r w:rsidRPr="00E62FE6">
        <w:t>thus</w:t>
      </w:r>
      <w:r w:rsidR="008243CA">
        <w:t xml:space="preserve"> </w:t>
      </w:r>
      <w:r w:rsidRPr="00E62FE6">
        <w:t>ensure</w:t>
      </w:r>
      <w:r w:rsidR="008243CA">
        <w:t xml:space="preserve"> </w:t>
      </w:r>
      <w:r w:rsidRPr="00E62FE6">
        <w:t>decent</w:t>
      </w:r>
      <w:r w:rsidR="008243CA">
        <w:t xml:space="preserve"> </w:t>
      </w:r>
      <w:r w:rsidRPr="00E62FE6">
        <w:t>treatment</w:t>
      </w:r>
      <w:r w:rsidR="008243CA">
        <w:t xml:space="preserve"> </w:t>
      </w:r>
      <w:r w:rsidRPr="00E62FE6">
        <w:t>for</w:t>
      </w:r>
      <w:r w:rsidR="008243CA">
        <w:t xml:space="preserve"> </w:t>
      </w:r>
      <w:r w:rsidRPr="00E62FE6">
        <w:t>LGBTI</w:t>
      </w:r>
      <w:r w:rsidR="008243CA">
        <w:t xml:space="preserve"> </w:t>
      </w:r>
      <w:r w:rsidRPr="00E62FE6">
        <w:t>detainees.</w:t>
      </w:r>
    </w:p>
    <w:p w:rsidR="003F7D03" w:rsidRPr="00152385" w:rsidRDefault="003F7D03" w:rsidP="000C6D98">
      <w:pPr>
        <w:pStyle w:val="SingleTxtG"/>
        <w:rPr>
          <w:i/>
          <w:iCs/>
        </w:rPr>
      </w:pPr>
      <w:r w:rsidRPr="00E62FE6">
        <w:t>173.</w:t>
      </w:r>
      <w:r w:rsidRPr="00E62FE6">
        <w:tab/>
        <w:t>Paragraph</w:t>
      </w:r>
      <w:r w:rsidR="008243CA">
        <w:t xml:space="preserve"> </w:t>
      </w:r>
      <w:r w:rsidRPr="00E62FE6">
        <w:t>126:</w:t>
      </w:r>
      <w:r w:rsidR="008243CA">
        <w:t xml:space="preserve"> </w:t>
      </w:r>
      <w:r w:rsidRPr="00152385">
        <w:rPr>
          <w:i/>
          <w:iCs/>
        </w:rPr>
        <w:t>The</w:t>
      </w:r>
      <w:r w:rsidR="008243CA" w:rsidRPr="00152385">
        <w:rPr>
          <w:i/>
          <w:iCs/>
        </w:rPr>
        <w:t xml:space="preserve"> </w:t>
      </w:r>
      <w:r w:rsidRPr="00152385">
        <w:rPr>
          <w:i/>
          <w:iCs/>
        </w:rPr>
        <w:t>Subcommittee</w:t>
      </w:r>
      <w:r w:rsidR="008243CA" w:rsidRPr="00152385">
        <w:rPr>
          <w:i/>
          <w:iCs/>
        </w:rPr>
        <w:t xml:space="preserve"> </w:t>
      </w:r>
      <w:r w:rsidRPr="00152385">
        <w:rPr>
          <w:i/>
          <w:iCs/>
        </w:rPr>
        <w:t>reiterates</w:t>
      </w:r>
      <w:r w:rsidR="008243CA" w:rsidRPr="00152385">
        <w:rPr>
          <w:i/>
          <w:iCs/>
        </w:rPr>
        <w:t xml:space="preserve"> </w:t>
      </w:r>
      <w:r w:rsidRPr="00152385">
        <w:rPr>
          <w:i/>
          <w:iCs/>
        </w:rPr>
        <w:t>that</w:t>
      </w:r>
      <w:r w:rsidR="008243CA" w:rsidRPr="00152385">
        <w:rPr>
          <w:i/>
          <w:iCs/>
        </w:rPr>
        <w:t xml:space="preserve"> </w:t>
      </w:r>
      <w:r w:rsidRPr="00152385">
        <w:rPr>
          <w:i/>
          <w:iCs/>
        </w:rPr>
        <w:t>solitary</w:t>
      </w:r>
      <w:r w:rsidR="008243CA" w:rsidRPr="00152385">
        <w:rPr>
          <w:i/>
          <w:iCs/>
        </w:rPr>
        <w:t xml:space="preserve"> </w:t>
      </w:r>
      <w:r w:rsidRPr="00152385">
        <w:rPr>
          <w:i/>
          <w:iCs/>
        </w:rPr>
        <w:t>confinement,</w:t>
      </w:r>
      <w:r w:rsidR="008243CA" w:rsidRPr="00152385">
        <w:rPr>
          <w:i/>
          <w:iCs/>
        </w:rPr>
        <w:t xml:space="preserve"> </w:t>
      </w:r>
      <w:r w:rsidRPr="00152385">
        <w:rPr>
          <w:i/>
          <w:iCs/>
        </w:rPr>
        <w:t>isolation</w:t>
      </w:r>
      <w:r w:rsidR="008243CA" w:rsidRPr="00152385">
        <w:rPr>
          <w:i/>
          <w:iCs/>
        </w:rPr>
        <w:t xml:space="preserve"> </w:t>
      </w:r>
      <w:r w:rsidRPr="00152385">
        <w:rPr>
          <w:i/>
          <w:iCs/>
        </w:rPr>
        <w:t>and</w:t>
      </w:r>
      <w:r w:rsidR="008243CA" w:rsidRPr="00152385">
        <w:rPr>
          <w:i/>
          <w:iCs/>
        </w:rPr>
        <w:t xml:space="preserve"> </w:t>
      </w:r>
      <w:r w:rsidRPr="00152385">
        <w:rPr>
          <w:i/>
          <w:iCs/>
        </w:rPr>
        <w:t>administrative</w:t>
      </w:r>
      <w:r w:rsidR="008243CA" w:rsidRPr="00152385">
        <w:rPr>
          <w:i/>
          <w:iCs/>
        </w:rPr>
        <w:t xml:space="preserve"> </w:t>
      </w:r>
      <w:r w:rsidRPr="00152385">
        <w:rPr>
          <w:i/>
          <w:iCs/>
        </w:rPr>
        <w:t>segregation</w:t>
      </w:r>
      <w:r w:rsidR="008243CA" w:rsidRPr="00152385">
        <w:rPr>
          <w:i/>
          <w:iCs/>
        </w:rPr>
        <w:t xml:space="preserve"> </w:t>
      </w:r>
      <w:r w:rsidRPr="00152385">
        <w:rPr>
          <w:i/>
          <w:iCs/>
        </w:rPr>
        <w:t>are</w:t>
      </w:r>
      <w:r w:rsidR="008243CA" w:rsidRPr="00152385">
        <w:rPr>
          <w:i/>
          <w:iCs/>
        </w:rPr>
        <w:t xml:space="preserve"> </w:t>
      </w:r>
      <w:r w:rsidRPr="00152385">
        <w:rPr>
          <w:i/>
          <w:iCs/>
        </w:rPr>
        <w:t>not</w:t>
      </w:r>
      <w:r w:rsidR="008243CA" w:rsidRPr="00152385">
        <w:rPr>
          <w:i/>
          <w:iCs/>
        </w:rPr>
        <w:t xml:space="preserve"> </w:t>
      </w:r>
      <w:r w:rsidRPr="00152385">
        <w:rPr>
          <w:i/>
          <w:iCs/>
        </w:rPr>
        <w:t>appropriate</w:t>
      </w:r>
      <w:r w:rsidR="008243CA" w:rsidRPr="00152385">
        <w:rPr>
          <w:i/>
          <w:iCs/>
        </w:rPr>
        <w:t xml:space="preserve"> </w:t>
      </w:r>
      <w:r w:rsidRPr="00152385">
        <w:rPr>
          <w:i/>
          <w:iCs/>
        </w:rPr>
        <w:t>methods</w:t>
      </w:r>
      <w:r w:rsidR="008243CA" w:rsidRPr="00152385">
        <w:rPr>
          <w:i/>
          <w:iCs/>
        </w:rPr>
        <w:t xml:space="preserve"> </w:t>
      </w:r>
      <w:r w:rsidRPr="00152385">
        <w:rPr>
          <w:i/>
          <w:iCs/>
        </w:rPr>
        <w:t>of</w:t>
      </w:r>
      <w:r w:rsidR="008243CA" w:rsidRPr="00152385">
        <w:rPr>
          <w:i/>
          <w:iCs/>
        </w:rPr>
        <w:t xml:space="preserve"> </w:t>
      </w:r>
      <w:r w:rsidRPr="00152385">
        <w:rPr>
          <w:i/>
          <w:iCs/>
        </w:rPr>
        <w:t>maintaining</w:t>
      </w:r>
      <w:r w:rsidR="008243CA" w:rsidRPr="00152385">
        <w:rPr>
          <w:i/>
          <w:iCs/>
        </w:rPr>
        <w:t xml:space="preserve"> </w:t>
      </w:r>
      <w:r w:rsidRPr="00152385">
        <w:rPr>
          <w:i/>
          <w:iCs/>
        </w:rPr>
        <w:t>security</w:t>
      </w:r>
      <w:r w:rsidR="008243CA" w:rsidRPr="00152385">
        <w:rPr>
          <w:i/>
          <w:iCs/>
        </w:rPr>
        <w:t xml:space="preserve"> </w:t>
      </w:r>
      <w:r w:rsidRPr="00152385">
        <w:rPr>
          <w:i/>
          <w:iCs/>
        </w:rPr>
        <w:t>and</w:t>
      </w:r>
      <w:r w:rsidR="008243CA" w:rsidRPr="00152385">
        <w:rPr>
          <w:i/>
          <w:iCs/>
        </w:rPr>
        <w:t xml:space="preserve"> </w:t>
      </w:r>
      <w:r w:rsidRPr="00152385">
        <w:rPr>
          <w:i/>
          <w:iCs/>
        </w:rPr>
        <w:t>can</w:t>
      </w:r>
      <w:r w:rsidR="008243CA" w:rsidRPr="00152385">
        <w:rPr>
          <w:i/>
          <w:iCs/>
        </w:rPr>
        <w:t xml:space="preserve"> </w:t>
      </w:r>
      <w:r w:rsidRPr="00152385">
        <w:rPr>
          <w:i/>
          <w:iCs/>
        </w:rPr>
        <w:t>be</w:t>
      </w:r>
      <w:r w:rsidR="008243CA" w:rsidRPr="00152385">
        <w:rPr>
          <w:i/>
          <w:iCs/>
        </w:rPr>
        <w:t xml:space="preserve"> </w:t>
      </w:r>
      <w:r w:rsidRPr="00152385">
        <w:rPr>
          <w:i/>
          <w:iCs/>
        </w:rPr>
        <w:t>justified</w:t>
      </w:r>
      <w:r w:rsidR="008243CA" w:rsidRPr="00152385">
        <w:rPr>
          <w:i/>
          <w:iCs/>
        </w:rPr>
        <w:t xml:space="preserve"> </w:t>
      </w:r>
      <w:r w:rsidRPr="00152385">
        <w:rPr>
          <w:i/>
          <w:iCs/>
        </w:rPr>
        <w:t>only</w:t>
      </w:r>
      <w:r w:rsidR="008243CA" w:rsidRPr="00152385">
        <w:rPr>
          <w:i/>
          <w:iCs/>
        </w:rPr>
        <w:t xml:space="preserve"> </w:t>
      </w:r>
      <w:r w:rsidRPr="00152385">
        <w:rPr>
          <w:i/>
          <w:iCs/>
        </w:rPr>
        <w:t>if</w:t>
      </w:r>
      <w:r w:rsidR="008243CA" w:rsidRPr="00152385">
        <w:rPr>
          <w:i/>
          <w:iCs/>
        </w:rPr>
        <w:t xml:space="preserve"> </w:t>
      </w:r>
      <w:r w:rsidRPr="00152385">
        <w:rPr>
          <w:i/>
          <w:iCs/>
        </w:rPr>
        <w:t>used</w:t>
      </w:r>
      <w:r w:rsidR="008243CA" w:rsidRPr="00152385">
        <w:rPr>
          <w:i/>
          <w:iCs/>
        </w:rPr>
        <w:t xml:space="preserve"> </w:t>
      </w:r>
      <w:r w:rsidRPr="00152385">
        <w:rPr>
          <w:i/>
          <w:iCs/>
        </w:rPr>
        <w:t>as</w:t>
      </w:r>
      <w:r w:rsidR="008243CA" w:rsidRPr="00152385">
        <w:rPr>
          <w:i/>
          <w:iCs/>
        </w:rPr>
        <w:t xml:space="preserve"> </w:t>
      </w:r>
      <w:r w:rsidRPr="00152385">
        <w:rPr>
          <w:i/>
          <w:iCs/>
        </w:rPr>
        <w:t>a</w:t>
      </w:r>
      <w:r w:rsidR="008243CA" w:rsidRPr="00152385">
        <w:rPr>
          <w:i/>
          <w:iCs/>
        </w:rPr>
        <w:t xml:space="preserve"> </w:t>
      </w:r>
      <w:r w:rsidRPr="00152385">
        <w:rPr>
          <w:i/>
          <w:iCs/>
        </w:rPr>
        <w:t>last</w:t>
      </w:r>
      <w:r w:rsidR="008243CA" w:rsidRPr="00152385">
        <w:rPr>
          <w:i/>
          <w:iCs/>
        </w:rPr>
        <w:t xml:space="preserve"> </w:t>
      </w:r>
      <w:r w:rsidRPr="00152385">
        <w:rPr>
          <w:i/>
          <w:iCs/>
        </w:rPr>
        <w:t>resort,</w:t>
      </w:r>
      <w:r w:rsidR="008243CA" w:rsidRPr="00152385">
        <w:rPr>
          <w:i/>
          <w:iCs/>
        </w:rPr>
        <w:t xml:space="preserve"> </w:t>
      </w:r>
      <w:r w:rsidRPr="00152385">
        <w:rPr>
          <w:i/>
          <w:iCs/>
        </w:rPr>
        <w:t>under</w:t>
      </w:r>
      <w:r w:rsidR="008243CA" w:rsidRPr="00152385">
        <w:rPr>
          <w:i/>
          <w:iCs/>
        </w:rPr>
        <w:t xml:space="preserve"> </w:t>
      </w:r>
      <w:r w:rsidRPr="00152385">
        <w:rPr>
          <w:i/>
          <w:iCs/>
        </w:rPr>
        <w:t>exceptional</w:t>
      </w:r>
      <w:r w:rsidR="008243CA" w:rsidRPr="00152385">
        <w:rPr>
          <w:i/>
          <w:iCs/>
        </w:rPr>
        <w:t xml:space="preserve"> </w:t>
      </w:r>
      <w:r w:rsidRPr="00152385">
        <w:rPr>
          <w:i/>
          <w:iCs/>
        </w:rPr>
        <w:t>circumstances,</w:t>
      </w:r>
      <w:r w:rsidR="008243CA" w:rsidRPr="00152385">
        <w:rPr>
          <w:i/>
          <w:iCs/>
        </w:rPr>
        <w:t xml:space="preserve"> </w:t>
      </w:r>
      <w:r w:rsidRPr="00152385">
        <w:rPr>
          <w:i/>
          <w:iCs/>
        </w:rPr>
        <w:t>for</w:t>
      </w:r>
      <w:r w:rsidR="008243CA" w:rsidRPr="00152385">
        <w:rPr>
          <w:i/>
          <w:iCs/>
        </w:rPr>
        <w:t xml:space="preserve"> </w:t>
      </w:r>
      <w:r w:rsidRPr="00152385">
        <w:rPr>
          <w:i/>
          <w:iCs/>
        </w:rPr>
        <w:t>the</w:t>
      </w:r>
      <w:r w:rsidR="008243CA" w:rsidRPr="00152385">
        <w:rPr>
          <w:i/>
          <w:iCs/>
        </w:rPr>
        <w:t xml:space="preserve"> </w:t>
      </w:r>
      <w:r w:rsidRPr="00152385">
        <w:rPr>
          <w:i/>
          <w:iCs/>
        </w:rPr>
        <w:t>shortest</w:t>
      </w:r>
      <w:r w:rsidR="008243CA" w:rsidRPr="00152385">
        <w:rPr>
          <w:i/>
          <w:iCs/>
        </w:rPr>
        <w:t xml:space="preserve"> </w:t>
      </w:r>
      <w:r w:rsidRPr="00152385">
        <w:rPr>
          <w:i/>
          <w:iCs/>
        </w:rPr>
        <w:t>possible</w:t>
      </w:r>
      <w:r w:rsidR="008243CA" w:rsidRPr="00152385">
        <w:rPr>
          <w:i/>
          <w:iCs/>
        </w:rPr>
        <w:t xml:space="preserve"> </w:t>
      </w:r>
      <w:r w:rsidRPr="00152385">
        <w:rPr>
          <w:i/>
          <w:iCs/>
        </w:rPr>
        <w:t>time</w:t>
      </w:r>
      <w:r w:rsidR="008243CA" w:rsidRPr="00152385">
        <w:rPr>
          <w:i/>
          <w:iCs/>
        </w:rPr>
        <w:t xml:space="preserve"> </w:t>
      </w:r>
      <w:r w:rsidRPr="00152385">
        <w:rPr>
          <w:i/>
          <w:iCs/>
        </w:rPr>
        <w:t>and</w:t>
      </w:r>
      <w:r w:rsidR="008243CA" w:rsidRPr="00152385">
        <w:rPr>
          <w:i/>
          <w:iCs/>
        </w:rPr>
        <w:t xml:space="preserve"> </w:t>
      </w:r>
      <w:r w:rsidRPr="00152385">
        <w:rPr>
          <w:i/>
          <w:iCs/>
        </w:rPr>
        <w:t>in</w:t>
      </w:r>
      <w:r w:rsidR="008243CA" w:rsidRPr="00152385">
        <w:rPr>
          <w:i/>
          <w:iCs/>
        </w:rPr>
        <w:t xml:space="preserve"> </w:t>
      </w:r>
      <w:r w:rsidRPr="00152385">
        <w:rPr>
          <w:i/>
          <w:iCs/>
        </w:rPr>
        <w:t>combination</w:t>
      </w:r>
      <w:r w:rsidR="008243CA" w:rsidRPr="00152385">
        <w:rPr>
          <w:i/>
          <w:iCs/>
        </w:rPr>
        <w:t xml:space="preserve"> </w:t>
      </w:r>
      <w:r w:rsidRPr="00152385">
        <w:rPr>
          <w:i/>
          <w:iCs/>
        </w:rPr>
        <w:t>with</w:t>
      </w:r>
      <w:r w:rsidR="008243CA" w:rsidRPr="00152385">
        <w:rPr>
          <w:i/>
          <w:iCs/>
        </w:rPr>
        <w:t xml:space="preserve"> </w:t>
      </w:r>
      <w:r w:rsidRPr="00152385">
        <w:rPr>
          <w:i/>
          <w:iCs/>
        </w:rPr>
        <w:t>adequate</w:t>
      </w:r>
      <w:r w:rsidR="008243CA" w:rsidRPr="00152385">
        <w:rPr>
          <w:i/>
          <w:iCs/>
        </w:rPr>
        <w:t xml:space="preserve"> </w:t>
      </w:r>
      <w:r w:rsidRPr="00152385">
        <w:rPr>
          <w:i/>
          <w:iCs/>
        </w:rPr>
        <w:t>procedural</w:t>
      </w:r>
      <w:r w:rsidR="008243CA" w:rsidRPr="00152385">
        <w:rPr>
          <w:i/>
          <w:iCs/>
        </w:rPr>
        <w:t xml:space="preserve"> </w:t>
      </w:r>
      <w:r w:rsidRPr="00152385">
        <w:rPr>
          <w:i/>
          <w:iCs/>
        </w:rPr>
        <w:t>safeguards.</w:t>
      </w:r>
    </w:p>
    <w:p w:rsidR="003F7D03" w:rsidRPr="00E62FE6" w:rsidRDefault="003F7D03" w:rsidP="000C6D98">
      <w:pPr>
        <w:pStyle w:val="SingleTxtG"/>
      </w:pPr>
      <w:r w:rsidRPr="00E62FE6">
        <w:t>174.</w:t>
      </w:r>
      <w:r w:rsidRPr="00E62FE6">
        <w:tab/>
        <w:t>Work</w:t>
      </w:r>
      <w:r w:rsidR="008243CA">
        <w:t xml:space="preserve"> </w:t>
      </w:r>
      <w:r w:rsidRPr="00E62FE6">
        <w:t>is</w:t>
      </w:r>
      <w:r w:rsidR="008243CA">
        <w:t xml:space="preserve"> </w:t>
      </w:r>
      <w:r w:rsidRPr="00E62FE6">
        <w:t>under</w:t>
      </w:r>
      <w:r w:rsidR="008243CA">
        <w:t xml:space="preserve"> </w:t>
      </w:r>
      <w:r w:rsidRPr="00E62FE6">
        <w:t>way</w:t>
      </w:r>
      <w:r w:rsidR="008243CA">
        <w:t xml:space="preserve"> </w:t>
      </w:r>
      <w:r w:rsidRPr="00E62FE6">
        <w:t>to</w:t>
      </w:r>
      <w:r w:rsidR="008243CA">
        <w:t xml:space="preserve"> </w:t>
      </w:r>
      <w:r w:rsidRPr="00E62FE6">
        <w:t>draft</w:t>
      </w:r>
      <w:r w:rsidR="008243CA">
        <w:t xml:space="preserve"> </w:t>
      </w:r>
      <w:r w:rsidRPr="00E62FE6">
        <w:t>new</w:t>
      </w:r>
      <w:r w:rsidR="008243CA">
        <w:t xml:space="preserve"> </w:t>
      </w:r>
      <w:r w:rsidRPr="00E62FE6">
        <w:t>prison</w:t>
      </w:r>
      <w:r w:rsidR="008243CA">
        <w:t xml:space="preserve"> </w:t>
      </w:r>
      <w:r w:rsidRPr="00E62FE6">
        <w:t>regulations,</w:t>
      </w:r>
      <w:r w:rsidR="008243CA">
        <w:t xml:space="preserve"> </w:t>
      </w:r>
      <w:r w:rsidRPr="00E62FE6">
        <w:t>as</w:t>
      </w:r>
      <w:r w:rsidR="008243CA">
        <w:t xml:space="preserve"> </w:t>
      </w:r>
      <w:r w:rsidRPr="00E62FE6">
        <w:t>requested</w:t>
      </w:r>
      <w:r w:rsidR="008243CA">
        <w:t xml:space="preserve"> </w:t>
      </w:r>
      <w:r w:rsidRPr="00E62FE6">
        <w:t>by</w:t>
      </w:r>
      <w:r w:rsidR="008243CA">
        <w:t xml:space="preserve"> </w:t>
      </w:r>
      <w:r w:rsidRPr="00E62FE6">
        <w:t>the</w:t>
      </w:r>
      <w:r w:rsidR="008243CA">
        <w:t xml:space="preserve"> </w:t>
      </w:r>
      <w:r w:rsidRPr="00E62FE6">
        <w:t>President</w:t>
      </w:r>
      <w:r w:rsidR="008243CA">
        <w:t xml:space="preserve"> </w:t>
      </w:r>
      <w:r w:rsidRPr="00E62FE6">
        <w:t>of</w:t>
      </w:r>
      <w:r w:rsidR="008243CA">
        <w:t xml:space="preserve"> </w:t>
      </w:r>
      <w:r w:rsidRPr="00E62FE6">
        <w:t>the</w:t>
      </w:r>
      <w:r w:rsidR="008243CA">
        <w:t xml:space="preserve"> </w:t>
      </w:r>
      <w:r w:rsidRPr="00E62FE6">
        <w:t>Republic.</w:t>
      </w:r>
      <w:r w:rsidR="008243CA">
        <w:t xml:space="preserve"> </w:t>
      </w:r>
      <w:r w:rsidRPr="00E62FE6">
        <w:t>In</w:t>
      </w:r>
      <w:r w:rsidR="008243CA">
        <w:t xml:space="preserve"> </w:t>
      </w:r>
      <w:r w:rsidRPr="00E62FE6">
        <w:t>this</w:t>
      </w:r>
      <w:r w:rsidR="008243CA">
        <w:t xml:space="preserve"> </w:t>
      </w:r>
      <w:r w:rsidRPr="00E62FE6">
        <w:t>regard,</w:t>
      </w:r>
      <w:r w:rsidR="008243CA">
        <w:t xml:space="preserve"> </w:t>
      </w:r>
      <w:r w:rsidRPr="00E62FE6">
        <w:t>one</w:t>
      </w:r>
      <w:r w:rsidR="008243CA">
        <w:t xml:space="preserve"> </w:t>
      </w:r>
      <w:r w:rsidRPr="00E62FE6">
        <w:t>point</w:t>
      </w:r>
      <w:r w:rsidR="008243CA">
        <w:t xml:space="preserve"> </w:t>
      </w:r>
      <w:r w:rsidRPr="00E62FE6">
        <w:t>stressed</w:t>
      </w:r>
      <w:r w:rsidR="008243CA">
        <w:t xml:space="preserve"> </w:t>
      </w:r>
      <w:r w:rsidRPr="00E62FE6">
        <w:t>has</w:t>
      </w:r>
      <w:r w:rsidR="008243CA">
        <w:t xml:space="preserve"> </w:t>
      </w:r>
      <w:r w:rsidRPr="00E62FE6">
        <w:t>been</w:t>
      </w:r>
      <w:r w:rsidR="008243CA">
        <w:t xml:space="preserve"> </w:t>
      </w:r>
      <w:r w:rsidRPr="00E62FE6">
        <w:t>that</w:t>
      </w:r>
      <w:r w:rsidR="008243CA">
        <w:t xml:space="preserve"> </w:t>
      </w:r>
      <w:r w:rsidRPr="00E62FE6">
        <w:t>of</w:t>
      </w:r>
      <w:r w:rsidR="008243CA">
        <w:t xml:space="preserve"> </w:t>
      </w:r>
      <w:r w:rsidRPr="00E62FE6">
        <w:t>ensuring</w:t>
      </w:r>
      <w:r w:rsidR="008243CA">
        <w:t xml:space="preserve"> </w:t>
      </w:r>
      <w:r w:rsidRPr="00E62FE6">
        <w:t>that</w:t>
      </w:r>
      <w:r w:rsidR="008243CA">
        <w:t xml:space="preserve"> </w:t>
      </w:r>
      <w:r w:rsidRPr="00E62FE6">
        <w:t>the</w:t>
      </w:r>
      <w:r w:rsidR="008243CA">
        <w:t xml:space="preserve"> </w:t>
      </w:r>
      <w:r w:rsidRPr="00E62FE6">
        <w:t>disciplinary</w:t>
      </w:r>
      <w:r w:rsidR="008243CA">
        <w:t xml:space="preserve"> </w:t>
      </w:r>
      <w:r w:rsidRPr="00E62FE6">
        <w:t>regime</w:t>
      </w:r>
      <w:r w:rsidR="008243CA">
        <w:t xml:space="preserve"> </w:t>
      </w:r>
      <w:r w:rsidRPr="00E62FE6">
        <w:t>does</w:t>
      </w:r>
      <w:r w:rsidR="008243CA">
        <w:t xml:space="preserve"> </w:t>
      </w:r>
      <w:r w:rsidRPr="00E62FE6">
        <w:t>not</w:t>
      </w:r>
      <w:r w:rsidR="008243CA">
        <w:t xml:space="preserve"> </w:t>
      </w:r>
      <w:r w:rsidRPr="00E62FE6">
        <w:t>exceed</w:t>
      </w:r>
      <w:r w:rsidR="008243CA">
        <w:t xml:space="preserve"> </w:t>
      </w:r>
      <w:r w:rsidRPr="00E62FE6">
        <w:t>the</w:t>
      </w:r>
      <w:r w:rsidR="008243CA">
        <w:t xml:space="preserve"> </w:t>
      </w:r>
      <w:r w:rsidRPr="00E62FE6">
        <w:t>limits</w:t>
      </w:r>
      <w:r w:rsidR="008243CA">
        <w:t xml:space="preserve"> </w:t>
      </w:r>
      <w:r w:rsidRPr="00E62FE6">
        <w:t>set</w:t>
      </w:r>
      <w:r w:rsidR="008243CA">
        <w:t xml:space="preserve"> </w:t>
      </w:r>
      <w:r w:rsidRPr="00E62FE6">
        <w:t>by</w:t>
      </w:r>
      <w:r w:rsidR="008243CA">
        <w:t xml:space="preserve"> </w:t>
      </w:r>
      <w:r w:rsidRPr="00E62FE6">
        <w:t>international</w:t>
      </w:r>
      <w:r w:rsidR="008243CA">
        <w:t xml:space="preserve"> </w:t>
      </w:r>
      <w:r w:rsidRPr="00E62FE6">
        <w:t>human</w:t>
      </w:r>
      <w:r w:rsidR="008243CA">
        <w:t xml:space="preserve"> </w:t>
      </w:r>
      <w:r w:rsidRPr="00E62FE6">
        <w:t>rights</w:t>
      </w:r>
      <w:r w:rsidR="008243CA">
        <w:t xml:space="preserve"> </w:t>
      </w:r>
      <w:r w:rsidRPr="00E62FE6">
        <w:t>standards.</w:t>
      </w:r>
    </w:p>
    <w:p w:rsidR="003F7D03" w:rsidRPr="00E62FE6" w:rsidRDefault="003F7D03" w:rsidP="000C6D98">
      <w:pPr>
        <w:pStyle w:val="SingleTxtG"/>
      </w:pPr>
      <w:r w:rsidRPr="00E62FE6">
        <w:t>175.</w:t>
      </w:r>
      <w:r w:rsidRPr="00E62FE6">
        <w:tab/>
        <w:t>In</w:t>
      </w:r>
      <w:r w:rsidR="008243CA">
        <w:t xml:space="preserve"> </w:t>
      </w:r>
      <w:r w:rsidRPr="00E62FE6">
        <w:t>October</w:t>
      </w:r>
      <w:r w:rsidR="008243CA">
        <w:t xml:space="preserve"> </w:t>
      </w:r>
      <w:r w:rsidRPr="00E62FE6">
        <w:t>2016,</w:t>
      </w:r>
      <w:r w:rsidR="008243CA">
        <w:t xml:space="preserve"> </w:t>
      </w:r>
      <w:r w:rsidRPr="00E62FE6">
        <w:t>the</w:t>
      </w:r>
      <w:r w:rsidR="008243CA">
        <w:t xml:space="preserve"> </w:t>
      </w:r>
      <w:r w:rsidRPr="00E62FE6">
        <w:t>Prison</w:t>
      </w:r>
      <w:r w:rsidR="008243CA">
        <w:t xml:space="preserve"> </w:t>
      </w:r>
      <w:r w:rsidRPr="00E62FE6">
        <w:t>Service</w:t>
      </w:r>
      <w:r w:rsidR="008243CA">
        <w:t xml:space="preserve"> </w:t>
      </w:r>
      <w:r w:rsidRPr="00E62FE6">
        <w:t>carried</w:t>
      </w:r>
      <w:r w:rsidR="008243CA">
        <w:t xml:space="preserve"> </w:t>
      </w:r>
      <w:r w:rsidRPr="00E62FE6">
        <w:t>out</w:t>
      </w:r>
      <w:r w:rsidR="008243CA">
        <w:t xml:space="preserve"> </w:t>
      </w:r>
      <w:r w:rsidRPr="00E62FE6">
        <w:t>a</w:t>
      </w:r>
      <w:r w:rsidR="008243CA">
        <w:t xml:space="preserve"> </w:t>
      </w:r>
      <w:r w:rsidRPr="00E62FE6">
        <w:t>survey</w:t>
      </w:r>
      <w:r w:rsidR="008243CA">
        <w:t xml:space="preserve"> </w:t>
      </w:r>
      <w:r w:rsidRPr="00E62FE6">
        <w:t>to</w:t>
      </w:r>
      <w:r w:rsidR="008243CA">
        <w:t xml:space="preserve"> </w:t>
      </w:r>
      <w:r w:rsidRPr="00E62FE6">
        <w:t>ascertain</w:t>
      </w:r>
      <w:r w:rsidR="008243CA">
        <w:t xml:space="preserve"> </w:t>
      </w:r>
      <w:r w:rsidRPr="00E62FE6">
        <w:t>how</w:t>
      </w:r>
      <w:r w:rsidR="008243CA">
        <w:t xml:space="preserve"> </w:t>
      </w:r>
      <w:r w:rsidRPr="00E62FE6">
        <w:t>many</w:t>
      </w:r>
      <w:r w:rsidR="008243CA">
        <w:t xml:space="preserve"> </w:t>
      </w:r>
      <w:r w:rsidRPr="00E62FE6">
        <w:t>LGBTI</w:t>
      </w:r>
      <w:r w:rsidR="008243CA">
        <w:t xml:space="preserve"> </w:t>
      </w:r>
      <w:r w:rsidRPr="00E62FE6">
        <w:t>persons</w:t>
      </w:r>
      <w:r w:rsidR="008243CA">
        <w:t xml:space="preserve"> </w:t>
      </w:r>
      <w:r w:rsidRPr="00E62FE6">
        <w:t>were</w:t>
      </w:r>
      <w:r w:rsidR="008243CA">
        <w:t xml:space="preserve"> </w:t>
      </w:r>
      <w:r w:rsidRPr="00E62FE6">
        <w:t>being</w:t>
      </w:r>
      <w:r w:rsidR="008243CA">
        <w:t xml:space="preserve"> </w:t>
      </w:r>
      <w:r w:rsidRPr="00E62FE6">
        <w:t>held</w:t>
      </w:r>
      <w:r w:rsidR="008243CA">
        <w:t xml:space="preserve"> </w:t>
      </w:r>
      <w:r w:rsidRPr="00E62FE6">
        <w:t>in</w:t>
      </w:r>
      <w:r w:rsidR="008243CA">
        <w:t xml:space="preserve"> </w:t>
      </w:r>
      <w:r w:rsidRPr="00E62FE6">
        <w:t>isolation.</w:t>
      </w:r>
      <w:r w:rsidR="008243CA">
        <w:t xml:space="preserve"> </w:t>
      </w:r>
      <w:r w:rsidRPr="00E62FE6">
        <w:t>Six</w:t>
      </w:r>
      <w:r w:rsidR="008243CA">
        <w:t xml:space="preserve"> </w:t>
      </w:r>
      <w:r w:rsidRPr="00E62FE6">
        <w:t>cases</w:t>
      </w:r>
      <w:r w:rsidR="008243CA">
        <w:t xml:space="preserve"> </w:t>
      </w:r>
      <w:r w:rsidRPr="00E62FE6">
        <w:t>were</w:t>
      </w:r>
      <w:r w:rsidR="008243CA">
        <w:t xml:space="preserve"> </w:t>
      </w:r>
      <w:r w:rsidRPr="00E62FE6">
        <w:t>found</w:t>
      </w:r>
      <w:r w:rsidR="008243CA">
        <w:t xml:space="preserve"> </w:t>
      </w:r>
      <w:r w:rsidRPr="00E62FE6">
        <w:t>in</w:t>
      </w:r>
      <w:r w:rsidR="008243CA">
        <w:t xml:space="preserve"> </w:t>
      </w:r>
      <w:r w:rsidRPr="00E62FE6">
        <w:t>the</w:t>
      </w:r>
      <w:r w:rsidR="008243CA">
        <w:t xml:space="preserve"> </w:t>
      </w:r>
      <w:r w:rsidRPr="00E62FE6">
        <w:t>following</w:t>
      </w:r>
      <w:r w:rsidR="008243CA">
        <w:t xml:space="preserve"> </w:t>
      </w:r>
      <w:r w:rsidRPr="00E62FE6">
        <w:t>regions:</w:t>
      </w:r>
    </w:p>
    <w:p w:rsidR="003F7D03" w:rsidRPr="00E62FE6" w:rsidRDefault="003F7D03" w:rsidP="00152385">
      <w:pPr>
        <w:pStyle w:val="Bullet1G"/>
      </w:pPr>
      <w:r w:rsidRPr="00E62FE6">
        <w:t>Arica</w:t>
      </w:r>
      <w:r w:rsidR="008243CA">
        <w:t xml:space="preserve"> </w:t>
      </w:r>
      <w:r w:rsidRPr="00E62FE6">
        <w:t>and</w:t>
      </w:r>
      <w:r w:rsidR="008243CA">
        <w:t xml:space="preserve"> </w:t>
      </w:r>
      <w:proofErr w:type="spellStart"/>
      <w:r w:rsidRPr="00E62FE6">
        <w:t>Parinacota</w:t>
      </w:r>
      <w:proofErr w:type="spellEnd"/>
      <w:r w:rsidR="008243CA">
        <w:t xml:space="preserve"> </w:t>
      </w:r>
      <w:r w:rsidRPr="00E62FE6">
        <w:t>Region:</w:t>
      </w:r>
      <w:r w:rsidR="008243CA">
        <w:t xml:space="preserve"> </w:t>
      </w:r>
      <w:r w:rsidRPr="00E62FE6">
        <w:t>1</w:t>
      </w:r>
      <w:r w:rsidR="008243CA">
        <w:t xml:space="preserve"> </w:t>
      </w:r>
      <w:r w:rsidRPr="00E62FE6">
        <w:t>person</w:t>
      </w:r>
    </w:p>
    <w:p w:rsidR="003F7D03" w:rsidRPr="00E62FE6" w:rsidRDefault="003F7D03" w:rsidP="00152385">
      <w:pPr>
        <w:pStyle w:val="Bullet1G"/>
      </w:pPr>
      <w:r w:rsidRPr="00E62FE6">
        <w:t>Metropolitan</w:t>
      </w:r>
      <w:r w:rsidR="008243CA">
        <w:t xml:space="preserve"> </w:t>
      </w:r>
      <w:r w:rsidRPr="00E62FE6">
        <w:t>Region:</w:t>
      </w:r>
      <w:r w:rsidR="008243CA">
        <w:t xml:space="preserve"> </w:t>
      </w:r>
      <w:r w:rsidRPr="00E62FE6">
        <w:t>2</w:t>
      </w:r>
      <w:r w:rsidR="008243CA">
        <w:t xml:space="preserve"> </w:t>
      </w:r>
      <w:r w:rsidRPr="00E62FE6">
        <w:t>persons</w:t>
      </w:r>
    </w:p>
    <w:p w:rsidR="003F7D03" w:rsidRPr="00E62FE6" w:rsidRDefault="003F7D03" w:rsidP="00152385">
      <w:pPr>
        <w:pStyle w:val="Bullet1G"/>
      </w:pPr>
      <w:r w:rsidRPr="00E62FE6">
        <w:t>Maule</w:t>
      </w:r>
      <w:r w:rsidR="008243CA">
        <w:t xml:space="preserve"> </w:t>
      </w:r>
      <w:r w:rsidRPr="00E62FE6">
        <w:t>Region:</w:t>
      </w:r>
      <w:r w:rsidR="008243CA">
        <w:t xml:space="preserve"> </w:t>
      </w:r>
      <w:r w:rsidRPr="00E62FE6">
        <w:t>2</w:t>
      </w:r>
      <w:r w:rsidR="008243CA">
        <w:t xml:space="preserve"> </w:t>
      </w:r>
      <w:r w:rsidRPr="00E62FE6">
        <w:t>persons</w:t>
      </w:r>
    </w:p>
    <w:p w:rsidR="003F7D03" w:rsidRPr="00E62FE6" w:rsidRDefault="003F7D03" w:rsidP="00152385">
      <w:pPr>
        <w:pStyle w:val="Bullet1G"/>
      </w:pPr>
      <w:r w:rsidRPr="00E62FE6">
        <w:t>Araucanía</w:t>
      </w:r>
      <w:r w:rsidR="008243CA">
        <w:t xml:space="preserve"> </w:t>
      </w:r>
      <w:r w:rsidRPr="00E62FE6">
        <w:t>Region:</w:t>
      </w:r>
      <w:r w:rsidR="008243CA">
        <w:t xml:space="preserve"> </w:t>
      </w:r>
      <w:r w:rsidRPr="00E62FE6">
        <w:t>1</w:t>
      </w:r>
      <w:r w:rsidR="008243CA">
        <w:t xml:space="preserve"> </w:t>
      </w:r>
      <w:r w:rsidRPr="00E62FE6">
        <w:t>person</w:t>
      </w:r>
    </w:p>
    <w:p w:rsidR="003F7D03" w:rsidRPr="00E62FE6" w:rsidRDefault="003F7D03" w:rsidP="000C6D98">
      <w:pPr>
        <w:pStyle w:val="SingleTxtG"/>
      </w:pPr>
      <w:r w:rsidRPr="00E62FE6">
        <w:t>176.</w:t>
      </w:r>
      <w:r w:rsidRPr="00E62FE6">
        <w:tab/>
        <w:t>The</w:t>
      </w:r>
      <w:r w:rsidR="008243CA">
        <w:t xml:space="preserve"> </w:t>
      </w:r>
      <w:r w:rsidRPr="00E62FE6">
        <w:t>justification</w:t>
      </w:r>
      <w:r w:rsidR="008243CA">
        <w:t xml:space="preserve"> </w:t>
      </w:r>
      <w:r w:rsidRPr="00E62FE6">
        <w:t>for</w:t>
      </w:r>
      <w:r w:rsidR="008243CA">
        <w:t xml:space="preserve"> </w:t>
      </w:r>
      <w:r w:rsidRPr="00E62FE6">
        <w:t>such</w:t>
      </w:r>
      <w:r w:rsidR="008243CA">
        <w:t xml:space="preserve"> </w:t>
      </w:r>
      <w:r w:rsidRPr="00E62FE6">
        <w:t>measures,</w:t>
      </w:r>
      <w:r w:rsidR="008243CA">
        <w:t xml:space="preserve"> </w:t>
      </w:r>
      <w:r w:rsidRPr="00E62FE6">
        <w:t>as</w:t>
      </w:r>
      <w:r w:rsidR="008243CA">
        <w:t xml:space="preserve"> </w:t>
      </w:r>
      <w:r w:rsidRPr="00E62FE6">
        <w:t>given</w:t>
      </w:r>
      <w:r w:rsidR="008243CA">
        <w:t xml:space="preserve"> </w:t>
      </w:r>
      <w:r w:rsidRPr="00E62FE6">
        <w:t>by</w:t>
      </w:r>
      <w:r w:rsidR="008243CA">
        <w:t xml:space="preserve"> </w:t>
      </w:r>
      <w:r w:rsidRPr="00E62FE6">
        <w:t>LGBTI</w:t>
      </w:r>
      <w:r w:rsidR="008243CA">
        <w:t xml:space="preserve"> </w:t>
      </w:r>
      <w:r w:rsidRPr="00E62FE6">
        <w:t>persons</w:t>
      </w:r>
      <w:r w:rsidR="008243CA">
        <w:t xml:space="preserve"> </w:t>
      </w:r>
      <w:r w:rsidRPr="00E62FE6">
        <w:t>and</w:t>
      </w:r>
      <w:r w:rsidR="008243CA">
        <w:t xml:space="preserve"> </w:t>
      </w:r>
      <w:r w:rsidRPr="00E62FE6">
        <w:t>prison</w:t>
      </w:r>
      <w:r w:rsidR="008243CA">
        <w:t xml:space="preserve"> </w:t>
      </w:r>
      <w:r w:rsidRPr="00E62FE6">
        <w:t>administrators,</w:t>
      </w:r>
      <w:r w:rsidR="008243CA">
        <w:t xml:space="preserve"> </w:t>
      </w:r>
      <w:r w:rsidRPr="00E62FE6">
        <w:t>were,</w:t>
      </w:r>
      <w:r w:rsidR="008243CA">
        <w:t xml:space="preserve"> </w:t>
      </w:r>
      <w:r w:rsidRPr="00E62FE6">
        <w:t>on</w:t>
      </w:r>
      <w:r w:rsidR="008243CA">
        <w:t xml:space="preserve"> </w:t>
      </w:r>
      <w:r w:rsidRPr="00E62FE6">
        <w:t>the</w:t>
      </w:r>
      <w:r w:rsidR="008243CA">
        <w:t xml:space="preserve"> </w:t>
      </w:r>
      <w:r w:rsidRPr="00E62FE6">
        <w:t>one</w:t>
      </w:r>
      <w:r w:rsidR="008243CA">
        <w:t xml:space="preserve"> </w:t>
      </w:r>
      <w:r w:rsidRPr="00E62FE6">
        <w:t>hand,</w:t>
      </w:r>
      <w:r w:rsidR="008243CA">
        <w:t xml:space="preserve"> </w:t>
      </w:r>
      <w:r w:rsidRPr="00E62FE6">
        <w:t>the</w:t>
      </w:r>
      <w:r w:rsidR="008243CA">
        <w:t xml:space="preserve"> </w:t>
      </w:r>
      <w:r w:rsidRPr="00E62FE6">
        <w:t>desire</w:t>
      </w:r>
      <w:r w:rsidR="008243CA">
        <w:t xml:space="preserve"> </w:t>
      </w:r>
      <w:r w:rsidRPr="00E62FE6">
        <w:t>to</w:t>
      </w:r>
      <w:r w:rsidR="008243CA">
        <w:t xml:space="preserve"> </w:t>
      </w:r>
      <w:r w:rsidRPr="00E62FE6">
        <w:t>avoid</w:t>
      </w:r>
      <w:r w:rsidR="008243CA">
        <w:t xml:space="preserve"> </w:t>
      </w:r>
      <w:r w:rsidRPr="00E62FE6">
        <w:t>transferring</w:t>
      </w:r>
      <w:r w:rsidR="008243CA">
        <w:t xml:space="preserve"> </w:t>
      </w:r>
      <w:r w:rsidRPr="00E62FE6">
        <w:t>detainees</w:t>
      </w:r>
      <w:r w:rsidR="008243CA">
        <w:t xml:space="preserve"> </w:t>
      </w:r>
      <w:r w:rsidRPr="00E62FE6">
        <w:t>away</w:t>
      </w:r>
      <w:r w:rsidR="008243CA">
        <w:t xml:space="preserve"> </w:t>
      </w:r>
      <w:r w:rsidRPr="00E62FE6">
        <w:t>from</w:t>
      </w:r>
      <w:r w:rsidR="008243CA">
        <w:t xml:space="preserve"> </w:t>
      </w:r>
      <w:r w:rsidRPr="00E62FE6">
        <w:t>the</w:t>
      </w:r>
      <w:r w:rsidR="008243CA">
        <w:t xml:space="preserve"> </w:t>
      </w:r>
      <w:r w:rsidRPr="00E62FE6">
        <w:t>institutions</w:t>
      </w:r>
      <w:r w:rsidR="008243CA">
        <w:t xml:space="preserve"> </w:t>
      </w:r>
      <w:r w:rsidRPr="00E62FE6">
        <w:t>in</w:t>
      </w:r>
      <w:r w:rsidR="008243CA">
        <w:t xml:space="preserve"> </w:t>
      </w:r>
      <w:r w:rsidRPr="00E62FE6">
        <w:t>which</w:t>
      </w:r>
      <w:r w:rsidR="008243CA">
        <w:t xml:space="preserve"> </w:t>
      </w:r>
      <w:r w:rsidRPr="00E62FE6">
        <w:t>they</w:t>
      </w:r>
      <w:r w:rsidR="008243CA">
        <w:t xml:space="preserve"> </w:t>
      </w:r>
      <w:r w:rsidRPr="00E62FE6">
        <w:t>were</w:t>
      </w:r>
      <w:r w:rsidR="008243CA">
        <w:t xml:space="preserve"> </w:t>
      </w:r>
      <w:r w:rsidRPr="00E62FE6">
        <w:t>established,</w:t>
      </w:r>
      <w:r w:rsidR="008243CA">
        <w:t xml:space="preserve"> </w:t>
      </w:r>
      <w:r w:rsidRPr="00E62FE6">
        <w:t>and</w:t>
      </w:r>
      <w:r w:rsidR="008243CA">
        <w:t xml:space="preserve"> </w:t>
      </w:r>
      <w:r w:rsidRPr="00E62FE6">
        <w:t>on</w:t>
      </w:r>
      <w:r w:rsidR="008243CA">
        <w:t xml:space="preserve"> </w:t>
      </w:r>
      <w:r w:rsidRPr="00E62FE6">
        <w:t>the</w:t>
      </w:r>
      <w:r w:rsidR="008243CA">
        <w:t xml:space="preserve"> </w:t>
      </w:r>
      <w:r w:rsidRPr="00E62FE6">
        <w:t>other</w:t>
      </w:r>
      <w:r w:rsidR="008243CA">
        <w:t xml:space="preserve"> </w:t>
      </w:r>
      <w:r w:rsidRPr="00E62FE6">
        <w:t>hand,</w:t>
      </w:r>
      <w:r w:rsidR="008243CA">
        <w:t xml:space="preserve"> </w:t>
      </w:r>
      <w:r w:rsidRPr="00E62FE6">
        <w:t>the</w:t>
      </w:r>
      <w:r w:rsidR="008243CA">
        <w:t xml:space="preserve"> </w:t>
      </w:r>
      <w:r w:rsidRPr="00E62FE6">
        <w:t>lack</w:t>
      </w:r>
      <w:r w:rsidR="008243CA">
        <w:t xml:space="preserve"> </w:t>
      </w:r>
      <w:r w:rsidRPr="00E62FE6">
        <w:t>of</w:t>
      </w:r>
      <w:r w:rsidR="008243CA">
        <w:t xml:space="preserve"> </w:t>
      </w:r>
      <w:r w:rsidRPr="00E62FE6">
        <w:t>suitable</w:t>
      </w:r>
      <w:r w:rsidR="008243CA">
        <w:t xml:space="preserve"> </w:t>
      </w:r>
      <w:r w:rsidRPr="00E62FE6">
        <w:t>facilities</w:t>
      </w:r>
      <w:r w:rsidR="008243CA">
        <w:t xml:space="preserve"> </w:t>
      </w:r>
      <w:r w:rsidRPr="00E62FE6">
        <w:t>for</w:t>
      </w:r>
      <w:r w:rsidR="008243CA">
        <w:t xml:space="preserve"> </w:t>
      </w:r>
      <w:r w:rsidRPr="00E62FE6">
        <w:t>LGBTI</w:t>
      </w:r>
      <w:r w:rsidR="008243CA">
        <w:t xml:space="preserve"> </w:t>
      </w:r>
      <w:r w:rsidRPr="00E62FE6">
        <w:t>persons</w:t>
      </w:r>
      <w:r w:rsidR="008243CA">
        <w:t xml:space="preserve"> </w:t>
      </w:r>
      <w:r w:rsidRPr="00E62FE6">
        <w:t>at</w:t>
      </w:r>
      <w:r w:rsidR="008243CA">
        <w:t xml:space="preserve"> </w:t>
      </w:r>
      <w:r w:rsidRPr="00E62FE6">
        <w:t>the</w:t>
      </w:r>
      <w:r w:rsidR="008243CA">
        <w:t xml:space="preserve"> </w:t>
      </w:r>
      <w:r w:rsidRPr="00E62FE6">
        <w:t>regional</w:t>
      </w:r>
      <w:r w:rsidR="008243CA">
        <w:t xml:space="preserve"> </w:t>
      </w:r>
      <w:r w:rsidRPr="00E62FE6">
        <w:t>level.</w:t>
      </w:r>
    </w:p>
    <w:p w:rsidR="003F7D03" w:rsidRPr="00E62FE6" w:rsidRDefault="003F7D03" w:rsidP="000C6D98">
      <w:pPr>
        <w:pStyle w:val="SingleTxtG"/>
      </w:pPr>
      <w:r w:rsidRPr="00E62FE6">
        <w:t>177.</w:t>
      </w:r>
      <w:r w:rsidRPr="00E62FE6">
        <w:tab/>
        <w:t>The</w:t>
      </w:r>
      <w:r w:rsidR="008243CA">
        <w:t xml:space="preserve"> </w:t>
      </w:r>
      <w:r w:rsidRPr="00E62FE6">
        <w:t>Prison</w:t>
      </w:r>
      <w:r w:rsidR="008243CA">
        <w:t xml:space="preserve"> </w:t>
      </w:r>
      <w:r w:rsidRPr="00E62FE6">
        <w:t>Service</w:t>
      </w:r>
      <w:r w:rsidR="008243CA">
        <w:t xml:space="preserve"> </w:t>
      </w:r>
      <w:r w:rsidRPr="00E62FE6">
        <w:t>adopted</w:t>
      </w:r>
      <w:r w:rsidR="008243CA">
        <w:t xml:space="preserve"> </w:t>
      </w:r>
      <w:r w:rsidRPr="00E62FE6">
        <w:t>two</w:t>
      </w:r>
      <w:r w:rsidR="008243CA">
        <w:t xml:space="preserve"> </w:t>
      </w:r>
      <w:r w:rsidRPr="00E62FE6">
        <w:t>specific</w:t>
      </w:r>
      <w:r w:rsidR="008243CA">
        <w:t xml:space="preserve"> </w:t>
      </w:r>
      <w:r w:rsidRPr="00E62FE6">
        <w:t>measures</w:t>
      </w:r>
      <w:r w:rsidR="008243CA">
        <w:t xml:space="preserve"> </w:t>
      </w:r>
      <w:r w:rsidRPr="00E62FE6">
        <w:t>to</w:t>
      </w:r>
      <w:r w:rsidR="008243CA">
        <w:t xml:space="preserve"> </w:t>
      </w:r>
      <w:r w:rsidRPr="00E62FE6">
        <w:t>put</w:t>
      </w:r>
      <w:r w:rsidR="008243CA">
        <w:t xml:space="preserve"> </w:t>
      </w:r>
      <w:r w:rsidRPr="00E62FE6">
        <w:t>an</w:t>
      </w:r>
      <w:r w:rsidR="008243CA">
        <w:t xml:space="preserve"> </w:t>
      </w:r>
      <w:r w:rsidRPr="00E62FE6">
        <w:t>end</w:t>
      </w:r>
      <w:r w:rsidR="008243CA">
        <w:t xml:space="preserve"> </w:t>
      </w:r>
      <w:r w:rsidRPr="00E62FE6">
        <w:t>to</w:t>
      </w:r>
      <w:r w:rsidR="008243CA">
        <w:t xml:space="preserve"> </w:t>
      </w:r>
      <w:r w:rsidRPr="00E62FE6">
        <w:t>this</w:t>
      </w:r>
      <w:r w:rsidR="008243CA">
        <w:t xml:space="preserve"> </w:t>
      </w:r>
      <w:r w:rsidRPr="00E62FE6">
        <w:t>situation.</w:t>
      </w:r>
      <w:r w:rsidR="008243CA">
        <w:t xml:space="preserve"> </w:t>
      </w:r>
      <w:r w:rsidRPr="00E62FE6">
        <w:t>Firstly,</w:t>
      </w:r>
      <w:r w:rsidR="008243CA">
        <w:t xml:space="preserve"> </w:t>
      </w:r>
      <w:r w:rsidRPr="00E62FE6">
        <w:t>it</w:t>
      </w:r>
      <w:r w:rsidR="008243CA">
        <w:t xml:space="preserve"> </w:t>
      </w:r>
      <w:r w:rsidRPr="00E62FE6">
        <w:t>ordered</w:t>
      </w:r>
      <w:r w:rsidR="008243CA">
        <w:t xml:space="preserve"> </w:t>
      </w:r>
      <w:r w:rsidRPr="00E62FE6">
        <w:t>that</w:t>
      </w:r>
      <w:r w:rsidR="008243CA">
        <w:t xml:space="preserve"> </w:t>
      </w:r>
      <w:r w:rsidRPr="00E62FE6">
        <w:t>individuals</w:t>
      </w:r>
      <w:r w:rsidR="008243CA">
        <w:t xml:space="preserve"> </w:t>
      </w:r>
      <w:r w:rsidRPr="00E62FE6">
        <w:t>held</w:t>
      </w:r>
      <w:r w:rsidR="008243CA">
        <w:t xml:space="preserve"> </w:t>
      </w:r>
      <w:r w:rsidRPr="00E62FE6">
        <w:t>in</w:t>
      </w:r>
      <w:r w:rsidR="008243CA">
        <w:t xml:space="preserve"> </w:t>
      </w:r>
      <w:r w:rsidRPr="00E62FE6">
        <w:t>isolation</w:t>
      </w:r>
      <w:r w:rsidR="008243CA">
        <w:t xml:space="preserve"> </w:t>
      </w:r>
      <w:r w:rsidRPr="00E62FE6">
        <w:t>should</w:t>
      </w:r>
      <w:r w:rsidR="008243CA">
        <w:t xml:space="preserve"> </w:t>
      </w:r>
      <w:r w:rsidRPr="00E62FE6">
        <w:t>be</w:t>
      </w:r>
      <w:r w:rsidR="008243CA">
        <w:t xml:space="preserve"> </w:t>
      </w:r>
      <w:r w:rsidRPr="00E62FE6">
        <w:t>immediately</w:t>
      </w:r>
      <w:r w:rsidR="008243CA">
        <w:t xml:space="preserve"> </w:t>
      </w:r>
      <w:r w:rsidRPr="00E62FE6">
        <w:t>relocated,</w:t>
      </w:r>
      <w:r w:rsidR="008243CA">
        <w:t xml:space="preserve"> </w:t>
      </w:r>
      <w:r w:rsidRPr="00E62FE6">
        <w:t>and</w:t>
      </w:r>
      <w:r w:rsidR="008243CA">
        <w:t xml:space="preserve"> </w:t>
      </w:r>
      <w:r w:rsidRPr="00E62FE6">
        <w:t>secondly,</w:t>
      </w:r>
      <w:r w:rsidR="008243CA">
        <w:t xml:space="preserve"> </w:t>
      </w:r>
      <w:r w:rsidRPr="00E62FE6">
        <w:t>that</w:t>
      </w:r>
      <w:r w:rsidR="008243CA">
        <w:t xml:space="preserve"> </w:t>
      </w:r>
      <w:r w:rsidRPr="00E62FE6">
        <w:t>their</w:t>
      </w:r>
      <w:r w:rsidR="008243CA">
        <w:t xml:space="preserve"> </w:t>
      </w:r>
      <w:r w:rsidRPr="00E62FE6">
        <w:t>living</w:t>
      </w:r>
      <w:r w:rsidR="008243CA">
        <w:t xml:space="preserve"> </w:t>
      </w:r>
      <w:r w:rsidRPr="00E62FE6">
        <w:t>conditions</w:t>
      </w:r>
      <w:r w:rsidR="008243CA">
        <w:t xml:space="preserve"> </w:t>
      </w:r>
      <w:r w:rsidRPr="00E62FE6">
        <w:t>should</w:t>
      </w:r>
      <w:r w:rsidR="008243CA">
        <w:t xml:space="preserve"> </w:t>
      </w:r>
      <w:r w:rsidRPr="00E62FE6">
        <w:t>be</w:t>
      </w:r>
      <w:r w:rsidR="008243CA">
        <w:t xml:space="preserve"> </w:t>
      </w:r>
      <w:r w:rsidRPr="00E62FE6">
        <w:t>improved.</w:t>
      </w:r>
      <w:r w:rsidR="008243CA">
        <w:t xml:space="preserve"> </w:t>
      </w:r>
      <w:r w:rsidRPr="00E62FE6">
        <w:t>The</w:t>
      </w:r>
      <w:r w:rsidR="008243CA">
        <w:t xml:space="preserve"> </w:t>
      </w:r>
      <w:r w:rsidRPr="00E62FE6">
        <w:t>first</w:t>
      </w:r>
      <w:r w:rsidR="008243CA">
        <w:t xml:space="preserve"> </w:t>
      </w:r>
      <w:r w:rsidRPr="00E62FE6">
        <w:t>measure</w:t>
      </w:r>
      <w:r w:rsidR="008243CA">
        <w:t xml:space="preserve"> </w:t>
      </w:r>
      <w:r w:rsidRPr="00E62FE6">
        <w:t>has</w:t>
      </w:r>
      <w:r w:rsidR="008243CA">
        <w:t xml:space="preserve"> </w:t>
      </w:r>
      <w:r w:rsidRPr="00E62FE6">
        <w:t>already</w:t>
      </w:r>
      <w:r w:rsidR="008243CA">
        <w:t xml:space="preserve"> </w:t>
      </w:r>
      <w:r w:rsidRPr="00E62FE6">
        <w:t>been</w:t>
      </w:r>
      <w:r w:rsidR="008243CA">
        <w:t xml:space="preserve"> </w:t>
      </w:r>
      <w:r w:rsidRPr="00E62FE6">
        <w:t>carried</w:t>
      </w:r>
      <w:r w:rsidR="008243CA">
        <w:t xml:space="preserve"> </w:t>
      </w:r>
      <w:r w:rsidRPr="00E62FE6">
        <w:t>out,</w:t>
      </w:r>
      <w:r w:rsidR="008243CA">
        <w:t xml:space="preserve"> </w:t>
      </w:r>
      <w:r w:rsidRPr="00E62FE6">
        <w:t>and</w:t>
      </w:r>
      <w:r w:rsidR="008243CA">
        <w:t xml:space="preserve"> </w:t>
      </w:r>
      <w:r w:rsidRPr="00E62FE6">
        <w:t>the</w:t>
      </w:r>
      <w:r w:rsidR="008243CA">
        <w:t xml:space="preserve"> </w:t>
      </w:r>
      <w:r w:rsidRPr="00E62FE6">
        <w:t>second</w:t>
      </w:r>
      <w:r w:rsidR="008243CA">
        <w:t xml:space="preserve"> </w:t>
      </w:r>
      <w:r w:rsidRPr="00E62FE6">
        <w:t>is</w:t>
      </w:r>
      <w:r w:rsidR="008243CA">
        <w:t xml:space="preserve"> </w:t>
      </w:r>
      <w:r w:rsidRPr="00E62FE6">
        <w:t>due</w:t>
      </w:r>
      <w:r w:rsidR="008243CA">
        <w:t xml:space="preserve"> </w:t>
      </w:r>
      <w:r w:rsidRPr="00E62FE6">
        <w:t>to</w:t>
      </w:r>
      <w:r w:rsidR="008243CA">
        <w:t xml:space="preserve"> </w:t>
      </w:r>
      <w:r w:rsidRPr="00E62FE6">
        <w:t>be</w:t>
      </w:r>
      <w:r w:rsidR="008243CA">
        <w:t xml:space="preserve"> </w:t>
      </w:r>
      <w:r w:rsidRPr="00E62FE6">
        <w:t>implemented</w:t>
      </w:r>
      <w:r w:rsidR="008243CA">
        <w:t xml:space="preserve"> </w:t>
      </w:r>
      <w:r w:rsidRPr="00E62FE6">
        <w:t>by</w:t>
      </w:r>
      <w:r w:rsidR="008243CA">
        <w:t xml:space="preserve"> </w:t>
      </w:r>
      <w:r w:rsidRPr="00E62FE6">
        <w:t>July</w:t>
      </w:r>
      <w:r w:rsidR="008243CA">
        <w:t xml:space="preserve"> </w:t>
      </w:r>
      <w:r w:rsidRPr="00E62FE6">
        <w:t>2017.</w:t>
      </w:r>
    </w:p>
    <w:p w:rsidR="003F7D03" w:rsidRPr="00E62FE6" w:rsidRDefault="003F7D03" w:rsidP="000C6D98">
      <w:pPr>
        <w:pStyle w:val="SingleTxtG"/>
      </w:pPr>
      <w:r w:rsidRPr="00E62FE6">
        <w:lastRenderedPageBreak/>
        <w:t>178.</w:t>
      </w:r>
      <w:r w:rsidRPr="00E62FE6">
        <w:tab/>
        <w:t>Moreover,</w:t>
      </w:r>
      <w:r w:rsidR="008243CA">
        <w:t xml:space="preserve"> </w:t>
      </w:r>
      <w:r w:rsidRPr="00E62FE6">
        <w:t>SENAME</w:t>
      </w:r>
      <w:r w:rsidRPr="00116F0B">
        <w:rPr>
          <w:rStyle w:val="FootnoteReference"/>
        </w:rPr>
        <w:footnoteReference w:id="63"/>
      </w:r>
      <w:r w:rsidR="008243CA">
        <w:t xml:space="preserve"> </w:t>
      </w:r>
      <w:r w:rsidRPr="00E62FE6">
        <w:t>will</w:t>
      </w:r>
      <w:r w:rsidR="008243CA">
        <w:t xml:space="preserve"> </w:t>
      </w:r>
      <w:r w:rsidRPr="00E62FE6">
        <w:t>amend</w:t>
      </w:r>
      <w:r w:rsidR="008243CA">
        <w:t xml:space="preserve"> </w:t>
      </w:r>
      <w:r w:rsidRPr="00E62FE6">
        <w:t>and</w:t>
      </w:r>
      <w:r w:rsidR="008243CA">
        <w:t xml:space="preserve"> </w:t>
      </w:r>
      <w:r w:rsidRPr="00E62FE6">
        <w:t>update</w:t>
      </w:r>
      <w:r w:rsidR="008243CA">
        <w:t xml:space="preserve"> </w:t>
      </w:r>
      <w:r w:rsidRPr="00E62FE6">
        <w:t>its</w:t>
      </w:r>
      <w:r w:rsidR="008243CA">
        <w:t xml:space="preserve"> </w:t>
      </w:r>
      <w:r w:rsidRPr="00E62FE6">
        <w:t>internal</w:t>
      </w:r>
      <w:r w:rsidR="008243CA">
        <w:t xml:space="preserve"> </w:t>
      </w:r>
      <w:r w:rsidRPr="00E62FE6">
        <w:t>regulations</w:t>
      </w:r>
      <w:r w:rsidR="008243CA">
        <w:t xml:space="preserve"> </w:t>
      </w:r>
      <w:r w:rsidRPr="00E62FE6">
        <w:t>to</w:t>
      </w:r>
      <w:r w:rsidR="008243CA">
        <w:t xml:space="preserve"> </w:t>
      </w:r>
      <w:r w:rsidRPr="00E62FE6">
        <w:t>make</w:t>
      </w:r>
      <w:r w:rsidR="008243CA">
        <w:t xml:space="preserve"> </w:t>
      </w:r>
      <w:r w:rsidRPr="00E62FE6">
        <w:t>explicit</w:t>
      </w:r>
      <w:r w:rsidR="008243CA">
        <w:t xml:space="preserve"> </w:t>
      </w:r>
      <w:r w:rsidRPr="00E62FE6">
        <w:t>reference</w:t>
      </w:r>
      <w:r w:rsidR="008243CA">
        <w:t xml:space="preserve"> </w:t>
      </w:r>
      <w:r w:rsidRPr="00E62FE6">
        <w:t>to</w:t>
      </w:r>
      <w:r w:rsidR="008243CA">
        <w:t xml:space="preserve"> </w:t>
      </w:r>
      <w:r w:rsidRPr="00E62FE6">
        <w:t>members</w:t>
      </w:r>
      <w:r w:rsidR="008243CA">
        <w:t xml:space="preserve"> </w:t>
      </w:r>
      <w:r w:rsidRPr="00E62FE6">
        <w:t>of</w:t>
      </w:r>
      <w:r w:rsidR="008243CA">
        <w:t xml:space="preserve"> </w:t>
      </w:r>
      <w:r w:rsidRPr="00E62FE6">
        <w:t>the</w:t>
      </w:r>
      <w:r w:rsidR="008243CA">
        <w:t xml:space="preserve"> </w:t>
      </w:r>
      <w:r w:rsidRPr="00E62FE6">
        <w:t>LGBTI</w:t>
      </w:r>
      <w:r w:rsidR="008243CA">
        <w:t xml:space="preserve"> </w:t>
      </w:r>
      <w:r w:rsidRPr="00E62FE6">
        <w:t>community</w:t>
      </w:r>
      <w:r w:rsidR="008243CA">
        <w:t xml:space="preserve"> </w:t>
      </w:r>
      <w:r w:rsidRPr="00E62FE6">
        <w:t>and</w:t>
      </w:r>
      <w:r w:rsidR="008243CA">
        <w:t xml:space="preserve"> </w:t>
      </w:r>
      <w:r w:rsidRPr="00E62FE6">
        <w:t>the</w:t>
      </w:r>
      <w:r w:rsidR="008243CA">
        <w:t xml:space="preserve"> </w:t>
      </w:r>
      <w:r w:rsidRPr="00E62FE6">
        <w:t>measures</w:t>
      </w:r>
      <w:r w:rsidR="008243CA">
        <w:t xml:space="preserve"> </w:t>
      </w:r>
      <w:r w:rsidRPr="00E62FE6">
        <w:t>adopted</w:t>
      </w:r>
      <w:r w:rsidR="008243CA">
        <w:t xml:space="preserve"> </w:t>
      </w:r>
      <w:r w:rsidRPr="00E62FE6">
        <w:t>for</w:t>
      </w:r>
      <w:r w:rsidR="008243CA">
        <w:t xml:space="preserve"> </w:t>
      </w:r>
      <w:r w:rsidRPr="00E62FE6">
        <w:t>their</w:t>
      </w:r>
      <w:r w:rsidR="008243CA">
        <w:t xml:space="preserve"> </w:t>
      </w:r>
      <w:r w:rsidRPr="00E62FE6">
        <w:t>protection.</w:t>
      </w:r>
      <w:r w:rsidR="008243CA">
        <w:t xml:space="preserve"> </w:t>
      </w:r>
      <w:r w:rsidRPr="00E62FE6">
        <w:t>The</w:t>
      </w:r>
      <w:r w:rsidR="008243CA">
        <w:t xml:space="preserve"> </w:t>
      </w:r>
      <w:r w:rsidRPr="00E62FE6">
        <w:t>health</w:t>
      </w:r>
      <w:r w:rsidR="008243CA">
        <w:t xml:space="preserve"> </w:t>
      </w:r>
      <w:r w:rsidRPr="00E62FE6">
        <w:t>unit</w:t>
      </w:r>
      <w:r w:rsidR="008243CA">
        <w:t xml:space="preserve"> </w:t>
      </w:r>
      <w:r w:rsidRPr="00E62FE6">
        <w:t>of</w:t>
      </w:r>
      <w:r w:rsidR="008243CA">
        <w:t xml:space="preserve"> </w:t>
      </w:r>
      <w:r w:rsidRPr="00E62FE6">
        <w:t>SENAME</w:t>
      </w:r>
      <w:r w:rsidR="008243CA">
        <w:t xml:space="preserve"> </w:t>
      </w:r>
      <w:r w:rsidRPr="00E62FE6">
        <w:t>will</w:t>
      </w:r>
      <w:r w:rsidR="008243CA">
        <w:t xml:space="preserve"> </w:t>
      </w:r>
      <w:r w:rsidRPr="00E62FE6">
        <w:t>train</w:t>
      </w:r>
      <w:r w:rsidR="008243CA">
        <w:t xml:space="preserve"> </w:t>
      </w:r>
      <w:r w:rsidRPr="00E62FE6">
        <w:t>officials</w:t>
      </w:r>
      <w:r w:rsidR="008243CA">
        <w:t xml:space="preserve"> </w:t>
      </w:r>
      <w:r w:rsidRPr="00E62FE6">
        <w:t>on</w:t>
      </w:r>
      <w:r w:rsidR="008243CA">
        <w:t xml:space="preserve"> </w:t>
      </w:r>
      <w:r w:rsidRPr="00E62FE6">
        <w:t>the</w:t>
      </w:r>
      <w:r w:rsidR="008243CA">
        <w:t xml:space="preserve"> </w:t>
      </w:r>
      <w:r w:rsidRPr="00E62FE6">
        <w:t>proper</w:t>
      </w:r>
      <w:r w:rsidR="008243CA">
        <w:t xml:space="preserve"> </w:t>
      </w:r>
      <w:r w:rsidRPr="00E62FE6">
        <w:t>treatment</w:t>
      </w:r>
      <w:r w:rsidR="008243CA">
        <w:t xml:space="preserve"> </w:t>
      </w:r>
      <w:r w:rsidRPr="00E62FE6">
        <w:t>of</w:t>
      </w:r>
      <w:r w:rsidR="008243CA">
        <w:t xml:space="preserve"> </w:t>
      </w:r>
      <w:r w:rsidRPr="00E62FE6">
        <w:t>LGBTI</w:t>
      </w:r>
      <w:r w:rsidR="008243CA">
        <w:t xml:space="preserve"> </w:t>
      </w:r>
      <w:r w:rsidRPr="00E62FE6">
        <w:t>persons</w:t>
      </w:r>
      <w:r w:rsidR="008243CA">
        <w:t xml:space="preserve"> </w:t>
      </w:r>
      <w:r w:rsidRPr="00E62FE6">
        <w:t>and</w:t>
      </w:r>
      <w:r w:rsidR="008243CA">
        <w:t xml:space="preserve"> </w:t>
      </w:r>
      <w:r w:rsidRPr="00E62FE6">
        <w:t>on</w:t>
      </w:r>
      <w:r w:rsidR="008243CA">
        <w:t xml:space="preserve"> </w:t>
      </w:r>
      <w:r w:rsidRPr="00E62FE6">
        <w:t>the</w:t>
      </w:r>
      <w:r w:rsidR="008243CA">
        <w:t xml:space="preserve"> </w:t>
      </w:r>
      <w:r w:rsidRPr="00E62FE6">
        <w:t>prevention</w:t>
      </w:r>
      <w:r w:rsidR="008243CA">
        <w:t xml:space="preserve"> </w:t>
      </w:r>
      <w:r w:rsidRPr="00E62FE6">
        <w:t>of</w:t>
      </w:r>
      <w:r w:rsidR="008243CA">
        <w:t xml:space="preserve"> </w:t>
      </w:r>
      <w:r w:rsidRPr="00E62FE6">
        <w:t>suicides</w:t>
      </w:r>
      <w:r w:rsidR="008243CA">
        <w:t xml:space="preserve"> </w:t>
      </w:r>
      <w:r w:rsidRPr="00E62FE6">
        <w:t>among</w:t>
      </w:r>
      <w:r w:rsidR="008243CA">
        <w:t xml:space="preserve"> </w:t>
      </w:r>
      <w:r w:rsidRPr="00E62FE6">
        <w:t>this</w:t>
      </w:r>
      <w:r w:rsidR="008243CA">
        <w:t xml:space="preserve"> </w:t>
      </w:r>
      <w:r w:rsidRPr="00E62FE6">
        <w:t>group.</w:t>
      </w:r>
      <w:r w:rsidR="008243CA">
        <w:t xml:space="preserve"> </w:t>
      </w:r>
      <w:r w:rsidRPr="00E62FE6">
        <w:t>It</w:t>
      </w:r>
      <w:r w:rsidR="008243CA">
        <w:t xml:space="preserve"> </w:t>
      </w:r>
      <w:r w:rsidRPr="00E62FE6">
        <w:t>is</w:t>
      </w:r>
      <w:r w:rsidR="008243CA">
        <w:t xml:space="preserve"> </w:t>
      </w:r>
      <w:r w:rsidRPr="00E62FE6">
        <w:t>envisaged</w:t>
      </w:r>
      <w:r w:rsidR="008243CA">
        <w:t xml:space="preserve"> </w:t>
      </w:r>
      <w:r w:rsidRPr="00E62FE6">
        <w:t>that</w:t>
      </w:r>
      <w:r w:rsidR="008243CA">
        <w:t xml:space="preserve"> </w:t>
      </w:r>
      <w:r w:rsidRPr="00E62FE6">
        <w:t>these</w:t>
      </w:r>
      <w:r w:rsidR="008243CA">
        <w:t xml:space="preserve"> </w:t>
      </w:r>
      <w:r w:rsidRPr="00E62FE6">
        <w:t>actions</w:t>
      </w:r>
      <w:r w:rsidR="008243CA">
        <w:t xml:space="preserve"> </w:t>
      </w:r>
      <w:r w:rsidRPr="00E62FE6">
        <w:t>will</w:t>
      </w:r>
      <w:r w:rsidR="008243CA">
        <w:t xml:space="preserve"> </w:t>
      </w:r>
      <w:r w:rsidRPr="00E62FE6">
        <w:t>be</w:t>
      </w:r>
      <w:r w:rsidR="008243CA">
        <w:t xml:space="preserve"> </w:t>
      </w:r>
      <w:r w:rsidRPr="00E62FE6">
        <w:t>carried</w:t>
      </w:r>
      <w:r w:rsidR="008243CA">
        <w:t xml:space="preserve"> </w:t>
      </w:r>
      <w:r w:rsidRPr="00E62FE6">
        <w:t>out</w:t>
      </w:r>
      <w:r w:rsidR="008243CA">
        <w:t xml:space="preserve"> </w:t>
      </w:r>
      <w:r w:rsidRPr="00E62FE6">
        <w:t>during</w:t>
      </w:r>
      <w:r w:rsidR="008243CA">
        <w:t xml:space="preserve"> </w:t>
      </w:r>
      <w:r w:rsidRPr="00E62FE6">
        <w:t>the</w:t>
      </w:r>
      <w:r w:rsidR="008243CA">
        <w:t xml:space="preserve"> </w:t>
      </w:r>
      <w:r w:rsidRPr="00E62FE6">
        <w:t>first</w:t>
      </w:r>
      <w:r w:rsidR="008243CA">
        <w:t xml:space="preserve"> </w:t>
      </w:r>
      <w:r w:rsidRPr="00E62FE6">
        <w:t>half</w:t>
      </w:r>
      <w:r w:rsidR="008243CA">
        <w:t xml:space="preserve"> </w:t>
      </w:r>
      <w:r w:rsidRPr="00E62FE6">
        <w:t>of</w:t>
      </w:r>
      <w:r w:rsidR="008243CA">
        <w:t xml:space="preserve"> </w:t>
      </w:r>
      <w:r w:rsidRPr="00E62FE6">
        <w:t>2017.</w:t>
      </w:r>
      <w:bookmarkStart w:id="107" w:name="page43"/>
      <w:bookmarkEnd w:id="107"/>
    </w:p>
    <w:p w:rsidR="003F7D03" w:rsidRPr="00152385" w:rsidRDefault="003F7D03" w:rsidP="000C6D98">
      <w:pPr>
        <w:pStyle w:val="SingleTxtG"/>
        <w:rPr>
          <w:i/>
          <w:iCs/>
        </w:rPr>
      </w:pPr>
      <w:r w:rsidRPr="00E62FE6">
        <w:t>179.</w:t>
      </w:r>
      <w:r w:rsidRPr="00E62FE6">
        <w:tab/>
        <w:t>Paragraph</w:t>
      </w:r>
      <w:r w:rsidR="008243CA">
        <w:t xml:space="preserve"> </w:t>
      </w:r>
      <w:r w:rsidRPr="00E62FE6">
        <w:t>130:</w:t>
      </w:r>
      <w:r w:rsidR="008243CA">
        <w:t xml:space="preserve"> </w:t>
      </w:r>
      <w:r w:rsidRPr="00152385">
        <w:rPr>
          <w:i/>
          <w:iCs/>
        </w:rPr>
        <w:t>The</w:t>
      </w:r>
      <w:r w:rsidR="008243CA" w:rsidRPr="00152385">
        <w:rPr>
          <w:i/>
          <w:iCs/>
        </w:rPr>
        <w:t xml:space="preserve"> </w:t>
      </w:r>
      <w:r w:rsidRPr="00152385">
        <w:rPr>
          <w:i/>
          <w:iCs/>
        </w:rPr>
        <w:t>Subcommittee</w:t>
      </w:r>
      <w:r w:rsidR="008243CA" w:rsidRPr="00152385">
        <w:rPr>
          <w:i/>
          <w:iCs/>
        </w:rPr>
        <w:t xml:space="preserve"> </w:t>
      </w:r>
      <w:r w:rsidRPr="00152385">
        <w:rPr>
          <w:i/>
          <w:iCs/>
        </w:rPr>
        <w:t>recommends</w:t>
      </w:r>
      <w:r w:rsidR="008243CA" w:rsidRPr="00152385">
        <w:rPr>
          <w:i/>
          <w:iCs/>
        </w:rPr>
        <w:t xml:space="preserve"> </w:t>
      </w:r>
      <w:r w:rsidRPr="00152385">
        <w:rPr>
          <w:i/>
          <w:iCs/>
        </w:rPr>
        <w:t>that</w:t>
      </w:r>
      <w:r w:rsidR="008243CA" w:rsidRPr="00152385">
        <w:rPr>
          <w:i/>
          <w:iCs/>
        </w:rPr>
        <w:t xml:space="preserve"> </w:t>
      </w:r>
      <w:r w:rsidRPr="00152385">
        <w:rPr>
          <w:i/>
          <w:iCs/>
        </w:rPr>
        <w:t>the</w:t>
      </w:r>
      <w:r w:rsidR="008243CA" w:rsidRPr="00152385">
        <w:rPr>
          <w:i/>
          <w:iCs/>
        </w:rPr>
        <w:t xml:space="preserve"> </w:t>
      </w:r>
      <w:r w:rsidRPr="00152385">
        <w:rPr>
          <w:i/>
          <w:iCs/>
        </w:rPr>
        <w:t>State</w:t>
      </w:r>
      <w:r w:rsidR="008243CA" w:rsidRPr="00152385">
        <w:rPr>
          <w:i/>
          <w:iCs/>
        </w:rPr>
        <w:t xml:space="preserve"> </w:t>
      </w:r>
      <w:r w:rsidRPr="00152385">
        <w:rPr>
          <w:i/>
          <w:iCs/>
        </w:rPr>
        <w:t>party</w:t>
      </w:r>
      <w:r w:rsidR="008243CA" w:rsidRPr="00152385">
        <w:rPr>
          <w:i/>
          <w:iCs/>
        </w:rPr>
        <w:t xml:space="preserve"> </w:t>
      </w:r>
      <w:r w:rsidRPr="00152385">
        <w:rPr>
          <w:i/>
          <w:iCs/>
        </w:rPr>
        <w:t>prevent</w:t>
      </w:r>
      <w:r w:rsidR="008243CA" w:rsidRPr="00152385">
        <w:rPr>
          <w:i/>
          <w:iCs/>
        </w:rPr>
        <w:t xml:space="preserve"> </w:t>
      </w:r>
      <w:r w:rsidRPr="00152385">
        <w:rPr>
          <w:i/>
          <w:iCs/>
        </w:rPr>
        <w:t>the</w:t>
      </w:r>
      <w:r w:rsidR="008243CA" w:rsidRPr="00152385">
        <w:rPr>
          <w:i/>
          <w:iCs/>
        </w:rPr>
        <w:t xml:space="preserve"> </w:t>
      </w:r>
      <w:r w:rsidRPr="00152385">
        <w:rPr>
          <w:i/>
          <w:iCs/>
        </w:rPr>
        <w:t>ill-treatment</w:t>
      </w:r>
      <w:r w:rsidR="008243CA" w:rsidRPr="00152385">
        <w:rPr>
          <w:i/>
          <w:iCs/>
        </w:rPr>
        <w:t xml:space="preserve"> </w:t>
      </w:r>
      <w:r w:rsidRPr="00152385">
        <w:rPr>
          <w:i/>
          <w:iCs/>
        </w:rPr>
        <w:t>and</w:t>
      </w:r>
      <w:r w:rsidR="008243CA" w:rsidRPr="00152385">
        <w:rPr>
          <w:i/>
          <w:iCs/>
        </w:rPr>
        <w:t xml:space="preserve"> </w:t>
      </w:r>
      <w:r w:rsidRPr="00152385">
        <w:rPr>
          <w:i/>
          <w:iCs/>
        </w:rPr>
        <w:t>marginalization</w:t>
      </w:r>
      <w:r w:rsidR="008243CA" w:rsidRPr="00152385">
        <w:rPr>
          <w:i/>
          <w:iCs/>
        </w:rPr>
        <w:t xml:space="preserve"> </w:t>
      </w:r>
      <w:r w:rsidRPr="00152385">
        <w:rPr>
          <w:i/>
          <w:iCs/>
        </w:rPr>
        <w:t>of</w:t>
      </w:r>
      <w:r w:rsidR="008243CA" w:rsidRPr="00152385">
        <w:rPr>
          <w:i/>
          <w:iCs/>
        </w:rPr>
        <w:t xml:space="preserve"> </w:t>
      </w:r>
      <w:r w:rsidRPr="00152385">
        <w:rPr>
          <w:i/>
          <w:iCs/>
        </w:rPr>
        <w:t>LGBTI</w:t>
      </w:r>
      <w:r w:rsidR="008243CA" w:rsidRPr="00152385">
        <w:rPr>
          <w:i/>
          <w:iCs/>
        </w:rPr>
        <w:t xml:space="preserve"> </w:t>
      </w:r>
      <w:r w:rsidRPr="00152385">
        <w:rPr>
          <w:i/>
          <w:iCs/>
        </w:rPr>
        <w:t>persons</w:t>
      </w:r>
      <w:r w:rsidR="008243CA" w:rsidRPr="00152385">
        <w:rPr>
          <w:i/>
          <w:iCs/>
        </w:rPr>
        <w:t xml:space="preserve"> </w:t>
      </w:r>
      <w:r w:rsidRPr="00152385">
        <w:rPr>
          <w:i/>
          <w:iCs/>
        </w:rPr>
        <w:t>deprived</w:t>
      </w:r>
      <w:r w:rsidR="008243CA" w:rsidRPr="00152385">
        <w:rPr>
          <w:i/>
          <w:iCs/>
        </w:rPr>
        <w:t xml:space="preserve"> </w:t>
      </w:r>
      <w:r w:rsidRPr="00152385">
        <w:rPr>
          <w:i/>
          <w:iCs/>
        </w:rPr>
        <w:t>of</w:t>
      </w:r>
      <w:r w:rsidR="008243CA" w:rsidRPr="00152385">
        <w:rPr>
          <w:i/>
          <w:iCs/>
        </w:rPr>
        <w:t xml:space="preserve"> </w:t>
      </w:r>
      <w:r w:rsidRPr="00152385">
        <w:rPr>
          <w:i/>
          <w:iCs/>
        </w:rPr>
        <w:t>their</w:t>
      </w:r>
      <w:r w:rsidR="008243CA" w:rsidRPr="00152385">
        <w:rPr>
          <w:i/>
          <w:iCs/>
        </w:rPr>
        <w:t xml:space="preserve"> </w:t>
      </w:r>
      <w:r w:rsidRPr="00152385">
        <w:rPr>
          <w:i/>
          <w:iCs/>
        </w:rPr>
        <w:t>liberty,</w:t>
      </w:r>
      <w:r w:rsidR="008243CA" w:rsidRPr="00152385">
        <w:rPr>
          <w:i/>
          <w:iCs/>
        </w:rPr>
        <w:t xml:space="preserve"> </w:t>
      </w:r>
      <w:r w:rsidRPr="00152385">
        <w:rPr>
          <w:i/>
          <w:iCs/>
        </w:rPr>
        <w:t>in</w:t>
      </w:r>
      <w:r w:rsidR="008243CA" w:rsidRPr="00152385">
        <w:rPr>
          <w:i/>
          <w:iCs/>
        </w:rPr>
        <w:t xml:space="preserve"> </w:t>
      </w:r>
      <w:r w:rsidRPr="00152385">
        <w:rPr>
          <w:i/>
          <w:iCs/>
        </w:rPr>
        <w:t>particular</w:t>
      </w:r>
      <w:r w:rsidR="008243CA" w:rsidRPr="00152385">
        <w:rPr>
          <w:i/>
          <w:iCs/>
        </w:rPr>
        <w:t xml:space="preserve"> </w:t>
      </w:r>
      <w:r w:rsidRPr="00152385">
        <w:rPr>
          <w:i/>
          <w:iCs/>
        </w:rPr>
        <w:t>by</w:t>
      </w:r>
      <w:r w:rsidR="008243CA" w:rsidRPr="00152385">
        <w:rPr>
          <w:i/>
          <w:iCs/>
        </w:rPr>
        <w:t xml:space="preserve"> </w:t>
      </w:r>
      <w:r w:rsidRPr="00152385">
        <w:rPr>
          <w:i/>
          <w:iCs/>
        </w:rPr>
        <w:t>ensuring</w:t>
      </w:r>
      <w:r w:rsidR="008243CA" w:rsidRPr="00152385">
        <w:rPr>
          <w:i/>
          <w:iCs/>
        </w:rPr>
        <w:t xml:space="preserve"> </w:t>
      </w:r>
      <w:r w:rsidRPr="00152385">
        <w:rPr>
          <w:i/>
          <w:iCs/>
        </w:rPr>
        <w:t>that</w:t>
      </w:r>
      <w:r w:rsidR="008243CA" w:rsidRPr="00152385">
        <w:rPr>
          <w:i/>
          <w:iCs/>
        </w:rPr>
        <w:t xml:space="preserve"> </w:t>
      </w:r>
      <w:r w:rsidRPr="00152385">
        <w:rPr>
          <w:i/>
          <w:iCs/>
        </w:rPr>
        <w:t>they</w:t>
      </w:r>
      <w:r w:rsidR="008243CA" w:rsidRPr="00152385">
        <w:rPr>
          <w:i/>
          <w:iCs/>
        </w:rPr>
        <w:t xml:space="preserve"> </w:t>
      </w:r>
      <w:r w:rsidRPr="00152385">
        <w:rPr>
          <w:i/>
          <w:iCs/>
        </w:rPr>
        <w:t>have</w:t>
      </w:r>
      <w:r w:rsidR="008243CA" w:rsidRPr="00152385">
        <w:rPr>
          <w:i/>
          <w:iCs/>
        </w:rPr>
        <w:t xml:space="preserve"> </w:t>
      </w:r>
      <w:r w:rsidRPr="00152385">
        <w:rPr>
          <w:i/>
          <w:iCs/>
        </w:rPr>
        <w:t>access,</w:t>
      </w:r>
      <w:r w:rsidR="008243CA" w:rsidRPr="00152385">
        <w:rPr>
          <w:i/>
          <w:iCs/>
        </w:rPr>
        <w:t xml:space="preserve"> </w:t>
      </w:r>
      <w:r w:rsidRPr="00152385">
        <w:rPr>
          <w:i/>
          <w:iCs/>
        </w:rPr>
        <w:t>without</w:t>
      </w:r>
      <w:r w:rsidR="008243CA" w:rsidRPr="00152385">
        <w:rPr>
          <w:i/>
          <w:iCs/>
        </w:rPr>
        <w:t xml:space="preserve"> </w:t>
      </w:r>
      <w:r w:rsidRPr="00152385">
        <w:rPr>
          <w:i/>
          <w:iCs/>
        </w:rPr>
        <w:t>discrimination,</w:t>
      </w:r>
      <w:r w:rsidR="008243CA" w:rsidRPr="00152385">
        <w:rPr>
          <w:i/>
          <w:iCs/>
        </w:rPr>
        <w:t xml:space="preserve"> </w:t>
      </w:r>
      <w:r w:rsidRPr="00152385">
        <w:rPr>
          <w:i/>
          <w:iCs/>
        </w:rPr>
        <w:t>to</w:t>
      </w:r>
      <w:r w:rsidR="008243CA" w:rsidRPr="00152385">
        <w:rPr>
          <w:i/>
          <w:iCs/>
        </w:rPr>
        <w:t xml:space="preserve"> </w:t>
      </w:r>
      <w:r w:rsidRPr="00152385">
        <w:rPr>
          <w:i/>
          <w:iCs/>
        </w:rPr>
        <w:t>education,</w:t>
      </w:r>
      <w:r w:rsidR="008243CA" w:rsidRPr="00152385">
        <w:rPr>
          <w:i/>
          <w:iCs/>
        </w:rPr>
        <w:t xml:space="preserve"> </w:t>
      </w:r>
      <w:r w:rsidRPr="00152385">
        <w:rPr>
          <w:i/>
          <w:iCs/>
        </w:rPr>
        <w:t>workshops,</w:t>
      </w:r>
      <w:r w:rsidR="008243CA" w:rsidRPr="00152385">
        <w:rPr>
          <w:i/>
          <w:iCs/>
        </w:rPr>
        <w:t xml:space="preserve"> </w:t>
      </w:r>
      <w:r w:rsidRPr="00152385">
        <w:rPr>
          <w:i/>
          <w:iCs/>
        </w:rPr>
        <w:t>employment</w:t>
      </w:r>
      <w:r w:rsidR="008243CA" w:rsidRPr="00152385">
        <w:rPr>
          <w:i/>
          <w:iCs/>
        </w:rPr>
        <w:t xml:space="preserve"> </w:t>
      </w:r>
      <w:r w:rsidRPr="00152385">
        <w:rPr>
          <w:i/>
          <w:iCs/>
        </w:rPr>
        <w:t>and</w:t>
      </w:r>
      <w:r w:rsidR="008243CA" w:rsidRPr="00152385">
        <w:rPr>
          <w:i/>
          <w:iCs/>
        </w:rPr>
        <w:t xml:space="preserve"> </w:t>
      </w:r>
      <w:r w:rsidRPr="00152385">
        <w:rPr>
          <w:i/>
          <w:iCs/>
        </w:rPr>
        <w:t>recreational</w:t>
      </w:r>
      <w:r w:rsidR="008243CA" w:rsidRPr="00152385">
        <w:rPr>
          <w:i/>
          <w:iCs/>
        </w:rPr>
        <w:t xml:space="preserve"> </w:t>
      </w:r>
      <w:r w:rsidRPr="00152385">
        <w:rPr>
          <w:i/>
          <w:iCs/>
        </w:rPr>
        <w:t>activities.</w:t>
      </w:r>
      <w:r w:rsidR="008243CA" w:rsidRPr="00152385">
        <w:rPr>
          <w:i/>
          <w:iCs/>
        </w:rPr>
        <w:t xml:space="preserve"> </w:t>
      </w:r>
      <w:r w:rsidRPr="00152385">
        <w:rPr>
          <w:i/>
          <w:iCs/>
        </w:rPr>
        <w:t>The</w:t>
      </w:r>
      <w:r w:rsidR="008243CA" w:rsidRPr="00152385">
        <w:rPr>
          <w:i/>
          <w:iCs/>
        </w:rPr>
        <w:t xml:space="preserve"> </w:t>
      </w:r>
      <w:r w:rsidRPr="00152385">
        <w:rPr>
          <w:i/>
          <w:iCs/>
        </w:rPr>
        <w:t>Subcommittee</w:t>
      </w:r>
      <w:r w:rsidR="008243CA" w:rsidRPr="00152385">
        <w:rPr>
          <w:i/>
          <w:iCs/>
        </w:rPr>
        <w:t xml:space="preserve"> </w:t>
      </w:r>
      <w:r w:rsidRPr="00152385">
        <w:rPr>
          <w:i/>
          <w:iCs/>
        </w:rPr>
        <w:t>also</w:t>
      </w:r>
      <w:r w:rsidR="008243CA" w:rsidRPr="00152385">
        <w:rPr>
          <w:i/>
          <w:iCs/>
        </w:rPr>
        <w:t xml:space="preserve"> </w:t>
      </w:r>
      <w:r w:rsidRPr="00152385">
        <w:rPr>
          <w:i/>
          <w:iCs/>
        </w:rPr>
        <w:t>recommends</w:t>
      </w:r>
      <w:r w:rsidR="008243CA" w:rsidRPr="00152385">
        <w:rPr>
          <w:i/>
          <w:iCs/>
        </w:rPr>
        <w:t xml:space="preserve"> </w:t>
      </w:r>
      <w:r w:rsidRPr="00152385">
        <w:rPr>
          <w:i/>
          <w:iCs/>
        </w:rPr>
        <w:t>that</w:t>
      </w:r>
      <w:r w:rsidR="008243CA" w:rsidRPr="00152385">
        <w:rPr>
          <w:i/>
          <w:iCs/>
        </w:rPr>
        <w:t xml:space="preserve"> </w:t>
      </w:r>
      <w:r w:rsidRPr="00152385">
        <w:rPr>
          <w:i/>
          <w:iCs/>
        </w:rPr>
        <w:t>training</w:t>
      </w:r>
      <w:r w:rsidR="008243CA" w:rsidRPr="00152385">
        <w:rPr>
          <w:i/>
          <w:iCs/>
        </w:rPr>
        <w:t xml:space="preserve"> </w:t>
      </w:r>
      <w:r w:rsidRPr="00152385">
        <w:rPr>
          <w:i/>
          <w:iCs/>
        </w:rPr>
        <w:t>be</w:t>
      </w:r>
      <w:r w:rsidR="008243CA" w:rsidRPr="00152385">
        <w:rPr>
          <w:i/>
          <w:iCs/>
        </w:rPr>
        <w:t xml:space="preserve"> </w:t>
      </w:r>
      <w:r w:rsidRPr="00152385">
        <w:rPr>
          <w:i/>
          <w:iCs/>
        </w:rPr>
        <w:t>provided</w:t>
      </w:r>
      <w:r w:rsidR="008243CA" w:rsidRPr="00152385">
        <w:rPr>
          <w:i/>
          <w:iCs/>
        </w:rPr>
        <w:t xml:space="preserve"> </w:t>
      </w:r>
      <w:r w:rsidRPr="00152385">
        <w:rPr>
          <w:i/>
          <w:iCs/>
        </w:rPr>
        <w:t>to</w:t>
      </w:r>
      <w:r w:rsidR="008243CA" w:rsidRPr="00152385">
        <w:rPr>
          <w:i/>
          <w:iCs/>
        </w:rPr>
        <w:t xml:space="preserve"> </w:t>
      </w:r>
      <w:r w:rsidRPr="00152385">
        <w:rPr>
          <w:i/>
          <w:iCs/>
        </w:rPr>
        <w:t>all</w:t>
      </w:r>
      <w:r w:rsidR="008243CA" w:rsidRPr="00152385">
        <w:rPr>
          <w:i/>
          <w:iCs/>
        </w:rPr>
        <w:t xml:space="preserve"> </w:t>
      </w:r>
      <w:r w:rsidRPr="00152385">
        <w:rPr>
          <w:i/>
          <w:iCs/>
        </w:rPr>
        <w:t>prison</w:t>
      </w:r>
      <w:r w:rsidR="008243CA" w:rsidRPr="00152385">
        <w:rPr>
          <w:i/>
          <w:iCs/>
        </w:rPr>
        <w:t xml:space="preserve"> </w:t>
      </w:r>
      <w:r w:rsidRPr="00152385">
        <w:rPr>
          <w:i/>
          <w:iCs/>
        </w:rPr>
        <w:t>staff</w:t>
      </w:r>
      <w:r w:rsidR="008243CA" w:rsidRPr="00152385">
        <w:rPr>
          <w:i/>
          <w:iCs/>
        </w:rPr>
        <w:t xml:space="preserve"> </w:t>
      </w:r>
      <w:r w:rsidRPr="00152385">
        <w:rPr>
          <w:i/>
          <w:iCs/>
        </w:rPr>
        <w:t>and</w:t>
      </w:r>
      <w:r w:rsidR="008243CA" w:rsidRPr="00152385">
        <w:rPr>
          <w:i/>
          <w:iCs/>
        </w:rPr>
        <w:t xml:space="preserve"> </w:t>
      </w:r>
      <w:r w:rsidRPr="00152385">
        <w:rPr>
          <w:i/>
          <w:iCs/>
        </w:rPr>
        <w:t>law</w:t>
      </w:r>
      <w:r w:rsidR="008243CA" w:rsidRPr="00152385">
        <w:rPr>
          <w:i/>
          <w:iCs/>
        </w:rPr>
        <w:t xml:space="preserve"> </w:t>
      </w:r>
      <w:r w:rsidRPr="00152385">
        <w:rPr>
          <w:i/>
          <w:iCs/>
        </w:rPr>
        <w:t>enforcement</w:t>
      </w:r>
      <w:r w:rsidR="008243CA" w:rsidRPr="00152385">
        <w:rPr>
          <w:i/>
          <w:iCs/>
        </w:rPr>
        <w:t xml:space="preserve"> </w:t>
      </w:r>
      <w:r w:rsidRPr="00152385">
        <w:rPr>
          <w:i/>
          <w:iCs/>
        </w:rPr>
        <w:t>officials</w:t>
      </w:r>
      <w:r w:rsidR="008243CA" w:rsidRPr="00152385">
        <w:rPr>
          <w:i/>
          <w:iCs/>
        </w:rPr>
        <w:t xml:space="preserve"> </w:t>
      </w:r>
      <w:r w:rsidRPr="00152385">
        <w:rPr>
          <w:i/>
          <w:iCs/>
        </w:rPr>
        <w:t>on</w:t>
      </w:r>
      <w:r w:rsidR="008243CA" w:rsidRPr="00152385">
        <w:rPr>
          <w:i/>
          <w:iCs/>
        </w:rPr>
        <w:t xml:space="preserve"> </w:t>
      </w:r>
      <w:r w:rsidRPr="00152385">
        <w:rPr>
          <w:i/>
          <w:iCs/>
        </w:rPr>
        <w:t>how</w:t>
      </w:r>
      <w:r w:rsidR="008243CA" w:rsidRPr="00152385">
        <w:rPr>
          <w:i/>
          <w:iCs/>
        </w:rPr>
        <w:t xml:space="preserve"> </w:t>
      </w:r>
      <w:r w:rsidRPr="00152385">
        <w:rPr>
          <w:i/>
          <w:iCs/>
        </w:rPr>
        <w:t>to</w:t>
      </w:r>
      <w:r w:rsidR="008243CA" w:rsidRPr="00152385">
        <w:rPr>
          <w:i/>
          <w:iCs/>
        </w:rPr>
        <w:t xml:space="preserve"> </w:t>
      </w:r>
      <w:r w:rsidRPr="00152385">
        <w:rPr>
          <w:i/>
          <w:iCs/>
        </w:rPr>
        <w:t>communicate</w:t>
      </w:r>
      <w:r w:rsidR="008243CA" w:rsidRPr="00152385">
        <w:rPr>
          <w:i/>
          <w:iCs/>
        </w:rPr>
        <w:t xml:space="preserve"> </w:t>
      </w:r>
      <w:r w:rsidRPr="00152385">
        <w:rPr>
          <w:i/>
          <w:iCs/>
        </w:rPr>
        <w:t>in</w:t>
      </w:r>
      <w:r w:rsidR="008243CA" w:rsidRPr="00152385">
        <w:rPr>
          <w:i/>
          <w:iCs/>
        </w:rPr>
        <w:t xml:space="preserve"> </w:t>
      </w:r>
      <w:r w:rsidRPr="00152385">
        <w:rPr>
          <w:i/>
          <w:iCs/>
        </w:rPr>
        <w:t>an</w:t>
      </w:r>
      <w:r w:rsidR="008243CA" w:rsidRPr="00152385">
        <w:rPr>
          <w:i/>
          <w:iCs/>
        </w:rPr>
        <w:t xml:space="preserve"> </w:t>
      </w:r>
      <w:r w:rsidRPr="00152385">
        <w:rPr>
          <w:i/>
          <w:iCs/>
        </w:rPr>
        <w:t>effective</w:t>
      </w:r>
      <w:r w:rsidR="008243CA" w:rsidRPr="00152385">
        <w:rPr>
          <w:i/>
          <w:iCs/>
        </w:rPr>
        <w:t xml:space="preserve"> </w:t>
      </w:r>
      <w:r w:rsidRPr="00152385">
        <w:rPr>
          <w:i/>
          <w:iCs/>
        </w:rPr>
        <w:t>and</w:t>
      </w:r>
      <w:r w:rsidR="008243CA" w:rsidRPr="00152385">
        <w:rPr>
          <w:i/>
          <w:iCs/>
        </w:rPr>
        <w:t xml:space="preserve"> </w:t>
      </w:r>
      <w:r w:rsidRPr="00152385">
        <w:rPr>
          <w:i/>
          <w:iCs/>
        </w:rPr>
        <w:t>professional</w:t>
      </w:r>
      <w:r w:rsidR="008243CA" w:rsidRPr="00152385">
        <w:rPr>
          <w:i/>
          <w:iCs/>
        </w:rPr>
        <w:t xml:space="preserve"> </w:t>
      </w:r>
      <w:r w:rsidRPr="00152385">
        <w:rPr>
          <w:i/>
          <w:iCs/>
        </w:rPr>
        <w:t>manner</w:t>
      </w:r>
      <w:r w:rsidR="008243CA" w:rsidRPr="00152385">
        <w:rPr>
          <w:i/>
          <w:iCs/>
        </w:rPr>
        <w:t xml:space="preserve"> </w:t>
      </w:r>
      <w:r w:rsidRPr="00152385">
        <w:rPr>
          <w:i/>
          <w:iCs/>
        </w:rPr>
        <w:t>with</w:t>
      </w:r>
      <w:r w:rsidR="008243CA" w:rsidRPr="00152385">
        <w:rPr>
          <w:i/>
          <w:iCs/>
        </w:rPr>
        <w:t xml:space="preserve"> </w:t>
      </w:r>
      <w:r w:rsidRPr="00152385">
        <w:rPr>
          <w:i/>
          <w:iCs/>
        </w:rPr>
        <w:t>LGBTI</w:t>
      </w:r>
      <w:r w:rsidR="008243CA" w:rsidRPr="00152385">
        <w:rPr>
          <w:i/>
          <w:iCs/>
        </w:rPr>
        <w:t xml:space="preserve"> </w:t>
      </w:r>
      <w:r w:rsidRPr="00152385">
        <w:rPr>
          <w:i/>
          <w:iCs/>
        </w:rPr>
        <w:t>detainees.</w:t>
      </w:r>
      <w:r w:rsidR="008243CA" w:rsidRPr="00152385">
        <w:rPr>
          <w:i/>
          <w:iCs/>
        </w:rPr>
        <w:t xml:space="preserve"> </w:t>
      </w:r>
      <w:r w:rsidRPr="00152385">
        <w:rPr>
          <w:i/>
          <w:iCs/>
        </w:rPr>
        <w:t>They</w:t>
      </w:r>
      <w:r w:rsidR="008243CA" w:rsidRPr="00152385">
        <w:rPr>
          <w:i/>
          <w:iCs/>
        </w:rPr>
        <w:t xml:space="preserve"> </w:t>
      </w:r>
      <w:r w:rsidRPr="00152385">
        <w:rPr>
          <w:i/>
          <w:iCs/>
        </w:rPr>
        <w:t>should</w:t>
      </w:r>
      <w:r w:rsidR="008243CA" w:rsidRPr="00152385">
        <w:rPr>
          <w:i/>
          <w:iCs/>
        </w:rPr>
        <w:t xml:space="preserve"> </w:t>
      </w:r>
      <w:r w:rsidRPr="00152385">
        <w:rPr>
          <w:i/>
          <w:iCs/>
        </w:rPr>
        <w:t>also</w:t>
      </w:r>
      <w:r w:rsidR="008243CA" w:rsidRPr="00152385">
        <w:rPr>
          <w:i/>
          <w:iCs/>
        </w:rPr>
        <w:t xml:space="preserve"> </w:t>
      </w:r>
      <w:r w:rsidRPr="00152385">
        <w:rPr>
          <w:i/>
          <w:iCs/>
        </w:rPr>
        <w:t>be</w:t>
      </w:r>
      <w:r w:rsidR="008243CA" w:rsidRPr="00152385">
        <w:rPr>
          <w:i/>
          <w:iCs/>
        </w:rPr>
        <w:t xml:space="preserve"> </w:t>
      </w:r>
      <w:r w:rsidRPr="00152385">
        <w:rPr>
          <w:i/>
          <w:iCs/>
        </w:rPr>
        <w:t>made</w:t>
      </w:r>
      <w:r w:rsidR="008243CA" w:rsidRPr="00152385">
        <w:rPr>
          <w:i/>
          <w:iCs/>
        </w:rPr>
        <w:t xml:space="preserve"> </w:t>
      </w:r>
      <w:r w:rsidRPr="00152385">
        <w:rPr>
          <w:i/>
          <w:iCs/>
        </w:rPr>
        <w:t>aware</w:t>
      </w:r>
      <w:r w:rsidR="008243CA" w:rsidRPr="00152385">
        <w:rPr>
          <w:i/>
          <w:iCs/>
        </w:rPr>
        <w:t xml:space="preserve"> </w:t>
      </w:r>
      <w:r w:rsidRPr="00152385">
        <w:rPr>
          <w:i/>
          <w:iCs/>
        </w:rPr>
        <w:t>of</w:t>
      </w:r>
      <w:r w:rsidR="008243CA" w:rsidRPr="00152385">
        <w:rPr>
          <w:i/>
          <w:iCs/>
        </w:rPr>
        <w:t xml:space="preserve"> </w:t>
      </w:r>
      <w:r w:rsidRPr="00152385">
        <w:rPr>
          <w:i/>
          <w:iCs/>
        </w:rPr>
        <w:t>the</w:t>
      </w:r>
      <w:r w:rsidR="008243CA" w:rsidRPr="00152385">
        <w:rPr>
          <w:i/>
          <w:iCs/>
        </w:rPr>
        <w:t xml:space="preserve"> </w:t>
      </w:r>
      <w:r w:rsidRPr="00152385">
        <w:rPr>
          <w:i/>
          <w:iCs/>
        </w:rPr>
        <w:t>international</w:t>
      </w:r>
      <w:r w:rsidR="008243CA" w:rsidRPr="00152385">
        <w:rPr>
          <w:i/>
          <w:iCs/>
        </w:rPr>
        <w:t xml:space="preserve"> </w:t>
      </w:r>
      <w:r w:rsidRPr="00152385">
        <w:rPr>
          <w:i/>
          <w:iCs/>
        </w:rPr>
        <w:t>human</w:t>
      </w:r>
      <w:r w:rsidR="008243CA" w:rsidRPr="00152385">
        <w:rPr>
          <w:i/>
          <w:iCs/>
        </w:rPr>
        <w:t xml:space="preserve"> </w:t>
      </w:r>
      <w:r w:rsidRPr="00152385">
        <w:rPr>
          <w:i/>
          <w:iCs/>
        </w:rPr>
        <w:t>rights</w:t>
      </w:r>
      <w:r w:rsidR="008243CA" w:rsidRPr="00152385">
        <w:rPr>
          <w:i/>
          <w:iCs/>
        </w:rPr>
        <w:t xml:space="preserve"> </w:t>
      </w:r>
      <w:r w:rsidRPr="00152385">
        <w:rPr>
          <w:i/>
          <w:iCs/>
        </w:rPr>
        <w:t>rules</w:t>
      </w:r>
      <w:r w:rsidR="008243CA" w:rsidRPr="00152385">
        <w:rPr>
          <w:i/>
          <w:iCs/>
        </w:rPr>
        <w:t xml:space="preserve"> </w:t>
      </w:r>
      <w:r w:rsidRPr="00152385">
        <w:rPr>
          <w:i/>
          <w:iCs/>
        </w:rPr>
        <w:t>and</w:t>
      </w:r>
      <w:r w:rsidR="008243CA" w:rsidRPr="00152385">
        <w:rPr>
          <w:i/>
          <w:iCs/>
        </w:rPr>
        <w:t xml:space="preserve"> </w:t>
      </w:r>
      <w:r w:rsidRPr="00152385">
        <w:rPr>
          <w:i/>
          <w:iCs/>
        </w:rPr>
        <w:t>principles</w:t>
      </w:r>
      <w:r w:rsidR="008243CA" w:rsidRPr="00152385">
        <w:rPr>
          <w:i/>
          <w:iCs/>
        </w:rPr>
        <w:t xml:space="preserve"> </w:t>
      </w:r>
      <w:r w:rsidRPr="00152385">
        <w:rPr>
          <w:i/>
          <w:iCs/>
        </w:rPr>
        <w:t>regarding</w:t>
      </w:r>
      <w:r w:rsidR="008243CA" w:rsidRPr="00152385">
        <w:rPr>
          <w:i/>
          <w:iCs/>
        </w:rPr>
        <w:t xml:space="preserve"> </w:t>
      </w:r>
      <w:r w:rsidRPr="00152385">
        <w:rPr>
          <w:i/>
          <w:iCs/>
        </w:rPr>
        <w:t>equality</w:t>
      </w:r>
      <w:r w:rsidR="008243CA" w:rsidRPr="00152385">
        <w:rPr>
          <w:i/>
          <w:iCs/>
        </w:rPr>
        <w:t xml:space="preserve"> </w:t>
      </w:r>
      <w:r w:rsidRPr="00152385">
        <w:rPr>
          <w:i/>
          <w:iCs/>
        </w:rPr>
        <w:t>and</w:t>
      </w:r>
      <w:r w:rsidR="008243CA" w:rsidRPr="00152385">
        <w:rPr>
          <w:i/>
          <w:iCs/>
        </w:rPr>
        <w:t xml:space="preserve"> </w:t>
      </w:r>
      <w:r w:rsidRPr="00152385">
        <w:rPr>
          <w:i/>
          <w:iCs/>
        </w:rPr>
        <w:t>non-discrimination,</w:t>
      </w:r>
      <w:r w:rsidR="008243CA" w:rsidRPr="00152385">
        <w:rPr>
          <w:i/>
          <w:iCs/>
        </w:rPr>
        <w:t xml:space="preserve"> </w:t>
      </w:r>
      <w:r w:rsidRPr="00152385">
        <w:rPr>
          <w:i/>
          <w:iCs/>
        </w:rPr>
        <w:t>including</w:t>
      </w:r>
      <w:r w:rsidR="008243CA" w:rsidRPr="00152385">
        <w:rPr>
          <w:i/>
          <w:iCs/>
        </w:rPr>
        <w:t xml:space="preserve"> </w:t>
      </w:r>
      <w:r w:rsidRPr="00152385">
        <w:rPr>
          <w:i/>
          <w:iCs/>
        </w:rPr>
        <w:t>in</w:t>
      </w:r>
      <w:r w:rsidR="008243CA" w:rsidRPr="00152385">
        <w:rPr>
          <w:i/>
          <w:iCs/>
        </w:rPr>
        <w:t xml:space="preserve"> </w:t>
      </w:r>
      <w:r w:rsidRPr="00152385">
        <w:rPr>
          <w:i/>
          <w:iCs/>
        </w:rPr>
        <w:t>relation</w:t>
      </w:r>
      <w:r w:rsidR="008243CA" w:rsidRPr="00152385">
        <w:rPr>
          <w:i/>
          <w:iCs/>
        </w:rPr>
        <w:t xml:space="preserve"> </w:t>
      </w:r>
      <w:r w:rsidRPr="00152385">
        <w:rPr>
          <w:i/>
          <w:iCs/>
        </w:rPr>
        <w:t>to</w:t>
      </w:r>
      <w:r w:rsidR="008243CA" w:rsidRPr="00152385">
        <w:rPr>
          <w:i/>
          <w:iCs/>
        </w:rPr>
        <w:t xml:space="preserve"> </w:t>
      </w:r>
      <w:r w:rsidRPr="00152385">
        <w:rPr>
          <w:i/>
          <w:iCs/>
        </w:rPr>
        <w:t>sexual</w:t>
      </w:r>
      <w:r w:rsidR="008243CA" w:rsidRPr="00152385">
        <w:rPr>
          <w:i/>
          <w:iCs/>
        </w:rPr>
        <w:t xml:space="preserve"> </w:t>
      </w:r>
      <w:r w:rsidRPr="00152385">
        <w:rPr>
          <w:i/>
          <w:iCs/>
        </w:rPr>
        <w:t>orientation</w:t>
      </w:r>
      <w:r w:rsidR="008243CA" w:rsidRPr="00152385">
        <w:rPr>
          <w:i/>
          <w:iCs/>
        </w:rPr>
        <w:t xml:space="preserve"> </w:t>
      </w:r>
      <w:r w:rsidRPr="00152385">
        <w:rPr>
          <w:i/>
          <w:iCs/>
        </w:rPr>
        <w:t>and</w:t>
      </w:r>
      <w:r w:rsidR="008243CA" w:rsidRPr="00152385">
        <w:rPr>
          <w:i/>
          <w:iCs/>
        </w:rPr>
        <w:t xml:space="preserve"> </w:t>
      </w:r>
      <w:r w:rsidRPr="00152385">
        <w:rPr>
          <w:i/>
          <w:iCs/>
        </w:rPr>
        <w:t>gender</w:t>
      </w:r>
      <w:r w:rsidR="008243CA" w:rsidRPr="00152385">
        <w:rPr>
          <w:i/>
          <w:iCs/>
        </w:rPr>
        <w:t xml:space="preserve"> </w:t>
      </w:r>
      <w:r w:rsidRPr="00152385">
        <w:rPr>
          <w:i/>
          <w:iCs/>
        </w:rPr>
        <w:t>identity.</w:t>
      </w:r>
    </w:p>
    <w:p w:rsidR="003F7D03" w:rsidRPr="00E62FE6" w:rsidRDefault="003F7D03" w:rsidP="000C6D98">
      <w:pPr>
        <w:pStyle w:val="SingleTxtG"/>
      </w:pPr>
      <w:r w:rsidRPr="00E62FE6">
        <w:t>180.</w:t>
      </w:r>
      <w:r w:rsidRPr="00E62FE6">
        <w:tab/>
        <w:t>On</w:t>
      </w:r>
      <w:r w:rsidR="008243CA">
        <w:t xml:space="preserve"> </w:t>
      </w:r>
      <w:r w:rsidRPr="00E62FE6">
        <w:t>30</w:t>
      </w:r>
      <w:r w:rsidR="008243CA">
        <w:t xml:space="preserve"> </w:t>
      </w:r>
      <w:r w:rsidRPr="00E62FE6">
        <w:t>March</w:t>
      </w:r>
      <w:r w:rsidR="008243CA">
        <w:t xml:space="preserve"> </w:t>
      </w:r>
      <w:r w:rsidRPr="00E62FE6">
        <w:t>2016,</w:t>
      </w:r>
      <w:r w:rsidR="008243CA">
        <w:t xml:space="preserve"> </w:t>
      </w:r>
      <w:r w:rsidRPr="00E62FE6">
        <w:t>the</w:t>
      </w:r>
      <w:r w:rsidR="008243CA">
        <w:t xml:space="preserve"> </w:t>
      </w:r>
      <w:r w:rsidRPr="00E62FE6">
        <w:t>Prison</w:t>
      </w:r>
      <w:r w:rsidR="008243CA">
        <w:t xml:space="preserve"> </w:t>
      </w:r>
      <w:r w:rsidRPr="00E62FE6">
        <w:t>Service</w:t>
      </w:r>
      <w:r w:rsidR="008243CA">
        <w:t xml:space="preserve"> </w:t>
      </w:r>
      <w:r w:rsidRPr="00E62FE6">
        <w:t>announced</w:t>
      </w:r>
      <w:r w:rsidR="008243CA">
        <w:t xml:space="preserve"> </w:t>
      </w:r>
      <w:r w:rsidRPr="00E62FE6">
        <w:t>its</w:t>
      </w:r>
      <w:r w:rsidR="008243CA">
        <w:t xml:space="preserve"> </w:t>
      </w:r>
      <w:r w:rsidRPr="00E62FE6">
        <w:t>Strategic</w:t>
      </w:r>
      <w:r w:rsidR="008243CA">
        <w:t xml:space="preserve"> </w:t>
      </w:r>
      <w:r w:rsidRPr="00E62FE6">
        <w:t>and</w:t>
      </w:r>
      <w:r w:rsidR="008243CA">
        <w:t xml:space="preserve"> </w:t>
      </w:r>
      <w:r w:rsidRPr="00E62FE6">
        <w:t>Functional</w:t>
      </w:r>
      <w:r w:rsidR="008243CA">
        <w:t xml:space="preserve"> </w:t>
      </w:r>
      <w:r w:rsidRPr="00E62FE6">
        <w:t>Human</w:t>
      </w:r>
      <w:r w:rsidR="008243CA">
        <w:t xml:space="preserve"> </w:t>
      </w:r>
      <w:r w:rsidRPr="00E62FE6">
        <w:t>Rights</w:t>
      </w:r>
      <w:r w:rsidR="008243CA">
        <w:t xml:space="preserve"> </w:t>
      </w:r>
      <w:r w:rsidRPr="00E62FE6">
        <w:t>Plan,</w:t>
      </w:r>
      <w:r w:rsidR="008243CA">
        <w:t xml:space="preserve"> </w:t>
      </w:r>
      <w:r w:rsidRPr="00E62FE6">
        <w:t>which</w:t>
      </w:r>
      <w:r w:rsidR="008243CA">
        <w:t xml:space="preserve"> </w:t>
      </w:r>
      <w:r w:rsidRPr="00E62FE6">
        <w:t>is</w:t>
      </w:r>
      <w:r w:rsidR="008243CA">
        <w:t xml:space="preserve"> </w:t>
      </w:r>
      <w:r w:rsidRPr="00E62FE6">
        <w:t>aimed</w:t>
      </w:r>
      <w:r w:rsidR="008243CA">
        <w:t xml:space="preserve"> </w:t>
      </w:r>
      <w:r w:rsidRPr="00E62FE6">
        <w:t>at</w:t>
      </w:r>
      <w:r w:rsidR="008243CA">
        <w:t xml:space="preserve"> </w:t>
      </w:r>
      <w:r w:rsidRPr="00E62FE6">
        <w:t>carrying</w:t>
      </w:r>
      <w:r w:rsidR="008243CA">
        <w:t xml:space="preserve"> </w:t>
      </w:r>
      <w:r w:rsidRPr="00E62FE6">
        <w:t>out</w:t>
      </w:r>
      <w:r w:rsidR="008243CA">
        <w:t xml:space="preserve"> </w:t>
      </w:r>
      <w:r w:rsidRPr="00E62FE6">
        <w:t>activities</w:t>
      </w:r>
      <w:r w:rsidR="008243CA">
        <w:t xml:space="preserve"> </w:t>
      </w:r>
      <w:r w:rsidRPr="00E62FE6">
        <w:t>to</w:t>
      </w:r>
      <w:r w:rsidR="008243CA">
        <w:t xml:space="preserve"> </w:t>
      </w:r>
      <w:r w:rsidRPr="00E62FE6">
        <w:t>promote</w:t>
      </w:r>
      <w:r w:rsidR="008243CA">
        <w:t xml:space="preserve"> </w:t>
      </w:r>
      <w:r w:rsidRPr="00E62FE6">
        <w:t>awareness</w:t>
      </w:r>
      <w:r w:rsidR="008243CA">
        <w:t xml:space="preserve"> </w:t>
      </w:r>
      <w:r w:rsidRPr="00E62FE6">
        <w:t>of</w:t>
      </w:r>
      <w:r w:rsidR="008243CA">
        <w:t xml:space="preserve"> </w:t>
      </w:r>
      <w:r w:rsidRPr="00E62FE6">
        <w:t>international</w:t>
      </w:r>
      <w:r w:rsidR="008243CA">
        <w:t xml:space="preserve"> </w:t>
      </w:r>
      <w:r w:rsidRPr="00E62FE6">
        <w:t>human</w:t>
      </w:r>
      <w:r w:rsidR="008243CA">
        <w:t xml:space="preserve"> </w:t>
      </w:r>
      <w:r w:rsidRPr="00E62FE6">
        <w:t>rights</w:t>
      </w:r>
      <w:r w:rsidR="008243CA">
        <w:t xml:space="preserve"> </w:t>
      </w:r>
      <w:r w:rsidRPr="00E62FE6">
        <w:t>standards</w:t>
      </w:r>
      <w:r w:rsidR="008243CA">
        <w:t xml:space="preserve"> </w:t>
      </w:r>
      <w:r w:rsidRPr="00E62FE6">
        <w:t>in</w:t>
      </w:r>
      <w:r w:rsidR="008243CA">
        <w:t xml:space="preserve"> </w:t>
      </w:r>
      <w:r w:rsidRPr="00E62FE6">
        <w:t>prison</w:t>
      </w:r>
      <w:r w:rsidR="008243CA">
        <w:t xml:space="preserve"> </w:t>
      </w:r>
      <w:r w:rsidRPr="00E62FE6">
        <w:t>work</w:t>
      </w:r>
      <w:r w:rsidR="008243CA">
        <w:t xml:space="preserve"> </w:t>
      </w:r>
      <w:r w:rsidRPr="00E62FE6">
        <w:t>among</w:t>
      </w:r>
      <w:r w:rsidR="008243CA">
        <w:t xml:space="preserve"> </w:t>
      </w:r>
      <w:r w:rsidRPr="00E62FE6">
        <w:t>officials</w:t>
      </w:r>
      <w:r w:rsidR="008243CA">
        <w:t xml:space="preserve"> </w:t>
      </w:r>
      <w:r w:rsidRPr="00E62FE6">
        <w:t>who</w:t>
      </w:r>
      <w:r w:rsidR="008243CA">
        <w:t xml:space="preserve"> </w:t>
      </w:r>
      <w:r w:rsidRPr="00E62FE6">
        <w:t>work</w:t>
      </w:r>
      <w:r w:rsidR="008243CA">
        <w:t xml:space="preserve"> </w:t>
      </w:r>
      <w:r w:rsidRPr="00E62FE6">
        <w:t>directly</w:t>
      </w:r>
      <w:r w:rsidR="008243CA">
        <w:t xml:space="preserve"> </w:t>
      </w:r>
      <w:r w:rsidRPr="00E62FE6">
        <w:t>with</w:t>
      </w:r>
      <w:r w:rsidR="008243CA">
        <w:t xml:space="preserve"> </w:t>
      </w:r>
      <w:r w:rsidRPr="00E62FE6">
        <w:t>persons</w:t>
      </w:r>
      <w:r w:rsidR="008243CA">
        <w:t xml:space="preserve"> </w:t>
      </w:r>
      <w:r w:rsidRPr="00E62FE6">
        <w:t>deprived</w:t>
      </w:r>
      <w:r w:rsidR="008243CA">
        <w:t xml:space="preserve"> </w:t>
      </w:r>
      <w:r w:rsidRPr="00E62FE6">
        <w:t>of</w:t>
      </w:r>
      <w:r w:rsidR="008243CA">
        <w:t xml:space="preserve"> </w:t>
      </w:r>
      <w:r w:rsidRPr="00E62FE6">
        <w:t>their</w:t>
      </w:r>
      <w:r w:rsidR="008243CA">
        <w:t xml:space="preserve"> </w:t>
      </w:r>
      <w:r w:rsidRPr="00E62FE6">
        <w:t>liberty.</w:t>
      </w:r>
      <w:r w:rsidR="008243CA">
        <w:t xml:space="preserve"> </w:t>
      </w:r>
    </w:p>
    <w:p w:rsidR="003F7D03" w:rsidRPr="00E62FE6" w:rsidRDefault="003F7D03" w:rsidP="000C6D98">
      <w:pPr>
        <w:pStyle w:val="SingleTxtG"/>
      </w:pPr>
      <w:r w:rsidRPr="00E62FE6">
        <w:t>181.</w:t>
      </w:r>
      <w:r w:rsidRPr="00E62FE6">
        <w:tab/>
        <w:t>The</w:t>
      </w:r>
      <w:r w:rsidR="008243CA">
        <w:t xml:space="preserve"> </w:t>
      </w:r>
      <w:r w:rsidRPr="00E62FE6">
        <w:t>training</w:t>
      </w:r>
      <w:r w:rsidR="008243CA">
        <w:t xml:space="preserve"> </w:t>
      </w:r>
      <w:r w:rsidRPr="00E62FE6">
        <w:t>provided</w:t>
      </w:r>
      <w:r w:rsidR="008243CA">
        <w:t xml:space="preserve"> </w:t>
      </w:r>
      <w:r w:rsidRPr="00E62FE6">
        <w:t>in</w:t>
      </w:r>
      <w:r w:rsidR="008243CA">
        <w:t xml:space="preserve"> </w:t>
      </w:r>
      <w:r w:rsidRPr="00E62FE6">
        <w:t>this</w:t>
      </w:r>
      <w:r w:rsidR="008243CA">
        <w:t xml:space="preserve"> </w:t>
      </w:r>
      <w:r w:rsidRPr="00E62FE6">
        <w:t>context</w:t>
      </w:r>
      <w:r w:rsidR="008243CA">
        <w:t xml:space="preserve"> </w:t>
      </w:r>
      <w:r w:rsidRPr="00E62FE6">
        <w:t>addresses</w:t>
      </w:r>
      <w:r w:rsidR="008243CA">
        <w:t xml:space="preserve"> </w:t>
      </w:r>
      <w:r w:rsidRPr="00E62FE6">
        <w:t>topics</w:t>
      </w:r>
      <w:r w:rsidR="008243CA">
        <w:t xml:space="preserve"> </w:t>
      </w:r>
      <w:r w:rsidRPr="00E62FE6">
        <w:t>such</w:t>
      </w:r>
      <w:r w:rsidR="008243CA">
        <w:t xml:space="preserve"> </w:t>
      </w:r>
      <w:r w:rsidRPr="00E62FE6">
        <w:t>as</w:t>
      </w:r>
      <w:r w:rsidR="008243CA">
        <w:t xml:space="preserve"> </w:t>
      </w:r>
      <w:r w:rsidRPr="00E62FE6">
        <w:t>sexual</w:t>
      </w:r>
      <w:r w:rsidR="008243CA">
        <w:t xml:space="preserve"> </w:t>
      </w:r>
      <w:r w:rsidRPr="00E62FE6">
        <w:t>diversity</w:t>
      </w:r>
      <w:r w:rsidR="008243CA">
        <w:t xml:space="preserve"> </w:t>
      </w:r>
      <w:r w:rsidRPr="00E62FE6">
        <w:t>and</w:t>
      </w:r>
      <w:r w:rsidR="008243CA">
        <w:t xml:space="preserve"> </w:t>
      </w:r>
      <w:r w:rsidRPr="00E62FE6">
        <w:t>vulnerable</w:t>
      </w:r>
      <w:r w:rsidR="008243CA">
        <w:t xml:space="preserve"> </w:t>
      </w:r>
      <w:r w:rsidRPr="00E62FE6">
        <w:t>groups</w:t>
      </w:r>
      <w:r w:rsidR="008243CA">
        <w:t xml:space="preserve"> </w:t>
      </w:r>
      <w:r w:rsidRPr="00E62FE6">
        <w:t>in</w:t>
      </w:r>
      <w:r w:rsidR="008243CA">
        <w:t xml:space="preserve"> </w:t>
      </w:r>
      <w:r w:rsidRPr="00E62FE6">
        <w:t>the</w:t>
      </w:r>
      <w:r w:rsidR="008243CA">
        <w:t xml:space="preserve"> </w:t>
      </w:r>
      <w:r w:rsidRPr="00E62FE6">
        <w:t>prison</w:t>
      </w:r>
      <w:r w:rsidR="008243CA">
        <w:t xml:space="preserve"> </w:t>
      </w:r>
      <w:r w:rsidRPr="00E62FE6">
        <w:t>environment</w:t>
      </w:r>
      <w:r w:rsidR="008243CA">
        <w:t xml:space="preserve"> </w:t>
      </w:r>
      <w:r w:rsidRPr="00E62FE6">
        <w:t>and</w:t>
      </w:r>
      <w:r w:rsidR="008243CA">
        <w:t xml:space="preserve"> </w:t>
      </w:r>
      <w:r w:rsidRPr="00E62FE6">
        <w:t>is</w:t>
      </w:r>
      <w:r w:rsidR="008243CA">
        <w:t xml:space="preserve"> </w:t>
      </w:r>
      <w:r w:rsidRPr="00E62FE6">
        <w:t>geared</w:t>
      </w:r>
      <w:r w:rsidR="008243CA">
        <w:t xml:space="preserve"> </w:t>
      </w:r>
      <w:r w:rsidRPr="00E62FE6">
        <w:t>towards</w:t>
      </w:r>
      <w:r w:rsidR="008243CA">
        <w:t xml:space="preserve"> </w:t>
      </w:r>
      <w:r w:rsidRPr="00E62FE6">
        <w:t>improving</w:t>
      </w:r>
      <w:r w:rsidR="00116F0B">
        <w:t xml:space="preserve"> </w:t>
      </w:r>
      <w:r w:rsidRPr="00E62FE6">
        <w:t>the</w:t>
      </w:r>
      <w:r w:rsidR="008243CA">
        <w:t xml:space="preserve"> </w:t>
      </w:r>
      <w:r w:rsidRPr="00E62FE6">
        <w:t>treatment</w:t>
      </w:r>
      <w:r w:rsidR="008243CA">
        <w:t xml:space="preserve"> </w:t>
      </w:r>
      <w:r w:rsidRPr="00E62FE6">
        <w:t>of</w:t>
      </w:r>
      <w:r w:rsidR="008243CA">
        <w:t xml:space="preserve"> </w:t>
      </w:r>
      <w:r w:rsidRPr="00E62FE6">
        <w:t>persons</w:t>
      </w:r>
      <w:r w:rsidR="008243CA">
        <w:t xml:space="preserve"> </w:t>
      </w:r>
      <w:r w:rsidRPr="00E62FE6">
        <w:t>deprived</w:t>
      </w:r>
      <w:r w:rsidR="008243CA">
        <w:t xml:space="preserve"> </w:t>
      </w:r>
      <w:r w:rsidRPr="00E62FE6">
        <w:t>of</w:t>
      </w:r>
      <w:r w:rsidR="008243CA">
        <w:t xml:space="preserve"> </w:t>
      </w:r>
      <w:r w:rsidRPr="00E62FE6">
        <w:t>liberty</w:t>
      </w:r>
      <w:r w:rsidR="008243CA">
        <w:t xml:space="preserve"> </w:t>
      </w:r>
      <w:r w:rsidRPr="00E62FE6">
        <w:t>by</w:t>
      </w:r>
      <w:r w:rsidR="008243CA">
        <w:t xml:space="preserve"> </w:t>
      </w:r>
      <w:r w:rsidRPr="00E62FE6">
        <w:t>prison</w:t>
      </w:r>
      <w:r w:rsidR="008243CA">
        <w:t xml:space="preserve"> </w:t>
      </w:r>
      <w:r w:rsidRPr="00E62FE6">
        <w:t>officials.</w:t>
      </w:r>
    </w:p>
    <w:p w:rsidR="003F7D03" w:rsidRPr="00E62FE6" w:rsidRDefault="003F7D03" w:rsidP="000C6D98">
      <w:pPr>
        <w:pStyle w:val="SingleTxtG"/>
      </w:pPr>
      <w:r w:rsidRPr="00E62FE6">
        <w:t>182.</w:t>
      </w:r>
      <w:r w:rsidRPr="00E62FE6">
        <w:tab/>
        <w:t>The</w:t>
      </w:r>
      <w:r w:rsidR="008243CA">
        <w:t xml:space="preserve"> </w:t>
      </w:r>
      <w:r w:rsidRPr="00E62FE6">
        <w:t>training</w:t>
      </w:r>
      <w:r w:rsidR="008243CA">
        <w:t xml:space="preserve"> </w:t>
      </w:r>
      <w:r w:rsidRPr="00E62FE6">
        <w:t>was</w:t>
      </w:r>
      <w:r w:rsidR="008243CA">
        <w:t xml:space="preserve"> </w:t>
      </w:r>
      <w:r w:rsidRPr="00E62FE6">
        <w:t>provided</w:t>
      </w:r>
      <w:r w:rsidR="008243CA">
        <w:t xml:space="preserve"> </w:t>
      </w:r>
      <w:r w:rsidRPr="00E62FE6">
        <w:t>to</w:t>
      </w:r>
      <w:r w:rsidR="008243CA">
        <w:t xml:space="preserve"> </w:t>
      </w:r>
      <w:r w:rsidRPr="00E62FE6">
        <w:t>1,147</w:t>
      </w:r>
      <w:r w:rsidR="008243CA">
        <w:t xml:space="preserve"> </w:t>
      </w:r>
      <w:r w:rsidRPr="00E62FE6">
        <w:t>staff</w:t>
      </w:r>
      <w:r w:rsidR="008243CA">
        <w:t xml:space="preserve"> </w:t>
      </w:r>
      <w:r w:rsidRPr="00E62FE6">
        <w:t>members</w:t>
      </w:r>
      <w:r w:rsidR="008243CA">
        <w:t xml:space="preserve"> </w:t>
      </w:r>
      <w:r w:rsidRPr="00E62FE6">
        <w:t>at</w:t>
      </w:r>
      <w:r w:rsidR="008243CA">
        <w:t xml:space="preserve"> </w:t>
      </w:r>
      <w:r w:rsidRPr="00E62FE6">
        <w:t>43</w:t>
      </w:r>
      <w:r w:rsidR="008243CA">
        <w:t xml:space="preserve"> </w:t>
      </w:r>
      <w:r w:rsidRPr="00E62FE6">
        <w:t>correctional</w:t>
      </w:r>
      <w:r w:rsidR="008243CA">
        <w:t xml:space="preserve"> </w:t>
      </w:r>
      <w:r w:rsidRPr="00E62FE6">
        <w:t>facilities</w:t>
      </w:r>
      <w:r w:rsidR="008243CA">
        <w:t xml:space="preserve"> </w:t>
      </w:r>
      <w:r w:rsidRPr="00E62FE6">
        <w:t>during</w:t>
      </w:r>
      <w:r w:rsidR="008243CA">
        <w:t xml:space="preserve"> </w:t>
      </w:r>
      <w:r w:rsidRPr="00E62FE6">
        <w:t>2016.</w:t>
      </w:r>
    </w:p>
    <w:p w:rsidR="003F7D03" w:rsidRPr="00E62FE6" w:rsidRDefault="003F7D03" w:rsidP="000C6D98">
      <w:pPr>
        <w:pStyle w:val="SingleTxtG"/>
      </w:pPr>
      <w:r w:rsidRPr="00E62FE6">
        <w:t>183.</w:t>
      </w:r>
      <w:r w:rsidRPr="00E62FE6">
        <w:tab/>
        <w:t>A</w:t>
      </w:r>
      <w:r w:rsidR="008243CA">
        <w:t xml:space="preserve"> </w:t>
      </w:r>
      <w:r w:rsidRPr="00E62FE6">
        <w:t>cooperation</w:t>
      </w:r>
      <w:r w:rsidR="008243CA">
        <w:t xml:space="preserve"> </w:t>
      </w:r>
      <w:r w:rsidRPr="00E62FE6">
        <w:t>agreement</w:t>
      </w:r>
      <w:r w:rsidR="008243CA">
        <w:t xml:space="preserve"> </w:t>
      </w:r>
      <w:r w:rsidRPr="00E62FE6">
        <w:t>between</w:t>
      </w:r>
      <w:r w:rsidR="008243CA">
        <w:t xml:space="preserve"> </w:t>
      </w:r>
      <w:r w:rsidRPr="00E62FE6">
        <w:t>the</w:t>
      </w:r>
      <w:r w:rsidR="008243CA">
        <w:t xml:space="preserve"> </w:t>
      </w:r>
      <w:r w:rsidRPr="00E62FE6">
        <w:t>Prison</w:t>
      </w:r>
      <w:r w:rsidR="008243CA">
        <w:t xml:space="preserve"> </w:t>
      </w:r>
      <w:r w:rsidRPr="00E62FE6">
        <w:t>Service</w:t>
      </w:r>
      <w:r w:rsidR="008243CA">
        <w:t xml:space="preserve"> </w:t>
      </w:r>
      <w:r w:rsidRPr="00E62FE6">
        <w:t>and</w:t>
      </w:r>
      <w:r w:rsidR="008243CA">
        <w:t xml:space="preserve"> </w:t>
      </w:r>
      <w:r w:rsidRPr="00E62FE6">
        <w:t>the</w:t>
      </w:r>
      <w:r w:rsidR="008243CA">
        <w:t xml:space="preserve"> </w:t>
      </w:r>
      <w:r w:rsidRPr="00E62FE6">
        <w:t>Homosexual</w:t>
      </w:r>
      <w:r w:rsidR="008243CA">
        <w:t xml:space="preserve"> </w:t>
      </w:r>
      <w:r w:rsidRPr="00E62FE6">
        <w:t>Movement</w:t>
      </w:r>
      <w:r w:rsidR="008243CA">
        <w:t xml:space="preserve"> </w:t>
      </w:r>
      <w:r w:rsidRPr="00E62FE6">
        <w:t>of</w:t>
      </w:r>
      <w:r w:rsidR="008243CA">
        <w:t xml:space="preserve"> </w:t>
      </w:r>
      <w:r w:rsidRPr="00E62FE6">
        <w:t>Integration</w:t>
      </w:r>
      <w:r w:rsidR="008243CA">
        <w:t xml:space="preserve"> </w:t>
      </w:r>
      <w:r w:rsidRPr="00E62FE6">
        <w:t>and</w:t>
      </w:r>
      <w:r w:rsidR="008243CA">
        <w:t xml:space="preserve"> </w:t>
      </w:r>
      <w:r w:rsidRPr="00E62FE6">
        <w:t>Liberation</w:t>
      </w:r>
      <w:r w:rsidRPr="00116F0B">
        <w:rPr>
          <w:rStyle w:val="FootnoteReference"/>
        </w:rPr>
        <w:footnoteReference w:id="64"/>
      </w:r>
      <w:r w:rsidR="008243CA">
        <w:t xml:space="preserve"> </w:t>
      </w:r>
      <w:r w:rsidRPr="00E62FE6">
        <w:t>remains</w:t>
      </w:r>
      <w:r w:rsidR="008243CA">
        <w:t xml:space="preserve"> </w:t>
      </w:r>
      <w:r w:rsidRPr="00E62FE6">
        <w:t>in</w:t>
      </w:r>
      <w:r w:rsidR="008243CA">
        <w:t xml:space="preserve"> </w:t>
      </w:r>
      <w:r w:rsidRPr="00E62FE6">
        <w:t>effect</w:t>
      </w:r>
      <w:r w:rsidR="008243CA">
        <w:t xml:space="preserve"> </w:t>
      </w:r>
      <w:r w:rsidRPr="00E62FE6">
        <w:t>and</w:t>
      </w:r>
      <w:r w:rsidR="008243CA">
        <w:t xml:space="preserve"> </w:t>
      </w:r>
      <w:r w:rsidRPr="00E62FE6">
        <w:t>has</w:t>
      </w:r>
      <w:r w:rsidR="008243CA">
        <w:t xml:space="preserve"> </w:t>
      </w:r>
      <w:r w:rsidRPr="00E62FE6">
        <w:t>led</w:t>
      </w:r>
      <w:r w:rsidR="008243CA">
        <w:t xml:space="preserve"> </w:t>
      </w:r>
      <w:r w:rsidRPr="00E62FE6">
        <w:t>to</w:t>
      </w:r>
      <w:r w:rsidR="008243CA">
        <w:t xml:space="preserve"> </w:t>
      </w:r>
      <w:r w:rsidRPr="00E62FE6">
        <w:t>efforts</w:t>
      </w:r>
      <w:r w:rsidR="008243CA">
        <w:t xml:space="preserve"> </w:t>
      </w:r>
      <w:r w:rsidRPr="00E62FE6">
        <w:t>aimed</w:t>
      </w:r>
      <w:r w:rsidR="008243CA">
        <w:t xml:space="preserve"> </w:t>
      </w:r>
      <w:r w:rsidRPr="00E62FE6">
        <w:t>at</w:t>
      </w:r>
      <w:r w:rsidR="008243CA">
        <w:t xml:space="preserve"> </w:t>
      </w:r>
      <w:r w:rsidRPr="00E62FE6">
        <w:t>developing</w:t>
      </w:r>
      <w:r w:rsidR="008243CA">
        <w:t xml:space="preserve"> </w:t>
      </w:r>
      <w:r w:rsidRPr="00E62FE6">
        <w:t>a</w:t>
      </w:r>
      <w:r w:rsidR="008243CA">
        <w:t xml:space="preserve"> </w:t>
      </w:r>
      <w:r w:rsidRPr="00E62FE6">
        <w:t>framework</w:t>
      </w:r>
      <w:r w:rsidR="008243CA">
        <w:t xml:space="preserve"> </w:t>
      </w:r>
      <w:r w:rsidRPr="00E62FE6">
        <w:t>for</w:t>
      </w:r>
      <w:r w:rsidR="008243CA">
        <w:t xml:space="preserve"> </w:t>
      </w:r>
      <w:r w:rsidRPr="00E62FE6">
        <w:t>mutual</w:t>
      </w:r>
      <w:r w:rsidR="008243CA">
        <w:t xml:space="preserve"> </w:t>
      </w:r>
      <w:r w:rsidRPr="00E62FE6">
        <w:t>cooperation</w:t>
      </w:r>
      <w:r w:rsidR="008243CA">
        <w:t xml:space="preserve"> </w:t>
      </w:r>
      <w:r w:rsidRPr="00E62FE6">
        <w:t>in</w:t>
      </w:r>
      <w:r w:rsidR="008243CA">
        <w:t xml:space="preserve"> </w:t>
      </w:r>
      <w:r w:rsidRPr="00E62FE6">
        <w:t>the</w:t>
      </w:r>
      <w:r w:rsidR="008243CA">
        <w:t xml:space="preserve"> </w:t>
      </w:r>
      <w:r w:rsidRPr="00E62FE6">
        <w:t>education</w:t>
      </w:r>
      <w:r w:rsidR="008243CA">
        <w:t xml:space="preserve"> </w:t>
      </w:r>
      <w:r w:rsidRPr="00E62FE6">
        <w:t>and</w:t>
      </w:r>
      <w:r w:rsidR="008243CA">
        <w:t xml:space="preserve"> </w:t>
      </w:r>
      <w:r w:rsidRPr="00E62FE6">
        <w:t>training</w:t>
      </w:r>
      <w:r w:rsidR="008243CA">
        <w:t xml:space="preserve"> </w:t>
      </w:r>
      <w:r w:rsidRPr="00E62FE6">
        <w:t>of</w:t>
      </w:r>
      <w:r w:rsidR="008243CA">
        <w:t xml:space="preserve"> </w:t>
      </w:r>
      <w:r w:rsidRPr="00E62FE6">
        <w:t>officials.</w:t>
      </w:r>
      <w:r w:rsidR="008243CA">
        <w:t xml:space="preserve"> </w:t>
      </w:r>
      <w:r w:rsidRPr="00E62FE6">
        <w:t>Other</w:t>
      </w:r>
      <w:r w:rsidR="008243CA">
        <w:t xml:space="preserve"> </w:t>
      </w:r>
      <w:r w:rsidRPr="00E62FE6">
        <w:t>activities</w:t>
      </w:r>
      <w:r w:rsidR="008243CA">
        <w:t xml:space="preserve"> </w:t>
      </w:r>
      <w:r w:rsidRPr="00E62FE6">
        <w:t>in</w:t>
      </w:r>
      <w:r w:rsidR="008243CA">
        <w:t xml:space="preserve"> </w:t>
      </w:r>
      <w:r w:rsidRPr="00E62FE6">
        <w:t>the</w:t>
      </w:r>
      <w:r w:rsidR="008243CA">
        <w:t xml:space="preserve"> </w:t>
      </w:r>
      <w:r w:rsidRPr="00E62FE6">
        <w:t>common</w:t>
      </w:r>
      <w:r w:rsidR="008243CA">
        <w:t xml:space="preserve"> </w:t>
      </w:r>
      <w:r w:rsidRPr="00E62FE6">
        <w:t>interest</w:t>
      </w:r>
      <w:r w:rsidR="008243CA">
        <w:t xml:space="preserve"> </w:t>
      </w:r>
      <w:r w:rsidRPr="00E62FE6">
        <w:t>have</w:t>
      </w:r>
      <w:r w:rsidR="008243CA">
        <w:t xml:space="preserve"> </w:t>
      </w:r>
      <w:r w:rsidRPr="00E62FE6">
        <w:t>been</w:t>
      </w:r>
      <w:r w:rsidR="008243CA">
        <w:t xml:space="preserve"> </w:t>
      </w:r>
      <w:r w:rsidRPr="00E62FE6">
        <w:t>carried</w:t>
      </w:r>
      <w:r w:rsidR="008243CA">
        <w:t xml:space="preserve"> </w:t>
      </w:r>
      <w:r w:rsidRPr="00E62FE6">
        <w:t>out,</w:t>
      </w:r>
      <w:r w:rsidR="008243CA">
        <w:t xml:space="preserve"> </w:t>
      </w:r>
      <w:r w:rsidRPr="00E62FE6">
        <w:t>including</w:t>
      </w:r>
      <w:r w:rsidR="008243CA">
        <w:t xml:space="preserve"> </w:t>
      </w:r>
      <w:r w:rsidRPr="00E62FE6">
        <w:t>projects,</w:t>
      </w:r>
      <w:r w:rsidR="008243CA">
        <w:t xml:space="preserve"> </w:t>
      </w:r>
      <w:r w:rsidRPr="00E62FE6">
        <w:t>training</w:t>
      </w:r>
      <w:r w:rsidR="008243CA">
        <w:t xml:space="preserve"> </w:t>
      </w:r>
      <w:r w:rsidRPr="00E62FE6">
        <w:t>sessions,</w:t>
      </w:r>
      <w:r w:rsidR="008243CA">
        <w:t xml:space="preserve"> </w:t>
      </w:r>
      <w:r w:rsidRPr="00E62FE6">
        <w:t>workshops,</w:t>
      </w:r>
      <w:r w:rsidR="008243CA">
        <w:t xml:space="preserve"> </w:t>
      </w:r>
      <w:r w:rsidRPr="00E62FE6">
        <w:t>courses,</w:t>
      </w:r>
      <w:r w:rsidR="008243CA">
        <w:t xml:space="preserve"> </w:t>
      </w:r>
      <w:r w:rsidRPr="00E62FE6">
        <w:t>seminars</w:t>
      </w:r>
      <w:r w:rsidR="008243CA">
        <w:t xml:space="preserve"> </w:t>
      </w:r>
      <w:r w:rsidRPr="00E62FE6">
        <w:t>and</w:t>
      </w:r>
      <w:r w:rsidR="008243CA">
        <w:t xml:space="preserve"> </w:t>
      </w:r>
      <w:r w:rsidRPr="00E62FE6">
        <w:t>academic</w:t>
      </w:r>
      <w:r w:rsidR="008243CA">
        <w:t xml:space="preserve"> </w:t>
      </w:r>
      <w:r w:rsidRPr="00E62FE6">
        <w:t>research.</w:t>
      </w:r>
    </w:p>
    <w:p w:rsidR="003F7D03" w:rsidRPr="00E62FE6" w:rsidRDefault="003F7D03" w:rsidP="000C6D98">
      <w:pPr>
        <w:pStyle w:val="SingleTxtG"/>
      </w:pPr>
      <w:r w:rsidRPr="00E62FE6">
        <w:t>184.</w:t>
      </w:r>
      <w:r w:rsidRPr="00E62FE6">
        <w:tab/>
        <w:t>SENAME</w:t>
      </w:r>
      <w:r w:rsidR="008243CA">
        <w:t xml:space="preserve"> </w:t>
      </w:r>
      <w:r w:rsidRPr="00E62FE6">
        <w:t>has</w:t>
      </w:r>
      <w:r w:rsidR="008243CA">
        <w:t xml:space="preserve"> </w:t>
      </w:r>
      <w:r w:rsidRPr="00E62FE6">
        <w:t>scheduled</w:t>
      </w:r>
      <w:r w:rsidR="008243CA">
        <w:t xml:space="preserve"> </w:t>
      </w:r>
      <w:r w:rsidRPr="00E62FE6">
        <w:t>training</w:t>
      </w:r>
      <w:r w:rsidR="008243CA">
        <w:t xml:space="preserve"> </w:t>
      </w:r>
      <w:r w:rsidRPr="00E62FE6">
        <w:t>on</w:t>
      </w:r>
      <w:r w:rsidR="008243CA">
        <w:t xml:space="preserve"> </w:t>
      </w:r>
      <w:r w:rsidRPr="00E62FE6">
        <w:t>the</w:t>
      </w:r>
      <w:r w:rsidR="008243CA">
        <w:t xml:space="preserve"> </w:t>
      </w:r>
      <w:r w:rsidRPr="00E62FE6">
        <w:t>treatment</w:t>
      </w:r>
      <w:r w:rsidR="008243CA">
        <w:t xml:space="preserve"> </w:t>
      </w:r>
      <w:r w:rsidRPr="00E62FE6">
        <w:t>of</w:t>
      </w:r>
      <w:r w:rsidR="008243CA">
        <w:t xml:space="preserve"> </w:t>
      </w:r>
      <w:r w:rsidRPr="00E62FE6">
        <w:t>LGBTI</w:t>
      </w:r>
      <w:r w:rsidR="008243CA">
        <w:t xml:space="preserve"> </w:t>
      </w:r>
      <w:r w:rsidRPr="00E62FE6">
        <w:t>children</w:t>
      </w:r>
      <w:r w:rsidR="008243CA">
        <w:t xml:space="preserve"> </w:t>
      </w:r>
      <w:r w:rsidRPr="00E62FE6">
        <w:t>and</w:t>
      </w:r>
      <w:r w:rsidR="008243CA">
        <w:t xml:space="preserve"> </w:t>
      </w:r>
      <w:r w:rsidRPr="00E62FE6">
        <w:t>adolescents</w:t>
      </w:r>
      <w:r w:rsidR="008243CA">
        <w:t xml:space="preserve"> </w:t>
      </w:r>
      <w:r w:rsidRPr="00E62FE6">
        <w:t>for</w:t>
      </w:r>
      <w:r w:rsidR="008243CA">
        <w:t xml:space="preserve"> </w:t>
      </w:r>
      <w:r w:rsidRPr="00E62FE6">
        <w:t>staff</w:t>
      </w:r>
      <w:r w:rsidR="008243CA">
        <w:t xml:space="preserve"> </w:t>
      </w:r>
      <w:r w:rsidRPr="00E62FE6">
        <w:t>of</w:t>
      </w:r>
      <w:r w:rsidR="008243CA">
        <w:t xml:space="preserve"> </w:t>
      </w:r>
      <w:r w:rsidRPr="00E62FE6">
        <w:t>directly</w:t>
      </w:r>
      <w:r w:rsidR="008243CA">
        <w:t xml:space="preserve"> </w:t>
      </w:r>
      <w:r w:rsidRPr="00E62FE6">
        <w:t>administered</w:t>
      </w:r>
      <w:r w:rsidR="008243CA">
        <w:t xml:space="preserve"> </w:t>
      </w:r>
      <w:r w:rsidRPr="00E62FE6">
        <w:t>juvenile</w:t>
      </w:r>
      <w:r w:rsidR="008243CA">
        <w:t xml:space="preserve"> </w:t>
      </w:r>
      <w:r w:rsidRPr="00E62FE6">
        <w:t>justice</w:t>
      </w:r>
      <w:r w:rsidR="008243CA">
        <w:t xml:space="preserve"> </w:t>
      </w:r>
      <w:r w:rsidRPr="00E62FE6">
        <w:t>and</w:t>
      </w:r>
      <w:r w:rsidR="008243CA">
        <w:t xml:space="preserve"> </w:t>
      </w:r>
      <w:r w:rsidRPr="00E62FE6">
        <w:t>protection</w:t>
      </w:r>
      <w:r w:rsidR="008243CA">
        <w:t xml:space="preserve"> </w:t>
      </w:r>
      <w:r w:rsidRPr="00E62FE6">
        <w:t>centres.</w:t>
      </w:r>
      <w:r w:rsidR="008243CA">
        <w:t xml:space="preserve"> </w:t>
      </w:r>
      <w:r w:rsidRPr="00E62FE6">
        <w:t>It</w:t>
      </w:r>
      <w:r w:rsidR="008243CA">
        <w:t xml:space="preserve"> </w:t>
      </w:r>
      <w:r w:rsidRPr="00E62FE6">
        <w:t>is</w:t>
      </w:r>
      <w:r w:rsidR="008243CA">
        <w:t xml:space="preserve"> </w:t>
      </w:r>
      <w:r w:rsidRPr="00E62FE6">
        <w:t>expected</w:t>
      </w:r>
      <w:r w:rsidR="008243CA">
        <w:t xml:space="preserve"> </w:t>
      </w:r>
      <w:r w:rsidRPr="00E62FE6">
        <w:t>that</w:t>
      </w:r>
      <w:r w:rsidR="008243CA">
        <w:t xml:space="preserve"> </w:t>
      </w:r>
      <w:r w:rsidRPr="00E62FE6">
        <w:t>the</w:t>
      </w:r>
      <w:r w:rsidR="008243CA">
        <w:t xml:space="preserve"> </w:t>
      </w:r>
      <w:r w:rsidRPr="00E62FE6">
        <w:t>training</w:t>
      </w:r>
      <w:r w:rsidR="008243CA">
        <w:t xml:space="preserve"> </w:t>
      </w:r>
      <w:r w:rsidRPr="00E62FE6">
        <w:t>will</w:t>
      </w:r>
      <w:r w:rsidR="008243CA">
        <w:t xml:space="preserve"> </w:t>
      </w:r>
      <w:r w:rsidRPr="00E62FE6">
        <w:t>be</w:t>
      </w:r>
      <w:r w:rsidR="008243CA">
        <w:t xml:space="preserve"> </w:t>
      </w:r>
      <w:r w:rsidRPr="00E62FE6">
        <w:t>implemented</w:t>
      </w:r>
      <w:r w:rsidR="008243CA">
        <w:t xml:space="preserve"> </w:t>
      </w:r>
      <w:r w:rsidRPr="00E62FE6">
        <w:t>during</w:t>
      </w:r>
      <w:r w:rsidR="008243CA">
        <w:t xml:space="preserve"> </w:t>
      </w:r>
      <w:r w:rsidRPr="00E62FE6">
        <w:t>the</w:t>
      </w:r>
      <w:r w:rsidR="008243CA">
        <w:t xml:space="preserve"> </w:t>
      </w:r>
      <w:r w:rsidRPr="00E62FE6">
        <w:t>first</w:t>
      </w:r>
      <w:r w:rsidR="008243CA">
        <w:t xml:space="preserve"> </w:t>
      </w:r>
      <w:r w:rsidRPr="00E62FE6">
        <w:t>half</w:t>
      </w:r>
      <w:r w:rsidR="008243CA">
        <w:t xml:space="preserve"> </w:t>
      </w:r>
      <w:r w:rsidRPr="00E62FE6">
        <w:t>of</w:t>
      </w:r>
      <w:r w:rsidR="008243CA">
        <w:t xml:space="preserve"> </w:t>
      </w:r>
      <w:r w:rsidRPr="00E62FE6">
        <w:t>2017.</w:t>
      </w:r>
    </w:p>
    <w:p w:rsidR="003F7D03" w:rsidRPr="00E62FE6" w:rsidRDefault="003F7D03" w:rsidP="00152385">
      <w:pPr>
        <w:pStyle w:val="H1G"/>
      </w:pPr>
      <w:r w:rsidRPr="00E62FE6">
        <w:tab/>
      </w:r>
      <w:bookmarkStart w:id="108" w:name="_Toc512870704"/>
      <w:bookmarkStart w:id="109" w:name="_Toc512870866"/>
      <w:r w:rsidRPr="00E62FE6">
        <w:t>3.5</w:t>
      </w:r>
      <w:r w:rsidRPr="00E62FE6">
        <w:tab/>
        <w:t>Repercussions</w:t>
      </w:r>
      <w:r w:rsidR="008243CA">
        <w:t xml:space="preserve"> </w:t>
      </w:r>
      <w:r w:rsidRPr="00E62FE6">
        <w:t>of</w:t>
      </w:r>
      <w:r w:rsidR="008243CA">
        <w:t xml:space="preserve"> </w:t>
      </w:r>
      <w:r w:rsidRPr="00E62FE6">
        <w:t>the</w:t>
      </w:r>
      <w:r w:rsidR="008243CA">
        <w:t xml:space="preserve"> </w:t>
      </w:r>
      <w:r w:rsidRPr="00E62FE6">
        <w:t>visit</w:t>
      </w:r>
      <w:bookmarkEnd w:id="108"/>
      <w:bookmarkEnd w:id="109"/>
    </w:p>
    <w:p w:rsidR="003F7D03" w:rsidRPr="00152385" w:rsidRDefault="003F7D03" w:rsidP="000C6D98">
      <w:pPr>
        <w:pStyle w:val="SingleTxtG"/>
        <w:rPr>
          <w:i/>
          <w:iCs/>
        </w:rPr>
      </w:pPr>
      <w:r w:rsidRPr="00E62FE6">
        <w:t>185.</w:t>
      </w:r>
      <w:r w:rsidRPr="00E62FE6">
        <w:tab/>
        <w:t>Paragraph</w:t>
      </w:r>
      <w:r w:rsidR="008243CA">
        <w:t xml:space="preserve"> </w:t>
      </w:r>
      <w:r w:rsidRPr="00E62FE6">
        <w:t>131:</w:t>
      </w:r>
      <w:r w:rsidR="008243CA">
        <w:t xml:space="preserve"> </w:t>
      </w:r>
      <w:r w:rsidRPr="00152385">
        <w:rPr>
          <w:i/>
          <w:iCs/>
        </w:rPr>
        <w:t>In</w:t>
      </w:r>
      <w:r w:rsidR="008243CA" w:rsidRPr="00152385">
        <w:rPr>
          <w:i/>
          <w:iCs/>
        </w:rPr>
        <w:t xml:space="preserve"> </w:t>
      </w:r>
      <w:r w:rsidRPr="00152385">
        <w:rPr>
          <w:i/>
          <w:iCs/>
        </w:rPr>
        <w:t>accordance</w:t>
      </w:r>
      <w:r w:rsidR="008243CA" w:rsidRPr="00152385">
        <w:rPr>
          <w:i/>
          <w:iCs/>
        </w:rPr>
        <w:t xml:space="preserve"> </w:t>
      </w:r>
      <w:r w:rsidRPr="00152385">
        <w:rPr>
          <w:i/>
          <w:iCs/>
        </w:rPr>
        <w:t>with</w:t>
      </w:r>
      <w:r w:rsidR="008243CA" w:rsidRPr="00152385">
        <w:rPr>
          <w:i/>
          <w:iCs/>
        </w:rPr>
        <w:t xml:space="preserve"> </w:t>
      </w:r>
      <w:r w:rsidRPr="00152385">
        <w:rPr>
          <w:i/>
          <w:iCs/>
        </w:rPr>
        <w:t>article</w:t>
      </w:r>
      <w:r w:rsidR="008243CA" w:rsidRPr="00152385">
        <w:rPr>
          <w:i/>
          <w:iCs/>
        </w:rPr>
        <w:t xml:space="preserve"> </w:t>
      </w:r>
      <w:r w:rsidRPr="00152385">
        <w:rPr>
          <w:i/>
          <w:iCs/>
        </w:rPr>
        <w:t>15</w:t>
      </w:r>
      <w:r w:rsidR="008243CA" w:rsidRPr="00152385">
        <w:rPr>
          <w:i/>
          <w:iCs/>
        </w:rPr>
        <w:t xml:space="preserve"> </w:t>
      </w:r>
      <w:r w:rsidRPr="00152385">
        <w:rPr>
          <w:i/>
          <w:iCs/>
        </w:rPr>
        <w:t>of</w:t>
      </w:r>
      <w:r w:rsidR="008243CA" w:rsidRPr="00152385">
        <w:rPr>
          <w:i/>
          <w:iCs/>
        </w:rPr>
        <w:t xml:space="preserve"> </w:t>
      </w:r>
      <w:r w:rsidRPr="00152385">
        <w:rPr>
          <w:i/>
          <w:iCs/>
        </w:rPr>
        <w:t>the</w:t>
      </w:r>
      <w:r w:rsidR="008243CA" w:rsidRPr="00152385">
        <w:rPr>
          <w:i/>
          <w:iCs/>
        </w:rPr>
        <w:t xml:space="preserve"> </w:t>
      </w:r>
      <w:r w:rsidRPr="00152385">
        <w:rPr>
          <w:i/>
          <w:iCs/>
        </w:rPr>
        <w:t>Optional</w:t>
      </w:r>
      <w:r w:rsidR="008243CA" w:rsidRPr="00152385">
        <w:rPr>
          <w:i/>
          <w:iCs/>
        </w:rPr>
        <w:t xml:space="preserve"> </w:t>
      </w:r>
      <w:r w:rsidRPr="00152385">
        <w:rPr>
          <w:i/>
          <w:iCs/>
        </w:rPr>
        <w:t>Protocol</w:t>
      </w:r>
      <w:r w:rsidR="008243CA" w:rsidRPr="00152385">
        <w:rPr>
          <w:i/>
          <w:iCs/>
        </w:rPr>
        <w:t xml:space="preserve"> </w:t>
      </w:r>
      <w:r w:rsidRPr="00152385">
        <w:rPr>
          <w:i/>
          <w:iCs/>
        </w:rPr>
        <w:t>and</w:t>
      </w:r>
      <w:r w:rsidR="008243CA" w:rsidRPr="00152385">
        <w:rPr>
          <w:i/>
          <w:iCs/>
        </w:rPr>
        <w:t xml:space="preserve"> </w:t>
      </w:r>
      <w:r w:rsidRPr="00152385">
        <w:rPr>
          <w:i/>
          <w:iCs/>
        </w:rPr>
        <w:t>the</w:t>
      </w:r>
      <w:r w:rsidR="008243CA" w:rsidRPr="00152385">
        <w:rPr>
          <w:i/>
          <w:iCs/>
        </w:rPr>
        <w:t xml:space="preserve"> </w:t>
      </w:r>
      <w:r w:rsidRPr="00152385">
        <w:rPr>
          <w:i/>
          <w:iCs/>
        </w:rPr>
        <w:t>Subcommittee</w:t>
      </w:r>
      <w:r w:rsidR="00116F0B">
        <w:rPr>
          <w:i/>
          <w:iCs/>
        </w:rPr>
        <w:t>’</w:t>
      </w:r>
      <w:r w:rsidRPr="00152385">
        <w:rPr>
          <w:i/>
          <w:iCs/>
        </w:rPr>
        <w:t>s</w:t>
      </w:r>
      <w:r w:rsidR="008243CA" w:rsidRPr="00152385">
        <w:rPr>
          <w:i/>
          <w:iCs/>
        </w:rPr>
        <w:t xml:space="preserve"> </w:t>
      </w:r>
      <w:r w:rsidRPr="00152385">
        <w:rPr>
          <w:i/>
          <w:iCs/>
        </w:rPr>
        <w:t>working</w:t>
      </w:r>
      <w:r w:rsidR="008243CA" w:rsidRPr="00152385">
        <w:rPr>
          <w:i/>
          <w:iCs/>
        </w:rPr>
        <w:t xml:space="preserve"> </w:t>
      </w:r>
      <w:r w:rsidRPr="00152385">
        <w:rPr>
          <w:i/>
          <w:iCs/>
        </w:rPr>
        <w:t>paper</w:t>
      </w:r>
      <w:r w:rsidR="008243CA" w:rsidRPr="00152385">
        <w:rPr>
          <w:i/>
          <w:iCs/>
        </w:rPr>
        <w:t xml:space="preserve"> </w:t>
      </w:r>
      <w:r w:rsidRPr="00152385">
        <w:rPr>
          <w:i/>
          <w:iCs/>
        </w:rPr>
        <w:t>on</w:t>
      </w:r>
      <w:r w:rsidR="008243CA" w:rsidRPr="00152385">
        <w:rPr>
          <w:i/>
          <w:iCs/>
        </w:rPr>
        <w:t xml:space="preserve"> </w:t>
      </w:r>
      <w:r w:rsidRPr="00152385">
        <w:rPr>
          <w:i/>
          <w:iCs/>
        </w:rPr>
        <w:t>reprisals,</w:t>
      </w:r>
      <w:r w:rsidR="008243CA" w:rsidRPr="00152385">
        <w:rPr>
          <w:i/>
          <w:iCs/>
        </w:rPr>
        <w:t xml:space="preserve"> </w:t>
      </w:r>
      <w:r w:rsidRPr="00152385">
        <w:rPr>
          <w:i/>
          <w:iCs/>
        </w:rPr>
        <w:t>the</w:t>
      </w:r>
      <w:r w:rsidR="008243CA" w:rsidRPr="00152385">
        <w:rPr>
          <w:i/>
          <w:iCs/>
        </w:rPr>
        <w:t xml:space="preserve"> </w:t>
      </w:r>
      <w:r w:rsidRPr="00152385">
        <w:rPr>
          <w:i/>
          <w:iCs/>
        </w:rPr>
        <w:t>Subcommittee</w:t>
      </w:r>
      <w:r w:rsidR="008243CA" w:rsidRPr="00152385">
        <w:rPr>
          <w:i/>
          <w:iCs/>
        </w:rPr>
        <w:t xml:space="preserve"> </w:t>
      </w:r>
      <w:r w:rsidRPr="00152385">
        <w:rPr>
          <w:i/>
          <w:iCs/>
        </w:rPr>
        <w:t>calls</w:t>
      </w:r>
      <w:r w:rsidR="008243CA" w:rsidRPr="00152385">
        <w:rPr>
          <w:i/>
          <w:iCs/>
        </w:rPr>
        <w:t xml:space="preserve"> </w:t>
      </w:r>
      <w:r w:rsidRPr="00152385">
        <w:rPr>
          <w:i/>
          <w:iCs/>
        </w:rPr>
        <w:t>upon</w:t>
      </w:r>
      <w:r w:rsidR="008243CA" w:rsidRPr="00152385">
        <w:rPr>
          <w:i/>
          <w:iCs/>
        </w:rPr>
        <w:t xml:space="preserve"> </w:t>
      </w:r>
      <w:r w:rsidRPr="00152385">
        <w:rPr>
          <w:i/>
          <w:iCs/>
        </w:rPr>
        <w:t>the</w:t>
      </w:r>
      <w:r w:rsidR="008243CA" w:rsidRPr="00152385">
        <w:rPr>
          <w:i/>
          <w:iCs/>
        </w:rPr>
        <w:t xml:space="preserve"> </w:t>
      </w:r>
      <w:r w:rsidRPr="00152385">
        <w:rPr>
          <w:i/>
          <w:iCs/>
        </w:rPr>
        <w:t>Chilean</w:t>
      </w:r>
      <w:r w:rsidR="008243CA" w:rsidRPr="00152385">
        <w:rPr>
          <w:i/>
          <w:iCs/>
        </w:rPr>
        <w:t xml:space="preserve"> </w:t>
      </w:r>
      <w:r w:rsidRPr="00152385">
        <w:rPr>
          <w:i/>
          <w:iCs/>
        </w:rPr>
        <w:t>authorities</w:t>
      </w:r>
      <w:r w:rsidR="008243CA" w:rsidRPr="00152385">
        <w:rPr>
          <w:i/>
          <w:iCs/>
        </w:rPr>
        <w:t xml:space="preserve"> </w:t>
      </w:r>
      <w:r w:rsidRPr="00152385">
        <w:rPr>
          <w:i/>
          <w:iCs/>
        </w:rPr>
        <w:t>to</w:t>
      </w:r>
      <w:r w:rsidR="008243CA" w:rsidRPr="00152385">
        <w:rPr>
          <w:i/>
          <w:iCs/>
        </w:rPr>
        <w:t xml:space="preserve"> </w:t>
      </w:r>
      <w:r w:rsidRPr="00152385">
        <w:rPr>
          <w:i/>
          <w:iCs/>
        </w:rPr>
        <w:t>ensure</w:t>
      </w:r>
      <w:r w:rsidR="008243CA" w:rsidRPr="00152385">
        <w:rPr>
          <w:i/>
          <w:iCs/>
        </w:rPr>
        <w:t xml:space="preserve"> </w:t>
      </w:r>
      <w:r w:rsidRPr="00152385">
        <w:rPr>
          <w:i/>
          <w:iCs/>
        </w:rPr>
        <w:t>that</w:t>
      </w:r>
      <w:r w:rsidR="008243CA" w:rsidRPr="00152385">
        <w:rPr>
          <w:i/>
          <w:iCs/>
        </w:rPr>
        <w:t xml:space="preserve"> </w:t>
      </w:r>
      <w:r w:rsidRPr="00152385">
        <w:rPr>
          <w:i/>
          <w:iCs/>
        </w:rPr>
        <w:t>there</w:t>
      </w:r>
      <w:r w:rsidR="008243CA" w:rsidRPr="00152385">
        <w:rPr>
          <w:i/>
          <w:iCs/>
        </w:rPr>
        <w:t xml:space="preserve"> </w:t>
      </w:r>
      <w:r w:rsidRPr="00152385">
        <w:rPr>
          <w:i/>
          <w:iCs/>
        </w:rPr>
        <w:t>are</w:t>
      </w:r>
      <w:r w:rsidR="008243CA" w:rsidRPr="00152385">
        <w:rPr>
          <w:i/>
          <w:iCs/>
        </w:rPr>
        <w:t xml:space="preserve"> </w:t>
      </w:r>
      <w:r w:rsidRPr="00152385">
        <w:rPr>
          <w:i/>
          <w:iCs/>
        </w:rPr>
        <w:t>no</w:t>
      </w:r>
      <w:r w:rsidR="008243CA" w:rsidRPr="00152385">
        <w:rPr>
          <w:i/>
          <w:iCs/>
        </w:rPr>
        <w:t xml:space="preserve"> </w:t>
      </w:r>
      <w:r w:rsidRPr="00152385">
        <w:rPr>
          <w:i/>
          <w:iCs/>
        </w:rPr>
        <w:t>reprisals</w:t>
      </w:r>
      <w:r w:rsidR="008243CA" w:rsidRPr="00152385">
        <w:rPr>
          <w:i/>
          <w:iCs/>
        </w:rPr>
        <w:t xml:space="preserve"> </w:t>
      </w:r>
      <w:r w:rsidRPr="00152385">
        <w:rPr>
          <w:i/>
          <w:iCs/>
        </w:rPr>
        <w:t>following</w:t>
      </w:r>
      <w:r w:rsidR="008243CA" w:rsidRPr="00152385">
        <w:rPr>
          <w:i/>
          <w:iCs/>
        </w:rPr>
        <w:t xml:space="preserve"> </w:t>
      </w:r>
      <w:r w:rsidRPr="00152385">
        <w:rPr>
          <w:i/>
          <w:iCs/>
        </w:rPr>
        <w:t>its</w:t>
      </w:r>
      <w:r w:rsidR="008243CA" w:rsidRPr="00152385">
        <w:rPr>
          <w:i/>
          <w:iCs/>
        </w:rPr>
        <w:t xml:space="preserve"> </w:t>
      </w:r>
      <w:r w:rsidRPr="00152385">
        <w:rPr>
          <w:i/>
          <w:iCs/>
        </w:rPr>
        <w:t>visit.</w:t>
      </w:r>
      <w:r w:rsidR="008243CA" w:rsidRPr="00152385">
        <w:rPr>
          <w:i/>
          <w:iCs/>
        </w:rPr>
        <w:t xml:space="preserve"> </w:t>
      </w:r>
      <w:r w:rsidRPr="00152385">
        <w:rPr>
          <w:i/>
          <w:iCs/>
        </w:rPr>
        <w:t>The</w:t>
      </w:r>
      <w:r w:rsidR="008243CA" w:rsidRPr="00152385">
        <w:rPr>
          <w:i/>
          <w:iCs/>
        </w:rPr>
        <w:t xml:space="preserve"> </w:t>
      </w:r>
      <w:r w:rsidRPr="00152385">
        <w:rPr>
          <w:i/>
          <w:iCs/>
        </w:rPr>
        <w:t>Subcommittee</w:t>
      </w:r>
      <w:r w:rsidR="008243CA" w:rsidRPr="00152385">
        <w:rPr>
          <w:i/>
          <w:iCs/>
        </w:rPr>
        <w:t xml:space="preserve"> </w:t>
      </w:r>
      <w:r w:rsidRPr="00152385">
        <w:rPr>
          <w:i/>
          <w:iCs/>
        </w:rPr>
        <w:t>requests</w:t>
      </w:r>
      <w:r w:rsidR="008243CA" w:rsidRPr="00152385">
        <w:rPr>
          <w:i/>
          <w:iCs/>
        </w:rPr>
        <w:t xml:space="preserve"> </w:t>
      </w:r>
      <w:r w:rsidRPr="00152385">
        <w:rPr>
          <w:i/>
          <w:iCs/>
        </w:rPr>
        <w:t>the</w:t>
      </w:r>
      <w:r w:rsidR="008243CA" w:rsidRPr="00152385">
        <w:rPr>
          <w:i/>
          <w:iCs/>
        </w:rPr>
        <w:t xml:space="preserve"> </w:t>
      </w:r>
      <w:r w:rsidRPr="00152385">
        <w:rPr>
          <w:i/>
          <w:iCs/>
        </w:rPr>
        <w:t>State</w:t>
      </w:r>
      <w:r w:rsidR="008243CA" w:rsidRPr="00152385">
        <w:rPr>
          <w:i/>
          <w:iCs/>
        </w:rPr>
        <w:t xml:space="preserve"> </w:t>
      </w:r>
      <w:r w:rsidRPr="00152385">
        <w:rPr>
          <w:i/>
          <w:iCs/>
        </w:rPr>
        <w:t>party</w:t>
      </w:r>
      <w:r w:rsidR="008243CA" w:rsidRPr="00152385">
        <w:rPr>
          <w:i/>
          <w:iCs/>
        </w:rPr>
        <w:t xml:space="preserve"> </w:t>
      </w:r>
      <w:r w:rsidRPr="00152385">
        <w:rPr>
          <w:i/>
          <w:iCs/>
        </w:rPr>
        <w:t>to</w:t>
      </w:r>
      <w:r w:rsidR="008243CA" w:rsidRPr="00152385">
        <w:rPr>
          <w:i/>
          <w:iCs/>
        </w:rPr>
        <w:t xml:space="preserve"> </w:t>
      </w:r>
      <w:r w:rsidRPr="00152385">
        <w:rPr>
          <w:i/>
          <w:iCs/>
        </w:rPr>
        <w:t>provide</w:t>
      </w:r>
      <w:r w:rsidR="008243CA" w:rsidRPr="00152385">
        <w:rPr>
          <w:i/>
          <w:iCs/>
        </w:rPr>
        <w:t xml:space="preserve"> </w:t>
      </w:r>
      <w:r w:rsidRPr="00152385">
        <w:rPr>
          <w:i/>
          <w:iCs/>
        </w:rPr>
        <w:t>detailed</w:t>
      </w:r>
      <w:r w:rsidR="008243CA" w:rsidRPr="00152385">
        <w:rPr>
          <w:i/>
          <w:iCs/>
        </w:rPr>
        <w:t xml:space="preserve"> </w:t>
      </w:r>
      <w:r w:rsidRPr="00152385">
        <w:rPr>
          <w:i/>
          <w:iCs/>
        </w:rPr>
        <w:t>information</w:t>
      </w:r>
      <w:r w:rsidR="008243CA" w:rsidRPr="00152385">
        <w:rPr>
          <w:i/>
          <w:iCs/>
        </w:rPr>
        <w:t xml:space="preserve"> </w:t>
      </w:r>
      <w:r w:rsidRPr="00152385">
        <w:rPr>
          <w:i/>
          <w:iCs/>
        </w:rPr>
        <w:t>in</w:t>
      </w:r>
      <w:r w:rsidR="008243CA" w:rsidRPr="00152385">
        <w:rPr>
          <w:i/>
          <w:iCs/>
        </w:rPr>
        <w:t xml:space="preserve"> </w:t>
      </w:r>
      <w:r w:rsidRPr="00152385">
        <w:rPr>
          <w:i/>
          <w:iCs/>
        </w:rPr>
        <w:t>its</w:t>
      </w:r>
      <w:r w:rsidR="008243CA" w:rsidRPr="00152385">
        <w:rPr>
          <w:i/>
          <w:iCs/>
        </w:rPr>
        <w:t xml:space="preserve"> </w:t>
      </w:r>
      <w:r w:rsidRPr="00152385">
        <w:rPr>
          <w:i/>
          <w:iCs/>
        </w:rPr>
        <w:t>reply</w:t>
      </w:r>
      <w:r w:rsidR="008243CA" w:rsidRPr="00152385">
        <w:rPr>
          <w:i/>
          <w:iCs/>
        </w:rPr>
        <w:t xml:space="preserve"> </w:t>
      </w:r>
      <w:r w:rsidRPr="00152385">
        <w:rPr>
          <w:i/>
          <w:iCs/>
        </w:rPr>
        <w:t>on</w:t>
      </w:r>
      <w:r w:rsidR="008243CA" w:rsidRPr="00152385">
        <w:rPr>
          <w:i/>
          <w:iCs/>
        </w:rPr>
        <w:t xml:space="preserve"> </w:t>
      </w:r>
      <w:r w:rsidRPr="00152385">
        <w:rPr>
          <w:i/>
          <w:iCs/>
        </w:rPr>
        <w:t>what</w:t>
      </w:r>
      <w:r w:rsidR="008243CA" w:rsidRPr="00152385">
        <w:rPr>
          <w:i/>
          <w:iCs/>
        </w:rPr>
        <w:t xml:space="preserve"> </w:t>
      </w:r>
      <w:r w:rsidRPr="00152385">
        <w:rPr>
          <w:i/>
          <w:iCs/>
        </w:rPr>
        <w:t>it</w:t>
      </w:r>
      <w:r w:rsidR="008243CA" w:rsidRPr="00152385">
        <w:rPr>
          <w:i/>
          <w:iCs/>
        </w:rPr>
        <w:t xml:space="preserve"> </w:t>
      </w:r>
      <w:r w:rsidRPr="00152385">
        <w:rPr>
          <w:i/>
          <w:iCs/>
        </w:rPr>
        <w:t>has</w:t>
      </w:r>
      <w:r w:rsidR="008243CA" w:rsidRPr="00152385">
        <w:rPr>
          <w:i/>
          <w:iCs/>
        </w:rPr>
        <w:t xml:space="preserve"> </w:t>
      </w:r>
      <w:r w:rsidRPr="00152385">
        <w:rPr>
          <w:i/>
          <w:iCs/>
        </w:rPr>
        <w:t>done</w:t>
      </w:r>
      <w:r w:rsidR="008243CA" w:rsidRPr="00152385">
        <w:rPr>
          <w:i/>
          <w:iCs/>
        </w:rPr>
        <w:t xml:space="preserve"> </w:t>
      </w:r>
      <w:r w:rsidRPr="00152385">
        <w:rPr>
          <w:i/>
          <w:iCs/>
        </w:rPr>
        <w:t>to</w:t>
      </w:r>
      <w:r w:rsidR="008243CA" w:rsidRPr="00152385">
        <w:rPr>
          <w:i/>
          <w:iCs/>
        </w:rPr>
        <w:t xml:space="preserve"> </w:t>
      </w:r>
      <w:r w:rsidRPr="00152385">
        <w:rPr>
          <w:i/>
          <w:iCs/>
        </w:rPr>
        <w:t>prevent</w:t>
      </w:r>
      <w:r w:rsidR="008243CA" w:rsidRPr="00152385">
        <w:rPr>
          <w:i/>
          <w:iCs/>
        </w:rPr>
        <w:t xml:space="preserve"> </w:t>
      </w:r>
      <w:r w:rsidRPr="00152385">
        <w:rPr>
          <w:i/>
          <w:iCs/>
        </w:rPr>
        <w:t>reprisals</w:t>
      </w:r>
      <w:r w:rsidR="008243CA" w:rsidRPr="00152385">
        <w:rPr>
          <w:i/>
          <w:iCs/>
        </w:rPr>
        <w:t xml:space="preserve"> </w:t>
      </w:r>
      <w:r w:rsidRPr="00152385">
        <w:rPr>
          <w:i/>
          <w:iCs/>
        </w:rPr>
        <w:t>against</w:t>
      </w:r>
      <w:r w:rsidR="008243CA" w:rsidRPr="00152385">
        <w:rPr>
          <w:i/>
          <w:iCs/>
        </w:rPr>
        <w:t xml:space="preserve"> </w:t>
      </w:r>
      <w:r w:rsidRPr="00152385">
        <w:rPr>
          <w:i/>
          <w:iCs/>
        </w:rPr>
        <w:t>anyone</w:t>
      </w:r>
      <w:r w:rsidR="008243CA" w:rsidRPr="00152385">
        <w:rPr>
          <w:i/>
          <w:iCs/>
        </w:rPr>
        <w:t xml:space="preserve"> </w:t>
      </w:r>
      <w:r w:rsidRPr="00152385">
        <w:rPr>
          <w:i/>
          <w:iCs/>
        </w:rPr>
        <w:t>who</w:t>
      </w:r>
      <w:r w:rsidR="008243CA" w:rsidRPr="00152385">
        <w:rPr>
          <w:i/>
          <w:iCs/>
        </w:rPr>
        <w:t xml:space="preserve"> </w:t>
      </w:r>
      <w:r w:rsidRPr="00152385">
        <w:rPr>
          <w:i/>
          <w:iCs/>
        </w:rPr>
        <w:t>was</w:t>
      </w:r>
      <w:r w:rsidR="008243CA" w:rsidRPr="00152385">
        <w:rPr>
          <w:i/>
          <w:iCs/>
        </w:rPr>
        <w:t xml:space="preserve"> </w:t>
      </w:r>
      <w:r w:rsidRPr="00152385">
        <w:rPr>
          <w:i/>
          <w:iCs/>
        </w:rPr>
        <w:t>visited</w:t>
      </w:r>
      <w:r w:rsidR="008243CA" w:rsidRPr="00152385">
        <w:rPr>
          <w:i/>
          <w:iCs/>
        </w:rPr>
        <w:t xml:space="preserve"> </w:t>
      </w:r>
      <w:r w:rsidRPr="00152385">
        <w:rPr>
          <w:i/>
          <w:iCs/>
        </w:rPr>
        <w:t>by,</w:t>
      </w:r>
      <w:r w:rsidR="008243CA" w:rsidRPr="00152385">
        <w:rPr>
          <w:i/>
          <w:iCs/>
        </w:rPr>
        <w:t xml:space="preserve"> </w:t>
      </w:r>
      <w:r w:rsidRPr="00152385">
        <w:rPr>
          <w:i/>
          <w:iCs/>
        </w:rPr>
        <w:t>met</w:t>
      </w:r>
      <w:r w:rsidR="008243CA" w:rsidRPr="00152385">
        <w:rPr>
          <w:i/>
          <w:iCs/>
        </w:rPr>
        <w:t xml:space="preserve"> </w:t>
      </w:r>
      <w:r w:rsidRPr="00152385">
        <w:rPr>
          <w:i/>
          <w:iCs/>
        </w:rPr>
        <w:t>with</w:t>
      </w:r>
      <w:r w:rsidR="008243CA" w:rsidRPr="00152385">
        <w:rPr>
          <w:i/>
          <w:iCs/>
        </w:rPr>
        <w:t xml:space="preserve"> </w:t>
      </w:r>
      <w:r w:rsidRPr="00152385">
        <w:rPr>
          <w:i/>
          <w:iCs/>
        </w:rPr>
        <w:t>or</w:t>
      </w:r>
      <w:r w:rsidR="008243CA" w:rsidRPr="00152385">
        <w:rPr>
          <w:i/>
          <w:iCs/>
        </w:rPr>
        <w:t xml:space="preserve"> </w:t>
      </w:r>
      <w:r w:rsidRPr="00152385">
        <w:rPr>
          <w:i/>
          <w:iCs/>
        </w:rPr>
        <w:t>provided</w:t>
      </w:r>
      <w:r w:rsidR="008243CA" w:rsidRPr="00152385">
        <w:rPr>
          <w:i/>
          <w:iCs/>
        </w:rPr>
        <w:t xml:space="preserve"> </w:t>
      </w:r>
      <w:r w:rsidRPr="00152385">
        <w:rPr>
          <w:i/>
          <w:iCs/>
        </w:rPr>
        <w:t>information</w:t>
      </w:r>
      <w:r w:rsidR="008243CA" w:rsidRPr="00152385">
        <w:rPr>
          <w:i/>
          <w:iCs/>
        </w:rPr>
        <w:t xml:space="preserve"> </w:t>
      </w:r>
      <w:r w:rsidRPr="00152385">
        <w:rPr>
          <w:i/>
          <w:iCs/>
        </w:rPr>
        <w:t>to</w:t>
      </w:r>
      <w:r w:rsidR="008243CA" w:rsidRPr="00152385">
        <w:rPr>
          <w:i/>
          <w:iCs/>
        </w:rPr>
        <w:t xml:space="preserve"> </w:t>
      </w:r>
      <w:r w:rsidRPr="00152385">
        <w:rPr>
          <w:i/>
          <w:iCs/>
        </w:rPr>
        <w:t>the</w:t>
      </w:r>
      <w:r w:rsidR="008243CA" w:rsidRPr="00152385">
        <w:rPr>
          <w:i/>
          <w:iCs/>
        </w:rPr>
        <w:t xml:space="preserve"> </w:t>
      </w:r>
      <w:r w:rsidRPr="00152385">
        <w:rPr>
          <w:i/>
          <w:iCs/>
        </w:rPr>
        <w:t>Subcommittee</w:t>
      </w:r>
      <w:r w:rsidR="008243CA" w:rsidRPr="00152385">
        <w:rPr>
          <w:i/>
          <w:iCs/>
        </w:rPr>
        <w:t xml:space="preserve"> </w:t>
      </w:r>
      <w:r w:rsidRPr="00152385">
        <w:rPr>
          <w:i/>
          <w:iCs/>
        </w:rPr>
        <w:t>during</w:t>
      </w:r>
      <w:r w:rsidR="008243CA" w:rsidRPr="00152385">
        <w:rPr>
          <w:i/>
          <w:iCs/>
        </w:rPr>
        <w:t xml:space="preserve"> </w:t>
      </w:r>
      <w:r w:rsidRPr="00152385">
        <w:rPr>
          <w:i/>
          <w:iCs/>
        </w:rPr>
        <w:t>the</w:t>
      </w:r>
      <w:r w:rsidR="008243CA" w:rsidRPr="00152385">
        <w:rPr>
          <w:i/>
          <w:iCs/>
        </w:rPr>
        <w:t xml:space="preserve"> </w:t>
      </w:r>
      <w:r w:rsidRPr="00152385">
        <w:rPr>
          <w:i/>
          <w:iCs/>
        </w:rPr>
        <w:t>course</w:t>
      </w:r>
      <w:r w:rsidR="008243CA" w:rsidRPr="00152385">
        <w:rPr>
          <w:i/>
          <w:iCs/>
        </w:rPr>
        <w:t xml:space="preserve"> </w:t>
      </w:r>
      <w:r w:rsidRPr="00152385">
        <w:rPr>
          <w:i/>
          <w:iCs/>
        </w:rPr>
        <w:t>of</w:t>
      </w:r>
      <w:r w:rsidR="008243CA" w:rsidRPr="00152385">
        <w:rPr>
          <w:i/>
          <w:iCs/>
        </w:rPr>
        <w:t xml:space="preserve"> </w:t>
      </w:r>
      <w:r w:rsidRPr="00152385">
        <w:rPr>
          <w:i/>
          <w:iCs/>
        </w:rPr>
        <w:t>its</w:t>
      </w:r>
      <w:r w:rsidR="008243CA" w:rsidRPr="00152385">
        <w:rPr>
          <w:i/>
          <w:iCs/>
        </w:rPr>
        <w:t xml:space="preserve"> </w:t>
      </w:r>
      <w:r w:rsidRPr="00152385">
        <w:rPr>
          <w:i/>
          <w:iCs/>
        </w:rPr>
        <w:t>visit.</w:t>
      </w:r>
      <w:bookmarkStart w:id="110" w:name="page44"/>
      <w:bookmarkEnd w:id="110"/>
    </w:p>
    <w:p w:rsidR="003F7D03" w:rsidRPr="00E62FE6" w:rsidRDefault="003F7D03" w:rsidP="000C6D98">
      <w:pPr>
        <w:pStyle w:val="SingleTxtG"/>
      </w:pPr>
      <w:r w:rsidRPr="00E62FE6">
        <w:t>186.</w:t>
      </w:r>
      <w:r w:rsidRPr="00E62FE6">
        <w:tab/>
        <w:t>With</w:t>
      </w:r>
      <w:r w:rsidR="008243CA">
        <w:t xml:space="preserve"> </w:t>
      </w:r>
      <w:r w:rsidRPr="00E62FE6">
        <w:t>regard</w:t>
      </w:r>
      <w:r w:rsidR="008243CA">
        <w:t xml:space="preserve"> </w:t>
      </w:r>
      <w:r w:rsidRPr="00E62FE6">
        <w:t>to</w:t>
      </w:r>
      <w:r w:rsidR="008243CA">
        <w:t xml:space="preserve"> </w:t>
      </w:r>
      <w:r w:rsidRPr="00E62FE6">
        <w:t>article</w:t>
      </w:r>
      <w:r w:rsidR="008243CA">
        <w:t xml:space="preserve"> </w:t>
      </w:r>
      <w:r w:rsidRPr="00E62FE6">
        <w:t>15</w:t>
      </w:r>
      <w:r w:rsidR="008243CA">
        <w:t xml:space="preserve"> </w:t>
      </w:r>
      <w:r w:rsidRPr="00E62FE6">
        <w:t>of</w:t>
      </w:r>
      <w:r w:rsidR="008243CA">
        <w:t xml:space="preserve"> </w:t>
      </w:r>
      <w:r w:rsidRPr="00E62FE6">
        <w:t>the</w:t>
      </w:r>
      <w:r w:rsidR="008243CA">
        <w:t xml:space="preserve"> </w:t>
      </w:r>
      <w:r w:rsidRPr="00E62FE6">
        <w:t>Optional</w:t>
      </w:r>
      <w:r w:rsidR="008243CA">
        <w:t xml:space="preserve"> </w:t>
      </w:r>
      <w:r w:rsidRPr="00E62FE6">
        <w:t>Protocol,</w:t>
      </w:r>
      <w:r w:rsidR="008243CA">
        <w:t xml:space="preserve"> </w:t>
      </w:r>
      <w:r w:rsidRPr="00E62FE6">
        <w:t>which</w:t>
      </w:r>
      <w:r w:rsidR="008243CA">
        <w:t xml:space="preserve"> </w:t>
      </w:r>
      <w:r w:rsidRPr="00E62FE6">
        <w:t>prohibits</w:t>
      </w:r>
      <w:r w:rsidR="008243CA">
        <w:t xml:space="preserve"> </w:t>
      </w:r>
      <w:r w:rsidRPr="00E62FE6">
        <w:t>reprisals</w:t>
      </w:r>
      <w:r w:rsidR="008243CA">
        <w:t xml:space="preserve"> </w:t>
      </w:r>
      <w:r w:rsidRPr="00E62FE6">
        <w:t>against</w:t>
      </w:r>
      <w:r w:rsidR="008243CA">
        <w:t xml:space="preserve"> </w:t>
      </w:r>
      <w:r w:rsidRPr="00E62FE6">
        <w:t>persons</w:t>
      </w:r>
      <w:r w:rsidR="008243CA">
        <w:t xml:space="preserve"> </w:t>
      </w:r>
      <w:r w:rsidRPr="00E62FE6">
        <w:t>who</w:t>
      </w:r>
      <w:r w:rsidR="008243CA">
        <w:t xml:space="preserve"> </w:t>
      </w:r>
      <w:r w:rsidRPr="00E62FE6">
        <w:t>might</w:t>
      </w:r>
      <w:r w:rsidR="008243CA">
        <w:t xml:space="preserve"> </w:t>
      </w:r>
      <w:r w:rsidRPr="00E62FE6">
        <w:t>communicate</w:t>
      </w:r>
      <w:r w:rsidR="008243CA">
        <w:t xml:space="preserve"> </w:t>
      </w:r>
      <w:r w:rsidRPr="00E62FE6">
        <w:t>with</w:t>
      </w:r>
      <w:r w:rsidR="008243CA">
        <w:t xml:space="preserve"> </w:t>
      </w:r>
      <w:r w:rsidRPr="00E62FE6">
        <w:t>the</w:t>
      </w:r>
      <w:r w:rsidR="008243CA">
        <w:t xml:space="preserve"> </w:t>
      </w:r>
      <w:r w:rsidRPr="00E62FE6">
        <w:t>Subcommittee,</w:t>
      </w:r>
      <w:r w:rsidR="008243CA">
        <w:t xml:space="preserve"> </w:t>
      </w:r>
      <w:r w:rsidRPr="00E62FE6">
        <w:t>the</w:t>
      </w:r>
      <w:r w:rsidR="008243CA">
        <w:t xml:space="preserve"> </w:t>
      </w:r>
      <w:r w:rsidRPr="00E62FE6">
        <w:t>National</w:t>
      </w:r>
      <w:r w:rsidR="008243CA">
        <w:t xml:space="preserve"> </w:t>
      </w:r>
      <w:r w:rsidRPr="00E62FE6">
        <w:t>Director</w:t>
      </w:r>
      <w:r w:rsidR="008243CA">
        <w:t xml:space="preserve"> </w:t>
      </w:r>
      <w:r w:rsidRPr="00E62FE6">
        <w:t>of</w:t>
      </w:r>
      <w:r w:rsidR="008243CA">
        <w:t xml:space="preserve"> </w:t>
      </w:r>
      <w:r w:rsidRPr="00E62FE6">
        <w:t>the</w:t>
      </w:r>
      <w:r w:rsidR="008243CA">
        <w:t xml:space="preserve"> </w:t>
      </w:r>
      <w:r w:rsidRPr="00E62FE6">
        <w:t>Prison</w:t>
      </w:r>
      <w:r w:rsidR="008243CA">
        <w:t xml:space="preserve"> </w:t>
      </w:r>
      <w:r w:rsidRPr="00E62FE6">
        <w:t>Service,</w:t>
      </w:r>
      <w:r w:rsidR="008243CA">
        <w:t xml:space="preserve"> </w:t>
      </w:r>
      <w:r w:rsidRPr="00E62FE6">
        <w:t>in</w:t>
      </w:r>
      <w:r w:rsidR="008243CA">
        <w:t xml:space="preserve"> </w:t>
      </w:r>
      <w:r w:rsidRPr="00E62FE6">
        <w:t>Official</w:t>
      </w:r>
      <w:r w:rsidR="008243CA">
        <w:t xml:space="preserve"> </w:t>
      </w:r>
      <w:r w:rsidRPr="00E62FE6">
        <w:t>Letter</w:t>
      </w:r>
      <w:r w:rsidR="008243CA">
        <w:t xml:space="preserve"> </w:t>
      </w:r>
      <w:r w:rsidRPr="00E62FE6">
        <w:t>No.</w:t>
      </w:r>
      <w:r w:rsidR="008243CA">
        <w:t xml:space="preserve"> </w:t>
      </w:r>
      <w:r w:rsidRPr="00E62FE6">
        <w:t>85</w:t>
      </w:r>
      <w:r w:rsidR="008243CA">
        <w:t xml:space="preserve"> </w:t>
      </w:r>
      <w:r w:rsidRPr="00E62FE6">
        <w:t>of</w:t>
      </w:r>
      <w:r w:rsidR="008243CA">
        <w:t xml:space="preserve"> </w:t>
      </w:r>
      <w:r w:rsidRPr="00E62FE6">
        <w:t>4</w:t>
      </w:r>
      <w:r w:rsidR="008243CA">
        <w:t xml:space="preserve"> </w:t>
      </w:r>
      <w:r w:rsidRPr="00E62FE6">
        <w:t>February</w:t>
      </w:r>
      <w:r w:rsidR="008243CA">
        <w:t xml:space="preserve"> </w:t>
      </w:r>
      <w:r w:rsidRPr="00E62FE6">
        <w:t>2016,</w:t>
      </w:r>
      <w:r w:rsidR="008243CA">
        <w:t xml:space="preserve"> </w:t>
      </w:r>
      <w:r w:rsidRPr="00E62FE6">
        <w:t>issued</w:t>
      </w:r>
      <w:r w:rsidR="008243CA">
        <w:t xml:space="preserve"> </w:t>
      </w:r>
      <w:r w:rsidRPr="00E62FE6">
        <w:t>instructions</w:t>
      </w:r>
      <w:r w:rsidR="008243CA">
        <w:t xml:space="preserve"> </w:t>
      </w:r>
      <w:r w:rsidRPr="00E62FE6">
        <w:t>to</w:t>
      </w:r>
      <w:r w:rsidR="008243CA">
        <w:t xml:space="preserve"> </w:t>
      </w:r>
      <w:r w:rsidRPr="00E62FE6">
        <w:t>all</w:t>
      </w:r>
      <w:r w:rsidR="008243CA">
        <w:t xml:space="preserve"> </w:t>
      </w:r>
      <w:r w:rsidRPr="00E62FE6">
        <w:t>regional</w:t>
      </w:r>
      <w:r w:rsidR="008243CA">
        <w:t xml:space="preserve"> </w:t>
      </w:r>
      <w:r w:rsidRPr="00E62FE6">
        <w:t>directorates</w:t>
      </w:r>
      <w:r w:rsidR="008243CA">
        <w:t xml:space="preserve"> </w:t>
      </w:r>
      <w:r w:rsidRPr="00E62FE6">
        <w:t>concerning</w:t>
      </w:r>
      <w:r w:rsidR="008243CA">
        <w:t xml:space="preserve"> </w:t>
      </w:r>
      <w:r w:rsidRPr="00E62FE6">
        <w:t>the</w:t>
      </w:r>
      <w:r w:rsidR="008243CA">
        <w:t xml:space="preserve"> </w:t>
      </w:r>
      <w:r w:rsidRPr="00E62FE6">
        <w:t>visits</w:t>
      </w:r>
      <w:r w:rsidR="008243CA">
        <w:t xml:space="preserve"> </w:t>
      </w:r>
      <w:r w:rsidRPr="00E62FE6">
        <w:t>that</w:t>
      </w:r>
      <w:r w:rsidR="008243CA">
        <w:t xml:space="preserve"> </w:t>
      </w:r>
      <w:r w:rsidRPr="00E62FE6">
        <w:t>the</w:t>
      </w:r>
      <w:r w:rsidR="008243CA">
        <w:t xml:space="preserve"> </w:t>
      </w:r>
      <w:r w:rsidRPr="00E62FE6">
        <w:t>Subcommittee</w:t>
      </w:r>
      <w:r w:rsidR="008243CA">
        <w:t xml:space="preserve"> </w:t>
      </w:r>
      <w:r w:rsidRPr="00E62FE6">
        <w:t>would</w:t>
      </w:r>
      <w:r w:rsidR="008243CA">
        <w:t xml:space="preserve"> </w:t>
      </w:r>
      <w:r w:rsidRPr="00E62FE6">
        <w:t>be</w:t>
      </w:r>
      <w:r w:rsidR="008243CA">
        <w:t xml:space="preserve"> </w:t>
      </w:r>
      <w:r w:rsidRPr="00E62FE6">
        <w:t>making</w:t>
      </w:r>
      <w:r w:rsidR="008243CA">
        <w:t xml:space="preserve"> </w:t>
      </w:r>
      <w:r w:rsidRPr="00E62FE6">
        <w:t>to</w:t>
      </w:r>
      <w:r w:rsidR="008243CA">
        <w:t xml:space="preserve"> </w:t>
      </w:r>
      <w:r w:rsidRPr="00E62FE6">
        <w:t>the</w:t>
      </w:r>
      <w:r w:rsidR="008243CA">
        <w:t xml:space="preserve"> </w:t>
      </w:r>
      <w:r w:rsidRPr="00E62FE6">
        <w:t>premises</w:t>
      </w:r>
      <w:r w:rsidR="008243CA">
        <w:t xml:space="preserve"> </w:t>
      </w:r>
      <w:r w:rsidRPr="00E62FE6">
        <w:t>of</w:t>
      </w:r>
      <w:r w:rsidR="008243CA">
        <w:t xml:space="preserve"> </w:t>
      </w:r>
      <w:r w:rsidRPr="00E62FE6">
        <w:t>the</w:t>
      </w:r>
      <w:r w:rsidR="008243CA">
        <w:t xml:space="preserve"> </w:t>
      </w:r>
      <w:r w:rsidRPr="00E62FE6">
        <w:t>Prison</w:t>
      </w:r>
      <w:r w:rsidR="008243CA">
        <w:t xml:space="preserve"> </w:t>
      </w:r>
      <w:r w:rsidRPr="00E62FE6">
        <w:t>Service.</w:t>
      </w:r>
      <w:r w:rsidR="008243CA">
        <w:t xml:space="preserve"> </w:t>
      </w:r>
      <w:r w:rsidRPr="00E62FE6">
        <w:t>Paragraph</w:t>
      </w:r>
      <w:r w:rsidR="008243CA">
        <w:t xml:space="preserve"> </w:t>
      </w:r>
      <w:r w:rsidRPr="00E62FE6">
        <w:t>5</w:t>
      </w:r>
      <w:r w:rsidR="008243CA">
        <w:t xml:space="preserve"> </w:t>
      </w:r>
      <w:r w:rsidRPr="00E62FE6">
        <w:t>of</w:t>
      </w:r>
      <w:r w:rsidR="008243CA">
        <w:t xml:space="preserve"> </w:t>
      </w:r>
      <w:r w:rsidRPr="00E62FE6">
        <w:t>the</w:t>
      </w:r>
      <w:r w:rsidR="008243CA">
        <w:t xml:space="preserve"> </w:t>
      </w:r>
      <w:r w:rsidRPr="00E62FE6">
        <w:t>letter</w:t>
      </w:r>
      <w:r w:rsidR="008243CA">
        <w:t xml:space="preserve"> </w:t>
      </w:r>
      <w:r w:rsidRPr="00E62FE6">
        <w:t>explicitly</w:t>
      </w:r>
      <w:r w:rsidR="008243CA">
        <w:t xml:space="preserve"> </w:t>
      </w:r>
      <w:r w:rsidRPr="00E62FE6">
        <w:t>mentioned</w:t>
      </w:r>
      <w:r w:rsidR="008243CA">
        <w:t xml:space="preserve"> </w:t>
      </w:r>
      <w:r w:rsidRPr="00E62FE6">
        <w:t>the</w:t>
      </w:r>
      <w:r w:rsidR="008243CA">
        <w:t xml:space="preserve"> </w:t>
      </w:r>
      <w:r w:rsidRPr="00E62FE6">
        <w:t>prohibition</w:t>
      </w:r>
      <w:r w:rsidR="008243CA">
        <w:t xml:space="preserve"> </w:t>
      </w:r>
      <w:r w:rsidRPr="00E62FE6">
        <w:t>of</w:t>
      </w:r>
      <w:r w:rsidR="008243CA">
        <w:t xml:space="preserve"> </w:t>
      </w:r>
      <w:r w:rsidRPr="00E62FE6">
        <w:t>sanctions</w:t>
      </w:r>
      <w:r w:rsidR="008243CA">
        <w:t xml:space="preserve"> </w:t>
      </w:r>
      <w:r w:rsidRPr="00E62FE6">
        <w:t>and/or</w:t>
      </w:r>
      <w:r w:rsidR="008243CA">
        <w:t xml:space="preserve"> </w:t>
      </w:r>
      <w:r w:rsidRPr="00E62FE6">
        <w:t>reprisals,</w:t>
      </w:r>
      <w:r w:rsidR="008243CA">
        <w:t xml:space="preserve"> </w:t>
      </w:r>
      <w:r w:rsidRPr="00E62FE6">
        <w:t>with</w:t>
      </w:r>
      <w:r w:rsidR="008243CA">
        <w:t xml:space="preserve"> </w:t>
      </w:r>
      <w:r w:rsidRPr="00E62FE6">
        <w:t>reference</w:t>
      </w:r>
      <w:r w:rsidR="008243CA">
        <w:t xml:space="preserve"> </w:t>
      </w:r>
      <w:r w:rsidRPr="00E62FE6">
        <w:t>to</w:t>
      </w:r>
      <w:r w:rsidR="008243CA">
        <w:t xml:space="preserve"> </w:t>
      </w:r>
      <w:r w:rsidRPr="00E62FE6">
        <w:t>article</w:t>
      </w:r>
      <w:r w:rsidR="008243CA">
        <w:t xml:space="preserve"> </w:t>
      </w:r>
      <w:r w:rsidRPr="00E62FE6">
        <w:t>4</w:t>
      </w:r>
      <w:r w:rsidR="008243CA">
        <w:t xml:space="preserve"> </w:t>
      </w:r>
      <w:r w:rsidRPr="00E62FE6">
        <w:t>of</w:t>
      </w:r>
      <w:r w:rsidR="008243CA">
        <w:t xml:space="preserve"> </w:t>
      </w:r>
      <w:r w:rsidRPr="00E62FE6">
        <w:t>the</w:t>
      </w:r>
      <w:r w:rsidR="008243CA">
        <w:t xml:space="preserve"> </w:t>
      </w:r>
      <w:r w:rsidRPr="00E62FE6">
        <w:t>Optional</w:t>
      </w:r>
      <w:r w:rsidR="008243CA">
        <w:t xml:space="preserve"> </w:t>
      </w:r>
      <w:r w:rsidRPr="00E62FE6">
        <w:t>Protocol.</w:t>
      </w:r>
      <w:r w:rsidR="008243CA">
        <w:t xml:space="preserve"> </w:t>
      </w:r>
      <w:r w:rsidRPr="00E62FE6">
        <w:t>The</w:t>
      </w:r>
      <w:r w:rsidR="008243CA">
        <w:t xml:space="preserve"> </w:t>
      </w:r>
      <w:r w:rsidRPr="00E62FE6">
        <w:t>regional</w:t>
      </w:r>
      <w:r w:rsidR="008243CA">
        <w:t xml:space="preserve"> </w:t>
      </w:r>
      <w:r w:rsidRPr="00E62FE6">
        <w:t>directors</w:t>
      </w:r>
      <w:r w:rsidR="008243CA">
        <w:t xml:space="preserve"> </w:t>
      </w:r>
      <w:r w:rsidRPr="00E62FE6">
        <w:t>were</w:t>
      </w:r>
      <w:r w:rsidR="008243CA">
        <w:t xml:space="preserve"> </w:t>
      </w:r>
      <w:r w:rsidRPr="00E62FE6">
        <w:t>tasked</w:t>
      </w:r>
      <w:r w:rsidR="008243CA">
        <w:t xml:space="preserve"> </w:t>
      </w:r>
      <w:r w:rsidRPr="00E62FE6">
        <w:t>with</w:t>
      </w:r>
      <w:r w:rsidR="008243CA">
        <w:t xml:space="preserve"> </w:t>
      </w:r>
      <w:r w:rsidRPr="00E62FE6">
        <w:t>disseminating</w:t>
      </w:r>
      <w:r w:rsidR="008243CA">
        <w:t xml:space="preserve"> </w:t>
      </w:r>
      <w:r w:rsidRPr="00E62FE6">
        <w:t>the</w:t>
      </w:r>
      <w:r w:rsidR="008243CA">
        <w:t xml:space="preserve"> </w:t>
      </w:r>
      <w:r w:rsidRPr="00E62FE6">
        <w:t>instructions</w:t>
      </w:r>
      <w:r w:rsidR="008243CA">
        <w:t xml:space="preserve"> </w:t>
      </w:r>
      <w:r w:rsidRPr="00E62FE6">
        <w:t>contained</w:t>
      </w:r>
      <w:r w:rsidR="008243CA">
        <w:t xml:space="preserve"> </w:t>
      </w:r>
      <w:r w:rsidRPr="00E62FE6">
        <w:t>in</w:t>
      </w:r>
      <w:r w:rsidR="008243CA">
        <w:t xml:space="preserve"> </w:t>
      </w:r>
      <w:r w:rsidRPr="00E62FE6">
        <w:t>the</w:t>
      </w:r>
      <w:r w:rsidR="008243CA">
        <w:t xml:space="preserve"> </w:t>
      </w:r>
      <w:r w:rsidRPr="00E62FE6">
        <w:t>letter</w:t>
      </w:r>
      <w:r w:rsidR="008243CA">
        <w:t xml:space="preserve"> </w:t>
      </w:r>
      <w:r w:rsidRPr="00E62FE6">
        <w:t>by</w:t>
      </w:r>
      <w:r w:rsidR="008243CA">
        <w:t xml:space="preserve"> </w:t>
      </w:r>
      <w:r w:rsidRPr="00E62FE6">
        <w:t>visiting</w:t>
      </w:r>
      <w:r w:rsidR="008243CA">
        <w:t xml:space="preserve"> </w:t>
      </w:r>
      <w:r w:rsidRPr="00E62FE6">
        <w:t>the</w:t>
      </w:r>
      <w:r w:rsidR="008243CA">
        <w:t xml:space="preserve"> </w:t>
      </w:r>
      <w:r w:rsidRPr="00E62FE6">
        <w:t>different</w:t>
      </w:r>
      <w:r w:rsidR="008243CA">
        <w:t xml:space="preserve"> </w:t>
      </w:r>
      <w:r w:rsidRPr="00E62FE6">
        <w:t>correctional</w:t>
      </w:r>
      <w:r w:rsidR="008243CA">
        <w:t xml:space="preserve"> </w:t>
      </w:r>
      <w:r w:rsidRPr="00E62FE6">
        <w:t>facilities</w:t>
      </w:r>
      <w:r w:rsidR="008243CA">
        <w:t xml:space="preserve"> </w:t>
      </w:r>
      <w:r w:rsidRPr="00E62FE6">
        <w:t>located</w:t>
      </w:r>
      <w:r w:rsidR="008243CA">
        <w:t xml:space="preserve"> </w:t>
      </w:r>
      <w:r w:rsidRPr="00E62FE6">
        <w:t>in</w:t>
      </w:r>
      <w:r w:rsidR="008243CA">
        <w:t xml:space="preserve"> </w:t>
      </w:r>
      <w:r w:rsidRPr="00E62FE6">
        <w:t>their</w:t>
      </w:r>
      <w:r w:rsidR="008243CA">
        <w:t xml:space="preserve"> </w:t>
      </w:r>
      <w:r w:rsidRPr="00E62FE6">
        <w:t>region.</w:t>
      </w:r>
    </w:p>
    <w:p w:rsidR="003F7D03" w:rsidRPr="00E62FE6" w:rsidRDefault="003F7D03" w:rsidP="000C6D98">
      <w:pPr>
        <w:pStyle w:val="SingleTxtG"/>
      </w:pPr>
      <w:r w:rsidRPr="00E62FE6">
        <w:lastRenderedPageBreak/>
        <w:t>187.</w:t>
      </w:r>
      <w:r w:rsidRPr="00E62FE6">
        <w:tab/>
        <w:t>The</w:t>
      </w:r>
      <w:r w:rsidR="008243CA">
        <w:t xml:space="preserve"> </w:t>
      </w:r>
      <w:r w:rsidRPr="00E62FE6">
        <w:t>instructions</w:t>
      </w:r>
      <w:r w:rsidR="008243CA">
        <w:t xml:space="preserve"> </w:t>
      </w:r>
      <w:r w:rsidRPr="00E62FE6">
        <w:t>were</w:t>
      </w:r>
      <w:r w:rsidR="008243CA">
        <w:t xml:space="preserve"> </w:t>
      </w:r>
      <w:r w:rsidRPr="00E62FE6">
        <w:t>reiterated</w:t>
      </w:r>
      <w:r w:rsidR="008243CA">
        <w:t xml:space="preserve"> </w:t>
      </w:r>
      <w:r w:rsidRPr="00E62FE6">
        <w:t>in</w:t>
      </w:r>
      <w:r w:rsidR="008243CA">
        <w:t xml:space="preserve"> </w:t>
      </w:r>
      <w:r w:rsidRPr="00E62FE6">
        <w:t>Official</w:t>
      </w:r>
      <w:r w:rsidR="008243CA">
        <w:t xml:space="preserve"> </w:t>
      </w:r>
      <w:r w:rsidRPr="00E62FE6">
        <w:t>Letter</w:t>
      </w:r>
      <w:r w:rsidR="008243CA">
        <w:t xml:space="preserve"> </w:t>
      </w:r>
      <w:r w:rsidRPr="00E62FE6">
        <w:t>No.</w:t>
      </w:r>
      <w:r w:rsidR="008243CA">
        <w:t xml:space="preserve"> </w:t>
      </w:r>
      <w:r w:rsidRPr="00E62FE6">
        <w:t>118</w:t>
      </w:r>
      <w:r w:rsidR="008243CA">
        <w:t xml:space="preserve"> </w:t>
      </w:r>
      <w:r w:rsidRPr="00E62FE6">
        <w:t>of</w:t>
      </w:r>
      <w:r w:rsidR="008243CA">
        <w:t xml:space="preserve"> </w:t>
      </w:r>
      <w:r w:rsidRPr="00E62FE6">
        <w:t>24</w:t>
      </w:r>
      <w:r w:rsidR="008243CA">
        <w:t xml:space="preserve"> </w:t>
      </w:r>
      <w:r w:rsidRPr="00E62FE6">
        <w:t>March</w:t>
      </w:r>
      <w:r w:rsidR="008243CA">
        <w:t xml:space="preserve"> </w:t>
      </w:r>
      <w:r w:rsidRPr="00E62FE6">
        <w:t>2016,</w:t>
      </w:r>
      <w:r w:rsidR="008243CA">
        <w:t xml:space="preserve"> </w:t>
      </w:r>
      <w:r w:rsidRPr="00E62FE6">
        <w:t>which</w:t>
      </w:r>
      <w:r w:rsidR="008243CA">
        <w:t xml:space="preserve"> </w:t>
      </w:r>
      <w:r w:rsidRPr="00E62FE6">
        <w:t>described</w:t>
      </w:r>
      <w:r w:rsidR="008243CA">
        <w:t xml:space="preserve"> </w:t>
      </w:r>
      <w:r w:rsidRPr="00E62FE6">
        <w:t>the</w:t>
      </w:r>
      <w:r w:rsidR="008243CA">
        <w:t xml:space="preserve"> </w:t>
      </w:r>
      <w:r w:rsidRPr="00E62FE6">
        <w:t>nature</w:t>
      </w:r>
      <w:r w:rsidR="008243CA">
        <w:t xml:space="preserve"> </w:t>
      </w:r>
      <w:r w:rsidRPr="00E62FE6">
        <w:t>of</w:t>
      </w:r>
      <w:r w:rsidR="008243CA">
        <w:t xml:space="preserve"> </w:t>
      </w:r>
      <w:r w:rsidRPr="00E62FE6">
        <w:t>the</w:t>
      </w:r>
      <w:r w:rsidR="008243CA">
        <w:t xml:space="preserve"> </w:t>
      </w:r>
      <w:r w:rsidRPr="00E62FE6">
        <w:t>Subcommittee</w:t>
      </w:r>
      <w:r w:rsidR="00116F0B">
        <w:t>’</w:t>
      </w:r>
      <w:r w:rsidRPr="00E62FE6">
        <w:t>s</w:t>
      </w:r>
      <w:r w:rsidR="008243CA">
        <w:t xml:space="preserve"> </w:t>
      </w:r>
      <w:r w:rsidRPr="00E62FE6">
        <w:t>visit</w:t>
      </w:r>
      <w:r w:rsidR="008243CA">
        <w:t xml:space="preserve"> </w:t>
      </w:r>
      <w:r w:rsidRPr="00E62FE6">
        <w:t>and</w:t>
      </w:r>
      <w:r w:rsidR="008243CA">
        <w:t xml:space="preserve"> </w:t>
      </w:r>
      <w:r w:rsidRPr="00E62FE6">
        <w:t>stated</w:t>
      </w:r>
      <w:r w:rsidR="008243CA">
        <w:t xml:space="preserve"> </w:t>
      </w:r>
      <w:r w:rsidRPr="00E62FE6">
        <w:t>that,</w:t>
      </w:r>
      <w:r w:rsidR="008243CA">
        <w:t xml:space="preserve"> </w:t>
      </w:r>
      <w:r w:rsidRPr="00E62FE6">
        <w:t>in</w:t>
      </w:r>
      <w:r w:rsidR="008243CA">
        <w:t xml:space="preserve"> </w:t>
      </w:r>
      <w:r w:rsidRPr="00E62FE6">
        <w:t>the</w:t>
      </w:r>
      <w:r w:rsidR="008243CA">
        <w:t xml:space="preserve"> </w:t>
      </w:r>
      <w:r w:rsidRPr="00E62FE6">
        <w:t>event</w:t>
      </w:r>
      <w:r w:rsidR="008243CA">
        <w:t xml:space="preserve"> </w:t>
      </w:r>
      <w:r w:rsidRPr="00E62FE6">
        <w:t>of</w:t>
      </w:r>
      <w:r w:rsidR="008243CA">
        <w:t xml:space="preserve"> </w:t>
      </w:r>
      <w:r w:rsidRPr="00E62FE6">
        <w:t>interviews</w:t>
      </w:r>
      <w:r w:rsidR="008243CA">
        <w:t xml:space="preserve"> </w:t>
      </w:r>
      <w:r w:rsidRPr="00E62FE6">
        <w:t>with</w:t>
      </w:r>
      <w:r w:rsidR="008243CA">
        <w:t xml:space="preserve"> </w:t>
      </w:r>
      <w:r w:rsidRPr="00E62FE6">
        <w:t>officials</w:t>
      </w:r>
      <w:r w:rsidR="008243CA">
        <w:t xml:space="preserve"> </w:t>
      </w:r>
      <w:r w:rsidRPr="00E62FE6">
        <w:t>and/or</w:t>
      </w:r>
      <w:r w:rsidR="008243CA">
        <w:t xml:space="preserve"> </w:t>
      </w:r>
      <w:r w:rsidRPr="00E62FE6">
        <w:t>detainees,</w:t>
      </w:r>
      <w:r w:rsidR="008243CA">
        <w:t xml:space="preserve"> </w:t>
      </w:r>
      <w:r w:rsidRPr="00E62FE6">
        <w:t>the</w:t>
      </w:r>
      <w:r w:rsidR="008243CA">
        <w:t xml:space="preserve"> </w:t>
      </w:r>
      <w:r w:rsidRPr="00E62FE6">
        <w:t>detainees</w:t>
      </w:r>
      <w:r w:rsidR="008243CA">
        <w:t xml:space="preserve"> </w:t>
      </w:r>
      <w:r w:rsidRPr="00E62FE6">
        <w:t>should</w:t>
      </w:r>
      <w:r w:rsidR="008243CA">
        <w:t xml:space="preserve"> </w:t>
      </w:r>
      <w:r w:rsidRPr="00E62FE6">
        <w:t>not,</w:t>
      </w:r>
      <w:r w:rsidR="008243CA">
        <w:t xml:space="preserve"> </w:t>
      </w:r>
      <w:r w:rsidRPr="00E62FE6">
        <w:t>under</w:t>
      </w:r>
      <w:r w:rsidR="008243CA">
        <w:t xml:space="preserve"> </w:t>
      </w:r>
      <w:r w:rsidRPr="00E62FE6">
        <w:t>any</w:t>
      </w:r>
      <w:r w:rsidR="008243CA">
        <w:t xml:space="preserve"> </w:t>
      </w:r>
      <w:r w:rsidRPr="00E62FE6">
        <w:t>circumstances</w:t>
      </w:r>
      <w:r w:rsidR="008243CA">
        <w:t xml:space="preserve"> </w:t>
      </w:r>
      <w:r w:rsidRPr="00E62FE6">
        <w:t>or</w:t>
      </w:r>
      <w:r w:rsidR="008243CA">
        <w:t xml:space="preserve"> </w:t>
      </w:r>
      <w:r w:rsidRPr="00E62FE6">
        <w:t>for</w:t>
      </w:r>
      <w:r w:rsidR="008243CA">
        <w:t xml:space="preserve"> </w:t>
      </w:r>
      <w:r w:rsidRPr="00E62FE6">
        <w:t>any</w:t>
      </w:r>
      <w:r w:rsidR="008243CA">
        <w:t xml:space="preserve"> </w:t>
      </w:r>
      <w:r w:rsidRPr="00E62FE6">
        <w:t>reason</w:t>
      </w:r>
      <w:r w:rsidR="008243CA">
        <w:t xml:space="preserve"> </w:t>
      </w:r>
      <w:r w:rsidRPr="00E62FE6">
        <w:t>or</w:t>
      </w:r>
      <w:r w:rsidR="008243CA">
        <w:t xml:space="preserve"> </w:t>
      </w:r>
      <w:r w:rsidRPr="00E62FE6">
        <w:t>pretext,</w:t>
      </w:r>
      <w:r w:rsidR="008243CA">
        <w:t xml:space="preserve"> </w:t>
      </w:r>
      <w:r w:rsidRPr="00E62FE6">
        <w:t>be</w:t>
      </w:r>
      <w:r w:rsidR="008243CA">
        <w:t xml:space="preserve"> </w:t>
      </w:r>
      <w:r w:rsidRPr="00E62FE6">
        <w:t>subjected</w:t>
      </w:r>
      <w:r w:rsidR="008243CA">
        <w:t xml:space="preserve"> </w:t>
      </w:r>
      <w:r w:rsidRPr="00E62FE6">
        <w:t>to</w:t>
      </w:r>
      <w:r w:rsidR="008243CA">
        <w:t xml:space="preserve"> </w:t>
      </w:r>
      <w:r w:rsidRPr="00E62FE6">
        <w:t>reprisals,</w:t>
      </w:r>
      <w:r w:rsidR="008243CA">
        <w:t xml:space="preserve"> </w:t>
      </w:r>
      <w:r w:rsidRPr="00E62FE6">
        <w:t>threats</w:t>
      </w:r>
      <w:r w:rsidR="008243CA">
        <w:t xml:space="preserve"> </w:t>
      </w:r>
      <w:r w:rsidRPr="00E62FE6">
        <w:t>or</w:t>
      </w:r>
      <w:r w:rsidR="008243CA">
        <w:t xml:space="preserve"> </w:t>
      </w:r>
      <w:r w:rsidRPr="00E62FE6">
        <w:t>punishment.</w:t>
      </w:r>
    </w:p>
    <w:p w:rsidR="003F7D03" w:rsidRPr="00E62FE6" w:rsidRDefault="003F7D03" w:rsidP="000C6D98">
      <w:pPr>
        <w:pStyle w:val="SingleTxtG"/>
      </w:pPr>
      <w:r w:rsidRPr="00E62FE6">
        <w:t>188.</w:t>
      </w:r>
      <w:r w:rsidRPr="00E62FE6">
        <w:tab/>
        <w:t>The</w:t>
      </w:r>
      <w:r w:rsidR="008243CA">
        <w:t xml:space="preserve"> </w:t>
      </w:r>
      <w:r w:rsidRPr="00E62FE6">
        <w:t>instructions</w:t>
      </w:r>
      <w:r w:rsidR="008243CA">
        <w:t xml:space="preserve"> </w:t>
      </w:r>
      <w:r w:rsidRPr="00E62FE6">
        <w:t>provided</w:t>
      </w:r>
      <w:r w:rsidR="008243CA">
        <w:t xml:space="preserve"> </w:t>
      </w:r>
      <w:r w:rsidRPr="00E62FE6">
        <w:t>in</w:t>
      </w:r>
      <w:r w:rsidR="008243CA">
        <w:t xml:space="preserve"> </w:t>
      </w:r>
      <w:r w:rsidRPr="00E62FE6">
        <w:t>the</w:t>
      </w:r>
      <w:r w:rsidR="008243CA">
        <w:t xml:space="preserve"> </w:t>
      </w:r>
      <w:r w:rsidRPr="00E62FE6">
        <w:t>two</w:t>
      </w:r>
      <w:r w:rsidR="008243CA">
        <w:t xml:space="preserve"> </w:t>
      </w:r>
      <w:r w:rsidRPr="00E62FE6">
        <w:t>letters</w:t>
      </w:r>
      <w:r w:rsidR="008243CA">
        <w:t xml:space="preserve"> </w:t>
      </w:r>
      <w:r w:rsidRPr="00E62FE6">
        <w:t>were</w:t>
      </w:r>
      <w:r w:rsidR="008243CA">
        <w:t xml:space="preserve"> </w:t>
      </w:r>
      <w:r w:rsidRPr="00E62FE6">
        <w:t>also</w:t>
      </w:r>
      <w:r w:rsidR="008243CA">
        <w:t xml:space="preserve"> </w:t>
      </w:r>
      <w:r w:rsidRPr="00E62FE6">
        <w:t>explained</w:t>
      </w:r>
      <w:r w:rsidR="008243CA">
        <w:t xml:space="preserve"> </w:t>
      </w:r>
      <w:r w:rsidRPr="00E62FE6">
        <w:t>to</w:t>
      </w:r>
      <w:r w:rsidR="008243CA">
        <w:t xml:space="preserve"> </w:t>
      </w:r>
      <w:r w:rsidRPr="00E62FE6">
        <w:t>the</w:t>
      </w:r>
      <w:r w:rsidR="008243CA">
        <w:t xml:space="preserve"> </w:t>
      </w:r>
      <w:r w:rsidRPr="00E62FE6">
        <w:t>regional</w:t>
      </w:r>
      <w:r w:rsidR="008243CA">
        <w:t xml:space="preserve"> </w:t>
      </w:r>
      <w:r w:rsidRPr="00E62FE6">
        <w:t>directors</w:t>
      </w:r>
      <w:r w:rsidR="008243CA">
        <w:t xml:space="preserve"> </w:t>
      </w:r>
      <w:r w:rsidRPr="00E62FE6">
        <w:t>in</w:t>
      </w:r>
      <w:r w:rsidR="008243CA">
        <w:t xml:space="preserve"> </w:t>
      </w:r>
      <w:r w:rsidRPr="00E62FE6">
        <w:t>a</w:t>
      </w:r>
      <w:r w:rsidR="008243CA">
        <w:t xml:space="preserve"> </w:t>
      </w:r>
      <w:r w:rsidRPr="00E62FE6">
        <w:t>videoconference</w:t>
      </w:r>
      <w:r w:rsidR="008243CA">
        <w:t xml:space="preserve"> </w:t>
      </w:r>
      <w:r w:rsidRPr="00E62FE6">
        <w:t>presented</w:t>
      </w:r>
      <w:r w:rsidR="008243CA">
        <w:t xml:space="preserve"> </w:t>
      </w:r>
      <w:r w:rsidRPr="00E62FE6">
        <w:t>by</w:t>
      </w:r>
      <w:r w:rsidR="008243CA">
        <w:t xml:space="preserve"> </w:t>
      </w:r>
      <w:r w:rsidRPr="00E62FE6">
        <w:t>the</w:t>
      </w:r>
      <w:r w:rsidR="008243CA">
        <w:t xml:space="preserve"> </w:t>
      </w:r>
      <w:r w:rsidRPr="00E62FE6">
        <w:t>Deputy</w:t>
      </w:r>
      <w:r w:rsidR="008243CA">
        <w:t xml:space="preserve"> </w:t>
      </w:r>
      <w:r w:rsidRPr="00E62FE6">
        <w:t>Director</w:t>
      </w:r>
      <w:r w:rsidR="008243CA">
        <w:t xml:space="preserve"> </w:t>
      </w:r>
      <w:r w:rsidRPr="00E62FE6">
        <w:t>of</w:t>
      </w:r>
      <w:r w:rsidR="008243CA">
        <w:t xml:space="preserve"> </w:t>
      </w:r>
      <w:r w:rsidRPr="00E62FE6">
        <w:t>Operations,</w:t>
      </w:r>
      <w:r w:rsidR="008243CA">
        <w:t xml:space="preserve"> </w:t>
      </w:r>
      <w:r w:rsidRPr="00E62FE6">
        <w:t>Col.</w:t>
      </w:r>
      <w:r w:rsidR="008243CA">
        <w:t xml:space="preserve"> </w:t>
      </w:r>
      <w:r w:rsidRPr="00E62FE6">
        <w:t>Maurice</w:t>
      </w:r>
      <w:r w:rsidR="008243CA">
        <w:t xml:space="preserve"> </w:t>
      </w:r>
      <w:proofErr w:type="spellStart"/>
      <w:r w:rsidRPr="00E62FE6">
        <w:t>Grimald</w:t>
      </w:r>
      <w:proofErr w:type="spellEnd"/>
      <w:r w:rsidR="008243CA">
        <w:t xml:space="preserve"> </w:t>
      </w:r>
      <w:r w:rsidRPr="00E62FE6">
        <w:t>and</w:t>
      </w:r>
      <w:r w:rsidR="008243CA">
        <w:t xml:space="preserve"> </w:t>
      </w:r>
      <w:r w:rsidRPr="00E62FE6">
        <w:t>the</w:t>
      </w:r>
      <w:r w:rsidR="008243CA">
        <w:t xml:space="preserve"> </w:t>
      </w:r>
      <w:r w:rsidRPr="00E62FE6">
        <w:t>Head</w:t>
      </w:r>
      <w:r w:rsidR="008243CA">
        <w:t xml:space="preserve"> </w:t>
      </w:r>
      <w:r w:rsidRPr="00E62FE6">
        <w:t>of</w:t>
      </w:r>
      <w:r w:rsidR="008243CA">
        <w:t xml:space="preserve"> </w:t>
      </w:r>
      <w:r w:rsidRPr="00E62FE6">
        <w:t>the</w:t>
      </w:r>
      <w:r w:rsidR="008243CA">
        <w:t xml:space="preserve"> </w:t>
      </w:r>
      <w:r w:rsidRPr="00E62FE6">
        <w:t>Human</w:t>
      </w:r>
      <w:r w:rsidR="008243CA">
        <w:t xml:space="preserve"> </w:t>
      </w:r>
      <w:r w:rsidRPr="00E62FE6">
        <w:t>Rights</w:t>
      </w:r>
      <w:r w:rsidR="008243CA">
        <w:t xml:space="preserve"> </w:t>
      </w:r>
      <w:r w:rsidRPr="00E62FE6">
        <w:t>Protection</w:t>
      </w:r>
      <w:r w:rsidR="008243CA">
        <w:t xml:space="preserve"> </w:t>
      </w:r>
      <w:r w:rsidRPr="00E62FE6">
        <w:t>and</w:t>
      </w:r>
      <w:r w:rsidR="008243CA">
        <w:t xml:space="preserve"> </w:t>
      </w:r>
      <w:r w:rsidRPr="00E62FE6">
        <w:t>Promotion</w:t>
      </w:r>
      <w:r w:rsidR="008243CA">
        <w:t xml:space="preserve"> </w:t>
      </w:r>
      <w:r w:rsidRPr="00E62FE6">
        <w:t>Unit,</w:t>
      </w:r>
      <w:r w:rsidR="008243CA">
        <w:t xml:space="preserve"> </w:t>
      </w:r>
      <w:r w:rsidRPr="00E62FE6">
        <w:t>Mr.</w:t>
      </w:r>
      <w:r w:rsidR="008243CA">
        <w:t xml:space="preserve"> </w:t>
      </w:r>
      <w:r w:rsidRPr="00E62FE6">
        <w:t>Pedro</w:t>
      </w:r>
      <w:r w:rsidR="008243CA">
        <w:t xml:space="preserve"> </w:t>
      </w:r>
      <w:r w:rsidRPr="00E62FE6">
        <w:t>Pablo</w:t>
      </w:r>
      <w:r w:rsidR="008243CA">
        <w:t xml:space="preserve"> </w:t>
      </w:r>
      <w:proofErr w:type="spellStart"/>
      <w:r w:rsidRPr="00E62FE6">
        <w:t>Parodi</w:t>
      </w:r>
      <w:proofErr w:type="spellEnd"/>
      <w:r w:rsidRPr="00E62FE6">
        <w:t>,</w:t>
      </w:r>
      <w:r w:rsidR="008243CA">
        <w:t xml:space="preserve"> </w:t>
      </w:r>
      <w:r w:rsidRPr="00E62FE6">
        <w:t>for</w:t>
      </w:r>
      <w:r w:rsidR="008243CA">
        <w:t xml:space="preserve"> </w:t>
      </w:r>
      <w:r w:rsidRPr="00E62FE6">
        <w:t>the</w:t>
      </w:r>
      <w:r w:rsidR="008243CA">
        <w:t xml:space="preserve"> </w:t>
      </w:r>
      <w:r w:rsidRPr="00E62FE6">
        <w:t>purpose</w:t>
      </w:r>
      <w:r w:rsidR="008243CA">
        <w:t xml:space="preserve"> </w:t>
      </w:r>
      <w:r w:rsidRPr="00E62FE6">
        <w:t>of</w:t>
      </w:r>
      <w:r w:rsidR="008243CA">
        <w:t xml:space="preserve"> </w:t>
      </w:r>
      <w:r w:rsidRPr="00E62FE6">
        <w:t>reiteration</w:t>
      </w:r>
      <w:r w:rsidR="008243CA">
        <w:t xml:space="preserve"> </w:t>
      </w:r>
      <w:r w:rsidRPr="00E62FE6">
        <w:t>and</w:t>
      </w:r>
      <w:r w:rsidR="008243CA">
        <w:t xml:space="preserve"> </w:t>
      </w:r>
      <w:r w:rsidRPr="00E62FE6">
        <w:t>for</w:t>
      </w:r>
      <w:r w:rsidR="00116F0B">
        <w:t xml:space="preserve"> </w:t>
      </w:r>
      <w:r w:rsidRPr="00E62FE6">
        <w:t>clarification</w:t>
      </w:r>
      <w:r w:rsidR="008243CA">
        <w:t xml:space="preserve"> </w:t>
      </w:r>
      <w:r w:rsidRPr="00E62FE6">
        <w:t>of</w:t>
      </w:r>
      <w:r w:rsidR="008243CA">
        <w:t xml:space="preserve"> </w:t>
      </w:r>
      <w:r w:rsidRPr="00E62FE6">
        <w:t>queries.</w:t>
      </w:r>
    </w:p>
    <w:p w:rsidR="003F7D03" w:rsidRPr="00E62FE6" w:rsidRDefault="003F7D03" w:rsidP="000C6D98">
      <w:pPr>
        <w:pStyle w:val="SingleTxtG"/>
      </w:pPr>
      <w:r w:rsidRPr="00E62FE6">
        <w:t>189.</w:t>
      </w:r>
      <w:r w:rsidRPr="00E62FE6">
        <w:tab/>
        <w:t>SENAME</w:t>
      </w:r>
      <w:r w:rsidR="008243CA">
        <w:t xml:space="preserve"> </w:t>
      </w:r>
      <w:r w:rsidRPr="00E62FE6">
        <w:t>carried</w:t>
      </w:r>
      <w:r w:rsidR="008243CA">
        <w:t xml:space="preserve"> </w:t>
      </w:r>
      <w:r w:rsidRPr="00E62FE6">
        <w:t>out</w:t>
      </w:r>
      <w:r w:rsidR="008243CA">
        <w:t xml:space="preserve"> </w:t>
      </w:r>
      <w:r w:rsidRPr="00E62FE6">
        <w:t>similar</w:t>
      </w:r>
      <w:r w:rsidR="008243CA">
        <w:t xml:space="preserve"> </w:t>
      </w:r>
      <w:r w:rsidRPr="00E62FE6">
        <w:t>activities,</w:t>
      </w:r>
      <w:r w:rsidR="008243CA">
        <w:t xml:space="preserve"> </w:t>
      </w:r>
      <w:r w:rsidRPr="00E62FE6">
        <w:t>sending</w:t>
      </w:r>
      <w:r w:rsidR="008243CA">
        <w:t xml:space="preserve"> </w:t>
      </w:r>
      <w:r w:rsidRPr="00E62FE6">
        <w:t>Memorandum</w:t>
      </w:r>
      <w:r w:rsidR="008243CA">
        <w:t xml:space="preserve"> </w:t>
      </w:r>
      <w:r w:rsidRPr="00E62FE6">
        <w:t>No.</w:t>
      </w:r>
      <w:r w:rsidR="008243CA">
        <w:t xml:space="preserve"> </w:t>
      </w:r>
      <w:r w:rsidRPr="00E62FE6">
        <w:t>229</w:t>
      </w:r>
      <w:r w:rsidR="008243CA">
        <w:t xml:space="preserve"> </w:t>
      </w:r>
      <w:r w:rsidRPr="00E62FE6">
        <w:t>to</w:t>
      </w:r>
      <w:r w:rsidR="008243CA">
        <w:t xml:space="preserve"> </w:t>
      </w:r>
      <w:r w:rsidRPr="00E62FE6">
        <w:t>all</w:t>
      </w:r>
      <w:r w:rsidR="008243CA">
        <w:t xml:space="preserve"> </w:t>
      </w:r>
      <w:r w:rsidRPr="00E62FE6">
        <w:t>the</w:t>
      </w:r>
      <w:r w:rsidR="008243CA">
        <w:t xml:space="preserve"> </w:t>
      </w:r>
      <w:r w:rsidRPr="00E62FE6">
        <w:t>regional</w:t>
      </w:r>
      <w:r w:rsidR="008243CA">
        <w:t xml:space="preserve"> </w:t>
      </w:r>
      <w:r w:rsidRPr="00E62FE6">
        <w:t>directors</w:t>
      </w:r>
      <w:r w:rsidR="008243CA">
        <w:t xml:space="preserve"> </w:t>
      </w:r>
      <w:r w:rsidRPr="00E62FE6">
        <w:t>and</w:t>
      </w:r>
      <w:r w:rsidR="008243CA">
        <w:t xml:space="preserve"> </w:t>
      </w:r>
      <w:r w:rsidRPr="00E62FE6">
        <w:t>to</w:t>
      </w:r>
      <w:r w:rsidR="008243CA">
        <w:t xml:space="preserve"> </w:t>
      </w:r>
      <w:r w:rsidRPr="00E62FE6">
        <w:t>directly</w:t>
      </w:r>
      <w:r w:rsidR="008243CA">
        <w:t xml:space="preserve"> </w:t>
      </w:r>
      <w:r w:rsidRPr="00E62FE6">
        <w:t>administered</w:t>
      </w:r>
      <w:r w:rsidR="008243CA">
        <w:t xml:space="preserve"> </w:t>
      </w:r>
      <w:r w:rsidRPr="00E62FE6">
        <w:t>centres</w:t>
      </w:r>
      <w:r w:rsidR="008243CA">
        <w:t xml:space="preserve"> </w:t>
      </w:r>
      <w:r w:rsidRPr="00E62FE6">
        <w:t>in</w:t>
      </w:r>
      <w:r w:rsidR="008243CA">
        <w:t xml:space="preserve"> </w:t>
      </w:r>
      <w:r w:rsidRPr="00E62FE6">
        <w:t>order</w:t>
      </w:r>
      <w:r w:rsidR="008243CA">
        <w:t xml:space="preserve"> </w:t>
      </w:r>
      <w:r w:rsidRPr="00E62FE6">
        <w:t>to</w:t>
      </w:r>
      <w:r w:rsidR="008243CA">
        <w:t xml:space="preserve"> </w:t>
      </w:r>
      <w:r w:rsidRPr="00E62FE6">
        <w:t>provide</w:t>
      </w:r>
      <w:r w:rsidR="008243CA">
        <w:t xml:space="preserve"> </w:t>
      </w:r>
      <w:r w:rsidRPr="00E62FE6">
        <w:t>information</w:t>
      </w:r>
      <w:r w:rsidR="008243CA">
        <w:t xml:space="preserve"> </w:t>
      </w:r>
      <w:r w:rsidRPr="00E62FE6">
        <w:t>about</w:t>
      </w:r>
      <w:r w:rsidR="008243CA">
        <w:t xml:space="preserve"> </w:t>
      </w:r>
      <w:r w:rsidRPr="00E62FE6">
        <w:t>the</w:t>
      </w:r>
      <w:r w:rsidR="008243CA">
        <w:t xml:space="preserve"> </w:t>
      </w:r>
      <w:r w:rsidRPr="00E62FE6">
        <w:t>Subcommittee</w:t>
      </w:r>
      <w:r w:rsidR="00116F0B">
        <w:t>’</w:t>
      </w:r>
      <w:r w:rsidRPr="00E62FE6">
        <w:t>s</w:t>
      </w:r>
      <w:r w:rsidR="008243CA">
        <w:t xml:space="preserve"> </w:t>
      </w:r>
      <w:r w:rsidRPr="00E62FE6">
        <w:t>visit,</w:t>
      </w:r>
      <w:r w:rsidR="008243CA">
        <w:t xml:space="preserve"> </w:t>
      </w:r>
      <w:r w:rsidRPr="00E62FE6">
        <w:t>the</w:t>
      </w:r>
      <w:r w:rsidR="008243CA">
        <w:t xml:space="preserve"> </w:t>
      </w:r>
      <w:r w:rsidRPr="00E62FE6">
        <w:t>legal</w:t>
      </w:r>
      <w:r w:rsidR="008243CA">
        <w:t xml:space="preserve"> </w:t>
      </w:r>
      <w:r w:rsidRPr="00E62FE6">
        <w:t>context</w:t>
      </w:r>
      <w:r w:rsidR="008243CA">
        <w:t xml:space="preserve"> </w:t>
      </w:r>
      <w:r w:rsidRPr="00E62FE6">
        <w:t>and</w:t>
      </w:r>
      <w:r w:rsidR="008243CA">
        <w:t xml:space="preserve"> </w:t>
      </w:r>
      <w:r w:rsidRPr="00E62FE6">
        <w:t>the</w:t>
      </w:r>
      <w:r w:rsidR="008243CA">
        <w:t xml:space="preserve"> </w:t>
      </w:r>
      <w:r w:rsidRPr="00E62FE6">
        <w:t>following</w:t>
      </w:r>
      <w:r w:rsidR="008243CA">
        <w:t xml:space="preserve"> </w:t>
      </w:r>
      <w:r w:rsidRPr="00E62FE6">
        <w:t>specific</w:t>
      </w:r>
      <w:r w:rsidR="008243CA">
        <w:t xml:space="preserve"> </w:t>
      </w:r>
      <w:r w:rsidRPr="00E62FE6">
        <w:t>details:</w:t>
      </w:r>
    </w:p>
    <w:p w:rsidR="003F7D03" w:rsidRPr="00E62FE6" w:rsidRDefault="003F7D03" w:rsidP="00C76930">
      <w:pPr>
        <w:pStyle w:val="Bullet1G"/>
      </w:pPr>
      <w:r w:rsidRPr="00E62FE6">
        <w:t>The</w:t>
      </w:r>
      <w:r w:rsidR="008243CA">
        <w:t xml:space="preserve"> </w:t>
      </w:r>
      <w:r w:rsidRPr="00E62FE6">
        <w:t>definition</w:t>
      </w:r>
      <w:r w:rsidR="008243CA">
        <w:t xml:space="preserve"> </w:t>
      </w:r>
      <w:r w:rsidRPr="00E62FE6">
        <w:t>of</w:t>
      </w:r>
      <w:r w:rsidR="008243CA">
        <w:t xml:space="preserve"> </w:t>
      </w:r>
      <w:r w:rsidRPr="00E62FE6">
        <w:t>torture</w:t>
      </w:r>
      <w:r w:rsidR="008243CA">
        <w:t xml:space="preserve"> </w:t>
      </w:r>
      <w:r w:rsidRPr="00E62FE6">
        <w:t>according</w:t>
      </w:r>
      <w:r w:rsidR="008243CA">
        <w:t xml:space="preserve"> </w:t>
      </w:r>
      <w:r w:rsidRPr="00E62FE6">
        <w:t>to</w:t>
      </w:r>
      <w:r w:rsidR="008243CA">
        <w:t xml:space="preserve"> </w:t>
      </w:r>
      <w:r w:rsidRPr="00E62FE6">
        <w:t>the</w:t>
      </w:r>
      <w:r w:rsidR="008243CA">
        <w:t xml:space="preserve"> </w:t>
      </w:r>
      <w:r w:rsidRPr="00E62FE6">
        <w:t>Convention</w:t>
      </w:r>
      <w:r w:rsidR="00422775">
        <w:t>.</w:t>
      </w:r>
    </w:p>
    <w:p w:rsidR="003F7D03" w:rsidRPr="00E62FE6" w:rsidRDefault="003F7D03" w:rsidP="00C76930">
      <w:pPr>
        <w:pStyle w:val="Bullet1G"/>
      </w:pPr>
      <w:r w:rsidRPr="00E62FE6">
        <w:t>The</w:t>
      </w:r>
      <w:r w:rsidR="008243CA">
        <w:t xml:space="preserve"> </w:t>
      </w:r>
      <w:r w:rsidRPr="00E62FE6">
        <w:t>powers</w:t>
      </w:r>
      <w:r w:rsidR="008243CA">
        <w:t xml:space="preserve"> </w:t>
      </w:r>
      <w:r w:rsidRPr="00E62FE6">
        <w:t>of</w:t>
      </w:r>
      <w:r w:rsidR="008243CA">
        <w:t xml:space="preserve"> </w:t>
      </w:r>
      <w:r w:rsidRPr="00E62FE6">
        <w:t>the</w:t>
      </w:r>
      <w:r w:rsidR="008243CA">
        <w:t xml:space="preserve"> </w:t>
      </w:r>
      <w:r w:rsidRPr="00E62FE6">
        <w:t>Subcommittee</w:t>
      </w:r>
      <w:r w:rsidR="00422775">
        <w:t>.</w:t>
      </w:r>
    </w:p>
    <w:p w:rsidR="003F7D03" w:rsidRPr="00E62FE6" w:rsidRDefault="003F7D03" w:rsidP="00C76930">
      <w:pPr>
        <w:pStyle w:val="Bullet1G"/>
      </w:pPr>
      <w:r w:rsidRPr="00E62FE6">
        <w:t>The</w:t>
      </w:r>
      <w:r w:rsidR="008243CA">
        <w:t xml:space="preserve"> </w:t>
      </w:r>
      <w:r w:rsidRPr="00E62FE6">
        <w:t>prohibition</w:t>
      </w:r>
      <w:r w:rsidR="008243CA">
        <w:t xml:space="preserve"> </w:t>
      </w:r>
      <w:r w:rsidRPr="00E62FE6">
        <w:t>of</w:t>
      </w:r>
      <w:r w:rsidR="008243CA">
        <w:t xml:space="preserve"> </w:t>
      </w:r>
      <w:r w:rsidRPr="00E62FE6">
        <w:t>sanctions</w:t>
      </w:r>
      <w:r w:rsidR="008243CA">
        <w:t xml:space="preserve"> </w:t>
      </w:r>
      <w:r w:rsidRPr="00E62FE6">
        <w:t>and</w:t>
      </w:r>
      <w:r w:rsidR="008243CA">
        <w:t xml:space="preserve"> </w:t>
      </w:r>
      <w:r w:rsidRPr="00E62FE6">
        <w:t>reprisals,</w:t>
      </w:r>
      <w:r w:rsidR="008243CA">
        <w:t xml:space="preserve"> </w:t>
      </w:r>
      <w:r w:rsidRPr="00E62FE6">
        <w:t>as</w:t>
      </w:r>
      <w:r w:rsidR="008243CA">
        <w:t xml:space="preserve"> </w:t>
      </w:r>
      <w:r w:rsidRPr="00E62FE6">
        <w:t>follows:</w:t>
      </w:r>
      <w:r w:rsidR="008243CA">
        <w:t xml:space="preserve"> </w:t>
      </w:r>
      <w:r w:rsidR="00116F0B">
        <w:t>“</w:t>
      </w:r>
      <w:r w:rsidRPr="00E62FE6">
        <w:t>It</w:t>
      </w:r>
      <w:r w:rsidR="008243CA">
        <w:t xml:space="preserve"> </w:t>
      </w:r>
      <w:r w:rsidRPr="00E62FE6">
        <w:t>is</w:t>
      </w:r>
      <w:r w:rsidR="008243CA">
        <w:t xml:space="preserve"> </w:t>
      </w:r>
      <w:r w:rsidRPr="00E62FE6">
        <w:t>strictly</w:t>
      </w:r>
      <w:r w:rsidR="008243CA">
        <w:t xml:space="preserve"> </w:t>
      </w:r>
      <w:r w:rsidRPr="00E62FE6">
        <w:t>forbidden</w:t>
      </w:r>
      <w:r w:rsidR="008243CA">
        <w:t xml:space="preserve"> </w:t>
      </w:r>
      <w:r w:rsidRPr="00E62FE6">
        <w:t>for</w:t>
      </w:r>
      <w:r w:rsidR="008243CA">
        <w:t xml:space="preserve"> </w:t>
      </w:r>
      <w:r w:rsidRPr="00E62FE6">
        <w:t>any</w:t>
      </w:r>
      <w:r w:rsidR="008243CA">
        <w:t xml:space="preserve"> </w:t>
      </w:r>
      <w:r w:rsidRPr="00E62FE6">
        <w:t>staff</w:t>
      </w:r>
      <w:r w:rsidR="008243CA">
        <w:t xml:space="preserve"> </w:t>
      </w:r>
      <w:r w:rsidRPr="00E62FE6">
        <w:t>member</w:t>
      </w:r>
      <w:r w:rsidR="008243CA">
        <w:t xml:space="preserve"> </w:t>
      </w:r>
      <w:r w:rsidRPr="00E62FE6">
        <w:t>of</w:t>
      </w:r>
      <w:r w:rsidR="008243CA">
        <w:t xml:space="preserve"> </w:t>
      </w:r>
      <w:r w:rsidRPr="00E62FE6">
        <w:t>SENAME</w:t>
      </w:r>
      <w:r w:rsidR="008243CA">
        <w:t xml:space="preserve"> </w:t>
      </w:r>
      <w:r w:rsidRPr="00E62FE6">
        <w:t>or</w:t>
      </w:r>
      <w:r w:rsidR="008243CA">
        <w:t xml:space="preserve"> </w:t>
      </w:r>
      <w:r w:rsidRPr="00E62FE6">
        <w:t>of</w:t>
      </w:r>
      <w:r w:rsidR="008243CA">
        <w:t xml:space="preserve"> </w:t>
      </w:r>
      <w:r w:rsidRPr="00E62FE6">
        <w:t>its</w:t>
      </w:r>
      <w:r w:rsidR="008243CA">
        <w:t xml:space="preserve"> </w:t>
      </w:r>
      <w:r w:rsidRPr="00E62FE6">
        <w:t>partner</w:t>
      </w:r>
      <w:r w:rsidR="008243CA">
        <w:t xml:space="preserve"> </w:t>
      </w:r>
      <w:r w:rsidRPr="00E62FE6">
        <w:t>organizations</w:t>
      </w:r>
      <w:r w:rsidR="008243CA">
        <w:t xml:space="preserve"> </w:t>
      </w:r>
      <w:r w:rsidRPr="00E62FE6">
        <w:t>to</w:t>
      </w:r>
      <w:r w:rsidR="008243CA">
        <w:t xml:space="preserve"> </w:t>
      </w:r>
      <w:r w:rsidRPr="00E62FE6">
        <w:t>take</w:t>
      </w:r>
      <w:r w:rsidR="008243CA">
        <w:t xml:space="preserve"> </w:t>
      </w:r>
      <w:r w:rsidRPr="00E62FE6">
        <w:t>reprisals</w:t>
      </w:r>
      <w:r w:rsidR="008243CA">
        <w:t xml:space="preserve"> </w:t>
      </w:r>
      <w:r w:rsidRPr="00E62FE6">
        <w:t>of</w:t>
      </w:r>
      <w:r w:rsidR="008243CA">
        <w:t xml:space="preserve"> </w:t>
      </w:r>
      <w:r w:rsidRPr="00E62FE6">
        <w:t>any</w:t>
      </w:r>
      <w:r w:rsidR="008243CA">
        <w:t xml:space="preserve"> </w:t>
      </w:r>
      <w:r w:rsidRPr="00E62FE6">
        <w:t>kind</w:t>
      </w:r>
      <w:r w:rsidR="008243CA">
        <w:t xml:space="preserve"> </w:t>
      </w:r>
      <w:r w:rsidRPr="00E62FE6">
        <w:t>against</w:t>
      </w:r>
      <w:r w:rsidR="008243CA">
        <w:t xml:space="preserve"> </w:t>
      </w:r>
      <w:r w:rsidRPr="00E62FE6">
        <w:t>those</w:t>
      </w:r>
      <w:r w:rsidR="008243CA">
        <w:t xml:space="preserve"> </w:t>
      </w:r>
      <w:r w:rsidRPr="00E62FE6">
        <w:t>who</w:t>
      </w:r>
      <w:r w:rsidR="008243CA">
        <w:t xml:space="preserve"> </w:t>
      </w:r>
      <w:r w:rsidRPr="00E62FE6">
        <w:t>cooperate</w:t>
      </w:r>
      <w:r w:rsidR="008243CA">
        <w:t xml:space="preserve"> </w:t>
      </w:r>
      <w:r w:rsidRPr="00E62FE6">
        <w:t>with</w:t>
      </w:r>
      <w:r w:rsidR="008243CA">
        <w:t xml:space="preserve"> </w:t>
      </w:r>
      <w:r w:rsidRPr="00E62FE6">
        <w:t>the</w:t>
      </w:r>
      <w:r w:rsidR="008243CA">
        <w:t xml:space="preserve"> </w:t>
      </w:r>
      <w:r w:rsidRPr="00E62FE6">
        <w:t>Subcommittee</w:t>
      </w:r>
      <w:r w:rsidR="008243CA">
        <w:t xml:space="preserve"> </w:t>
      </w:r>
      <w:r w:rsidRPr="00E62FE6">
        <w:t>under</w:t>
      </w:r>
      <w:r w:rsidR="008243CA">
        <w:t xml:space="preserve"> </w:t>
      </w:r>
      <w:r w:rsidRPr="00E62FE6">
        <w:t>the</w:t>
      </w:r>
      <w:r w:rsidR="008243CA">
        <w:t xml:space="preserve"> </w:t>
      </w:r>
      <w:r w:rsidRPr="00E62FE6">
        <w:t>terms</w:t>
      </w:r>
      <w:r w:rsidR="008243CA">
        <w:t xml:space="preserve"> </w:t>
      </w:r>
      <w:r w:rsidRPr="00E62FE6">
        <w:t>of</w:t>
      </w:r>
      <w:r w:rsidR="008243CA">
        <w:t xml:space="preserve"> </w:t>
      </w:r>
      <w:r w:rsidRPr="00E62FE6">
        <w:t>this</w:t>
      </w:r>
      <w:r w:rsidR="008243CA">
        <w:t xml:space="preserve"> </w:t>
      </w:r>
      <w:r w:rsidRPr="00E62FE6">
        <w:t>memorandum.</w:t>
      </w:r>
      <w:r w:rsidR="008243CA">
        <w:t xml:space="preserve"> </w:t>
      </w:r>
      <w:r w:rsidRPr="00E62FE6">
        <w:t>In</w:t>
      </w:r>
      <w:r w:rsidR="008243CA">
        <w:t xml:space="preserve"> </w:t>
      </w:r>
      <w:r w:rsidRPr="00E62FE6">
        <w:t>the</w:t>
      </w:r>
      <w:r w:rsidR="008243CA">
        <w:t xml:space="preserve"> </w:t>
      </w:r>
      <w:r w:rsidRPr="00E62FE6">
        <w:t>event</w:t>
      </w:r>
      <w:r w:rsidR="008243CA">
        <w:t xml:space="preserve"> </w:t>
      </w:r>
      <w:r w:rsidRPr="00E62FE6">
        <w:t>of</w:t>
      </w:r>
      <w:r w:rsidR="008243CA">
        <w:t xml:space="preserve"> </w:t>
      </w:r>
      <w:r w:rsidRPr="00E62FE6">
        <w:t>such</w:t>
      </w:r>
      <w:r w:rsidR="008243CA">
        <w:t xml:space="preserve"> </w:t>
      </w:r>
      <w:r w:rsidRPr="00E62FE6">
        <w:t>conduct,</w:t>
      </w:r>
      <w:r w:rsidR="008243CA">
        <w:t xml:space="preserve"> </w:t>
      </w:r>
      <w:r w:rsidRPr="00E62FE6">
        <w:t>the</w:t>
      </w:r>
      <w:r w:rsidR="008243CA">
        <w:t xml:space="preserve"> </w:t>
      </w:r>
      <w:r w:rsidRPr="00E62FE6">
        <w:t>competent</w:t>
      </w:r>
      <w:r w:rsidR="008243CA">
        <w:t xml:space="preserve"> </w:t>
      </w:r>
      <w:r w:rsidRPr="00E62FE6">
        <w:t>authorities</w:t>
      </w:r>
      <w:r w:rsidR="008243CA">
        <w:t xml:space="preserve"> </w:t>
      </w:r>
      <w:r w:rsidRPr="00E62FE6">
        <w:t>should</w:t>
      </w:r>
      <w:r w:rsidR="008243CA">
        <w:t xml:space="preserve"> </w:t>
      </w:r>
      <w:r w:rsidRPr="00E62FE6">
        <w:t>take</w:t>
      </w:r>
      <w:r w:rsidR="008243CA">
        <w:t xml:space="preserve"> </w:t>
      </w:r>
      <w:r w:rsidRPr="00E62FE6">
        <w:t>urgent</w:t>
      </w:r>
      <w:r w:rsidR="008243CA">
        <w:t xml:space="preserve"> </w:t>
      </w:r>
      <w:r w:rsidRPr="00E62FE6">
        <w:t>action</w:t>
      </w:r>
      <w:r w:rsidR="008243CA">
        <w:t xml:space="preserve"> </w:t>
      </w:r>
      <w:r w:rsidRPr="00E62FE6">
        <w:t>to</w:t>
      </w:r>
      <w:r w:rsidR="008243CA">
        <w:t xml:space="preserve"> </w:t>
      </w:r>
      <w:r w:rsidRPr="00E62FE6">
        <w:t>protect</w:t>
      </w:r>
      <w:r w:rsidR="008243CA">
        <w:t xml:space="preserve"> </w:t>
      </w:r>
      <w:r w:rsidRPr="00E62FE6">
        <w:t>all</w:t>
      </w:r>
      <w:r w:rsidR="008243CA">
        <w:t xml:space="preserve"> </w:t>
      </w:r>
      <w:r w:rsidRPr="00E62FE6">
        <w:t>parties,</w:t>
      </w:r>
      <w:r w:rsidR="008243CA">
        <w:t xml:space="preserve"> </w:t>
      </w:r>
      <w:r w:rsidRPr="00E62FE6">
        <w:t>and</w:t>
      </w:r>
      <w:r w:rsidR="008243CA">
        <w:t xml:space="preserve"> </w:t>
      </w:r>
      <w:r w:rsidRPr="00E62FE6">
        <w:t>should</w:t>
      </w:r>
      <w:r w:rsidR="008243CA">
        <w:t xml:space="preserve"> </w:t>
      </w:r>
      <w:r w:rsidRPr="00E62FE6">
        <w:t>adopt</w:t>
      </w:r>
      <w:r w:rsidR="008243CA">
        <w:t xml:space="preserve"> </w:t>
      </w:r>
      <w:r w:rsidRPr="00E62FE6">
        <w:t>disciplinary</w:t>
      </w:r>
      <w:r w:rsidR="008243CA">
        <w:t xml:space="preserve"> </w:t>
      </w:r>
      <w:r w:rsidRPr="00E62FE6">
        <w:t>measures</w:t>
      </w:r>
      <w:r w:rsidR="008243CA">
        <w:t xml:space="preserve"> </w:t>
      </w:r>
      <w:r w:rsidRPr="00E62FE6">
        <w:t>to</w:t>
      </w:r>
      <w:r w:rsidR="008243CA">
        <w:t xml:space="preserve"> </w:t>
      </w:r>
      <w:r w:rsidRPr="00E62FE6">
        <w:t>determine</w:t>
      </w:r>
      <w:r w:rsidR="008243CA">
        <w:t xml:space="preserve"> </w:t>
      </w:r>
      <w:r w:rsidRPr="00E62FE6">
        <w:t>the</w:t>
      </w:r>
      <w:r w:rsidR="008243CA">
        <w:t xml:space="preserve"> </w:t>
      </w:r>
      <w:r w:rsidRPr="00E62FE6">
        <w:t>responsibility</w:t>
      </w:r>
      <w:r w:rsidR="008243CA">
        <w:t xml:space="preserve"> </w:t>
      </w:r>
      <w:r w:rsidRPr="00E62FE6">
        <w:t>of</w:t>
      </w:r>
      <w:r w:rsidR="008243CA">
        <w:t xml:space="preserve"> </w:t>
      </w:r>
      <w:r w:rsidRPr="00E62FE6">
        <w:t>the</w:t>
      </w:r>
      <w:r w:rsidR="008243CA">
        <w:t xml:space="preserve"> </w:t>
      </w:r>
      <w:r w:rsidRPr="00E62FE6">
        <w:t>officials</w:t>
      </w:r>
      <w:r w:rsidR="008243CA">
        <w:t xml:space="preserve"> </w:t>
      </w:r>
      <w:r w:rsidRPr="00E62FE6">
        <w:t>involved.</w:t>
      </w:r>
      <w:r w:rsidR="00116F0B">
        <w:t>”</w:t>
      </w:r>
    </w:p>
    <w:p w:rsidR="003F7D03" w:rsidRPr="00E62FE6" w:rsidRDefault="003F7D03" w:rsidP="00C76930">
      <w:pPr>
        <w:pStyle w:val="Bullet1G"/>
      </w:pPr>
      <w:r w:rsidRPr="00E62FE6">
        <w:t>Privileges</w:t>
      </w:r>
      <w:r w:rsidR="008243CA">
        <w:t xml:space="preserve"> </w:t>
      </w:r>
      <w:r w:rsidRPr="00E62FE6">
        <w:t>and</w:t>
      </w:r>
      <w:r w:rsidR="008243CA">
        <w:t xml:space="preserve"> </w:t>
      </w:r>
      <w:r w:rsidRPr="00E62FE6">
        <w:t>immunities</w:t>
      </w:r>
      <w:r w:rsidR="008243CA">
        <w:t xml:space="preserve"> </w:t>
      </w:r>
      <w:r w:rsidRPr="00E62FE6">
        <w:t>of</w:t>
      </w:r>
      <w:r w:rsidR="008243CA">
        <w:t xml:space="preserve"> </w:t>
      </w:r>
      <w:r w:rsidRPr="00E62FE6">
        <w:t>the</w:t>
      </w:r>
      <w:r w:rsidR="008243CA">
        <w:t xml:space="preserve"> </w:t>
      </w:r>
      <w:r w:rsidRPr="00E62FE6">
        <w:t>members</w:t>
      </w:r>
      <w:r w:rsidR="008243CA">
        <w:t xml:space="preserve"> </w:t>
      </w:r>
      <w:r w:rsidRPr="00E62FE6">
        <w:t>of</w:t>
      </w:r>
      <w:r w:rsidR="008243CA">
        <w:t xml:space="preserve"> </w:t>
      </w:r>
      <w:r w:rsidRPr="00E62FE6">
        <w:t>the</w:t>
      </w:r>
      <w:r w:rsidR="008243CA">
        <w:t xml:space="preserve"> </w:t>
      </w:r>
      <w:r w:rsidRPr="00E62FE6">
        <w:t>Subcommittee</w:t>
      </w:r>
      <w:r w:rsidR="00422775">
        <w:t>.</w:t>
      </w:r>
    </w:p>
    <w:p w:rsidR="003F7D03" w:rsidRPr="00E62FE6" w:rsidRDefault="003F7D03" w:rsidP="00C76930">
      <w:pPr>
        <w:pStyle w:val="Bullet1G"/>
      </w:pPr>
      <w:r w:rsidRPr="00E62FE6">
        <w:t>Obligations</w:t>
      </w:r>
      <w:r w:rsidR="008243CA">
        <w:t xml:space="preserve"> </w:t>
      </w:r>
      <w:r w:rsidRPr="00E62FE6">
        <w:t>of</w:t>
      </w:r>
      <w:r w:rsidR="008243CA">
        <w:t xml:space="preserve"> </w:t>
      </w:r>
      <w:r w:rsidRPr="00E62FE6">
        <w:t>Chile</w:t>
      </w:r>
      <w:r w:rsidR="008243CA">
        <w:t xml:space="preserve"> </w:t>
      </w:r>
      <w:r w:rsidRPr="00E62FE6">
        <w:t>as</w:t>
      </w:r>
      <w:r w:rsidR="008243CA">
        <w:t xml:space="preserve"> </w:t>
      </w:r>
      <w:r w:rsidRPr="00E62FE6">
        <w:t>a</w:t>
      </w:r>
      <w:r w:rsidR="008243CA">
        <w:t xml:space="preserve"> </w:t>
      </w:r>
      <w:r w:rsidRPr="00E62FE6">
        <w:t>State</w:t>
      </w:r>
      <w:r w:rsidR="008243CA">
        <w:t xml:space="preserve"> </w:t>
      </w:r>
      <w:r w:rsidRPr="00E62FE6">
        <w:t>party</w:t>
      </w:r>
      <w:r w:rsidR="008243CA">
        <w:t xml:space="preserve"> </w:t>
      </w:r>
      <w:r w:rsidRPr="00E62FE6">
        <w:t>to</w:t>
      </w:r>
      <w:r w:rsidR="008243CA">
        <w:t xml:space="preserve"> </w:t>
      </w:r>
      <w:r w:rsidRPr="00E62FE6">
        <w:t>the</w:t>
      </w:r>
      <w:r w:rsidR="008243CA">
        <w:t xml:space="preserve"> </w:t>
      </w:r>
      <w:r w:rsidRPr="00E62FE6">
        <w:t>Optional</w:t>
      </w:r>
      <w:r w:rsidR="008243CA">
        <w:t xml:space="preserve"> </w:t>
      </w:r>
      <w:r w:rsidRPr="00E62FE6">
        <w:t>Protocol</w:t>
      </w:r>
      <w:r w:rsidR="00422775">
        <w:t>.</w:t>
      </w:r>
    </w:p>
    <w:p w:rsidR="003F7D03" w:rsidRPr="00E62FE6" w:rsidRDefault="003F7D03" w:rsidP="00013FC6">
      <w:pPr>
        <w:pStyle w:val="H1G"/>
      </w:pPr>
      <w:bookmarkStart w:id="111" w:name="page45"/>
      <w:bookmarkEnd w:id="111"/>
      <w:r w:rsidRPr="00E62FE6">
        <w:tab/>
      </w:r>
      <w:r w:rsidRPr="00E62FE6">
        <w:tab/>
      </w:r>
      <w:bookmarkStart w:id="112" w:name="_Toc512870705"/>
      <w:bookmarkStart w:id="113" w:name="_Toc512870867"/>
      <w:r w:rsidRPr="00E62FE6">
        <w:t>Monitoring</w:t>
      </w:r>
      <w:bookmarkEnd w:id="112"/>
      <w:bookmarkEnd w:id="113"/>
    </w:p>
    <w:p w:rsidR="003F7D03" w:rsidRPr="00E62FE6" w:rsidRDefault="003F7D03" w:rsidP="000C6D98">
      <w:pPr>
        <w:pStyle w:val="SingleTxtG"/>
      </w:pPr>
      <w:r w:rsidRPr="00E62FE6">
        <w:t>190.</w:t>
      </w:r>
      <w:r w:rsidRPr="00E62FE6">
        <w:tab/>
        <w:t>The</w:t>
      </w:r>
      <w:r w:rsidR="008243CA">
        <w:t xml:space="preserve"> </w:t>
      </w:r>
      <w:r w:rsidRPr="00E62FE6">
        <w:t>report</w:t>
      </w:r>
      <w:r w:rsidR="008243CA">
        <w:t xml:space="preserve"> </w:t>
      </w:r>
      <w:r w:rsidRPr="00E62FE6">
        <w:t>of</w:t>
      </w:r>
      <w:r w:rsidR="008243CA">
        <w:t xml:space="preserve"> </w:t>
      </w:r>
      <w:r w:rsidRPr="00E62FE6">
        <w:t>the</w:t>
      </w:r>
      <w:r w:rsidR="008243CA">
        <w:t xml:space="preserve"> </w:t>
      </w:r>
      <w:r w:rsidRPr="00E62FE6">
        <w:t>Subcommittee</w:t>
      </w:r>
      <w:r w:rsidR="008243CA">
        <w:t xml:space="preserve"> </w:t>
      </w:r>
      <w:r w:rsidRPr="00E62FE6">
        <w:t>reminded</w:t>
      </w:r>
      <w:r w:rsidR="008243CA">
        <w:t xml:space="preserve"> </w:t>
      </w:r>
      <w:r w:rsidRPr="00E62FE6">
        <w:t>the</w:t>
      </w:r>
      <w:r w:rsidR="008243CA">
        <w:t xml:space="preserve"> </w:t>
      </w:r>
      <w:r w:rsidRPr="00E62FE6">
        <w:t>Government,</w:t>
      </w:r>
      <w:r w:rsidR="008243CA">
        <w:t xml:space="preserve"> </w:t>
      </w:r>
      <w:r w:rsidRPr="00E62FE6">
        <w:t>once</w:t>
      </w:r>
      <w:r w:rsidR="008243CA">
        <w:t xml:space="preserve"> </w:t>
      </w:r>
      <w:r w:rsidRPr="00E62FE6">
        <w:t>more,</w:t>
      </w:r>
      <w:r w:rsidR="008243CA">
        <w:t xml:space="preserve"> </w:t>
      </w:r>
      <w:r w:rsidRPr="00E62FE6">
        <w:t>of</w:t>
      </w:r>
      <w:r w:rsidR="008243CA">
        <w:t xml:space="preserve"> </w:t>
      </w:r>
      <w:r w:rsidRPr="00E62FE6">
        <w:t>the</w:t>
      </w:r>
      <w:r w:rsidR="008243CA">
        <w:t xml:space="preserve"> </w:t>
      </w:r>
      <w:r w:rsidRPr="00E62FE6">
        <w:t>debt</w:t>
      </w:r>
      <w:r w:rsidR="008243CA">
        <w:t xml:space="preserve"> </w:t>
      </w:r>
      <w:r w:rsidRPr="00E62FE6">
        <w:t>that</w:t>
      </w:r>
      <w:r w:rsidR="008243CA">
        <w:t xml:space="preserve"> </w:t>
      </w:r>
      <w:r w:rsidRPr="00E62FE6">
        <w:t>it</w:t>
      </w:r>
      <w:r w:rsidR="008243CA">
        <w:t xml:space="preserve"> </w:t>
      </w:r>
      <w:r w:rsidRPr="00E62FE6">
        <w:t>owes</w:t>
      </w:r>
      <w:r w:rsidR="008243CA">
        <w:t xml:space="preserve"> </w:t>
      </w:r>
      <w:r w:rsidRPr="00E62FE6">
        <w:t>in</w:t>
      </w:r>
      <w:r w:rsidR="008243CA">
        <w:t xml:space="preserve"> </w:t>
      </w:r>
      <w:r w:rsidRPr="00E62FE6">
        <w:t>the</w:t>
      </w:r>
      <w:r w:rsidR="008243CA">
        <w:t xml:space="preserve"> </w:t>
      </w:r>
      <w:r w:rsidRPr="00E62FE6">
        <w:t>sphere</w:t>
      </w:r>
      <w:r w:rsidR="008243CA">
        <w:t xml:space="preserve"> </w:t>
      </w:r>
      <w:r w:rsidRPr="00E62FE6">
        <w:t>of</w:t>
      </w:r>
      <w:r w:rsidR="008243CA">
        <w:t xml:space="preserve"> </w:t>
      </w:r>
      <w:r w:rsidRPr="00E62FE6">
        <w:t>torture</w:t>
      </w:r>
      <w:r w:rsidR="008243CA">
        <w:t xml:space="preserve"> </w:t>
      </w:r>
      <w:r w:rsidRPr="00E62FE6">
        <w:t>prevention.</w:t>
      </w:r>
      <w:r w:rsidR="008243CA">
        <w:t xml:space="preserve"> </w:t>
      </w:r>
      <w:r w:rsidRPr="00E62FE6">
        <w:t>The</w:t>
      </w:r>
      <w:r w:rsidR="008243CA">
        <w:t xml:space="preserve"> </w:t>
      </w:r>
      <w:r w:rsidRPr="00E62FE6">
        <w:t>work</w:t>
      </w:r>
      <w:r w:rsidR="008243CA">
        <w:t xml:space="preserve"> </w:t>
      </w:r>
      <w:r w:rsidRPr="00E62FE6">
        <w:t>undertaken</w:t>
      </w:r>
      <w:r w:rsidR="008243CA">
        <w:t xml:space="preserve"> </w:t>
      </w:r>
      <w:r w:rsidRPr="00E62FE6">
        <w:t>after</w:t>
      </w:r>
      <w:r w:rsidR="008243CA">
        <w:t xml:space="preserve"> </w:t>
      </w:r>
      <w:r w:rsidRPr="00E62FE6">
        <w:t>receiving</w:t>
      </w:r>
      <w:r w:rsidR="008243CA">
        <w:t xml:space="preserve"> </w:t>
      </w:r>
      <w:r w:rsidRPr="00E62FE6">
        <w:t>the</w:t>
      </w:r>
      <w:r w:rsidR="008243CA">
        <w:t xml:space="preserve"> </w:t>
      </w:r>
      <w:r w:rsidRPr="00E62FE6">
        <w:t>Subcommittee</w:t>
      </w:r>
      <w:r w:rsidR="00116F0B">
        <w:t>’</w:t>
      </w:r>
      <w:r w:rsidRPr="00E62FE6">
        <w:t>s</w:t>
      </w:r>
      <w:r w:rsidR="008243CA">
        <w:t xml:space="preserve"> </w:t>
      </w:r>
      <w:r w:rsidRPr="00E62FE6">
        <w:t>report</w:t>
      </w:r>
      <w:r w:rsidR="008243CA">
        <w:t xml:space="preserve"> </w:t>
      </w:r>
      <w:r w:rsidRPr="00E62FE6">
        <w:t>will</w:t>
      </w:r>
      <w:r w:rsidR="008243CA">
        <w:t xml:space="preserve"> </w:t>
      </w:r>
      <w:r w:rsidRPr="00E62FE6">
        <w:t>not</w:t>
      </w:r>
      <w:r w:rsidR="008243CA">
        <w:t xml:space="preserve"> </w:t>
      </w:r>
      <w:r w:rsidRPr="00E62FE6">
        <w:t>end</w:t>
      </w:r>
      <w:r w:rsidR="008243CA">
        <w:t xml:space="preserve"> </w:t>
      </w:r>
      <w:r w:rsidRPr="00E62FE6">
        <w:t>with</w:t>
      </w:r>
      <w:r w:rsidR="008243CA">
        <w:t xml:space="preserve"> </w:t>
      </w:r>
      <w:r w:rsidRPr="00E62FE6">
        <w:t>the</w:t>
      </w:r>
      <w:r w:rsidR="008243CA">
        <w:t xml:space="preserve"> </w:t>
      </w:r>
      <w:r w:rsidRPr="00E62FE6">
        <w:t>preparation</w:t>
      </w:r>
      <w:r w:rsidR="008243CA">
        <w:t xml:space="preserve"> </w:t>
      </w:r>
      <w:r w:rsidRPr="00E62FE6">
        <w:t>of</w:t>
      </w:r>
      <w:r w:rsidR="008243CA">
        <w:t xml:space="preserve"> </w:t>
      </w:r>
      <w:r w:rsidRPr="00E62FE6">
        <w:t>these</w:t>
      </w:r>
      <w:r w:rsidR="008243CA">
        <w:t xml:space="preserve"> </w:t>
      </w:r>
      <w:r w:rsidRPr="00E62FE6">
        <w:t>replies;</w:t>
      </w:r>
      <w:r w:rsidR="008243CA">
        <w:t xml:space="preserve"> </w:t>
      </w:r>
      <w:r w:rsidRPr="00E62FE6">
        <w:t>rather,</w:t>
      </w:r>
      <w:r w:rsidR="008243CA">
        <w:t xml:space="preserve"> </w:t>
      </w:r>
      <w:r w:rsidRPr="00E62FE6">
        <w:t>the</w:t>
      </w:r>
      <w:r w:rsidR="008243CA">
        <w:t xml:space="preserve"> </w:t>
      </w:r>
      <w:r w:rsidRPr="00E62FE6">
        <w:t>Government</w:t>
      </w:r>
      <w:r w:rsidR="00116F0B">
        <w:t xml:space="preserve"> </w:t>
      </w:r>
      <w:r w:rsidRPr="00E62FE6">
        <w:t>plans</w:t>
      </w:r>
      <w:r w:rsidR="008243CA">
        <w:t xml:space="preserve"> </w:t>
      </w:r>
      <w:r w:rsidRPr="00E62FE6">
        <w:t>to</w:t>
      </w:r>
      <w:r w:rsidR="008243CA">
        <w:t xml:space="preserve"> </w:t>
      </w:r>
      <w:r w:rsidRPr="00E62FE6">
        <w:t>actively</w:t>
      </w:r>
      <w:r w:rsidR="008243CA">
        <w:t xml:space="preserve"> </w:t>
      </w:r>
      <w:r w:rsidRPr="00E62FE6">
        <w:t>follow</w:t>
      </w:r>
      <w:r w:rsidR="008243CA">
        <w:t xml:space="preserve"> </w:t>
      </w:r>
      <w:r w:rsidRPr="00E62FE6">
        <w:t>up</w:t>
      </w:r>
      <w:r w:rsidR="008243CA">
        <w:t xml:space="preserve"> </w:t>
      </w:r>
      <w:r w:rsidRPr="00E62FE6">
        <w:t>on</w:t>
      </w:r>
      <w:r w:rsidR="008243CA">
        <w:t xml:space="preserve"> </w:t>
      </w:r>
      <w:r w:rsidRPr="00E62FE6">
        <w:t>the</w:t>
      </w:r>
      <w:r w:rsidR="008243CA">
        <w:t xml:space="preserve"> </w:t>
      </w:r>
      <w:r w:rsidRPr="00E62FE6">
        <w:t>process</w:t>
      </w:r>
      <w:r w:rsidR="008243CA">
        <w:t xml:space="preserve"> </w:t>
      </w:r>
      <w:r w:rsidRPr="00E62FE6">
        <w:t>of</w:t>
      </w:r>
      <w:r w:rsidR="008243CA">
        <w:t xml:space="preserve"> </w:t>
      </w:r>
      <w:r w:rsidRPr="00E62FE6">
        <w:t>improving</w:t>
      </w:r>
      <w:r w:rsidR="008243CA">
        <w:t xml:space="preserve"> </w:t>
      </w:r>
      <w:r w:rsidRPr="00E62FE6">
        <w:t>the</w:t>
      </w:r>
      <w:r w:rsidR="008243CA">
        <w:t xml:space="preserve"> </w:t>
      </w:r>
      <w:r w:rsidRPr="00E62FE6">
        <w:t>living</w:t>
      </w:r>
      <w:r w:rsidR="008243CA">
        <w:t xml:space="preserve"> </w:t>
      </w:r>
      <w:r w:rsidRPr="00E62FE6">
        <w:t>conditions</w:t>
      </w:r>
      <w:r w:rsidR="008243CA">
        <w:t xml:space="preserve"> </w:t>
      </w:r>
      <w:r w:rsidRPr="00E62FE6">
        <w:t>of</w:t>
      </w:r>
      <w:r w:rsidR="008243CA">
        <w:t xml:space="preserve"> </w:t>
      </w:r>
      <w:r w:rsidRPr="00E62FE6">
        <w:t>persons</w:t>
      </w:r>
      <w:r w:rsidR="008243CA">
        <w:t xml:space="preserve"> </w:t>
      </w:r>
      <w:r w:rsidRPr="00E62FE6">
        <w:t>deprived</w:t>
      </w:r>
      <w:r w:rsidR="008243CA">
        <w:t xml:space="preserve"> </w:t>
      </w:r>
      <w:r w:rsidRPr="00E62FE6">
        <w:t>of</w:t>
      </w:r>
      <w:r w:rsidR="008243CA">
        <w:t xml:space="preserve"> </w:t>
      </w:r>
      <w:r w:rsidRPr="00E62FE6">
        <w:t>their</w:t>
      </w:r>
      <w:r w:rsidR="008243CA">
        <w:t xml:space="preserve"> </w:t>
      </w:r>
      <w:r w:rsidRPr="00E62FE6">
        <w:t>liberty.</w:t>
      </w:r>
    </w:p>
    <w:p w:rsidR="003F7D03" w:rsidRPr="00E62FE6" w:rsidRDefault="003F7D03" w:rsidP="000C6D98">
      <w:pPr>
        <w:pStyle w:val="SingleTxtG"/>
      </w:pPr>
      <w:r w:rsidRPr="00E62FE6">
        <w:t>191.</w:t>
      </w:r>
      <w:r w:rsidRPr="00E62FE6">
        <w:tab/>
        <w:t>By</w:t>
      </w:r>
      <w:r w:rsidR="008243CA">
        <w:t xml:space="preserve"> </w:t>
      </w:r>
      <w:r w:rsidRPr="00E62FE6">
        <w:t>allowing</w:t>
      </w:r>
      <w:r w:rsidR="008243CA">
        <w:t xml:space="preserve"> </w:t>
      </w:r>
      <w:r w:rsidRPr="00E62FE6">
        <w:t>the</w:t>
      </w:r>
      <w:r w:rsidR="008243CA">
        <w:t xml:space="preserve"> </w:t>
      </w:r>
      <w:r w:rsidRPr="00E62FE6">
        <w:t>competent</w:t>
      </w:r>
      <w:r w:rsidR="008243CA">
        <w:t xml:space="preserve"> </w:t>
      </w:r>
      <w:r w:rsidRPr="00E62FE6">
        <w:t>authorities</w:t>
      </w:r>
      <w:r w:rsidR="008243CA">
        <w:t xml:space="preserve"> </w:t>
      </w:r>
      <w:r w:rsidRPr="00E62FE6">
        <w:t>to</w:t>
      </w:r>
      <w:r w:rsidR="008243CA">
        <w:t xml:space="preserve"> </w:t>
      </w:r>
      <w:r w:rsidRPr="00E62FE6">
        <w:t>set</w:t>
      </w:r>
      <w:r w:rsidR="008243CA">
        <w:t xml:space="preserve"> </w:t>
      </w:r>
      <w:r w:rsidRPr="00E62FE6">
        <w:t>the</w:t>
      </w:r>
      <w:r w:rsidR="008243CA">
        <w:t xml:space="preserve"> </w:t>
      </w:r>
      <w:r w:rsidRPr="00E62FE6">
        <w:t>time</w:t>
      </w:r>
      <w:r w:rsidR="008243CA">
        <w:t xml:space="preserve"> </w:t>
      </w:r>
      <w:r w:rsidRPr="00E62FE6">
        <w:t>frame</w:t>
      </w:r>
      <w:r w:rsidR="008243CA">
        <w:t xml:space="preserve"> </w:t>
      </w:r>
      <w:r w:rsidRPr="00E62FE6">
        <w:t>for</w:t>
      </w:r>
      <w:r w:rsidR="008243CA">
        <w:t xml:space="preserve"> </w:t>
      </w:r>
      <w:r w:rsidRPr="00E62FE6">
        <w:t>implementing</w:t>
      </w:r>
      <w:r w:rsidR="008243CA">
        <w:t xml:space="preserve"> </w:t>
      </w:r>
      <w:r w:rsidRPr="00E62FE6">
        <w:t>the</w:t>
      </w:r>
      <w:r w:rsidR="008243CA">
        <w:t xml:space="preserve"> </w:t>
      </w:r>
      <w:r w:rsidRPr="00E62FE6">
        <w:t>measures</w:t>
      </w:r>
      <w:r w:rsidR="008243CA">
        <w:t xml:space="preserve"> </w:t>
      </w:r>
      <w:r w:rsidRPr="00E62FE6">
        <w:t>described</w:t>
      </w:r>
      <w:r w:rsidR="008243CA">
        <w:t xml:space="preserve"> </w:t>
      </w:r>
      <w:r w:rsidRPr="00E62FE6">
        <w:t>in</w:t>
      </w:r>
      <w:r w:rsidR="008243CA">
        <w:t xml:space="preserve"> </w:t>
      </w:r>
      <w:r w:rsidRPr="00E62FE6">
        <w:t>this</w:t>
      </w:r>
      <w:r w:rsidR="008243CA">
        <w:t xml:space="preserve"> </w:t>
      </w:r>
      <w:r w:rsidRPr="00E62FE6">
        <w:t>report,</w:t>
      </w:r>
      <w:r w:rsidR="008243CA">
        <w:t xml:space="preserve"> </w:t>
      </w:r>
      <w:r w:rsidRPr="00E62FE6">
        <w:t>the</w:t>
      </w:r>
      <w:r w:rsidR="008243CA">
        <w:t xml:space="preserve"> </w:t>
      </w:r>
      <w:r w:rsidRPr="00E62FE6">
        <w:t>Government</w:t>
      </w:r>
      <w:r w:rsidR="00116F0B">
        <w:t>’</w:t>
      </w:r>
      <w:r w:rsidRPr="00E62FE6">
        <w:t>s</w:t>
      </w:r>
      <w:r w:rsidR="008243CA">
        <w:t xml:space="preserve"> </w:t>
      </w:r>
      <w:r w:rsidRPr="00E62FE6">
        <w:t>aims</w:t>
      </w:r>
      <w:r w:rsidR="008243CA">
        <w:t xml:space="preserve"> </w:t>
      </w:r>
      <w:r w:rsidRPr="00E62FE6">
        <w:t>were</w:t>
      </w:r>
      <w:r w:rsidR="008243CA">
        <w:t xml:space="preserve"> </w:t>
      </w:r>
      <w:r w:rsidRPr="00E62FE6">
        <w:t>to</w:t>
      </w:r>
      <w:r w:rsidR="008243CA">
        <w:t xml:space="preserve"> </w:t>
      </w:r>
      <w:r w:rsidRPr="00E62FE6">
        <w:t>more</w:t>
      </w:r>
      <w:r w:rsidR="008243CA">
        <w:t xml:space="preserve"> </w:t>
      </w:r>
      <w:r w:rsidRPr="00E62FE6">
        <w:t>realistically</w:t>
      </w:r>
      <w:r w:rsidR="008243CA">
        <w:t xml:space="preserve"> </w:t>
      </w:r>
      <w:r w:rsidRPr="00E62FE6">
        <w:t>describe</w:t>
      </w:r>
      <w:r w:rsidR="008243CA">
        <w:t xml:space="preserve"> </w:t>
      </w:r>
      <w:r w:rsidRPr="00E62FE6">
        <w:t>the</w:t>
      </w:r>
      <w:r w:rsidR="008243CA">
        <w:t xml:space="preserve"> </w:t>
      </w:r>
      <w:r w:rsidRPr="00E62FE6">
        <w:t>actions</w:t>
      </w:r>
      <w:r w:rsidR="008243CA">
        <w:t xml:space="preserve"> </w:t>
      </w:r>
      <w:r w:rsidRPr="00E62FE6">
        <w:t>being</w:t>
      </w:r>
      <w:r w:rsidR="008243CA">
        <w:t xml:space="preserve"> </w:t>
      </w:r>
      <w:r w:rsidRPr="00E62FE6">
        <w:t>taken</w:t>
      </w:r>
      <w:r w:rsidR="008243CA">
        <w:t xml:space="preserve"> </w:t>
      </w:r>
      <w:r w:rsidRPr="00E62FE6">
        <w:t>and</w:t>
      </w:r>
      <w:r w:rsidR="008243CA">
        <w:t xml:space="preserve"> </w:t>
      </w:r>
      <w:r w:rsidRPr="00E62FE6">
        <w:t>to</w:t>
      </w:r>
      <w:r w:rsidR="008243CA">
        <w:t xml:space="preserve"> </w:t>
      </w:r>
      <w:r w:rsidRPr="00E62FE6">
        <w:t>give</w:t>
      </w:r>
      <w:r w:rsidR="008243CA">
        <w:t xml:space="preserve"> </w:t>
      </w:r>
      <w:r w:rsidRPr="00E62FE6">
        <w:t>continuity</w:t>
      </w:r>
      <w:r w:rsidR="008243CA">
        <w:t xml:space="preserve"> </w:t>
      </w:r>
      <w:r w:rsidRPr="00E62FE6">
        <w:t>to</w:t>
      </w:r>
      <w:r w:rsidR="008243CA">
        <w:t xml:space="preserve"> </w:t>
      </w:r>
      <w:r w:rsidRPr="00E62FE6">
        <w:t>the</w:t>
      </w:r>
      <w:r w:rsidR="008243CA">
        <w:t xml:space="preserve"> </w:t>
      </w:r>
      <w:proofErr w:type="spellStart"/>
      <w:r w:rsidRPr="00E62FE6">
        <w:t>interministerial</w:t>
      </w:r>
      <w:proofErr w:type="spellEnd"/>
      <w:r w:rsidR="008243CA">
        <w:t xml:space="preserve"> </w:t>
      </w:r>
      <w:r w:rsidRPr="00E62FE6">
        <w:t>working</w:t>
      </w:r>
      <w:r w:rsidR="008243CA">
        <w:t xml:space="preserve"> </w:t>
      </w:r>
      <w:r w:rsidRPr="00E62FE6">
        <w:t>group</w:t>
      </w:r>
      <w:r w:rsidR="008243CA">
        <w:t xml:space="preserve"> </w:t>
      </w:r>
      <w:r w:rsidRPr="00E62FE6">
        <w:t>as</w:t>
      </w:r>
      <w:r w:rsidR="008243CA">
        <w:t xml:space="preserve"> </w:t>
      </w:r>
      <w:r w:rsidRPr="00E62FE6">
        <w:t>a</w:t>
      </w:r>
      <w:r w:rsidR="008243CA">
        <w:t xml:space="preserve"> </w:t>
      </w:r>
      <w:r w:rsidRPr="00E62FE6">
        <w:t>body</w:t>
      </w:r>
      <w:r w:rsidR="008243CA">
        <w:t xml:space="preserve"> </w:t>
      </w:r>
      <w:r w:rsidRPr="00E62FE6">
        <w:t>charged</w:t>
      </w:r>
      <w:r w:rsidR="008243CA">
        <w:t xml:space="preserve"> </w:t>
      </w:r>
      <w:r w:rsidRPr="00E62FE6">
        <w:t>with</w:t>
      </w:r>
      <w:r w:rsidR="008243CA">
        <w:t xml:space="preserve"> </w:t>
      </w:r>
      <w:r w:rsidRPr="00E62FE6">
        <w:t>coordinating</w:t>
      </w:r>
      <w:r w:rsidR="008243CA">
        <w:t xml:space="preserve"> </w:t>
      </w:r>
      <w:r w:rsidRPr="00E62FE6">
        <w:t>and</w:t>
      </w:r>
      <w:r w:rsidR="008243CA">
        <w:t xml:space="preserve"> </w:t>
      </w:r>
      <w:r w:rsidRPr="00E62FE6">
        <w:t>monitoring</w:t>
      </w:r>
      <w:r w:rsidR="008243CA">
        <w:t xml:space="preserve"> </w:t>
      </w:r>
      <w:r w:rsidRPr="00E62FE6">
        <w:t>compliance</w:t>
      </w:r>
      <w:r w:rsidR="008243CA">
        <w:t xml:space="preserve"> </w:t>
      </w:r>
      <w:r w:rsidRPr="00E62FE6">
        <w:t>with</w:t>
      </w:r>
      <w:r w:rsidR="008243CA">
        <w:t xml:space="preserve"> </w:t>
      </w:r>
      <w:r w:rsidRPr="00E62FE6">
        <w:t>the</w:t>
      </w:r>
      <w:r w:rsidR="008243CA">
        <w:t xml:space="preserve"> </w:t>
      </w:r>
      <w:proofErr w:type="spellStart"/>
      <w:r w:rsidRPr="00E62FE6">
        <w:t>workplan</w:t>
      </w:r>
      <w:proofErr w:type="spellEnd"/>
      <w:r w:rsidR="008243CA">
        <w:t xml:space="preserve"> </w:t>
      </w:r>
      <w:r w:rsidRPr="00E62FE6">
        <w:t>developed</w:t>
      </w:r>
      <w:r w:rsidR="008243CA">
        <w:t xml:space="preserve"> </w:t>
      </w:r>
      <w:r w:rsidRPr="00E62FE6">
        <w:t>jointly</w:t>
      </w:r>
      <w:r w:rsidR="008243CA">
        <w:t xml:space="preserve"> </w:t>
      </w:r>
      <w:r w:rsidRPr="00E62FE6">
        <w:t>for</w:t>
      </w:r>
      <w:r w:rsidR="008243CA">
        <w:t xml:space="preserve"> </w:t>
      </w:r>
      <w:r w:rsidRPr="00E62FE6">
        <w:t>the</w:t>
      </w:r>
      <w:r w:rsidR="008243CA">
        <w:t xml:space="preserve"> </w:t>
      </w:r>
      <w:r w:rsidRPr="00E62FE6">
        <w:t>fulfilment</w:t>
      </w:r>
      <w:r w:rsidR="008243CA">
        <w:t xml:space="preserve"> </w:t>
      </w:r>
      <w:r w:rsidRPr="00E62FE6">
        <w:t>of</w:t>
      </w:r>
      <w:r w:rsidR="008243CA">
        <w:t xml:space="preserve"> </w:t>
      </w:r>
      <w:r w:rsidRPr="00E62FE6">
        <w:t>the</w:t>
      </w:r>
      <w:r w:rsidR="008243CA">
        <w:t xml:space="preserve"> </w:t>
      </w:r>
      <w:r w:rsidRPr="00E62FE6">
        <w:t>recommendations.</w:t>
      </w:r>
    </w:p>
    <w:p w:rsidR="003F7D03" w:rsidRPr="00E62FE6" w:rsidRDefault="003F7D03" w:rsidP="000C6D98">
      <w:pPr>
        <w:pStyle w:val="SingleTxtG"/>
      </w:pPr>
      <w:r w:rsidRPr="00E62FE6">
        <w:t>192.</w:t>
      </w:r>
      <w:r w:rsidRPr="00E62FE6">
        <w:tab/>
        <w:t>In</w:t>
      </w:r>
      <w:r w:rsidR="008243CA">
        <w:t xml:space="preserve"> </w:t>
      </w:r>
      <w:r w:rsidRPr="00E62FE6">
        <w:t>this</w:t>
      </w:r>
      <w:r w:rsidR="008243CA">
        <w:t xml:space="preserve"> </w:t>
      </w:r>
      <w:r w:rsidRPr="00E62FE6">
        <w:t>context,</w:t>
      </w:r>
      <w:r w:rsidR="008243CA">
        <w:t xml:space="preserve"> </w:t>
      </w:r>
      <w:r w:rsidRPr="00E62FE6">
        <w:t>the</w:t>
      </w:r>
      <w:r w:rsidR="008243CA">
        <w:t xml:space="preserve"> </w:t>
      </w:r>
      <w:r w:rsidRPr="00E62FE6">
        <w:t>health</w:t>
      </w:r>
      <w:r w:rsidR="008243CA">
        <w:t xml:space="preserve"> </w:t>
      </w:r>
      <w:r w:rsidRPr="00E62FE6">
        <w:t>subcommittee</w:t>
      </w:r>
      <w:r w:rsidR="008243CA">
        <w:t xml:space="preserve"> </w:t>
      </w:r>
      <w:r w:rsidRPr="00E62FE6">
        <w:t>will</w:t>
      </w:r>
      <w:r w:rsidR="008243CA">
        <w:t xml:space="preserve"> </w:t>
      </w:r>
      <w:r w:rsidRPr="00E62FE6">
        <w:t>continue</w:t>
      </w:r>
      <w:r w:rsidR="008243CA">
        <w:t xml:space="preserve"> </w:t>
      </w:r>
      <w:r w:rsidRPr="00E62FE6">
        <w:t>its</w:t>
      </w:r>
      <w:r w:rsidR="008243CA">
        <w:t xml:space="preserve"> </w:t>
      </w:r>
      <w:r w:rsidRPr="00E62FE6">
        <w:t>work</w:t>
      </w:r>
      <w:r w:rsidR="008243CA">
        <w:t xml:space="preserve"> </w:t>
      </w:r>
      <w:r w:rsidRPr="00E62FE6">
        <w:t>with</w:t>
      </w:r>
      <w:r w:rsidR="008243CA">
        <w:t xml:space="preserve"> </w:t>
      </w:r>
      <w:r w:rsidRPr="00E62FE6">
        <w:t>the</w:t>
      </w:r>
      <w:r w:rsidR="008243CA">
        <w:t xml:space="preserve"> </w:t>
      </w:r>
      <w:r w:rsidRPr="00E62FE6">
        <w:t>aim</w:t>
      </w:r>
      <w:r w:rsidR="008243CA">
        <w:t xml:space="preserve"> </w:t>
      </w:r>
      <w:r w:rsidRPr="00E62FE6">
        <w:t>of</w:t>
      </w:r>
      <w:r w:rsidR="008243CA">
        <w:t xml:space="preserve"> </w:t>
      </w:r>
      <w:r w:rsidRPr="00E62FE6">
        <w:t>developing,</w:t>
      </w:r>
      <w:r w:rsidR="008243CA">
        <w:t xml:space="preserve"> </w:t>
      </w:r>
      <w:r w:rsidRPr="00E62FE6">
        <w:t>during</w:t>
      </w:r>
      <w:r w:rsidR="008243CA">
        <w:t xml:space="preserve"> </w:t>
      </w:r>
      <w:r w:rsidRPr="00E62FE6">
        <w:t>2017,</w:t>
      </w:r>
      <w:r w:rsidR="008243CA">
        <w:t xml:space="preserve"> </w:t>
      </w:r>
      <w:r w:rsidRPr="00E62FE6">
        <w:t>a</w:t>
      </w:r>
      <w:r w:rsidR="008243CA">
        <w:t xml:space="preserve"> </w:t>
      </w:r>
      <w:r w:rsidRPr="00E62FE6">
        <w:t>framework</w:t>
      </w:r>
      <w:r w:rsidR="008243CA">
        <w:t xml:space="preserve"> </w:t>
      </w:r>
      <w:r w:rsidRPr="00E62FE6">
        <w:t>agreement</w:t>
      </w:r>
      <w:r w:rsidR="008243CA">
        <w:t xml:space="preserve"> </w:t>
      </w:r>
      <w:r w:rsidRPr="00E62FE6">
        <w:t>with</w:t>
      </w:r>
      <w:r w:rsidR="008243CA">
        <w:t xml:space="preserve"> </w:t>
      </w:r>
      <w:r w:rsidRPr="00E62FE6">
        <w:t>SENAME</w:t>
      </w:r>
      <w:r w:rsidR="008243CA">
        <w:t xml:space="preserve"> </w:t>
      </w:r>
      <w:r w:rsidRPr="00E62FE6">
        <w:t>similar</w:t>
      </w:r>
      <w:r w:rsidR="008243CA">
        <w:t xml:space="preserve"> </w:t>
      </w:r>
      <w:r w:rsidRPr="00E62FE6">
        <w:t>to</w:t>
      </w:r>
      <w:r w:rsidR="008243CA">
        <w:t xml:space="preserve"> </w:t>
      </w:r>
      <w:r w:rsidRPr="00E62FE6">
        <w:t>the</w:t>
      </w:r>
      <w:r w:rsidR="008243CA">
        <w:t xml:space="preserve"> </w:t>
      </w:r>
      <w:r w:rsidRPr="00E62FE6">
        <w:t>existing</w:t>
      </w:r>
      <w:r w:rsidR="008243CA">
        <w:t xml:space="preserve"> </w:t>
      </w:r>
      <w:r w:rsidRPr="00E62FE6">
        <w:t>agreement</w:t>
      </w:r>
      <w:r w:rsidR="008243CA">
        <w:t xml:space="preserve"> </w:t>
      </w:r>
      <w:r w:rsidRPr="00E62FE6">
        <w:t>between</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Justice</w:t>
      </w:r>
      <w:r w:rsidR="008243CA">
        <w:t xml:space="preserve"> </w:t>
      </w:r>
      <w:r w:rsidRPr="00E62FE6">
        <w:t>and</w:t>
      </w:r>
      <w:r w:rsidR="008243CA">
        <w:t xml:space="preserve"> </w:t>
      </w:r>
      <w:r w:rsidRPr="00E62FE6">
        <w:t>Human</w:t>
      </w:r>
      <w:r w:rsidR="008243CA">
        <w:t xml:space="preserve"> </w:t>
      </w:r>
      <w:r w:rsidRPr="00E62FE6">
        <w:t>Rights,</w:t>
      </w:r>
      <w:r w:rsidR="008243CA">
        <w:t xml:space="preserve"> </w:t>
      </w:r>
      <w:r w:rsidRPr="00E62FE6">
        <w:t>the</w:t>
      </w:r>
      <w:r w:rsidR="008243CA">
        <w:t xml:space="preserve"> </w:t>
      </w:r>
      <w:r w:rsidRPr="00E62FE6">
        <w:t>Ministry</w:t>
      </w:r>
      <w:r w:rsidR="008243CA">
        <w:t xml:space="preserve"> </w:t>
      </w:r>
      <w:r w:rsidRPr="00E62FE6">
        <w:t>of</w:t>
      </w:r>
      <w:r w:rsidR="008243CA">
        <w:t xml:space="preserve"> </w:t>
      </w:r>
      <w:r w:rsidRPr="00E62FE6">
        <w:t>Health,</w:t>
      </w:r>
      <w:r w:rsidR="008243CA">
        <w:t xml:space="preserve"> </w:t>
      </w:r>
      <w:r w:rsidRPr="00E62FE6">
        <w:t>the</w:t>
      </w:r>
      <w:r w:rsidR="008243CA">
        <w:t xml:space="preserve"> </w:t>
      </w:r>
      <w:r w:rsidRPr="00E62FE6">
        <w:t>Prison</w:t>
      </w:r>
      <w:r w:rsidR="008243CA">
        <w:t xml:space="preserve"> </w:t>
      </w:r>
      <w:r w:rsidRPr="00E62FE6">
        <w:t>Service,</w:t>
      </w:r>
      <w:r w:rsidR="008243CA">
        <w:t xml:space="preserve"> </w:t>
      </w:r>
      <w:r w:rsidRPr="00E62FE6">
        <w:t>the</w:t>
      </w:r>
      <w:r w:rsidR="008243CA">
        <w:t xml:space="preserve"> </w:t>
      </w:r>
      <w:r w:rsidRPr="00E62FE6">
        <w:t>National</w:t>
      </w:r>
      <w:r w:rsidR="008243CA">
        <w:t xml:space="preserve"> </w:t>
      </w:r>
      <w:r w:rsidRPr="00E62FE6">
        <w:t>Health</w:t>
      </w:r>
      <w:r w:rsidR="008243CA">
        <w:t xml:space="preserve"> </w:t>
      </w:r>
      <w:r w:rsidRPr="00E62FE6">
        <w:t>Fund</w:t>
      </w:r>
      <w:r w:rsidR="008243CA">
        <w:t xml:space="preserve"> </w:t>
      </w:r>
      <w:r w:rsidRPr="00E62FE6">
        <w:t>and</w:t>
      </w:r>
      <w:r w:rsidR="008243CA">
        <w:t xml:space="preserve"> </w:t>
      </w:r>
      <w:r w:rsidRPr="00E62FE6">
        <w:t>the</w:t>
      </w:r>
      <w:r w:rsidR="008243CA">
        <w:t xml:space="preserve"> </w:t>
      </w:r>
      <w:r w:rsidRPr="00E62FE6">
        <w:t>Office</w:t>
      </w:r>
      <w:r w:rsidR="008243CA">
        <w:t xml:space="preserve"> </w:t>
      </w:r>
      <w:r w:rsidRPr="00E62FE6">
        <w:t>of</w:t>
      </w:r>
      <w:r w:rsidR="008243CA">
        <w:t xml:space="preserve"> </w:t>
      </w:r>
      <w:r w:rsidRPr="00E62FE6">
        <w:t>the</w:t>
      </w:r>
      <w:r w:rsidR="008243CA">
        <w:t xml:space="preserve"> </w:t>
      </w:r>
      <w:r w:rsidRPr="00E62FE6">
        <w:t>Superintendent</w:t>
      </w:r>
      <w:r w:rsidR="008243CA">
        <w:t xml:space="preserve"> </w:t>
      </w:r>
      <w:r w:rsidRPr="00E62FE6">
        <w:t>of</w:t>
      </w:r>
      <w:r w:rsidR="008243CA">
        <w:t xml:space="preserve"> </w:t>
      </w:r>
      <w:r w:rsidRPr="00E62FE6">
        <w:t>Health.</w:t>
      </w:r>
      <w:r w:rsidR="008243CA">
        <w:t xml:space="preserve"> </w:t>
      </w:r>
      <w:r w:rsidRPr="00E62FE6">
        <w:t>This</w:t>
      </w:r>
      <w:r w:rsidR="008243CA">
        <w:t xml:space="preserve"> </w:t>
      </w:r>
      <w:r w:rsidRPr="00E62FE6">
        <w:t>will</w:t>
      </w:r>
      <w:r w:rsidR="008243CA">
        <w:t xml:space="preserve"> </w:t>
      </w:r>
      <w:r w:rsidRPr="00E62FE6">
        <w:t>allow</w:t>
      </w:r>
      <w:r w:rsidR="008243CA">
        <w:t xml:space="preserve"> </w:t>
      </w:r>
      <w:r w:rsidRPr="00E62FE6">
        <w:t>all</w:t>
      </w:r>
      <w:r w:rsidR="008243CA">
        <w:t xml:space="preserve"> </w:t>
      </w:r>
      <w:r w:rsidRPr="00E62FE6">
        <w:t>necessary</w:t>
      </w:r>
      <w:r w:rsidR="008243CA">
        <w:t xml:space="preserve"> </w:t>
      </w:r>
      <w:r w:rsidRPr="00E62FE6">
        <w:t>efforts</w:t>
      </w:r>
      <w:r w:rsidR="008243CA">
        <w:t xml:space="preserve"> </w:t>
      </w:r>
      <w:r w:rsidRPr="00E62FE6">
        <w:t>to</w:t>
      </w:r>
      <w:r w:rsidR="008243CA">
        <w:t xml:space="preserve"> </w:t>
      </w:r>
      <w:r w:rsidRPr="00E62FE6">
        <w:t>be</w:t>
      </w:r>
      <w:r w:rsidR="008243CA">
        <w:t xml:space="preserve"> </w:t>
      </w:r>
      <w:r w:rsidRPr="00E62FE6">
        <w:t>channelled</w:t>
      </w:r>
      <w:r w:rsidR="008243CA">
        <w:t xml:space="preserve"> </w:t>
      </w:r>
      <w:r w:rsidRPr="00E62FE6">
        <w:t>to</w:t>
      </w:r>
      <w:r w:rsidR="008243CA">
        <w:t xml:space="preserve"> </w:t>
      </w:r>
      <w:r w:rsidRPr="00E62FE6">
        <w:t>the</w:t>
      </w:r>
      <w:r w:rsidR="008243CA">
        <w:t xml:space="preserve"> </w:t>
      </w:r>
      <w:r w:rsidRPr="00E62FE6">
        <w:t>provision</w:t>
      </w:r>
      <w:r w:rsidR="008243CA">
        <w:t xml:space="preserve"> </w:t>
      </w:r>
      <w:r w:rsidRPr="00E62FE6">
        <w:t>of</w:t>
      </w:r>
      <w:r w:rsidR="008243CA">
        <w:t xml:space="preserve"> </w:t>
      </w:r>
      <w:r w:rsidRPr="00E62FE6">
        <w:t>health</w:t>
      </w:r>
      <w:r w:rsidR="008243CA">
        <w:t xml:space="preserve"> </w:t>
      </w:r>
      <w:r w:rsidRPr="00E62FE6">
        <w:t>care</w:t>
      </w:r>
      <w:r w:rsidR="008243CA">
        <w:t xml:space="preserve"> </w:t>
      </w:r>
      <w:r w:rsidRPr="00E62FE6">
        <w:t>for</w:t>
      </w:r>
      <w:r w:rsidR="008243CA">
        <w:t xml:space="preserve"> </w:t>
      </w:r>
      <w:r w:rsidRPr="00E62FE6">
        <w:t>the</w:t>
      </w:r>
      <w:r w:rsidR="008243CA">
        <w:t xml:space="preserve"> </w:t>
      </w:r>
      <w:r w:rsidRPr="00E62FE6">
        <w:t>most</w:t>
      </w:r>
      <w:r w:rsidR="008243CA">
        <w:t xml:space="preserve"> </w:t>
      </w:r>
      <w:r w:rsidRPr="00E62FE6">
        <w:t>vulnerable</w:t>
      </w:r>
      <w:r w:rsidR="008243CA">
        <w:t xml:space="preserve"> </w:t>
      </w:r>
      <w:r w:rsidRPr="00E62FE6">
        <w:t>children</w:t>
      </w:r>
      <w:r w:rsidR="008243CA">
        <w:t xml:space="preserve"> </w:t>
      </w:r>
      <w:r w:rsidRPr="00E62FE6">
        <w:t>and</w:t>
      </w:r>
      <w:r w:rsidR="008243CA">
        <w:t xml:space="preserve"> </w:t>
      </w:r>
      <w:r w:rsidRPr="00E62FE6">
        <w:t>adolescents.</w:t>
      </w:r>
    </w:p>
    <w:p w:rsidR="003F7D03" w:rsidRPr="00E62FE6" w:rsidRDefault="003F7D03" w:rsidP="000C6D98">
      <w:pPr>
        <w:pStyle w:val="SingleTxtG"/>
      </w:pPr>
      <w:r w:rsidRPr="00E62FE6">
        <w:t>193.</w:t>
      </w:r>
      <w:r w:rsidRPr="00E62FE6">
        <w:tab/>
        <w:t>The</w:t>
      </w:r>
      <w:r w:rsidR="008243CA">
        <w:t xml:space="preserve"> </w:t>
      </w:r>
      <w:r w:rsidRPr="00E62FE6">
        <w:t>Office</w:t>
      </w:r>
      <w:r w:rsidR="008243CA">
        <w:t xml:space="preserve"> </w:t>
      </w:r>
      <w:r w:rsidRPr="00E62FE6">
        <w:t>of</w:t>
      </w:r>
      <w:r w:rsidR="008243CA">
        <w:t xml:space="preserve"> </w:t>
      </w:r>
      <w:r w:rsidRPr="00E62FE6">
        <w:t>the</w:t>
      </w:r>
      <w:r w:rsidR="008243CA">
        <w:t xml:space="preserve"> </w:t>
      </w:r>
      <w:r w:rsidRPr="00E62FE6">
        <w:t>Under-Secretary</w:t>
      </w:r>
      <w:r w:rsidR="008243CA">
        <w:t xml:space="preserve"> </w:t>
      </w:r>
      <w:r w:rsidRPr="00E62FE6">
        <w:t>for</w:t>
      </w:r>
      <w:r w:rsidR="008243CA">
        <w:t xml:space="preserve"> </w:t>
      </w:r>
      <w:r w:rsidRPr="00E62FE6">
        <w:t>Human</w:t>
      </w:r>
      <w:r w:rsidR="008243CA">
        <w:t xml:space="preserve"> </w:t>
      </w:r>
      <w:r w:rsidRPr="00E62FE6">
        <w:t>Rights</w:t>
      </w:r>
      <w:r w:rsidR="008243CA">
        <w:t xml:space="preserve"> </w:t>
      </w:r>
      <w:r w:rsidRPr="00E62FE6">
        <w:t>will</w:t>
      </w:r>
      <w:r w:rsidR="008243CA">
        <w:t xml:space="preserve"> </w:t>
      </w:r>
      <w:r w:rsidRPr="00E62FE6">
        <w:t>assume</w:t>
      </w:r>
      <w:r w:rsidR="008243CA">
        <w:t xml:space="preserve"> </w:t>
      </w:r>
      <w:r w:rsidRPr="00E62FE6">
        <w:t>its</w:t>
      </w:r>
      <w:r w:rsidR="008243CA">
        <w:t xml:space="preserve"> </w:t>
      </w:r>
      <w:r w:rsidRPr="00E62FE6">
        <w:t>functions</w:t>
      </w:r>
      <w:r w:rsidR="008243CA">
        <w:t xml:space="preserve"> </w:t>
      </w:r>
      <w:r w:rsidRPr="00E62FE6">
        <w:t>in</w:t>
      </w:r>
      <w:r w:rsidR="008243CA">
        <w:t xml:space="preserve"> </w:t>
      </w:r>
      <w:r w:rsidRPr="00E62FE6">
        <w:t>January</w:t>
      </w:r>
      <w:r w:rsidR="008243CA">
        <w:t xml:space="preserve"> </w:t>
      </w:r>
      <w:r w:rsidRPr="00E62FE6">
        <w:t>2017</w:t>
      </w:r>
      <w:r w:rsidR="008243CA">
        <w:t xml:space="preserve"> </w:t>
      </w:r>
      <w:r w:rsidRPr="00E62FE6">
        <w:t>and</w:t>
      </w:r>
      <w:r w:rsidR="008243CA">
        <w:t xml:space="preserve"> </w:t>
      </w:r>
      <w:r w:rsidRPr="00E62FE6">
        <w:t>will</w:t>
      </w:r>
      <w:r w:rsidR="008243CA">
        <w:t xml:space="preserve"> </w:t>
      </w:r>
      <w:r w:rsidRPr="00E62FE6">
        <w:t>be</w:t>
      </w:r>
      <w:r w:rsidR="008243CA">
        <w:t xml:space="preserve"> </w:t>
      </w:r>
      <w:r w:rsidRPr="00E62FE6">
        <w:t>responsible</w:t>
      </w:r>
      <w:r w:rsidR="008243CA">
        <w:t xml:space="preserve"> </w:t>
      </w:r>
      <w:r w:rsidRPr="00E62FE6">
        <w:t>for</w:t>
      </w:r>
      <w:r w:rsidR="008243CA">
        <w:t xml:space="preserve"> </w:t>
      </w:r>
      <w:r w:rsidRPr="00E62FE6">
        <w:t>preparing</w:t>
      </w:r>
      <w:r w:rsidR="008243CA">
        <w:t xml:space="preserve"> </w:t>
      </w:r>
      <w:r w:rsidRPr="00E62FE6">
        <w:t>a</w:t>
      </w:r>
      <w:r w:rsidR="008243CA">
        <w:t xml:space="preserve"> </w:t>
      </w:r>
      <w:r w:rsidRPr="00E62FE6">
        <w:t>national</w:t>
      </w:r>
      <w:r w:rsidR="008243CA">
        <w:t xml:space="preserve"> </w:t>
      </w:r>
      <w:r w:rsidRPr="00E62FE6">
        <w:t>human</w:t>
      </w:r>
      <w:r w:rsidR="008243CA">
        <w:t xml:space="preserve"> </w:t>
      </w:r>
      <w:r w:rsidRPr="00E62FE6">
        <w:t>rights</w:t>
      </w:r>
      <w:r w:rsidR="008243CA">
        <w:t xml:space="preserve"> </w:t>
      </w:r>
      <w:r w:rsidRPr="00E62FE6">
        <w:t>plan,</w:t>
      </w:r>
      <w:r w:rsidRPr="00116F0B">
        <w:rPr>
          <w:rStyle w:val="FootnoteReference"/>
        </w:rPr>
        <w:footnoteReference w:id="65"/>
      </w:r>
      <w:r w:rsidR="008243CA">
        <w:t xml:space="preserve"> </w:t>
      </w:r>
      <w:r w:rsidRPr="00E62FE6">
        <w:t>which</w:t>
      </w:r>
      <w:r w:rsidR="008243CA">
        <w:t xml:space="preserve"> </w:t>
      </w:r>
      <w:r w:rsidRPr="00E62FE6">
        <w:t>should</w:t>
      </w:r>
      <w:r w:rsidR="008243CA">
        <w:t xml:space="preserve"> </w:t>
      </w:r>
      <w:r w:rsidRPr="00E62FE6">
        <w:t>include</w:t>
      </w:r>
      <w:r w:rsidR="008243CA">
        <w:t xml:space="preserve"> </w:t>
      </w:r>
      <w:r w:rsidRPr="00E62FE6">
        <w:t>the</w:t>
      </w:r>
      <w:r w:rsidR="008243CA">
        <w:t xml:space="preserve"> </w:t>
      </w:r>
      <w:r w:rsidRPr="00E62FE6">
        <w:t>promotion</w:t>
      </w:r>
      <w:r w:rsidR="008243CA">
        <w:t xml:space="preserve"> </w:t>
      </w:r>
      <w:r w:rsidRPr="00E62FE6">
        <w:t>of</w:t>
      </w:r>
      <w:r w:rsidR="008243CA">
        <w:t xml:space="preserve"> </w:t>
      </w:r>
      <w:r w:rsidRPr="00E62FE6">
        <w:t>human</w:t>
      </w:r>
      <w:r w:rsidR="008243CA">
        <w:t xml:space="preserve"> </w:t>
      </w:r>
      <w:r w:rsidRPr="00E62FE6">
        <w:t>rights</w:t>
      </w:r>
      <w:r w:rsidR="008243CA">
        <w:t xml:space="preserve"> </w:t>
      </w:r>
      <w:r w:rsidRPr="00E62FE6">
        <w:t>education</w:t>
      </w:r>
      <w:r w:rsidR="008243CA">
        <w:t xml:space="preserve"> </w:t>
      </w:r>
      <w:r w:rsidRPr="00E62FE6">
        <w:t>and</w:t>
      </w:r>
      <w:r w:rsidR="008243CA">
        <w:t xml:space="preserve"> </w:t>
      </w:r>
      <w:r w:rsidRPr="00E62FE6">
        <w:t>training</w:t>
      </w:r>
      <w:r w:rsidR="008243CA">
        <w:t xml:space="preserve"> </w:t>
      </w:r>
      <w:r w:rsidRPr="00E62FE6">
        <w:t>for</w:t>
      </w:r>
      <w:r w:rsidR="008243CA">
        <w:t xml:space="preserve"> </w:t>
      </w:r>
      <w:r w:rsidRPr="00E62FE6">
        <w:t>all</w:t>
      </w:r>
      <w:r w:rsidR="008243CA">
        <w:t xml:space="preserve"> </w:t>
      </w:r>
      <w:r w:rsidRPr="00E62FE6">
        <w:t>public</w:t>
      </w:r>
      <w:r w:rsidR="008243CA">
        <w:t xml:space="preserve"> </w:t>
      </w:r>
      <w:r w:rsidRPr="00E62FE6">
        <w:t>officials</w:t>
      </w:r>
      <w:r w:rsidR="008243CA">
        <w:t xml:space="preserve"> </w:t>
      </w:r>
      <w:r w:rsidRPr="00E62FE6">
        <w:t>as</w:t>
      </w:r>
      <w:r w:rsidR="008243CA">
        <w:t xml:space="preserve"> </w:t>
      </w:r>
      <w:r w:rsidRPr="00E62FE6">
        <w:t>a</w:t>
      </w:r>
      <w:r w:rsidR="008243CA">
        <w:t xml:space="preserve"> </w:t>
      </w:r>
      <w:r w:rsidRPr="00E62FE6">
        <w:t>minimum</w:t>
      </w:r>
      <w:r w:rsidR="008243CA">
        <w:t xml:space="preserve"> </w:t>
      </w:r>
      <w:r w:rsidRPr="00E62FE6">
        <w:t>requirement.</w:t>
      </w:r>
      <w:r w:rsidR="008243CA">
        <w:t xml:space="preserve"> </w:t>
      </w:r>
      <w:r w:rsidRPr="00E62FE6">
        <w:t>Such</w:t>
      </w:r>
      <w:r w:rsidR="008243CA">
        <w:t xml:space="preserve"> </w:t>
      </w:r>
      <w:r w:rsidRPr="00E62FE6">
        <w:t>education</w:t>
      </w:r>
      <w:r w:rsidR="008243CA">
        <w:t xml:space="preserve"> </w:t>
      </w:r>
      <w:r w:rsidRPr="00E62FE6">
        <w:t>and</w:t>
      </w:r>
      <w:r w:rsidR="008243CA">
        <w:t xml:space="preserve"> </w:t>
      </w:r>
      <w:r w:rsidRPr="00E62FE6">
        <w:t>training</w:t>
      </w:r>
      <w:r w:rsidR="008243CA">
        <w:t xml:space="preserve"> </w:t>
      </w:r>
      <w:r w:rsidRPr="00E62FE6">
        <w:t>programmes</w:t>
      </w:r>
      <w:r w:rsidR="008243CA">
        <w:t xml:space="preserve"> </w:t>
      </w:r>
      <w:r w:rsidRPr="00E62FE6">
        <w:t>are</w:t>
      </w:r>
      <w:r w:rsidR="008243CA">
        <w:t xml:space="preserve"> </w:t>
      </w:r>
      <w:r w:rsidRPr="00E62FE6">
        <w:t>vitally</w:t>
      </w:r>
      <w:r w:rsidR="008243CA">
        <w:t xml:space="preserve"> </w:t>
      </w:r>
      <w:r w:rsidRPr="00E62FE6">
        <w:t>important</w:t>
      </w:r>
      <w:r w:rsidR="008243CA">
        <w:t xml:space="preserve"> </w:t>
      </w:r>
      <w:r w:rsidRPr="00E62FE6">
        <w:t>in</w:t>
      </w:r>
      <w:r w:rsidR="008243CA">
        <w:t xml:space="preserve"> </w:t>
      </w:r>
      <w:r w:rsidRPr="00E62FE6">
        <w:t>changing</w:t>
      </w:r>
      <w:r w:rsidR="008243CA">
        <w:t xml:space="preserve"> </w:t>
      </w:r>
      <w:r w:rsidRPr="00E62FE6">
        <w:t>entrenched</w:t>
      </w:r>
      <w:r w:rsidR="008243CA">
        <w:t xml:space="preserve"> </w:t>
      </w:r>
      <w:r w:rsidRPr="00E62FE6">
        <w:t>cultures</w:t>
      </w:r>
      <w:r w:rsidR="008243CA">
        <w:t xml:space="preserve"> </w:t>
      </w:r>
      <w:r w:rsidRPr="00E62FE6">
        <w:t>in</w:t>
      </w:r>
      <w:r w:rsidR="008243CA">
        <w:t xml:space="preserve"> </w:t>
      </w:r>
      <w:r w:rsidRPr="00E62FE6">
        <w:t>State</w:t>
      </w:r>
      <w:r w:rsidR="008243CA">
        <w:t xml:space="preserve"> </w:t>
      </w:r>
      <w:r w:rsidRPr="00E62FE6">
        <w:t>institutions</w:t>
      </w:r>
      <w:r w:rsidR="008243CA">
        <w:t xml:space="preserve"> </w:t>
      </w:r>
      <w:r w:rsidRPr="00E62FE6">
        <w:t>and</w:t>
      </w:r>
      <w:r w:rsidR="008243CA">
        <w:t xml:space="preserve"> </w:t>
      </w:r>
      <w:r w:rsidRPr="00E62FE6">
        <w:t>among</w:t>
      </w:r>
      <w:r w:rsidR="008243CA">
        <w:t xml:space="preserve"> </w:t>
      </w:r>
      <w:r w:rsidRPr="00E62FE6">
        <w:t>officials,</w:t>
      </w:r>
      <w:r w:rsidR="008243CA">
        <w:t xml:space="preserve"> </w:t>
      </w:r>
      <w:r w:rsidRPr="00E62FE6">
        <w:t>making</w:t>
      </w:r>
      <w:r w:rsidR="008243CA">
        <w:t xml:space="preserve"> </w:t>
      </w:r>
      <w:r w:rsidRPr="00E62FE6">
        <w:t>it</w:t>
      </w:r>
      <w:r w:rsidR="008243CA">
        <w:t xml:space="preserve"> </w:t>
      </w:r>
      <w:r w:rsidRPr="00E62FE6">
        <w:t>possible</w:t>
      </w:r>
      <w:r w:rsidR="008243CA">
        <w:t xml:space="preserve"> </w:t>
      </w:r>
      <w:r w:rsidRPr="00E62FE6">
        <w:lastRenderedPageBreak/>
        <w:t>to</w:t>
      </w:r>
      <w:r w:rsidR="008243CA">
        <w:t xml:space="preserve"> </w:t>
      </w:r>
      <w:r w:rsidRPr="00E62FE6">
        <w:t>eliminate</w:t>
      </w:r>
      <w:r w:rsidR="008243CA">
        <w:t xml:space="preserve"> </w:t>
      </w:r>
      <w:r w:rsidRPr="00E62FE6">
        <w:t>barriers</w:t>
      </w:r>
      <w:r w:rsidR="008243CA">
        <w:t xml:space="preserve"> </w:t>
      </w:r>
      <w:r w:rsidRPr="00E62FE6">
        <w:t>the</w:t>
      </w:r>
      <w:r w:rsidR="008243CA">
        <w:t xml:space="preserve"> </w:t>
      </w:r>
      <w:r w:rsidRPr="00E62FE6">
        <w:t>make</w:t>
      </w:r>
      <w:r w:rsidR="008243CA">
        <w:t xml:space="preserve"> </w:t>
      </w:r>
      <w:r w:rsidRPr="00E62FE6">
        <w:t>it</w:t>
      </w:r>
      <w:r w:rsidR="008243CA">
        <w:t xml:space="preserve"> </w:t>
      </w:r>
      <w:r w:rsidRPr="00E62FE6">
        <w:t>difficult</w:t>
      </w:r>
      <w:r w:rsidR="008243CA">
        <w:t xml:space="preserve"> </w:t>
      </w:r>
      <w:r w:rsidRPr="00E62FE6">
        <w:t>for</w:t>
      </w:r>
      <w:r w:rsidR="008243CA">
        <w:t xml:space="preserve"> </w:t>
      </w:r>
      <w:r w:rsidRPr="00E62FE6">
        <w:t>persons</w:t>
      </w:r>
      <w:r w:rsidR="008243CA">
        <w:t xml:space="preserve"> </w:t>
      </w:r>
      <w:r w:rsidRPr="00E62FE6">
        <w:t>deprived</w:t>
      </w:r>
      <w:r w:rsidR="008243CA">
        <w:t xml:space="preserve"> </w:t>
      </w:r>
      <w:r w:rsidRPr="00E62FE6">
        <w:t>of</w:t>
      </w:r>
      <w:r w:rsidR="008243CA">
        <w:t xml:space="preserve"> </w:t>
      </w:r>
      <w:r w:rsidRPr="00E62FE6">
        <w:t>their</w:t>
      </w:r>
      <w:r w:rsidR="008243CA">
        <w:t xml:space="preserve"> </w:t>
      </w:r>
      <w:r w:rsidRPr="00E62FE6">
        <w:t>liberty</w:t>
      </w:r>
      <w:r w:rsidR="008243CA">
        <w:t xml:space="preserve"> </w:t>
      </w:r>
      <w:r w:rsidRPr="00E62FE6">
        <w:t>to</w:t>
      </w:r>
      <w:r w:rsidR="008243CA">
        <w:t xml:space="preserve"> </w:t>
      </w:r>
      <w:r w:rsidRPr="00E62FE6">
        <w:t>exercise</w:t>
      </w:r>
      <w:r w:rsidR="008243CA">
        <w:t xml:space="preserve"> </w:t>
      </w:r>
      <w:r w:rsidRPr="00E62FE6">
        <w:t>their</w:t>
      </w:r>
      <w:r w:rsidR="008243CA">
        <w:t xml:space="preserve"> </w:t>
      </w:r>
      <w:r w:rsidRPr="00E62FE6">
        <w:t>rights.</w:t>
      </w:r>
    </w:p>
    <w:p w:rsidR="003F7D03" w:rsidRPr="00E62FE6" w:rsidRDefault="003F7D03" w:rsidP="000C6D98">
      <w:pPr>
        <w:pStyle w:val="SingleTxtG"/>
      </w:pPr>
      <w:r w:rsidRPr="00E62FE6">
        <w:t>194.</w:t>
      </w:r>
      <w:r w:rsidRPr="00E62FE6">
        <w:tab/>
        <w:t>Lastly,</w:t>
      </w:r>
      <w:r w:rsidR="008243CA">
        <w:t xml:space="preserve"> </w:t>
      </w:r>
      <w:r w:rsidRPr="00E62FE6">
        <w:t>it</w:t>
      </w:r>
      <w:r w:rsidR="008243CA">
        <w:t xml:space="preserve"> </w:t>
      </w:r>
      <w:r w:rsidRPr="00E62FE6">
        <w:t>should</w:t>
      </w:r>
      <w:r w:rsidR="008243CA">
        <w:t xml:space="preserve"> </w:t>
      </w:r>
      <w:r w:rsidRPr="00E62FE6">
        <w:t>be</w:t>
      </w:r>
      <w:r w:rsidR="008243CA">
        <w:t xml:space="preserve"> </w:t>
      </w:r>
      <w:r w:rsidRPr="00E62FE6">
        <w:t>noted</w:t>
      </w:r>
      <w:r w:rsidR="008243CA">
        <w:t xml:space="preserve"> </w:t>
      </w:r>
      <w:r w:rsidRPr="00E62FE6">
        <w:t>that</w:t>
      </w:r>
      <w:r w:rsidR="008243CA">
        <w:t xml:space="preserve"> </w:t>
      </w:r>
      <w:r w:rsidRPr="00E62FE6">
        <w:t>this</w:t>
      </w:r>
      <w:r w:rsidR="008243CA">
        <w:t xml:space="preserve"> </w:t>
      </w:r>
      <w:r w:rsidRPr="00E62FE6">
        <w:t>report</w:t>
      </w:r>
      <w:r w:rsidR="008243CA">
        <w:t xml:space="preserve"> </w:t>
      </w:r>
      <w:r w:rsidRPr="00E62FE6">
        <w:t>represents</w:t>
      </w:r>
      <w:r w:rsidR="008243CA">
        <w:t xml:space="preserve"> </w:t>
      </w:r>
      <w:r w:rsidRPr="00E62FE6">
        <w:t>an</w:t>
      </w:r>
      <w:r w:rsidR="008243CA">
        <w:t xml:space="preserve"> </w:t>
      </w:r>
      <w:r w:rsidRPr="00E62FE6">
        <w:t>effort</w:t>
      </w:r>
      <w:r w:rsidR="008243CA">
        <w:t xml:space="preserve"> </w:t>
      </w:r>
      <w:r w:rsidRPr="00E62FE6">
        <w:t>by</w:t>
      </w:r>
      <w:r w:rsidR="008243CA">
        <w:t xml:space="preserve"> </w:t>
      </w:r>
      <w:r w:rsidRPr="00E62FE6">
        <w:t>the</w:t>
      </w:r>
      <w:r w:rsidR="008243CA">
        <w:t xml:space="preserve"> </w:t>
      </w:r>
      <w:r w:rsidRPr="00E62FE6">
        <w:t>Government</w:t>
      </w:r>
      <w:r w:rsidR="008243CA">
        <w:t xml:space="preserve"> </w:t>
      </w:r>
      <w:r w:rsidRPr="00E62FE6">
        <w:t>to</w:t>
      </w:r>
      <w:r w:rsidR="008243CA">
        <w:t xml:space="preserve"> </w:t>
      </w:r>
      <w:r w:rsidRPr="00E62FE6">
        <w:t>meet</w:t>
      </w:r>
      <w:r w:rsidR="008243CA">
        <w:t xml:space="preserve"> </w:t>
      </w:r>
      <w:r w:rsidRPr="00E62FE6">
        <w:t>its</w:t>
      </w:r>
      <w:r w:rsidR="008243CA">
        <w:t xml:space="preserve"> </w:t>
      </w:r>
      <w:r w:rsidRPr="00E62FE6">
        <w:t>international</w:t>
      </w:r>
      <w:r w:rsidR="008243CA">
        <w:t xml:space="preserve"> </w:t>
      </w:r>
      <w:r w:rsidRPr="00E62FE6">
        <w:t>human</w:t>
      </w:r>
      <w:r w:rsidR="008243CA">
        <w:t xml:space="preserve"> </w:t>
      </w:r>
      <w:r w:rsidRPr="00E62FE6">
        <w:t>rights</w:t>
      </w:r>
      <w:r w:rsidR="008243CA">
        <w:t xml:space="preserve"> </w:t>
      </w:r>
      <w:r w:rsidRPr="00E62FE6">
        <w:t>obligations.</w:t>
      </w:r>
      <w:r w:rsidR="008243CA">
        <w:t xml:space="preserve"> </w:t>
      </w:r>
      <w:r w:rsidRPr="00E62FE6">
        <w:t>It</w:t>
      </w:r>
      <w:r w:rsidR="008243CA">
        <w:t xml:space="preserve"> </w:t>
      </w:r>
      <w:r w:rsidRPr="00E62FE6">
        <w:t>is</w:t>
      </w:r>
      <w:r w:rsidR="008243CA">
        <w:t xml:space="preserve"> </w:t>
      </w:r>
      <w:r w:rsidRPr="00E62FE6">
        <w:t>not</w:t>
      </w:r>
      <w:r w:rsidR="008243CA">
        <w:t xml:space="preserve"> </w:t>
      </w:r>
      <w:r w:rsidRPr="00E62FE6">
        <w:t>easy</w:t>
      </w:r>
      <w:r w:rsidR="008243CA">
        <w:t xml:space="preserve"> </w:t>
      </w:r>
      <w:r w:rsidRPr="00E62FE6">
        <w:t>for</w:t>
      </w:r>
      <w:r w:rsidR="008243CA">
        <w:t xml:space="preserve"> </w:t>
      </w:r>
      <w:r w:rsidRPr="00E62FE6">
        <w:t>States</w:t>
      </w:r>
      <w:r w:rsidR="008243CA">
        <w:t xml:space="preserve"> </w:t>
      </w:r>
      <w:r w:rsidRPr="00E62FE6">
        <w:t>parties</w:t>
      </w:r>
      <w:r w:rsidR="008243CA">
        <w:t xml:space="preserve"> </w:t>
      </w:r>
      <w:r w:rsidRPr="00E62FE6">
        <w:t>to</w:t>
      </w:r>
      <w:r w:rsidR="008243CA">
        <w:t xml:space="preserve"> </w:t>
      </w:r>
      <w:r w:rsidRPr="00E62FE6">
        <w:t>fully</w:t>
      </w:r>
      <w:r w:rsidR="008243CA">
        <w:t xml:space="preserve"> </w:t>
      </w:r>
      <w:r w:rsidRPr="00E62FE6">
        <w:t>respond</w:t>
      </w:r>
      <w:r w:rsidR="008243CA">
        <w:t xml:space="preserve"> </w:t>
      </w:r>
      <w:r w:rsidRPr="00E62FE6">
        <w:t>to</w:t>
      </w:r>
      <w:r w:rsidR="008243CA">
        <w:t xml:space="preserve"> </w:t>
      </w:r>
      <w:r w:rsidRPr="00E62FE6">
        <w:t>the</w:t>
      </w:r>
      <w:r w:rsidR="008243CA">
        <w:t xml:space="preserve"> </w:t>
      </w:r>
      <w:r w:rsidRPr="00E62FE6">
        <w:t>recommendations</w:t>
      </w:r>
      <w:r w:rsidR="008243CA">
        <w:t xml:space="preserve"> </w:t>
      </w:r>
      <w:r w:rsidRPr="00E62FE6">
        <w:t>put</w:t>
      </w:r>
      <w:r w:rsidR="008243CA">
        <w:t xml:space="preserve"> </w:t>
      </w:r>
      <w:r w:rsidRPr="00E62FE6">
        <w:t>forward</w:t>
      </w:r>
      <w:r w:rsidR="008243CA">
        <w:t xml:space="preserve"> </w:t>
      </w:r>
      <w:r w:rsidRPr="00E62FE6">
        <w:t>by</w:t>
      </w:r>
      <w:r w:rsidR="008243CA">
        <w:t xml:space="preserve"> </w:t>
      </w:r>
      <w:r w:rsidRPr="00E62FE6">
        <w:t>the</w:t>
      </w:r>
      <w:r w:rsidR="008243CA">
        <w:t xml:space="preserve"> </w:t>
      </w:r>
      <w:r w:rsidRPr="00E62FE6">
        <w:t>Subcommittee,</w:t>
      </w:r>
      <w:r w:rsidR="008243CA">
        <w:t xml:space="preserve"> </w:t>
      </w:r>
      <w:r w:rsidRPr="00E62FE6">
        <w:t>but</w:t>
      </w:r>
      <w:r w:rsidR="008243CA">
        <w:t xml:space="preserve"> </w:t>
      </w:r>
      <w:r w:rsidRPr="00E62FE6">
        <w:t>Chile</w:t>
      </w:r>
      <w:r w:rsidR="008243CA">
        <w:t xml:space="preserve"> </w:t>
      </w:r>
      <w:r w:rsidRPr="00E62FE6">
        <w:t>is</w:t>
      </w:r>
      <w:r w:rsidR="008243CA">
        <w:t xml:space="preserve"> </w:t>
      </w:r>
      <w:r w:rsidRPr="00E62FE6">
        <w:t>making</w:t>
      </w:r>
      <w:r w:rsidR="008243CA">
        <w:t xml:space="preserve"> </w:t>
      </w:r>
      <w:r w:rsidRPr="00E62FE6">
        <w:t>a</w:t>
      </w:r>
      <w:r w:rsidR="008243CA">
        <w:t xml:space="preserve"> </w:t>
      </w:r>
      <w:r w:rsidRPr="00E62FE6">
        <w:t>serious</w:t>
      </w:r>
      <w:r w:rsidR="008243CA">
        <w:t xml:space="preserve"> </w:t>
      </w:r>
      <w:r w:rsidRPr="00E62FE6">
        <w:t>and</w:t>
      </w:r>
      <w:r w:rsidR="008243CA">
        <w:t xml:space="preserve"> </w:t>
      </w:r>
      <w:r w:rsidRPr="00E62FE6">
        <w:t>rigorous</w:t>
      </w:r>
      <w:r w:rsidR="008243CA">
        <w:t xml:space="preserve"> </w:t>
      </w:r>
      <w:r w:rsidRPr="00E62FE6">
        <w:t>effort</w:t>
      </w:r>
      <w:r w:rsidR="008243CA">
        <w:t xml:space="preserve"> </w:t>
      </w:r>
      <w:r w:rsidRPr="00E62FE6">
        <w:t>to</w:t>
      </w:r>
      <w:r w:rsidR="008243CA">
        <w:t xml:space="preserve"> </w:t>
      </w:r>
      <w:r w:rsidRPr="00E62FE6">
        <w:t>do</w:t>
      </w:r>
      <w:r w:rsidR="008243CA">
        <w:t xml:space="preserve"> </w:t>
      </w:r>
      <w:r w:rsidRPr="00E62FE6">
        <w:t>so,</w:t>
      </w:r>
      <w:r w:rsidR="008243CA">
        <w:t xml:space="preserve"> </w:t>
      </w:r>
      <w:r w:rsidRPr="00E62FE6">
        <w:t>while</w:t>
      </w:r>
      <w:r w:rsidR="008243CA">
        <w:t xml:space="preserve"> </w:t>
      </w:r>
      <w:r w:rsidRPr="00E62FE6">
        <w:t>accepting</w:t>
      </w:r>
      <w:r w:rsidR="008243CA">
        <w:t xml:space="preserve"> </w:t>
      </w:r>
      <w:r w:rsidRPr="00E62FE6">
        <w:t>that</w:t>
      </w:r>
      <w:r w:rsidR="008243CA">
        <w:t xml:space="preserve"> </w:t>
      </w:r>
      <w:r w:rsidRPr="00E62FE6">
        <w:t>further</w:t>
      </w:r>
      <w:r w:rsidR="008243CA">
        <w:t xml:space="preserve"> </w:t>
      </w:r>
      <w:r w:rsidRPr="00E62FE6">
        <w:t>challenges</w:t>
      </w:r>
      <w:r w:rsidR="008243CA">
        <w:t xml:space="preserve"> </w:t>
      </w:r>
      <w:r w:rsidRPr="00E62FE6">
        <w:t>lie</w:t>
      </w:r>
      <w:r w:rsidR="008243CA">
        <w:t xml:space="preserve"> </w:t>
      </w:r>
      <w:r w:rsidRPr="00E62FE6">
        <w:t>ahead.</w:t>
      </w:r>
      <w:r w:rsidR="008243CA">
        <w:t xml:space="preserve"> </w:t>
      </w:r>
      <w:r w:rsidRPr="00E62FE6">
        <w:t>States</w:t>
      </w:r>
      <w:r w:rsidR="008243CA">
        <w:t xml:space="preserve"> </w:t>
      </w:r>
      <w:r w:rsidRPr="00E62FE6">
        <w:t>that</w:t>
      </w:r>
      <w:r w:rsidR="008243CA">
        <w:t xml:space="preserve"> </w:t>
      </w:r>
      <w:r w:rsidRPr="00E62FE6">
        <w:t>incorporate</w:t>
      </w:r>
      <w:r w:rsidR="008243CA">
        <w:t xml:space="preserve"> </w:t>
      </w:r>
      <w:r w:rsidRPr="00E62FE6">
        <w:t>a</w:t>
      </w:r>
      <w:r w:rsidR="008243CA">
        <w:t xml:space="preserve"> </w:t>
      </w:r>
      <w:r w:rsidRPr="00E62FE6">
        <w:t>human-rights</w:t>
      </w:r>
      <w:r w:rsidR="008243CA">
        <w:t xml:space="preserve"> </w:t>
      </w:r>
      <w:r w:rsidRPr="00E62FE6">
        <w:t>approach</w:t>
      </w:r>
      <w:r w:rsidR="008243CA">
        <w:t xml:space="preserve"> </w:t>
      </w:r>
      <w:r w:rsidRPr="00E62FE6">
        <w:t>understand</w:t>
      </w:r>
      <w:r w:rsidR="008243CA">
        <w:t xml:space="preserve"> </w:t>
      </w:r>
      <w:r w:rsidRPr="00E62FE6">
        <w:t>that</w:t>
      </w:r>
      <w:r w:rsidR="008243CA">
        <w:t xml:space="preserve"> </w:t>
      </w:r>
      <w:r w:rsidRPr="00E62FE6">
        <w:t>human</w:t>
      </w:r>
      <w:r w:rsidR="008243CA">
        <w:t xml:space="preserve"> </w:t>
      </w:r>
      <w:r w:rsidRPr="00E62FE6">
        <w:t>rights</w:t>
      </w:r>
      <w:r w:rsidR="008243CA">
        <w:t xml:space="preserve"> </w:t>
      </w:r>
      <w:r w:rsidRPr="00E62FE6">
        <w:t>are</w:t>
      </w:r>
      <w:r w:rsidR="008243CA">
        <w:t xml:space="preserve"> </w:t>
      </w:r>
      <w:r w:rsidRPr="00E62FE6">
        <w:t>not</w:t>
      </w:r>
      <w:r w:rsidR="008243CA">
        <w:t xml:space="preserve"> </w:t>
      </w:r>
      <w:r w:rsidRPr="00E62FE6">
        <w:t>fixed</w:t>
      </w:r>
      <w:r w:rsidR="008243CA">
        <w:t xml:space="preserve"> </w:t>
      </w:r>
      <w:r w:rsidRPr="00E62FE6">
        <w:t>targets</w:t>
      </w:r>
      <w:r w:rsidR="008243CA">
        <w:t xml:space="preserve"> </w:t>
      </w:r>
      <w:r w:rsidRPr="00E62FE6">
        <w:t>but</w:t>
      </w:r>
      <w:r w:rsidR="008243CA">
        <w:t xml:space="preserve"> </w:t>
      </w:r>
      <w:r w:rsidRPr="00E62FE6">
        <w:t>dynamic</w:t>
      </w:r>
      <w:r w:rsidR="008243CA">
        <w:t xml:space="preserve"> </w:t>
      </w:r>
      <w:r w:rsidRPr="00E62FE6">
        <w:t>horizons</w:t>
      </w:r>
      <w:r w:rsidR="008243CA">
        <w:t xml:space="preserve"> </w:t>
      </w:r>
      <w:r w:rsidRPr="00E62FE6">
        <w:t>that</w:t>
      </w:r>
      <w:r w:rsidR="008243CA">
        <w:t xml:space="preserve"> </w:t>
      </w:r>
      <w:r w:rsidRPr="00E62FE6">
        <w:t>constantly</w:t>
      </w:r>
      <w:r w:rsidR="008243CA">
        <w:t xml:space="preserve"> </w:t>
      </w:r>
      <w:r w:rsidRPr="00E62FE6">
        <w:t>present</w:t>
      </w:r>
      <w:r w:rsidR="008243CA">
        <w:t xml:space="preserve"> </w:t>
      </w:r>
      <w:r w:rsidRPr="00E62FE6">
        <w:t>new</w:t>
      </w:r>
      <w:r w:rsidR="008243CA">
        <w:t xml:space="preserve"> </w:t>
      </w:r>
      <w:r w:rsidRPr="00E62FE6">
        <w:t>challenges.</w:t>
      </w:r>
      <w:r w:rsidR="008243CA">
        <w:t xml:space="preserve"> </w:t>
      </w:r>
      <w:r w:rsidRPr="00E62FE6">
        <w:t>In</w:t>
      </w:r>
      <w:r w:rsidR="008243CA">
        <w:t xml:space="preserve"> </w:t>
      </w:r>
      <w:r w:rsidRPr="00E62FE6">
        <w:t>that</w:t>
      </w:r>
      <w:r w:rsidR="008243CA">
        <w:t xml:space="preserve"> </w:t>
      </w:r>
      <w:r w:rsidRPr="00E62FE6">
        <w:t>sense,</w:t>
      </w:r>
      <w:r w:rsidR="008243CA">
        <w:t xml:space="preserve"> </w:t>
      </w:r>
      <w:r w:rsidRPr="00E62FE6">
        <w:t>the</w:t>
      </w:r>
      <w:r w:rsidR="008243CA">
        <w:t xml:space="preserve"> </w:t>
      </w:r>
      <w:r w:rsidRPr="00E62FE6">
        <w:t>prevention</w:t>
      </w:r>
      <w:r w:rsidR="008243CA">
        <w:t xml:space="preserve"> </w:t>
      </w:r>
      <w:r w:rsidRPr="00E62FE6">
        <w:t>of</w:t>
      </w:r>
      <w:r w:rsidR="008243CA">
        <w:t xml:space="preserve"> </w:t>
      </w:r>
      <w:r w:rsidRPr="00E62FE6">
        <w:t>torture</w:t>
      </w:r>
      <w:r w:rsidR="008243CA">
        <w:t xml:space="preserve"> </w:t>
      </w:r>
      <w:r w:rsidRPr="00E62FE6">
        <w:t>is</w:t>
      </w:r>
      <w:r w:rsidR="008243CA">
        <w:t xml:space="preserve"> </w:t>
      </w:r>
      <w:r w:rsidRPr="00E62FE6">
        <w:t>no</w:t>
      </w:r>
      <w:r w:rsidR="008243CA">
        <w:t xml:space="preserve"> </w:t>
      </w:r>
      <w:r w:rsidRPr="00E62FE6">
        <w:t>exception.</w:t>
      </w:r>
    </w:p>
    <w:p w:rsidR="00013FC6" w:rsidRDefault="00013FC6">
      <w:pPr>
        <w:spacing w:before="240"/>
        <w:jc w:val="center"/>
        <w:rPr>
          <w:u w:val="single"/>
        </w:rPr>
      </w:pPr>
      <w:r>
        <w:rPr>
          <w:u w:val="single"/>
        </w:rPr>
        <w:tab/>
      </w:r>
      <w:r>
        <w:rPr>
          <w:u w:val="single"/>
        </w:rPr>
        <w:tab/>
      </w:r>
      <w:r>
        <w:rPr>
          <w:u w:val="single"/>
        </w:rPr>
        <w:tab/>
      </w:r>
    </w:p>
    <w:p w:rsidR="00527C50" w:rsidRPr="00527C50" w:rsidRDefault="00527C50" w:rsidP="00527C50">
      <w:pPr>
        <w:spacing w:after="120"/>
        <w:rPr>
          <w:sz w:val="18"/>
        </w:rPr>
      </w:pPr>
    </w:p>
    <w:sectPr w:rsidR="00527C50" w:rsidRPr="00527C50" w:rsidSect="00077DC7">
      <w:headerReference w:type="even" r:id="rId14"/>
      <w:headerReference w:type="default" r:id="rId15"/>
      <w:footerReference w:type="even" r:id="rId16"/>
      <w:footerReference w:type="default" r:id="rId17"/>
      <w:footerReference w:type="first" r:id="rId18"/>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8E2" w:rsidRPr="006C1C2C" w:rsidRDefault="004658E2" w:rsidP="006C1C2C">
      <w:pPr>
        <w:pStyle w:val="Footer"/>
      </w:pPr>
    </w:p>
  </w:endnote>
  <w:endnote w:type="continuationSeparator" w:id="0">
    <w:p w:rsidR="004658E2" w:rsidRPr="006C1C2C" w:rsidRDefault="004658E2" w:rsidP="006C1C2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8E2" w:rsidRPr="00077DC7" w:rsidRDefault="004658E2" w:rsidP="00077DC7">
    <w:pPr>
      <w:pStyle w:val="Footer"/>
      <w:tabs>
        <w:tab w:val="right" w:pos="9598"/>
      </w:tabs>
    </w:pPr>
    <w:r w:rsidRPr="00077DC7">
      <w:rPr>
        <w:b/>
        <w:sz w:val="18"/>
      </w:rPr>
      <w:fldChar w:fldCharType="begin"/>
    </w:r>
    <w:r w:rsidRPr="00077DC7">
      <w:rPr>
        <w:b/>
        <w:sz w:val="18"/>
      </w:rPr>
      <w:instrText xml:space="preserve"> PAGE  \* MERGEFORMAT </w:instrText>
    </w:r>
    <w:r w:rsidRPr="00077DC7">
      <w:rPr>
        <w:b/>
        <w:sz w:val="18"/>
      </w:rPr>
      <w:fldChar w:fldCharType="separate"/>
    </w:r>
    <w:r w:rsidR="00F541EC">
      <w:rPr>
        <w:b/>
        <w:noProof/>
        <w:sz w:val="18"/>
      </w:rPr>
      <w:t>20</w:t>
    </w:r>
    <w:r w:rsidRPr="00077DC7">
      <w:rPr>
        <w:b/>
        <w:sz w:val="18"/>
      </w:rPr>
      <w:fldChar w:fldCharType="end"/>
    </w:r>
    <w:r>
      <w:rPr>
        <w:sz w:val="18"/>
      </w:rPr>
      <w:tab/>
    </w:r>
    <w:r>
      <w:t>GE.17-07762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8E2" w:rsidRPr="00077DC7" w:rsidRDefault="004658E2" w:rsidP="00077DC7">
    <w:pPr>
      <w:pStyle w:val="Footer"/>
      <w:tabs>
        <w:tab w:val="right" w:pos="9598"/>
      </w:tabs>
      <w:rPr>
        <w:b/>
        <w:sz w:val="18"/>
      </w:rPr>
    </w:pPr>
    <w:r>
      <w:t>GE.17-07762</w:t>
    </w:r>
    <w:r>
      <w:tab/>
    </w:r>
    <w:r w:rsidRPr="00077DC7">
      <w:rPr>
        <w:b/>
        <w:sz w:val="18"/>
      </w:rPr>
      <w:fldChar w:fldCharType="begin"/>
    </w:r>
    <w:r w:rsidRPr="00077DC7">
      <w:rPr>
        <w:b/>
        <w:sz w:val="18"/>
      </w:rPr>
      <w:instrText xml:space="preserve"> PAGE  \* MERGEFORMAT </w:instrText>
    </w:r>
    <w:r w:rsidRPr="00077DC7">
      <w:rPr>
        <w:b/>
        <w:sz w:val="18"/>
      </w:rPr>
      <w:fldChar w:fldCharType="separate"/>
    </w:r>
    <w:r w:rsidR="00F541EC">
      <w:rPr>
        <w:b/>
        <w:noProof/>
        <w:sz w:val="18"/>
      </w:rPr>
      <w:t>21</w:t>
    </w:r>
    <w:r w:rsidRPr="00077D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8E2" w:rsidRDefault="004658E2" w:rsidP="00E65B17">
    <w:r>
      <w:rPr>
        <w:noProof/>
        <w:lang w:eastAsia="zh-CN"/>
      </w:rPr>
      <w:drawing>
        <wp:anchor distT="0" distB="0" distL="114300" distR="114300" simplePos="0" relativeHeight="251670016" behindDoc="0" locked="1" layoutInCell="1" allowOverlap="1" wp14:anchorId="6D3CB87E" wp14:editId="4D7EA9CA">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58E2" w:rsidRDefault="004658E2" w:rsidP="00077DC7">
    <w:r>
      <w:t>GE.17-</w:t>
    </w:r>
    <w:proofErr w:type="gramStart"/>
    <w:r>
      <w:t>07762  (</w:t>
    </w:r>
    <w:proofErr w:type="gramEnd"/>
    <w:r>
      <w:t>E)    300418    010518</w:t>
    </w:r>
  </w:p>
  <w:p w:rsidR="004658E2" w:rsidRPr="00077DC7" w:rsidRDefault="004658E2" w:rsidP="00077DC7">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AT/OP/CHL/1/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CHL/1/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8E2" w:rsidRPr="006C1C2C" w:rsidRDefault="004658E2" w:rsidP="006C1C2C">
      <w:pPr>
        <w:tabs>
          <w:tab w:val="right" w:pos="2155"/>
        </w:tabs>
        <w:spacing w:after="80" w:line="240" w:lineRule="auto"/>
        <w:ind w:left="680"/>
      </w:pPr>
      <w:r>
        <w:rPr>
          <w:u w:val="single"/>
        </w:rPr>
        <w:tab/>
      </w:r>
    </w:p>
  </w:footnote>
  <w:footnote w:type="continuationSeparator" w:id="0">
    <w:p w:rsidR="004658E2" w:rsidRPr="006C1C2C" w:rsidRDefault="004658E2" w:rsidP="006C1C2C">
      <w:pPr>
        <w:tabs>
          <w:tab w:val="right" w:pos="2155"/>
        </w:tabs>
        <w:spacing w:after="80" w:line="240" w:lineRule="auto"/>
        <w:ind w:left="680"/>
      </w:pPr>
      <w:r>
        <w:rPr>
          <w:u w:val="single"/>
        </w:rPr>
        <w:tab/>
      </w:r>
    </w:p>
  </w:footnote>
  <w:footnote w:id="1">
    <w:p w:rsidR="004658E2" w:rsidRPr="003F7D03" w:rsidRDefault="004658E2" w:rsidP="000C6D98">
      <w:pPr>
        <w:pStyle w:val="FootnoteText"/>
      </w:pPr>
      <w:r>
        <w:rPr>
          <w:rStyle w:val="FootnoteReference"/>
        </w:rPr>
        <w:tab/>
      </w:r>
      <w:r w:rsidRPr="003F7D03">
        <w:rPr>
          <w:rStyle w:val="FootnoteReference"/>
          <w:sz w:val="20"/>
          <w:vertAlign w:val="baseline"/>
        </w:rPr>
        <w:t>*</w:t>
      </w:r>
      <w:r>
        <w:rPr>
          <w:rStyle w:val="FootnoteReference"/>
          <w:sz w:val="20"/>
          <w:vertAlign w:val="baseline"/>
        </w:rPr>
        <w:tab/>
      </w:r>
      <w:r w:rsidRPr="0019773F">
        <w:t>In accordance with article 16 (1) of the Optional Protocol, the report of the Subcommittee was transmitted confidentially to the State party on 27 June 2016. On 26 December 2016, the State party requested the Subcommittee to publish its replies, in accordance with article 16 (2) of the Optional Protocol.</w:t>
      </w:r>
    </w:p>
  </w:footnote>
  <w:footnote w:id="2">
    <w:p w:rsidR="004658E2" w:rsidRPr="003F7D03" w:rsidRDefault="004658E2" w:rsidP="000C6D98">
      <w:pPr>
        <w:pStyle w:val="FootnoteText"/>
      </w:pPr>
      <w:r>
        <w:rPr>
          <w:rStyle w:val="FootnoteReference"/>
        </w:rPr>
        <w:tab/>
      </w:r>
      <w:r w:rsidRPr="003F7D03">
        <w:rPr>
          <w:rStyle w:val="FootnoteReference"/>
          <w:sz w:val="20"/>
          <w:vertAlign w:val="baseline"/>
        </w:rPr>
        <w:t>**</w:t>
      </w:r>
      <w:r>
        <w:rPr>
          <w:rStyle w:val="FootnoteReference"/>
          <w:sz w:val="20"/>
          <w:vertAlign w:val="baseline"/>
        </w:rPr>
        <w:tab/>
      </w:r>
      <w:r>
        <w:t>The present document is being issued without formal editing.</w:t>
      </w:r>
    </w:p>
  </w:footnote>
  <w:footnote w:id="3">
    <w:p w:rsidR="004658E2" w:rsidRPr="00A56114" w:rsidRDefault="004658E2" w:rsidP="000C6D98">
      <w:pPr>
        <w:pStyle w:val="FootnoteText"/>
        <w:rPr>
          <w:lang w:val="en-US"/>
        </w:rPr>
      </w:pPr>
      <w:r>
        <w:tab/>
      </w:r>
      <w:r w:rsidRPr="00116F0B">
        <w:rPr>
          <w:rStyle w:val="FootnoteReference"/>
        </w:rPr>
        <w:footnoteRef/>
      </w:r>
      <w:r>
        <w:tab/>
        <w:t>See article 11 of the Optional Protocol to the Convention against Torture and Other Cruel, Inhuman or Degrading Treatment or Punishment.</w:t>
      </w:r>
    </w:p>
  </w:footnote>
  <w:footnote w:id="4">
    <w:p w:rsidR="004658E2" w:rsidRPr="00A56114" w:rsidRDefault="004658E2" w:rsidP="000C6D98">
      <w:pPr>
        <w:pStyle w:val="FootnoteText"/>
        <w:rPr>
          <w:vertAlign w:val="superscript"/>
          <w:lang w:val="en-US"/>
        </w:rPr>
      </w:pPr>
      <w:r w:rsidRPr="00167334">
        <w:tab/>
      </w:r>
      <w:r w:rsidRPr="00116F0B">
        <w:rPr>
          <w:rStyle w:val="FootnoteReference"/>
        </w:rPr>
        <w:footnoteRef/>
      </w:r>
      <w:r>
        <w:tab/>
        <w:t xml:space="preserve">Subcommittee on Prevention of Torture and Other Cruel, Inhuman or Degrading Treatment or Punishment, </w:t>
      </w:r>
      <w:proofErr w:type="gramStart"/>
      <w:r>
        <w:t>Visit</w:t>
      </w:r>
      <w:proofErr w:type="gramEnd"/>
      <w:r>
        <w:t xml:space="preserve"> to Chile undertaken from 4 to 13 April 2016: observations and recommendations addressed to the State party, CAT/OP/CHL/1. In paragraph 8, the Subcommittee requests the Chilean authorities to provide a detailed account within six months of the report’s transmission of the measures taken to act upon measures taken to act upon the recommendations contained therein.</w:t>
      </w:r>
    </w:p>
  </w:footnote>
  <w:footnote w:id="5">
    <w:p w:rsidR="004658E2" w:rsidRPr="00A56114" w:rsidRDefault="004658E2" w:rsidP="000C6D98">
      <w:pPr>
        <w:pStyle w:val="FootnoteText"/>
        <w:rPr>
          <w:sz w:val="26"/>
          <w:vertAlign w:val="superscript"/>
          <w:lang w:val="en-US"/>
        </w:rPr>
      </w:pPr>
      <w:r w:rsidRPr="00167334">
        <w:tab/>
      </w:r>
      <w:r w:rsidRPr="00116F0B">
        <w:rPr>
          <w:rStyle w:val="FootnoteReference"/>
        </w:rPr>
        <w:footnoteRef/>
      </w:r>
      <w:r>
        <w:tab/>
        <w:t xml:space="preserve">The </w:t>
      </w:r>
      <w:proofErr w:type="spellStart"/>
      <w:r>
        <w:t>interministerial</w:t>
      </w:r>
      <w:proofErr w:type="spellEnd"/>
      <w:r>
        <w:t xml:space="preserve"> working group was led by the Ministry of Foreign Affairs and included representatives from the Ministry of Justice and Human Rights, the Office of the Minister and Secretary General of the Presidency, the Ministry of the Interior and Public Security, the Ministry of Social Development, the Ministry of Health and the Ministry of Defence.</w:t>
      </w:r>
    </w:p>
  </w:footnote>
  <w:footnote w:id="6">
    <w:p w:rsidR="004658E2" w:rsidRPr="00A56114" w:rsidRDefault="004658E2" w:rsidP="000C6D98">
      <w:pPr>
        <w:pStyle w:val="FootnoteText"/>
        <w:rPr>
          <w:lang w:val="en-US"/>
        </w:rPr>
      </w:pPr>
      <w:r w:rsidRPr="00167334">
        <w:tab/>
      </w:r>
      <w:r w:rsidRPr="00116F0B">
        <w:rPr>
          <w:rStyle w:val="FootnoteReference"/>
        </w:rPr>
        <w:footnoteRef/>
      </w:r>
      <w:r>
        <w:tab/>
        <w:t>Measures implemented by 27 December 2016.</w:t>
      </w:r>
    </w:p>
  </w:footnote>
  <w:footnote w:id="7">
    <w:p w:rsidR="004658E2" w:rsidRPr="00A56114" w:rsidRDefault="004658E2" w:rsidP="000C6D98">
      <w:pPr>
        <w:pStyle w:val="FootnoteText"/>
        <w:rPr>
          <w:lang w:val="en-US"/>
        </w:rPr>
      </w:pPr>
      <w:r w:rsidRPr="00167334">
        <w:tab/>
      </w:r>
      <w:r w:rsidRPr="00116F0B">
        <w:rPr>
          <w:rStyle w:val="FootnoteReference"/>
        </w:rPr>
        <w:footnoteRef/>
      </w:r>
      <w:r>
        <w:tab/>
        <w:t>Measures to be implemented by July 2017.</w:t>
      </w:r>
    </w:p>
  </w:footnote>
  <w:footnote w:id="8">
    <w:p w:rsidR="004658E2" w:rsidRPr="00A56114" w:rsidRDefault="004658E2" w:rsidP="000C6D98">
      <w:pPr>
        <w:pStyle w:val="FootnoteText"/>
        <w:rPr>
          <w:lang w:val="en-US"/>
        </w:rPr>
      </w:pPr>
      <w:r w:rsidRPr="00167334">
        <w:tab/>
      </w:r>
      <w:r w:rsidRPr="00116F0B">
        <w:rPr>
          <w:rStyle w:val="FootnoteReference"/>
        </w:rPr>
        <w:footnoteRef/>
      </w:r>
      <w:r>
        <w:tab/>
        <w:t>Measures to be implemented from the second half of 2017 onward.</w:t>
      </w:r>
    </w:p>
  </w:footnote>
  <w:footnote w:id="9">
    <w:p w:rsidR="004658E2" w:rsidRPr="00A56114" w:rsidRDefault="004658E2" w:rsidP="000C6D98">
      <w:pPr>
        <w:pStyle w:val="FootnoteText"/>
        <w:rPr>
          <w:sz w:val="26"/>
          <w:vertAlign w:val="superscript"/>
          <w:lang w:val="en-US"/>
        </w:rPr>
      </w:pPr>
      <w:r>
        <w:tab/>
      </w:r>
      <w:r w:rsidRPr="00116F0B">
        <w:rPr>
          <w:rStyle w:val="FootnoteReference"/>
        </w:rPr>
        <w:footnoteRef/>
      </w:r>
      <w:r>
        <w:tab/>
        <w:t>Subcommittee on Prevention of Torture Visit to Chile undertaken from 4 to 13 April 2016: observations and recommendations addressed to the State party, CAT/OP/CHL/1, para. 132.</w:t>
      </w:r>
    </w:p>
  </w:footnote>
  <w:footnote w:id="10">
    <w:p w:rsidR="004658E2" w:rsidRPr="00A56114" w:rsidRDefault="004658E2" w:rsidP="000C6D98">
      <w:pPr>
        <w:pStyle w:val="FootnoteText"/>
        <w:rPr>
          <w:sz w:val="26"/>
          <w:vertAlign w:val="superscript"/>
          <w:lang w:val="en-US"/>
        </w:rPr>
      </w:pPr>
      <w:r w:rsidRPr="00167334">
        <w:tab/>
      </w:r>
      <w:r w:rsidRPr="00116F0B">
        <w:rPr>
          <w:rStyle w:val="FootnoteReference"/>
        </w:rPr>
        <w:footnoteRef/>
      </w:r>
      <w:r>
        <w:tab/>
        <w:t>Subcommittee on Prevention of Torture. Visit to Chile undertaken from 4 to 13 April 2016: observations and recommendations addressed to the State party, CAT/OP/CHL/1, paras. 10 and 133.</w:t>
      </w:r>
    </w:p>
  </w:footnote>
  <w:footnote w:id="11">
    <w:p w:rsidR="004658E2" w:rsidRPr="00A56114" w:rsidRDefault="004658E2" w:rsidP="000C6D98">
      <w:pPr>
        <w:pStyle w:val="FootnoteText"/>
        <w:rPr>
          <w:sz w:val="26"/>
          <w:vertAlign w:val="superscript"/>
          <w:lang w:val="en-US"/>
        </w:rPr>
      </w:pPr>
      <w:r w:rsidRPr="00167334">
        <w:tab/>
      </w:r>
      <w:r w:rsidRPr="00116F0B">
        <w:rPr>
          <w:rStyle w:val="FootnoteReference"/>
        </w:rPr>
        <w:footnoteRef/>
      </w:r>
      <w:r>
        <w:tab/>
        <w:t>According to article 2 of Act No. 19718 establishing the Public Criminal Defender Service, the purpose of the Service is to “defend persons who have been charged with or accused of a serious, ordinary or minor offence that is within the jurisdiction of a guarantees court or a criminal court that holds oral proceedings and the respective appeals courts and who do not have a lawyer”.</w:t>
      </w:r>
    </w:p>
  </w:footnote>
  <w:footnote w:id="12">
    <w:p w:rsidR="004658E2" w:rsidRPr="00A56114" w:rsidRDefault="004658E2" w:rsidP="000C6D98">
      <w:pPr>
        <w:pStyle w:val="FootnoteText"/>
        <w:rPr>
          <w:sz w:val="28"/>
          <w:vertAlign w:val="superscript"/>
          <w:lang w:val="en-US"/>
        </w:rPr>
      </w:pPr>
      <w:r w:rsidRPr="00167334">
        <w:tab/>
      </w:r>
      <w:r w:rsidRPr="00116F0B">
        <w:rPr>
          <w:rStyle w:val="FootnoteReference"/>
        </w:rPr>
        <w:footnoteRef/>
      </w:r>
      <w:r>
        <w:tab/>
        <w:t>According to article 1 of Decree-Law No. 2859 establishing the Organic Act on the Prison Service, the latter is “a public entity attached to the Ministry of Justice whose mandate, in addition to other functions defined by law, is to facilitate, promote and monitor the social reintegration of persons who, by decision of the competent authorities, have been detained or deprived of their liberty”.</w:t>
      </w:r>
    </w:p>
  </w:footnote>
  <w:footnote w:id="13">
    <w:p w:rsidR="004658E2" w:rsidRPr="00A56114" w:rsidRDefault="004658E2" w:rsidP="000C6D98">
      <w:pPr>
        <w:pStyle w:val="FootnoteText"/>
        <w:rPr>
          <w:sz w:val="28"/>
          <w:vertAlign w:val="superscript"/>
          <w:lang w:val="en-US"/>
        </w:rPr>
      </w:pPr>
      <w:r w:rsidRPr="00167334">
        <w:tab/>
      </w:r>
      <w:r w:rsidRPr="00116F0B">
        <w:rPr>
          <w:rStyle w:val="FootnoteReference"/>
        </w:rPr>
        <w:footnoteRef/>
      </w:r>
      <w:r>
        <w:tab/>
        <w:t>According to article 1 of Decree-Law No. 2465 establishing the National Service for Minors (SENAME) and the related Organic Act, this Service is “an entity attached to the Ministry of Justice that is responsible for helping to protect and promote the rights of children and adolescents whose rights have been violated and facilitating the social reintegration of young offenders”.</w:t>
      </w:r>
    </w:p>
  </w:footnote>
  <w:footnote w:id="14">
    <w:p w:rsidR="004658E2" w:rsidRPr="00A56114" w:rsidRDefault="004658E2" w:rsidP="000C6D98">
      <w:pPr>
        <w:pStyle w:val="FootnoteText"/>
        <w:rPr>
          <w:sz w:val="26"/>
          <w:vertAlign w:val="superscript"/>
          <w:lang w:val="en-US"/>
        </w:rPr>
      </w:pPr>
      <w:r w:rsidRPr="00167334">
        <w:tab/>
      </w:r>
      <w:r w:rsidRPr="00116F0B">
        <w:rPr>
          <w:rStyle w:val="FootnoteReference"/>
        </w:rPr>
        <w:footnoteRef/>
      </w:r>
      <w:r>
        <w:tab/>
        <w:t>Although there are other services attached to the Ministry of Justice and Human Rights, they were not required to participate, owing to the nature of the Subcommittee’s recommendations. The services involved established their own working groups to address the recommendations.</w:t>
      </w:r>
    </w:p>
  </w:footnote>
  <w:footnote w:id="15">
    <w:p w:rsidR="004658E2" w:rsidRPr="00A56114" w:rsidRDefault="004658E2" w:rsidP="000C6D98">
      <w:pPr>
        <w:pStyle w:val="FootnoteText"/>
        <w:rPr>
          <w:sz w:val="26"/>
          <w:vertAlign w:val="superscript"/>
          <w:lang w:val="en-US"/>
        </w:rPr>
      </w:pPr>
      <w:r w:rsidRPr="00167334">
        <w:tab/>
      </w:r>
      <w:r w:rsidRPr="00116F0B">
        <w:rPr>
          <w:rStyle w:val="FootnoteReference"/>
        </w:rPr>
        <w:footnoteRef/>
      </w:r>
      <w:r>
        <w:tab/>
        <w:t xml:space="preserve">These meetings were held at the Ministry of Justice and Human Rights on 3 October, 24 October and 14 November 2016. </w:t>
      </w:r>
    </w:p>
  </w:footnote>
  <w:footnote w:id="16">
    <w:p w:rsidR="004658E2" w:rsidRPr="00A56114" w:rsidRDefault="004658E2" w:rsidP="000C6D98">
      <w:pPr>
        <w:pStyle w:val="FootnoteText"/>
        <w:rPr>
          <w:lang w:val="en-US"/>
        </w:rPr>
      </w:pPr>
      <w:r w:rsidRPr="00167334">
        <w:tab/>
      </w:r>
      <w:r w:rsidRPr="00116F0B">
        <w:rPr>
          <w:rStyle w:val="FootnoteReference"/>
        </w:rPr>
        <w:footnoteRef/>
      </w:r>
      <w:r>
        <w:tab/>
        <w:t>One fact sheet was drawn up for each measure, which means that some recommendations correspond to more than one fact sheet.</w:t>
      </w:r>
    </w:p>
  </w:footnote>
  <w:footnote w:id="17">
    <w:p w:rsidR="004658E2" w:rsidRPr="00A56114" w:rsidRDefault="004658E2" w:rsidP="000C6D98">
      <w:pPr>
        <w:pStyle w:val="FootnoteText"/>
        <w:rPr>
          <w:sz w:val="26"/>
          <w:vertAlign w:val="superscript"/>
          <w:lang w:val="en-US"/>
        </w:rPr>
      </w:pPr>
      <w:r w:rsidRPr="00167334">
        <w:tab/>
      </w:r>
      <w:r w:rsidRPr="00116F0B">
        <w:rPr>
          <w:rStyle w:val="FootnoteReference"/>
        </w:rPr>
        <w:footnoteRef/>
      </w:r>
      <w:r>
        <w:tab/>
        <w:t>Article 24 (2) of the Optional Protocol provides that States may request twice to postpone the implementation of some of their obligations under the instrument, including the obligation to maintain, designate or establish a national preventive mechanism, for periods of three years and two years respectively.</w:t>
      </w:r>
    </w:p>
  </w:footnote>
  <w:footnote w:id="18">
    <w:p w:rsidR="004658E2" w:rsidRPr="00A56114" w:rsidRDefault="004658E2" w:rsidP="000C6D98">
      <w:pPr>
        <w:pStyle w:val="FootnoteText"/>
        <w:rPr>
          <w:sz w:val="26"/>
          <w:vertAlign w:val="superscript"/>
          <w:lang w:val="en-US"/>
        </w:rPr>
      </w:pPr>
      <w:r w:rsidRPr="00167334">
        <w:tab/>
      </w:r>
      <w:r w:rsidRPr="00116F0B">
        <w:rPr>
          <w:rStyle w:val="FootnoteReference"/>
        </w:rPr>
        <w:footnoteRef/>
      </w:r>
      <w:r>
        <w:tab/>
        <w:t>See Human Rights Committee, Sixth periodic report of Chile, CCPR/C/CHL/6, 12 September 2012, para. 52.</w:t>
      </w:r>
    </w:p>
  </w:footnote>
  <w:footnote w:id="19">
    <w:p w:rsidR="004658E2" w:rsidRPr="00A56114" w:rsidRDefault="004658E2" w:rsidP="00510528">
      <w:pPr>
        <w:pStyle w:val="FootnoteText"/>
        <w:spacing w:after="60"/>
        <w:rPr>
          <w:lang w:val="en-US"/>
        </w:rPr>
      </w:pPr>
      <w:r w:rsidRPr="00167334">
        <w:tab/>
      </w:r>
      <w:r w:rsidRPr="00116F0B">
        <w:rPr>
          <w:rStyle w:val="FootnoteReference"/>
        </w:rPr>
        <w:footnoteRef/>
      </w:r>
      <w:r>
        <w:tab/>
        <w:t>Article 150A, as amended, reads as follows:</w:t>
      </w:r>
    </w:p>
    <w:p w:rsidR="004658E2" w:rsidRPr="00A56114" w:rsidRDefault="004658E2" w:rsidP="00510528">
      <w:pPr>
        <w:pStyle w:val="FootnoteText"/>
        <w:tabs>
          <w:tab w:val="left" w:pos="1418"/>
        </w:tabs>
        <w:spacing w:after="60"/>
        <w:rPr>
          <w:lang w:val="en-US"/>
        </w:rPr>
      </w:pPr>
      <w:r>
        <w:tab/>
      </w:r>
      <w:r>
        <w:tab/>
      </w:r>
      <w:r>
        <w:tab/>
        <w:t>“Any public official who abuses his or her position or role by inflicting, instigating or consenting to the infliction of torture shall be sentenced to the minimum duration of long-term rigorous imprisonment. The same penalty shall be imposed on any public official who was aware that such acts were being committed and failed to prevent or stop the infliction of torture, despite having the capacity or authority to do so or being in a position to do so.</w:t>
      </w:r>
    </w:p>
    <w:p w:rsidR="004658E2" w:rsidRPr="00510528" w:rsidRDefault="004658E2" w:rsidP="00510528">
      <w:pPr>
        <w:pStyle w:val="FootnoteText"/>
        <w:tabs>
          <w:tab w:val="left" w:pos="1418"/>
        </w:tabs>
        <w:spacing w:after="60"/>
      </w:pPr>
      <w:r>
        <w:tab/>
      </w:r>
      <w:r>
        <w:tab/>
      </w:r>
      <w:r>
        <w:tab/>
        <w:t>The same penalty shall apply to any private individual who commits the acts referred to in this article, while acting in an official capacity, or at the instigation of or with the consent or acquiescence of a public official.</w:t>
      </w:r>
    </w:p>
    <w:p w:rsidR="004658E2" w:rsidRPr="00510528" w:rsidRDefault="004658E2" w:rsidP="00510528">
      <w:pPr>
        <w:pStyle w:val="FootnoteText"/>
        <w:tabs>
          <w:tab w:val="left" w:pos="1418"/>
        </w:tabs>
        <w:spacing w:after="60"/>
      </w:pPr>
      <w:r>
        <w:tab/>
      </w:r>
      <w:r>
        <w:tab/>
      </w:r>
      <w:r>
        <w:tab/>
        <w:t>Torture shall mean any act by which severe pain or suffering, whether physical, sexual or mental, is intentionally inflicted on a person for such purposes as obtaining information, a statement or a confession from him or a third person, punishing him for an act he has committed or is suspected of having committed, or intimidating or coercing him, or for any reason based on discrimination, on grounds such as ideology, political views, religion, beliefs, nationality, race, ethnicity, social group, sex, sexual orientation, gender identity, age, filiation, personal appearance, state of health or disability.</w:t>
      </w:r>
    </w:p>
    <w:p w:rsidR="004658E2" w:rsidRPr="00A56114" w:rsidRDefault="004658E2" w:rsidP="00510528">
      <w:pPr>
        <w:pStyle w:val="FootnoteText"/>
        <w:tabs>
          <w:tab w:val="left" w:pos="1418"/>
        </w:tabs>
        <w:rPr>
          <w:lang w:val="en-US"/>
        </w:rPr>
      </w:pPr>
      <w:r>
        <w:tab/>
      </w:r>
      <w:r>
        <w:tab/>
      </w:r>
      <w:r>
        <w:tab/>
        <w:t>Torture shall also mean the use of methods intended to obliterate the personality of the victim or to diminish his will or his capacity to make judgments or decisions, for any of the purposes mentioned in the previous paragraph. These acts shall be punishable by the maximum duration of medium-term rigorous imprisonment.”</w:t>
      </w:r>
    </w:p>
  </w:footnote>
  <w:footnote w:id="20">
    <w:p w:rsidR="004658E2" w:rsidRPr="00A56114" w:rsidRDefault="004658E2" w:rsidP="000C6D98">
      <w:pPr>
        <w:pStyle w:val="FootnoteText"/>
        <w:rPr>
          <w:lang w:val="en-US"/>
        </w:rPr>
      </w:pPr>
      <w:r w:rsidRPr="00167334">
        <w:tab/>
      </w:r>
      <w:r w:rsidRPr="00116F0B">
        <w:rPr>
          <w:rStyle w:val="FootnoteReference"/>
        </w:rPr>
        <w:footnoteRef/>
      </w:r>
      <w:r>
        <w:tab/>
        <w:t>Article 150D reads as follows:</w:t>
      </w:r>
    </w:p>
    <w:p w:rsidR="004658E2" w:rsidRPr="00510528" w:rsidRDefault="004658E2" w:rsidP="00510528">
      <w:pPr>
        <w:pStyle w:val="FootnoteText"/>
        <w:tabs>
          <w:tab w:val="left" w:pos="1418"/>
        </w:tabs>
        <w:spacing w:after="60"/>
      </w:pPr>
      <w:r>
        <w:tab/>
      </w:r>
      <w:r>
        <w:tab/>
      </w:r>
      <w:r>
        <w:tab/>
        <w:t>“Any public official who abuses his or her position or role by inflicting, instigating or consenting to the infliction of unlawful coercion or other cruel, inhuman or degrading treatment which does not amount to torture shall be sentenced to medium-term rigorous imprisonment, of medium to maximum duration, and the corresponding accessory penalty. The same penalty shall be imposed on any public official who was aware that such acts were being committed and failed to prevent or stop the infliction of unlawful coercion or other cruel, inhuman or degrading treatment, despite having the capacity or authority to do so or being in a position to do so.</w:t>
      </w:r>
    </w:p>
    <w:p w:rsidR="004658E2" w:rsidRPr="00510528" w:rsidRDefault="004658E2" w:rsidP="00510528">
      <w:pPr>
        <w:pStyle w:val="FootnoteText"/>
        <w:tabs>
          <w:tab w:val="left" w:pos="1418"/>
        </w:tabs>
        <w:spacing w:after="60"/>
      </w:pPr>
      <w:r>
        <w:tab/>
      </w:r>
      <w:r>
        <w:tab/>
      </w:r>
      <w:r>
        <w:tab/>
        <w:t>If the offences described in the previous paragraph are committed against a minor or a person in a vulnerable situation on account of disability, illness or old age, or against a person who is under the care, custody or control of the public official, the penalty shall be increased by one degree.</w:t>
      </w:r>
    </w:p>
    <w:p w:rsidR="004658E2" w:rsidRPr="00A56114" w:rsidRDefault="004658E2" w:rsidP="00510528">
      <w:pPr>
        <w:pStyle w:val="FootnoteText"/>
        <w:tabs>
          <w:tab w:val="left" w:pos="1418"/>
        </w:tabs>
        <w:spacing w:after="60"/>
        <w:rPr>
          <w:lang w:val="en-US"/>
        </w:rPr>
      </w:pPr>
      <w:r>
        <w:tab/>
      </w:r>
      <w:r>
        <w:tab/>
      </w:r>
      <w:r>
        <w:tab/>
        <w:t>Discomfort or suffering arising only from, inherent in or incidental to lawful sanctions, or arising from a legitimate act of authority, shall not be considered unlawful coercion or other cruel, inhuman or degrading treatment.</w:t>
      </w:r>
    </w:p>
    <w:p w:rsidR="004658E2" w:rsidRPr="00A56114" w:rsidRDefault="004658E2" w:rsidP="00510528">
      <w:pPr>
        <w:pStyle w:val="FootnoteText"/>
        <w:tabs>
          <w:tab w:val="left" w:pos="1418"/>
        </w:tabs>
        <w:rPr>
          <w:lang w:val="en-US"/>
        </w:rPr>
      </w:pPr>
      <w:r>
        <w:tab/>
      </w:r>
      <w:r>
        <w:tab/>
      </w:r>
      <w:r>
        <w:tab/>
        <w:t>Without prejudice to the above provisions, if the acts constitute one or several offences of a more serious nature, the penalty applicable to those offences shall apply.”</w:t>
      </w:r>
    </w:p>
  </w:footnote>
  <w:footnote w:id="21">
    <w:p w:rsidR="004658E2" w:rsidRPr="00A56114" w:rsidRDefault="004658E2" w:rsidP="000C6D98">
      <w:pPr>
        <w:pStyle w:val="FootnoteText"/>
        <w:rPr>
          <w:lang w:val="en-US"/>
        </w:rPr>
      </w:pPr>
      <w:r w:rsidRPr="00167334">
        <w:tab/>
      </w:r>
      <w:r w:rsidRPr="00116F0B">
        <w:rPr>
          <w:rStyle w:val="FootnoteReference"/>
        </w:rPr>
        <w:footnoteRef/>
      </w:r>
      <w:r>
        <w:tab/>
        <w:t>In particular, article 466 of the Code of Criminal Procedure, concerning participants in hearings, provides that during the execution of the sentence or the security measure, the only persons entitled to be heard by the competent due process judge shall be the public prosecutor, the defendant, his or her defence counsel and the officer responsible for overseeing the execution of a non-custodial penalty of community service, probation or intensive probation, as appropriate.</w:t>
      </w:r>
    </w:p>
  </w:footnote>
  <w:footnote w:id="22">
    <w:p w:rsidR="004658E2" w:rsidRPr="00A56114" w:rsidRDefault="004658E2" w:rsidP="000C6D98">
      <w:pPr>
        <w:pStyle w:val="FootnoteText"/>
        <w:rPr>
          <w:sz w:val="26"/>
          <w:vertAlign w:val="superscript"/>
          <w:lang w:val="en-US"/>
        </w:rPr>
      </w:pPr>
      <w:r w:rsidRPr="00167334">
        <w:tab/>
      </w:r>
      <w:r w:rsidRPr="00116F0B">
        <w:rPr>
          <w:rStyle w:val="FootnoteReference"/>
        </w:rPr>
        <w:footnoteRef/>
      </w:r>
      <w:r>
        <w:tab/>
        <w:t xml:space="preserve">Including the </w:t>
      </w:r>
      <w:proofErr w:type="spellStart"/>
      <w:r>
        <w:t>Rapporteurship</w:t>
      </w:r>
      <w:proofErr w:type="spellEnd"/>
      <w:r>
        <w:t xml:space="preserve"> on the Rights of Persons Deprived of Liberty of the Inter-American Commission on Human Rights after a visit to Chile in 2008, the National Human Rights Institute (2010 and 2011 annual reports on the human rights situation in Chile) and the Prison Reform Council (2010). </w:t>
      </w:r>
    </w:p>
  </w:footnote>
  <w:footnote w:id="23">
    <w:p w:rsidR="004658E2" w:rsidRPr="00A56114" w:rsidRDefault="004658E2" w:rsidP="000C6D98">
      <w:pPr>
        <w:pStyle w:val="FootnoteText"/>
        <w:rPr>
          <w:lang w:val="en-US"/>
        </w:rPr>
      </w:pPr>
      <w:r w:rsidRPr="00167334">
        <w:tab/>
      </w:r>
      <w:r w:rsidRPr="00116F0B">
        <w:rPr>
          <w:rStyle w:val="FootnoteReference"/>
        </w:rPr>
        <w:footnoteRef/>
      </w:r>
      <w:r>
        <w:tab/>
        <w:t>Supreme Court, case No. 92.795-16, judgment of 1 December 2016, operative paragraph 3.</w:t>
      </w:r>
    </w:p>
  </w:footnote>
  <w:footnote w:id="24">
    <w:p w:rsidR="004658E2" w:rsidRPr="00A56114" w:rsidRDefault="004658E2" w:rsidP="000C6D98">
      <w:pPr>
        <w:pStyle w:val="FootnoteText"/>
        <w:rPr>
          <w:lang w:val="en-US"/>
        </w:rPr>
      </w:pPr>
      <w:r w:rsidRPr="00167334">
        <w:tab/>
      </w:r>
      <w:r w:rsidRPr="00116F0B">
        <w:rPr>
          <w:rStyle w:val="FootnoteReference"/>
        </w:rPr>
        <w:footnoteRef/>
      </w:r>
      <w:r>
        <w:tab/>
        <w:t>Exempt resolutions Nos. 0321/B and 0224/B, supplemented by Circular No. 15 of SENAME, remain in force.</w:t>
      </w:r>
    </w:p>
  </w:footnote>
  <w:footnote w:id="25">
    <w:p w:rsidR="004658E2" w:rsidRPr="00A56114" w:rsidRDefault="004658E2" w:rsidP="000C6D98">
      <w:pPr>
        <w:pStyle w:val="FootnoteText"/>
        <w:rPr>
          <w:sz w:val="26"/>
          <w:vertAlign w:val="superscript"/>
          <w:lang w:val="en-US"/>
        </w:rPr>
      </w:pPr>
      <w:r w:rsidRPr="00167334">
        <w:tab/>
      </w:r>
      <w:r w:rsidRPr="00116F0B">
        <w:rPr>
          <w:rStyle w:val="FootnoteReference"/>
        </w:rPr>
        <w:footnoteRef/>
      </w:r>
      <w:r>
        <w:tab/>
        <w:t>Right No. 9, paragraph 2 of Circular No. 15 of SENAME, dated 23 May 2007.</w:t>
      </w:r>
    </w:p>
  </w:footnote>
  <w:footnote w:id="26">
    <w:p w:rsidR="004658E2" w:rsidRPr="00167334" w:rsidRDefault="004658E2" w:rsidP="000C6D98">
      <w:pPr>
        <w:pStyle w:val="FootnoteText"/>
      </w:pPr>
      <w:r w:rsidRPr="00167334">
        <w:tab/>
      </w:r>
      <w:r w:rsidRPr="00116F0B">
        <w:rPr>
          <w:rStyle w:val="FootnoteReference"/>
        </w:rPr>
        <w:footnoteRef/>
      </w:r>
      <w:r w:rsidRPr="00A56114">
        <w:rPr>
          <w:lang w:val="es-ES"/>
        </w:rPr>
        <w:tab/>
        <w:t>Programa de Gobierno de la Presidenta Michelle Bachelet Jeria, p. 174.</w:t>
      </w:r>
    </w:p>
  </w:footnote>
  <w:footnote w:id="27">
    <w:p w:rsidR="004658E2" w:rsidRPr="003751FF" w:rsidRDefault="004658E2" w:rsidP="00A634C8">
      <w:pPr>
        <w:pStyle w:val="FootnoteText"/>
        <w:spacing w:after="60"/>
      </w:pPr>
      <w:r w:rsidRPr="00A56114">
        <w:rPr>
          <w:lang w:val="es-ES"/>
        </w:rPr>
        <w:tab/>
      </w:r>
      <w:r w:rsidRPr="00116F0B">
        <w:rPr>
          <w:rStyle w:val="FootnoteReference"/>
        </w:rPr>
        <w:footnoteRef/>
      </w:r>
      <w:r>
        <w:tab/>
        <w:t xml:space="preserve">Similarly, articles 13 and 14, which relate to the penalties of probation and special probation, underline the importance of offenders adhering to a personal development plan structured around programmes and services designed to promote their social integration and attending intensive </w:t>
      </w:r>
      <w:proofErr w:type="spellStart"/>
      <w:r>
        <w:t>socioeducational</w:t>
      </w:r>
      <w:proofErr w:type="spellEnd"/>
      <w:r>
        <w:t xml:space="preserve"> and community-based social reintegration programmes that will allow them to participate in formal education and employment training, having access to treatment for drug abuse and rehabilitation programmes and strengthening links with their families or responsible adults, respectively.</w:t>
      </w:r>
    </w:p>
    <w:p w:rsidR="004658E2" w:rsidRPr="003751FF" w:rsidRDefault="004658E2" w:rsidP="00A634C8">
      <w:pPr>
        <w:pStyle w:val="FootnoteText"/>
        <w:tabs>
          <w:tab w:val="left" w:pos="1418"/>
        </w:tabs>
      </w:pPr>
      <w:r>
        <w:tab/>
      </w:r>
      <w:r>
        <w:tab/>
      </w:r>
      <w:r>
        <w:tab/>
        <w:t xml:space="preserve">Articles 16 and 17, which set out the custodial penalties of imprisonment in either a semi-open or closed institution, provide for allowing offenders to engage periodically in training, </w:t>
      </w:r>
      <w:proofErr w:type="spellStart"/>
      <w:r>
        <w:t>socioeducational</w:t>
      </w:r>
      <w:proofErr w:type="spellEnd"/>
      <w:r>
        <w:t xml:space="preserve"> and group activities, both inside and outside the institution, and fully guarantee their right to continue with basic, secondary, or specialized studies, including through their return to school, and to participate in </w:t>
      </w:r>
      <w:proofErr w:type="spellStart"/>
      <w:r>
        <w:t>socioeducational</w:t>
      </w:r>
      <w:proofErr w:type="spellEnd"/>
      <w:r>
        <w:t>, training, job training and personal development activities.</w:t>
      </w:r>
    </w:p>
  </w:footnote>
  <w:footnote w:id="28">
    <w:p w:rsidR="004658E2" w:rsidRPr="000527E7" w:rsidRDefault="004658E2" w:rsidP="000C6D98">
      <w:pPr>
        <w:pStyle w:val="FootnoteText"/>
      </w:pPr>
      <w:r w:rsidRPr="003751FF">
        <w:tab/>
      </w:r>
      <w:r w:rsidRPr="00116F0B">
        <w:rPr>
          <w:rStyle w:val="FootnoteReference"/>
        </w:rPr>
        <w:footnoteRef/>
      </w:r>
      <w:r w:rsidRPr="00B23C6F">
        <w:tab/>
      </w:r>
      <w:r w:rsidRPr="000527E7">
        <w:t>The initiative covered women who, at the time of publication of the Act, had been convicted and deprived of their liberty and who had exhibited good behaviour and met other requirements; persons deprived of their liberty who, at that time, were serving a sentence with the right to supervised release; persons deprived of their liberty who were serving a sentence through night-time confinement; and lastly, foreign nationals deprived of their liberty. With regard to this last category, it should be noted that deprivation of liberty was replaced by special deportation to their country of origin.</w:t>
      </w:r>
    </w:p>
  </w:footnote>
  <w:footnote w:id="29">
    <w:p w:rsidR="004658E2" w:rsidRPr="00FB2497" w:rsidRDefault="004658E2" w:rsidP="00A634C8">
      <w:pPr>
        <w:pStyle w:val="FootnoteText"/>
        <w:tabs>
          <w:tab w:val="left" w:pos="1418"/>
        </w:tabs>
        <w:spacing w:after="60"/>
      </w:pPr>
      <w:r w:rsidRPr="00B23C6F">
        <w:tab/>
      </w:r>
      <w:r w:rsidRPr="00116F0B">
        <w:rPr>
          <w:rStyle w:val="FootnoteReference"/>
        </w:rPr>
        <w:footnoteRef/>
      </w:r>
      <w:r w:rsidRPr="00FB2497">
        <w:tab/>
      </w:r>
      <w:r>
        <w:t>Act</w:t>
      </w:r>
      <w:r w:rsidRPr="00FB2497">
        <w:t xml:space="preserve"> </w:t>
      </w:r>
      <w:r>
        <w:t>No. 20931 incorporates the duty</w:t>
      </w:r>
      <w:r w:rsidRPr="00FB2497">
        <w:t xml:space="preserve"> of the </w:t>
      </w:r>
      <w:proofErr w:type="spellStart"/>
      <w:r>
        <w:t>Carabineros</w:t>
      </w:r>
      <w:proofErr w:type="spellEnd"/>
      <w:r>
        <w:t>,</w:t>
      </w:r>
      <w:r w:rsidRPr="00FB2497">
        <w:t xml:space="preserve"> the I</w:t>
      </w:r>
      <w:r>
        <w:t>nvestigative</w:t>
      </w:r>
      <w:r w:rsidRPr="00FB2497">
        <w:t xml:space="preserve"> Police and the </w:t>
      </w:r>
      <w:r>
        <w:t>Public Prosecution Service</w:t>
      </w:r>
      <w:r w:rsidRPr="00FB2497">
        <w:t xml:space="preserve"> to systematize information on the application of these </w:t>
      </w:r>
      <w:r>
        <w:t xml:space="preserve">measures, as set out in the </w:t>
      </w:r>
      <w:r w:rsidRPr="00FB2497">
        <w:t xml:space="preserve">eighth and ninth </w:t>
      </w:r>
      <w:r>
        <w:t>paragraphs</w:t>
      </w:r>
      <w:r w:rsidRPr="00FB2497">
        <w:t xml:space="preserve"> </w:t>
      </w:r>
      <w:r>
        <w:t xml:space="preserve">of </w:t>
      </w:r>
      <w:r w:rsidRPr="00FB2497">
        <w:t xml:space="preserve">article 12 </w:t>
      </w:r>
      <w:proofErr w:type="spellStart"/>
      <w:r w:rsidRPr="00FB2497">
        <w:t>ter</w:t>
      </w:r>
      <w:proofErr w:type="spellEnd"/>
      <w:r w:rsidRPr="00FB2497">
        <w:t xml:space="preserve"> of Act No. 19665, amend</w:t>
      </w:r>
      <w:r>
        <w:t>ing</w:t>
      </w:r>
      <w:r w:rsidRPr="00FB2497">
        <w:t xml:space="preserve"> the </w:t>
      </w:r>
      <w:r>
        <w:t>Courts Organization Code. Those paragraphs provide that</w:t>
      </w:r>
      <w:r w:rsidRPr="00FB2497">
        <w:t>:</w:t>
      </w:r>
    </w:p>
    <w:p w:rsidR="004658E2" w:rsidRPr="00A57A39" w:rsidRDefault="004658E2" w:rsidP="00A634C8">
      <w:pPr>
        <w:pStyle w:val="FootnoteText"/>
        <w:tabs>
          <w:tab w:val="left" w:pos="1418"/>
        </w:tabs>
        <w:spacing w:after="60"/>
      </w:pPr>
      <w:r w:rsidRPr="00FB2497">
        <w:tab/>
      </w:r>
      <w:r w:rsidRPr="00FB2497">
        <w:tab/>
      </w:r>
      <w:r w:rsidRPr="00FB2497">
        <w:tab/>
      </w:r>
      <w:r w:rsidRPr="00A57A39">
        <w:t>“</w:t>
      </w:r>
      <w:r>
        <w:t>I</w:t>
      </w:r>
      <w:r w:rsidRPr="00A57A39">
        <w:t>n order to analy</w:t>
      </w:r>
      <w:r>
        <w:t>s</w:t>
      </w:r>
      <w:r w:rsidRPr="00A57A39">
        <w:t xml:space="preserve">e the evolution of the </w:t>
      </w:r>
      <w:r>
        <w:t>system of criminal procedure</w:t>
      </w:r>
      <w:r w:rsidRPr="00A57A39">
        <w:t xml:space="preserve">, make </w:t>
      </w:r>
      <w:r>
        <w:t>any</w:t>
      </w:r>
      <w:r w:rsidRPr="00A57A39">
        <w:t xml:space="preserve"> necessary improvements and </w:t>
      </w:r>
      <w:r>
        <w:t xml:space="preserve">increase the effectiveness of </w:t>
      </w:r>
      <w:r w:rsidRPr="00A57A39">
        <w:t xml:space="preserve">criminal prosecution, the </w:t>
      </w:r>
      <w:r>
        <w:t>Attorney General</w:t>
      </w:r>
      <w:r w:rsidRPr="00A57A39">
        <w:t xml:space="preserve"> of the </w:t>
      </w:r>
      <w:r>
        <w:t>Public Prosecution Service</w:t>
      </w:r>
      <w:r w:rsidRPr="00A57A39">
        <w:t>, the Director</w:t>
      </w:r>
      <w:r>
        <w:t xml:space="preserve">-General </w:t>
      </w:r>
      <w:r w:rsidRPr="00A57A39">
        <w:t>of</w:t>
      </w:r>
      <w:r>
        <w:t xml:space="preserve"> </w:t>
      </w:r>
      <w:proofErr w:type="spellStart"/>
      <w:r w:rsidRPr="00A57A39">
        <w:t>Carabineros</w:t>
      </w:r>
      <w:proofErr w:type="spellEnd"/>
      <w:r w:rsidRPr="00A57A39">
        <w:t xml:space="preserve"> </w:t>
      </w:r>
      <w:r>
        <w:t xml:space="preserve">de Chile </w:t>
      </w:r>
      <w:r w:rsidRPr="00A57A39">
        <w:t>and the</w:t>
      </w:r>
      <w:r>
        <w:t xml:space="preserve"> Director-General of the Investigative</w:t>
      </w:r>
      <w:r w:rsidRPr="00A57A39">
        <w:t xml:space="preserve"> Police </w:t>
      </w:r>
      <w:r>
        <w:t>of Ch</w:t>
      </w:r>
      <w:r w:rsidRPr="00A57A39">
        <w:t xml:space="preserve">ile </w:t>
      </w:r>
      <w:r>
        <w:t>s</w:t>
      </w:r>
      <w:r w:rsidRPr="00A57A39">
        <w:t xml:space="preserve">hall forward to the </w:t>
      </w:r>
      <w:r>
        <w:t xml:space="preserve">Coordinating </w:t>
      </w:r>
      <w:r w:rsidRPr="00A57A39">
        <w:t>Commi</w:t>
      </w:r>
      <w:r>
        <w:t>ttee</w:t>
      </w:r>
      <w:r w:rsidRPr="00A57A39">
        <w:t xml:space="preserve"> and the National Council</w:t>
      </w:r>
      <w:r>
        <w:t xml:space="preserve"> for </w:t>
      </w:r>
      <w:r w:rsidRPr="00A57A39">
        <w:t>Public Security, prior to the regular meetings</w:t>
      </w:r>
      <w:r>
        <w:t xml:space="preserve"> of the Committee and the Council held</w:t>
      </w:r>
      <w:r w:rsidRPr="00A57A39">
        <w:t xml:space="preserve"> in May and October of each year, a</w:t>
      </w:r>
      <w:r>
        <w:t>n</w:t>
      </w:r>
      <w:r w:rsidRPr="00A57A39">
        <w:t xml:space="preserve"> </w:t>
      </w:r>
      <w:r>
        <w:t>analysis</w:t>
      </w:r>
      <w:r w:rsidRPr="00A57A39">
        <w:t xml:space="preserve"> </w:t>
      </w:r>
      <w:r>
        <w:t xml:space="preserve">of the progress made towards the fulfilment of </w:t>
      </w:r>
      <w:r w:rsidRPr="00A57A39">
        <w:t xml:space="preserve">their institutional purposes </w:t>
      </w:r>
      <w:r>
        <w:t>as they relate</w:t>
      </w:r>
      <w:r w:rsidRPr="00A57A39">
        <w:t xml:space="preserve"> to </w:t>
      </w:r>
      <w:r>
        <w:t>c</w:t>
      </w:r>
      <w:r w:rsidRPr="00A57A39">
        <w:t>riminal prosecution.</w:t>
      </w:r>
    </w:p>
    <w:p w:rsidR="004658E2" w:rsidRPr="00412D74" w:rsidRDefault="004658E2" w:rsidP="00A634C8">
      <w:pPr>
        <w:pStyle w:val="FootnoteText"/>
        <w:tabs>
          <w:tab w:val="left" w:pos="1418"/>
        </w:tabs>
      </w:pPr>
      <w:r w:rsidRPr="00A57A39">
        <w:tab/>
      </w:r>
      <w:r w:rsidRPr="00A57A39">
        <w:tab/>
      </w:r>
      <w:r w:rsidRPr="00A57A39">
        <w:tab/>
      </w:r>
      <w:r>
        <w:t>“</w:t>
      </w:r>
      <w:r w:rsidRPr="00412D74">
        <w:t xml:space="preserve">According to the information </w:t>
      </w:r>
      <w:r>
        <w:t>available to</w:t>
      </w:r>
      <w:r w:rsidRPr="00412D74">
        <w:t xml:space="preserve"> each institution, the </w:t>
      </w:r>
      <w:r>
        <w:t>analysis</w:t>
      </w:r>
      <w:r w:rsidRPr="00412D74">
        <w:t xml:space="preserve"> shall contain</w:t>
      </w:r>
      <w:r>
        <w:t>,</w:t>
      </w:r>
      <w:r w:rsidRPr="00412D74">
        <w:t xml:space="preserve"> at </w:t>
      </w:r>
      <w:r>
        <w:t xml:space="preserve">the very </w:t>
      </w:r>
      <w:r w:rsidRPr="00412D74">
        <w:t>least</w:t>
      </w:r>
      <w:r>
        <w:t>,</w:t>
      </w:r>
      <w:r w:rsidRPr="00412D74">
        <w:t xml:space="preserve"> statistics on the number of c</w:t>
      </w:r>
      <w:r>
        <w:t>omplaints received by category</w:t>
      </w:r>
      <w:r w:rsidRPr="00412D74">
        <w:t xml:space="preserve"> of </w:t>
      </w:r>
      <w:r>
        <w:t xml:space="preserve">principal </w:t>
      </w:r>
      <w:r w:rsidRPr="00412D74">
        <w:t>offen</w:t>
      </w:r>
      <w:r>
        <w:t>ce</w:t>
      </w:r>
      <w:r w:rsidRPr="00412D74">
        <w:t xml:space="preserve">, </w:t>
      </w:r>
      <w:r>
        <w:t>convictions</w:t>
      </w:r>
      <w:r w:rsidRPr="00412D74">
        <w:t xml:space="preserve">, </w:t>
      </w:r>
      <w:r>
        <w:t>temporary suspensions</w:t>
      </w:r>
      <w:r w:rsidRPr="00412D74">
        <w:t xml:space="preserve">, decisions not to </w:t>
      </w:r>
      <w:r>
        <w:t>proceed, charges brought, arrests made</w:t>
      </w:r>
      <w:r w:rsidRPr="00412D74">
        <w:t xml:space="preserve">, </w:t>
      </w:r>
      <w:r>
        <w:t xml:space="preserve">pending </w:t>
      </w:r>
      <w:r w:rsidRPr="00412D74">
        <w:t>arrest warrants</w:t>
      </w:r>
      <w:r>
        <w:t>,</w:t>
      </w:r>
      <w:r w:rsidRPr="00412D74">
        <w:t xml:space="preserve"> </w:t>
      </w:r>
      <w:r>
        <w:t xml:space="preserve">temporary </w:t>
      </w:r>
      <w:r w:rsidRPr="00412D74">
        <w:t xml:space="preserve">suspensions of </w:t>
      </w:r>
      <w:r>
        <w:t>proceedings</w:t>
      </w:r>
      <w:r w:rsidRPr="00412D74">
        <w:t xml:space="preserve">, </w:t>
      </w:r>
      <w:r>
        <w:t>plea bargaining, stays</w:t>
      </w:r>
      <w:r w:rsidRPr="00412D74">
        <w:t xml:space="preserve">, decisions ordering </w:t>
      </w:r>
      <w:proofErr w:type="spellStart"/>
      <w:r w:rsidRPr="00412D74">
        <w:t>pretrial</w:t>
      </w:r>
      <w:proofErr w:type="spellEnd"/>
      <w:r w:rsidRPr="00412D74">
        <w:t xml:space="preserve"> detention, </w:t>
      </w:r>
      <w:r>
        <w:t xml:space="preserve">accused persons in </w:t>
      </w:r>
      <w:proofErr w:type="spellStart"/>
      <w:r>
        <w:t>pretrial</w:t>
      </w:r>
      <w:proofErr w:type="spellEnd"/>
      <w:r>
        <w:t xml:space="preserve"> detention </w:t>
      </w:r>
      <w:r w:rsidRPr="00412D74">
        <w:t xml:space="preserve">and </w:t>
      </w:r>
      <w:r>
        <w:t>persons subject to a pending arrest warrant for non-compliance with provisional measures</w:t>
      </w:r>
      <w:r w:rsidRPr="00412D74">
        <w:t xml:space="preserve">. These statistics </w:t>
      </w:r>
      <w:r>
        <w:t>shall</w:t>
      </w:r>
      <w:r w:rsidRPr="00412D74">
        <w:t xml:space="preserve"> contain </w:t>
      </w:r>
      <w:r>
        <w:t xml:space="preserve">any </w:t>
      </w:r>
      <w:r w:rsidRPr="00412D74">
        <w:t xml:space="preserve">additional information </w:t>
      </w:r>
      <w:r>
        <w:t>necessary to</w:t>
      </w:r>
      <w:r w:rsidRPr="00412D74">
        <w:t xml:space="preserve"> </w:t>
      </w:r>
      <w:r>
        <w:t xml:space="preserve">promote a better understanding of </w:t>
      </w:r>
      <w:r w:rsidRPr="00412D74">
        <w:t xml:space="preserve">the data provided, </w:t>
      </w:r>
      <w:r>
        <w:t xml:space="preserve">including an explanation as to how they demonstrate the fulfilment of </w:t>
      </w:r>
      <w:r w:rsidRPr="00412D74">
        <w:t xml:space="preserve">the institutional purposes of the reporting </w:t>
      </w:r>
      <w:r>
        <w:t>entities</w:t>
      </w:r>
      <w:r w:rsidRPr="00412D74">
        <w:t>.”</w:t>
      </w:r>
    </w:p>
  </w:footnote>
  <w:footnote w:id="30">
    <w:p w:rsidR="004658E2" w:rsidRPr="0086103B" w:rsidRDefault="004658E2" w:rsidP="002B455D">
      <w:pPr>
        <w:pStyle w:val="FootnoteText"/>
      </w:pPr>
      <w:r w:rsidRPr="00412D74">
        <w:tab/>
      </w:r>
      <w:r w:rsidRPr="00116F0B">
        <w:rPr>
          <w:rStyle w:val="FootnoteReference"/>
        </w:rPr>
        <w:footnoteRef/>
      </w:r>
      <w:r w:rsidR="002B455D">
        <w:tab/>
      </w:r>
      <w:r w:rsidRPr="00313322">
        <w:t xml:space="preserve">The </w:t>
      </w:r>
      <w:r>
        <w:t xml:space="preserve">proportion of the </w:t>
      </w:r>
      <w:r w:rsidRPr="00313322">
        <w:t>population in alternative residential care has been declining. In 2009, the program</w:t>
      </w:r>
      <w:r>
        <w:t>me</w:t>
      </w:r>
      <w:r w:rsidRPr="00313322">
        <w:t xml:space="preserve"> </w:t>
      </w:r>
      <w:r>
        <w:t>benefited 1</w:t>
      </w:r>
      <w:r w:rsidRPr="00313322">
        <w:t>7,855 children</w:t>
      </w:r>
      <w:r>
        <w:t xml:space="preserve"> and adolescents</w:t>
      </w:r>
      <w:r w:rsidRPr="00313322">
        <w:t>, while in 2015</w:t>
      </w:r>
      <w:r>
        <w:t>,</w:t>
      </w:r>
      <w:r w:rsidRPr="00313322">
        <w:t xml:space="preserve"> the </w:t>
      </w:r>
      <w:r>
        <w:t>number</w:t>
      </w:r>
      <w:r w:rsidRPr="00313322">
        <w:t xml:space="preserve"> </w:t>
      </w:r>
      <w:r>
        <w:t xml:space="preserve">dropped </w:t>
      </w:r>
      <w:r w:rsidRPr="00313322">
        <w:t xml:space="preserve">to 10,630. </w:t>
      </w:r>
      <w:r w:rsidRPr="0086103B">
        <w:t xml:space="preserve">Data provided by </w:t>
      </w:r>
      <w:r>
        <w:t xml:space="preserve">SENAME. </w:t>
      </w:r>
    </w:p>
  </w:footnote>
  <w:footnote w:id="31">
    <w:p w:rsidR="004658E2" w:rsidRPr="0086103B" w:rsidRDefault="004658E2" w:rsidP="000C6D98">
      <w:pPr>
        <w:pStyle w:val="FootnoteText"/>
      </w:pPr>
      <w:r w:rsidRPr="0086103B">
        <w:tab/>
      </w:r>
      <w:r w:rsidRPr="0086103B">
        <w:tab/>
      </w:r>
      <w:r w:rsidRPr="00116F0B">
        <w:rPr>
          <w:rStyle w:val="FootnoteReference"/>
        </w:rPr>
        <w:footnoteRef/>
      </w:r>
      <w:r w:rsidRPr="0086103B">
        <w:t xml:space="preserve"> </w:t>
      </w:r>
      <w:r w:rsidRPr="00432E3F">
        <w:t>Meanwhile, the number of children and adol</w:t>
      </w:r>
      <w:r>
        <w:t>escents benefiting from the foster</w:t>
      </w:r>
      <w:r w:rsidRPr="00432E3F">
        <w:t xml:space="preserve"> fa</w:t>
      </w:r>
      <w:r>
        <w:t>mily system has been increasing; i</w:t>
      </w:r>
      <w:r w:rsidRPr="00432E3F">
        <w:t xml:space="preserve">n 2009, it benefited 3,598 children </w:t>
      </w:r>
      <w:r>
        <w:t>and adolescents,</w:t>
      </w:r>
      <w:r w:rsidRPr="00432E3F">
        <w:t xml:space="preserve"> while in 2015, </w:t>
      </w:r>
      <w:r>
        <w:t xml:space="preserve">it benefited </w:t>
      </w:r>
      <w:r w:rsidRPr="00432E3F">
        <w:t>6,028.</w:t>
      </w:r>
    </w:p>
  </w:footnote>
  <w:footnote w:id="32">
    <w:p w:rsidR="004658E2" w:rsidRPr="00A56114" w:rsidRDefault="004658E2" w:rsidP="000C6D98">
      <w:pPr>
        <w:pStyle w:val="FootnoteText"/>
        <w:rPr>
          <w:lang w:val="en-US"/>
        </w:rPr>
      </w:pPr>
      <w:r>
        <w:tab/>
      </w:r>
      <w:r w:rsidRPr="00116F0B">
        <w:rPr>
          <w:rStyle w:val="FootnoteReference"/>
        </w:rPr>
        <w:footnoteRef/>
      </w:r>
      <w:r>
        <w:tab/>
        <w:t>The framework cooperation agreement was signed on 1 August 2016 and has an indefinite duration.</w:t>
      </w:r>
    </w:p>
  </w:footnote>
  <w:footnote w:id="33">
    <w:p w:rsidR="004658E2" w:rsidRPr="00A56114" w:rsidRDefault="004658E2" w:rsidP="000C6D98">
      <w:pPr>
        <w:pStyle w:val="FootnoteText"/>
        <w:rPr>
          <w:lang w:val="en-US"/>
        </w:rPr>
      </w:pPr>
      <w:r>
        <w:tab/>
      </w:r>
      <w:r w:rsidRPr="00116F0B">
        <w:rPr>
          <w:rStyle w:val="FootnoteReference"/>
        </w:rPr>
        <w:footnoteRef/>
      </w:r>
      <w:r>
        <w:tab/>
        <w:t>The Prison Service has 84 medical units nationwide, and 54 per cent of the infirmaries located within the centres run by the Prison Service provide dental care.</w:t>
      </w:r>
    </w:p>
  </w:footnote>
  <w:footnote w:id="34">
    <w:p w:rsidR="004658E2" w:rsidRPr="00A56114" w:rsidRDefault="004658E2" w:rsidP="000C6D98">
      <w:pPr>
        <w:pStyle w:val="FootnoteText"/>
        <w:rPr>
          <w:lang w:val="en-US"/>
        </w:rPr>
      </w:pPr>
      <w:r>
        <w:tab/>
      </w:r>
      <w:r w:rsidRPr="00116F0B">
        <w:rPr>
          <w:rStyle w:val="FootnoteReference"/>
        </w:rPr>
        <w:footnoteRef/>
      </w:r>
      <w:r>
        <w:tab/>
        <w:t>The hospital is located in the metropolitan region of Santiago.</w:t>
      </w:r>
    </w:p>
  </w:footnote>
  <w:footnote w:id="35">
    <w:p w:rsidR="004658E2" w:rsidRPr="00A56114" w:rsidRDefault="004658E2" w:rsidP="000C6D98">
      <w:pPr>
        <w:pStyle w:val="FootnoteText"/>
        <w:rPr>
          <w:sz w:val="26"/>
          <w:vertAlign w:val="superscript"/>
          <w:lang w:val="en-US"/>
        </w:rPr>
      </w:pPr>
      <w:r>
        <w:tab/>
      </w:r>
      <w:r w:rsidRPr="00116F0B">
        <w:rPr>
          <w:rStyle w:val="FootnoteReference"/>
        </w:rPr>
        <w:footnoteRef/>
      </w:r>
      <w:r>
        <w:tab/>
        <w:t>Exempt resolution No. 123 of 5 April 2016, adopting a cooperation agreement between the Ministry of Health and the Prison Service.</w:t>
      </w:r>
    </w:p>
  </w:footnote>
  <w:footnote w:id="36">
    <w:p w:rsidR="004658E2" w:rsidRPr="00A56114" w:rsidRDefault="004658E2" w:rsidP="000C6D98">
      <w:pPr>
        <w:pStyle w:val="FootnoteText"/>
        <w:rPr>
          <w:sz w:val="26"/>
          <w:vertAlign w:val="superscript"/>
          <w:lang w:val="en-US"/>
        </w:rPr>
      </w:pPr>
      <w:r>
        <w:tab/>
      </w:r>
      <w:r w:rsidRPr="00116F0B">
        <w:rPr>
          <w:rStyle w:val="FootnoteReference"/>
        </w:rPr>
        <w:footnoteRef/>
      </w:r>
      <w:r>
        <w:tab/>
        <w:t>Decree No. 927 of the Ministry of Justice and Human Rights, published on 3 March 2016.</w:t>
      </w:r>
    </w:p>
  </w:footnote>
  <w:footnote w:id="37">
    <w:p w:rsidR="004658E2" w:rsidRPr="00A56114" w:rsidRDefault="004658E2" w:rsidP="000C6D98">
      <w:pPr>
        <w:pStyle w:val="FootnoteText"/>
        <w:rPr>
          <w:sz w:val="26"/>
          <w:vertAlign w:val="superscript"/>
          <w:lang w:val="en-US"/>
        </w:rPr>
      </w:pPr>
      <w:r>
        <w:tab/>
      </w:r>
      <w:r w:rsidRPr="00116F0B">
        <w:rPr>
          <w:rStyle w:val="FootnoteReference"/>
        </w:rPr>
        <w:footnoteRef/>
      </w:r>
      <w:r>
        <w:tab/>
        <w:t>The regulations establish three exceptions to voluntary testing. The test is mandatory for prisoners who donate blood or who undergo a transfusion; those who are exposed to medical treatment in the workplace that may allow the virus to spread between prisoners and prison officers and, finally, victims of rape or sexual abuse.</w:t>
      </w:r>
    </w:p>
  </w:footnote>
  <w:footnote w:id="38">
    <w:p w:rsidR="004658E2" w:rsidRPr="00A56114" w:rsidRDefault="004658E2" w:rsidP="000C6D98">
      <w:pPr>
        <w:pStyle w:val="FootnoteText"/>
        <w:rPr>
          <w:sz w:val="26"/>
          <w:vertAlign w:val="superscript"/>
          <w:lang w:val="en-US"/>
        </w:rPr>
      </w:pPr>
      <w:r>
        <w:tab/>
      </w:r>
      <w:r w:rsidRPr="00116F0B">
        <w:rPr>
          <w:rStyle w:val="FootnoteReference"/>
        </w:rPr>
        <w:footnoteRef/>
      </w:r>
      <w:r>
        <w:tab/>
        <w:t>A manual medicine stock record and dispensing system which has been used nationwide for more than 20 years.</w:t>
      </w:r>
    </w:p>
  </w:footnote>
  <w:footnote w:id="39">
    <w:p w:rsidR="004658E2" w:rsidRPr="00A56114" w:rsidRDefault="004658E2" w:rsidP="000C6D98">
      <w:pPr>
        <w:pStyle w:val="FootnoteText"/>
        <w:rPr>
          <w:lang w:val="en-US"/>
        </w:rPr>
      </w:pPr>
      <w:r>
        <w:tab/>
      </w:r>
      <w:r w:rsidRPr="00116F0B">
        <w:rPr>
          <w:rStyle w:val="FootnoteReference"/>
        </w:rPr>
        <w:footnoteRef/>
      </w:r>
      <w:r>
        <w:tab/>
        <w:t>Exempt resolution No. 05415, of 27 November 2013, approving the inter-agency cooperation agreement between SENAME and the Ministry of Health, for the promotion of sexual health and the prevention and control of HIV/AIDS and sexually transmitted infections in a context of non-discrimination.</w:t>
      </w:r>
    </w:p>
  </w:footnote>
  <w:footnote w:id="40">
    <w:p w:rsidR="004658E2" w:rsidRPr="00A56114" w:rsidRDefault="004658E2" w:rsidP="000C6D98">
      <w:pPr>
        <w:pStyle w:val="FootnoteText"/>
        <w:rPr>
          <w:sz w:val="26"/>
          <w:vertAlign w:val="superscript"/>
          <w:lang w:val="en-US"/>
        </w:rPr>
      </w:pPr>
      <w:r>
        <w:tab/>
      </w:r>
      <w:r w:rsidRPr="00116F0B">
        <w:rPr>
          <w:rStyle w:val="FootnoteReference"/>
        </w:rPr>
        <w:footnoteRef/>
      </w:r>
      <w:r>
        <w:tab/>
        <w:t>Information provided by the Prison Service is from November 2016.</w:t>
      </w:r>
    </w:p>
  </w:footnote>
  <w:footnote w:id="41">
    <w:p w:rsidR="004658E2" w:rsidRPr="00A56114" w:rsidRDefault="004658E2" w:rsidP="000C6D98">
      <w:pPr>
        <w:pStyle w:val="FootnoteText"/>
        <w:rPr>
          <w:lang w:val="en-US"/>
        </w:rPr>
      </w:pPr>
      <w:r>
        <w:tab/>
      </w:r>
      <w:r w:rsidRPr="00116F0B">
        <w:rPr>
          <w:rStyle w:val="FootnoteReference"/>
        </w:rPr>
        <w:footnoteRef/>
      </w:r>
      <w:r>
        <w:tab/>
        <w:t>Equivalent to approximately US$ 1,273,856 (23 November 2016).</w:t>
      </w:r>
    </w:p>
  </w:footnote>
  <w:footnote w:id="42">
    <w:p w:rsidR="004658E2" w:rsidRPr="00A56114" w:rsidRDefault="004658E2" w:rsidP="000C6D98">
      <w:pPr>
        <w:pStyle w:val="FootnoteText"/>
        <w:rPr>
          <w:lang w:val="en-US"/>
        </w:rPr>
      </w:pPr>
      <w:r>
        <w:tab/>
      </w:r>
      <w:r w:rsidRPr="00116F0B">
        <w:rPr>
          <w:rStyle w:val="FootnoteReference"/>
        </w:rPr>
        <w:footnoteRef/>
      </w:r>
      <w:r>
        <w:tab/>
        <w:t xml:space="preserve">On 5 October 2016, the Prison Service visited the facility to inspect the living conditions and the state of the infrastructure in </w:t>
      </w:r>
      <w:r w:rsidRPr="000B14A3">
        <w:t>Cell Block No. 9</w:t>
      </w:r>
      <w:r>
        <w:t xml:space="preserve"> and the “</w:t>
      </w:r>
      <w:proofErr w:type="spellStart"/>
      <w:r>
        <w:t>Colo-Colo</w:t>
      </w:r>
      <w:proofErr w:type="spellEnd"/>
      <w:r>
        <w:t>” sleeping quarters. On 9 November 2016, a further visit took place in a comprehensive survey was made of all cell blocks in order to prepare an architectural design and a budget for the planned interventions.</w:t>
      </w:r>
    </w:p>
  </w:footnote>
  <w:footnote w:id="43">
    <w:p w:rsidR="004658E2" w:rsidRPr="00A56114" w:rsidRDefault="004658E2" w:rsidP="000C6D98">
      <w:pPr>
        <w:pStyle w:val="FootnoteText"/>
        <w:rPr>
          <w:sz w:val="26"/>
          <w:vertAlign w:val="superscript"/>
          <w:lang w:val="en-US"/>
        </w:rPr>
      </w:pPr>
      <w:r>
        <w:tab/>
      </w:r>
      <w:r w:rsidRPr="00116F0B">
        <w:rPr>
          <w:rStyle w:val="FootnoteReference"/>
        </w:rPr>
        <w:footnoteRef/>
      </w:r>
      <w:r>
        <w:tab/>
        <w:t>Equivalent to approximately US$ 18,407 (23 November 2016).</w:t>
      </w:r>
    </w:p>
  </w:footnote>
  <w:footnote w:id="44">
    <w:p w:rsidR="004658E2" w:rsidRPr="00A56114" w:rsidRDefault="004658E2" w:rsidP="000C6D98">
      <w:pPr>
        <w:pStyle w:val="FootnoteText"/>
        <w:rPr>
          <w:lang w:val="en-US"/>
        </w:rPr>
      </w:pPr>
      <w:r>
        <w:tab/>
      </w:r>
      <w:r w:rsidRPr="00116F0B">
        <w:rPr>
          <w:rStyle w:val="FootnoteReference"/>
        </w:rPr>
        <w:footnoteRef/>
      </w:r>
      <w:r>
        <w:tab/>
        <w:t>Breakfast, lunch, dinner and supper, all of which are evaluated by a professional nutritionist.</w:t>
      </w:r>
    </w:p>
  </w:footnote>
  <w:footnote w:id="45">
    <w:p w:rsidR="004658E2" w:rsidRPr="00A56114" w:rsidRDefault="004658E2" w:rsidP="000C6D98">
      <w:pPr>
        <w:pStyle w:val="FootnoteText"/>
        <w:rPr>
          <w:lang w:val="en-US"/>
        </w:rPr>
      </w:pPr>
      <w:r>
        <w:tab/>
      </w:r>
      <w:r w:rsidRPr="00116F0B">
        <w:rPr>
          <w:rStyle w:val="FootnoteReference"/>
        </w:rPr>
        <w:footnoteRef/>
      </w:r>
      <w:r>
        <w:tab/>
        <w:t>The Programme of Assistance for Pregnant and Nursing Women has been implemented gradually in prisons since 2001. Under an agreement with SENAME, the Temporary Shelter Programme for Infants was launched in 1998 and implemented until 2005 with the aim of providing comprehensive care for infants aged 0 to 2 years of women prisoners. These infants were able to spend time and to strengthen their emotional bond with their mothers, to be breastfed, to receive adequate food in accordance with their development needs, to have access to primary health care and specialized medical referrals, to receive clothing and to benefit from a safe, caring and hygienic environment. Fifty places were subsidized as part of the agreement with SENAME. From 2005 until 2014, the initiative was known as the Temporary Residence Programme and had capacity for 110 infants. In 2015, the Prison Service assumed the challenge, directly funding the programme from its own resources, pursuant to Exempt Resolution No. 12713 of 10 December 2014.</w:t>
      </w:r>
    </w:p>
  </w:footnote>
  <w:footnote w:id="46">
    <w:p w:rsidR="004658E2" w:rsidRPr="00A56114" w:rsidRDefault="004658E2" w:rsidP="000C6D98">
      <w:pPr>
        <w:pStyle w:val="FootnoteText"/>
        <w:rPr>
          <w:sz w:val="26"/>
          <w:vertAlign w:val="superscript"/>
          <w:lang w:val="en-US"/>
        </w:rPr>
      </w:pPr>
      <w:r>
        <w:tab/>
      </w:r>
      <w:r w:rsidRPr="00116F0B">
        <w:rPr>
          <w:rStyle w:val="FootnoteReference"/>
        </w:rPr>
        <w:footnoteRef/>
      </w:r>
      <w:r>
        <w:tab/>
        <w:t>As of November 2016, the Programme was providing assistance to 62 pregnant women and 118 women with infants aged 0 to 2 years.</w:t>
      </w:r>
    </w:p>
  </w:footnote>
  <w:footnote w:id="47">
    <w:p w:rsidR="004658E2" w:rsidRPr="00A56114" w:rsidRDefault="004658E2" w:rsidP="000C6D98">
      <w:pPr>
        <w:pStyle w:val="FootnoteText"/>
        <w:rPr>
          <w:sz w:val="26"/>
          <w:vertAlign w:val="superscript"/>
          <w:lang w:val="en-US"/>
        </w:rPr>
      </w:pPr>
      <w:r>
        <w:tab/>
      </w:r>
      <w:r w:rsidRPr="00116F0B">
        <w:rPr>
          <w:rStyle w:val="FootnoteReference"/>
        </w:rPr>
        <w:footnoteRef/>
      </w:r>
      <w:r>
        <w:tab/>
        <w:t>Paper prepared by the Research Unit of the Office of the Deputy Technical Director of the Prison Service.</w:t>
      </w:r>
    </w:p>
  </w:footnote>
  <w:footnote w:id="48">
    <w:p w:rsidR="004658E2" w:rsidRPr="00A56114" w:rsidRDefault="004658E2" w:rsidP="000C6D98">
      <w:pPr>
        <w:pStyle w:val="FootnoteText"/>
        <w:rPr>
          <w:sz w:val="26"/>
          <w:vertAlign w:val="superscript"/>
          <w:lang w:val="en-US"/>
        </w:rPr>
      </w:pPr>
      <w:r>
        <w:tab/>
      </w:r>
      <w:r w:rsidRPr="00116F0B">
        <w:rPr>
          <w:rStyle w:val="FootnoteReference"/>
        </w:rPr>
        <w:footnoteRef/>
      </w:r>
      <w:r>
        <w:tab/>
        <w:t xml:space="preserve">National suicide rate per 100,000 inmates in the custodial system. Data provided by the Statistical Unit of the Office of the Deputy Technical Director and the Operational Analysis Unit of the Office of the Operations </w:t>
      </w:r>
      <w:proofErr w:type="spellStart"/>
      <w:r>
        <w:t>Subdirectorate</w:t>
      </w:r>
      <w:proofErr w:type="spellEnd"/>
      <w:r>
        <w:t xml:space="preserve"> of the Prison Service, 2016.</w:t>
      </w:r>
    </w:p>
  </w:footnote>
  <w:footnote w:id="49">
    <w:p w:rsidR="004658E2" w:rsidRPr="00A56114" w:rsidRDefault="004658E2" w:rsidP="000C6D98">
      <w:pPr>
        <w:pStyle w:val="FootnoteText"/>
        <w:rPr>
          <w:sz w:val="26"/>
          <w:vertAlign w:val="superscript"/>
          <w:lang w:val="en-US"/>
        </w:rPr>
      </w:pPr>
      <w:r>
        <w:tab/>
      </w:r>
      <w:r w:rsidRPr="00116F0B">
        <w:rPr>
          <w:rStyle w:val="FootnoteReference"/>
        </w:rPr>
        <w:footnoteRef/>
      </w:r>
      <w:r>
        <w:tab/>
        <w:t>The projected annual rate at December 2016 should be no higher than 12.5.</w:t>
      </w:r>
    </w:p>
  </w:footnote>
  <w:footnote w:id="50">
    <w:p w:rsidR="004658E2" w:rsidRPr="00A56114" w:rsidRDefault="004658E2" w:rsidP="000C6D98">
      <w:pPr>
        <w:pStyle w:val="FootnoteText"/>
        <w:rPr>
          <w:lang w:val="en-US"/>
        </w:rPr>
      </w:pPr>
      <w:r>
        <w:tab/>
      </w:r>
      <w:r w:rsidRPr="00116F0B">
        <w:rPr>
          <w:rStyle w:val="FootnoteReference"/>
        </w:rPr>
        <w:footnoteRef/>
      </w:r>
      <w:r>
        <w:tab/>
        <w:t>The assessment covered the 18 women’s prisons that implement the Programme. The ratings were developed by regional heads of infrastructure.</w:t>
      </w:r>
    </w:p>
  </w:footnote>
  <w:footnote w:id="51">
    <w:p w:rsidR="004658E2" w:rsidRPr="00A56114" w:rsidRDefault="004658E2" w:rsidP="000C6D98">
      <w:pPr>
        <w:pStyle w:val="FootnoteText"/>
        <w:rPr>
          <w:sz w:val="26"/>
          <w:vertAlign w:val="superscript"/>
          <w:lang w:val="en-US"/>
        </w:rPr>
      </w:pPr>
      <w:r>
        <w:tab/>
      </w:r>
      <w:r w:rsidRPr="00116F0B">
        <w:rPr>
          <w:rStyle w:val="FootnoteReference"/>
        </w:rPr>
        <w:footnoteRef/>
      </w:r>
      <w:r>
        <w:tab/>
        <w:t>Equivalent to approximately US$ 75,466 (25 November 2016).</w:t>
      </w:r>
    </w:p>
  </w:footnote>
  <w:footnote w:id="52">
    <w:p w:rsidR="004658E2" w:rsidRPr="00A56114" w:rsidRDefault="004658E2" w:rsidP="000C6D98">
      <w:pPr>
        <w:pStyle w:val="FootnoteText"/>
        <w:rPr>
          <w:sz w:val="24"/>
          <w:vertAlign w:val="superscript"/>
          <w:lang w:val="en-US"/>
        </w:rPr>
      </w:pPr>
      <w:r>
        <w:tab/>
      </w:r>
      <w:r w:rsidRPr="00116F0B">
        <w:rPr>
          <w:rStyle w:val="FootnoteReference"/>
        </w:rPr>
        <w:footnoteRef/>
      </w:r>
      <w:r>
        <w:tab/>
        <w:t>Equivalent to approximately US$ 1,465,540 (25 November 2016).</w:t>
      </w:r>
    </w:p>
  </w:footnote>
  <w:footnote w:id="53">
    <w:p w:rsidR="004658E2" w:rsidRPr="00A56114" w:rsidRDefault="004658E2" w:rsidP="000C6D98">
      <w:pPr>
        <w:pStyle w:val="FootnoteText"/>
        <w:rPr>
          <w:lang w:val="en-US"/>
        </w:rPr>
      </w:pPr>
      <w:r>
        <w:tab/>
      </w:r>
      <w:r w:rsidRPr="00116F0B">
        <w:rPr>
          <w:rStyle w:val="FootnoteReference"/>
        </w:rPr>
        <w:footnoteRef/>
      </w:r>
      <w:r>
        <w:tab/>
        <w:t>The cost of the equipment is put at between US$ 225,000 and US$ 300,000 (as at 5 December 2016). A surface area of 9 square metres is required for installation.</w:t>
      </w:r>
    </w:p>
  </w:footnote>
  <w:footnote w:id="54">
    <w:p w:rsidR="004658E2" w:rsidRPr="00A56114" w:rsidRDefault="004658E2" w:rsidP="000C6D98">
      <w:pPr>
        <w:pStyle w:val="FootnoteText"/>
        <w:rPr>
          <w:sz w:val="24"/>
          <w:vertAlign w:val="superscript"/>
          <w:lang w:val="en-US"/>
        </w:rPr>
      </w:pPr>
      <w:r>
        <w:tab/>
      </w:r>
      <w:r w:rsidRPr="00116F0B">
        <w:rPr>
          <w:rStyle w:val="FootnoteReference"/>
        </w:rPr>
        <w:footnoteRef/>
      </w:r>
      <w:r>
        <w:tab/>
        <w:t>The Fund is administered by the Office of the Under-Secretary for Regional and Administrative Development of the Ministry of the Interior and Public Security.</w:t>
      </w:r>
    </w:p>
  </w:footnote>
  <w:footnote w:id="55">
    <w:p w:rsidR="004658E2" w:rsidRPr="00A56114" w:rsidRDefault="004658E2" w:rsidP="000C6D98">
      <w:pPr>
        <w:pStyle w:val="FootnoteText"/>
        <w:rPr>
          <w:sz w:val="26"/>
          <w:vertAlign w:val="superscript"/>
          <w:lang w:val="en-US"/>
        </w:rPr>
      </w:pPr>
      <w:r>
        <w:tab/>
      </w:r>
      <w:r w:rsidRPr="00116F0B">
        <w:rPr>
          <w:rStyle w:val="FootnoteReference"/>
        </w:rPr>
        <w:footnoteRef/>
      </w:r>
      <w:r>
        <w:tab/>
        <w:t>Article 139 of Act No. 20084 on Juvenile Criminal Responsibility</w:t>
      </w:r>
      <w:r w:rsidR="008754A7">
        <w:t>.</w:t>
      </w:r>
    </w:p>
  </w:footnote>
  <w:footnote w:id="56">
    <w:p w:rsidR="004658E2" w:rsidRPr="00A56114" w:rsidRDefault="004658E2" w:rsidP="000C6D98">
      <w:pPr>
        <w:pStyle w:val="FootnoteText"/>
        <w:rPr>
          <w:lang w:val="en-US"/>
        </w:rPr>
      </w:pPr>
      <w:r>
        <w:tab/>
      </w:r>
      <w:r w:rsidRPr="00116F0B">
        <w:rPr>
          <w:rStyle w:val="FootnoteReference"/>
        </w:rPr>
        <w:footnoteRef/>
      </w:r>
      <w:r>
        <w:tab/>
        <w:t>Circular No. 016 of 4 August 2008</w:t>
      </w:r>
    </w:p>
  </w:footnote>
  <w:footnote w:id="57">
    <w:p w:rsidR="004658E2" w:rsidRPr="00A56114" w:rsidRDefault="004658E2" w:rsidP="000C6D98">
      <w:pPr>
        <w:pStyle w:val="FootnoteText"/>
        <w:rPr>
          <w:lang w:val="en-US"/>
        </w:rPr>
      </w:pPr>
      <w:r>
        <w:tab/>
      </w:r>
      <w:r w:rsidRPr="00116F0B">
        <w:rPr>
          <w:rStyle w:val="FootnoteReference"/>
        </w:rPr>
        <w:footnoteRef/>
      </w:r>
      <w:r>
        <w:tab/>
        <w:t xml:space="preserve">A </w:t>
      </w:r>
      <w:proofErr w:type="spellStart"/>
      <w:r>
        <w:t>Mapuche</w:t>
      </w:r>
      <w:proofErr w:type="spellEnd"/>
      <w:r>
        <w:t xml:space="preserve"> woman sentenced to 5 years and one day of imprisonment for robbery, who gave birth while shackled to her bed and in the presence of prison guards at the </w:t>
      </w:r>
      <w:proofErr w:type="spellStart"/>
      <w:r>
        <w:t>Sanatorio</w:t>
      </w:r>
      <w:proofErr w:type="spellEnd"/>
      <w:r>
        <w:t xml:space="preserve"> </w:t>
      </w:r>
      <w:proofErr w:type="spellStart"/>
      <w:r>
        <w:t>Alemán</w:t>
      </w:r>
      <w:proofErr w:type="spellEnd"/>
      <w:r>
        <w:t xml:space="preserve"> clinic in Concepción.</w:t>
      </w:r>
    </w:p>
  </w:footnote>
  <w:footnote w:id="58">
    <w:p w:rsidR="004658E2" w:rsidRPr="00A56114" w:rsidRDefault="004658E2" w:rsidP="000C6D98">
      <w:pPr>
        <w:pStyle w:val="FootnoteText"/>
        <w:rPr>
          <w:lang w:val="en-US"/>
        </w:rPr>
      </w:pPr>
      <w:r>
        <w:tab/>
      </w:r>
      <w:r w:rsidRPr="00116F0B">
        <w:rPr>
          <w:rStyle w:val="FootnoteReference"/>
        </w:rPr>
        <w:footnoteRef/>
      </w:r>
      <w:r>
        <w:tab/>
        <w:t xml:space="preserve">In a speech of 11 November 2016 marking the adoption of the Act establishing criminal penalties for torture and cruel, inhuman and degrading treatment, President Bachelet said: “I wish to refer to the case of Lorenza </w:t>
      </w:r>
      <w:proofErr w:type="spellStart"/>
      <w:r>
        <w:t>Cayuhan</w:t>
      </w:r>
      <w:proofErr w:type="spellEnd"/>
      <w:r>
        <w:t xml:space="preserve">, a member of the </w:t>
      </w:r>
      <w:proofErr w:type="spellStart"/>
      <w:r>
        <w:t>Mapuche</w:t>
      </w:r>
      <w:proofErr w:type="spellEnd"/>
      <w:r>
        <w:t xml:space="preserve"> community who reported being subjected to a humiliating situation during the birth of her child. This complaint should be thoroughly investigated in order to ascertain the truth of what happened. Precisely because we must ensure that no one is subjected to humiliating or degrading situations, I have instructed the Office of the Undersecretary for Human Rights to draw up new prison regulations with a human rights approach, so that not only women but all persons deprived of their liberty are treated with dignity.” Full speech available at: </w:t>
      </w:r>
      <w:hyperlink r:id="rId1" w:history="1">
        <w:r w:rsidRPr="00A56114">
          <w:rPr>
            <w:lang w:val="en-US"/>
          </w:rPr>
          <w:t>https://prensa.presidencia.cl/discurso.aspx?id=43740</w:t>
        </w:r>
      </w:hyperlink>
      <w:r>
        <w:t>.</w:t>
      </w:r>
    </w:p>
  </w:footnote>
  <w:footnote w:id="59">
    <w:p w:rsidR="004658E2" w:rsidRPr="001F2176" w:rsidRDefault="004658E2" w:rsidP="000C6D98">
      <w:pPr>
        <w:pStyle w:val="FootnoteText"/>
      </w:pPr>
      <w:r>
        <w:tab/>
      </w:r>
      <w:r w:rsidRPr="00116F0B">
        <w:rPr>
          <w:rStyle w:val="FootnoteReference"/>
        </w:rPr>
        <w:footnoteRef/>
      </w:r>
      <w:r>
        <w:tab/>
      </w:r>
      <w:proofErr w:type="spellStart"/>
      <w:r w:rsidRPr="00BE210A">
        <w:rPr>
          <w:i/>
        </w:rPr>
        <w:t>Estudio</w:t>
      </w:r>
      <w:proofErr w:type="spellEnd"/>
      <w:r w:rsidRPr="00BE210A">
        <w:rPr>
          <w:i/>
        </w:rPr>
        <w:t xml:space="preserve">: </w:t>
      </w:r>
      <w:r>
        <w:rPr>
          <w:i/>
          <w:iCs/>
        </w:rPr>
        <w:t xml:space="preserve">La </w:t>
      </w:r>
      <w:proofErr w:type="spellStart"/>
      <w:r>
        <w:rPr>
          <w:i/>
          <w:iCs/>
        </w:rPr>
        <w:t>realidad</w:t>
      </w:r>
      <w:proofErr w:type="spellEnd"/>
      <w:r>
        <w:rPr>
          <w:i/>
          <w:iCs/>
        </w:rPr>
        <w:t xml:space="preserve"> de </w:t>
      </w:r>
      <w:proofErr w:type="spellStart"/>
      <w:r>
        <w:rPr>
          <w:i/>
          <w:iCs/>
        </w:rPr>
        <w:t>niños</w:t>
      </w:r>
      <w:proofErr w:type="spellEnd"/>
      <w:r>
        <w:rPr>
          <w:i/>
          <w:iCs/>
        </w:rPr>
        <w:t xml:space="preserve">, </w:t>
      </w:r>
      <w:proofErr w:type="spellStart"/>
      <w:r>
        <w:rPr>
          <w:i/>
          <w:iCs/>
        </w:rPr>
        <w:t>niñas</w:t>
      </w:r>
      <w:proofErr w:type="spellEnd"/>
      <w:r>
        <w:rPr>
          <w:i/>
          <w:iCs/>
        </w:rPr>
        <w:t xml:space="preserve"> y </w:t>
      </w:r>
      <w:proofErr w:type="spellStart"/>
      <w:r>
        <w:rPr>
          <w:i/>
          <w:iCs/>
        </w:rPr>
        <w:t>adolescentes</w:t>
      </w:r>
      <w:proofErr w:type="spellEnd"/>
      <w:r>
        <w:rPr>
          <w:i/>
          <w:iCs/>
        </w:rPr>
        <w:t xml:space="preserve"> de pueblos </w:t>
      </w:r>
      <w:proofErr w:type="spellStart"/>
      <w:r>
        <w:rPr>
          <w:i/>
          <w:iCs/>
        </w:rPr>
        <w:t>indígenas</w:t>
      </w:r>
      <w:proofErr w:type="spellEnd"/>
      <w:r>
        <w:rPr>
          <w:i/>
          <w:iCs/>
        </w:rPr>
        <w:t xml:space="preserve"> </w:t>
      </w:r>
      <w:proofErr w:type="spellStart"/>
      <w:r>
        <w:rPr>
          <w:i/>
          <w:iCs/>
        </w:rPr>
        <w:t>residentes</w:t>
      </w:r>
      <w:proofErr w:type="spellEnd"/>
      <w:r>
        <w:rPr>
          <w:i/>
          <w:iCs/>
        </w:rPr>
        <w:t xml:space="preserve"> </w:t>
      </w:r>
      <w:proofErr w:type="spellStart"/>
      <w:r>
        <w:rPr>
          <w:i/>
          <w:iCs/>
        </w:rPr>
        <w:t>en</w:t>
      </w:r>
      <w:proofErr w:type="spellEnd"/>
      <w:r>
        <w:rPr>
          <w:i/>
          <w:iCs/>
        </w:rPr>
        <w:t xml:space="preserve"> </w:t>
      </w:r>
      <w:proofErr w:type="spellStart"/>
      <w:r>
        <w:rPr>
          <w:i/>
          <w:iCs/>
        </w:rPr>
        <w:t>centros</w:t>
      </w:r>
      <w:proofErr w:type="spellEnd"/>
      <w:r>
        <w:rPr>
          <w:i/>
          <w:iCs/>
        </w:rPr>
        <w:t xml:space="preserve"> para </w:t>
      </w:r>
      <w:proofErr w:type="spellStart"/>
      <w:r>
        <w:rPr>
          <w:i/>
          <w:iCs/>
        </w:rPr>
        <w:t>mayores</w:t>
      </w:r>
      <w:proofErr w:type="spellEnd"/>
      <w:r>
        <w:rPr>
          <w:i/>
          <w:iCs/>
        </w:rPr>
        <w:t xml:space="preserve"> del SENAME</w:t>
      </w:r>
      <w:r>
        <w:t xml:space="preserve"> (Study: The Situation of Indigenous Children and Adolescents Residing in Adult Centres of SENAME). </w:t>
      </w:r>
      <w:r w:rsidRPr="00B860E2">
        <w:t xml:space="preserve">SENAME/University of La </w:t>
      </w:r>
      <w:proofErr w:type="spellStart"/>
      <w:r w:rsidRPr="00B860E2">
        <w:t>Frontera</w:t>
      </w:r>
      <w:proofErr w:type="spellEnd"/>
      <w:r w:rsidRPr="00B860E2">
        <w:t xml:space="preserve"> (2009).</w:t>
      </w:r>
    </w:p>
  </w:footnote>
  <w:footnote w:id="60">
    <w:p w:rsidR="004658E2" w:rsidRPr="001F2176" w:rsidRDefault="004658E2" w:rsidP="000C6D98">
      <w:pPr>
        <w:pStyle w:val="FootnoteText"/>
        <w:rPr>
          <w:sz w:val="26"/>
          <w:vertAlign w:val="superscript"/>
        </w:rPr>
      </w:pPr>
      <w:r w:rsidRPr="00B860E2">
        <w:tab/>
      </w:r>
      <w:r w:rsidRPr="00116F0B">
        <w:rPr>
          <w:rStyle w:val="FootnoteReference"/>
        </w:rPr>
        <w:footnoteRef/>
      </w:r>
      <w:r w:rsidRPr="00B860E2">
        <w:tab/>
      </w:r>
      <w:proofErr w:type="spellStart"/>
      <w:r w:rsidRPr="00B860E2">
        <w:rPr>
          <w:i/>
        </w:rPr>
        <w:t>Orientaciones</w:t>
      </w:r>
      <w:proofErr w:type="spellEnd"/>
      <w:r w:rsidRPr="00B860E2">
        <w:rPr>
          <w:i/>
        </w:rPr>
        <w:t xml:space="preserve"> </w:t>
      </w:r>
      <w:proofErr w:type="spellStart"/>
      <w:r w:rsidRPr="00B860E2">
        <w:rPr>
          <w:i/>
        </w:rPr>
        <w:t>Técnicas</w:t>
      </w:r>
      <w:proofErr w:type="spellEnd"/>
      <w:r w:rsidRPr="00B860E2">
        <w:rPr>
          <w:i/>
        </w:rPr>
        <w:t xml:space="preserve">: </w:t>
      </w:r>
      <w:proofErr w:type="spellStart"/>
      <w:r w:rsidRPr="00B860E2">
        <w:rPr>
          <w:i/>
        </w:rPr>
        <w:t>Residencias</w:t>
      </w:r>
      <w:proofErr w:type="spellEnd"/>
      <w:r w:rsidRPr="00B860E2">
        <w:rPr>
          <w:i/>
        </w:rPr>
        <w:t xml:space="preserve"> de </w:t>
      </w:r>
      <w:proofErr w:type="spellStart"/>
      <w:r w:rsidRPr="00B860E2">
        <w:rPr>
          <w:i/>
        </w:rPr>
        <w:t>protección</w:t>
      </w:r>
      <w:proofErr w:type="spellEnd"/>
      <w:r w:rsidRPr="00B860E2">
        <w:rPr>
          <w:i/>
        </w:rPr>
        <w:t xml:space="preserve"> para </w:t>
      </w:r>
      <w:proofErr w:type="spellStart"/>
      <w:r w:rsidRPr="00B860E2">
        <w:rPr>
          <w:i/>
        </w:rPr>
        <w:t>madres</w:t>
      </w:r>
      <w:proofErr w:type="spellEnd"/>
      <w:r w:rsidRPr="00B860E2">
        <w:rPr>
          <w:i/>
        </w:rPr>
        <w:t xml:space="preserve"> </w:t>
      </w:r>
      <w:proofErr w:type="spellStart"/>
      <w:r w:rsidRPr="00B860E2">
        <w:rPr>
          <w:i/>
        </w:rPr>
        <w:t>adolescentes</w:t>
      </w:r>
      <w:proofErr w:type="spellEnd"/>
      <w:r w:rsidRPr="00B860E2">
        <w:rPr>
          <w:i/>
        </w:rPr>
        <w:t xml:space="preserve"> con </w:t>
      </w:r>
      <w:proofErr w:type="spellStart"/>
      <w:r w:rsidRPr="00B860E2">
        <w:rPr>
          <w:i/>
        </w:rPr>
        <w:t>programa</w:t>
      </w:r>
      <w:proofErr w:type="spellEnd"/>
      <w:r w:rsidRPr="00B860E2">
        <w:rPr>
          <w:i/>
        </w:rPr>
        <w:t xml:space="preserve"> de </w:t>
      </w:r>
      <w:proofErr w:type="spellStart"/>
      <w:r w:rsidRPr="00B860E2">
        <w:rPr>
          <w:i/>
        </w:rPr>
        <w:t>protección</w:t>
      </w:r>
      <w:proofErr w:type="spellEnd"/>
      <w:r w:rsidRPr="00B860E2">
        <w:rPr>
          <w:i/>
        </w:rPr>
        <w:t xml:space="preserve"> </w:t>
      </w:r>
      <w:proofErr w:type="spellStart"/>
      <w:r w:rsidRPr="00B860E2">
        <w:rPr>
          <w:i/>
        </w:rPr>
        <w:t>especializado</w:t>
      </w:r>
      <w:proofErr w:type="spellEnd"/>
      <w:r w:rsidRPr="00B860E2">
        <w:rPr>
          <w:i/>
        </w:rPr>
        <w:t xml:space="preserve"> de </w:t>
      </w:r>
      <w:proofErr w:type="spellStart"/>
      <w:r w:rsidRPr="00B860E2">
        <w:rPr>
          <w:i/>
        </w:rPr>
        <w:t>intervención</w:t>
      </w:r>
      <w:proofErr w:type="spellEnd"/>
      <w:r w:rsidRPr="00B860E2">
        <w:rPr>
          <w:i/>
        </w:rPr>
        <w:t xml:space="preserve"> </w:t>
      </w:r>
      <w:proofErr w:type="spellStart"/>
      <w:r w:rsidRPr="00B860E2">
        <w:rPr>
          <w:i/>
        </w:rPr>
        <w:t>residencial</w:t>
      </w:r>
      <w:proofErr w:type="spellEnd"/>
      <w:r w:rsidRPr="00B860E2">
        <w:t xml:space="preserve"> (Technical Guidance: residences for the protection of adolescent mothers with a specialized protection programme of residential intervention) (2016).</w:t>
      </w:r>
    </w:p>
  </w:footnote>
  <w:footnote w:id="61">
    <w:p w:rsidR="004658E2" w:rsidRPr="00A56114" w:rsidRDefault="004658E2" w:rsidP="000C6D98">
      <w:pPr>
        <w:pStyle w:val="FootnoteText"/>
        <w:rPr>
          <w:sz w:val="26"/>
          <w:vertAlign w:val="superscript"/>
          <w:lang w:val="en-US"/>
        </w:rPr>
      </w:pPr>
      <w:r w:rsidRPr="00B860E2">
        <w:tab/>
      </w:r>
      <w:r w:rsidRPr="00116F0B">
        <w:rPr>
          <w:rStyle w:val="FootnoteReference"/>
        </w:rPr>
        <w:footnoteRef/>
      </w:r>
      <w:r>
        <w:tab/>
        <w:t xml:space="preserve">The kits contain drops or creams based on </w:t>
      </w:r>
      <w:proofErr w:type="spellStart"/>
      <w:r>
        <w:t>Mapuche</w:t>
      </w:r>
      <w:proofErr w:type="spellEnd"/>
      <w:r>
        <w:t xml:space="preserve"> medicinal plants, which are used for common ailments such as heartburn, irritable bowel, headaches and sore throats.</w:t>
      </w:r>
    </w:p>
  </w:footnote>
  <w:footnote w:id="62">
    <w:p w:rsidR="004658E2" w:rsidRPr="00A56114" w:rsidRDefault="004658E2" w:rsidP="000C6D98">
      <w:pPr>
        <w:pStyle w:val="FootnoteText"/>
        <w:rPr>
          <w:lang w:val="en-US"/>
        </w:rPr>
      </w:pPr>
      <w:r>
        <w:tab/>
      </w:r>
      <w:r w:rsidRPr="00116F0B">
        <w:rPr>
          <w:rStyle w:val="FootnoteReference"/>
        </w:rPr>
        <w:footnoteRef/>
      </w:r>
      <w:r>
        <w:tab/>
        <w:t xml:space="preserve">The following correctional facilities are located in the Araucanía Region: </w:t>
      </w:r>
      <w:proofErr w:type="spellStart"/>
      <w:r>
        <w:t>Lautaro</w:t>
      </w:r>
      <w:proofErr w:type="spellEnd"/>
      <w:r>
        <w:t xml:space="preserve">, Nueva Imperial, Temuco, Victoria and </w:t>
      </w:r>
      <w:proofErr w:type="spellStart"/>
      <w:r>
        <w:t>Collipulli</w:t>
      </w:r>
      <w:proofErr w:type="spellEnd"/>
      <w:r>
        <w:t xml:space="preserve"> prisons; </w:t>
      </w:r>
      <w:proofErr w:type="spellStart"/>
      <w:r>
        <w:t>Angol</w:t>
      </w:r>
      <w:proofErr w:type="spellEnd"/>
      <w:r>
        <w:t xml:space="preserve">, </w:t>
      </w:r>
      <w:proofErr w:type="spellStart"/>
      <w:r>
        <w:t>Curacautín</w:t>
      </w:r>
      <w:proofErr w:type="spellEnd"/>
      <w:r>
        <w:t xml:space="preserve">, </w:t>
      </w:r>
      <w:proofErr w:type="spellStart"/>
      <w:r>
        <w:t>Pitrufquén</w:t>
      </w:r>
      <w:proofErr w:type="spellEnd"/>
      <w:r>
        <w:t xml:space="preserve">, </w:t>
      </w:r>
      <w:proofErr w:type="spellStart"/>
      <w:r>
        <w:t>Traiguén</w:t>
      </w:r>
      <w:proofErr w:type="spellEnd"/>
      <w:r>
        <w:t xml:space="preserve"> and </w:t>
      </w:r>
      <w:proofErr w:type="spellStart"/>
      <w:r>
        <w:t>Villarrica</w:t>
      </w:r>
      <w:proofErr w:type="spellEnd"/>
      <w:r>
        <w:t xml:space="preserve"> </w:t>
      </w:r>
      <w:proofErr w:type="spellStart"/>
      <w:r>
        <w:t>pretrial</w:t>
      </w:r>
      <w:proofErr w:type="spellEnd"/>
      <w:r>
        <w:t xml:space="preserve"> detention centres and Temuco Women’s Prison.</w:t>
      </w:r>
    </w:p>
  </w:footnote>
  <w:footnote w:id="63">
    <w:p w:rsidR="004658E2" w:rsidRPr="00A56114" w:rsidRDefault="004658E2" w:rsidP="000C6D98">
      <w:pPr>
        <w:pStyle w:val="FootnoteText"/>
        <w:rPr>
          <w:lang w:val="en-US"/>
        </w:rPr>
      </w:pPr>
      <w:r>
        <w:tab/>
      </w:r>
      <w:r w:rsidRPr="00116F0B">
        <w:rPr>
          <w:rStyle w:val="FootnoteReference"/>
        </w:rPr>
        <w:footnoteRef/>
      </w:r>
      <w:r>
        <w:tab/>
        <w:t>In relation to the serving of custodial sentences under Act No. 20084 on Juvenile Criminal Responsibility, the internal regulations of SENAME govern the application of a group separation measure, stipulating that said measure “under no circumstances may be used as a punishment for adolescents […] nor may it entail isolation of an adolescent.” The equitable application of these regulations to LGBTI persons is guaranteed by the legal recognition of the right to equality and non-discrimination.</w:t>
      </w:r>
    </w:p>
  </w:footnote>
  <w:footnote w:id="64">
    <w:p w:rsidR="004658E2" w:rsidRPr="00A56114" w:rsidRDefault="004658E2" w:rsidP="000C6D98">
      <w:pPr>
        <w:pStyle w:val="FootnoteText"/>
        <w:rPr>
          <w:lang w:val="en-US"/>
        </w:rPr>
      </w:pPr>
      <w:r>
        <w:tab/>
      </w:r>
      <w:r w:rsidRPr="00116F0B">
        <w:rPr>
          <w:rStyle w:val="FootnoteReference"/>
        </w:rPr>
        <w:footnoteRef/>
      </w:r>
      <w:r>
        <w:tab/>
        <w:t>Signed in April 2014.</w:t>
      </w:r>
    </w:p>
  </w:footnote>
  <w:footnote w:id="65">
    <w:p w:rsidR="004658E2" w:rsidRPr="00A56114" w:rsidRDefault="004658E2" w:rsidP="000C6D98">
      <w:pPr>
        <w:pStyle w:val="FootnoteText"/>
        <w:rPr>
          <w:lang w:val="en-US"/>
        </w:rPr>
      </w:pPr>
      <w:r>
        <w:tab/>
      </w:r>
      <w:r w:rsidRPr="00116F0B">
        <w:rPr>
          <w:rStyle w:val="FootnoteReference"/>
        </w:rPr>
        <w:footnoteRef/>
      </w:r>
      <w:r>
        <w:tab/>
        <w:t xml:space="preserve">Article 14 </w:t>
      </w:r>
      <w:proofErr w:type="spellStart"/>
      <w:r>
        <w:t>bis</w:t>
      </w:r>
      <w:proofErr w:type="spellEnd"/>
      <w:r>
        <w:t xml:space="preserve"> (d) of Act No. 20885, establishing the Office of the Under-Secretary for Human Rights and amending the Min</w:t>
      </w:r>
      <w:r w:rsidR="004D62C7">
        <w:t>istry of Justice Act, refers to</w:t>
      </w:r>
      <w:r>
        <w:t xml:space="preserve">: “the promotion of education and training on human rights at the nursery, primary, secondary and tertiary levels of education and in the training, education and development programmes of all authorities and officials of State bodies, including the Public Prosecution Service and the Public Criminal Defender Service, members of the armed forces, the </w:t>
      </w:r>
      <w:proofErr w:type="spellStart"/>
      <w:r>
        <w:t>Carabineros</w:t>
      </w:r>
      <w:proofErr w:type="spellEnd"/>
      <w:r>
        <w:t>, the Investigative Police, the Prison</w:t>
      </w:r>
      <w:r w:rsidR="004D62C7">
        <w:t xml:space="preserve"> Service and the municipalities</w:t>
      </w:r>
      <w:r>
        <w:t>”</w:t>
      </w:r>
      <w:r w:rsidR="004D62C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8E2" w:rsidRPr="00077DC7" w:rsidRDefault="004658E2" w:rsidP="00077DC7">
    <w:pPr>
      <w:pStyle w:val="Header"/>
    </w:pPr>
    <w:r w:rsidRPr="00077DC7">
      <w:t>CAT/OP/CHL/1/Add.1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8E2" w:rsidRPr="00077DC7" w:rsidRDefault="004658E2" w:rsidP="00077DC7">
    <w:pPr>
      <w:pStyle w:val="Header"/>
      <w:jc w:val="right"/>
    </w:pPr>
    <w:r w:rsidRPr="00077DC7">
      <w:t>CAT/OP/CHL/1/Add.1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2155"/>
        </w:tabs>
        <w:ind w:left="2155"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attachedTemplate r:id="rId1"/>
  <w:defaultTabStop w:val="567"/>
  <w:evenAndOddHeaders/>
  <w:characterSpacingControl w:val="doNotCompress"/>
  <w:hdrShapeDefaults>
    <o:shapedefaults v:ext="edit" spidmax="1126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2257"/>
    <w:rsid w:val="000106D2"/>
    <w:rsid w:val="00013FC6"/>
    <w:rsid w:val="00046E92"/>
    <w:rsid w:val="000527E7"/>
    <w:rsid w:val="00063D6B"/>
    <w:rsid w:val="00067B36"/>
    <w:rsid w:val="00072257"/>
    <w:rsid w:val="00074264"/>
    <w:rsid w:val="0007753D"/>
    <w:rsid w:val="00077DC7"/>
    <w:rsid w:val="000818A8"/>
    <w:rsid w:val="000949BE"/>
    <w:rsid w:val="0009708F"/>
    <w:rsid w:val="000A2444"/>
    <w:rsid w:val="000C6D98"/>
    <w:rsid w:val="00107013"/>
    <w:rsid w:val="00116F0B"/>
    <w:rsid w:val="0012227E"/>
    <w:rsid w:val="00152385"/>
    <w:rsid w:val="001C103A"/>
    <w:rsid w:val="001F053C"/>
    <w:rsid w:val="00247E2C"/>
    <w:rsid w:val="002A0B6B"/>
    <w:rsid w:val="002B455D"/>
    <w:rsid w:val="002D3B9A"/>
    <w:rsid w:val="002D6C53"/>
    <w:rsid w:val="002F5595"/>
    <w:rsid w:val="0031755C"/>
    <w:rsid w:val="00334F6A"/>
    <w:rsid w:val="00342AC8"/>
    <w:rsid w:val="003800FE"/>
    <w:rsid w:val="00380599"/>
    <w:rsid w:val="00390293"/>
    <w:rsid w:val="003B2EB1"/>
    <w:rsid w:val="003B4550"/>
    <w:rsid w:val="003C6AD4"/>
    <w:rsid w:val="003E18E0"/>
    <w:rsid w:val="003F7D03"/>
    <w:rsid w:val="00412C68"/>
    <w:rsid w:val="00422775"/>
    <w:rsid w:val="00453924"/>
    <w:rsid w:val="00461253"/>
    <w:rsid w:val="004658E2"/>
    <w:rsid w:val="00490AD0"/>
    <w:rsid w:val="004B6C65"/>
    <w:rsid w:val="004C5BED"/>
    <w:rsid w:val="004D0828"/>
    <w:rsid w:val="004D62C7"/>
    <w:rsid w:val="005030A3"/>
    <w:rsid w:val="005042C2"/>
    <w:rsid w:val="00510528"/>
    <w:rsid w:val="00511E97"/>
    <w:rsid w:val="00527C50"/>
    <w:rsid w:val="00546B85"/>
    <w:rsid w:val="00552812"/>
    <w:rsid w:val="005932E2"/>
    <w:rsid w:val="005C7A32"/>
    <w:rsid w:val="005D4067"/>
    <w:rsid w:val="00602777"/>
    <w:rsid w:val="00634BD1"/>
    <w:rsid w:val="006374B0"/>
    <w:rsid w:val="00671529"/>
    <w:rsid w:val="00692A31"/>
    <w:rsid w:val="006C1C2C"/>
    <w:rsid w:val="006E5BF0"/>
    <w:rsid w:val="00705329"/>
    <w:rsid w:val="007268F9"/>
    <w:rsid w:val="00767621"/>
    <w:rsid w:val="00794A9C"/>
    <w:rsid w:val="007A1CFB"/>
    <w:rsid w:val="007A4DC3"/>
    <w:rsid w:val="007B40E7"/>
    <w:rsid w:val="007C52B0"/>
    <w:rsid w:val="00820E13"/>
    <w:rsid w:val="008243CA"/>
    <w:rsid w:val="00833885"/>
    <w:rsid w:val="008754A7"/>
    <w:rsid w:val="00875EC6"/>
    <w:rsid w:val="00885CF4"/>
    <w:rsid w:val="00896F84"/>
    <w:rsid w:val="008D465B"/>
    <w:rsid w:val="008E32A1"/>
    <w:rsid w:val="008E688E"/>
    <w:rsid w:val="0091082A"/>
    <w:rsid w:val="009411B4"/>
    <w:rsid w:val="00963D7E"/>
    <w:rsid w:val="009644F8"/>
    <w:rsid w:val="009A5884"/>
    <w:rsid w:val="009B436D"/>
    <w:rsid w:val="009C1A95"/>
    <w:rsid w:val="009D0139"/>
    <w:rsid w:val="009F5CDC"/>
    <w:rsid w:val="00A02D8F"/>
    <w:rsid w:val="00A61C79"/>
    <w:rsid w:val="00A634C8"/>
    <w:rsid w:val="00A72CC2"/>
    <w:rsid w:val="00A775CF"/>
    <w:rsid w:val="00AF1274"/>
    <w:rsid w:val="00AF5455"/>
    <w:rsid w:val="00B06045"/>
    <w:rsid w:val="00B3179B"/>
    <w:rsid w:val="00B5016D"/>
    <w:rsid w:val="00BA0978"/>
    <w:rsid w:val="00BC64CC"/>
    <w:rsid w:val="00BF3A24"/>
    <w:rsid w:val="00C35A27"/>
    <w:rsid w:val="00C362B4"/>
    <w:rsid w:val="00C5428E"/>
    <w:rsid w:val="00C76930"/>
    <w:rsid w:val="00C81E72"/>
    <w:rsid w:val="00C846BD"/>
    <w:rsid w:val="00C84882"/>
    <w:rsid w:val="00CB10B4"/>
    <w:rsid w:val="00D5490A"/>
    <w:rsid w:val="00D6174E"/>
    <w:rsid w:val="00D96C56"/>
    <w:rsid w:val="00DC0B93"/>
    <w:rsid w:val="00DD39ED"/>
    <w:rsid w:val="00E02C2B"/>
    <w:rsid w:val="00E65B17"/>
    <w:rsid w:val="00EC4E8D"/>
    <w:rsid w:val="00ED2E8B"/>
    <w:rsid w:val="00ED6C48"/>
    <w:rsid w:val="00F232BD"/>
    <w:rsid w:val="00F541EC"/>
    <w:rsid w:val="00F65F5D"/>
    <w:rsid w:val="00F807EC"/>
    <w:rsid w:val="00F86A3A"/>
    <w:rsid w:val="00F9134C"/>
    <w:rsid w:val="00F919C2"/>
    <w:rsid w:val="00FC0DD2"/>
    <w:rsid w:val="00FD52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2BB5115"/>
  <w15:docId w15:val="{3CE7CB96-8A4D-43A2-8746-4A498CCE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374B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374B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4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4B0"/>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1C103A"/>
    <w:pPr>
      <w:spacing w:after="100"/>
    </w:pPr>
  </w:style>
  <w:style w:type="paragraph" w:styleId="TOC3">
    <w:name w:val="toc 3"/>
    <w:basedOn w:val="Normal"/>
    <w:next w:val="Normal"/>
    <w:autoRedefine/>
    <w:uiPriority w:val="39"/>
    <w:unhideWhenUsed/>
    <w:rsid w:val="001C103A"/>
    <w:pPr>
      <w:spacing w:after="100"/>
      <w:ind w:left="400"/>
    </w:pPr>
  </w:style>
  <w:style w:type="paragraph" w:styleId="TOC2">
    <w:name w:val="toc 2"/>
    <w:basedOn w:val="Normal"/>
    <w:next w:val="Normal"/>
    <w:autoRedefine/>
    <w:uiPriority w:val="39"/>
    <w:unhideWhenUsed/>
    <w:rsid w:val="001C103A"/>
    <w:pPr>
      <w:spacing w:after="100"/>
      <w:ind w:left="200"/>
    </w:pPr>
  </w:style>
  <w:style w:type="character" w:styleId="Hyperlink">
    <w:name w:val="Hyperlink"/>
    <w:basedOn w:val="DefaultParagraphFont"/>
    <w:uiPriority w:val="99"/>
    <w:unhideWhenUsed/>
    <w:rsid w:val="001C10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6686">
      <w:bodyDiv w:val="1"/>
      <w:marLeft w:val="0"/>
      <w:marRight w:val="0"/>
      <w:marTop w:val="0"/>
      <w:marBottom w:val="0"/>
      <w:divBdr>
        <w:top w:val="none" w:sz="0" w:space="0" w:color="auto"/>
        <w:left w:val="none" w:sz="0" w:space="0" w:color="auto"/>
        <w:bottom w:val="none" w:sz="0" w:space="0" w:color="auto"/>
        <w:right w:val="none" w:sz="0" w:space="0" w:color="auto"/>
      </w:divBdr>
    </w:div>
    <w:div w:id="21064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prensa.presidencia.cl/discurso.aspx?id=43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F6C8C-03AC-4791-85C3-E1B946E4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CATOP.dotm</Template>
  <TotalTime>0</TotalTime>
  <Pages>33</Pages>
  <Words>15976</Words>
  <Characters>88501</Characters>
  <Application>Microsoft Office Word</Application>
  <DocSecurity>0</DocSecurity>
  <Lines>1458</Lines>
  <Paragraphs>399</Paragraphs>
  <ScaleCrop>false</ScaleCrop>
  <HeadingPairs>
    <vt:vector size="2" baseType="variant">
      <vt:variant>
        <vt:lpstr>Title</vt:lpstr>
      </vt:variant>
      <vt:variant>
        <vt:i4>1</vt:i4>
      </vt:variant>
    </vt:vector>
  </HeadingPairs>
  <TitlesOfParts>
    <vt:vector size="1" baseType="lpstr">
      <vt:lpstr>1707762</vt:lpstr>
    </vt:vector>
  </TitlesOfParts>
  <Company>DCM</Company>
  <LinksUpToDate>false</LinksUpToDate>
  <CharactersWithSpaces>104336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1707762</dc:title>
  <dc:subject>CAT/OP/CHL/1/Add.1</dc:subject>
  <dc:creator>Cristina BRIGOLI</dc:creator>
  <cp:keywords/>
  <dc:description/>
  <cp:lastModifiedBy>Maria Rosario Corazon Gatmaytan</cp:lastModifiedBy>
  <cp:revision>2</cp:revision>
  <cp:lastPrinted>2018-04-30T15:13:00Z</cp:lastPrinted>
  <dcterms:created xsi:type="dcterms:W3CDTF">2018-05-01T13:34:00Z</dcterms:created>
  <dcterms:modified xsi:type="dcterms:W3CDTF">2018-05-01T13:34:00Z</dcterms:modified>
</cp:coreProperties>
</file>