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B9E4" w14:textId="77777777" w:rsidR="00CD3EAA" w:rsidRPr="000A6751" w:rsidRDefault="00CD3EAA" w:rsidP="00CD3EAA">
      <w:pPr>
        <w:spacing w:line="240" w:lineRule="auto"/>
        <w:rPr>
          <w:sz w:val="2"/>
          <w:lang w:val="fr-FR"/>
        </w:rPr>
        <w:sectPr w:rsidR="00CD3EAA" w:rsidRPr="000A6751" w:rsidSect="0042098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0A6751">
        <w:rPr>
          <w:rStyle w:val="CommentReference"/>
          <w:lang w:val="fr-FR"/>
        </w:rPr>
        <w:commentReference w:id="0"/>
      </w:r>
    </w:p>
    <w:p w14:paraId="4D6BED95" w14:textId="0A272FEA" w:rsidR="0042098D" w:rsidRPr="000A6751" w:rsidRDefault="0042098D" w:rsidP="004209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0A6751">
        <w:rPr>
          <w:lang w:val="fr-FR"/>
        </w:rPr>
        <w:t>Comité pour l</w:t>
      </w:r>
      <w:r w:rsidR="00356F77" w:rsidRPr="000A6751">
        <w:rPr>
          <w:lang w:val="fr-FR"/>
        </w:rPr>
        <w:t>’</w:t>
      </w:r>
      <w:r w:rsidRPr="000A6751">
        <w:rPr>
          <w:lang w:val="fr-FR"/>
        </w:rPr>
        <w:t>élimination de la discrimination</w:t>
      </w:r>
      <w:r w:rsidRPr="000A6751">
        <w:rPr>
          <w:lang w:val="fr-FR"/>
        </w:rPr>
        <w:br/>
        <w:t>à l</w:t>
      </w:r>
      <w:r w:rsidR="00356F77" w:rsidRPr="000A6751">
        <w:rPr>
          <w:lang w:val="fr-FR"/>
        </w:rPr>
        <w:t>’</w:t>
      </w:r>
      <w:r w:rsidRPr="000A6751">
        <w:rPr>
          <w:lang w:val="fr-FR"/>
        </w:rPr>
        <w:t>égard des femmes</w:t>
      </w:r>
    </w:p>
    <w:p w14:paraId="57D69417" w14:textId="77777777" w:rsidR="0042098D" w:rsidRPr="000A6751" w:rsidRDefault="0042098D" w:rsidP="0042098D">
      <w:pPr>
        <w:pStyle w:val="SingleTxt"/>
        <w:spacing w:after="0" w:line="120" w:lineRule="exact"/>
        <w:rPr>
          <w:sz w:val="10"/>
          <w:lang w:val="fr-FR"/>
        </w:rPr>
      </w:pPr>
    </w:p>
    <w:p w14:paraId="5E4DA187" w14:textId="77777777" w:rsidR="0042098D" w:rsidRPr="000A6751" w:rsidRDefault="0042098D" w:rsidP="0042098D">
      <w:pPr>
        <w:pStyle w:val="SingleTxt"/>
        <w:spacing w:after="0" w:line="120" w:lineRule="exact"/>
        <w:rPr>
          <w:sz w:val="10"/>
          <w:lang w:val="fr-FR"/>
        </w:rPr>
      </w:pPr>
    </w:p>
    <w:p w14:paraId="59D5D2F2" w14:textId="77777777" w:rsidR="0042098D" w:rsidRPr="000A6751" w:rsidRDefault="0042098D" w:rsidP="0042098D">
      <w:pPr>
        <w:pStyle w:val="SingleTxt"/>
        <w:spacing w:after="0" w:line="120" w:lineRule="exact"/>
        <w:rPr>
          <w:sz w:val="10"/>
          <w:lang w:val="fr-FR"/>
        </w:rPr>
      </w:pPr>
    </w:p>
    <w:p w14:paraId="40864FE2" w14:textId="5930DB41" w:rsidR="0042098D" w:rsidRPr="000A6751" w:rsidRDefault="0042098D" w:rsidP="0042098D">
      <w:pPr>
        <w:pStyle w:val="TitleHCH"/>
        <w:ind w:right="1260"/>
        <w:rPr>
          <w:b w:val="0"/>
          <w:bCs/>
          <w:sz w:val="20"/>
          <w:szCs w:val="20"/>
          <w:lang w:val="fr-FR"/>
        </w:rPr>
      </w:pPr>
      <w:r w:rsidRPr="000A6751">
        <w:rPr>
          <w:lang w:val="fr-FR"/>
        </w:rPr>
        <w:tab/>
      </w:r>
      <w:r w:rsidRPr="000A6751">
        <w:rPr>
          <w:lang w:val="fr-FR"/>
        </w:rPr>
        <w:tab/>
        <w:t>Observations finales concernant le rapport valant cinquième et sixième rapports périodiques du Maroc</w:t>
      </w:r>
      <w:r w:rsidRPr="000A6751">
        <w:rPr>
          <w:b w:val="0"/>
          <w:bCs/>
          <w:sz w:val="20"/>
          <w:szCs w:val="20"/>
          <w:lang w:val="fr-FR"/>
        </w:rPr>
        <w:footnoteReference w:customMarkFollows="1" w:id="1"/>
        <w:t>*</w:t>
      </w:r>
    </w:p>
    <w:p w14:paraId="425833A4" w14:textId="4CC1EB0D" w:rsidR="0042098D" w:rsidRPr="000A6751" w:rsidRDefault="0042098D" w:rsidP="0042098D">
      <w:pPr>
        <w:pStyle w:val="SingleTxt"/>
        <w:spacing w:after="0" w:line="120" w:lineRule="exact"/>
        <w:rPr>
          <w:sz w:val="10"/>
          <w:lang w:val="fr-FR"/>
        </w:rPr>
      </w:pPr>
    </w:p>
    <w:p w14:paraId="46632EB5" w14:textId="6603BF8D" w:rsidR="0042098D" w:rsidRPr="000A6751" w:rsidRDefault="0042098D" w:rsidP="0042098D">
      <w:pPr>
        <w:pStyle w:val="SingleTxt"/>
        <w:spacing w:after="0" w:line="120" w:lineRule="exact"/>
        <w:rPr>
          <w:sz w:val="10"/>
          <w:lang w:val="fr-FR"/>
        </w:rPr>
      </w:pPr>
    </w:p>
    <w:p w14:paraId="7BB37A5F" w14:textId="67D00363" w:rsidR="0042098D" w:rsidRPr="0042098D" w:rsidRDefault="0042098D" w:rsidP="0042098D">
      <w:pPr>
        <w:pStyle w:val="SingleTxt"/>
        <w:numPr>
          <w:ilvl w:val="0"/>
          <w:numId w:val="29"/>
        </w:numPr>
        <w:spacing w:line="240" w:lineRule="exact"/>
        <w:ind w:left="1267"/>
        <w:rPr>
          <w:lang w:val="fr-FR"/>
        </w:rPr>
      </w:pPr>
      <w:r w:rsidRPr="0042098D">
        <w:rPr>
          <w:lang w:val="fr-FR"/>
        </w:rPr>
        <w:t>Le Comité a examiné le rapport valant cinquième et sixième rapports périodiques du Maroc (</w:t>
      </w:r>
      <w:hyperlink r:id="rId17" w:history="1">
        <w:r w:rsidRPr="0042098D">
          <w:rPr>
            <w:rStyle w:val="Hyperlink"/>
            <w:lang w:val="fr-FR"/>
          </w:rPr>
          <w:t>CEDAW/C/MAR/5-6</w:t>
        </w:r>
      </w:hyperlink>
      <w:r w:rsidRPr="0042098D">
        <w:rPr>
          <w:lang w:val="fr-FR"/>
        </w:rPr>
        <w:t>) à ses 1892</w:t>
      </w:r>
      <w:r w:rsidRPr="0042098D">
        <w:rPr>
          <w:vertAlign w:val="superscript"/>
          <w:lang w:val="fr-FR"/>
        </w:rPr>
        <w:t>e</w:t>
      </w:r>
      <w:r w:rsidRPr="0042098D">
        <w:rPr>
          <w:lang w:val="fr-FR"/>
        </w:rPr>
        <w:t xml:space="preserve"> et 1894</w:t>
      </w:r>
      <w:r w:rsidRPr="0042098D">
        <w:rPr>
          <w:vertAlign w:val="superscript"/>
          <w:lang w:val="fr-FR"/>
        </w:rPr>
        <w:t>e</w:t>
      </w:r>
      <w:r w:rsidRPr="0042098D">
        <w:rPr>
          <w:lang w:val="fr-FR"/>
        </w:rPr>
        <w:t xml:space="preserve"> séances (voir </w:t>
      </w:r>
      <w:hyperlink r:id="rId18" w:history="1">
        <w:r w:rsidRPr="0042098D">
          <w:rPr>
            <w:rStyle w:val="Hyperlink"/>
            <w:lang w:val="fr-FR"/>
          </w:rPr>
          <w:t>CEDAW/C/SR.1892</w:t>
        </w:r>
      </w:hyperlink>
      <w:r w:rsidRPr="0042098D">
        <w:rPr>
          <w:lang w:val="fr-FR"/>
        </w:rPr>
        <w:t xml:space="preserve"> et </w:t>
      </w:r>
      <w:hyperlink r:id="rId19" w:history="1">
        <w:r w:rsidRPr="0042098D">
          <w:rPr>
            <w:rStyle w:val="Hyperlink"/>
            <w:lang w:val="fr-FR"/>
          </w:rPr>
          <w:t>CEDAW/C/SR.1894</w:t>
        </w:r>
      </w:hyperlink>
      <w:r w:rsidRPr="0042098D">
        <w:rPr>
          <w:lang w:val="fr-FR"/>
        </w:rPr>
        <w:t xml:space="preserve">), les 21 et 22 juin 2022. La liste de points et de questions soulevés par le groupe de travail de présession figure dans le document </w:t>
      </w:r>
      <w:hyperlink r:id="rId20" w:history="1">
        <w:r w:rsidRPr="0042098D">
          <w:rPr>
            <w:rStyle w:val="Hyperlink"/>
            <w:lang w:val="fr-FR"/>
          </w:rPr>
          <w:t>CEDAW/C/MAR/Q/5-6</w:t>
        </w:r>
      </w:hyperlink>
      <w:r w:rsidRPr="0042098D">
        <w:rPr>
          <w:lang w:val="fr-FR"/>
        </w:rPr>
        <w:t xml:space="preserve"> et les réponses du Maroc, dans le document </w:t>
      </w:r>
      <w:hyperlink r:id="rId21" w:history="1">
        <w:r w:rsidRPr="0042098D">
          <w:rPr>
            <w:rStyle w:val="Hyperlink"/>
            <w:lang w:val="fr-FR"/>
          </w:rPr>
          <w:t>CEDAW/C/MAR/RQ/5-6</w:t>
        </w:r>
      </w:hyperlink>
      <w:r w:rsidRPr="0042098D">
        <w:rPr>
          <w:lang w:val="fr-FR"/>
        </w:rPr>
        <w:t>.</w:t>
      </w:r>
    </w:p>
    <w:p w14:paraId="774B592A" w14:textId="77777777" w:rsidR="00356F77" w:rsidRPr="000A6751" w:rsidRDefault="00356F77" w:rsidP="00356F77">
      <w:pPr>
        <w:pStyle w:val="SingleTxt"/>
        <w:spacing w:after="0" w:line="120" w:lineRule="exact"/>
        <w:rPr>
          <w:sz w:val="10"/>
          <w:lang w:val="fr-FR"/>
        </w:rPr>
      </w:pPr>
    </w:p>
    <w:p w14:paraId="7FD30407" w14:textId="270A1895" w:rsidR="00356F77" w:rsidRPr="000A6751" w:rsidRDefault="00356F77" w:rsidP="00356F77">
      <w:pPr>
        <w:pStyle w:val="SingleTxt"/>
        <w:spacing w:after="0" w:line="120" w:lineRule="exact"/>
        <w:rPr>
          <w:sz w:val="10"/>
          <w:lang w:val="fr-FR"/>
        </w:rPr>
      </w:pPr>
    </w:p>
    <w:p w14:paraId="2F6A9695" w14:textId="0A3429D6" w:rsidR="0042098D" w:rsidRPr="000A6751" w:rsidRDefault="00356F77" w:rsidP="00356F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0042098D" w:rsidRPr="000A6751">
        <w:rPr>
          <w:lang w:val="fr-FR"/>
        </w:rPr>
        <w:t>A.</w:t>
      </w:r>
      <w:r w:rsidR="0042098D" w:rsidRPr="000A6751">
        <w:rPr>
          <w:lang w:val="fr-FR"/>
        </w:rPr>
        <w:tab/>
        <w:t>Introduction</w:t>
      </w:r>
    </w:p>
    <w:p w14:paraId="484CA57C" w14:textId="3F75704C" w:rsidR="00356F77" w:rsidRPr="000A6751" w:rsidRDefault="00356F77" w:rsidP="00356F77">
      <w:pPr>
        <w:pStyle w:val="SingleTxt"/>
        <w:spacing w:after="0" w:line="120" w:lineRule="exact"/>
        <w:rPr>
          <w:sz w:val="10"/>
          <w:lang w:val="fr-FR"/>
        </w:rPr>
      </w:pPr>
    </w:p>
    <w:p w14:paraId="1761DCD1" w14:textId="20610329" w:rsidR="00356F77" w:rsidRPr="000A6751" w:rsidRDefault="00356F77" w:rsidP="00356F77">
      <w:pPr>
        <w:pStyle w:val="SingleTxt"/>
        <w:spacing w:after="0" w:line="120" w:lineRule="exact"/>
        <w:rPr>
          <w:sz w:val="10"/>
          <w:lang w:val="fr-FR"/>
        </w:rPr>
      </w:pPr>
    </w:p>
    <w:p w14:paraId="711A4117" w14:textId="5356A813" w:rsidR="00356F77" w:rsidRPr="000A6751" w:rsidRDefault="0042098D" w:rsidP="00356F77">
      <w:pPr>
        <w:pStyle w:val="SingleTxt"/>
        <w:numPr>
          <w:ilvl w:val="0"/>
          <w:numId w:val="29"/>
        </w:numPr>
        <w:spacing w:line="240" w:lineRule="exact"/>
        <w:ind w:left="1267"/>
        <w:rPr>
          <w:lang w:val="fr-FR"/>
        </w:rPr>
      </w:pPr>
      <w:r w:rsidRPr="0042098D">
        <w:rPr>
          <w:lang w:val="fr-FR"/>
        </w:rPr>
        <w:t>Le Comité se félicite de la présentation par l</w:t>
      </w:r>
      <w:r w:rsidR="00356F77" w:rsidRPr="000A6751">
        <w:rPr>
          <w:lang w:val="fr-FR"/>
        </w:rPr>
        <w:t>’</w:t>
      </w:r>
      <w:r w:rsidRPr="0042098D">
        <w:rPr>
          <w:lang w:val="fr-FR"/>
        </w:rPr>
        <w:t>État partie de son rapport valant cinquième et sixième rapports périodiques, mais regrette toutefois que ce rapport ait été soumis avec six ans retard. Il accueille par ailleurs avec satisfaction les réponses écrites de l</w:t>
      </w:r>
      <w:r w:rsidR="00356F77" w:rsidRPr="000A6751">
        <w:rPr>
          <w:lang w:val="fr-FR"/>
        </w:rPr>
        <w:t>’</w:t>
      </w:r>
      <w:r w:rsidRPr="0042098D">
        <w:rPr>
          <w:lang w:val="fr-FR"/>
        </w:rPr>
        <w:t>État partie à la liste de points et de questions établie par le groupe de travail de présession au sujet de ce rapport, et apprécie l</w:t>
      </w:r>
      <w:r w:rsidR="00356F77" w:rsidRPr="000A6751">
        <w:rPr>
          <w:lang w:val="fr-FR"/>
        </w:rPr>
        <w:t>’</w:t>
      </w:r>
      <w:r w:rsidRPr="0042098D">
        <w:rPr>
          <w:lang w:val="fr-FR"/>
        </w:rPr>
        <w:t>exposé oral présenté par la délégation ainsi que les précisions apportées aux questions posées oralement par le Comité pendant le dialogue.</w:t>
      </w:r>
    </w:p>
    <w:p w14:paraId="04462415" w14:textId="3E7AB858" w:rsidR="0042098D" w:rsidRPr="0042098D" w:rsidRDefault="0042098D" w:rsidP="00356F77">
      <w:pPr>
        <w:pStyle w:val="SingleTxt"/>
        <w:numPr>
          <w:ilvl w:val="0"/>
          <w:numId w:val="29"/>
        </w:numPr>
        <w:spacing w:line="240" w:lineRule="exact"/>
        <w:ind w:left="1267"/>
        <w:rPr>
          <w:lang w:val="fr-FR"/>
        </w:rPr>
      </w:pPr>
      <w:r w:rsidRPr="0042098D">
        <w:rPr>
          <w:lang w:val="fr-FR"/>
        </w:rPr>
        <w:t>Le Comité félicite l</w:t>
      </w:r>
      <w:r w:rsidR="00356F77" w:rsidRPr="000A6751">
        <w:rPr>
          <w:lang w:val="fr-FR"/>
        </w:rPr>
        <w:t>’</w:t>
      </w:r>
      <w:r w:rsidRPr="0042098D">
        <w:rPr>
          <w:lang w:val="fr-FR"/>
        </w:rPr>
        <w:t>État partie d</w:t>
      </w:r>
      <w:r w:rsidR="00356F77" w:rsidRPr="000A6751">
        <w:rPr>
          <w:lang w:val="fr-FR"/>
        </w:rPr>
        <w:t>’</w:t>
      </w:r>
      <w:r w:rsidRPr="0042098D">
        <w:rPr>
          <w:lang w:val="fr-FR"/>
        </w:rPr>
        <w:t>avoir envoyé une délégation multisectorielle, qui était dirigée par la Ministre de la solidarité, de l</w:t>
      </w:r>
      <w:r w:rsidR="00356F77" w:rsidRPr="000A6751">
        <w:rPr>
          <w:lang w:val="fr-FR"/>
        </w:rPr>
        <w:t>’</w:t>
      </w:r>
      <w:r w:rsidRPr="0042098D">
        <w:rPr>
          <w:lang w:val="fr-FR"/>
        </w:rPr>
        <w:t>insertion sociale et de la famille, Aawatif Hayar, et qui se composait également de représentants du Chef du Gouvernement et des entités ci-après</w:t>
      </w:r>
      <w:r w:rsidR="00356F77" w:rsidRPr="000A6751">
        <w:rPr>
          <w:lang w:val="fr-FR"/>
        </w:rPr>
        <w:t> :</w:t>
      </w:r>
      <w:r w:rsidRPr="0042098D">
        <w:rPr>
          <w:lang w:val="fr-FR"/>
        </w:rPr>
        <w:t xml:space="preserve"> Ministère de l</w:t>
      </w:r>
      <w:r w:rsidR="00356F77" w:rsidRPr="000A6751">
        <w:rPr>
          <w:lang w:val="fr-FR"/>
        </w:rPr>
        <w:t>’</w:t>
      </w:r>
      <w:r w:rsidRPr="0042098D">
        <w:rPr>
          <w:lang w:val="fr-FR"/>
        </w:rPr>
        <w:t>intérieur</w:t>
      </w:r>
      <w:r w:rsidR="00356F77" w:rsidRPr="000A6751">
        <w:rPr>
          <w:lang w:val="fr-FR"/>
        </w:rPr>
        <w:t> ;</w:t>
      </w:r>
      <w:r w:rsidRPr="0042098D">
        <w:rPr>
          <w:lang w:val="fr-FR"/>
        </w:rPr>
        <w:t xml:space="preserve"> Ministère des affaires étrangères, de la coopération africaine et des Marocains résidant à l</w:t>
      </w:r>
      <w:r w:rsidR="00356F77" w:rsidRPr="000A6751">
        <w:rPr>
          <w:lang w:val="fr-FR"/>
        </w:rPr>
        <w:t>’</w:t>
      </w:r>
      <w:r w:rsidRPr="0042098D">
        <w:rPr>
          <w:lang w:val="fr-FR"/>
        </w:rPr>
        <w:t>étranger</w:t>
      </w:r>
      <w:r w:rsidR="00356F77" w:rsidRPr="000A6751">
        <w:rPr>
          <w:lang w:val="fr-FR"/>
        </w:rPr>
        <w:t> ;</w:t>
      </w:r>
      <w:r w:rsidRPr="0042098D">
        <w:rPr>
          <w:lang w:val="fr-FR"/>
        </w:rPr>
        <w:t xml:space="preserve"> Ministère de la justice</w:t>
      </w:r>
      <w:r w:rsidR="00356F77" w:rsidRPr="000A6751">
        <w:rPr>
          <w:lang w:val="fr-FR"/>
        </w:rPr>
        <w:t> ;</w:t>
      </w:r>
      <w:r w:rsidRPr="0042098D">
        <w:rPr>
          <w:lang w:val="fr-FR"/>
        </w:rPr>
        <w:t xml:space="preserve"> Ministère de l</w:t>
      </w:r>
      <w:r w:rsidR="00356F77" w:rsidRPr="000A6751">
        <w:rPr>
          <w:lang w:val="fr-FR"/>
        </w:rPr>
        <w:t>’</w:t>
      </w:r>
      <w:r w:rsidRPr="0042098D">
        <w:rPr>
          <w:lang w:val="fr-FR"/>
        </w:rPr>
        <w:t>éducation nationale, du préscolaire et des sports</w:t>
      </w:r>
      <w:r w:rsidR="00356F77" w:rsidRPr="000A6751">
        <w:rPr>
          <w:lang w:val="fr-FR"/>
        </w:rPr>
        <w:t> ;</w:t>
      </w:r>
      <w:r w:rsidRPr="0042098D">
        <w:rPr>
          <w:lang w:val="fr-FR"/>
        </w:rPr>
        <w:t xml:space="preserve"> Ministère de la santé et de la protection sociale</w:t>
      </w:r>
      <w:r w:rsidR="00356F77" w:rsidRPr="000A6751">
        <w:rPr>
          <w:lang w:val="fr-FR"/>
        </w:rPr>
        <w:t> ;</w:t>
      </w:r>
      <w:r w:rsidRPr="0042098D">
        <w:rPr>
          <w:lang w:val="fr-FR"/>
        </w:rPr>
        <w:t xml:space="preserve"> Ministère de l</w:t>
      </w:r>
      <w:r w:rsidR="00356F77" w:rsidRPr="000A6751">
        <w:rPr>
          <w:lang w:val="fr-FR"/>
        </w:rPr>
        <w:t>’</w:t>
      </w:r>
      <w:r w:rsidRPr="0042098D">
        <w:rPr>
          <w:lang w:val="fr-FR"/>
        </w:rPr>
        <w:t>inclusion économique, de la petite entreprise, de l</w:t>
      </w:r>
      <w:r w:rsidR="00356F77" w:rsidRPr="000A6751">
        <w:rPr>
          <w:lang w:val="fr-FR"/>
        </w:rPr>
        <w:t>’</w:t>
      </w:r>
      <w:r w:rsidRPr="0042098D">
        <w:rPr>
          <w:lang w:val="fr-FR"/>
        </w:rPr>
        <w:t>emploi et des compétences</w:t>
      </w:r>
      <w:r w:rsidR="00356F77" w:rsidRPr="000A6751">
        <w:rPr>
          <w:lang w:val="fr-FR"/>
        </w:rPr>
        <w:t> ;</w:t>
      </w:r>
      <w:r w:rsidRPr="0042098D">
        <w:rPr>
          <w:lang w:val="fr-FR"/>
        </w:rPr>
        <w:t xml:space="preserve"> Ministère de la jeunesse, de la culture et de la communication</w:t>
      </w:r>
      <w:r w:rsidR="00356F77" w:rsidRPr="000A6751">
        <w:rPr>
          <w:lang w:val="fr-FR"/>
        </w:rPr>
        <w:t> ;</w:t>
      </w:r>
      <w:r w:rsidRPr="0042098D">
        <w:rPr>
          <w:lang w:val="fr-FR"/>
        </w:rPr>
        <w:t xml:space="preserve"> Ministère de l</w:t>
      </w:r>
      <w:r w:rsidR="00356F77" w:rsidRPr="000A6751">
        <w:rPr>
          <w:lang w:val="fr-FR"/>
        </w:rPr>
        <w:t>’</w:t>
      </w:r>
      <w:r w:rsidRPr="0042098D">
        <w:rPr>
          <w:lang w:val="fr-FR"/>
        </w:rPr>
        <w:t>économie et des finances</w:t>
      </w:r>
      <w:r w:rsidR="00356F77" w:rsidRPr="000A6751">
        <w:rPr>
          <w:lang w:val="fr-FR"/>
        </w:rPr>
        <w:t> ;</w:t>
      </w:r>
      <w:r w:rsidRPr="0042098D">
        <w:rPr>
          <w:lang w:val="fr-FR"/>
        </w:rPr>
        <w:t xml:space="preserve"> Ministère délégué auprès du Chef du Gouvernement chargé de la transition numérique et de la réforme de l</w:t>
      </w:r>
      <w:r w:rsidR="00356F77" w:rsidRPr="000A6751">
        <w:rPr>
          <w:lang w:val="fr-FR"/>
        </w:rPr>
        <w:t>’</w:t>
      </w:r>
      <w:r w:rsidRPr="0042098D">
        <w:rPr>
          <w:lang w:val="fr-FR"/>
        </w:rPr>
        <w:t>administration</w:t>
      </w:r>
      <w:r w:rsidR="00356F77" w:rsidRPr="000A6751">
        <w:rPr>
          <w:lang w:val="fr-FR"/>
        </w:rPr>
        <w:t> ;</w:t>
      </w:r>
      <w:r w:rsidRPr="0042098D">
        <w:rPr>
          <w:lang w:val="fr-FR"/>
        </w:rPr>
        <w:t xml:space="preserve"> présidence du ministère public</w:t>
      </w:r>
      <w:r w:rsidR="00356F77" w:rsidRPr="000A6751">
        <w:rPr>
          <w:lang w:val="fr-FR"/>
        </w:rPr>
        <w:t> ;</w:t>
      </w:r>
      <w:r w:rsidRPr="0042098D">
        <w:rPr>
          <w:lang w:val="fr-FR"/>
        </w:rPr>
        <w:t xml:space="preserve"> Délégation interministérielle aux droits de l</w:t>
      </w:r>
      <w:r w:rsidR="00356F77" w:rsidRPr="000A6751">
        <w:rPr>
          <w:lang w:val="fr-FR"/>
        </w:rPr>
        <w:t>’</w:t>
      </w:r>
      <w:r w:rsidRPr="0042098D">
        <w:rPr>
          <w:lang w:val="fr-FR"/>
        </w:rPr>
        <w:t>homme</w:t>
      </w:r>
      <w:r w:rsidR="00356F77" w:rsidRPr="000A6751">
        <w:rPr>
          <w:lang w:val="fr-FR"/>
        </w:rPr>
        <w:t> ;</w:t>
      </w:r>
      <w:r w:rsidRPr="0042098D">
        <w:rPr>
          <w:lang w:val="fr-FR"/>
        </w:rPr>
        <w:t xml:space="preserve"> Haut-Commissariat au Plan</w:t>
      </w:r>
      <w:r w:rsidR="00356F77" w:rsidRPr="000A6751">
        <w:rPr>
          <w:lang w:val="fr-FR"/>
        </w:rPr>
        <w:t> ;</w:t>
      </w:r>
      <w:r w:rsidRPr="0042098D">
        <w:rPr>
          <w:lang w:val="fr-FR"/>
        </w:rPr>
        <w:t xml:space="preserve"> Haute autorité de la communication audiovisuelle</w:t>
      </w:r>
      <w:r w:rsidR="00356F77" w:rsidRPr="000A6751">
        <w:rPr>
          <w:lang w:val="fr-FR"/>
        </w:rPr>
        <w:t> ;</w:t>
      </w:r>
      <w:r w:rsidRPr="0042098D">
        <w:rPr>
          <w:lang w:val="fr-FR"/>
        </w:rPr>
        <w:t xml:space="preserve"> Ministère de l</w:t>
      </w:r>
      <w:r w:rsidR="00356F77" w:rsidRPr="000A6751">
        <w:rPr>
          <w:lang w:val="fr-FR"/>
        </w:rPr>
        <w:t>’</w:t>
      </w:r>
      <w:r w:rsidRPr="0042098D">
        <w:rPr>
          <w:lang w:val="fr-FR"/>
        </w:rPr>
        <w:t>agriculture, de la pêche maritime, du développement rural, des eaux et forêts</w:t>
      </w:r>
      <w:r w:rsidR="00356F77" w:rsidRPr="000A6751">
        <w:rPr>
          <w:lang w:val="fr-FR"/>
        </w:rPr>
        <w:t> ;</w:t>
      </w:r>
      <w:r w:rsidRPr="0042098D">
        <w:rPr>
          <w:lang w:val="fr-FR"/>
        </w:rPr>
        <w:t xml:space="preserve"> Ministère du tourisme, </w:t>
      </w:r>
      <w:r w:rsidRPr="0042098D">
        <w:rPr>
          <w:lang w:val="fr-FR"/>
        </w:rPr>
        <w:lastRenderedPageBreak/>
        <w:t>de l</w:t>
      </w:r>
      <w:r w:rsidR="00356F77" w:rsidRPr="000A6751">
        <w:rPr>
          <w:lang w:val="fr-FR"/>
        </w:rPr>
        <w:t>’</w:t>
      </w:r>
      <w:r w:rsidRPr="0042098D">
        <w:rPr>
          <w:lang w:val="fr-FR"/>
        </w:rPr>
        <w:t>artisanat et de l</w:t>
      </w:r>
      <w:r w:rsidR="00356F77" w:rsidRPr="000A6751">
        <w:rPr>
          <w:lang w:val="fr-FR"/>
        </w:rPr>
        <w:t>’</w:t>
      </w:r>
      <w:r w:rsidRPr="0042098D">
        <w:rPr>
          <w:lang w:val="fr-FR"/>
        </w:rPr>
        <w:t>économie sociale et solidaire</w:t>
      </w:r>
      <w:r w:rsidR="00356F77" w:rsidRPr="000A6751">
        <w:rPr>
          <w:lang w:val="fr-FR"/>
        </w:rPr>
        <w:t> ;</w:t>
      </w:r>
      <w:r w:rsidRPr="0042098D">
        <w:rPr>
          <w:lang w:val="fr-FR"/>
        </w:rPr>
        <w:t xml:space="preserve"> Direction générale de la Sûreté nationale</w:t>
      </w:r>
      <w:r w:rsidR="00356F77" w:rsidRPr="000A6751">
        <w:rPr>
          <w:lang w:val="fr-FR"/>
        </w:rPr>
        <w:t> ;</w:t>
      </w:r>
      <w:r w:rsidRPr="0042098D">
        <w:rPr>
          <w:lang w:val="fr-FR"/>
        </w:rPr>
        <w:t xml:space="preserve"> Gendarmerie royale</w:t>
      </w:r>
      <w:r w:rsidR="00356F77" w:rsidRPr="000A6751">
        <w:rPr>
          <w:lang w:val="fr-FR"/>
        </w:rPr>
        <w:t> ;</w:t>
      </w:r>
      <w:r w:rsidRPr="0042098D">
        <w:rPr>
          <w:lang w:val="fr-FR"/>
        </w:rPr>
        <w:t xml:space="preserve"> Délégation générale de l</w:t>
      </w:r>
      <w:r w:rsidR="00356F77" w:rsidRPr="000A6751">
        <w:rPr>
          <w:lang w:val="fr-FR"/>
        </w:rPr>
        <w:t>’</w:t>
      </w:r>
      <w:r w:rsidRPr="0042098D">
        <w:rPr>
          <w:lang w:val="fr-FR"/>
        </w:rPr>
        <w:t>administration pénitentiaire et de la réinsertion</w:t>
      </w:r>
      <w:r w:rsidR="00356F77" w:rsidRPr="000A6751">
        <w:rPr>
          <w:lang w:val="fr-FR"/>
        </w:rPr>
        <w:t> ;</w:t>
      </w:r>
      <w:r w:rsidRPr="0042098D">
        <w:rPr>
          <w:lang w:val="fr-FR"/>
        </w:rPr>
        <w:t xml:space="preserve"> Mission permanente du Maroc auprès de l</w:t>
      </w:r>
      <w:r w:rsidR="00356F77" w:rsidRPr="000A6751">
        <w:rPr>
          <w:lang w:val="fr-FR"/>
        </w:rPr>
        <w:t>’</w:t>
      </w:r>
      <w:r w:rsidRPr="0042098D">
        <w:rPr>
          <w:lang w:val="fr-FR"/>
        </w:rPr>
        <w:t>Office des Nations Unies et des autres organisations internationales à Genève.</w:t>
      </w:r>
    </w:p>
    <w:p w14:paraId="617411A2" w14:textId="77777777" w:rsidR="00356F77" w:rsidRPr="000A6751" w:rsidRDefault="00356F77" w:rsidP="00356F77">
      <w:pPr>
        <w:pStyle w:val="SingleTxt"/>
        <w:spacing w:after="0" w:line="120" w:lineRule="exact"/>
        <w:rPr>
          <w:sz w:val="10"/>
          <w:lang w:val="fr-FR"/>
        </w:rPr>
      </w:pPr>
    </w:p>
    <w:p w14:paraId="62034394" w14:textId="77777777" w:rsidR="00356F77" w:rsidRPr="000A6751" w:rsidRDefault="00356F77" w:rsidP="00356F77">
      <w:pPr>
        <w:pStyle w:val="SingleTxt"/>
        <w:spacing w:after="0" w:line="120" w:lineRule="exact"/>
        <w:rPr>
          <w:sz w:val="10"/>
          <w:lang w:val="fr-FR"/>
        </w:rPr>
      </w:pPr>
    </w:p>
    <w:p w14:paraId="11E2E278" w14:textId="058EFF3B" w:rsidR="0042098D" w:rsidRPr="000A6751" w:rsidRDefault="00356F77" w:rsidP="00356F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0042098D" w:rsidRPr="000A6751">
        <w:rPr>
          <w:lang w:val="fr-FR"/>
        </w:rPr>
        <w:t>B.</w:t>
      </w:r>
      <w:r w:rsidRPr="000A6751">
        <w:rPr>
          <w:lang w:val="fr-FR"/>
        </w:rPr>
        <w:tab/>
      </w:r>
      <w:r w:rsidR="0042098D" w:rsidRPr="000A6751">
        <w:rPr>
          <w:lang w:val="fr-FR"/>
        </w:rPr>
        <w:t>Aspects positifs</w:t>
      </w:r>
    </w:p>
    <w:p w14:paraId="59E23DB8" w14:textId="57669A07" w:rsidR="00356F77" w:rsidRPr="000A6751" w:rsidRDefault="00356F77" w:rsidP="00356F77">
      <w:pPr>
        <w:pStyle w:val="SingleTxt"/>
        <w:spacing w:after="0" w:line="120" w:lineRule="exact"/>
        <w:rPr>
          <w:sz w:val="10"/>
          <w:lang w:val="fr-FR"/>
        </w:rPr>
      </w:pPr>
    </w:p>
    <w:p w14:paraId="162FE4BF" w14:textId="466743EF" w:rsidR="00356F77" w:rsidRPr="000A6751" w:rsidRDefault="00356F77" w:rsidP="00356F77">
      <w:pPr>
        <w:pStyle w:val="SingleTxt"/>
        <w:spacing w:after="0" w:line="120" w:lineRule="exact"/>
        <w:rPr>
          <w:sz w:val="10"/>
          <w:lang w:val="fr-FR"/>
        </w:rPr>
      </w:pPr>
    </w:p>
    <w:p w14:paraId="0C1B1B4F" w14:textId="371EB6F9" w:rsidR="00356F77" w:rsidRPr="000A6751" w:rsidRDefault="0042098D" w:rsidP="00356F77">
      <w:pPr>
        <w:pStyle w:val="SingleTxt"/>
        <w:numPr>
          <w:ilvl w:val="0"/>
          <w:numId w:val="29"/>
        </w:numPr>
        <w:spacing w:line="240" w:lineRule="exact"/>
        <w:ind w:left="1267"/>
        <w:rPr>
          <w:lang w:val="fr-FR"/>
        </w:rPr>
      </w:pPr>
      <w:r w:rsidRPr="0042098D">
        <w:rPr>
          <w:lang w:val="fr-FR"/>
        </w:rPr>
        <w:t>Le Comité se félicite des progrès accomplis sur le front des réformes législatives depuis l</w:t>
      </w:r>
      <w:r w:rsidR="00356F77" w:rsidRPr="000A6751">
        <w:rPr>
          <w:lang w:val="fr-FR"/>
        </w:rPr>
        <w:t>’</w:t>
      </w:r>
      <w:r w:rsidRPr="0042098D">
        <w:rPr>
          <w:lang w:val="fr-FR"/>
        </w:rPr>
        <w:t>examen, en 2008, du rapport valant troisième et quatrième rapports périodiques de l</w:t>
      </w:r>
      <w:r w:rsidR="00356F77" w:rsidRPr="000A6751">
        <w:rPr>
          <w:lang w:val="fr-FR"/>
        </w:rPr>
        <w:t>’</w:t>
      </w:r>
      <w:r w:rsidRPr="0042098D">
        <w:rPr>
          <w:lang w:val="fr-FR"/>
        </w:rPr>
        <w:t>État partie, notamment de l</w:t>
      </w:r>
      <w:r w:rsidR="00356F77" w:rsidRPr="000A6751">
        <w:rPr>
          <w:lang w:val="fr-FR"/>
        </w:rPr>
        <w:t>’</w:t>
      </w:r>
      <w:r w:rsidRPr="0042098D">
        <w:rPr>
          <w:lang w:val="fr-FR"/>
        </w:rPr>
        <w:t>adoption des textes suivants</w:t>
      </w:r>
      <w:r w:rsidR="00356F77" w:rsidRPr="000A6751">
        <w:rPr>
          <w:lang w:val="fr-FR"/>
        </w:rPr>
        <w:t> :</w:t>
      </w:r>
    </w:p>
    <w:p w14:paraId="55C57855" w14:textId="44733B13" w:rsidR="0042098D" w:rsidRPr="0042098D" w:rsidRDefault="00356F77" w:rsidP="00356F77">
      <w:pPr>
        <w:pStyle w:val="SingleTxt"/>
        <w:rPr>
          <w:lang w:val="fr-FR"/>
        </w:rPr>
      </w:pPr>
      <w:r w:rsidRPr="000A6751">
        <w:rPr>
          <w:lang w:val="fr-FR"/>
        </w:rPr>
        <w:tab/>
      </w:r>
      <w:r w:rsidR="0042098D" w:rsidRPr="0042098D">
        <w:rPr>
          <w:lang w:val="fr-FR"/>
        </w:rPr>
        <w:t>a)</w:t>
      </w:r>
      <w:r w:rsidR="0042098D" w:rsidRPr="0042098D">
        <w:rPr>
          <w:lang w:val="fr-FR"/>
        </w:rPr>
        <w:tab/>
        <w:t>Une nouvelle Constitution, en juillet 2011</w:t>
      </w:r>
      <w:r w:rsidRPr="000A6751">
        <w:rPr>
          <w:lang w:val="fr-FR"/>
        </w:rPr>
        <w:t> ;</w:t>
      </w:r>
    </w:p>
    <w:p w14:paraId="13A64859" w14:textId="0120B44A" w:rsidR="0042098D" w:rsidRPr="0042098D" w:rsidRDefault="00356F77" w:rsidP="0042098D">
      <w:pPr>
        <w:pStyle w:val="SingleTxt"/>
        <w:rPr>
          <w:lang w:val="fr-FR"/>
        </w:rPr>
      </w:pPr>
      <w:r w:rsidRPr="000A6751">
        <w:rPr>
          <w:lang w:val="fr-FR"/>
        </w:rPr>
        <w:tab/>
      </w:r>
      <w:r w:rsidR="0042098D" w:rsidRPr="0042098D">
        <w:rPr>
          <w:lang w:val="fr-FR"/>
        </w:rPr>
        <w:t>b)</w:t>
      </w:r>
      <w:r w:rsidRPr="000A6751">
        <w:rPr>
          <w:lang w:val="fr-FR"/>
        </w:rPr>
        <w:tab/>
      </w:r>
      <w:r w:rsidR="0042098D" w:rsidRPr="0042098D">
        <w:rPr>
          <w:lang w:val="fr-FR"/>
        </w:rPr>
        <w:t>La loi n</w:t>
      </w:r>
      <w:r w:rsidRPr="000A6751">
        <w:rPr>
          <w:vertAlign w:val="superscript"/>
          <w:lang w:val="fr-FR"/>
        </w:rPr>
        <w:t>o</w:t>
      </w:r>
      <w:r w:rsidRPr="000A6751">
        <w:rPr>
          <w:lang w:val="fr-FR"/>
        </w:rPr>
        <w:t> </w:t>
      </w:r>
      <w:r w:rsidR="0042098D" w:rsidRPr="0042098D">
        <w:rPr>
          <w:lang w:val="fr-FR"/>
        </w:rPr>
        <w:t>9-21 relative à la protection sociale, en mars 2021</w:t>
      </w:r>
      <w:r w:rsidRPr="000A6751">
        <w:rPr>
          <w:lang w:val="fr-FR"/>
        </w:rPr>
        <w:t> ;</w:t>
      </w:r>
    </w:p>
    <w:p w14:paraId="6D322E49" w14:textId="0C006B9B" w:rsidR="0042098D" w:rsidRPr="0042098D" w:rsidRDefault="00356F77" w:rsidP="0042098D">
      <w:pPr>
        <w:pStyle w:val="SingleTxt"/>
        <w:rPr>
          <w:lang w:val="fr-FR"/>
        </w:rPr>
      </w:pPr>
      <w:r w:rsidRPr="000A6751">
        <w:rPr>
          <w:lang w:val="fr-FR"/>
        </w:rPr>
        <w:tab/>
      </w:r>
      <w:r w:rsidR="0042098D" w:rsidRPr="0042098D">
        <w:rPr>
          <w:lang w:val="fr-FR"/>
        </w:rPr>
        <w:t>c)</w:t>
      </w:r>
      <w:r w:rsidR="0042098D" w:rsidRPr="0042098D">
        <w:rPr>
          <w:lang w:val="fr-FR"/>
        </w:rPr>
        <w:tab/>
        <w:t xml:space="preserve">La loi </w:t>
      </w:r>
      <w:r w:rsidRPr="0042098D">
        <w:rPr>
          <w:lang w:val="fr-FR"/>
        </w:rPr>
        <w:t>n</w:t>
      </w:r>
      <w:r w:rsidRPr="000A6751">
        <w:rPr>
          <w:vertAlign w:val="superscript"/>
          <w:lang w:val="fr-FR"/>
        </w:rPr>
        <w:t>o</w:t>
      </w:r>
      <w:r w:rsidRPr="000A6751">
        <w:rPr>
          <w:lang w:val="fr-FR"/>
        </w:rPr>
        <w:t> </w:t>
      </w:r>
      <w:r w:rsidR="0042098D" w:rsidRPr="0042098D">
        <w:rPr>
          <w:lang w:val="fr-FR"/>
        </w:rPr>
        <w:t>19-20 modifiant et complétant la loi n</w:t>
      </w:r>
      <w:r w:rsidR="00FD44C4" w:rsidRPr="004B1055">
        <w:rPr>
          <w:vertAlign w:val="superscript"/>
          <w:lang w:val="fr-FR"/>
        </w:rPr>
        <w:t>o</w:t>
      </w:r>
      <w:r w:rsidR="00FD44C4">
        <w:rPr>
          <w:lang w:val="fr-FR"/>
        </w:rPr>
        <w:t> </w:t>
      </w:r>
      <w:r w:rsidR="0042098D" w:rsidRPr="0042098D">
        <w:rPr>
          <w:lang w:val="fr-FR"/>
        </w:rPr>
        <w:t>17-95 relative aux sociétés anonymes, qui prévoit l</w:t>
      </w:r>
      <w:r w:rsidRPr="000A6751">
        <w:rPr>
          <w:lang w:val="fr-FR"/>
        </w:rPr>
        <w:t>’</w:t>
      </w:r>
      <w:r w:rsidR="0042098D" w:rsidRPr="0042098D">
        <w:rPr>
          <w:lang w:val="fr-FR"/>
        </w:rPr>
        <w:t>obligation de respecter un quota de femmes dans les conseils d</w:t>
      </w:r>
      <w:r w:rsidRPr="000A6751">
        <w:rPr>
          <w:lang w:val="fr-FR"/>
        </w:rPr>
        <w:t>’</w:t>
      </w:r>
      <w:r w:rsidR="0042098D" w:rsidRPr="0042098D">
        <w:rPr>
          <w:lang w:val="fr-FR"/>
        </w:rPr>
        <w:t>administration des sociétés anonymes, en juillet 2021</w:t>
      </w:r>
      <w:r w:rsidRPr="000A6751">
        <w:rPr>
          <w:lang w:val="fr-FR"/>
        </w:rPr>
        <w:t> ;</w:t>
      </w:r>
    </w:p>
    <w:p w14:paraId="392689F3" w14:textId="03F9E7B1" w:rsidR="0042098D" w:rsidRPr="0042098D" w:rsidRDefault="00356F77" w:rsidP="0042098D">
      <w:pPr>
        <w:pStyle w:val="SingleTxt"/>
        <w:rPr>
          <w:lang w:val="fr-FR"/>
        </w:rPr>
      </w:pPr>
      <w:r w:rsidRPr="000A6751">
        <w:rPr>
          <w:lang w:val="fr-FR"/>
        </w:rPr>
        <w:tab/>
      </w:r>
      <w:r w:rsidR="0042098D" w:rsidRPr="0042098D">
        <w:rPr>
          <w:lang w:val="fr-FR"/>
        </w:rPr>
        <w:t>d)</w:t>
      </w:r>
      <w:r w:rsidR="0042098D" w:rsidRPr="0042098D">
        <w:rPr>
          <w:lang w:val="fr-FR"/>
        </w:rPr>
        <w:tab/>
        <w:t xml:space="preserve">La loi </w:t>
      </w:r>
      <w:r w:rsidRPr="0042098D">
        <w:rPr>
          <w:lang w:val="fr-FR"/>
        </w:rPr>
        <w:t>n</w:t>
      </w:r>
      <w:r w:rsidRPr="000A6751">
        <w:rPr>
          <w:vertAlign w:val="superscript"/>
          <w:lang w:val="fr-FR"/>
        </w:rPr>
        <w:t>o</w:t>
      </w:r>
      <w:r w:rsidRPr="000A6751">
        <w:rPr>
          <w:lang w:val="fr-FR"/>
        </w:rPr>
        <w:t> </w:t>
      </w:r>
      <w:r w:rsidR="0042098D" w:rsidRPr="0042098D">
        <w:rPr>
          <w:lang w:val="fr-FR"/>
        </w:rPr>
        <w:t>19-12 fixant les conditions de travail et d</w:t>
      </w:r>
      <w:r w:rsidRPr="000A6751">
        <w:rPr>
          <w:lang w:val="fr-FR"/>
        </w:rPr>
        <w:t>’</w:t>
      </w:r>
      <w:r w:rsidR="0042098D" w:rsidRPr="0042098D">
        <w:rPr>
          <w:lang w:val="fr-FR"/>
        </w:rPr>
        <w:t>emploi des travailleuses et travailleurs domestiques, en août 2016</w:t>
      </w:r>
      <w:r w:rsidRPr="000A6751">
        <w:rPr>
          <w:lang w:val="fr-FR"/>
        </w:rPr>
        <w:t> ;</w:t>
      </w:r>
    </w:p>
    <w:p w14:paraId="16870A9E" w14:textId="08FBDC2B" w:rsidR="0042098D" w:rsidRPr="0042098D" w:rsidRDefault="00356F77" w:rsidP="0042098D">
      <w:pPr>
        <w:pStyle w:val="SingleTxt"/>
        <w:rPr>
          <w:lang w:val="fr-FR"/>
        </w:rPr>
      </w:pPr>
      <w:r w:rsidRPr="000A6751">
        <w:rPr>
          <w:lang w:val="fr-FR"/>
        </w:rPr>
        <w:tab/>
      </w:r>
      <w:r w:rsidR="0042098D" w:rsidRPr="0042098D">
        <w:rPr>
          <w:lang w:val="fr-FR"/>
        </w:rPr>
        <w:t>e)</w:t>
      </w:r>
      <w:r w:rsidR="0042098D" w:rsidRPr="0042098D">
        <w:rPr>
          <w:lang w:val="fr-FR"/>
        </w:rPr>
        <w:tab/>
        <w:t xml:space="preserve">La loi </w:t>
      </w:r>
      <w:r w:rsidRPr="0042098D">
        <w:rPr>
          <w:lang w:val="fr-FR"/>
        </w:rPr>
        <w:t>n</w:t>
      </w:r>
      <w:r w:rsidRPr="000A6751">
        <w:rPr>
          <w:vertAlign w:val="superscript"/>
          <w:lang w:val="fr-FR"/>
        </w:rPr>
        <w:t>o</w:t>
      </w:r>
      <w:r w:rsidRPr="000A6751">
        <w:rPr>
          <w:lang w:val="fr-FR"/>
        </w:rPr>
        <w:t> </w:t>
      </w:r>
      <w:r w:rsidR="0042098D" w:rsidRPr="0042098D">
        <w:rPr>
          <w:lang w:val="fr-FR"/>
        </w:rPr>
        <w:t>50-21 relative à la réforme des établissements et entreprises publics, en juillet 2021</w:t>
      </w:r>
      <w:r w:rsidRPr="000A6751">
        <w:rPr>
          <w:lang w:val="fr-FR"/>
        </w:rPr>
        <w:t> ;</w:t>
      </w:r>
    </w:p>
    <w:p w14:paraId="55AF12FC" w14:textId="3754B331" w:rsidR="0042098D" w:rsidRPr="0042098D" w:rsidRDefault="00356F77" w:rsidP="0042098D">
      <w:pPr>
        <w:pStyle w:val="SingleTxt"/>
        <w:rPr>
          <w:lang w:val="fr-FR"/>
        </w:rPr>
      </w:pPr>
      <w:r w:rsidRPr="000A6751">
        <w:rPr>
          <w:lang w:val="fr-FR"/>
        </w:rPr>
        <w:tab/>
      </w:r>
      <w:r w:rsidR="0042098D" w:rsidRPr="0042098D">
        <w:rPr>
          <w:lang w:val="fr-FR"/>
        </w:rPr>
        <w:t>f)</w:t>
      </w:r>
      <w:r w:rsidR="0042098D" w:rsidRPr="0042098D">
        <w:rPr>
          <w:lang w:val="fr-FR"/>
        </w:rPr>
        <w:tab/>
        <w:t xml:space="preserve">La loi </w:t>
      </w:r>
      <w:r w:rsidRPr="0042098D">
        <w:rPr>
          <w:lang w:val="fr-FR"/>
        </w:rPr>
        <w:t>n</w:t>
      </w:r>
      <w:r w:rsidRPr="000A6751">
        <w:rPr>
          <w:vertAlign w:val="superscript"/>
          <w:lang w:val="fr-FR"/>
        </w:rPr>
        <w:t>o</w:t>
      </w:r>
      <w:r w:rsidRPr="000A6751">
        <w:rPr>
          <w:lang w:val="fr-FR"/>
        </w:rPr>
        <w:t> </w:t>
      </w:r>
      <w:r w:rsidR="0042098D" w:rsidRPr="0042098D">
        <w:rPr>
          <w:lang w:val="fr-FR"/>
        </w:rPr>
        <w:t>103-13 relative à la lutte contre les violences faites aux femmes, en mars 2018</w:t>
      </w:r>
      <w:r w:rsidRPr="000A6751">
        <w:rPr>
          <w:lang w:val="fr-FR"/>
        </w:rPr>
        <w:t> ;</w:t>
      </w:r>
    </w:p>
    <w:p w14:paraId="3878213E" w14:textId="04682C83" w:rsidR="0042098D" w:rsidRPr="0042098D" w:rsidRDefault="00356F77" w:rsidP="0042098D">
      <w:pPr>
        <w:pStyle w:val="SingleTxt"/>
        <w:rPr>
          <w:lang w:val="fr-FR"/>
        </w:rPr>
      </w:pPr>
      <w:r w:rsidRPr="000A6751">
        <w:rPr>
          <w:lang w:val="fr-FR"/>
        </w:rPr>
        <w:tab/>
      </w:r>
      <w:r w:rsidR="0042098D" w:rsidRPr="0042098D">
        <w:rPr>
          <w:lang w:val="fr-FR"/>
        </w:rPr>
        <w:t>g)</w:t>
      </w:r>
      <w:r w:rsidR="0042098D" w:rsidRPr="0042098D">
        <w:rPr>
          <w:lang w:val="fr-FR"/>
        </w:rPr>
        <w:tab/>
        <w:t xml:space="preserve">La loi </w:t>
      </w:r>
      <w:r w:rsidRPr="0042098D">
        <w:rPr>
          <w:lang w:val="fr-FR"/>
        </w:rPr>
        <w:t>n</w:t>
      </w:r>
      <w:r w:rsidRPr="000A6751">
        <w:rPr>
          <w:vertAlign w:val="superscript"/>
          <w:lang w:val="fr-FR"/>
        </w:rPr>
        <w:t>o</w:t>
      </w:r>
      <w:r w:rsidRPr="000A6751">
        <w:rPr>
          <w:lang w:val="fr-FR"/>
        </w:rPr>
        <w:t> </w:t>
      </w:r>
      <w:r w:rsidR="0042098D" w:rsidRPr="0042098D">
        <w:rPr>
          <w:lang w:val="fr-FR"/>
        </w:rPr>
        <w:t>79-14 portant création de l</w:t>
      </w:r>
      <w:r w:rsidRPr="000A6751">
        <w:rPr>
          <w:lang w:val="fr-FR"/>
        </w:rPr>
        <w:t>’</w:t>
      </w:r>
      <w:r w:rsidR="0042098D" w:rsidRPr="0042098D">
        <w:rPr>
          <w:lang w:val="fr-FR"/>
        </w:rPr>
        <w:t>Autorité pour la parité et la lutte contre toutes formes de discrimination, en décembre 2017</w:t>
      </w:r>
      <w:r w:rsidRPr="000A6751">
        <w:rPr>
          <w:lang w:val="fr-FR"/>
        </w:rPr>
        <w:t> ;</w:t>
      </w:r>
    </w:p>
    <w:p w14:paraId="73A01D3D" w14:textId="6A88F719" w:rsidR="0042098D" w:rsidRPr="0042098D" w:rsidRDefault="00356F77" w:rsidP="0042098D">
      <w:pPr>
        <w:pStyle w:val="SingleTxt"/>
        <w:rPr>
          <w:lang w:val="fr-FR"/>
        </w:rPr>
      </w:pPr>
      <w:r w:rsidRPr="000A6751">
        <w:rPr>
          <w:lang w:val="fr-FR"/>
        </w:rPr>
        <w:tab/>
      </w:r>
      <w:r w:rsidR="0042098D" w:rsidRPr="0042098D">
        <w:rPr>
          <w:lang w:val="fr-FR"/>
        </w:rPr>
        <w:t>h)</w:t>
      </w:r>
      <w:r w:rsidR="0042098D" w:rsidRPr="0042098D">
        <w:rPr>
          <w:lang w:val="fr-FR"/>
        </w:rPr>
        <w:tab/>
        <w:t xml:space="preserve">La loi </w:t>
      </w:r>
      <w:r w:rsidRPr="0042098D">
        <w:rPr>
          <w:lang w:val="fr-FR"/>
        </w:rPr>
        <w:t>n</w:t>
      </w:r>
      <w:r w:rsidRPr="000A6751">
        <w:rPr>
          <w:vertAlign w:val="superscript"/>
          <w:lang w:val="fr-FR"/>
        </w:rPr>
        <w:t>o</w:t>
      </w:r>
      <w:r w:rsidRPr="000A6751">
        <w:rPr>
          <w:lang w:val="fr-FR"/>
        </w:rPr>
        <w:t> </w:t>
      </w:r>
      <w:r w:rsidR="0042098D" w:rsidRPr="0042098D">
        <w:rPr>
          <w:lang w:val="fr-FR"/>
        </w:rPr>
        <w:t>27-14 relative à la lutte contre la traite des êtres humains, en août 2016, et le décret d</w:t>
      </w:r>
      <w:r w:rsidRPr="000A6751">
        <w:rPr>
          <w:lang w:val="fr-FR"/>
        </w:rPr>
        <w:t>’</w:t>
      </w:r>
      <w:r w:rsidR="0042098D" w:rsidRPr="0042098D">
        <w:rPr>
          <w:lang w:val="fr-FR"/>
        </w:rPr>
        <w:t xml:space="preserve">application </w:t>
      </w:r>
      <w:r w:rsidRPr="0042098D">
        <w:rPr>
          <w:lang w:val="fr-FR"/>
        </w:rPr>
        <w:t>n</w:t>
      </w:r>
      <w:r w:rsidRPr="000A6751">
        <w:rPr>
          <w:vertAlign w:val="superscript"/>
          <w:lang w:val="fr-FR"/>
        </w:rPr>
        <w:t>o</w:t>
      </w:r>
      <w:r w:rsidRPr="000A6751">
        <w:rPr>
          <w:lang w:val="fr-FR"/>
        </w:rPr>
        <w:t> </w:t>
      </w:r>
      <w:r w:rsidR="0042098D" w:rsidRPr="0042098D">
        <w:rPr>
          <w:lang w:val="fr-FR"/>
        </w:rPr>
        <w:t>2.17.740 des dispositions de l</w:t>
      </w:r>
      <w:r w:rsidRPr="000A6751">
        <w:rPr>
          <w:lang w:val="fr-FR"/>
        </w:rPr>
        <w:t>’</w:t>
      </w:r>
      <w:r w:rsidR="0042098D" w:rsidRPr="0042098D">
        <w:rPr>
          <w:lang w:val="fr-FR"/>
        </w:rPr>
        <w:t>article 7 de la loi n</w:t>
      </w:r>
      <w:r w:rsidRPr="000A6751">
        <w:rPr>
          <w:vertAlign w:val="superscript"/>
          <w:lang w:val="fr-FR"/>
        </w:rPr>
        <w:t>o</w:t>
      </w:r>
      <w:r w:rsidRPr="000A6751">
        <w:rPr>
          <w:lang w:val="fr-FR"/>
        </w:rPr>
        <w:t> </w:t>
      </w:r>
      <w:r w:rsidR="0042098D" w:rsidRPr="0042098D">
        <w:rPr>
          <w:lang w:val="fr-FR"/>
        </w:rPr>
        <w:t>27-14 concernant la création de la Commission nationale chargée de la coordination des mesures ayant pour but la lutte et la prévention de la traite des êtres humains, en juillet 2018</w:t>
      </w:r>
      <w:r w:rsidRPr="000A6751">
        <w:rPr>
          <w:lang w:val="fr-FR"/>
        </w:rPr>
        <w:t> ;</w:t>
      </w:r>
    </w:p>
    <w:p w14:paraId="608EA591" w14:textId="072CD900" w:rsidR="0042098D" w:rsidRPr="0042098D" w:rsidRDefault="00356F77" w:rsidP="0042098D">
      <w:pPr>
        <w:pStyle w:val="SingleTxt"/>
        <w:rPr>
          <w:lang w:val="fr-FR"/>
        </w:rPr>
      </w:pPr>
      <w:r w:rsidRPr="000A6751">
        <w:rPr>
          <w:lang w:val="fr-FR"/>
        </w:rPr>
        <w:tab/>
      </w:r>
      <w:r w:rsidR="0042098D" w:rsidRPr="0042098D">
        <w:rPr>
          <w:lang w:val="fr-FR"/>
        </w:rPr>
        <w:t>i)</w:t>
      </w:r>
      <w:r w:rsidR="0042098D" w:rsidRPr="0042098D">
        <w:rPr>
          <w:lang w:val="fr-FR"/>
        </w:rPr>
        <w:tab/>
        <w:t xml:space="preserve">La loi </w:t>
      </w:r>
      <w:r w:rsidRPr="0042098D">
        <w:rPr>
          <w:lang w:val="fr-FR"/>
        </w:rPr>
        <w:t>n</w:t>
      </w:r>
      <w:r w:rsidRPr="000A6751">
        <w:rPr>
          <w:vertAlign w:val="superscript"/>
          <w:lang w:val="fr-FR"/>
        </w:rPr>
        <w:t>o</w:t>
      </w:r>
      <w:r w:rsidRPr="000A6751">
        <w:rPr>
          <w:lang w:val="fr-FR"/>
        </w:rPr>
        <w:t> </w:t>
      </w:r>
      <w:r w:rsidR="0042098D" w:rsidRPr="0042098D">
        <w:rPr>
          <w:lang w:val="fr-FR"/>
        </w:rPr>
        <w:t>83-13, en août 2015, complétant la loi n</w:t>
      </w:r>
      <w:r w:rsidR="003137E1" w:rsidRPr="004B1055">
        <w:rPr>
          <w:vertAlign w:val="superscript"/>
          <w:lang w:val="fr-FR"/>
        </w:rPr>
        <w:t>o</w:t>
      </w:r>
      <w:r w:rsidR="003137E1">
        <w:rPr>
          <w:lang w:val="fr-FR"/>
        </w:rPr>
        <w:t> </w:t>
      </w:r>
      <w:r w:rsidR="0042098D" w:rsidRPr="0042098D">
        <w:rPr>
          <w:lang w:val="fr-FR"/>
        </w:rPr>
        <w:t>77-03 relative à la communication audiovisuelle, qui vise à promouvoir une culture de l</w:t>
      </w:r>
      <w:r w:rsidRPr="000A6751">
        <w:rPr>
          <w:lang w:val="fr-FR"/>
        </w:rPr>
        <w:t>’</w:t>
      </w:r>
      <w:r w:rsidR="0042098D" w:rsidRPr="0042098D">
        <w:rPr>
          <w:lang w:val="fr-FR"/>
        </w:rPr>
        <w:t>égalité des genres, à combattre la discrimination fondée sur le genre et à interdire les messages publicitaires donnant une image stéréotypée des femmes</w:t>
      </w:r>
      <w:r w:rsidRPr="000A6751">
        <w:rPr>
          <w:lang w:val="fr-FR"/>
        </w:rPr>
        <w:t> ;</w:t>
      </w:r>
    </w:p>
    <w:p w14:paraId="401E4B9E" w14:textId="6111F321" w:rsidR="00356F77" w:rsidRPr="000A6751" w:rsidRDefault="00356F77" w:rsidP="0042098D">
      <w:pPr>
        <w:pStyle w:val="SingleTxt"/>
        <w:rPr>
          <w:lang w:val="fr-FR"/>
        </w:rPr>
      </w:pPr>
      <w:r w:rsidRPr="000A6751">
        <w:rPr>
          <w:lang w:val="fr-FR"/>
        </w:rPr>
        <w:tab/>
      </w:r>
      <w:r w:rsidR="0042098D" w:rsidRPr="0042098D">
        <w:rPr>
          <w:lang w:val="fr-FR"/>
        </w:rPr>
        <w:t>j)</w:t>
      </w:r>
      <w:r w:rsidR="0042098D" w:rsidRPr="0042098D">
        <w:rPr>
          <w:lang w:val="fr-FR"/>
        </w:rPr>
        <w:tab/>
        <w:t xml:space="preserve">La loi </w:t>
      </w:r>
      <w:r w:rsidRPr="0042098D">
        <w:rPr>
          <w:lang w:val="fr-FR"/>
        </w:rPr>
        <w:t>n</w:t>
      </w:r>
      <w:r w:rsidRPr="000A6751">
        <w:rPr>
          <w:vertAlign w:val="superscript"/>
          <w:lang w:val="fr-FR"/>
        </w:rPr>
        <w:t>o</w:t>
      </w:r>
      <w:r w:rsidRPr="000A6751">
        <w:rPr>
          <w:lang w:val="fr-FR"/>
        </w:rPr>
        <w:t> </w:t>
      </w:r>
      <w:r w:rsidR="0042098D" w:rsidRPr="0042098D">
        <w:rPr>
          <w:lang w:val="fr-FR"/>
        </w:rPr>
        <w:t>88-13 relative à la presse et à l</w:t>
      </w:r>
      <w:r w:rsidRPr="000A6751">
        <w:rPr>
          <w:lang w:val="fr-FR"/>
        </w:rPr>
        <w:t>’</w:t>
      </w:r>
      <w:r w:rsidR="0042098D" w:rsidRPr="0042098D">
        <w:rPr>
          <w:lang w:val="fr-FR"/>
        </w:rPr>
        <w:t>édition, en août 2016</w:t>
      </w:r>
      <w:r w:rsidRPr="000A6751">
        <w:rPr>
          <w:lang w:val="fr-FR"/>
        </w:rPr>
        <w:t> ;</w:t>
      </w:r>
    </w:p>
    <w:p w14:paraId="0A7C2724" w14:textId="60A07EA0" w:rsidR="00356F77" w:rsidRPr="000A6751" w:rsidRDefault="00356F77" w:rsidP="0042098D">
      <w:pPr>
        <w:pStyle w:val="SingleTxt"/>
        <w:rPr>
          <w:lang w:val="fr-FR"/>
        </w:rPr>
      </w:pPr>
      <w:r w:rsidRPr="000A6751">
        <w:rPr>
          <w:lang w:val="fr-FR"/>
        </w:rPr>
        <w:tab/>
      </w:r>
      <w:r w:rsidR="0042098D" w:rsidRPr="0042098D">
        <w:rPr>
          <w:lang w:val="fr-FR"/>
        </w:rPr>
        <w:t>k)</w:t>
      </w:r>
      <w:r w:rsidR="0042098D" w:rsidRPr="0042098D">
        <w:rPr>
          <w:lang w:val="fr-FR"/>
        </w:rPr>
        <w:tab/>
        <w:t xml:space="preserve">La loi organique </w:t>
      </w:r>
      <w:r w:rsidRPr="0042098D">
        <w:rPr>
          <w:lang w:val="fr-FR"/>
        </w:rPr>
        <w:t>n</w:t>
      </w:r>
      <w:r w:rsidRPr="000A6751">
        <w:rPr>
          <w:vertAlign w:val="superscript"/>
          <w:lang w:val="fr-FR"/>
        </w:rPr>
        <w:t>o</w:t>
      </w:r>
      <w:r w:rsidRPr="000A6751">
        <w:rPr>
          <w:lang w:val="fr-FR"/>
        </w:rPr>
        <w:t> </w:t>
      </w:r>
      <w:r w:rsidR="0042098D" w:rsidRPr="0042098D">
        <w:rPr>
          <w:lang w:val="fr-FR"/>
        </w:rPr>
        <w:t>130-13 relative à la loi de finances, en juin 2015</w:t>
      </w:r>
      <w:r w:rsidRPr="000A6751">
        <w:rPr>
          <w:lang w:val="fr-FR"/>
        </w:rPr>
        <w:t> ;</w:t>
      </w:r>
    </w:p>
    <w:p w14:paraId="07541B39" w14:textId="6659D24D" w:rsidR="0042098D" w:rsidRPr="0042098D" w:rsidRDefault="00356F77" w:rsidP="0042098D">
      <w:pPr>
        <w:pStyle w:val="SingleTxt"/>
        <w:rPr>
          <w:lang w:val="fr-FR"/>
        </w:rPr>
      </w:pPr>
      <w:r w:rsidRPr="000A6751">
        <w:rPr>
          <w:lang w:val="fr-FR"/>
        </w:rPr>
        <w:tab/>
      </w:r>
      <w:r w:rsidR="0042098D" w:rsidRPr="0042098D">
        <w:rPr>
          <w:lang w:val="fr-FR"/>
        </w:rPr>
        <w:t>l)</w:t>
      </w:r>
      <w:r w:rsidR="0042098D" w:rsidRPr="0042098D">
        <w:rPr>
          <w:lang w:val="fr-FR"/>
        </w:rPr>
        <w:tab/>
        <w:t>Les lois réglementaires n</w:t>
      </w:r>
      <w:r w:rsidR="0042098D" w:rsidRPr="0042098D">
        <w:rPr>
          <w:vertAlign w:val="superscript"/>
          <w:lang w:val="fr-FR"/>
        </w:rPr>
        <w:t>os</w:t>
      </w:r>
      <w:r w:rsidR="0042098D" w:rsidRPr="0042098D">
        <w:rPr>
          <w:lang w:val="fr-FR"/>
        </w:rPr>
        <w:t xml:space="preserve"> 04-21, 05-21, 06-21 et 07-21, en avril 2021, qui prévoient des listes proportionnelles et des quotas en faveur de la représentation politique des femmes.</w:t>
      </w:r>
    </w:p>
    <w:p w14:paraId="40A51473" w14:textId="4CF2FEA2" w:rsidR="0042098D" w:rsidRPr="0042098D" w:rsidRDefault="0042098D" w:rsidP="00356F77">
      <w:pPr>
        <w:pStyle w:val="SingleTxt"/>
        <w:numPr>
          <w:ilvl w:val="0"/>
          <w:numId w:val="29"/>
        </w:numPr>
        <w:spacing w:line="240" w:lineRule="exact"/>
        <w:ind w:left="1267"/>
        <w:rPr>
          <w:lang w:val="fr-FR"/>
        </w:rPr>
      </w:pPr>
      <w:r w:rsidRPr="0042098D">
        <w:rPr>
          <w:lang w:val="fr-FR"/>
        </w:rPr>
        <w:t>Le Comité salue les efforts déployés par l</w:t>
      </w:r>
      <w:r w:rsidR="00356F77" w:rsidRPr="000A6751">
        <w:rPr>
          <w:lang w:val="fr-FR"/>
        </w:rPr>
        <w:t>’</w:t>
      </w:r>
      <w:r w:rsidRPr="0042098D">
        <w:rPr>
          <w:lang w:val="fr-FR"/>
        </w:rPr>
        <w:t>État partie pour améliorer son cadre institutionnel et politique en vue d</w:t>
      </w:r>
      <w:r w:rsidR="00356F77" w:rsidRPr="000A6751">
        <w:rPr>
          <w:lang w:val="fr-FR"/>
        </w:rPr>
        <w:t>’</w:t>
      </w:r>
      <w:r w:rsidRPr="0042098D">
        <w:rPr>
          <w:lang w:val="fr-FR"/>
        </w:rPr>
        <w:t>accélérer l</w:t>
      </w:r>
      <w:r w:rsidR="00356F77" w:rsidRPr="000A6751">
        <w:rPr>
          <w:lang w:val="fr-FR"/>
        </w:rPr>
        <w:t>’</w:t>
      </w:r>
      <w:r w:rsidRPr="0042098D">
        <w:rPr>
          <w:lang w:val="fr-FR"/>
        </w:rPr>
        <w:t>élimination de la discrimination à l</w:t>
      </w:r>
      <w:r w:rsidR="00356F77" w:rsidRPr="000A6751">
        <w:rPr>
          <w:lang w:val="fr-FR"/>
        </w:rPr>
        <w:t>’</w:t>
      </w:r>
      <w:r w:rsidRPr="0042098D">
        <w:rPr>
          <w:lang w:val="fr-FR"/>
        </w:rPr>
        <w:t>égard des femmes et de promouvoir l</w:t>
      </w:r>
      <w:r w:rsidR="00356F77" w:rsidRPr="000A6751">
        <w:rPr>
          <w:lang w:val="fr-FR"/>
        </w:rPr>
        <w:t>’</w:t>
      </w:r>
      <w:r w:rsidRPr="0042098D">
        <w:rPr>
          <w:lang w:val="fr-FR"/>
        </w:rPr>
        <w:t>égalité des genres, notamment l</w:t>
      </w:r>
      <w:r w:rsidR="00356F77" w:rsidRPr="000A6751">
        <w:rPr>
          <w:lang w:val="fr-FR"/>
        </w:rPr>
        <w:t>’</w:t>
      </w:r>
      <w:r w:rsidRPr="0042098D">
        <w:rPr>
          <w:lang w:val="fr-FR"/>
        </w:rPr>
        <w:t>adoption ou la mise en place de ce qui suit</w:t>
      </w:r>
      <w:r w:rsidR="00356F77" w:rsidRPr="000A6751">
        <w:rPr>
          <w:lang w:val="fr-FR"/>
        </w:rPr>
        <w:t> :</w:t>
      </w:r>
    </w:p>
    <w:p w14:paraId="1F593B70" w14:textId="0826A0C9" w:rsidR="00356F77" w:rsidRPr="000A6751" w:rsidRDefault="00356F77" w:rsidP="0042098D">
      <w:pPr>
        <w:pStyle w:val="SingleTxt"/>
        <w:rPr>
          <w:lang w:val="fr-FR"/>
        </w:rPr>
      </w:pPr>
      <w:r w:rsidRPr="000A6751">
        <w:rPr>
          <w:lang w:val="fr-FR"/>
        </w:rPr>
        <w:tab/>
      </w:r>
      <w:r w:rsidR="0042098D" w:rsidRPr="0042098D">
        <w:rPr>
          <w:lang w:val="fr-FR"/>
        </w:rPr>
        <w:t>a)</w:t>
      </w:r>
      <w:r w:rsidR="0042098D" w:rsidRPr="0042098D">
        <w:rPr>
          <w:lang w:val="fr-FR"/>
        </w:rPr>
        <w:tab/>
        <w:t>La Commission nationale pour l</w:t>
      </w:r>
      <w:r w:rsidRPr="000A6751">
        <w:rPr>
          <w:lang w:val="fr-FR"/>
        </w:rPr>
        <w:t>’</w:t>
      </w:r>
      <w:r w:rsidR="0042098D" w:rsidRPr="0042098D">
        <w:rPr>
          <w:lang w:val="fr-FR"/>
        </w:rPr>
        <w:t>égalité des genres et l</w:t>
      </w:r>
      <w:r w:rsidRPr="000A6751">
        <w:rPr>
          <w:lang w:val="fr-FR"/>
        </w:rPr>
        <w:t>’</w:t>
      </w:r>
      <w:r w:rsidR="0042098D" w:rsidRPr="0042098D">
        <w:rPr>
          <w:lang w:val="fr-FR"/>
        </w:rPr>
        <w:t>autonomisation des femmes, en juin 2022</w:t>
      </w:r>
      <w:r w:rsidRPr="000A6751">
        <w:rPr>
          <w:lang w:val="fr-FR"/>
        </w:rPr>
        <w:t> ;</w:t>
      </w:r>
    </w:p>
    <w:p w14:paraId="7BE6B92B" w14:textId="29E38D94" w:rsidR="0042098D" w:rsidRPr="0042098D" w:rsidRDefault="00356F77" w:rsidP="0042098D">
      <w:pPr>
        <w:pStyle w:val="SingleTxt"/>
        <w:rPr>
          <w:lang w:val="fr-FR"/>
        </w:rPr>
      </w:pPr>
      <w:r w:rsidRPr="000A6751">
        <w:rPr>
          <w:lang w:val="fr-FR"/>
        </w:rPr>
        <w:tab/>
      </w:r>
      <w:r w:rsidR="0042098D" w:rsidRPr="0042098D">
        <w:rPr>
          <w:lang w:val="fr-FR"/>
        </w:rPr>
        <w:t>b)</w:t>
      </w:r>
      <w:r w:rsidR="0042098D" w:rsidRPr="0042098D">
        <w:rPr>
          <w:lang w:val="fr-FR"/>
        </w:rPr>
        <w:tab/>
        <w:t>La stratégie nationale de lutte contre la violence à l</w:t>
      </w:r>
      <w:r w:rsidRPr="000A6751">
        <w:rPr>
          <w:lang w:val="fr-FR"/>
        </w:rPr>
        <w:t>’</w:t>
      </w:r>
      <w:r w:rsidR="0042098D" w:rsidRPr="0042098D">
        <w:rPr>
          <w:lang w:val="fr-FR"/>
        </w:rPr>
        <w:t>égard des femmes et des filles à l</w:t>
      </w:r>
      <w:r w:rsidRPr="000A6751">
        <w:rPr>
          <w:lang w:val="fr-FR"/>
        </w:rPr>
        <w:t>’</w:t>
      </w:r>
      <w:r w:rsidR="0042098D" w:rsidRPr="0042098D">
        <w:rPr>
          <w:lang w:val="fr-FR"/>
        </w:rPr>
        <w:t>horizon 2030</w:t>
      </w:r>
      <w:r w:rsidRPr="000A6751">
        <w:rPr>
          <w:lang w:val="fr-FR"/>
        </w:rPr>
        <w:t> ;</w:t>
      </w:r>
    </w:p>
    <w:p w14:paraId="5D5A992F" w14:textId="31961C3E" w:rsidR="0042098D" w:rsidRPr="0042098D" w:rsidRDefault="00723C15" w:rsidP="0042098D">
      <w:pPr>
        <w:pStyle w:val="SingleTxt"/>
        <w:rPr>
          <w:lang w:val="fr-FR"/>
        </w:rPr>
      </w:pPr>
      <w:r w:rsidRPr="000A6751">
        <w:rPr>
          <w:lang w:val="fr-FR"/>
        </w:rPr>
        <w:lastRenderedPageBreak/>
        <w:tab/>
      </w:r>
      <w:r w:rsidR="0042098D" w:rsidRPr="0042098D">
        <w:rPr>
          <w:lang w:val="fr-FR"/>
        </w:rPr>
        <w:t>c)</w:t>
      </w:r>
      <w:r w:rsidR="0042098D" w:rsidRPr="0042098D">
        <w:rPr>
          <w:lang w:val="fr-FR"/>
        </w:rPr>
        <w:tab/>
        <w:t>Le programme national intégré d</w:t>
      </w:r>
      <w:r w:rsidR="00356F77" w:rsidRPr="000A6751">
        <w:rPr>
          <w:lang w:val="fr-FR"/>
        </w:rPr>
        <w:t>’</w:t>
      </w:r>
      <w:r w:rsidR="0042098D" w:rsidRPr="0042098D">
        <w:rPr>
          <w:lang w:val="fr-FR"/>
        </w:rPr>
        <w:t>autonomisation économique des femmes et des filles, «</w:t>
      </w:r>
      <w:r w:rsidRPr="000A6751">
        <w:rPr>
          <w:lang w:val="fr-FR"/>
        </w:rPr>
        <w:t> </w:t>
      </w:r>
      <w:r w:rsidR="0042098D" w:rsidRPr="0042098D">
        <w:rPr>
          <w:lang w:val="fr-FR"/>
        </w:rPr>
        <w:t>Maroc-Attamkine</w:t>
      </w:r>
      <w:r w:rsidRPr="000A6751">
        <w:rPr>
          <w:lang w:val="fr-FR"/>
        </w:rPr>
        <w:t> </w:t>
      </w:r>
      <w:r w:rsidR="0042098D" w:rsidRPr="0042098D">
        <w:rPr>
          <w:lang w:val="fr-FR"/>
        </w:rPr>
        <w:t>», qui vise à porter le taux d</w:t>
      </w:r>
      <w:r w:rsidR="00356F77" w:rsidRPr="000A6751">
        <w:rPr>
          <w:lang w:val="fr-FR"/>
        </w:rPr>
        <w:t>’</w:t>
      </w:r>
      <w:r w:rsidR="0042098D" w:rsidRPr="0042098D">
        <w:rPr>
          <w:lang w:val="fr-FR"/>
        </w:rPr>
        <w:t>emploi des femmes à 30</w:t>
      </w:r>
      <w:r w:rsidR="00356F77" w:rsidRPr="000A6751">
        <w:rPr>
          <w:lang w:val="fr-FR"/>
        </w:rPr>
        <w:t> % ;</w:t>
      </w:r>
    </w:p>
    <w:p w14:paraId="77B395EF" w14:textId="66C63516" w:rsidR="0042098D" w:rsidRPr="0042098D" w:rsidRDefault="00723C15" w:rsidP="0042098D">
      <w:pPr>
        <w:pStyle w:val="SingleTxt"/>
        <w:rPr>
          <w:lang w:val="fr-FR"/>
        </w:rPr>
      </w:pPr>
      <w:r w:rsidRPr="000A6751">
        <w:rPr>
          <w:lang w:val="fr-FR"/>
        </w:rPr>
        <w:tab/>
      </w:r>
      <w:r w:rsidR="0042098D" w:rsidRPr="0042098D">
        <w:rPr>
          <w:lang w:val="fr-FR"/>
        </w:rPr>
        <w:t>d)</w:t>
      </w:r>
      <w:r w:rsidR="0042098D" w:rsidRPr="0042098D">
        <w:rPr>
          <w:lang w:val="fr-FR"/>
        </w:rPr>
        <w:tab/>
        <w:t>La stratégie agricole « Génération Green 2020-2030 »</w:t>
      </w:r>
      <w:r w:rsidR="00356F77" w:rsidRPr="000A6751">
        <w:rPr>
          <w:lang w:val="fr-FR"/>
        </w:rPr>
        <w:t> ;</w:t>
      </w:r>
    </w:p>
    <w:p w14:paraId="3F8BE750" w14:textId="5CEF8088" w:rsidR="0042098D" w:rsidRPr="0042098D" w:rsidRDefault="00723C15" w:rsidP="0042098D">
      <w:pPr>
        <w:pStyle w:val="SingleTxt"/>
        <w:rPr>
          <w:lang w:val="fr-FR"/>
        </w:rPr>
      </w:pPr>
      <w:r w:rsidRPr="000A6751">
        <w:rPr>
          <w:lang w:val="fr-FR"/>
        </w:rPr>
        <w:tab/>
      </w:r>
      <w:r w:rsidR="0042098D" w:rsidRPr="0042098D">
        <w:rPr>
          <w:lang w:val="fr-FR"/>
        </w:rPr>
        <w:t>e)</w:t>
      </w:r>
      <w:r w:rsidR="0042098D" w:rsidRPr="0042098D">
        <w:rPr>
          <w:lang w:val="fr-FR"/>
        </w:rPr>
        <w:tab/>
        <w:t>Le plan d</w:t>
      </w:r>
      <w:r w:rsidR="00356F77" w:rsidRPr="000A6751">
        <w:rPr>
          <w:lang w:val="fr-FR"/>
        </w:rPr>
        <w:t>’</w:t>
      </w:r>
      <w:r w:rsidR="0042098D" w:rsidRPr="0042098D">
        <w:rPr>
          <w:lang w:val="fr-FR"/>
        </w:rPr>
        <w:t xml:space="preserve">action national pour les femmes et la paix et la sécurité destiné à mettre en œuvre la résolution </w:t>
      </w:r>
      <w:hyperlink r:id="rId22" w:history="1">
        <w:r w:rsidR="0042098D" w:rsidRPr="0042098D">
          <w:rPr>
            <w:rStyle w:val="Hyperlink"/>
            <w:lang w:val="fr-FR"/>
          </w:rPr>
          <w:t>1325 (2000)</w:t>
        </w:r>
      </w:hyperlink>
      <w:r w:rsidR="0042098D" w:rsidRPr="0042098D">
        <w:rPr>
          <w:lang w:val="fr-FR"/>
        </w:rPr>
        <w:t xml:space="preserve"> du Conseil de sécurité pour la période 2021-2024, en mars 2022</w:t>
      </w:r>
      <w:r w:rsidR="00356F77" w:rsidRPr="000A6751">
        <w:rPr>
          <w:lang w:val="fr-FR"/>
        </w:rPr>
        <w:t> ;</w:t>
      </w:r>
    </w:p>
    <w:p w14:paraId="7535BAB5" w14:textId="6B22BEB1" w:rsidR="0042098D" w:rsidRPr="0042098D" w:rsidRDefault="00723C15" w:rsidP="0042098D">
      <w:pPr>
        <w:pStyle w:val="SingleTxt"/>
        <w:rPr>
          <w:lang w:val="fr-FR"/>
        </w:rPr>
      </w:pPr>
      <w:r w:rsidRPr="000A6751">
        <w:rPr>
          <w:lang w:val="fr-FR"/>
        </w:rPr>
        <w:tab/>
      </w:r>
      <w:r w:rsidR="0042098D" w:rsidRPr="0042098D">
        <w:rPr>
          <w:lang w:val="fr-FR"/>
        </w:rPr>
        <w:t>f)</w:t>
      </w:r>
      <w:r w:rsidR="0042098D" w:rsidRPr="0042098D">
        <w:rPr>
          <w:lang w:val="fr-FR"/>
        </w:rPr>
        <w:tab/>
        <w:t>Une commission consultative chargée de coordonner les mesures de prévention et de lutter contre la traite des êtres humains, en 2019</w:t>
      </w:r>
      <w:r w:rsidR="00356F77" w:rsidRPr="000A6751">
        <w:rPr>
          <w:lang w:val="fr-FR"/>
        </w:rPr>
        <w:t> ;</w:t>
      </w:r>
    </w:p>
    <w:p w14:paraId="5BCBEE05" w14:textId="2EFA6B9C" w:rsidR="00356F77" w:rsidRPr="000A6751" w:rsidRDefault="00723C15" w:rsidP="0042098D">
      <w:pPr>
        <w:pStyle w:val="SingleTxt"/>
        <w:rPr>
          <w:lang w:val="fr-FR"/>
        </w:rPr>
      </w:pPr>
      <w:r w:rsidRPr="000A6751">
        <w:rPr>
          <w:lang w:val="fr-FR"/>
        </w:rPr>
        <w:tab/>
      </w:r>
      <w:r w:rsidR="0042098D" w:rsidRPr="0042098D">
        <w:rPr>
          <w:lang w:val="fr-FR"/>
        </w:rPr>
        <w:t>g)</w:t>
      </w:r>
      <w:r w:rsidR="0042098D" w:rsidRPr="0042098D">
        <w:rPr>
          <w:lang w:val="fr-FR"/>
        </w:rPr>
        <w:tab/>
        <w:t>Le plan national de la réforme de l</w:t>
      </w:r>
      <w:r w:rsidR="00356F77" w:rsidRPr="000A6751">
        <w:rPr>
          <w:lang w:val="fr-FR"/>
        </w:rPr>
        <w:t>’</w:t>
      </w:r>
      <w:r w:rsidR="0042098D" w:rsidRPr="0042098D">
        <w:rPr>
          <w:lang w:val="fr-FR"/>
        </w:rPr>
        <w:t>administration 2018-2021, qui comprend une stratégie d</w:t>
      </w:r>
      <w:r w:rsidR="00356F77" w:rsidRPr="000A6751">
        <w:rPr>
          <w:lang w:val="fr-FR"/>
        </w:rPr>
        <w:t>’</w:t>
      </w:r>
      <w:r w:rsidR="0042098D" w:rsidRPr="0042098D">
        <w:rPr>
          <w:lang w:val="fr-FR"/>
        </w:rPr>
        <w:t>institutionnalisation de l</w:t>
      </w:r>
      <w:r w:rsidR="00356F77" w:rsidRPr="000A6751">
        <w:rPr>
          <w:lang w:val="fr-FR"/>
        </w:rPr>
        <w:t>’</w:t>
      </w:r>
      <w:r w:rsidR="0042098D" w:rsidRPr="0042098D">
        <w:rPr>
          <w:lang w:val="fr-FR"/>
        </w:rPr>
        <w:t>égalité des sexes dans la fonction publique au titre de la transformation de la gestion</w:t>
      </w:r>
      <w:r w:rsidR="00356F77" w:rsidRPr="000A6751">
        <w:rPr>
          <w:lang w:val="fr-FR"/>
        </w:rPr>
        <w:t> ;</w:t>
      </w:r>
    </w:p>
    <w:p w14:paraId="26C8DB68" w14:textId="57FF1B4F" w:rsidR="00356F77" w:rsidRPr="000A6751" w:rsidRDefault="00723C15" w:rsidP="0042098D">
      <w:pPr>
        <w:pStyle w:val="SingleTxt"/>
        <w:rPr>
          <w:lang w:val="fr-FR"/>
        </w:rPr>
      </w:pPr>
      <w:r w:rsidRPr="000A6751">
        <w:rPr>
          <w:lang w:val="fr-FR"/>
        </w:rPr>
        <w:tab/>
      </w:r>
      <w:r w:rsidR="0042098D" w:rsidRPr="0042098D">
        <w:rPr>
          <w:lang w:val="fr-FR"/>
        </w:rPr>
        <w:t>h)</w:t>
      </w:r>
      <w:r w:rsidR="0042098D" w:rsidRPr="0042098D">
        <w:rPr>
          <w:lang w:val="fr-FR"/>
        </w:rPr>
        <w:tab/>
        <w:t>Le plan d</w:t>
      </w:r>
      <w:r w:rsidR="00356F77" w:rsidRPr="000A6751">
        <w:rPr>
          <w:lang w:val="fr-FR"/>
        </w:rPr>
        <w:t>’</w:t>
      </w:r>
      <w:r w:rsidR="0042098D" w:rsidRPr="0042098D">
        <w:rPr>
          <w:lang w:val="fr-FR"/>
        </w:rPr>
        <w:t>action national en matière de démocratie et de droits de l</w:t>
      </w:r>
      <w:r w:rsidR="00356F77" w:rsidRPr="000A6751">
        <w:rPr>
          <w:lang w:val="fr-FR"/>
        </w:rPr>
        <w:t>’</w:t>
      </w:r>
      <w:r w:rsidR="0042098D" w:rsidRPr="0042098D">
        <w:rPr>
          <w:lang w:val="fr-FR"/>
        </w:rPr>
        <w:t>homme pour la période 2018-2022</w:t>
      </w:r>
      <w:r w:rsidR="00356F77" w:rsidRPr="000A6751">
        <w:rPr>
          <w:lang w:val="fr-FR"/>
        </w:rPr>
        <w:t> ;</w:t>
      </w:r>
    </w:p>
    <w:p w14:paraId="08832964" w14:textId="70C78528" w:rsidR="0042098D" w:rsidRPr="0042098D" w:rsidRDefault="00723C15" w:rsidP="0042098D">
      <w:pPr>
        <w:pStyle w:val="SingleTxt"/>
        <w:rPr>
          <w:lang w:val="fr-FR"/>
        </w:rPr>
      </w:pPr>
      <w:r w:rsidRPr="000A6751">
        <w:rPr>
          <w:lang w:val="fr-FR"/>
        </w:rPr>
        <w:tab/>
      </w:r>
      <w:r w:rsidR="0042098D" w:rsidRPr="0042098D">
        <w:rPr>
          <w:lang w:val="fr-FR"/>
        </w:rPr>
        <w:t>i)</w:t>
      </w:r>
      <w:r w:rsidR="0042098D" w:rsidRPr="0042098D">
        <w:rPr>
          <w:lang w:val="fr-FR"/>
        </w:rPr>
        <w:tab/>
        <w:t>Le plan gouvernemental pour l</w:t>
      </w:r>
      <w:r w:rsidR="00356F77" w:rsidRPr="000A6751">
        <w:rPr>
          <w:lang w:val="fr-FR"/>
        </w:rPr>
        <w:t>’</w:t>
      </w:r>
      <w:r w:rsidR="0042098D" w:rsidRPr="0042098D">
        <w:rPr>
          <w:lang w:val="fr-FR"/>
        </w:rPr>
        <w:t>égalité pour la période 2017-2021</w:t>
      </w:r>
      <w:r w:rsidR="00356F77" w:rsidRPr="000A6751">
        <w:rPr>
          <w:lang w:val="fr-FR"/>
        </w:rPr>
        <w:t> ;</w:t>
      </w:r>
    </w:p>
    <w:p w14:paraId="2AD79DA6" w14:textId="314C391B" w:rsidR="0042098D" w:rsidRPr="0042098D" w:rsidRDefault="00723C15" w:rsidP="0042098D">
      <w:pPr>
        <w:pStyle w:val="SingleTxt"/>
        <w:rPr>
          <w:lang w:val="fr-FR"/>
        </w:rPr>
      </w:pPr>
      <w:r w:rsidRPr="000A6751">
        <w:rPr>
          <w:lang w:val="fr-FR"/>
        </w:rPr>
        <w:tab/>
      </w:r>
      <w:r w:rsidR="0042098D" w:rsidRPr="0042098D">
        <w:rPr>
          <w:lang w:val="fr-FR"/>
        </w:rPr>
        <w:t>j)</w:t>
      </w:r>
      <w:r w:rsidR="0042098D" w:rsidRPr="0042098D">
        <w:rPr>
          <w:lang w:val="fr-FR"/>
        </w:rPr>
        <w:tab/>
        <w:t>Le plan Santé 2025, qui a pour objet d</w:t>
      </w:r>
      <w:r w:rsidR="00356F77" w:rsidRPr="000A6751">
        <w:rPr>
          <w:lang w:val="fr-FR"/>
        </w:rPr>
        <w:t>’</w:t>
      </w:r>
      <w:r w:rsidR="0042098D" w:rsidRPr="0042098D">
        <w:rPr>
          <w:lang w:val="fr-FR"/>
        </w:rPr>
        <w:t>améliorer l</w:t>
      </w:r>
      <w:r w:rsidR="00356F77" w:rsidRPr="000A6751">
        <w:rPr>
          <w:lang w:val="fr-FR"/>
        </w:rPr>
        <w:t>’</w:t>
      </w:r>
      <w:r w:rsidR="0042098D" w:rsidRPr="0042098D">
        <w:rPr>
          <w:lang w:val="fr-FR"/>
        </w:rPr>
        <w:t>accès aux services de santé, en particulier en renforçant les systèmes de santé primaires dans les zones rurales</w:t>
      </w:r>
      <w:r w:rsidR="00356F77" w:rsidRPr="000A6751">
        <w:rPr>
          <w:lang w:val="fr-FR"/>
        </w:rPr>
        <w:t> ;</w:t>
      </w:r>
    </w:p>
    <w:p w14:paraId="2CC7A540" w14:textId="54379819" w:rsidR="0042098D" w:rsidRPr="0042098D" w:rsidRDefault="00723C15" w:rsidP="0042098D">
      <w:pPr>
        <w:pStyle w:val="SingleTxt"/>
        <w:rPr>
          <w:lang w:val="fr-FR"/>
        </w:rPr>
      </w:pPr>
      <w:r w:rsidRPr="000A6751">
        <w:rPr>
          <w:lang w:val="fr-FR"/>
        </w:rPr>
        <w:tab/>
      </w:r>
      <w:r w:rsidR="0042098D" w:rsidRPr="0042098D">
        <w:rPr>
          <w:lang w:val="fr-FR"/>
        </w:rPr>
        <w:t>k)</w:t>
      </w:r>
      <w:r w:rsidR="0042098D" w:rsidRPr="0042098D">
        <w:rPr>
          <w:lang w:val="fr-FR"/>
        </w:rPr>
        <w:tab/>
        <w:t>Le Comité d</w:t>
      </w:r>
      <w:r w:rsidR="00356F77" w:rsidRPr="000A6751">
        <w:rPr>
          <w:lang w:val="fr-FR"/>
        </w:rPr>
        <w:t>’</w:t>
      </w:r>
      <w:r w:rsidR="0042098D" w:rsidRPr="0042098D">
        <w:rPr>
          <w:lang w:val="fr-FR"/>
        </w:rPr>
        <w:t>équité et de vigilance, en 2017</w:t>
      </w:r>
      <w:r w:rsidR="00356F77" w:rsidRPr="000A6751">
        <w:rPr>
          <w:lang w:val="fr-FR"/>
        </w:rPr>
        <w:t> ;</w:t>
      </w:r>
    </w:p>
    <w:p w14:paraId="021B47B8" w14:textId="73D2E85F" w:rsidR="0042098D" w:rsidRPr="0042098D" w:rsidRDefault="00723C15" w:rsidP="0042098D">
      <w:pPr>
        <w:pStyle w:val="SingleTxt"/>
        <w:rPr>
          <w:lang w:val="fr-FR"/>
        </w:rPr>
      </w:pPr>
      <w:r w:rsidRPr="000A6751">
        <w:rPr>
          <w:lang w:val="fr-FR"/>
        </w:rPr>
        <w:tab/>
      </w:r>
      <w:r w:rsidR="0042098D" w:rsidRPr="0042098D">
        <w:rPr>
          <w:lang w:val="fr-FR"/>
        </w:rPr>
        <w:t>l)</w:t>
      </w:r>
      <w:r w:rsidR="0042098D" w:rsidRPr="0042098D">
        <w:rPr>
          <w:lang w:val="fr-FR"/>
        </w:rPr>
        <w:tab/>
        <w:t>Le plan stratégique du secteur de l</w:t>
      </w:r>
      <w:r w:rsidR="00356F77" w:rsidRPr="000A6751">
        <w:rPr>
          <w:lang w:val="fr-FR"/>
        </w:rPr>
        <w:t>’</w:t>
      </w:r>
      <w:r w:rsidR="0042098D" w:rsidRPr="0042098D">
        <w:rPr>
          <w:lang w:val="fr-FR"/>
        </w:rPr>
        <w:t>enseignement supérieur et le plan d</w:t>
      </w:r>
      <w:r w:rsidR="00356F77" w:rsidRPr="000A6751">
        <w:rPr>
          <w:lang w:val="fr-FR"/>
        </w:rPr>
        <w:t>’</w:t>
      </w:r>
      <w:r w:rsidR="0042098D" w:rsidRPr="0042098D">
        <w:rPr>
          <w:lang w:val="fr-FR"/>
        </w:rPr>
        <w:t>action sectoriel pour la période 2017-2021, qui visent à améliorer l</w:t>
      </w:r>
      <w:r w:rsidR="00356F77" w:rsidRPr="000A6751">
        <w:rPr>
          <w:lang w:val="fr-FR"/>
        </w:rPr>
        <w:t>’</w:t>
      </w:r>
      <w:r w:rsidR="0042098D" w:rsidRPr="0042098D">
        <w:rPr>
          <w:lang w:val="fr-FR"/>
        </w:rPr>
        <w:t>accès à l</w:t>
      </w:r>
      <w:r w:rsidR="00356F77" w:rsidRPr="000A6751">
        <w:rPr>
          <w:lang w:val="fr-FR"/>
        </w:rPr>
        <w:t>’</w:t>
      </w:r>
      <w:r w:rsidR="0042098D" w:rsidRPr="0042098D">
        <w:rPr>
          <w:lang w:val="fr-FR"/>
        </w:rPr>
        <w:t>enseignement supérieur en vue de garantir l</w:t>
      </w:r>
      <w:r w:rsidR="00356F77" w:rsidRPr="000A6751">
        <w:rPr>
          <w:lang w:val="fr-FR"/>
        </w:rPr>
        <w:t>’</w:t>
      </w:r>
      <w:r w:rsidR="0042098D" w:rsidRPr="0042098D">
        <w:rPr>
          <w:lang w:val="fr-FR"/>
        </w:rPr>
        <w:t>équité et l</w:t>
      </w:r>
      <w:r w:rsidR="00356F77" w:rsidRPr="000A6751">
        <w:rPr>
          <w:lang w:val="fr-FR"/>
        </w:rPr>
        <w:t>’</w:t>
      </w:r>
      <w:r w:rsidR="0042098D" w:rsidRPr="0042098D">
        <w:rPr>
          <w:lang w:val="fr-FR"/>
        </w:rPr>
        <w:t>égalité des chances</w:t>
      </w:r>
      <w:r w:rsidR="00356F77" w:rsidRPr="000A6751">
        <w:rPr>
          <w:lang w:val="fr-FR"/>
        </w:rPr>
        <w:t> ;</w:t>
      </w:r>
    </w:p>
    <w:p w14:paraId="6B9B0B8C" w14:textId="7D2976EC" w:rsidR="0042098D" w:rsidRPr="0042098D" w:rsidRDefault="00723C15" w:rsidP="0042098D">
      <w:pPr>
        <w:pStyle w:val="SingleTxt"/>
        <w:rPr>
          <w:lang w:val="fr-FR"/>
        </w:rPr>
      </w:pPr>
      <w:r w:rsidRPr="000A6751">
        <w:rPr>
          <w:lang w:val="fr-FR"/>
        </w:rPr>
        <w:tab/>
      </w:r>
      <w:r w:rsidR="0042098D" w:rsidRPr="0042098D">
        <w:rPr>
          <w:lang w:val="fr-FR"/>
        </w:rPr>
        <w:t>m)</w:t>
      </w:r>
      <w:r w:rsidR="0042098D" w:rsidRPr="0042098D">
        <w:rPr>
          <w:lang w:val="fr-FR"/>
        </w:rPr>
        <w:tab/>
        <w:t>La stratégie nationale pour l</w:t>
      </w:r>
      <w:r w:rsidR="00356F77" w:rsidRPr="000A6751">
        <w:rPr>
          <w:lang w:val="fr-FR"/>
        </w:rPr>
        <w:t>’</w:t>
      </w:r>
      <w:r w:rsidR="0042098D" w:rsidRPr="0042098D">
        <w:rPr>
          <w:lang w:val="fr-FR"/>
        </w:rPr>
        <w:t>institutionnalisation de l</w:t>
      </w:r>
      <w:r w:rsidR="00356F77" w:rsidRPr="000A6751">
        <w:rPr>
          <w:lang w:val="fr-FR"/>
        </w:rPr>
        <w:t>’</w:t>
      </w:r>
      <w:r w:rsidR="0042098D" w:rsidRPr="0042098D">
        <w:rPr>
          <w:lang w:val="fr-FR"/>
        </w:rPr>
        <w:t>égalité des sexes dans la fonction publique, en 2016</w:t>
      </w:r>
      <w:r w:rsidR="00356F77" w:rsidRPr="000A6751">
        <w:rPr>
          <w:lang w:val="fr-FR"/>
        </w:rPr>
        <w:t> ;</w:t>
      </w:r>
    </w:p>
    <w:p w14:paraId="3616F26C" w14:textId="3AC44A06" w:rsidR="0042098D" w:rsidRPr="0042098D" w:rsidRDefault="00723C15" w:rsidP="0042098D">
      <w:pPr>
        <w:pStyle w:val="SingleTxt"/>
        <w:rPr>
          <w:lang w:val="fr-FR"/>
        </w:rPr>
      </w:pPr>
      <w:r w:rsidRPr="000A6751">
        <w:rPr>
          <w:lang w:val="fr-FR"/>
        </w:rPr>
        <w:tab/>
      </w:r>
      <w:r w:rsidR="0042098D" w:rsidRPr="0042098D">
        <w:rPr>
          <w:lang w:val="fr-FR"/>
        </w:rPr>
        <w:t>n)</w:t>
      </w:r>
      <w:r w:rsidR="0042098D" w:rsidRPr="0042098D">
        <w:rPr>
          <w:lang w:val="fr-FR"/>
        </w:rPr>
        <w:tab/>
        <w:t>La charte de la parité, élaborée en 2017 par la Société nationale de radiodiffusion et de télévision, qui incite au respect du principe d</w:t>
      </w:r>
      <w:r w:rsidR="00356F77" w:rsidRPr="000A6751">
        <w:rPr>
          <w:lang w:val="fr-FR"/>
        </w:rPr>
        <w:t>’</w:t>
      </w:r>
      <w:r w:rsidR="0042098D" w:rsidRPr="0042098D">
        <w:rPr>
          <w:lang w:val="fr-FR"/>
        </w:rPr>
        <w:t>égalité consacré par la Constitution</w:t>
      </w:r>
      <w:r w:rsidR="00356F77" w:rsidRPr="000A6751">
        <w:rPr>
          <w:lang w:val="fr-FR"/>
        </w:rPr>
        <w:t> ;</w:t>
      </w:r>
    </w:p>
    <w:p w14:paraId="49D84AAC" w14:textId="5E8D979C" w:rsidR="00356F77" w:rsidRPr="000A6751" w:rsidRDefault="00723C15" w:rsidP="0042098D">
      <w:pPr>
        <w:pStyle w:val="SingleTxt"/>
        <w:rPr>
          <w:lang w:val="fr-FR"/>
        </w:rPr>
      </w:pPr>
      <w:r w:rsidRPr="000A6751">
        <w:rPr>
          <w:lang w:val="fr-FR"/>
        </w:rPr>
        <w:tab/>
      </w:r>
      <w:r w:rsidR="0042098D" w:rsidRPr="0042098D">
        <w:rPr>
          <w:lang w:val="fr-FR"/>
        </w:rPr>
        <w:t>o)</w:t>
      </w:r>
      <w:r w:rsidR="0042098D" w:rsidRPr="0042098D">
        <w:rPr>
          <w:lang w:val="fr-FR"/>
        </w:rPr>
        <w:tab/>
        <w:t>Le programme «</w:t>
      </w:r>
      <w:r w:rsidRPr="000A6751">
        <w:rPr>
          <w:lang w:val="fr-FR"/>
        </w:rPr>
        <w:t> </w:t>
      </w:r>
      <w:r w:rsidR="0042098D" w:rsidRPr="0042098D">
        <w:rPr>
          <w:lang w:val="fr-FR"/>
        </w:rPr>
        <w:t>Wadhiyati</w:t>
      </w:r>
      <w:r w:rsidRPr="000A6751">
        <w:rPr>
          <w:lang w:val="fr-FR"/>
        </w:rPr>
        <w:t> </w:t>
      </w:r>
      <w:r w:rsidR="0042098D" w:rsidRPr="0042098D">
        <w:rPr>
          <w:lang w:val="fr-FR"/>
        </w:rPr>
        <w:t xml:space="preserve">» (Ma situation) </w:t>
      </w:r>
      <w:r w:rsidR="00F03998">
        <w:rPr>
          <w:lang w:val="fr-FR"/>
        </w:rPr>
        <w:t>2015-2017</w:t>
      </w:r>
      <w:r w:rsidR="0042098D" w:rsidRPr="0042098D">
        <w:rPr>
          <w:lang w:val="fr-FR"/>
        </w:rPr>
        <w:t>, qui vise à améliorer les perspectives d</w:t>
      </w:r>
      <w:r w:rsidR="00356F77" w:rsidRPr="000A6751">
        <w:rPr>
          <w:lang w:val="fr-FR"/>
        </w:rPr>
        <w:t>’</w:t>
      </w:r>
      <w:r w:rsidR="0042098D" w:rsidRPr="0042098D">
        <w:rPr>
          <w:lang w:val="fr-FR"/>
        </w:rPr>
        <w:t>emploi des femmes qui arrivent sur le marché du travail</w:t>
      </w:r>
      <w:r w:rsidR="00356F77" w:rsidRPr="000A6751">
        <w:rPr>
          <w:lang w:val="fr-FR"/>
        </w:rPr>
        <w:t> ;</w:t>
      </w:r>
    </w:p>
    <w:p w14:paraId="39D0FAE3" w14:textId="690342A0" w:rsidR="0042098D" w:rsidRPr="0042098D" w:rsidRDefault="00723C15" w:rsidP="0042098D">
      <w:pPr>
        <w:pStyle w:val="SingleTxt"/>
        <w:rPr>
          <w:lang w:val="fr-FR"/>
        </w:rPr>
      </w:pPr>
      <w:r w:rsidRPr="000A6751">
        <w:rPr>
          <w:lang w:val="fr-FR"/>
        </w:rPr>
        <w:tab/>
      </w:r>
      <w:r w:rsidR="0042098D" w:rsidRPr="0042098D">
        <w:rPr>
          <w:lang w:val="fr-FR"/>
        </w:rPr>
        <w:t>p)</w:t>
      </w:r>
      <w:r w:rsidR="0042098D" w:rsidRPr="0042098D">
        <w:rPr>
          <w:lang w:val="fr-FR"/>
        </w:rPr>
        <w:tab/>
        <w:t>L</w:t>
      </w:r>
      <w:r w:rsidR="00356F77" w:rsidRPr="000A6751">
        <w:rPr>
          <w:lang w:val="fr-FR"/>
        </w:rPr>
        <w:t>’</w:t>
      </w:r>
      <w:r w:rsidR="0042098D" w:rsidRPr="0042098D">
        <w:rPr>
          <w:lang w:val="fr-FR"/>
        </w:rPr>
        <w:t>Observatoire national de l</w:t>
      </w:r>
      <w:r w:rsidR="00356F77" w:rsidRPr="000A6751">
        <w:rPr>
          <w:lang w:val="fr-FR"/>
        </w:rPr>
        <w:t>’</w:t>
      </w:r>
      <w:r w:rsidR="0042098D" w:rsidRPr="0042098D">
        <w:rPr>
          <w:lang w:val="fr-FR"/>
        </w:rPr>
        <w:t>image de la femme dans les médias, en 2014</w:t>
      </w:r>
      <w:r w:rsidR="00356F77" w:rsidRPr="000A6751">
        <w:rPr>
          <w:lang w:val="fr-FR"/>
        </w:rPr>
        <w:t> ;</w:t>
      </w:r>
    </w:p>
    <w:p w14:paraId="164F508F" w14:textId="3D1FE5CB" w:rsidR="00356F77" w:rsidRPr="000A6751" w:rsidRDefault="00723C15" w:rsidP="0042098D">
      <w:pPr>
        <w:pStyle w:val="SingleTxt"/>
        <w:rPr>
          <w:lang w:val="fr-FR"/>
        </w:rPr>
      </w:pPr>
      <w:r w:rsidRPr="000A6751">
        <w:rPr>
          <w:lang w:val="fr-FR"/>
        </w:rPr>
        <w:tab/>
      </w:r>
      <w:r w:rsidR="0042098D" w:rsidRPr="0042098D">
        <w:rPr>
          <w:lang w:val="fr-FR"/>
        </w:rPr>
        <w:t>q)</w:t>
      </w:r>
      <w:r w:rsidR="0042098D" w:rsidRPr="0042098D">
        <w:rPr>
          <w:lang w:val="fr-FR"/>
        </w:rPr>
        <w:tab/>
        <w:t>La feuille de route pour la lutte contre l</w:t>
      </w:r>
      <w:r w:rsidR="00356F77" w:rsidRPr="000A6751">
        <w:rPr>
          <w:lang w:val="fr-FR"/>
        </w:rPr>
        <w:t>’</w:t>
      </w:r>
      <w:r w:rsidR="0042098D" w:rsidRPr="0042098D">
        <w:rPr>
          <w:lang w:val="fr-FR"/>
        </w:rPr>
        <w:t>analphabétisme chez les femmes (2014-2020)</w:t>
      </w:r>
      <w:r w:rsidR="00356F77" w:rsidRPr="000A6751">
        <w:rPr>
          <w:lang w:val="fr-FR"/>
        </w:rPr>
        <w:t> ;</w:t>
      </w:r>
    </w:p>
    <w:p w14:paraId="22214460" w14:textId="0BBF6548" w:rsidR="0042098D" w:rsidRPr="0042098D" w:rsidRDefault="00723C15" w:rsidP="0042098D">
      <w:pPr>
        <w:pStyle w:val="SingleTxt"/>
        <w:rPr>
          <w:lang w:val="fr-FR"/>
        </w:rPr>
      </w:pPr>
      <w:r w:rsidRPr="000A6751">
        <w:rPr>
          <w:lang w:val="fr-FR"/>
        </w:rPr>
        <w:tab/>
      </w:r>
      <w:r w:rsidR="0042098D" w:rsidRPr="0042098D">
        <w:rPr>
          <w:lang w:val="fr-FR"/>
        </w:rPr>
        <w:t>r)</w:t>
      </w:r>
      <w:r w:rsidR="0042098D" w:rsidRPr="0042098D">
        <w:rPr>
          <w:lang w:val="fr-FR"/>
        </w:rPr>
        <w:tab/>
        <w:t>Le Centre d</w:t>
      </w:r>
      <w:r w:rsidR="00356F77" w:rsidRPr="000A6751">
        <w:rPr>
          <w:lang w:val="fr-FR"/>
        </w:rPr>
        <w:t>’</w:t>
      </w:r>
      <w:r w:rsidR="0042098D" w:rsidRPr="0042098D">
        <w:rPr>
          <w:lang w:val="fr-FR"/>
        </w:rPr>
        <w:t>excellence pour la budgétisation tenant compte des questions de genre, établi en 2013</w:t>
      </w:r>
      <w:r w:rsidR="00356F77" w:rsidRPr="000A6751">
        <w:rPr>
          <w:lang w:val="fr-FR"/>
        </w:rPr>
        <w:t> ;</w:t>
      </w:r>
    </w:p>
    <w:p w14:paraId="7148D3A4" w14:textId="489D280A" w:rsidR="0042098D" w:rsidRPr="0042098D" w:rsidRDefault="00723C15" w:rsidP="0042098D">
      <w:pPr>
        <w:pStyle w:val="SingleTxt"/>
        <w:rPr>
          <w:lang w:val="fr-FR"/>
        </w:rPr>
      </w:pPr>
      <w:r w:rsidRPr="000A6751">
        <w:rPr>
          <w:lang w:val="fr-FR"/>
        </w:rPr>
        <w:tab/>
      </w:r>
      <w:r w:rsidR="0042098D" w:rsidRPr="0042098D">
        <w:rPr>
          <w:lang w:val="fr-FR"/>
        </w:rPr>
        <w:t>s)</w:t>
      </w:r>
      <w:r w:rsidR="0042098D" w:rsidRPr="0042098D">
        <w:rPr>
          <w:lang w:val="fr-FR"/>
        </w:rPr>
        <w:tab/>
        <w:t>La charte déontologique élaborée en 2013 par la Société nationale de radiodiffusion et de télévision, dans laquelle celle-ci s</w:t>
      </w:r>
      <w:r w:rsidR="00356F77" w:rsidRPr="000A6751">
        <w:rPr>
          <w:lang w:val="fr-FR"/>
        </w:rPr>
        <w:t>’</w:t>
      </w:r>
      <w:r w:rsidR="0042098D" w:rsidRPr="0042098D">
        <w:rPr>
          <w:lang w:val="fr-FR"/>
        </w:rPr>
        <w:t>engage à prendre en compte les questions de genre dans le cadre de ses programmes et de ses pratiques professionnelles</w:t>
      </w:r>
      <w:r w:rsidR="00356F77" w:rsidRPr="000A6751">
        <w:rPr>
          <w:lang w:val="fr-FR"/>
        </w:rPr>
        <w:t> ;</w:t>
      </w:r>
    </w:p>
    <w:p w14:paraId="4B62A163" w14:textId="5015D9E7" w:rsidR="00356F77" w:rsidRPr="000A6751" w:rsidRDefault="00723C15" w:rsidP="0042098D">
      <w:pPr>
        <w:pStyle w:val="SingleTxt"/>
        <w:rPr>
          <w:lang w:val="fr-FR"/>
        </w:rPr>
      </w:pPr>
      <w:r w:rsidRPr="000A6751">
        <w:rPr>
          <w:lang w:val="fr-FR"/>
        </w:rPr>
        <w:tab/>
      </w:r>
      <w:r w:rsidR="0042098D" w:rsidRPr="0042098D">
        <w:rPr>
          <w:lang w:val="fr-FR"/>
        </w:rPr>
        <w:t>t)</w:t>
      </w:r>
      <w:r w:rsidR="0042098D" w:rsidRPr="0042098D">
        <w:rPr>
          <w:lang w:val="fr-FR"/>
        </w:rPr>
        <w:tab/>
        <w:t>Le plan stratégique national de santé procréative 2011-2020, qui prévoit un accès renforcé au planning familial.</w:t>
      </w:r>
    </w:p>
    <w:p w14:paraId="2AA12A22" w14:textId="71555DB0" w:rsidR="0042098D" w:rsidRPr="0042098D" w:rsidRDefault="0042098D" w:rsidP="00723C15">
      <w:pPr>
        <w:pStyle w:val="SingleTxt"/>
        <w:numPr>
          <w:ilvl w:val="0"/>
          <w:numId w:val="29"/>
        </w:numPr>
        <w:spacing w:line="240" w:lineRule="exact"/>
        <w:ind w:left="1267"/>
        <w:rPr>
          <w:lang w:val="fr-FR"/>
        </w:rPr>
      </w:pPr>
      <w:r w:rsidRPr="0042098D">
        <w:rPr>
          <w:lang w:val="fr-FR"/>
        </w:rPr>
        <w:t>Le Comité note avec satisfaction que, depuis l</w:t>
      </w:r>
      <w:r w:rsidR="00356F77" w:rsidRPr="000A6751">
        <w:rPr>
          <w:lang w:val="fr-FR"/>
        </w:rPr>
        <w:t>’</w:t>
      </w:r>
      <w:r w:rsidRPr="0042098D">
        <w:rPr>
          <w:lang w:val="fr-FR"/>
        </w:rPr>
        <w:t>examen du précédent rapport, l</w:t>
      </w:r>
      <w:r w:rsidR="00356F77" w:rsidRPr="000A6751">
        <w:rPr>
          <w:lang w:val="fr-FR"/>
        </w:rPr>
        <w:t>’</w:t>
      </w:r>
      <w:r w:rsidRPr="0042098D">
        <w:rPr>
          <w:lang w:val="fr-FR"/>
        </w:rPr>
        <w:t>État partie a ratifié les instruments internationaux et régionaux ci-après, les a acceptés ou y a adhéré</w:t>
      </w:r>
      <w:r w:rsidR="00356F77" w:rsidRPr="000A6751">
        <w:rPr>
          <w:lang w:val="fr-FR"/>
        </w:rPr>
        <w:t> :</w:t>
      </w:r>
    </w:p>
    <w:p w14:paraId="32421856" w14:textId="1494E896" w:rsidR="00356F77" w:rsidRPr="000A6751" w:rsidRDefault="00723C15" w:rsidP="0042098D">
      <w:pPr>
        <w:pStyle w:val="SingleTxt"/>
        <w:rPr>
          <w:lang w:val="fr-FR"/>
        </w:rPr>
      </w:pPr>
      <w:r w:rsidRPr="000A6751">
        <w:rPr>
          <w:lang w:val="fr-FR"/>
        </w:rPr>
        <w:lastRenderedPageBreak/>
        <w:tab/>
      </w:r>
      <w:r w:rsidR="0042098D" w:rsidRPr="0042098D">
        <w:rPr>
          <w:lang w:val="fr-FR"/>
        </w:rPr>
        <w:t>a)</w:t>
      </w:r>
      <w:r w:rsidR="0042098D" w:rsidRPr="0042098D">
        <w:rPr>
          <w:lang w:val="fr-FR"/>
        </w:rPr>
        <w:tab/>
        <w:t>Le Protocole facultatif à la Convention sur l</w:t>
      </w:r>
      <w:r w:rsidR="00356F77" w:rsidRPr="000A6751">
        <w:rPr>
          <w:lang w:val="fr-FR"/>
        </w:rPr>
        <w:t>’</w:t>
      </w:r>
      <w:r w:rsidR="0042098D" w:rsidRPr="0042098D">
        <w:rPr>
          <w:lang w:val="fr-FR"/>
        </w:rPr>
        <w:t>élimination de toutes les formes de discrimination à l</w:t>
      </w:r>
      <w:r w:rsidR="00356F77" w:rsidRPr="000A6751">
        <w:rPr>
          <w:lang w:val="fr-FR"/>
        </w:rPr>
        <w:t>’</w:t>
      </w:r>
      <w:r w:rsidR="0042098D" w:rsidRPr="0042098D">
        <w:rPr>
          <w:lang w:val="fr-FR"/>
        </w:rPr>
        <w:t>égard des femmes, auquel il a adhéré le 22 avril 2022</w:t>
      </w:r>
      <w:r w:rsidR="00356F77" w:rsidRPr="000A6751">
        <w:rPr>
          <w:lang w:val="fr-FR"/>
        </w:rPr>
        <w:t> ;</w:t>
      </w:r>
    </w:p>
    <w:p w14:paraId="60E0DDB6" w14:textId="2FAB86C1" w:rsidR="0042098D" w:rsidRPr="0042098D" w:rsidRDefault="00723C15" w:rsidP="0042098D">
      <w:pPr>
        <w:pStyle w:val="SingleTxt"/>
        <w:rPr>
          <w:lang w:val="fr-FR"/>
        </w:rPr>
      </w:pPr>
      <w:r w:rsidRPr="000A6751">
        <w:rPr>
          <w:lang w:val="fr-FR"/>
        </w:rPr>
        <w:tab/>
      </w:r>
      <w:r w:rsidR="0042098D" w:rsidRPr="0042098D">
        <w:rPr>
          <w:lang w:val="fr-FR"/>
        </w:rPr>
        <w:t>b)</w:t>
      </w:r>
      <w:r w:rsidR="0042098D" w:rsidRPr="0042098D">
        <w:rPr>
          <w:lang w:val="fr-FR"/>
        </w:rPr>
        <w:tab/>
        <w:t>Le Protocole facultatif se rapportant au Pacte international relatif aux droits civils et politiques, auquel il a adhéré le 22 avril 2022</w:t>
      </w:r>
      <w:r w:rsidR="00356F77" w:rsidRPr="000A6751">
        <w:rPr>
          <w:lang w:val="fr-FR"/>
        </w:rPr>
        <w:t> ;</w:t>
      </w:r>
    </w:p>
    <w:p w14:paraId="6AA7EB41" w14:textId="03C26095" w:rsidR="00356F77" w:rsidRPr="000A6751" w:rsidRDefault="00723C15" w:rsidP="0042098D">
      <w:pPr>
        <w:pStyle w:val="SingleTxt"/>
        <w:rPr>
          <w:lang w:val="fr-FR"/>
        </w:rPr>
      </w:pPr>
      <w:r w:rsidRPr="000A6751">
        <w:rPr>
          <w:lang w:val="fr-FR"/>
        </w:rPr>
        <w:tab/>
      </w:r>
      <w:r w:rsidR="0042098D" w:rsidRPr="0042098D">
        <w:rPr>
          <w:lang w:val="fr-FR"/>
        </w:rPr>
        <w:t>c)</w:t>
      </w:r>
      <w:r w:rsidR="0042098D" w:rsidRPr="0042098D">
        <w:rPr>
          <w:lang w:val="fr-FR"/>
        </w:rPr>
        <w:tab/>
        <w:t>La modification apportée à l</w:t>
      </w:r>
      <w:r w:rsidR="00356F77" w:rsidRPr="000A6751">
        <w:rPr>
          <w:lang w:val="fr-FR"/>
        </w:rPr>
        <w:t>’</w:t>
      </w:r>
      <w:r w:rsidR="0042098D" w:rsidRPr="0042098D">
        <w:rPr>
          <w:lang w:val="fr-FR"/>
        </w:rPr>
        <w:t>article 20 (</w:t>
      </w:r>
      <w:r w:rsidRPr="000A6751">
        <w:rPr>
          <w:lang w:val="fr-FR"/>
        </w:rPr>
        <w:t>par. </w:t>
      </w:r>
      <w:r w:rsidR="0042098D" w:rsidRPr="0042098D">
        <w:rPr>
          <w:lang w:val="fr-FR"/>
        </w:rPr>
        <w:t>1) de la Convention sur l</w:t>
      </w:r>
      <w:r w:rsidR="00356F77" w:rsidRPr="000A6751">
        <w:rPr>
          <w:lang w:val="fr-FR"/>
        </w:rPr>
        <w:t>’</w:t>
      </w:r>
      <w:r w:rsidR="0042098D" w:rsidRPr="0042098D">
        <w:rPr>
          <w:lang w:val="fr-FR"/>
        </w:rPr>
        <w:t>élimination de toutes les formes de discrimination à l</w:t>
      </w:r>
      <w:r w:rsidR="00356F77" w:rsidRPr="000A6751">
        <w:rPr>
          <w:lang w:val="fr-FR"/>
        </w:rPr>
        <w:t>’</w:t>
      </w:r>
      <w:r w:rsidR="0042098D" w:rsidRPr="0042098D">
        <w:rPr>
          <w:lang w:val="fr-FR"/>
        </w:rPr>
        <w:t>égard des femmes, acceptée le 31 mars 2010</w:t>
      </w:r>
      <w:r w:rsidR="00356F77" w:rsidRPr="000A6751">
        <w:rPr>
          <w:lang w:val="fr-FR"/>
        </w:rPr>
        <w:t> ;</w:t>
      </w:r>
    </w:p>
    <w:p w14:paraId="6468ACEC" w14:textId="3330EC1A" w:rsidR="0042098D" w:rsidRPr="0042098D" w:rsidRDefault="00723C15" w:rsidP="0042098D">
      <w:pPr>
        <w:pStyle w:val="SingleTxt"/>
        <w:rPr>
          <w:lang w:val="fr-FR"/>
        </w:rPr>
      </w:pPr>
      <w:r w:rsidRPr="000A6751">
        <w:rPr>
          <w:lang w:val="fr-FR"/>
        </w:rPr>
        <w:tab/>
      </w:r>
      <w:r w:rsidR="0042098D" w:rsidRPr="0042098D">
        <w:rPr>
          <w:lang w:val="fr-FR"/>
        </w:rPr>
        <w:t>d)</w:t>
      </w:r>
      <w:r w:rsidR="0042098D" w:rsidRPr="0042098D">
        <w:rPr>
          <w:lang w:val="fr-FR"/>
        </w:rPr>
        <w:tab/>
        <w:t>Le Protocole visant à prévenir, réprimer et punir la traite des personnes, en particulier des femmes et des enfants, auquel il a adhéré le 25 avril 2011</w:t>
      </w:r>
      <w:r w:rsidR="00356F77" w:rsidRPr="000A6751">
        <w:rPr>
          <w:lang w:val="fr-FR"/>
        </w:rPr>
        <w:t> ;</w:t>
      </w:r>
    </w:p>
    <w:p w14:paraId="1EBED512" w14:textId="7DC37E99" w:rsidR="0042098D" w:rsidRPr="0042098D" w:rsidRDefault="00723C15" w:rsidP="0042098D">
      <w:pPr>
        <w:pStyle w:val="SingleTxt"/>
        <w:rPr>
          <w:lang w:val="fr-FR"/>
        </w:rPr>
      </w:pPr>
      <w:r w:rsidRPr="000A6751">
        <w:rPr>
          <w:lang w:val="fr-FR"/>
        </w:rPr>
        <w:tab/>
      </w:r>
      <w:r w:rsidR="0042098D" w:rsidRPr="0042098D">
        <w:rPr>
          <w:lang w:val="fr-FR"/>
        </w:rPr>
        <w:t>e)</w:t>
      </w:r>
      <w:r w:rsidR="0042098D" w:rsidRPr="0042098D">
        <w:rPr>
          <w:lang w:val="fr-FR"/>
        </w:rPr>
        <w:tab/>
        <w:t>La Convention de 2000 sur la protection de la maternité (n</w:t>
      </w:r>
      <w:r w:rsidR="0042098D" w:rsidRPr="0042098D">
        <w:rPr>
          <w:vertAlign w:val="superscript"/>
          <w:lang w:val="fr-FR"/>
        </w:rPr>
        <w:t>o</w:t>
      </w:r>
      <w:r w:rsidRPr="000A6751">
        <w:rPr>
          <w:lang w:val="fr-FR"/>
        </w:rPr>
        <w:t> </w:t>
      </w:r>
      <w:r w:rsidR="0042098D" w:rsidRPr="0042098D">
        <w:rPr>
          <w:lang w:val="fr-FR"/>
        </w:rPr>
        <w:t>183) de l</w:t>
      </w:r>
      <w:r w:rsidR="00356F77" w:rsidRPr="000A6751">
        <w:rPr>
          <w:lang w:val="fr-FR"/>
        </w:rPr>
        <w:t>’</w:t>
      </w:r>
      <w:r w:rsidR="0042098D" w:rsidRPr="0042098D">
        <w:rPr>
          <w:lang w:val="fr-FR"/>
        </w:rPr>
        <w:t>Organisation internationale du Travail, ratifiée le 13 avril 2011.</w:t>
      </w:r>
    </w:p>
    <w:p w14:paraId="3347E981" w14:textId="77777777" w:rsidR="00723C15" w:rsidRPr="000A6751" w:rsidRDefault="00723C15" w:rsidP="00723C15">
      <w:pPr>
        <w:pStyle w:val="SingleTxt"/>
        <w:spacing w:after="0" w:line="120" w:lineRule="exact"/>
        <w:rPr>
          <w:sz w:val="10"/>
          <w:lang w:val="fr-FR"/>
        </w:rPr>
      </w:pPr>
    </w:p>
    <w:p w14:paraId="6D9D7845" w14:textId="77777777" w:rsidR="00723C15" w:rsidRPr="000A6751" w:rsidRDefault="00723C15" w:rsidP="00723C15">
      <w:pPr>
        <w:pStyle w:val="SingleTxt"/>
        <w:spacing w:after="0" w:line="120" w:lineRule="exact"/>
        <w:rPr>
          <w:sz w:val="10"/>
          <w:lang w:val="fr-FR"/>
        </w:rPr>
      </w:pPr>
    </w:p>
    <w:p w14:paraId="1A00C645" w14:textId="4D1BCE73" w:rsidR="0042098D" w:rsidRPr="000A6751" w:rsidRDefault="00723C15" w:rsidP="00723C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0042098D" w:rsidRPr="000A6751">
        <w:rPr>
          <w:lang w:val="fr-FR"/>
        </w:rPr>
        <w:t>C.</w:t>
      </w:r>
      <w:r w:rsidR="00356F77" w:rsidRPr="000A6751">
        <w:rPr>
          <w:lang w:val="fr-FR"/>
        </w:rPr>
        <w:tab/>
      </w:r>
      <w:r w:rsidR="0042098D" w:rsidRPr="000A6751">
        <w:rPr>
          <w:lang w:val="fr-FR"/>
        </w:rPr>
        <w:t>Objectifs de développement durable</w:t>
      </w:r>
    </w:p>
    <w:p w14:paraId="3ECBF475" w14:textId="316E0ED0" w:rsidR="00723C15" w:rsidRPr="000A6751" w:rsidRDefault="00723C15" w:rsidP="00723C15">
      <w:pPr>
        <w:pStyle w:val="SingleTxt"/>
        <w:spacing w:after="0" w:line="120" w:lineRule="exact"/>
        <w:rPr>
          <w:sz w:val="10"/>
          <w:lang w:val="fr-FR"/>
        </w:rPr>
      </w:pPr>
    </w:p>
    <w:p w14:paraId="663B0106" w14:textId="00A33D9E" w:rsidR="00723C15" w:rsidRPr="000A6751" w:rsidRDefault="00723C15" w:rsidP="00723C15">
      <w:pPr>
        <w:pStyle w:val="SingleTxt"/>
        <w:spacing w:after="0" w:line="120" w:lineRule="exact"/>
        <w:rPr>
          <w:sz w:val="10"/>
          <w:lang w:val="fr-FR"/>
        </w:rPr>
      </w:pPr>
    </w:p>
    <w:p w14:paraId="59DF7D1E" w14:textId="63B3F53D" w:rsidR="00356F77" w:rsidRPr="000A6751" w:rsidRDefault="0042098D" w:rsidP="00723C15">
      <w:pPr>
        <w:pStyle w:val="SingleTxt"/>
        <w:numPr>
          <w:ilvl w:val="0"/>
          <w:numId w:val="29"/>
        </w:numPr>
        <w:spacing w:line="240" w:lineRule="exact"/>
        <w:ind w:left="1267"/>
        <w:rPr>
          <w:lang w:val="fr-FR"/>
        </w:rPr>
      </w:pPr>
      <w:r w:rsidRPr="0042098D">
        <w:rPr>
          <w:b/>
          <w:bCs/>
          <w:lang w:val="fr-FR"/>
        </w:rPr>
        <w:t>Le Comité se félicite du soutien apporté par la communauté internationale aux objectifs de développement durable et préconise le respect de l</w:t>
      </w:r>
      <w:r w:rsidR="00356F77" w:rsidRPr="000A6751">
        <w:rPr>
          <w:b/>
          <w:bCs/>
          <w:lang w:val="fr-FR"/>
        </w:rPr>
        <w:t>’</w:t>
      </w:r>
      <w:r w:rsidRPr="0042098D">
        <w:rPr>
          <w:b/>
          <w:bCs/>
          <w:lang w:val="fr-FR"/>
        </w:rPr>
        <w:t>égalité des genres en droit (</w:t>
      </w:r>
      <w:r w:rsidRPr="0042098D">
        <w:rPr>
          <w:b/>
          <w:bCs/>
          <w:i/>
          <w:iCs/>
          <w:lang w:val="fr-FR"/>
        </w:rPr>
        <w:t>de jure</w:t>
      </w:r>
      <w:r w:rsidRPr="0042098D">
        <w:rPr>
          <w:b/>
          <w:bCs/>
          <w:lang w:val="fr-FR"/>
        </w:rPr>
        <w:t>) et dans les faits (</w:t>
      </w:r>
      <w:r w:rsidRPr="0042098D">
        <w:rPr>
          <w:b/>
          <w:bCs/>
          <w:i/>
          <w:iCs/>
          <w:lang w:val="fr-FR"/>
        </w:rPr>
        <w:t>de facto</w:t>
      </w:r>
      <w:r w:rsidRPr="0042098D">
        <w:rPr>
          <w:b/>
          <w:bCs/>
          <w:lang w:val="fr-FR"/>
        </w:rPr>
        <w:t>), conformément aux dispositions de la Convention, dans tous les aspects de la mise en œuvre du Programme de développement durable à l</w:t>
      </w:r>
      <w:r w:rsidR="00356F77" w:rsidRPr="000A6751">
        <w:rPr>
          <w:b/>
          <w:bCs/>
          <w:lang w:val="fr-FR"/>
        </w:rPr>
        <w:t>’</w:t>
      </w:r>
      <w:r w:rsidRPr="0042098D">
        <w:rPr>
          <w:b/>
          <w:bCs/>
          <w:lang w:val="fr-FR"/>
        </w:rPr>
        <w:t>horizon 2030.</w:t>
      </w:r>
      <w:r w:rsidRPr="0042098D">
        <w:rPr>
          <w:lang w:val="fr-FR"/>
        </w:rPr>
        <w:t xml:space="preserve"> </w:t>
      </w:r>
      <w:r w:rsidRPr="0042098D">
        <w:rPr>
          <w:b/>
          <w:bCs/>
          <w:lang w:val="fr-FR"/>
        </w:rPr>
        <w:t>Il souligne l</w:t>
      </w:r>
      <w:r w:rsidR="00356F77" w:rsidRPr="000A6751">
        <w:rPr>
          <w:b/>
          <w:bCs/>
          <w:lang w:val="fr-FR"/>
        </w:rPr>
        <w:t>’</w:t>
      </w:r>
      <w:r w:rsidRPr="0042098D">
        <w:rPr>
          <w:b/>
          <w:bCs/>
          <w:lang w:val="fr-FR"/>
        </w:rPr>
        <w:t>importance de l</w:t>
      </w:r>
      <w:r w:rsidR="00356F77" w:rsidRPr="000A6751">
        <w:rPr>
          <w:b/>
          <w:bCs/>
          <w:lang w:val="fr-FR"/>
        </w:rPr>
        <w:t>’</w:t>
      </w:r>
      <w:r w:rsidRPr="0042098D">
        <w:rPr>
          <w:b/>
          <w:bCs/>
          <w:lang w:val="fr-FR"/>
        </w:rPr>
        <w:t>objectif 5 et de la prise en compte systématique des principes d</w:t>
      </w:r>
      <w:r w:rsidR="00356F77" w:rsidRPr="000A6751">
        <w:rPr>
          <w:b/>
          <w:bCs/>
          <w:lang w:val="fr-FR"/>
        </w:rPr>
        <w:t>’</w:t>
      </w:r>
      <w:r w:rsidRPr="0042098D">
        <w:rPr>
          <w:b/>
          <w:bCs/>
          <w:lang w:val="fr-FR"/>
        </w:rPr>
        <w:t>égalité et de non-discrimination dans la réalisation des 17 objectifs.</w:t>
      </w:r>
      <w:r w:rsidRPr="0042098D">
        <w:rPr>
          <w:lang w:val="fr-FR"/>
        </w:rPr>
        <w:t xml:space="preserve"> </w:t>
      </w:r>
      <w:r w:rsidRPr="0042098D">
        <w:rPr>
          <w:b/>
          <w:bCs/>
          <w:lang w:val="fr-FR"/>
        </w:rPr>
        <w:t>Il encourage vivement l</w:t>
      </w:r>
      <w:r w:rsidR="00356F77" w:rsidRPr="000A6751">
        <w:rPr>
          <w:b/>
          <w:bCs/>
          <w:lang w:val="fr-FR"/>
        </w:rPr>
        <w:t>’</w:t>
      </w:r>
      <w:r w:rsidRPr="0042098D">
        <w:rPr>
          <w:b/>
          <w:bCs/>
          <w:lang w:val="fr-FR"/>
        </w:rPr>
        <w:t>État partie à reconnaître le rôle moteur des femmes dans le développement durable du Maroc et à adopter des politiques et des stratégies en conséquence.</w:t>
      </w:r>
    </w:p>
    <w:p w14:paraId="358DFF59" w14:textId="77777777" w:rsidR="00723C15" w:rsidRPr="000A6751" w:rsidRDefault="00723C15" w:rsidP="00723C15">
      <w:pPr>
        <w:pStyle w:val="SingleTxt"/>
        <w:spacing w:after="0" w:line="120" w:lineRule="exact"/>
        <w:rPr>
          <w:sz w:val="10"/>
          <w:lang w:val="fr-FR"/>
        </w:rPr>
      </w:pPr>
    </w:p>
    <w:p w14:paraId="79857002" w14:textId="77777777" w:rsidR="00723C15" w:rsidRPr="000A6751" w:rsidRDefault="00723C15" w:rsidP="00723C15">
      <w:pPr>
        <w:pStyle w:val="SingleTxt"/>
        <w:spacing w:after="0" w:line="120" w:lineRule="exact"/>
        <w:rPr>
          <w:sz w:val="10"/>
          <w:lang w:val="fr-FR"/>
        </w:rPr>
      </w:pPr>
    </w:p>
    <w:p w14:paraId="149AA01C" w14:textId="629A4C9F" w:rsidR="0042098D" w:rsidRPr="000A6751" w:rsidRDefault="00723C15" w:rsidP="00723C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0042098D" w:rsidRPr="000A6751">
        <w:rPr>
          <w:lang w:val="fr-FR"/>
        </w:rPr>
        <w:t>D.</w:t>
      </w:r>
      <w:r w:rsidR="00356F77" w:rsidRPr="000A6751">
        <w:rPr>
          <w:lang w:val="fr-FR"/>
        </w:rPr>
        <w:tab/>
      </w:r>
      <w:r w:rsidR="0042098D" w:rsidRPr="000A6751">
        <w:rPr>
          <w:lang w:val="fr-FR"/>
        </w:rPr>
        <w:t>Parlement</w:t>
      </w:r>
    </w:p>
    <w:p w14:paraId="547A5E35" w14:textId="757CE70D" w:rsidR="00723C15" w:rsidRPr="000A6751" w:rsidRDefault="00723C15" w:rsidP="00723C15">
      <w:pPr>
        <w:pStyle w:val="SingleTxt"/>
        <w:spacing w:after="0" w:line="120" w:lineRule="exact"/>
        <w:rPr>
          <w:sz w:val="10"/>
          <w:lang w:val="fr-FR"/>
        </w:rPr>
      </w:pPr>
    </w:p>
    <w:p w14:paraId="53B8C8B8" w14:textId="72F9235E" w:rsidR="00723C15" w:rsidRPr="000A6751" w:rsidRDefault="00723C15" w:rsidP="00723C15">
      <w:pPr>
        <w:pStyle w:val="SingleTxt"/>
        <w:spacing w:after="0" w:line="120" w:lineRule="exact"/>
        <w:rPr>
          <w:sz w:val="10"/>
          <w:lang w:val="fr-FR"/>
        </w:rPr>
      </w:pPr>
    </w:p>
    <w:p w14:paraId="0AFD1CA7" w14:textId="47250FFF" w:rsidR="0042098D" w:rsidRPr="0042098D" w:rsidRDefault="0042098D" w:rsidP="00723C15">
      <w:pPr>
        <w:pStyle w:val="SingleTxt"/>
        <w:numPr>
          <w:ilvl w:val="0"/>
          <w:numId w:val="29"/>
        </w:numPr>
        <w:spacing w:line="240" w:lineRule="exact"/>
        <w:ind w:left="1267"/>
        <w:rPr>
          <w:lang w:val="fr-FR"/>
        </w:rPr>
      </w:pPr>
      <w:r w:rsidRPr="0042098D">
        <w:rPr>
          <w:b/>
          <w:bCs/>
          <w:lang w:val="fr-FR"/>
        </w:rPr>
        <w:t>Le Comité souligne le rôle essentiel du pouvoir législatif s</w:t>
      </w:r>
      <w:r w:rsidR="00356F77" w:rsidRPr="000A6751">
        <w:rPr>
          <w:b/>
          <w:bCs/>
          <w:lang w:val="fr-FR"/>
        </w:rPr>
        <w:t>’</w:t>
      </w:r>
      <w:r w:rsidRPr="0042098D">
        <w:rPr>
          <w:b/>
          <w:bCs/>
          <w:lang w:val="fr-FR"/>
        </w:rPr>
        <w:t xml:space="preserve">agissant de garantir la pleine mise en œuvre de la Convention (voir </w:t>
      </w:r>
      <w:hyperlink r:id="rId23" w:history="1">
        <w:r w:rsidRPr="0042098D">
          <w:rPr>
            <w:rStyle w:val="Hyperlink"/>
            <w:b/>
            <w:bCs/>
            <w:lang w:val="fr-FR"/>
          </w:rPr>
          <w:t>A/65/38</w:t>
        </w:r>
      </w:hyperlink>
      <w:r w:rsidRPr="0042098D">
        <w:rPr>
          <w:b/>
          <w:bCs/>
          <w:lang w:val="fr-FR"/>
        </w:rPr>
        <w:t>, deuxième partie, annexe VI).</w:t>
      </w:r>
      <w:r w:rsidRPr="0042098D">
        <w:rPr>
          <w:lang w:val="fr-FR"/>
        </w:rPr>
        <w:t xml:space="preserve"> </w:t>
      </w:r>
      <w:r w:rsidRPr="0042098D">
        <w:rPr>
          <w:b/>
          <w:bCs/>
          <w:lang w:val="fr-FR"/>
        </w:rPr>
        <w:t>Il invite le Parlement, dans le cadre de son mandat, à prendre les mesures nécessaires en vue de mettre en œuvre les présentes observations finales avant la soumission du prochain rapport périodique, en application de la Convention.</w:t>
      </w:r>
    </w:p>
    <w:p w14:paraId="503D6BAE" w14:textId="77777777" w:rsidR="00723C15" w:rsidRPr="000A6751" w:rsidRDefault="00723C15" w:rsidP="00723C15">
      <w:pPr>
        <w:pStyle w:val="SingleTxt"/>
        <w:spacing w:after="0" w:line="120" w:lineRule="exact"/>
        <w:rPr>
          <w:sz w:val="10"/>
          <w:lang w:val="fr-FR"/>
        </w:rPr>
      </w:pPr>
    </w:p>
    <w:p w14:paraId="6F929E1F" w14:textId="77777777" w:rsidR="00723C15" w:rsidRPr="000A6751" w:rsidRDefault="00723C15" w:rsidP="00723C15">
      <w:pPr>
        <w:pStyle w:val="SingleTxt"/>
        <w:spacing w:after="0" w:line="120" w:lineRule="exact"/>
        <w:rPr>
          <w:sz w:val="10"/>
          <w:lang w:val="fr-FR"/>
        </w:rPr>
      </w:pPr>
    </w:p>
    <w:p w14:paraId="2B40FB46" w14:textId="470965BD" w:rsidR="0042098D" w:rsidRPr="000A6751" w:rsidRDefault="00723C15" w:rsidP="00723C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0042098D" w:rsidRPr="000A6751">
        <w:rPr>
          <w:lang w:val="fr-FR"/>
        </w:rPr>
        <w:t>E.</w:t>
      </w:r>
      <w:r w:rsidR="00356F77" w:rsidRPr="000A6751">
        <w:rPr>
          <w:lang w:val="fr-FR"/>
        </w:rPr>
        <w:tab/>
      </w:r>
      <w:r w:rsidR="0042098D" w:rsidRPr="000A6751">
        <w:rPr>
          <w:lang w:val="fr-FR"/>
        </w:rPr>
        <w:t>Principaux sujets de préoccupation et recommandations</w:t>
      </w:r>
    </w:p>
    <w:p w14:paraId="4E90D0D6" w14:textId="24A87F08" w:rsidR="00723C15" w:rsidRPr="000A6751" w:rsidRDefault="00723C15" w:rsidP="00723C15">
      <w:pPr>
        <w:pStyle w:val="SingleTxt"/>
        <w:spacing w:after="0" w:line="120" w:lineRule="exact"/>
        <w:rPr>
          <w:sz w:val="10"/>
          <w:lang w:val="fr-FR"/>
        </w:rPr>
      </w:pPr>
    </w:p>
    <w:p w14:paraId="6F1E0ED9" w14:textId="6F2C9CD4" w:rsidR="00723C15" w:rsidRPr="000A6751" w:rsidRDefault="00723C15" w:rsidP="00723C15">
      <w:pPr>
        <w:pStyle w:val="SingleTxt"/>
        <w:spacing w:after="0" w:line="120" w:lineRule="exact"/>
        <w:rPr>
          <w:sz w:val="10"/>
          <w:lang w:val="fr-FR"/>
        </w:rPr>
      </w:pPr>
    </w:p>
    <w:p w14:paraId="76F486A4" w14:textId="4FA92223" w:rsidR="0042098D" w:rsidRPr="000A6751" w:rsidRDefault="0042098D" w:rsidP="00723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Droits des femmes et égalité des genres dans le contexte de la pandémie</w:t>
      </w:r>
      <w:r w:rsidR="00723C15" w:rsidRPr="000A6751">
        <w:rPr>
          <w:lang w:val="fr-FR"/>
        </w:rPr>
        <w:br/>
      </w:r>
      <w:r w:rsidRPr="000A6751">
        <w:rPr>
          <w:lang w:val="fr-FR"/>
        </w:rPr>
        <w:t>et des mesures de relèvement</w:t>
      </w:r>
    </w:p>
    <w:p w14:paraId="268F6EA9" w14:textId="679509FB" w:rsidR="00723C15" w:rsidRPr="000A6751" w:rsidRDefault="00723C15" w:rsidP="00723C15">
      <w:pPr>
        <w:pStyle w:val="SingleTxt"/>
        <w:spacing w:after="0" w:line="120" w:lineRule="exact"/>
        <w:rPr>
          <w:sz w:val="10"/>
          <w:lang w:val="fr-FR"/>
        </w:rPr>
      </w:pPr>
    </w:p>
    <w:p w14:paraId="1DDE3618" w14:textId="4E56045B" w:rsidR="0042098D" w:rsidRPr="0042098D" w:rsidRDefault="0042098D" w:rsidP="00723C15">
      <w:pPr>
        <w:pStyle w:val="SingleTxt"/>
        <w:numPr>
          <w:ilvl w:val="0"/>
          <w:numId w:val="29"/>
        </w:numPr>
        <w:spacing w:line="240" w:lineRule="exact"/>
        <w:ind w:left="1267"/>
        <w:rPr>
          <w:lang w:val="fr-FR"/>
        </w:rPr>
      </w:pPr>
      <w:r w:rsidRPr="0042098D">
        <w:rPr>
          <w:lang w:val="fr-FR"/>
        </w:rPr>
        <w:t>Le Comité note avec satisfaction que des mesures ont été prises pour atténuer les incidences économiques de la maladie à coronavirus 2019 (COVID-19) sur les femmes, notamment par l</w:t>
      </w:r>
      <w:r w:rsidR="00356F77" w:rsidRPr="000A6751">
        <w:rPr>
          <w:lang w:val="fr-FR"/>
        </w:rPr>
        <w:t>’</w:t>
      </w:r>
      <w:r w:rsidRPr="0042098D">
        <w:rPr>
          <w:lang w:val="fr-FR"/>
        </w:rPr>
        <w:t>adaptation du programme national intégré d</w:t>
      </w:r>
      <w:r w:rsidR="00356F77" w:rsidRPr="000A6751">
        <w:rPr>
          <w:lang w:val="fr-FR"/>
        </w:rPr>
        <w:t>’</w:t>
      </w:r>
      <w:r w:rsidRPr="0042098D">
        <w:rPr>
          <w:lang w:val="fr-FR"/>
        </w:rPr>
        <w:t>autonomisation économique des femmes et des filles, «</w:t>
      </w:r>
      <w:r w:rsidR="00723C15" w:rsidRPr="000A6751">
        <w:rPr>
          <w:lang w:val="fr-FR"/>
        </w:rPr>
        <w:t> </w:t>
      </w:r>
      <w:r w:rsidRPr="0042098D">
        <w:rPr>
          <w:lang w:val="fr-FR"/>
        </w:rPr>
        <w:t>Maroc-Attamkine ». Il note également avec satisfaction que des mesures ont été adoptées, notamment des initiatives et des cours de sensibilisation, pour atténuer les répercussions du virus sur les femmes et les filles rurales. Il déplore toutefois le manque d</w:t>
      </w:r>
      <w:r w:rsidR="00356F77" w:rsidRPr="000A6751">
        <w:rPr>
          <w:lang w:val="fr-FR"/>
        </w:rPr>
        <w:t>’</w:t>
      </w:r>
      <w:r w:rsidRPr="0042098D">
        <w:rPr>
          <w:lang w:val="fr-FR"/>
        </w:rPr>
        <w:t>informations sur les mesures visant à atténuer les répercussions de la COVID-19 sur les femmes dans d</w:t>
      </w:r>
      <w:r w:rsidR="00356F77" w:rsidRPr="000A6751">
        <w:rPr>
          <w:lang w:val="fr-FR"/>
        </w:rPr>
        <w:t>’</w:t>
      </w:r>
      <w:r w:rsidRPr="0042098D">
        <w:rPr>
          <w:lang w:val="fr-FR"/>
        </w:rPr>
        <w:t>autres domaines, en dépit des travaux de recherche du Haut-Commissariat au Plan démontrant que la COVID-19 avait le creusé les inégalités femmes-hommes en matière d</w:t>
      </w:r>
      <w:r w:rsidR="00356F77" w:rsidRPr="000A6751">
        <w:rPr>
          <w:lang w:val="fr-FR"/>
        </w:rPr>
        <w:t>’</w:t>
      </w:r>
      <w:r w:rsidRPr="0042098D">
        <w:rPr>
          <w:lang w:val="fr-FR"/>
        </w:rPr>
        <w:t>emploi, de travail domestique et d</w:t>
      </w:r>
      <w:r w:rsidR="00356F77" w:rsidRPr="000A6751">
        <w:rPr>
          <w:lang w:val="fr-FR"/>
        </w:rPr>
        <w:t>’</w:t>
      </w:r>
      <w:r w:rsidRPr="0042098D">
        <w:rPr>
          <w:lang w:val="fr-FR"/>
        </w:rPr>
        <w:t>accès à la santé et à l</w:t>
      </w:r>
      <w:r w:rsidR="00356F77" w:rsidRPr="000A6751">
        <w:rPr>
          <w:lang w:val="fr-FR"/>
        </w:rPr>
        <w:t>’</w:t>
      </w:r>
      <w:r w:rsidRPr="0042098D">
        <w:rPr>
          <w:lang w:val="fr-FR"/>
        </w:rPr>
        <w:t>éducation.</w:t>
      </w:r>
    </w:p>
    <w:p w14:paraId="5AE2CC4F" w14:textId="54F2007B" w:rsidR="00356F77" w:rsidRPr="000A6751" w:rsidRDefault="0042098D" w:rsidP="00723C15">
      <w:pPr>
        <w:pStyle w:val="SingleTxt"/>
        <w:numPr>
          <w:ilvl w:val="0"/>
          <w:numId w:val="29"/>
        </w:numPr>
        <w:spacing w:line="240" w:lineRule="exact"/>
        <w:ind w:left="1267"/>
        <w:rPr>
          <w:lang w:val="fr-FR"/>
        </w:rPr>
      </w:pPr>
      <w:r w:rsidRPr="0042098D">
        <w:rPr>
          <w:b/>
          <w:bCs/>
          <w:lang w:val="fr-FR"/>
        </w:rPr>
        <w:lastRenderedPageBreak/>
        <w:t>Le Comité, conformément à sa note d</w:t>
      </w:r>
      <w:r w:rsidR="00356F77" w:rsidRPr="000A6751">
        <w:rPr>
          <w:b/>
          <w:bCs/>
          <w:lang w:val="fr-FR"/>
        </w:rPr>
        <w:t>’</w:t>
      </w:r>
      <w:r w:rsidRPr="0042098D">
        <w:rPr>
          <w:b/>
          <w:bCs/>
          <w:lang w:val="fr-FR"/>
        </w:rPr>
        <w:t>orientation sur les obligations des États parties à la Convention dans le contexte de la COVID-19, publiée le 22 avril 2020, recommande à l</w:t>
      </w:r>
      <w:r w:rsidR="00356F77" w:rsidRPr="000A6751">
        <w:rPr>
          <w:b/>
          <w:bCs/>
          <w:lang w:val="fr-FR"/>
        </w:rPr>
        <w:t>’</w:t>
      </w:r>
      <w:r w:rsidRPr="0042098D">
        <w:rPr>
          <w:b/>
          <w:bCs/>
          <w:lang w:val="fr-FR"/>
        </w:rPr>
        <w:t>État partie</w:t>
      </w:r>
      <w:r w:rsidR="00356F77" w:rsidRPr="000A6751">
        <w:rPr>
          <w:b/>
          <w:bCs/>
          <w:lang w:val="fr-FR"/>
        </w:rPr>
        <w:t> :</w:t>
      </w:r>
    </w:p>
    <w:p w14:paraId="293933D6" w14:textId="33473CA5" w:rsidR="0042098D" w:rsidRPr="0042098D" w:rsidRDefault="00723C15" w:rsidP="0042098D">
      <w:pPr>
        <w:pStyle w:val="SingleTxt"/>
        <w:rPr>
          <w:b/>
          <w:bCs/>
          <w:lang w:val="fr-FR"/>
        </w:rPr>
      </w:pPr>
      <w:r w:rsidRPr="000A6751">
        <w:rPr>
          <w:lang w:val="fr-FR"/>
        </w:rPr>
        <w:tab/>
      </w:r>
      <w:r w:rsidR="0042098D" w:rsidRPr="0042098D">
        <w:rPr>
          <w:b/>
          <w:bCs/>
          <w:lang w:val="fr-FR"/>
        </w:rPr>
        <w:t>a)</w:t>
      </w:r>
      <w:r w:rsidR="0042098D" w:rsidRPr="0042098D">
        <w:rPr>
          <w:b/>
          <w:bCs/>
          <w:lang w:val="fr-FR"/>
        </w:rPr>
        <w:tab/>
        <w:t>De mettre en œuvre des mesures institutionnelles, législatives et politiques pour combler les inégalités de longue date entre les femmes et les hommes, et de donner un nouvel élan à la réalisation de l</w:t>
      </w:r>
      <w:r w:rsidR="00356F77" w:rsidRPr="000A6751">
        <w:rPr>
          <w:b/>
          <w:bCs/>
          <w:lang w:val="fr-FR"/>
        </w:rPr>
        <w:t>’</w:t>
      </w:r>
      <w:r w:rsidR="0042098D" w:rsidRPr="0042098D">
        <w:rPr>
          <w:b/>
          <w:bCs/>
          <w:lang w:val="fr-FR"/>
        </w:rPr>
        <w:t>égalité des genres en plaçant les femmes au centre des stratégies de relèvement post-COVID-19 en tant que priorité stratégique pour un changement durable, conformément aux objectifs de développement durable</w:t>
      </w:r>
      <w:r w:rsidR="00356F77" w:rsidRPr="000A6751">
        <w:rPr>
          <w:b/>
          <w:bCs/>
          <w:lang w:val="fr-FR"/>
        </w:rPr>
        <w:t> ;</w:t>
      </w:r>
    </w:p>
    <w:p w14:paraId="12864EEB" w14:textId="4EEE5DE8" w:rsidR="0042098D" w:rsidRPr="0042098D" w:rsidRDefault="00723C15" w:rsidP="0042098D">
      <w:pPr>
        <w:pStyle w:val="SingleTxt"/>
        <w:rPr>
          <w:b/>
          <w:bCs/>
          <w:lang w:val="fr-FR"/>
        </w:rPr>
      </w:pPr>
      <w:r w:rsidRPr="000A6751">
        <w:rPr>
          <w:lang w:val="fr-FR"/>
        </w:rPr>
        <w:tab/>
      </w:r>
      <w:r w:rsidR="0042098D" w:rsidRPr="0042098D">
        <w:rPr>
          <w:b/>
          <w:bCs/>
          <w:lang w:val="fr-FR"/>
        </w:rPr>
        <w:t>b)</w:t>
      </w:r>
      <w:r w:rsidR="0042098D" w:rsidRPr="0042098D">
        <w:rPr>
          <w:b/>
          <w:bCs/>
          <w:lang w:val="fr-FR"/>
        </w:rPr>
        <w:tab/>
        <w:t>De promouvoir et de faciliter la contribution des femmes et des filles, notamment des groupes de femmes désavantagés et marginalisés, aux stratégies et aux programmes nationaux de relèvement officiels menés par l</w:t>
      </w:r>
      <w:r w:rsidR="00356F77" w:rsidRPr="000A6751">
        <w:rPr>
          <w:b/>
          <w:bCs/>
          <w:lang w:val="fr-FR"/>
        </w:rPr>
        <w:t>’</w:t>
      </w:r>
      <w:r w:rsidR="0042098D" w:rsidRPr="0042098D">
        <w:rPr>
          <w:b/>
          <w:bCs/>
          <w:lang w:val="fr-FR"/>
        </w:rPr>
        <w:t>État partie, et ce dans des conditions d</w:t>
      </w:r>
      <w:r w:rsidR="00356F77" w:rsidRPr="000A6751">
        <w:rPr>
          <w:b/>
          <w:bCs/>
          <w:lang w:val="fr-FR"/>
        </w:rPr>
        <w:t>’</w:t>
      </w:r>
      <w:r w:rsidR="0042098D" w:rsidRPr="0042098D">
        <w:rPr>
          <w:b/>
          <w:bCs/>
          <w:lang w:val="fr-FR"/>
        </w:rPr>
        <w:t>égalité</w:t>
      </w:r>
      <w:r w:rsidR="00356F77" w:rsidRPr="000A6751">
        <w:rPr>
          <w:b/>
          <w:bCs/>
          <w:lang w:val="fr-FR"/>
        </w:rPr>
        <w:t> ;</w:t>
      </w:r>
    </w:p>
    <w:p w14:paraId="458E4D5C" w14:textId="29957090" w:rsidR="0042098D" w:rsidRPr="0042098D" w:rsidRDefault="00723C15" w:rsidP="0042098D">
      <w:pPr>
        <w:pStyle w:val="SingleTxt"/>
        <w:rPr>
          <w:b/>
          <w:bCs/>
          <w:lang w:val="fr-FR"/>
        </w:rPr>
      </w:pPr>
      <w:r w:rsidRPr="000A6751">
        <w:rPr>
          <w:lang w:val="fr-FR"/>
        </w:rPr>
        <w:tab/>
      </w:r>
      <w:r w:rsidR="0042098D" w:rsidRPr="0042098D">
        <w:rPr>
          <w:b/>
          <w:bCs/>
          <w:lang w:val="fr-FR"/>
        </w:rPr>
        <w:t>c)</w:t>
      </w:r>
      <w:r w:rsidR="0042098D" w:rsidRPr="0042098D">
        <w:rPr>
          <w:b/>
          <w:bCs/>
          <w:lang w:val="fr-FR"/>
        </w:rPr>
        <w:tab/>
        <w:t>De faire en sorte que les femmes et les filles bénéficient sur un pied d</w:t>
      </w:r>
      <w:r w:rsidR="00356F77" w:rsidRPr="000A6751">
        <w:rPr>
          <w:b/>
          <w:bCs/>
          <w:lang w:val="fr-FR"/>
        </w:rPr>
        <w:t>’</w:t>
      </w:r>
      <w:r w:rsidR="0042098D" w:rsidRPr="0042098D">
        <w:rPr>
          <w:b/>
          <w:bCs/>
          <w:lang w:val="fr-FR"/>
        </w:rPr>
        <w:t>égalité des mesures de relance visant à atténuer les répercussions socioéconomiques de la pandémie, et notamment qu</w:t>
      </w:r>
      <w:r w:rsidR="00356F77" w:rsidRPr="000A6751">
        <w:rPr>
          <w:b/>
          <w:bCs/>
          <w:lang w:val="fr-FR"/>
        </w:rPr>
        <w:t>’</w:t>
      </w:r>
      <w:r w:rsidR="0042098D" w:rsidRPr="0042098D">
        <w:rPr>
          <w:b/>
          <w:bCs/>
          <w:lang w:val="fr-FR"/>
        </w:rPr>
        <w:t>une aide financière soit versée à celles qui assurent des prestations de soins non rémunérées.</w:t>
      </w:r>
    </w:p>
    <w:p w14:paraId="1BC92082" w14:textId="77777777" w:rsidR="00723C15" w:rsidRPr="000A6751" w:rsidRDefault="00723C15" w:rsidP="00723C15">
      <w:pPr>
        <w:pStyle w:val="SingleTxt"/>
        <w:spacing w:after="0" w:line="120" w:lineRule="exact"/>
        <w:rPr>
          <w:sz w:val="10"/>
          <w:lang w:val="fr-FR"/>
        </w:rPr>
      </w:pPr>
    </w:p>
    <w:p w14:paraId="7F3AA0E7" w14:textId="0DF0CD6F" w:rsidR="0042098D" w:rsidRPr="000A6751" w:rsidRDefault="0042098D" w:rsidP="00723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Réserves, déclarations et Protocole facultatif à la Convention</w:t>
      </w:r>
    </w:p>
    <w:p w14:paraId="6A05C342" w14:textId="7A20B40F" w:rsidR="00723C15" w:rsidRPr="000A6751" w:rsidRDefault="00723C15" w:rsidP="00723C15">
      <w:pPr>
        <w:pStyle w:val="SingleTxt"/>
        <w:spacing w:after="0" w:line="120" w:lineRule="exact"/>
        <w:rPr>
          <w:sz w:val="10"/>
          <w:lang w:val="fr-FR"/>
        </w:rPr>
      </w:pPr>
    </w:p>
    <w:p w14:paraId="1D971F6E" w14:textId="78FE27DD" w:rsidR="00356F77" w:rsidRPr="000A6751" w:rsidRDefault="0042098D" w:rsidP="00723C15">
      <w:pPr>
        <w:pStyle w:val="SingleTxt"/>
        <w:numPr>
          <w:ilvl w:val="0"/>
          <w:numId w:val="29"/>
        </w:numPr>
        <w:spacing w:line="240" w:lineRule="exact"/>
        <w:ind w:left="1267"/>
        <w:rPr>
          <w:lang w:val="fr-FR"/>
        </w:rPr>
      </w:pPr>
      <w:r w:rsidRPr="0042098D">
        <w:rPr>
          <w:lang w:val="fr-FR"/>
        </w:rPr>
        <w:t>Le Comité se félicite de l</w:t>
      </w:r>
      <w:r w:rsidR="00356F77" w:rsidRPr="000A6751">
        <w:rPr>
          <w:lang w:val="fr-FR"/>
        </w:rPr>
        <w:t>’</w:t>
      </w:r>
      <w:r w:rsidRPr="0042098D">
        <w:rPr>
          <w:lang w:val="fr-FR"/>
        </w:rPr>
        <w:t>adhésion de l</w:t>
      </w:r>
      <w:r w:rsidR="00356F77" w:rsidRPr="000A6751">
        <w:rPr>
          <w:lang w:val="fr-FR"/>
        </w:rPr>
        <w:t>’</w:t>
      </w:r>
      <w:r w:rsidRPr="0042098D">
        <w:rPr>
          <w:lang w:val="fr-FR"/>
        </w:rPr>
        <w:t>État partie au Protocole facultatif à la Convention, le 22 avril 2022, et note avec satisfaction que celui-ci a retiré, le 8 avril 2011, ses réserves à l</w:t>
      </w:r>
      <w:r w:rsidR="00356F77" w:rsidRPr="000A6751">
        <w:rPr>
          <w:lang w:val="fr-FR"/>
        </w:rPr>
        <w:t>’</w:t>
      </w:r>
      <w:r w:rsidRPr="0042098D">
        <w:rPr>
          <w:lang w:val="fr-FR"/>
        </w:rPr>
        <w:t>article 9 (</w:t>
      </w:r>
      <w:r w:rsidR="00723C15" w:rsidRPr="000A6751">
        <w:rPr>
          <w:lang w:val="fr-FR"/>
        </w:rPr>
        <w:t>par. </w:t>
      </w:r>
      <w:r w:rsidRPr="0042098D">
        <w:rPr>
          <w:lang w:val="fr-FR"/>
        </w:rPr>
        <w:t>2) et à l</w:t>
      </w:r>
      <w:r w:rsidR="00356F77" w:rsidRPr="000A6751">
        <w:rPr>
          <w:lang w:val="fr-FR"/>
        </w:rPr>
        <w:t>’</w:t>
      </w:r>
      <w:r w:rsidRPr="0042098D">
        <w:rPr>
          <w:lang w:val="fr-FR"/>
        </w:rPr>
        <w:t>article 16. Il relève que l</w:t>
      </w:r>
      <w:r w:rsidR="00356F77" w:rsidRPr="000A6751">
        <w:rPr>
          <w:lang w:val="fr-FR"/>
        </w:rPr>
        <w:t>’</w:t>
      </w:r>
      <w:r w:rsidRPr="0042098D">
        <w:rPr>
          <w:lang w:val="fr-FR"/>
        </w:rPr>
        <w:t>État partie maintient ses déclarations relatives à l</w:t>
      </w:r>
      <w:r w:rsidR="00356F77" w:rsidRPr="000A6751">
        <w:rPr>
          <w:lang w:val="fr-FR"/>
        </w:rPr>
        <w:t>’</w:t>
      </w:r>
      <w:r w:rsidRPr="0042098D">
        <w:rPr>
          <w:lang w:val="fr-FR"/>
        </w:rPr>
        <w:t>article 2, sur le principe d</w:t>
      </w:r>
      <w:r w:rsidR="00356F77" w:rsidRPr="000A6751">
        <w:rPr>
          <w:lang w:val="fr-FR"/>
        </w:rPr>
        <w:t>’</w:t>
      </w:r>
      <w:r w:rsidRPr="0042098D">
        <w:rPr>
          <w:lang w:val="fr-FR"/>
        </w:rPr>
        <w:t>égalité, et à l</w:t>
      </w:r>
      <w:r w:rsidR="00356F77" w:rsidRPr="000A6751">
        <w:rPr>
          <w:lang w:val="fr-FR"/>
        </w:rPr>
        <w:t>’</w:t>
      </w:r>
      <w:r w:rsidRPr="0042098D">
        <w:rPr>
          <w:lang w:val="fr-FR"/>
        </w:rPr>
        <w:t>article</w:t>
      </w:r>
      <w:r w:rsidR="001666E7">
        <w:rPr>
          <w:lang w:val="fr-FR"/>
        </w:rPr>
        <w:t> </w:t>
      </w:r>
      <w:r w:rsidRPr="0042098D">
        <w:rPr>
          <w:lang w:val="fr-FR"/>
        </w:rPr>
        <w:t>15 (</w:t>
      </w:r>
      <w:r w:rsidR="00723C15" w:rsidRPr="000A6751">
        <w:rPr>
          <w:lang w:val="fr-FR"/>
        </w:rPr>
        <w:t>par. </w:t>
      </w:r>
      <w:r w:rsidRPr="0042098D">
        <w:rPr>
          <w:lang w:val="fr-FR"/>
        </w:rPr>
        <w:t>4) de la Convention, mais prend toutefois acte des explications données par l</w:t>
      </w:r>
      <w:r w:rsidR="00356F77" w:rsidRPr="000A6751">
        <w:rPr>
          <w:lang w:val="fr-FR"/>
        </w:rPr>
        <w:t>’</w:t>
      </w:r>
      <w:r w:rsidRPr="0042098D">
        <w:rPr>
          <w:lang w:val="fr-FR"/>
        </w:rPr>
        <w:t>État partie, qui indique que ces déclarations n</w:t>
      </w:r>
      <w:r w:rsidR="00356F77" w:rsidRPr="000A6751">
        <w:rPr>
          <w:lang w:val="fr-FR"/>
        </w:rPr>
        <w:t>’</w:t>
      </w:r>
      <w:r w:rsidRPr="0042098D">
        <w:rPr>
          <w:lang w:val="fr-FR"/>
        </w:rPr>
        <w:t>ont plus d</w:t>
      </w:r>
      <w:r w:rsidR="00356F77" w:rsidRPr="000A6751">
        <w:rPr>
          <w:lang w:val="fr-FR"/>
        </w:rPr>
        <w:t>’</w:t>
      </w:r>
      <w:r w:rsidRPr="0042098D">
        <w:rPr>
          <w:lang w:val="fr-FR"/>
        </w:rPr>
        <w:t>incidences sur la situation des femmes au Maroc, étant donné que la législation interne a pris le dessus.</w:t>
      </w:r>
    </w:p>
    <w:p w14:paraId="1A4159B4" w14:textId="0F8932D3" w:rsidR="0042098D" w:rsidRPr="0042098D" w:rsidRDefault="0042098D" w:rsidP="00723C15">
      <w:pPr>
        <w:pStyle w:val="SingleTxt"/>
        <w:numPr>
          <w:ilvl w:val="0"/>
          <w:numId w:val="29"/>
        </w:numPr>
        <w:spacing w:line="240" w:lineRule="exact"/>
        <w:ind w:left="1267"/>
        <w:rPr>
          <w:lang w:val="fr-FR"/>
        </w:rPr>
      </w:pPr>
      <w:r w:rsidRPr="0042098D">
        <w:rPr>
          <w:b/>
          <w:bCs/>
          <w:lang w:val="fr-FR"/>
        </w:rPr>
        <w:t>Le Comité encourage l</w:t>
      </w:r>
      <w:r w:rsidR="00356F77" w:rsidRPr="000A6751">
        <w:rPr>
          <w:b/>
          <w:bCs/>
          <w:lang w:val="fr-FR"/>
        </w:rPr>
        <w:t>’</w:t>
      </w:r>
      <w:r w:rsidRPr="0042098D">
        <w:rPr>
          <w:b/>
          <w:bCs/>
          <w:lang w:val="fr-FR"/>
        </w:rPr>
        <w:t>État partie à retirer ses déclarations relatives aux articles 2 et 15 de la Convention afin de garantir une plus grande clarté concernant leur application.</w:t>
      </w:r>
    </w:p>
    <w:p w14:paraId="7A296202" w14:textId="77777777" w:rsidR="00723C15" w:rsidRPr="000A6751" w:rsidRDefault="00723C15" w:rsidP="00723C15">
      <w:pPr>
        <w:pStyle w:val="SingleTxt"/>
        <w:spacing w:after="0" w:line="120" w:lineRule="exact"/>
        <w:rPr>
          <w:sz w:val="10"/>
          <w:lang w:val="fr-FR"/>
        </w:rPr>
      </w:pPr>
    </w:p>
    <w:p w14:paraId="581B0D7B" w14:textId="20A1F04C" w:rsidR="0042098D" w:rsidRPr="000A6751" w:rsidRDefault="0042098D" w:rsidP="00723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Cadre législatif et définition de la discrimination à l</w:t>
      </w:r>
      <w:r w:rsidR="00356F77" w:rsidRPr="000A6751">
        <w:rPr>
          <w:lang w:val="fr-FR"/>
        </w:rPr>
        <w:t>’</w:t>
      </w:r>
      <w:r w:rsidRPr="000A6751">
        <w:rPr>
          <w:lang w:val="fr-FR"/>
        </w:rPr>
        <w:t>égard des femmes</w:t>
      </w:r>
    </w:p>
    <w:p w14:paraId="7F8C59F7" w14:textId="46644813" w:rsidR="00723C15" w:rsidRPr="000A6751" w:rsidRDefault="00723C15" w:rsidP="00723C15">
      <w:pPr>
        <w:pStyle w:val="SingleTxt"/>
        <w:spacing w:after="0" w:line="120" w:lineRule="exact"/>
        <w:rPr>
          <w:sz w:val="10"/>
          <w:lang w:val="fr-FR"/>
        </w:rPr>
      </w:pPr>
    </w:p>
    <w:p w14:paraId="20E0FF47" w14:textId="49BA81DE" w:rsidR="0042098D" w:rsidRPr="0042098D" w:rsidRDefault="0042098D" w:rsidP="00723C15">
      <w:pPr>
        <w:pStyle w:val="SingleTxt"/>
        <w:numPr>
          <w:ilvl w:val="0"/>
          <w:numId w:val="29"/>
        </w:numPr>
        <w:spacing w:line="240" w:lineRule="exact"/>
        <w:ind w:left="1267"/>
        <w:rPr>
          <w:lang w:val="fr-FR"/>
        </w:rPr>
      </w:pPr>
      <w:r w:rsidRPr="0042098D">
        <w:rPr>
          <w:lang w:val="fr-FR"/>
        </w:rPr>
        <w:t>Le Comité se félicite des informations communiquées par l</w:t>
      </w:r>
      <w:r w:rsidR="00356F77" w:rsidRPr="000A6751">
        <w:rPr>
          <w:lang w:val="fr-FR"/>
        </w:rPr>
        <w:t>’</w:t>
      </w:r>
      <w:r w:rsidRPr="0042098D">
        <w:rPr>
          <w:lang w:val="fr-FR"/>
        </w:rPr>
        <w:t>État partie quant à l</w:t>
      </w:r>
      <w:r w:rsidR="00356F77" w:rsidRPr="000A6751">
        <w:rPr>
          <w:lang w:val="fr-FR"/>
        </w:rPr>
        <w:t>’</w:t>
      </w:r>
      <w:r w:rsidRPr="0042098D">
        <w:rPr>
          <w:lang w:val="fr-FR"/>
        </w:rPr>
        <w:t>intégration du principe d</w:t>
      </w:r>
      <w:r w:rsidR="00356F77" w:rsidRPr="000A6751">
        <w:rPr>
          <w:lang w:val="fr-FR"/>
        </w:rPr>
        <w:t>’</w:t>
      </w:r>
      <w:r w:rsidRPr="0042098D">
        <w:rPr>
          <w:lang w:val="fr-FR"/>
        </w:rPr>
        <w:t>égalité entre les femmes et les hommes dans la Constitution de 2011 et à la conformité de la définition de la discrimination donnée dans le Code pénal avec l</w:t>
      </w:r>
      <w:r w:rsidR="00356F77" w:rsidRPr="000A6751">
        <w:rPr>
          <w:lang w:val="fr-FR"/>
        </w:rPr>
        <w:t>’</w:t>
      </w:r>
      <w:r w:rsidRPr="0042098D">
        <w:rPr>
          <w:lang w:val="fr-FR"/>
        </w:rPr>
        <w:t>article premier de la Convention. Il note toutefois avec préoccupation que des contradictions entre certaines dispositions législatives, en particulier du Code pénal et du Code de la famille, et la Constitution de 2011 continuent d</w:t>
      </w:r>
      <w:r w:rsidR="00356F77" w:rsidRPr="000A6751">
        <w:rPr>
          <w:lang w:val="fr-FR"/>
        </w:rPr>
        <w:t>’</w:t>
      </w:r>
      <w:r w:rsidRPr="0042098D">
        <w:rPr>
          <w:lang w:val="fr-FR"/>
        </w:rPr>
        <w:t>entraver l</w:t>
      </w:r>
      <w:r w:rsidR="00356F77" w:rsidRPr="000A6751">
        <w:rPr>
          <w:lang w:val="fr-FR"/>
        </w:rPr>
        <w:t>’</w:t>
      </w:r>
      <w:r w:rsidRPr="0042098D">
        <w:rPr>
          <w:lang w:val="fr-FR"/>
        </w:rPr>
        <w:t>application effective du principe d</w:t>
      </w:r>
      <w:r w:rsidR="00356F77" w:rsidRPr="000A6751">
        <w:rPr>
          <w:lang w:val="fr-FR"/>
        </w:rPr>
        <w:t>’</w:t>
      </w:r>
      <w:r w:rsidRPr="0042098D">
        <w:rPr>
          <w:lang w:val="fr-FR"/>
        </w:rPr>
        <w:t>égalité entre les femmes et les hommes.</w:t>
      </w:r>
    </w:p>
    <w:p w14:paraId="72AE073B" w14:textId="4161B1A2" w:rsidR="0042098D" w:rsidRPr="0042098D" w:rsidRDefault="0042098D" w:rsidP="00723C15">
      <w:pPr>
        <w:pStyle w:val="SingleTxt"/>
        <w:numPr>
          <w:ilvl w:val="0"/>
          <w:numId w:val="29"/>
        </w:numPr>
        <w:spacing w:line="240" w:lineRule="exact"/>
        <w:ind w:left="1267"/>
        <w:rPr>
          <w:lang w:val="fr-FR"/>
        </w:rPr>
      </w:pPr>
      <w:r w:rsidRPr="0042098D">
        <w:rPr>
          <w:b/>
          <w:bCs/>
          <w:lang w:val="fr-FR"/>
        </w:rPr>
        <w:t>Rappelant les liens qu</w:t>
      </w:r>
      <w:r w:rsidR="00356F77" w:rsidRPr="000A6751">
        <w:rPr>
          <w:b/>
          <w:bCs/>
          <w:lang w:val="fr-FR"/>
        </w:rPr>
        <w:t>’</w:t>
      </w:r>
      <w:r w:rsidRPr="0042098D">
        <w:rPr>
          <w:b/>
          <w:bCs/>
          <w:lang w:val="fr-FR"/>
        </w:rPr>
        <w:t>il existe entre les articles 1 et 2 de la Convention et la cible 5.1 des objectifs de développement durable, qui vise à mettre fin, partout dans le monde, à toutes les formes de discrimination à l</w:t>
      </w:r>
      <w:r w:rsidR="00356F77" w:rsidRPr="000A6751">
        <w:rPr>
          <w:b/>
          <w:bCs/>
          <w:lang w:val="fr-FR"/>
        </w:rPr>
        <w:t>’</w:t>
      </w:r>
      <w:r w:rsidRPr="0042098D">
        <w:rPr>
          <w:b/>
          <w:bCs/>
          <w:lang w:val="fr-FR"/>
        </w:rPr>
        <w:t>égard des femmes et des filles, le Comité engage l</w:t>
      </w:r>
      <w:r w:rsidR="00356F77" w:rsidRPr="000A6751">
        <w:rPr>
          <w:b/>
          <w:bCs/>
          <w:lang w:val="fr-FR"/>
        </w:rPr>
        <w:t>’</w:t>
      </w:r>
      <w:r w:rsidRPr="0042098D">
        <w:rPr>
          <w:b/>
          <w:bCs/>
          <w:lang w:val="fr-FR"/>
        </w:rPr>
        <w:t>État partie à procéder rapidement à un examen législatif complet en vue de modifier ou d</w:t>
      </w:r>
      <w:r w:rsidR="00356F77" w:rsidRPr="000A6751">
        <w:rPr>
          <w:b/>
          <w:bCs/>
          <w:lang w:val="fr-FR"/>
        </w:rPr>
        <w:t>’</w:t>
      </w:r>
      <w:r w:rsidRPr="0042098D">
        <w:rPr>
          <w:b/>
          <w:bCs/>
          <w:lang w:val="fr-FR"/>
        </w:rPr>
        <w:t>abroger toutes les lois directement ou indirectement discriminatoires à l</w:t>
      </w:r>
      <w:r w:rsidR="00356F77" w:rsidRPr="000A6751">
        <w:rPr>
          <w:b/>
          <w:bCs/>
          <w:lang w:val="fr-FR"/>
        </w:rPr>
        <w:t>’</w:t>
      </w:r>
      <w:r w:rsidRPr="0042098D">
        <w:rPr>
          <w:b/>
          <w:bCs/>
          <w:lang w:val="fr-FR"/>
        </w:rPr>
        <w:t>égard des femmes.</w:t>
      </w:r>
    </w:p>
    <w:p w14:paraId="626C36F0" w14:textId="77777777" w:rsidR="00723C15" w:rsidRPr="000A6751" w:rsidRDefault="00723C15" w:rsidP="00723C15">
      <w:pPr>
        <w:pStyle w:val="SingleTxt"/>
        <w:spacing w:after="0" w:line="120" w:lineRule="exact"/>
        <w:rPr>
          <w:sz w:val="10"/>
          <w:lang w:val="fr-FR"/>
        </w:rPr>
      </w:pPr>
    </w:p>
    <w:p w14:paraId="1958445E" w14:textId="6C848A13" w:rsidR="0042098D" w:rsidRPr="000A6751" w:rsidRDefault="0042098D" w:rsidP="00723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Accès des femmes à la justice</w:t>
      </w:r>
    </w:p>
    <w:p w14:paraId="33B1E287" w14:textId="4A4C36F9" w:rsidR="00723C15" w:rsidRPr="000A6751" w:rsidRDefault="00723C15" w:rsidP="00723C15">
      <w:pPr>
        <w:pStyle w:val="SingleTxt"/>
        <w:spacing w:after="0" w:line="120" w:lineRule="exact"/>
        <w:rPr>
          <w:sz w:val="10"/>
          <w:lang w:val="fr-FR"/>
        </w:rPr>
      </w:pPr>
    </w:p>
    <w:p w14:paraId="3836449E" w14:textId="11DCCA0D" w:rsidR="00356F77" w:rsidRPr="000A6751" w:rsidRDefault="0042098D" w:rsidP="00723C15">
      <w:pPr>
        <w:pStyle w:val="SingleTxt"/>
        <w:numPr>
          <w:ilvl w:val="0"/>
          <w:numId w:val="29"/>
        </w:numPr>
        <w:spacing w:line="240" w:lineRule="exact"/>
        <w:ind w:left="1267"/>
        <w:rPr>
          <w:lang w:val="fr-FR"/>
        </w:rPr>
      </w:pPr>
      <w:r w:rsidRPr="0042098D">
        <w:rPr>
          <w:lang w:val="fr-FR"/>
        </w:rPr>
        <w:t xml:space="preserve">Le Comité note avec satisfaction que la loi </w:t>
      </w:r>
      <w:r w:rsidR="00723C15" w:rsidRPr="0042098D">
        <w:rPr>
          <w:lang w:val="fr-FR"/>
        </w:rPr>
        <w:t>n</w:t>
      </w:r>
      <w:r w:rsidR="00723C15" w:rsidRPr="000A6751">
        <w:rPr>
          <w:vertAlign w:val="superscript"/>
          <w:lang w:val="fr-FR"/>
        </w:rPr>
        <w:t>o</w:t>
      </w:r>
      <w:r w:rsidR="00723C15" w:rsidRPr="000A6751">
        <w:rPr>
          <w:lang w:val="fr-FR"/>
        </w:rPr>
        <w:t> </w:t>
      </w:r>
      <w:r w:rsidRPr="0042098D">
        <w:rPr>
          <w:lang w:val="fr-FR"/>
        </w:rPr>
        <w:t xml:space="preserve">103-13, entrée en vigueur en septembre 2018, a contribué à garantir une certaine protection juridique aux femmes </w:t>
      </w:r>
      <w:r w:rsidRPr="0042098D">
        <w:rPr>
          <w:lang w:val="fr-FR"/>
        </w:rPr>
        <w:lastRenderedPageBreak/>
        <w:t>qui sont victimes de violence, notamment par le biais de la Commission nationale pour la prise en charge des femmes victimes de violences ainsi que des commissions régionales et locales, qui ont été instituées pour donner effet au chapitre IV de ladite loi. Il se dit toutefois préoccupé par les informations selon lesquelles la police n</w:t>
      </w:r>
      <w:r w:rsidR="00356F77" w:rsidRPr="000A6751">
        <w:rPr>
          <w:lang w:val="fr-FR"/>
        </w:rPr>
        <w:t>’</w:t>
      </w:r>
      <w:r w:rsidRPr="0042098D">
        <w:rPr>
          <w:lang w:val="fr-FR"/>
        </w:rPr>
        <w:t>est pas sensibilisée aux droits humains, notamment aux droits des femmes, et que, en particulier dans les zones rurales où la langue amazighe est parlée, les femmes n</w:t>
      </w:r>
      <w:r w:rsidR="00356F77" w:rsidRPr="000A6751">
        <w:rPr>
          <w:lang w:val="fr-FR"/>
        </w:rPr>
        <w:t>’</w:t>
      </w:r>
      <w:r w:rsidRPr="0042098D">
        <w:rPr>
          <w:lang w:val="fr-FR"/>
        </w:rPr>
        <w:t>ont pas conscience de leurs droits car les informations dans leur langue sont moins nombreuses. Le Comité est également préoccupé par les informations selon lesquelles, dans les affaires de violence fondée sur le genre, la charge de la preuve incombe aux femmes qui sont victimes.</w:t>
      </w:r>
    </w:p>
    <w:p w14:paraId="3C8D19E6" w14:textId="5E40172F" w:rsidR="0042098D" w:rsidRPr="0042098D" w:rsidRDefault="0042098D" w:rsidP="00723C15">
      <w:pPr>
        <w:pStyle w:val="SingleTxt"/>
        <w:numPr>
          <w:ilvl w:val="0"/>
          <w:numId w:val="29"/>
        </w:numPr>
        <w:spacing w:line="240" w:lineRule="exact"/>
        <w:ind w:left="1267"/>
        <w:rPr>
          <w:lang w:val="fr-FR"/>
        </w:rPr>
      </w:pPr>
      <w:r w:rsidRPr="0042098D">
        <w:rPr>
          <w:b/>
          <w:bCs/>
          <w:lang w:val="fr-FR"/>
        </w:rPr>
        <w:t>Le Comité recommande à l</w:t>
      </w:r>
      <w:r w:rsidR="00356F77" w:rsidRPr="000A6751">
        <w:rPr>
          <w:b/>
          <w:bCs/>
          <w:lang w:val="fr-FR"/>
        </w:rPr>
        <w:t>’</w:t>
      </w:r>
      <w:r w:rsidRPr="0042098D">
        <w:rPr>
          <w:b/>
          <w:bCs/>
          <w:lang w:val="fr-FR"/>
        </w:rPr>
        <w:t>État partie</w:t>
      </w:r>
      <w:r w:rsidR="00356F77" w:rsidRPr="000A6751">
        <w:rPr>
          <w:b/>
          <w:bCs/>
          <w:lang w:val="fr-FR"/>
        </w:rPr>
        <w:t> :</w:t>
      </w:r>
    </w:p>
    <w:p w14:paraId="0C2758C3" w14:textId="01D2896A" w:rsidR="0042098D" w:rsidRPr="0042098D" w:rsidRDefault="00723C15"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De renforcer les capacités des juges, des procureurs, des avocats et des agents de police en ce qui concerne les droits humains, en particulier les droits des femmes, notamment en rendant la sensibilisation à la Convention et aux recommandations générales du Comité obligatoire dans le cadre de la formation professionnelle</w:t>
      </w:r>
      <w:r w:rsidR="00356F77" w:rsidRPr="000A6751">
        <w:rPr>
          <w:b/>
          <w:bCs/>
          <w:lang w:val="fr-FR"/>
        </w:rPr>
        <w:t> ;</w:t>
      </w:r>
    </w:p>
    <w:p w14:paraId="5C84D9E6" w14:textId="04EE63AE" w:rsidR="0042098D" w:rsidRPr="0042098D" w:rsidRDefault="00723C15"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diffuser des informations en arabe et en langue amazighe, en particulier auprès des femmes et des filles des zones rurales, sur les mécanismes et procédures permettant aux femmes et aux filles de demander réparation pour les violations de leurs droits</w:t>
      </w:r>
      <w:r w:rsidR="00356F77" w:rsidRPr="000A6751">
        <w:rPr>
          <w:b/>
          <w:bCs/>
          <w:lang w:val="fr-FR"/>
        </w:rPr>
        <w:t> ;</w:t>
      </w:r>
    </w:p>
    <w:p w14:paraId="6FA83B12" w14:textId="4872B838" w:rsidR="0042098D" w:rsidRPr="0042098D" w:rsidRDefault="00723C15" w:rsidP="0042098D">
      <w:pPr>
        <w:pStyle w:val="SingleTxt"/>
        <w:rPr>
          <w:b/>
          <w:bCs/>
          <w:lang w:val="fr-FR"/>
        </w:rPr>
      </w:pPr>
      <w:r w:rsidRPr="000A6751">
        <w:rPr>
          <w:b/>
          <w:bCs/>
          <w:lang w:val="fr-FR"/>
        </w:rPr>
        <w:tab/>
      </w:r>
      <w:r w:rsidR="0042098D" w:rsidRPr="0042098D">
        <w:rPr>
          <w:b/>
          <w:bCs/>
          <w:lang w:val="fr-FR"/>
        </w:rPr>
        <w:t>c)</w:t>
      </w:r>
      <w:r w:rsidR="0042098D" w:rsidRPr="0042098D">
        <w:rPr>
          <w:b/>
          <w:bCs/>
          <w:lang w:val="fr-FR"/>
        </w:rPr>
        <w:tab/>
        <w:t>De veiller à ce que ses tribunaux nationaux adoptent les normes internationales relatives à la charge de la preuve dans les affaires de violence fondée sur le genre.</w:t>
      </w:r>
    </w:p>
    <w:p w14:paraId="2BA4574F" w14:textId="77777777" w:rsidR="00723C15" w:rsidRPr="000A6751" w:rsidRDefault="00723C15" w:rsidP="00723C15">
      <w:pPr>
        <w:pStyle w:val="SingleTxt"/>
        <w:spacing w:after="0" w:line="120" w:lineRule="exact"/>
        <w:rPr>
          <w:sz w:val="10"/>
          <w:lang w:val="fr-FR"/>
        </w:rPr>
      </w:pPr>
    </w:p>
    <w:p w14:paraId="23EF1EAC" w14:textId="5AB6423F" w:rsidR="0042098D" w:rsidRPr="000A6751" w:rsidRDefault="0042098D" w:rsidP="00723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Mécanisme national de promotion des femmes</w:t>
      </w:r>
    </w:p>
    <w:p w14:paraId="1D184ED8" w14:textId="489573C8" w:rsidR="00723C15" w:rsidRPr="000A6751" w:rsidRDefault="00723C15" w:rsidP="00723C15">
      <w:pPr>
        <w:pStyle w:val="SingleTxt"/>
        <w:spacing w:after="0" w:line="120" w:lineRule="exact"/>
        <w:rPr>
          <w:sz w:val="10"/>
          <w:lang w:val="fr-FR"/>
        </w:rPr>
      </w:pPr>
    </w:p>
    <w:p w14:paraId="27786D26" w14:textId="7139F2F0" w:rsidR="0042098D" w:rsidRPr="0042098D" w:rsidRDefault="0042098D" w:rsidP="00723C15">
      <w:pPr>
        <w:pStyle w:val="SingleTxt"/>
        <w:numPr>
          <w:ilvl w:val="0"/>
          <w:numId w:val="29"/>
        </w:numPr>
        <w:spacing w:line="240" w:lineRule="exact"/>
        <w:ind w:left="1267"/>
        <w:rPr>
          <w:lang w:val="fr-FR"/>
        </w:rPr>
      </w:pPr>
      <w:r w:rsidRPr="0042098D">
        <w:rPr>
          <w:lang w:val="fr-FR"/>
        </w:rPr>
        <w:t>Le Comité salue les efforts déployés par l</w:t>
      </w:r>
      <w:r w:rsidR="00356F77" w:rsidRPr="000A6751">
        <w:rPr>
          <w:lang w:val="fr-FR"/>
        </w:rPr>
        <w:t>’</w:t>
      </w:r>
      <w:r w:rsidRPr="0042098D">
        <w:rPr>
          <w:lang w:val="fr-FR"/>
        </w:rPr>
        <w:t>État partie pour intégrer l</w:t>
      </w:r>
      <w:r w:rsidR="00356F77" w:rsidRPr="000A6751">
        <w:rPr>
          <w:lang w:val="fr-FR"/>
        </w:rPr>
        <w:t>’</w:t>
      </w:r>
      <w:r w:rsidRPr="0042098D">
        <w:rPr>
          <w:lang w:val="fr-FR"/>
        </w:rPr>
        <w:t>égalité des genres dans les politiques sectorielles, notamment par la prise en compte des questions de genre dans la programmation budgétaire des départements ministériels. Il note avec satisfaction l</w:t>
      </w:r>
      <w:r w:rsidR="00356F77" w:rsidRPr="000A6751">
        <w:rPr>
          <w:lang w:val="fr-FR"/>
        </w:rPr>
        <w:t>’</w:t>
      </w:r>
      <w:r w:rsidRPr="0042098D">
        <w:rPr>
          <w:lang w:val="fr-FR"/>
        </w:rPr>
        <w:t xml:space="preserve">adoption, en 2017, de la loi </w:t>
      </w:r>
      <w:r w:rsidR="00723C15" w:rsidRPr="0042098D">
        <w:rPr>
          <w:lang w:val="fr-FR"/>
        </w:rPr>
        <w:t>n</w:t>
      </w:r>
      <w:r w:rsidR="00723C15" w:rsidRPr="000A6751">
        <w:rPr>
          <w:vertAlign w:val="superscript"/>
          <w:lang w:val="fr-FR"/>
        </w:rPr>
        <w:t>o</w:t>
      </w:r>
      <w:r w:rsidR="00723C15" w:rsidRPr="000A6751">
        <w:rPr>
          <w:lang w:val="fr-FR"/>
        </w:rPr>
        <w:t> </w:t>
      </w:r>
      <w:r w:rsidRPr="0042098D">
        <w:rPr>
          <w:lang w:val="fr-FR"/>
        </w:rPr>
        <w:t>79-14 portant création de l</w:t>
      </w:r>
      <w:r w:rsidR="00356F77" w:rsidRPr="000A6751">
        <w:rPr>
          <w:lang w:val="fr-FR"/>
        </w:rPr>
        <w:t>’</w:t>
      </w:r>
      <w:r w:rsidRPr="0042098D">
        <w:rPr>
          <w:lang w:val="fr-FR"/>
        </w:rPr>
        <w:t>Autorité pour la parité et la lutte contre toutes formes de discrimination, ainsi que l</w:t>
      </w:r>
      <w:r w:rsidR="00356F77" w:rsidRPr="000A6751">
        <w:rPr>
          <w:lang w:val="fr-FR"/>
        </w:rPr>
        <w:t>’</w:t>
      </w:r>
      <w:r w:rsidRPr="0042098D">
        <w:rPr>
          <w:lang w:val="fr-FR"/>
        </w:rPr>
        <w:t>adoption du plan gouvernemental pour l</w:t>
      </w:r>
      <w:r w:rsidR="00356F77" w:rsidRPr="000A6751">
        <w:rPr>
          <w:lang w:val="fr-FR"/>
        </w:rPr>
        <w:t>’</w:t>
      </w:r>
      <w:r w:rsidRPr="0042098D">
        <w:rPr>
          <w:lang w:val="fr-FR"/>
        </w:rPr>
        <w:t>égalité pour la période 2017-2021. Il reste toutefois préoccupé par les informations selon lesquelles la Direction de la femme, de l</w:t>
      </w:r>
      <w:r w:rsidR="00356F77" w:rsidRPr="000A6751">
        <w:rPr>
          <w:lang w:val="fr-FR"/>
        </w:rPr>
        <w:t>’</w:t>
      </w:r>
      <w:r w:rsidRPr="0042098D">
        <w:rPr>
          <w:lang w:val="fr-FR"/>
        </w:rPr>
        <w:t>équité et du genre, qui est l</w:t>
      </w:r>
      <w:r w:rsidR="00356F77" w:rsidRPr="000A6751">
        <w:rPr>
          <w:lang w:val="fr-FR"/>
        </w:rPr>
        <w:t>’</w:t>
      </w:r>
      <w:r w:rsidRPr="0042098D">
        <w:rPr>
          <w:lang w:val="fr-FR"/>
        </w:rPr>
        <w:t>entité nationale chargée de la promotion de l</w:t>
      </w:r>
      <w:r w:rsidR="00356F77" w:rsidRPr="000A6751">
        <w:rPr>
          <w:lang w:val="fr-FR"/>
        </w:rPr>
        <w:t>’</w:t>
      </w:r>
      <w:r w:rsidRPr="0042098D">
        <w:rPr>
          <w:lang w:val="fr-FR"/>
        </w:rPr>
        <w:t>égalité des genres, ne reçoit que 5,1</w:t>
      </w:r>
      <w:r w:rsidR="00356F77" w:rsidRPr="000A6751">
        <w:rPr>
          <w:lang w:val="fr-FR"/>
        </w:rPr>
        <w:t> %</w:t>
      </w:r>
      <w:r w:rsidRPr="0042098D">
        <w:rPr>
          <w:lang w:val="fr-FR"/>
        </w:rPr>
        <w:t xml:space="preserve"> du budget de son ministère. Il est également préoccupé par le fait qu</w:t>
      </w:r>
      <w:r w:rsidR="00356F77" w:rsidRPr="000A6751">
        <w:rPr>
          <w:lang w:val="fr-FR"/>
        </w:rPr>
        <w:t>’</w:t>
      </w:r>
      <w:r w:rsidRPr="0042098D">
        <w:rPr>
          <w:lang w:val="fr-FR"/>
        </w:rPr>
        <w:t>à ce jour, l</w:t>
      </w:r>
      <w:r w:rsidR="00356F77" w:rsidRPr="000A6751">
        <w:rPr>
          <w:lang w:val="fr-FR"/>
        </w:rPr>
        <w:t>’</w:t>
      </w:r>
      <w:r w:rsidRPr="0042098D">
        <w:rPr>
          <w:lang w:val="fr-FR"/>
        </w:rPr>
        <w:t>Autorité pour la parité et la lutte contre toutes formes de discrimination et le Conseil consultatif pour la famille et les enfants n</w:t>
      </w:r>
      <w:r w:rsidR="00356F77" w:rsidRPr="000A6751">
        <w:rPr>
          <w:lang w:val="fr-FR"/>
        </w:rPr>
        <w:t>’</w:t>
      </w:r>
      <w:r w:rsidRPr="0042098D">
        <w:rPr>
          <w:lang w:val="fr-FR"/>
        </w:rPr>
        <w:t>aient pas été créés. Il est en outre préoccupé par les informations selon lesquelles la société civile n</w:t>
      </w:r>
      <w:r w:rsidR="00356F77" w:rsidRPr="000A6751">
        <w:rPr>
          <w:lang w:val="fr-FR"/>
        </w:rPr>
        <w:t>’</w:t>
      </w:r>
      <w:r w:rsidRPr="0042098D">
        <w:rPr>
          <w:lang w:val="fr-FR"/>
        </w:rPr>
        <w:t>a pas été suffisamment associée au processus d</w:t>
      </w:r>
      <w:r w:rsidR="00356F77" w:rsidRPr="000A6751">
        <w:rPr>
          <w:lang w:val="fr-FR"/>
        </w:rPr>
        <w:t>’</w:t>
      </w:r>
      <w:r w:rsidRPr="0042098D">
        <w:rPr>
          <w:lang w:val="fr-FR"/>
        </w:rPr>
        <w:t>élaboration, de suivi et d</w:t>
      </w:r>
      <w:r w:rsidR="00356F77" w:rsidRPr="000A6751">
        <w:rPr>
          <w:lang w:val="fr-FR"/>
        </w:rPr>
        <w:t>’</w:t>
      </w:r>
      <w:r w:rsidRPr="0042098D">
        <w:rPr>
          <w:lang w:val="fr-FR"/>
        </w:rPr>
        <w:t>évaluation du plan gouvernemental pour l</w:t>
      </w:r>
      <w:r w:rsidR="00356F77" w:rsidRPr="000A6751">
        <w:rPr>
          <w:lang w:val="fr-FR"/>
        </w:rPr>
        <w:t>’</w:t>
      </w:r>
      <w:r w:rsidRPr="0042098D">
        <w:rPr>
          <w:lang w:val="fr-FR"/>
        </w:rPr>
        <w:t>égalité pour la période 2012-2016, et trouve fâcheux que la participation de la société civile à l</w:t>
      </w:r>
      <w:r w:rsidR="00356F77" w:rsidRPr="000A6751">
        <w:rPr>
          <w:lang w:val="fr-FR"/>
        </w:rPr>
        <w:t>’</w:t>
      </w:r>
      <w:r w:rsidRPr="0042098D">
        <w:rPr>
          <w:lang w:val="fr-FR"/>
        </w:rPr>
        <w:t>élaboration du plan pour la période 2017-2021 ait également été insuffisante.</w:t>
      </w:r>
    </w:p>
    <w:p w14:paraId="535F5762" w14:textId="5729D8FF" w:rsidR="00356F77" w:rsidRPr="000A6751" w:rsidRDefault="0042098D" w:rsidP="00723C15">
      <w:pPr>
        <w:pStyle w:val="SingleTxt"/>
        <w:numPr>
          <w:ilvl w:val="0"/>
          <w:numId w:val="29"/>
        </w:numPr>
        <w:spacing w:line="240" w:lineRule="exact"/>
        <w:ind w:left="1267"/>
        <w:rPr>
          <w:lang w:val="fr-FR"/>
        </w:rPr>
      </w:pPr>
      <w:r w:rsidRPr="0042098D">
        <w:rPr>
          <w:b/>
          <w:bCs/>
          <w:lang w:val="fr-FR"/>
        </w:rPr>
        <w:t>Le Comité recommande à l</w:t>
      </w:r>
      <w:r w:rsidR="00356F77" w:rsidRPr="000A6751">
        <w:rPr>
          <w:b/>
          <w:bCs/>
          <w:lang w:val="fr-FR"/>
        </w:rPr>
        <w:t>’</w:t>
      </w:r>
      <w:r w:rsidRPr="0042098D">
        <w:rPr>
          <w:b/>
          <w:bCs/>
          <w:lang w:val="fr-FR"/>
        </w:rPr>
        <w:t>État partie</w:t>
      </w:r>
      <w:r w:rsidR="00356F77" w:rsidRPr="000A6751">
        <w:rPr>
          <w:b/>
          <w:bCs/>
          <w:lang w:val="fr-FR"/>
        </w:rPr>
        <w:t> :</w:t>
      </w:r>
    </w:p>
    <w:p w14:paraId="69234FC7" w14:textId="4E1C7367" w:rsidR="0042098D" w:rsidRPr="0042098D" w:rsidRDefault="00723C15"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w:t>
      </w:r>
      <w:r w:rsidR="00356F77" w:rsidRPr="000A6751">
        <w:rPr>
          <w:b/>
          <w:bCs/>
          <w:lang w:val="fr-FR"/>
        </w:rPr>
        <w:t>’</w:t>
      </w:r>
      <w:r w:rsidR="0042098D" w:rsidRPr="0042098D">
        <w:rPr>
          <w:b/>
          <w:bCs/>
          <w:lang w:val="fr-FR"/>
        </w:rPr>
        <w:t>instaurer, sans plus attendre, l</w:t>
      </w:r>
      <w:r w:rsidR="00356F77" w:rsidRPr="000A6751">
        <w:rPr>
          <w:b/>
          <w:bCs/>
          <w:lang w:val="fr-FR"/>
        </w:rPr>
        <w:t>’</w:t>
      </w:r>
      <w:r w:rsidR="0042098D" w:rsidRPr="0042098D">
        <w:rPr>
          <w:b/>
          <w:bCs/>
          <w:lang w:val="fr-FR"/>
        </w:rPr>
        <w:t>Autorité pour la parité et la lutte contre toutes formes de discrimination et le Conseil consultatif pour la famille et les enfants, et de fournir des ressources humaines, techniques et financières adéquates à ces entités afin qu</w:t>
      </w:r>
      <w:r w:rsidR="00356F77" w:rsidRPr="000A6751">
        <w:rPr>
          <w:b/>
          <w:bCs/>
          <w:lang w:val="fr-FR"/>
        </w:rPr>
        <w:t>’</w:t>
      </w:r>
      <w:r w:rsidR="0042098D" w:rsidRPr="0042098D">
        <w:rPr>
          <w:b/>
          <w:bCs/>
          <w:lang w:val="fr-FR"/>
        </w:rPr>
        <w:t>elles puissent mener à bien leurs travaux</w:t>
      </w:r>
      <w:r w:rsidR="00356F77" w:rsidRPr="000A6751">
        <w:rPr>
          <w:b/>
          <w:bCs/>
          <w:lang w:val="fr-FR"/>
        </w:rPr>
        <w:t> ;</w:t>
      </w:r>
    </w:p>
    <w:p w14:paraId="0AB86F18" w14:textId="34841CC5" w:rsidR="0042098D" w:rsidRPr="0042098D" w:rsidRDefault="00723C15"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garantir la participation pleine et effective de la société civile aux processus de suivi et d</w:t>
      </w:r>
      <w:r w:rsidR="00356F77" w:rsidRPr="000A6751">
        <w:rPr>
          <w:b/>
          <w:bCs/>
          <w:lang w:val="fr-FR"/>
        </w:rPr>
        <w:t>’</w:t>
      </w:r>
      <w:r w:rsidR="0042098D" w:rsidRPr="0042098D">
        <w:rPr>
          <w:b/>
          <w:bCs/>
          <w:lang w:val="fr-FR"/>
        </w:rPr>
        <w:t>évaluation du plan gouvernemental pour l</w:t>
      </w:r>
      <w:r w:rsidR="00356F77" w:rsidRPr="000A6751">
        <w:rPr>
          <w:b/>
          <w:bCs/>
          <w:lang w:val="fr-FR"/>
        </w:rPr>
        <w:t>’</w:t>
      </w:r>
      <w:r w:rsidR="0042098D" w:rsidRPr="0042098D">
        <w:rPr>
          <w:b/>
          <w:bCs/>
          <w:lang w:val="fr-FR"/>
        </w:rPr>
        <w:t xml:space="preserve">égalité pour les périodes 2012-2016 et 2017-2021, ainsi que la participation de celle-ci aux </w:t>
      </w:r>
      <w:r w:rsidR="0042098D" w:rsidRPr="0042098D">
        <w:rPr>
          <w:b/>
          <w:bCs/>
          <w:lang w:val="fr-FR"/>
        </w:rPr>
        <w:lastRenderedPageBreak/>
        <w:t>processus d</w:t>
      </w:r>
      <w:r w:rsidR="00356F77" w:rsidRPr="000A6751">
        <w:rPr>
          <w:b/>
          <w:bCs/>
          <w:lang w:val="fr-FR"/>
        </w:rPr>
        <w:t>’</w:t>
      </w:r>
      <w:r w:rsidR="0042098D" w:rsidRPr="0042098D">
        <w:rPr>
          <w:b/>
          <w:bCs/>
          <w:lang w:val="fr-FR"/>
        </w:rPr>
        <w:t>élaboration, de suivi et d</w:t>
      </w:r>
      <w:r w:rsidR="00356F77" w:rsidRPr="000A6751">
        <w:rPr>
          <w:b/>
          <w:bCs/>
          <w:lang w:val="fr-FR"/>
        </w:rPr>
        <w:t>’</w:t>
      </w:r>
      <w:r w:rsidR="0042098D" w:rsidRPr="0042098D">
        <w:rPr>
          <w:b/>
          <w:bCs/>
          <w:lang w:val="fr-FR"/>
        </w:rPr>
        <w:t>évaluation de tout futur plan gouvernemental pour l</w:t>
      </w:r>
      <w:r w:rsidR="00356F77" w:rsidRPr="000A6751">
        <w:rPr>
          <w:b/>
          <w:bCs/>
          <w:lang w:val="fr-FR"/>
        </w:rPr>
        <w:t>’</w:t>
      </w:r>
      <w:r w:rsidR="0042098D" w:rsidRPr="0042098D">
        <w:rPr>
          <w:b/>
          <w:bCs/>
          <w:lang w:val="fr-FR"/>
        </w:rPr>
        <w:t>égalité.</w:t>
      </w:r>
    </w:p>
    <w:p w14:paraId="41FD5009" w14:textId="77777777" w:rsidR="00723C15" w:rsidRPr="000A6751" w:rsidRDefault="00723C15" w:rsidP="00723C15">
      <w:pPr>
        <w:pStyle w:val="SingleTxt"/>
        <w:spacing w:after="0" w:line="120" w:lineRule="exact"/>
        <w:rPr>
          <w:sz w:val="10"/>
          <w:lang w:val="fr-FR"/>
        </w:rPr>
      </w:pPr>
    </w:p>
    <w:p w14:paraId="608AB17A" w14:textId="2DF43B51" w:rsidR="0042098D" w:rsidRPr="000A6751" w:rsidRDefault="0042098D" w:rsidP="004B1055">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Mesures temporaires spéciales</w:t>
      </w:r>
    </w:p>
    <w:p w14:paraId="0D94684C" w14:textId="1171E53B" w:rsidR="00723C15" w:rsidRPr="000A6751" w:rsidRDefault="00723C15" w:rsidP="004B1055">
      <w:pPr>
        <w:pStyle w:val="SingleTxt"/>
        <w:keepNext/>
        <w:spacing w:after="0" w:line="120" w:lineRule="exact"/>
        <w:rPr>
          <w:sz w:val="10"/>
          <w:lang w:val="fr-FR"/>
        </w:rPr>
      </w:pPr>
    </w:p>
    <w:p w14:paraId="43C77348" w14:textId="4BE7DE2E" w:rsidR="0042098D" w:rsidRPr="0042098D" w:rsidRDefault="0042098D" w:rsidP="00723C15">
      <w:pPr>
        <w:pStyle w:val="SingleTxt"/>
        <w:numPr>
          <w:ilvl w:val="0"/>
          <w:numId w:val="29"/>
        </w:numPr>
        <w:spacing w:line="240" w:lineRule="exact"/>
        <w:ind w:left="1267"/>
        <w:rPr>
          <w:lang w:val="fr-FR"/>
        </w:rPr>
      </w:pPr>
      <w:r w:rsidRPr="0042098D">
        <w:rPr>
          <w:lang w:val="fr-FR"/>
        </w:rPr>
        <w:t>Le Comité constate avec satisfaction que des mesures temporaires spéciales, y compris des quotas, ont été adoptées pour faciliter la participation des femmes à la vie politique. Il demeure toutefois préoccupé par l</w:t>
      </w:r>
      <w:r w:rsidR="00356F77" w:rsidRPr="000A6751">
        <w:rPr>
          <w:lang w:val="fr-FR"/>
        </w:rPr>
        <w:t>’</w:t>
      </w:r>
      <w:r w:rsidRPr="0042098D">
        <w:rPr>
          <w:lang w:val="fr-FR"/>
        </w:rPr>
        <w:t>usage restreint qui est fait des mesures temporaires spéciales en vue d</w:t>
      </w:r>
      <w:r w:rsidR="00356F77" w:rsidRPr="000A6751">
        <w:rPr>
          <w:lang w:val="fr-FR"/>
        </w:rPr>
        <w:t>’</w:t>
      </w:r>
      <w:r w:rsidRPr="0042098D">
        <w:rPr>
          <w:lang w:val="fr-FR"/>
        </w:rPr>
        <w:t>instaurer une égalité réelle entre les femmes et les hommes dans d</w:t>
      </w:r>
      <w:r w:rsidR="00356F77" w:rsidRPr="000A6751">
        <w:rPr>
          <w:lang w:val="fr-FR"/>
        </w:rPr>
        <w:t>’</w:t>
      </w:r>
      <w:r w:rsidRPr="0042098D">
        <w:rPr>
          <w:lang w:val="fr-FR"/>
        </w:rPr>
        <w:t>autres domaines où les femmes sont sous-représentées ou désavantagées, comme l</w:t>
      </w:r>
      <w:r w:rsidR="00356F77" w:rsidRPr="000A6751">
        <w:rPr>
          <w:lang w:val="fr-FR"/>
        </w:rPr>
        <w:t>’</w:t>
      </w:r>
      <w:r w:rsidRPr="0042098D">
        <w:rPr>
          <w:lang w:val="fr-FR"/>
        </w:rPr>
        <w:t>emploi et la santé.</w:t>
      </w:r>
    </w:p>
    <w:p w14:paraId="559E6274" w14:textId="4F375B68" w:rsidR="0042098D" w:rsidRPr="0042098D" w:rsidRDefault="0042098D" w:rsidP="00723C15">
      <w:pPr>
        <w:pStyle w:val="SingleTxt"/>
        <w:numPr>
          <w:ilvl w:val="0"/>
          <w:numId w:val="29"/>
        </w:numPr>
        <w:spacing w:line="240" w:lineRule="exact"/>
        <w:ind w:left="1267"/>
        <w:rPr>
          <w:lang w:val="fr-FR"/>
        </w:rPr>
      </w:pPr>
      <w:r w:rsidRPr="0042098D">
        <w:rPr>
          <w:b/>
          <w:bCs/>
          <w:lang w:val="fr-FR"/>
        </w:rPr>
        <w:t>À la lumière de l</w:t>
      </w:r>
      <w:r w:rsidR="00356F77" w:rsidRPr="000A6751">
        <w:rPr>
          <w:b/>
          <w:bCs/>
          <w:lang w:val="fr-FR"/>
        </w:rPr>
        <w:t>’</w:t>
      </w:r>
      <w:r w:rsidRPr="0042098D">
        <w:rPr>
          <w:b/>
          <w:bCs/>
          <w:lang w:val="fr-FR"/>
        </w:rPr>
        <w:t>article 4 (</w:t>
      </w:r>
      <w:r w:rsidR="00723C15" w:rsidRPr="000A6751">
        <w:rPr>
          <w:b/>
          <w:bCs/>
          <w:lang w:val="fr-FR"/>
        </w:rPr>
        <w:t>par. </w:t>
      </w:r>
      <w:r w:rsidRPr="0042098D">
        <w:rPr>
          <w:b/>
          <w:bCs/>
          <w:lang w:val="fr-FR"/>
        </w:rPr>
        <w:t>1) de la Convention et de sa recommandation générale n</w:t>
      </w:r>
      <w:r w:rsidRPr="0042098D">
        <w:rPr>
          <w:b/>
          <w:bCs/>
          <w:vertAlign w:val="superscript"/>
          <w:lang w:val="fr-FR"/>
        </w:rPr>
        <w:t>o</w:t>
      </w:r>
      <w:r w:rsidRPr="0042098D">
        <w:rPr>
          <w:b/>
          <w:bCs/>
          <w:lang w:val="fr-FR"/>
        </w:rPr>
        <w:t> 25 (2004) sur les mesures temporaires spéciales, le Comité recommande à l</w:t>
      </w:r>
      <w:r w:rsidR="00356F77" w:rsidRPr="000A6751">
        <w:rPr>
          <w:b/>
          <w:bCs/>
          <w:lang w:val="fr-FR"/>
        </w:rPr>
        <w:t>’</w:t>
      </w:r>
      <w:r w:rsidRPr="0042098D">
        <w:rPr>
          <w:b/>
          <w:bCs/>
          <w:lang w:val="fr-FR"/>
        </w:rPr>
        <w:t>État partie d</w:t>
      </w:r>
      <w:r w:rsidR="00356F77" w:rsidRPr="000A6751">
        <w:rPr>
          <w:b/>
          <w:bCs/>
          <w:lang w:val="fr-FR"/>
        </w:rPr>
        <w:t>’</w:t>
      </w:r>
      <w:r w:rsidRPr="0042098D">
        <w:rPr>
          <w:b/>
          <w:bCs/>
          <w:lang w:val="fr-FR"/>
        </w:rPr>
        <w:t>adopter des mesures temporaires spéciales et de renforcer encore celles qui ont déjà été prises afin de promouvoir la participation des femmes dans tous les domaines visés par la Convention où elles sont sous-représentées ou désavantagées, en particulier la participation à la vie politique, à l</w:t>
      </w:r>
      <w:r w:rsidR="00356F77" w:rsidRPr="000A6751">
        <w:rPr>
          <w:b/>
          <w:bCs/>
          <w:lang w:val="fr-FR"/>
        </w:rPr>
        <w:t>’</w:t>
      </w:r>
      <w:r w:rsidRPr="0042098D">
        <w:rPr>
          <w:b/>
          <w:bCs/>
          <w:lang w:val="fr-FR"/>
        </w:rPr>
        <w:t>éducation, à l</w:t>
      </w:r>
      <w:r w:rsidR="00356F77" w:rsidRPr="000A6751">
        <w:rPr>
          <w:b/>
          <w:bCs/>
          <w:lang w:val="fr-FR"/>
        </w:rPr>
        <w:t>’</w:t>
      </w:r>
      <w:r w:rsidRPr="0042098D">
        <w:rPr>
          <w:b/>
          <w:bCs/>
          <w:lang w:val="fr-FR"/>
        </w:rPr>
        <w:t>emploi et aux soins de santé, en les accompagnant d</w:t>
      </w:r>
      <w:r w:rsidR="00356F77" w:rsidRPr="000A6751">
        <w:rPr>
          <w:b/>
          <w:bCs/>
          <w:lang w:val="fr-FR"/>
        </w:rPr>
        <w:t>’</w:t>
      </w:r>
      <w:r w:rsidRPr="0042098D">
        <w:rPr>
          <w:b/>
          <w:bCs/>
          <w:lang w:val="fr-FR"/>
        </w:rPr>
        <w:t>objectifs et de critères assortis de délais et de sanctions en cas de non-respect, afin d</w:t>
      </w:r>
      <w:r w:rsidR="00356F77" w:rsidRPr="000A6751">
        <w:rPr>
          <w:b/>
          <w:bCs/>
          <w:lang w:val="fr-FR"/>
        </w:rPr>
        <w:t>’</w:t>
      </w:r>
      <w:r w:rsidRPr="0042098D">
        <w:rPr>
          <w:b/>
          <w:bCs/>
          <w:lang w:val="fr-FR"/>
        </w:rPr>
        <w:t>accélérer la réalisation de l</w:t>
      </w:r>
      <w:r w:rsidR="00356F77" w:rsidRPr="000A6751">
        <w:rPr>
          <w:b/>
          <w:bCs/>
          <w:lang w:val="fr-FR"/>
        </w:rPr>
        <w:t>’</w:t>
      </w:r>
      <w:r w:rsidRPr="0042098D">
        <w:rPr>
          <w:b/>
          <w:bCs/>
          <w:lang w:val="fr-FR"/>
        </w:rPr>
        <w:t>égalité réelle entre les femmes et les hommes, notamment aux postes de décision, conformément au Programme de développement durable à l</w:t>
      </w:r>
      <w:r w:rsidR="00356F77" w:rsidRPr="000A6751">
        <w:rPr>
          <w:b/>
          <w:bCs/>
          <w:lang w:val="fr-FR"/>
        </w:rPr>
        <w:t>’</w:t>
      </w:r>
      <w:r w:rsidRPr="0042098D">
        <w:rPr>
          <w:b/>
          <w:bCs/>
          <w:lang w:val="fr-FR"/>
        </w:rPr>
        <w:t>horizon 2030.</w:t>
      </w:r>
    </w:p>
    <w:p w14:paraId="299300E5" w14:textId="77777777" w:rsidR="00DC0A2F" w:rsidRPr="000A6751" w:rsidRDefault="00DC0A2F" w:rsidP="00DC0A2F">
      <w:pPr>
        <w:pStyle w:val="SingleTxt"/>
        <w:spacing w:after="0" w:line="120" w:lineRule="exact"/>
        <w:rPr>
          <w:sz w:val="10"/>
          <w:lang w:val="fr-FR"/>
        </w:rPr>
      </w:pPr>
    </w:p>
    <w:p w14:paraId="3833D90D" w14:textId="07960D23" w:rsidR="0042098D" w:rsidRPr="000A6751" w:rsidRDefault="0042098D" w:rsidP="00DC0A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Stéréotypes discriminatoires et pratiques préjudiciables</w:t>
      </w:r>
    </w:p>
    <w:p w14:paraId="2282B72E" w14:textId="0BBA33C9" w:rsidR="00DC0A2F" w:rsidRPr="000A6751" w:rsidRDefault="00DC0A2F" w:rsidP="00DC0A2F">
      <w:pPr>
        <w:pStyle w:val="SingleTxt"/>
        <w:spacing w:after="0" w:line="120" w:lineRule="exact"/>
        <w:rPr>
          <w:sz w:val="10"/>
          <w:lang w:val="fr-FR"/>
        </w:rPr>
      </w:pPr>
    </w:p>
    <w:p w14:paraId="381AAA8E" w14:textId="0D8DFC01" w:rsidR="0042098D" w:rsidRPr="0042098D" w:rsidRDefault="0042098D" w:rsidP="00DC0A2F">
      <w:pPr>
        <w:pStyle w:val="SingleTxt"/>
        <w:numPr>
          <w:ilvl w:val="0"/>
          <w:numId w:val="29"/>
        </w:numPr>
        <w:spacing w:line="240" w:lineRule="exact"/>
        <w:ind w:left="1267"/>
        <w:rPr>
          <w:lang w:val="fr-FR"/>
        </w:rPr>
      </w:pPr>
      <w:r w:rsidRPr="0042098D">
        <w:rPr>
          <w:lang w:val="fr-FR"/>
        </w:rPr>
        <w:t>Le Comité se félicite des mesures prises pour donner une image positive des femmes et de l</w:t>
      </w:r>
      <w:r w:rsidR="00356F77" w:rsidRPr="000A6751">
        <w:rPr>
          <w:lang w:val="fr-FR"/>
        </w:rPr>
        <w:t>’</w:t>
      </w:r>
      <w:r w:rsidRPr="0042098D">
        <w:rPr>
          <w:lang w:val="fr-FR"/>
        </w:rPr>
        <w:t>égalité de statut et de responsabilités des femmes et des hommes dans la société, dans les programmes scolaires et dans les médias. Il demeure néanmoins préoccupé par la persistance de comportements stéréotypés concernant le rôle et les responsabilités des femmes et des hommes dans la famille et dans la société, ainsi que par les représentations stéréotypées des femmes que véhiculent les médias et par le fait que les femmes continuent d</w:t>
      </w:r>
      <w:r w:rsidR="00356F77" w:rsidRPr="000A6751">
        <w:rPr>
          <w:lang w:val="fr-FR"/>
        </w:rPr>
        <w:t>’</w:t>
      </w:r>
      <w:r w:rsidRPr="0042098D">
        <w:rPr>
          <w:lang w:val="fr-FR"/>
        </w:rPr>
        <w:t>être moins présentes que les hommes aux postes de décision dans le secteur des médias.</w:t>
      </w:r>
    </w:p>
    <w:p w14:paraId="4B7CA0E1" w14:textId="3D46CD19" w:rsidR="00356F77" w:rsidRPr="000A6751" w:rsidRDefault="0042098D" w:rsidP="00DC0A2F">
      <w:pPr>
        <w:pStyle w:val="SingleTxt"/>
        <w:numPr>
          <w:ilvl w:val="0"/>
          <w:numId w:val="29"/>
        </w:numPr>
        <w:spacing w:line="240" w:lineRule="exact"/>
        <w:ind w:left="1267"/>
        <w:rPr>
          <w:lang w:val="fr-FR"/>
        </w:rPr>
      </w:pPr>
      <w:r w:rsidRPr="0042098D">
        <w:rPr>
          <w:b/>
          <w:bCs/>
          <w:lang w:val="fr-FR"/>
        </w:rPr>
        <w:t>Rappelant ses précédentes observations finales (</w:t>
      </w:r>
      <w:hyperlink r:id="rId24" w:history="1">
        <w:r w:rsidRPr="0042098D">
          <w:rPr>
            <w:rStyle w:val="Hyperlink"/>
            <w:b/>
            <w:bCs/>
            <w:lang w:val="fr-FR"/>
          </w:rPr>
          <w:t>CEDAW/C/MAR/CO/4</w:t>
        </w:r>
      </w:hyperlink>
      <w:r w:rsidRPr="0042098D">
        <w:rPr>
          <w:b/>
          <w:bCs/>
          <w:lang w:val="fr-FR"/>
        </w:rPr>
        <w:t xml:space="preserve">, </w:t>
      </w:r>
      <w:r w:rsidR="00723C15" w:rsidRPr="000A6751">
        <w:rPr>
          <w:b/>
          <w:bCs/>
          <w:lang w:val="fr-FR"/>
        </w:rPr>
        <w:t>par. </w:t>
      </w:r>
      <w:r w:rsidRPr="0042098D">
        <w:rPr>
          <w:b/>
          <w:bCs/>
          <w:lang w:val="fr-FR"/>
        </w:rPr>
        <w:t>19), le Comité recommande à l</w:t>
      </w:r>
      <w:r w:rsidR="00356F77" w:rsidRPr="000A6751">
        <w:rPr>
          <w:b/>
          <w:bCs/>
          <w:lang w:val="fr-FR"/>
        </w:rPr>
        <w:t>’</w:t>
      </w:r>
      <w:r w:rsidRPr="0042098D">
        <w:rPr>
          <w:b/>
          <w:bCs/>
          <w:lang w:val="fr-FR"/>
        </w:rPr>
        <w:t>État partie</w:t>
      </w:r>
      <w:r w:rsidR="00356F77" w:rsidRPr="000A6751">
        <w:rPr>
          <w:b/>
          <w:bCs/>
          <w:lang w:val="fr-FR"/>
        </w:rPr>
        <w:t> :</w:t>
      </w:r>
    </w:p>
    <w:p w14:paraId="0C0BC6C0" w14:textId="7EDA5DE6" w:rsidR="00356F77" w:rsidRPr="000A6751" w:rsidRDefault="00DC0A2F"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De lutter contre les comportements stéréotypés concernant le rôle et les responsabilités des femmes et des hommes, notamment les schémas et normes culturels stéréotypés qui perpétuent la discrimination directe et indirecte à l</w:t>
      </w:r>
      <w:r w:rsidR="00356F77" w:rsidRPr="000A6751">
        <w:rPr>
          <w:b/>
          <w:bCs/>
          <w:lang w:val="fr-FR"/>
        </w:rPr>
        <w:t>’</w:t>
      </w:r>
      <w:r w:rsidR="0042098D" w:rsidRPr="0042098D">
        <w:rPr>
          <w:b/>
          <w:bCs/>
          <w:lang w:val="fr-FR"/>
        </w:rPr>
        <w:t>égard des femmes et des filles dans tous les domaines de la vie</w:t>
      </w:r>
      <w:r w:rsidR="00356F77" w:rsidRPr="000A6751">
        <w:rPr>
          <w:b/>
          <w:bCs/>
          <w:lang w:val="fr-FR"/>
        </w:rPr>
        <w:t> ;</w:t>
      </w:r>
    </w:p>
    <w:p w14:paraId="32607BD2" w14:textId="22801AF2" w:rsidR="0042098D" w:rsidRPr="0042098D" w:rsidRDefault="00DC0A2F"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redoubler d</w:t>
      </w:r>
      <w:r w:rsidR="00356F77" w:rsidRPr="000A6751">
        <w:rPr>
          <w:b/>
          <w:bCs/>
          <w:lang w:val="fr-FR"/>
        </w:rPr>
        <w:t>’</w:t>
      </w:r>
      <w:r w:rsidR="0042098D" w:rsidRPr="0042098D">
        <w:rPr>
          <w:b/>
          <w:bCs/>
          <w:lang w:val="fr-FR"/>
        </w:rPr>
        <w:t>efforts pour concevoir et appliquer des programmes complets de sensibilisation afin de favoriser une meilleure compréhension de l</w:t>
      </w:r>
      <w:r w:rsidR="00356F77" w:rsidRPr="000A6751">
        <w:rPr>
          <w:b/>
          <w:bCs/>
          <w:lang w:val="fr-FR"/>
        </w:rPr>
        <w:t>’</w:t>
      </w:r>
      <w:r w:rsidR="0042098D" w:rsidRPr="0042098D">
        <w:rPr>
          <w:b/>
          <w:bCs/>
          <w:lang w:val="fr-FR"/>
        </w:rPr>
        <w:t>égalité entre les femmes et les hommes à tous les échelons de la société en vue de modifier les comportements stéréotypés et les normes culturelles négatives concernant les responsabilités et le rôle des femmes et des hommes dans la famille et dans la société, conformément à l</w:t>
      </w:r>
      <w:r w:rsidR="00356F77" w:rsidRPr="000A6751">
        <w:rPr>
          <w:b/>
          <w:bCs/>
          <w:lang w:val="fr-FR"/>
        </w:rPr>
        <w:t>’</w:t>
      </w:r>
      <w:r w:rsidR="0042098D" w:rsidRPr="0042098D">
        <w:rPr>
          <w:b/>
          <w:bCs/>
          <w:lang w:val="fr-FR"/>
        </w:rPr>
        <w:t xml:space="preserve">article 5 </w:t>
      </w:r>
      <w:r w:rsidR="00964A18">
        <w:rPr>
          <w:b/>
          <w:bCs/>
          <w:lang w:val="fr-FR"/>
        </w:rPr>
        <w:t>[</w:t>
      </w:r>
      <w:r w:rsidR="0042098D" w:rsidRPr="0042098D">
        <w:rPr>
          <w:b/>
          <w:bCs/>
          <w:lang w:val="fr-FR"/>
        </w:rPr>
        <w:t>al. a)</w:t>
      </w:r>
      <w:r w:rsidR="00964A18">
        <w:rPr>
          <w:b/>
          <w:bCs/>
          <w:lang w:val="fr-FR"/>
        </w:rPr>
        <w:t>]</w:t>
      </w:r>
      <w:r w:rsidR="0042098D" w:rsidRPr="0042098D">
        <w:rPr>
          <w:b/>
          <w:bCs/>
          <w:lang w:val="fr-FR"/>
        </w:rPr>
        <w:t xml:space="preserve"> de la Convention</w:t>
      </w:r>
      <w:r w:rsidR="00356F77" w:rsidRPr="000A6751">
        <w:rPr>
          <w:b/>
          <w:bCs/>
          <w:lang w:val="fr-FR"/>
        </w:rPr>
        <w:t> ;</w:t>
      </w:r>
    </w:p>
    <w:p w14:paraId="3A7AF969" w14:textId="3B535708" w:rsidR="0042098D" w:rsidRPr="0042098D" w:rsidRDefault="00DC0A2F" w:rsidP="0042098D">
      <w:pPr>
        <w:pStyle w:val="SingleTxt"/>
        <w:rPr>
          <w:b/>
          <w:bCs/>
          <w:lang w:val="fr-FR"/>
        </w:rPr>
      </w:pPr>
      <w:r w:rsidRPr="000A6751">
        <w:rPr>
          <w:b/>
          <w:bCs/>
          <w:lang w:val="fr-FR"/>
        </w:rPr>
        <w:tab/>
      </w:r>
      <w:r w:rsidR="0042098D" w:rsidRPr="0042098D">
        <w:rPr>
          <w:b/>
          <w:bCs/>
          <w:lang w:val="fr-FR"/>
        </w:rPr>
        <w:t>c)</w:t>
      </w:r>
      <w:r w:rsidR="0042098D" w:rsidRPr="0042098D">
        <w:rPr>
          <w:b/>
          <w:bCs/>
          <w:lang w:val="fr-FR"/>
        </w:rPr>
        <w:tab/>
        <w:t>De continuer à sensibiliser les journalistes et les professionnels des médias aux droits des femmes et à l</w:t>
      </w:r>
      <w:r w:rsidR="00356F77" w:rsidRPr="000A6751">
        <w:rPr>
          <w:b/>
          <w:bCs/>
          <w:lang w:val="fr-FR"/>
        </w:rPr>
        <w:t>’</w:t>
      </w:r>
      <w:r w:rsidR="0042098D" w:rsidRPr="0042098D">
        <w:rPr>
          <w:b/>
          <w:bCs/>
          <w:lang w:val="fr-FR"/>
        </w:rPr>
        <w:t>égalité des genres, et d</w:t>
      </w:r>
      <w:r w:rsidR="00356F77" w:rsidRPr="000A6751">
        <w:rPr>
          <w:b/>
          <w:bCs/>
          <w:lang w:val="fr-FR"/>
        </w:rPr>
        <w:t>’</w:t>
      </w:r>
      <w:r w:rsidR="0042098D" w:rsidRPr="0042098D">
        <w:rPr>
          <w:b/>
          <w:bCs/>
          <w:lang w:val="fr-FR"/>
        </w:rPr>
        <w:t>intégrer l</w:t>
      </w:r>
      <w:r w:rsidR="00356F77" w:rsidRPr="000A6751">
        <w:rPr>
          <w:b/>
          <w:bCs/>
          <w:lang w:val="fr-FR"/>
        </w:rPr>
        <w:t>’</w:t>
      </w:r>
      <w:r w:rsidR="0042098D" w:rsidRPr="0042098D">
        <w:rPr>
          <w:b/>
          <w:bCs/>
          <w:lang w:val="fr-FR"/>
        </w:rPr>
        <w:t>éducation aux droits des femmes dans la formation des professionnels des médias.</w:t>
      </w:r>
    </w:p>
    <w:p w14:paraId="580F9D76" w14:textId="77777777" w:rsidR="00AB7264" w:rsidRPr="000A6751" w:rsidRDefault="00AB7264" w:rsidP="00AB7264">
      <w:pPr>
        <w:pStyle w:val="SingleTxt"/>
        <w:spacing w:after="0" w:line="120" w:lineRule="exact"/>
        <w:rPr>
          <w:sz w:val="10"/>
          <w:lang w:val="fr-FR"/>
        </w:rPr>
      </w:pPr>
    </w:p>
    <w:p w14:paraId="1ABF0DFC" w14:textId="6A18917B" w:rsidR="0042098D" w:rsidRPr="000A6751" w:rsidRDefault="0042098D" w:rsidP="00AB7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Violence à l</w:t>
      </w:r>
      <w:r w:rsidR="00356F77" w:rsidRPr="000A6751">
        <w:rPr>
          <w:lang w:val="fr-FR"/>
        </w:rPr>
        <w:t>’</w:t>
      </w:r>
      <w:r w:rsidRPr="000A6751">
        <w:rPr>
          <w:lang w:val="fr-FR"/>
        </w:rPr>
        <w:t>égard des femmes fondée sur le genre</w:t>
      </w:r>
    </w:p>
    <w:p w14:paraId="4B91FED0" w14:textId="3AE95751" w:rsidR="00AB7264" w:rsidRPr="000A6751" w:rsidRDefault="00AB7264" w:rsidP="00AB7264">
      <w:pPr>
        <w:pStyle w:val="SingleTxt"/>
        <w:spacing w:after="0" w:line="120" w:lineRule="exact"/>
        <w:rPr>
          <w:sz w:val="10"/>
          <w:lang w:val="fr-FR"/>
        </w:rPr>
      </w:pPr>
    </w:p>
    <w:p w14:paraId="030A1C6B" w14:textId="1640905D" w:rsidR="00356F77" w:rsidRPr="000A6751" w:rsidRDefault="0042098D" w:rsidP="00AB7264">
      <w:pPr>
        <w:pStyle w:val="SingleTxt"/>
        <w:numPr>
          <w:ilvl w:val="0"/>
          <w:numId w:val="29"/>
        </w:numPr>
        <w:spacing w:line="240" w:lineRule="exact"/>
        <w:ind w:left="1267"/>
        <w:rPr>
          <w:lang w:val="fr-FR"/>
        </w:rPr>
      </w:pPr>
      <w:r w:rsidRPr="0042098D">
        <w:rPr>
          <w:lang w:val="fr-FR"/>
        </w:rPr>
        <w:t>Le Comité constate avec satisfaction que de nouvelles dispositions ont été ajoutées à la loi n</w:t>
      </w:r>
      <w:r w:rsidRPr="0042098D">
        <w:rPr>
          <w:vertAlign w:val="superscript"/>
          <w:lang w:val="fr-FR"/>
        </w:rPr>
        <w:t>o</w:t>
      </w:r>
      <w:r w:rsidRPr="0042098D">
        <w:rPr>
          <w:lang w:val="fr-FR"/>
        </w:rPr>
        <w:t xml:space="preserve"> 103-13 relative à la lutte contre les violences faites aux femmes, </w:t>
      </w:r>
      <w:r w:rsidRPr="0042098D">
        <w:rPr>
          <w:lang w:val="fr-FR"/>
        </w:rPr>
        <w:lastRenderedPageBreak/>
        <w:t>qui définit ainsi de nouvelles infractions relatives à la violation de la vie privée et prévoit des sanctions plus lourdes lorsque la violation est fondée sur le genre. Il constate avec intérêt qu</w:t>
      </w:r>
      <w:r w:rsidR="00356F77" w:rsidRPr="000A6751">
        <w:rPr>
          <w:lang w:val="fr-FR"/>
        </w:rPr>
        <w:t>’</w:t>
      </w:r>
      <w:r w:rsidRPr="0042098D">
        <w:rPr>
          <w:lang w:val="fr-FR"/>
        </w:rPr>
        <w:t>un projet de loi tendant à renforcer la protection juridique des femmes et des enfants, notamment contre la violence, est devant le Parlement. Il note que l</w:t>
      </w:r>
      <w:r w:rsidR="00356F77" w:rsidRPr="000A6751">
        <w:rPr>
          <w:lang w:val="fr-FR"/>
        </w:rPr>
        <w:t>’</w:t>
      </w:r>
      <w:r w:rsidRPr="0042098D">
        <w:rPr>
          <w:lang w:val="fr-FR"/>
        </w:rPr>
        <w:t>État partie affirme que le viol conjugal est visé par l</w:t>
      </w:r>
      <w:r w:rsidR="00356F77" w:rsidRPr="000A6751">
        <w:rPr>
          <w:lang w:val="fr-FR"/>
        </w:rPr>
        <w:t>’</w:t>
      </w:r>
      <w:r w:rsidRPr="0042098D">
        <w:rPr>
          <w:lang w:val="fr-FR"/>
        </w:rPr>
        <w:t>article 486 du Code pénal. Toutefois, il exprime ses préoccupations quant aux informations selon lesquelles</w:t>
      </w:r>
      <w:r w:rsidR="00356F77" w:rsidRPr="000A6751">
        <w:rPr>
          <w:lang w:val="fr-FR"/>
        </w:rPr>
        <w:t> :</w:t>
      </w:r>
    </w:p>
    <w:p w14:paraId="73B88AE7" w14:textId="23F22195" w:rsidR="00356F77" w:rsidRPr="000A6751" w:rsidRDefault="00AB7264" w:rsidP="0042098D">
      <w:pPr>
        <w:pStyle w:val="SingleTxt"/>
        <w:rPr>
          <w:lang w:val="fr-FR"/>
        </w:rPr>
      </w:pPr>
      <w:r w:rsidRPr="000A6751">
        <w:rPr>
          <w:lang w:val="fr-FR"/>
        </w:rPr>
        <w:tab/>
      </w:r>
      <w:r w:rsidR="0042098D" w:rsidRPr="0042098D">
        <w:rPr>
          <w:lang w:val="fr-FR"/>
        </w:rPr>
        <w:t>a)</w:t>
      </w:r>
      <w:r w:rsidR="0042098D" w:rsidRPr="0042098D">
        <w:rPr>
          <w:lang w:val="fr-FR"/>
        </w:rPr>
        <w:tab/>
        <w:t>Les femmes sont parfois peu enclines à porter plainte pour harcèlement sexuel ou autres violences sexuelles par crainte d</w:t>
      </w:r>
      <w:r w:rsidR="00356F77" w:rsidRPr="000A6751">
        <w:rPr>
          <w:lang w:val="fr-FR"/>
        </w:rPr>
        <w:t>’</w:t>
      </w:r>
      <w:r w:rsidR="0042098D" w:rsidRPr="0042098D">
        <w:rPr>
          <w:lang w:val="fr-FR"/>
        </w:rPr>
        <w:t>être accusées de violation de l</w:t>
      </w:r>
      <w:r w:rsidR="00356F77" w:rsidRPr="000A6751">
        <w:rPr>
          <w:lang w:val="fr-FR"/>
        </w:rPr>
        <w:t>’</w:t>
      </w:r>
      <w:r w:rsidR="0042098D" w:rsidRPr="0042098D">
        <w:rPr>
          <w:lang w:val="fr-FR"/>
        </w:rPr>
        <w:t>article 490 du Code pénal, qui sanctionne les relations sexuelles hors mariage</w:t>
      </w:r>
      <w:r w:rsidR="00356F77" w:rsidRPr="000A6751">
        <w:rPr>
          <w:lang w:val="fr-FR"/>
        </w:rPr>
        <w:t> ;</w:t>
      </w:r>
    </w:p>
    <w:p w14:paraId="1C339B76" w14:textId="1AFF0B33" w:rsidR="00356F77" w:rsidRPr="000A6751" w:rsidRDefault="00AB7264" w:rsidP="0042098D">
      <w:pPr>
        <w:pStyle w:val="SingleTxt"/>
        <w:rPr>
          <w:lang w:val="fr-FR"/>
        </w:rPr>
      </w:pPr>
      <w:r w:rsidRPr="000A6751">
        <w:rPr>
          <w:lang w:val="fr-FR"/>
        </w:rPr>
        <w:tab/>
      </w:r>
      <w:r w:rsidR="0042098D" w:rsidRPr="0042098D">
        <w:rPr>
          <w:lang w:val="fr-FR"/>
        </w:rPr>
        <w:t>b)</w:t>
      </w:r>
      <w:r w:rsidR="0042098D" w:rsidRPr="0042098D">
        <w:rPr>
          <w:lang w:val="fr-FR"/>
        </w:rPr>
        <w:tab/>
        <w:t>L</w:t>
      </w:r>
      <w:r w:rsidR="00356F77" w:rsidRPr="000A6751">
        <w:rPr>
          <w:lang w:val="fr-FR"/>
        </w:rPr>
        <w:t>’</w:t>
      </w:r>
      <w:r w:rsidR="0042098D" w:rsidRPr="0042098D">
        <w:rPr>
          <w:lang w:val="fr-FR"/>
        </w:rPr>
        <w:t>article 489 du Code pénal expose les femmes lesbiennes, bisexuelles, transgenres et intersexes à des sanctions pénales, ce qui est susceptible d</w:t>
      </w:r>
      <w:r w:rsidR="00356F77" w:rsidRPr="000A6751">
        <w:rPr>
          <w:lang w:val="fr-FR"/>
        </w:rPr>
        <w:t>’</w:t>
      </w:r>
      <w:r w:rsidR="0042098D" w:rsidRPr="0042098D">
        <w:rPr>
          <w:lang w:val="fr-FR"/>
        </w:rPr>
        <w:t>entraîner de la stigmatisation et des faits de violence</w:t>
      </w:r>
      <w:r w:rsidR="00356F77" w:rsidRPr="000A6751">
        <w:rPr>
          <w:lang w:val="fr-FR"/>
        </w:rPr>
        <w:t> ;</w:t>
      </w:r>
    </w:p>
    <w:p w14:paraId="5A595131" w14:textId="455D749A" w:rsidR="0042098D" w:rsidRPr="0042098D" w:rsidRDefault="00AB7264" w:rsidP="0042098D">
      <w:pPr>
        <w:pStyle w:val="SingleTxt"/>
        <w:rPr>
          <w:lang w:val="fr-FR"/>
        </w:rPr>
      </w:pPr>
      <w:r w:rsidRPr="000A6751">
        <w:rPr>
          <w:lang w:val="fr-FR"/>
        </w:rPr>
        <w:tab/>
      </w:r>
      <w:r w:rsidR="0042098D" w:rsidRPr="0042098D">
        <w:rPr>
          <w:lang w:val="fr-FR"/>
        </w:rPr>
        <w:t>c)</w:t>
      </w:r>
      <w:r w:rsidR="0042098D" w:rsidRPr="0042098D">
        <w:rPr>
          <w:lang w:val="fr-FR"/>
        </w:rPr>
        <w:tab/>
        <w:t>Des mariages d</w:t>
      </w:r>
      <w:r w:rsidR="00356F77" w:rsidRPr="000A6751">
        <w:rPr>
          <w:lang w:val="fr-FR"/>
        </w:rPr>
        <w:t>’</w:t>
      </w:r>
      <w:r w:rsidR="0042098D" w:rsidRPr="0042098D">
        <w:rPr>
          <w:lang w:val="fr-FR"/>
        </w:rPr>
        <w:t>enfants et des mariages forcés continuent d</w:t>
      </w:r>
      <w:r w:rsidR="00356F77" w:rsidRPr="000A6751">
        <w:rPr>
          <w:lang w:val="fr-FR"/>
        </w:rPr>
        <w:t>’</w:t>
      </w:r>
      <w:r w:rsidR="0042098D" w:rsidRPr="0042098D">
        <w:rPr>
          <w:lang w:val="fr-FR"/>
        </w:rPr>
        <w:t>avoir lieu sous la forme de mariages par la « Fatiha »</w:t>
      </w:r>
      <w:r w:rsidR="00356F77" w:rsidRPr="000A6751">
        <w:rPr>
          <w:lang w:val="fr-FR"/>
        </w:rPr>
        <w:t> ;</w:t>
      </w:r>
    </w:p>
    <w:p w14:paraId="5EF03D1B" w14:textId="2D4EFFF4" w:rsidR="00356F77" w:rsidRPr="000A6751" w:rsidRDefault="00AB7264" w:rsidP="0042098D">
      <w:pPr>
        <w:pStyle w:val="SingleTxt"/>
        <w:rPr>
          <w:lang w:val="fr-FR"/>
        </w:rPr>
      </w:pPr>
      <w:r w:rsidRPr="000A6751">
        <w:rPr>
          <w:lang w:val="fr-FR"/>
        </w:rPr>
        <w:tab/>
      </w:r>
      <w:r w:rsidR="0042098D" w:rsidRPr="0042098D">
        <w:rPr>
          <w:lang w:val="fr-FR"/>
        </w:rPr>
        <w:t>d)</w:t>
      </w:r>
      <w:r w:rsidR="0042098D" w:rsidRPr="0042098D">
        <w:rPr>
          <w:lang w:val="fr-FR"/>
        </w:rPr>
        <w:tab/>
        <w:t>Le nombre de cas de violence domestique a augmenté depuis 2009, et les précautions qui s</w:t>
      </w:r>
      <w:r w:rsidR="00356F77" w:rsidRPr="000A6751">
        <w:rPr>
          <w:lang w:val="fr-FR"/>
        </w:rPr>
        <w:t>’</w:t>
      </w:r>
      <w:r w:rsidR="0042098D" w:rsidRPr="0042098D">
        <w:rPr>
          <w:lang w:val="fr-FR"/>
        </w:rPr>
        <w:t>imposent pour garantir le respect de la vie privée des victimes et la mise à disposition d</w:t>
      </w:r>
      <w:r w:rsidR="00356F77" w:rsidRPr="000A6751">
        <w:rPr>
          <w:lang w:val="fr-FR"/>
        </w:rPr>
        <w:t>’</w:t>
      </w:r>
      <w:r w:rsidR="0042098D" w:rsidRPr="0042098D">
        <w:rPr>
          <w:lang w:val="fr-FR"/>
        </w:rPr>
        <w:t>un nombre adéquat de foyers d</w:t>
      </w:r>
      <w:r w:rsidR="00356F77" w:rsidRPr="000A6751">
        <w:rPr>
          <w:lang w:val="fr-FR"/>
        </w:rPr>
        <w:t>’</w:t>
      </w:r>
      <w:r w:rsidR="0042098D" w:rsidRPr="0042098D">
        <w:rPr>
          <w:lang w:val="fr-FR"/>
        </w:rPr>
        <w:t>accueil n</w:t>
      </w:r>
      <w:r w:rsidR="00356F77" w:rsidRPr="000A6751">
        <w:rPr>
          <w:lang w:val="fr-FR"/>
        </w:rPr>
        <w:t>’</w:t>
      </w:r>
      <w:r w:rsidR="0042098D" w:rsidRPr="0042098D">
        <w:rPr>
          <w:lang w:val="fr-FR"/>
        </w:rPr>
        <w:t>ont pas toutes été prises.</w:t>
      </w:r>
    </w:p>
    <w:p w14:paraId="4194C0E7" w14:textId="45F4419D" w:rsidR="0042098D" w:rsidRPr="004B1055" w:rsidRDefault="0042098D" w:rsidP="00AB7264">
      <w:pPr>
        <w:pStyle w:val="SingleTxt"/>
        <w:numPr>
          <w:ilvl w:val="0"/>
          <w:numId w:val="29"/>
        </w:numPr>
        <w:spacing w:line="240" w:lineRule="exact"/>
        <w:ind w:left="1267"/>
        <w:rPr>
          <w:bCs/>
          <w:lang w:val="fr-FR"/>
        </w:rPr>
      </w:pPr>
      <w:r w:rsidRPr="0042098D">
        <w:rPr>
          <w:b/>
          <w:bCs/>
          <w:lang w:val="fr-FR"/>
        </w:rPr>
        <w:t>Rappelant sa recommandation générale n</w:t>
      </w:r>
      <w:r w:rsidRPr="0042098D">
        <w:rPr>
          <w:b/>
          <w:bCs/>
          <w:vertAlign w:val="superscript"/>
          <w:lang w:val="fr-FR"/>
        </w:rPr>
        <w:t>o</w:t>
      </w:r>
      <w:r w:rsidRPr="0042098D">
        <w:rPr>
          <w:b/>
          <w:bCs/>
          <w:lang w:val="fr-FR"/>
        </w:rPr>
        <w:t> 35 (2017) sur la violence à l</w:t>
      </w:r>
      <w:r w:rsidR="00356F77" w:rsidRPr="000A6751">
        <w:rPr>
          <w:b/>
          <w:bCs/>
          <w:lang w:val="fr-FR"/>
        </w:rPr>
        <w:t>’</w:t>
      </w:r>
      <w:r w:rsidRPr="0042098D">
        <w:rPr>
          <w:b/>
          <w:bCs/>
          <w:lang w:val="fr-FR"/>
        </w:rPr>
        <w:t>égard des femmes fondée sur le genre, portant actualisation de la recommandation générale n</w:t>
      </w:r>
      <w:r w:rsidRPr="0042098D">
        <w:rPr>
          <w:b/>
          <w:bCs/>
          <w:vertAlign w:val="superscript"/>
          <w:lang w:val="fr-FR"/>
        </w:rPr>
        <w:t>o</w:t>
      </w:r>
      <w:r w:rsidRPr="0042098D">
        <w:rPr>
          <w:b/>
          <w:bCs/>
          <w:lang w:val="fr-FR"/>
        </w:rPr>
        <w:t> 19, et compte tenu de la cible 5.2 des objectifs de développement durable, à savoir éliminer de la vie publique et de la vie privée toutes les formes de violence à l</w:t>
      </w:r>
      <w:r w:rsidR="00356F77" w:rsidRPr="000A6751">
        <w:rPr>
          <w:b/>
          <w:bCs/>
          <w:lang w:val="fr-FR"/>
        </w:rPr>
        <w:t>’</w:t>
      </w:r>
      <w:r w:rsidRPr="0042098D">
        <w:rPr>
          <w:b/>
          <w:bCs/>
          <w:lang w:val="fr-FR"/>
        </w:rPr>
        <w:t>égard des femmes et des filles, le Comité prie instamment l</w:t>
      </w:r>
      <w:r w:rsidR="00356F77" w:rsidRPr="000A6751">
        <w:rPr>
          <w:b/>
          <w:bCs/>
          <w:lang w:val="fr-FR"/>
        </w:rPr>
        <w:t>’</w:t>
      </w:r>
      <w:r w:rsidRPr="0042098D">
        <w:rPr>
          <w:b/>
          <w:bCs/>
          <w:lang w:val="fr-FR"/>
        </w:rPr>
        <w:t>État partie</w:t>
      </w:r>
      <w:r w:rsidR="00356F77" w:rsidRPr="000A6751">
        <w:rPr>
          <w:b/>
          <w:bCs/>
          <w:lang w:val="fr-FR"/>
        </w:rPr>
        <w:t> :</w:t>
      </w:r>
    </w:p>
    <w:p w14:paraId="02B946E6" w14:textId="40C31D9E" w:rsidR="0042098D" w:rsidRPr="0042098D" w:rsidRDefault="00AB7264"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De prendre les mesures nécessaires pour abroger l</w:t>
      </w:r>
      <w:r w:rsidR="00356F77" w:rsidRPr="000A6751">
        <w:rPr>
          <w:b/>
          <w:bCs/>
          <w:lang w:val="fr-FR"/>
        </w:rPr>
        <w:t>’</w:t>
      </w:r>
      <w:r w:rsidR="0042098D" w:rsidRPr="0042098D">
        <w:rPr>
          <w:b/>
          <w:bCs/>
          <w:lang w:val="fr-FR"/>
        </w:rPr>
        <w:t>article 490 du Code pénal, en particulier pour que les femmes qui sont victimes de la violence fondée sur le genre ne risquent plus d</w:t>
      </w:r>
      <w:r w:rsidR="00356F77" w:rsidRPr="000A6751">
        <w:rPr>
          <w:b/>
          <w:bCs/>
          <w:lang w:val="fr-FR"/>
        </w:rPr>
        <w:t>’</w:t>
      </w:r>
      <w:r w:rsidR="0042098D" w:rsidRPr="0042098D">
        <w:rPr>
          <w:b/>
          <w:bCs/>
          <w:lang w:val="fr-FR"/>
        </w:rPr>
        <w:t>être inculpées en application de cet article</w:t>
      </w:r>
      <w:r w:rsidR="00356F77" w:rsidRPr="000A6751">
        <w:rPr>
          <w:b/>
          <w:bCs/>
          <w:lang w:val="fr-FR"/>
        </w:rPr>
        <w:t> ;</w:t>
      </w:r>
    </w:p>
    <w:p w14:paraId="18E18507" w14:textId="185407B3" w:rsidR="0042098D" w:rsidRPr="0042098D" w:rsidRDefault="00AB7264"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prendre les mesures nécessaires pour abroger l</w:t>
      </w:r>
      <w:r w:rsidR="00356F77" w:rsidRPr="000A6751">
        <w:rPr>
          <w:b/>
          <w:bCs/>
          <w:lang w:val="fr-FR"/>
        </w:rPr>
        <w:t>’</w:t>
      </w:r>
      <w:r w:rsidR="0042098D" w:rsidRPr="0042098D">
        <w:rPr>
          <w:b/>
          <w:bCs/>
          <w:lang w:val="fr-FR"/>
        </w:rPr>
        <w:t>article 489 du Code pénal</w:t>
      </w:r>
      <w:r w:rsidR="00356F77" w:rsidRPr="000A6751">
        <w:rPr>
          <w:b/>
          <w:bCs/>
          <w:lang w:val="fr-FR"/>
        </w:rPr>
        <w:t> ;</w:t>
      </w:r>
    </w:p>
    <w:p w14:paraId="1EB91C1D" w14:textId="6AB81493" w:rsidR="0042098D" w:rsidRPr="0042098D" w:rsidRDefault="00AB7264" w:rsidP="0042098D">
      <w:pPr>
        <w:pStyle w:val="SingleTxt"/>
        <w:rPr>
          <w:b/>
          <w:bCs/>
          <w:lang w:val="fr-FR"/>
        </w:rPr>
      </w:pPr>
      <w:r w:rsidRPr="000A6751">
        <w:rPr>
          <w:b/>
          <w:bCs/>
          <w:lang w:val="fr-FR"/>
        </w:rPr>
        <w:tab/>
      </w:r>
      <w:r w:rsidR="0042098D" w:rsidRPr="0042098D">
        <w:rPr>
          <w:b/>
          <w:bCs/>
          <w:lang w:val="fr-FR"/>
        </w:rPr>
        <w:t>c)</w:t>
      </w:r>
      <w:r w:rsidR="0042098D" w:rsidRPr="0042098D">
        <w:rPr>
          <w:b/>
          <w:bCs/>
          <w:lang w:val="fr-FR"/>
        </w:rPr>
        <w:tab/>
        <w:t>De mettre en place des mesures de politique générale pour interdire les mariages par la « Fatiha » impliquant des mineurs</w:t>
      </w:r>
      <w:r w:rsidR="00356F77" w:rsidRPr="000A6751">
        <w:rPr>
          <w:b/>
          <w:bCs/>
          <w:lang w:val="fr-FR"/>
        </w:rPr>
        <w:t> ;</w:t>
      </w:r>
    </w:p>
    <w:p w14:paraId="3E78425A" w14:textId="32FA2E3C" w:rsidR="0042098D" w:rsidRPr="0042098D" w:rsidRDefault="00AB7264" w:rsidP="0042098D">
      <w:pPr>
        <w:pStyle w:val="SingleTxt"/>
        <w:rPr>
          <w:b/>
          <w:bCs/>
          <w:lang w:val="fr-FR"/>
        </w:rPr>
      </w:pPr>
      <w:r w:rsidRPr="000A6751">
        <w:rPr>
          <w:b/>
          <w:bCs/>
          <w:lang w:val="fr-FR"/>
        </w:rPr>
        <w:tab/>
      </w:r>
      <w:r w:rsidR="0042098D" w:rsidRPr="0042098D">
        <w:rPr>
          <w:b/>
          <w:bCs/>
          <w:lang w:val="fr-FR"/>
        </w:rPr>
        <w:t>d)</w:t>
      </w:r>
      <w:r w:rsidR="0042098D" w:rsidRPr="0042098D">
        <w:rPr>
          <w:b/>
          <w:bCs/>
          <w:lang w:val="fr-FR"/>
        </w:rPr>
        <w:tab/>
        <w:t>De renforcer les services de soutien aux femmes victimes de la violence fondée sur le genre, notamment en veillant à la disponibilité et à l</w:t>
      </w:r>
      <w:r w:rsidR="00356F77" w:rsidRPr="000A6751">
        <w:rPr>
          <w:b/>
          <w:bCs/>
          <w:lang w:val="fr-FR"/>
        </w:rPr>
        <w:t>’</w:t>
      </w:r>
      <w:r w:rsidR="0042098D" w:rsidRPr="0042098D">
        <w:rPr>
          <w:b/>
          <w:bCs/>
          <w:lang w:val="fr-FR"/>
        </w:rPr>
        <w:t>accessibilité des foyers d</w:t>
      </w:r>
      <w:r w:rsidR="00356F77" w:rsidRPr="000A6751">
        <w:rPr>
          <w:b/>
          <w:bCs/>
          <w:lang w:val="fr-FR"/>
        </w:rPr>
        <w:t>’</w:t>
      </w:r>
      <w:r w:rsidR="0042098D" w:rsidRPr="0042098D">
        <w:rPr>
          <w:b/>
          <w:bCs/>
          <w:lang w:val="fr-FR"/>
        </w:rPr>
        <w:t>accueil et des services de soutien psychologique aux victimes et aux survivantes de la violence, ainsi qu</w:t>
      </w:r>
      <w:r w:rsidR="00356F77" w:rsidRPr="000A6751">
        <w:rPr>
          <w:b/>
          <w:bCs/>
          <w:lang w:val="fr-FR"/>
        </w:rPr>
        <w:t>’</w:t>
      </w:r>
      <w:r w:rsidR="0042098D" w:rsidRPr="0042098D">
        <w:rPr>
          <w:b/>
          <w:bCs/>
          <w:lang w:val="fr-FR"/>
        </w:rPr>
        <w:t>en mettant en place des centres de traitement pour les agresseurs, en allouant les ressources humaines et financières nécessaires au bon fonctionnement de ces services, et en faisant en sorte que la vie privée des femmes qui sont victimes de la violence fondée sur le genre soit respectée à chaque étape de la procédure – du dépôt de la plainte à la fourniture de services de soutien</w:t>
      </w:r>
      <w:r w:rsidR="00356F77" w:rsidRPr="000A6751">
        <w:rPr>
          <w:b/>
          <w:bCs/>
          <w:lang w:val="fr-FR"/>
        </w:rPr>
        <w:t> ;</w:t>
      </w:r>
    </w:p>
    <w:p w14:paraId="26964AEB" w14:textId="42CC7DAD" w:rsidR="0042098D" w:rsidRPr="0042098D" w:rsidRDefault="00AB7264" w:rsidP="0042098D">
      <w:pPr>
        <w:pStyle w:val="SingleTxt"/>
        <w:rPr>
          <w:b/>
          <w:bCs/>
          <w:lang w:val="fr-FR"/>
        </w:rPr>
      </w:pPr>
      <w:r w:rsidRPr="000A6751">
        <w:rPr>
          <w:b/>
          <w:bCs/>
          <w:lang w:val="fr-FR"/>
        </w:rPr>
        <w:tab/>
      </w:r>
      <w:r w:rsidR="0042098D" w:rsidRPr="0042098D">
        <w:rPr>
          <w:b/>
          <w:bCs/>
          <w:lang w:val="fr-FR"/>
        </w:rPr>
        <w:t>e)</w:t>
      </w:r>
      <w:r w:rsidR="0042098D" w:rsidRPr="0042098D">
        <w:rPr>
          <w:b/>
          <w:bCs/>
          <w:lang w:val="fr-FR"/>
        </w:rPr>
        <w:tab/>
        <w:t>De mettre en place un système qui permette aux organisations de la société civile de se porter partie civile dans les affaires de violence à l</w:t>
      </w:r>
      <w:r w:rsidR="00356F77" w:rsidRPr="000A6751">
        <w:rPr>
          <w:b/>
          <w:bCs/>
          <w:lang w:val="fr-FR"/>
        </w:rPr>
        <w:t>’</w:t>
      </w:r>
      <w:r w:rsidR="0042098D" w:rsidRPr="0042098D">
        <w:rPr>
          <w:b/>
          <w:bCs/>
          <w:lang w:val="fr-FR"/>
        </w:rPr>
        <w:t>égard des femmes et des filles.</w:t>
      </w:r>
    </w:p>
    <w:p w14:paraId="1378D125" w14:textId="77777777" w:rsidR="00AB7264" w:rsidRPr="000A6751" w:rsidRDefault="00AB7264" w:rsidP="00AB7264">
      <w:pPr>
        <w:pStyle w:val="SingleTxt"/>
        <w:spacing w:after="0" w:line="120" w:lineRule="exact"/>
        <w:rPr>
          <w:sz w:val="10"/>
          <w:lang w:val="fr-FR"/>
        </w:rPr>
      </w:pPr>
    </w:p>
    <w:p w14:paraId="6EC4D323" w14:textId="1CFC40AD" w:rsidR="0042098D" w:rsidRPr="000A6751" w:rsidRDefault="0042098D" w:rsidP="00AB7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Traite et exploitation de la prostitution</w:t>
      </w:r>
    </w:p>
    <w:p w14:paraId="1449E439" w14:textId="71C51B19" w:rsidR="00AB7264" w:rsidRPr="000A6751" w:rsidRDefault="00AB7264" w:rsidP="00AB7264">
      <w:pPr>
        <w:pStyle w:val="SingleTxt"/>
        <w:spacing w:after="0" w:line="120" w:lineRule="exact"/>
        <w:rPr>
          <w:sz w:val="10"/>
          <w:lang w:val="fr-FR"/>
        </w:rPr>
      </w:pPr>
    </w:p>
    <w:p w14:paraId="61CC86FB" w14:textId="66C8BFD7" w:rsidR="00356F77" w:rsidRPr="000A6751" w:rsidRDefault="0042098D" w:rsidP="00AB7264">
      <w:pPr>
        <w:pStyle w:val="SingleTxt"/>
        <w:numPr>
          <w:ilvl w:val="0"/>
          <w:numId w:val="29"/>
        </w:numPr>
        <w:spacing w:line="240" w:lineRule="exact"/>
        <w:ind w:left="1267"/>
        <w:rPr>
          <w:lang w:val="fr-FR"/>
        </w:rPr>
      </w:pPr>
      <w:r w:rsidRPr="0042098D">
        <w:rPr>
          <w:lang w:val="fr-FR"/>
        </w:rPr>
        <w:t>Le Comité prend note avec satisfaction des efforts faits par l</w:t>
      </w:r>
      <w:r w:rsidR="00356F77" w:rsidRPr="000A6751">
        <w:rPr>
          <w:lang w:val="fr-FR"/>
        </w:rPr>
        <w:t>’</w:t>
      </w:r>
      <w:r w:rsidRPr="0042098D">
        <w:rPr>
          <w:lang w:val="fr-FR"/>
        </w:rPr>
        <w:t xml:space="preserve">État partie pour sensibiliser le public à la lutte contre la traite, notamment en diffusant des informations sur les dispositions juridiques relatives à la protection des victimes de la traite des êtres humains auprès des fonctionnaires de justice , en organisant des </w:t>
      </w:r>
      <w:r w:rsidRPr="0042098D">
        <w:rPr>
          <w:lang w:val="fr-FR"/>
        </w:rPr>
        <w:lastRenderedPageBreak/>
        <w:t>campagnes de sensibilisation et des programmes de formation à l</w:t>
      </w:r>
      <w:r w:rsidR="00356F77" w:rsidRPr="000A6751">
        <w:rPr>
          <w:lang w:val="fr-FR"/>
        </w:rPr>
        <w:t>’</w:t>
      </w:r>
      <w:r w:rsidRPr="0042098D">
        <w:rPr>
          <w:lang w:val="fr-FR"/>
        </w:rPr>
        <w:t>intention des juges, du personnel judiciaire, des fonctionnaires de police et du personnel de la Direction générale de la sûreté nationale sur le repérage des victimes de la traite et l</w:t>
      </w:r>
      <w:r w:rsidR="00356F77" w:rsidRPr="000A6751">
        <w:rPr>
          <w:lang w:val="fr-FR"/>
        </w:rPr>
        <w:t>’</w:t>
      </w:r>
      <w:r w:rsidRPr="0042098D">
        <w:rPr>
          <w:lang w:val="fr-FR"/>
        </w:rPr>
        <w:t>assistance à celles</w:t>
      </w:r>
      <w:r w:rsidRPr="0042098D">
        <w:rPr>
          <w:lang w:val="fr-FR"/>
        </w:rPr>
        <w:noBreakHyphen/>
        <w:t>ci. Il demeure toutefois préoccupé par l</w:t>
      </w:r>
      <w:r w:rsidR="00356F77" w:rsidRPr="000A6751">
        <w:rPr>
          <w:lang w:val="fr-FR"/>
        </w:rPr>
        <w:t>’</w:t>
      </w:r>
      <w:r w:rsidRPr="0042098D">
        <w:rPr>
          <w:lang w:val="fr-FR"/>
        </w:rPr>
        <w:t>insuffisance des mesures de protection des victimes de la traite, notamment s</w:t>
      </w:r>
      <w:r w:rsidR="00356F77" w:rsidRPr="000A6751">
        <w:rPr>
          <w:lang w:val="fr-FR"/>
        </w:rPr>
        <w:t>’</w:t>
      </w:r>
      <w:r w:rsidRPr="0042098D">
        <w:rPr>
          <w:lang w:val="fr-FR"/>
        </w:rPr>
        <w:t>agissant des foyers d</w:t>
      </w:r>
      <w:r w:rsidR="00356F77" w:rsidRPr="000A6751">
        <w:rPr>
          <w:lang w:val="fr-FR"/>
        </w:rPr>
        <w:t>’</w:t>
      </w:r>
      <w:r w:rsidRPr="0042098D">
        <w:rPr>
          <w:lang w:val="fr-FR"/>
        </w:rPr>
        <w:t>accueil mis à la disposition de celles</w:t>
      </w:r>
      <w:r w:rsidRPr="0042098D">
        <w:rPr>
          <w:lang w:val="fr-FR"/>
        </w:rPr>
        <w:noBreakHyphen/>
        <w:t>ci. Il relève également avec inquiétude le manque d</w:t>
      </w:r>
      <w:r w:rsidR="00356F77" w:rsidRPr="000A6751">
        <w:rPr>
          <w:lang w:val="fr-FR"/>
        </w:rPr>
        <w:t>’</w:t>
      </w:r>
      <w:r w:rsidRPr="0042098D">
        <w:rPr>
          <w:lang w:val="fr-FR"/>
        </w:rPr>
        <w:t>informations sur le repérage et l</w:t>
      </w:r>
      <w:r w:rsidR="00356F77" w:rsidRPr="000A6751">
        <w:rPr>
          <w:lang w:val="fr-FR"/>
        </w:rPr>
        <w:t>’</w:t>
      </w:r>
      <w:r w:rsidRPr="0042098D">
        <w:rPr>
          <w:lang w:val="fr-FR"/>
        </w:rPr>
        <w:t>enregistrement des victimes migrantes, en particulier des femmes et des filles, originaires de la région subsaharienne qui ont été soumises à la traite.</w:t>
      </w:r>
    </w:p>
    <w:p w14:paraId="3DEED913" w14:textId="47DB5A77" w:rsidR="00356F77" w:rsidRPr="000A6751" w:rsidRDefault="0042098D" w:rsidP="00AB7264">
      <w:pPr>
        <w:pStyle w:val="SingleTxt"/>
        <w:numPr>
          <w:ilvl w:val="0"/>
          <w:numId w:val="29"/>
        </w:numPr>
        <w:spacing w:line="240" w:lineRule="exact"/>
        <w:ind w:left="1267"/>
        <w:rPr>
          <w:lang w:val="fr-FR"/>
        </w:rPr>
      </w:pPr>
      <w:r w:rsidRPr="0042098D">
        <w:rPr>
          <w:b/>
          <w:bCs/>
          <w:lang w:val="fr-FR"/>
        </w:rPr>
        <w:t>À la lumière de sa recommandation générale n</w:t>
      </w:r>
      <w:r w:rsidRPr="0042098D">
        <w:rPr>
          <w:b/>
          <w:bCs/>
          <w:vertAlign w:val="superscript"/>
          <w:lang w:val="fr-FR"/>
        </w:rPr>
        <w:t>o</w:t>
      </w:r>
      <w:r w:rsidRPr="0042098D">
        <w:rPr>
          <w:b/>
          <w:bCs/>
          <w:lang w:val="fr-FR"/>
        </w:rPr>
        <w:t> 38 (2020) sur la traite des femmes et des filles dans le contexte des migrations internationales, le Comité recommande à l</w:t>
      </w:r>
      <w:r w:rsidR="00356F77" w:rsidRPr="000A6751">
        <w:rPr>
          <w:b/>
          <w:bCs/>
          <w:lang w:val="fr-FR"/>
        </w:rPr>
        <w:t>’</w:t>
      </w:r>
      <w:r w:rsidRPr="0042098D">
        <w:rPr>
          <w:b/>
          <w:bCs/>
          <w:lang w:val="fr-FR"/>
        </w:rPr>
        <w:t>État partie</w:t>
      </w:r>
      <w:r w:rsidR="00356F77" w:rsidRPr="000A6751">
        <w:rPr>
          <w:b/>
          <w:bCs/>
          <w:lang w:val="fr-FR"/>
        </w:rPr>
        <w:t> :</w:t>
      </w:r>
    </w:p>
    <w:p w14:paraId="57F9D49C" w14:textId="452A7334" w:rsidR="0042098D" w:rsidRPr="0042098D" w:rsidRDefault="00AB7264"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De mener des activités de sensibilisation pour garantir le repérage et</w:t>
      </w:r>
      <w:r w:rsidR="0042098D" w:rsidRPr="000A6751">
        <w:rPr>
          <w:b/>
          <w:bCs/>
          <w:lang w:val="fr-FR"/>
        </w:rPr>
        <w:t xml:space="preserve"> </w:t>
      </w:r>
      <w:r w:rsidR="0042098D" w:rsidRPr="0042098D">
        <w:rPr>
          <w:b/>
          <w:bCs/>
          <w:lang w:val="fr-FR"/>
        </w:rPr>
        <w:t>l</w:t>
      </w:r>
      <w:r w:rsidR="00356F77" w:rsidRPr="000A6751">
        <w:rPr>
          <w:b/>
          <w:bCs/>
          <w:lang w:val="fr-FR"/>
        </w:rPr>
        <w:t>’</w:t>
      </w:r>
      <w:r w:rsidR="0042098D" w:rsidRPr="0042098D">
        <w:rPr>
          <w:b/>
          <w:bCs/>
          <w:lang w:val="fr-FR"/>
        </w:rPr>
        <w:t>enregistrement des femmes et des filles victimes de la traite dans le pays qui sont</w:t>
      </w:r>
      <w:r w:rsidR="0042098D" w:rsidRPr="000A6751">
        <w:rPr>
          <w:b/>
          <w:bCs/>
          <w:lang w:val="fr-FR"/>
        </w:rPr>
        <w:t xml:space="preserve"> </w:t>
      </w:r>
      <w:r w:rsidR="0042098D" w:rsidRPr="0042098D">
        <w:rPr>
          <w:b/>
          <w:bCs/>
          <w:lang w:val="fr-FR"/>
        </w:rPr>
        <w:t>originaires de la région sub-saharienne</w:t>
      </w:r>
      <w:r w:rsidR="00356F77" w:rsidRPr="000A6751">
        <w:rPr>
          <w:b/>
          <w:bCs/>
          <w:lang w:val="fr-FR"/>
        </w:rPr>
        <w:t> ;</w:t>
      </w:r>
    </w:p>
    <w:p w14:paraId="265E59A3" w14:textId="089261EB" w:rsidR="0042098D" w:rsidRPr="0042098D" w:rsidRDefault="00AB7264"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garantir la fourniture d</w:t>
      </w:r>
      <w:r w:rsidR="00356F77" w:rsidRPr="000A6751">
        <w:rPr>
          <w:b/>
          <w:bCs/>
          <w:lang w:val="fr-FR"/>
        </w:rPr>
        <w:t>’</w:t>
      </w:r>
      <w:r w:rsidR="0042098D" w:rsidRPr="0042098D">
        <w:rPr>
          <w:b/>
          <w:bCs/>
          <w:lang w:val="fr-FR"/>
        </w:rPr>
        <w:t>une protection et d</w:t>
      </w:r>
      <w:r w:rsidR="00356F77" w:rsidRPr="000A6751">
        <w:rPr>
          <w:b/>
          <w:bCs/>
          <w:lang w:val="fr-FR"/>
        </w:rPr>
        <w:t>’</w:t>
      </w:r>
      <w:r w:rsidR="0042098D" w:rsidRPr="0042098D">
        <w:rPr>
          <w:b/>
          <w:bCs/>
          <w:lang w:val="fr-FR"/>
        </w:rPr>
        <w:t>un soutien adéquats aux victimes de la traite, y compris l</w:t>
      </w:r>
      <w:r w:rsidR="00356F77" w:rsidRPr="000A6751">
        <w:rPr>
          <w:b/>
          <w:bCs/>
          <w:lang w:val="fr-FR"/>
        </w:rPr>
        <w:t>’</w:t>
      </w:r>
      <w:r w:rsidR="0042098D" w:rsidRPr="0042098D">
        <w:rPr>
          <w:b/>
          <w:bCs/>
          <w:lang w:val="fr-FR"/>
        </w:rPr>
        <w:t>accès à des foyers d</w:t>
      </w:r>
      <w:r w:rsidR="00356F77" w:rsidRPr="000A6751">
        <w:rPr>
          <w:b/>
          <w:bCs/>
          <w:lang w:val="fr-FR"/>
        </w:rPr>
        <w:t>’</w:t>
      </w:r>
      <w:r w:rsidR="0042098D" w:rsidRPr="0042098D">
        <w:rPr>
          <w:b/>
          <w:bCs/>
          <w:lang w:val="fr-FR"/>
        </w:rPr>
        <w:t>accueil offrant des services adaptés à leurs besoins, ainsi qu</w:t>
      </w:r>
      <w:r w:rsidR="00356F77" w:rsidRPr="000A6751">
        <w:rPr>
          <w:b/>
          <w:bCs/>
          <w:lang w:val="fr-FR"/>
        </w:rPr>
        <w:t>’</w:t>
      </w:r>
      <w:r w:rsidR="0042098D" w:rsidRPr="0042098D">
        <w:rPr>
          <w:b/>
          <w:bCs/>
          <w:lang w:val="fr-FR"/>
        </w:rPr>
        <w:t>un traitement médical, un soutien psychosocial et une assistance juridique.</w:t>
      </w:r>
    </w:p>
    <w:p w14:paraId="67F2AA32" w14:textId="77777777" w:rsidR="00AB7264" w:rsidRPr="000A6751" w:rsidRDefault="00AB7264" w:rsidP="00AB7264">
      <w:pPr>
        <w:pStyle w:val="SingleTxt"/>
        <w:spacing w:after="0" w:line="120" w:lineRule="exact"/>
        <w:rPr>
          <w:sz w:val="10"/>
          <w:lang w:val="fr-FR"/>
        </w:rPr>
      </w:pPr>
    </w:p>
    <w:p w14:paraId="0CA18A73" w14:textId="63783BB8" w:rsidR="0042098D" w:rsidRPr="000A6751" w:rsidRDefault="0042098D" w:rsidP="00AB72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Égale participation à la vie politique et à la vie publique</w:t>
      </w:r>
    </w:p>
    <w:p w14:paraId="1697EFD7" w14:textId="5DD8D775" w:rsidR="00AB7264" w:rsidRPr="000A6751" w:rsidRDefault="00AB7264" w:rsidP="00AB7264">
      <w:pPr>
        <w:pStyle w:val="SingleTxt"/>
        <w:spacing w:after="0" w:line="120" w:lineRule="exact"/>
        <w:rPr>
          <w:sz w:val="10"/>
          <w:lang w:val="fr-FR"/>
        </w:rPr>
      </w:pPr>
    </w:p>
    <w:p w14:paraId="2C491527" w14:textId="27328490" w:rsidR="0042098D" w:rsidRPr="0042098D" w:rsidRDefault="0042098D" w:rsidP="00AB7264">
      <w:pPr>
        <w:pStyle w:val="SingleTxt"/>
        <w:numPr>
          <w:ilvl w:val="0"/>
          <w:numId w:val="29"/>
        </w:numPr>
        <w:spacing w:line="240" w:lineRule="exact"/>
        <w:ind w:left="1267"/>
        <w:rPr>
          <w:lang w:val="fr-FR"/>
        </w:rPr>
      </w:pPr>
      <w:r w:rsidRPr="0042098D">
        <w:rPr>
          <w:lang w:val="fr-FR"/>
        </w:rPr>
        <w:t>Le Comité salue les efforts faits par l</w:t>
      </w:r>
      <w:r w:rsidR="00356F77" w:rsidRPr="000A6751">
        <w:rPr>
          <w:lang w:val="fr-FR"/>
        </w:rPr>
        <w:t>’</w:t>
      </w:r>
      <w:r w:rsidRPr="0042098D">
        <w:rPr>
          <w:lang w:val="fr-FR"/>
        </w:rPr>
        <w:t>État partie pour garantir aux femmes une représentation égale à celle des hommes dans les sphères politique et publique aux niveaux national et local, notamment par l</w:t>
      </w:r>
      <w:r w:rsidR="00356F77" w:rsidRPr="000A6751">
        <w:rPr>
          <w:lang w:val="fr-FR"/>
        </w:rPr>
        <w:t>’</w:t>
      </w:r>
      <w:r w:rsidRPr="0042098D">
        <w:rPr>
          <w:lang w:val="fr-FR"/>
        </w:rPr>
        <w:t>adoption de dispositions législatives établissant des listes proportionnelles et des quotas pour la représentation des femmes dans la vie politique, la justice et l</w:t>
      </w:r>
      <w:r w:rsidR="00356F77" w:rsidRPr="000A6751">
        <w:rPr>
          <w:lang w:val="fr-FR"/>
        </w:rPr>
        <w:t>’</w:t>
      </w:r>
      <w:r w:rsidRPr="0042098D">
        <w:rPr>
          <w:lang w:val="fr-FR"/>
        </w:rPr>
        <w:t>administration publique, la mise en place d</w:t>
      </w:r>
      <w:r w:rsidR="00356F77" w:rsidRPr="000A6751">
        <w:rPr>
          <w:lang w:val="fr-FR"/>
        </w:rPr>
        <w:t>’</w:t>
      </w:r>
      <w:r w:rsidRPr="0042098D">
        <w:rPr>
          <w:lang w:val="fr-FR"/>
        </w:rPr>
        <w:t>un système visant à inciter les partis politiques à prévoir davantage de sièges pour leurs candidates aux élections législatives, régionales et locales, et la fourniture d</w:t>
      </w:r>
      <w:r w:rsidR="00356F77" w:rsidRPr="000A6751">
        <w:rPr>
          <w:lang w:val="fr-FR"/>
        </w:rPr>
        <w:t>’</w:t>
      </w:r>
      <w:r w:rsidRPr="0042098D">
        <w:rPr>
          <w:lang w:val="fr-FR"/>
        </w:rPr>
        <w:t>une aide financière et d</w:t>
      </w:r>
      <w:r w:rsidR="00356F77" w:rsidRPr="000A6751">
        <w:rPr>
          <w:lang w:val="fr-FR"/>
        </w:rPr>
        <w:t>’</w:t>
      </w:r>
      <w:r w:rsidRPr="0042098D">
        <w:rPr>
          <w:lang w:val="fr-FR"/>
        </w:rPr>
        <w:t>un soutien technique en vue de favoriser la diversité de genre dans la fonction publique. Il accueille également avec satisfaction l</w:t>
      </w:r>
      <w:r w:rsidR="00356F77" w:rsidRPr="000A6751">
        <w:rPr>
          <w:lang w:val="fr-FR"/>
        </w:rPr>
        <w:t>’</w:t>
      </w:r>
      <w:r w:rsidRPr="0042098D">
        <w:rPr>
          <w:lang w:val="fr-FR"/>
        </w:rPr>
        <w:t>information selon laquelle le nombre de femmes en poste dans les missions diplomatiques et consulaires ainsi que dans les organisations internationales a augmenté. Toutefois, il constate avec inquiétude qu</w:t>
      </w:r>
      <w:r w:rsidR="00356F77" w:rsidRPr="000A6751">
        <w:rPr>
          <w:lang w:val="fr-FR"/>
        </w:rPr>
        <w:t>’</w:t>
      </w:r>
      <w:r w:rsidRPr="0042098D">
        <w:rPr>
          <w:lang w:val="fr-FR"/>
        </w:rPr>
        <w:t>en dépit de ces efforts positifs, la représentation des femmes dans la fonction publique, en particulier à l</w:t>
      </w:r>
      <w:r w:rsidR="00356F77" w:rsidRPr="000A6751">
        <w:rPr>
          <w:lang w:val="fr-FR"/>
        </w:rPr>
        <w:t>’</w:t>
      </w:r>
      <w:r w:rsidRPr="0042098D">
        <w:rPr>
          <w:lang w:val="fr-FR"/>
        </w:rPr>
        <w:t>échelle communale et régionale, n</w:t>
      </w:r>
      <w:r w:rsidR="00356F77" w:rsidRPr="000A6751">
        <w:rPr>
          <w:lang w:val="fr-FR"/>
        </w:rPr>
        <w:t>’</w:t>
      </w:r>
      <w:r w:rsidRPr="0042098D">
        <w:rPr>
          <w:lang w:val="fr-FR"/>
        </w:rPr>
        <w:t>a pas atteint des niveaux satisfaisants. Il est en outre préoccupé par les informations selon lesquelles la représentation des femmes à des postes élevés dans l</w:t>
      </w:r>
      <w:r w:rsidR="00356F77" w:rsidRPr="000A6751">
        <w:rPr>
          <w:lang w:val="fr-FR"/>
        </w:rPr>
        <w:t>’</w:t>
      </w:r>
      <w:r w:rsidRPr="0042098D">
        <w:rPr>
          <w:lang w:val="fr-FR"/>
        </w:rPr>
        <w:t>administration publique reste faible.</w:t>
      </w:r>
    </w:p>
    <w:p w14:paraId="0ABD3590" w14:textId="775DEB49" w:rsidR="0042098D" w:rsidRPr="0042098D" w:rsidRDefault="0042098D" w:rsidP="001A1AA1">
      <w:pPr>
        <w:pStyle w:val="SingleTxt"/>
        <w:numPr>
          <w:ilvl w:val="0"/>
          <w:numId w:val="29"/>
        </w:numPr>
        <w:spacing w:line="240" w:lineRule="exact"/>
        <w:ind w:left="1267"/>
        <w:rPr>
          <w:lang w:val="fr-FR"/>
        </w:rPr>
      </w:pPr>
      <w:r w:rsidRPr="0042098D">
        <w:rPr>
          <w:b/>
          <w:bCs/>
          <w:lang w:val="fr-FR"/>
        </w:rPr>
        <w:t>Rappelant ses précédentes observations finales (</w:t>
      </w:r>
      <w:hyperlink r:id="rId25" w:history="1">
        <w:r w:rsidRPr="0042098D">
          <w:rPr>
            <w:rStyle w:val="Hyperlink"/>
            <w:b/>
            <w:bCs/>
            <w:lang w:val="fr-FR"/>
          </w:rPr>
          <w:t>CEDAW/C/MAR/CO/4</w:t>
        </w:r>
      </w:hyperlink>
      <w:r w:rsidRPr="0042098D">
        <w:rPr>
          <w:b/>
          <w:bCs/>
          <w:lang w:val="fr-FR"/>
        </w:rPr>
        <w:t xml:space="preserve">, </w:t>
      </w:r>
      <w:r w:rsidR="00723C15" w:rsidRPr="000A6751">
        <w:rPr>
          <w:b/>
          <w:bCs/>
          <w:lang w:val="fr-FR"/>
        </w:rPr>
        <w:t>par. </w:t>
      </w:r>
      <w:r w:rsidRPr="0042098D">
        <w:rPr>
          <w:b/>
          <w:bCs/>
          <w:lang w:val="fr-FR"/>
        </w:rPr>
        <w:t>25) et à la lumière de sa recommandation générale n</w:t>
      </w:r>
      <w:r w:rsidRPr="0042098D">
        <w:rPr>
          <w:b/>
          <w:bCs/>
          <w:vertAlign w:val="superscript"/>
          <w:lang w:val="fr-FR"/>
        </w:rPr>
        <w:t>o</w:t>
      </w:r>
      <w:r w:rsidRPr="0042098D">
        <w:rPr>
          <w:b/>
          <w:bCs/>
          <w:lang w:val="fr-FR"/>
        </w:rPr>
        <w:t> 23 (1997) sur la participation des femmes à la vie politique et publique et de la cible 5.5 des objectifs de développement durable, à savoir veiller à ce que les femmes participent pleinement et effectivement aux fonctions de direction à tous les niveaux de décision, dans la vie politique, économique et publique, et y accèdent sur un pied d</w:t>
      </w:r>
      <w:r w:rsidR="00356F77" w:rsidRPr="000A6751">
        <w:rPr>
          <w:b/>
          <w:bCs/>
          <w:lang w:val="fr-FR"/>
        </w:rPr>
        <w:t>’</w:t>
      </w:r>
      <w:r w:rsidRPr="0042098D">
        <w:rPr>
          <w:b/>
          <w:bCs/>
          <w:lang w:val="fr-FR"/>
        </w:rPr>
        <w:t>égalité, le Comité prie instamment l</w:t>
      </w:r>
      <w:r w:rsidR="00356F77" w:rsidRPr="000A6751">
        <w:rPr>
          <w:b/>
          <w:bCs/>
          <w:lang w:val="fr-FR"/>
        </w:rPr>
        <w:t>’</w:t>
      </w:r>
      <w:r w:rsidRPr="0042098D">
        <w:rPr>
          <w:b/>
          <w:bCs/>
          <w:lang w:val="fr-FR"/>
        </w:rPr>
        <w:t>État partie</w:t>
      </w:r>
      <w:r w:rsidR="00356F77" w:rsidRPr="000A6751">
        <w:rPr>
          <w:b/>
          <w:bCs/>
          <w:lang w:val="fr-FR"/>
        </w:rPr>
        <w:t> :</w:t>
      </w:r>
    </w:p>
    <w:p w14:paraId="17BC983A" w14:textId="6B376DAA" w:rsidR="0042098D" w:rsidRPr="0042098D" w:rsidRDefault="001A1AA1"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De continuer à renforcer les efforts qu</w:t>
      </w:r>
      <w:r w:rsidR="00356F77" w:rsidRPr="000A6751">
        <w:rPr>
          <w:b/>
          <w:bCs/>
          <w:lang w:val="fr-FR"/>
        </w:rPr>
        <w:t>’</w:t>
      </w:r>
      <w:r w:rsidR="0042098D" w:rsidRPr="0042098D">
        <w:rPr>
          <w:b/>
          <w:bCs/>
          <w:lang w:val="fr-FR"/>
        </w:rPr>
        <w:t>il fait en vue d</w:t>
      </w:r>
      <w:r w:rsidR="00356F77" w:rsidRPr="000A6751">
        <w:rPr>
          <w:b/>
          <w:bCs/>
          <w:lang w:val="fr-FR"/>
        </w:rPr>
        <w:t>’</w:t>
      </w:r>
      <w:r w:rsidR="0042098D" w:rsidRPr="0042098D">
        <w:rPr>
          <w:b/>
          <w:bCs/>
          <w:lang w:val="fr-FR"/>
        </w:rPr>
        <w:t>accroître la représentation des femmes aux fonctions politiques et judiciaires à tous les niveaux, en particulier aux échelons communal, régional et international, y</w:t>
      </w:r>
      <w:r w:rsidRPr="000A6751">
        <w:rPr>
          <w:b/>
          <w:bCs/>
          <w:lang w:val="fr-FR"/>
        </w:rPr>
        <w:t> </w:t>
      </w:r>
      <w:r w:rsidR="0042098D" w:rsidRPr="0042098D">
        <w:rPr>
          <w:b/>
          <w:bCs/>
          <w:lang w:val="fr-FR"/>
        </w:rPr>
        <w:t>compris au moyen de mesures temporaires spéciales, conformément à l</w:t>
      </w:r>
      <w:r w:rsidR="00356F77" w:rsidRPr="000A6751">
        <w:rPr>
          <w:b/>
          <w:bCs/>
          <w:lang w:val="fr-FR"/>
        </w:rPr>
        <w:t>’</w:t>
      </w:r>
      <w:r w:rsidR="0042098D" w:rsidRPr="0042098D">
        <w:rPr>
          <w:b/>
          <w:bCs/>
          <w:lang w:val="fr-FR"/>
        </w:rPr>
        <w:t>article 4 (</w:t>
      </w:r>
      <w:r w:rsidR="00723C15" w:rsidRPr="000A6751">
        <w:rPr>
          <w:b/>
          <w:bCs/>
          <w:lang w:val="fr-FR"/>
        </w:rPr>
        <w:t>par. </w:t>
      </w:r>
      <w:r w:rsidR="0042098D" w:rsidRPr="0042098D">
        <w:rPr>
          <w:b/>
          <w:bCs/>
          <w:lang w:val="fr-FR"/>
        </w:rPr>
        <w:t>1) de la Convention</w:t>
      </w:r>
      <w:r w:rsidR="00356F77" w:rsidRPr="000A6751">
        <w:rPr>
          <w:b/>
          <w:bCs/>
          <w:lang w:val="fr-FR"/>
        </w:rPr>
        <w:t> ;</w:t>
      </w:r>
    </w:p>
    <w:p w14:paraId="2159DD75" w14:textId="6CF956BE" w:rsidR="00356F77" w:rsidRPr="000A6751" w:rsidRDefault="001A1AA1"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renforcer les mesures, y compris les mesures de sensibilisation, les services de garde d</w:t>
      </w:r>
      <w:r w:rsidR="00356F77" w:rsidRPr="000A6751">
        <w:rPr>
          <w:b/>
          <w:bCs/>
          <w:lang w:val="fr-FR"/>
        </w:rPr>
        <w:t>’</w:t>
      </w:r>
      <w:r w:rsidR="0042098D" w:rsidRPr="0042098D">
        <w:rPr>
          <w:b/>
          <w:bCs/>
          <w:lang w:val="fr-FR"/>
        </w:rPr>
        <w:t xml:space="preserve">enfants et les dispositions relatives au congé parental, afin </w:t>
      </w:r>
      <w:r w:rsidR="0042098D" w:rsidRPr="0042098D">
        <w:rPr>
          <w:b/>
          <w:bCs/>
          <w:lang w:val="fr-FR"/>
        </w:rPr>
        <w:lastRenderedPageBreak/>
        <w:t>d</w:t>
      </w:r>
      <w:r w:rsidR="00356F77" w:rsidRPr="000A6751">
        <w:rPr>
          <w:b/>
          <w:bCs/>
          <w:lang w:val="fr-FR"/>
        </w:rPr>
        <w:t>’</w:t>
      </w:r>
      <w:r w:rsidR="0042098D" w:rsidRPr="0042098D">
        <w:rPr>
          <w:b/>
          <w:bCs/>
          <w:lang w:val="fr-FR"/>
        </w:rPr>
        <w:t>assurer la parité des genres aux fonctions publiques attribuées par voie de nomination, y</w:t>
      </w:r>
      <w:r w:rsidRPr="000A6751">
        <w:rPr>
          <w:b/>
          <w:bCs/>
          <w:lang w:val="fr-FR"/>
        </w:rPr>
        <w:t xml:space="preserve"> </w:t>
      </w:r>
      <w:r w:rsidR="0042098D" w:rsidRPr="0042098D">
        <w:rPr>
          <w:b/>
          <w:bCs/>
          <w:lang w:val="fr-FR"/>
        </w:rPr>
        <w:t>compris dans l</w:t>
      </w:r>
      <w:r w:rsidR="00356F77" w:rsidRPr="000A6751">
        <w:rPr>
          <w:b/>
          <w:bCs/>
          <w:lang w:val="fr-FR"/>
        </w:rPr>
        <w:t>’</w:t>
      </w:r>
      <w:r w:rsidR="0042098D" w:rsidRPr="0042098D">
        <w:rPr>
          <w:b/>
          <w:bCs/>
          <w:lang w:val="fr-FR"/>
        </w:rPr>
        <w:t>administration publique, en particulier au niveau de la prise de décisions.</w:t>
      </w:r>
    </w:p>
    <w:p w14:paraId="67384AF3" w14:textId="132075E7" w:rsidR="0042098D" w:rsidRPr="000A6751" w:rsidRDefault="0042098D" w:rsidP="001A1AA1">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Nationalité</w:t>
      </w:r>
    </w:p>
    <w:p w14:paraId="5F57CC06" w14:textId="463AE95B" w:rsidR="001A1AA1" w:rsidRPr="000A6751" w:rsidRDefault="001A1AA1" w:rsidP="001A1AA1">
      <w:pPr>
        <w:pStyle w:val="SingleTxt"/>
        <w:keepNext/>
        <w:spacing w:after="0" w:line="120" w:lineRule="exact"/>
        <w:rPr>
          <w:sz w:val="10"/>
          <w:lang w:val="fr-FR"/>
        </w:rPr>
      </w:pPr>
    </w:p>
    <w:p w14:paraId="5F258625" w14:textId="5C2B9E56" w:rsidR="00356F77" w:rsidRPr="000A6751" w:rsidRDefault="0042098D" w:rsidP="001A1AA1">
      <w:pPr>
        <w:pStyle w:val="SingleTxt"/>
        <w:numPr>
          <w:ilvl w:val="0"/>
          <w:numId w:val="29"/>
        </w:numPr>
        <w:spacing w:line="240" w:lineRule="exact"/>
        <w:ind w:left="1267"/>
        <w:rPr>
          <w:lang w:val="fr-FR"/>
        </w:rPr>
      </w:pPr>
      <w:r w:rsidRPr="0042098D">
        <w:rPr>
          <w:lang w:val="fr-FR"/>
        </w:rPr>
        <w:t>Le Comité constate avec satisfaction que l</w:t>
      </w:r>
      <w:r w:rsidR="00356F77" w:rsidRPr="000A6751">
        <w:rPr>
          <w:lang w:val="fr-FR"/>
        </w:rPr>
        <w:t>’</w:t>
      </w:r>
      <w:r w:rsidRPr="0042098D">
        <w:rPr>
          <w:lang w:val="fr-FR"/>
        </w:rPr>
        <w:t>État partie a retiré ses réserves concernant l</w:t>
      </w:r>
      <w:r w:rsidR="00356F77" w:rsidRPr="000A6751">
        <w:rPr>
          <w:lang w:val="fr-FR"/>
        </w:rPr>
        <w:t>’</w:t>
      </w:r>
      <w:r w:rsidRPr="0042098D">
        <w:rPr>
          <w:lang w:val="fr-FR"/>
        </w:rPr>
        <w:t>article 9 (</w:t>
      </w:r>
      <w:r w:rsidR="00723C15" w:rsidRPr="000A6751">
        <w:rPr>
          <w:lang w:val="fr-FR"/>
        </w:rPr>
        <w:t>par. </w:t>
      </w:r>
      <w:r w:rsidRPr="0042098D">
        <w:rPr>
          <w:lang w:val="fr-FR"/>
        </w:rPr>
        <w:t>2) de la Convention. Il demeure toutefois préoccupé par les points suivants</w:t>
      </w:r>
      <w:r w:rsidR="00356F77" w:rsidRPr="000A6751">
        <w:rPr>
          <w:lang w:val="fr-FR"/>
        </w:rPr>
        <w:t> :</w:t>
      </w:r>
    </w:p>
    <w:p w14:paraId="0EF77985" w14:textId="1E3EA6D5" w:rsidR="00356F77" w:rsidRPr="000A6751" w:rsidRDefault="001A1AA1" w:rsidP="0042098D">
      <w:pPr>
        <w:pStyle w:val="SingleTxt"/>
        <w:rPr>
          <w:lang w:val="fr-FR"/>
        </w:rPr>
      </w:pPr>
      <w:r w:rsidRPr="000A6751">
        <w:rPr>
          <w:lang w:val="fr-FR"/>
        </w:rPr>
        <w:tab/>
      </w:r>
      <w:r w:rsidR="0042098D" w:rsidRPr="0042098D">
        <w:rPr>
          <w:lang w:val="fr-FR"/>
        </w:rPr>
        <w:t>a)</w:t>
      </w:r>
      <w:r w:rsidR="0042098D" w:rsidRPr="0042098D">
        <w:rPr>
          <w:lang w:val="fr-FR"/>
        </w:rPr>
        <w:tab/>
        <w:t>Un projet de loi portant modification et complément de l</w:t>
      </w:r>
      <w:r w:rsidR="00356F77" w:rsidRPr="000A6751">
        <w:rPr>
          <w:lang w:val="fr-FR"/>
        </w:rPr>
        <w:t>’</w:t>
      </w:r>
      <w:r w:rsidR="0042098D" w:rsidRPr="0042098D">
        <w:rPr>
          <w:lang w:val="fr-FR"/>
        </w:rPr>
        <w:t>article 10 du Code de la nationalité a été présenté en décembre 2017 dans le but de permettre aux femmes marocaines de conférer la nationalité marocaine à leur conjoint étranger de la même manière que les hommes marocains peuvent le faire pour leurs épouses étrangères</w:t>
      </w:r>
      <w:r w:rsidR="00356F77" w:rsidRPr="000A6751">
        <w:rPr>
          <w:lang w:val="fr-FR"/>
        </w:rPr>
        <w:t> ;</w:t>
      </w:r>
      <w:r w:rsidR="0042098D" w:rsidRPr="0042098D">
        <w:rPr>
          <w:lang w:val="fr-FR"/>
        </w:rPr>
        <w:t xml:space="preserve"> or, à ce jour, le projet de loi n</w:t>
      </w:r>
      <w:r w:rsidR="00356F77" w:rsidRPr="000A6751">
        <w:rPr>
          <w:lang w:val="fr-FR"/>
        </w:rPr>
        <w:t>’</w:t>
      </w:r>
      <w:r w:rsidR="0042098D" w:rsidRPr="0042098D">
        <w:rPr>
          <w:lang w:val="fr-FR"/>
        </w:rPr>
        <w:t>a toujours pas été adopté</w:t>
      </w:r>
      <w:r w:rsidR="00356F77" w:rsidRPr="000A6751">
        <w:rPr>
          <w:lang w:val="fr-FR"/>
        </w:rPr>
        <w:t> ;</w:t>
      </w:r>
    </w:p>
    <w:p w14:paraId="50F0C6D0" w14:textId="64930A86" w:rsidR="0042098D" w:rsidRPr="0042098D" w:rsidRDefault="001A1AA1" w:rsidP="0042098D">
      <w:pPr>
        <w:pStyle w:val="SingleTxt"/>
        <w:rPr>
          <w:lang w:val="fr-FR"/>
        </w:rPr>
      </w:pPr>
      <w:r w:rsidRPr="000A6751">
        <w:rPr>
          <w:lang w:val="fr-FR"/>
        </w:rPr>
        <w:tab/>
      </w:r>
      <w:r w:rsidR="0042098D" w:rsidRPr="0042098D">
        <w:rPr>
          <w:lang w:val="fr-FR"/>
        </w:rPr>
        <w:t>b)</w:t>
      </w:r>
      <w:r w:rsidR="0042098D" w:rsidRPr="0042098D">
        <w:rPr>
          <w:lang w:val="fr-FR"/>
        </w:rPr>
        <w:tab/>
        <w:t>L</w:t>
      </w:r>
      <w:r w:rsidR="00356F77" w:rsidRPr="000A6751">
        <w:rPr>
          <w:lang w:val="fr-FR"/>
        </w:rPr>
        <w:t>’</w:t>
      </w:r>
      <w:r w:rsidR="0042098D" w:rsidRPr="0042098D">
        <w:rPr>
          <w:lang w:val="fr-FR"/>
        </w:rPr>
        <w:t>État partie n</w:t>
      </w:r>
      <w:r w:rsidR="00356F77" w:rsidRPr="000A6751">
        <w:rPr>
          <w:lang w:val="fr-FR"/>
        </w:rPr>
        <w:t>’</w:t>
      </w:r>
      <w:r w:rsidR="0042098D" w:rsidRPr="0042098D">
        <w:rPr>
          <w:lang w:val="fr-FR"/>
        </w:rPr>
        <w:t>a pas accédé à la Convention de 1954 relative au statut des apatrides et à la Convention de 1961 sur la réduction des cas d</w:t>
      </w:r>
      <w:r w:rsidR="00356F77" w:rsidRPr="000A6751">
        <w:rPr>
          <w:lang w:val="fr-FR"/>
        </w:rPr>
        <w:t>’</w:t>
      </w:r>
      <w:r w:rsidR="0042098D" w:rsidRPr="0042098D">
        <w:rPr>
          <w:lang w:val="fr-FR"/>
        </w:rPr>
        <w:t>apatridie.</w:t>
      </w:r>
    </w:p>
    <w:p w14:paraId="400803A9" w14:textId="7807AC04" w:rsidR="0042098D" w:rsidRPr="0042098D" w:rsidRDefault="0042098D" w:rsidP="001A1AA1">
      <w:pPr>
        <w:pStyle w:val="SingleTxt"/>
        <w:numPr>
          <w:ilvl w:val="0"/>
          <w:numId w:val="29"/>
        </w:numPr>
        <w:spacing w:line="240" w:lineRule="exact"/>
        <w:ind w:left="1267"/>
        <w:rPr>
          <w:lang w:val="fr-FR"/>
        </w:rPr>
      </w:pPr>
      <w:r w:rsidRPr="0042098D">
        <w:rPr>
          <w:b/>
          <w:bCs/>
          <w:lang w:val="fr-FR"/>
        </w:rPr>
        <w:t>Le Comité recommande à l</w:t>
      </w:r>
      <w:r w:rsidR="00356F77" w:rsidRPr="000A6751">
        <w:rPr>
          <w:b/>
          <w:bCs/>
          <w:lang w:val="fr-FR"/>
        </w:rPr>
        <w:t>’</w:t>
      </w:r>
      <w:r w:rsidRPr="0042098D">
        <w:rPr>
          <w:b/>
          <w:bCs/>
          <w:lang w:val="fr-FR"/>
        </w:rPr>
        <w:t>État partie</w:t>
      </w:r>
      <w:r w:rsidR="00356F77" w:rsidRPr="000A6751">
        <w:rPr>
          <w:b/>
          <w:bCs/>
          <w:lang w:val="fr-FR"/>
        </w:rPr>
        <w:t> :</w:t>
      </w:r>
    </w:p>
    <w:p w14:paraId="0B046A9C" w14:textId="76BDDE43" w:rsidR="00356F77" w:rsidRPr="000A6751" w:rsidRDefault="001A1AA1"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w:t>
      </w:r>
      <w:r w:rsidR="00356F77" w:rsidRPr="000A6751">
        <w:rPr>
          <w:b/>
          <w:bCs/>
          <w:lang w:val="fr-FR"/>
        </w:rPr>
        <w:t>’</w:t>
      </w:r>
      <w:r w:rsidR="0042098D" w:rsidRPr="0042098D">
        <w:rPr>
          <w:b/>
          <w:bCs/>
          <w:lang w:val="fr-FR"/>
        </w:rPr>
        <w:t>accélérer l</w:t>
      </w:r>
      <w:r w:rsidR="00356F77" w:rsidRPr="000A6751">
        <w:rPr>
          <w:b/>
          <w:bCs/>
          <w:lang w:val="fr-FR"/>
        </w:rPr>
        <w:t>’</w:t>
      </w:r>
      <w:r w:rsidR="0042098D" w:rsidRPr="0042098D">
        <w:rPr>
          <w:b/>
          <w:bCs/>
          <w:lang w:val="fr-FR"/>
        </w:rPr>
        <w:t>adoption du projet de loi de 2017 portant modification et complément de l</w:t>
      </w:r>
      <w:r w:rsidR="00356F77" w:rsidRPr="000A6751">
        <w:rPr>
          <w:b/>
          <w:bCs/>
          <w:lang w:val="fr-FR"/>
        </w:rPr>
        <w:t>’</w:t>
      </w:r>
      <w:r w:rsidR="0042098D" w:rsidRPr="0042098D">
        <w:rPr>
          <w:b/>
          <w:bCs/>
          <w:lang w:val="fr-FR"/>
        </w:rPr>
        <w:t>article 10 du Code de la nationalité</w:t>
      </w:r>
      <w:r w:rsidR="00356F77" w:rsidRPr="000A6751">
        <w:rPr>
          <w:b/>
          <w:bCs/>
          <w:lang w:val="fr-FR"/>
        </w:rPr>
        <w:t> ;</w:t>
      </w:r>
    </w:p>
    <w:p w14:paraId="114E7606" w14:textId="6D04B1E3" w:rsidR="0042098D" w:rsidRPr="0042098D" w:rsidRDefault="001A1AA1"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w:t>
      </w:r>
      <w:r w:rsidR="00356F77" w:rsidRPr="000A6751">
        <w:rPr>
          <w:b/>
          <w:bCs/>
          <w:lang w:val="fr-FR"/>
        </w:rPr>
        <w:t>’</w:t>
      </w:r>
      <w:r w:rsidR="0042098D" w:rsidRPr="0042098D">
        <w:rPr>
          <w:b/>
          <w:bCs/>
          <w:lang w:val="fr-FR"/>
        </w:rPr>
        <w:t>envisager de ratifier la Convention de 1954 relative au statut des apatrides et la Convention de 1961 sur la réduction des cas d</w:t>
      </w:r>
      <w:r w:rsidR="00356F77" w:rsidRPr="000A6751">
        <w:rPr>
          <w:b/>
          <w:bCs/>
          <w:lang w:val="fr-FR"/>
        </w:rPr>
        <w:t>’</w:t>
      </w:r>
      <w:r w:rsidR="0042098D" w:rsidRPr="0042098D">
        <w:rPr>
          <w:b/>
          <w:bCs/>
          <w:lang w:val="fr-FR"/>
        </w:rPr>
        <w:t>apatridie.</w:t>
      </w:r>
    </w:p>
    <w:p w14:paraId="7C6F416E" w14:textId="77777777" w:rsidR="001A1AA1" w:rsidRPr="000A6751" w:rsidRDefault="001A1AA1" w:rsidP="001A1AA1">
      <w:pPr>
        <w:pStyle w:val="SingleTxt"/>
        <w:spacing w:after="0" w:line="120" w:lineRule="exact"/>
        <w:rPr>
          <w:sz w:val="10"/>
          <w:lang w:val="fr-FR"/>
        </w:rPr>
      </w:pPr>
    </w:p>
    <w:p w14:paraId="0A12709E" w14:textId="532E1CAF" w:rsidR="0042098D"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Éducation</w:t>
      </w:r>
    </w:p>
    <w:p w14:paraId="2B0F4C01" w14:textId="04E38175" w:rsidR="001A1AA1" w:rsidRPr="000A6751" w:rsidRDefault="001A1AA1" w:rsidP="001A1AA1">
      <w:pPr>
        <w:pStyle w:val="SingleTxt"/>
        <w:spacing w:after="0" w:line="120" w:lineRule="exact"/>
        <w:rPr>
          <w:sz w:val="10"/>
          <w:lang w:val="fr-FR"/>
        </w:rPr>
      </w:pPr>
    </w:p>
    <w:p w14:paraId="51017FED" w14:textId="7D76EABB" w:rsidR="00356F77" w:rsidRPr="000A6751" w:rsidRDefault="0042098D" w:rsidP="001A1AA1">
      <w:pPr>
        <w:pStyle w:val="SingleTxt"/>
        <w:numPr>
          <w:ilvl w:val="0"/>
          <w:numId w:val="29"/>
        </w:numPr>
        <w:spacing w:line="240" w:lineRule="exact"/>
        <w:ind w:left="1267"/>
        <w:rPr>
          <w:lang w:val="fr-FR"/>
        </w:rPr>
      </w:pPr>
      <w:r w:rsidRPr="0042098D">
        <w:rPr>
          <w:lang w:val="fr-FR"/>
        </w:rPr>
        <w:t>Le Comité accueille avec satisfaction l</w:t>
      </w:r>
      <w:r w:rsidR="00356F77" w:rsidRPr="000A6751">
        <w:rPr>
          <w:lang w:val="fr-FR"/>
        </w:rPr>
        <w:t>’</w:t>
      </w:r>
      <w:r w:rsidRPr="0042098D">
        <w:rPr>
          <w:lang w:val="fr-FR"/>
        </w:rPr>
        <w:t>affirmation de l</w:t>
      </w:r>
      <w:r w:rsidR="00356F77" w:rsidRPr="000A6751">
        <w:rPr>
          <w:lang w:val="fr-FR"/>
        </w:rPr>
        <w:t>’</w:t>
      </w:r>
      <w:r w:rsidRPr="0042098D">
        <w:rPr>
          <w:lang w:val="fr-FR"/>
        </w:rPr>
        <w:t>État partie selon laquelle l</w:t>
      </w:r>
      <w:r w:rsidR="00356F77" w:rsidRPr="000A6751">
        <w:rPr>
          <w:lang w:val="fr-FR"/>
        </w:rPr>
        <w:t>’</w:t>
      </w:r>
      <w:r w:rsidRPr="0042098D">
        <w:rPr>
          <w:lang w:val="fr-FR"/>
        </w:rPr>
        <w:t>éducation des filles est considérée comme une priorité dans ses programmes et plans de réforme du système éducatif. Il se félicite de l</w:t>
      </w:r>
      <w:r w:rsidR="00356F77" w:rsidRPr="000A6751">
        <w:rPr>
          <w:lang w:val="fr-FR"/>
        </w:rPr>
        <w:t>’</w:t>
      </w:r>
      <w:r w:rsidRPr="0042098D">
        <w:rPr>
          <w:lang w:val="fr-FR"/>
        </w:rPr>
        <w:t>augmentation du taux de scolarisation des filles dans l</w:t>
      </w:r>
      <w:r w:rsidR="00356F77" w:rsidRPr="000A6751">
        <w:rPr>
          <w:lang w:val="fr-FR"/>
        </w:rPr>
        <w:t>’</w:t>
      </w:r>
      <w:r w:rsidRPr="0042098D">
        <w:rPr>
          <w:lang w:val="fr-FR"/>
        </w:rPr>
        <w:t>enseignement primaire et secondaire et dans les domaines de la science, de la technologie, de l</w:t>
      </w:r>
      <w:r w:rsidR="00356F77" w:rsidRPr="000A6751">
        <w:rPr>
          <w:lang w:val="fr-FR"/>
        </w:rPr>
        <w:t>’</w:t>
      </w:r>
      <w:r w:rsidRPr="0042098D">
        <w:rPr>
          <w:lang w:val="fr-FR"/>
        </w:rPr>
        <w:t>ingénierie et des mathématiques ainsi que des technologies de l</w:t>
      </w:r>
      <w:r w:rsidR="00356F77" w:rsidRPr="000A6751">
        <w:rPr>
          <w:lang w:val="fr-FR"/>
        </w:rPr>
        <w:t>’</w:t>
      </w:r>
      <w:r w:rsidRPr="0042098D">
        <w:rPr>
          <w:lang w:val="fr-FR"/>
        </w:rPr>
        <w:t>information et des communications. Il note également avec intérêt l</w:t>
      </w:r>
      <w:r w:rsidR="00356F77" w:rsidRPr="000A6751">
        <w:rPr>
          <w:lang w:val="fr-FR"/>
        </w:rPr>
        <w:t>’</w:t>
      </w:r>
      <w:r w:rsidRPr="0042098D">
        <w:rPr>
          <w:lang w:val="fr-FR"/>
        </w:rPr>
        <w:t>élaboration d</w:t>
      </w:r>
      <w:r w:rsidR="00356F77" w:rsidRPr="000A6751">
        <w:rPr>
          <w:lang w:val="fr-FR"/>
        </w:rPr>
        <w:t>’</w:t>
      </w:r>
      <w:r w:rsidRPr="0042098D">
        <w:rPr>
          <w:lang w:val="fr-FR"/>
        </w:rPr>
        <w:t>un document d</w:t>
      </w:r>
      <w:r w:rsidR="00356F77" w:rsidRPr="000A6751">
        <w:rPr>
          <w:lang w:val="fr-FR"/>
        </w:rPr>
        <w:t>’</w:t>
      </w:r>
      <w:r w:rsidRPr="0042098D">
        <w:rPr>
          <w:lang w:val="fr-FR"/>
        </w:rPr>
        <w:t>orientation sur la lutte contre l</w:t>
      </w:r>
      <w:r w:rsidR="00356F77" w:rsidRPr="000A6751">
        <w:rPr>
          <w:lang w:val="fr-FR"/>
        </w:rPr>
        <w:t>’</w:t>
      </w:r>
      <w:r w:rsidRPr="0042098D">
        <w:rPr>
          <w:lang w:val="fr-FR"/>
        </w:rPr>
        <w:t>analphabétisme des femmes (2014-2020). Il demeure toutefois préoccupé par les points suivants</w:t>
      </w:r>
      <w:r w:rsidR="00356F77" w:rsidRPr="000A6751">
        <w:rPr>
          <w:lang w:val="fr-FR"/>
        </w:rPr>
        <w:t> :</w:t>
      </w:r>
    </w:p>
    <w:p w14:paraId="1DC59CC7" w14:textId="6C4E5191" w:rsidR="00356F77" w:rsidRPr="000A6751" w:rsidRDefault="001A1AA1" w:rsidP="0042098D">
      <w:pPr>
        <w:pStyle w:val="SingleTxt"/>
        <w:rPr>
          <w:lang w:val="fr-FR"/>
        </w:rPr>
      </w:pPr>
      <w:r w:rsidRPr="000A6751">
        <w:rPr>
          <w:lang w:val="fr-FR"/>
        </w:rPr>
        <w:tab/>
      </w:r>
      <w:r w:rsidR="0042098D" w:rsidRPr="0042098D">
        <w:rPr>
          <w:lang w:val="fr-FR"/>
        </w:rPr>
        <w:t>a)</w:t>
      </w:r>
      <w:r w:rsidR="0042098D" w:rsidRPr="0042098D">
        <w:rPr>
          <w:lang w:val="fr-FR"/>
        </w:rPr>
        <w:tab/>
        <w:t>Le taux d</w:t>
      </w:r>
      <w:r w:rsidR="00356F77" w:rsidRPr="000A6751">
        <w:rPr>
          <w:lang w:val="fr-FR"/>
        </w:rPr>
        <w:t>’</w:t>
      </w:r>
      <w:r w:rsidR="0042098D" w:rsidRPr="0042098D">
        <w:rPr>
          <w:lang w:val="fr-FR"/>
        </w:rPr>
        <w:t>abandon scolaire demeure élevé chez les filles, souvent pour cause de grossesse</w:t>
      </w:r>
      <w:r w:rsidR="00356F77" w:rsidRPr="000A6751">
        <w:rPr>
          <w:lang w:val="fr-FR"/>
        </w:rPr>
        <w:t> ;</w:t>
      </w:r>
    </w:p>
    <w:p w14:paraId="74BC010F" w14:textId="139C2BB4" w:rsidR="00356F77" w:rsidRPr="000A6751" w:rsidRDefault="001A1AA1" w:rsidP="0042098D">
      <w:pPr>
        <w:pStyle w:val="SingleTxt"/>
        <w:rPr>
          <w:lang w:val="fr-FR"/>
        </w:rPr>
      </w:pPr>
      <w:r w:rsidRPr="000A6751">
        <w:rPr>
          <w:lang w:val="fr-FR"/>
        </w:rPr>
        <w:tab/>
      </w:r>
      <w:r w:rsidR="0042098D" w:rsidRPr="0042098D">
        <w:rPr>
          <w:lang w:val="fr-FR"/>
        </w:rPr>
        <w:t>b)</w:t>
      </w:r>
      <w:r w:rsidR="0042098D" w:rsidRPr="0042098D">
        <w:rPr>
          <w:lang w:val="fr-FR"/>
        </w:rPr>
        <w:tab/>
        <w:t>L</w:t>
      </w:r>
      <w:r w:rsidR="00356F77" w:rsidRPr="000A6751">
        <w:rPr>
          <w:lang w:val="fr-FR"/>
        </w:rPr>
        <w:t>’</w:t>
      </w:r>
      <w:r w:rsidR="0042098D" w:rsidRPr="0042098D">
        <w:rPr>
          <w:lang w:val="fr-FR"/>
        </w:rPr>
        <w:t>analphabétisme, qui touche principalement les femmes, reste un problème</w:t>
      </w:r>
      <w:r w:rsidR="00356F77" w:rsidRPr="000A6751">
        <w:rPr>
          <w:lang w:val="fr-FR"/>
        </w:rPr>
        <w:t> ;</w:t>
      </w:r>
    </w:p>
    <w:p w14:paraId="617D8DB5" w14:textId="69454DF6" w:rsidR="0042098D" w:rsidRPr="0042098D" w:rsidRDefault="001A1AA1" w:rsidP="0042098D">
      <w:pPr>
        <w:pStyle w:val="SingleTxt"/>
        <w:rPr>
          <w:lang w:val="fr-FR"/>
        </w:rPr>
      </w:pPr>
      <w:r w:rsidRPr="000A6751">
        <w:rPr>
          <w:lang w:val="fr-FR"/>
        </w:rPr>
        <w:tab/>
      </w:r>
      <w:r w:rsidR="0042098D" w:rsidRPr="0042098D">
        <w:rPr>
          <w:lang w:val="fr-FR"/>
        </w:rPr>
        <w:t>c)</w:t>
      </w:r>
      <w:r w:rsidR="0042098D" w:rsidRPr="0042098D">
        <w:rPr>
          <w:lang w:val="fr-FR"/>
        </w:rPr>
        <w:tab/>
        <w:t>Bien que les manuels scolaires du primaire aient été révisés pour lutter contre les stéréotypes et promouvoir l</w:t>
      </w:r>
      <w:r w:rsidR="00356F77" w:rsidRPr="000A6751">
        <w:rPr>
          <w:lang w:val="fr-FR"/>
        </w:rPr>
        <w:t>’</w:t>
      </w:r>
      <w:r w:rsidR="0042098D" w:rsidRPr="0042098D">
        <w:rPr>
          <w:lang w:val="fr-FR"/>
        </w:rPr>
        <w:t>égalité des genres, cette révision n</w:t>
      </w:r>
      <w:r w:rsidR="00356F77" w:rsidRPr="000A6751">
        <w:rPr>
          <w:lang w:val="fr-FR"/>
        </w:rPr>
        <w:t>’</w:t>
      </w:r>
      <w:r w:rsidR="0042098D" w:rsidRPr="0042098D">
        <w:rPr>
          <w:lang w:val="fr-FR"/>
        </w:rPr>
        <w:t>a pas encore été étendue à l</w:t>
      </w:r>
      <w:r w:rsidR="00356F77" w:rsidRPr="000A6751">
        <w:rPr>
          <w:lang w:val="fr-FR"/>
        </w:rPr>
        <w:t>’</w:t>
      </w:r>
      <w:r w:rsidR="0042098D" w:rsidRPr="0042098D">
        <w:rPr>
          <w:lang w:val="fr-FR"/>
        </w:rPr>
        <w:t>ensemble du matériel pédagogique à tous les niveaux.</w:t>
      </w:r>
    </w:p>
    <w:p w14:paraId="651053AC" w14:textId="27966B91" w:rsidR="00356F77" w:rsidRPr="000A6751" w:rsidRDefault="0042098D" w:rsidP="001A1AA1">
      <w:pPr>
        <w:pStyle w:val="SingleTxt"/>
        <w:numPr>
          <w:ilvl w:val="0"/>
          <w:numId w:val="29"/>
        </w:numPr>
        <w:spacing w:line="240" w:lineRule="exact"/>
        <w:ind w:left="1267"/>
        <w:rPr>
          <w:lang w:val="fr-FR"/>
        </w:rPr>
      </w:pPr>
      <w:r w:rsidRPr="0042098D">
        <w:rPr>
          <w:b/>
          <w:bCs/>
          <w:lang w:val="fr-FR"/>
        </w:rPr>
        <w:t>À la lumière de sa recommandation générale n</w:t>
      </w:r>
      <w:r w:rsidRPr="0042098D">
        <w:rPr>
          <w:b/>
          <w:bCs/>
          <w:vertAlign w:val="superscript"/>
          <w:lang w:val="fr-FR"/>
        </w:rPr>
        <w:t>o</w:t>
      </w:r>
      <w:r w:rsidRPr="0042098D">
        <w:rPr>
          <w:b/>
          <w:bCs/>
          <w:lang w:val="fr-FR"/>
        </w:rPr>
        <w:t> </w:t>
      </w:r>
      <w:r w:rsidR="004C7EC4" w:rsidRPr="004B1055">
        <w:rPr>
          <w:b/>
          <w:bCs/>
          <w:lang w:val="fr-FR"/>
        </w:rPr>
        <w:t>36 (2017)</w:t>
      </w:r>
      <w:r w:rsidRPr="0042098D">
        <w:rPr>
          <w:b/>
          <w:bCs/>
          <w:lang w:val="fr-FR"/>
        </w:rPr>
        <w:t xml:space="preserve"> sur le droit des filles et des femmes à l</w:t>
      </w:r>
      <w:r w:rsidR="00356F77" w:rsidRPr="000A6751">
        <w:rPr>
          <w:b/>
          <w:bCs/>
          <w:lang w:val="fr-FR"/>
        </w:rPr>
        <w:t>’</w:t>
      </w:r>
      <w:r w:rsidRPr="0042098D">
        <w:rPr>
          <w:b/>
          <w:bCs/>
          <w:lang w:val="fr-FR"/>
        </w:rPr>
        <w:t>éducation et de la cible 4.1 des objectifs de développement durable, à savoir, d</w:t>
      </w:r>
      <w:r w:rsidR="00356F77" w:rsidRPr="000A6751">
        <w:rPr>
          <w:b/>
          <w:bCs/>
          <w:lang w:val="fr-FR"/>
        </w:rPr>
        <w:t>’</w:t>
      </w:r>
      <w:r w:rsidRPr="0042098D">
        <w:rPr>
          <w:b/>
          <w:bCs/>
          <w:lang w:val="fr-FR"/>
        </w:rPr>
        <w:t>ici à 2030, faire en sorte que toutes les filles et tous les garçons suivent, sur un pied d</w:t>
      </w:r>
      <w:r w:rsidR="00356F77" w:rsidRPr="000A6751">
        <w:rPr>
          <w:b/>
          <w:bCs/>
          <w:lang w:val="fr-FR"/>
        </w:rPr>
        <w:t>’</w:t>
      </w:r>
      <w:r w:rsidRPr="0042098D">
        <w:rPr>
          <w:b/>
          <w:bCs/>
          <w:lang w:val="fr-FR"/>
        </w:rPr>
        <w:t>égalité, un cycle complet d</w:t>
      </w:r>
      <w:r w:rsidR="00356F77" w:rsidRPr="000A6751">
        <w:rPr>
          <w:b/>
          <w:bCs/>
          <w:lang w:val="fr-FR"/>
        </w:rPr>
        <w:t>’</w:t>
      </w:r>
      <w:r w:rsidRPr="0042098D">
        <w:rPr>
          <w:b/>
          <w:bCs/>
          <w:lang w:val="fr-FR"/>
        </w:rPr>
        <w:t>enseignement primaire et secondaire gratuit et de qualité les dotant d</w:t>
      </w:r>
      <w:r w:rsidR="00356F77" w:rsidRPr="000A6751">
        <w:rPr>
          <w:b/>
          <w:bCs/>
          <w:lang w:val="fr-FR"/>
        </w:rPr>
        <w:t>’</w:t>
      </w:r>
      <w:r w:rsidRPr="0042098D">
        <w:rPr>
          <w:b/>
          <w:bCs/>
          <w:lang w:val="fr-FR"/>
        </w:rPr>
        <w:t>acquis véritablement utiles, le Comité recommande à l</w:t>
      </w:r>
      <w:r w:rsidR="00356F77" w:rsidRPr="000A6751">
        <w:rPr>
          <w:b/>
          <w:bCs/>
          <w:lang w:val="fr-FR"/>
        </w:rPr>
        <w:t>’</w:t>
      </w:r>
      <w:r w:rsidRPr="0042098D">
        <w:rPr>
          <w:b/>
          <w:bCs/>
          <w:lang w:val="fr-FR"/>
        </w:rPr>
        <w:t>État partie</w:t>
      </w:r>
      <w:r w:rsidR="00356F77" w:rsidRPr="000A6751">
        <w:rPr>
          <w:b/>
          <w:bCs/>
          <w:lang w:val="fr-FR"/>
        </w:rPr>
        <w:t> :</w:t>
      </w:r>
    </w:p>
    <w:p w14:paraId="57DE5C4B" w14:textId="5C9BF07C" w:rsidR="0042098D" w:rsidRPr="0042098D" w:rsidRDefault="001A1AA1"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De prendre des mesures ciblées et globales pour prévenir l</w:t>
      </w:r>
      <w:r w:rsidR="00356F77" w:rsidRPr="000A6751">
        <w:rPr>
          <w:b/>
          <w:bCs/>
          <w:lang w:val="fr-FR"/>
        </w:rPr>
        <w:t>’</w:t>
      </w:r>
      <w:r w:rsidR="0042098D" w:rsidRPr="0042098D">
        <w:rPr>
          <w:b/>
          <w:bCs/>
          <w:lang w:val="fr-FR"/>
        </w:rPr>
        <w:t>abandon scolaire, notamment parmi les filles des zones rurales, et pour promouvoir et faciliter le retour des filles à l</w:t>
      </w:r>
      <w:r w:rsidR="00356F77" w:rsidRPr="000A6751">
        <w:rPr>
          <w:b/>
          <w:bCs/>
          <w:lang w:val="fr-FR"/>
        </w:rPr>
        <w:t>’</w:t>
      </w:r>
      <w:r w:rsidR="0042098D" w:rsidRPr="0042098D">
        <w:rPr>
          <w:b/>
          <w:bCs/>
          <w:lang w:val="fr-FR"/>
        </w:rPr>
        <w:t>école</w:t>
      </w:r>
      <w:r w:rsidR="00356F77" w:rsidRPr="000A6751">
        <w:rPr>
          <w:b/>
          <w:bCs/>
          <w:lang w:val="fr-FR"/>
        </w:rPr>
        <w:t> ;</w:t>
      </w:r>
    </w:p>
    <w:p w14:paraId="088796A5" w14:textId="6565A301" w:rsidR="0042098D" w:rsidRPr="0042098D" w:rsidRDefault="001A1AA1"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continuer à renforcer ses efforts, notamment par l</w:t>
      </w:r>
      <w:r w:rsidR="00356F77" w:rsidRPr="000A6751">
        <w:rPr>
          <w:b/>
          <w:bCs/>
          <w:lang w:val="fr-FR"/>
        </w:rPr>
        <w:t>’</w:t>
      </w:r>
      <w:r w:rsidR="0042098D" w:rsidRPr="0042098D">
        <w:rPr>
          <w:b/>
          <w:bCs/>
          <w:lang w:val="fr-FR"/>
        </w:rPr>
        <w:t>intermédiaire de l</w:t>
      </w:r>
      <w:r w:rsidR="00356F77" w:rsidRPr="000A6751">
        <w:rPr>
          <w:b/>
          <w:bCs/>
          <w:lang w:val="fr-FR"/>
        </w:rPr>
        <w:t>’</w:t>
      </w:r>
      <w:r w:rsidR="0042098D" w:rsidRPr="0042098D">
        <w:rPr>
          <w:b/>
          <w:bCs/>
          <w:lang w:val="fr-FR"/>
        </w:rPr>
        <w:t>Agence nationale de lutte contre l</w:t>
      </w:r>
      <w:r w:rsidR="00356F77" w:rsidRPr="000A6751">
        <w:rPr>
          <w:b/>
          <w:bCs/>
          <w:lang w:val="fr-FR"/>
        </w:rPr>
        <w:t>’</w:t>
      </w:r>
      <w:r w:rsidR="0042098D" w:rsidRPr="0042098D">
        <w:rPr>
          <w:b/>
          <w:bCs/>
          <w:lang w:val="fr-FR"/>
        </w:rPr>
        <w:t xml:space="preserve">analphabétisme, en vue de combattre </w:t>
      </w:r>
      <w:r w:rsidR="0042098D" w:rsidRPr="0042098D">
        <w:rPr>
          <w:b/>
          <w:bCs/>
          <w:lang w:val="fr-FR"/>
        </w:rPr>
        <w:lastRenderedPageBreak/>
        <w:t>l</w:t>
      </w:r>
      <w:r w:rsidR="00356F77" w:rsidRPr="000A6751">
        <w:rPr>
          <w:b/>
          <w:bCs/>
          <w:lang w:val="fr-FR"/>
        </w:rPr>
        <w:t>’</w:t>
      </w:r>
      <w:r w:rsidR="0042098D" w:rsidRPr="0042098D">
        <w:rPr>
          <w:b/>
          <w:bCs/>
          <w:lang w:val="fr-FR"/>
        </w:rPr>
        <w:t>analphabétisme chez les femmes et les filles, en particulier dans les zones rurales et chez les femmes et les filles appartenant à des groupes défavorisés</w:t>
      </w:r>
      <w:r w:rsidR="00356F77" w:rsidRPr="000A6751">
        <w:rPr>
          <w:b/>
          <w:bCs/>
          <w:lang w:val="fr-FR"/>
        </w:rPr>
        <w:t> ;</w:t>
      </w:r>
    </w:p>
    <w:p w14:paraId="54AAF2E9" w14:textId="072B5507" w:rsidR="0042098D" w:rsidRPr="0042098D" w:rsidRDefault="001A1AA1" w:rsidP="0042098D">
      <w:pPr>
        <w:pStyle w:val="SingleTxt"/>
        <w:rPr>
          <w:b/>
          <w:bCs/>
          <w:lang w:val="fr-FR"/>
        </w:rPr>
      </w:pPr>
      <w:r w:rsidRPr="000A6751">
        <w:rPr>
          <w:b/>
          <w:bCs/>
          <w:lang w:val="fr-FR"/>
        </w:rPr>
        <w:tab/>
      </w:r>
      <w:r w:rsidR="0042098D" w:rsidRPr="0042098D">
        <w:rPr>
          <w:b/>
          <w:bCs/>
          <w:lang w:val="fr-FR"/>
        </w:rPr>
        <w:t>c)</w:t>
      </w:r>
      <w:r w:rsidR="0042098D" w:rsidRPr="0042098D">
        <w:rPr>
          <w:b/>
          <w:bCs/>
          <w:lang w:val="fr-FR"/>
        </w:rPr>
        <w:tab/>
        <w:t>D</w:t>
      </w:r>
      <w:r w:rsidR="00356F77" w:rsidRPr="000A6751">
        <w:rPr>
          <w:b/>
          <w:bCs/>
          <w:lang w:val="fr-FR"/>
        </w:rPr>
        <w:t>’</w:t>
      </w:r>
      <w:r w:rsidR="0042098D" w:rsidRPr="0042098D">
        <w:rPr>
          <w:b/>
          <w:bCs/>
          <w:lang w:val="fr-FR"/>
        </w:rPr>
        <w:t>étendre à tous les niveaux d</w:t>
      </w:r>
      <w:r w:rsidR="00356F77" w:rsidRPr="000A6751">
        <w:rPr>
          <w:b/>
          <w:bCs/>
          <w:lang w:val="fr-FR"/>
        </w:rPr>
        <w:t>’</w:t>
      </w:r>
      <w:r w:rsidR="0042098D" w:rsidRPr="0042098D">
        <w:rPr>
          <w:b/>
          <w:bCs/>
          <w:lang w:val="fr-FR"/>
        </w:rPr>
        <w:t>enseignement les efforts faits pour réviser les programmes et manuels scolaires afin d</w:t>
      </w:r>
      <w:r w:rsidR="00356F77" w:rsidRPr="000A6751">
        <w:rPr>
          <w:b/>
          <w:bCs/>
          <w:lang w:val="fr-FR"/>
        </w:rPr>
        <w:t>’</w:t>
      </w:r>
      <w:r w:rsidR="0042098D" w:rsidRPr="0042098D">
        <w:rPr>
          <w:b/>
          <w:bCs/>
          <w:lang w:val="fr-FR"/>
        </w:rPr>
        <w:t>éliminer les stéréotypes discriminatoires fondés sur le genre, de représenter les femmes et les hommes de manière équilibrée, de montrer une répartition égale des rôles sociaux, et de promouvoir une culture de l</w:t>
      </w:r>
      <w:r w:rsidR="00356F77" w:rsidRPr="000A6751">
        <w:rPr>
          <w:b/>
          <w:bCs/>
          <w:lang w:val="fr-FR"/>
        </w:rPr>
        <w:t>’</w:t>
      </w:r>
      <w:r w:rsidR="0042098D" w:rsidRPr="0042098D">
        <w:rPr>
          <w:b/>
          <w:bCs/>
          <w:lang w:val="fr-FR"/>
        </w:rPr>
        <w:t>égalité des genres.</w:t>
      </w:r>
    </w:p>
    <w:p w14:paraId="625D5811" w14:textId="77777777" w:rsidR="001A1AA1" w:rsidRPr="000A6751" w:rsidRDefault="001A1AA1" w:rsidP="001A1AA1">
      <w:pPr>
        <w:pStyle w:val="SingleTxt"/>
        <w:spacing w:after="0" w:line="120" w:lineRule="exact"/>
        <w:rPr>
          <w:sz w:val="10"/>
          <w:lang w:val="fr-FR"/>
        </w:rPr>
      </w:pPr>
    </w:p>
    <w:p w14:paraId="0CD914B3" w14:textId="32087030" w:rsidR="00356F77"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Emploi et autonomisation économique</w:t>
      </w:r>
    </w:p>
    <w:p w14:paraId="08C4A1BB" w14:textId="7A7D3090" w:rsidR="001A1AA1" w:rsidRPr="000A6751" w:rsidRDefault="001A1AA1" w:rsidP="001A1AA1">
      <w:pPr>
        <w:pStyle w:val="SingleTxt"/>
        <w:spacing w:after="0" w:line="120" w:lineRule="exact"/>
        <w:rPr>
          <w:sz w:val="10"/>
          <w:lang w:val="fr-FR"/>
        </w:rPr>
      </w:pPr>
    </w:p>
    <w:p w14:paraId="4F2BBFF4" w14:textId="7F3286D7" w:rsidR="0042098D" w:rsidRPr="0042098D" w:rsidRDefault="0042098D" w:rsidP="001A1AA1">
      <w:pPr>
        <w:pStyle w:val="SingleTxt"/>
        <w:numPr>
          <w:ilvl w:val="0"/>
          <w:numId w:val="29"/>
        </w:numPr>
        <w:spacing w:line="240" w:lineRule="exact"/>
        <w:ind w:left="1267"/>
        <w:rPr>
          <w:lang w:val="fr-FR"/>
        </w:rPr>
      </w:pPr>
      <w:r w:rsidRPr="0042098D">
        <w:rPr>
          <w:lang w:val="fr-FR"/>
        </w:rPr>
        <w:t>Le Comité prend note avec satisfaction des informations fournies par l</w:t>
      </w:r>
      <w:r w:rsidR="00356F77" w:rsidRPr="000A6751">
        <w:rPr>
          <w:lang w:val="fr-FR"/>
        </w:rPr>
        <w:t>’</w:t>
      </w:r>
      <w:r w:rsidRPr="0042098D">
        <w:rPr>
          <w:lang w:val="fr-FR"/>
        </w:rPr>
        <w:t>État partie selon lesquelles une enveloppe financière est proposée pour soutenir les projets des associations œuvrant pour promouvoir le droit des femmes au travail. Il prend également note de l</w:t>
      </w:r>
      <w:r w:rsidR="00356F77" w:rsidRPr="000A6751">
        <w:rPr>
          <w:lang w:val="fr-FR"/>
        </w:rPr>
        <w:t>’</w:t>
      </w:r>
      <w:r w:rsidRPr="0042098D">
        <w:rPr>
          <w:lang w:val="fr-FR"/>
        </w:rPr>
        <w:t>indication de l</w:t>
      </w:r>
      <w:r w:rsidR="00356F77" w:rsidRPr="000A6751">
        <w:rPr>
          <w:lang w:val="fr-FR"/>
        </w:rPr>
        <w:t>’</w:t>
      </w:r>
      <w:r w:rsidRPr="0042098D">
        <w:rPr>
          <w:lang w:val="fr-FR"/>
        </w:rPr>
        <w:t>État partie selon laquelle une étude stratégique sur l</w:t>
      </w:r>
      <w:r w:rsidR="00356F77" w:rsidRPr="000A6751">
        <w:rPr>
          <w:lang w:val="fr-FR"/>
        </w:rPr>
        <w:t>’</w:t>
      </w:r>
      <w:r w:rsidRPr="0042098D">
        <w:rPr>
          <w:lang w:val="fr-FR"/>
        </w:rPr>
        <w:t>autonomisation économique des femmes est en cours d</w:t>
      </w:r>
      <w:r w:rsidR="00356F77" w:rsidRPr="000A6751">
        <w:rPr>
          <w:lang w:val="fr-FR"/>
        </w:rPr>
        <w:t>’</w:t>
      </w:r>
      <w:r w:rsidRPr="0042098D">
        <w:rPr>
          <w:lang w:val="fr-FR"/>
        </w:rPr>
        <w:t>élaboration afin de jeter les bases d</w:t>
      </w:r>
      <w:r w:rsidR="00356F77" w:rsidRPr="000A6751">
        <w:rPr>
          <w:lang w:val="fr-FR"/>
        </w:rPr>
        <w:t>’</w:t>
      </w:r>
      <w:r w:rsidRPr="0042098D">
        <w:rPr>
          <w:lang w:val="fr-FR"/>
        </w:rPr>
        <w:t>un programme national intégré d</w:t>
      </w:r>
      <w:r w:rsidR="00356F77" w:rsidRPr="000A6751">
        <w:rPr>
          <w:lang w:val="fr-FR"/>
        </w:rPr>
        <w:t>’</w:t>
      </w:r>
      <w:r w:rsidRPr="0042098D">
        <w:rPr>
          <w:lang w:val="fr-FR"/>
        </w:rPr>
        <w:t>autonomisation économique des femmes d</w:t>
      </w:r>
      <w:r w:rsidR="00356F77" w:rsidRPr="000A6751">
        <w:rPr>
          <w:lang w:val="fr-FR"/>
        </w:rPr>
        <w:t>’</w:t>
      </w:r>
      <w:r w:rsidRPr="0042098D">
        <w:rPr>
          <w:lang w:val="fr-FR"/>
        </w:rPr>
        <w:t>ici à 2030. Il reste néanmoins préoccupé par ce qui suit</w:t>
      </w:r>
      <w:r w:rsidR="00356F77" w:rsidRPr="000A6751">
        <w:rPr>
          <w:lang w:val="fr-FR"/>
        </w:rPr>
        <w:t> :</w:t>
      </w:r>
    </w:p>
    <w:p w14:paraId="1EB0F039" w14:textId="45B65D2C" w:rsidR="00356F77" w:rsidRPr="000A6751" w:rsidRDefault="001A1AA1" w:rsidP="0042098D">
      <w:pPr>
        <w:pStyle w:val="SingleTxt"/>
        <w:rPr>
          <w:lang w:val="fr-FR"/>
        </w:rPr>
      </w:pPr>
      <w:r w:rsidRPr="000A6751">
        <w:rPr>
          <w:lang w:val="fr-FR"/>
        </w:rPr>
        <w:tab/>
      </w:r>
      <w:r w:rsidR="0042098D" w:rsidRPr="0042098D">
        <w:rPr>
          <w:lang w:val="fr-FR"/>
        </w:rPr>
        <w:t>a)</w:t>
      </w:r>
      <w:r w:rsidR="0042098D" w:rsidRPr="0042098D">
        <w:rPr>
          <w:lang w:val="fr-FR"/>
        </w:rPr>
        <w:tab/>
        <w:t>Les progrès faits dans le domaine de l</w:t>
      </w:r>
      <w:r w:rsidR="00356F77" w:rsidRPr="000A6751">
        <w:rPr>
          <w:lang w:val="fr-FR"/>
        </w:rPr>
        <w:t>’</w:t>
      </w:r>
      <w:r w:rsidR="0042098D" w:rsidRPr="0042098D">
        <w:rPr>
          <w:lang w:val="fr-FR"/>
        </w:rPr>
        <w:t>éducation des femmes et des filles ne se sont pas traduits par des progrès dans le domaine de l</w:t>
      </w:r>
      <w:r w:rsidR="00356F77" w:rsidRPr="000A6751">
        <w:rPr>
          <w:lang w:val="fr-FR"/>
        </w:rPr>
        <w:t>’</w:t>
      </w:r>
      <w:r w:rsidR="0042098D" w:rsidRPr="0042098D">
        <w:rPr>
          <w:lang w:val="fr-FR"/>
        </w:rPr>
        <w:t>emploi, et la participation des femmes à l</w:t>
      </w:r>
      <w:r w:rsidR="00356F77" w:rsidRPr="000A6751">
        <w:rPr>
          <w:lang w:val="fr-FR"/>
        </w:rPr>
        <w:t>’</w:t>
      </w:r>
      <w:r w:rsidR="0042098D" w:rsidRPr="0042098D">
        <w:rPr>
          <w:lang w:val="fr-FR"/>
        </w:rPr>
        <w:t>activité économique reste faible</w:t>
      </w:r>
      <w:r w:rsidR="00356F77" w:rsidRPr="000A6751">
        <w:rPr>
          <w:lang w:val="fr-FR"/>
        </w:rPr>
        <w:t> ;</w:t>
      </w:r>
    </w:p>
    <w:p w14:paraId="464AAEF4" w14:textId="002143AB" w:rsidR="0042098D" w:rsidRPr="0042098D" w:rsidRDefault="001A1AA1" w:rsidP="0042098D">
      <w:pPr>
        <w:pStyle w:val="SingleTxt"/>
        <w:rPr>
          <w:lang w:val="fr-FR"/>
        </w:rPr>
      </w:pPr>
      <w:r w:rsidRPr="000A6751">
        <w:rPr>
          <w:lang w:val="fr-FR"/>
        </w:rPr>
        <w:tab/>
      </w:r>
      <w:r w:rsidR="0042098D" w:rsidRPr="0042098D">
        <w:rPr>
          <w:lang w:val="fr-FR"/>
        </w:rPr>
        <w:t>b)</w:t>
      </w:r>
      <w:r w:rsidR="0042098D" w:rsidRPr="0042098D">
        <w:rPr>
          <w:lang w:val="fr-FR"/>
        </w:rPr>
        <w:tab/>
        <w:t>Les disparités de genre persistent en ce qui concerne l</w:t>
      </w:r>
      <w:r w:rsidR="00356F77" w:rsidRPr="000A6751">
        <w:rPr>
          <w:lang w:val="fr-FR"/>
        </w:rPr>
        <w:t>’</w:t>
      </w:r>
      <w:r w:rsidR="0042098D" w:rsidRPr="0042098D">
        <w:rPr>
          <w:lang w:val="fr-FR"/>
        </w:rPr>
        <w:t>accès au marché du travail</w:t>
      </w:r>
      <w:r w:rsidR="00356F77" w:rsidRPr="000A6751">
        <w:rPr>
          <w:lang w:val="fr-FR"/>
        </w:rPr>
        <w:t> ;</w:t>
      </w:r>
    </w:p>
    <w:p w14:paraId="3A269DB5" w14:textId="172DB311" w:rsidR="0042098D" w:rsidRPr="0042098D" w:rsidRDefault="001A1AA1" w:rsidP="0042098D">
      <w:pPr>
        <w:pStyle w:val="SingleTxt"/>
        <w:rPr>
          <w:lang w:val="fr-FR"/>
        </w:rPr>
      </w:pPr>
      <w:r w:rsidRPr="000A6751">
        <w:rPr>
          <w:lang w:val="fr-FR"/>
        </w:rPr>
        <w:tab/>
      </w:r>
      <w:r w:rsidR="0042098D" w:rsidRPr="0042098D">
        <w:rPr>
          <w:lang w:val="fr-FR"/>
        </w:rPr>
        <w:t>c)</w:t>
      </w:r>
      <w:r w:rsidR="0042098D" w:rsidRPr="0042098D">
        <w:rPr>
          <w:lang w:val="fr-FR"/>
        </w:rPr>
        <w:tab/>
        <w:t>Que ce soit dans le secteur formel ou le secteur informel, dans les zones urbaines ou dans les zones rurales, les femmes ont un accès limité à la protection sociale sous la forme d</w:t>
      </w:r>
      <w:r w:rsidR="00356F77" w:rsidRPr="000A6751">
        <w:rPr>
          <w:lang w:val="fr-FR"/>
        </w:rPr>
        <w:t>’</w:t>
      </w:r>
      <w:r w:rsidR="0042098D" w:rsidRPr="0042098D">
        <w:rPr>
          <w:lang w:val="fr-FR"/>
        </w:rPr>
        <w:t>un contrat de travail, d</w:t>
      </w:r>
      <w:r w:rsidR="00356F77" w:rsidRPr="000A6751">
        <w:rPr>
          <w:lang w:val="fr-FR"/>
        </w:rPr>
        <w:t>’</w:t>
      </w:r>
      <w:r w:rsidR="0042098D" w:rsidRPr="0042098D">
        <w:rPr>
          <w:lang w:val="fr-FR"/>
        </w:rPr>
        <w:t>une assurance médicale ou d</w:t>
      </w:r>
      <w:r w:rsidR="00356F77" w:rsidRPr="000A6751">
        <w:rPr>
          <w:lang w:val="fr-FR"/>
        </w:rPr>
        <w:t>’</w:t>
      </w:r>
      <w:r w:rsidR="0042098D" w:rsidRPr="0042098D">
        <w:rPr>
          <w:lang w:val="fr-FR"/>
        </w:rPr>
        <w:t>une affiliation à un système de pension de retraite.</w:t>
      </w:r>
    </w:p>
    <w:p w14:paraId="67B09DFB" w14:textId="4F3B52A4" w:rsidR="00356F77" w:rsidRPr="000A6751" w:rsidRDefault="0042098D" w:rsidP="001A1AA1">
      <w:pPr>
        <w:pStyle w:val="SingleTxt"/>
        <w:numPr>
          <w:ilvl w:val="0"/>
          <w:numId w:val="29"/>
        </w:numPr>
        <w:spacing w:line="240" w:lineRule="exact"/>
        <w:ind w:left="1267"/>
        <w:rPr>
          <w:lang w:val="fr-FR"/>
        </w:rPr>
      </w:pPr>
      <w:r w:rsidRPr="0042098D">
        <w:rPr>
          <w:b/>
          <w:bCs/>
          <w:lang w:val="fr-FR"/>
        </w:rPr>
        <w:t>Rappelant ses précédentes observations finales (</w:t>
      </w:r>
      <w:hyperlink r:id="rId26" w:history="1">
        <w:r w:rsidRPr="0042098D">
          <w:rPr>
            <w:rStyle w:val="Hyperlink"/>
            <w:b/>
            <w:bCs/>
            <w:lang w:val="fr-FR"/>
          </w:rPr>
          <w:t>CEDAW/C/MAR/CO/4</w:t>
        </w:r>
      </w:hyperlink>
      <w:r w:rsidRPr="0042098D">
        <w:rPr>
          <w:b/>
          <w:bCs/>
          <w:lang w:val="fr-FR"/>
        </w:rPr>
        <w:t xml:space="preserve">, </w:t>
      </w:r>
      <w:r w:rsidR="00723C15" w:rsidRPr="000A6751">
        <w:rPr>
          <w:b/>
          <w:bCs/>
          <w:lang w:val="fr-FR"/>
        </w:rPr>
        <w:t>par. </w:t>
      </w:r>
      <w:r w:rsidRPr="0042098D">
        <w:rPr>
          <w:b/>
          <w:bCs/>
          <w:lang w:val="fr-FR"/>
        </w:rPr>
        <w:t>29), le Comité appelle l</w:t>
      </w:r>
      <w:r w:rsidR="00356F77" w:rsidRPr="000A6751">
        <w:rPr>
          <w:b/>
          <w:bCs/>
          <w:lang w:val="fr-FR"/>
        </w:rPr>
        <w:t>’</w:t>
      </w:r>
      <w:r w:rsidRPr="0042098D">
        <w:rPr>
          <w:b/>
          <w:bCs/>
          <w:lang w:val="fr-FR"/>
        </w:rPr>
        <w:t>attention sur la cible 8.5 des objectifs de développement durable, à savoir, d</w:t>
      </w:r>
      <w:r w:rsidR="00356F77" w:rsidRPr="000A6751">
        <w:rPr>
          <w:b/>
          <w:bCs/>
          <w:lang w:val="fr-FR"/>
        </w:rPr>
        <w:t>’</w:t>
      </w:r>
      <w:r w:rsidRPr="0042098D">
        <w:rPr>
          <w:b/>
          <w:bCs/>
          <w:lang w:val="fr-FR"/>
        </w:rPr>
        <w:t>ici à 2030, parvenir au plein emploi productif et garantir à toutes les femmes et à tous les hommes, y compris les jeunes et les personnes handicapées, un travail décent et un salaire égal pour un travail de valeur égale, et recommande à l</w:t>
      </w:r>
      <w:r w:rsidR="00356F77" w:rsidRPr="000A6751">
        <w:rPr>
          <w:b/>
          <w:bCs/>
          <w:lang w:val="fr-FR"/>
        </w:rPr>
        <w:t>’</w:t>
      </w:r>
      <w:r w:rsidRPr="0042098D">
        <w:rPr>
          <w:b/>
          <w:bCs/>
          <w:lang w:val="fr-FR"/>
        </w:rPr>
        <w:t>État partie de prendre des mesures pour</w:t>
      </w:r>
      <w:r w:rsidR="00356F77" w:rsidRPr="000A6751">
        <w:rPr>
          <w:b/>
          <w:bCs/>
          <w:lang w:val="fr-FR"/>
        </w:rPr>
        <w:t> :</w:t>
      </w:r>
    </w:p>
    <w:p w14:paraId="6B8CED3F" w14:textId="3E719905" w:rsidR="00356F77" w:rsidRPr="000A6751" w:rsidRDefault="001A1AA1"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Promouvoir l</w:t>
      </w:r>
      <w:r w:rsidR="00356F77" w:rsidRPr="000A6751">
        <w:rPr>
          <w:b/>
          <w:bCs/>
          <w:lang w:val="fr-FR"/>
        </w:rPr>
        <w:t>’</w:t>
      </w:r>
      <w:r w:rsidR="0042098D" w:rsidRPr="0042098D">
        <w:rPr>
          <w:b/>
          <w:bCs/>
          <w:lang w:val="fr-FR"/>
        </w:rPr>
        <w:t>accès des femmes au secteur formel après avoir terminé leurs études, notamment en améliorant la disponibilité des structures de garde d</w:t>
      </w:r>
      <w:r w:rsidR="00356F77" w:rsidRPr="000A6751">
        <w:rPr>
          <w:b/>
          <w:bCs/>
          <w:lang w:val="fr-FR"/>
        </w:rPr>
        <w:t>’</w:t>
      </w:r>
      <w:r w:rsidR="0042098D" w:rsidRPr="0042098D">
        <w:rPr>
          <w:b/>
          <w:bCs/>
          <w:lang w:val="fr-FR"/>
        </w:rPr>
        <w:t>enfants accessibles et d</w:t>
      </w:r>
      <w:r w:rsidR="00356F77" w:rsidRPr="000A6751">
        <w:rPr>
          <w:b/>
          <w:bCs/>
          <w:lang w:val="fr-FR"/>
        </w:rPr>
        <w:t>’</w:t>
      </w:r>
      <w:r w:rsidR="0042098D" w:rsidRPr="0042098D">
        <w:rPr>
          <w:b/>
          <w:bCs/>
          <w:lang w:val="fr-FR"/>
        </w:rPr>
        <w:t>un coût abordable et en introduisant des modalités de travail aménagées pour garantir l</w:t>
      </w:r>
      <w:r w:rsidR="00356F77" w:rsidRPr="000A6751">
        <w:rPr>
          <w:b/>
          <w:bCs/>
          <w:lang w:val="fr-FR"/>
        </w:rPr>
        <w:t>’</w:t>
      </w:r>
      <w:r w:rsidR="0042098D" w:rsidRPr="0042098D">
        <w:rPr>
          <w:b/>
          <w:bCs/>
          <w:lang w:val="fr-FR"/>
        </w:rPr>
        <w:t>équilibre entre vie familiale et vie professionnelle</w:t>
      </w:r>
      <w:r w:rsidR="00356F77" w:rsidRPr="000A6751">
        <w:rPr>
          <w:b/>
          <w:bCs/>
          <w:lang w:val="fr-FR"/>
        </w:rPr>
        <w:t> ;</w:t>
      </w:r>
    </w:p>
    <w:p w14:paraId="35A7DE80" w14:textId="270832EE" w:rsidR="0042098D" w:rsidRPr="0042098D" w:rsidRDefault="001A1AA1"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Éliminer la ségrégation horizontale et verticale sur le marché du travail et promouvoir l</w:t>
      </w:r>
      <w:r w:rsidR="00356F77" w:rsidRPr="000A6751">
        <w:rPr>
          <w:b/>
          <w:bCs/>
          <w:lang w:val="fr-FR"/>
        </w:rPr>
        <w:t>’</w:t>
      </w:r>
      <w:r w:rsidR="0042098D" w:rsidRPr="0042098D">
        <w:rPr>
          <w:b/>
          <w:bCs/>
          <w:lang w:val="fr-FR"/>
        </w:rPr>
        <w:t>accès des femmes au secteur formel</w:t>
      </w:r>
      <w:r w:rsidR="00356F77" w:rsidRPr="000A6751">
        <w:rPr>
          <w:b/>
          <w:bCs/>
          <w:lang w:val="fr-FR"/>
        </w:rPr>
        <w:t> ;</w:t>
      </w:r>
    </w:p>
    <w:p w14:paraId="040FAF78" w14:textId="00968D56" w:rsidR="0042098D" w:rsidRPr="0042098D" w:rsidRDefault="001A1AA1" w:rsidP="0042098D">
      <w:pPr>
        <w:pStyle w:val="SingleTxt"/>
        <w:rPr>
          <w:b/>
          <w:bCs/>
          <w:lang w:val="fr-FR"/>
        </w:rPr>
      </w:pPr>
      <w:r w:rsidRPr="000A6751">
        <w:rPr>
          <w:b/>
          <w:bCs/>
          <w:lang w:val="fr-FR"/>
        </w:rPr>
        <w:tab/>
      </w:r>
      <w:r w:rsidR="0042098D" w:rsidRPr="0042098D">
        <w:rPr>
          <w:b/>
          <w:bCs/>
          <w:lang w:val="fr-FR"/>
        </w:rPr>
        <w:t>c)</w:t>
      </w:r>
      <w:r w:rsidR="0042098D" w:rsidRPr="0042098D">
        <w:rPr>
          <w:b/>
          <w:bCs/>
          <w:lang w:val="fr-FR"/>
        </w:rPr>
        <w:tab/>
        <w:t>Fournir dans son prochain rapport des informations actualisées sur les résultats de l</w:t>
      </w:r>
      <w:r w:rsidR="00356F77" w:rsidRPr="000A6751">
        <w:rPr>
          <w:b/>
          <w:bCs/>
          <w:lang w:val="fr-FR"/>
        </w:rPr>
        <w:t>’</w:t>
      </w:r>
      <w:r w:rsidR="0042098D" w:rsidRPr="0042098D">
        <w:rPr>
          <w:b/>
          <w:bCs/>
          <w:lang w:val="fr-FR"/>
        </w:rPr>
        <w:t>étude stratégique sur l</w:t>
      </w:r>
      <w:r w:rsidR="00356F77" w:rsidRPr="000A6751">
        <w:rPr>
          <w:b/>
          <w:bCs/>
          <w:lang w:val="fr-FR"/>
        </w:rPr>
        <w:t>’</w:t>
      </w:r>
      <w:r w:rsidR="0042098D" w:rsidRPr="0042098D">
        <w:rPr>
          <w:b/>
          <w:bCs/>
          <w:lang w:val="fr-FR"/>
        </w:rPr>
        <w:t>autonomisation économique des femmes afin de jeter les bases de l</w:t>
      </w:r>
      <w:r w:rsidR="00356F77" w:rsidRPr="000A6751">
        <w:rPr>
          <w:b/>
          <w:bCs/>
          <w:lang w:val="fr-FR"/>
        </w:rPr>
        <w:t>’</w:t>
      </w:r>
      <w:r w:rsidR="0042098D" w:rsidRPr="0042098D">
        <w:rPr>
          <w:b/>
          <w:bCs/>
          <w:lang w:val="fr-FR"/>
        </w:rPr>
        <w:t>élaboration d</w:t>
      </w:r>
      <w:r w:rsidR="00356F77" w:rsidRPr="000A6751">
        <w:rPr>
          <w:b/>
          <w:bCs/>
          <w:lang w:val="fr-FR"/>
        </w:rPr>
        <w:t>’</w:t>
      </w:r>
      <w:r w:rsidR="0042098D" w:rsidRPr="0042098D">
        <w:rPr>
          <w:b/>
          <w:bCs/>
          <w:lang w:val="fr-FR"/>
        </w:rPr>
        <w:t>un programme national intégré d</w:t>
      </w:r>
      <w:r w:rsidR="00356F77" w:rsidRPr="000A6751">
        <w:rPr>
          <w:b/>
          <w:bCs/>
          <w:lang w:val="fr-FR"/>
        </w:rPr>
        <w:t>’</w:t>
      </w:r>
      <w:r w:rsidR="0042098D" w:rsidRPr="0042098D">
        <w:rPr>
          <w:b/>
          <w:bCs/>
          <w:lang w:val="fr-FR"/>
        </w:rPr>
        <w:t>autonomisation économique des femmes d</w:t>
      </w:r>
      <w:r w:rsidR="00356F77" w:rsidRPr="000A6751">
        <w:rPr>
          <w:b/>
          <w:bCs/>
          <w:lang w:val="fr-FR"/>
        </w:rPr>
        <w:t>’</w:t>
      </w:r>
      <w:r w:rsidR="0042098D" w:rsidRPr="0042098D">
        <w:rPr>
          <w:b/>
          <w:bCs/>
          <w:lang w:val="fr-FR"/>
        </w:rPr>
        <w:t>ici à 2030</w:t>
      </w:r>
      <w:r w:rsidR="00356F77" w:rsidRPr="000A6751">
        <w:rPr>
          <w:b/>
          <w:bCs/>
          <w:lang w:val="fr-FR"/>
        </w:rPr>
        <w:t> ;</w:t>
      </w:r>
    </w:p>
    <w:p w14:paraId="11E51C6C" w14:textId="2AB8CA8D" w:rsidR="00356F77" w:rsidRPr="000A6751" w:rsidRDefault="001A1AA1" w:rsidP="0042098D">
      <w:pPr>
        <w:pStyle w:val="SingleTxt"/>
        <w:rPr>
          <w:b/>
          <w:bCs/>
          <w:lang w:val="fr-FR"/>
        </w:rPr>
      </w:pPr>
      <w:r w:rsidRPr="000A6751">
        <w:rPr>
          <w:b/>
          <w:bCs/>
          <w:lang w:val="fr-FR"/>
        </w:rPr>
        <w:tab/>
      </w:r>
      <w:r w:rsidR="0042098D" w:rsidRPr="0042098D">
        <w:rPr>
          <w:b/>
          <w:bCs/>
          <w:lang w:val="fr-FR"/>
        </w:rPr>
        <w:t>d)</w:t>
      </w:r>
      <w:r w:rsidR="0042098D" w:rsidRPr="0042098D">
        <w:rPr>
          <w:b/>
          <w:bCs/>
          <w:lang w:val="fr-FR"/>
        </w:rPr>
        <w:tab/>
        <w:t>Prévenir et surveiller le harcèlement sexuel sur le lieu de travail, notamment à l</w:t>
      </w:r>
      <w:r w:rsidR="00356F77" w:rsidRPr="000A6751">
        <w:rPr>
          <w:b/>
          <w:bCs/>
          <w:lang w:val="fr-FR"/>
        </w:rPr>
        <w:t>’</w:t>
      </w:r>
      <w:r w:rsidR="0042098D" w:rsidRPr="0042098D">
        <w:rPr>
          <w:b/>
          <w:bCs/>
          <w:lang w:val="fr-FR"/>
        </w:rPr>
        <w:t>égard des jeunes femmes, des femmes handicapées et des femmes lesbiennes, bisexuelles, transgenres et intersexes</w:t>
      </w:r>
      <w:r w:rsidR="00356F77" w:rsidRPr="000A6751">
        <w:rPr>
          <w:b/>
          <w:bCs/>
          <w:lang w:val="fr-FR"/>
        </w:rPr>
        <w:t> ;</w:t>
      </w:r>
    </w:p>
    <w:p w14:paraId="5667BAC7" w14:textId="0E3F4072" w:rsidR="00356F77" w:rsidRPr="000A6751" w:rsidRDefault="001A1AA1" w:rsidP="0042098D">
      <w:pPr>
        <w:pStyle w:val="SingleTxt"/>
        <w:rPr>
          <w:b/>
          <w:bCs/>
          <w:lang w:val="fr-FR"/>
        </w:rPr>
      </w:pPr>
      <w:r w:rsidRPr="000A6751">
        <w:rPr>
          <w:b/>
          <w:bCs/>
          <w:lang w:val="fr-FR"/>
        </w:rPr>
        <w:tab/>
      </w:r>
      <w:r w:rsidR="0042098D" w:rsidRPr="0042098D">
        <w:rPr>
          <w:b/>
          <w:bCs/>
          <w:lang w:val="fr-FR"/>
        </w:rPr>
        <w:t>e)</w:t>
      </w:r>
      <w:r w:rsidR="0042098D" w:rsidRPr="0042098D">
        <w:rPr>
          <w:b/>
          <w:bCs/>
          <w:lang w:val="fr-FR"/>
        </w:rPr>
        <w:tab/>
        <w:t>Fournir dans son prochain rapport des données actualisées sur l</w:t>
      </w:r>
      <w:r w:rsidR="00356F77" w:rsidRPr="000A6751">
        <w:rPr>
          <w:b/>
          <w:bCs/>
          <w:lang w:val="fr-FR"/>
        </w:rPr>
        <w:t>’</w:t>
      </w:r>
      <w:r w:rsidR="0042098D" w:rsidRPr="0042098D">
        <w:rPr>
          <w:b/>
          <w:bCs/>
          <w:lang w:val="fr-FR"/>
        </w:rPr>
        <w:t>accès des femmes à la sécurité sociale et des informations sur l</w:t>
      </w:r>
      <w:r w:rsidR="00356F77" w:rsidRPr="000A6751">
        <w:rPr>
          <w:b/>
          <w:bCs/>
          <w:lang w:val="fr-FR"/>
        </w:rPr>
        <w:t>’</w:t>
      </w:r>
      <w:r w:rsidR="0042098D" w:rsidRPr="0042098D">
        <w:rPr>
          <w:b/>
          <w:bCs/>
          <w:lang w:val="fr-FR"/>
        </w:rPr>
        <w:t>efficacité du décret n</w:t>
      </w:r>
      <w:r w:rsidR="0042098D" w:rsidRPr="0042098D">
        <w:rPr>
          <w:b/>
          <w:bCs/>
          <w:vertAlign w:val="superscript"/>
          <w:lang w:val="fr-FR"/>
        </w:rPr>
        <w:t>o</w:t>
      </w:r>
      <w:r w:rsidR="0042098D" w:rsidRPr="0042098D">
        <w:rPr>
          <w:b/>
          <w:bCs/>
          <w:lang w:val="fr-FR"/>
        </w:rPr>
        <w:t> 2.18.686, du décret n</w:t>
      </w:r>
      <w:r w:rsidR="0042098D" w:rsidRPr="0042098D">
        <w:rPr>
          <w:b/>
          <w:bCs/>
          <w:vertAlign w:val="superscript"/>
          <w:lang w:val="fr-FR"/>
        </w:rPr>
        <w:t>o</w:t>
      </w:r>
      <w:r w:rsidR="0042098D" w:rsidRPr="0042098D">
        <w:rPr>
          <w:b/>
          <w:bCs/>
          <w:lang w:val="fr-FR"/>
        </w:rPr>
        <w:t> 2.20.659 et du décret n</w:t>
      </w:r>
      <w:r w:rsidR="0042098D" w:rsidRPr="0042098D">
        <w:rPr>
          <w:b/>
          <w:bCs/>
          <w:vertAlign w:val="superscript"/>
          <w:lang w:val="fr-FR"/>
        </w:rPr>
        <w:t>o</w:t>
      </w:r>
      <w:r w:rsidR="0042098D" w:rsidRPr="0042098D">
        <w:rPr>
          <w:b/>
          <w:bCs/>
          <w:lang w:val="fr-FR"/>
        </w:rPr>
        <w:t> 2.20.658.</w:t>
      </w:r>
    </w:p>
    <w:p w14:paraId="046CD35B" w14:textId="77777777" w:rsidR="001A1AA1" w:rsidRPr="000A6751" w:rsidRDefault="001A1AA1" w:rsidP="001A1AA1">
      <w:pPr>
        <w:pStyle w:val="SingleTxt"/>
        <w:spacing w:after="0" w:line="120" w:lineRule="exact"/>
        <w:rPr>
          <w:sz w:val="10"/>
          <w:lang w:val="fr-FR"/>
        </w:rPr>
      </w:pPr>
    </w:p>
    <w:p w14:paraId="21DD4E58" w14:textId="5DF4EF26" w:rsidR="0042098D" w:rsidRPr="000A6751" w:rsidRDefault="0042098D" w:rsidP="001A1AA1">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lastRenderedPageBreak/>
        <w:tab/>
      </w:r>
      <w:r w:rsidRPr="000A6751">
        <w:rPr>
          <w:lang w:val="fr-FR"/>
        </w:rPr>
        <w:tab/>
        <w:t>Santé</w:t>
      </w:r>
    </w:p>
    <w:p w14:paraId="18875B46" w14:textId="1BC5576F" w:rsidR="001A1AA1" w:rsidRPr="000A6751" w:rsidRDefault="001A1AA1" w:rsidP="001A1AA1">
      <w:pPr>
        <w:pStyle w:val="SingleTxt"/>
        <w:keepNext/>
        <w:spacing w:after="0" w:line="120" w:lineRule="exact"/>
        <w:rPr>
          <w:sz w:val="10"/>
          <w:lang w:val="fr-FR"/>
        </w:rPr>
      </w:pPr>
    </w:p>
    <w:p w14:paraId="01FFC2F7" w14:textId="7195AFF2" w:rsidR="00356F77" w:rsidRPr="000A6751" w:rsidRDefault="0042098D" w:rsidP="001A1AA1">
      <w:pPr>
        <w:pStyle w:val="SingleTxt"/>
        <w:numPr>
          <w:ilvl w:val="0"/>
          <w:numId w:val="29"/>
        </w:numPr>
        <w:spacing w:line="240" w:lineRule="exact"/>
        <w:ind w:left="1267"/>
        <w:rPr>
          <w:lang w:val="fr-FR"/>
        </w:rPr>
      </w:pPr>
      <w:r w:rsidRPr="0042098D">
        <w:rPr>
          <w:lang w:val="fr-FR"/>
        </w:rPr>
        <w:t>Le Comité se félicite de la diminution des taux de mortalité infantile et maternelle entre 2010 et 2017. Il prend note avec satisfaction de l</w:t>
      </w:r>
      <w:r w:rsidR="00356F77" w:rsidRPr="000A6751">
        <w:rPr>
          <w:lang w:val="fr-FR"/>
        </w:rPr>
        <w:t>’</w:t>
      </w:r>
      <w:r w:rsidRPr="0042098D">
        <w:rPr>
          <w:lang w:val="fr-FR"/>
        </w:rPr>
        <w:t>augmentation du nombre d</w:t>
      </w:r>
      <w:r w:rsidR="00356F77" w:rsidRPr="000A6751">
        <w:rPr>
          <w:lang w:val="fr-FR"/>
        </w:rPr>
        <w:t>’</w:t>
      </w:r>
      <w:r w:rsidRPr="0042098D">
        <w:rPr>
          <w:lang w:val="fr-FR"/>
        </w:rPr>
        <w:t>unités médicales mobiles desservant les populations des zones reculées, et des campagnes nationales menées pour inciter les femmes enceintes à utiliser les services de santé pour surveiller leur grossesse et leur accouchement. Il demeure toutefois préoccupé par les points suivants</w:t>
      </w:r>
      <w:r w:rsidR="00356F77" w:rsidRPr="000A6751">
        <w:rPr>
          <w:lang w:val="fr-FR"/>
        </w:rPr>
        <w:t> :</w:t>
      </w:r>
    </w:p>
    <w:p w14:paraId="0023A6C0" w14:textId="344AC6AE" w:rsidR="00356F77" w:rsidRPr="000A6751" w:rsidRDefault="001A1AA1" w:rsidP="0042098D">
      <w:pPr>
        <w:pStyle w:val="SingleTxt"/>
        <w:rPr>
          <w:lang w:val="fr-FR"/>
        </w:rPr>
      </w:pPr>
      <w:r w:rsidRPr="000A6751">
        <w:rPr>
          <w:lang w:val="fr-FR"/>
        </w:rPr>
        <w:tab/>
      </w:r>
      <w:r w:rsidR="0042098D" w:rsidRPr="0042098D">
        <w:rPr>
          <w:lang w:val="fr-FR"/>
        </w:rPr>
        <w:t>a)</w:t>
      </w:r>
      <w:r w:rsidR="0042098D" w:rsidRPr="0042098D">
        <w:rPr>
          <w:lang w:val="fr-FR"/>
        </w:rPr>
        <w:tab/>
        <w:t>L</w:t>
      </w:r>
      <w:r w:rsidR="00356F77" w:rsidRPr="000A6751">
        <w:rPr>
          <w:lang w:val="fr-FR"/>
        </w:rPr>
        <w:t>’</w:t>
      </w:r>
      <w:r w:rsidR="0042098D" w:rsidRPr="0042098D">
        <w:rPr>
          <w:lang w:val="fr-FR"/>
        </w:rPr>
        <w:t>accès aux soins de santé est largement déterminé par le contexte social et géographique</w:t>
      </w:r>
      <w:r w:rsidR="00356F77" w:rsidRPr="000A6751">
        <w:rPr>
          <w:lang w:val="fr-FR"/>
        </w:rPr>
        <w:t> ;</w:t>
      </w:r>
    </w:p>
    <w:p w14:paraId="686E5054" w14:textId="33B4D489" w:rsidR="00356F77" w:rsidRPr="000A6751" w:rsidRDefault="001A1AA1" w:rsidP="0042098D">
      <w:pPr>
        <w:pStyle w:val="SingleTxt"/>
        <w:rPr>
          <w:lang w:val="fr-FR"/>
        </w:rPr>
      </w:pPr>
      <w:r w:rsidRPr="000A6751">
        <w:rPr>
          <w:lang w:val="fr-FR"/>
        </w:rPr>
        <w:tab/>
      </w:r>
      <w:r w:rsidR="0042098D" w:rsidRPr="0042098D">
        <w:rPr>
          <w:lang w:val="fr-FR"/>
        </w:rPr>
        <w:t>b)</w:t>
      </w:r>
      <w:r w:rsidR="0042098D" w:rsidRPr="0042098D">
        <w:rPr>
          <w:lang w:val="fr-FR"/>
        </w:rPr>
        <w:tab/>
        <w:t>On constate un manque de sensibilisation et d</w:t>
      </w:r>
      <w:r w:rsidR="00356F77" w:rsidRPr="000A6751">
        <w:rPr>
          <w:lang w:val="fr-FR"/>
        </w:rPr>
        <w:t>’</w:t>
      </w:r>
      <w:r w:rsidR="0042098D" w:rsidRPr="0042098D">
        <w:rPr>
          <w:lang w:val="fr-FR"/>
        </w:rPr>
        <w:t>éducation parmi les jeunes en matière de santé sexuelle et procréative</w:t>
      </w:r>
      <w:r w:rsidR="00356F77" w:rsidRPr="000A6751">
        <w:rPr>
          <w:lang w:val="fr-FR"/>
        </w:rPr>
        <w:t> ;</w:t>
      </w:r>
    </w:p>
    <w:p w14:paraId="06717565" w14:textId="3B4A4A26" w:rsidR="0042098D" w:rsidRPr="0042098D" w:rsidRDefault="001A1AA1" w:rsidP="0042098D">
      <w:pPr>
        <w:pStyle w:val="SingleTxt"/>
        <w:rPr>
          <w:lang w:val="fr-FR"/>
        </w:rPr>
      </w:pPr>
      <w:r w:rsidRPr="000A6751">
        <w:rPr>
          <w:lang w:val="fr-FR"/>
        </w:rPr>
        <w:tab/>
      </w:r>
      <w:r w:rsidR="0042098D" w:rsidRPr="0042098D">
        <w:rPr>
          <w:lang w:val="fr-FR"/>
        </w:rPr>
        <w:t>c)</w:t>
      </w:r>
      <w:r w:rsidR="0042098D" w:rsidRPr="0042098D">
        <w:rPr>
          <w:lang w:val="fr-FR"/>
        </w:rPr>
        <w:tab/>
        <w:t>Malgré la modification apportée à l</w:t>
      </w:r>
      <w:r w:rsidR="00356F77" w:rsidRPr="000A6751">
        <w:rPr>
          <w:lang w:val="fr-FR"/>
        </w:rPr>
        <w:t>’</w:t>
      </w:r>
      <w:r w:rsidR="0042098D" w:rsidRPr="0042098D">
        <w:rPr>
          <w:lang w:val="fr-FR"/>
        </w:rPr>
        <w:t>article 453 du Code pénal afin d</w:t>
      </w:r>
      <w:r w:rsidR="00356F77" w:rsidRPr="000A6751">
        <w:rPr>
          <w:lang w:val="fr-FR"/>
        </w:rPr>
        <w:t>’</w:t>
      </w:r>
      <w:r w:rsidR="0042098D" w:rsidRPr="0042098D">
        <w:rPr>
          <w:lang w:val="fr-FR"/>
        </w:rPr>
        <w:t>autoriser l</w:t>
      </w:r>
      <w:r w:rsidR="00356F77" w:rsidRPr="000A6751">
        <w:rPr>
          <w:lang w:val="fr-FR"/>
        </w:rPr>
        <w:t>’</w:t>
      </w:r>
      <w:r w:rsidR="0042098D" w:rsidRPr="0042098D">
        <w:rPr>
          <w:lang w:val="fr-FR"/>
        </w:rPr>
        <w:t>avortement dans des cas précis, la plupart des avortements restent illégaux, ce qui peut pousser des femmes et des jeunes filles à continuer de chercher à avorter clandestinement, au péril de leur santé et de leur vie</w:t>
      </w:r>
      <w:r w:rsidR="00356F77" w:rsidRPr="000A6751">
        <w:rPr>
          <w:lang w:val="fr-FR"/>
        </w:rPr>
        <w:t> ;</w:t>
      </w:r>
    </w:p>
    <w:p w14:paraId="49B1482E" w14:textId="2C0B62BE" w:rsidR="0042098D" w:rsidRPr="0042098D" w:rsidRDefault="001A1AA1" w:rsidP="0042098D">
      <w:pPr>
        <w:pStyle w:val="SingleTxt"/>
        <w:rPr>
          <w:lang w:val="fr-FR"/>
        </w:rPr>
      </w:pPr>
      <w:r w:rsidRPr="000A6751">
        <w:rPr>
          <w:lang w:val="fr-FR"/>
        </w:rPr>
        <w:tab/>
      </w:r>
      <w:r w:rsidR="0042098D" w:rsidRPr="0042098D">
        <w:rPr>
          <w:lang w:val="fr-FR"/>
        </w:rPr>
        <w:t>d)</w:t>
      </w:r>
      <w:r w:rsidR="0042098D" w:rsidRPr="0042098D">
        <w:rPr>
          <w:lang w:val="fr-FR"/>
        </w:rPr>
        <w:tab/>
        <w:t>Le consentement du mari, des parents ou du tuteur est toujours requis pour l</w:t>
      </w:r>
      <w:r w:rsidR="00356F77" w:rsidRPr="000A6751">
        <w:rPr>
          <w:lang w:val="fr-FR"/>
        </w:rPr>
        <w:t>’</w:t>
      </w:r>
      <w:r w:rsidR="0042098D" w:rsidRPr="0042098D">
        <w:rPr>
          <w:lang w:val="fr-FR"/>
        </w:rPr>
        <w:t>avortement dans les cas où la femme souffre de problèmes de santé mentale</w:t>
      </w:r>
      <w:r w:rsidR="00356F77" w:rsidRPr="000A6751">
        <w:rPr>
          <w:lang w:val="fr-FR"/>
        </w:rPr>
        <w:t> ;</w:t>
      </w:r>
    </w:p>
    <w:p w14:paraId="312AF829" w14:textId="4BD7E764" w:rsidR="0042098D" w:rsidRPr="0042098D" w:rsidRDefault="001A1AA1" w:rsidP="0042098D">
      <w:pPr>
        <w:pStyle w:val="SingleTxt"/>
        <w:rPr>
          <w:lang w:val="fr-FR"/>
        </w:rPr>
      </w:pPr>
      <w:r w:rsidRPr="000A6751">
        <w:rPr>
          <w:lang w:val="fr-FR"/>
        </w:rPr>
        <w:tab/>
      </w:r>
      <w:r w:rsidR="0042098D" w:rsidRPr="0042098D">
        <w:rPr>
          <w:lang w:val="fr-FR"/>
        </w:rPr>
        <w:t>e)</w:t>
      </w:r>
      <w:r w:rsidR="0042098D" w:rsidRPr="0042098D">
        <w:rPr>
          <w:lang w:val="fr-FR"/>
        </w:rPr>
        <w:tab/>
        <w:t>Les informations sur le nombre d</w:t>
      </w:r>
      <w:r w:rsidR="00356F77" w:rsidRPr="000A6751">
        <w:rPr>
          <w:lang w:val="fr-FR"/>
        </w:rPr>
        <w:t>’</w:t>
      </w:r>
      <w:r w:rsidR="0042098D" w:rsidRPr="0042098D">
        <w:rPr>
          <w:lang w:val="fr-FR"/>
        </w:rPr>
        <w:t>avortements clandestins pratiqués dans l</w:t>
      </w:r>
      <w:r w:rsidR="00356F77" w:rsidRPr="000A6751">
        <w:rPr>
          <w:lang w:val="fr-FR"/>
        </w:rPr>
        <w:t>’</w:t>
      </w:r>
      <w:r w:rsidR="0042098D" w:rsidRPr="0042098D">
        <w:rPr>
          <w:lang w:val="fr-FR"/>
        </w:rPr>
        <w:t>État partie font défaut.</w:t>
      </w:r>
    </w:p>
    <w:p w14:paraId="5C9612D8" w14:textId="01A8619E" w:rsidR="00356F77" w:rsidRPr="000A6751" w:rsidRDefault="0042098D" w:rsidP="001A1AA1">
      <w:pPr>
        <w:pStyle w:val="SingleTxt"/>
        <w:numPr>
          <w:ilvl w:val="0"/>
          <w:numId w:val="29"/>
        </w:numPr>
        <w:spacing w:line="240" w:lineRule="exact"/>
        <w:ind w:left="1267"/>
        <w:rPr>
          <w:lang w:val="fr-FR"/>
        </w:rPr>
      </w:pPr>
      <w:r w:rsidRPr="0042098D">
        <w:rPr>
          <w:b/>
          <w:bCs/>
          <w:lang w:val="fr-FR"/>
        </w:rPr>
        <w:t>Le Comité rappelle ses précédentes observations finales (</w:t>
      </w:r>
      <w:hyperlink r:id="rId27" w:history="1">
        <w:r w:rsidRPr="0042098D">
          <w:rPr>
            <w:rStyle w:val="Hyperlink"/>
            <w:b/>
            <w:bCs/>
            <w:lang w:val="fr-FR"/>
          </w:rPr>
          <w:t>CEDAW/C/MAR/CO/4</w:t>
        </w:r>
      </w:hyperlink>
      <w:r w:rsidRPr="0042098D">
        <w:rPr>
          <w:b/>
          <w:bCs/>
          <w:lang w:val="fr-FR"/>
        </w:rPr>
        <w:t xml:space="preserve">, </w:t>
      </w:r>
      <w:r w:rsidR="00723C15" w:rsidRPr="000A6751">
        <w:rPr>
          <w:b/>
          <w:bCs/>
          <w:lang w:val="fr-FR"/>
        </w:rPr>
        <w:t>par. </w:t>
      </w:r>
      <w:r w:rsidRPr="0042098D">
        <w:rPr>
          <w:b/>
          <w:bCs/>
          <w:lang w:val="fr-FR"/>
        </w:rPr>
        <w:t>31) et, à la lumière de sa recommandation générale n</w:t>
      </w:r>
      <w:r w:rsidRPr="0042098D">
        <w:rPr>
          <w:b/>
          <w:bCs/>
          <w:vertAlign w:val="superscript"/>
          <w:lang w:val="fr-FR"/>
        </w:rPr>
        <w:t>o</w:t>
      </w:r>
      <w:r w:rsidRPr="0042098D">
        <w:rPr>
          <w:b/>
          <w:bCs/>
          <w:lang w:val="fr-FR"/>
        </w:rPr>
        <w:t> 24 (1999) sur les femmes et la santé, recommande à l</w:t>
      </w:r>
      <w:r w:rsidR="00356F77" w:rsidRPr="000A6751">
        <w:rPr>
          <w:b/>
          <w:bCs/>
          <w:lang w:val="fr-FR"/>
        </w:rPr>
        <w:t>’</w:t>
      </w:r>
      <w:r w:rsidRPr="0042098D">
        <w:rPr>
          <w:b/>
          <w:bCs/>
          <w:lang w:val="fr-FR"/>
        </w:rPr>
        <w:t>État partie</w:t>
      </w:r>
      <w:r w:rsidR="00356F77" w:rsidRPr="000A6751">
        <w:rPr>
          <w:b/>
          <w:bCs/>
          <w:lang w:val="fr-FR"/>
        </w:rPr>
        <w:t> :</w:t>
      </w:r>
    </w:p>
    <w:p w14:paraId="20CDEA81" w14:textId="33B59D6D" w:rsidR="00356F77" w:rsidRPr="000A6751" w:rsidRDefault="001A1AA1"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De continuer à redoubler d</w:t>
      </w:r>
      <w:r w:rsidR="00356F77" w:rsidRPr="000A6751">
        <w:rPr>
          <w:b/>
          <w:bCs/>
          <w:lang w:val="fr-FR"/>
        </w:rPr>
        <w:t>’</w:t>
      </w:r>
      <w:r w:rsidR="0042098D" w:rsidRPr="0042098D">
        <w:rPr>
          <w:b/>
          <w:bCs/>
          <w:lang w:val="fr-FR"/>
        </w:rPr>
        <w:t>efforts pour garantir un accès équitable et effectif aux soins de santé à toutes les femmes et toutes les filles, y compris les femmes et les filles des zones rurales et des groupes défavorisés</w:t>
      </w:r>
      <w:r w:rsidR="00356F77" w:rsidRPr="000A6751">
        <w:rPr>
          <w:b/>
          <w:bCs/>
          <w:lang w:val="fr-FR"/>
        </w:rPr>
        <w:t> ;</w:t>
      </w:r>
    </w:p>
    <w:p w14:paraId="79668400" w14:textId="59652CD3" w:rsidR="0042098D" w:rsidRPr="0042098D" w:rsidRDefault="001A1AA1"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prendre des mesures pour que les informations relatives à la santé sexuelle et procréative soient largement accessibles aux jeunes, notamment en ajoutant l</w:t>
      </w:r>
      <w:r w:rsidR="00356F77" w:rsidRPr="000A6751">
        <w:rPr>
          <w:b/>
          <w:bCs/>
          <w:lang w:val="fr-FR"/>
        </w:rPr>
        <w:t>’</w:t>
      </w:r>
      <w:r w:rsidR="0042098D" w:rsidRPr="0042098D">
        <w:rPr>
          <w:b/>
          <w:bCs/>
          <w:lang w:val="fr-FR"/>
        </w:rPr>
        <w:t>éducation sexuelle complète aux programmes scolaires</w:t>
      </w:r>
      <w:r w:rsidR="00356F77" w:rsidRPr="000A6751">
        <w:rPr>
          <w:b/>
          <w:bCs/>
          <w:lang w:val="fr-FR"/>
        </w:rPr>
        <w:t> ;</w:t>
      </w:r>
    </w:p>
    <w:p w14:paraId="17B416BE" w14:textId="197571E9" w:rsidR="00356F77" w:rsidRPr="000A6751" w:rsidRDefault="001A1AA1" w:rsidP="0042098D">
      <w:pPr>
        <w:pStyle w:val="SingleTxt"/>
        <w:rPr>
          <w:b/>
          <w:bCs/>
          <w:lang w:val="fr-FR"/>
        </w:rPr>
      </w:pPr>
      <w:r w:rsidRPr="000A6751">
        <w:rPr>
          <w:b/>
          <w:bCs/>
          <w:lang w:val="fr-FR"/>
        </w:rPr>
        <w:tab/>
      </w:r>
      <w:r w:rsidR="0042098D" w:rsidRPr="0042098D">
        <w:rPr>
          <w:b/>
          <w:bCs/>
          <w:lang w:val="fr-FR"/>
        </w:rPr>
        <w:t>c)</w:t>
      </w:r>
      <w:r w:rsidR="0042098D" w:rsidRPr="0042098D">
        <w:rPr>
          <w:b/>
          <w:bCs/>
          <w:lang w:val="fr-FR"/>
        </w:rPr>
        <w:tab/>
        <w:t>D</w:t>
      </w:r>
      <w:r w:rsidR="00356F77" w:rsidRPr="000A6751">
        <w:rPr>
          <w:b/>
          <w:bCs/>
          <w:lang w:val="fr-FR"/>
        </w:rPr>
        <w:t>’</w:t>
      </w:r>
      <w:r w:rsidR="0042098D" w:rsidRPr="0042098D">
        <w:rPr>
          <w:b/>
          <w:bCs/>
          <w:lang w:val="fr-FR"/>
        </w:rPr>
        <w:t>envisager de modifier l</w:t>
      </w:r>
      <w:r w:rsidR="00356F77" w:rsidRPr="000A6751">
        <w:rPr>
          <w:b/>
          <w:bCs/>
          <w:lang w:val="fr-FR"/>
        </w:rPr>
        <w:t>’</w:t>
      </w:r>
      <w:r w:rsidR="0042098D" w:rsidRPr="0042098D">
        <w:rPr>
          <w:b/>
          <w:bCs/>
          <w:lang w:val="fr-FR"/>
        </w:rPr>
        <w:t>article 453 du Code pénal afin de dépénaliser l</w:t>
      </w:r>
      <w:r w:rsidR="00356F77" w:rsidRPr="000A6751">
        <w:rPr>
          <w:b/>
          <w:bCs/>
          <w:lang w:val="fr-FR"/>
        </w:rPr>
        <w:t>’</w:t>
      </w:r>
      <w:r w:rsidR="0042098D" w:rsidRPr="0042098D">
        <w:rPr>
          <w:b/>
          <w:bCs/>
          <w:lang w:val="fr-FR"/>
        </w:rPr>
        <w:t>avortement lorsqu</w:t>
      </w:r>
      <w:r w:rsidR="00356F77" w:rsidRPr="000A6751">
        <w:rPr>
          <w:b/>
          <w:bCs/>
          <w:lang w:val="fr-FR"/>
        </w:rPr>
        <w:t>’</w:t>
      </w:r>
      <w:r w:rsidR="0042098D" w:rsidRPr="0042098D">
        <w:rPr>
          <w:b/>
          <w:bCs/>
          <w:lang w:val="fr-FR"/>
        </w:rPr>
        <w:t>il est nécessaire pour protéger la santé de la femme, notamment son bien-être physique, mental et social, conformément à la définition de la santé donnée par l</w:t>
      </w:r>
      <w:r w:rsidR="00356F77" w:rsidRPr="000A6751">
        <w:rPr>
          <w:b/>
          <w:bCs/>
          <w:lang w:val="fr-FR"/>
        </w:rPr>
        <w:t>’</w:t>
      </w:r>
      <w:r w:rsidR="0042098D" w:rsidRPr="0042098D">
        <w:rPr>
          <w:b/>
          <w:bCs/>
          <w:lang w:val="fr-FR"/>
        </w:rPr>
        <w:t>Organisation mondiale de la Santé en 1948</w:t>
      </w:r>
      <w:r w:rsidR="00356F77" w:rsidRPr="000A6751">
        <w:rPr>
          <w:b/>
          <w:bCs/>
          <w:lang w:val="fr-FR"/>
        </w:rPr>
        <w:t> ;</w:t>
      </w:r>
    </w:p>
    <w:p w14:paraId="101DC3BA" w14:textId="499FABF2" w:rsidR="00356F77" w:rsidRPr="000A6751" w:rsidRDefault="001A1AA1" w:rsidP="0042098D">
      <w:pPr>
        <w:pStyle w:val="SingleTxt"/>
        <w:rPr>
          <w:b/>
          <w:bCs/>
          <w:lang w:val="fr-FR"/>
        </w:rPr>
      </w:pPr>
      <w:r w:rsidRPr="000A6751">
        <w:rPr>
          <w:b/>
          <w:bCs/>
          <w:lang w:val="fr-FR"/>
        </w:rPr>
        <w:tab/>
      </w:r>
      <w:r w:rsidR="0042098D" w:rsidRPr="0042098D">
        <w:rPr>
          <w:b/>
          <w:bCs/>
          <w:lang w:val="fr-FR"/>
        </w:rPr>
        <w:t>d)</w:t>
      </w:r>
      <w:r w:rsidR="0042098D" w:rsidRPr="0042098D">
        <w:rPr>
          <w:b/>
          <w:bCs/>
          <w:lang w:val="fr-FR"/>
        </w:rPr>
        <w:tab/>
        <w:t>De prendre des mesures pour garantir l</w:t>
      </w:r>
      <w:r w:rsidR="00356F77" w:rsidRPr="000A6751">
        <w:rPr>
          <w:b/>
          <w:bCs/>
          <w:lang w:val="fr-FR"/>
        </w:rPr>
        <w:t>’</w:t>
      </w:r>
      <w:r w:rsidR="0042098D" w:rsidRPr="0042098D">
        <w:rPr>
          <w:b/>
          <w:bCs/>
          <w:lang w:val="fr-FR"/>
        </w:rPr>
        <w:t>accès des femmes et des jeunes filles, y compris celles des zones rurales, à l</w:t>
      </w:r>
      <w:r w:rsidR="00356F77" w:rsidRPr="000A6751">
        <w:rPr>
          <w:b/>
          <w:bCs/>
          <w:lang w:val="fr-FR"/>
        </w:rPr>
        <w:t>’</w:t>
      </w:r>
      <w:r w:rsidR="0042098D" w:rsidRPr="0042098D">
        <w:rPr>
          <w:b/>
          <w:bCs/>
          <w:lang w:val="fr-FR"/>
        </w:rPr>
        <w:t>avortement sécurisé et à des services après l</w:t>
      </w:r>
      <w:r w:rsidR="00356F77" w:rsidRPr="000A6751">
        <w:rPr>
          <w:b/>
          <w:bCs/>
          <w:lang w:val="fr-FR"/>
        </w:rPr>
        <w:t>’</w:t>
      </w:r>
      <w:r w:rsidR="0042098D" w:rsidRPr="0042098D">
        <w:rPr>
          <w:b/>
          <w:bCs/>
          <w:lang w:val="fr-FR"/>
        </w:rPr>
        <w:t>avortement, sans avoir besoin du consentement de leur mari, de leurs parents ou de leur tuteur</w:t>
      </w:r>
      <w:r w:rsidR="00356F77" w:rsidRPr="000A6751">
        <w:rPr>
          <w:b/>
          <w:bCs/>
          <w:lang w:val="fr-FR"/>
        </w:rPr>
        <w:t> ;</w:t>
      </w:r>
    </w:p>
    <w:p w14:paraId="1D910D69" w14:textId="0D943484" w:rsidR="00356F77" w:rsidRPr="000A6751" w:rsidRDefault="001A1AA1" w:rsidP="0042098D">
      <w:pPr>
        <w:pStyle w:val="SingleTxt"/>
        <w:rPr>
          <w:b/>
          <w:bCs/>
          <w:lang w:val="fr-FR"/>
        </w:rPr>
      </w:pPr>
      <w:r w:rsidRPr="000A6751">
        <w:rPr>
          <w:b/>
          <w:bCs/>
          <w:lang w:val="fr-FR"/>
        </w:rPr>
        <w:tab/>
      </w:r>
      <w:r w:rsidR="0042098D" w:rsidRPr="0042098D">
        <w:rPr>
          <w:b/>
          <w:bCs/>
          <w:lang w:val="fr-FR"/>
        </w:rPr>
        <w:t>e)</w:t>
      </w:r>
      <w:r w:rsidR="0042098D" w:rsidRPr="0042098D">
        <w:rPr>
          <w:b/>
          <w:bCs/>
          <w:lang w:val="fr-FR"/>
        </w:rPr>
        <w:tab/>
        <w:t>De faire figurer dans son prochain rapport périodique des informations sur le nombre d</w:t>
      </w:r>
      <w:r w:rsidR="00356F77" w:rsidRPr="000A6751">
        <w:rPr>
          <w:b/>
          <w:bCs/>
          <w:lang w:val="fr-FR"/>
        </w:rPr>
        <w:t>’</w:t>
      </w:r>
      <w:r w:rsidR="0042098D" w:rsidRPr="0042098D">
        <w:rPr>
          <w:b/>
          <w:bCs/>
          <w:lang w:val="fr-FR"/>
        </w:rPr>
        <w:t>avortements clandestins pratiqués dans l</w:t>
      </w:r>
      <w:r w:rsidR="00356F77" w:rsidRPr="000A6751">
        <w:rPr>
          <w:b/>
          <w:bCs/>
          <w:lang w:val="fr-FR"/>
        </w:rPr>
        <w:t>’</w:t>
      </w:r>
      <w:r w:rsidR="0042098D" w:rsidRPr="0042098D">
        <w:rPr>
          <w:b/>
          <w:bCs/>
          <w:lang w:val="fr-FR"/>
        </w:rPr>
        <w:t>État partie.</w:t>
      </w:r>
    </w:p>
    <w:p w14:paraId="5154911A" w14:textId="77777777" w:rsidR="001A1AA1" w:rsidRPr="000A6751" w:rsidRDefault="001A1AA1" w:rsidP="001A1AA1">
      <w:pPr>
        <w:pStyle w:val="SingleTxt"/>
        <w:spacing w:after="0" w:line="120" w:lineRule="exact"/>
        <w:rPr>
          <w:sz w:val="10"/>
          <w:lang w:val="fr-FR"/>
        </w:rPr>
      </w:pPr>
    </w:p>
    <w:p w14:paraId="3F0E0A8E" w14:textId="344F6DB6" w:rsidR="0042098D"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Femmes et filles des zones rurales</w:t>
      </w:r>
    </w:p>
    <w:p w14:paraId="66309BBB" w14:textId="71D3531C" w:rsidR="001A1AA1" w:rsidRPr="000A6751" w:rsidRDefault="001A1AA1" w:rsidP="001A1AA1">
      <w:pPr>
        <w:pStyle w:val="SingleTxt"/>
        <w:spacing w:after="0" w:line="120" w:lineRule="exact"/>
        <w:rPr>
          <w:sz w:val="10"/>
          <w:lang w:val="fr-FR"/>
        </w:rPr>
      </w:pPr>
    </w:p>
    <w:p w14:paraId="18B7B80A" w14:textId="4D4D1161" w:rsidR="0042098D" w:rsidRPr="0042098D" w:rsidRDefault="0042098D" w:rsidP="001A1AA1">
      <w:pPr>
        <w:pStyle w:val="SingleTxt"/>
        <w:numPr>
          <w:ilvl w:val="0"/>
          <w:numId w:val="29"/>
        </w:numPr>
        <w:spacing w:line="240" w:lineRule="exact"/>
        <w:ind w:left="1267"/>
        <w:rPr>
          <w:lang w:val="fr-FR"/>
        </w:rPr>
      </w:pPr>
      <w:r w:rsidRPr="0042098D">
        <w:rPr>
          <w:lang w:val="fr-FR"/>
        </w:rPr>
        <w:t>Le Comité se félicite des initiatives prises par l</w:t>
      </w:r>
      <w:r w:rsidR="00356F77" w:rsidRPr="000A6751">
        <w:rPr>
          <w:lang w:val="fr-FR"/>
        </w:rPr>
        <w:t>’</w:t>
      </w:r>
      <w:r w:rsidRPr="0042098D">
        <w:rPr>
          <w:lang w:val="fr-FR"/>
        </w:rPr>
        <w:t>État partie pour améliorer la situation dans les zones rurales et avoir un impact positif sur les femmes et les filles de ces zones, notamment des programmes nationaux visant à améliorer l</w:t>
      </w:r>
      <w:r w:rsidR="00356F77" w:rsidRPr="000A6751">
        <w:rPr>
          <w:lang w:val="fr-FR"/>
        </w:rPr>
        <w:t>’</w:t>
      </w:r>
      <w:r w:rsidRPr="0042098D">
        <w:rPr>
          <w:lang w:val="fr-FR"/>
        </w:rPr>
        <w:t>accès à l</w:t>
      </w:r>
      <w:r w:rsidR="00356F77" w:rsidRPr="000A6751">
        <w:rPr>
          <w:lang w:val="fr-FR"/>
        </w:rPr>
        <w:t>’</w:t>
      </w:r>
      <w:r w:rsidRPr="0042098D">
        <w:rPr>
          <w:lang w:val="fr-FR"/>
        </w:rPr>
        <w:t>eau et à l</w:t>
      </w:r>
      <w:r w:rsidR="00356F77" w:rsidRPr="000A6751">
        <w:rPr>
          <w:lang w:val="fr-FR"/>
        </w:rPr>
        <w:t>’</w:t>
      </w:r>
      <w:r w:rsidRPr="0042098D">
        <w:rPr>
          <w:lang w:val="fr-FR"/>
        </w:rPr>
        <w:t>électricité dans les zones rurales, et de l</w:t>
      </w:r>
      <w:r w:rsidR="00356F77" w:rsidRPr="000A6751">
        <w:rPr>
          <w:lang w:val="fr-FR"/>
        </w:rPr>
        <w:t>’</w:t>
      </w:r>
      <w:r w:rsidRPr="0042098D">
        <w:rPr>
          <w:lang w:val="fr-FR"/>
        </w:rPr>
        <w:t>élargissement de la portée des services des institutions de protection sociale, notamment par la fourniture de denrées alimentaires, d</w:t>
      </w:r>
      <w:r w:rsidR="00356F77" w:rsidRPr="000A6751">
        <w:rPr>
          <w:lang w:val="fr-FR"/>
        </w:rPr>
        <w:t>’</w:t>
      </w:r>
      <w:r w:rsidRPr="0042098D">
        <w:rPr>
          <w:lang w:val="fr-FR"/>
        </w:rPr>
        <w:t>un abri, de classes de soutien, de camps d</w:t>
      </w:r>
      <w:r w:rsidR="00356F77" w:rsidRPr="000A6751">
        <w:rPr>
          <w:lang w:val="fr-FR"/>
        </w:rPr>
        <w:t>’</w:t>
      </w:r>
      <w:r w:rsidRPr="0042098D">
        <w:rPr>
          <w:lang w:val="fr-FR"/>
        </w:rPr>
        <w:t>été, d</w:t>
      </w:r>
      <w:r w:rsidR="00356F77" w:rsidRPr="000A6751">
        <w:rPr>
          <w:lang w:val="fr-FR"/>
        </w:rPr>
        <w:t>’</w:t>
      </w:r>
      <w:r w:rsidRPr="0042098D">
        <w:rPr>
          <w:lang w:val="fr-FR"/>
        </w:rPr>
        <w:t>activités culturelles et sportives et de services de soutien psychologique, de sorte à promouvoir l</w:t>
      </w:r>
      <w:r w:rsidR="00356F77" w:rsidRPr="000A6751">
        <w:rPr>
          <w:lang w:val="fr-FR"/>
        </w:rPr>
        <w:t>’</w:t>
      </w:r>
      <w:r w:rsidRPr="0042098D">
        <w:rPr>
          <w:lang w:val="fr-FR"/>
        </w:rPr>
        <w:t xml:space="preserve">accès </w:t>
      </w:r>
      <w:r w:rsidRPr="0042098D">
        <w:rPr>
          <w:lang w:val="fr-FR"/>
        </w:rPr>
        <w:lastRenderedPageBreak/>
        <w:t>des filles des zones rurales à l</w:t>
      </w:r>
      <w:r w:rsidR="00356F77" w:rsidRPr="000A6751">
        <w:rPr>
          <w:lang w:val="fr-FR"/>
        </w:rPr>
        <w:t>’</w:t>
      </w:r>
      <w:r w:rsidRPr="0042098D">
        <w:rPr>
          <w:lang w:val="fr-FR"/>
        </w:rPr>
        <w:t>éducation. Il est néanmoins préoccupé par le taux élevé d</w:t>
      </w:r>
      <w:r w:rsidR="00356F77" w:rsidRPr="000A6751">
        <w:rPr>
          <w:lang w:val="fr-FR"/>
        </w:rPr>
        <w:t>’</w:t>
      </w:r>
      <w:r w:rsidRPr="0042098D">
        <w:rPr>
          <w:lang w:val="fr-FR"/>
        </w:rPr>
        <w:t>analphabétisme chez les femmes des zones rurales, bien que les programmes d</w:t>
      </w:r>
      <w:r w:rsidR="00356F77" w:rsidRPr="000A6751">
        <w:rPr>
          <w:lang w:val="fr-FR"/>
        </w:rPr>
        <w:t>’</w:t>
      </w:r>
      <w:r w:rsidRPr="0042098D">
        <w:rPr>
          <w:lang w:val="fr-FR"/>
        </w:rPr>
        <w:t>alphabétisation de l</w:t>
      </w:r>
      <w:r w:rsidR="00356F77" w:rsidRPr="000A6751">
        <w:rPr>
          <w:lang w:val="fr-FR"/>
        </w:rPr>
        <w:t>’</w:t>
      </w:r>
      <w:r w:rsidRPr="0042098D">
        <w:rPr>
          <w:lang w:val="fr-FR"/>
        </w:rPr>
        <w:t>État partie soient axés sur les femmes rurales, et par l</w:t>
      </w:r>
      <w:r w:rsidR="00356F77" w:rsidRPr="000A6751">
        <w:rPr>
          <w:lang w:val="fr-FR"/>
        </w:rPr>
        <w:t>’</w:t>
      </w:r>
      <w:r w:rsidRPr="0042098D">
        <w:rPr>
          <w:lang w:val="fr-FR"/>
        </w:rPr>
        <w:t>absence de couverture médicale pour les femmes et les filles des zones rurales.</w:t>
      </w:r>
    </w:p>
    <w:p w14:paraId="306BCB09" w14:textId="20FC9FA7" w:rsidR="00356F77" w:rsidRPr="000A6751" w:rsidRDefault="0042098D" w:rsidP="001A1AA1">
      <w:pPr>
        <w:pStyle w:val="SingleTxt"/>
        <w:numPr>
          <w:ilvl w:val="0"/>
          <w:numId w:val="29"/>
        </w:numPr>
        <w:spacing w:line="240" w:lineRule="exact"/>
        <w:ind w:left="1267"/>
        <w:rPr>
          <w:lang w:val="fr-FR"/>
        </w:rPr>
      </w:pPr>
      <w:r w:rsidRPr="0042098D">
        <w:rPr>
          <w:b/>
          <w:bCs/>
          <w:lang w:val="fr-FR"/>
        </w:rPr>
        <w:t>À la lumière de sa recommandation générale n</w:t>
      </w:r>
      <w:r w:rsidRPr="0042098D">
        <w:rPr>
          <w:b/>
          <w:bCs/>
          <w:vertAlign w:val="superscript"/>
          <w:lang w:val="fr-FR"/>
        </w:rPr>
        <w:t>o</w:t>
      </w:r>
      <w:r w:rsidRPr="0042098D">
        <w:rPr>
          <w:b/>
          <w:bCs/>
          <w:lang w:val="fr-FR"/>
        </w:rPr>
        <w:t> 34 (2016) sur les droits des femmes rurales et rappelant ses précédentes observations finales (</w:t>
      </w:r>
      <w:hyperlink r:id="rId28" w:history="1">
        <w:r w:rsidRPr="0042098D">
          <w:rPr>
            <w:rStyle w:val="Hyperlink"/>
            <w:b/>
            <w:bCs/>
            <w:lang w:val="fr-FR"/>
          </w:rPr>
          <w:t>CEDAW/C/MAR/CO/4</w:t>
        </w:r>
      </w:hyperlink>
      <w:r w:rsidRPr="0042098D">
        <w:rPr>
          <w:b/>
          <w:bCs/>
          <w:lang w:val="fr-FR"/>
        </w:rPr>
        <w:t xml:space="preserve">, </w:t>
      </w:r>
      <w:r w:rsidR="00723C15" w:rsidRPr="000A6751">
        <w:rPr>
          <w:b/>
          <w:bCs/>
          <w:lang w:val="fr-FR"/>
        </w:rPr>
        <w:t>par. </w:t>
      </w:r>
      <w:r w:rsidRPr="0042098D">
        <w:rPr>
          <w:b/>
          <w:bCs/>
          <w:lang w:val="fr-FR"/>
        </w:rPr>
        <w:t>33), le Comité recommande à l</w:t>
      </w:r>
      <w:r w:rsidR="00356F77" w:rsidRPr="000A6751">
        <w:rPr>
          <w:b/>
          <w:bCs/>
          <w:lang w:val="fr-FR"/>
        </w:rPr>
        <w:t>’</w:t>
      </w:r>
      <w:r w:rsidRPr="0042098D">
        <w:rPr>
          <w:b/>
          <w:bCs/>
          <w:lang w:val="fr-FR"/>
        </w:rPr>
        <w:t>État partie</w:t>
      </w:r>
      <w:r w:rsidR="00356F77" w:rsidRPr="000A6751">
        <w:rPr>
          <w:b/>
          <w:bCs/>
          <w:lang w:val="fr-FR"/>
        </w:rPr>
        <w:t> :</w:t>
      </w:r>
    </w:p>
    <w:p w14:paraId="15EE94A5" w14:textId="16858204" w:rsidR="00356F77" w:rsidRPr="000A6751" w:rsidRDefault="001A1AA1"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De recenser les lacunes de ses programmes d</w:t>
      </w:r>
      <w:r w:rsidR="00356F77" w:rsidRPr="000A6751">
        <w:rPr>
          <w:b/>
          <w:bCs/>
          <w:lang w:val="fr-FR"/>
        </w:rPr>
        <w:t>’</w:t>
      </w:r>
      <w:r w:rsidR="0042098D" w:rsidRPr="0042098D">
        <w:rPr>
          <w:b/>
          <w:bCs/>
          <w:lang w:val="fr-FR"/>
        </w:rPr>
        <w:t>alphabétisation pour les femmes rurales et de réviser les programmes en conséquence</w:t>
      </w:r>
      <w:r w:rsidR="00356F77" w:rsidRPr="000A6751">
        <w:rPr>
          <w:b/>
          <w:bCs/>
          <w:lang w:val="fr-FR"/>
        </w:rPr>
        <w:t> ;</w:t>
      </w:r>
    </w:p>
    <w:p w14:paraId="1BF895E9" w14:textId="1AD99DB6" w:rsidR="0042098D" w:rsidRPr="0042098D" w:rsidRDefault="001A1AA1" w:rsidP="0042098D">
      <w:pPr>
        <w:pStyle w:val="SingleTxt"/>
        <w:rPr>
          <w:b/>
          <w:bCs/>
          <w:lang w:val="fr-FR"/>
        </w:rPr>
      </w:pPr>
      <w:r w:rsidRPr="000A6751">
        <w:rPr>
          <w:b/>
          <w:bCs/>
          <w:lang w:val="fr-FR"/>
        </w:rPr>
        <w:tab/>
      </w:r>
      <w:r w:rsidR="0042098D" w:rsidRPr="0042098D">
        <w:rPr>
          <w:b/>
          <w:bCs/>
          <w:lang w:val="fr-FR"/>
        </w:rPr>
        <w:t>b)</w:t>
      </w:r>
      <w:r w:rsidR="0042098D" w:rsidRPr="0042098D">
        <w:rPr>
          <w:b/>
          <w:bCs/>
          <w:lang w:val="fr-FR"/>
        </w:rPr>
        <w:tab/>
        <w:t>De continuer de renforcer les mesures, y compris les mesures temporaires spéciales adoptées conformément à l</w:t>
      </w:r>
      <w:r w:rsidR="00356F77" w:rsidRPr="000A6751">
        <w:rPr>
          <w:b/>
          <w:bCs/>
          <w:lang w:val="fr-FR"/>
        </w:rPr>
        <w:t>’</w:t>
      </w:r>
      <w:r w:rsidR="0042098D" w:rsidRPr="0042098D">
        <w:rPr>
          <w:b/>
          <w:bCs/>
          <w:lang w:val="fr-FR"/>
        </w:rPr>
        <w:t>article 4 (</w:t>
      </w:r>
      <w:r w:rsidR="00723C15" w:rsidRPr="000A6751">
        <w:rPr>
          <w:b/>
          <w:bCs/>
          <w:lang w:val="fr-FR"/>
        </w:rPr>
        <w:t>par. </w:t>
      </w:r>
      <w:r w:rsidR="0042098D" w:rsidRPr="0042098D">
        <w:rPr>
          <w:b/>
          <w:bCs/>
          <w:lang w:val="fr-FR"/>
        </w:rPr>
        <w:t>1) de la Convention, visant à faire en sorte que les femmes et les filles rurales jouissent de leurs droits politiques, sociaux, économiques et culturels sans aucune discrimination, notamment en ce qui concerne l</w:t>
      </w:r>
      <w:r w:rsidR="00356F77" w:rsidRPr="000A6751">
        <w:rPr>
          <w:b/>
          <w:bCs/>
          <w:lang w:val="fr-FR"/>
        </w:rPr>
        <w:t>’</w:t>
      </w:r>
      <w:r w:rsidR="0042098D" w:rsidRPr="0042098D">
        <w:rPr>
          <w:b/>
          <w:bCs/>
          <w:lang w:val="fr-FR"/>
        </w:rPr>
        <w:t>accès à l</w:t>
      </w:r>
      <w:r w:rsidR="00356F77" w:rsidRPr="000A6751">
        <w:rPr>
          <w:b/>
          <w:bCs/>
          <w:lang w:val="fr-FR"/>
        </w:rPr>
        <w:t>’</w:t>
      </w:r>
      <w:r w:rsidR="0042098D" w:rsidRPr="0042098D">
        <w:rPr>
          <w:b/>
          <w:bCs/>
          <w:lang w:val="fr-FR"/>
        </w:rPr>
        <w:t>éducation et aux soins de santé.</w:t>
      </w:r>
    </w:p>
    <w:p w14:paraId="1466830A" w14:textId="77777777" w:rsidR="001A1AA1" w:rsidRPr="000A6751" w:rsidRDefault="001A1AA1" w:rsidP="001A1AA1">
      <w:pPr>
        <w:pStyle w:val="SingleTxt"/>
        <w:spacing w:after="0" w:line="120" w:lineRule="exact"/>
        <w:rPr>
          <w:sz w:val="10"/>
          <w:lang w:val="fr-FR"/>
        </w:rPr>
      </w:pPr>
    </w:p>
    <w:p w14:paraId="4EB5D951" w14:textId="3BBDE3E2" w:rsidR="00356F77"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Mariage et droits de propriété des femmes</w:t>
      </w:r>
    </w:p>
    <w:p w14:paraId="7EDC395A" w14:textId="6191333F" w:rsidR="001A1AA1" w:rsidRPr="000A6751" w:rsidRDefault="001A1AA1" w:rsidP="001A1AA1">
      <w:pPr>
        <w:pStyle w:val="SingleTxt"/>
        <w:spacing w:after="0" w:line="120" w:lineRule="exact"/>
        <w:rPr>
          <w:sz w:val="10"/>
          <w:lang w:val="fr-FR"/>
        </w:rPr>
      </w:pPr>
    </w:p>
    <w:p w14:paraId="1EB240FF" w14:textId="1C3BDA5D" w:rsidR="00356F77" w:rsidRPr="000A6751" w:rsidRDefault="0042098D" w:rsidP="001A1AA1">
      <w:pPr>
        <w:pStyle w:val="SingleTxt"/>
        <w:numPr>
          <w:ilvl w:val="0"/>
          <w:numId w:val="29"/>
        </w:numPr>
        <w:spacing w:line="240" w:lineRule="exact"/>
        <w:ind w:left="1267"/>
        <w:rPr>
          <w:lang w:val="fr-FR"/>
        </w:rPr>
      </w:pPr>
      <w:r w:rsidRPr="0042098D">
        <w:rPr>
          <w:lang w:val="fr-FR"/>
        </w:rPr>
        <w:t>Le Comité note avec satisfaction que l</w:t>
      </w:r>
      <w:r w:rsidR="00356F77" w:rsidRPr="000A6751">
        <w:rPr>
          <w:lang w:val="fr-FR"/>
        </w:rPr>
        <w:t>’</w:t>
      </w:r>
      <w:r w:rsidRPr="0042098D">
        <w:rPr>
          <w:lang w:val="fr-FR"/>
        </w:rPr>
        <w:t>État partie envisage d</w:t>
      </w:r>
      <w:r w:rsidR="00356F77" w:rsidRPr="000A6751">
        <w:rPr>
          <w:lang w:val="fr-FR"/>
        </w:rPr>
        <w:t>’</w:t>
      </w:r>
      <w:r w:rsidRPr="0042098D">
        <w:rPr>
          <w:lang w:val="fr-FR"/>
        </w:rPr>
        <w:t>abroger l</w:t>
      </w:r>
      <w:r w:rsidR="00356F77" w:rsidRPr="000A6751">
        <w:rPr>
          <w:lang w:val="fr-FR"/>
        </w:rPr>
        <w:t>’</w:t>
      </w:r>
      <w:r w:rsidRPr="0042098D">
        <w:rPr>
          <w:lang w:val="fr-FR"/>
        </w:rPr>
        <w:t>article 20 du Code de la famille afin d</w:t>
      </w:r>
      <w:r w:rsidR="00356F77" w:rsidRPr="000A6751">
        <w:rPr>
          <w:lang w:val="fr-FR"/>
        </w:rPr>
        <w:t>’</w:t>
      </w:r>
      <w:r w:rsidRPr="0042098D">
        <w:rPr>
          <w:lang w:val="fr-FR"/>
        </w:rPr>
        <w:t>éliminer les exceptions à l</w:t>
      </w:r>
      <w:r w:rsidR="00356F77" w:rsidRPr="000A6751">
        <w:rPr>
          <w:lang w:val="fr-FR"/>
        </w:rPr>
        <w:t>’</w:t>
      </w:r>
      <w:r w:rsidRPr="0042098D">
        <w:rPr>
          <w:lang w:val="fr-FR"/>
        </w:rPr>
        <w:t>âge minimum du mariage. En outre, il prend note des efforts faits par l</w:t>
      </w:r>
      <w:r w:rsidR="00356F77" w:rsidRPr="000A6751">
        <w:rPr>
          <w:lang w:val="fr-FR"/>
        </w:rPr>
        <w:t>’</w:t>
      </w:r>
      <w:r w:rsidRPr="0042098D">
        <w:rPr>
          <w:lang w:val="fr-FR"/>
        </w:rPr>
        <w:t>État partie pour encourager le pouvoir judiciaire à faire du mariage avant 18 ans une exception plutôt que la règle et pour sensibiliser le public aux risques liés au mariage précoce. Il note en outre l</w:t>
      </w:r>
      <w:r w:rsidR="00356F77" w:rsidRPr="000A6751">
        <w:rPr>
          <w:lang w:val="fr-FR"/>
        </w:rPr>
        <w:t>’</w:t>
      </w:r>
      <w:r w:rsidRPr="0042098D">
        <w:rPr>
          <w:lang w:val="fr-FR"/>
        </w:rPr>
        <w:t>affirmation de l</w:t>
      </w:r>
      <w:r w:rsidR="00356F77" w:rsidRPr="000A6751">
        <w:rPr>
          <w:lang w:val="fr-FR"/>
        </w:rPr>
        <w:t>’</w:t>
      </w:r>
      <w:r w:rsidRPr="0042098D">
        <w:rPr>
          <w:lang w:val="fr-FR"/>
        </w:rPr>
        <w:t>État partie selon laquelle les mariages polygames ne représentent qu</w:t>
      </w:r>
      <w:r w:rsidR="00356F77" w:rsidRPr="000A6751">
        <w:rPr>
          <w:lang w:val="fr-FR"/>
        </w:rPr>
        <w:t>’</w:t>
      </w:r>
      <w:r w:rsidRPr="0042098D">
        <w:rPr>
          <w:lang w:val="fr-FR"/>
        </w:rPr>
        <w:t>un faible pourcentage du nombre total de mariages dans l</w:t>
      </w:r>
      <w:r w:rsidR="00356F77" w:rsidRPr="000A6751">
        <w:rPr>
          <w:lang w:val="fr-FR"/>
        </w:rPr>
        <w:t>’</w:t>
      </w:r>
      <w:r w:rsidRPr="0042098D">
        <w:rPr>
          <w:lang w:val="fr-FR"/>
        </w:rPr>
        <w:t>État partie et qu</w:t>
      </w:r>
      <w:r w:rsidR="00356F77" w:rsidRPr="000A6751">
        <w:rPr>
          <w:lang w:val="fr-FR"/>
        </w:rPr>
        <w:t>’</w:t>
      </w:r>
      <w:r w:rsidRPr="0042098D">
        <w:rPr>
          <w:lang w:val="fr-FR"/>
        </w:rPr>
        <w:t>il est possible pour une épouse d</w:t>
      </w:r>
      <w:r w:rsidR="00356F77" w:rsidRPr="000A6751">
        <w:rPr>
          <w:lang w:val="fr-FR"/>
        </w:rPr>
        <w:t>’</w:t>
      </w:r>
      <w:r w:rsidRPr="0042098D">
        <w:rPr>
          <w:lang w:val="fr-FR"/>
        </w:rPr>
        <w:t>indiquer dans le contrat de mariage qu</w:t>
      </w:r>
      <w:r w:rsidR="00356F77" w:rsidRPr="000A6751">
        <w:rPr>
          <w:lang w:val="fr-FR"/>
        </w:rPr>
        <w:t>’</w:t>
      </w:r>
      <w:r w:rsidRPr="0042098D">
        <w:rPr>
          <w:lang w:val="fr-FR"/>
        </w:rPr>
        <w:t>elle n</w:t>
      </w:r>
      <w:r w:rsidR="00356F77" w:rsidRPr="000A6751">
        <w:rPr>
          <w:lang w:val="fr-FR"/>
        </w:rPr>
        <w:t>’</w:t>
      </w:r>
      <w:r w:rsidRPr="0042098D">
        <w:rPr>
          <w:lang w:val="fr-FR"/>
        </w:rPr>
        <w:t>accepte pas un mariage polygame. En ce qui concerne les droits de propriété, le Comité constate qu</w:t>
      </w:r>
      <w:r w:rsidR="00356F77" w:rsidRPr="000A6751">
        <w:rPr>
          <w:lang w:val="fr-FR"/>
        </w:rPr>
        <w:t>’</w:t>
      </w:r>
      <w:r w:rsidRPr="0042098D">
        <w:rPr>
          <w:lang w:val="fr-FR"/>
        </w:rPr>
        <w:t>il est envisagé dans le plan d</w:t>
      </w:r>
      <w:r w:rsidR="00356F77" w:rsidRPr="000A6751">
        <w:rPr>
          <w:lang w:val="fr-FR"/>
        </w:rPr>
        <w:t>’</w:t>
      </w:r>
      <w:r w:rsidRPr="0042098D">
        <w:rPr>
          <w:lang w:val="fr-FR"/>
        </w:rPr>
        <w:t>action national en matière de démocratie et de droits de l</w:t>
      </w:r>
      <w:r w:rsidR="00356F77" w:rsidRPr="000A6751">
        <w:rPr>
          <w:lang w:val="fr-FR"/>
        </w:rPr>
        <w:t>’</w:t>
      </w:r>
      <w:r w:rsidRPr="0042098D">
        <w:rPr>
          <w:lang w:val="fr-FR"/>
        </w:rPr>
        <w:t>homme de remanier la section du Code de la famille concernant le partage des biens après le divorce. Le Comité demeure toutefois préoccupé par les points suivants</w:t>
      </w:r>
      <w:r w:rsidR="00356F77" w:rsidRPr="000A6751">
        <w:rPr>
          <w:lang w:val="fr-FR"/>
        </w:rPr>
        <w:t> :</w:t>
      </w:r>
    </w:p>
    <w:p w14:paraId="019408C7" w14:textId="2B30BF61" w:rsidR="00356F77" w:rsidRPr="000A6751" w:rsidRDefault="001A1AA1" w:rsidP="0042098D">
      <w:pPr>
        <w:pStyle w:val="SingleTxt"/>
        <w:rPr>
          <w:lang w:val="fr-FR"/>
        </w:rPr>
      </w:pPr>
      <w:r w:rsidRPr="000A6751">
        <w:rPr>
          <w:lang w:val="fr-FR"/>
        </w:rPr>
        <w:tab/>
      </w:r>
      <w:r w:rsidR="0042098D" w:rsidRPr="0042098D">
        <w:rPr>
          <w:lang w:val="fr-FR"/>
        </w:rPr>
        <w:t>a)</w:t>
      </w:r>
      <w:r w:rsidR="0042098D" w:rsidRPr="0042098D">
        <w:rPr>
          <w:lang w:val="fr-FR"/>
        </w:rPr>
        <w:tab/>
        <w:t>La législation actuelle ne prévoit pas d</w:t>
      </w:r>
      <w:r w:rsidR="00356F77" w:rsidRPr="000A6751">
        <w:rPr>
          <w:lang w:val="fr-FR"/>
        </w:rPr>
        <w:t>’</w:t>
      </w:r>
      <w:r w:rsidR="0042098D" w:rsidRPr="0042098D">
        <w:rPr>
          <w:lang w:val="fr-FR"/>
        </w:rPr>
        <w:t>âge minimum légal en dessous duquel un mariage ne peut être approuvé par une autorité judiciaire</w:t>
      </w:r>
      <w:r w:rsidR="00356F77" w:rsidRPr="000A6751">
        <w:rPr>
          <w:lang w:val="fr-FR"/>
        </w:rPr>
        <w:t> ;</w:t>
      </w:r>
    </w:p>
    <w:p w14:paraId="45ED8DBA" w14:textId="082ABBF7" w:rsidR="00356F77" w:rsidRPr="000A6751" w:rsidRDefault="001A1AA1" w:rsidP="0042098D">
      <w:pPr>
        <w:pStyle w:val="SingleTxt"/>
        <w:rPr>
          <w:lang w:val="fr-FR"/>
        </w:rPr>
      </w:pPr>
      <w:r w:rsidRPr="000A6751">
        <w:rPr>
          <w:lang w:val="fr-FR"/>
        </w:rPr>
        <w:tab/>
      </w:r>
      <w:r w:rsidR="0042098D" w:rsidRPr="0042098D">
        <w:rPr>
          <w:lang w:val="fr-FR"/>
        </w:rPr>
        <w:t>b)</w:t>
      </w:r>
      <w:r w:rsidR="0042098D" w:rsidRPr="0042098D">
        <w:rPr>
          <w:lang w:val="fr-FR"/>
        </w:rPr>
        <w:tab/>
        <w:t>La polygamie n</w:t>
      </w:r>
      <w:r w:rsidR="00356F77" w:rsidRPr="000A6751">
        <w:rPr>
          <w:lang w:val="fr-FR"/>
        </w:rPr>
        <w:t>’</w:t>
      </w:r>
      <w:r w:rsidR="0042098D" w:rsidRPr="0042098D">
        <w:rPr>
          <w:lang w:val="fr-FR"/>
        </w:rPr>
        <w:t>a pas été légalement interdite et le principe du consentement libre et éclairé ne s</w:t>
      </w:r>
      <w:r w:rsidR="00356F77" w:rsidRPr="000A6751">
        <w:rPr>
          <w:lang w:val="fr-FR"/>
        </w:rPr>
        <w:t>’</w:t>
      </w:r>
      <w:r w:rsidR="0042098D" w:rsidRPr="0042098D">
        <w:rPr>
          <w:lang w:val="fr-FR"/>
        </w:rPr>
        <w:t>applique pas toujours à la résiliation d</w:t>
      </w:r>
      <w:r w:rsidR="00356F77" w:rsidRPr="000A6751">
        <w:rPr>
          <w:lang w:val="fr-FR"/>
        </w:rPr>
        <w:t>’</w:t>
      </w:r>
      <w:r w:rsidR="0042098D" w:rsidRPr="0042098D">
        <w:rPr>
          <w:lang w:val="fr-FR"/>
        </w:rPr>
        <w:t>un contrat de mariage, puisque la législation prévoit l</w:t>
      </w:r>
      <w:r w:rsidR="00356F77" w:rsidRPr="000A6751">
        <w:rPr>
          <w:lang w:val="fr-FR"/>
        </w:rPr>
        <w:t>’</w:t>
      </w:r>
      <w:r w:rsidR="0042098D" w:rsidRPr="0042098D">
        <w:rPr>
          <w:lang w:val="fr-FR"/>
        </w:rPr>
        <w:t>ouverture automatique d</w:t>
      </w:r>
      <w:r w:rsidR="00356F77" w:rsidRPr="000A6751">
        <w:rPr>
          <w:lang w:val="fr-FR"/>
        </w:rPr>
        <w:t>’</w:t>
      </w:r>
      <w:r w:rsidR="0042098D" w:rsidRPr="0042098D">
        <w:rPr>
          <w:lang w:val="fr-FR"/>
        </w:rPr>
        <w:t>une procédure de divorce pour cause de discorde si une épouse n</w:t>
      </w:r>
      <w:r w:rsidR="00356F77" w:rsidRPr="000A6751">
        <w:rPr>
          <w:lang w:val="fr-FR"/>
        </w:rPr>
        <w:t>’</w:t>
      </w:r>
      <w:r w:rsidR="0042098D" w:rsidRPr="0042098D">
        <w:rPr>
          <w:lang w:val="fr-FR"/>
        </w:rPr>
        <w:t>accepte pas la décision de son mari d</w:t>
      </w:r>
      <w:r w:rsidR="00356F77" w:rsidRPr="000A6751">
        <w:rPr>
          <w:lang w:val="fr-FR"/>
        </w:rPr>
        <w:t>’</w:t>
      </w:r>
      <w:r w:rsidR="0042098D" w:rsidRPr="0042098D">
        <w:rPr>
          <w:lang w:val="fr-FR"/>
        </w:rPr>
        <w:t>épouser une autre femme</w:t>
      </w:r>
      <w:r w:rsidR="00356F77" w:rsidRPr="000A6751">
        <w:rPr>
          <w:lang w:val="fr-FR"/>
        </w:rPr>
        <w:t> ;</w:t>
      </w:r>
    </w:p>
    <w:p w14:paraId="333D32B5" w14:textId="6A79B065" w:rsidR="0042098D" w:rsidRPr="0042098D" w:rsidRDefault="001A1AA1" w:rsidP="0042098D">
      <w:pPr>
        <w:pStyle w:val="SingleTxt"/>
        <w:rPr>
          <w:lang w:val="fr-FR"/>
        </w:rPr>
      </w:pPr>
      <w:r w:rsidRPr="000A6751">
        <w:rPr>
          <w:lang w:val="fr-FR"/>
        </w:rPr>
        <w:tab/>
      </w:r>
      <w:r w:rsidR="0042098D" w:rsidRPr="0042098D">
        <w:rPr>
          <w:lang w:val="fr-FR"/>
        </w:rPr>
        <w:t>c)</w:t>
      </w:r>
      <w:r w:rsidR="0042098D" w:rsidRPr="0042098D">
        <w:rPr>
          <w:lang w:val="fr-FR"/>
        </w:rPr>
        <w:tab/>
        <w:t>Les mères célibataires, lorsqu</w:t>
      </w:r>
      <w:r w:rsidR="00356F77" w:rsidRPr="000A6751">
        <w:rPr>
          <w:lang w:val="fr-FR"/>
        </w:rPr>
        <w:t>’</w:t>
      </w:r>
      <w:r w:rsidR="0042098D" w:rsidRPr="0042098D">
        <w:rPr>
          <w:lang w:val="fr-FR"/>
        </w:rPr>
        <w:t>elles font valoir leurs droits et ceux de leurs enfants, s</w:t>
      </w:r>
      <w:r w:rsidR="00356F77" w:rsidRPr="000A6751">
        <w:rPr>
          <w:lang w:val="fr-FR"/>
        </w:rPr>
        <w:t>’</w:t>
      </w:r>
      <w:r w:rsidR="0042098D" w:rsidRPr="0042098D">
        <w:rPr>
          <w:lang w:val="fr-FR"/>
        </w:rPr>
        <w:t>exposent à des poursuites pour relations sexuelles en dehors du mariage</w:t>
      </w:r>
      <w:r w:rsidR="00356F77" w:rsidRPr="000A6751">
        <w:rPr>
          <w:lang w:val="fr-FR"/>
        </w:rPr>
        <w:t> ;</w:t>
      </w:r>
    </w:p>
    <w:p w14:paraId="4DCF10A3" w14:textId="5970FF56" w:rsidR="0042098D" w:rsidRPr="0042098D" w:rsidRDefault="001A1AA1" w:rsidP="0042098D">
      <w:pPr>
        <w:pStyle w:val="SingleTxt"/>
        <w:rPr>
          <w:lang w:val="fr-FR"/>
        </w:rPr>
      </w:pPr>
      <w:r w:rsidRPr="000A6751">
        <w:rPr>
          <w:lang w:val="fr-FR"/>
        </w:rPr>
        <w:tab/>
      </w:r>
      <w:r w:rsidR="0042098D" w:rsidRPr="0042098D">
        <w:rPr>
          <w:lang w:val="fr-FR"/>
        </w:rPr>
        <w:t>d)</w:t>
      </w:r>
      <w:r w:rsidR="0042098D" w:rsidRPr="0042098D">
        <w:rPr>
          <w:lang w:val="fr-FR"/>
        </w:rPr>
        <w:tab/>
        <w:t>Il subsiste dans la législation des dispositions discriminatoires qui affectent l</w:t>
      </w:r>
      <w:r w:rsidR="00356F77" w:rsidRPr="000A6751">
        <w:rPr>
          <w:lang w:val="fr-FR"/>
        </w:rPr>
        <w:t>’</w:t>
      </w:r>
      <w:r w:rsidR="0042098D" w:rsidRPr="0042098D">
        <w:rPr>
          <w:lang w:val="fr-FR"/>
        </w:rPr>
        <w:t>égalité des droits des femmes s</w:t>
      </w:r>
      <w:r w:rsidR="00356F77" w:rsidRPr="000A6751">
        <w:rPr>
          <w:lang w:val="fr-FR"/>
        </w:rPr>
        <w:t>’</w:t>
      </w:r>
      <w:r w:rsidR="0042098D" w:rsidRPr="0042098D">
        <w:rPr>
          <w:lang w:val="fr-FR"/>
        </w:rPr>
        <w:t>agissant des biens acquis pendant le mariage, du divorce, de la garde des enfants et de l</w:t>
      </w:r>
      <w:r w:rsidR="00356F77" w:rsidRPr="000A6751">
        <w:rPr>
          <w:lang w:val="fr-FR"/>
        </w:rPr>
        <w:t>’</w:t>
      </w:r>
      <w:r w:rsidR="0042098D" w:rsidRPr="0042098D">
        <w:rPr>
          <w:lang w:val="fr-FR"/>
        </w:rPr>
        <w:t>héritage.</w:t>
      </w:r>
    </w:p>
    <w:p w14:paraId="7EB71666" w14:textId="2188A457" w:rsidR="00356F77" w:rsidRPr="000A6751" w:rsidRDefault="0042098D" w:rsidP="001A1AA1">
      <w:pPr>
        <w:pStyle w:val="SingleTxt"/>
        <w:numPr>
          <w:ilvl w:val="0"/>
          <w:numId w:val="29"/>
        </w:numPr>
        <w:spacing w:line="240" w:lineRule="exact"/>
        <w:ind w:left="1267"/>
        <w:rPr>
          <w:lang w:val="fr-FR"/>
        </w:rPr>
      </w:pPr>
      <w:r w:rsidRPr="0042098D">
        <w:rPr>
          <w:b/>
          <w:bCs/>
          <w:lang w:val="fr-FR"/>
        </w:rPr>
        <w:t>À la lumière de sa recommandation générale n</w:t>
      </w:r>
      <w:r w:rsidRPr="0042098D">
        <w:rPr>
          <w:b/>
          <w:bCs/>
          <w:vertAlign w:val="superscript"/>
          <w:lang w:val="fr-FR"/>
        </w:rPr>
        <w:t>o</w:t>
      </w:r>
      <w:r w:rsidRPr="0042098D">
        <w:rPr>
          <w:b/>
          <w:bCs/>
          <w:lang w:val="fr-FR"/>
        </w:rPr>
        <w:t> 21 (1994) sur l</w:t>
      </w:r>
      <w:r w:rsidR="00356F77" w:rsidRPr="000A6751">
        <w:rPr>
          <w:b/>
          <w:bCs/>
          <w:lang w:val="fr-FR"/>
        </w:rPr>
        <w:t>’</w:t>
      </w:r>
      <w:r w:rsidRPr="0042098D">
        <w:rPr>
          <w:b/>
          <w:bCs/>
          <w:lang w:val="fr-FR"/>
        </w:rPr>
        <w:t>égalité dans le mariage et les rapports familiaux, et rappelant ses précédentes observations finales (</w:t>
      </w:r>
      <w:hyperlink r:id="rId29" w:history="1">
        <w:r w:rsidRPr="0042098D">
          <w:rPr>
            <w:rStyle w:val="Hyperlink"/>
            <w:b/>
            <w:bCs/>
            <w:lang w:val="fr-FR"/>
          </w:rPr>
          <w:t>CEDAW/C/MAR/CO/4</w:t>
        </w:r>
      </w:hyperlink>
      <w:r w:rsidRPr="0042098D">
        <w:rPr>
          <w:b/>
          <w:bCs/>
          <w:lang w:val="fr-FR"/>
        </w:rPr>
        <w:t xml:space="preserve">, </w:t>
      </w:r>
      <w:r w:rsidR="00723C15" w:rsidRPr="000A6751">
        <w:rPr>
          <w:b/>
          <w:bCs/>
          <w:lang w:val="fr-FR"/>
        </w:rPr>
        <w:t>par. </w:t>
      </w:r>
      <w:r w:rsidRPr="0042098D">
        <w:rPr>
          <w:b/>
          <w:bCs/>
          <w:lang w:val="fr-FR"/>
        </w:rPr>
        <w:t>39), le Comité recommande à l</w:t>
      </w:r>
      <w:r w:rsidR="00356F77" w:rsidRPr="000A6751">
        <w:rPr>
          <w:b/>
          <w:bCs/>
          <w:lang w:val="fr-FR"/>
        </w:rPr>
        <w:t>’</w:t>
      </w:r>
      <w:r w:rsidRPr="0042098D">
        <w:rPr>
          <w:b/>
          <w:bCs/>
          <w:lang w:val="fr-FR"/>
        </w:rPr>
        <w:t>État partie</w:t>
      </w:r>
      <w:r w:rsidR="00356F77" w:rsidRPr="000A6751">
        <w:rPr>
          <w:b/>
          <w:bCs/>
          <w:lang w:val="fr-FR"/>
        </w:rPr>
        <w:t> :</w:t>
      </w:r>
    </w:p>
    <w:p w14:paraId="659010E1" w14:textId="296D9A07" w:rsidR="0042098D" w:rsidRPr="0042098D" w:rsidRDefault="001A1AA1" w:rsidP="0042098D">
      <w:pPr>
        <w:pStyle w:val="SingleTxt"/>
        <w:rPr>
          <w:b/>
          <w:bCs/>
          <w:lang w:val="fr-FR"/>
        </w:rPr>
      </w:pPr>
      <w:r w:rsidRPr="000A6751">
        <w:rPr>
          <w:b/>
          <w:bCs/>
          <w:lang w:val="fr-FR"/>
        </w:rPr>
        <w:tab/>
      </w:r>
      <w:r w:rsidR="0042098D" w:rsidRPr="0042098D">
        <w:rPr>
          <w:b/>
          <w:bCs/>
          <w:lang w:val="fr-FR"/>
        </w:rPr>
        <w:t>a)</w:t>
      </w:r>
      <w:r w:rsidR="0042098D" w:rsidRPr="0042098D">
        <w:rPr>
          <w:b/>
          <w:bCs/>
          <w:lang w:val="fr-FR"/>
        </w:rPr>
        <w:tab/>
        <w:t>D</w:t>
      </w:r>
      <w:r w:rsidR="00356F77" w:rsidRPr="000A6751">
        <w:rPr>
          <w:b/>
          <w:bCs/>
          <w:lang w:val="fr-FR"/>
        </w:rPr>
        <w:t>’</w:t>
      </w:r>
      <w:r w:rsidR="0042098D" w:rsidRPr="0042098D">
        <w:rPr>
          <w:b/>
          <w:bCs/>
          <w:lang w:val="fr-FR"/>
        </w:rPr>
        <w:t>abroger, sans délai, l</w:t>
      </w:r>
      <w:r w:rsidR="00356F77" w:rsidRPr="000A6751">
        <w:rPr>
          <w:b/>
          <w:bCs/>
          <w:lang w:val="fr-FR"/>
        </w:rPr>
        <w:t>’</w:t>
      </w:r>
      <w:r w:rsidR="0042098D" w:rsidRPr="0042098D">
        <w:rPr>
          <w:b/>
          <w:bCs/>
          <w:lang w:val="fr-FR"/>
        </w:rPr>
        <w:t>article 20 du Code de la famille afin que les exceptions à l</w:t>
      </w:r>
      <w:r w:rsidR="00356F77" w:rsidRPr="000A6751">
        <w:rPr>
          <w:b/>
          <w:bCs/>
          <w:lang w:val="fr-FR"/>
        </w:rPr>
        <w:t>’</w:t>
      </w:r>
      <w:r w:rsidR="0042098D" w:rsidRPr="0042098D">
        <w:rPr>
          <w:b/>
          <w:bCs/>
          <w:lang w:val="fr-FR"/>
        </w:rPr>
        <w:t>âge minimum du mariage ne soient plus autorisées</w:t>
      </w:r>
      <w:r w:rsidR="00356F77" w:rsidRPr="000A6751">
        <w:rPr>
          <w:b/>
          <w:bCs/>
          <w:lang w:val="fr-FR"/>
        </w:rPr>
        <w:t> ;</w:t>
      </w:r>
    </w:p>
    <w:p w14:paraId="3B22F5DC" w14:textId="6CBABF5B" w:rsidR="00356F77" w:rsidRPr="000A6751" w:rsidRDefault="001A1AA1" w:rsidP="0042098D">
      <w:pPr>
        <w:pStyle w:val="SingleTxt"/>
        <w:rPr>
          <w:b/>
          <w:bCs/>
          <w:lang w:val="fr-FR"/>
        </w:rPr>
      </w:pPr>
      <w:r w:rsidRPr="000A6751">
        <w:rPr>
          <w:b/>
          <w:bCs/>
          <w:lang w:val="fr-FR"/>
        </w:rPr>
        <w:lastRenderedPageBreak/>
        <w:tab/>
      </w:r>
      <w:r w:rsidR="0042098D" w:rsidRPr="0042098D">
        <w:rPr>
          <w:b/>
          <w:bCs/>
          <w:lang w:val="fr-FR"/>
        </w:rPr>
        <w:t>b)</w:t>
      </w:r>
      <w:r w:rsidR="0042098D" w:rsidRPr="0042098D">
        <w:rPr>
          <w:b/>
          <w:bCs/>
          <w:lang w:val="fr-FR"/>
        </w:rPr>
        <w:tab/>
        <w:t>D</w:t>
      </w:r>
      <w:r w:rsidR="00356F77" w:rsidRPr="000A6751">
        <w:rPr>
          <w:b/>
          <w:bCs/>
          <w:lang w:val="fr-FR"/>
        </w:rPr>
        <w:t>’</w:t>
      </w:r>
      <w:r w:rsidR="0042098D" w:rsidRPr="0042098D">
        <w:rPr>
          <w:b/>
          <w:bCs/>
          <w:lang w:val="fr-FR"/>
        </w:rPr>
        <w:t>abolir la polygamie et de veiller à ce que le principe du consentement libre et éclairé soit également appliqué à la résiliation des contrats de mariage</w:t>
      </w:r>
      <w:r w:rsidR="00356F77" w:rsidRPr="000A6751">
        <w:rPr>
          <w:b/>
          <w:bCs/>
          <w:lang w:val="fr-FR"/>
        </w:rPr>
        <w:t> ;</w:t>
      </w:r>
    </w:p>
    <w:p w14:paraId="6FCDAD6F" w14:textId="121561CB" w:rsidR="0042098D" w:rsidRPr="0042098D" w:rsidRDefault="001A1AA1" w:rsidP="0042098D">
      <w:pPr>
        <w:pStyle w:val="SingleTxt"/>
        <w:rPr>
          <w:b/>
          <w:bCs/>
          <w:lang w:val="fr-FR"/>
        </w:rPr>
      </w:pPr>
      <w:r w:rsidRPr="000A6751">
        <w:rPr>
          <w:b/>
          <w:bCs/>
          <w:lang w:val="fr-FR"/>
        </w:rPr>
        <w:tab/>
      </w:r>
      <w:r w:rsidR="0042098D" w:rsidRPr="0042098D">
        <w:rPr>
          <w:b/>
          <w:bCs/>
          <w:lang w:val="fr-FR"/>
        </w:rPr>
        <w:t>c)</w:t>
      </w:r>
      <w:r w:rsidR="0042098D" w:rsidRPr="0042098D">
        <w:rPr>
          <w:b/>
          <w:bCs/>
          <w:lang w:val="fr-FR"/>
        </w:rPr>
        <w:tab/>
        <w:t>De reconnaître le droit qu</w:t>
      </w:r>
      <w:r w:rsidR="00356F77" w:rsidRPr="000A6751">
        <w:rPr>
          <w:b/>
          <w:bCs/>
          <w:lang w:val="fr-FR"/>
        </w:rPr>
        <w:t>’</w:t>
      </w:r>
      <w:r w:rsidR="0042098D" w:rsidRPr="0042098D">
        <w:rPr>
          <w:b/>
          <w:bCs/>
          <w:lang w:val="fr-FR"/>
        </w:rPr>
        <w:t>ont les mères célibataires de faire valoir leurs droits et ceux de leurs enfants sans craindre d</w:t>
      </w:r>
      <w:r w:rsidR="00356F77" w:rsidRPr="000A6751">
        <w:rPr>
          <w:b/>
          <w:bCs/>
          <w:lang w:val="fr-FR"/>
        </w:rPr>
        <w:t>’</w:t>
      </w:r>
      <w:r w:rsidR="0042098D" w:rsidRPr="0042098D">
        <w:rPr>
          <w:b/>
          <w:bCs/>
          <w:lang w:val="fr-FR"/>
        </w:rPr>
        <w:t>être exposées à toute forme de poursuite et à la stigmatisation</w:t>
      </w:r>
      <w:r w:rsidR="00356F77" w:rsidRPr="000A6751">
        <w:rPr>
          <w:b/>
          <w:bCs/>
          <w:lang w:val="fr-FR"/>
        </w:rPr>
        <w:t> ;</w:t>
      </w:r>
    </w:p>
    <w:p w14:paraId="40836965" w14:textId="0A521F39" w:rsidR="0042098D" w:rsidRPr="0042098D" w:rsidRDefault="001A1AA1" w:rsidP="0042098D">
      <w:pPr>
        <w:pStyle w:val="SingleTxt"/>
        <w:rPr>
          <w:b/>
          <w:bCs/>
          <w:lang w:val="fr-FR"/>
        </w:rPr>
      </w:pPr>
      <w:r w:rsidRPr="000A6751">
        <w:rPr>
          <w:b/>
          <w:bCs/>
          <w:lang w:val="fr-FR"/>
        </w:rPr>
        <w:tab/>
      </w:r>
      <w:r w:rsidR="0042098D" w:rsidRPr="0042098D">
        <w:rPr>
          <w:b/>
          <w:bCs/>
          <w:lang w:val="fr-FR"/>
        </w:rPr>
        <w:t>d)</w:t>
      </w:r>
      <w:r w:rsidR="0042098D" w:rsidRPr="0042098D">
        <w:rPr>
          <w:b/>
          <w:bCs/>
          <w:lang w:val="fr-FR"/>
        </w:rPr>
        <w:tab/>
        <w:t>D</w:t>
      </w:r>
      <w:r w:rsidR="00356F77" w:rsidRPr="000A6751">
        <w:rPr>
          <w:b/>
          <w:bCs/>
          <w:lang w:val="fr-FR"/>
        </w:rPr>
        <w:t>’</w:t>
      </w:r>
      <w:r w:rsidR="0042098D" w:rsidRPr="0042098D">
        <w:rPr>
          <w:b/>
          <w:bCs/>
          <w:lang w:val="fr-FR"/>
        </w:rPr>
        <w:t>adopter des dispositions légales pour garantir qu</w:t>
      </w:r>
      <w:r w:rsidR="00356F77" w:rsidRPr="000A6751">
        <w:rPr>
          <w:b/>
          <w:bCs/>
          <w:lang w:val="fr-FR"/>
        </w:rPr>
        <w:t>’</w:t>
      </w:r>
      <w:r w:rsidR="0042098D" w:rsidRPr="0042098D">
        <w:rPr>
          <w:b/>
          <w:bCs/>
          <w:lang w:val="fr-FR"/>
        </w:rPr>
        <w:t>à la dissolution du mariage, les femmes ont des droits égaux sur les biens acquis pendant le mariage, conformément à l</w:t>
      </w:r>
      <w:r w:rsidR="00356F77" w:rsidRPr="000A6751">
        <w:rPr>
          <w:b/>
          <w:bCs/>
          <w:lang w:val="fr-FR"/>
        </w:rPr>
        <w:t>’</w:t>
      </w:r>
      <w:r w:rsidR="0042098D" w:rsidRPr="0042098D">
        <w:rPr>
          <w:b/>
          <w:bCs/>
          <w:lang w:val="fr-FR"/>
        </w:rPr>
        <w:t xml:space="preserve">article 16 </w:t>
      </w:r>
      <w:r w:rsidR="004C7EC4">
        <w:rPr>
          <w:b/>
          <w:bCs/>
          <w:lang w:val="fr-FR"/>
        </w:rPr>
        <w:t>[</w:t>
      </w:r>
      <w:r w:rsidR="00723C15" w:rsidRPr="000A6751">
        <w:rPr>
          <w:b/>
          <w:bCs/>
          <w:lang w:val="fr-FR"/>
        </w:rPr>
        <w:t>par. </w:t>
      </w:r>
      <w:r w:rsidR="0042098D" w:rsidRPr="0042098D">
        <w:rPr>
          <w:b/>
          <w:bCs/>
          <w:lang w:val="fr-FR"/>
        </w:rPr>
        <w:t>1 h)</w:t>
      </w:r>
      <w:r w:rsidR="004C7EC4">
        <w:rPr>
          <w:b/>
          <w:bCs/>
          <w:lang w:val="fr-FR"/>
        </w:rPr>
        <w:t>]</w:t>
      </w:r>
      <w:r w:rsidR="0042098D" w:rsidRPr="0042098D">
        <w:rPr>
          <w:b/>
          <w:bCs/>
          <w:lang w:val="fr-FR"/>
        </w:rPr>
        <w:t xml:space="preserve"> de la Convention</w:t>
      </w:r>
      <w:r w:rsidR="00356F77" w:rsidRPr="000A6751">
        <w:rPr>
          <w:b/>
          <w:bCs/>
          <w:lang w:val="fr-FR"/>
        </w:rPr>
        <w:t> ;</w:t>
      </w:r>
    </w:p>
    <w:p w14:paraId="50FFEAD0" w14:textId="62968F20" w:rsidR="00356F77" w:rsidRPr="000A6751" w:rsidRDefault="001A1AA1" w:rsidP="0042098D">
      <w:pPr>
        <w:pStyle w:val="SingleTxt"/>
        <w:rPr>
          <w:b/>
          <w:bCs/>
          <w:lang w:val="fr-FR"/>
        </w:rPr>
      </w:pPr>
      <w:r w:rsidRPr="000A6751">
        <w:rPr>
          <w:b/>
          <w:bCs/>
          <w:lang w:val="fr-FR"/>
        </w:rPr>
        <w:tab/>
      </w:r>
      <w:r w:rsidR="0042098D" w:rsidRPr="0042098D">
        <w:rPr>
          <w:b/>
          <w:bCs/>
          <w:lang w:val="fr-FR"/>
        </w:rPr>
        <w:t>e)</w:t>
      </w:r>
      <w:r w:rsidRPr="000A6751">
        <w:rPr>
          <w:b/>
          <w:bCs/>
          <w:lang w:val="fr-FR"/>
        </w:rPr>
        <w:tab/>
      </w:r>
      <w:r w:rsidR="0042098D" w:rsidRPr="0042098D">
        <w:rPr>
          <w:b/>
          <w:bCs/>
          <w:lang w:val="fr-FR"/>
        </w:rPr>
        <w:t>De modifier sans délai, et en consultation avec la société civile, notamment les organisations de femmes, toutes les dispositions discriminatoires restantes, notamment les dispositions relatives au divorce, à la garde des enfants et à l</w:t>
      </w:r>
      <w:r w:rsidR="00356F77" w:rsidRPr="000A6751">
        <w:rPr>
          <w:b/>
          <w:bCs/>
          <w:lang w:val="fr-FR"/>
        </w:rPr>
        <w:t>’</w:t>
      </w:r>
      <w:r w:rsidR="0042098D" w:rsidRPr="0042098D">
        <w:rPr>
          <w:b/>
          <w:bCs/>
          <w:lang w:val="fr-FR"/>
        </w:rPr>
        <w:t>héritage.</w:t>
      </w:r>
    </w:p>
    <w:p w14:paraId="727C7618" w14:textId="77777777" w:rsidR="001A1AA1" w:rsidRPr="000A6751" w:rsidRDefault="001A1AA1" w:rsidP="001A1AA1">
      <w:pPr>
        <w:pStyle w:val="SingleTxt"/>
        <w:spacing w:after="0" w:line="120" w:lineRule="exact"/>
        <w:rPr>
          <w:sz w:val="10"/>
          <w:lang w:val="fr-FR"/>
        </w:rPr>
      </w:pPr>
    </w:p>
    <w:p w14:paraId="1D6EFB34" w14:textId="2BCB7D5E" w:rsidR="0042098D"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Déclaration et Programme d</w:t>
      </w:r>
      <w:r w:rsidR="00356F77" w:rsidRPr="000A6751">
        <w:rPr>
          <w:lang w:val="fr-FR"/>
        </w:rPr>
        <w:t>’</w:t>
      </w:r>
      <w:r w:rsidRPr="000A6751">
        <w:rPr>
          <w:lang w:val="fr-FR"/>
        </w:rPr>
        <w:t>action de Beijing</w:t>
      </w:r>
    </w:p>
    <w:p w14:paraId="3895425C" w14:textId="511F9AA3" w:rsidR="001A1AA1" w:rsidRPr="000A6751" w:rsidRDefault="001A1AA1" w:rsidP="001A1AA1">
      <w:pPr>
        <w:pStyle w:val="SingleTxt"/>
        <w:spacing w:after="0" w:line="120" w:lineRule="exact"/>
        <w:rPr>
          <w:sz w:val="10"/>
          <w:lang w:val="fr-FR"/>
        </w:rPr>
      </w:pPr>
    </w:p>
    <w:p w14:paraId="2124309E" w14:textId="6F1E034E" w:rsidR="00356F77" w:rsidRPr="000A6751" w:rsidRDefault="0042098D" w:rsidP="001A1AA1">
      <w:pPr>
        <w:pStyle w:val="SingleTxt"/>
        <w:numPr>
          <w:ilvl w:val="0"/>
          <w:numId w:val="29"/>
        </w:numPr>
        <w:spacing w:line="240" w:lineRule="exact"/>
        <w:ind w:left="1267"/>
        <w:rPr>
          <w:lang w:val="fr-FR"/>
        </w:rPr>
      </w:pPr>
      <w:r w:rsidRPr="0042098D">
        <w:rPr>
          <w:b/>
          <w:bCs/>
          <w:lang w:val="fr-FR"/>
        </w:rPr>
        <w:t>Le Comité invite l</w:t>
      </w:r>
      <w:r w:rsidR="00356F77" w:rsidRPr="000A6751">
        <w:rPr>
          <w:b/>
          <w:bCs/>
          <w:lang w:val="fr-FR"/>
        </w:rPr>
        <w:t>’</w:t>
      </w:r>
      <w:r w:rsidRPr="0042098D">
        <w:rPr>
          <w:b/>
          <w:bCs/>
          <w:lang w:val="fr-FR"/>
        </w:rPr>
        <w:t>État partie à s</w:t>
      </w:r>
      <w:r w:rsidR="00356F77" w:rsidRPr="000A6751">
        <w:rPr>
          <w:b/>
          <w:bCs/>
          <w:lang w:val="fr-FR"/>
        </w:rPr>
        <w:t>’</w:t>
      </w:r>
      <w:r w:rsidRPr="0042098D">
        <w:rPr>
          <w:b/>
          <w:bCs/>
          <w:lang w:val="fr-FR"/>
        </w:rPr>
        <w:t>appuyer sur la Déclaration et le Programme d</w:t>
      </w:r>
      <w:r w:rsidR="00356F77" w:rsidRPr="000A6751">
        <w:rPr>
          <w:b/>
          <w:bCs/>
          <w:lang w:val="fr-FR"/>
        </w:rPr>
        <w:t>’</w:t>
      </w:r>
      <w:r w:rsidRPr="0042098D">
        <w:rPr>
          <w:b/>
          <w:bCs/>
          <w:lang w:val="fr-FR"/>
        </w:rPr>
        <w:t>action de Beijing et à continuer d</w:t>
      </w:r>
      <w:r w:rsidR="00356F77" w:rsidRPr="000A6751">
        <w:rPr>
          <w:b/>
          <w:bCs/>
          <w:lang w:val="fr-FR"/>
        </w:rPr>
        <w:t>’</w:t>
      </w:r>
      <w:r w:rsidRPr="0042098D">
        <w:rPr>
          <w:b/>
          <w:bCs/>
          <w:lang w:val="fr-FR"/>
        </w:rPr>
        <w:t>évaluer la réalisation des droits consacrés par la Convention dans le contexte de l</w:t>
      </w:r>
      <w:r w:rsidR="00356F77" w:rsidRPr="000A6751">
        <w:rPr>
          <w:b/>
          <w:bCs/>
          <w:lang w:val="fr-FR"/>
        </w:rPr>
        <w:t>’</w:t>
      </w:r>
      <w:r w:rsidRPr="0042098D">
        <w:rPr>
          <w:b/>
          <w:bCs/>
          <w:lang w:val="fr-FR"/>
        </w:rPr>
        <w:t>examen après 25 ans de la mise en œuvre de la Déclaration et du Programme d</w:t>
      </w:r>
      <w:r w:rsidR="00356F77" w:rsidRPr="000A6751">
        <w:rPr>
          <w:b/>
          <w:bCs/>
          <w:lang w:val="fr-FR"/>
        </w:rPr>
        <w:t>’</w:t>
      </w:r>
      <w:r w:rsidRPr="0042098D">
        <w:rPr>
          <w:b/>
          <w:bCs/>
          <w:lang w:val="fr-FR"/>
        </w:rPr>
        <w:t>action de Beijing afin de parvenir à une égalité réelle entre les femmes et les hommes.</w:t>
      </w:r>
    </w:p>
    <w:p w14:paraId="245EFBB0" w14:textId="77777777" w:rsidR="001A1AA1" w:rsidRPr="000A6751" w:rsidRDefault="001A1AA1" w:rsidP="001A1AA1">
      <w:pPr>
        <w:pStyle w:val="SingleTxt"/>
        <w:spacing w:after="0" w:line="120" w:lineRule="exact"/>
        <w:rPr>
          <w:sz w:val="10"/>
          <w:lang w:val="fr-FR"/>
        </w:rPr>
      </w:pPr>
    </w:p>
    <w:p w14:paraId="4E0031D1" w14:textId="6AEA481C" w:rsidR="0042098D"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Diffusion</w:t>
      </w:r>
    </w:p>
    <w:p w14:paraId="38DD3B5B" w14:textId="1A3ADC2A" w:rsidR="001A1AA1" w:rsidRPr="000A6751" w:rsidRDefault="001A1AA1" w:rsidP="001A1AA1">
      <w:pPr>
        <w:pStyle w:val="SingleTxt"/>
        <w:spacing w:after="0" w:line="120" w:lineRule="exact"/>
        <w:rPr>
          <w:sz w:val="10"/>
          <w:lang w:val="fr-FR"/>
        </w:rPr>
      </w:pPr>
    </w:p>
    <w:p w14:paraId="78840CFE" w14:textId="7717B56B" w:rsidR="0042098D" w:rsidRPr="0042098D" w:rsidRDefault="0042098D" w:rsidP="001A1AA1">
      <w:pPr>
        <w:pStyle w:val="SingleTxt"/>
        <w:numPr>
          <w:ilvl w:val="0"/>
          <w:numId w:val="29"/>
        </w:numPr>
        <w:spacing w:line="240" w:lineRule="exact"/>
        <w:ind w:left="1267"/>
        <w:rPr>
          <w:lang w:val="fr-FR"/>
        </w:rPr>
      </w:pPr>
      <w:r w:rsidRPr="0042098D">
        <w:rPr>
          <w:b/>
          <w:bCs/>
          <w:lang w:val="fr-FR"/>
        </w:rPr>
        <w:t>Le Comité demande à l</w:t>
      </w:r>
      <w:r w:rsidR="00356F77" w:rsidRPr="000A6751">
        <w:rPr>
          <w:b/>
          <w:bCs/>
          <w:lang w:val="fr-FR"/>
        </w:rPr>
        <w:t>’</w:t>
      </w:r>
      <w:r w:rsidRPr="0042098D">
        <w:rPr>
          <w:b/>
          <w:bCs/>
          <w:lang w:val="fr-FR"/>
        </w:rPr>
        <w:t>État partie de veiller à ce que les présentes observations finales soient diffusées en temps voulu, dans les langues officielles de fait de l</w:t>
      </w:r>
      <w:r w:rsidR="00356F77" w:rsidRPr="000A6751">
        <w:rPr>
          <w:b/>
          <w:bCs/>
          <w:lang w:val="fr-FR"/>
        </w:rPr>
        <w:t>’</w:t>
      </w:r>
      <w:r w:rsidRPr="0042098D">
        <w:rPr>
          <w:b/>
          <w:bCs/>
          <w:lang w:val="fr-FR"/>
        </w:rPr>
        <w:t>État partie, aux institutions publiques compétentes à tous les niveaux (national, régional et local), en particulier au Gouvernement, aux ministères, au Parlement et à l</w:t>
      </w:r>
      <w:r w:rsidR="00356F77" w:rsidRPr="000A6751">
        <w:rPr>
          <w:b/>
          <w:bCs/>
          <w:lang w:val="fr-FR"/>
        </w:rPr>
        <w:t>’</w:t>
      </w:r>
      <w:r w:rsidRPr="0042098D">
        <w:rPr>
          <w:b/>
          <w:bCs/>
          <w:lang w:val="fr-FR"/>
        </w:rPr>
        <w:t>appareil judiciaire, en vue d</w:t>
      </w:r>
      <w:r w:rsidR="00356F77" w:rsidRPr="000A6751">
        <w:rPr>
          <w:b/>
          <w:bCs/>
          <w:lang w:val="fr-FR"/>
        </w:rPr>
        <w:t>’</w:t>
      </w:r>
      <w:r w:rsidRPr="0042098D">
        <w:rPr>
          <w:b/>
          <w:bCs/>
          <w:lang w:val="fr-FR"/>
        </w:rPr>
        <w:t>en assurer la mise en œuvre intégrale.</w:t>
      </w:r>
    </w:p>
    <w:p w14:paraId="18CCFC07" w14:textId="77777777" w:rsidR="001A1AA1" w:rsidRPr="000A6751" w:rsidRDefault="001A1AA1" w:rsidP="001A1AA1">
      <w:pPr>
        <w:pStyle w:val="SingleTxt"/>
        <w:spacing w:after="0" w:line="120" w:lineRule="exact"/>
        <w:rPr>
          <w:sz w:val="10"/>
          <w:lang w:val="fr-FR"/>
        </w:rPr>
      </w:pPr>
    </w:p>
    <w:p w14:paraId="7CF365F4" w14:textId="0AED4C66" w:rsidR="0042098D"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Assistance technique</w:t>
      </w:r>
    </w:p>
    <w:p w14:paraId="4C988CD7" w14:textId="135FFF42" w:rsidR="001A1AA1" w:rsidRPr="000A6751" w:rsidRDefault="001A1AA1" w:rsidP="001A1AA1">
      <w:pPr>
        <w:pStyle w:val="SingleTxt"/>
        <w:spacing w:after="0" w:line="120" w:lineRule="exact"/>
        <w:rPr>
          <w:sz w:val="10"/>
          <w:lang w:val="fr-FR"/>
        </w:rPr>
      </w:pPr>
    </w:p>
    <w:p w14:paraId="209B413F" w14:textId="21E996A1" w:rsidR="0042098D" w:rsidRPr="0042098D" w:rsidRDefault="0042098D" w:rsidP="001A1AA1">
      <w:pPr>
        <w:pStyle w:val="SingleTxt"/>
        <w:numPr>
          <w:ilvl w:val="0"/>
          <w:numId w:val="29"/>
        </w:numPr>
        <w:spacing w:line="240" w:lineRule="exact"/>
        <w:ind w:left="1267"/>
        <w:rPr>
          <w:lang w:val="fr-FR"/>
        </w:rPr>
      </w:pPr>
      <w:r w:rsidRPr="0042098D">
        <w:rPr>
          <w:b/>
          <w:bCs/>
          <w:lang w:val="fr-FR"/>
        </w:rPr>
        <w:t>Le Comité recommande à l</w:t>
      </w:r>
      <w:r w:rsidR="00356F77" w:rsidRPr="000A6751">
        <w:rPr>
          <w:b/>
          <w:bCs/>
          <w:lang w:val="fr-FR"/>
        </w:rPr>
        <w:t>’</w:t>
      </w:r>
      <w:r w:rsidRPr="0042098D">
        <w:rPr>
          <w:b/>
          <w:bCs/>
          <w:lang w:val="fr-FR"/>
        </w:rPr>
        <w:t>État partie d</w:t>
      </w:r>
      <w:r w:rsidR="00356F77" w:rsidRPr="000A6751">
        <w:rPr>
          <w:b/>
          <w:bCs/>
          <w:lang w:val="fr-FR"/>
        </w:rPr>
        <w:t>’</w:t>
      </w:r>
      <w:r w:rsidRPr="0042098D">
        <w:rPr>
          <w:b/>
          <w:bCs/>
          <w:lang w:val="fr-FR"/>
        </w:rPr>
        <w:t>établir un lien entre l</w:t>
      </w:r>
      <w:r w:rsidR="00356F77" w:rsidRPr="000A6751">
        <w:rPr>
          <w:b/>
          <w:bCs/>
          <w:lang w:val="fr-FR"/>
        </w:rPr>
        <w:t>’</w:t>
      </w:r>
      <w:r w:rsidRPr="0042098D">
        <w:rPr>
          <w:b/>
          <w:bCs/>
          <w:lang w:val="fr-FR"/>
        </w:rPr>
        <w:t>application de la Convention et l</w:t>
      </w:r>
      <w:r w:rsidR="00356F77" w:rsidRPr="000A6751">
        <w:rPr>
          <w:b/>
          <w:bCs/>
          <w:lang w:val="fr-FR"/>
        </w:rPr>
        <w:t>’</w:t>
      </w:r>
      <w:r w:rsidRPr="0042098D">
        <w:rPr>
          <w:b/>
          <w:bCs/>
          <w:lang w:val="fr-FR"/>
        </w:rPr>
        <w:t>action qu</w:t>
      </w:r>
      <w:r w:rsidR="00356F77" w:rsidRPr="000A6751">
        <w:rPr>
          <w:b/>
          <w:bCs/>
          <w:lang w:val="fr-FR"/>
        </w:rPr>
        <w:t>’</w:t>
      </w:r>
      <w:r w:rsidRPr="0042098D">
        <w:rPr>
          <w:b/>
          <w:bCs/>
          <w:lang w:val="fr-FR"/>
        </w:rPr>
        <w:t>il mène en faveur du développement, et de faire appel à cette fin à l</w:t>
      </w:r>
      <w:r w:rsidR="00356F77" w:rsidRPr="000A6751">
        <w:rPr>
          <w:b/>
          <w:bCs/>
          <w:lang w:val="fr-FR"/>
        </w:rPr>
        <w:t>’</w:t>
      </w:r>
      <w:r w:rsidRPr="0042098D">
        <w:rPr>
          <w:b/>
          <w:bCs/>
          <w:lang w:val="fr-FR"/>
        </w:rPr>
        <w:t>assistance technique régionale ou internationale.</w:t>
      </w:r>
    </w:p>
    <w:p w14:paraId="3D95B605" w14:textId="77777777" w:rsidR="001A1AA1" w:rsidRPr="000A6751" w:rsidRDefault="001A1AA1" w:rsidP="001A1AA1">
      <w:pPr>
        <w:pStyle w:val="SingleTxt"/>
        <w:spacing w:after="0" w:line="120" w:lineRule="exact"/>
        <w:rPr>
          <w:sz w:val="10"/>
          <w:lang w:val="fr-FR"/>
        </w:rPr>
      </w:pPr>
    </w:p>
    <w:p w14:paraId="6ECBE183" w14:textId="5D7DD3A3" w:rsidR="00356F77"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Suite donnée aux observations finales</w:t>
      </w:r>
    </w:p>
    <w:p w14:paraId="3F2CE9DC" w14:textId="39146800" w:rsidR="001A1AA1" w:rsidRPr="000A6751" w:rsidRDefault="001A1AA1" w:rsidP="001A1AA1">
      <w:pPr>
        <w:pStyle w:val="SingleTxt"/>
        <w:spacing w:after="0" w:line="120" w:lineRule="exact"/>
        <w:rPr>
          <w:sz w:val="10"/>
          <w:lang w:val="fr-FR"/>
        </w:rPr>
      </w:pPr>
    </w:p>
    <w:p w14:paraId="754F4836" w14:textId="50E14685" w:rsidR="0042098D" w:rsidRPr="0042098D" w:rsidRDefault="0042098D" w:rsidP="001A1AA1">
      <w:pPr>
        <w:pStyle w:val="SingleTxt"/>
        <w:numPr>
          <w:ilvl w:val="0"/>
          <w:numId w:val="29"/>
        </w:numPr>
        <w:spacing w:line="240" w:lineRule="exact"/>
        <w:ind w:left="1267"/>
        <w:rPr>
          <w:lang w:val="fr-FR"/>
        </w:rPr>
      </w:pPr>
      <w:r w:rsidRPr="0042098D">
        <w:rPr>
          <w:b/>
          <w:bCs/>
          <w:lang w:val="fr-FR"/>
        </w:rPr>
        <w:t>Le Comité demande à l</w:t>
      </w:r>
      <w:r w:rsidR="00356F77" w:rsidRPr="000A6751">
        <w:rPr>
          <w:b/>
          <w:bCs/>
          <w:lang w:val="fr-FR"/>
        </w:rPr>
        <w:t>’</w:t>
      </w:r>
      <w:r w:rsidRPr="0042098D">
        <w:rPr>
          <w:b/>
          <w:bCs/>
          <w:lang w:val="fr-FR"/>
        </w:rPr>
        <w:t>État partie de lui fournir, dans un délai de deux ans, des informations écrites sur les mesures qu</w:t>
      </w:r>
      <w:r w:rsidR="00356F77" w:rsidRPr="000A6751">
        <w:rPr>
          <w:b/>
          <w:bCs/>
          <w:lang w:val="fr-FR"/>
        </w:rPr>
        <w:t>’</w:t>
      </w:r>
      <w:r w:rsidRPr="0042098D">
        <w:rPr>
          <w:b/>
          <w:bCs/>
          <w:lang w:val="fr-FR"/>
        </w:rPr>
        <w:t>il aura prises pour donner suite aux recommandations énoncées aux paragraphes 24 e) et 40 a), c) et d) ci-dessus.</w:t>
      </w:r>
    </w:p>
    <w:p w14:paraId="50F5FFD9" w14:textId="77777777" w:rsidR="001A1AA1" w:rsidRPr="000A6751" w:rsidRDefault="001A1AA1" w:rsidP="001A1AA1">
      <w:pPr>
        <w:pStyle w:val="SingleTxt"/>
        <w:spacing w:after="0" w:line="120" w:lineRule="exact"/>
        <w:rPr>
          <w:sz w:val="10"/>
          <w:lang w:val="fr-FR"/>
        </w:rPr>
      </w:pPr>
    </w:p>
    <w:p w14:paraId="2F394DA3" w14:textId="0865123C" w:rsidR="00356F77" w:rsidRPr="000A6751" w:rsidRDefault="0042098D" w:rsidP="001A1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6751">
        <w:rPr>
          <w:lang w:val="fr-FR"/>
        </w:rPr>
        <w:tab/>
      </w:r>
      <w:r w:rsidRPr="000A6751">
        <w:rPr>
          <w:lang w:val="fr-FR"/>
        </w:rPr>
        <w:tab/>
        <w:t>Établissement du prochain rapport</w:t>
      </w:r>
    </w:p>
    <w:p w14:paraId="28793894" w14:textId="4D7C42C2" w:rsidR="001A1AA1" w:rsidRPr="000A6751" w:rsidRDefault="001A1AA1" w:rsidP="001A1AA1">
      <w:pPr>
        <w:pStyle w:val="SingleTxt"/>
        <w:spacing w:after="0" w:line="120" w:lineRule="exact"/>
        <w:rPr>
          <w:sz w:val="10"/>
          <w:lang w:val="fr-FR"/>
        </w:rPr>
      </w:pPr>
    </w:p>
    <w:p w14:paraId="6BDE4D1B" w14:textId="02D0CCAC" w:rsidR="0042098D" w:rsidRPr="0042098D" w:rsidRDefault="0042098D" w:rsidP="001A1AA1">
      <w:pPr>
        <w:pStyle w:val="SingleTxt"/>
        <w:numPr>
          <w:ilvl w:val="0"/>
          <w:numId w:val="29"/>
        </w:numPr>
        <w:spacing w:line="240" w:lineRule="exact"/>
        <w:ind w:left="1267"/>
        <w:rPr>
          <w:lang w:val="fr-FR"/>
        </w:rPr>
      </w:pPr>
      <w:r w:rsidRPr="0042098D">
        <w:rPr>
          <w:b/>
          <w:bCs/>
          <w:lang w:val="fr-FR"/>
        </w:rPr>
        <w:t>Le Comité invite l</w:t>
      </w:r>
      <w:r w:rsidR="00356F77" w:rsidRPr="000A6751">
        <w:rPr>
          <w:b/>
          <w:bCs/>
          <w:lang w:val="fr-FR"/>
        </w:rPr>
        <w:t>’</w:t>
      </w:r>
      <w:r w:rsidRPr="0042098D">
        <w:rPr>
          <w:b/>
          <w:bCs/>
          <w:lang w:val="fr-FR"/>
        </w:rPr>
        <w:t>État partie à soumettre son septième rapport périodique en juillet 2026.</w:t>
      </w:r>
      <w:r w:rsidRPr="0042098D">
        <w:rPr>
          <w:lang w:val="fr-FR"/>
        </w:rPr>
        <w:t xml:space="preserve"> </w:t>
      </w:r>
      <w:r w:rsidRPr="0042098D">
        <w:rPr>
          <w:b/>
          <w:bCs/>
          <w:lang w:val="fr-FR"/>
        </w:rPr>
        <w:t>Le rapport devra être présenté dans les délais et couvrir toute la période écoulée, jusqu</w:t>
      </w:r>
      <w:r w:rsidR="00356F77" w:rsidRPr="000A6751">
        <w:rPr>
          <w:b/>
          <w:bCs/>
          <w:lang w:val="fr-FR"/>
        </w:rPr>
        <w:t>’</w:t>
      </w:r>
      <w:r w:rsidRPr="0042098D">
        <w:rPr>
          <w:b/>
          <w:bCs/>
          <w:lang w:val="fr-FR"/>
        </w:rPr>
        <w:t>à la date à laquelle il sera soumis.</w:t>
      </w:r>
    </w:p>
    <w:p w14:paraId="4A40FDD1" w14:textId="2DE04DE4" w:rsidR="0042098D" w:rsidRPr="0042098D" w:rsidRDefault="0042098D" w:rsidP="001A1AA1">
      <w:pPr>
        <w:pStyle w:val="SingleTxt"/>
        <w:numPr>
          <w:ilvl w:val="0"/>
          <w:numId w:val="29"/>
        </w:numPr>
        <w:spacing w:line="240" w:lineRule="exact"/>
        <w:ind w:left="1267"/>
        <w:rPr>
          <w:lang w:val="fr-FR"/>
        </w:rPr>
      </w:pPr>
      <w:r w:rsidRPr="0042098D">
        <w:rPr>
          <w:b/>
          <w:bCs/>
          <w:lang w:val="fr-FR"/>
        </w:rPr>
        <w:t>Le Comité invite l</w:t>
      </w:r>
      <w:r w:rsidR="00356F77" w:rsidRPr="000A6751">
        <w:rPr>
          <w:b/>
          <w:bCs/>
          <w:lang w:val="fr-FR"/>
        </w:rPr>
        <w:t>’</w:t>
      </w:r>
      <w:r w:rsidRPr="0042098D">
        <w:rPr>
          <w:b/>
          <w:bCs/>
          <w:lang w:val="fr-FR"/>
        </w:rPr>
        <w:t>État partie à se conformer aux directives harmonisées pour l</w:t>
      </w:r>
      <w:r w:rsidR="00356F77" w:rsidRPr="000A6751">
        <w:rPr>
          <w:b/>
          <w:bCs/>
          <w:lang w:val="fr-FR"/>
        </w:rPr>
        <w:t>’</w:t>
      </w:r>
      <w:r w:rsidRPr="0042098D">
        <w:rPr>
          <w:b/>
          <w:bCs/>
          <w:lang w:val="fr-FR"/>
        </w:rPr>
        <w:t>établissement de rapports au titre des instruments internationaux relatifs aux droits de l</w:t>
      </w:r>
      <w:r w:rsidR="00356F77" w:rsidRPr="000A6751">
        <w:rPr>
          <w:b/>
          <w:bCs/>
          <w:lang w:val="fr-FR"/>
        </w:rPr>
        <w:t>’</w:t>
      </w:r>
      <w:r w:rsidRPr="0042098D">
        <w:rPr>
          <w:b/>
          <w:bCs/>
          <w:lang w:val="fr-FR"/>
        </w:rPr>
        <w:t>homme, englobant le document de base commun et les rapports pour chaque instrument (</w:t>
      </w:r>
      <w:hyperlink r:id="rId30" w:history="1">
        <w:r w:rsidRPr="0042098D">
          <w:rPr>
            <w:rStyle w:val="Hyperlink"/>
            <w:b/>
            <w:bCs/>
            <w:lang w:val="fr-FR"/>
          </w:rPr>
          <w:t>HRI/GEN/2/Rev.6</w:t>
        </w:r>
      </w:hyperlink>
      <w:r w:rsidRPr="0042098D">
        <w:rPr>
          <w:b/>
          <w:bCs/>
          <w:lang w:val="fr-FR"/>
        </w:rPr>
        <w:t>, chap. I).</w:t>
      </w:r>
    </w:p>
    <w:p w14:paraId="35FE0693" w14:textId="775E6313" w:rsidR="0042098D" w:rsidRPr="000A6751" w:rsidRDefault="0042098D" w:rsidP="0042098D">
      <w:pPr>
        <w:pStyle w:val="SingleTxt"/>
        <w:spacing w:after="0" w:line="240" w:lineRule="auto"/>
        <w:rPr>
          <w:lang w:val="fr-FR"/>
        </w:rPr>
      </w:pPr>
      <w:r w:rsidRPr="000A6751">
        <w:rPr>
          <w:noProof/>
          <w:w w:val="100"/>
          <w:lang w:val="fr-FR"/>
        </w:rPr>
        <mc:AlternateContent>
          <mc:Choice Requires="wps">
            <w:drawing>
              <wp:anchor distT="0" distB="0" distL="114300" distR="114300" simplePos="0" relativeHeight="251659264" behindDoc="0" locked="0" layoutInCell="1" allowOverlap="1" wp14:anchorId="7B0BC576" wp14:editId="290F633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0A7F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42098D" w:rsidRPr="000A6751" w:rsidSect="0042098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6:56:00Z" w:initials="Start">
    <w:p w14:paraId="05F11F5D" w14:textId="77777777" w:rsidR="00CD3EAA" w:rsidRDefault="00CD3EAA">
      <w:pPr>
        <w:pStyle w:val="CommentText"/>
      </w:pPr>
      <w:r>
        <w:rPr>
          <w:rStyle w:val="CommentReference"/>
        </w:rPr>
        <w:annotationRef/>
      </w:r>
      <w:r>
        <w:t>&lt;&lt;ODS JOB NO&gt;&gt;N2242052F&lt;&lt;ODS JOB NO&gt;&gt;</w:t>
      </w:r>
    </w:p>
    <w:p w14:paraId="0E4CDCC0" w14:textId="77777777" w:rsidR="00CD3EAA" w:rsidRDefault="00CD3EAA">
      <w:pPr>
        <w:pStyle w:val="CommentText"/>
      </w:pPr>
      <w:r>
        <w:t>&lt;&lt;ODS DOC SYMBOL1&gt;&gt;CEDAW/C/MAR/CO/5-6&lt;&lt;ODS DOC SYMBOL1&gt;&gt;</w:t>
      </w:r>
    </w:p>
    <w:p w14:paraId="35BD5A70" w14:textId="77777777" w:rsidR="00CD3EAA" w:rsidRDefault="00CD3EA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D5A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34B5" w16cex:dateUtc="2022-09-13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D5A70" w16cid:durableId="26CB3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F4AB" w14:textId="77777777" w:rsidR="002E27D0" w:rsidRDefault="002E27D0" w:rsidP="00101B18">
      <w:pPr>
        <w:spacing w:line="240" w:lineRule="auto"/>
      </w:pPr>
      <w:r>
        <w:separator/>
      </w:r>
    </w:p>
  </w:endnote>
  <w:endnote w:type="continuationSeparator" w:id="0">
    <w:p w14:paraId="0A793205" w14:textId="77777777" w:rsidR="002E27D0" w:rsidRDefault="002E27D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3EAA" w14:paraId="34BE6C70" w14:textId="77777777" w:rsidTr="00CD3EAA">
      <w:tblPrEx>
        <w:tblCellMar>
          <w:top w:w="0" w:type="dxa"/>
          <w:bottom w:w="0" w:type="dxa"/>
        </w:tblCellMar>
      </w:tblPrEx>
      <w:tc>
        <w:tcPr>
          <w:tcW w:w="4920" w:type="dxa"/>
          <w:shd w:val="clear" w:color="auto" w:fill="auto"/>
        </w:tcPr>
        <w:p w14:paraId="6CD3468F" w14:textId="378D3906" w:rsidR="00CD3EAA" w:rsidRPr="00CD3EAA" w:rsidRDefault="00CD3EAA" w:rsidP="00CD3E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12D1">
            <w:rPr>
              <w:b w:val="0"/>
              <w:w w:val="103"/>
              <w:sz w:val="14"/>
            </w:rPr>
            <w:t>22-10900</w:t>
          </w:r>
          <w:r>
            <w:rPr>
              <w:b w:val="0"/>
              <w:w w:val="103"/>
              <w:sz w:val="14"/>
            </w:rPr>
            <w:fldChar w:fldCharType="end"/>
          </w:r>
        </w:p>
      </w:tc>
      <w:tc>
        <w:tcPr>
          <w:tcW w:w="4920" w:type="dxa"/>
          <w:shd w:val="clear" w:color="auto" w:fill="auto"/>
        </w:tcPr>
        <w:p w14:paraId="0046BC9C" w14:textId="77777777" w:rsidR="00CD3EAA" w:rsidRPr="00CD3EAA" w:rsidRDefault="00CD3EAA" w:rsidP="00CD3EA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852CE46" w14:textId="77777777" w:rsidR="00CD3EAA" w:rsidRPr="00CD3EAA" w:rsidRDefault="00CD3EAA" w:rsidP="00CD3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3EAA" w14:paraId="5AC9E3C5" w14:textId="77777777" w:rsidTr="00CD3EAA">
      <w:tblPrEx>
        <w:tblCellMar>
          <w:top w:w="0" w:type="dxa"/>
          <w:bottom w:w="0" w:type="dxa"/>
        </w:tblCellMar>
      </w:tblPrEx>
      <w:tc>
        <w:tcPr>
          <w:tcW w:w="4920" w:type="dxa"/>
          <w:shd w:val="clear" w:color="auto" w:fill="auto"/>
        </w:tcPr>
        <w:p w14:paraId="3F6014C4" w14:textId="77777777" w:rsidR="00CD3EAA" w:rsidRPr="00CD3EAA" w:rsidRDefault="00CD3EAA" w:rsidP="00CD3EA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4097B3E" w14:textId="5E0DBA52" w:rsidR="00CD3EAA" w:rsidRPr="00CD3EAA" w:rsidRDefault="00CD3EAA" w:rsidP="00CD3E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12D1">
            <w:rPr>
              <w:b w:val="0"/>
              <w:w w:val="103"/>
              <w:sz w:val="14"/>
            </w:rPr>
            <w:t>22-10900</w:t>
          </w:r>
          <w:r>
            <w:rPr>
              <w:b w:val="0"/>
              <w:w w:val="103"/>
              <w:sz w:val="14"/>
            </w:rPr>
            <w:fldChar w:fldCharType="end"/>
          </w:r>
        </w:p>
      </w:tc>
    </w:tr>
  </w:tbl>
  <w:p w14:paraId="0E33EC23" w14:textId="77777777" w:rsidR="00CD3EAA" w:rsidRPr="00CD3EAA" w:rsidRDefault="00CD3EAA" w:rsidP="00CD3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77E" w14:textId="77777777" w:rsidR="00CD3EAA" w:rsidRDefault="00CD3EAA">
    <w:pPr>
      <w:pStyle w:val="Footer"/>
    </w:pPr>
    <w:r>
      <w:rPr>
        <w:noProof/>
      </w:rPr>
      <w:drawing>
        <wp:anchor distT="0" distB="0" distL="114300" distR="114300" simplePos="0" relativeHeight="251658240" behindDoc="0" locked="0" layoutInCell="1" allowOverlap="1" wp14:anchorId="7B6F9197" wp14:editId="02314EF6">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D3EAA" w14:paraId="7389AD25" w14:textId="77777777" w:rsidTr="00CD3EAA">
      <w:tblPrEx>
        <w:tblCellMar>
          <w:top w:w="0" w:type="dxa"/>
          <w:bottom w:w="0" w:type="dxa"/>
        </w:tblCellMar>
      </w:tblPrEx>
      <w:tc>
        <w:tcPr>
          <w:tcW w:w="3758" w:type="dxa"/>
        </w:tcPr>
        <w:p w14:paraId="6312FDEB" w14:textId="6FFEEE3E" w:rsidR="00CD3EAA" w:rsidRDefault="00CD3EAA" w:rsidP="00CD3EA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E12D1">
            <w:rPr>
              <w:b w:val="0"/>
              <w:sz w:val="20"/>
            </w:rPr>
            <w:t>22-10900 (F)</w:t>
          </w:r>
          <w:r>
            <w:rPr>
              <w:b w:val="0"/>
              <w:sz w:val="20"/>
            </w:rPr>
            <w:fldChar w:fldCharType="end"/>
          </w:r>
          <w:r>
            <w:rPr>
              <w:b w:val="0"/>
              <w:sz w:val="20"/>
            </w:rPr>
            <w:t xml:space="preserve">    1</w:t>
          </w:r>
          <w:r w:rsidR="0042098D">
            <w:rPr>
              <w:b w:val="0"/>
              <w:sz w:val="20"/>
            </w:rPr>
            <w:t>2</w:t>
          </w:r>
          <w:r>
            <w:rPr>
              <w:b w:val="0"/>
              <w:sz w:val="20"/>
            </w:rPr>
            <w:t>0922    130922</w:t>
          </w:r>
        </w:p>
        <w:p w14:paraId="6AA415B5" w14:textId="77927786" w:rsidR="00CD3EAA" w:rsidRPr="00CD3EAA" w:rsidRDefault="00CD3EAA" w:rsidP="00CD3EA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E12D1">
            <w:rPr>
              <w:rFonts w:ascii="Barcode 3 of 9 by request" w:hAnsi="Barcode 3 of 9 by request"/>
              <w:spacing w:val="0"/>
              <w:w w:val="100"/>
              <w:sz w:val="24"/>
            </w:rPr>
            <w:t>*2210900*</w:t>
          </w:r>
          <w:r>
            <w:rPr>
              <w:rFonts w:ascii="Barcode 3 of 9 by request" w:hAnsi="Barcode 3 of 9 by request"/>
              <w:spacing w:val="0"/>
              <w:w w:val="100"/>
              <w:sz w:val="24"/>
            </w:rPr>
            <w:fldChar w:fldCharType="end"/>
          </w:r>
        </w:p>
      </w:tc>
      <w:tc>
        <w:tcPr>
          <w:tcW w:w="4920" w:type="dxa"/>
        </w:tcPr>
        <w:p w14:paraId="33E1ABD4" w14:textId="77777777" w:rsidR="00CD3EAA" w:rsidRDefault="00CD3EAA" w:rsidP="00CD3EAA">
          <w:pPr>
            <w:pStyle w:val="Footer"/>
            <w:spacing w:line="240" w:lineRule="atLeast"/>
            <w:jc w:val="right"/>
            <w:rPr>
              <w:b w:val="0"/>
              <w:sz w:val="20"/>
            </w:rPr>
          </w:pPr>
          <w:r>
            <w:rPr>
              <w:b w:val="0"/>
              <w:noProof/>
              <w:sz w:val="20"/>
            </w:rPr>
            <w:drawing>
              <wp:inline distT="0" distB="0" distL="0" distR="0" wp14:anchorId="38AEE5A5" wp14:editId="28ACC03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3C44913" w14:textId="77777777" w:rsidR="00CD3EAA" w:rsidRPr="00CD3EAA" w:rsidRDefault="00CD3EAA" w:rsidP="00CD3EA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4927" w14:textId="372948CB" w:rsidR="002E27D0" w:rsidRPr="0042098D" w:rsidRDefault="0042098D" w:rsidP="0042098D">
      <w:pPr>
        <w:pStyle w:val="Footer"/>
        <w:spacing w:after="80"/>
        <w:ind w:left="792"/>
        <w:rPr>
          <w:sz w:val="16"/>
        </w:rPr>
      </w:pPr>
      <w:r w:rsidRPr="0042098D">
        <w:rPr>
          <w:sz w:val="16"/>
        </w:rPr>
        <w:t>__________________</w:t>
      </w:r>
    </w:p>
  </w:footnote>
  <w:footnote w:type="continuationSeparator" w:id="0">
    <w:p w14:paraId="2D7523EA" w14:textId="684EBDCA" w:rsidR="002E27D0" w:rsidRPr="0042098D" w:rsidRDefault="0042098D" w:rsidP="0042098D">
      <w:pPr>
        <w:pStyle w:val="Footer"/>
        <w:spacing w:after="80"/>
        <w:ind w:left="792"/>
        <w:rPr>
          <w:sz w:val="16"/>
        </w:rPr>
      </w:pPr>
      <w:r w:rsidRPr="0042098D">
        <w:rPr>
          <w:sz w:val="16"/>
        </w:rPr>
        <w:t>__________________</w:t>
      </w:r>
    </w:p>
  </w:footnote>
  <w:footnote w:id="1">
    <w:p w14:paraId="3A562241" w14:textId="77777777" w:rsidR="0042098D" w:rsidRPr="0042098D" w:rsidRDefault="0042098D" w:rsidP="0042098D">
      <w:pPr>
        <w:pStyle w:val="FootnoteText"/>
        <w:tabs>
          <w:tab w:val="right" w:pos="1195"/>
          <w:tab w:val="left" w:pos="1267"/>
          <w:tab w:val="left" w:pos="1742"/>
          <w:tab w:val="left" w:pos="2218"/>
          <w:tab w:val="left" w:pos="2693"/>
        </w:tabs>
        <w:suppressAutoHyphens/>
        <w:ind w:left="1267" w:right="1267" w:hanging="576"/>
        <w:rPr>
          <w:lang w:val="fr-CH"/>
        </w:rPr>
      </w:pPr>
      <w:r>
        <w:rPr>
          <w:lang w:val="fr-FR"/>
        </w:rPr>
        <w:tab/>
      </w:r>
      <w:r w:rsidRPr="0042098D">
        <w:rPr>
          <w:lang w:val="fr-FR"/>
        </w:rPr>
        <w:t>*</w:t>
      </w:r>
      <w:r w:rsidRPr="0042098D">
        <w:rPr>
          <w:lang w:val="fr-FR"/>
        </w:rPr>
        <w:tab/>
        <w:t>Adoptées par le Comité à sa quatre-vingt-deuxième session (13 juin-1</w:t>
      </w:r>
      <w:r w:rsidRPr="0042098D">
        <w:rPr>
          <w:vertAlign w:val="superscript"/>
          <w:lang w:val="fr-FR"/>
        </w:rPr>
        <w:t>er</w:t>
      </w:r>
      <w:r w:rsidRPr="0042098D">
        <w:rPr>
          <w:lang w:val="fr-FR"/>
        </w:rPr>
        <w:t xml:space="preserve"> juillet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D3EAA" w14:paraId="725F9D41" w14:textId="77777777" w:rsidTr="00CD3EAA">
      <w:tblPrEx>
        <w:tblCellMar>
          <w:top w:w="0" w:type="dxa"/>
          <w:bottom w:w="0" w:type="dxa"/>
        </w:tblCellMar>
      </w:tblPrEx>
      <w:trPr>
        <w:trHeight w:hRule="exact" w:val="864"/>
      </w:trPr>
      <w:tc>
        <w:tcPr>
          <w:tcW w:w="4920" w:type="dxa"/>
          <w:shd w:val="clear" w:color="auto" w:fill="auto"/>
          <w:vAlign w:val="bottom"/>
        </w:tcPr>
        <w:p w14:paraId="7066C92C" w14:textId="4BE0436B" w:rsidR="00CD3EAA" w:rsidRPr="00CD3EAA" w:rsidRDefault="00CD3EAA" w:rsidP="00CD3E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12D1">
            <w:rPr>
              <w:b/>
              <w:color w:val="000000"/>
            </w:rPr>
            <w:t>CEDAW/C/MAR/CO/5-6</w:t>
          </w:r>
          <w:r>
            <w:rPr>
              <w:b/>
              <w:color w:val="000000"/>
            </w:rPr>
            <w:fldChar w:fldCharType="end"/>
          </w:r>
        </w:p>
      </w:tc>
      <w:tc>
        <w:tcPr>
          <w:tcW w:w="4920" w:type="dxa"/>
          <w:shd w:val="clear" w:color="auto" w:fill="auto"/>
          <w:vAlign w:val="bottom"/>
        </w:tcPr>
        <w:p w14:paraId="3240934C" w14:textId="77777777" w:rsidR="00CD3EAA" w:rsidRDefault="00CD3EAA" w:rsidP="00CD3EAA">
          <w:pPr>
            <w:pStyle w:val="Header"/>
          </w:pPr>
        </w:p>
      </w:tc>
    </w:tr>
  </w:tbl>
  <w:p w14:paraId="5920ADDD" w14:textId="77777777" w:rsidR="00CD3EAA" w:rsidRPr="00CD3EAA" w:rsidRDefault="00CD3EAA" w:rsidP="00CD3EA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D3EAA" w14:paraId="561530EE" w14:textId="77777777" w:rsidTr="00CD3EAA">
      <w:tblPrEx>
        <w:tblCellMar>
          <w:top w:w="0" w:type="dxa"/>
          <w:bottom w:w="0" w:type="dxa"/>
        </w:tblCellMar>
      </w:tblPrEx>
      <w:trPr>
        <w:trHeight w:hRule="exact" w:val="864"/>
      </w:trPr>
      <w:tc>
        <w:tcPr>
          <w:tcW w:w="4920" w:type="dxa"/>
          <w:shd w:val="clear" w:color="auto" w:fill="auto"/>
          <w:vAlign w:val="bottom"/>
        </w:tcPr>
        <w:p w14:paraId="7CB5F61E" w14:textId="77777777" w:rsidR="00CD3EAA" w:rsidRDefault="00CD3EAA" w:rsidP="00CD3EAA">
          <w:pPr>
            <w:pStyle w:val="Header"/>
          </w:pPr>
        </w:p>
      </w:tc>
      <w:tc>
        <w:tcPr>
          <w:tcW w:w="4920" w:type="dxa"/>
          <w:shd w:val="clear" w:color="auto" w:fill="auto"/>
          <w:vAlign w:val="bottom"/>
        </w:tcPr>
        <w:p w14:paraId="6BAFE5F1" w14:textId="6158DA4B" w:rsidR="00CD3EAA" w:rsidRPr="00CD3EAA" w:rsidRDefault="00CD3EAA" w:rsidP="00CD3E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12D1">
            <w:rPr>
              <w:b/>
              <w:color w:val="000000"/>
            </w:rPr>
            <w:t>CEDAW/C/MAR/CO/5-6</w:t>
          </w:r>
          <w:r>
            <w:rPr>
              <w:b/>
              <w:color w:val="000000"/>
            </w:rPr>
            <w:fldChar w:fldCharType="end"/>
          </w:r>
        </w:p>
      </w:tc>
    </w:tr>
  </w:tbl>
  <w:p w14:paraId="06030756" w14:textId="77777777" w:rsidR="00CD3EAA" w:rsidRPr="00CD3EAA" w:rsidRDefault="00CD3EAA" w:rsidP="00CD3EA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D3EAA" w14:paraId="61F33523" w14:textId="77777777" w:rsidTr="00CD3EA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D2EA0D3" w14:textId="77777777" w:rsidR="00CD3EAA" w:rsidRDefault="00CD3EAA" w:rsidP="00CD3EAA">
          <w:pPr>
            <w:pStyle w:val="Header"/>
            <w:spacing w:after="120"/>
          </w:pPr>
        </w:p>
      </w:tc>
      <w:tc>
        <w:tcPr>
          <w:tcW w:w="2059" w:type="dxa"/>
          <w:tcBorders>
            <w:bottom w:val="single" w:sz="4" w:space="0" w:color="auto"/>
          </w:tcBorders>
          <w:shd w:val="clear" w:color="auto" w:fill="auto"/>
          <w:vAlign w:val="bottom"/>
        </w:tcPr>
        <w:p w14:paraId="70DC8682" w14:textId="77777777" w:rsidR="00CD3EAA" w:rsidRPr="00CD3EAA" w:rsidRDefault="00CD3EAA" w:rsidP="00CD3EA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7210A7B" w14:textId="77777777" w:rsidR="00CD3EAA" w:rsidRDefault="00CD3EAA" w:rsidP="00CD3EAA">
          <w:pPr>
            <w:pStyle w:val="Header"/>
            <w:spacing w:after="120"/>
          </w:pPr>
        </w:p>
      </w:tc>
      <w:tc>
        <w:tcPr>
          <w:tcW w:w="6466" w:type="dxa"/>
          <w:gridSpan w:val="3"/>
          <w:tcBorders>
            <w:bottom w:val="single" w:sz="4" w:space="0" w:color="auto"/>
          </w:tcBorders>
          <w:shd w:val="clear" w:color="auto" w:fill="auto"/>
          <w:vAlign w:val="bottom"/>
        </w:tcPr>
        <w:p w14:paraId="299C0832" w14:textId="77777777" w:rsidR="00CD3EAA" w:rsidRPr="00CD3EAA" w:rsidRDefault="00CD3EAA" w:rsidP="00CD3EAA">
          <w:pPr>
            <w:spacing w:after="80" w:line="240" w:lineRule="auto"/>
            <w:jc w:val="right"/>
            <w:rPr>
              <w:position w:val="-4"/>
            </w:rPr>
          </w:pPr>
          <w:r>
            <w:rPr>
              <w:position w:val="-4"/>
              <w:sz w:val="40"/>
            </w:rPr>
            <w:t>CEDAW</w:t>
          </w:r>
          <w:r>
            <w:rPr>
              <w:position w:val="-4"/>
            </w:rPr>
            <w:t>/C/MAR/CO/5-6</w:t>
          </w:r>
        </w:p>
      </w:tc>
    </w:tr>
    <w:tr w:rsidR="00CD3EAA" w:rsidRPr="00CD3EAA" w14:paraId="58C1B45E" w14:textId="77777777" w:rsidTr="00CD3EA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A4A6AC9" w14:textId="77777777" w:rsidR="00CD3EAA" w:rsidRPr="00CD3EAA" w:rsidRDefault="00CD3EAA" w:rsidP="00CD3EAA">
          <w:pPr>
            <w:pStyle w:val="Header"/>
            <w:spacing w:before="120" w:line="240" w:lineRule="auto"/>
            <w:ind w:left="-72"/>
            <w:jc w:val="center"/>
          </w:pPr>
          <w:r>
            <w:t xml:space="preserve">  </w:t>
          </w:r>
          <w:r>
            <w:rPr>
              <w:noProof/>
            </w:rPr>
            <w:drawing>
              <wp:inline distT="0" distB="0" distL="0" distR="0" wp14:anchorId="1A40231A" wp14:editId="298F59A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EF9084" w14:textId="55F0F208" w:rsidR="00CD3EAA" w:rsidRPr="00CD3EAA" w:rsidRDefault="00CD3EAA" w:rsidP="00CD3EAA">
          <w:pPr>
            <w:pStyle w:val="XLarge"/>
            <w:spacing w:before="120" w:line="360" w:lineRule="exact"/>
            <w:rPr>
              <w:sz w:val="36"/>
            </w:rPr>
          </w:pPr>
          <w:r>
            <w:rPr>
              <w:sz w:val="36"/>
            </w:rPr>
            <w:t>Convention sur l</w:t>
          </w:r>
          <w:r w:rsidR="00356F77">
            <w:rPr>
              <w:sz w:val="36"/>
            </w:rPr>
            <w:t>’</w:t>
          </w:r>
          <w:r>
            <w:rPr>
              <w:sz w:val="36"/>
            </w:rPr>
            <w:t>élimination</w:t>
          </w:r>
          <w:r>
            <w:rPr>
              <w:sz w:val="36"/>
            </w:rPr>
            <w:br/>
            <w:t>de toutes les formes</w:t>
          </w:r>
          <w:r>
            <w:rPr>
              <w:sz w:val="36"/>
            </w:rPr>
            <w:br/>
            <w:t>de discrimination à l</w:t>
          </w:r>
          <w:r w:rsidR="00356F7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887D638" w14:textId="77777777" w:rsidR="00CD3EAA" w:rsidRPr="00CD3EAA" w:rsidRDefault="00CD3EAA" w:rsidP="00CD3EAA">
          <w:pPr>
            <w:pStyle w:val="Header"/>
            <w:spacing w:before="109"/>
          </w:pPr>
        </w:p>
      </w:tc>
      <w:tc>
        <w:tcPr>
          <w:tcW w:w="3110" w:type="dxa"/>
          <w:tcBorders>
            <w:top w:val="single" w:sz="4" w:space="0" w:color="auto"/>
            <w:bottom w:val="single" w:sz="12" w:space="0" w:color="auto"/>
          </w:tcBorders>
          <w:shd w:val="clear" w:color="auto" w:fill="auto"/>
        </w:tcPr>
        <w:p w14:paraId="4E31FA02" w14:textId="77777777" w:rsidR="00CD3EAA" w:rsidRDefault="00CD3EAA" w:rsidP="00CD3EAA">
          <w:pPr>
            <w:pStyle w:val="Distribution"/>
            <w:rPr>
              <w:color w:val="000000"/>
            </w:rPr>
          </w:pPr>
          <w:r>
            <w:rPr>
              <w:color w:val="000000"/>
            </w:rPr>
            <w:t>Distr. générale</w:t>
          </w:r>
        </w:p>
        <w:p w14:paraId="6E510C7E" w14:textId="75C5110D" w:rsidR="00CD3EAA" w:rsidRDefault="00CD3EAA" w:rsidP="00CD3EAA">
          <w:pPr>
            <w:pStyle w:val="Publication"/>
            <w:rPr>
              <w:color w:val="000000"/>
            </w:rPr>
          </w:pPr>
          <w:r>
            <w:rPr>
              <w:color w:val="000000"/>
            </w:rPr>
            <w:t>1</w:t>
          </w:r>
          <w:r w:rsidR="0042098D">
            <w:rPr>
              <w:color w:val="000000"/>
            </w:rPr>
            <w:t>2</w:t>
          </w:r>
          <w:r>
            <w:rPr>
              <w:color w:val="000000"/>
            </w:rPr>
            <w:t xml:space="preserve"> </w:t>
          </w:r>
          <w:r w:rsidR="0042098D">
            <w:rPr>
              <w:color w:val="000000"/>
            </w:rPr>
            <w:t xml:space="preserve">juillet </w:t>
          </w:r>
          <w:r>
            <w:rPr>
              <w:color w:val="000000"/>
            </w:rPr>
            <w:t>2022</w:t>
          </w:r>
        </w:p>
        <w:p w14:paraId="365941F3" w14:textId="77777777" w:rsidR="00CD3EAA" w:rsidRDefault="00CD3EAA" w:rsidP="00CD3EAA">
          <w:pPr>
            <w:rPr>
              <w:lang w:val="en-US"/>
            </w:rPr>
          </w:pPr>
          <w:r>
            <w:rPr>
              <w:lang w:val="en-US"/>
            </w:rPr>
            <w:t>Français</w:t>
          </w:r>
        </w:p>
        <w:p w14:paraId="1943CAA4" w14:textId="273CA60D" w:rsidR="00CD3EAA" w:rsidRPr="00CD3EAA" w:rsidRDefault="00CD3EAA" w:rsidP="00CD3EAA">
          <w:pPr>
            <w:pStyle w:val="Original"/>
            <w:rPr>
              <w:color w:val="000000"/>
            </w:rPr>
          </w:pPr>
          <w:r>
            <w:rPr>
              <w:color w:val="000000"/>
            </w:rPr>
            <w:t>Original</w:t>
          </w:r>
          <w:r w:rsidR="00356F77">
            <w:rPr>
              <w:color w:val="000000"/>
            </w:rPr>
            <w:t> :</w:t>
          </w:r>
          <w:r>
            <w:rPr>
              <w:color w:val="000000"/>
            </w:rPr>
            <w:t xml:space="preserve"> anglais</w:t>
          </w:r>
        </w:p>
      </w:tc>
    </w:tr>
  </w:tbl>
  <w:p w14:paraId="1A315C3B" w14:textId="77777777" w:rsidR="00CD3EAA" w:rsidRPr="00CD3EAA" w:rsidRDefault="00CD3EAA" w:rsidP="00CD3EAA">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9E6881E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E6315"/>
    <w:multiLevelType w:val="hybridMultilevel"/>
    <w:tmpl w:val="6A3CF0DC"/>
    <w:lvl w:ilvl="0" w:tplc="332C779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94E34"/>
    <w:multiLevelType w:val="singleLevel"/>
    <w:tmpl w:val="F79266E0"/>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0*"/>
    <w:docVar w:name="CreationDt" w:val="13/09/2022 4:56: PM"/>
    <w:docVar w:name="DocCategory" w:val="Doc"/>
    <w:docVar w:name="DocType" w:val="Final"/>
    <w:docVar w:name="DutyStation" w:val="New York"/>
    <w:docVar w:name="FooterJN" w:val="22-10900"/>
    <w:docVar w:name="jobn" w:val="22-10900 (F)"/>
    <w:docVar w:name="jobnDT" w:val="22-10900 (F)   130922"/>
    <w:docVar w:name="jobnDTDT" w:val="22-10900 (F)   130922   130922"/>
    <w:docVar w:name="JobNo" w:val="2210900F"/>
    <w:docVar w:name="JobNo2" w:val="2242052F"/>
    <w:docVar w:name="LocalDrive" w:val="0"/>
    <w:docVar w:name="OandT" w:val="dll"/>
    <w:docVar w:name="sss1" w:val="CEDAW/C/MAR/CO/5-6"/>
    <w:docVar w:name="sss2" w:val="-"/>
    <w:docVar w:name="Symbol1" w:val="CEDAW/C/MAR/CO/5-6"/>
    <w:docVar w:name="Symbol2" w:val="-"/>
    <w:docVar w:name="Title1" w:val="_x0009__x0009_Observations finales concernant le rapport valant cinquième et sixième rapports périodiques du Maroc*_x000d_"/>
  </w:docVars>
  <w:rsids>
    <w:rsidRoot w:val="002E27D0"/>
    <w:rsid w:val="000018CB"/>
    <w:rsid w:val="00002584"/>
    <w:rsid w:val="00017DD5"/>
    <w:rsid w:val="00020A8A"/>
    <w:rsid w:val="00026CE3"/>
    <w:rsid w:val="000371D9"/>
    <w:rsid w:val="00040FD0"/>
    <w:rsid w:val="00040FD6"/>
    <w:rsid w:val="00047131"/>
    <w:rsid w:val="00057168"/>
    <w:rsid w:val="0006491F"/>
    <w:rsid w:val="00071D43"/>
    <w:rsid w:val="00077FC0"/>
    <w:rsid w:val="00082144"/>
    <w:rsid w:val="00084F23"/>
    <w:rsid w:val="0009472E"/>
    <w:rsid w:val="000A1A3D"/>
    <w:rsid w:val="000A2D63"/>
    <w:rsid w:val="000A2DB6"/>
    <w:rsid w:val="000A3342"/>
    <w:rsid w:val="000A49EC"/>
    <w:rsid w:val="000A6751"/>
    <w:rsid w:val="000A7A0E"/>
    <w:rsid w:val="000C045E"/>
    <w:rsid w:val="000C7A69"/>
    <w:rsid w:val="000E2133"/>
    <w:rsid w:val="00101B18"/>
    <w:rsid w:val="00101D00"/>
    <w:rsid w:val="001028CD"/>
    <w:rsid w:val="001032E0"/>
    <w:rsid w:val="00115147"/>
    <w:rsid w:val="00122A52"/>
    <w:rsid w:val="00122A56"/>
    <w:rsid w:val="0012320A"/>
    <w:rsid w:val="0012468F"/>
    <w:rsid w:val="00134FEE"/>
    <w:rsid w:val="0013617A"/>
    <w:rsid w:val="00140DD3"/>
    <w:rsid w:val="00146C6A"/>
    <w:rsid w:val="00156A3F"/>
    <w:rsid w:val="0016517E"/>
    <w:rsid w:val="001666E7"/>
    <w:rsid w:val="00166A0D"/>
    <w:rsid w:val="00170B72"/>
    <w:rsid w:val="001727A5"/>
    <w:rsid w:val="00184156"/>
    <w:rsid w:val="0018711B"/>
    <w:rsid w:val="001A0F62"/>
    <w:rsid w:val="001A1AA1"/>
    <w:rsid w:val="001A3290"/>
    <w:rsid w:val="001A3DEA"/>
    <w:rsid w:val="001B12A3"/>
    <w:rsid w:val="001C159C"/>
    <w:rsid w:val="001C3700"/>
    <w:rsid w:val="001C73B8"/>
    <w:rsid w:val="001D5241"/>
    <w:rsid w:val="001E21B2"/>
    <w:rsid w:val="001E2379"/>
    <w:rsid w:val="001E4B50"/>
    <w:rsid w:val="001E6B5E"/>
    <w:rsid w:val="001F3BBC"/>
    <w:rsid w:val="001F3F29"/>
    <w:rsid w:val="00211DD1"/>
    <w:rsid w:val="00212E68"/>
    <w:rsid w:val="00214546"/>
    <w:rsid w:val="00233BEE"/>
    <w:rsid w:val="00245107"/>
    <w:rsid w:val="00245FDC"/>
    <w:rsid w:val="002478A0"/>
    <w:rsid w:val="00253D4B"/>
    <w:rsid w:val="00256384"/>
    <w:rsid w:val="00256977"/>
    <w:rsid w:val="00264715"/>
    <w:rsid w:val="00265F08"/>
    <w:rsid w:val="002668AF"/>
    <w:rsid w:val="00266FD6"/>
    <w:rsid w:val="00272C97"/>
    <w:rsid w:val="00276FCD"/>
    <w:rsid w:val="00280324"/>
    <w:rsid w:val="0028743F"/>
    <w:rsid w:val="00291B14"/>
    <w:rsid w:val="002924EB"/>
    <w:rsid w:val="00297181"/>
    <w:rsid w:val="002A5E20"/>
    <w:rsid w:val="002B6729"/>
    <w:rsid w:val="002B7DEE"/>
    <w:rsid w:val="002C073D"/>
    <w:rsid w:val="002C7DF4"/>
    <w:rsid w:val="002E1A02"/>
    <w:rsid w:val="002E27D0"/>
    <w:rsid w:val="002F0BCA"/>
    <w:rsid w:val="003019B5"/>
    <w:rsid w:val="00306AAB"/>
    <w:rsid w:val="00306B97"/>
    <w:rsid w:val="0030765E"/>
    <w:rsid w:val="003137E1"/>
    <w:rsid w:val="00330D43"/>
    <w:rsid w:val="003517EE"/>
    <w:rsid w:val="00355C21"/>
    <w:rsid w:val="00356F77"/>
    <w:rsid w:val="00361D7A"/>
    <w:rsid w:val="00366D21"/>
    <w:rsid w:val="003778D7"/>
    <w:rsid w:val="00386A34"/>
    <w:rsid w:val="003905FA"/>
    <w:rsid w:val="003A490B"/>
    <w:rsid w:val="003A675A"/>
    <w:rsid w:val="003A7777"/>
    <w:rsid w:val="003D5EC0"/>
    <w:rsid w:val="003E17D8"/>
    <w:rsid w:val="003E748D"/>
    <w:rsid w:val="003E7D41"/>
    <w:rsid w:val="003F08F3"/>
    <w:rsid w:val="003F31AB"/>
    <w:rsid w:val="003F61E1"/>
    <w:rsid w:val="00400374"/>
    <w:rsid w:val="0040148F"/>
    <w:rsid w:val="00403D6D"/>
    <w:rsid w:val="00404918"/>
    <w:rsid w:val="00405E40"/>
    <w:rsid w:val="00406DED"/>
    <w:rsid w:val="00410BE8"/>
    <w:rsid w:val="004117C3"/>
    <w:rsid w:val="00412C22"/>
    <w:rsid w:val="00414B95"/>
    <w:rsid w:val="0042098D"/>
    <w:rsid w:val="004219D9"/>
    <w:rsid w:val="00421E9E"/>
    <w:rsid w:val="00423DA4"/>
    <w:rsid w:val="00423DDC"/>
    <w:rsid w:val="00431EB6"/>
    <w:rsid w:val="0044031F"/>
    <w:rsid w:val="00440C93"/>
    <w:rsid w:val="0044563E"/>
    <w:rsid w:val="004541D6"/>
    <w:rsid w:val="00471EE7"/>
    <w:rsid w:val="00472B7F"/>
    <w:rsid w:val="00475F6A"/>
    <w:rsid w:val="00480534"/>
    <w:rsid w:val="00480B84"/>
    <w:rsid w:val="00493CBA"/>
    <w:rsid w:val="0049734E"/>
    <w:rsid w:val="004A1489"/>
    <w:rsid w:val="004B0E71"/>
    <w:rsid w:val="004B1055"/>
    <w:rsid w:val="004B19D0"/>
    <w:rsid w:val="004B64F9"/>
    <w:rsid w:val="004C1A25"/>
    <w:rsid w:val="004C3FC1"/>
    <w:rsid w:val="004C7121"/>
    <w:rsid w:val="004C7EC4"/>
    <w:rsid w:val="004D44ED"/>
    <w:rsid w:val="004D705A"/>
    <w:rsid w:val="004E12D1"/>
    <w:rsid w:val="004E13AC"/>
    <w:rsid w:val="004E5EB0"/>
    <w:rsid w:val="004F5795"/>
    <w:rsid w:val="005005D7"/>
    <w:rsid w:val="00504095"/>
    <w:rsid w:val="00507F71"/>
    <w:rsid w:val="00515991"/>
    <w:rsid w:val="00516521"/>
    <w:rsid w:val="00520535"/>
    <w:rsid w:val="005225EC"/>
    <w:rsid w:val="00525090"/>
    <w:rsid w:val="00525097"/>
    <w:rsid w:val="0054602B"/>
    <w:rsid w:val="005509B6"/>
    <w:rsid w:val="0055101B"/>
    <w:rsid w:val="00561C89"/>
    <w:rsid w:val="005628F9"/>
    <w:rsid w:val="005671A2"/>
    <w:rsid w:val="00571235"/>
    <w:rsid w:val="0057154D"/>
    <w:rsid w:val="005759FB"/>
    <w:rsid w:val="00577A36"/>
    <w:rsid w:val="00580CF2"/>
    <w:rsid w:val="00582290"/>
    <w:rsid w:val="005956D8"/>
    <w:rsid w:val="005A3921"/>
    <w:rsid w:val="005A46A1"/>
    <w:rsid w:val="005B398E"/>
    <w:rsid w:val="005C03A7"/>
    <w:rsid w:val="005C5330"/>
    <w:rsid w:val="005D03FE"/>
    <w:rsid w:val="005E5FF8"/>
    <w:rsid w:val="005E7977"/>
    <w:rsid w:val="005F1A6B"/>
    <w:rsid w:val="005F1F5F"/>
    <w:rsid w:val="00603E89"/>
    <w:rsid w:val="00612D3C"/>
    <w:rsid w:val="00632C10"/>
    <w:rsid w:val="0064685D"/>
    <w:rsid w:val="00654077"/>
    <w:rsid w:val="00660CF7"/>
    <w:rsid w:val="006879B0"/>
    <w:rsid w:val="00690698"/>
    <w:rsid w:val="00692307"/>
    <w:rsid w:val="006A2465"/>
    <w:rsid w:val="006A47EB"/>
    <w:rsid w:val="006A5238"/>
    <w:rsid w:val="006A60A0"/>
    <w:rsid w:val="006A72AB"/>
    <w:rsid w:val="006B67EC"/>
    <w:rsid w:val="006C0324"/>
    <w:rsid w:val="006D36B4"/>
    <w:rsid w:val="006E4A4B"/>
    <w:rsid w:val="006E5107"/>
    <w:rsid w:val="006F3E6E"/>
    <w:rsid w:val="006F6872"/>
    <w:rsid w:val="006F76B2"/>
    <w:rsid w:val="00703106"/>
    <w:rsid w:val="00714B1A"/>
    <w:rsid w:val="00723C15"/>
    <w:rsid w:val="00726B5D"/>
    <w:rsid w:val="0072799C"/>
    <w:rsid w:val="007314C5"/>
    <w:rsid w:val="0073487B"/>
    <w:rsid w:val="007416E2"/>
    <w:rsid w:val="00741A2A"/>
    <w:rsid w:val="007459AE"/>
    <w:rsid w:val="007531A5"/>
    <w:rsid w:val="00757005"/>
    <w:rsid w:val="00771C9E"/>
    <w:rsid w:val="007957A9"/>
    <w:rsid w:val="007A0319"/>
    <w:rsid w:val="007B46B8"/>
    <w:rsid w:val="007B6FBA"/>
    <w:rsid w:val="007B7FBC"/>
    <w:rsid w:val="007D33B3"/>
    <w:rsid w:val="007D4049"/>
    <w:rsid w:val="007E1619"/>
    <w:rsid w:val="007E4A64"/>
    <w:rsid w:val="007E72CE"/>
    <w:rsid w:val="00800BD7"/>
    <w:rsid w:val="008072CF"/>
    <w:rsid w:val="0080790F"/>
    <w:rsid w:val="00816C29"/>
    <w:rsid w:val="0082045E"/>
    <w:rsid w:val="0082214F"/>
    <w:rsid w:val="008222A3"/>
    <w:rsid w:val="008333B1"/>
    <w:rsid w:val="008347EC"/>
    <w:rsid w:val="00853F19"/>
    <w:rsid w:val="008549A7"/>
    <w:rsid w:val="00867E77"/>
    <w:rsid w:val="00871F83"/>
    <w:rsid w:val="008816DF"/>
    <w:rsid w:val="00882951"/>
    <w:rsid w:val="00883528"/>
    <w:rsid w:val="008837F2"/>
    <w:rsid w:val="0088384C"/>
    <w:rsid w:val="00883D3C"/>
    <w:rsid w:val="00886CF2"/>
    <w:rsid w:val="008A1F4B"/>
    <w:rsid w:val="008B1FCE"/>
    <w:rsid w:val="008D2A49"/>
    <w:rsid w:val="008E0981"/>
    <w:rsid w:val="008E240B"/>
    <w:rsid w:val="008E67AA"/>
    <w:rsid w:val="008F3462"/>
    <w:rsid w:val="0090104D"/>
    <w:rsid w:val="009116EF"/>
    <w:rsid w:val="00915D6F"/>
    <w:rsid w:val="009237A6"/>
    <w:rsid w:val="00930596"/>
    <w:rsid w:val="00934613"/>
    <w:rsid w:val="00935932"/>
    <w:rsid w:val="00941CF8"/>
    <w:rsid w:val="009427A1"/>
    <w:rsid w:val="00951B54"/>
    <w:rsid w:val="009547DC"/>
    <w:rsid w:val="009549AD"/>
    <w:rsid w:val="009623CC"/>
    <w:rsid w:val="00962689"/>
    <w:rsid w:val="00964A18"/>
    <w:rsid w:val="00987572"/>
    <w:rsid w:val="00993CB7"/>
    <w:rsid w:val="00994877"/>
    <w:rsid w:val="009B535A"/>
    <w:rsid w:val="009C2ED2"/>
    <w:rsid w:val="009C316A"/>
    <w:rsid w:val="009C3941"/>
    <w:rsid w:val="009C3BFE"/>
    <w:rsid w:val="009C73A4"/>
    <w:rsid w:val="009C784C"/>
    <w:rsid w:val="009D0EE3"/>
    <w:rsid w:val="009E3220"/>
    <w:rsid w:val="009E4236"/>
    <w:rsid w:val="009F40B9"/>
    <w:rsid w:val="00A02E04"/>
    <w:rsid w:val="00A0326D"/>
    <w:rsid w:val="00A14273"/>
    <w:rsid w:val="00A20CAE"/>
    <w:rsid w:val="00A217D4"/>
    <w:rsid w:val="00A22255"/>
    <w:rsid w:val="00A243CB"/>
    <w:rsid w:val="00A2494D"/>
    <w:rsid w:val="00A335A1"/>
    <w:rsid w:val="00A40C13"/>
    <w:rsid w:val="00A40CF4"/>
    <w:rsid w:val="00A520C6"/>
    <w:rsid w:val="00A52726"/>
    <w:rsid w:val="00A536A1"/>
    <w:rsid w:val="00A538B3"/>
    <w:rsid w:val="00A54F52"/>
    <w:rsid w:val="00A77FF2"/>
    <w:rsid w:val="00A807A4"/>
    <w:rsid w:val="00A83BA0"/>
    <w:rsid w:val="00A857D1"/>
    <w:rsid w:val="00A86C7E"/>
    <w:rsid w:val="00A901BB"/>
    <w:rsid w:val="00A911C9"/>
    <w:rsid w:val="00A9521E"/>
    <w:rsid w:val="00A96647"/>
    <w:rsid w:val="00AB0B7D"/>
    <w:rsid w:val="00AB2157"/>
    <w:rsid w:val="00AB3120"/>
    <w:rsid w:val="00AB7264"/>
    <w:rsid w:val="00AC0FBD"/>
    <w:rsid w:val="00AC6F0D"/>
    <w:rsid w:val="00AD5F2F"/>
    <w:rsid w:val="00AD6690"/>
    <w:rsid w:val="00B00280"/>
    <w:rsid w:val="00B012C7"/>
    <w:rsid w:val="00B023DD"/>
    <w:rsid w:val="00B13BDB"/>
    <w:rsid w:val="00B14BD6"/>
    <w:rsid w:val="00B24E8F"/>
    <w:rsid w:val="00B31ADD"/>
    <w:rsid w:val="00B3328A"/>
    <w:rsid w:val="00B34FE8"/>
    <w:rsid w:val="00B4120F"/>
    <w:rsid w:val="00B4129D"/>
    <w:rsid w:val="00B47078"/>
    <w:rsid w:val="00B63C8C"/>
    <w:rsid w:val="00B64295"/>
    <w:rsid w:val="00B6642A"/>
    <w:rsid w:val="00B67779"/>
    <w:rsid w:val="00B75382"/>
    <w:rsid w:val="00B858D5"/>
    <w:rsid w:val="00B95325"/>
    <w:rsid w:val="00BE100B"/>
    <w:rsid w:val="00BF5BB7"/>
    <w:rsid w:val="00C138C6"/>
    <w:rsid w:val="00C40CCA"/>
    <w:rsid w:val="00C543B8"/>
    <w:rsid w:val="00C551A4"/>
    <w:rsid w:val="00C613D5"/>
    <w:rsid w:val="00C65D35"/>
    <w:rsid w:val="00C766CD"/>
    <w:rsid w:val="00C84284"/>
    <w:rsid w:val="00C85C82"/>
    <w:rsid w:val="00C903E8"/>
    <w:rsid w:val="00C937BA"/>
    <w:rsid w:val="00C94DD5"/>
    <w:rsid w:val="00CA0F62"/>
    <w:rsid w:val="00CA1366"/>
    <w:rsid w:val="00CA1FDB"/>
    <w:rsid w:val="00CA2DE9"/>
    <w:rsid w:val="00CA45DE"/>
    <w:rsid w:val="00CB06FB"/>
    <w:rsid w:val="00CB3258"/>
    <w:rsid w:val="00CB3B6A"/>
    <w:rsid w:val="00CB63C5"/>
    <w:rsid w:val="00CD3B19"/>
    <w:rsid w:val="00CD3DE0"/>
    <w:rsid w:val="00CD3EAA"/>
    <w:rsid w:val="00CE04F6"/>
    <w:rsid w:val="00CE3A92"/>
    <w:rsid w:val="00CE3CD2"/>
    <w:rsid w:val="00CE4609"/>
    <w:rsid w:val="00CE74F8"/>
    <w:rsid w:val="00D00FA1"/>
    <w:rsid w:val="00D053E7"/>
    <w:rsid w:val="00D10EF7"/>
    <w:rsid w:val="00D155C8"/>
    <w:rsid w:val="00D2230A"/>
    <w:rsid w:val="00D2233E"/>
    <w:rsid w:val="00D23F72"/>
    <w:rsid w:val="00D27689"/>
    <w:rsid w:val="00D30EED"/>
    <w:rsid w:val="00D3438E"/>
    <w:rsid w:val="00D43E55"/>
    <w:rsid w:val="00D51701"/>
    <w:rsid w:val="00D57C2F"/>
    <w:rsid w:val="00D630CC"/>
    <w:rsid w:val="00D712C0"/>
    <w:rsid w:val="00D74B27"/>
    <w:rsid w:val="00D85C7B"/>
    <w:rsid w:val="00D86D7E"/>
    <w:rsid w:val="00D95F69"/>
    <w:rsid w:val="00D96AD9"/>
    <w:rsid w:val="00DA0390"/>
    <w:rsid w:val="00DB2225"/>
    <w:rsid w:val="00DB3F92"/>
    <w:rsid w:val="00DB4407"/>
    <w:rsid w:val="00DC0A2F"/>
    <w:rsid w:val="00DC38A6"/>
    <w:rsid w:val="00DC7341"/>
    <w:rsid w:val="00DC7881"/>
    <w:rsid w:val="00DD1798"/>
    <w:rsid w:val="00DE70E4"/>
    <w:rsid w:val="00E00469"/>
    <w:rsid w:val="00E0175E"/>
    <w:rsid w:val="00E126C3"/>
    <w:rsid w:val="00E155FA"/>
    <w:rsid w:val="00E26AAC"/>
    <w:rsid w:val="00E343A6"/>
    <w:rsid w:val="00E36485"/>
    <w:rsid w:val="00E37218"/>
    <w:rsid w:val="00E443AC"/>
    <w:rsid w:val="00E47A1E"/>
    <w:rsid w:val="00E50C91"/>
    <w:rsid w:val="00E70EA1"/>
    <w:rsid w:val="00E7105F"/>
    <w:rsid w:val="00E735AA"/>
    <w:rsid w:val="00E75FCE"/>
    <w:rsid w:val="00E7792F"/>
    <w:rsid w:val="00E80A3A"/>
    <w:rsid w:val="00EA2CBF"/>
    <w:rsid w:val="00EB15B4"/>
    <w:rsid w:val="00EC23DD"/>
    <w:rsid w:val="00EC2A23"/>
    <w:rsid w:val="00ED37F2"/>
    <w:rsid w:val="00ED517E"/>
    <w:rsid w:val="00ED6C16"/>
    <w:rsid w:val="00EE196F"/>
    <w:rsid w:val="00EE37EC"/>
    <w:rsid w:val="00EF0B01"/>
    <w:rsid w:val="00EF15BF"/>
    <w:rsid w:val="00EF2DFA"/>
    <w:rsid w:val="00EF3A21"/>
    <w:rsid w:val="00EF4C0D"/>
    <w:rsid w:val="00F00696"/>
    <w:rsid w:val="00F03998"/>
    <w:rsid w:val="00F149C0"/>
    <w:rsid w:val="00F14D46"/>
    <w:rsid w:val="00F21F65"/>
    <w:rsid w:val="00F224CF"/>
    <w:rsid w:val="00F313F6"/>
    <w:rsid w:val="00F32911"/>
    <w:rsid w:val="00F5012D"/>
    <w:rsid w:val="00F66A33"/>
    <w:rsid w:val="00F73093"/>
    <w:rsid w:val="00F730FF"/>
    <w:rsid w:val="00F754E1"/>
    <w:rsid w:val="00F80AA3"/>
    <w:rsid w:val="00F843DD"/>
    <w:rsid w:val="00F912A7"/>
    <w:rsid w:val="00FA3D05"/>
    <w:rsid w:val="00FA5CC9"/>
    <w:rsid w:val="00FA68A5"/>
    <w:rsid w:val="00FB0A2C"/>
    <w:rsid w:val="00FB0E9A"/>
    <w:rsid w:val="00FB6B7C"/>
    <w:rsid w:val="00FC59F1"/>
    <w:rsid w:val="00FC7CB4"/>
    <w:rsid w:val="00FD44C4"/>
    <w:rsid w:val="00FE43D0"/>
    <w:rsid w:val="00FF22B9"/>
    <w:rsid w:val="00FF2C56"/>
    <w:rsid w:val="00FF6D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56BD39"/>
  <w15:chartTrackingRefBased/>
  <w15:docId w15:val="{F7B0CC28-260C-43A9-9816-FCEC958C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2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F3F29"/>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F3F29"/>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F3F29"/>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F3F29"/>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F3F29"/>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F3F29"/>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F3F29"/>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F3F29"/>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F3F29"/>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F3F29"/>
    <w:pPr>
      <w:keepNext/>
      <w:keepLines/>
      <w:suppressAutoHyphens/>
      <w:spacing w:line="270" w:lineRule="exact"/>
      <w:outlineLvl w:val="0"/>
    </w:pPr>
    <w:rPr>
      <w:b/>
      <w:sz w:val="24"/>
    </w:rPr>
  </w:style>
  <w:style w:type="paragraph" w:customStyle="1" w:styleId="HCH">
    <w:name w:val="_ H _CH"/>
    <w:basedOn w:val="H1"/>
    <w:next w:val="Normal"/>
    <w:qFormat/>
    <w:rsid w:val="001F3F29"/>
    <w:pPr>
      <w:spacing w:line="300" w:lineRule="exact"/>
    </w:pPr>
    <w:rPr>
      <w:spacing w:val="-2"/>
      <w:sz w:val="28"/>
    </w:rPr>
  </w:style>
  <w:style w:type="paragraph" w:customStyle="1" w:styleId="HM">
    <w:name w:val="_ H __M"/>
    <w:basedOn w:val="HCH"/>
    <w:next w:val="Normal"/>
    <w:qFormat/>
    <w:rsid w:val="001F3F29"/>
    <w:pPr>
      <w:spacing w:line="360" w:lineRule="exact"/>
    </w:pPr>
    <w:rPr>
      <w:spacing w:val="-3"/>
      <w:w w:val="99"/>
      <w:sz w:val="34"/>
    </w:rPr>
  </w:style>
  <w:style w:type="paragraph" w:customStyle="1" w:styleId="H23">
    <w:name w:val="_ H_2/3"/>
    <w:basedOn w:val="H1"/>
    <w:next w:val="SingleTxt"/>
    <w:qFormat/>
    <w:rsid w:val="001F3F29"/>
    <w:pPr>
      <w:spacing w:line="240" w:lineRule="exact"/>
      <w:outlineLvl w:val="1"/>
    </w:pPr>
    <w:rPr>
      <w:spacing w:val="2"/>
      <w:sz w:val="20"/>
    </w:rPr>
  </w:style>
  <w:style w:type="paragraph" w:customStyle="1" w:styleId="H4">
    <w:name w:val="_ H_4"/>
    <w:basedOn w:val="Normal"/>
    <w:next w:val="Normal"/>
    <w:qFormat/>
    <w:rsid w:val="001F3F29"/>
    <w:pPr>
      <w:keepNext/>
      <w:keepLines/>
      <w:tabs>
        <w:tab w:val="right" w:pos="360"/>
      </w:tabs>
      <w:suppressAutoHyphens/>
      <w:outlineLvl w:val="3"/>
    </w:pPr>
    <w:rPr>
      <w:i/>
      <w:spacing w:val="3"/>
    </w:rPr>
  </w:style>
  <w:style w:type="paragraph" w:customStyle="1" w:styleId="H56">
    <w:name w:val="_ H_5/6"/>
    <w:basedOn w:val="Normal"/>
    <w:next w:val="Normal"/>
    <w:qFormat/>
    <w:rsid w:val="001F3F2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F3F2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F3F2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F3F29"/>
    <w:pPr>
      <w:spacing w:line="540" w:lineRule="exact"/>
    </w:pPr>
    <w:rPr>
      <w:spacing w:val="-8"/>
      <w:w w:val="96"/>
      <w:sz w:val="57"/>
    </w:rPr>
  </w:style>
  <w:style w:type="paragraph" w:customStyle="1" w:styleId="SS">
    <w:name w:val="__S_S"/>
    <w:basedOn w:val="HCH"/>
    <w:next w:val="Normal"/>
    <w:qFormat/>
    <w:rsid w:val="001F3F29"/>
    <w:pPr>
      <w:ind w:left="1267" w:right="1267"/>
    </w:pPr>
  </w:style>
  <w:style w:type="paragraph" w:customStyle="1" w:styleId="SingleTxt">
    <w:name w:val="__Single Txt"/>
    <w:basedOn w:val="Normal"/>
    <w:qFormat/>
    <w:rsid w:val="001F3F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F3F2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F3F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F3F2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F3F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F3F2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F3F29"/>
    <w:pPr>
      <w:numPr>
        <w:numId w:val="17"/>
      </w:numPr>
      <w:spacing w:after="120"/>
      <w:ind w:right="1267"/>
      <w:jc w:val="both"/>
    </w:pPr>
  </w:style>
  <w:style w:type="paragraph" w:customStyle="1" w:styleId="Bullet2">
    <w:name w:val="Bullet 2"/>
    <w:basedOn w:val="Normal"/>
    <w:qFormat/>
    <w:rsid w:val="001F3F29"/>
    <w:pPr>
      <w:numPr>
        <w:numId w:val="18"/>
      </w:numPr>
      <w:spacing w:after="120"/>
      <w:ind w:right="1264"/>
      <w:jc w:val="both"/>
    </w:pPr>
  </w:style>
  <w:style w:type="paragraph" w:customStyle="1" w:styleId="Bullet3">
    <w:name w:val="Bullet 3"/>
    <w:basedOn w:val="SingleTxt"/>
    <w:qFormat/>
    <w:rsid w:val="001F3F2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F3F2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F3F2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F3F29"/>
    <w:pPr>
      <w:spacing w:line="210" w:lineRule="exact"/>
    </w:pPr>
    <w:rPr>
      <w:sz w:val="17"/>
      <w:szCs w:val="20"/>
    </w:rPr>
  </w:style>
  <w:style w:type="character" w:customStyle="1" w:styleId="EndnoteTextChar">
    <w:name w:val="Endnote Text Char"/>
    <w:link w:val="EndnoteText"/>
    <w:uiPriority w:val="99"/>
    <w:semiHidden/>
    <w:rsid w:val="001F3F2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F3F2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F3F2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1F3F2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F3F29"/>
    <w:pPr>
      <w:spacing w:line="210" w:lineRule="exact"/>
    </w:pPr>
    <w:rPr>
      <w:sz w:val="17"/>
      <w:szCs w:val="20"/>
    </w:rPr>
  </w:style>
  <w:style w:type="character" w:customStyle="1" w:styleId="FootnoteTextChar">
    <w:name w:val="Footnote Text Char"/>
    <w:link w:val="FootnoteText"/>
    <w:uiPriority w:val="99"/>
    <w:rsid w:val="001F3F2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F3F2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F3F2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F3F2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F3F2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F3F2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F3F2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F3F2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F3F2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F3F2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F3F2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F3F2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F3F29"/>
    <w:rPr>
      <w:sz w:val="14"/>
    </w:rPr>
  </w:style>
  <w:style w:type="paragraph" w:styleId="ListParagraph">
    <w:name w:val="List Paragraph"/>
    <w:basedOn w:val="Normal"/>
    <w:uiPriority w:val="34"/>
    <w:rsid w:val="001F3F29"/>
    <w:pPr>
      <w:ind w:left="720"/>
      <w:contextualSpacing/>
    </w:pPr>
  </w:style>
  <w:style w:type="paragraph" w:styleId="NoSpacing">
    <w:name w:val="No Spacing"/>
    <w:uiPriority w:val="1"/>
    <w:rsid w:val="001F3F2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F3F2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F3F2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F3F2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F3F29"/>
    <w:pPr>
      <w:tabs>
        <w:tab w:val="right" w:pos="9965"/>
      </w:tabs>
      <w:spacing w:line="210" w:lineRule="exact"/>
    </w:pPr>
    <w:rPr>
      <w:spacing w:val="5"/>
      <w:w w:val="104"/>
      <w:sz w:val="17"/>
    </w:rPr>
  </w:style>
  <w:style w:type="paragraph" w:customStyle="1" w:styleId="SmallX">
    <w:name w:val="SmallX"/>
    <w:basedOn w:val="Small"/>
    <w:next w:val="Normal"/>
    <w:qFormat/>
    <w:rsid w:val="001F3F29"/>
    <w:pPr>
      <w:spacing w:line="180" w:lineRule="exact"/>
      <w:jc w:val="right"/>
    </w:pPr>
    <w:rPr>
      <w:spacing w:val="6"/>
      <w:w w:val="106"/>
      <w:sz w:val="14"/>
    </w:rPr>
  </w:style>
  <w:style w:type="character" w:styleId="Strong">
    <w:name w:val="Strong"/>
    <w:uiPriority w:val="22"/>
    <w:rsid w:val="001F3F29"/>
    <w:rPr>
      <w:b/>
      <w:bCs/>
    </w:rPr>
  </w:style>
  <w:style w:type="paragraph" w:customStyle="1" w:styleId="Style1">
    <w:name w:val="Style1"/>
    <w:basedOn w:val="Normal"/>
    <w:qFormat/>
    <w:rsid w:val="001F3F29"/>
  </w:style>
  <w:style w:type="paragraph" w:customStyle="1" w:styleId="Style2">
    <w:name w:val="Style2"/>
    <w:basedOn w:val="Normal"/>
    <w:autoRedefine/>
    <w:qFormat/>
    <w:rsid w:val="001F3F29"/>
  </w:style>
  <w:style w:type="paragraph" w:customStyle="1" w:styleId="TitleHCH">
    <w:name w:val="Title_H_CH"/>
    <w:basedOn w:val="H1"/>
    <w:next w:val="SingleTxt"/>
    <w:qFormat/>
    <w:rsid w:val="001F3F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F3F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F3F2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D3EAA"/>
    <w:rPr>
      <w:sz w:val="16"/>
      <w:szCs w:val="16"/>
    </w:rPr>
  </w:style>
  <w:style w:type="paragraph" w:styleId="CommentText">
    <w:name w:val="annotation text"/>
    <w:basedOn w:val="Normal"/>
    <w:link w:val="CommentTextChar"/>
    <w:uiPriority w:val="99"/>
    <w:semiHidden/>
    <w:unhideWhenUsed/>
    <w:rsid w:val="00CD3EAA"/>
    <w:pPr>
      <w:spacing w:line="240" w:lineRule="auto"/>
    </w:pPr>
    <w:rPr>
      <w:szCs w:val="20"/>
    </w:rPr>
  </w:style>
  <w:style w:type="character" w:customStyle="1" w:styleId="CommentTextChar">
    <w:name w:val="Comment Text Char"/>
    <w:basedOn w:val="DefaultParagraphFont"/>
    <w:link w:val="CommentText"/>
    <w:uiPriority w:val="99"/>
    <w:semiHidden/>
    <w:rsid w:val="00CD3EA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D3EAA"/>
    <w:rPr>
      <w:b/>
      <w:bCs/>
    </w:rPr>
  </w:style>
  <w:style w:type="character" w:customStyle="1" w:styleId="CommentSubjectChar">
    <w:name w:val="Comment Subject Char"/>
    <w:basedOn w:val="CommentTextChar"/>
    <w:link w:val="CommentSubject"/>
    <w:uiPriority w:val="99"/>
    <w:semiHidden/>
    <w:rsid w:val="00CD3EA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2098D"/>
    <w:rPr>
      <w:color w:val="0000FF"/>
      <w:u w:val="none"/>
    </w:rPr>
  </w:style>
  <w:style w:type="character" w:styleId="UnresolvedMention">
    <w:name w:val="Unresolved Mention"/>
    <w:basedOn w:val="DefaultParagraphFont"/>
    <w:uiPriority w:val="99"/>
    <w:semiHidden/>
    <w:unhideWhenUsed/>
    <w:rsid w:val="0042098D"/>
    <w:rPr>
      <w:color w:val="605E5C"/>
      <w:shd w:val="clear" w:color="auto" w:fill="E1DFDD"/>
    </w:rPr>
  </w:style>
  <w:style w:type="character" w:styleId="FollowedHyperlink">
    <w:name w:val="FollowedHyperlink"/>
    <w:basedOn w:val="DefaultParagraphFont"/>
    <w:uiPriority w:val="99"/>
    <w:semiHidden/>
    <w:unhideWhenUsed/>
    <w:rsid w:val="0042098D"/>
    <w:rPr>
      <w:color w:val="0000FF"/>
      <w:u w:val="none"/>
    </w:rPr>
  </w:style>
  <w:style w:type="paragraph" w:styleId="Revision">
    <w:name w:val="Revision"/>
    <w:hidden/>
    <w:uiPriority w:val="99"/>
    <w:semiHidden/>
    <w:rsid w:val="00306B9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892" TargetMode="External"/><Relationship Id="rId26" Type="http://schemas.openxmlformats.org/officeDocument/2006/relationships/hyperlink" Target="https://undocs.org/fr/CEDAW/C/MAR/CO/4" TargetMode="External"/><Relationship Id="rId3" Type="http://schemas.openxmlformats.org/officeDocument/2006/relationships/settings" Target="settings.xml"/><Relationship Id="rId21" Type="http://schemas.openxmlformats.org/officeDocument/2006/relationships/hyperlink" Target="https://undocs.org/fr/CEDAW/C/MAR/RQ/5-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AR/5-6" TargetMode="External"/><Relationship Id="rId25" Type="http://schemas.openxmlformats.org/officeDocument/2006/relationships/hyperlink" Target="https://undocs.org/fr/CEDAW/C/MAR/CO/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MAR/Q/5-6" TargetMode="External"/><Relationship Id="rId29" Type="http://schemas.openxmlformats.org/officeDocument/2006/relationships/hyperlink" Target="https://undocs.org/fr/CEDAW/C/MAR/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MAR/CO/4"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A/65/38" TargetMode="External"/><Relationship Id="rId28" Type="http://schemas.openxmlformats.org/officeDocument/2006/relationships/hyperlink" Target="https://undocs.org/fr/CEDAW/C/MAR/CO/4" TargetMode="External"/><Relationship Id="rId10" Type="http://schemas.openxmlformats.org/officeDocument/2006/relationships/footer" Target="footer2.xml"/><Relationship Id="rId19" Type="http://schemas.openxmlformats.org/officeDocument/2006/relationships/hyperlink" Target="https://undocs.org/fr/CEDAW/C/SR.189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1325(2000)" TargetMode="External"/><Relationship Id="rId27" Type="http://schemas.openxmlformats.org/officeDocument/2006/relationships/hyperlink" Target="https://undocs.org/fr/CEDAW/C/MAR/CO/4" TargetMode="External"/><Relationship Id="rId30"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7110</Words>
  <Characters>37615</Characters>
  <Application>Microsoft Office Word</Application>
  <DocSecurity>0</DocSecurity>
  <Lines>7523</Lines>
  <Paragraphs>3440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Dominique Leroy</cp:lastModifiedBy>
  <cp:revision>3</cp:revision>
  <cp:lastPrinted>2022-09-13T21:44:00Z</cp:lastPrinted>
  <dcterms:created xsi:type="dcterms:W3CDTF">2022-09-13T21:44:00Z</dcterms:created>
  <dcterms:modified xsi:type="dcterms:W3CDTF">2022-09-13T21:44:00Z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2210900F</vt:lpwstr>
  </property>
  <property fmtid="{D5CDD505-2E9C-101B-9397-08002B2CF9AE}" pid="3" name="ODSRefJobNo">
    <vt:lpwstr>2242052F</vt:lpwstr>
  </property>
  <property fmtid="{D5CDD505-2E9C-101B-9397-08002B2CF9AE}" pid="4" name="Symbol1">
    <vt:lpwstr>CEDAW/C/MAR/CO/5-6</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12 juillet 2022</vt:lpwstr>
  </property>
  <property fmtid="{D5CDD505-2E9C-101B-9397-08002B2CF9AE}" pid="14" name="Release Date">
    <vt:lpwstr/>
  </property>
  <property fmtid="{D5CDD505-2E9C-101B-9397-08002B2CF9AE}" pid="15" name="Title1">
    <vt:lpwstr>		Observations finales concernant le rapport valant cinquième et sixième rapports périodiques du Maroc</vt:lpwstr>
  </property>
</Properties>
</file>