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8A6D" w14:textId="77777777" w:rsidR="00237300" w:rsidRDefault="00237300" w:rsidP="00237300">
      <w:pPr>
        <w:spacing w:line="240" w:lineRule="auto"/>
        <w:rPr>
          <w:sz w:val="2"/>
          <w:lang w:val="fr-FR"/>
        </w:rPr>
        <w:sectPr w:rsidR="00237300" w:rsidSect="00362797">
          <w:headerReference w:type="even" r:id="rId8"/>
          <w:headerReference w:type="default" r:id="rId9"/>
          <w:footerReference w:type="even" r:id="rId10"/>
          <w:footerReference w:type="default" r:id="rId11"/>
          <w:headerReference w:type="first" r:id="rId12"/>
          <w:footerReference w:type="first" r:id="rId13"/>
          <w:pgSz w:w="12240" w:h="15840"/>
          <w:pgMar w:top="1440" w:right="1195" w:bottom="1152" w:left="1195" w:header="432" w:footer="576" w:gutter="0"/>
          <w:cols w:space="720"/>
          <w:titlePg/>
          <w:docGrid w:linePitch="360"/>
        </w:sectPr>
      </w:pPr>
      <w:r>
        <w:rPr>
          <w:rStyle w:val="CommentReference"/>
        </w:rPr>
        <w:commentReference w:id="0"/>
      </w:r>
    </w:p>
    <w:p w14:paraId="6B62C521" w14:textId="1E780CA2" w:rsidR="00986E32" w:rsidRDefault="00986E32" w:rsidP="007D711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890"/>
        <w:rPr>
          <w:lang w:val="fr-FR"/>
        </w:rPr>
      </w:pPr>
      <w:r w:rsidRPr="00986E32">
        <w:rPr>
          <w:lang w:val="fr-FR"/>
        </w:rPr>
        <w:t>Comité pour l</w:t>
      </w:r>
      <w:r w:rsidR="00795C5F">
        <w:rPr>
          <w:lang w:val="fr-FR"/>
        </w:rPr>
        <w:t>’</w:t>
      </w:r>
      <w:r w:rsidRPr="00986E32">
        <w:rPr>
          <w:lang w:val="fr-FR"/>
        </w:rPr>
        <w:t>élimination de</w:t>
      </w:r>
      <w:r w:rsidR="007D711B">
        <w:rPr>
          <w:lang w:val="fr-FR"/>
        </w:rPr>
        <w:t> </w:t>
      </w:r>
      <w:r w:rsidRPr="00986E32">
        <w:rPr>
          <w:lang w:val="fr-FR"/>
        </w:rPr>
        <w:t>la</w:t>
      </w:r>
      <w:r w:rsidR="007D711B">
        <w:rPr>
          <w:lang w:val="fr-FR"/>
        </w:rPr>
        <w:t> </w:t>
      </w:r>
      <w:r w:rsidRPr="00986E32">
        <w:rPr>
          <w:lang w:val="fr-FR"/>
        </w:rPr>
        <w:t>discrimination à l</w:t>
      </w:r>
      <w:r w:rsidR="00795C5F">
        <w:rPr>
          <w:lang w:val="fr-FR"/>
        </w:rPr>
        <w:t>’</w:t>
      </w:r>
      <w:r w:rsidRPr="00986E32">
        <w:rPr>
          <w:lang w:val="fr-FR"/>
        </w:rPr>
        <w:t>égard des femmes</w:t>
      </w:r>
    </w:p>
    <w:p w14:paraId="5D396041" w14:textId="7D2E7F17" w:rsidR="00986E32" w:rsidRPr="00986E32" w:rsidRDefault="00986E32" w:rsidP="00986E32">
      <w:pPr>
        <w:pStyle w:val="SingleTxt"/>
        <w:spacing w:after="0" w:line="120" w:lineRule="exact"/>
        <w:rPr>
          <w:sz w:val="10"/>
          <w:lang w:val="fr-FR"/>
        </w:rPr>
      </w:pPr>
    </w:p>
    <w:p w14:paraId="7BCEA19E" w14:textId="411B2BCD" w:rsidR="00986E32" w:rsidRPr="00986E32" w:rsidRDefault="00986E32" w:rsidP="00986E32">
      <w:pPr>
        <w:pStyle w:val="SingleTxt"/>
        <w:spacing w:after="0" w:line="120" w:lineRule="exact"/>
        <w:rPr>
          <w:sz w:val="10"/>
          <w:lang w:val="fr-FR"/>
        </w:rPr>
      </w:pPr>
    </w:p>
    <w:p w14:paraId="4CF6CDBE" w14:textId="77777777" w:rsidR="00986E32" w:rsidRPr="00986E32" w:rsidRDefault="00986E32" w:rsidP="00986E32">
      <w:pPr>
        <w:pStyle w:val="SingleTxt"/>
        <w:spacing w:after="0" w:line="120" w:lineRule="exact"/>
        <w:rPr>
          <w:sz w:val="10"/>
          <w:lang w:val="fr-FR"/>
        </w:rPr>
      </w:pPr>
    </w:p>
    <w:p w14:paraId="47317195" w14:textId="53FA4649" w:rsidR="00986E32" w:rsidRPr="00986E32" w:rsidRDefault="00986E32" w:rsidP="00986E32">
      <w:pPr>
        <w:pStyle w:val="TitleHCH"/>
        <w:rPr>
          <w:lang w:val="fr-FR"/>
        </w:rPr>
      </w:pPr>
      <w:r w:rsidRPr="00986E32">
        <w:rPr>
          <w:lang w:val="fr-FR"/>
        </w:rPr>
        <w:tab/>
      </w:r>
      <w:r w:rsidRPr="00986E32">
        <w:rPr>
          <w:lang w:val="fr-FR"/>
        </w:rPr>
        <w:tab/>
        <w:t>Huitième rapport périodique de Maurice soumis en</w:t>
      </w:r>
      <w:r>
        <w:rPr>
          <w:lang w:val="fr-FR"/>
        </w:rPr>
        <w:t> </w:t>
      </w:r>
      <w:r w:rsidRPr="00986E32">
        <w:rPr>
          <w:lang w:val="fr-FR"/>
        </w:rPr>
        <w:t>application de l</w:t>
      </w:r>
      <w:r w:rsidR="00795C5F">
        <w:rPr>
          <w:lang w:val="fr-FR"/>
        </w:rPr>
        <w:t>’</w:t>
      </w:r>
      <w:r w:rsidRPr="00986E32">
        <w:rPr>
          <w:lang w:val="fr-FR"/>
        </w:rPr>
        <w:t>article 18 de la Convention, conformément à la procédure simplifiée de présentation des rapports, et attendu en 2018</w:t>
      </w:r>
    </w:p>
    <w:p w14:paraId="365FC0F7" w14:textId="77777777" w:rsidR="00986E32" w:rsidRPr="00986E32" w:rsidRDefault="00986E32" w:rsidP="00986E32">
      <w:pPr>
        <w:pStyle w:val="SingleTxt"/>
        <w:spacing w:after="0" w:line="120" w:lineRule="exact"/>
        <w:rPr>
          <w:sz w:val="10"/>
          <w:lang w:val="fr-FR"/>
        </w:rPr>
      </w:pPr>
    </w:p>
    <w:p w14:paraId="4EDF3EDD" w14:textId="40FFB877" w:rsidR="00986E32" w:rsidRPr="00986E32" w:rsidRDefault="00986E32" w:rsidP="00986E32">
      <w:pPr>
        <w:pStyle w:val="SingleTxt"/>
        <w:spacing w:after="0" w:line="120" w:lineRule="exact"/>
        <w:rPr>
          <w:sz w:val="10"/>
          <w:lang w:val="fr-FR"/>
        </w:rPr>
      </w:pPr>
    </w:p>
    <w:p w14:paraId="657B870A" w14:textId="6D53CBC7" w:rsidR="00986E32" w:rsidRPr="00986E32" w:rsidRDefault="00986E32" w:rsidP="00986E32">
      <w:pPr>
        <w:pStyle w:val="SingleTxt"/>
        <w:jc w:val="right"/>
        <w:rPr>
          <w:lang w:val="fr-FR"/>
        </w:rPr>
      </w:pPr>
      <w:r w:rsidRPr="00986E32">
        <w:rPr>
          <w:lang w:val="fr-FR"/>
        </w:rPr>
        <w:t xml:space="preserve">[Date de </w:t>
      </w:r>
      <w:r w:rsidR="00C64AB1" w:rsidRPr="00986E32">
        <w:rPr>
          <w:lang w:val="fr-FR"/>
        </w:rPr>
        <w:t>réception</w:t>
      </w:r>
      <w:r w:rsidR="00795C5F">
        <w:rPr>
          <w:lang w:val="fr-FR"/>
        </w:rPr>
        <w:t> :</w:t>
      </w:r>
      <w:r w:rsidRPr="00986E32">
        <w:rPr>
          <w:lang w:val="fr-FR"/>
        </w:rPr>
        <w:t xml:space="preserve"> 19 juin 2018]</w:t>
      </w:r>
    </w:p>
    <w:p w14:paraId="4EF873E8" w14:textId="35D1E91A" w:rsidR="00986E32" w:rsidRDefault="00986E32">
      <w:pPr>
        <w:spacing w:after="200" w:line="276" w:lineRule="auto"/>
        <w:rPr>
          <w:lang w:val="fr-FR"/>
        </w:rPr>
      </w:pPr>
      <w:r>
        <w:rPr>
          <w:lang w:val="fr-FR"/>
        </w:rPr>
        <w:br w:type="page"/>
      </w:r>
    </w:p>
    <w:p w14:paraId="753725E9" w14:textId="77777777" w:rsidR="00986E32" w:rsidRPr="00986E32" w:rsidRDefault="00986E32" w:rsidP="00986E32">
      <w:pPr>
        <w:pStyle w:val="HCH"/>
        <w:spacing w:after="120"/>
        <w:rPr>
          <w:lang w:val="fr-FR"/>
        </w:rPr>
      </w:pPr>
      <w:r>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53578" w:rsidRPr="0023135C" w14:paraId="475517ED" w14:textId="77777777" w:rsidTr="00C64AB1">
        <w:tc>
          <w:tcPr>
            <w:tcW w:w="1060" w:type="dxa"/>
            <w:shd w:val="clear" w:color="auto" w:fill="auto"/>
          </w:tcPr>
          <w:p w14:paraId="7BA179F3" w14:textId="728C6985" w:rsidR="00253578" w:rsidRPr="0023135C" w:rsidRDefault="00253578" w:rsidP="00C64AB1">
            <w:pPr>
              <w:spacing w:after="120" w:line="240" w:lineRule="auto"/>
              <w:jc w:val="right"/>
              <w:rPr>
                <w:i/>
                <w:sz w:val="14"/>
              </w:rPr>
            </w:pPr>
            <w:r>
              <w:rPr>
                <w:i/>
                <w:sz w:val="14"/>
              </w:rPr>
              <w:t>Chapitre</w:t>
            </w:r>
          </w:p>
        </w:tc>
        <w:tc>
          <w:tcPr>
            <w:tcW w:w="7315" w:type="dxa"/>
            <w:shd w:val="clear" w:color="auto" w:fill="auto"/>
          </w:tcPr>
          <w:p w14:paraId="7CD05E6D" w14:textId="77777777" w:rsidR="00253578" w:rsidRPr="0023135C" w:rsidRDefault="00253578" w:rsidP="00C64AB1">
            <w:pPr>
              <w:spacing w:after="120" w:line="240" w:lineRule="auto"/>
              <w:rPr>
                <w:i/>
                <w:sz w:val="14"/>
              </w:rPr>
            </w:pPr>
          </w:p>
        </w:tc>
        <w:tc>
          <w:tcPr>
            <w:tcW w:w="994" w:type="dxa"/>
            <w:shd w:val="clear" w:color="auto" w:fill="auto"/>
          </w:tcPr>
          <w:p w14:paraId="60C3853D" w14:textId="77777777" w:rsidR="00253578" w:rsidRPr="0023135C" w:rsidRDefault="00253578" w:rsidP="00C64AB1">
            <w:pPr>
              <w:spacing w:after="120" w:line="240" w:lineRule="auto"/>
              <w:jc w:val="right"/>
              <w:rPr>
                <w:i/>
                <w:sz w:val="14"/>
              </w:rPr>
            </w:pPr>
          </w:p>
        </w:tc>
        <w:tc>
          <w:tcPr>
            <w:tcW w:w="533" w:type="dxa"/>
            <w:shd w:val="clear" w:color="auto" w:fill="auto"/>
          </w:tcPr>
          <w:p w14:paraId="47DB68ED" w14:textId="77777777" w:rsidR="00253578" w:rsidRPr="0023135C" w:rsidRDefault="00253578" w:rsidP="00C64AB1">
            <w:pPr>
              <w:spacing w:after="120" w:line="240" w:lineRule="auto"/>
              <w:jc w:val="right"/>
              <w:rPr>
                <w:i/>
                <w:sz w:val="14"/>
              </w:rPr>
            </w:pPr>
            <w:r w:rsidRPr="0023135C">
              <w:rPr>
                <w:i/>
                <w:sz w:val="14"/>
              </w:rPr>
              <w:t>Page</w:t>
            </w:r>
          </w:p>
        </w:tc>
      </w:tr>
      <w:tr w:rsidR="00253578" w:rsidRPr="0023135C" w14:paraId="5C8BE35E" w14:textId="77777777" w:rsidTr="00C64AB1">
        <w:tc>
          <w:tcPr>
            <w:tcW w:w="9369" w:type="dxa"/>
            <w:gridSpan w:val="3"/>
            <w:shd w:val="clear" w:color="auto" w:fill="auto"/>
          </w:tcPr>
          <w:p w14:paraId="2683B20C" w14:textId="77777777" w:rsidR="00253578" w:rsidRPr="00B91636" w:rsidRDefault="00253578" w:rsidP="00C64AB1">
            <w:pPr>
              <w:pStyle w:val="ListParagraph"/>
              <w:tabs>
                <w:tab w:val="right" w:pos="1080"/>
                <w:tab w:val="left" w:pos="1296"/>
                <w:tab w:val="left" w:pos="1728"/>
                <w:tab w:val="left" w:pos="2160"/>
                <w:tab w:val="right" w:leader="dot" w:pos="9360"/>
              </w:tabs>
              <w:spacing w:after="120"/>
              <w:ind w:left="1296"/>
              <w:rPr>
                <w:spacing w:val="60"/>
                <w:sz w:val="17"/>
              </w:rPr>
            </w:pPr>
            <w:r w:rsidRPr="00B91636">
              <w:rPr>
                <w:lang w:val="fr-FR"/>
              </w:rPr>
              <w:t>Introduction</w:t>
            </w:r>
            <w:r w:rsidRPr="00B91636">
              <w:rPr>
                <w:spacing w:val="60"/>
                <w:sz w:val="17"/>
              </w:rPr>
              <w:tab/>
            </w:r>
          </w:p>
        </w:tc>
        <w:tc>
          <w:tcPr>
            <w:tcW w:w="533" w:type="dxa"/>
            <w:shd w:val="clear" w:color="auto" w:fill="auto"/>
            <w:vAlign w:val="bottom"/>
          </w:tcPr>
          <w:p w14:paraId="25522CC2" w14:textId="77777777" w:rsidR="00253578" w:rsidRPr="0023135C" w:rsidRDefault="00253578" w:rsidP="00C64AB1">
            <w:pPr>
              <w:spacing w:after="120"/>
              <w:jc w:val="right"/>
            </w:pPr>
            <w:r>
              <w:t>3</w:t>
            </w:r>
          </w:p>
        </w:tc>
      </w:tr>
      <w:tr w:rsidR="00253578" w:rsidRPr="0023135C" w14:paraId="5F7E5FDF" w14:textId="77777777" w:rsidTr="00C64AB1">
        <w:tc>
          <w:tcPr>
            <w:tcW w:w="9369" w:type="dxa"/>
            <w:gridSpan w:val="3"/>
            <w:shd w:val="clear" w:color="auto" w:fill="auto"/>
          </w:tcPr>
          <w:p w14:paraId="7D9E85A1" w14:textId="77777777" w:rsidR="00253578" w:rsidRPr="00B91636" w:rsidRDefault="00253578" w:rsidP="00C64AB1">
            <w:pPr>
              <w:pStyle w:val="ListParagraph"/>
              <w:tabs>
                <w:tab w:val="right" w:pos="1080"/>
                <w:tab w:val="left" w:pos="1296"/>
                <w:tab w:val="left" w:pos="1728"/>
                <w:tab w:val="right" w:leader="dot" w:pos="9360"/>
              </w:tabs>
              <w:spacing w:after="120"/>
              <w:ind w:left="1296"/>
              <w:rPr>
                <w:spacing w:val="60"/>
                <w:sz w:val="17"/>
              </w:rPr>
            </w:pPr>
            <w:r w:rsidRPr="00986E32">
              <w:rPr>
                <w:lang w:val="fr-FR"/>
              </w:rPr>
              <w:t>Généralités</w:t>
            </w:r>
            <w:r w:rsidRPr="00B91636">
              <w:rPr>
                <w:spacing w:val="60"/>
                <w:sz w:val="17"/>
              </w:rPr>
              <w:tab/>
            </w:r>
          </w:p>
        </w:tc>
        <w:tc>
          <w:tcPr>
            <w:tcW w:w="533" w:type="dxa"/>
            <w:shd w:val="clear" w:color="auto" w:fill="auto"/>
            <w:vAlign w:val="bottom"/>
          </w:tcPr>
          <w:p w14:paraId="457974B0" w14:textId="77777777" w:rsidR="00253578" w:rsidRPr="0023135C" w:rsidRDefault="00253578" w:rsidP="00C64AB1">
            <w:pPr>
              <w:spacing w:after="120"/>
              <w:jc w:val="right"/>
            </w:pPr>
            <w:r>
              <w:t>3</w:t>
            </w:r>
          </w:p>
        </w:tc>
      </w:tr>
      <w:tr w:rsidR="00253578" w:rsidRPr="00B91636" w14:paraId="68464E2A" w14:textId="77777777" w:rsidTr="00C64AB1">
        <w:tc>
          <w:tcPr>
            <w:tcW w:w="9369" w:type="dxa"/>
            <w:gridSpan w:val="3"/>
            <w:shd w:val="clear" w:color="auto" w:fill="auto"/>
          </w:tcPr>
          <w:p w14:paraId="0E30E959" w14:textId="77777777" w:rsidR="00253578" w:rsidRPr="00B91636" w:rsidRDefault="00253578" w:rsidP="00C64AB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lang w:val="fr-FR"/>
              </w:rPr>
            </w:pPr>
            <w:r w:rsidRPr="00986E32">
              <w:rPr>
                <w:lang w:val="fr-FR"/>
              </w:rPr>
              <w:t>Cadre constitutionnel, législatif et institutionnel</w:t>
            </w:r>
            <w:r>
              <w:rPr>
                <w:spacing w:val="60"/>
                <w:sz w:val="17"/>
                <w:lang w:val="fr-FR"/>
              </w:rPr>
              <w:tab/>
            </w:r>
          </w:p>
        </w:tc>
        <w:tc>
          <w:tcPr>
            <w:tcW w:w="533" w:type="dxa"/>
            <w:shd w:val="clear" w:color="auto" w:fill="auto"/>
            <w:vAlign w:val="bottom"/>
          </w:tcPr>
          <w:p w14:paraId="0574AE10" w14:textId="77777777" w:rsidR="00253578" w:rsidRPr="00B91636" w:rsidRDefault="00253578" w:rsidP="00C64AB1">
            <w:pPr>
              <w:spacing w:after="120"/>
              <w:jc w:val="right"/>
              <w:rPr>
                <w:lang w:val="fr-FR"/>
              </w:rPr>
            </w:pPr>
            <w:r>
              <w:rPr>
                <w:lang w:val="fr-FR"/>
              </w:rPr>
              <w:t>4</w:t>
            </w:r>
          </w:p>
        </w:tc>
      </w:tr>
      <w:tr w:rsidR="00253578" w:rsidRPr="0023135C" w14:paraId="6E03E527" w14:textId="77777777" w:rsidTr="00C64AB1">
        <w:tc>
          <w:tcPr>
            <w:tcW w:w="9369" w:type="dxa"/>
            <w:gridSpan w:val="3"/>
            <w:shd w:val="clear" w:color="auto" w:fill="auto"/>
          </w:tcPr>
          <w:p w14:paraId="6C317D7E" w14:textId="77777777" w:rsidR="00253578" w:rsidRPr="00B91636" w:rsidRDefault="00253578" w:rsidP="00C64AB1">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986E32">
              <w:rPr>
                <w:lang w:val="fr-FR"/>
              </w:rPr>
              <w:t>Accès à la justice</w:t>
            </w:r>
            <w:r w:rsidRPr="00B91636">
              <w:rPr>
                <w:spacing w:val="60"/>
                <w:sz w:val="17"/>
              </w:rPr>
              <w:tab/>
            </w:r>
          </w:p>
        </w:tc>
        <w:tc>
          <w:tcPr>
            <w:tcW w:w="533" w:type="dxa"/>
            <w:shd w:val="clear" w:color="auto" w:fill="auto"/>
            <w:vAlign w:val="bottom"/>
          </w:tcPr>
          <w:p w14:paraId="41A83B9E" w14:textId="77777777" w:rsidR="00253578" w:rsidRPr="0023135C" w:rsidRDefault="00253578" w:rsidP="00C64AB1">
            <w:pPr>
              <w:spacing w:after="120"/>
              <w:jc w:val="right"/>
            </w:pPr>
            <w:r>
              <w:t>6</w:t>
            </w:r>
          </w:p>
        </w:tc>
      </w:tr>
      <w:tr w:rsidR="00253578" w:rsidRPr="00F52C80" w14:paraId="74F6044D" w14:textId="77777777" w:rsidTr="00C64AB1">
        <w:tc>
          <w:tcPr>
            <w:tcW w:w="9369" w:type="dxa"/>
            <w:gridSpan w:val="3"/>
            <w:shd w:val="clear" w:color="auto" w:fill="auto"/>
          </w:tcPr>
          <w:p w14:paraId="267AF152" w14:textId="77777777" w:rsidR="00253578" w:rsidRPr="00F52C80" w:rsidRDefault="00253578" w:rsidP="00C64AB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lang w:val="fr-FR"/>
              </w:rPr>
            </w:pPr>
            <w:r w:rsidRPr="00F52C80">
              <w:rPr>
                <w:lang w:val="fr-FR"/>
              </w:rPr>
              <w:t>Les femmes et la paix et la sécurité</w:t>
            </w:r>
            <w:r w:rsidRPr="00F52C80">
              <w:rPr>
                <w:spacing w:val="60"/>
                <w:sz w:val="17"/>
                <w:lang w:val="fr-FR"/>
              </w:rPr>
              <w:tab/>
            </w:r>
          </w:p>
        </w:tc>
        <w:tc>
          <w:tcPr>
            <w:tcW w:w="533" w:type="dxa"/>
            <w:shd w:val="clear" w:color="auto" w:fill="auto"/>
            <w:vAlign w:val="bottom"/>
          </w:tcPr>
          <w:p w14:paraId="55889CD9" w14:textId="77777777" w:rsidR="00253578" w:rsidRPr="00F52C80" w:rsidRDefault="00253578" w:rsidP="00C64AB1">
            <w:pPr>
              <w:spacing w:after="120"/>
              <w:jc w:val="right"/>
              <w:rPr>
                <w:lang w:val="fr-FR"/>
              </w:rPr>
            </w:pPr>
            <w:r>
              <w:rPr>
                <w:lang w:val="fr-FR"/>
              </w:rPr>
              <w:t>7</w:t>
            </w:r>
          </w:p>
        </w:tc>
      </w:tr>
      <w:tr w:rsidR="00253578" w:rsidRPr="00F52C80" w14:paraId="1AC20F99" w14:textId="77777777" w:rsidTr="00C64AB1">
        <w:tc>
          <w:tcPr>
            <w:tcW w:w="9369" w:type="dxa"/>
            <w:gridSpan w:val="3"/>
            <w:shd w:val="clear" w:color="auto" w:fill="auto"/>
          </w:tcPr>
          <w:p w14:paraId="1D0FE527" w14:textId="77777777" w:rsidR="00253578" w:rsidRPr="00F52C80" w:rsidRDefault="00253578" w:rsidP="00C64AB1">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lang w:val="fr-FR"/>
              </w:rPr>
            </w:pPr>
            <w:r w:rsidRPr="00986E32">
              <w:rPr>
                <w:lang w:val="fr-FR"/>
              </w:rPr>
              <w:t>Mécanisme national de promotion de la femme</w:t>
            </w:r>
            <w:r>
              <w:rPr>
                <w:spacing w:val="60"/>
                <w:sz w:val="17"/>
                <w:lang w:val="fr-FR"/>
              </w:rPr>
              <w:tab/>
            </w:r>
          </w:p>
        </w:tc>
        <w:tc>
          <w:tcPr>
            <w:tcW w:w="533" w:type="dxa"/>
            <w:shd w:val="clear" w:color="auto" w:fill="auto"/>
            <w:vAlign w:val="bottom"/>
          </w:tcPr>
          <w:p w14:paraId="05D6C14B" w14:textId="77777777" w:rsidR="00253578" w:rsidRPr="00F52C80" w:rsidRDefault="00253578" w:rsidP="00C64AB1">
            <w:pPr>
              <w:spacing w:after="120"/>
              <w:jc w:val="right"/>
              <w:rPr>
                <w:lang w:val="fr-FR"/>
              </w:rPr>
            </w:pPr>
            <w:r>
              <w:rPr>
                <w:lang w:val="fr-FR"/>
              </w:rPr>
              <w:t>7</w:t>
            </w:r>
          </w:p>
        </w:tc>
      </w:tr>
      <w:tr w:rsidR="00253578" w:rsidRPr="0023135C" w14:paraId="449EDD48" w14:textId="77777777" w:rsidTr="00C64AB1">
        <w:tc>
          <w:tcPr>
            <w:tcW w:w="9369" w:type="dxa"/>
            <w:gridSpan w:val="3"/>
            <w:shd w:val="clear" w:color="auto" w:fill="auto"/>
          </w:tcPr>
          <w:p w14:paraId="21DD20A6" w14:textId="77777777" w:rsidR="00253578" w:rsidRPr="00B91636" w:rsidRDefault="00253578" w:rsidP="00C64AB1">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A05151">
              <w:rPr>
                <w:lang w:val="fr-FR"/>
              </w:rPr>
              <w:t>Obligations extraterritoriales</w:t>
            </w:r>
            <w:r w:rsidRPr="00B91636">
              <w:rPr>
                <w:spacing w:val="60"/>
                <w:sz w:val="17"/>
              </w:rPr>
              <w:tab/>
            </w:r>
          </w:p>
        </w:tc>
        <w:tc>
          <w:tcPr>
            <w:tcW w:w="533" w:type="dxa"/>
            <w:shd w:val="clear" w:color="auto" w:fill="auto"/>
            <w:vAlign w:val="bottom"/>
          </w:tcPr>
          <w:p w14:paraId="3B3A3F65" w14:textId="77777777" w:rsidR="00253578" w:rsidRPr="0023135C" w:rsidRDefault="00253578" w:rsidP="00C64AB1">
            <w:pPr>
              <w:spacing w:after="120"/>
              <w:jc w:val="right"/>
            </w:pPr>
            <w:r>
              <w:t>10</w:t>
            </w:r>
          </w:p>
        </w:tc>
      </w:tr>
      <w:tr w:rsidR="00253578" w:rsidRPr="0023135C" w14:paraId="0610732D" w14:textId="77777777" w:rsidTr="00C64AB1">
        <w:tc>
          <w:tcPr>
            <w:tcW w:w="9369" w:type="dxa"/>
            <w:gridSpan w:val="3"/>
            <w:shd w:val="clear" w:color="auto" w:fill="auto"/>
          </w:tcPr>
          <w:p w14:paraId="1D9BF9F6" w14:textId="77777777" w:rsidR="00253578" w:rsidRPr="00B91636" w:rsidRDefault="00253578" w:rsidP="00C64AB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A05151">
              <w:rPr>
                <w:lang w:val="fr-FR"/>
              </w:rPr>
              <w:t>Stéréotypes et pratiques préjudiciables</w:t>
            </w:r>
            <w:r w:rsidRPr="00B91636">
              <w:rPr>
                <w:spacing w:val="60"/>
                <w:sz w:val="17"/>
              </w:rPr>
              <w:tab/>
            </w:r>
          </w:p>
        </w:tc>
        <w:tc>
          <w:tcPr>
            <w:tcW w:w="533" w:type="dxa"/>
            <w:shd w:val="clear" w:color="auto" w:fill="auto"/>
            <w:vAlign w:val="bottom"/>
          </w:tcPr>
          <w:p w14:paraId="03D10DF0" w14:textId="77777777" w:rsidR="00253578" w:rsidRPr="0023135C" w:rsidRDefault="00253578" w:rsidP="00C64AB1">
            <w:pPr>
              <w:spacing w:after="120"/>
              <w:jc w:val="right"/>
            </w:pPr>
            <w:r>
              <w:t>10</w:t>
            </w:r>
          </w:p>
        </w:tc>
      </w:tr>
      <w:tr w:rsidR="00253578" w:rsidRPr="00F52C80" w14:paraId="0A2ED7E6" w14:textId="77777777" w:rsidTr="00C64AB1">
        <w:tc>
          <w:tcPr>
            <w:tcW w:w="9369" w:type="dxa"/>
            <w:gridSpan w:val="3"/>
            <w:shd w:val="clear" w:color="auto" w:fill="auto"/>
          </w:tcPr>
          <w:p w14:paraId="401F47A9" w14:textId="42BD77DF" w:rsidR="00253578" w:rsidRPr="00F52C80" w:rsidRDefault="00253578" w:rsidP="00C64AB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lang w:val="fr-FR"/>
              </w:rPr>
            </w:pPr>
            <w:r w:rsidRPr="00A05151">
              <w:rPr>
                <w:lang w:val="fr-FR"/>
              </w:rPr>
              <w:t>Violences sexistes à l</w:t>
            </w:r>
            <w:r w:rsidR="00795C5F">
              <w:rPr>
                <w:lang w:val="fr-FR"/>
              </w:rPr>
              <w:t>’</w:t>
            </w:r>
            <w:r w:rsidRPr="00A05151">
              <w:rPr>
                <w:lang w:val="fr-FR"/>
              </w:rPr>
              <w:t>encontre des femmes</w:t>
            </w:r>
            <w:r w:rsidRPr="00F52C80">
              <w:rPr>
                <w:spacing w:val="60"/>
                <w:sz w:val="17"/>
                <w:lang w:val="fr-FR"/>
              </w:rPr>
              <w:tab/>
            </w:r>
          </w:p>
        </w:tc>
        <w:tc>
          <w:tcPr>
            <w:tcW w:w="533" w:type="dxa"/>
            <w:shd w:val="clear" w:color="auto" w:fill="auto"/>
            <w:vAlign w:val="bottom"/>
          </w:tcPr>
          <w:p w14:paraId="0B0CEEB9" w14:textId="77777777" w:rsidR="00253578" w:rsidRPr="00F52C80" w:rsidRDefault="00253578" w:rsidP="00C64AB1">
            <w:pPr>
              <w:spacing w:after="120"/>
              <w:jc w:val="right"/>
              <w:rPr>
                <w:lang w:val="fr-FR"/>
              </w:rPr>
            </w:pPr>
            <w:r>
              <w:rPr>
                <w:lang w:val="fr-FR"/>
              </w:rPr>
              <w:t>12</w:t>
            </w:r>
          </w:p>
        </w:tc>
      </w:tr>
      <w:tr w:rsidR="00253578" w:rsidRPr="00F52C80" w14:paraId="598043D2" w14:textId="77777777" w:rsidTr="00C64AB1">
        <w:tc>
          <w:tcPr>
            <w:tcW w:w="9369" w:type="dxa"/>
            <w:gridSpan w:val="3"/>
            <w:shd w:val="clear" w:color="auto" w:fill="auto"/>
          </w:tcPr>
          <w:p w14:paraId="421D37DF" w14:textId="77777777" w:rsidR="00253578" w:rsidRPr="00F52C80" w:rsidRDefault="00253578" w:rsidP="00C64AB1">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lang w:val="fr-FR"/>
              </w:rPr>
            </w:pPr>
            <w:r w:rsidRPr="00705260">
              <w:rPr>
                <w:lang w:val="fr-FR"/>
              </w:rPr>
              <w:t>Traite des êtres humains et exploitation de la prostitution</w:t>
            </w:r>
            <w:r w:rsidRPr="00F52C80">
              <w:rPr>
                <w:spacing w:val="60"/>
                <w:sz w:val="17"/>
                <w:lang w:val="fr-FR"/>
              </w:rPr>
              <w:tab/>
            </w:r>
          </w:p>
        </w:tc>
        <w:tc>
          <w:tcPr>
            <w:tcW w:w="533" w:type="dxa"/>
            <w:shd w:val="clear" w:color="auto" w:fill="auto"/>
            <w:vAlign w:val="bottom"/>
          </w:tcPr>
          <w:p w14:paraId="75F52B05" w14:textId="77777777" w:rsidR="00253578" w:rsidRPr="00F52C80" w:rsidRDefault="00253578" w:rsidP="00C64AB1">
            <w:pPr>
              <w:spacing w:after="120"/>
              <w:jc w:val="right"/>
              <w:rPr>
                <w:lang w:val="fr-FR"/>
              </w:rPr>
            </w:pPr>
            <w:r>
              <w:rPr>
                <w:lang w:val="fr-FR"/>
              </w:rPr>
              <w:t>16</w:t>
            </w:r>
          </w:p>
        </w:tc>
      </w:tr>
      <w:tr w:rsidR="00253578" w:rsidRPr="005D1566" w14:paraId="3FD44518" w14:textId="77777777" w:rsidTr="00C64AB1">
        <w:tc>
          <w:tcPr>
            <w:tcW w:w="9369" w:type="dxa"/>
            <w:gridSpan w:val="3"/>
            <w:shd w:val="clear" w:color="auto" w:fill="auto"/>
          </w:tcPr>
          <w:p w14:paraId="28B6A36F" w14:textId="77777777" w:rsidR="00253578" w:rsidRPr="005D1566" w:rsidRDefault="00253578" w:rsidP="00C64AB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lang w:val="fr-FR"/>
              </w:rPr>
            </w:pPr>
            <w:r w:rsidRPr="00D05A66">
              <w:rPr>
                <w:lang w:val="fr-FR"/>
              </w:rPr>
              <w:t>Participation à la vie politique et à la vie publique</w:t>
            </w:r>
            <w:r w:rsidRPr="005D1566">
              <w:rPr>
                <w:spacing w:val="60"/>
                <w:sz w:val="17"/>
                <w:lang w:val="fr-FR"/>
              </w:rPr>
              <w:tab/>
            </w:r>
          </w:p>
        </w:tc>
        <w:tc>
          <w:tcPr>
            <w:tcW w:w="533" w:type="dxa"/>
            <w:shd w:val="clear" w:color="auto" w:fill="auto"/>
            <w:vAlign w:val="bottom"/>
          </w:tcPr>
          <w:p w14:paraId="01A8B27E" w14:textId="77777777" w:rsidR="00253578" w:rsidRPr="005D1566" w:rsidRDefault="00253578" w:rsidP="00C64AB1">
            <w:pPr>
              <w:spacing w:after="120"/>
              <w:jc w:val="right"/>
              <w:rPr>
                <w:lang w:val="fr-FR"/>
              </w:rPr>
            </w:pPr>
            <w:r>
              <w:rPr>
                <w:lang w:val="fr-FR"/>
              </w:rPr>
              <w:t>21</w:t>
            </w:r>
          </w:p>
        </w:tc>
      </w:tr>
      <w:tr w:rsidR="00253578" w:rsidRPr="0023135C" w14:paraId="0B74B3E2" w14:textId="77777777" w:rsidTr="00C64AB1">
        <w:tc>
          <w:tcPr>
            <w:tcW w:w="9369" w:type="dxa"/>
            <w:gridSpan w:val="3"/>
            <w:shd w:val="clear" w:color="auto" w:fill="auto"/>
          </w:tcPr>
          <w:p w14:paraId="4D6B81D6" w14:textId="77777777" w:rsidR="00253578" w:rsidRPr="00B91636" w:rsidRDefault="00253578" w:rsidP="00C64AB1">
            <w:pPr>
              <w:pStyle w:val="ListParagraph"/>
              <w:tabs>
                <w:tab w:val="right" w:pos="1080"/>
                <w:tab w:val="left" w:pos="1296"/>
                <w:tab w:val="left" w:pos="1728"/>
                <w:tab w:val="left" w:pos="2160"/>
                <w:tab w:val="right" w:leader="dot" w:pos="9360"/>
              </w:tabs>
              <w:spacing w:after="120"/>
              <w:ind w:left="1296"/>
              <w:rPr>
                <w:spacing w:val="60"/>
                <w:sz w:val="17"/>
              </w:rPr>
            </w:pPr>
            <w:r w:rsidRPr="005529B6">
              <w:rPr>
                <w:lang w:val="fr-FR"/>
              </w:rPr>
              <w:t>Éducation</w:t>
            </w:r>
            <w:r w:rsidRPr="00B91636">
              <w:rPr>
                <w:spacing w:val="60"/>
                <w:sz w:val="17"/>
              </w:rPr>
              <w:tab/>
            </w:r>
          </w:p>
        </w:tc>
        <w:tc>
          <w:tcPr>
            <w:tcW w:w="533" w:type="dxa"/>
            <w:shd w:val="clear" w:color="auto" w:fill="auto"/>
            <w:vAlign w:val="bottom"/>
          </w:tcPr>
          <w:p w14:paraId="3060C510" w14:textId="77777777" w:rsidR="00253578" w:rsidRPr="0023135C" w:rsidRDefault="00253578" w:rsidP="00C64AB1">
            <w:pPr>
              <w:spacing w:after="120"/>
              <w:jc w:val="right"/>
            </w:pPr>
            <w:r>
              <w:t>24</w:t>
            </w:r>
          </w:p>
        </w:tc>
      </w:tr>
      <w:tr w:rsidR="00253578" w:rsidRPr="0023135C" w14:paraId="2DA47900" w14:textId="77777777" w:rsidTr="00C64AB1">
        <w:tc>
          <w:tcPr>
            <w:tcW w:w="9369" w:type="dxa"/>
            <w:gridSpan w:val="3"/>
            <w:shd w:val="clear" w:color="auto" w:fill="auto"/>
          </w:tcPr>
          <w:p w14:paraId="17259A01" w14:textId="77777777" w:rsidR="00253578" w:rsidRPr="005D1566" w:rsidRDefault="00253578" w:rsidP="00C64AB1">
            <w:pPr>
              <w:pStyle w:val="ListParagraph"/>
              <w:tabs>
                <w:tab w:val="left" w:pos="1296"/>
                <w:tab w:val="left" w:pos="1728"/>
                <w:tab w:val="right" w:leader="dot" w:pos="9360"/>
              </w:tabs>
              <w:spacing w:after="120"/>
              <w:ind w:left="1296"/>
              <w:rPr>
                <w:spacing w:val="60"/>
                <w:sz w:val="17"/>
              </w:rPr>
            </w:pPr>
            <w:r w:rsidRPr="005529B6">
              <w:rPr>
                <w:lang w:val="fr-FR"/>
              </w:rPr>
              <w:t>Emploi</w:t>
            </w:r>
            <w:r>
              <w:rPr>
                <w:spacing w:val="60"/>
                <w:sz w:val="17"/>
                <w:lang w:val="fr-FR"/>
              </w:rPr>
              <w:tab/>
            </w:r>
          </w:p>
        </w:tc>
        <w:tc>
          <w:tcPr>
            <w:tcW w:w="533" w:type="dxa"/>
            <w:shd w:val="clear" w:color="auto" w:fill="auto"/>
            <w:vAlign w:val="bottom"/>
          </w:tcPr>
          <w:p w14:paraId="1891D4FC" w14:textId="77777777" w:rsidR="00253578" w:rsidRPr="0023135C" w:rsidRDefault="00253578" w:rsidP="00C64AB1">
            <w:pPr>
              <w:spacing w:after="120"/>
              <w:jc w:val="right"/>
            </w:pPr>
            <w:r>
              <w:t>29</w:t>
            </w:r>
          </w:p>
        </w:tc>
      </w:tr>
      <w:tr w:rsidR="00253578" w:rsidRPr="0023135C" w14:paraId="0F65DD3F" w14:textId="77777777" w:rsidTr="00C64AB1">
        <w:tc>
          <w:tcPr>
            <w:tcW w:w="9369" w:type="dxa"/>
            <w:gridSpan w:val="3"/>
            <w:shd w:val="clear" w:color="auto" w:fill="auto"/>
          </w:tcPr>
          <w:p w14:paraId="19C2CA59" w14:textId="77777777" w:rsidR="00253578" w:rsidRPr="00B91636" w:rsidRDefault="00253578" w:rsidP="00C64AB1">
            <w:pPr>
              <w:pStyle w:val="ListParagraph"/>
              <w:tabs>
                <w:tab w:val="right" w:pos="1080"/>
                <w:tab w:val="left" w:pos="1296"/>
                <w:tab w:val="left" w:pos="1728"/>
                <w:tab w:val="right" w:leader="dot" w:pos="9360"/>
              </w:tabs>
              <w:spacing w:after="120"/>
              <w:ind w:left="1296"/>
              <w:rPr>
                <w:spacing w:val="60"/>
                <w:sz w:val="17"/>
              </w:rPr>
            </w:pPr>
            <w:r w:rsidRPr="003933A1">
              <w:rPr>
                <w:lang w:val="fr-FR"/>
              </w:rPr>
              <w:t>Santé</w:t>
            </w:r>
            <w:r w:rsidRPr="00B91636">
              <w:rPr>
                <w:spacing w:val="60"/>
                <w:sz w:val="17"/>
              </w:rPr>
              <w:tab/>
            </w:r>
          </w:p>
        </w:tc>
        <w:tc>
          <w:tcPr>
            <w:tcW w:w="533" w:type="dxa"/>
            <w:shd w:val="clear" w:color="auto" w:fill="auto"/>
            <w:vAlign w:val="bottom"/>
          </w:tcPr>
          <w:p w14:paraId="60D96789" w14:textId="61080F11" w:rsidR="00253578" w:rsidRPr="0023135C" w:rsidRDefault="00253578" w:rsidP="00C64AB1">
            <w:pPr>
              <w:spacing w:after="120"/>
              <w:jc w:val="right"/>
            </w:pPr>
            <w:r>
              <w:t>3</w:t>
            </w:r>
            <w:r w:rsidR="00064C9C">
              <w:t>5</w:t>
            </w:r>
          </w:p>
        </w:tc>
      </w:tr>
      <w:tr w:rsidR="00253578" w:rsidRPr="0023135C" w14:paraId="7BC5A7A8" w14:textId="77777777" w:rsidTr="00C64AB1">
        <w:tc>
          <w:tcPr>
            <w:tcW w:w="9369" w:type="dxa"/>
            <w:gridSpan w:val="3"/>
            <w:shd w:val="clear" w:color="auto" w:fill="auto"/>
          </w:tcPr>
          <w:p w14:paraId="51E571A2" w14:textId="77777777" w:rsidR="00253578" w:rsidRPr="00B91636" w:rsidRDefault="00253578" w:rsidP="00C64AB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7A3326">
              <w:rPr>
                <w:lang w:val="fr-FR"/>
              </w:rPr>
              <w:t>Groupes de femmes défavorisés</w:t>
            </w:r>
            <w:r w:rsidRPr="00B91636">
              <w:rPr>
                <w:spacing w:val="60"/>
                <w:sz w:val="17"/>
              </w:rPr>
              <w:tab/>
            </w:r>
          </w:p>
        </w:tc>
        <w:tc>
          <w:tcPr>
            <w:tcW w:w="533" w:type="dxa"/>
            <w:shd w:val="clear" w:color="auto" w:fill="auto"/>
            <w:vAlign w:val="bottom"/>
          </w:tcPr>
          <w:p w14:paraId="6A453315" w14:textId="55804C9F" w:rsidR="00253578" w:rsidRPr="0023135C" w:rsidRDefault="00064C9C" w:rsidP="00C64AB1">
            <w:pPr>
              <w:spacing w:after="120"/>
              <w:jc w:val="right"/>
            </w:pPr>
            <w:r>
              <w:t>40</w:t>
            </w:r>
          </w:p>
        </w:tc>
      </w:tr>
      <w:tr w:rsidR="00253578" w:rsidRPr="0023135C" w14:paraId="3C1045A4" w14:textId="77777777" w:rsidTr="00C64AB1">
        <w:tc>
          <w:tcPr>
            <w:tcW w:w="9369" w:type="dxa"/>
            <w:gridSpan w:val="3"/>
            <w:shd w:val="clear" w:color="auto" w:fill="auto"/>
          </w:tcPr>
          <w:p w14:paraId="68BDE1F9" w14:textId="77777777" w:rsidR="00253578" w:rsidRPr="00B91636" w:rsidRDefault="00253578" w:rsidP="00C64AB1">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99433A">
              <w:rPr>
                <w:lang w:val="fr-FR"/>
              </w:rPr>
              <w:t>Changements climatiques</w:t>
            </w:r>
            <w:r w:rsidRPr="00B91636">
              <w:rPr>
                <w:spacing w:val="60"/>
                <w:sz w:val="17"/>
              </w:rPr>
              <w:tab/>
            </w:r>
          </w:p>
        </w:tc>
        <w:tc>
          <w:tcPr>
            <w:tcW w:w="533" w:type="dxa"/>
            <w:shd w:val="clear" w:color="auto" w:fill="auto"/>
            <w:vAlign w:val="bottom"/>
          </w:tcPr>
          <w:p w14:paraId="5792F6BB" w14:textId="77777777" w:rsidR="00253578" w:rsidRPr="0023135C" w:rsidRDefault="00253578" w:rsidP="00C64AB1">
            <w:pPr>
              <w:spacing w:after="120"/>
              <w:jc w:val="right"/>
            </w:pPr>
            <w:r>
              <w:t>43</w:t>
            </w:r>
          </w:p>
        </w:tc>
      </w:tr>
      <w:tr w:rsidR="00253578" w:rsidRPr="0023135C" w14:paraId="3F4005C2" w14:textId="77777777" w:rsidTr="00C64AB1">
        <w:tc>
          <w:tcPr>
            <w:tcW w:w="9369" w:type="dxa"/>
            <w:gridSpan w:val="3"/>
            <w:shd w:val="clear" w:color="auto" w:fill="auto"/>
          </w:tcPr>
          <w:p w14:paraId="574C7905" w14:textId="77777777" w:rsidR="00253578" w:rsidRPr="00B91636" w:rsidRDefault="00253578" w:rsidP="00C64AB1">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99433A">
              <w:rPr>
                <w:lang w:val="fr-FR"/>
              </w:rPr>
              <w:t>Mariage et relations familiales</w:t>
            </w:r>
            <w:r w:rsidRPr="00B91636">
              <w:rPr>
                <w:spacing w:val="60"/>
                <w:sz w:val="17"/>
              </w:rPr>
              <w:tab/>
            </w:r>
          </w:p>
        </w:tc>
        <w:tc>
          <w:tcPr>
            <w:tcW w:w="533" w:type="dxa"/>
            <w:shd w:val="clear" w:color="auto" w:fill="auto"/>
            <w:vAlign w:val="bottom"/>
          </w:tcPr>
          <w:p w14:paraId="2BCBA9DB" w14:textId="77777777" w:rsidR="00253578" w:rsidRPr="0023135C" w:rsidRDefault="00253578" w:rsidP="00C64AB1">
            <w:pPr>
              <w:spacing w:after="120"/>
              <w:jc w:val="right"/>
            </w:pPr>
            <w:r>
              <w:t>50</w:t>
            </w:r>
          </w:p>
        </w:tc>
      </w:tr>
      <w:tr w:rsidR="00253578" w:rsidRPr="0023135C" w14:paraId="16FAC0CD" w14:textId="77777777" w:rsidTr="00C64AB1">
        <w:tc>
          <w:tcPr>
            <w:tcW w:w="9369" w:type="dxa"/>
            <w:gridSpan w:val="3"/>
            <w:shd w:val="clear" w:color="auto" w:fill="auto"/>
          </w:tcPr>
          <w:p w14:paraId="1629BD18" w14:textId="77777777" w:rsidR="00253578" w:rsidRPr="00B91636" w:rsidRDefault="00253578" w:rsidP="00C64AB1">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99433A">
              <w:rPr>
                <w:lang w:val="fr-FR"/>
              </w:rPr>
              <w:t>Renseignements supplémentaires</w:t>
            </w:r>
            <w:r w:rsidRPr="00B91636">
              <w:rPr>
                <w:spacing w:val="60"/>
                <w:sz w:val="17"/>
              </w:rPr>
              <w:tab/>
            </w:r>
          </w:p>
        </w:tc>
        <w:tc>
          <w:tcPr>
            <w:tcW w:w="533" w:type="dxa"/>
            <w:shd w:val="clear" w:color="auto" w:fill="auto"/>
            <w:vAlign w:val="bottom"/>
          </w:tcPr>
          <w:p w14:paraId="5A47FE7C" w14:textId="77777777" w:rsidR="00253578" w:rsidRPr="0023135C" w:rsidRDefault="00253578" w:rsidP="00C64AB1">
            <w:pPr>
              <w:spacing w:after="120"/>
              <w:jc w:val="right"/>
            </w:pPr>
            <w:r>
              <w:t>50</w:t>
            </w:r>
          </w:p>
        </w:tc>
      </w:tr>
    </w:tbl>
    <w:p w14:paraId="5DEACAAB" w14:textId="77777777" w:rsidR="00592B48" w:rsidRPr="00986E32" w:rsidRDefault="00592B48" w:rsidP="00986E32">
      <w:pPr>
        <w:rPr>
          <w:lang w:val="fr-FR"/>
        </w:rPr>
      </w:pPr>
    </w:p>
    <w:p w14:paraId="02985280" w14:textId="636D9F72" w:rsidR="00986E32" w:rsidRPr="00D8162F" w:rsidRDefault="00986E32" w:rsidP="00986E32">
      <w:pPr>
        <w:pStyle w:val="SingleTxt"/>
        <w:rPr>
          <w:lang w:val="en-US"/>
        </w:rPr>
      </w:pPr>
    </w:p>
    <w:p w14:paraId="0704D7DE" w14:textId="77777777" w:rsidR="00986E32" w:rsidRDefault="00986E32">
      <w:pPr>
        <w:spacing w:after="200" w:line="276" w:lineRule="auto"/>
        <w:rPr>
          <w:lang w:val="fr-FR"/>
        </w:rPr>
      </w:pPr>
      <w:r>
        <w:rPr>
          <w:lang w:val="fr-FR"/>
        </w:rPr>
        <w:br w:type="page"/>
      </w:r>
    </w:p>
    <w:p w14:paraId="11DDF9A2" w14:textId="2637F302" w:rsidR="00986E32" w:rsidRDefault="00986E32" w:rsidP="00ED41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986E32">
        <w:rPr>
          <w:lang w:val="fr-FR"/>
        </w:rPr>
        <w:t>Introduction</w:t>
      </w:r>
    </w:p>
    <w:p w14:paraId="158C6DEA" w14:textId="47616F77" w:rsidR="00986E32" w:rsidRPr="00986E32" w:rsidRDefault="00986E32" w:rsidP="00986E32">
      <w:pPr>
        <w:pStyle w:val="SingleTxt"/>
        <w:spacing w:after="0" w:line="120" w:lineRule="exact"/>
        <w:rPr>
          <w:sz w:val="10"/>
          <w:lang w:val="fr-FR"/>
        </w:rPr>
      </w:pPr>
    </w:p>
    <w:p w14:paraId="7FFE10AD" w14:textId="50D2C4FE" w:rsidR="00986E32" w:rsidRPr="00986E32" w:rsidRDefault="00986E32" w:rsidP="00986E32">
      <w:pPr>
        <w:pStyle w:val="SingleTxt"/>
        <w:spacing w:after="0" w:line="120" w:lineRule="exact"/>
        <w:rPr>
          <w:sz w:val="10"/>
          <w:lang w:val="fr-FR"/>
        </w:rPr>
      </w:pPr>
    </w:p>
    <w:p w14:paraId="0BBE642B" w14:textId="626EC863" w:rsidR="00986E32" w:rsidRPr="00986E32" w:rsidRDefault="00986E32" w:rsidP="00986E32">
      <w:pPr>
        <w:pStyle w:val="SingleTxt"/>
        <w:numPr>
          <w:ilvl w:val="0"/>
          <w:numId w:val="17"/>
        </w:numPr>
        <w:spacing w:line="240" w:lineRule="exact"/>
        <w:ind w:left="1267"/>
        <w:rPr>
          <w:lang w:val="fr-FR"/>
        </w:rPr>
      </w:pPr>
      <w:r w:rsidRPr="00986E32">
        <w:rPr>
          <w:lang w:val="fr-FR"/>
        </w:rPr>
        <w:t>En application de l</w:t>
      </w:r>
      <w:r w:rsidR="00795C5F">
        <w:rPr>
          <w:lang w:val="fr-FR"/>
        </w:rPr>
        <w:t>’</w:t>
      </w:r>
      <w:r w:rsidRPr="00986E32">
        <w:rPr>
          <w:lang w:val="fr-FR"/>
        </w:rPr>
        <w:t>alinéa b) du paragraphe 1 de l</w:t>
      </w:r>
      <w:r w:rsidR="00795C5F">
        <w:rPr>
          <w:lang w:val="fr-FR"/>
        </w:rPr>
        <w:t>’</w:t>
      </w:r>
      <w:r w:rsidRPr="00986E32">
        <w:rPr>
          <w:lang w:val="fr-FR"/>
        </w:rPr>
        <w:t>article 18 de la Convention sur l</w:t>
      </w:r>
      <w:r w:rsidR="00795C5F">
        <w:rPr>
          <w:lang w:val="fr-FR"/>
        </w:rPr>
        <w:t>’</w:t>
      </w:r>
      <w:r w:rsidRPr="00986E32">
        <w:rPr>
          <w:lang w:val="fr-FR"/>
        </w:rPr>
        <w:t>élimination de toutes les formes de discrimination à l</w:t>
      </w:r>
      <w:r w:rsidR="00795C5F">
        <w:rPr>
          <w:lang w:val="fr-FR"/>
        </w:rPr>
        <w:t>’</w:t>
      </w:r>
      <w:r w:rsidRPr="00986E32">
        <w:rPr>
          <w:lang w:val="fr-FR"/>
        </w:rPr>
        <w:t>égard des femmes, la République de Maurice présente son huitième rapport périodique sur la mise en œuvre de la Convention, couvrant la période 2010 à 2018.</w:t>
      </w:r>
    </w:p>
    <w:p w14:paraId="22156E76" w14:textId="617281AE" w:rsidR="00986E32" w:rsidRPr="00986E32" w:rsidRDefault="00986E32" w:rsidP="00986E32">
      <w:pPr>
        <w:pStyle w:val="SingleTxt"/>
        <w:numPr>
          <w:ilvl w:val="0"/>
          <w:numId w:val="17"/>
        </w:numPr>
        <w:spacing w:line="240" w:lineRule="exact"/>
        <w:ind w:left="1267"/>
        <w:rPr>
          <w:lang w:val="fr-FR"/>
        </w:rPr>
      </w:pPr>
      <w:r w:rsidRPr="00986E32">
        <w:rPr>
          <w:lang w:val="fr-FR"/>
        </w:rPr>
        <w:t>Le présent rapport consiste en un ensemble de réponses à une liste de questions soumises à Maurice par le Comité pour l</w:t>
      </w:r>
      <w:r w:rsidR="00795C5F">
        <w:rPr>
          <w:lang w:val="fr-FR"/>
        </w:rPr>
        <w:t>’</w:t>
      </w:r>
      <w:r w:rsidRPr="00986E32">
        <w:rPr>
          <w:lang w:val="fr-FR"/>
        </w:rPr>
        <w:t>élimination de la discrimination à l</w:t>
      </w:r>
      <w:r w:rsidR="00795C5F">
        <w:rPr>
          <w:lang w:val="fr-FR"/>
        </w:rPr>
        <w:t>’</w:t>
      </w:r>
      <w:r w:rsidRPr="00986E32">
        <w:rPr>
          <w:lang w:val="fr-FR"/>
        </w:rPr>
        <w:t>égard des femmes avant la présentation du huitième rapport périodique (</w:t>
      </w:r>
      <w:hyperlink r:id="rId16" w:history="1">
        <w:r w:rsidRPr="007D711B">
          <w:rPr>
            <w:rStyle w:val="Hyperlink"/>
            <w:lang w:val="fr-FR"/>
          </w:rPr>
          <w:t>CEDAW/C/MUS/QPR/8</w:t>
        </w:r>
      </w:hyperlink>
      <w:r w:rsidRPr="00986E32">
        <w:rPr>
          <w:lang w:val="fr-FR"/>
        </w:rPr>
        <w:t>)</w:t>
      </w:r>
      <w:r w:rsidR="00795C5F">
        <w:rPr>
          <w:lang w:val="fr-FR"/>
        </w:rPr>
        <w:t> ;</w:t>
      </w:r>
      <w:r w:rsidRPr="00986E32">
        <w:rPr>
          <w:lang w:val="fr-FR"/>
        </w:rPr>
        <w:t xml:space="preserve"> il prend également en considération les observations finales du Comité (</w:t>
      </w:r>
      <w:hyperlink r:id="rId17" w:history="1">
        <w:r w:rsidRPr="007D711B">
          <w:rPr>
            <w:rStyle w:val="Hyperlink"/>
            <w:lang w:val="fr-FR"/>
          </w:rPr>
          <w:t>CEDAW/C/MUS/CO/6-7</w:t>
        </w:r>
      </w:hyperlink>
      <w:r w:rsidRPr="00986E32">
        <w:rPr>
          <w:lang w:val="fr-FR"/>
        </w:rPr>
        <w:t>).</w:t>
      </w:r>
    </w:p>
    <w:p w14:paraId="2B3B581F" w14:textId="6DD42EE7" w:rsidR="00986E32" w:rsidRPr="00986E32" w:rsidRDefault="00986E32" w:rsidP="00986E32">
      <w:pPr>
        <w:pStyle w:val="SingleTxt"/>
        <w:numPr>
          <w:ilvl w:val="0"/>
          <w:numId w:val="17"/>
        </w:numPr>
        <w:spacing w:line="240" w:lineRule="exact"/>
        <w:ind w:left="1267"/>
        <w:rPr>
          <w:lang w:val="fr-FR"/>
        </w:rPr>
      </w:pPr>
      <w:r w:rsidRPr="00986E32">
        <w:rPr>
          <w:lang w:val="fr-FR"/>
        </w:rPr>
        <w:t>Le rapport a été établi par le Ministère de l</w:t>
      </w:r>
      <w:r w:rsidR="00795C5F">
        <w:rPr>
          <w:lang w:val="fr-FR"/>
        </w:rPr>
        <w:t>’</w:t>
      </w:r>
      <w:r w:rsidRPr="00986E32">
        <w:rPr>
          <w:lang w:val="fr-FR"/>
        </w:rPr>
        <w:t>égalité des genres, du développement de l</w:t>
      </w:r>
      <w:r w:rsidR="00795C5F">
        <w:rPr>
          <w:lang w:val="fr-FR"/>
        </w:rPr>
        <w:t>’</w:t>
      </w:r>
      <w:r w:rsidRPr="00986E32">
        <w:rPr>
          <w:lang w:val="fr-FR"/>
        </w:rPr>
        <w:t>enfant et du bien-être de la famille, en collaboration avec le Mécanisme national de rapports et de suivi et d</w:t>
      </w:r>
      <w:r w:rsidR="00795C5F">
        <w:rPr>
          <w:lang w:val="fr-FR"/>
        </w:rPr>
        <w:t>’</w:t>
      </w:r>
      <w:r w:rsidRPr="00986E32">
        <w:rPr>
          <w:lang w:val="fr-FR"/>
        </w:rPr>
        <w:t>autres organismes publics. Le Conseil national des femmes, le Conseil national des femmes chef d</w:t>
      </w:r>
      <w:r w:rsidR="00795C5F">
        <w:rPr>
          <w:lang w:val="fr-FR"/>
        </w:rPr>
        <w:t>’</w:t>
      </w:r>
      <w:r w:rsidRPr="00986E32">
        <w:rPr>
          <w:lang w:val="fr-FR"/>
        </w:rPr>
        <w:t>entreprise et les institutions nationales de défense des droits de l</w:t>
      </w:r>
      <w:r w:rsidR="00795C5F">
        <w:rPr>
          <w:lang w:val="fr-FR"/>
        </w:rPr>
        <w:t>’</w:t>
      </w:r>
      <w:r w:rsidRPr="00986E32">
        <w:rPr>
          <w:lang w:val="fr-FR"/>
        </w:rPr>
        <w:t>homme, telles que la Commission nationale des droits de l</w:t>
      </w:r>
      <w:r w:rsidR="00795C5F">
        <w:rPr>
          <w:lang w:val="fr-FR"/>
        </w:rPr>
        <w:t>’</w:t>
      </w:r>
      <w:r w:rsidRPr="00986E32">
        <w:rPr>
          <w:lang w:val="fr-FR"/>
        </w:rPr>
        <w:t>homme, la Commission de l</w:t>
      </w:r>
      <w:r w:rsidR="00795C5F">
        <w:rPr>
          <w:lang w:val="fr-FR"/>
        </w:rPr>
        <w:t>’</w:t>
      </w:r>
      <w:r w:rsidRPr="00986E32">
        <w:rPr>
          <w:lang w:val="fr-FR"/>
        </w:rPr>
        <w:t>égalité des chances, l</w:t>
      </w:r>
      <w:r w:rsidR="00795C5F">
        <w:rPr>
          <w:lang w:val="fr-FR"/>
        </w:rPr>
        <w:t>’</w:t>
      </w:r>
      <w:r w:rsidRPr="00986E32">
        <w:rPr>
          <w:lang w:val="fr-FR"/>
        </w:rPr>
        <w:t>Office de la protection du citoyen et la Médiatrice pour les enfants, ont été consultés lors de son élaboration. Les points de vue d</w:t>
      </w:r>
      <w:r w:rsidR="00795C5F">
        <w:rPr>
          <w:lang w:val="fr-FR"/>
        </w:rPr>
        <w:t>’</w:t>
      </w:r>
      <w:r w:rsidRPr="00986E32">
        <w:rPr>
          <w:lang w:val="fr-FR"/>
        </w:rPr>
        <w:t>organisations non gouvernementales et de la société civile ont également été pris en considération.</w:t>
      </w:r>
    </w:p>
    <w:p w14:paraId="1EB05A08" w14:textId="701C8204" w:rsidR="00986E32" w:rsidRPr="00986E32" w:rsidRDefault="00986E32" w:rsidP="00986E32">
      <w:pPr>
        <w:pStyle w:val="SingleTxt"/>
        <w:numPr>
          <w:ilvl w:val="0"/>
          <w:numId w:val="17"/>
        </w:numPr>
        <w:spacing w:line="240" w:lineRule="exact"/>
        <w:ind w:left="1267"/>
        <w:rPr>
          <w:lang w:val="fr-FR"/>
        </w:rPr>
      </w:pPr>
      <w:r w:rsidRPr="00986E32">
        <w:rPr>
          <w:lang w:val="fr-FR"/>
        </w:rPr>
        <w:t>Le présent rapport contient des informations sur les mesures législatives, administratives et autres adoptées par la République de Maurice en application des dispositions de la Convention. Il passe en revue les progrès accomplis à Maurice au cours de la période considérée pour promouvoir la condition de la femme ainsi que les obstacles qui demeurent dans ce domaine.</w:t>
      </w:r>
    </w:p>
    <w:p w14:paraId="04F1DCBB" w14:textId="77777777" w:rsidR="00986E32" w:rsidRPr="00986E32" w:rsidRDefault="00986E32" w:rsidP="00986E32">
      <w:pPr>
        <w:pStyle w:val="SingleTxt"/>
        <w:spacing w:after="0" w:line="120" w:lineRule="exact"/>
        <w:rPr>
          <w:sz w:val="10"/>
          <w:lang w:val="fr-FR"/>
        </w:rPr>
      </w:pPr>
    </w:p>
    <w:p w14:paraId="6E7AA44B" w14:textId="4DAD97FF" w:rsidR="00986E32" w:rsidRDefault="00986E32" w:rsidP="00986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6E32">
        <w:rPr>
          <w:lang w:val="fr-FR"/>
        </w:rPr>
        <w:tab/>
      </w:r>
      <w:r w:rsidRPr="00986E32">
        <w:rPr>
          <w:lang w:val="fr-FR"/>
        </w:rPr>
        <w:tab/>
        <w:t>Généralités</w:t>
      </w:r>
    </w:p>
    <w:p w14:paraId="17ACF5F8" w14:textId="6164E6E3" w:rsidR="00986E32" w:rsidRPr="00986E32" w:rsidRDefault="00986E32" w:rsidP="00986E32">
      <w:pPr>
        <w:pStyle w:val="SingleTxt"/>
        <w:spacing w:after="0" w:line="120" w:lineRule="exact"/>
        <w:rPr>
          <w:sz w:val="10"/>
          <w:lang w:val="fr-FR"/>
        </w:rPr>
      </w:pPr>
    </w:p>
    <w:p w14:paraId="71FDC4B5" w14:textId="10B07F20" w:rsidR="00986E32" w:rsidRPr="00986E32" w:rsidRDefault="00986E32" w:rsidP="00986E32">
      <w:pPr>
        <w:pStyle w:val="SingleTxt"/>
        <w:numPr>
          <w:ilvl w:val="0"/>
          <w:numId w:val="17"/>
        </w:numPr>
        <w:spacing w:line="240" w:lineRule="exact"/>
        <w:ind w:left="1267"/>
        <w:rPr>
          <w:lang w:val="fr-FR"/>
        </w:rPr>
      </w:pPr>
      <w:r w:rsidRPr="00986E32">
        <w:rPr>
          <w:lang w:val="fr-FR"/>
        </w:rPr>
        <w:t>Le Gouvernement de la République de Maurice est pleinement déterminé à assurer la justice sociale et l</w:t>
      </w:r>
      <w:r w:rsidR="00795C5F">
        <w:rPr>
          <w:lang w:val="fr-FR"/>
        </w:rPr>
        <w:t>’</w:t>
      </w:r>
      <w:r w:rsidRPr="00986E32">
        <w:rPr>
          <w:lang w:val="fr-FR"/>
        </w:rPr>
        <w:t>équité et l</w:t>
      </w:r>
      <w:r w:rsidR="00795C5F">
        <w:rPr>
          <w:lang w:val="fr-FR"/>
        </w:rPr>
        <w:t>’</w:t>
      </w:r>
      <w:r w:rsidRPr="00986E32">
        <w:rPr>
          <w:lang w:val="fr-FR"/>
        </w:rPr>
        <w:t xml:space="preserve">égalité entre les femmes et les hommes. En 2008, il a adopté le </w:t>
      </w:r>
      <w:r w:rsidR="00C64AB1">
        <w:rPr>
          <w:lang w:val="fr-FR"/>
        </w:rPr>
        <w:t>C</w:t>
      </w:r>
      <w:r w:rsidRPr="00986E32">
        <w:rPr>
          <w:lang w:val="fr-FR"/>
        </w:rPr>
        <w:t>adre national sur la parité des sexes, qui a pour objectif de renforcer la responsabilité et la cohérence au sein des administrations et des acteurs non étatiques afin de parvenir à l</w:t>
      </w:r>
      <w:r w:rsidR="00795C5F">
        <w:rPr>
          <w:lang w:val="fr-FR"/>
        </w:rPr>
        <w:t>’</w:t>
      </w:r>
      <w:r w:rsidRPr="00986E32">
        <w:rPr>
          <w:lang w:val="fr-FR"/>
        </w:rPr>
        <w:t>égalité des sexes et de garantir l</w:t>
      </w:r>
      <w:r w:rsidR="00795C5F">
        <w:rPr>
          <w:lang w:val="fr-FR"/>
        </w:rPr>
        <w:t>’</w:t>
      </w:r>
      <w:r w:rsidRPr="00986E32">
        <w:rPr>
          <w:lang w:val="fr-FR"/>
        </w:rPr>
        <w:t>autonomisation des femmes, conformément aux obligations conventionnelles sur les droits de l</w:t>
      </w:r>
      <w:r w:rsidR="00795C5F">
        <w:rPr>
          <w:lang w:val="fr-FR"/>
        </w:rPr>
        <w:t>’</w:t>
      </w:r>
      <w:r w:rsidRPr="00986E32">
        <w:rPr>
          <w:lang w:val="fr-FR"/>
        </w:rPr>
        <w:t xml:space="preserve">homme et aux engagements intergouvernementaux. </w:t>
      </w:r>
    </w:p>
    <w:p w14:paraId="2F705083" w14:textId="3CA061D5" w:rsidR="00986E32" w:rsidRPr="00986E32" w:rsidRDefault="00986E32" w:rsidP="00986E32">
      <w:pPr>
        <w:pStyle w:val="SingleTxt"/>
        <w:numPr>
          <w:ilvl w:val="0"/>
          <w:numId w:val="19"/>
        </w:numPr>
        <w:spacing w:line="240" w:lineRule="exact"/>
        <w:ind w:left="1267"/>
        <w:rPr>
          <w:lang w:val="fr-FR"/>
        </w:rPr>
      </w:pPr>
      <w:r w:rsidRPr="00986E32">
        <w:rPr>
          <w:lang w:val="fr-FR"/>
        </w:rPr>
        <w:t>À la fin de 2017, la République de Maurice comptait 1</w:t>
      </w:r>
      <w:r w:rsidR="00592B48">
        <w:rPr>
          <w:lang w:val="fr-FR"/>
        </w:rPr>
        <w:t> </w:t>
      </w:r>
      <w:r w:rsidRPr="00986E32">
        <w:rPr>
          <w:lang w:val="fr-FR"/>
        </w:rPr>
        <w:t>265</w:t>
      </w:r>
      <w:r w:rsidR="00592B48">
        <w:rPr>
          <w:lang w:val="fr-FR"/>
        </w:rPr>
        <w:t> </w:t>
      </w:r>
      <w:r w:rsidRPr="00986E32">
        <w:rPr>
          <w:lang w:val="fr-FR"/>
        </w:rPr>
        <w:t>309 habitants, dont 626 088 hommes et 639</w:t>
      </w:r>
      <w:r w:rsidR="00592B48">
        <w:rPr>
          <w:lang w:val="fr-FR"/>
        </w:rPr>
        <w:t> </w:t>
      </w:r>
      <w:r w:rsidRPr="00986E32">
        <w:rPr>
          <w:lang w:val="fr-FR"/>
        </w:rPr>
        <w:t>221 femmes (Statistics Mauritius). Les femmes représentaient 50,5</w:t>
      </w:r>
      <w:r w:rsidR="00795C5F">
        <w:rPr>
          <w:lang w:val="fr-FR"/>
        </w:rPr>
        <w:t> %</w:t>
      </w:r>
      <w:r w:rsidRPr="00986E32">
        <w:rPr>
          <w:lang w:val="fr-FR"/>
        </w:rPr>
        <w:t xml:space="preserve"> de la population totale et 37,7</w:t>
      </w:r>
      <w:r w:rsidR="00795C5F">
        <w:rPr>
          <w:lang w:val="fr-FR"/>
        </w:rPr>
        <w:t> %</w:t>
      </w:r>
      <w:r w:rsidRPr="00986E32">
        <w:rPr>
          <w:lang w:val="fr-FR"/>
        </w:rPr>
        <w:t xml:space="preserve"> de la population active (</w:t>
      </w:r>
      <w:r w:rsidR="00146711" w:rsidRPr="00986E32">
        <w:rPr>
          <w:lang w:val="fr-FR"/>
        </w:rPr>
        <w:t>sur</w:t>
      </w:r>
      <w:r w:rsidR="00146711">
        <w:rPr>
          <w:lang w:val="fr-FR"/>
        </w:rPr>
        <w:t> </w:t>
      </w:r>
      <w:r w:rsidRPr="00986E32">
        <w:rPr>
          <w:lang w:val="fr-FR"/>
        </w:rPr>
        <w:t>545 100 personnes actives recensées fin 2017). On trouvera des statistiques plus détaillées dans l</w:t>
      </w:r>
      <w:r w:rsidR="00795C5F">
        <w:rPr>
          <w:lang w:val="fr-FR"/>
        </w:rPr>
        <w:t>’</w:t>
      </w:r>
      <w:r w:rsidRPr="00986E32">
        <w:rPr>
          <w:lang w:val="fr-FR"/>
        </w:rPr>
        <w:t>annexe.</w:t>
      </w:r>
    </w:p>
    <w:p w14:paraId="02CD75B4" w14:textId="6FD5FB06" w:rsidR="00986E32" w:rsidRPr="00986E32" w:rsidRDefault="00986E32" w:rsidP="00986E32">
      <w:pPr>
        <w:pStyle w:val="SingleTxt"/>
        <w:numPr>
          <w:ilvl w:val="0"/>
          <w:numId w:val="19"/>
        </w:numPr>
        <w:spacing w:line="240" w:lineRule="exact"/>
        <w:ind w:left="1267"/>
        <w:rPr>
          <w:lang w:val="fr-FR"/>
        </w:rPr>
      </w:pPr>
      <w:r w:rsidRPr="00986E32">
        <w:rPr>
          <w:lang w:val="fr-FR"/>
        </w:rPr>
        <w:t>Au cours de la période considérée, la République de Maurice a adopté des mesures administratives, juridiques, organisationnelles et stratégiques pour améliorer la situation des femmes et protéger leurs droits et leurs intérêts, ce qui a permis des progrès importants vers l</w:t>
      </w:r>
      <w:r w:rsidR="00795C5F">
        <w:rPr>
          <w:lang w:val="fr-FR"/>
        </w:rPr>
        <w:t>’</w:t>
      </w:r>
      <w:r w:rsidRPr="00986E32">
        <w:rPr>
          <w:lang w:val="fr-FR"/>
        </w:rPr>
        <w:t xml:space="preserve">égalité des droits et des chances dans le pays. </w:t>
      </w:r>
    </w:p>
    <w:p w14:paraId="1F293224" w14:textId="1219F98D" w:rsidR="00986E32" w:rsidRPr="00986E32" w:rsidRDefault="00986E32" w:rsidP="00986E32">
      <w:pPr>
        <w:pStyle w:val="SingleTxt"/>
        <w:numPr>
          <w:ilvl w:val="0"/>
          <w:numId w:val="19"/>
        </w:numPr>
        <w:spacing w:line="240" w:lineRule="exact"/>
        <w:ind w:left="1267"/>
        <w:rPr>
          <w:lang w:val="fr-FR"/>
        </w:rPr>
      </w:pPr>
      <w:r w:rsidRPr="00986E32">
        <w:rPr>
          <w:lang w:val="fr-FR"/>
        </w:rPr>
        <w:t>Les statistiques sur les femmes et les enfants victimes de violences sont conservées à des niveaux différents et distincts par le Ministère de l</w:t>
      </w:r>
      <w:r w:rsidR="00795C5F">
        <w:rPr>
          <w:lang w:val="fr-FR"/>
        </w:rPr>
        <w:t>’</w:t>
      </w:r>
      <w:r w:rsidRPr="00986E32">
        <w:rPr>
          <w:lang w:val="fr-FR"/>
        </w:rPr>
        <w:t>égalité des genres, du développement de l</w:t>
      </w:r>
      <w:r w:rsidR="00795C5F">
        <w:rPr>
          <w:lang w:val="fr-FR"/>
        </w:rPr>
        <w:t>’</w:t>
      </w:r>
      <w:r w:rsidRPr="00986E32">
        <w:rPr>
          <w:lang w:val="fr-FR"/>
        </w:rPr>
        <w:t>enfant et du bien-être de la famille, le Bureau des archives de la police et le Ministère de la santé et de la qualité de la vie ainsi que par des organisations non gouvernementales. Le Ministère de l</w:t>
      </w:r>
      <w:r w:rsidR="00795C5F">
        <w:rPr>
          <w:lang w:val="fr-FR"/>
        </w:rPr>
        <w:t>’</w:t>
      </w:r>
      <w:r w:rsidRPr="00986E32">
        <w:rPr>
          <w:lang w:val="fr-FR"/>
        </w:rPr>
        <w:t>égalité des genres, du développement de l</w:t>
      </w:r>
      <w:r w:rsidR="00795C5F">
        <w:rPr>
          <w:lang w:val="fr-FR"/>
        </w:rPr>
        <w:t>’</w:t>
      </w:r>
      <w:r w:rsidRPr="00986E32">
        <w:rPr>
          <w:lang w:val="fr-FR"/>
        </w:rPr>
        <w:t>enfant et du bien-être de la famille œuvre à l</w:t>
      </w:r>
      <w:r w:rsidR="00795C5F">
        <w:rPr>
          <w:lang w:val="fr-FR"/>
        </w:rPr>
        <w:t>’</w:t>
      </w:r>
      <w:r w:rsidRPr="00986E32">
        <w:rPr>
          <w:lang w:val="fr-FR"/>
        </w:rPr>
        <w:t>élaboration d</w:t>
      </w:r>
      <w:r w:rsidR="00795C5F">
        <w:rPr>
          <w:lang w:val="fr-FR"/>
        </w:rPr>
        <w:t>’</w:t>
      </w:r>
      <w:r w:rsidRPr="00986E32">
        <w:rPr>
          <w:lang w:val="fr-FR"/>
        </w:rPr>
        <w:t>un système global permettant d</w:t>
      </w:r>
      <w:r w:rsidR="00795C5F">
        <w:rPr>
          <w:lang w:val="fr-FR"/>
        </w:rPr>
        <w:t>’</w:t>
      </w:r>
      <w:r w:rsidRPr="00986E32">
        <w:rPr>
          <w:lang w:val="fr-FR"/>
        </w:rPr>
        <w:t xml:space="preserve">obtenir des statistiques réalistes et à jour des cas de </w:t>
      </w:r>
      <w:r w:rsidRPr="00986E32">
        <w:rPr>
          <w:lang w:val="fr-FR"/>
        </w:rPr>
        <w:lastRenderedPageBreak/>
        <w:t>violence sexiste et de violence contre des enfants, à même d</w:t>
      </w:r>
      <w:r w:rsidR="00795C5F">
        <w:rPr>
          <w:lang w:val="fr-FR"/>
        </w:rPr>
        <w:t>’</w:t>
      </w:r>
      <w:r w:rsidRPr="00986E32">
        <w:rPr>
          <w:lang w:val="fr-FR"/>
        </w:rPr>
        <w:t>orienter la prise de décisions. Les services d</w:t>
      </w:r>
      <w:r w:rsidR="00795C5F">
        <w:rPr>
          <w:lang w:val="fr-FR"/>
        </w:rPr>
        <w:t>’</w:t>
      </w:r>
      <w:r w:rsidRPr="00986E32">
        <w:rPr>
          <w:lang w:val="fr-FR"/>
        </w:rPr>
        <w:t>un consultant ont donc été sollicités pour</w:t>
      </w:r>
      <w:r w:rsidR="00795C5F">
        <w:rPr>
          <w:lang w:val="fr-FR"/>
        </w:rPr>
        <w:t> :</w:t>
      </w:r>
    </w:p>
    <w:p w14:paraId="0A7547F4" w14:textId="26C9E233" w:rsidR="00986E32" w:rsidRPr="00986E32" w:rsidRDefault="00986E32" w:rsidP="00986E32">
      <w:pPr>
        <w:pStyle w:val="SingleTxt"/>
        <w:tabs>
          <w:tab w:val="right" w:pos="1685"/>
        </w:tabs>
        <w:ind w:left="1742" w:hanging="475"/>
        <w:rPr>
          <w:lang w:val="fr-FR"/>
        </w:rPr>
      </w:pPr>
      <w:r>
        <w:rPr>
          <w:lang w:val="fr-FR"/>
        </w:rPr>
        <w:tab/>
      </w:r>
      <w:r w:rsidRPr="00986E32">
        <w:rPr>
          <w:lang w:val="fr-FR"/>
        </w:rPr>
        <w:t>•</w:t>
      </w:r>
      <w:r w:rsidRPr="00986E32">
        <w:rPr>
          <w:lang w:val="fr-FR"/>
        </w:rPr>
        <w:tab/>
        <w:t>Développer les capacités statistiques nécessaires</w:t>
      </w:r>
      <w:r w:rsidR="006E1537">
        <w:rPr>
          <w:lang w:val="fr-FR"/>
        </w:rPr>
        <w:t xml:space="preserve"> </w:t>
      </w:r>
      <w:r w:rsidRPr="00986E32">
        <w:rPr>
          <w:lang w:val="fr-FR"/>
        </w:rPr>
        <w:t>à l</w:t>
      </w:r>
      <w:r w:rsidR="00795C5F">
        <w:rPr>
          <w:lang w:val="fr-FR"/>
        </w:rPr>
        <w:t>’</w:t>
      </w:r>
      <w:r w:rsidRPr="00986E32">
        <w:rPr>
          <w:lang w:val="fr-FR"/>
        </w:rPr>
        <w:t>analyse des disparités entre les sexes</w:t>
      </w:r>
      <w:r w:rsidR="00795C5F">
        <w:rPr>
          <w:lang w:val="fr-FR"/>
        </w:rPr>
        <w:t> ;</w:t>
      </w:r>
    </w:p>
    <w:p w14:paraId="505620F3" w14:textId="7B8FCC4A" w:rsidR="00986E32" w:rsidRPr="00986E32" w:rsidRDefault="00986E32" w:rsidP="00986E32">
      <w:pPr>
        <w:pStyle w:val="SingleTxt"/>
        <w:tabs>
          <w:tab w:val="right" w:pos="1685"/>
        </w:tabs>
        <w:ind w:left="1742" w:hanging="475"/>
        <w:rPr>
          <w:lang w:val="fr-FR"/>
        </w:rPr>
      </w:pPr>
      <w:r>
        <w:rPr>
          <w:lang w:val="fr-FR"/>
        </w:rPr>
        <w:tab/>
      </w:r>
      <w:r w:rsidRPr="00986E32">
        <w:rPr>
          <w:lang w:val="fr-FR"/>
        </w:rPr>
        <w:t>•</w:t>
      </w:r>
      <w:r w:rsidRPr="00986E32">
        <w:rPr>
          <w:lang w:val="fr-FR"/>
        </w:rPr>
        <w:tab/>
        <w:t>Renforcer les capacités nationales en matière de collecte, d</w:t>
      </w:r>
      <w:r w:rsidR="00795C5F">
        <w:rPr>
          <w:lang w:val="fr-FR"/>
        </w:rPr>
        <w:t>’</w:t>
      </w:r>
      <w:r w:rsidRPr="00986E32">
        <w:rPr>
          <w:lang w:val="fr-FR"/>
        </w:rPr>
        <w:t>analyse et de diffusion des statistiques sur les enfants afin d</w:t>
      </w:r>
      <w:r w:rsidR="00795C5F">
        <w:rPr>
          <w:lang w:val="fr-FR"/>
        </w:rPr>
        <w:t>’</w:t>
      </w:r>
      <w:r w:rsidRPr="00986E32">
        <w:rPr>
          <w:lang w:val="fr-FR"/>
        </w:rPr>
        <w:t>améliorer sensiblement la compréhension des facteurs institutionnels et d</w:t>
      </w:r>
      <w:r w:rsidR="00795C5F">
        <w:rPr>
          <w:lang w:val="fr-FR"/>
        </w:rPr>
        <w:t>’</w:t>
      </w:r>
      <w:r w:rsidRPr="00986E32">
        <w:rPr>
          <w:lang w:val="fr-FR"/>
        </w:rPr>
        <w:t>encourager la production systémique de statistiques officielles ventilées par sexe et de statistiques officielles sur les enfants ainsi que des indicateurs correspondants au niveau national, y compris pour l</w:t>
      </w:r>
      <w:r w:rsidR="00795C5F">
        <w:rPr>
          <w:lang w:val="fr-FR"/>
        </w:rPr>
        <w:t>’</w:t>
      </w:r>
      <w:r w:rsidRPr="00986E32">
        <w:rPr>
          <w:lang w:val="fr-FR"/>
        </w:rPr>
        <w:t>île Rodrigues.</w:t>
      </w:r>
    </w:p>
    <w:p w14:paraId="74FF9DA4" w14:textId="77777777" w:rsidR="00986E32" w:rsidRPr="00986E32" w:rsidRDefault="00986E32" w:rsidP="00986E32">
      <w:pPr>
        <w:pStyle w:val="SingleTxt"/>
        <w:spacing w:after="0" w:line="120" w:lineRule="exact"/>
        <w:rPr>
          <w:sz w:val="10"/>
          <w:lang w:val="fr-FR"/>
        </w:rPr>
      </w:pPr>
    </w:p>
    <w:p w14:paraId="133AE4CB" w14:textId="0D4F82B5" w:rsidR="00986E32" w:rsidRDefault="00986E32" w:rsidP="00986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6E32">
        <w:rPr>
          <w:lang w:val="fr-FR"/>
        </w:rPr>
        <w:tab/>
      </w:r>
      <w:r w:rsidRPr="00986E32">
        <w:rPr>
          <w:lang w:val="fr-FR"/>
        </w:rPr>
        <w:tab/>
        <w:t>Cadre constitutionnel, législatif et institutionnel</w:t>
      </w:r>
    </w:p>
    <w:p w14:paraId="3E562369" w14:textId="09993BD4" w:rsidR="00986E32" w:rsidRPr="00986E32" w:rsidRDefault="00986E32" w:rsidP="00986E32">
      <w:pPr>
        <w:pStyle w:val="SingleTxt"/>
        <w:spacing w:after="0" w:line="120" w:lineRule="exact"/>
        <w:rPr>
          <w:sz w:val="10"/>
          <w:lang w:val="fr-FR"/>
        </w:rPr>
      </w:pPr>
    </w:p>
    <w:p w14:paraId="55680368" w14:textId="569D33AF" w:rsidR="00986E32" w:rsidRPr="00986E32" w:rsidRDefault="00986E32" w:rsidP="00986E32">
      <w:pPr>
        <w:pStyle w:val="SingleTxt"/>
        <w:numPr>
          <w:ilvl w:val="0"/>
          <w:numId w:val="19"/>
        </w:numPr>
        <w:spacing w:line="240" w:lineRule="exact"/>
        <w:ind w:left="1267"/>
        <w:rPr>
          <w:lang w:val="fr-FR"/>
        </w:rPr>
      </w:pPr>
      <w:r w:rsidRPr="00986E32">
        <w:rPr>
          <w:lang w:val="fr-FR"/>
        </w:rPr>
        <w:t xml:space="preserve">La plupart des principes de la Convention figurent déjà </w:t>
      </w:r>
      <w:r w:rsidR="00C64AB1">
        <w:rPr>
          <w:lang w:val="fr-FR"/>
        </w:rPr>
        <w:t xml:space="preserve">dans </w:t>
      </w:r>
      <w:r w:rsidRPr="00986E32">
        <w:rPr>
          <w:lang w:val="fr-FR"/>
        </w:rPr>
        <w:t>plusieurs législations internes existantes. De plus, la Constitution, qui constitue la loi suprême de l</w:t>
      </w:r>
      <w:r w:rsidR="00795C5F">
        <w:rPr>
          <w:lang w:val="fr-FR"/>
        </w:rPr>
        <w:t>’</w:t>
      </w:r>
      <w:r w:rsidRPr="00986E32">
        <w:rPr>
          <w:lang w:val="fr-FR"/>
        </w:rPr>
        <w:t>État, interdit la discrimination fondée notamment sur le sexe.</w:t>
      </w:r>
    </w:p>
    <w:p w14:paraId="12578773" w14:textId="5F9DC80C" w:rsidR="00986E32" w:rsidRPr="00986E32" w:rsidRDefault="00986E32" w:rsidP="00986E32">
      <w:pPr>
        <w:pStyle w:val="SingleTxt"/>
        <w:numPr>
          <w:ilvl w:val="0"/>
          <w:numId w:val="19"/>
        </w:numPr>
        <w:spacing w:line="240" w:lineRule="exact"/>
        <w:ind w:left="1267"/>
        <w:rPr>
          <w:lang w:val="fr-FR"/>
        </w:rPr>
      </w:pPr>
      <w:r w:rsidRPr="00986E32">
        <w:rPr>
          <w:lang w:val="fr-FR"/>
        </w:rPr>
        <w:t>Les fonctions de la Commissions nationale des droits de l</w:t>
      </w:r>
      <w:r w:rsidR="00795C5F">
        <w:rPr>
          <w:lang w:val="fr-FR"/>
        </w:rPr>
        <w:t>’</w:t>
      </w:r>
      <w:r w:rsidRPr="00986E32">
        <w:rPr>
          <w:lang w:val="fr-FR"/>
        </w:rPr>
        <w:t>homme sont définies dans la loi sur la protection des droits de l</w:t>
      </w:r>
      <w:r w:rsidR="00795C5F">
        <w:rPr>
          <w:lang w:val="fr-FR"/>
        </w:rPr>
        <w:t>’</w:t>
      </w:r>
      <w:r w:rsidRPr="00986E32">
        <w:rPr>
          <w:lang w:val="fr-FR"/>
        </w:rPr>
        <w:t>homme, modifiée en 2012, pour, entre autres, se conformer aux obligations de Maurice au titre du Protocole facultatif se rapportant à la Convention contre la torture et autres peines ou traitements cruels, inhumains ou dégradants, créer un mécanisme national de prévention au sein de la Commission nationale des droits de l</w:t>
      </w:r>
      <w:r w:rsidR="00795C5F">
        <w:rPr>
          <w:lang w:val="fr-FR"/>
        </w:rPr>
        <w:t>’</w:t>
      </w:r>
      <w:r w:rsidRPr="00986E32">
        <w:rPr>
          <w:lang w:val="fr-FR"/>
        </w:rPr>
        <w:t>homme et permettre au Sous-Comité pour la prévention de la torture et autres peines ou traitements cruels, inhumains ou dégradants de s</w:t>
      </w:r>
      <w:r w:rsidR="00795C5F">
        <w:rPr>
          <w:lang w:val="fr-FR"/>
        </w:rPr>
        <w:t>’</w:t>
      </w:r>
      <w:r w:rsidRPr="00986E32">
        <w:rPr>
          <w:lang w:val="fr-FR"/>
        </w:rPr>
        <w:t>acquitter à Maurice de ses fonctions au titre du Protocole facultatif. Cependant, la récente entrée en vigueur de la loi sur la Commission indépendante pour les plaintes relatives à la police a entraîné l</w:t>
      </w:r>
      <w:r w:rsidR="00795C5F">
        <w:rPr>
          <w:lang w:val="fr-FR"/>
        </w:rPr>
        <w:t>’</w:t>
      </w:r>
      <w:r w:rsidRPr="00986E32">
        <w:rPr>
          <w:lang w:val="fr-FR"/>
        </w:rPr>
        <w:t>abrogation de la loi sur la Commission des plaintes relatives à la police, qui prévoyait la mise en place d</w:t>
      </w:r>
      <w:r w:rsidR="00795C5F">
        <w:rPr>
          <w:lang w:val="fr-FR"/>
        </w:rPr>
        <w:t>’</w:t>
      </w:r>
      <w:r w:rsidRPr="00986E32">
        <w:rPr>
          <w:lang w:val="fr-FR"/>
        </w:rPr>
        <w:t>une Division dédiée à ces plaintes au sein de la Commission nationale des droits de l</w:t>
      </w:r>
      <w:r w:rsidR="00795C5F">
        <w:rPr>
          <w:lang w:val="fr-FR"/>
        </w:rPr>
        <w:t>’</w:t>
      </w:r>
      <w:r w:rsidRPr="00986E32">
        <w:rPr>
          <w:lang w:val="fr-FR"/>
        </w:rPr>
        <w:t xml:space="preserve">homme. </w:t>
      </w:r>
    </w:p>
    <w:p w14:paraId="42F3F203" w14:textId="5E5F4F33" w:rsidR="00986E32" w:rsidRPr="00986E32" w:rsidRDefault="00986E32" w:rsidP="00986E32">
      <w:pPr>
        <w:pStyle w:val="SingleTxt"/>
        <w:numPr>
          <w:ilvl w:val="0"/>
          <w:numId w:val="19"/>
        </w:numPr>
        <w:spacing w:line="240" w:lineRule="exact"/>
        <w:ind w:left="1267"/>
        <w:rPr>
          <w:lang w:val="fr-FR"/>
        </w:rPr>
      </w:pPr>
      <w:r w:rsidRPr="00986E32">
        <w:rPr>
          <w:lang w:val="fr-FR"/>
        </w:rPr>
        <w:t>Dans le même temps, la loi sur la protection des droits de l</w:t>
      </w:r>
      <w:r w:rsidR="00795C5F">
        <w:rPr>
          <w:lang w:val="fr-FR"/>
        </w:rPr>
        <w:t>’</w:t>
      </w:r>
      <w:r w:rsidRPr="00986E32">
        <w:rPr>
          <w:lang w:val="fr-FR"/>
        </w:rPr>
        <w:t>homme, telle que modifiée,</w:t>
      </w:r>
      <w:r w:rsidR="006E1537">
        <w:rPr>
          <w:lang w:val="fr-FR"/>
        </w:rPr>
        <w:t xml:space="preserve"> </w:t>
      </w:r>
      <w:r w:rsidRPr="00986E32">
        <w:rPr>
          <w:lang w:val="fr-FR"/>
        </w:rPr>
        <w:t>prévoit la création au sein de la Commission des droits de l</w:t>
      </w:r>
      <w:r w:rsidR="00795C5F">
        <w:rPr>
          <w:lang w:val="fr-FR"/>
        </w:rPr>
        <w:t>’</w:t>
      </w:r>
      <w:r w:rsidRPr="00986E32">
        <w:rPr>
          <w:lang w:val="fr-FR"/>
        </w:rPr>
        <w:t>homme, d</w:t>
      </w:r>
      <w:r w:rsidR="00795C5F">
        <w:rPr>
          <w:lang w:val="fr-FR"/>
        </w:rPr>
        <w:t>’</w:t>
      </w:r>
      <w:r w:rsidRPr="00986E32">
        <w:rPr>
          <w:lang w:val="fr-FR"/>
        </w:rPr>
        <w:t>une division pour les plaintes relatives à la police, qui aurait pour mission d</w:t>
      </w:r>
      <w:r w:rsidR="00795C5F">
        <w:rPr>
          <w:lang w:val="fr-FR"/>
        </w:rPr>
        <w:t>’</w:t>
      </w:r>
      <w:r w:rsidRPr="00986E32">
        <w:rPr>
          <w:lang w:val="fr-FR"/>
        </w:rPr>
        <w:t>enquêter sur les plaintes déposées contre des membres des forces de police, à l</w:t>
      </w:r>
      <w:r w:rsidR="00795C5F">
        <w:rPr>
          <w:lang w:val="fr-FR"/>
        </w:rPr>
        <w:t>’</w:t>
      </w:r>
      <w:r w:rsidRPr="00986E32">
        <w:rPr>
          <w:lang w:val="fr-FR"/>
        </w:rPr>
        <w:t>exception des allégations de corruption et de blanchiment d</w:t>
      </w:r>
      <w:r w:rsidR="00795C5F">
        <w:rPr>
          <w:lang w:val="fr-FR"/>
        </w:rPr>
        <w:t>’</w:t>
      </w:r>
      <w:r w:rsidRPr="00986E32">
        <w:rPr>
          <w:lang w:val="fr-FR"/>
        </w:rPr>
        <w:t>argent. Cette division aurait également autorité pour enquêter sur tout décès survenu lors d</w:t>
      </w:r>
      <w:r w:rsidR="00795C5F">
        <w:rPr>
          <w:lang w:val="fr-FR"/>
        </w:rPr>
        <w:t>’</w:t>
      </w:r>
      <w:r w:rsidRPr="00986E32">
        <w:rPr>
          <w:lang w:val="fr-FR"/>
        </w:rPr>
        <w:t>une garde à vue ou suite à une intervention policière et à donner des conseils sur la manière de traiter et d</w:t>
      </w:r>
      <w:r w:rsidR="00795C5F">
        <w:rPr>
          <w:lang w:val="fr-FR"/>
        </w:rPr>
        <w:t>’</w:t>
      </w:r>
      <w:r w:rsidRPr="00986E32">
        <w:rPr>
          <w:lang w:val="fr-FR"/>
        </w:rPr>
        <w:t>éliminer les pratiques policières préjudiciables. Les fonctions de la Commission et ses mandats ont été élargis pour assurer une meilleure promotion et une meilleure protection des droits de l</w:t>
      </w:r>
      <w:r w:rsidR="00795C5F">
        <w:rPr>
          <w:lang w:val="fr-FR"/>
        </w:rPr>
        <w:t>’</w:t>
      </w:r>
      <w:r w:rsidRPr="00986E32">
        <w:rPr>
          <w:lang w:val="fr-FR"/>
        </w:rPr>
        <w:t>homme. Elle est maintenant habilitée à tirer parti des dispositifs adoptés ou en cours d</w:t>
      </w:r>
      <w:r w:rsidR="00795C5F">
        <w:rPr>
          <w:lang w:val="fr-FR"/>
        </w:rPr>
        <w:t>’</w:t>
      </w:r>
      <w:r w:rsidRPr="00986E32">
        <w:rPr>
          <w:lang w:val="fr-FR"/>
        </w:rPr>
        <w:t>adoption pour protéger les droits de l</w:t>
      </w:r>
      <w:r w:rsidR="00795C5F">
        <w:rPr>
          <w:lang w:val="fr-FR"/>
        </w:rPr>
        <w:t>’</w:t>
      </w:r>
      <w:r w:rsidRPr="00986E32">
        <w:rPr>
          <w:lang w:val="fr-FR"/>
        </w:rPr>
        <w:t>homme. Elle a aussi pour tâche notamment de promouvoir les lois et des pratiques en vigueur sur le plan national et les harmoniser avec les instruments internationaux relatifs aux droits de l</w:t>
      </w:r>
      <w:r w:rsidR="00795C5F">
        <w:rPr>
          <w:lang w:val="fr-FR"/>
        </w:rPr>
        <w:t>’</w:t>
      </w:r>
      <w:r w:rsidRPr="00986E32">
        <w:rPr>
          <w:lang w:val="fr-FR"/>
        </w:rPr>
        <w:t>homme, auxquels la République de Maurice est partie, et de veiller à leur mise en œuvre effective. Elle est en outre habilitée à engager les personnes ou entités appropriées pour permettre à ses différentes entités de s</w:t>
      </w:r>
      <w:r w:rsidR="00795C5F">
        <w:rPr>
          <w:lang w:val="fr-FR"/>
        </w:rPr>
        <w:t>’</w:t>
      </w:r>
      <w:r w:rsidRPr="00986E32">
        <w:rPr>
          <w:lang w:val="fr-FR"/>
        </w:rPr>
        <w:t xml:space="preserve">acquitter de leurs fonctions respectives de manière indépendante. </w:t>
      </w:r>
    </w:p>
    <w:p w14:paraId="23982F83" w14:textId="5A8845CF" w:rsidR="00986E32" w:rsidRPr="00986E32" w:rsidRDefault="00986E32" w:rsidP="00986E32">
      <w:pPr>
        <w:pStyle w:val="SingleTxt"/>
        <w:numPr>
          <w:ilvl w:val="0"/>
          <w:numId w:val="19"/>
        </w:numPr>
        <w:spacing w:line="240" w:lineRule="exact"/>
        <w:ind w:left="1267"/>
        <w:rPr>
          <w:lang w:val="fr-FR"/>
        </w:rPr>
      </w:pPr>
      <w:r w:rsidRPr="00986E32">
        <w:rPr>
          <w:lang w:val="fr-FR"/>
        </w:rPr>
        <w:t>Le Plan d</w:t>
      </w:r>
      <w:r w:rsidR="00795C5F">
        <w:rPr>
          <w:lang w:val="fr-FR"/>
        </w:rPr>
        <w:t>’</w:t>
      </w:r>
      <w:r w:rsidRPr="00986E32">
        <w:rPr>
          <w:lang w:val="fr-FR"/>
        </w:rPr>
        <w:t>action national en faveur des droits de l</w:t>
      </w:r>
      <w:r w:rsidR="00795C5F">
        <w:rPr>
          <w:lang w:val="fr-FR"/>
        </w:rPr>
        <w:t>’</w:t>
      </w:r>
      <w:r w:rsidRPr="00986E32">
        <w:rPr>
          <w:lang w:val="fr-FR"/>
        </w:rPr>
        <w:t>homme 2012-2020 a pour objectif de renforcer le cadre national relatif aux droits de l</w:t>
      </w:r>
      <w:r w:rsidR="00795C5F">
        <w:rPr>
          <w:lang w:val="fr-FR"/>
        </w:rPr>
        <w:t>’</w:t>
      </w:r>
      <w:r w:rsidRPr="00986E32">
        <w:rPr>
          <w:lang w:val="fr-FR"/>
        </w:rPr>
        <w:t>homme afin de protéger les droits civils et politiques et d</w:t>
      </w:r>
      <w:r w:rsidR="00795C5F">
        <w:rPr>
          <w:lang w:val="fr-FR"/>
        </w:rPr>
        <w:t>’</w:t>
      </w:r>
      <w:r w:rsidRPr="00986E32">
        <w:rPr>
          <w:lang w:val="fr-FR"/>
        </w:rPr>
        <w:t>assurer un plus grand respect</w:t>
      </w:r>
      <w:r w:rsidR="006E1537">
        <w:rPr>
          <w:lang w:val="fr-FR"/>
        </w:rPr>
        <w:t xml:space="preserve"> </w:t>
      </w:r>
      <w:r w:rsidRPr="00986E32">
        <w:rPr>
          <w:lang w:val="fr-FR"/>
        </w:rPr>
        <w:t>des droits économiques, sociaux et culturels. Il prône, entre autres, les mesures suivantes</w:t>
      </w:r>
      <w:r w:rsidR="00795C5F">
        <w:rPr>
          <w:lang w:val="fr-FR"/>
        </w:rPr>
        <w:t> :</w:t>
      </w:r>
    </w:p>
    <w:p w14:paraId="206386F0" w14:textId="7A0A0656" w:rsidR="00986E32" w:rsidRPr="00986E32" w:rsidRDefault="00986E32" w:rsidP="00986E32">
      <w:pPr>
        <w:pStyle w:val="SingleTxt"/>
        <w:tabs>
          <w:tab w:val="right" w:pos="1685"/>
        </w:tabs>
        <w:ind w:left="1742" w:hanging="475"/>
        <w:rPr>
          <w:lang w:val="fr-FR"/>
        </w:rPr>
      </w:pPr>
      <w:r>
        <w:rPr>
          <w:lang w:val="fr-FR"/>
        </w:rPr>
        <w:tab/>
      </w:r>
      <w:r w:rsidRPr="00986E32">
        <w:rPr>
          <w:lang w:val="fr-FR"/>
        </w:rPr>
        <w:t>•</w:t>
      </w:r>
      <w:r w:rsidRPr="00986E32">
        <w:rPr>
          <w:lang w:val="fr-FR"/>
        </w:rPr>
        <w:tab/>
        <w:t>Le renforcement de la coopération internationale au service des droits de l</w:t>
      </w:r>
      <w:r w:rsidR="00795C5F">
        <w:rPr>
          <w:lang w:val="fr-FR"/>
        </w:rPr>
        <w:t>’</w:t>
      </w:r>
      <w:r w:rsidRPr="00986E32">
        <w:rPr>
          <w:lang w:val="fr-FR"/>
        </w:rPr>
        <w:t>homme grâce à la ratification des instruments relatifs aux droits de l</w:t>
      </w:r>
      <w:r w:rsidR="00795C5F">
        <w:rPr>
          <w:lang w:val="fr-FR"/>
        </w:rPr>
        <w:t>’</w:t>
      </w:r>
      <w:r w:rsidRPr="00986E32">
        <w:rPr>
          <w:lang w:val="fr-FR"/>
        </w:rPr>
        <w:t xml:space="preserve">homme </w:t>
      </w:r>
      <w:r w:rsidRPr="00986E32">
        <w:rPr>
          <w:lang w:val="fr-FR"/>
        </w:rPr>
        <w:lastRenderedPageBreak/>
        <w:t>et à la transposition dans le droit interne des traités relatifs aux droits de l</w:t>
      </w:r>
      <w:r w:rsidR="00795C5F">
        <w:rPr>
          <w:lang w:val="fr-FR"/>
        </w:rPr>
        <w:t>’</w:t>
      </w:r>
      <w:r w:rsidRPr="00986E32">
        <w:rPr>
          <w:lang w:val="fr-FR"/>
        </w:rPr>
        <w:t>homme</w:t>
      </w:r>
      <w:r w:rsidR="00795C5F">
        <w:rPr>
          <w:lang w:val="fr-FR"/>
        </w:rPr>
        <w:t> ;</w:t>
      </w:r>
    </w:p>
    <w:p w14:paraId="253C7091" w14:textId="6DA20C0C" w:rsidR="00986E32" w:rsidRPr="00986E32" w:rsidRDefault="00986E32" w:rsidP="00986E32">
      <w:pPr>
        <w:pStyle w:val="SingleTxt"/>
        <w:tabs>
          <w:tab w:val="right" w:pos="1685"/>
        </w:tabs>
        <w:ind w:left="1742" w:hanging="475"/>
        <w:rPr>
          <w:lang w:val="fr-FR"/>
        </w:rPr>
      </w:pPr>
      <w:r>
        <w:rPr>
          <w:lang w:val="fr-FR"/>
        </w:rPr>
        <w:tab/>
      </w:r>
      <w:r w:rsidRPr="00986E32">
        <w:rPr>
          <w:lang w:val="fr-FR"/>
        </w:rPr>
        <w:t>•</w:t>
      </w:r>
      <w:r w:rsidRPr="00986E32">
        <w:rPr>
          <w:lang w:val="fr-FR"/>
        </w:rPr>
        <w:tab/>
        <w:t>Un plus grand respect des droits économiques, sociaux et culturels</w:t>
      </w:r>
      <w:r w:rsidR="00795C5F">
        <w:rPr>
          <w:lang w:val="fr-FR"/>
        </w:rPr>
        <w:t> ;</w:t>
      </w:r>
    </w:p>
    <w:p w14:paraId="1AB73A2D" w14:textId="4B388133" w:rsidR="00986E32" w:rsidRPr="00986E32" w:rsidRDefault="00986E32" w:rsidP="00986E32">
      <w:pPr>
        <w:pStyle w:val="SingleTxt"/>
        <w:tabs>
          <w:tab w:val="right" w:pos="1685"/>
        </w:tabs>
        <w:ind w:left="1742" w:hanging="475"/>
        <w:rPr>
          <w:lang w:val="fr-FR"/>
        </w:rPr>
      </w:pPr>
      <w:r>
        <w:rPr>
          <w:lang w:val="fr-FR"/>
        </w:rPr>
        <w:tab/>
      </w:r>
      <w:r w:rsidRPr="00986E32">
        <w:rPr>
          <w:lang w:val="fr-FR"/>
        </w:rPr>
        <w:t>•</w:t>
      </w:r>
      <w:r w:rsidRPr="00986E32">
        <w:rPr>
          <w:lang w:val="fr-FR"/>
        </w:rPr>
        <w:tab/>
        <w:t>Le renforcement des droits des femmes pour assurer l</w:t>
      </w:r>
      <w:r w:rsidR="00795C5F">
        <w:rPr>
          <w:lang w:val="fr-FR"/>
        </w:rPr>
        <w:t>’</w:t>
      </w:r>
      <w:r w:rsidRPr="00986E32">
        <w:rPr>
          <w:lang w:val="fr-FR"/>
        </w:rPr>
        <w:t>égalité des chances</w:t>
      </w:r>
      <w:r w:rsidR="00795C5F">
        <w:rPr>
          <w:lang w:val="fr-FR"/>
        </w:rPr>
        <w:t> ;</w:t>
      </w:r>
    </w:p>
    <w:p w14:paraId="023F9F7A" w14:textId="7B30F30E" w:rsidR="00986E32" w:rsidRPr="00986E32" w:rsidRDefault="00986E32" w:rsidP="00986E32">
      <w:pPr>
        <w:pStyle w:val="SingleTxt"/>
        <w:tabs>
          <w:tab w:val="right" w:pos="1685"/>
        </w:tabs>
        <w:ind w:left="1742" w:hanging="475"/>
        <w:rPr>
          <w:lang w:val="fr-FR"/>
        </w:rPr>
      </w:pPr>
      <w:r>
        <w:rPr>
          <w:lang w:val="fr-FR"/>
        </w:rPr>
        <w:tab/>
      </w:r>
      <w:r w:rsidRPr="00986E32">
        <w:rPr>
          <w:lang w:val="fr-FR"/>
        </w:rPr>
        <w:t>•</w:t>
      </w:r>
      <w:r w:rsidRPr="00986E32">
        <w:rPr>
          <w:lang w:val="fr-FR"/>
        </w:rPr>
        <w:tab/>
        <w:t>Une meilleure protection des droits des personnes vulnérables, notamment les enfants, les personnes âgées, les personnes handicapées et les personnes vivant dans la pauvreté, ainsi que la garantie du droit à un développement durable.</w:t>
      </w:r>
    </w:p>
    <w:p w14:paraId="5DD5B79A" w14:textId="79B72D98" w:rsidR="00986E32" w:rsidRPr="00986E32" w:rsidRDefault="00986E32" w:rsidP="00986E32">
      <w:pPr>
        <w:pStyle w:val="SingleTxt"/>
        <w:numPr>
          <w:ilvl w:val="0"/>
          <w:numId w:val="19"/>
        </w:numPr>
        <w:spacing w:line="240" w:lineRule="exact"/>
        <w:ind w:left="1267"/>
        <w:rPr>
          <w:lang w:val="fr-FR"/>
        </w:rPr>
      </w:pPr>
      <w:r w:rsidRPr="00986E32">
        <w:rPr>
          <w:lang w:val="fr-FR"/>
        </w:rPr>
        <w:t>Un Comité de suivi de la situation des droits de l</w:t>
      </w:r>
      <w:r w:rsidR="00795C5F">
        <w:rPr>
          <w:lang w:val="fr-FR"/>
        </w:rPr>
        <w:t>’</w:t>
      </w:r>
      <w:r w:rsidRPr="00986E32">
        <w:rPr>
          <w:lang w:val="fr-FR"/>
        </w:rPr>
        <w:t xml:space="preserve">homme a été mis en place par le </w:t>
      </w:r>
      <w:r w:rsidR="00C64AB1">
        <w:rPr>
          <w:lang w:val="fr-FR"/>
        </w:rPr>
        <w:t>C</w:t>
      </w:r>
      <w:r w:rsidRPr="00986E32">
        <w:rPr>
          <w:lang w:val="fr-FR"/>
        </w:rPr>
        <w:t>abinet du Premier Ministre pour garantir l</w:t>
      </w:r>
      <w:r w:rsidR="00795C5F">
        <w:rPr>
          <w:lang w:val="fr-FR"/>
        </w:rPr>
        <w:t>’</w:t>
      </w:r>
      <w:r w:rsidRPr="00986E32">
        <w:rPr>
          <w:lang w:val="fr-FR"/>
        </w:rPr>
        <w:t>application des recommandations du Plan d</w:t>
      </w:r>
      <w:r w:rsidR="00795C5F">
        <w:rPr>
          <w:lang w:val="fr-FR"/>
        </w:rPr>
        <w:t>’</w:t>
      </w:r>
      <w:r w:rsidRPr="00986E32">
        <w:rPr>
          <w:lang w:val="fr-FR"/>
        </w:rPr>
        <w:t>action national. Il est composé de toutes les parties prenantes en matière de droits de l</w:t>
      </w:r>
      <w:r w:rsidR="00795C5F">
        <w:rPr>
          <w:lang w:val="fr-FR"/>
        </w:rPr>
        <w:t>’</w:t>
      </w:r>
      <w:r w:rsidRPr="00986E32">
        <w:rPr>
          <w:lang w:val="fr-FR"/>
        </w:rPr>
        <w:t>homme, y compris les organisations non gouvernementales, les ministères et départements administratifs, les institutions nationales des droits de l</w:t>
      </w:r>
      <w:r w:rsidR="00795C5F">
        <w:rPr>
          <w:lang w:val="fr-FR"/>
        </w:rPr>
        <w:t>’</w:t>
      </w:r>
      <w:r w:rsidRPr="00986E32">
        <w:rPr>
          <w:lang w:val="fr-FR"/>
        </w:rPr>
        <w:t>homme et le secteur privé. Une base de données sur les processus structurels relatifs aux droits de l</w:t>
      </w:r>
      <w:r w:rsidR="00795C5F">
        <w:rPr>
          <w:lang w:val="fr-FR"/>
        </w:rPr>
        <w:t>’</w:t>
      </w:r>
      <w:r w:rsidRPr="00986E32">
        <w:rPr>
          <w:lang w:val="fr-FR"/>
        </w:rPr>
        <w:t>homme et les indicateurs de résultats est en cours d</w:t>
      </w:r>
      <w:r w:rsidR="00795C5F">
        <w:rPr>
          <w:lang w:val="fr-FR"/>
        </w:rPr>
        <w:t>’</w:t>
      </w:r>
      <w:r w:rsidRPr="00986E32">
        <w:rPr>
          <w:lang w:val="fr-FR"/>
        </w:rPr>
        <w:t>élaboration.</w:t>
      </w:r>
    </w:p>
    <w:p w14:paraId="6AF17632" w14:textId="3E0B75DD" w:rsidR="00986E32" w:rsidRPr="00986E32" w:rsidRDefault="00986E32" w:rsidP="00986E32">
      <w:pPr>
        <w:pStyle w:val="SingleTxt"/>
        <w:numPr>
          <w:ilvl w:val="0"/>
          <w:numId w:val="19"/>
        </w:numPr>
        <w:spacing w:line="240" w:lineRule="exact"/>
        <w:ind w:left="1267"/>
        <w:rPr>
          <w:lang w:val="fr-FR"/>
        </w:rPr>
      </w:pPr>
      <w:r w:rsidRPr="00986E32">
        <w:rPr>
          <w:lang w:val="fr-FR"/>
        </w:rPr>
        <w:t>La loi pour l</w:t>
      </w:r>
      <w:r w:rsidR="00795C5F">
        <w:rPr>
          <w:lang w:val="fr-FR"/>
        </w:rPr>
        <w:t>’</w:t>
      </w:r>
      <w:r w:rsidRPr="00986E32">
        <w:rPr>
          <w:lang w:val="fr-FR"/>
        </w:rPr>
        <w:t>égalité des chances couvre l</w:t>
      </w:r>
      <w:r w:rsidR="00795C5F">
        <w:rPr>
          <w:lang w:val="fr-FR"/>
        </w:rPr>
        <w:t>’</w:t>
      </w:r>
      <w:r w:rsidRPr="00986E32">
        <w:rPr>
          <w:lang w:val="fr-FR"/>
        </w:rPr>
        <w:t>ensemble des motifs de discrimination visés dans les articles 3 et 16 de la Constitution ainsi que l</w:t>
      </w:r>
      <w:r w:rsidR="00795C5F">
        <w:rPr>
          <w:lang w:val="fr-FR"/>
        </w:rPr>
        <w:t>’</w:t>
      </w:r>
      <w:r w:rsidRPr="00986E32">
        <w:rPr>
          <w:lang w:val="fr-FR"/>
        </w:rPr>
        <w:t>âge, la caste, la couleur de peau, les convictions religieuses, l</w:t>
      </w:r>
      <w:r w:rsidR="00795C5F">
        <w:rPr>
          <w:lang w:val="fr-FR"/>
        </w:rPr>
        <w:t>’</w:t>
      </w:r>
      <w:r w:rsidRPr="00986E32">
        <w:rPr>
          <w:lang w:val="fr-FR"/>
        </w:rPr>
        <w:t>origine ethnique, l</w:t>
      </w:r>
      <w:r w:rsidR="00795C5F">
        <w:rPr>
          <w:lang w:val="fr-FR"/>
        </w:rPr>
        <w:t>’</w:t>
      </w:r>
      <w:r w:rsidRPr="00986E32">
        <w:rPr>
          <w:lang w:val="fr-FR"/>
        </w:rPr>
        <w:t>infirmité, le statut marital, le lieu d</w:t>
      </w:r>
      <w:r w:rsidR="00795C5F">
        <w:rPr>
          <w:lang w:val="fr-FR"/>
        </w:rPr>
        <w:t>’</w:t>
      </w:r>
      <w:r w:rsidRPr="00986E32">
        <w:rPr>
          <w:lang w:val="fr-FR"/>
        </w:rPr>
        <w:t>origine, les opinions politiques, la race, le sexe et l</w:t>
      </w:r>
      <w:r w:rsidR="00795C5F">
        <w:rPr>
          <w:lang w:val="fr-FR"/>
        </w:rPr>
        <w:t>’</w:t>
      </w:r>
      <w:r w:rsidRPr="00986E32">
        <w:rPr>
          <w:lang w:val="fr-FR"/>
        </w:rPr>
        <w:t>orientation sexuelle, dans les domaines liés à l</w:t>
      </w:r>
      <w:r w:rsidR="00795C5F">
        <w:rPr>
          <w:lang w:val="fr-FR"/>
        </w:rPr>
        <w:t>’</w:t>
      </w:r>
      <w:r w:rsidRPr="00986E32">
        <w:rPr>
          <w:lang w:val="fr-FR"/>
        </w:rPr>
        <w:t>emploi, à l</w:t>
      </w:r>
      <w:r w:rsidR="00795C5F">
        <w:rPr>
          <w:lang w:val="fr-FR"/>
        </w:rPr>
        <w:t>’</w:t>
      </w:r>
      <w:r w:rsidRPr="00986E32">
        <w:rPr>
          <w:lang w:val="fr-FR"/>
        </w:rPr>
        <w:t>éducation, à l</w:t>
      </w:r>
      <w:r w:rsidR="00795C5F">
        <w:rPr>
          <w:lang w:val="fr-FR"/>
        </w:rPr>
        <w:t>’</w:t>
      </w:r>
      <w:r w:rsidRPr="00986E32">
        <w:rPr>
          <w:lang w:val="fr-FR"/>
        </w:rPr>
        <w:t>accès au logement, aux biens et aux services, aux sports, à l</w:t>
      </w:r>
      <w:r w:rsidR="00795C5F">
        <w:rPr>
          <w:lang w:val="fr-FR"/>
        </w:rPr>
        <w:t>’</w:t>
      </w:r>
      <w:r w:rsidRPr="00986E32">
        <w:rPr>
          <w:lang w:val="fr-FR"/>
        </w:rPr>
        <w:t>aliénation de biens immobiliers et à l</w:t>
      </w:r>
      <w:r w:rsidR="00795C5F">
        <w:rPr>
          <w:lang w:val="fr-FR"/>
        </w:rPr>
        <w:t>’</w:t>
      </w:r>
      <w:r w:rsidRPr="00986E32">
        <w:rPr>
          <w:lang w:val="fr-FR"/>
        </w:rPr>
        <w:t>admission dans des clubs privés et dans des locaux ouverts au public. Cette loi a été modifiée en 2011 pour ouvrir la voie à la création en avril 2012 d</w:t>
      </w:r>
      <w:r w:rsidR="00795C5F">
        <w:rPr>
          <w:lang w:val="fr-FR"/>
        </w:rPr>
        <w:t>’</w:t>
      </w:r>
      <w:r w:rsidRPr="00986E32">
        <w:rPr>
          <w:lang w:val="fr-FR"/>
        </w:rPr>
        <w:t>une Commission de l</w:t>
      </w:r>
      <w:r w:rsidR="00795C5F">
        <w:rPr>
          <w:lang w:val="fr-FR"/>
        </w:rPr>
        <w:t>’</w:t>
      </w:r>
      <w:r w:rsidRPr="00986E32">
        <w:rPr>
          <w:lang w:val="fr-FR"/>
        </w:rPr>
        <w:t>égalité des chances ayant pour mission d</w:t>
      </w:r>
      <w:r w:rsidR="00795C5F">
        <w:rPr>
          <w:lang w:val="fr-FR"/>
        </w:rPr>
        <w:t>’</w:t>
      </w:r>
      <w:r w:rsidRPr="00986E32">
        <w:rPr>
          <w:lang w:val="fr-FR"/>
        </w:rPr>
        <w:t>éliminer la discrimination dans tous les secteurs et de promouvoir de bonnes relations entre personnes de différentes conditions. La Commission garantit et protège les droits de tous les citoyens, y compris ceux des femmes et des filles. Elle étudie les plaintes qui lui sont transmises et enquête non seulement sur ces plaintes, mais aussi sur les cas dans lesquels elle soupçonne une discrimination. Elle a par ailleurs publié des directives et codes de conduite à l</w:t>
      </w:r>
      <w:r w:rsidR="00795C5F">
        <w:rPr>
          <w:lang w:val="fr-FR"/>
        </w:rPr>
        <w:t>’</w:t>
      </w:r>
      <w:r w:rsidRPr="00986E32">
        <w:rPr>
          <w:lang w:val="fr-FR"/>
        </w:rPr>
        <w:t>intention de tous les employeurs, des secteurs public et privé, afin que tous mettent en place des mesures pour l</w:t>
      </w:r>
      <w:r w:rsidR="00795C5F">
        <w:rPr>
          <w:lang w:val="fr-FR"/>
        </w:rPr>
        <w:t>’</w:t>
      </w:r>
      <w:r w:rsidRPr="00986E32">
        <w:rPr>
          <w:lang w:val="fr-FR"/>
        </w:rPr>
        <w:t>égalité d</w:t>
      </w:r>
      <w:r w:rsidR="00795C5F">
        <w:rPr>
          <w:lang w:val="fr-FR"/>
        </w:rPr>
        <w:t>’</w:t>
      </w:r>
      <w:r w:rsidRPr="00986E32">
        <w:rPr>
          <w:lang w:val="fr-FR"/>
        </w:rPr>
        <w:t>accès à l</w:t>
      </w:r>
      <w:r w:rsidR="00795C5F">
        <w:rPr>
          <w:lang w:val="fr-FR"/>
        </w:rPr>
        <w:t>’</w:t>
      </w:r>
      <w:r w:rsidRPr="00986E32">
        <w:rPr>
          <w:lang w:val="fr-FR"/>
        </w:rPr>
        <w:t>emploi, comme l</w:t>
      </w:r>
      <w:r w:rsidR="00795C5F">
        <w:rPr>
          <w:lang w:val="fr-FR"/>
        </w:rPr>
        <w:t>’</w:t>
      </w:r>
      <w:r w:rsidRPr="00986E32">
        <w:rPr>
          <w:lang w:val="fr-FR"/>
        </w:rPr>
        <w:t>exige la loi sur l</w:t>
      </w:r>
      <w:r w:rsidR="00795C5F">
        <w:rPr>
          <w:lang w:val="fr-FR"/>
        </w:rPr>
        <w:t>’</w:t>
      </w:r>
      <w:r w:rsidRPr="00986E32">
        <w:rPr>
          <w:lang w:val="fr-FR"/>
        </w:rPr>
        <w:t>égalité des chances. La Commission doit en outre s</w:t>
      </w:r>
      <w:r w:rsidR="00795C5F">
        <w:rPr>
          <w:lang w:val="fr-FR"/>
        </w:rPr>
        <w:t>’</w:t>
      </w:r>
      <w:r w:rsidRPr="00986E32">
        <w:rPr>
          <w:lang w:val="fr-FR"/>
        </w:rPr>
        <w:t>employer à résoudre les problèmes par la conciliation, conformément à ses engagements pour la promotion de bonnes relations entre personnes de différentes conditions. Un tribunal de l</w:t>
      </w:r>
      <w:r w:rsidR="00795C5F">
        <w:rPr>
          <w:lang w:val="fr-FR"/>
        </w:rPr>
        <w:t>’</w:t>
      </w:r>
      <w:r w:rsidRPr="00986E32">
        <w:rPr>
          <w:lang w:val="fr-FR"/>
        </w:rPr>
        <w:t>égalité des chances a également été créé. Si le règlement à l</w:t>
      </w:r>
      <w:r w:rsidR="00795C5F">
        <w:rPr>
          <w:lang w:val="fr-FR"/>
        </w:rPr>
        <w:t>’</w:t>
      </w:r>
      <w:r w:rsidRPr="00986E32">
        <w:rPr>
          <w:lang w:val="fr-FR"/>
        </w:rPr>
        <w:t>amiable échoue au niveau de la Commission, cette dernière peut, avec l</w:t>
      </w:r>
      <w:r w:rsidR="00795C5F">
        <w:rPr>
          <w:lang w:val="fr-FR"/>
        </w:rPr>
        <w:t>’</w:t>
      </w:r>
      <w:r w:rsidRPr="00986E32">
        <w:rPr>
          <w:lang w:val="fr-FR"/>
        </w:rPr>
        <w:t>accord du plaignant, faire appel au tribunal, qui a le pouvoir de publier des ordonnances et des directives et de décider du versement d</w:t>
      </w:r>
      <w:r w:rsidR="00795C5F">
        <w:rPr>
          <w:lang w:val="fr-FR"/>
        </w:rPr>
        <w:t>’</w:t>
      </w:r>
      <w:r w:rsidRPr="00986E32">
        <w:rPr>
          <w:lang w:val="fr-FR"/>
        </w:rPr>
        <w:t>indemnités compensatoires. La Commission peut également demander une ordonnance temporaire devant le tribunal dans les cas où les circonstances justifient une intervention urgente dans l</w:t>
      </w:r>
      <w:r w:rsidR="00795C5F">
        <w:rPr>
          <w:lang w:val="fr-FR"/>
        </w:rPr>
        <w:t>’</w:t>
      </w:r>
      <w:r w:rsidRPr="00986E32">
        <w:rPr>
          <w:lang w:val="fr-FR"/>
        </w:rPr>
        <w:t>intérêt public et pour éviter une aggravation des préjudices subis. La loi pour l</w:t>
      </w:r>
      <w:r w:rsidR="00795C5F">
        <w:rPr>
          <w:lang w:val="fr-FR"/>
        </w:rPr>
        <w:t>’</w:t>
      </w:r>
      <w:r w:rsidRPr="00986E32">
        <w:rPr>
          <w:lang w:val="fr-FR"/>
        </w:rPr>
        <w:t>égalité des chances a été modifiée en novembre 2017 pour interdire la discrimination en matière d</w:t>
      </w:r>
      <w:r w:rsidR="00795C5F">
        <w:rPr>
          <w:lang w:val="fr-FR"/>
        </w:rPr>
        <w:t>’</w:t>
      </w:r>
      <w:r w:rsidRPr="00986E32">
        <w:rPr>
          <w:lang w:val="fr-FR"/>
        </w:rPr>
        <w:t>emploi sur la base du casier judiciaire, que ce soit au niveau du recrutement ou de l</w:t>
      </w:r>
      <w:r w:rsidR="00795C5F">
        <w:rPr>
          <w:lang w:val="fr-FR"/>
        </w:rPr>
        <w:t>’</w:t>
      </w:r>
      <w:r w:rsidRPr="00986E32">
        <w:rPr>
          <w:lang w:val="fr-FR"/>
        </w:rPr>
        <w:t>avancement professionnel.</w:t>
      </w:r>
    </w:p>
    <w:p w14:paraId="458B38EF" w14:textId="1CC708F8" w:rsidR="00237300" w:rsidRDefault="00986E32" w:rsidP="00986E32">
      <w:pPr>
        <w:pStyle w:val="SingleTxt"/>
        <w:numPr>
          <w:ilvl w:val="0"/>
          <w:numId w:val="19"/>
        </w:numPr>
        <w:spacing w:line="240" w:lineRule="exact"/>
        <w:ind w:left="1267"/>
        <w:rPr>
          <w:lang w:val="fr-FR"/>
        </w:rPr>
      </w:pPr>
      <w:r w:rsidRPr="00986E32">
        <w:rPr>
          <w:lang w:val="fr-FR"/>
        </w:rPr>
        <w:t xml:space="preserve">Les tableaux ci-après présentent les statistiques sur les plaintes pour discrimination sexiste reçues à partir du </w:t>
      </w:r>
      <w:r w:rsidR="00C64AB1" w:rsidRPr="00986E32">
        <w:rPr>
          <w:lang w:val="fr-FR"/>
        </w:rPr>
        <w:t>1</w:t>
      </w:r>
      <w:r w:rsidR="00C64AB1" w:rsidRPr="00545975">
        <w:rPr>
          <w:vertAlign w:val="superscript"/>
          <w:lang w:val="fr-FR"/>
        </w:rPr>
        <w:t>er</w:t>
      </w:r>
      <w:r w:rsidR="00C64AB1">
        <w:rPr>
          <w:lang w:val="fr-FR"/>
        </w:rPr>
        <w:t> </w:t>
      </w:r>
      <w:r w:rsidRPr="00986E32">
        <w:rPr>
          <w:lang w:val="fr-FR"/>
        </w:rPr>
        <w:t>mai 2016 par la Commission de l</w:t>
      </w:r>
      <w:r w:rsidR="00795C5F">
        <w:rPr>
          <w:lang w:val="fr-FR"/>
        </w:rPr>
        <w:t>’</w:t>
      </w:r>
      <w:r w:rsidRPr="00986E32">
        <w:rPr>
          <w:lang w:val="fr-FR"/>
        </w:rPr>
        <w:t xml:space="preserve">égalité des </w:t>
      </w:r>
      <w:r w:rsidR="00C64AB1" w:rsidRPr="00986E32">
        <w:rPr>
          <w:lang w:val="fr-FR"/>
        </w:rPr>
        <w:t>chances</w:t>
      </w:r>
      <w:r w:rsidR="00795C5F">
        <w:rPr>
          <w:lang w:val="fr-FR"/>
        </w:rPr>
        <w:t> :</w:t>
      </w:r>
    </w:p>
    <w:p w14:paraId="7F412C96" w14:textId="025876D9" w:rsidR="00970A00" w:rsidRPr="00970A00" w:rsidRDefault="00970A00" w:rsidP="00970A00">
      <w:pPr>
        <w:pStyle w:val="SingleTxt"/>
        <w:spacing w:after="0" w:line="120" w:lineRule="exact"/>
        <w:rPr>
          <w:sz w:val="10"/>
          <w:lang w:val="fr-FR"/>
        </w:rPr>
      </w:pPr>
    </w:p>
    <w:tbl>
      <w:tblPr>
        <w:tblW w:w="7281" w:type="dxa"/>
        <w:tblInd w:w="1287" w:type="dxa"/>
        <w:tblLayout w:type="fixed"/>
        <w:tblCellMar>
          <w:left w:w="0" w:type="dxa"/>
          <w:right w:w="0" w:type="dxa"/>
        </w:tblCellMar>
        <w:tblLook w:val="04A0" w:firstRow="1" w:lastRow="0" w:firstColumn="1" w:lastColumn="0" w:noHBand="0" w:noVBand="1"/>
      </w:tblPr>
      <w:tblGrid>
        <w:gridCol w:w="5463"/>
        <w:gridCol w:w="1818"/>
      </w:tblGrid>
      <w:tr w:rsidR="00986E32" w:rsidRPr="00986E32" w14:paraId="0D009992" w14:textId="77777777" w:rsidTr="00986E32">
        <w:trPr>
          <w:cantSplit/>
          <w:tblHeader/>
        </w:trPr>
        <w:tc>
          <w:tcPr>
            <w:tcW w:w="5463" w:type="dxa"/>
            <w:tcBorders>
              <w:top w:val="single" w:sz="4" w:space="0" w:color="auto"/>
              <w:bottom w:val="single" w:sz="12" w:space="0" w:color="auto"/>
            </w:tcBorders>
            <w:shd w:val="clear" w:color="auto" w:fill="auto"/>
            <w:vAlign w:val="bottom"/>
            <w:hideMark/>
          </w:tcPr>
          <w:p w14:paraId="5C7E19EE" w14:textId="77777777" w:rsidR="00986E32" w:rsidRPr="00986E32" w:rsidRDefault="00986E32" w:rsidP="00545975">
            <w:pPr>
              <w:suppressAutoHyphens/>
              <w:spacing w:before="80" w:after="80" w:line="160" w:lineRule="exact"/>
              <w:ind w:right="40"/>
              <w:rPr>
                <w:i/>
                <w:sz w:val="14"/>
              </w:rPr>
            </w:pPr>
            <w:r w:rsidRPr="00986E32">
              <w:rPr>
                <w:i/>
                <w:sz w:val="14"/>
              </w:rPr>
              <w:t>Statut des plaintes</w:t>
            </w:r>
          </w:p>
        </w:tc>
        <w:tc>
          <w:tcPr>
            <w:tcW w:w="1818" w:type="dxa"/>
            <w:tcBorders>
              <w:top w:val="single" w:sz="4" w:space="0" w:color="auto"/>
              <w:bottom w:val="single" w:sz="12" w:space="0" w:color="auto"/>
            </w:tcBorders>
            <w:shd w:val="clear" w:color="auto" w:fill="auto"/>
            <w:vAlign w:val="bottom"/>
            <w:hideMark/>
          </w:tcPr>
          <w:p w14:paraId="6CB59421" w14:textId="77777777" w:rsidR="00986E32" w:rsidRPr="00986E32" w:rsidRDefault="00986E32" w:rsidP="00545975">
            <w:pPr>
              <w:suppressAutoHyphens/>
              <w:spacing w:before="80" w:after="80" w:line="160" w:lineRule="exact"/>
              <w:ind w:left="144" w:right="43"/>
              <w:jc w:val="right"/>
              <w:rPr>
                <w:i/>
                <w:sz w:val="14"/>
              </w:rPr>
            </w:pPr>
            <w:r w:rsidRPr="00986E32">
              <w:rPr>
                <w:i/>
                <w:sz w:val="14"/>
              </w:rPr>
              <w:t>Nombre de plaintes</w:t>
            </w:r>
          </w:p>
        </w:tc>
      </w:tr>
      <w:tr w:rsidR="00986E32" w:rsidRPr="00986E32" w14:paraId="06BFDFF9" w14:textId="77777777" w:rsidTr="00986E32">
        <w:trPr>
          <w:cantSplit/>
          <w:trHeight w:hRule="exact" w:val="115"/>
          <w:tblHeader/>
        </w:trPr>
        <w:tc>
          <w:tcPr>
            <w:tcW w:w="5463" w:type="dxa"/>
            <w:tcBorders>
              <w:top w:val="single" w:sz="12" w:space="0" w:color="auto"/>
            </w:tcBorders>
            <w:shd w:val="clear" w:color="auto" w:fill="auto"/>
            <w:vAlign w:val="bottom"/>
          </w:tcPr>
          <w:p w14:paraId="60992E3F" w14:textId="77777777" w:rsidR="00986E32" w:rsidRPr="00986E32" w:rsidRDefault="00986E32" w:rsidP="00986E32">
            <w:pPr>
              <w:suppressAutoHyphens/>
              <w:spacing w:before="40" w:after="40" w:line="210" w:lineRule="exact"/>
              <w:ind w:right="40"/>
              <w:rPr>
                <w:sz w:val="17"/>
              </w:rPr>
            </w:pPr>
          </w:p>
        </w:tc>
        <w:tc>
          <w:tcPr>
            <w:tcW w:w="1818" w:type="dxa"/>
            <w:tcBorders>
              <w:top w:val="single" w:sz="12" w:space="0" w:color="auto"/>
            </w:tcBorders>
            <w:shd w:val="clear" w:color="auto" w:fill="auto"/>
            <w:vAlign w:val="bottom"/>
          </w:tcPr>
          <w:p w14:paraId="6F901D45" w14:textId="77777777" w:rsidR="00986E32" w:rsidRPr="00986E32" w:rsidRDefault="00986E32" w:rsidP="00986E32">
            <w:pPr>
              <w:suppressAutoHyphens/>
              <w:spacing w:before="40" w:after="40" w:line="210" w:lineRule="exact"/>
              <w:ind w:left="144" w:right="43"/>
              <w:jc w:val="right"/>
              <w:rPr>
                <w:sz w:val="17"/>
              </w:rPr>
            </w:pPr>
          </w:p>
        </w:tc>
      </w:tr>
      <w:tr w:rsidR="00986E32" w:rsidRPr="00986E32" w14:paraId="1E50CEFE" w14:textId="77777777" w:rsidTr="00986E32">
        <w:trPr>
          <w:cantSplit/>
        </w:trPr>
        <w:tc>
          <w:tcPr>
            <w:tcW w:w="5463" w:type="dxa"/>
            <w:shd w:val="clear" w:color="auto" w:fill="auto"/>
            <w:vAlign w:val="bottom"/>
            <w:hideMark/>
          </w:tcPr>
          <w:p w14:paraId="6B1038F3" w14:textId="77777777" w:rsidR="00986E32" w:rsidRPr="00986E32" w:rsidRDefault="00986E32" w:rsidP="00545975">
            <w:pPr>
              <w:tabs>
                <w:tab w:val="left" w:pos="288"/>
                <w:tab w:val="left" w:pos="576"/>
                <w:tab w:val="left" w:pos="864"/>
                <w:tab w:val="left" w:pos="1152"/>
              </w:tabs>
              <w:suppressAutoHyphens/>
              <w:spacing w:before="40" w:after="40" w:line="210" w:lineRule="exact"/>
              <w:ind w:right="40"/>
              <w:rPr>
                <w:sz w:val="17"/>
              </w:rPr>
            </w:pPr>
            <w:r w:rsidRPr="00986E32">
              <w:rPr>
                <w:sz w:val="17"/>
              </w:rPr>
              <w:t>Étudiées</w:t>
            </w:r>
          </w:p>
        </w:tc>
        <w:tc>
          <w:tcPr>
            <w:tcW w:w="1818" w:type="dxa"/>
            <w:shd w:val="clear" w:color="auto" w:fill="auto"/>
            <w:vAlign w:val="bottom"/>
            <w:hideMark/>
          </w:tcPr>
          <w:p w14:paraId="6865A3FB" w14:textId="77777777" w:rsidR="00986E32" w:rsidRPr="00986E32" w:rsidRDefault="00986E32" w:rsidP="00545975">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60</w:t>
            </w:r>
          </w:p>
        </w:tc>
      </w:tr>
      <w:tr w:rsidR="00986E32" w:rsidRPr="00986E32" w14:paraId="57D12AEF" w14:textId="77777777" w:rsidTr="00986E32">
        <w:trPr>
          <w:cantSplit/>
        </w:trPr>
        <w:tc>
          <w:tcPr>
            <w:tcW w:w="5463" w:type="dxa"/>
            <w:shd w:val="clear" w:color="auto" w:fill="auto"/>
            <w:vAlign w:val="bottom"/>
            <w:hideMark/>
          </w:tcPr>
          <w:p w14:paraId="1D21B4F3" w14:textId="77777777" w:rsidR="00986E32" w:rsidRPr="00986E32" w:rsidRDefault="00986E32" w:rsidP="00986E32">
            <w:pPr>
              <w:tabs>
                <w:tab w:val="left" w:pos="288"/>
                <w:tab w:val="left" w:pos="576"/>
                <w:tab w:val="left" w:pos="864"/>
                <w:tab w:val="left" w:pos="1152"/>
              </w:tabs>
              <w:suppressAutoHyphens/>
              <w:spacing w:before="40" w:after="40" w:line="210" w:lineRule="exact"/>
              <w:ind w:right="40"/>
              <w:rPr>
                <w:sz w:val="17"/>
              </w:rPr>
            </w:pPr>
            <w:r w:rsidRPr="00986E32">
              <w:rPr>
                <w:sz w:val="17"/>
              </w:rPr>
              <w:t>Retirées</w:t>
            </w:r>
          </w:p>
        </w:tc>
        <w:tc>
          <w:tcPr>
            <w:tcW w:w="1818" w:type="dxa"/>
            <w:shd w:val="clear" w:color="auto" w:fill="auto"/>
            <w:vAlign w:val="bottom"/>
            <w:hideMark/>
          </w:tcPr>
          <w:p w14:paraId="31279D7A" w14:textId="77777777" w:rsidR="00986E32" w:rsidRPr="00986E32" w:rsidRDefault="00986E32" w:rsidP="00986E32">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14</w:t>
            </w:r>
          </w:p>
        </w:tc>
      </w:tr>
      <w:tr w:rsidR="00986E32" w:rsidRPr="00986E32" w14:paraId="6BE12ACA" w14:textId="77777777" w:rsidTr="00986E32">
        <w:trPr>
          <w:cantSplit/>
        </w:trPr>
        <w:tc>
          <w:tcPr>
            <w:tcW w:w="5463" w:type="dxa"/>
            <w:shd w:val="clear" w:color="auto" w:fill="auto"/>
            <w:vAlign w:val="bottom"/>
            <w:hideMark/>
          </w:tcPr>
          <w:p w14:paraId="0E68F5F5" w14:textId="1AAFD828" w:rsidR="00986E32" w:rsidRPr="00986E32" w:rsidRDefault="00986E32" w:rsidP="00986E32">
            <w:pPr>
              <w:tabs>
                <w:tab w:val="left" w:pos="288"/>
                <w:tab w:val="left" w:pos="576"/>
                <w:tab w:val="left" w:pos="864"/>
                <w:tab w:val="left" w:pos="1152"/>
              </w:tabs>
              <w:suppressAutoHyphens/>
              <w:spacing w:before="40" w:after="40" w:line="210" w:lineRule="exact"/>
              <w:ind w:right="40"/>
              <w:rPr>
                <w:sz w:val="17"/>
              </w:rPr>
            </w:pPr>
            <w:r w:rsidRPr="00986E32">
              <w:rPr>
                <w:sz w:val="17"/>
              </w:rPr>
              <w:t>En cours d</w:t>
            </w:r>
            <w:r w:rsidR="00795C5F">
              <w:rPr>
                <w:sz w:val="17"/>
              </w:rPr>
              <w:t>’</w:t>
            </w:r>
            <w:r w:rsidRPr="00986E32">
              <w:rPr>
                <w:sz w:val="17"/>
              </w:rPr>
              <w:t>évaluation (informations supplémentaires requises)</w:t>
            </w:r>
          </w:p>
        </w:tc>
        <w:tc>
          <w:tcPr>
            <w:tcW w:w="1818" w:type="dxa"/>
            <w:shd w:val="clear" w:color="auto" w:fill="auto"/>
            <w:vAlign w:val="bottom"/>
            <w:hideMark/>
          </w:tcPr>
          <w:p w14:paraId="6BB07764" w14:textId="77777777" w:rsidR="00986E32" w:rsidRPr="00986E32" w:rsidRDefault="00986E32" w:rsidP="00986E32">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7</w:t>
            </w:r>
          </w:p>
        </w:tc>
      </w:tr>
      <w:tr w:rsidR="00986E32" w:rsidRPr="00986E32" w14:paraId="47A9988C" w14:textId="77777777" w:rsidTr="00986E32">
        <w:trPr>
          <w:cantSplit/>
        </w:trPr>
        <w:tc>
          <w:tcPr>
            <w:tcW w:w="5463" w:type="dxa"/>
            <w:tcBorders>
              <w:bottom w:val="single" w:sz="4" w:space="0" w:color="auto"/>
            </w:tcBorders>
            <w:shd w:val="clear" w:color="auto" w:fill="auto"/>
            <w:vAlign w:val="bottom"/>
            <w:hideMark/>
          </w:tcPr>
          <w:p w14:paraId="38338424" w14:textId="670423A3" w:rsidR="00986E32" w:rsidRPr="00986E32" w:rsidRDefault="00986E32" w:rsidP="00545975">
            <w:pPr>
              <w:tabs>
                <w:tab w:val="left" w:pos="288"/>
                <w:tab w:val="left" w:pos="576"/>
                <w:tab w:val="left" w:pos="864"/>
                <w:tab w:val="left" w:pos="1152"/>
              </w:tabs>
              <w:suppressAutoHyphens/>
              <w:spacing w:before="40" w:after="81" w:line="210" w:lineRule="exact"/>
              <w:ind w:right="40"/>
              <w:rPr>
                <w:sz w:val="17"/>
              </w:rPr>
            </w:pPr>
            <w:r w:rsidRPr="00986E32">
              <w:rPr>
                <w:sz w:val="17"/>
              </w:rPr>
              <w:lastRenderedPageBreak/>
              <w:t>En attente des conclusions de l</w:t>
            </w:r>
            <w:r w:rsidR="00795C5F">
              <w:rPr>
                <w:sz w:val="17"/>
              </w:rPr>
              <w:t>’</w:t>
            </w:r>
            <w:r w:rsidRPr="00986E32">
              <w:rPr>
                <w:sz w:val="17"/>
              </w:rPr>
              <w:t>enquête</w:t>
            </w:r>
          </w:p>
        </w:tc>
        <w:tc>
          <w:tcPr>
            <w:tcW w:w="1818" w:type="dxa"/>
            <w:tcBorders>
              <w:bottom w:val="single" w:sz="4" w:space="0" w:color="auto"/>
            </w:tcBorders>
            <w:shd w:val="clear" w:color="auto" w:fill="auto"/>
            <w:vAlign w:val="bottom"/>
            <w:hideMark/>
          </w:tcPr>
          <w:p w14:paraId="2B611D31" w14:textId="77777777" w:rsidR="00986E32" w:rsidRPr="00986E32" w:rsidRDefault="00986E32" w:rsidP="00545975">
            <w:pPr>
              <w:tabs>
                <w:tab w:val="left" w:pos="288"/>
                <w:tab w:val="left" w:pos="576"/>
                <w:tab w:val="left" w:pos="864"/>
                <w:tab w:val="left" w:pos="1152"/>
              </w:tabs>
              <w:suppressAutoHyphens/>
              <w:spacing w:before="40" w:after="81" w:line="210" w:lineRule="exact"/>
              <w:ind w:left="144" w:right="43"/>
              <w:jc w:val="right"/>
              <w:rPr>
                <w:sz w:val="17"/>
              </w:rPr>
            </w:pPr>
            <w:r w:rsidRPr="00986E32">
              <w:rPr>
                <w:sz w:val="17"/>
              </w:rPr>
              <w:t>11</w:t>
            </w:r>
          </w:p>
        </w:tc>
      </w:tr>
      <w:tr w:rsidR="00986E32" w:rsidRPr="00986E32" w14:paraId="7ED7748B" w14:textId="77777777" w:rsidTr="00986E32">
        <w:trPr>
          <w:cantSplit/>
        </w:trPr>
        <w:tc>
          <w:tcPr>
            <w:tcW w:w="5463" w:type="dxa"/>
            <w:tcBorders>
              <w:top w:val="single" w:sz="4" w:space="0" w:color="auto"/>
              <w:bottom w:val="single" w:sz="12" w:space="0" w:color="auto"/>
            </w:tcBorders>
            <w:shd w:val="clear" w:color="auto" w:fill="auto"/>
            <w:vAlign w:val="bottom"/>
            <w:hideMark/>
          </w:tcPr>
          <w:p w14:paraId="504E1218" w14:textId="0A000956" w:rsidR="00986E32" w:rsidRPr="00986E32" w:rsidRDefault="00986E32" w:rsidP="00545975">
            <w:pPr>
              <w:tabs>
                <w:tab w:val="left" w:pos="288"/>
                <w:tab w:val="left" w:pos="576"/>
                <w:tab w:val="left" w:pos="864"/>
                <w:tab w:val="left" w:pos="1152"/>
              </w:tabs>
              <w:suppressAutoHyphens/>
              <w:spacing w:before="81" w:after="81" w:line="210" w:lineRule="exact"/>
              <w:ind w:right="40"/>
              <w:rPr>
                <w:b/>
                <w:bCs/>
                <w:sz w:val="17"/>
              </w:rPr>
            </w:pPr>
            <w:r w:rsidRPr="00986E32">
              <w:rPr>
                <w:b/>
                <w:bCs/>
                <w:sz w:val="17"/>
              </w:rPr>
              <w:tab/>
              <w:t>Nombre total de plaintes reçues</w:t>
            </w:r>
          </w:p>
        </w:tc>
        <w:tc>
          <w:tcPr>
            <w:tcW w:w="1818" w:type="dxa"/>
            <w:tcBorders>
              <w:top w:val="single" w:sz="4" w:space="0" w:color="auto"/>
              <w:bottom w:val="single" w:sz="12" w:space="0" w:color="auto"/>
            </w:tcBorders>
            <w:shd w:val="clear" w:color="auto" w:fill="auto"/>
            <w:vAlign w:val="bottom"/>
            <w:hideMark/>
          </w:tcPr>
          <w:p w14:paraId="5E18F763" w14:textId="77777777" w:rsidR="00986E32" w:rsidRPr="00986E32" w:rsidRDefault="00986E32" w:rsidP="00545975">
            <w:pPr>
              <w:tabs>
                <w:tab w:val="left" w:pos="288"/>
                <w:tab w:val="left" w:pos="576"/>
                <w:tab w:val="left" w:pos="864"/>
                <w:tab w:val="left" w:pos="1152"/>
              </w:tabs>
              <w:suppressAutoHyphens/>
              <w:spacing w:before="81" w:after="81" w:line="210" w:lineRule="exact"/>
              <w:ind w:left="144" w:right="43"/>
              <w:jc w:val="right"/>
              <w:rPr>
                <w:b/>
                <w:bCs/>
                <w:sz w:val="17"/>
              </w:rPr>
            </w:pPr>
            <w:r w:rsidRPr="00986E32">
              <w:rPr>
                <w:b/>
                <w:bCs/>
                <w:sz w:val="17"/>
              </w:rPr>
              <w:t>92</w:t>
            </w:r>
          </w:p>
        </w:tc>
      </w:tr>
    </w:tbl>
    <w:p w14:paraId="5516AE07" w14:textId="77777777" w:rsidR="00986E32" w:rsidRPr="00986E32" w:rsidRDefault="00986E32" w:rsidP="00986E32">
      <w:pPr>
        <w:pStyle w:val="SingleTxtG"/>
        <w:spacing w:after="0" w:line="120" w:lineRule="exact"/>
        <w:ind w:firstLine="170"/>
        <w:rPr>
          <w:i/>
          <w:iCs/>
          <w:sz w:val="10"/>
          <w:lang w:val="fr-FR"/>
        </w:rPr>
      </w:pPr>
    </w:p>
    <w:p w14:paraId="2A9EE1B2" w14:textId="3962FC68" w:rsidR="00986E32" w:rsidRDefault="00C64AB1" w:rsidP="00545975">
      <w:pPr>
        <w:pStyle w:val="FootnoteText"/>
        <w:tabs>
          <w:tab w:val="right" w:pos="1476"/>
          <w:tab w:val="left" w:pos="1548"/>
          <w:tab w:val="right" w:pos="1836"/>
          <w:tab w:val="left" w:pos="1908"/>
        </w:tabs>
        <w:ind w:left="1548" w:right="1267" w:hanging="288"/>
        <w:rPr>
          <w:lang w:val="fr-FR"/>
        </w:rPr>
      </w:pPr>
      <w:r w:rsidRPr="00BA56BE">
        <w:rPr>
          <w:i/>
          <w:iCs/>
          <w:lang w:val="fr-FR"/>
        </w:rPr>
        <w:t>Source</w:t>
      </w:r>
      <w:r w:rsidR="00795C5F">
        <w:rPr>
          <w:i/>
          <w:iCs/>
          <w:lang w:val="fr-FR"/>
        </w:rPr>
        <w:t> </w:t>
      </w:r>
      <w:r w:rsidR="00795C5F" w:rsidRPr="00ED416A">
        <w:rPr>
          <w:lang w:val="fr-FR"/>
        </w:rPr>
        <w:t>:</w:t>
      </w:r>
      <w:r w:rsidR="00986E32" w:rsidRPr="00ED416A">
        <w:rPr>
          <w:lang w:val="fr-FR"/>
        </w:rPr>
        <w:t xml:space="preserve"> </w:t>
      </w:r>
      <w:r w:rsidR="00986E32">
        <w:rPr>
          <w:lang w:val="fr-FR"/>
        </w:rPr>
        <w:t>Commission de l</w:t>
      </w:r>
      <w:r w:rsidR="00795C5F">
        <w:rPr>
          <w:lang w:val="fr-FR"/>
        </w:rPr>
        <w:t>’</w:t>
      </w:r>
      <w:r w:rsidR="00986E32">
        <w:rPr>
          <w:lang w:val="fr-FR"/>
        </w:rPr>
        <w:t>égalité des chances.</w:t>
      </w:r>
    </w:p>
    <w:p w14:paraId="172A5EE8" w14:textId="4F87B210" w:rsidR="00986E32" w:rsidRPr="00986E32" w:rsidRDefault="00986E32" w:rsidP="00986E32">
      <w:pPr>
        <w:pStyle w:val="FootnoteText"/>
        <w:tabs>
          <w:tab w:val="right" w:pos="1476"/>
          <w:tab w:val="left" w:pos="1548"/>
          <w:tab w:val="right" w:pos="1836"/>
          <w:tab w:val="left" w:pos="1908"/>
        </w:tabs>
        <w:spacing w:line="120" w:lineRule="exact"/>
        <w:ind w:left="1548" w:right="1267" w:hanging="288"/>
        <w:rPr>
          <w:sz w:val="10"/>
          <w:lang w:val="fr-FR"/>
        </w:rPr>
      </w:pPr>
    </w:p>
    <w:p w14:paraId="23C6EA1A" w14:textId="210FBC91" w:rsidR="00986E32" w:rsidRPr="00986E32" w:rsidRDefault="00986E32" w:rsidP="00986E32">
      <w:pPr>
        <w:pStyle w:val="FootnoteText"/>
        <w:tabs>
          <w:tab w:val="right" w:pos="1476"/>
          <w:tab w:val="left" w:pos="1548"/>
          <w:tab w:val="right" w:pos="1836"/>
          <w:tab w:val="left" w:pos="1908"/>
        </w:tabs>
        <w:spacing w:line="120" w:lineRule="exact"/>
        <w:ind w:left="1548" w:right="1267" w:hanging="288"/>
        <w:rPr>
          <w:sz w:val="10"/>
          <w:szCs w:val="18"/>
          <w:lang w:val="fr-FR"/>
        </w:rPr>
      </w:pPr>
    </w:p>
    <w:p w14:paraId="73C1C756" w14:textId="6C092513" w:rsidR="00986E32" w:rsidRPr="00986E32" w:rsidRDefault="00986E32" w:rsidP="00986E32">
      <w:pPr>
        <w:pStyle w:val="FootnoteText"/>
        <w:tabs>
          <w:tab w:val="right" w:pos="1476"/>
          <w:tab w:val="left" w:pos="1548"/>
          <w:tab w:val="right" w:pos="1836"/>
          <w:tab w:val="left" w:pos="1908"/>
        </w:tabs>
        <w:spacing w:line="120" w:lineRule="exact"/>
        <w:ind w:left="1548" w:right="1267" w:hanging="288"/>
        <w:rPr>
          <w:sz w:val="10"/>
          <w:szCs w:val="18"/>
          <w:lang w:val="fr-FR"/>
        </w:rPr>
      </w:pPr>
    </w:p>
    <w:p w14:paraId="2C454467" w14:textId="790639DD" w:rsidR="00986E32" w:rsidRDefault="00986E32" w:rsidP="00986E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Détails des plaintes étudiées</w:t>
      </w:r>
    </w:p>
    <w:p w14:paraId="7EE6BE21" w14:textId="7518F916" w:rsidR="00986E32" w:rsidRPr="00986E32" w:rsidRDefault="00986E32" w:rsidP="00986E32">
      <w:pPr>
        <w:pStyle w:val="SingleTxt"/>
        <w:spacing w:after="0" w:line="120" w:lineRule="exact"/>
        <w:rPr>
          <w:sz w:val="10"/>
          <w:lang w:val="fr-FR"/>
        </w:rPr>
      </w:pPr>
    </w:p>
    <w:p w14:paraId="5A18BFFF" w14:textId="028A6EFC" w:rsidR="00986E32" w:rsidRPr="00986E32" w:rsidRDefault="00986E32" w:rsidP="00986E32">
      <w:pPr>
        <w:pStyle w:val="SingleTxt"/>
        <w:spacing w:after="0" w:line="120" w:lineRule="exact"/>
        <w:rPr>
          <w:sz w:val="10"/>
          <w:lang w:val="fr-FR"/>
        </w:rPr>
      </w:pPr>
    </w:p>
    <w:tbl>
      <w:tblPr>
        <w:tblW w:w="7299" w:type="dxa"/>
        <w:tblInd w:w="1269" w:type="dxa"/>
        <w:tblLayout w:type="fixed"/>
        <w:tblCellMar>
          <w:left w:w="0" w:type="dxa"/>
          <w:right w:w="0" w:type="dxa"/>
        </w:tblCellMar>
        <w:tblLook w:val="04A0" w:firstRow="1" w:lastRow="0" w:firstColumn="1" w:lastColumn="0" w:noHBand="0" w:noVBand="1"/>
      </w:tblPr>
      <w:tblGrid>
        <w:gridCol w:w="5472"/>
        <w:gridCol w:w="1827"/>
      </w:tblGrid>
      <w:tr w:rsidR="00986E32" w:rsidRPr="00986E32" w14:paraId="272B17A1" w14:textId="77777777" w:rsidTr="00986E32">
        <w:trPr>
          <w:cantSplit/>
          <w:tblHeader/>
        </w:trPr>
        <w:tc>
          <w:tcPr>
            <w:tcW w:w="5472" w:type="dxa"/>
            <w:tcBorders>
              <w:top w:val="single" w:sz="4" w:space="0" w:color="auto"/>
              <w:bottom w:val="single" w:sz="12" w:space="0" w:color="auto"/>
            </w:tcBorders>
            <w:shd w:val="clear" w:color="auto" w:fill="auto"/>
            <w:vAlign w:val="bottom"/>
            <w:hideMark/>
          </w:tcPr>
          <w:p w14:paraId="785DFBFB" w14:textId="77777777" w:rsidR="00986E32" w:rsidRPr="00986E32" w:rsidRDefault="00986E32" w:rsidP="00545975">
            <w:pPr>
              <w:suppressAutoHyphens/>
              <w:spacing w:before="81" w:after="81" w:line="160" w:lineRule="exact"/>
              <w:ind w:right="40"/>
              <w:rPr>
                <w:i/>
                <w:sz w:val="14"/>
              </w:rPr>
            </w:pPr>
            <w:r w:rsidRPr="00986E32">
              <w:rPr>
                <w:i/>
                <w:sz w:val="14"/>
              </w:rPr>
              <w:t>Statut</w:t>
            </w:r>
          </w:p>
        </w:tc>
        <w:tc>
          <w:tcPr>
            <w:tcW w:w="1827" w:type="dxa"/>
            <w:tcBorders>
              <w:top w:val="single" w:sz="4" w:space="0" w:color="auto"/>
              <w:bottom w:val="single" w:sz="12" w:space="0" w:color="auto"/>
            </w:tcBorders>
            <w:shd w:val="clear" w:color="auto" w:fill="auto"/>
            <w:vAlign w:val="bottom"/>
            <w:hideMark/>
          </w:tcPr>
          <w:p w14:paraId="4898C0D9" w14:textId="2579E5F8" w:rsidR="00986E32" w:rsidRPr="00986E32" w:rsidRDefault="00986E32" w:rsidP="00545975">
            <w:pPr>
              <w:suppressAutoHyphens/>
              <w:spacing w:before="81" w:after="81" w:line="160" w:lineRule="exact"/>
              <w:ind w:left="144" w:right="43"/>
              <w:jc w:val="right"/>
              <w:rPr>
                <w:i/>
                <w:sz w:val="14"/>
              </w:rPr>
            </w:pPr>
            <w:r w:rsidRPr="00986E32">
              <w:rPr>
                <w:i/>
                <w:sz w:val="14"/>
              </w:rPr>
              <w:t>Nombre d</w:t>
            </w:r>
            <w:r w:rsidR="00795C5F">
              <w:rPr>
                <w:i/>
                <w:sz w:val="14"/>
              </w:rPr>
              <w:t>’</w:t>
            </w:r>
            <w:r w:rsidRPr="00986E32">
              <w:rPr>
                <w:i/>
                <w:sz w:val="14"/>
              </w:rPr>
              <w:t>affaires</w:t>
            </w:r>
          </w:p>
        </w:tc>
      </w:tr>
      <w:tr w:rsidR="00986E32" w:rsidRPr="00986E32" w14:paraId="695B067D" w14:textId="77777777" w:rsidTr="00986E32">
        <w:trPr>
          <w:cantSplit/>
          <w:trHeight w:hRule="exact" w:val="115"/>
          <w:tblHeader/>
        </w:trPr>
        <w:tc>
          <w:tcPr>
            <w:tcW w:w="5472" w:type="dxa"/>
            <w:tcBorders>
              <w:top w:val="single" w:sz="12" w:space="0" w:color="auto"/>
            </w:tcBorders>
            <w:shd w:val="clear" w:color="auto" w:fill="auto"/>
            <w:vAlign w:val="bottom"/>
          </w:tcPr>
          <w:p w14:paraId="409C8EED" w14:textId="77777777" w:rsidR="00986E32" w:rsidRPr="00986E32" w:rsidRDefault="00986E32" w:rsidP="00986E32">
            <w:pPr>
              <w:suppressAutoHyphens/>
              <w:spacing w:before="40" w:after="40" w:line="210" w:lineRule="exact"/>
              <w:ind w:right="40"/>
              <w:rPr>
                <w:sz w:val="17"/>
              </w:rPr>
            </w:pPr>
          </w:p>
        </w:tc>
        <w:tc>
          <w:tcPr>
            <w:tcW w:w="1827" w:type="dxa"/>
            <w:tcBorders>
              <w:top w:val="single" w:sz="12" w:space="0" w:color="auto"/>
            </w:tcBorders>
            <w:shd w:val="clear" w:color="auto" w:fill="auto"/>
            <w:vAlign w:val="bottom"/>
          </w:tcPr>
          <w:p w14:paraId="5123E6D3" w14:textId="77777777" w:rsidR="00986E32" w:rsidRPr="00986E32" w:rsidRDefault="00986E32" w:rsidP="00986E32">
            <w:pPr>
              <w:suppressAutoHyphens/>
              <w:spacing w:before="40" w:after="40" w:line="210" w:lineRule="exact"/>
              <w:ind w:left="144" w:right="43"/>
              <w:jc w:val="right"/>
              <w:rPr>
                <w:sz w:val="17"/>
              </w:rPr>
            </w:pPr>
          </w:p>
        </w:tc>
      </w:tr>
      <w:tr w:rsidR="00986E32" w:rsidRPr="00986E32" w14:paraId="6BB9C1E6" w14:textId="77777777" w:rsidTr="00986E32">
        <w:trPr>
          <w:cantSplit/>
        </w:trPr>
        <w:tc>
          <w:tcPr>
            <w:tcW w:w="5472" w:type="dxa"/>
            <w:shd w:val="clear" w:color="auto" w:fill="auto"/>
            <w:vAlign w:val="bottom"/>
            <w:hideMark/>
          </w:tcPr>
          <w:p w14:paraId="3B364A50" w14:textId="77777777" w:rsidR="00986E32" w:rsidRPr="00986E32" w:rsidRDefault="00986E32" w:rsidP="00545975">
            <w:pPr>
              <w:tabs>
                <w:tab w:val="left" w:pos="288"/>
                <w:tab w:val="left" w:pos="576"/>
                <w:tab w:val="left" w:pos="864"/>
                <w:tab w:val="left" w:pos="1152"/>
              </w:tabs>
              <w:suppressAutoHyphens/>
              <w:spacing w:before="40" w:after="40" w:line="210" w:lineRule="exact"/>
              <w:ind w:right="40"/>
              <w:rPr>
                <w:sz w:val="17"/>
              </w:rPr>
            </w:pPr>
            <w:r w:rsidRPr="00986E32">
              <w:rPr>
                <w:sz w:val="17"/>
              </w:rPr>
              <w:t>Réglées</w:t>
            </w:r>
          </w:p>
        </w:tc>
        <w:tc>
          <w:tcPr>
            <w:tcW w:w="1827" w:type="dxa"/>
            <w:shd w:val="clear" w:color="auto" w:fill="auto"/>
            <w:vAlign w:val="bottom"/>
            <w:hideMark/>
          </w:tcPr>
          <w:p w14:paraId="2CCDBC33" w14:textId="77777777" w:rsidR="00986E32" w:rsidRPr="00986E32" w:rsidRDefault="00986E32" w:rsidP="00545975">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16</w:t>
            </w:r>
          </w:p>
        </w:tc>
      </w:tr>
      <w:tr w:rsidR="00986E32" w:rsidRPr="00986E32" w14:paraId="55B51865" w14:textId="77777777" w:rsidTr="00986E32">
        <w:trPr>
          <w:cantSplit/>
        </w:trPr>
        <w:tc>
          <w:tcPr>
            <w:tcW w:w="5472" w:type="dxa"/>
            <w:shd w:val="clear" w:color="auto" w:fill="auto"/>
            <w:vAlign w:val="bottom"/>
            <w:hideMark/>
          </w:tcPr>
          <w:p w14:paraId="5050786F" w14:textId="77777777" w:rsidR="00986E32" w:rsidRPr="00986E32" w:rsidRDefault="00986E32" w:rsidP="00986E32">
            <w:pPr>
              <w:tabs>
                <w:tab w:val="left" w:pos="288"/>
                <w:tab w:val="left" w:pos="576"/>
                <w:tab w:val="left" w:pos="864"/>
                <w:tab w:val="left" w:pos="1152"/>
              </w:tabs>
              <w:suppressAutoHyphens/>
              <w:spacing w:before="40" w:after="40" w:line="210" w:lineRule="exact"/>
              <w:ind w:right="40"/>
              <w:rPr>
                <w:sz w:val="17"/>
              </w:rPr>
            </w:pPr>
            <w:r w:rsidRPr="00986E32">
              <w:rPr>
                <w:sz w:val="17"/>
              </w:rPr>
              <w:t>Prescrites</w:t>
            </w:r>
          </w:p>
        </w:tc>
        <w:tc>
          <w:tcPr>
            <w:tcW w:w="1827" w:type="dxa"/>
            <w:shd w:val="clear" w:color="auto" w:fill="auto"/>
            <w:vAlign w:val="bottom"/>
            <w:hideMark/>
          </w:tcPr>
          <w:p w14:paraId="3A29191C" w14:textId="77777777" w:rsidR="00986E32" w:rsidRPr="00986E32" w:rsidRDefault="00986E32" w:rsidP="00986E32">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2</w:t>
            </w:r>
          </w:p>
        </w:tc>
      </w:tr>
      <w:tr w:rsidR="00986E32" w:rsidRPr="00986E32" w14:paraId="62B23157" w14:textId="77777777" w:rsidTr="00986E32">
        <w:trPr>
          <w:cantSplit/>
        </w:trPr>
        <w:tc>
          <w:tcPr>
            <w:tcW w:w="5472" w:type="dxa"/>
            <w:shd w:val="clear" w:color="auto" w:fill="auto"/>
            <w:vAlign w:val="bottom"/>
            <w:hideMark/>
          </w:tcPr>
          <w:p w14:paraId="1F75B0A3" w14:textId="77777777" w:rsidR="00986E32" w:rsidRPr="00986E32" w:rsidRDefault="00986E32" w:rsidP="00986E32">
            <w:pPr>
              <w:tabs>
                <w:tab w:val="left" w:pos="288"/>
                <w:tab w:val="left" w:pos="576"/>
                <w:tab w:val="left" w:pos="864"/>
                <w:tab w:val="left" w:pos="1152"/>
              </w:tabs>
              <w:suppressAutoHyphens/>
              <w:spacing w:before="40" w:after="40" w:line="210" w:lineRule="exact"/>
              <w:ind w:right="40"/>
              <w:rPr>
                <w:sz w:val="17"/>
              </w:rPr>
            </w:pPr>
            <w:r w:rsidRPr="00986E32">
              <w:rPr>
                <w:sz w:val="17"/>
              </w:rPr>
              <w:t>Ne relèvent pas des compétences de la Commission</w:t>
            </w:r>
          </w:p>
        </w:tc>
        <w:tc>
          <w:tcPr>
            <w:tcW w:w="1827" w:type="dxa"/>
            <w:shd w:val="clear" w:color="auto" w:fill="auto"/>
            <w:vAlign w:val="bottom"/>
            <w:hideMark/>
          </w:tcPr>
          <w:p w14:paraId="01061DCF" w14:textId="77777777" w:rsidR="00986E32" w:rsidRPr="00986E32" w:rsidRDefault="00986E32" w:rsidP="00986E32">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8</w:t>
            </w:r>
          </w:p>
        </w:tc>
      </w:tr>
      <w:tr w:rsidR="00986E32" w:rsidRPr="00986E32" w14:paraId="774A2BFC" w14:textId="77777777" w:rsidTr="00986E32">
        <w:trPr>
          <w:cantSplit/>
        </w:trPr>
        <w:tc>
          <w:tcPr>
            <w:tcW w:w="5472" w:type="dxa"/>
            <w:shd w:val="clear" w:color="auto" w:fill="auto"/>
            <w:vAlign w:val="bottom"/>
            <w:hideMark/>
          </w:tcPr>
          <w:p w14:paraId="691BB7B6" w14:textId="77777777" w:rsidR="00986E32" w:rsidRPr="00986E32" w:rsidRDefault="00986E32" w:rsidP="00986E32">
            <w:pPr>
              <w:tabs>
                <w:tab w:val="left" w:pos="288"/>
                <w:tab w:val="left" w:pos="576"/>
                <w:tab w:val="left" w:pos="864"/>
                <w:tab w:val="left" w:pos="1152"/>
              </w:tabs>
              <w:suppressAutoHyphens/>
              <w:spacing w:before="40" w:after="40" w:line="210" w:lineRule="exact"/>
              <w:ind w:right="40"/>
              <w:rPr>
                <w:sz w:val="17"/>
              </w:rPr>
            </w:pPr>
            <w:r w:rsidRPr="00986E32">
              <w:rPr>
                <w:sz w:val="17"/>
              </w:rPr>
              <w:t>Absence de preuves de la discrimination</w:t>
            </w:r>
          </w:p>
        </w:tc>
        <w:tc>
          <w:tcPr>
            <w:tcW w:w="1827" w:type="dxa"/>
            <w:shd w:val="clear" w:color="auto" w:fill="auto"/>
            <w:vAlign w:val="bottom"/>
            <w:hideMark/>
          </w:tcPr>
          <w:p w14:paraId="6763B601" w14:textId="77777777" w:rsidR="00986E32" w:rsidRPr="00986E32" w:rsidRDefault="00986E32" w:rsidP="00986E32">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22</w:t>
            </w:r>
          </w:p>
        </w:tc>
      </w:tr>
      <w:tr w:rsidR="00986E32" w:rsidRPr="00986E32" w14:paraId="45F3D7BE" w14:textId="77777777" w:rsidTr="00986E32">
        <w:trPr>
          <w:cantSplit/>
        </w:trPr>
        <w:tc>
          <w:tcPr>
            <w:tcW w:w="5472" w:type="dxa"/>
            <w:shd w:val="clear" w:color="auto" w:fill="auto"/>
            <w:vAlign w:val="bottom"/>
            <w:hideMark/>
          </w:tcPr>
          <w:p w14:paraId="73866AC4" w14:textId="77777777" w:rsidR="00986E32" w:rsidRPr="00986E32" w:rsidRDefault="00986E32" w:rsidP="00986E32">
            <w:pPr>
              <w:tabs>
                <w:tab w:val="left" w:pos="288"/>
                <w:tab w:val="left" w:pos="576"/>
                <w:tab w:val="left" w:pos="864"/>
                <w:tab w:val="left" w:pos="1152"/>
              </w:tabs>
              <w:suppressAutoHyphens/>
              <w:spacing w:before="40" w:after="40" w:line="210" w:lineRule="exact"/>
              <w:ind w:right="40"/>
              <w:rPr>
                <w:sz w:val="17"/>
              </w:rPr>
            </w:pPr>
            <w:r w:rsidRPr="00986E32">
              <w:rPr>
                <w:sz w:val="17"/>
              </w:rPr>
              <w:t>Enquête en cours</w:t>
            </w:r>
          </w:p>
        </w:tc>
        <w:tc>
          <w:tcPr>
            <w:tcW w:w="1827" w:type="dxa"/>
            <w:shd w:val="clear" w:color="auto" w:fill="auto"/>
            <w:vAlign w:val="bottom"/>
            <w:hideMark/>
          </w:tcPr>
          <w:p w14:paraId="06BAC3BD" w14:textId="77777777" w:rsidR="00986E32" w:rsidRPr="00986E32" w:rsidRDefault="00986E32" w:rsidP="00986E32">
            <w:pPr>
              <w:tabs>
                <w:tab w:val="left" w:pos="288"/>
                <w:tab w:val="left" w:pos="576"/>
                <w:tab w:val="left" w:pos="864"/>
                <w:tab w:val="left" w:pos="1152"/>
              </w:tabs>
              <w:suppressAutoHyphens/>
              <w:spacing w:before="40" w:after="40" w:line="210" w:lineRule="exact"/>
              <w:ind w:left="144" w:right="43"/>
              <w:jc w:val="right"/>
              <w:rPr>
                <w:sz w:val="17"/>
              </w:rPr>
            </w:pPr>
            <w:r w:rsidRPr="00986E32">
              <w:rPr>
                <w:sz w:val="17"/>
              </w:rPr>
              <w:t>9</w:t>
            </w:r>
          </w:p>
        </w:tc>
      </w:tr>
      <w:tr w:rsidR="00986E32" w:rsidRPr="00986E32" w14:paraId="331656B0" w14:textId="77777777" w:rsidTr="00986E32">
        <w:trPr>
          <w:cantSplit/>
        </w:trPr>
        <w:tc>
          <w:tcPr>
            <w:tcW w:w="5472" w:type="dxa"/>
            <w:tcBorders>
              <w:bottom w:val="single" w:sz="4" w:space="0" w:color="auto"/>
            </w:tcBorders>
            <w:shd w:val="clear" w:color="auto" w:fill="auto"/>
            <w:vAlign w:val="bottom"/>
            <w:hideMark/>
          </w:tcPr>
          <w:p w14:paraId="36A862B3" w14:textId="507819CF" w:rsidR="00986E32" w:rsidRPr="00986E32" w:rsidRDefault="00986E32" w:rsidP="00545975">
            <w:pPr>
              <w:tabs>
                <w:tab w:val="left" w:pos="288"/>
                <w:tab w:val="left" w:pos="576"/>
                <w:tab w:val="left" w:pos="864"/>
                <w:tab w:val="left" w:pos="1152"/>
              </w:tabs>
              <w:suppressAutoHyphens/>
              <w:spacing w:before="40" w:after="81" w:line="210" w:lineRule="exact"/>
              <w:ind w:right="40"/>
              <w:rPr>
                <w:sz w:val="17"/>
              </w:rPr>
            </w:pPr>
            <w:r w:rsidRPr="00986E32">
              <w:rPr>
                <w:sz w:val="17"/>
              </w:rPr>
              <w:t>Transmises au tribunal de l</w:t>
            </w:r>
            <w:r w:rsidR="00795C5F">
              <w:rPr>
                <w:sz w:val="17"/>
              </w:rPr>
              <w:t>’</w:t>
            </w:r>
            <w:r w:rsidRPr="00986E32">
              <w:rPr>
                <w:sz w:val="17"/>
              </w:rPr>
              <w:t>égalité des chances</w:t>
            </w:r>
          </w:p>
        </w:tc>
        <w:tc>
          <w:tcPr>
            <w:tcW w:w="1827" w:type="dxa"/>
            <w:tcBorders>
              <w:bottom w:val="single" w:sz="4" w:space="0" w:color="auto"/>
            </w:tcBorders>
            <w:shd w:val="clear" w:color="auto" w:fill="auto"/>
            <w:vAlign w:val="bottom"/>
            <w:hideMark/>
          </w:tcPr>
          <w:p w14:paraId="74DF3C39" w14:textId="77777777" w:rsidR="00986E32" w:rsidRPr="00986E32" w:rsidRDefault="00986E32" w:rsidP="00545975">
            <w:pPr>
              <w:tabs>
                <w:tab w:val="left" w:pos="288"/>
                <w:tab w:val="left" w:pos="576"/>
                <w:tab w:val="left" w:pos="864"/>
                <w:tab w:val="left" w:pos="1152"/>
              </w:tabs>
              <w:suppressAutoHyphens/>
              <w:spacing w:before="40" w:after="81" w:line="210" w:lineRule="exact"/>
              <w:ind w:left="144" w:right="43"/>
              <w:jc w:val="right"/>
              <w:rPr>
                <w:sz w:val="17"/>
              </w:rPr>
            </w:pPr>
            <w:r w:rsidRPr="00986E32">
              <w:rPr>
                <w:sz w:val="17"/>
              </w:rPr>
              <w:t>3</w:t>
            </w:r>
          </w:p>
        </w:tc>
      </w:tr>
      <w:tr w:rsidR="00986E32" w:rsidRPr="00986E32" w14:paraId="4DA905B1" w14:textId="77777777" w:rsidTr="00986E32">
        <w:trPr>
          <w:cantSplit/>
        </w:trPr>
        <w:tc>
          <w:tcPr>
            <w:tcW w:w="5472" w:type="dxa"/>
            <w:tcBorders>
              <w:top w:val="single" w:sz="4" w:space="0" w:color="auto"/>
              <w:bottom w:val="single" w:sz="12" w:space="0" w:color="auto"/>
            </w:tcBorders>
            <w:shd w:val="clear" w:color="auto" w:fill="auto"/>
            <w:vAlign w:val="bottom"/>
            <w:hideMark/>
          </w:tcPr>
          <w:p w14:paraId="7B085AB3" w14:textId="08B05A2C" w:rsidR="00986E32" w:rsidRPr="00986E32" w:rsidRDefault="00986E32" w:rsidP="00545975">
            <w:pPr>
              <w:tabs>
                <w:tab w:val="left" w:pos="288"/>
                <w:tab w:val="left" w:pos="576"/>
                <w:tab w:val="left" w:pos="864"/>
                <w:tab w:val="left" w:pos="1152"/>
              </w:tabs>
              <w:suppressAutoHyphens/>
              <w:spacing w:before="81" w:after="81" w:line="210" w:lineRule="exact"/>
              <w:ind w:right="40"/>
              <w:rPr>
                <w:b/>
                <w:bCs/>
                <w:sz w:val="17"/>
              </w:rPr>
            </w:pPr>
            <w:r w:rsidRPr="00986E32">
              <w:rPr>
                <w:b/>
                <w:bCs/>
                <w:sz w:val="17"/>
              </w:rPr>
              <w:tab/>
              <w:t>Nombre total de plaintes reçues</w:t>
            </w:r>
          </w:p>
        </w:tc>
        <w:tc>
          <w:tcPr>
            <w:tcW w:w="1827" w:type="dxa"/>
            <w:tcBorders>
              <w:top w:val="single" w:sz="4" w:space="0" w:color="auto"/>
              <w:bottom w:val="single" w:sz="12" w:space="0" w:color="auto"/>
            </w:tcBorders>
            <w:shd w:val="clear" w:color="auto" w:fill="auto"/>
            <w:vAlign w:val="bottom"/>
            <w:hideMark/>
          </w:tcPr>
          <w:p w14:paraId="0A8C9126" w14:textId="77777777" w:rsidR="00986E32" w:rsidRPr="00986E32" w:rsidRDefault="00986E32" w:rsidP="00545975">
            <w:pPr>
              <w:tabs>
                <w:tab w:val="left" w:pos="288"/>
                <w:tab w:val="left" w:pos="576"/>
                <w:tab w:val="left" w:pos="864"/>
                <w:tab w:val="left" w:pos="1152"/>
              </w:tabs>
              <w:suppressAutoHyphens/>
              <w:spacing w:before="81" w:after="81" w:line="210" w:lineRule="exact"/>
              <w:ind w:left="144" w:right="43"/>
              <w:jc w:val="right"/>
              <w:rPr>
                <w:b/>
                <w:bCs/>
                <w:sz w:val="17"/>
              </w:rPr>
            </w:pPr>
            <w:r w:rsidRPr="00986E32">
              <w:rPr>
                <w:b/>
                <w:bCs/>
                <w:sz w:val="17"/>
              </w:rPr>
              <w:t>60</w:t>
            </w:r>
          </w:p>
        </w:tc>
      </w:tr>
    </w:tbl>
    <w:p w14:paraId="7B5ED030" w14:textId="77777777" w:rsidR="00986E32" w:rsidRPr="00986E32" w:rsidRDefault="00986E32" w:rsidP="00986E32">
      <w:pPr>
        <w:pStyle w:val="SingleTxtG"/>
        <w:spacing w:after="0" w:line="120" w:lineRule="exact"/>
        <w:ind w:firstLine="170"/>
        <w:rPr>
          <w:i/>
          <w:iCs/>
          <w:sz w:val="10"/>
          <w:lang w:val="fr-FR"/>
        </w:rPr>
      </w:pPr>
    </w:p>
    <w:p w14:paraId="684C3B8D" w14:textId="7CF492DD" w:rsidR="00986E32" w:rsidRPr="00FC13BE" w:rsidRDefault="00C64AB1" w:rsidP="00986E32">
      <w:pPr>
        <w:pStyle w:val="FootnoteText"/>
        <w:tabs>
          <w:tab w:val="right" w:pos="1476"/>
          <w:tab w:val="left" w:pos="1548"/>
          <w:tab w:val="right" w:pos="1836"/>
          <w:tab w:val="left" w:pos="1908"/>
        </w:tabs>
        <w:ind w:left="1548" w:right="1267" w:hanging="288"/>
        <w:rPr>
          <w:sz w:val="18"/>
          <w:szCs w:val="18"/>
          <w:shd w:val="clear" w:color="auto" w:fill="FFFFFF"/>
          <w:lang w:val="fr-FR"/>
        </w:rPr>
      </w:pPr>
      <w:r w:rsidRPr="00350182">
        <w:rPr>
          <w:i/>
          <w:iCs/>
          <w:lang w:val="fr-FR"/>
        </w:rPr>
        <w:t>Source</w:t>
      </w:r>
      <w:r w:rsidR="00795C5F">
        <w:rPr>
          <w:i/>
          <w:iCs/>
          <w:lang w:val="fr-FR"/>
        </w:rPr>
        <w:t> </w:t>
      </w:r>
      <w:r w:rsidR="00795C5F" w:rsidRPr="00545975">
        <w:rPr>
          <w:lang w:val="fr-FR"/>
        </w:rPr>
        <w:t>:</w:t>
      </w:r>
      <w:r w:rsidR="00986E32">
        <w:rPr>
          <w:lang w:val="fr-FR"/>
        </w:rPr>
        <w:t xml:space="preserve"> Commission de l</w:t>
      </w:r>
      <w:r w:rsidR="00795C5F">
        <w:rPr>
          <w:lang w:val="fr-FR"/>
        </w:rPr>
        <w:t>’</w:t>
      </w:r>
      <w:r w:rsidR="00986E32">
        <w:rPr>
          <w:lang w:val="fr-FR"/>
        </w:rPr>
        <w:t>égalité des chances.</w:t>
      </w:r>
    </w:p>
    <w:p w14:paraId="2D7AD65B" w14:textId="674C4372" w:rsidR="00986E32" w:rsidRPr="00986E32" w:rsidRDefault="00986E32" w:rsidP="00986E32">
      <w:pPr>
        <w:pStyle w:val="SingleTxt"/>
        <w:spacing w:after="0" w:line="120" w:lineRule="exact"/>
        <w:rPr>
          <w:sz w:val="10"/>
          <w:lang w:val="fr-FR"/>
        </w:rPr>
      </w:pPr>
    </w:p>
    <w:p w14:paraId="73C46AF7" w14:textId="51487DEA" w:rsidR="00986E32" w:rsidRPr="00986E32" w:rsidRDefault="00986E32" w:rsidP="00986E32">
      <w:pPr>
        <w:pStyle w:val="SingleTxt"/>
        <w:spacing w:after="0" w:line="120" w:lineRule="exact"/>
        <w:rPr>
          <w:sz w:val="10"/>
          <w:lang w:val="fr-FR"/>
        </w:rPr>
      </w:pPr>
    </w:p>
    <w:p w14:paraId="16F2257D" w14:textId="77F55F52" w:rsidR="00986E32" w:rsidRPr="00986E32" w:rsidRDefault="00986E32" w:rsidP="00986E32">
      <w:pPr>
        <w:pStyle w:val="SingleTxt"/>
        <w:numPr>
          <w:ilvl w:val="0"/>
          <w:numId w:val="19"/>
        </w:numPr>
        <w:tabs>
          <w:tab w:val="num" w:pos="2804"/>
        </w:tabs>
        <w:spacing w:line="240" w:lineRule="exact"/>
        <w:ind w:left="1267"/>
        <w:rPr>
          <w:lang w:val="fr-FR"/>
        </w:rPr>
      </w:pPr>
      <w:r w:rsidRPr="00986E32">
        <w:rPr>
          <w:lang w:val="fr-FR"/>
        </w:rPr>
        <w:t>La Convention sur l</w:t>
      </w:r>
      <w:r w:rsidR="00795C5F">
        <w:rPr>
          <w:lang w:val="fr-FR"/>
        </w:rPr>
        <w:t>’</w:t>
      </w:r>
      <w:r w:rsidRPr="00986E32">
        <w:rPr>
          <w:lang w:val="fr-FR"/>
        </w:rPr>
        <w:t>élimination de toutes les formes de discrimination à l</w:t>
      </w:r>
      <w:r w:rsidR="00795C5F">
        <w:rPr>
          <w:lang w:val="fr-FR"/>
        </w:rPr>
        <w:t>’</w:t>
      </w:r>
      <w:r w:rsidRPr="00986E32">
        <w:rPr>
          <w:lang w:val="fr-FR"/>
        </w:rPr>
        <w:t>égard des femmes n</w:t>
      </w:r>
      <w:r w:rsidR="00795C5F">
        <w:rPr>
          <w:lang w:val="fr-FR"/>
        </w:rPr>
        <w:t>’</w:t>
      </w:r>
      <w:r w:rsidRPr="00986E32">
        <w:rPr>
          <w:lang w:val="fr-FR"/>
        </w:rPr>
        <w:t>a été évoquée dans aucune affaire de discrimination sexiste soumise à la Commission.</w:t>
      </w:r>
    </w:p>
    <w:p w14:paraId="6294ED5F" w14:textId="72B286AB" w:rsidR="00986E32" w:rsidRPr="00986E32" w:rsidRDefault="00986E32" w:rsidP="00986E32">
      <w:pPr>
        <w:pStyle w:val="SingleTxt"/>
        <w:numPr>
          <w:ilvl w:val="0"/>
          <w:numId w:val="19"/>
        </w:numPr>
        <w:spacing w:line="240" w:lineRule="exact"/>
        <w:ind w:left="1267"/>
        <w:rPr>
          <w:lang w:val="fr-FR"/>
        </w:rPr>
      </w:pPr>
      <w:r w:rsidRPr="00986E32">
        <w:rPr>
          <w:lang w:val="fr-FR"/>
        </w:rPr>
        <w:t>La Commission indépendante pour les plaintes relatives à la police est devenue opérationnelle le 9 avril 2018. L</w:t>
      </w:r>
      <w:r w:rsidR="00795C5F">
        <w:rPr>
          <w:lang w:val="fr-FR"/>
        </w:rPr>
        <w:t>’</w:t>
      </w:r>
      <w:r w:rsidRPr="00986E32">
        <w:rPr>
          <w:lang w:val="fr-FR"/>
        </w:rPr>
        <w:t>un de ses mandats est d</w:t>
      </w:r>
      <w:r w:rsidR="00795C5F">
        <w:rPr>
          <w:lang w:val="fr-FR"/>
        </w:rPr>
        <w:t>’</w:t>
      </w:r>
      <w:r w:rsidRPr="00986E32">
        <w:rPr>
          <w:lang w:val="fr-FR"/>
        </w:rPr>
        <w:t>enquêter sur les plaintes déposées par une personne ou en son nom pour tout acte, conduite ou négligence de la part d</w:t>
      </w:r>
      <w:r w:rsidR="00795C5F">
        <w:rPr>
          <w:lang w:val="fr-FR"/>
        </w:rPr>
        <w:t>’</w:t>
      </w:r>
      <w:r w:rsidRPr="00986E32">
        <w:rPr>
          <w:lang w:val="fr-FR"/>
        </w:rPr>
        <w:t>un membre des forces de police dans l</w:t>
      </w:r>
      <w:r w:rsidR="00795C5F">
        <w:rPr>
          <w:lang w:val="fr-FR"/>
        </w:rPr>
        <w:t>’</w:t>
      </w:r>
      <w:r w:rsidRPr="00986E32">
        <w:rPr>
          <w:lang w:val="fr-FR"/>
        </w:rPr>
        <w:t>exercice de ses fonctions, à l</w:t>
      </w:r>
      <w:r w:rsidR="00795C5F">
        <w:rPr>
          <w:lang w:val="fr-FR"/>
        </w:rPr>
        <w:t>’</w:t>
      </w:r>
      <w:r w:rsidRPr="00986E32">
        <w:rPr>
          <w:lang w:val="fr-FR"/>
        </w:rPr>
        <w:t>exception des plaintes pour corruption ou blanchiment d</w:t>
      </w:r>
      <w:r w:rsidR="00795C5F">
        <w:rPr>
          <w:lang w:val="fr-FR"/>
        </w:rPr>
        <w:t>’</w:t>
      </w:r>
      <w:r w:rsidRPr="00986E32">
        <w:rPr>
          <w:lang w:val="fr-FR"/>
        </w:rPr>
        <w:t>argent.</w:t>
      </w:r>
    </w:p>
    <w:p w14:paraId="50D0B72A" w14:textId="5C544AB2" w:rsidR="00986E32" w:rsidRPr="00046FCC" w:rsidRDefault="00986E32" w:rsidP="00046FCC">
      <w:pPr>
        <w:pStyle w:val="SingleTxt"/>
        <w:spacing w:after="0" w:line="120" w:lineRule="exact"/>
        <w:rPr>
          <w:sz w:val="10"/>
          <w:lang w:val="fr-FR"/>
        </w:rPr>
      </w:pPr>
    </w:p>
    <w:p w14:paraId="28C27BFC" w14:textId="77777777" w:rsidR="00046FCC" w:rsidRPr="00986E32" w:rsidRDefault="00046FCC" w:rsidP="00986E32">
      <w:pPr>
        <w:pStyle w:val="SingleTxt"/>
        <w:spacing w:after="0" w:line="120" w:lineRule="exact"/>
        <w:rPr>
          <w:sz w:val="10"/>
          <w:lang w:val="fr-FR"/>
        </w:rPr>
      </w:pPr>
    </w:p>
    <w:p w14:paraId="066341DD" w14:textId="720FAF74" w:rsidR="00986E32" w:rsidRDefault="00986E32"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6E32">
        <w:rPr>
          <w:lang w:val="fr-FR"/>
        </w:rPr>
        <w:tab/>
      </w:r>
      <w:r w:rsidRPr="00986E32">
        <w:rPr>
          <w:lang w:val="fr-FR"/>
        </w:rPr>
        <w:tab/>
        <w:t>Accès à la justice</w:t>
      </w:r>
    </w:p>
    <w:p w14:paraId="5ECAF63E" w14:textId="481B4CE9" w:rsidR="00986E32" w:rsidRPr="00046FCC" w:rsidRDefault="00986E32" w:rsidP="00046FCC">
      <w:pPr>
        <w:pStyle w:val="SingleTxt"/>
        <w:spacing w:after="0" w:line="120" w:lineRule="exact"/>
        <w:rPr>
          <w:sz w:val="10"/>
          <w:lang w:val="fr-FR"/>
        </w:rPr>
      </w:pPr>
    </w:p>
    <w:p w14:paraId="5A6262BB" w14:textId="77777777" w:rsidR="00046FCC" w:rsidRPr="00986E32" w:rsidRDefault="00046FCC" w:rsidP="00986E32">
      <w:pPr>
        <w:pStyle w:val="SingleTxt"/>
        <w:spacing w:after="0" w:line="120" w:lineRule="exact"/>
        <w:rPr>
          <w:sz w:val="10"/>
          <w:lang w:val="fr-FR"/>
        </w:rPr>
      </w:pPr>
    </w:p>
    <w:p w14:paraId="28E2616D" w14:textId="7CCE233D" w:rsidR="00986E32" w:rsidRPr="00986E32" w:rsidRDefault="00986E32" w:rsidP="00986E32">
      <w:pPr>
        <w:pStyle w:val="SingleTxt"/>
        <w:numPr>
          <w:ilvl w:val="0"/>
          <w:numId w:val="19"/>
        </w:numPr>
        <w:spacing w:line="240" w:lineRule="exact"/>
        <w:ind w:left="1267"/>
        <w:rPr>
          <w:lang w:val="fr-FR"/>
        </w:rPr>
      </w:pPr>
      <w:r w:rsidRPr="00986E32">
        <w:rPr>
          <w:lang w:val="fr-FR"/>
        </w:rPr>
        <w:t>Le Gouvernement de la République de Maurice a promulgué une série de lois pour assurer la protection des droits fondamentaux, notamment ceux des femmes, et la protection des groupes de femmes défavorisés, y compris les femmes rurales, âgées et handicapées. L</w:t>
      </w:r>
      <w:r w:rsidR="00795C5F">
        <w:rPr>
          <w:lang w:val="fr-FR"/>
        </w:rPr>
        <w:t>’</w:t>
      </w:r>
      <w:r w:rsidRPr="00986E32">
        <w:rPr>
          <w:lang w:val="fr-FR"/>
        </w:rPr>
        <w:t>article 17 de la Constitution prévoit l</w:t>
      </w:r>
      <w:r w:rsidR="00795C5F">
        <w:rPr>
          <w:lang w:val="fr-FR"/>
        </w:rPr>
        <w:t>’</w:t>
      </w:r>
      <w:r w:rsidRPr="00986E32">
        <w:rPr>
          <w:lang w:val="fr-FR"/>
        </w:rPr>
        <w:t>octroi d</w:t>
      </w:r>
      <w:r w:rsidR="00795C5F">
        <w:rPr>
          <w:lang w:val="fr-FR"/>
        </w:rPr>
        <w:t>’</w:t>
      </w:r>
      <w:r w:rsidRPr="00986E32">
        <w:rPr>
          <w:lang w:val="fr-FR"/>
        </w:rPr>
        <w:t>une réparation par la Cour suprême à toute personne dont les droits visés au chapitre II (droits et libertés fondamentaux) ont fait, font ou feront selon toute vraisemblance l</w:t>
      </w:r>
      <w:r w:rsidR="00795C5F">
        <w:rPr>
          <w:lang w:val="fr-FR"/>
        </w:rPr>
        <w:t>’</w:t>
      </w:r>
      <w:r w:rsidRPr="00986E32">
        <w:rPr>
          <w:lang w:val="fr-FR"/>
        </w:rPr>
        <w:t>objet d</w:t>
      </w:r>
      <w:r w:rsidR="00795C5F">
        <w:rPr>
          <w:lang w:val="fr-FR"/>
        </w:rPr>
        <w:t>’</w:t>
      </w:r>
      <w:r w:rsidRPr="00986E32">
        <w:rPr>
          <w:lang w:val="fr-FR"/>
        </w:rPr>
        <w:t>une violation. Les actes des organismes publics peuvent également être portés devant la Cour aux fins d</w:t>
      </w:r>
      <w:r w:rsidR="00795C5F">
        <w:rPr>
          <w:lang w:val="fr-FR"/>
        </w:rPr>
        <w:t>’</w:t>
      </w:r>
      <w:r w:rsidRPr="00986E32">
        <w:rPr>
          <w:lang w:val="fr-FR"/>
        </w:rPr>
        <w:t>un contrôle juridictionnel pour déterminer leur illégalité.</w:t>
      </w:r>
    </w:p>
    <w:p w14:paraId="0FC05789" w14:textId="1A6D27E4" w:rsidR="00986E32" w:rsidRPr="00986E32" w:rsidRDefault="00986E32" w:rsidP="00986E32">
      <w:pPr>
        <w:pStyle w:val="SingleTxt"/>
        <w:numPr>
          <w:ilvl w:val="0"/>
          <w:numId w:val="19"/>
        </w:numPr>
        <w:spacing w:line="240" w:lineRule="exact"/>
        <w:ind w:left="1267"/>
        <w:rPr>
          <w:lang w:val="fr-FR"/>
        </w:rPr>
      </w:pPr>
      <w:r w:rsidRPr="00986E32">
        <w:rPr>
          <w:lang w:val="fr-FR"/>
        </w:rPr>
        <w:t>En application de la loi pour la protection des droits de l</w:t>
      </w:r>
      <w:r w:rsidR="00795C5F">
        <w:rPr>
          <w:lang w:val="fr-FR"/>
        </w:rPr>
        <w:t>’</w:t>
      </w:r>
      <w:r w:rsidRPr="00986E32">
        <w:rPr>
          <w:lang w:val="fr-FR"/>
        </w:rPr>
        <w:t>homme, toute personne dénonçant une violation ou une violation probable par un fonctionnaire des droits de l</w:t>
      </w:r>
      <w:r w:rsidR="00795C5F">
        <w:rPr>
          <w:lang w:val="fr-FR"/>
        </w:rPr>
        <w:t>’</w:t>
      </w:r>
      <w:r w:rsidRPr="00986E32">
        <w:rPr>
          <w:lang w:val="fr-FR"/>
        </w:rPr>
        <w:t>homme consacrés dans la Constitution peut adresser une plainte écrite à la Commission nationale des droits de l</w:t>
      </w:r>
      <w:r w:rsidR="00795C5F">
        <w:rPr>
          <w:lang w:val="fr-FR"/>
        </w:rPr>
        <w:t>’</w:t>
      </w:r>
      <w:r w:rsidRPr="00986E32">
        <w:rPr>
          <w:lang w:val="fr-FR"/>
        </w:rPr>
        <w:t>homme et demander réparation.</w:t>
      </w:r>
    </w:p>
    <w:p w14:paraId="60EADA71" w14:textId="30A9B1B9" w:rsidR="00986E32" w:rsidRPr="00986E32" w:rsidRDefault="00986E32" w:rsidP="00986E32">
      <w:pPr>
        <w:pStyle w:val="SingleTxt"/>
        <w:numPr>
          <w:ilvl w:val="0"/>
          <w:numId w:val="19"/>
        </w:numPr>
        <w:spacing w:line="240" w:lineRule="exact"/>
        <w:ind w:left="1267"/>
        <w:rPr>
          <w:lang w:val="fr-FR"/>
        </w:rPr>
      </w:pPr>
      <w:r w:rsidRPr="00986E32">
        <w:rPr>
          <w:lang w:val="fr-FR"/>
        </w:rPr>
        <w:t xml:space="preserve">La Commission garantit et protège les droits de tous les citoyens, y compris les femmes et les filles. </w:t>
      </w:r>
    </w:p>
    <w:p w14:paraId="2CCAF951" w14:textId="5ED10429" w:rsidR="00986E32" w:rsidRPr="00986E32" w:rsidRDefault="00986E32" w:rsidP="00986E32">
      <w:pPr>
        <w:pStyle w:val="SingleTxt"/>
        <w:numPr>
          <w:ilvl w:val="0"/>
          <w:numId w:val="19"/>
        </w:numPr>
        <w:spacing w:line="240" w:lineRule="exact"/>
        <w:ind w:left="1267"/>
        <w:rPr>
          <w:lang w:val="fr-FR"/>
        </w:rPr>
      </w:pPr>
      <w:r w:rsidRPr="00986E32">
        <w:rPr>
          <w:lang w:val="fr-FR"/>
        </w:rPr>
        <w:t>Des conférences ont été organisées en février 2018 à l</w:t>
      </w:r>
      <w:r w:rsidR="00795C5F">
        <w:rPr>
          <w:lang w:val="fr-FR"/>
        </w:rPr>
        <w:t>’</w:t>
      </w:r>
      <w:r w:rsidRPr="00986E32">
        <w:rPr>
          <w:lang w:val="fr-FR"/>
        </w:rPr>
        <w:t>Institut d</w:t>
      </w:r>
      <w:r w:rsidR="00795C5F">
        <w:rPr>
          <w:lang w:val="fr-FR"/>
        </w:rPr>
        <w:t>’</w:t>
      </w:r>
      <w:r w:rsidRPr="00986E32">
        <w:rPr>
          <w:lang w:val="fr-FR"/>
        </w:rPr>
        <w:t xml:space="preserve">études judiciaires et juridiques pour sensibiliser les auxiliaires de justice à la nécessité de respecter les dispositions de la Convention. </w:t>
      </w:r>
    </w:p>
    <w:p w14:paraId="01CB7138" w14:textId="08A42E2F" w:rsidR="00986E32" w:rsidRPr="00986E32" w:rsidRDefault="00986E32" w:rsidP="00986E32">
      <w:pPr>
        <w:pStyle w:val="SingleTxt"/>
        <w:numPr>
          <w:ilvl w:val="0"/>
          <w:numId w:val="19"/>
        </w:numPr>
        <w:spacing w:line="240" w:lineRule="exact"/>
        <w:ind w:left="1267"/>
        <w:rPr>
          <w:lang w:val="fr-FR"/>
        </w:rPr>
      </w:pPr>
      <w:r w:rsidRPr="00986E32">
        <w:rPr>
          <w:lang w:val="fr-FR"/>
        </w:rPr>
        <w:lastRenderedPageBreak/>
        <w:t>La Convention a également été évoquée dans l</w:t>
      </w:r>
      <w:r w:rsidR="00795C5F">
        <w:rPr>
          <w:lang w:val="fr-FR"/>
        </w:rPr>
        <w:t>’</w:t>
      </w:r>
      <w:r w:rsidRPr="00986E32">
        <w:rPr>
          <w:lang w:val="fr-FR"/>
        </w:rPr>
        <w:t xml:space="preserve">affaire </w:t>
      </w:r>
      <w:r w:rsidRPr="00545975">
        <w:rPr>
          <w:i/>
          <w:iCs/>
          <w:lang w:val="fr-FR"/>
        </w:rPr>
        <w:t>SCJ 271</w:t>
      </w:r>
      <w:r w:rsidRPr="00986E32">
        <w:rPr>
          <w:lang w:val="fr-FR"/>
        </w:rPr>
        <w:t xml:space="preserve"> opposant </w:t>
      </w:r>
      <w:r w:rsidRPr="00545975">
        <w:rPr>
          <w:lang w:val="fr-FR"/>
        </w:rPr>
        <w:t>C</w:t>
      </w:r>
      <w:r w:rsidR="00C64AB1" w:rsidRPr="00986E32">
        <w:rPr>
          <w:lang w:val="fr-FR"/>
        </w:rPr>
        <w:t>.</w:t>
      </w:r>
      <w:r w:rsidR="00C64AB1">
        <w:rPr>
          <w:lang w:val="fr-FR"/>
        </w:rPr>
        <w:t> </w:t>
      </w:r>
      <w:r w:rsidRPr="00986E32">
        <w:rPr>
          <w:lang w:val="fr-FR"/>
        </w:rPr>
        <w:t>Henriksen à l</w:t>
      </w:r>
      <w:r w:rsidR="00795C5F">
        <w:rPr>
          <w:lang w:val="fr-FR"/>
        </w:rPr>
        <w:t>’</w:t>
      </w:r>
      <w:r w:rsidRPr="00986E32">
        <w:rPr>
          <w:lang w:val="fr-FR"/>
        </w:rPr>
        <w:t>État en 2012, dans laquelle l</w:t>
      </w:r>
      <w:r w:rsidR="00795C5F">
        <w:rPr>
          <w:lang w:val="fr-FR"/>
        </w:rPr>
        <w:t>’</w:t>
      </w:r>
      <w:r w:rsidRPr="00986E32">
        <w:rPr>
          <w:lang w:val="fr-FR"/>
        </w:rPr>
        <w:t>accusée comparaissait devant la Cour intermédiaire pour coups et blessures ayant entraîné la mort sans intention de la donner. L</w:t>
      </w:r>
      <w:r w:rsidR="00795C5F">
        <w:rPr>
          <w:lang w:val="fr-FR"/>
        </w:rPr>
        <w:t>’</w:t>
      </w:r>
      <w:r w:rsidRPr="00986E32">
        <w:rPr>
          <w:lang w:val="fr-FR"/>
        </w:rPr>
        <w:t>accusée a dit avoir répondu à une provocation et l</w:t>
      </w:r>
      <w:r w:rsidR="00795C5F">
        <w:rPr>
          <w:lang w:val="fr-FR"/>
        </w:rPr>
        <w:t>’</w:t>
      </w:r>
      <w:r w:rsidRPr="00986E32">
        <w:rPr>
          <w:lang w:val="fr-FR"/>
        </w:rPr>
        <w:t>avocat de la défense a fait référence à l</w:t>
      </w:r>
      <w:r w:rsidR="00795C5F">
        <w:rPr>
          <w:lang w:val="fr-FR"/>
        </w:rPr>
        <w:t>’</w:t>
      </w:r>
      <w:r w:rsidRPr="00986E32">
        <w:rPr>
          <w:lang w:val="fr-FR"/>
        </w:rPr>
        <w:t>article 2 de la Convention.</w:t>
      </w:r>
    </w:p>
    <w:p w14:paraId="74C32E2F" w14:textId="1D8C81F7" w:rsidR="00986E32" w:rsidRPr="00986E32" w:rsidRDefault="00986E32" w:rsidP="00986E32">
      <w:pPr>
        <w:pStyle w:val="SingleTxt"/>
        <w:numPr>
          <w:ilvl w:val="0"/>
          <w:numId w:val="19"/>
        </w:numPr>
        <w:spacing w:line="240" w:lineRule="exact"/>
        <w:ind w:left="1267"/>
        <w:rPr>
          <w:lang w:val="fr-FR"/>
        </w:rPr>
      </w:pPr>
      <w:r w:rsidRPr="00986E32">
        <w:rPr>
          <w:lang w:val="fr-FR"/>
        </w:rPr>
        <w:t>Aucune autre affaire connue de discrimination sexiste n</w:t>
      </w:r>
      <w:r w:rsidR="00795C5F">
        <w:rPr>
          <w:lang w:val="fr-FR"/>
        </w:rPr>
        <w:t>’</w:t>
      </w:r>
      <w:r w:rsidRPr="00986E32">
        <w:rPr>
          <w:lang w:val="fr-FR"/>
        </w:rPr>
        <w:t>a été portée devant les tribunaux.</w:t>
      </w:r>
    </w:p>
    <w:p w14:paraId="618ED65E" w14:textId="0B7282D8" w:rsidR="00986E32" w:rsidRPr="00046FCC" w:rsidRDefault="00986E32" w:rsidP="00545975">
      <w:pPr>
        <w:pStyle w:val="SingleTxt"/>
        <w:spacing w:after="0" w:line="100" w:lineRule="exact"/>
        <w:rPr>
          <w:sz w:val="10"/>
          <w:lang w:val="fr-FR"/>
        </w:rPr>
      </w:pPr>
    </w:p>
    <w:p w14:paraId="431242F4" w14:textId="77777777" w:rsidR="00046FCC" w:rsidRPr="00986E32" w:rsidRDefault="00046FCC" w:rsidP="00545975">
      <w:pPr>
        <w:pStyle w:val="SingleTxt"/>
        <w:spacing w:after="0" w:line="100" w:lineRule="exact"/>
        <w:rPr>
          <w:sz w:val="10"/>
          <w:lang w:val="fr-FR"/>
        </w:rPr>
      </w:pPr>
    </w:p>
    <w:p w14:paraId="7ECFADCB" w14:textId="3FC2CA16" w:rsidR="00986E32" w:rsidRDefault="00986E32"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6E32">
        <w:rPr>
          <w:lang w:val="fr-FR"/>
        </w:rPr>
        <w:tab/>
      </w:r>
      <w:r w:rsidRPr="00986E32">
        <w:rPr>
          <w:lang w:val="fr-FR"/>
        </w:rPr>
        <w:tab/>
        <w:t>Les femmes et la paix et la sécurité</w:t>
      </w:r>
    </w:p>
    <w:p w14:paraId="2ECF8416" w14:textId="2E9F641B" w:rsidR="00986E32" w:rsidRPr="00046FCC" w:rsidRDefault="00986E32" w:rsidP="00545975">
      <w:pPr>
        <w:pStyle w:val="SingleTxt"/>
        <w:spacing w:after="0" w:line="100" w:lineRule="exact"/>
        <w:rPr>
          <w:sz w:val="10"/>
          <w:lang w:val="fr-FR"/>
        </w:rPr>
      </w:pPr>
    </w:p>
    <w:p w14:paraId="33D03501" w14:textId="77777777" w:rsidR="00046FCC" w:rsidRPr="00986E32" w:rsidRDefault="00046FCC" w:rsidP="00545975">
      <w:pPr>
        <w:pStyle w:val="SingleTxt"/>
        <w:spacing w:after="0" w:line="100" w:lineRule="exact"/>
        <w:rPr>
          <w:sz w:val="10"/>
          <w:lang w:val="fr-FR"/>
        </w:rPr>
      </w:pPr>
    </w:p>
    <w:p w14:paraId="004B4B19" w14:textId="75E60914" w:rsidR="00986E32" w:rsidRPr="00986E32" w:rsidRDefault="00986E32" w:rsidP="00986E32">
      <w:pPr>
        <w:pStyle w:val="SingleTxt"/>
        <w:numPr>
          <w:ilvl w:val="0"/>
          <w:numId w:val="19"/>
        </w:numPr>
        <w:spacing w:line="240" w:lineRule="exact"/>
        <w:ind w:left="1267"/>
        <w:rPr>
          <w:lang w:val="fr-FR"/>
        </w:rPr>
      </w:pPr>
      <w:r w:rsidRPr="00986E32">
        <w:rPr>
          <w:lang w:val="fr-FR"/>
        </w:rPr>
        <w:t>La République de Maurice ne dispose pas actuellement de plan d</w:t>
      </w:r>
      <w:r w:rsidR="00795C5F">
        <w:rPr>
          <w:lang w:val="fr-FR"/>
        </w:rPr>
        <w:t>’</w:t>
      </w:r>
      <w:r w:rsidRPr="00986E32">
        <w:rPr>
          <w:lang w:val="fr-FR"/>
        </w:rPr>
        <w:t>action national pour la mise en œuvre de la résolution 1325 du Conseil de sécurité de l</w:t>
      </w:r>
      <w:r w:rsidR="00795C5F">
        <w:rPr>
          <w:lang w:val="fr-FR"/>
        </w:rPr>
        <w:t>’</w:t>
      </w:r>
      <w:r w:rsidRPr="00986E32">
        <w:rPr>
          <w:lang w:val="fr-FR"/>
        </w:rPr>
        <w:t>Organisation des Nations Unies. Il n</w:t>
      </w:r>
      <w:r w:rsidR="00795C5F">
        <w:rPr>
          <w:lang w:val="fr-FR"/>
        </w:rPr>
        <w:t>’</w:t>
      </w:r>
      <w:r w:rsidRPr="00986E32">
        <w:rPr>
          <w:lang w:val="fr-FR"/>
        </w:rPr>
        <w:t>y a pas sur son territoire de femmes ou d</w:t>
      </w:r>
      <w:r w:rsidR="00795C5F">
        <w:rPr>
          <w:lang w:val="fr-FR"/>
        </w:rPr>
        <w:t>’</w:t>
      </w:r>
      <w:r w:rsidRPr="00986E32">
        <w:rPr>
          <w:lang w:val="fr-FR"/>
        </w:rPr>
        <w:t>enfants vivant dans des situations de conflit armé ou sous occupation étrangère, ni de réfugiés nécessitant une protection internationale, ni de femmes ou d</w:t>
      </w:r>
      <w:r w:rsidR="00795C5F">
        <w:rPr>
          <w:lang w:val="fr-FR"/>
        </w:rPr>
        <w:t>’</w:t>
      </w:r>
      <w:r w:rsidRPr="00986E32">
        <w:rPr>
          <w:lang w:val="fr-FR"/>
        </w:rPr>
        <w:t>enfants déplacés au niveau international. Le pays n</w:t>
      </w:r>
      <w:r w:rsidR="00795C5F">
        <w:rPr>
          <w:lang w:val="fr-FR"/>
        </w:rPr>
        <w:t>’</w:t>
      </w:r>
      <w:r w:rsidRPr="00986E32">
        <w:rPr>
          <w:lang w:val="fr-FR"/>
        </w:rPr>
        <w:t>est impliqué dans aucun conflit armé. La question des obstacles à la participation des femmes aux efforts de prévention, de gestion et de résolution des conflits n</w:t>
      </w:r>
      <w:r w:rsidR="00795C5F">
        <w:rPr>
          <w:lang w:val="fr-FR"/>
        </w:rPr>
        <w:t>’</w:t>
      </w:r>
      <w:r w:rsidRPr="00986E32">
        <w:rPr>
          <w:lang w:val="fr-FR"/>
        </w:rPr>
        <w:t>est donc pas applicable à Maurice.</w:t>
      </w:r>
    </w:p>
    <w:p w14:paraId="5F0A0FDF" w14:textId="558E2EFE" w:rsidR="00986E32" w:rsidRPr="00046FCC" w:rsidRDefault="00986E32" w:rsidP="00545975">
      <w:pPr>
        <w:pStyle w:val="SingleTxt"/>
        <w:spacing w:after="0" w:line="100" w:lineRule="exact"/>
        <w:rPr>
          <w:sz w:val="10"/>
          <w:lang w:val="fr-FR"/>
        </w:rPr>
      </w:pPr>
    </w:p>
    <w:p w14:paraId="4AADB8FD" w14:textId="77777777" w:rsidR="00046FCC" w:rsidRPr="00986E32" w:rsidRDefault="00046FCC" w:rsidP="00545975">
      <w:pPr>
        <w:pStyle w:val="SingleTxt"/>
        <w:spacing w:after="0" w:line="100" w:lineRule="exact"/>
        <w:rPr>
          <w:sz w:val="10"/>
          <w:lang w:val="fr-FR"/>
        </w:rPr>
      </w:pPr>
    </w:p>
    <w:p w14:paraId="638CA56B" w14:textId="200FD453" w:rsidR="00986E32" w:rsidRDefault="00986E32"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86E32">
        <w:rPr>
          <w:lang w:val="fr-FR"/>
        </w:rPr>
        <w:tab/>
      </w:r>
      <w:r w:rsidRPr="00986E32">
        <w:rPr>
          <w:lang w:val="fr-FR"/>
        </w:rPr>
        <w:tab/>
        <w:t>Mécanisme national de promotion de la femme</w:t>
      </w:r>
    </w:p>
    <w:p w14:paraId="1A5146BA" w14:textId="059E9F46" w:rsidR="00986E32" w:rsidRPr="00046FCC" w:rsidRDefault="00986E32" w:rsidP="00545975">
      <w:pPr>
        <w:pStyle w:val="SingleTxt"/>
        <w:spacing w:after="0" w:line="100" w:lineRule="exact"/>
        <w:rPr>
          <w:sz w:val="10"/>
          <w:lang w:val="fr-FR"/>
        </w:rPr>
      </w:pPr>
    </w:p>
    <w:p w14:paraId="31510058" w14:textId="77777777" w:rsidR="00046FCC" w:rsidRPr="00986E32" w:rsidRDefault="00046FCC" w:rsidP="00545975">
      <w:pPr>
        <w:pStyle w:val="SingleTxt"/>
        <w:spacing w:after="0" w:line="100" w:lineRule="exact"/>
        <w:rPr>
          <w:sz w:val="10"/>
          <w:lang w:val="fr-FR"/>
        </w:rPr>
      </w:pPr>
    </w:p>
    <w:p w14:paraId="25B2E193" w14:textId="4DBDEA50" w:rsidR="00986E32" w:rsidRPr="00986E32" w:rsidRDefault="00986E32" w:rsidP="00986E32">
      <w:pPr>
        <w:pStyle w:val="SingleTxt"/>
        <w:numPr>
          <w:ilvl w:val="0"/>
          <w:numId w:val="19"/>
        </w:numPr>
        <w:spacing w:line="240" w:lineRule="exact"/>
        <w:ind w:left="1267"/>
        <w:rPr>
          <w:lang w:val="fr-FR"/>
        </w:rPr>
      </w:pPr>
      <w:r w:rsidRPr="00986E32">
        <w:rPr>
          <w:lang w:val="fr-FR"/>
        </w:rPr>
        <w:t>Le Ministère de l</w:t>
      </w:r>
      <w:r w:rsidR="00795C5F">
        <w:rPr>
          <w:lang w:val="fr-FR"/>
        </w:rPr>
        <w:t>’</w:t>
      </w:r>
      <w:r w:rsidRPr="00986E32">
        <w:rPr>
          <w:lang w:val="fr-FR"/>
        </w:rPr>
        <w:t>égalité des genres, du développement de l</w:t>
      </w:r>
      <w:r w:rsidR="00795C5F">
        <w:rPr>
          <w:lang w:val="fr-FR"/>
        </w:rPr>
        <w:t>’</w:t>
      </w:r>
      <w:r w:rsidRPr="00986E32">
        <w:rPr>
          <w:lang w:val="fr-FR"/>
        </w:rPr>
        <w:t>enfant et du bien-être de la famille assume la fonction de mécanisme national de promotion de l</w:t>
      </w:r>
      <w:r w:rsidR="00795C5F">
        <w:rPr>
          <w:lang w:val="fr-FR"/>
        </w:rPr>
        <w:t>’</w:t>
      </w:r>
      <w:r w:rsidRPr="00986E32">
        <w:rPr>
          <w:lang w:val="fr-FR"/>
        </w:rPr>
        <w:t xml:space="preserve">égalité des sexes à Maurice, avec un Groupe fonctionnel de la problématique femmes-hommes. Le mandat de ce </w:t>
      </w:r>
      <w:r w:rsidR="00C64AB1">
        <w:rPr>
          <w:lang w:val="fr-FR"/>
        </w:rPr>
        <w:t>g</w:t>
      </w:r>
      <w:r w:rsidRPr="00986E32">
        <w:rPr>
          <w:lang w:val="fr-FR"/>
        </w:rPr>
        <w:t>roupe est fondé sur les principes d</w:t>
      </w:r>
      <w:r w:rsidR="00795C5F">
        <w:rPr>
          <w:lang w:val="fr-FR"/>
        </w:rPr>
        <w:t>’</w:t>
      </w:r>
      <w:r w:rsidRPr="00986E32">
        <w:rPr>
          <w:lang w:val="fr-FR"/>
        </w:rPr>
        <w:t>égalité consacrés par la Déclaration universelle des droits de l</w:t>
      </w:r>
      <w:r w:rsidR="00795C5F">
        <w:rPr>
          <w:lang w:val="fr-FR"/>
        </w:rPr>
        <w:t>’</w:t>
      </w:r>
      <w:r w:rsidRPr="00986E32">
        <w:rPr>
          <w:lang w:val="fr-FR"/>
        </w:rPr>
        <w:t>homme. Le Groupe œuvre à assurer l</w:t>
      </w:r>
      <w:r w:rsidR="00795C5F">
        <w:rPr>
          <w:lang w:val="fr-FR"/>
        </w:rPr>
        <w:t>’</w:t>
      </w:r>
      <w:r w:rsidRPr="00986E32">
        <w:rPr>
          <w:lang w:val="fr-FR"/>
        </w:rPr>
        <w:t>autonomisation sociale, économique et politique des femmes et lutte contre les disparités existantes entre les sexes. À cet effet, il a adopté une approche pluridimensionnelle axée sur les objectifs suivants</w:t>
      </w:r>
      <w:r w:rsidR="00795C5F">
        <w:rPr>
          <w:lang w:val="fr-FR"/>
        </w:rPr>
        <w:t> :</w:t>
      </w:r>
    </w:p>
    <w:p w14:paraId="5A849540" w14:textId="76B8A008"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Endosser le rôle de mécanisme national de promotion de l</w:t>
      </w:r>
      <w:r w:rsidR="00795C5F">
        <w:rPr>
          <w:lang w:val="fr-FR"/>
        </w:rPr>
        <w:t>’</w:t>
      </w:r>
      <w:r w:rsidR="00986E32" w:rsidRPr="00986E32">
        <w:rPr>
          <w:lang w:val="fr-FR"/>
        </w:rPr>
        <w:t>égalité des sexes afin de veiller à la prise en compte de la problématique femmes-hommes dans les politiques et programmes des ministères sectoriels</w:t>
      </w:r>
      <w:r w:rsidR="00795C5F">
        <w:rPr>
          <w:lang w:val="fr-FR"/>
        </w:rPr>
        <w:t> ;</w:t>
      </w:r>
    </w:p>
    <w:p w14:paraId="2B5E91B7" w14:textId="4E5D538C"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Mettre en œuvre des politiques pour l</w:t>
      </w:r>
      <w:r w:rsidR="00795C5F">
        <w:rPr>
          <w:lang w:val="fr-FR"/>
        </w:rPr>
        <w:t>’</w:t>
      </w:r>
      <w:r w:rsidR="00986E32" w:rsidRPr="00986E32">
        <w:rPr>
          <w:lang w:val="fr-FR"/>
        </w:rPr>
        <w:t>autonomisation des femmes grâce à un réseau de 15 centres d</w:t>
      </w:r>
      <w:r w:rsidR="00795C5F">
        <w:rPr>
          <w:lang w:val="fr-FR"/>
        </w:rPr>
        <w:t>’</w:t>
      </w:r>
      <w:r w:rsidR="00986E32" w:rsidRPr="00986E32">
        <w:rPr>
          <w:lang w:val="fr-FR"/>
        </w:rPr>
        <w:t>autonomisation des femmes</w:t>
      </w:r>
      <w:r w:rsidR="00795C5F">
        <w:rPr>
          <w:lang w:val="fr-FR"/>
        </w:rPr>
        <w:t> ;</w:t>
      </w:r>
    </w:p>
    <w:p w14:paraId="6608EEAC" w14:textId="575CC95A"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Renforcer les capacités de divers partenaires sur les questions liées à l</w:t>
      </w:r>
      <w:r w:rsidR="00795C5F">
        <w:rPr>
          <w:lang w:val="fr-FR"/>
        </w:rPr>
        <w:t>’</w:t>
      </w:r>
      <w:r w:rsidR="00986E32" w:rsidRPr="00986E32">
        <w:rPr>
          <w:lang w:val="fr-FR"/>
        </w:rPr>
        <w:t>égalité des sexes</w:t>
      </w:r>
      <w:r w:rsidR="00795C5F">
        <w:rPr>
          <w:lang w:val="fr-FR"/>
        </w:rPr>
        <w:t> ;</w:t>
      </w:r>
    </w:p>
    <w:p w14:paraId="7FB92A7A" w14:textId="6DFFCE0E"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Mener des campagnes de sensibilisation dynamiques au profit de différents partenaires</w:t>
      </w:r>
      <w:r w:rsidR="00795C5F">
        <w:rPr>
          <w:lang w:val="fr-FR"/>
        </w:rPr>
        <w:t> ;</w:t>
      </w:r>
    </w:p>
    <w:p w14:paraId="7D9F7D08" w14:textId="0990F224"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Maintenir des relations avec les organisations travaillant pour l</w:t>
      </w:r>
      <w:r w:rsidR="00795C5F">
        <w:rPr>
          <w:lang w:val="fr-FR"/>
        </w:rPr>
        <w:t>’</w:t>
      </w:r>
      <w:r w:rsidR="00986E32" w:rsidRPr="00986E32">
        <w:rPr>
          <w:lang w:val="fr-FR"/>
        </w:rPr>
        <w:t>autonomisation des femmes.</w:t>
      </w:r>
    </w:p>
    <w:p w14:paraId="6A8C9FB4" w14:textId="00E5DF09" w:rsidR="00986E32" w:rsidRPr="00A05151" w:rsidRDefault="00986E32" w:rsidP="00A05151">
      <w:pPr>
        <w:pStyle w:val="SingleTxt"/>
        <w:numPr>
          <w:ilvl w:val="0"/>
          <w:numId w:val="19"/>
        </w:numPr>
        <w:spacing w:line="240" w:lineRule="exact"/>
        <w:ind w:left="1267"/>
        <w:rPr>
          <w:w w:val="101"/>
          <w:lang w:val="fr-FR"/>
        </w:rPr>
      </w:pPr>
      <w:r w:rsidRPr="00A05151">
        <w:rPr>
          <w:w w:val="101"/>
          <w:lang w:val="fr-FR"/>
        </w:rPr>
        <w:t>Les observations finales ont été communiquées aux coordonnateurs pour les questions d</w:t>
      </w:r>
      <w:r w:rsidR="00795C5F">
        <w:rPr>
          <w:w w:val="101"/>
          <w:lang w:val="fr-FR"/>
        </w:rPr>
        <w:t>’</w:t>
      </w:r>
      <w:r w:rsidRPr="00A05151">
        <w:rPr>
          <w:w w:val="101"/>
          <w:lang w:val="fr-FR"/>
        </w:rPr>
        <w:t>égalité des sexes de tous les ministères lors de la troisième réunion du Comité national de pilotage sur l</w:t>
      </w:r>
      <w:r w:rsidR="00795C5F">
        <w:rPr>
          <w:w w:val="101"/>
          <w:lang w:val="fr-FR"/>
        </w:rPr>
        <w:t>’</w:t>
      </w:r>
      <w:r w:rsidRPr="00A05151">
        <w:rPr>
          <w:w w:val="101"/>
          <w:lang w:val="fr-FR"/>
        </w:rPr>
        <w:t>intégration de la problématique femmes-hommes, qui s</w:t>
      </w:r>
      <w:r w:rsidR="00795C5F">
        <w:rPr>
          <w:w w:val="101"/>
          <w:lang w:val="fr-FR"/>
        </w:rPr>
        <w:t>’</w:t>
      </w:r>
      <w:r w:rsidRPr="00A05151">
        <w:rPr>
          <w:w w:val="101"/>
          <w:lang w:val="fr-FR"/>
        </w:rPr>
        <w:t>est tenue le 16 février 2012. Le Groupe de la problématique femmes-hommes a ensuite organisé un séminaire d</w:t>
      </w:r>
      <w:r w:rsidR="00795C5F">
        <w:rPr>
          <w:w w:val="101"/>
          <w:lang w:val="fr-FR"/>
        </w:rPr>
        <w:t>’</w:t>
      </w:r>
      <w:r w:rsidRPr="00A05151">
        <w:rPr>
          <w:w w:val="101"/>
          <w:lang w:val="fr-FR"/>
        </w:rPr>
        <w:t>une journée durant lequel les coordonnateurs ont pu obtenir des informations sur la Convention sur l</w:t>
      </w:r>
      <w:r w:rsidR="00795C5F">
        <w:rPr>
          <w:w w:val="101"/>
          <w:lang w:val="fr-FR"/>
        </w:rPr>
        <w:t>’</w:t>
      </w:r>
      <w:r w:rsidRPr="00A05151">
        <w:rPr>
          <w:w w:val="101"/>
          <w:lang w:val="fr-FR"/>
        </w:rPr>
        <w:t>élimination de toutes les formes de discrimination à l</w:t>
      </w:r>
      <w:r w:rsidR="00795C5F">
        <w:rPr>
          <w:w w:val="101"/>
          <w:lang w:val="fr-FR"/>
        </w:rPr>
        <w:t>’</w:t>
      </w:r>
      <w:r w:rsidRPr="00A05151">
        <w:rPr>
          <w:w w:val="101"/>
          <w:lang w:val="fr-FR"/>
        </w:rPr>
        <w:t>égard des femmes, sa pertinence, son protocole facultatif et les observations finales. Le séminaire a eu lieu le 11 septembre 2012, M</w:t>
      </w:r>
      <w:r w:rsidRPr="00A05151">
        <w:rPr>
          <w:w w:val="101"/>
          <w:vertAlign w:val="superscript"/>
          <w:lang w:val="fr-FR"/>
        </w:rPr>
        <w:t>me</w:t>
      </w:r>
      <w:r w:rsidR="00A05151" w:rsidRPr="00A05151">
        <w:rPr>
          <w:w w:val="101"/>
          <w:lang w:val="fr-FR"/>
        </w:rPr>
        <w:t> </w:t>
      </w:r>
      <w:r w:rsidRPr="00A05151">
        <w:rPr>
          <w:w w:val="101"/>
          <w:lang w:val="fr-FR"/>
        </w:rPr>
        <w:t>P. Patten, alors membre du Comité pour l</w:t>
      </w:r>
      <w:r w:rsidR="00795C5F">
        <w:rPr>
          <w:w w:val="101"/>
          <w:lang w:val="fr-FR"/>
        </w:rPr>
        <w:t>’</w:t>
      </w:r>
      <w:r w:rsidRPr="00A05151">
        <w:rPr>
          <w:w w:val="101"/>
          <w:lang w:val="fr-FR"/>
        </w:rPr>
        <w:t>élimination de la discrimination à l</w:t>
      </w:r>
      <w:r w:rsidR="00795C5F">
        <w:rPr>
          <w:w w:val="101"/>
          <w:lang w:val="fr-FR"/>
        </w:rPr>
        <w:t>’</w:t>
      </w:r>
      <w:r w:rsidRPr="00A05151">
        <w:rPr>
          <w:w w:val="101"/>
          <w:lang w:val="fr-FR"/>
        </w:rPr>
        <w:t>égard des femmes intervenant en tant que personne-ressource. L</w:t>
      </w:r>
      <w:r w:rsidR="00795C5F">
        <w:rPr>
          <w:w w:val="101"/>
          <w:lang w:val="fr-FR"/>
        </w:rPr>
        <w:t>’</w:t>
      </w:r>
      <w:r w:rsidRPr="00A05151">
        <w:rPr>
          <w:w w:val="101"/>
          <w:lang w:val="fr-FR"/>
        </w:rPr>
        <w:t xml:space="preserve">objectif était de familiariser les </w:t>
      </w:r>
      <w:r w:rsidRPr="00A05151">
        <w:rPr>
          <w:w w:val="101"/>
          <w:lang w:val="fr-FR"/>
        </w:rPr>
        <w:lastRenderedPageBreak/>
        <w:t>participants avec la Convention, ses implications et les obligations de l</w:t>
      </w:r>
      <w:r w:rsidR="00795C5F">
        <w:rPr>
          <w:w w:val="101"/>
          <w:lang w:val="fr-FR"/>
        </w:rPr>
        <w:t>’</w:t>
      </w:r>
      <w:r w:rsidRPr="00A05151">
        <w:rPr>
          <w:w w:val="101"/>
          <w:lang w:val="fr-FR"/>
        </w:rPr>
        <w:t>État ainsi que de partager les expériences régionales et internationales de la mise en œuvre de cet instrument. Le Groupe de la problématique femmes-hommes a renforcé ses interventions sur plusieurs fronts afin de donner pleinement suite aux recommandations finales du Comité à sa dernière réunion (</w:t>
      </w:r>
      <w:hyperlink r:id="rId18" w:history="1">
        <w:r w:rsidRPr="007D711B">
          <w:rPr>
            <w:rStyle w:val="Hyperlink"/>
            <w:w w:val="101"/>
            <w:lang w:val="fr-FR"/>
          </w:rPr>
          <w:t>CEDAW/C/MUS/CO/6-7</w:t>
        </w:r>
      </w:hyperlink>
      <w:r w:rsidRPr="00A05151">
        <w:rPr>
          <w:w w:val="101"/>
          <w:lang w:val="fr-FR"/>
        </w:rPr>
        <w:t>). Parmi ses principales réalisations entre novembre 2011 et novembre 2017, on peut noter les suivantes</w:t>
      </w:r>
      <w:r w:rsidR="00C64AB1">
        <w:rPr>
          <w:w w:val="101"/>
          <w:lang w:val="fr-FR"/>
        </w:rPr>
        <w:t> </w:t>
      </w:r>
      <w:r w:rsidRPr="00A05151">
        <w:rPr>
          <w:w w:val="101"/>
          <w:lang w:val="fr-FR"/>
        </w:rPr>
        <w:t>:</w:t>
      </w:r>
    </w:p>
    <w:p w14:paraId="2FD7A9B6" w14:textId="0FB1D689"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Depuis juillet 2010, un comité national de pilotage sur l</w:t>
      </w:r>
      <w:r w:rsidR="00795C5F">
        <w:rPr>
          <w:lang w:val="fr-FR"/>
        </w:rPr>
        <w:t>’</w:t>
      </w:r>
      <w:r w:rsidR="00986E32" w:rsidRPr="00986E32">
        <w:rPr>
          <w:lang w:val="fr-FR"/>
        </w:rPr>
        <w:t>intégration de la problématique femmes-hommes a été mis en place afin d</w:t>
      </w:r>
      <w:r w:rsidR="00795C5F">
        <w:rPr>
          <w:lang w:val="fr-FR"/>
        </w:rPr>
        <w:t>’</w:t>
      </w:r>
      <w:r w:rsidR="00986E32" w:rsidRPr="00986E32">
        <w:rPr>
          <w:lang w:val="fr-FR"/>
        </w:rPr>
        <w:t>offrir aux coordonnateurs pour les questions d</w:t>
      </w:r>
      <w:r w:rsidR="00795C5F">
        <w:rPr>
          <w:lang w:val="fr-FR"/>
        </w:rPr>
        <w:t>’</w:t>
      </w:r>
      <w:r w:rsidR="00986E32" w:rsidRPr="00986E32">
        <w:rPr>
          <w:lang w:val="fr-FR"/>
        </w:rPr>
        <w:t>égalité des sexes de tous les ministères une plateforme de dialogue sur les implications de cette problématique dans leurs domaines respectifs. Ce comité a permis au Ministère de l</w:t>
      </w:r>
      <w:r w:rsidR="00795C5F">
        <w:rPr>
          <w:lang w:val="fr-FR"/>
        </w:rPr>
        <w:t>’</w:t>
      </w:r>
      <w:r w:rsidR="00986E32" w:rsidRPr="00986E32">
        <w:rPr>
          <w:lang w:val="fr-FR"/>
        </w:rPr>
        <w:t>égalité des genres, du développement de l</w:t>
      </w:r>
      <w:r w:rsidR="00795C5F">
        <w:rPr>
          <w:lang w:val="fr-FR"/>
        </w:rPr>
        <w:t>’</w:t>
      </w:r>
      <w:r w:rsidR="00986E32" w:rsidRPr="00986E32">
        <w:rPr>
          <w:lang w:val="fr-FR"/>
        </w:rPr>
        <w:t>enfant et du bien-être de la famille d</w:t>
      </w:r>
      <w:r w:rsidR="00795C5F">
        <w:rPr>
          <w:lang w:val="fr-FR"/>
        </w:rPr>
        <w:t>’</w:t>
      </w:r>
      <w:r w:rsidR="00986E32" w:rsidRPr="00986E32">
        <w:rPr>
          <w:lang w:val="fr-FR"/>
        </w:rPr>
        <w:t>assurer un suivi des difficultés auxquelles étaient confrontés les coordonnateurs. Dans le cadre de son mandat, des cellules dédiées à la problématique femmes-hommes ont été mises en place en remplacement du mécanisme des coordonnateurs. Le comité national de pilotage et les cellules sont tous deux des initiatives concrètes du Groupe de la problématique femmes-hommes qui ont permis d</w:t>
      </w:r>
      <w:r w:rsidR="00795C5F">
        <w:rPr>
          <w:lang w:val="fr-FR"/>
        </w:rPr>
        <w:t>’</w:t>
      </w:r>
      <w:r w:rsidR="00986E32" w:rsidRPr="00986E32">
        <w:rPr>
          <w:lang w:val="fr-FR"/>
        </w:rPr>
        <w:t>assurer la prise en compte des questions d</w:t>
      </w:r>
      <w:r w:rsidR="00795C5F">
        <w:rPr>
          <w:lang w:val="fr-FR"/>
        </w:rPr>
        <w:t>’</w:t>
      </w:r>
      <w:r w:rsidR="00986E32" w:rsidRPr="00986E32">
        <w:rPr>
          <w:lang w:val="fr-FR"/>
        </w:rPr>
        <w:t>égalité entre les sexes dans les politiques et programmes</w:t>
      </w:r>
      <w:r w:rsidR="00795C5F">
        <w:rPr>
          <w:lang w:val="fr-FR"/>
        </w:rPr>
        <w:t> ;</w:t>
      </w:r>
    </w:p>
    <w:p w14:paraId="7F96857A" w14:textId="34801100"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Des programmes de renforcement des capacités de haut niveau ont été mis en place au profit des coordonnateurs, afin de les doter des connaissances et outils nécessaires à la lutte contre les inégalités entre les sexes</w:t>
      </w:r>
      <w:r w:rsidR="00795C5F">
        <w:rPr>
          <w:lang w:val="fr-FR"/>
        </w:rPr>
        <w:t> ;</w:t>
      </w:r>
    </w:p>
    <w:p w14:paraId="4C8B9BC5" w14:textId="57C9D2E5"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Les coordonnateurs ont reçu des formations sur les instruments internationaux et régionaux relatifs aux droits de l</w:t>
      </w:r>
      <w:r w:rsidR="00795C5F">
        <w:rPr>
          <w:lang w:val="fr-FR"/>
        </w:rPr>
        <w:t>’</w:t>
      </w:r>
      <w:r w:rsidR="00986E32" w:rsidRPr="00986E32">
        <w:rPr>
          <w:lang w:val="fr-FR"/>
        </w:rPr>
        <w:t>homme tels que, entre autres, la Convention sur l</w:t>
      </w:r>
      <w:r w:rsidR="00795C5F">
        <w:rPr>
          <w:lang w:val="fr-FR"/>
        </w:rPr>
        <w:t>’</w:t>
      </w:r>
      <w:r w:rsidR="00986E32" w:rsidRPr="00986E32">
        <w:rPr>
          <w:lang w:val="fr-FR"/>
        </w:rPr>
        <w:t>élimination de toutes les formes de discrimination à l</w:t>
      </w:r>
      <w:r w:rsidR="00795C5F">
        <w:rPr>
          <w:lang w:val="fr-FR"/>
        </w:rPr>
        <w:t>’</w:t>
      </w:r>
      <w:r w:rsidR="00986E32" w:rsidRPr="00986E32">
        <w:rPr>
          <w:lang w:val="fr-FR"/>
        </w:rPr>
        <w:t>égard des femmes, les cadres de l</w:t>
      </w:r>
      <w:r w:rsidR="00795C5F">
        <w:rPr>
          <w:lang w:val="fr-FR"/>
        </w:rPr>
        <w:t>’</w:t>
      </w:r>
      <w:r w:rsidR="00986E32" w:rsidRPr="00986E32">
        <w:rPr>
          <w:lang w:val="fr-FR"/>
        </w:rPr>
        <w:t>Union africaine, le Protocole de la SADC sur le genre et le développement et la Charte du Marché commun de l</w:t>
      </w:r>
      <w:r w:rsidR="00795C5F">
        <w:rPr>
          <w:lang w:val="fr-FR"/>
        </w:rPr>
        <w:t>’</w:t>
      </w:r>
      <w:r w:rsidR="00986E32" w:rsidRPr="00986E32">
        <w:rPr>
          <w:lang w:val="fr-FR"/>
        </w:rPr>
        <w:t>Afrique de l</w:t>
      </w:r>
      <w:r w:rsidR="00795C5F">
        <w:rPr>
          <w:lang w:val="fr-FR"/>
        </w:rPr>
        <w:t>’</w:t>
      </w:r>
      <w:r w:rsidR="00986E32" w:rsidRPr="00986E32">
        <w:rPr>
          <w:lang w:val="fr-FR"/>
        </w:rPr>
        <w:t>Est et de l</w:t>
      </w:r>
      <w:r w:rsidR="00795C5F">
        <w:rPr>
          <w:lang w:val="fr-FR"/>
        </w:rPr>
        <w:t>’</w:t>
      </w:r>
      <w:r w:rsidR="00986E32" w:rsidRPr="00986E32">
        <w:rPr>
          <w:lang w:val="fr-FR"/>
        </w:rPr>
        <w:t>Afrique australe. L</w:t>
      </w:r>
      <w:r w:rsidR="00795C5F">
        <w:rPr>
          <w:lang w:val="fr-FR"/>
        </w:rPr>
        <w:t>’</w:t>
      </w:r>
      <w:r w:rsidR="00986E32" w:rsidRPr="00986E32">
        <w:rPr>
          <w:lang w:val="fr-FR"/>
        </w:rPr>
        <w:t>objectif global était d</w:t>
      </w:r>
      <w:r w:rsidR="00795C5F">
        <w:rPr>
          <w:lang w:val="fr-FR"/>
        </w:rPr>
        <w:t>’</w:t>
      </w:r>
      <w:r w:rsidR="00986E32" w:rsidRPr="00986E32">
        <w:rPr>
          <w:lang w:val="fr-FR"/>
        </w:rPr>
        <w:t>assurer que les interventions sectorielles soient alignées avec les engagements pris aux termes de ces instruments</w:t>
      </w:r>
      <w:r w:rsidR="00795C5F">
        <w:rPr>
          <w:lang w:val="fr-FR"/>
        </w:rPr>
        <w:t> ;</w:t>
      </w:r>
    </w:p>
    <w:p w14:paraId="22E3B78C" w14:textId="17602217"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 xml:space="preserve">Le Groupe de la problématique femmes-hommes a publié deux recueils qui ont été distribués à tous les coordonnateurs et mis en ligne sur le site </w:t>
      </w:r>
      <w:r w:rsidR="00C64AB1">
        <w:rPr>
          <w:lang w:val="fr-FR"/>
        </w:rPr>
        <w:t>I</w:t>
      </w:r>
      <w:r w:rsidR="00986E32" w:rsidRPr="00986E32">
        <w:rPr>
          <w:lang w:val="fr-FR"/>
        </w:rPr>
        <w:t>nternet du Ministère</w:t>
      </w:r>
      <w:r w:rsidR="00795C5F">
        <w:rPr>
          <w:lang w:val="fr-FR"/>
        </w:rPr>
        <w:t> ;</w:t>
      </w:r>
    </w:p>
    <w:p w14:paraId="15054DAE" w14:textId="05E81B28"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 xml:space="preserve">Ces dernières années, le Groupe a introduit plusieurs outils interactifs novateurs sur la problématique </w:t>
      </w:r>
      <w:r w:rsidR="00C64AB1" w:rsidRPr="00986E32">
        <w:rPr>
          <w:lang w:val="fr-FR"/>
        </w:rPr>
        <w:t>femmes</w:t>
      </w:r>
      <w:r w:rsidR="00C64AB1">
        <w:rPr>
          <w:lang w:val="fr-FR"/>
        </w:rPr>
        <w:t>-</w:t>
      </w:r>
      <w:r w:rsidR="00986E32" w:rsidRPr="00986E32">
        <w:rPr>
          <w:lang w:val="fr-FR"/>
        </w:rPr>
        <w:t xml:space="preserve">hommes pour sensibiliser le public et les parties prenantes, telles que les fonctionnaires, les syndicats, la </w:t>
      </w:r>
      <w:r w:rsidR="00C64AB1">
        <w:rPr>
          <w:lang w:val="fr-FR"/>
        </w:rPr>
        <w:t>p</w:t>
      </w:r>
      <w:r w:rsidR="00986E32" w:rsidRPr="00986E32">
        <w:rPr>
          <w:lang w:val="fr-FR"/>
        </w:rPr>
        <w:t>olice et les services pénitentiaires ainsi que les étudiants du secondaire. Parmi les autres activités d</w:t>
      </w:r>
      <w:r w:rsidR="00795C5F">
        <w:rPr>
          <w:lang w:val="fr-FR"/>
        </w:rPr>
        <w:t>’</w:t>
      </w:r>
      <w:r w:rsidR="00986E32" w:rsidRPr="00986E32">
        <w:rPr>
          <w:lang w:val="fr-FR"/>
        </w:rPr>
        <w:t>information, d</w:t>
      </w:r>
      <w:r w:rsidR="00795C5F">
        <w:rPr>
          <w:lang w:val="fr-FR"/>
        </w:rPr>
        <w:t>’</w:t>
      </w:r>
      <w:r w:rsidR="00986E32" w:rsidRPr="00986E32">
        <w:rPr>
          <w:lang w:val="fr-FR"/>
        </w:rPr>
        <w:t>éducation et de communication, on mentionnera des prises de parole efficaces en public sur le thème de la problématique femmes-hommes, des discours mobilisateurs d</w:t>
      </w:r>
      <w:r w:rsidR="00795C5F">
        <w:rPr>
          <w:lang w:val="fr-FR"/>
        </w:rPr>
        <w:t>’</w:t>
      </w:r>
      <w:r w:rsidR="00986E32" w:rsidRPr="00986E32">
        <w:rPr>
          <w:lang w:val="fr-FR"/>
        </w:rPr>
        <w:t>orateurs internationaux incitant à passer de la parole aux actes et la simulation de sessions de la Commission de la condition de la femme à l</w:t>
      </w:r>
      <w:r w:rsidR="00795C5F">
        <w:rPr>
          <w:lang w:val="fr-FR"/>
        </w:rPr>
        <w:t>’</w:t>
      </w:r>
      <w:r w:rsidR="00986E32" w:rsidRPr="00986E32">
        <w:rPr>
          <w:lang w:val="fr-FR"/>
        </w:rPr>
        <w:t>intention des jeunes, y compris plusieurs publications conviviales sur les incidences de différentes questions sur la problématique femmes-hommes</w:t>
      </w:r>
      <w:r w:rsidR="00795C5F">
        <w:rPr>
          <w:lang w:val="fr-FR"/>
        </w:rPr>
        <w:t> ;</w:t>
      </w:r>
    </w:p>
    <w:p w14:paraId="0781BB32" w14:textId="1C81400E"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Le Groupe a mis en place dans les centres pour l</w:t>
      </w:r>
      <w:r w:rsidR="00795C5F">
        <w:rPr>
          <w:lang w:val="fr-FR"/>
        </w:rPr>
        <w:t>’</w:t>
      </w:r>
      <w:r w:rsidR="00986E32" w:rsidRPr="00986E32">
        <w:rPr>
          <w:lang w:val="fr-FR"/>
        </w:rPr>
        <w:t>autonomisation des femmes des cours novateurs axés sur l</w:t>
      </w:r>
      <w:r w:rsidR="00795C5F">
        <w:rPr>
          <w:lang w:val="fr-FR"/>
        </w:rPr>
        <w:t>’</w:t>
      </w:r>
      <w:r w:rsidR="00986E32" w:rsidRPr="00986E32">
        <w:rPr>
          <w:lang w:val="fr-FR"/>
        </w:rPr>
        <w:t>autonomisation des femmes et des jeunes filles. L</w:t>
      </w:r>
      <w:r w:rsidR="00795C5F">
        <w:rPr>
          <w:lang w:val="fr-FR"/>
        </w:rPr>
        <w:t>’</w:t>
      </w:r>
      <w:r w:rsidR="00986E32" w:rsidRPr="00986E32">
        <w:rPr>
          <w:lang w:val="fr-FR"/>
        </w:rPr>
        <w:t>objectif global était de transmettre des connaissances et des compétences aux jeunes femmes et aux filles; tout en éliminant les cours traditionnels et stéréotypés qui étaient proposés durant les dernières décennies. Ces cours sont variés et visent notamment à favoriser le développement personnel</w:t>
      </w:r>
      <w:r w:rsidR="00795C5F">
        <w:rPr>
          <w:lang w:val="fr-FR"/>
        </w:rPr>
        <w:t> ;</w:t>
      </w:r>
      <w:r w:rsidR="00986E32" w:rsidRPr="00986E32">
        <w:rPr>
          <w:lang w:val="fr-FR"/>
        </w:rPr>
        <w:t xml:space="preserve"> à préparer </w:t>
      </w:r>
      <w:r w:rsidR="00986E32" w:rsidRPr="00986E32">
        <w:rPr>
          <w:lang w:val="fr-FR"/>
        </w:rPr>
        <w:lastRenderedPageBreak/>
        <w:t>au monde du travail</w:t>
      </w:r>
      <w:r w:rsidR="00795C5F">
        <w:rPr>
          <w:lang w:val="fr-FR"/>
        </w:rPr>
        <w:t> ;</w:t>
      </w:r>
      <w:r w:rsidR="00986E32" w:rsidRPr="00986E32">
        <w:rPr>
          <w:lang w:val="fr-FR"/>
        </w:rPr>
        <w:t xml:space="preserve"> à faire comprendre que la sécurité est l</w:t>
      </w:r>
      <w:r w:rsidR="00795C5F">
        <w:rPr>
          <w:lang w:val="fr-FR"/>
        </w:rPr>
        <w:t>’</w:t>
      </w:r>
      <w:r w:rsidR="00986E32" w:rsidRPr="00986E32">
        <w:rPr>
          <w:lang w:val="fr-FR"/>
        </w:rPr>
        <w:t>affaire de tous, en apprenant à procéder à la réparation des systèmes électriques</w:t>
      </w:r>
      <w:r w:rsidR="00795C5F">
        <w:rPr>
          <w:lang w:val="fr-FR"/>
        </w:rPr>
        <w:t> ;</w:t>
      </w:r>
      <w:r w:rsidR="00986E32" w:rsidRPr="00986E32">
        <w:rPr>
          <w:lang w:val="fr-FR"/>
        </w:rPr>
        <w:t xml:space="preserve"> et à assurer des services itinérants de consultations juridiques. Le Groupe a également mené des activités destinées à mieux faire prendre conscience des incidences que pouvaient avoir sur l</w:t>
      </w:r>
      <w:r w:rsidR="00795C5F">
        <w:rPr>
          <w:lang w:val="fr-FR"/>
        </w:rPr>
        <w:t>’</w:t>
      </w:r>
      <w:r w:rsidR="00986E32" w:rsidRPr="00986E32">
        <w:rPr>
          <w:lang w:val="fr-FR"/>
        </w:rPr>
        <w:t>égalité femmes-hommes les objectifs de développement durable, la problématique des changements climatiques et la santé sexuelle et procréative. Depuis l</w:t>
      </w:r>
      <w:r w:rsidR="00795C5F">
        <w:rPr>
          <w:lang w:val="fr-FR"/>
        </w:rPr>
        <w:t>’</w:t>
      </w:r>
      <w:r w:rsidR="00986E32" w:rsidRPr="00986E32">
        <w:rPr>
          <w:lang w:val="fr-FR"/>
        </w:rPr>
        <w:t>adoption des objectifs de développement durable, il a aligné ses politiques et programmes pour atteindre les objectifs du Programme 2030, et en particulier l</w:t>
      </w:r>
      <w:r w:rsidR="00795C5F">
        <w:rPr>
          <w:lang w:val="fr-FR"/>
        </w:rPr>
        <w:t>’</w:t>
      </w:r>
      <w:r w:rsidR="00986E32" w:rsidRPr="00986E32">
        <w:rPr>
          <w:lang w:val="fr-FR"/>
        </w:rPr>
        <w:t>objectif 5</w:t>
      </w:r>
      <w:r w:rsidR="00795C5F">
        <w:rPr>
          <w:lang w:val="fr-FR"/>
        </w:rPr>
        <w:t> :</w:t>
      </w:r>
      <w:r w:rsidR="00986E32" w:rsidRPr="00986E32">
        <w:rPr>
          <w:lang w:val="fr-FR"/>
        </w:rPr>
        <w:t xml:space="preserve"> «</w:t>
      </w:r>
      <w:r w:rsidR="002050E5">
        <w:rPr>
          <w:lang w:val="fr-FR"/>
        </w:rPr>
        <w:t> </w:t>
      </w:r>
      <w:r w:rsidR="00986E32" w:rsidRPr="00986E32">
        <w:rPr>
          <w:lang w:val="fr-FR"/>
        </w:rPr>
        <w:t>parvenir à l</w:t>
      </w:r>
      <w:r w:rsidR="00795C5F">
        <w:rPr>
          <w:lang w:val="fr-FR"/>
        </w:rPr>
        <w:t>’</w:t>
      </w:r>
      <w:r w:rsidR="00986E32" w:rsidRPr="00986E32">
        <w:rPr>
          <w:lang w:val="fr-FR"/>
        </w:rPr>
        <w:t>égalité des sexes et autonomiser toutes les femmes et les filles</w:t>
      </w:r>
      <w:r w:rsidR="002050E5">
        <w:rPr>
          <w:lang w:val="fr-FR"/>
        </w:rPr>
        <w:t> </w:t>
      </w:r>
      <w:r w:rsidR="00986E32" w:rsidRPr="00986E32">
        <w:rPr>
          <w:lang w:val="fr-FR"/>
        </w:rPr>
        <w:t>». Le Ministère a organisé un dialogue national sur le sujet</w:t>
      </w:r>
      <w:r w:rsidR="006E1537">
        <w:rPr>
          <w:lang w:val="fr-FR"/>
        </w:rPr>
        <w:t xml:space="preserve"> </w:t>
      </w:r>
      <w:r w:rsidR="00986E32" w:rsidRPr="00986E32">
        <w:rPr>
          <w:lang w:val="fr-FR"/>
        </w:rPr>
        <w:t>lors de la Journée internationale des femmes de 2016 et, le 22 avril 2016, une formation sur les objectifs de développement durable a été organisée à l</w:t>
      </w:r>
      <w:r w:rsidR="00795C5F">
        <w:rPr>
          <w:lang w:val="fr-FR"/>
        </w:rPr>
        <w:t>’</w:t>
      </w:r>
      <w:r w:rsidR="00986E32" w:rsidRPr="00986E32">
        <w:rPr>
          <w:lang w:val="fr-FR"/>
        </w:rPr>
        <w:t>intention de 30 formateurs, afin qu</w:t>
      </w:r>
      <w:r w:rsidR="00795C5F">
        <w:rPr>
          <w:lang w:val="fr-FR"/>
        </w:rPr>
        <w:t>’</w:t>
      </w:r>
      <w:r w:rsidR="00986E32" w:rsidRPr="00986E32">
        <w:rPr>
          <w:lang w:val="fr-FR"/>
        </w:rPr>
        <w:t>ils puissent transmettre au public les connaissances ainsi acquises</w:t>
      </w:r>
      <w:r w:rsidR="00795C5F">
        <w:rPr>
          <w:lang w:val="fr-FR"/>
        </w:rPr>
        <w:t> ;</w:t>
      </w:r>
    </w:p>
    <w:p w14:paraId="16F71C5F" w14:textId="76E55B5C" w:rsidR="00986E32" w:rsidRPr="00986E32" w:rsidRDefault="00A05151" w:rsidP="00A05151">
      <w:pPr>
        <w:pStyle w:val="SingleTxt"/>
        <w:tabs>
          <w:tab w:val="right" w:pos="1685"/>
        </w:tabs>
        <w:ind w:left="1742" w:hanging="475"/>
        <w:rPr>
          <w:lang w:val="fr-FR"/>
        </w:rPr>
      </w:pPr>
      <w:r>
        <w:rPr>
          <w:lang w:val="fr-FR"/>
        </w:rPr>
        <w:tab/>
      </w:r>
      <w:r w:rsidR="00986E32" w:rsidRPr="00986E32">
        <w:rPr>
          <w:lang w:val="fr-FR"/>
        </w:rPr>
        <w:t>•</w:t>
      </w:r>
      <w:r w:rsidR="00986E32" w:rsidRPr="00986E32">
        <w:rPr>
          <w:lang w:val="fr-FR"/>
        </w:rPr>
        <w:tab/>
        <w:t>Une attention particulière a été accordée aux filles vivant dans les régions défavorisées, qui ne participent en général pas aux programmes offerts et ne bénéficient pas de leurs avantages. Le Groupe a sollicité des partenariats avec différentes parties prenantes et organisations non gouvernementales qui ont joué un rôle de facilitateurs auprès des bénéficiaires. Les organisations non gouvernementales ont également partagé leur expertise.</w:t>
      </w:r>
    </w:p>
    <w:p w14:paraId="4C520B92" w14:textId="3563B799" w:rsidR="00986E32" w:rsidRDefault="00986E32" w:rsidP="00A05151">
      <w:pPr>
        <w:pStyle w:val="SingleTxt"/>
        <w:numPr>
          <w:ilvl w:val="0"/>
          <w:numId w:val="19"/>
        </w:numPr>
        <w:spacing w:line="240" w:lineRule="exact"/>
        <w:ind w:left="1267"/>
        <w:rPr>
          <w:lang w:val="fr-FR"/>
        </w:rPr>
      </w:pPr>
      <w:r w:rsidRPr="00986E32">
        <w:rPr>
          <w:lang w:val="fr-FR"/>
        </w:rPr>
        <w:t xml:space="preserve">Le Conseil national des femmes est un organisme semi-public placé sous la tutelle du Ministère. Actuellement, 1 027 associations de femmes sont affiliées au Conseil dans les quatre </w:t>
      </w:r>
      <w:r w:rsidR="00C64AB1">
        <w:rPr>
          <w:lang w:val="fr-FR"/>
        </w:rPr>
        <w:t>c</w:t>
      </w:r>
      <w:r w:rsidRPr="00986E32">
        <w:rPr>
          <w:lang w:val="fr-FR"/>
        </w:rPr>
        <w:t>omités régionaux (excepté Rodrigues). Les membres de ces associations sont encouragés à participer aux campagnes de sensibilisation sur différents sujets, comme indiqué ci-</w:t>
      </w:r>
      <w:r w:rsidR="00C64AB1" w:rsidRPr="00986E32">
        <w:rPr>
          <w:lang w:val="fr-FR"/>
        </w:rPr>
        <w:t>après</w:t>
      </w:r>
      <w:r w:rsidR="00795C5F">
        <w:rPr>
          <w:lang w:val="fr-FR"/>
        </w:rPr>
        <w:t> :</w:t>
      </w:r>
    </w:p>
    <w:p w14:paraId="0BB708A3" w14:textId="07D30F4A" w:rsidR="00A05151" w:rsidRPr="00A05151" w:rsidRDefault="00A05151" w:rsidP="00A05151">
      <w:pPr>
        <w:pStyle w:val="SingleTxt"/>
        <w:spacing w:after="0" w:line="120" w:lineRule="exact"/>
        <w:rPr>
          <w:sz w:val="10"/>
          <w:lang w:val="fr-FR"/>
        </w:rPr>
      </w:pPr>
    </w:p>
    <w:tbl>
      <w:tblPr>
        <w:tblW w:w="0" w:type="auto"/>
        <w:tblInd w:w="1305" w:type="dxa"/>
        <w:tblLayout w:type="fixed"/>
        <w:tblCellMar>
          <w:left w:w="0" w:type="dxa"/>
          <w:right w:w="0" w:type="dxa"/>
        </w:tblCellMar>
        <w:tblLook w:val="0000" w:firstRow="0" w:lastRow="0" w:firstColumn="0" w:lastColumn="0" w:noHBand="0" w:noVBand="0"/>
      </w:tblPr>
      <w:tblGrid>
        <w:gridCol w:w="2295"/>
        <w:gridCol w:w="1170"/>
        <w:gridCol w:w="3807"/>
      </w:tblGrid>
      <w:tr w:rsidR="00A05151" w:rsidRPr="00A05151" w14:paraId="64290ABC" w14:textId="77777777" w:rsidTr="00545975">
        <w:trPr>
          <w:tblHeader/>
        </w:trPr>
        <w:tc>
          <w:tcPr>
            <w:tcW w:w="2295" w:type="dxa"/>
            <w:tcBorders>
              <w:top w:val="single" w:sz="4" w:space="0" w:color="auto"/>
              <w:bottom w:val="single" w:sz="12" w:space="0" w:color="auto"/>
            </w:tcBorders>
            <w:shd w:val="clear" w:color="auto" w:fill="auto"/>
            <w:vAlign w:val="bottom"/>
          </w:tcPr>
          <w:p w14:paraId="254EF5F7" w14:textId="4D87262C" w:rsidR="00A05151" w:rsidRPr="00A05151" w:rsidRDefault="00A05151" w:rsidP="00545975">
            <w:pPr>
              <w:tabs>
                <w:tab w:val="left" w:pos="288"/>
                <w:tab w:val="left" w:pos="576"/>
                <w:tab w:val="left" w:pos="864"/>
                <w:tab w:val="left" w:pos="1152"/>
              </w:tabs>
              <w:suppressAutoHyphens/>
              <w:spacing w:before="81" w:after="81" w:line="160" w:lineRule="exact"/>
              <w:ind w:right="40"/>
              <w:rPr>
                <w:i/>
                <w:iCs/>
                <w:sz w:val="14"/>
                <w:szCs w:val="14"/>
                <w:lang w:val="fr-FR"/>
              </w:rPr>
            </w:pPr>
            <w:r w:rsidRPr="00A05151">
              <w:rPr>
                <w:i/>
                <w:iCs/>
                <w:sz w:val="14"/>
                <w:szCs w:val="14"/>
              </w:rPr>
              <w:t>Domaines d</w:t>
            </w:r>
            <w:r w:rsidR="00795C5F">
              <w:rPr>
                <w:i/>
                <w:iCs/>
                <w:sz w:val="14"/>
                <w:szCs w:val="14"/>
              </w:rPr>
              <w:t>’</w:t>
            </w:r>
            <w:r w:rsidRPr="00A05151">
              <w:rPr>
                <w:i/>
                <w:iCs/>
                <w:sz w:val="14"/>
                <w:szCs w:val="14"/>
              </w:rPr>
              <w:t>autonomisation des</w:t>
            </w:r>
            <w:r>
              <w:rPr>
                <w:i/>
                <w:iCs/>
                <w:sz w:val="14"/>
                <w:szCs w:val="14"/>
              </w:rPr>
              <w:t> </w:t>
            </w:r>
            <w:r w:rsidRPr="00A05151">
              <w:rPr>
                <w:i/>
                <w:iCs/>
                <w:sz w:val="14"/>
                <w:szCs w:val="14"/>
              </w:rPr>
              <w:t>femmes</w:t>
            </w:r>
          </w:p>
        </w:tc>
        <w:tc>
          <w:tcPr>
            <w:tcW w:w="1170" w:type="dxa"/>
            <w:tcBorders>
              <w:top w:val="single" w:sz="4" w:space="0" w:color="auto"/>
              <w:bottom w:val="single" w:sz="12" w:space="0" w:color="auto"/>
            </w:tcBorders>
            <w:shd w:val="clear" w:color="auto" w:fill="auto"/>
            <w:vAlign w:val="bottom"/>
          </w:tcPr>
          <w:p w14:paraId="613ED580" w14:textId="1E579BE4" w:rsidR="00A05151" w:rsidRPr="00A05151" w:rsidRDefault="00A05151" w:rsidP="00545975">
            <w:pPr>
              <w:tabs>
                <w:tab w:val="left" w:pos="288"/>
                <w:tab w:val="left" w:pos="576"/>
                <w:tab w:val="left" w:pos="864"/>
                <w:tab w:val="left" w:pos="1152"/>
              </w:tabs>
              <w:suppressAutoHyphens/>
              <w:spacing w:before="81" w:after="81" w:line="160" w:lineRule="exact"/>
              <w:ind w:left="8" w:right="43"/>
              <w:jc w:val="right"/>
              <w:rPr>
                <w:i/>
                <w:iCs/>
                <w:sz w:val="14"/>
                <w:szCs w:val="14"/>
                <w:lang w:val="fr-FR"/>
              </w:rPr>
            </w:pPr>
            <w:r w:rsidRPr="00A05151">
              <w:rPr>
                <w:i/>
                <w:iCs/>
                <w:sz w:val="14"/>
                <w:szCs w:val="14"/>
              </w:rPr>
              <w:t>Nombre de</w:t>
            </w:r>
            <w:r w:rsidR="00503C29">
              <w:rPr>
                <w:i/>
                <w:iCs/>
                <w:sz w:val="14"/>
                <w:szCs w:val="14"/>
              </w:rPr>
              <w:t> </w:t>
            </w:r>
            <w:r w:rsidRPr="00A05151">
              <w:rPr>
                <w:i/>
                <w:iCs/>
                <w:sz w:val="14"/>
                <w:szCs w:val="14"/>
              </w:rPr>
              <w:t>bénéficiaires</w:t>
            </w:r>
            <w:r>
              <w:rPr>
                <w:i/>
                <w:iCs/>
                <w:sz w:val="14"/>
                <w:szCs w:val="14"/>
              </w:rPr>
              <w:br/>
            </w:r>
            <w:r w:rsidRPr="00A05151">
              <w:rPr>
                <w:i/>
                <w:iCs/>
                <w:sz w:val="14"/>
                <w:szCs w:val="14"/>
              </w:rPr>
              <w:t>(de janvier</w:t>
            </w:r>
            <w:r w:rsidR="00503C29">
              <w:rPr>
                <w:i/>
                <w:iCs/>
                <w:sz w:val="14"/>
                <w:szCs w:val="14"/>
              </w:rPr>
              <w:br/>
            </w:r>
            <w:r w:rsidRPr="00A05151">
              <w:rPr>
                <w:i/>
                <w:iCs/>
                <w:sz w:val="14"/>
                <w:szCs w:val="14"/>
              </w:rPr>
              <w:t>à décembre 2017)</w:t>
            </w:r>
          </w:p>
        </w:tc>
        <w:tc>
          <w:tcPr>
            <w:tcW w:w="3807" w:type="dxa"/>
            <w:tcBorders>
              <w:top w:val="single" w:sz="4" w:space="0" w:color="auto"/>
              <w:bottom w:val="single" w:sz="12" w:space="0" w:color="auto"/>
            </w:tcBorders>
            <w:shd w:val="clear" w:color="auto" w:fill="auto"/>
            <w:vAlign w:val="bottom"/>
          </w:tcPr>
          <w:p w14:paraId="4291885C" w14:textId="78120AC2" w:rsidR="00A05151" w:rsidRPr="00A05151" w:rsidRDefault="00A05151" w:rsidP="00545975">
            <w:pPr>
              <w:tabs>
                <w:tab w:val="left" w:pos="288"/>
                <w:tab w:val="left" w:pos="576"/>
                <w:tab w:val="left" w:pos="864"/>
                <w:tab w:val="left" w:pos="1152"/>
              </w:tabs>
              <w:suppressAutoHyphens/>
              <w:spacing w:before="81" w:after="81" w:line="160" w:lineRule="exact"/>
              <w:ind w:left="144" w:right="43"/>
              <w:rPr>
                <w:i/>
                <w:iCs/>
                <w:sz w:val="14"/>
                <w:szCs w:val="14"/>
                <w:lang w:val="fr-FR"/>
              </w:rPr>
            </w:pPr>
            <w:r w:rsidRPr="00A05151">
              <w:rPr>
                <w:i/>
                <w:iCs/>
                <w:sz w:val="14"/>
                <w:szCs w:val="14"/>
              </w:rPr>
              <w:t>Objectifs</w:t>
            </w:r>
          </w:p>
        </w:tc>
      </w:tr>
      <w:tr w:rsidR="00A05151" w:rsidRPr="00A05151" w14:paraId="4059DCF9" w14:textId="77777777" w:rsidTr="00545975">
        <w:trPr>
          <w:trHeight w:hRule="exact" w:val="115"/>
          <w:tblHeader/>
        </w:trPr>
        <w:tc>
          <w:tcPr>
            <w:tcW w:w="2295" w:type="dxa"/>
            <w:tcBorders>
              <w:top w:val="single" w:sz="12" w:space="0" w:color="auto"/>
            </w:tcBorders>
            <w:shd w:val="clear" w:color="auto" w:fill="auto"/>
            <w:vAlign w:val="bottom"/>
          </w:tcPr>
          <w:p w14:paraId="16A0150F" w14:textId="77777777" w:rsidR="00A05151" w:rsidRPr="00A05151" w:rsidRDefault="00A05151" w:rsidP="00A05151">
            <w:pPr>
              <w:tabs>
                <w:tab w:val="left" w:pos="288"/>
                <w:tab w:val="left" w:pos="576"/>
                <w:tab w:val="left" w:pos="864"/>
                <w:tab w:val="left" w:pos="1152"/>
              </w:tabs>
              <w:suppressAutoHyphens/>
              <w:spacing w:before="40" w:after="40" w:line="210" w:lineRule="exact"/>
              <w:ind w:right="40"/>
              <w:rPr>
                <w:sz w:val="17"/>
                <w:lang w:val="fr-FR"/>
              </w:rPr>
            </w:pPr>
          </w:p>
        </w:tc>
        <w:tc>
          <w:tcPr>
            <w:tcW w:w="1170" w:type="dxa"/>
            <w:tcBorders>
              <w:top w:val="single" w:sz="12" w:space="0" w:color="auto"/>
            </w:tcBorders>
            <w:shd w:val="clear" w:color="auto" w:fill="auto"/>
            <w:vAlign w:val="bottom"/>
          </w:tcPr>
          <w:p w14:paraId="16549966" w14:textId="77777777" w:rsidR="00A05151" w:rsidRPr="00A05151" w:rsidRDefault="00A05151" w:rsidP="00A05151">
            <w:pPr>
              <w:tabs>
                <w:tab w:val="left" w:pos="288"/>
                <w:tab w:val="left" w:pos="576"/>
                <w:tab w:val="left" w:pos="864"/>
                <w:tab w:val="left" w:pos="1152"/>
              </w:tabs>
              <w:suppressAutoHyphens/>
              <w:spacing w:before="40" w:after="40" w:line="210" w:lineRule="exact"/>
              <w:ind w:left="8" w:right="43"/>
              <w:jc w:val="right"/>
              <w:rPr>
                <w:sz w:val="17"/>
                <w:lang w:val="fr-FR"/>
              </w:rPr>
            </w:pPr>
          </w:p>
        </w:tc>
        <w:tc>
          <w:tcPr>
            <w:tcW w:w="3807" w:type="dxa"/>
            <w:tcBorders>
              <w:top w:val="single" w:sz="12" w:space="0" w:color="auto"/>
            </w:tcBorders>
            <w:shd w:val="clear" w:color="auto" w:fill="auto"/>
            <w:vAlign w:val="bottom"/>
          </w:tcPr>
          <w:p w14:paraId="468D9354" w14:textId="77777777" w:rsidR="00A05151" w:rsidRPr="00A05151" w:rsidRDefault="00A05151" w:rsidP="00A05151">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A05151" w:rsidRPr="00503C29" w14:paraId="0CD891E4" w14:textId="77777777" w:rsidTr="00545975">
        <w:tc>
          <w:tcPr>
            <w:tcW w:w="2295" w:type="dxa"/>
            <w:shd w:val="clear" w:color="auto" w:fill="auto"/>
          </w:tcPr>
          <w:p w14:paraId="158DBBEB" w14:textId="01AD257D" w:rsidR="00A05151" w:rsidRPr="00503C29" w:rsidRDefault="00A05151" w:rsidP="00545975">
            <w:pPr>
              <w:tabs>
                <w:tab w:val="left" w:pos="288"/>
                <w:tab w:val="left" w:pos="576"/>
                <w:tab w:val="left" w:pos="864"/>
                <w:tab w:val="left" w:pos="1152"/>
              </w:tabs>
              <w:suppressAutoHyphens/>
              <w:spacing w:before="40" w:after="40" w:line="210" w:lineRule="exact"/>
              <w:ind w:right="40"/>
              <w:rPr>
                <w:sz w:val="17"/>
                <w:szCs w:val="17"/>
                <w:lang w:val="fr-FR"/>
              </w:rPr>
            </w:pPr>
            <w:r w:rsidRPr="00503C29">
              <w:rPr>
                <w:sz w:val="17"/>
                <w:szCs w:val="17"/>
              </w:rPr>
              <w:t>Objectifs de développement durable</w:t>
            </w:r>
          </w:p>
        </w:tc>
        <w:tc>
          <w:tcPr>
            <w:tcW w:w="1170" w:type="dxa"/>
            <w:shd w:val="clear" w:color="auto" w:fill="auto"/>
          </w:tcPr>
          <w:p w14:paraId="796EF63E" w14:textId="6A83F05E" w:rsidR="00A05151" w:rsidRPr="00503C29" w:rsidRDefault="00A05151" w:rsidP="00545975">
            <w:pPr>
              <w:tabs>
                <w:tab w:val="left" w:pos="288"/>
                <w:tab w:val="left" w:pos="576"/>
                <w:tab w:val="left" w:pos="864"/>
                <w:tab w:val="left" w:pos="1152"/>
              </w:tabs>
              <w:suppressAutoHyphens/>
              <w:spacing w:before="40" w:after="40" w:line="210" w:lineRule="exact"/>
              <w:ind w:left="8" w:right="43"/>
              <w:jc w:val="right"/>
              <w:rPr>
                <w:sz w:val="17"/>
                <w:szCs w:val="17"/>
                <w:lang w:val="fr-FR"/>
              </w:rPr>
            </w:pPr>
            <w:r w:rsidRPr="00503C29">
              <w:rPr>
                <w:sz w:val="17"/>
                <w:szCs w:val="17"/>
              </w:rPr>
              <w:t>2 662</w:t>
            </w:r>
          </w:p>
        </w:tc>
        <w:tc>
          <w:tcPr>
            <w:tcW w:w="3807" w:type="dxa"/>
            <w:shd w:val="clear" w:color="auto" w:fill="auto"/>
          </w:tcPr>
          <w:p w14:paraId="30E99A7E" w14:textId="54D04BA9" w:rsidR="00A05151" w:rsidRPr="00503C29" w:rsidRDefault="00A05151" w:rsidP="00545975">
            <w:pPr>
              <w:tabs>
                <w:tab w:val="left" w:pos="288"/>
                <w:tab w:val="left" w:pos="576"/>
                <w:tab w:val="left" w:pos="864"/>
                <w:tab w:val="left" w:pos="1152"/>
              </w:tabs>
              <w:suppressAutoHyphens/>
              <w:spacing w:before="40" w:after="40" w:line="210" w:lineRule="exact"/>
              <w:ind w:left="144" w:right="43"/>
              <w:rPr>
                <w:sz w:val="17"/>
                <w:szCs w:val="17"/>
                <w:lang w:val="fr-FR"/>
              </w:rPr>
            </w:pPr>
            <w:r w:rsidRPr="00503C29">
              <w:rPr>
                <w:sz w:val="17"/>
                <w:szCs w:val="17"/>
              </w:rPr>
              <w:t>Mieux sensibiliser les femmes et les jeunes filles aux objectifs de développement durable et à la contribution qu</w:t>
            </w:r>
            <w:r w:rsidR="00795C5F">
              <w:rPr>
                <w:sz w:val="17"/>
                <w:szCs w:val="17"/>
              </w:rPr>
              <w:t>’</w:t>
            </w:r>
            <w:r w:rsidRPr="00503C29">
              <w:rPr>
                <w:sz w:val="17"/>
                <w:szCs w:val="17"/>
              </w:rPr>
              <w:t>elles peuvent apporter au développement durable.</w:t>
            </w:r>
          </w:p>
        </w:tc>
      </w:tr>
      <w:tr w:rsidR="00A05151" w:rsidRPr="00503C29" w14:paraId="70BFD037" w14:textId="77777777" w:rsidTr="00545975">
        <w:tc>
          <w:tcPr>
            <w:tcW w:w="2295" w:type="dxa"/>
            <w:shd w:val="clear" w:color="auto" w:fill="auto"/>
          </w:tcPr>
          <w:p w14:paraId="6B61A18E" w14:textId="55F37EE4" w:rsidR="00A05151" w:rsidRPr="00503C29" w:rsidRDefault="00A05151" w:rsidP="00A05151">
            <w:pPr>
              <w:tabs>
                <w:tab w:val="left" w:pos="288"/>
                <w:tab w:val="left" w:pos="576"/>
                <w:tab w:val="left" w:pos="864"/>
                <w:tab w:val="left" w:pos="1152"/>
              </w:tabs>
              <w:suppressAutoHyphens/>
              <w:spacing w:before="40" w:after="40" w:line="210" w:lineRule="exact"/>
              <w:ind w:right="40"/>
              <w:rPr>
                <w:sz w:val="17"/>
                <w:szCs w:val="17"/>
                <w:lang w:val="fr-FR"/>
              </w:rPr>
            </w:pPr>
            <w:r w:rsidRPr="00503C29">
              <w:rPr>
                <w:sz w:val="17"/>
                <w:szCs w:val="17"/>
              </w:rPr>
              <w:t>Problématique femmes</w:t>
            </w:r>
            <w:r w:rsidR="00C64AB1">
              <w:rPr>
                <w:sz w:val="17"/>
                <w:szCs w:val="17"/>
              </w:rPr>
              <w:noBreakHyphen/>
            </w:r>
            <w:r w:rsidRPr="00503C29">
              <w:rPr>
                <w:sz w:val="17"/>
                <w:szCs w:val="17"/>
              </w:rPr>
              <w:t>hommes</w:t>
            </w:r>
          </w:p>
        </w:tc>
        <w:tc>
          <w:tcPr>
            <w:tcW w:w="1170" w:type="dxa"/>
            <w:shd w:val="clear" w:color="auto" w:fill="auto"/>
          </w:tcPr>
          <w:p w14:paraId="1B7FBA9A" w14:textId="76CA57F0" w:rsidR="00A05151" w:rsidRPr="00503C29" w:rsidRDefault="00A05151" w:rsidP="00A05151">
            <w:pPr>
              <w:tabs>
                <w:tab w:val="left" w:pos="288"/>
                <w:tab w:val="left" w:pos="576"/>
                <w:tab w:val="left" w:pos="864"/>
                <w:tab w:val="left" w:pos="1152"/>
              </w:tabs>
              <w:suppressAutoHyphens/>
              <w:spacing w:before="40" w:after="40" w:line="210" w:lineRule="exact"/>
              <w:ind w:left="8" w:right="43"/>
              <w:jc w:val="right"/>
              <w:rPr>
                <w:sz w:val="17"/>
                <w:szCs w:val="17"/>
                <w:lang w:val="fr-FR"/>
              </w:rPr>
            </w:pPr>
            <w:r w:rsidRPr="00503C29">
              <w:rPr>
                <w:sz w:val="17"/>
                <w:szCs w:val="17"/>
              </w:rPr>
              <w:t>5 515</w:t>
            </w:r>
          </w:p>
        </w:tc>
        <w:tc>
          <w:tcPr>
            <w:tcW w:w="3807" w:type="dxa"/>
            <w:shd w:val="clear" w:color="auto" w:fill="auto"/>
          </w:tcPr>
          <w:p w14:paraId="0E265CB9" w14:textId="7957CB43" w:rsidR="00A05151" w:rsidRPr="00503C29" w:rsidRDefault="00A05151" w:rsidP="00A05151">
            <w:pPr>
              <w:tabs>
                <w:tab w:val="left" w:pos="288"/>
                <w:tab w:val="left" w:pos="576"/>
                <w:tab w:val="left" w:pos="864"/>
                <w:tab w:val="left" w:pos="1152"/>
              </w:tabs>
              <w:suppressAutoHyphens/>
              <w:spacing w:before="40" w:after="40" w:line="210" w:lineRule="exact"/>
              <w:ind w:left="144" w:right="43"/>
              <w:rPr>
                <w:sz w:val="17"/>
                <w:szCs w:val="17"/>
                <w:lang w:val="fr-FR"/>
              </w:rPr>
            </w:pPr>
            <w:r w:rsidRPr="00503C29">
              <w:rPr>
                <w:sz w:val="17"/>
                <w:szCs w:val="17"/>
              </w:rPr>
              <w:t>Mieux sensibiliser les femmes et les jeunes filles à leurs droits et à la nécessité d</w:t>
            </w:r>
            <w:r w:rsidR="00795C5F">
              <w:rPr>
                <w:sz w:val="17"/>
                <w:szCs w:val="17"/>
              </w:rPr>
              <w:t>’</w:t>
            </w:r>
            <w:r w:rsidRPr="00503C29">
              <w:rPr>
                <w:sz w:val="17"/>
                <w:szCs w:val="17"/>
              </w:rPr>
              <w:t xml:space="preserve">un changement des mentalités. </w:t>
            </w:r>
          </w:p>
        </w:tc>
      </w:tr>
      <w:tr w:rsidR="00A05151" w:rsidRPr="00503C29" w14:paraId="33C9F7C4" w14:textId="77777777" w:rsidTr="00545975">
        <w:tc>
          <w:tcPr>
            <w:tcW w:w="2295" w:type="dxa"/>
            <w:shd w:val="clear" w:color="auto" w:fill="auto"/>
          </w:tcPr>
          <w:p w14:paraId="09A3B1DD" w14:textId="4D8C9BF9" w:rsidR="00A05151" w:rsidRPr="00503C29" w:rsidRDefault="00A05151" w:rsidP="00A05151">
            <w:pPr>
              <w:tabs>
                <w:tab w:val="left" w:pos="288"/>
                <w:tab w:val="left" w:pos="576"/>
                <w:tab w:val="left" w:pos="864"/>
                <w:tab w:val="left" w:pos="1152"/>
              </w:tabs>
              <w:suppressAutoHyphens/>
              <w:spacing w:before="40" w:after="40" w:line="210" w:lineRule="exact"/>
              <w:ind w:right="40"/>
              <w:rPr>
                <w:sz w:val="17"/>
                <w:szCs w:val="17"/>
                <w:lang w:val="fr-FR"/>
              </w:rPr>
            </w:pPr>
            <w:r w:rsidRPr="00503C29">
              <w:rPr>
                <w:sz w:val="17"/>
                <w:szCs w:val="17"/>
              </w:rPr>
              <w:t>Violence sexiste</w:t>
            </w:r>
          </w:p>
        </w:tc>
        <w:tc>
          <w:tcPr>
            <w:tcW w:w="1170" w:type="dxa"/>
            <w:shd w:val="clear" w:color="auto" w:fill="auto"/>
          </w:tcPr>
          <w:p w14:paraId="67EB23B4" w14:textId="26487D6B" w:rsidR="00A05151" w:rsidRPr="00503C29" w:rsidRDefault="00A05151" w:rsidP="00A05151">
            <w:pPr>
              <w:tabs>
                <w:tab w:val="left" w:pos="288"/>
                <w:tab w:val="left" w:pos="576"/>
                <w:tab w:val="left" w:pos="864"/>
                <w:tab w:val="left" w:pos="1152"/>
              </w:tabs>
              <w:suppressAutoHyphens/>
              <w:spacing w:before="40" w:after="40" w:line="210" w:lineRule="exact"/>
              <w:ind w:left="8" w:right="43"/>
              <w:jc w:val="right"/>
              <w:rPr>
                <w:sz w:val="17"/>
                <w:szCs w:val="17"/>
                <w:lang w:val="fr-FR"/>
              </w:rPr>
            </w:pPr>
            <w:r w:rsidRPr="00503C29">
              <w:rPr>
                <w:sz w:val="17"/>
                <w:szCs w:val="17"/>
              </w:rPr>
              <w:t>770</w:t>
            </w:r>
          </w:p>
        </w:tc>
        <w:tc>
          <w:tcPr>
            <w:tcW w:w="3807" w:type="dxa"/>
            <w:shd w:val="clear" w:color="auto" w:fill="auto"/>
          </w:tcPr>
          <w:p w14:paraId="42C5A7FA" w14:textId="4600432B" w:rsidR="00A05151" w:rsidRPr="00503C29" w:rsidRDefault="00A05151" w:rsidP="00A05151">
            <w:pPr>
              <w:tabs>
                <w:tab w:val="left" w:pos="288"/>
                <w:tab w:val="left" w:pos="576"/>
                <w:tab w:val="left" w:pos="864"/>
                <w:tab w:val="left" w:pos="1152"/>
              </w:tabs>
              <w:suppressAutoHyphens/>
              <w:spacing w:before="40" w:after="40" w:line="210" w:lineRule="exact"/>
              <w:ind w:left="144" w:right="43"/>
              <w:rPr>
                <w:sz w:val="17"/>
                <w:szCs w:val="17"/>
                <w:lang w:val="fr-FR"/>
              </w:rPr>
            </w:pPr>
            <w:r w:rsidRPr="00503C29">
              <w:rPr>
                <w:sz w:val="17"/>
                <w:szCs w:val="17"/>
              </w:rPr>
              <w:t>Mieux sensibiliser les femmes et les jeunes filles à la loi sur la protection contre la violence domestique.</w:t>
            </w:r>
          </w:p>
        </w:tc>
      </w:tr>
      <w:tr w:rsidR="00A05151" w:rsidRPr="00503C29" w14:paraId="7570037B" w14:textId="77777777" w:rsidTr="00545975">
        <w:tc>
          <w:tcPr>
            <w:tcW w:w="2295" w:type="dxa"/>
            <w:shd w:val="clear" w:color="auto" w:fill="auto"/>
          </w:tcPr>
          <w:p w14:paraId="6632DACA" w14:textId="131DA589" w:rsidR="00A05151" w:rsidRPr="00503C29" w:rsidRDefault="00A05151" w:rsidP="00A05151">
            <w:pPr>
              <w:tabs>
                <w:tab w:val="left" w:pos="288"/>
                <w:tab w:val="left" w:pos="576"/>
                <w:tab w:val="left" w:pos="864"/>
                <w:tab w:val="left" w:pos="1152"/>
              </w:tabs>
              <w:suppressAutoHyphens/>
              <w:spacing w:before="40" w:after="40" w:line="210" w:lineRule="exact"/>
              <w:ind w:right="40"/>
              <w:rPr>
                <w:sz w:val="17"/>
                <w:szCs w:val="17"/>
                <w:lang w:val="fr-FR"/>
              </w:rPr>
            </w:pPr>
            <w:r w:rsidRPr="00503C29">
              <w:rPr>
                <w:sz w:val="17"/>
                <w:szCs w:val="17"/>
              </w:rPr>
              <w:t>Changements climatiques</w:t>
            </w:r>
          </w:p>
        </w:tc>
        <w:tc>
          <w:tcPr>
            <w:tcW w:w="1170" w:type="dxa"/>
            <w:shd w:val="clear" w:color="auto" w:fill="auto"/>
          </w:tcPr>
          <w:p w14:paraId="48006740" w14:textId="7364353C" w:rsidR="00A05151" w:rsidRPr="00503C29" w:rsidRDefault="00A05151" w:rsidP="00A05151">
            <w:pPr>
              <w:tabs>
                <w:tab w:val="left" w:pos="288"/>
                <w:tab w:val="left" w:pos="576"/>
                <w:tab w:val="left" w:pos="864"/>
                <w:tab w:val="left" w:pos="1152"/>
              </w:tabs>
              <w:suppressAutoHyphens/>
              <w:spacing w:before="40" w:after="40" w:line="210" w:lineRule="exact"/>
              <w:ind w:left="8" w:right="43"/>
              <w:jc w:val="right"/>
              <w:rPr>
                <w:sz w:val="17"/>
                <w:szCs w:val="17"/>
                <w:lang w:val="fr-FR"/>
              </w:rPr>
            </w:pPr>
            <w:r w:rsidRPr="00503C29">
              <w:rPr>
                <w:sz w:val="17"/>
                <w:szCs w:val="17"/>
              </w:rPr>
              <w:t>3 075</w:t>
            </w:r>
          </w:p>
        </w:tc>
        <w:tc>
          <w:tcPr>
            <w:tcW w:w="3807" w:type="dxa"/>
            <w:shd w:val="clear" w:color="auto" w:fill="auto"/>
          </w:tcPr>
          <w:p w14:paraId="5285E35B" w14:textId="6B2B3B69" w:rsidR="00A05151" w:rsidRPr="00503C29" w:rsidRDefault="00A05151" w:rsidP="00A05151">
            <w:pPr>
              <w:tabs>
                <w:tab w:val="left" w:pos="288"/>
                <w:tab w:val="left" w:pos="576"/>
                <w:tab w:val="left" w:pos="864"/>
                <w:tab w:val="left" w:pos="1152"/>
              </w:tabs>
              <w:suppressAutoHyphens/>
              <w:spacing w:before="40" w:after="40" w:line="210" w:lineRule="exact"/>
              <w:ind w:left="144" w:right="43"/>
              <w:rPr>
                <w:sz w:val="17"/>
                <w:szCs w:val="17"/>
                <w:lang w:val="fr-FR"/>
              </w:rPr>
            </w:pPr>
            <w:r w:rsidRPr="00503C29">
              <w:rPr>
                <w:sz w:val="17"/>
                <w:szCs w:val="17"/>
              </w:rPr>
              <w:t>Mieux sensibiliser les femmes et les jeunes filles à la nécessité de préserver l</w:t>
            </w:r>
            <w:r w:rsidR="00795C5F">
              <w:rPr>
                <w:sz w:val="17"/>
                <w:szCs w:val="17"/>
              </w:rPr>
              <w:t>’</w:t>
            </w:r>
            <w:r w:rsidRPr="00503C29">
              <w:rPr>
                <w:sz w:val="17"/>
                <w:szCs w:val="17"/>
              </w:rPr>
              <w:t>environnement, d</w:t>
            </w:r>
            <w:r w:rsidR="00795C5F">
              <w:rPr>
                <w:sz w:val="17"/>
                <w:szCs w:val="17"/>
              </w:rPr>
              <w:t>’</w:t>
            </w:r>
            <w:r w:rsidRPr="00503C29">
              <w:rPr>
                <w:sz w:val="17"/>
                <w:szCs w:val="17"/>
              </w:rPr>
              <w:t xml:space="preserve">acquérir à cette fin la formation voulue et de se préparer à intervenir de façon appropriée en cas de catastrophe naturelle. </w:t>
            </w:r>
          </w:p>
        </w:tc>
      </w:tr>
      <w:tr w:rsidR="00A05151" w:rsidRPr="00503C29" w14:paraId="4AD7C801" w14:textId="77777777" w:rsidTr="00545975">
        <w:tc>
          <w:tcPr>
            <w:tcW w:w="2295" w:type="dxa"/>
            <w:shd w:val="clear" w:color="auto" w:fill="auto"/>
          </w:tcPr>
          <w:p w14:paraId="65427553" w14:textId="5328705E" w:rsidR="00A05151" w:rsidRPr="00503C29" w:rsidRDefault="00A05151" w:rsidP="00A05151">
            <w:pPr>
              <w:tabs>
                <w:tab w:val="left" w:pos="288"/>
                <w:tab w:val="left" w:pos="576"/>
                <w:tab w:val="left" w:pos="864"/>
                <w:tab w:val="left" w:pos="1152"/>
              </w:tabs>
              <w:suppressAutoHyphens/>
              <w:spacing w:before="40" w:after="40" w:line="210" w:lineRule="exact"/>
              <w:ind w:right="40"/>
              <w:rPr>
                <w:sz w:val="17"/>
                <w:szCs w:val="17"/>
                <w:lang w:val="fr-FR"/>
              </w:rPr>
            </w:pPr>
            <w:r w:rsidRPr="00503C29">
              <w:rPr>
                <w:sz w:val="17"/>
                <w:szCs w:val="17"/>
              </w:rPr>
              <w:t>Gestion des catastrophes</w:t>
            </w:r>
          </w:p>
        </w:tc>
        <w:tc>
          <w:tcPr>
            <w:tcW w:w="1170" w:type="dxa"/>
            <w:shd w:val="clear" w:color="auto" w:fill="auto"/>
          </w:tcPr>
          <w:p w14:paraId="419BE3DE" w14:textId="516BA8E7" w:rsidR="00A05151" w:rsidRPr="00503C29" w:rsidRDefault="00A05151" w:rsidP="00A05151">
            <w:pPr>
              <w:tabs>
                <w:tab w:val="left" w:pos="288"/>
                <w:tab w:val="left" w:pos="576"/>
                <w:tab w:val="left" w:pos="864"/>
                <w:tab w:val="left" w:pos="1152"/>
              </w:tabs>
              <w:suppressAutoHyphens/>
              <w:spacing w:before="40" w:after="40" w:line="210" w:lineRule="exact"/>
              <w:ind w:left="8" w:right="43"/>
              <w:jc w:val="right"/>
              <w:rPr>
                <w:sz w:val="17"/>
                <w:szCs w:val="17"/>
                <w:lang w:val="fr-FR"/>
              </w:rPr>
            </w:pPr>
            <w:r w:rsidRPr="00503C29">
              <w:rPr>
                <w:sz w:val="17"/>
                <w:szCs w:val="17"/>
              </w:rPr>
              <w:t>63</w:t>
            </w:r>
          </w:p>
        </w:tc>
        <w:tc>
          <w:tcPr>
            <w:tcW w:w="3807" w:type="dxa"/>
            <w:shd w:val="clear" w:color="auto" w:fill="auto"/>
          </w:tcPr>
          <w:p w14:paraId="14819903" w14:textId="77777777" w:rsidR="00A05151" w:rsidRPr="00503C29" w:rsidRDefault="00A05151" w:rsidP="00A05151">
            <w:pPr>
              <w:tabs>
                <w:tab w:val="left" w:pos="288"/>
                <w:tab w:val="left" w:pos="576"/>
                <w:tab w:val="left" w:pos="864"/>
                <w:tab w:val="left" w:pos="1152"/>
              </w:tabs>
              <w:suppressAutoHyphens/>
              <w:spacing w:before="40" w:after="40" w:line="210" w:lineRule="exact"/>
              <w:ind w:left="144" w:right="43"/>
              <w:rPr>
                <w:sz w:val="17"/>
                <w:szCs w:val="17"/>
                <w:lang w:val="fr-FR"/>
              </w:rPr>
            </w:pPr>
          </w:p>
        </w:tc>
      </w:tr>
      <w:tr w:rsidR="00A05151" w:rsidRPr="00503C29" w14:paraId="25D76E55" w14:textId="77777777" w:rsidTr="00545975">
        <w:tc>
          <w:tcPr>
            <w:tcW w:w="2295" w:type="dxa"/>
            <w:tcBorders>
              <w:bottom w:val="single" w:sz="4" w:space="0" w:color="auto"/>
            </w:tcBorders>
            <w:shd w:val="clear" w:color="auto" w:fill="auto"/>
          </w:tcPr>
          <w:p w14:paraId="5320A5E1" w14:textId="2A3B8F32" w:rsidR="00A05151" w:rsidRPr="00503C29" w:rsidRDefault="00A05151" w:rsidP="00545975">
            <w:pPr>
              <w:tabs>
                <w:tab w:val="left" w:pos="288"/>
                <w:tab w:val="left" w:pos="576"/>
                <w:tab w:val="left" w:pos="864"/>
                <w:tab w:val="left" w:pos="1152"/>
              </w:tabs>
              <w:suppressAutoHyphens/>
              <w:spacing w:before="40" w:after="81" w:line="210" w:lineRule="exact"/>
              <w:ind w:right="40"/>
              <w:rPr>
                <w:sz w:val="17"/>
                <w:szCs w:val="17"/>
                <w:lang w:val="fr-FR"/>
              </w:rPr>
            </w:pPr>
            <w:r w:rsidRPr="00503C29">
              <w:rPr>
                <w:sz w:val="17"/>
                <w:szCs w:val="17"/>
              </w:rPr>
              <w:t>VIH</w:t>
            </w:r>
          </w:p>
        </w:tc>
        <w:tc>
          <w:tcPr>
            <w:tcW w:w="1170" w:type="dxa"/>
            <w:tcBorders>
              <w:bottom w:val="single" w:sz="4" w:space="0" w:color="auto"/>
            </w:tcBorders>
            <w:shd w:val="clear" w:color="auto" w:fill="auto"/>
          </w:tcPr>
          <w:p w14:paraId="26888893" w14:textId="49F12C82" w:rsidR="00A05151" w:rsidRPr="00503C29" w:rsidRDefault="00A05151" w:rsidP="00545975">
            <w:pPr>
              <w:tabs>
                <w:tab w:val="left" w:pos="288"/>
                <w:tab w:val="left" w:pos="576"/>
                <w:tab w:val="left" w:pos="864"/>
                <w:tab w:val="left" w:pos="1152"/>
              </w:tabs>
              <w:suppressAutoHyphens/>
              <w:spacing w:before="40" w:after="81" w:line="210" w:lineRule="exact"/>
              <w:ind w:left="8" w:right="43"/>
              <w:jc w:val="right"/>
              <w:rPr>
                <w:sz w:val="17"/>
                <w:szCs w:val="17"/>
                <w:lang w:val="fr-FR"/>
              </w:rPr>
            </w:pPr>
            <w:r w:rsidRPr="00503C29">
              <w:rPr>
                <w:sz w:val="17"/>
                <w:szCs w:val="17"/>
              </w:rPr>
              <w:t>9 174</w:t>
            </w:r>
          </w:p>
        </w:tc>
        <w:tc>
          <w:tcPr>
            <w:tcW w:w="3807" w:type="dxa"/>
            <w:tcBorders>
              <w:bottom w:val="single" w:sz="4" w:space="0" w:color="auto"/>
            </w:tcBorders>
            <w:shd w:val="clear" w:color="auto" w:fill="auto"/>
          </w:tcPr>
          <w:p w14:paraId="5EEC2F17" w14:textId="44454BAC" w:rsidR="00A05151" w:rsidRPr="00503C29" w:rsidRDefault="00A05151" w:rsidP="00545975">
            <w:pPr>
              <w:tabs>
                <w:tab w:val="left" w:pos="288"/>
                <w:tab w:val="left" w:pos="576"/>
                <w:tab w:val="left" w:pos="864"/>
                <w:tab w:val="left" w:pos="1152"/>
              </w:tabs>
              <w:suppressAutoHyphens/>
              <w:spacing w:before="40" w:after="81" w:line="210" w:lineRule="exact"/>
              <w:ind w:left="144" w:right="43"/>
              <w:rPr>
                <w:sz w:val="17"/>
                <w:szCs w:val="17"/>
                <w:lang w:val="fr-FR"/>
              </w:rPr>
            </w:pPr>
            <w:r w:rsidRPr="00503C29">
              <w:rPr>
                <w:sz w:val="17"/>
                <w:szCs w:val="17"/>
              </w:rPr>
              <w:t>Mieux sensibiliser les femmes et les jeunes filles aux causes du VIH et à la manière de réduire la stigmatisation dont sont victimes les personnes séropositives.</w:t>
            </w:r>
          </w:p>
        </w:tc>
      </w:tr>
      <w:tr w:rsidR="00A05151" w:rsidRPr="00503C29" w14:paraId="002DE8A3" w14:textId="77777777" w:rsidTr="00545975">
        <w:tc>
          <w:tcPr>
            <w:tcW w:w="2295" w:type="dxa"/>
            <w:tcBorders>
              <w:top w:val="single" w:sz="4" w:space="0" w:color="auto"/>
              <w:bottom w:val="single" w:sz="12" w:space="0" w:color="auto"/>
            </w:tcBorders>
            <w:shd w:val="clear" w:color="auto" w:fill="auto"/>
            <w:vAlign w:val="bottom"/>
          </w:tcPr>
          <w:p w14:paraId="25ECC203" w14:textId="3442D16B" w:rsidR="00A05151" w:rsidRPr="00503C29" w:rsidRDefault="00A05151" w:rsidP="00A05151">
            <w:pPr>
              <w:tabs>
                <w:tab w:val="left" w:pos="288"/>
                <w:tab w:val="left" w:pos="576"/>
                <w:tab w:val="left" w:pos="864"/>
                <w:tab w:val="left" w:pos="1152"/>
              </w:tabs>
              <w:suppressAutoHyphens/>
              <w:spacing w:before="81" w:after="81" w:line="210" w:lineRule="exact"/>
              <w:ind w:right="40"/>
              <w:rPr>
                <w:b/>
                <w:sz w:val="17"/>
                <w:szCs w:val="17"/>
              </w:rPr>
            </w:pPr>
            <w:r w:rsidRPr="00503C29">
              <w:rPr>
                <w:b/>
                <w:sz w:val="17"/>
                <w:szCs w:val="17"/>
              </w:rPr>
              <w:tab/>
              <w:t>Total</w:t>
            </w:r>
          </w:p>
        </w:tc>
        <w:tc>
          <w:tcPr>
            <w:tcW w:w="1170" w:type="dxa"/>
            <w:tcBorders>
              <w:top w:val="single" w:sz="4" w:space="0" w:color="auto"/>
              <w:bottom w:val="single" w:sz="12" w:space="0" w:color="auto"/>
            </w:tcBorders>
            <w:shd w:val="clear" w:color="auto" w:fill="auto"/>
          </w:tcPr>
          <w:p w14:paraId="06DBAC7C" w14:textId="4538EF58" w:rsidR="00A05151" w:rsidRPr="00503C29" w:rsidRDefault="00A05151" w:rsidP="00A05151">
            <w:pPr>
              <w:tabs>
                <w:tab w:val="left" w:pos="288"/>
                <w:tab w:val="left" w:pos="576"/>
                <w:tab w:val="left" w:pos="864"/>
                <w:tab w:val="left" w:pos="1152"/>
              </w:tabs>
              <w:suppressAutoHyphens/>
              <w:spacing w:before="81" w:after="81" w:line="210" w:lineRule="exact"/>
              <w:ind w:left="8" w:right="43"/>
              <w:jc w:val="right"/>
              <w:rPr>
                <w:b/>
                <w:sz w:val="17"/>
                <w:szCs w:val="17"/>
              </w:rPr>
            </w:pPr>
            <w:r w:rsidRPr="00503C29">
              <w:rPr>
                <w:b/>
                <w:sz w:val="17"/>
                <w:szCs w:val="17"/>
              </w:rPr>
              <w:t>21 259</w:t>
            </w:r>
          </w:p>
        </w:tc>
        <w:tc>
          <w:tcPr>
            <w:tcW w:w="3807" w:type="dxa"/>
            <w:tcBorders>
              <w:top w:val="single" w:sz="4" w:space="0" w:color="auto"/>
              <w:bottom w:val="single" w:sz="12" w:space="0" w:color="auto"/>
            </w:tcBorders>
            <w:shd w:val="clear" w:color="auto" w:fill="auto"/>
            <w:vAlign w:val="bottom"/>
          </w:tcPr>
          <w:p w14:paraId="3474CECA" w14:textId="77777777" w:rsidR="00A05151" w:rsidRPr="00503C29" w:rsidRDefault="00A05151" w:rsidP="00A05151">
            <w:pPr>
              <w:tabs>
                <w:tab w:val="left" w:pos="288"/>
                <w:tab w:val="left" w:pos="576"/>
                <w:tab w:val="left" w:pos="864"/>
                <w:tab w:val="left" w:pos="1152"/>
              </w:tabs>
              <w:suppressAutoHyphens/>
              <w:spacing w:before="81" w:after="81" w:line="210" w:lineRule="exact"/>
              <w:ind w:left="144" w:right="43"/>
              <w:jc w:val="right"/>
              <w:rPr>
                <w:b/>
                <w:sz w:val="17"/>
                <w:szCs w:val="17"/>
              </w:rPr>
            </w:pPr>
          </w:p>
        </w:tc>
      </w:tr>
    </w:tbl>
    <w:p w14:paraId="2037BE61" w14:textId="158F4B42" w:rsidR="00970A00" w:rsidRPr="00970A00" w:rsidRDefault="00970A00" w:rsidP="00970A00">
      <w:pPr>
        <w:pStyle w:val="SingleTxt"/>
        <w:spacing w:after="0" w:line="120" w:lineRule="exact"/>
        <w:rPr>
          <w:sz w:val="10"/>
          <w:lang w:val="fr-FR"/>
        </w:rPr>
      </w:pPr>
    </w:p>
    <w:p w14:paraId="3546E969" w14:textId="4422735F" w:rsidR="00970A00" w:rsidRDefault="00C64AB1" w:rsidP="00545975">
      <w:pPr>
        <w:pStyle w:val="FootnoteText"/>
        <w:tabs>
          <w:tab w:val="right" w:pos="1476"/>
          <w:tab w:val="left" w:pos="1548"/>
          <w:tab w:val="right" w:pos="1836"/>
          <w:tab w:val="left" w:pos="1908"/>
        </w:tabs>
        <w:ind w:left="1548" w:right="1267" w:hanging="288"/>
        <w:rPr>
          <w:lang w:val="fr-FR"/>
        </w:rPr>
      </w:pPr>
      <w:r w:rsidRPr="00545975">
        <w:rPr>
          <w:i/>
          <w:iCs/>
          <w:lang w:val="fr-FR"/>
        </w:rPr>
        <w:t>Source</w:t>
      </w:r>
      <w:r w:rsidR="00795C5F">
        <w:rPr>
          <w:lang w:val="fr-FR"/>
        </w:rPr>
        <w:t> :</w:t>
      </w:r>
      <w:r w:rsidRPr="00C64AB1">
        <w:rPr>
          <w:lang w:val="fr-FR"/>
        </w:rPr>
        <w:t xml:space="preserve"> Le Conseil national des femmes</w:t>
      </w:r>
      <w:r>
        <w:rPr>
          <w:lang w:val="fr-FR"/>
        </w:rPr>
        <w:t>.</w:t>
      </w:r>
    </w:p>
    <w:p w14:paraId="2AC35A2D" w14:textId="23673AE7" w:rsidR="00C64AB1" w:rsidRPr="00545975" w:rsidRDefault="00C64AB1" w:rsidP="00545975">
      <w:pPr>
        <w:pStyle w:val="FootnoteText"/>
        <w:tabs>
          <w:tab w:val="right" w:pos="1476"/>
          <w:tab w:val="left" w:pos="1548"/>
          <w:tab w:val="right" w:pos="1836"/>
          <w:tab w:val="left" w:pos="1908"/>
        </w:tabs>
        <w:spacing w:line="120" w:lineRule="exact"/>
        <w:ind w:left="1548" w:right="1267" w:hanging="288"/>
        <w:rPr>
          <w:sz w:val="10"/>
          <w:lang w:val="fr-FR"/>
        </w:rPr>
      </w:pPr>
    </w:p>
    <w:p w14:paraId="4BC4322B" w14:textId="6248DC49" w:rsidR="00A05151" w:rsidRDefault="00A05151"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A05151">
        <w:rPr>
          <w:lang w:val="fr-FR"/>
        </w:rPr>
        <w:t>Obligations extraterritoriales</w:t>
      </w:r>
    </w:p>
    <w:p w14:paraId="4D59C0A7" w14:textId="0B87077D" w:rsidR="00A05151" w:rsidRPr="00046FCC" w:rsidRDefault="00A05151" w:rsidP="00046FCC">
      <w:pPr>
        <w:pStyle w:val="SingleTxt"/>
        <w:keepNext/>
        <w:spacing w:after="0" w:line="120" w:lineRule="exact"/>
        <w:rPr>
          <w:sz w:val="10"/>
          <w:lang w:val="fr-FR"/>
        </w:rPr>
      </w:pPr>
    </w:p>
    <w:p w14:paraId="5636FFE1" w14:textId="77777777" w:rsidR="00046FCC" w:rsidRPr="00A05151" w:rsidRDefault="00046FCC" w:rsidP="00970A00">
      <w:pPr>
        <w:pStyle w:val="SingleTxt"/>
        <w:keepNext/>
        <w:spacing w:after="0" w:line="120" w:lineRule="exact"/>
        <w:rPr>
          <w:sz w:val="10"/>
          <w:lang w:val="fr-FR"/>
        </w:rPr>
      </w:pPr>
    </w:p>
    <w:p w14:paraId="40C58ABD" w14:textId="5D495C8E" w:rsidR="00A05151" w:rsidRPr="00A05151" w:rsidRDefault="00A05151" w:rsidP="00970A00">
      <w:pPr>
        <w:pStyle w:val="SingleTxt"/>
        <w:keepNext/>
        <w:numPr>
          <w:ilvl w:val="0"/>
          <w:numId w:val="19"/>
        </w:numPr>
        <w:spacing w:line="240" w:lineRule="exact"/>
        <w:ind w:left="1267"/>
        <w:rPr>
          <w:lang w:val="fr-FR"/>
        </w:rPr>
      </w:pPr>
      <w:r w:rsidRPr="00A05151">
        <w:rPr>
          <w:lang w:val="fr-FR"/>
        </w:rPr>
        <w:t>Maurice s</w:t>
      </w:r>
      <w:r w:rsidR="00795C5F">
        <w:rPr>
          <w:lang w:val="fr-FR"/>
        </w:rPr>
        <w:t>’</w:t>
      </w:r>
      <w:r w:rsidRPr="00A05151">
        <w:rPr>
          <w:lang w:val="fr-FR"/>
        </w:rPr>
        <w:t>est dotée des mécanismes nécessaires pour veiller à ce que les entités commerciales enregistrées dans le pays, notamment les entreprises, fiducies, fondations privées et sociétés de personnes, tiennent systématiquement à jour les informations relatives à la propriété ainsi que les informations comptables et bancaires, et s</w:t>
      </w:r>
      <w:r w:rsidR="00795C5F">
        <w:rPr>
          <w:lang w:val="fr-FR"/>
        </w:rPr>
        <w:t>’</w:t>
      </w:r>
      <w:r w:rsidRPr="00A05151">
        <w:rPr>
          <w:lang w:val="fr-FR"/>
        </w:rPr>
        <w:t>assurent qu</w:t>
      </w:r>
      <w:r w:rsidR="00795C5F">
        <w:rPr>
          <w:lang w:val="fr-FR"/>
        </w:rPr>
        <w:t>’</w:t>
      </w:r>
      <w:r w:rsidRPr="00A05151">
        <w:rPr>
          <w:lang w:val="fr-FR"/>
        </w:rPr>
        <w:t>elles soient accessibles aux autorités mauriciennes et puissent également être communiquées aux autorités étrangères. Elle a mis en place un système efficace, performant et conforme aux normes internationales en matière d</w:t>
      </w:r>
      <w:r w:rsidR="00795C5F">
        <w:rPr>
          <w:lang w:val="fr-FR"/>
        </w:rPr>
        <w:t>’</w:t>
      </w:r>
      <w:r w:rsidRPr="00A05151">
        <w:rPr>
          <w:lang w:val="fr-FR"/>
        </w:rPr>
        <w:t>enregistrement et d</w:t>
      </w:r>
      <w:r w:rsidR="00795C5F">
        <w:rPr>
          <w:lang w:val="fr-FR"/>
        </w:rPr>
        <w:t>’</w:t>
      </w:r>
      <w:r w:rsidRPr="00A05151">
        <w:rPr>
          <w:lang w:val="fr-FR"/>
        </w:rPr>
        <w:t>échange de telles informations, qui est pleinement reconnu par des institutions normatives internationales comme l</w:t>
      </w:r>
      <w:r w:rsidR="00795C5F">
        <w:rPr>
          <w:lang w:val="fr-FR"/>
        </w:rPr>
        <w:t>’</w:t>
      </w:r>
      <w:r w:rsidRPr="00A05151">
        <w:rPr>
          <w:lang w:val="fr-FR"/>
        </w:rPr>
        <w:t>Organisation de coopération et de développement économiques (OCDE). L</w:t>
      </w:r>
      <w:r w:rsidR="00795C5F">
        <w:rPr>
          <w:lang w:val="fr-FR"/>
        </w:rPr>
        <w:t>’</w:t>
      </w:r>
      <w:r w:rsidRPr="00A05151">
        <w:rPr>
          <w:lang w:val="fr-FR"/>
        </w:rPr>
        <w:t>examen approfondi réalisé en toute indépendance par le Forum mondial de l</w:t>
      </w:r>
      <w:r w:rsidR="00795C5F">
        <w:rPr>
          <w:lang w:val="fr-FR"/>
        </w:rPr>
        <w:t>’</w:t>
      </w:r>
      <w:r w:rsidRPr="00A05151">
        <w:rPr>
          <w:lang w:val="fr-FR"/>
        </w:rPr>
        <w:t>OCDE a conclu que Maurice respectait les normes internationales sur la transparence et l</w:t>
      </w:r>
      <w:r w:rsidR="00795C5F">
        <w:rPr>
          <w:lang w:val="fr-FR"/>
        </w:rPr>
        <w:t>’</w:t>
      </w:r>
      <w:r w:rsidRPr="00A05151">
        <w:rPr>
          <w:lang w:val="fr-FR"/>
        </w:rPr>
        <w:t>échange de renseignements.</w:t>
      </w:r>
    </w:p>
    <w:p w14:paraId="75685CCF" w14:textId="26E3431A" w:rsidR="00A05151" w:rsidRPr="00A05151" w:rsidRDefault="00A05151" w:rsidP="00A05151">
      <w:pPr>
        <w:pStyle w:val="SingleTxt"/>
        <w:numPr>
          <w:ilvl w:val="0"/>
          <w:numId w:val="19"/>
        </w:numPr>
        <w:spacing w:line="240" w:lineRule="exact"/>
        <w:ind w:left="1267"/>
        <w:rPr>
          <w:lang w:val="fr-FR"/>
        </w:rPr>
      </w:pPr>
      <w:r w:rsidRPr="00A05151">
        <w:rPr>
          <w:lang w:val="fr-FR"/>
        </w:rPr>
        <w:t>Soucieuse de prévenir l</w:t>
      </w:r>
      <w:r w:rsidR="00795C5F">
        <w:rPr>
          <w:lang w:val="fr-FR"/>
        </w:rPr>
        <w:t>’</w:t>
      </w:r>
      <w:r w:rsidRPr="00A05151">
        <w:rPr>
          <w:lang w:val="fr-FR"/>
        </w:rPr>
        <w:t>évasion et la fraude fiscales, Maurice a pris un certain nombre de mesures visant à garantir la transparence et possède un système adéquat de collaboration internationale et d</w:t>
      </w:r>
      <w:r w:rsidR="00795C5F">
        <w:rPr>
          <w:lang w:val="fr-FR"/>
        </w:rPr>
        <w:t>’</w:t>
      </w:r>
      <w:r w:rsidRPr="00A05151">
        <w:rPr>
          <w:lang w:val="fr-FR"/>
        </w:rPr>
        <w:t>échange d</w:t>
      </w:r>
      <w:r w:rsidR="00795C5F">
        <w:rPr>
          <w:lang w:val="fr-FR"/>
        </w:rPr>
        <w:t>’</w:t>
      </w:r>
      <w:r w:rsidRPr="00A05151">
        <w:rPr>
          <w:lang w:val="fr-FR"/>
        </w:rPr>
        <w:t>informations. On retiendra notamment que</w:t>
      </w:r>
      <w:r w:rsidR="00795C5F">
        <w:rPr>
          <w:lang w:val="fr-FR"/>
        </w:rPr>
        <w:t> :</w:t>
      </w:r>
    </w:p>
    <w:p w14:paraId="3FBD5D79" w14:textId="370F7E87"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a signé 50 accords tendant à éviter la double imposition, qui tous contiennent des disposions visant à combattre la fraude et l</w:t>
      </w:r>
      <w:r w:rsidR="00795C5F">
        <w:rPr>
          <w:lang w:val="fr-FR"/>
        </w:rPr>
        <w:t>’</w:t>
      </w:r>
      <w:r w:rsidRPr="00A05151">
        <w:rPr>
          <w:lang w:val="fr-FR"/>
        </w:rPr>
        <w:t>évasion fiscales et prévoient un mécanisme d</w:t>
      </w:r>
      <w:r w:rsidR="00795C5F">
        <w:rPr>
          <w:lang w:val="fr-FR"/>
        </w:rPr>
        <w:t>’</w:t>
      </w:r>
      <w:r w:rsidRPr="00A05151">
        <w:rPr>
          <w:lang w:val="fr-FR"/>
        </w:rPr>
        <w:t>échange d</w:t>
      </w:r>
      <w:r w:rsidR="00795C5F">
        <w:rPr>
          <w:lang w:val="fr-FR"/>
        </w:rPr>
        <w:t>’</w:t>
      </w:r>
      <w:r w:rsidRPr="00A05151">
        <w:rPr>
          <w:lang w:val="fr-FR"/>
        </w:rPr>
        <w:t>informations</w:t>
      </w:r>
      <w:r w:rsidR="00795C5F">
        <w:rPr>
          <w:lang w:val="fr-FR"/>
        </w:rPr>
        <w:t> ;</w:t>
      </w:r>
    </w:p>
    <w:p w14:paraId="5EB7B090" w14:textId="0C27241B"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est membre du Forum mondial sur la transparence et l</w:t>
      </w:r>
      <w:r w:rsidR="00795C5F">
        <w:rPr>
          <w:lang w:val="fr-FR"/>
        </w:rPr>
        <w:t>’</w:t>
      </w:r>
      <w:r w:rsidRPr="00A05151">
        <w:rPr>
          <w:lang w:val="fr-FR"/>
        </w:rPr>
        <w:t>échange de renseignements à des fins fiscales</w:t>
      </w:r>
      <w:r w:rsidR="00795C5F">
        <w:rPr>
          <w:lang w:val="fr-FR"/>
        </w:rPr>
        <w:t> ;</w:t>
      </w:r>
    </w:p>
    <w:p w14:paraId="47FD7AB3" w14:textId="598DCA90"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a signé la Convention multilatérale concernant l</w:t>
      </w:r>
      <w:r w:rsidR="00795C5F">
        <w:rPr>
          <w:lang w:val="fr-FR"/>
        </w:rPr>
        <w:t>’</w:t>
      </w:r>
      <w:r w:rsidRPr="00A05151">
        <w:rPr>
          <w:lang w:val="fr-FR"/>
        </w:rPr>
        <w:t>assistance administrative mutuelle en matière fiscale et adopté la Norme commune de déclaration en matière d</w:t>
      </w:r>
      <w:r w:rsidR="00795C5F">
        <w:rPr>
          <w:lang w:val="fr-FR"/>
        </w:rPr>
        <w:t>’</w:t>
      </w:r>
      <w:r w:rsidRPr="00A05151">
        <w:rPr>
          <w:lang w:val="fr-FR"/>
        </w:rPr>
        <w:t>échange automatique de renseignements</w:t>
      </w:r>
      <w:r w:rsidR="00795C5F">
        <w:rPr>
          <w:lang w:val="fr-FR"/>
        </w:rPr>
        <w:t> ;</w:t>
      </w:r>
    </w:p>
    <w:p w14:paraId="6258FE91" w14:textId="50E1F432"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a signé un accord intergouvernemental avec les États-Unis donnant effet à la loi sur les obligations fiscales applicables en cas d</w:t>
      </w:r>
      <w:r w:rsidR="00795C5F">
        <w:rPr>
          <w:lang w:val="fr-FR"/>
        </w:rPr>
        <w:t>’</w:t>
      </w:r>
      <w:r w:rsidRPr="00A05151">
        <w:rPr>
          <w:lang w:val="fr-FR"/>
        </w:rPr>
        <w:t>ouverture d</w:t>
      </w:r>
      <w:r w:rsidR="00795C5F">
        <w:rPr>
          <w:lang w:val="fr-FR"/>
        </w:rPr>
        <w:t>’</w:t>
      </w:r>
      <w:r w:rsidRPr="00A05151">
        <w:rPr>
          <w:lang w:val="fr-FR"/>
        </w:rPr>
        <w:t>un compte à l</w:t>
      </w:r>
      <w:r w:rsidR="00795C5F">
        <w:rPr>
          <w:lang w:val="fr-FR"/>
        </w:rPr>
        <w:t>’</w:t>
      </w:r>
      <w:r w:rsidRPr="00A05151">
        <w:rPr>
          <w:lang w:val="fr-FR"/>
        </w:rPr>
        <w:t>étranger</w:t>
      </w:r>
      <w:r w:rsidR="00795C5F">
        <w:rPr>
          <w:lang w:val="fr-FR"/>
        </w:rPr>
        <w:t> ;</w:t>
      </w:r>
    </w:p>
    <w:p w14:paraId="0B2ADCD7" w14:textId="5652556C"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a signé l</w:t>
      </w:r>
      <w:r w:rsidR="00795C5F">
        <w:rPr>
          <w:lang w:val="fr-FR"/>
        </w:rPr>
        <w:t>’</w:t>
      </w:r>
      <w:r w:rsidRPr="00A05151">
        <w:rPr>
          <w:lang w:val="fr-FR"/>
        </w:rPr>
        <w:t>accord multilatéral entre autorités compétentes sur la déclaration pays par pays</w:t>
      </w:r>
      <w:r w:rsidR="00795C5F">
        <w:rPr>
          <w:lang w:val="fr-FR"/>
        </w:rPr>
        <w:t> ;</w:t>
      </w:r>
    </w:p>
    <w:p w14:paraId="0666E79F" w14:textId="19568337"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est membre du Cadre inclusif sur l</w:t>
      </w:r>
      <w:r w:rsidR="00795C5F">
        <w:rPr>
          <w:lang w:val="fr-FR"/>
        </w:rPr>
        <w:t>’</w:t>
      </w:r>
      <w:r w:rsidRPr="00A05151">
        <w:rPr>
          <w:lang w:val="fr-FR"/>
        </w:rPr>
        <w:t>érosion de la base d</w:t>
      </w:r>
      <w:r w:rsidR="00795C5F">
        <w:rPr>
          <w:lang w:val="fr-FR"/>
        </w:rPr>
        <w:t>’</w:t>
      </w:r>
      <w:r w:rsidRPr="00A05151">
        <w:rPr>
          <w:lang w:val="fr-FR"/>
        </w:rPr>
        <w:t>imposition et du transfert de bénéfices</w:t>
      </w:r>
      <w:r w:rsidR="00795C5F">
        <w:rPr>
          <w:lang w:val="fr-FR"/>
        </w:rPr>
        <w:t> ;</w:t>
      </w:r>
    </w:p>
    <w:p w14:paraId="34D06520" w14:textId="7D297CCC"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est signataire de la Convention multilatérale pour la mise en œuvre des mesures relatives aux conventions fiscales visant à prévenir l</w:t>
      </w:r>
      <w:r w:rsidR="00795C5F">
        <w:rPr>
          <w:lang w:val="fr-FR"/>
        </w:rPr>
        <w:t>’</w:t>
      </w:r>
      <w:r w:rsidRPr="00A05151">
        <w:rPr>
          <w:lang w:val="fr-FR"/>
        </w:rPr>
        <w:t>érosion de la base d</w:t>
      </w:r>
      <w:r w:rsidR="00795C5F">
        <w:rPr>
          <w:lang w:val="fr-FR"/>
        </w:rPr>
        <w:t>’</w:t>
      </w:r>
      <w:r w:rsidRPr="00A05151">
        <w:rPr>
          <w:lang w:val="fr-FR"/>
        </w:rPr>
        <w:t>imposition et le transfert de bénéfices</w:t>
      </w:r>
      <w:r w:rsidR="00795C5F">
        <w:rPr>
          <w:lang w:val="fr-FR"/>
        </w:rPr>
        <w:t> ;</w:t>
      </w:r>
    </w:p>
    <w:p w14:paraId="39C45677" w14:textId="53176759"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Maurice a souscrit à l</w:t>
      </w:r>
      <w:r w:rsidR="00795C5F">
        <w:rPr>
          <w:lang w:val="fr-FR"/>
        </w:rPr>
        <w:t>’</w:t>
      </w:r>
      <w:r w:rsidRPr="00A05151">
        <w:rPr>
          <w:lang w:val="fr-FR"/>
        </w:rPr>
        <w:t>ensemble de mesures relatives à l</w:t>
      </w:r>
      <w:r w:rsidR="00795C5F">
        <w:rPr>
          <w:lang w:val="fr-FR"/>
        </w:rPr>
        <w:t>’</w:t>
      </w:r>
      <w:r w:rsidRPr="00A05151">
        <w:rPr>
          <w:lang w:val="fr-FR"/>
        </w:rPr>
        <w:t>érosion de la base d</w:t>
      </w:r>
      <w:r w:rsidR="00795C5F">
        <w:rPr>
          <w:lang w:val="fr-FR"/>
        </w:rPr>
        <w:t>’</w:t>
      </w:r>
      <w:r w:rsidRPr="00A05151">
        <w:rPr>
          <w:lang w:val="fr-FR"/>
        </w:rPr>
        <w:t>imposition et au transfert de bénéfices, et s</w:t>
      </w:r>
      <w:r w:rsidR="00795C5F">
        <w:rPr>
          <w:lang w:val="fr-FR"/>
        </w:rPr>
        <w:t>’</w:t>
      </w:r>
      <w:r w:rsidRPr="00A05151">
        <w:rPr>
          <w:lang w:val="fr-FR"/>
        </w:rPr>
        <w:t>est engagée à en garantir une application uniforme.</w:t>
      </w:r>
    </w:p>
    <w:p w14:paraId="79843FDA" w14:textId="170340CB" w:rsidR="00A05151" w:rsidRPr="00046FCC" w:rsidRDefault="00A05151" w:rsidP="00046FCC">
      <w:pPr>
        <w:pStyle w:val="SingleTxt"/>
        <w:spacing w:after="0" w:line="120" w:lineRule="exact"/>
        <w:rPr>
          <w:sz w:val="10"/>
          <w:lang w:val="fr-FR"/>
        </w:rPr>
      </w:pPr>
    </w:p>
    <w:p w14:paraId="72D96E5B" w14:textId="77777777" w:rsidR="00046FCC" w:rsidRPr="00A05151" w:rsidRDefault="00046FCC" w:rsidP="00A05151">
      <w:pPr>
        <w:pStyle w:val="SingleTxt"/>
        <w:spacing w:after="0" w:line="120" w:lineRule="exact"/>
        <w:rPr>
          <w:sz w:val="10"/>
          <w:lang w:val="fr-FR"/>
        </w:rPr>
      </w:pPr>
    </w:p>
    <w:p w14:paraId="3C35E4E7" w14:textId="61927EA9" w:rsidR="00A05151" w:rsidRDefault="00A05151"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5151">
        <w:rPr>
          <w:lang w:val="fr-FR"/>
        </w:rPr>
        <w:tab/>
      </w:r>
      <w:r w:rsidRPr="00A05151">
        <w:rPr>
          <w:lang w:val="fr-FR"/>
        </w:rPr>
        <w:tab/>
        <w:t>Stéréotypes et pratiques préjudiciables</w:t>
      </w:r>
    </w:p>
    <w:p w14:paraId="4C120BF6" w14:textId="1A6B8542" w:rsidR="00A05151" w:rsidRPr="00046FCC" w:rsidRDefault="00A05151" w:rsidP="00046FCC">
      <w:pPr>
        <w:pStyle w:val="SingleTxt"/>
        <w:spacing w:after="0" w:line="120" w:lineRule="exact"/>
        <w:rPr>
          <w:sz w:val="10"/>
          <w:lang w:val="fr-FR"/>
        </w:rPr>
      </w:pPr>
    </w:p>
    <w:p w14:paraId="29E3F38B" w14:textId="77777777" w:rsidR="00046FCC" w:rsidRPr="00A05151" w:rsidRDefault="00046FCC" w:rsidP="00A05151">
      <w:pPr>
        <w:pStyle w:val="SingleTxt"/>
        <w:spacing w:after="0" w:line="120" w:lineRule="exact"/>
        <w:rPr>
          <w:sz w:val="10"/>
          <w:lang w:val="fr-FR"/>
        </w:rPr>
      </w:pPr>
    </w:p>
    <w:p w14:paraId="7A9B4B4E" w14:textId="06546CFF" w:rsidR="00A05151" w:rsidRPr="00A05151" w:rsidRDefault="00A05151" w:rsidP="00A05151">
      <w:pPr>
        <w:pStyle w:val="SingleTxt"/>
        <w:numPr>
          <w:ilvl w:val="0"/>
          <w:numId w:val="19"/>
        </w:numPr>
        <w:spacing w:line="240" w:lineRule="exact"/>
        <w:ind w:left="1267"/>
        <w:rPr>
          <w:lang w:val="fr-FR"/>
        </w:rPr>
      </w:pPr>
      <w:r w:rsidRPr="00A05151">
        <w:rPr>
          <w:lang w:val="fr-FR"/>
        </w:rPr>
        <w:t>Depuis l</w:t>
      </w:r>
      <w:r w:rsidR="00795C5F">
        <w:rPr>
          <w:lang w:val="fr-FR"/>
        </w:rPr>
        <w:t>’</w:t>
      </w:r>
      <w:r w:rsidRPr="00A05151">
        <w:rPr>
          <w:lang w:val="fr-FR"/>
        </w:rPr>
        <w:t xml:space="preserve">adoption, en 2008, du </w:t>
      </w:r>
      <w:r w:rsidR="00984399">
        <w:rPr>
          <w:lang w:val="fr-FR"/>
        </w:rPr>
        <w:t>C</w:t>
      </w:r>
      <w:r w:rsidRPr="00A05151">
        <w:rPr>
          <w:lang w:val="fr-FR"/>
        </w:rPr>
        <w:t>adre national mauricien pour l</w:t>
      </w:r>
      <w:r w:rsidR="00795C5F">
        <w:rPr>
          <w:lang w:val="fr-FR"/>
        </w:rPr>
        <w:t>’</w:t>
      </w:r>
      <w:r w:rsidRPr="00A05151">
        <w:rPr>
          <w:lang w:val="fr-FR"/>
        </w:rPr>
        <w:t>égalité des sexes et la publication du dernier rapport périodique de l</w:t>
      </w:r>
      <w:r w:rsidR="00795C5F">
        <w:rPr>
          <w:lang w:val="fr-FR"/>
        </w:rPr>
        <w:t>’</w:t>
      </w:r>
      <w:r w:rsidR="00415B49" w:rsidRPr="00A05151">
        <w:rPr>
          <w:lang w:val="fr-FR"/>
        </w:rPr>
        <w:t>État</w:t>
      </w:r>
      <w:r w:rsidRPr="00A05151">
        <w:rPr>
          <w:lang w:val="fr-FR"/>
        </w:rPr>
        <w:t xml:space="preserve"> partie, l</w:t>
      </w:r>
      <w:r w:rsidR="00795C5F">
        <w:rPr>
          <w:lang w:val="fr-FR"/>
        </w:rPr>
        <w:t>’</w:t>
      </w:r>
      <w:r w:rsidRPr="00A05151">
        <w:rPr>
          <w:lang w:val="fr-FR"/>
        </w:rPr>
        <w:t>Unité en charge de cette question organise chaque mois des réunions de sensibilisation à la notion d</w:t>
      </w:r>
      <w:r w:rsidR="00795C5F">
        <w:rPr>
          <w:lang w:val="fr-FR"/>
        </w:rPr>
        <w:t>’</w:t>
      </w:r>
      <w:r w:rsidRPr="00A05151">
        <w:rPr>
          <w:lang w:val="fr-FR"/>
        </w:rPr>
        <w:t>égalité des sexes destinées aux jeunes hommes et aux garçons (étudiants) ainsi qu</w:t>
      </w:r>
      <w:r w:rsidR="00795C5F">
        <w:rPr>
          <w:lang w:val="fr-FR"/>
        </w:rPr>
        <w:t>’</w:t>
      </w:r>
      <w:r w:rsidRPr="00A05151">
        <w:rPr>
          <w:lang w:val="fr-FR"/>
        </w:rPr>
        <w:t>à des hommes et des femmes de tous horizons, y compris des travailleurs du secteur privé. De même, des programmes de sensibilisation et de renforcement des capacités ont été mis sur pied à l</w:t>
      </w:r>
      <w:r w:rsidR="00795C5F">
        <w:rPr>
          <w:lang w:val="fr-FR"/>
        </w:rPr>
        <w:t>’</w:t>
      </w:r>
      <w:r w:rsidRPr="00A05151">
        <w:rPr>
          <w:lang w:val="fr-FR"/>
        </w:rPr>
        <w:t xml:space="preserve">intention de nouvelles recrues du secteur public, de cadres </w:t>
      </w:r>
      <w:r w:rsidRPr="00A05151">
        <w:rPr>
          <w:lang w:val="fr-FR"/>
        </w:rPr>
        <w:lastRenderedPageBreak/>
        <w:t>techniques et administratifs, des policiers et des agents pénitentiaires. Il s</w:t>
      </w:r>
      <w:r w:rsidR="00795C5F">
        <w:rPr>
          <w:lang w:val="fr-FR"/>
        </w:rPr>
        <w:t>’</w:t>
      </w:r>
      <w:r w:rsidRPr="00A05151">
        <w:rPr>
          <w:lang w:val="fr-FR"/>
        </w:rPr>
        <w:t>agit d</w:t>
      </w:r>
      <w:r w:rsidR="00795C5F">
        <w:rPr>
          <w:lang w:val="fr-FR"/>
        </w:rPr>
        <w:t>’</w:t>
      </w:r>
      <w:r w:rsidRPr="00A05151">
        <w:rPr>
          <w:lang w:val="fr-FR"/>
        </w:rPr>
        <w:t>un processus continu, et plusieurs outils d</w:t>
      </w:r>
      <w:r w:rsidR="00795C5F">
        <w:rPr>
          <w:lang w:val="fr-FR"/>
        </w:rPr>
        <w:t>’</w:t>
      </w:r>
      <w:r w:rsidRPr="00A05151">
        <w:rPr>
          <w:lang w:val="fr-FR"/>
        </w:rPr>
        <w:t>information et de formation ont été imaginés pour favoriser l</w:t>
      </w:r>
      <w:r w:rsidR="00795C5F">
        <w:rPr>
          <w:lang w:val="fr-FR"/>
        </w:rPr>
        <w:t>’</w:t>
      </w:r>
      <w:r w:rsidRPr="00A05151">
        <w:rPr>
          <w:lang w:val="fr-FR"/>
        </w:rPr>
        <w:t>élaboration de stratégies innovantes facilitant la prise de conscience du problème. L</w:t>
      </w:r>
      <w:r w:rsidR="00795C5F">
        <w:rPr>
          <w:lang w:val="fr-FR"/>
        </w:rPr>
        <w:t>’</w:t>
      </w:r>
      <w:r w:rsidRPr="00A05151">
        <w:rPr>
          <w:lang w:val="fr-FR"/>
        </w:rPr>
        <w:t>un des DVD interactifs qui ont été produits en 2011 avec le concours du Commonwealth of Learning et sont encore utilisés dans les campagnes de sensibilisation traite de la lutte contre l</w:t>
      </w:r>
      <w:r w:rsidR="00795C5F">
        <w:rPr>
          <w:lang w:val="fr-FR"/>
        </w:rPr>
        <w:t>’</w:t>
      </w:r>
      <w:r w:rsidRPr="00A05151">
        <w:rPr>
          <w:lang w:val="fr-FR"/>
        </w:rPr>
        <w:t>inégalité entre les sexes et de la discrimination fondée sur le sexe. En outre, depuis 2015, le Ministère de l</w:t>
      </w:r>
      <w:r w:rsidR="00795C5F">
        <w:rPr>
          <w:lang w:val="fr-FR"/>
        </w:rPr>
        <w:t>’</w:t>
      </w:r>
      <w:r w:rsidRPr="00A05151">
        <w:rPr>
          <w:lang w:val="fr-FR"/>
        </w:rPr>
        <w:t>égalité des genres, du développement de l</w:t>
      </w:r>
      <w:r w:rsidR="00795C5F">
        <w:rPr>
          <w:lang w:val="fr-FR"/>
        </w:rPr>
        <w:t>’</w:t>
      </w:r>
      <w:r w:rsidRPr="00A05151">
        <w:rPr>
          <w:lang w:val="fr-FR"/>
        </w:rPr>
        <w:t>enfant et du bien-être de la famille a recours, pour ses actions de sensibilisation, à des jeux de société, des jeux de rôle et des photos. Au niveau national, il se sert des panneaux d</w:t>
      </w:r>
      <w:r w:rsidR="00795C5F">
        <w:rPr>
          <w:lang w:val="fr-FR"/>
        </w:rPr>
        <w:t>’</w:t>
      </w:r>
      <w:r w:rsidRPr="00A05151">
        <w:rPr>
          <w:lang w:val="fr-FR"/>
        </w:rPr>
        <w:t>affichage et des autbus du réseau de transports publics pour sensibiliser le grand public à l</w:t>
      </w:r>
      <w:r w:rsidR="00795C5F">
        <w:rPr>
          <w:lang w:val="fr-FR"/>
        </w:rPr>
        <w:t>’</w:t>
      </w:r>
      <w:r w:rsidRPr="00A05151">
        <w:rPr>
          <w:lang w:val="fr-FR"/>
        </w:rPr>
        <w:t>égalité des sexes.</w:t>
      </w:r>
    </w:p>
    <w:p w14:paraId="32A4E3ED" w14:textId="78D65F53" w:rsidR="00A05151" w:rsidRPr="00A05151" w:rsidRDefault="00A05151" w:rsidP="00A05151">
      <w:pPr>
        <w:pStyle w:val="SingleTxt"/>
        <w:numPr>
          <w:ilvl w:val="0"/>
          <w:numId w:val="19"/>
        </w:numPr>
        <w:spacing w:line="240" w:lineRule="exact"/>
        <w:ind w:left="1267"/>
        <w:rPr>
          <w:lang w:val="fr-FR"/>
        </w:rPr>
      </w:pPr>
      <w:r w:rsidRPr="00A05151">
        <w:rPr>
          <w:lang w:val="fr-FR"/>
        </w:rPr>
        <w:t>Le Ministère comptabilise, à des fins d</w:t>
      </w:r>
      <w:r w:rsidR="00795C5F">
        <w:rPr>
          <w:lang w:val="fr-FR"/>
        </w:rPr>
        <w:t>’</w:t>
      </w:r>
      <w:r w:rsidRPr="00A05151">
        <w:rPr>
          <w:lang w:val="fr-FR"/>
        </w:rPr>
        <w:t>information, le nombre de bénéficiaires de ces campagnes de sensibilisation</w:t>
      </w:r>
      <w:r w:rsidR="00795C5F">
        <w:rPr>
          <w:lang w:val="fr-FR"/>
        </w:rPr>
        <w:t> ;</w:t>
      </w:r>
      <w:r w:rsidRPr="00A05151">
        <w:rPr>
          <w:lang w:val="fr-FR"/>
        </w:rPr>
        <w:t xml:space="preserve"> il a ainsi calculé que celles-ci avaient touché, depuis 2012, 15</w:t>
      </w:r>
      <w:r w:rsidR="00592B48">
        <w:rPr>
          <w:lang w:val="fr-FR"/>
        </w:rPr>
        <w:t> </w:t>
      </w:r>
      <w:r w:rsidRPr="00A05151">
        <w:rPr>
          <w:lang w:val="fr-FR"/>
        </w:rPr>
        <w:t>546 hommes, 64</w:t>
      </w:r>
      <w:r w:rsidR="00592B48">
        <w:rPr>
          <w:lang w:val="fr-FR"/>
        </w:rPr>
        <w:t> </w:t>
      </w:r>
      <w:r w:rsidRPr="00A05151">
        <w:rPr>
          <w:lang w:val="fr-FR"/>
        </w:rPr>
        <w:t>524 femmes, 14</w:t>
      </w:r>
      <w:r w:rsidR="00592B48">
        <w:rPr>
          <w:lang w:val="fr-FR"/>
        </w:rPr>
        <w:t> </w:t>
      </w:r>
      <w:r w:rsidRPr="00A05151">
        <w:rPr>
          <w:lang w:val="fr-FR"/>
        </w:rPr>
        <w:t>646 filles et 10</w:t>
      </w:r>
      <w:r w:rsidR="00592B48">
        <w:rPr>
          <w:lang w:val="fr-FR"/>
        </w:rPr>
        <w:t> </w:t>
      </w:r>
      <w:r w:rsidRPr="00A05151">
        <w:rPr>
          <w:lang w:val="fr-FR"/>
        </w:rPr>
        <w:t>860 garçons. Toutefois, aucun mécanisme n</w:t>
      </w:r>
      <w:r w:rsidR="00795C5F">
        <w:rPr>
          <w:lang w:val="fr-FR"/>
        </w:rPr>
        <w:t>’</w:t>
      </w:r>
      <w:r w:rsidRPr="00A05151">
        <w:rPr>
          <w:lang w:val="fr-FR"/>
        </w:rPr>
        <w:t>a été mis en place pour mesurer l</w:t>
      </w:r>
      <w:r w:rsidR="00795C5F">
        <w:rPr>
          <w:lang w:val="fr-FR"/>
        </w:rPr>
        <w:t>’</w:t>
      </w:r>
      <w:r w:rsidRPr="00A05151">
        <w:rPr>
          <w:lang w:val="fr-FR"/>
        </w:rPr>
        <w:t>impact et les résultats de ces campagnes.</w:t>
      </w:r>
    </w:p>
    <w:p w14:paraId="7AC8C6D9" w14:textId="5313FC6C" w:rsidR="00A05151" w:rsidRPr="00A05151" w:rsidRDefault="00A05151" w:rsidP="00A05151">
      <w:pPr>
        <w:pStyle w:val="SingleTxt"/>
        <w:numPr>
          <w:ilvl w:val="0"/>
          <w:numId w:val="19"/>
        </w:numPr>
        <w:spacing w:line="240" w:lineRule="exact"/>
        <w:ind w:left="1267"/>
        <w:rPr>
          <w:lang w:val="fr-FR"/>
        </w:rPr>
      </w:pPr>
      <w:r w:rsidRPr="00A05151">
        <w:rPr>
          <w:lang w:val="fr-FR"/>
        </w:rPr>
        <w:t>En octobre 2017, le Ministère a également lancé, via son Unité chargée des affaires familiales, un projet intitulé «</w:t>
      </w:r>
      <w:r w:rsidR="006E1537">
        <w:rPr>
          <w:lang w:val="fr-FR"/>
        </w:rPr>
        <w:t> </w:t>
      </w:r>
      <w:r w:rsidRPr="00A05151">
        <w:rPr>
          <w:lang w:val="fr-FR"/>
        </w:rPr>
        <w:t>Men As Caring Partners</w:t>
      </w:r>
      <w:r w:rsidR="006E1537">
        <w:rPr>
          <w:lang w:val="fr-FR"/>
        </w:rPr>
        <w:t> </w:t>
      </w:r>
      <w:r w:rsidRPr="00A05151">
        <w:rPr>
          <w:lang w:val="fr-FR"/>
        </w:rPr>
        <w:t>» [Les hommes, des partenaires altruistes], qui a pour objectifs</w:t>
      </w:r>
      <w:r w:rsidR="00795C5F">
        <w:rPr>
          <w:lang w:val="fr-FR"/>
        </w:rPr>
        <w:t> :</w:t>
      </w:r>
    </w:p>
    <w:p w14:paraId="0381652D" w14:textId="72C2FCE9"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00795C5F">
        <w:rPr>
          <w:lang w:val="fr-FR"/>
        </w:rPr>
        <w:t>’</w:t>
      </w:r>
      <w:r w:rsidRPr="00A05151">
        <w:rPr>
          <w:lang w:val="fr-FR"/>
        </w:rPr>
        <w:t>aider les hommes à mieux comprendre la notion d</w:t>
      </w:r>
      <w:r w:rsidR="00795C5F">
        <w:rPr>
          <w:lang w:val="fr-FR"/>
        </w:rPr>
        <w:t>’</w:t>
      </w:r>
      <w:r w:rsidRPr="00A05151">
        <w:rPr>
          <w:lang w:val="fr-FR"/>
        </w:rPr>
        <w:t>égalité des sexes et son importance</w:t>
      </w:r>
      <w:r w:rsidR="00795C5F">
        <w:rPr>
          <w:lang w:val="fr-FR"/>
        </w:rPr>
        <w:t> ;</w:t>
      </w:r>
    </w:p>
    <w:p w14:paraId="16132A05" w14:textId="28BAB3EF"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veiller à ce que les hommes participent et contribuent effectivement au bien</w:t>
      </w:r>
      <w:r w:rsidR="00146711">
        <w:rPr>
          <w:lang w:val="fr-FR"/>
        </w:rPr>
        <w:noBreakHyphen/>
      </w:r>
      <w:r w:rsidRPr="00A05151">
        <w:rPr>
          <w:lang w:val="fr-FR"/>
        </w:rPr>
        <w:t>être familial, et de répondre aux préoccupations et besoins particuliers des hommes, notamment en ce qui concerne leur santé en matière de sexualité et de procréation</w:t>
      </w:r>
      <w:r w:rsidR="00795C5F">
        <w:rPr>
          <w:lang w:val="fr-FR"/>
        </w:rPr>
        <w:t> ;</w:t>
      </w:r>
    </w:p>
    <w:p w14:paraId="783FBDE8" w14:textId="0D94F492"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promouvoir l</w:t>
      </w:r>
      <w:r w:rsidR="00795C5F">
        <w:rPr>
          <w:lang w:val="fr-FR"/>
        </w:rPr>
        <w:t>’</w:t>
      </w:r>
      <w:r w:rsidRPr="00A05151">
        <w:rPr>
          <w:lang w:val="fr-FR"/>
        </w:rPr>
        <w:t>égalité des chances entre les hommes et les femmes dans le processus de développement</w:t>
      </w:r>
      <w:r w:rsidR="00795C5F">
        <w:rPr>
          <w:lang w:val="fr-FR"/>
        </w:rPr>
        <w:t> ;</w:t>
      </w:r>
    </w:p>
    <w:p w14:paraId="4065610C" w14:textId="243F793C"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veiller à ce que les hommes deviennent des partenaires soucieux de leurs responsabilités et du bien-être familial.</w:t>
      </w:r>
    </w:p>
    <w:p w14:paraId="0C48D544" w14:textId="64629E84" w:rsidR="00A05151" w:rsidRPr="00A05151" w:rsidRDefault="00A05151" w:rsidP="00A05151">
      <w:pPr>
        <w:pStyle w:val="SingleTxt"/>
        <w:numPr>
          <w:ilvl w:val="0"/>
          <w:numId w:val="19"/>
        </w:numPr>
        <w:spacing w:line="240" w:lineRule="exact"/>
        <w:ind w:left="1267"/>
        <w:rPr>
          <w:lang w:val="fr-FR"/>
        </w:rPr>
      </w:pPr>
      <w:r w:rsidRPr="00A05151">
        <w:rPr>
          <w:lang w:val="fr-FR"/>
        </w:rPr>
        <w:t>Le Conseil national des femmes organise des sessions de sensibilisation consacrées à la notion d</w:t>
      </w:r>
      <w:r w:rsidR="00795C5F">
        <w:rPr>
          <w:lang w:val="fr-FR"/>
        </w:rPr>
        <w:t>’</w:t>
      </w:r>
      <w:r w:rsidRPr="00A05151">
        <w:rPr>
          <w:lang w:val="fr-FR"/>
        </w:rPr>
        <w:t>égalité des sexes, qui s</w:t>
      </w:r>
      <w:r w:rsidR="00795C5F">
        <w:rPr>
          <w:lang w:val="fr-FR"/>
        </w:rPr>
        <w:t>’</w:t>
      </w:r>
      <w:r w:rsidRPr="00A05151">
        <w:rPr>
          <w:lang w:val="fr-FR"/>
        </w:rPr>
        <w:t>adressent aux membres des associations de femmes ainsi qu</w:t>
      </w:r>
      <w:r w:rsidR="00795C5F">
        <w:rPr>
          <w:lang w:val="fr-FR"/>
        </w:rPr>
        <w:t>’</w:t>
      </w:r>
      <w:r w:rsidRPr="00A05151">
        <w:rPr>
          <w:lang w:val="fr-FR"/>
        </w:rPr>
        <w:t>à d</w:t>
      </w:r>
      <w:r w:rsidR="00795C5F">
        <w:rPr>
          <w:lang w:val="fr-FR"/>
        </w:rPr>
        <w:t>’</w:t>
      </w:r>
      <w:r w:rsidRPr="00A05151">
        <w:rPr>
          <w:lang w:val="fr-FR"/>
        </w:rPr>
        <w:t>autres femmes et filles, y compris des étudiantes. L</w:t>
      </w:r>
      <w:r w:rsidR="00795C5F">
        <w:rPr>
          <w:lang w:val="fr-FR"/>
        </w:rPr>
        <w:t>’</w:t>
      </w:r>
      <w:r w:rsidRPr="00A05151">
        <w:rPr>
          <w:lang w:val="fr-FR"/>
        </w:rPr>
        <w:t>objectif est de permettre aux femmes de dénoncer les stéréotypes sexistes auxquelles elles ont été confrontées à Maurice et de contribuer à trouver les moyens de les briser. Des programmes visant à mettre fin aux stéréotypes devraient ensuite être déployés. Des formations courtes axées sur des domaines d</w:t>
      </w:r>
      <w:r w:rsidR="00795C5F">
        <w:rPr>
          <w:lang w:val="fr-FR"/>
        </w:rPr>
        <w:t>’</w:t>
      </w:r>
      <w:r w:rsidRPr="00A05151">
        <w:rPr>
          <w:lang w:val="fr-FR"/>
        </w:rPr>
        <w:t>activité à forte dominance masculine, tels que le bricolage, vont être proposées. Entre février et mars 2018, le Conseil national des femmes a réussi à toucher 1</w:t>
      </w:r>
      <w:r w:rsidR="002050E5">
        <w:rPr>
          <w:lang w:val="fr-FR"/>
        </w:rPr>
        <w:t> </w:t>
      </w:r>
      <w:r w:rsidRPr="00A05151">
        <w:rPr>
          <w:lang w:val="fr-FR"/>
        </w:rPr>
        <w:t>445 femmes grâce aux sessions visant à promouvoir l</w:t>
      </w:r>
      <w:r w:rsidR="00795C5F">
        <w:rPr>
          <w:lang w:val="fr-FR"/>
        </w:rPr>
        <w:t>’</w:t>
      </w:r>
      <w:r w:rsidRPr="00A05151">
        <w:rPr>
          <w:lang w:val="fr-FR"/>
        </w:rPr>
        <w:t>égalité des sexes et à briser les stéréotypes. Les activités proposées consistent, entre autres, en des séances interactives, des discussions et des ciné-clubs. Les nouvelles activités imaginées pour briser les stéréotypes comprennent 1) des formations courtes sur les droits des femmes et des filles (cours en ligne dispensé par l</w:t>
      </w:r>
      <w:r w:rsidR="00795C5F">
        <w:rPr>
          <w:lang w:val="fr-FR"/>
        </w:rPr>
        <w:t>’</w:t>
      </w:r>
      <w:r w:rsidRPr="00A05151">
        <w:rPr>
          <w:lang w:val="fr-FR"/>
        </w:rPr>
        <w:t>intermédiaire de l</w:t>
      </w:r>
      <w:r w:rsidR="00795C5F">
        <w:rPr>
          <w:lang w:val="fr-FR"/>
        </w:rPr>
        <w:t>’</w:t>
      </w:r>
      <w:r w:rsidRPr="00A05151">
        <w:rPr>
          <w:lang w:val="fr-FR"/>
        </w:rPr>
        <w:t>ambassade des États-Unis), 2</w:t>
      </w:r>
      <w:r w:rsidR="00984399" w:rsidRPr="00A05151">
        <w:rPr>
          <w:lang w:val="fr-FR"/>
        </w:rPr>
        <w:t>)</w:t>
      </w:r>
      <w:r w:rsidR="00984399">
        <w:rPr>
          <w:lang w:val="fr-FR"/>
        </w:rPr>
        <w:t> </w:t>
      </w:r>
      <w:r w:rsidRPr="00A05151">
        <w:rPr>
          <w:lang w:val="fr-FR"/>
        </w:rPr>
        <w:t>des exposés sur les droits des femmes en tant que droits fondamentaux (</w:t>
      </w:r>
      <w:r w:rsidR="00146711" w:rsidRPr="00A05151">
        <w:rPr>
          <w:lang w:val="fr-FR"/>
        </w:rPr>
        <w:t>en</w:t>
      </w:r>
      <w:r w:rsidR="00146711">
        <w:rPr>
          <w:lang w:val="fr-FR"/>
        </w:rPr>
        <w:t> </w:t>
      </w:r>
      <w:r w:rsidRPr="00A05151">
        <w:rPr>
          <w:lang w:val="fr-FR"/>
        </w:rPr>
        <w:t>collaboration avec la Commission des droits de l</w:t>
      </w:r>
      <w:r w:rsidR="00795C5F">
        <w:rPr>
          <w:lang w:val="fr-FR"/>
        </w:rPr>
        <w:t>’</w:t>
      </w:r>
      <w:r w:rsidRPr="00A05151">
        <w:rPr>
          <w:lang w:val="fr-FR"/>
        </w:rPr>
        <w:t xml:space="preserve">homme) et 3) des activités sportives pour les femmes dans des disciplines à forte dominance masculine tels que le football et le basket-ball. </w:t>
      </w:r>
    </w:p>
    <w:p w14:paraId="612A4541" w14:textId="516FB7DD" w:rsidR="00A05151" w:rsidRPr="00A05151" w:rsidRDefault="00A05151" w:rsidP="00A05151">
      <w:pPr>
        <w:pStyle w:val="SingleTxt"/>
        <w:numPr>
          <w:ilvl w:val="0"/>
          <w:numId w:val="19"/>
        </w:numPr>
        <w:spacing w:line="240" w:lineRule="exact"/>
        <w:ind w:left="1267"/>
        <w:rPr>
          <w:lang w:val="fr-FR"/>
        </w:rPr>
      </w:pPr>
      <w:r w:rsidRPr="00A05151">
        <w:rPr>
          <w:lang w:val="fr-FR"/>
        </w:rPr>
        <w:t>Même si les autorités savent que les femmes demeurent confrontées à de nombreuses formes de discrimination, Maurice ne fait pas de distinction entre les groupes ethniques minorit</w:t>
      </w:r>
      <w:r w:rsidR="00984399">
        <w:rPr>
          <w:lang w:val="fr-FR"/>
        </w:rPr>
        <w:t>aire</w:t>
      </w:r>
      <w:r w:rsidRPr="00A05151">
        <w:rPr>
          <w:lang w:val="fr-FR"/>
        </w:rPr>
        <w:t xml:space="preserve">s et majoritaires au sein de sa population. La </w:t>
      </w:r>
      <w:r w:rsidRPr="00A05151">
        <w:rPr>
          <w:lang w:val="fr-FR"/>
        </w:rPr>
        <w:lastRenderedPageBreak/>
        <w:t>Constitution de Maurice garantit la non-discrimination fondée sur l</w:t>
      </w:r>
      <w:r w:rsidR="00795C5F">
        <w:rPr>
          <w:lang w:val="fr-FR"/>
        </w:rPr>
        <w:t>’</w:t>
      </w:r>
      <w:r w:rsidRPr="00A05151">
        <w:rPr>
          <w:lang w:val="fr-FR"/>
        </w:rPr>
        <w:t xml:space="preserve">origine ethnique et le sexe. </w:t>
      </w:r>
    </w:p>
    <w:p w14:paraId="2DAFA741" w14:textId="2B7FB3F7" w:rsidR="00A05151" w:rsidRPr="00A05151" w:rsidRDefault="00A05151" w:rsidP="00A05151">
      <w:pPr>
        <w:pStyle w:val="SingleTxt"/>
        <w:numPr>
          <w:ilvl w:val="0"/>
          <w:numId w:val="19"/>
        </w:numPr>
        <w:spacing w:line="240" w:lineRule="exact"/>
        <w:ind w:left="1267"/>
        <w:rPr>
          <w:lang w:val="fr-FR"/>
        </w:rPr>
      </w:pPr>
      <w:r w:rsidRPr="00A05151">
        <w:rPr>
          <w:lang w:val="fr-FR"/>
        </w:rPr>
        <w:t>Les femmes migrantes, qui travaillent principalement dans le secteur manufacturier, jouissent des mêmes droits que leurs homologues mauriciens. Le Ministère de l</w:t>
      </w:r>
      <w:r w:rsidR="00795C5F">
        <w:rPr>
          <w:lang w:val="fr-FR"/>
        </w:rPr>
        <w:t>’</w:t>
      </w:r>
      <w:r w:rsidRPr="00A05151">
        <w:rPr>
          <w:lang w:val="fr-FR"/>
        </w:rPr>
        <w:t>égalité des genres, du développement de l</w:t>
      </w:r>
      <w:r w:rsidR="00795C5F">
        <w:rPr>
          <w:lang w:val="fr-FR"/>
        </w:rPr>
        <w:t>’</w:t>
      </w:r>
      <w:r w:rsidRPr="00A05151">
        <w:rPr>
          <w:lang w:val="fr-FR"/>
        </w:rPr>
        <w:t>enfant et du bien-être de la famille veille au respect de leurs droits, en étroite collaboration avec le Fonds pour le bien-être des travailleurs du secteur manufacturier mauricien et sous l</w:t>
      </w:r>
      <w:r w:rsidR="00795C5F">
        <w:rPr>
          <w:lang w:val="fr-FR"/>
        </w:rPr>
        <w:t>’</w:t>
      </w:r>
      <w:r w:rsidRPr="00A05151">
        <w:rPr>
          <w:lang w:val="fr-FR"/>
        </w:rPr>
        <w:t>égide du Ministère du travail et de l</w:t>
      </w:r>
      <w:r w:rsidR="00795C5F">
        <w:rPr>
          <w:lang w:val="fr-FR"/>
        </w:rPr>
        <w:t>’</w:t>
      </w:r>
      <w:r w:rsidRPr="00A05151">
        <w:rPr>
          <w:lang w:val="fr-FR"/>
        </w:rPr>
        <w:t xml:space="preserve">industrie et des organisations syndicales. </w:t>
      </w:r>
    </w:p>
    <w:p w14:paraId="46B03DE2" w14:textId="58C74DB6" w:rsidR="00A05151" w:rsidRPr="00A05151" w:rsidRDefault="00A05151" w:rsidP="00A05151">
      <w:pPr>
        <w:pStyle w:val="SingleTxt"/>
        <w:numPr>
          <w:ilvl w:val="0"/>
          <w:numId w:val="19"/>
        </w:numPr>
        <w:spacing w:line="240" w:lineRule="exact"/>
        <w:ind w:left="1267"/>
        <w:rPr>
          <w:lang w:val="fr-FR"/>
        </w:rPr>
      </w:pPr>
      <w:r w:rsidRPr="00A05151">
        <w:rPr>
          <w:lang w:val="fr-FR"/>
        </w:rPr>
        <w:t>Maurice n</w:t>
      </w:r>
      <w:r w:rsidR="00795C5F">
        <w:rPr>
          <w:lang w:val="fr-FR"/>
        </w:rPr>
        <w:t>’</w:t>
      </w:r>
      <w:r w:rsidRPr="00A05151">
        <w:rPr>
          <w:lang w:val="fr-FR"/>
        </w:rPr>
        <w:t>a pas encore élaboré de mesures spécifiquement liées aux droits des lesbiennes, gays, bisexuels, transgenres et femmes intersexuées. Toutefois, au regard de la loi relative à l</w:t>
      </w:r>
      <w:r w:rsidR="00795C5F">
        <w:rPr>
          <w:lang w:val="fr-FR"/>
        </w:rPr>
        <w:t>’</w:t>
      </w:r>
      <w:r w:rsidRPr="00A05151">
        <w:rPr>
          <w:lang w:val="fr-FR"/>
        </w:rPr>
        <w:t>égalité des chances, un acte est réputé discriminatoire lorsqu</w:t>
      </w:r>
      <w:r w:rsidR="00795C5F">
        <w:rPr>
          <w:lang w:val="fr-FR"/>
        </w:rPr>
        <w:t>’</w:t>
      </w:r>
      <w:r w:rsidRPr="00A05151">
        <w:rPr>
          <w:lang w:val="fr-FR"/>
        </w:rPr>
        <w:t>un individu est traité de façon moins favorable pour des motifs tenant à l</w:t>
      </w:r>
      <w:r w:rsidR="00795C5F">
        <w:rPr>
          <w:lang w:val="fr-FR"/>
        </w:rPr>
        <w:t>’</w:t>
      </w:r>
      <w:r w:rsidRPr="00A05151">
        <w:rPr>
          <w:lang w:val="fr-FR"/>
        </w:rPr>
        <w:t>âge, la caste, la couleur de peau, les croyances, l</w:t>
      </w:r>
      <w:r w:rsidR="00795C5F">
        <w:rPr>
          <w:lang w:val="fr-FR"/>
        </w:rPr>
        <w:t>’</w:t>
      </w:r>
      <w:r w:rsidRPr="00A05151">
        <w:rPr>
          <w:lang w:val="fr-FR"/>
        </w:rPr>
        <w:t>origine ethnique, le handicap, la situation matrimoniale, le lieu d</w:t>
      </w:r>
      <w:r w:rsidR="00795C5F">
        <w:rPr>
          <w:lang w:val="fr-FR"/>
        </w:rPr>
        <w:t>’</w:t>
      </w:r>
      <w:r w:rsidRPr="00A05151">
        <w:rPr>
          <w:lang w:val="fr-FR"/>
        </w:rPr>
        <w:t>origine, les opinions politiques, la race, le sexe ou l</w:t>
      </w:r>
      <w:r w:rsidR="00795C5F">
        <w:rPr>
          <w:lang w:val="fr-FR"/>
        </w:rPr>
        <w:t>’</w:t>
      </w:r>
      <w:r w:rsidRPr="00A05151">
        <w:rPr>
          <w:lang w:val="fr-FR"/>
        </w:rPr>
        <w:t>orientation sexuelle.</w:t>
      </w:r>
    </w:p>
    <w:p w14:paraId="3BF6D685" w14:textId="2902E8AD" w:rsidR="00A05151" w:rsidRPr="00046FCC" w:rsidRDefault="00A05151" w:rsidP="00046FCC">
      <w:pPr>
        <w:pStyle w:val="SingleTxt"/>
        <w:spacing w:after="0" w:line="120" w:lineRule="exact"/>
        <w:rPr>
          <w:sz w:val="10"/>
          <w:lang w:val="fr-FR"/>
        </w:rPr>
      </w:pPr>
    </w:p>
    <w:p w14:paraId="6FA4EBC4" w14:textId="77777777" w:rsidR="00046FCC" w:rsidRPr="00A05151" w:rsidRDefault="00046FCC" w:rsidP="00A05151">
      <w:pPr>
        <w:pStyle w:val="SingleTxt"/>
        <w:spacing w:after="0" w:line="120" w:lineRule="exact"/>
        <w:rPr>
          <w:sz w:val="10"/>
          <w:lang w:val="fr-FR"/>
        </w:rPr>
      </w:pPr>
    </w:p>
    <w:p w14:paraId="7242D5B3" w14:textId="70FD17AE" w:rsidR="00A05151" w:rsidRDefault="00A05151"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5151">
        <w:rPr>
          <w:lang w:val="fr-FR"/>
        </w:rPr>
        <w:tab/>
      </w:r>
      <w:r w:rsidRPr="00A05151">
        <w:rPr>
          <w:lang w:val="fr-FR"/>
        </w:rPr>
        <w:tab/>
        <w:t>Violences sexistes à l</w:t>
      </w:r>
      <w:r w:rsidR="00795C5F">
        <w:rPr>
          <w:lang w:val="fr-FR"/>
        </w:rPr>
        <w:t>’</w:t>
      </w:r>
      <w:r w:rsidRPr="00A05151">
        <w:rPr>
          <w:lang w:val="fr-FR"/>
        </w:rPr>
        <w:t>encontre des femmes</w:t>
      </w:r>
    </w:p>
    <w:p w14:paraId="4D2A0D34" w14:textId="24F5C3E1" w:rsidR="00A05151" w:rsidRPr="00046FCC" w:rsidRDefault="00A05151" w:rsidP="00046FCC">
      <w:pPr>
        <w:pStyle w:val="SingleTxt"/>
        <w:spacing w:after="0" w:line="120" w:lineRule="exact"/>
        <w:rPr>
          <w:sz w:val="10"/>
          <w:lang w:val="fr-FR"/>
        </w:rPr>
      </w:pPr>
    </w:p>
    <w:p w14:paraId="03684404" w14:textId="77777777" w:rsidR="00046FCC" w:rsidRPr="00A05151" w:rsidRDefault="00046FCC" w:rsidP="00A05151">
      <w:pPr>
        <w:pStyle w:val="SingleTxt"/>
        <w:spacing w:after="0" w:line="120" w:lineRule="exact"/>
        <w:rPr>
          <w:sz w:val="10"/>
          <w:lang w:val="fr-FR"/>
        </w:rPr>
      </w:pPr>
    </w:p>
    <w:p w14:paraId="090D22A0" w14:textId="1C7EACD0" w:rsidR="00A05151" w:rsidRPr="00A05151" w:rsidRDefault="00A05151" w:rsidP="00A05151">
      <w:pPr>
        <w:pStyle w:val="SingleTxt"/>
        <w:numPr>
          <w:ilvl w:val="0"/>
          <w:numId w:val="19"/>
        </w:numPr>
        <w:spacing w:line="240" w:lineRule="exact"/>
        <w:ind w:left="1267"/>
        <w:rPr>
          <w:lang w:val="fr-FR"/>
        </w:rPr>
      </w:pPr>
      <w:r w:rsidRPr="00A05151">
        <w:rPr>
          <w:lang w:val="fr-FR"/>
        </w:rPr>
        <w:t>Diverses mesures ont été prises pour combattre l</w:t>
      </w:r>
      <w:r w:rsidR="00795C5F">
        <w:rPr>
          <w:lang w:val="fr-FR"/>
        </w:rPr>
        <w:t>’</w:t>
      </w:r>
      <w:r w:rsidRPr="00A05151">
        <w:rPr>
          <w:lang w:val="fr-FR"/>
        </w:rPr>
        <w:t>impunité dont bénéficient ceux qui commettent des violences familiales (en supprimant tous les obstacles empêchant actuellement les femmes qui en sont victimes de les signaler à la police, en traduisant en justice les auteurs de tels actes et en accordant réparation aux victimes) et assurer le maintien des enquêtes et des poursuites d</w:t>
      </w:r>
      <w:r w:rsidR="00795C5F">
        <w:rPr>
          <w:lang w:val="fr-FR"/>
        </w:rPr>
        <w:t>’</w:t>
      </w:r>
      <w:r w:rsidRPr="00A05151">
        <w:rPr>
          <w:lang w:val="fr-FR"/>
        </w:rPr>
        <w:t>office dans de telles affaires.</w:t>
      </w:r>
    </w:p>
    <w:p w14:paraId="57F60B7F" w14:textId="3607DA9E"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La formation destinée à permettre aux policiers de mieux traiter les affaires de violences familiales se poursuit. À ce jour, 633 policiers l</w:t>
      </w:r>
      <w:r w:rsidR="00795C5F">
        <w:rPr>
          <w:lang w:val="fr-FR"/>
        </w:rPr>
        <w:t>’</w:t>
      </w:r>
      <w:r w:rsidRPr="00A05151">
        <w:rPr>
          <w:lang w:val="fr-FR"/>
        </w:rPr>
        <w:t>ont suivie</w:t>
      </w:r>
      <w:r w:rsidR="00795C5F">
        <w:rPr>
          <w:lang w:val="fr-FR"/>
        </w:rPr>
        <w:t> ;</w:t>
      </w:r>
    </w:p>
    <w:p w14:paraId="1523E9E5" w14:textId="3CD973D8"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En novembre 2016, à l</w:t>
      </w:r>
      <w:r w:rsidR="00795C5F">
        <w:rPr>
          <w:lang w:val="fr-FR"/>
        </w:rPr>
        <w:t>’</w:t>
      </w:r>
      <w:r w:rsidRPr="00A05151">
        <w:rPr>
          <w:lang w:val="fr-FR"/>
        </w:rPr>
        <w:t>occasion de la Journée internationale pour l</w:t>
      </w:r>
      <w:r w:rsidR="00795C5F">
        <w:rPr>
          <w:lang w:val="fr-FR"/>
        </w:rPr>
        <w:t>’</w:t>
      </w:r>
      <w:r w:rsidRPr="00A05151">
        <w:rPr>
          <w:lang w:val="fr-FR"/>
        </w:rPr>
        <w:t>élimination de la violence à l</w:t>
      </w:r>
      <w:r w:rsidR="00795C5F">
        <w:rPr>
          <w:lang w:val="fr-FR"/>
        </w:rPr>
        <w:t>’</w:t>
      </w:r>
      <w:r w:rsidRPr="00A05151">
        <w:rPr>
          <w:lang w:val="fr-FR"/>
        </w:rPr>
        <w:t xml:space="preserve">égard des femmes, un colloque sur le thème </w:t>
      </w:r>
      <w:r w:rsidR="00B65EDA" w:rsidRPr="00A05151">
        <w:rPr>
          <w:lang w:val="fr-FR"/>
        </w:rPr>
        <w:t>«</w:t>
      </w:r>
      <w:r w:rsidR="00B65EDA">
        <w:rPr>
          <w:lang w:val="fr-FR"/>
        </w:rPr>
        <w:t> </w:t>
      </w:r>
      <w:r w:rsidRPr="00A05151">
        <w:rPr>
          <w:lang w:val="fr-FR"/>
        </w:rPr>
        <w:t xml:space="preserve">Les violences familiales et le système </w:t>
      </w:r>
      <w:r w:rsidR="00B65EDA" w:rsidRPr="00A05151">
        <w:rPr>
          <w:lang w:val="fr-FR"/>
        </w:rPr>
        <w:t>judiciaire</w:t>
      </w:r>
      <w:r w:rsidR="00B65EDA">
        <w:rPr>
          <w:lang w:val="fr-FR"/>
        </w:rPr>
        <w:t> </w:t>
      </w:r>
      <w:r w:rsidRPr="00A05151">
        <w:rPr>
          <w:lang w:val="fr-FR"/>
        </w:rPr>
        <w:t>» a été organisé en vue de sensibiliser les avocats. Cette manifestation a réuni 85 personnes</w:t>
      </w:r>
      <w:r w:rsidR="00795C5F">
        <w:rPr>
          <w:lang w:val="fr-FR"/>
        </w:rPr>
        <w:t> ;</w:t>
      </w:r>
    </w:p>
    <w:p w14:paraId="1DD0B91B" w14:textId="296E6C5C"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En mai 2017 s</w:t>
      </w:r>
      <w:r w:rsidR="00795C5F">
        <w:rPr>
          <w:lang w:val="fr-FR"/>
        </w:rPr>
        <w:t>’</w:t>
      </w:r>
      <w:r w:rsidRPr="00A05151">
        <w:rPr>
          <w:lang w:val="fr-FR"/>
        </w:rPr>
        <w:t>est tenu un atelier sur le renforcement de l</w:t>
      </w:r>
      <w:r w:rsidR="00795C5F">
        <w:rPr>
          <w:lang w:val="fr-FR"/>
        </w:rPr>
        <w:t>’</w:t>
      </w:r>
      <w:r w:rsidRPr="00A05151">
        <w:rPr>
          <w:lang w:val="fr-FR"/>
        </w:rPr>
        <w:t>action judiciaire face aux violences familiales, auquel 50 magistrats et 50 procureurs ont été conviés</w:t>
      </w:r>
      <w:r w:rsidR="00795C5F">
        <w:rPr>
          <w:lang w:val="fr-FR"/>
        </w:rPr>
        <w:t> ;</w:t>
      </w:r>
    </w:p>
    <w:p w14:paraId="6B59FC26" w14:textId="0C3FD380"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Mise en place en 2017, la «</w:t>
      </w:r>
      <w:r w:rsidR="002050E5">
        <w:rPr>
          <w:lang w:val="fr-FR"/>
        </w:rPr>
        <w:t> </w:t>
      </w:r>
      <w:r w:rsidRPr="00A05151">
        <w:rPr>
          <w:lang w:val="fr-FR"/>
        </w:rPr>
        <w:t>politique de reconnaissance des victimes et de réhabilitation des agresseurs</w:t>
      </w:r>
      <w:r w:rsidR="002050E5">
        <w:rPr>
          <w:lang w:val="fr-FR"/>
        </w:rPr>
        <w:t> </w:t>
      </w:r>
      <w:r w:rsidRPr="00A05151">
        <w:rPr>
          <w:lang w:val="fr-FR"/>
        </w:rPr>
        <w:t>» est une initiative menée en milieu professionnel pour sensibiliser employeurs et travailleurs</w:t>
      </w:r>
      <w:r w:rsidR="00795C5F">
        <w:rPr>
          <w:lang w:val="fr-FR"/>
        </w:rPr>
        <w:t> ;</w:t>
      </w:r>
      <w:r w:rsidRPr="00A05151">
        <w:rPr>
          <w:lang w:val="fr-FR"/>
        </w:rPr>
        <w:t xml:space="preserve"> 141 salariés en ont bénéficié.</w:t>
      </w:r>
    </w:p>
    <w:p w14:paraId="762B389C" w14:textId="5C9D5EA5" w:rsidR="00A05151" w:rsidRPr="00A05151" w:rsidRDefault="00A05151" w:rsidP="00A05151">
      <w:pPr>
        <w:pStyle w:val="SingleTxt"/>
        <w:numPr>
          <w:ilvl w:val="0"/>
          <w:numId w:val="19"/>
        </w:numPr>
        <w:spacing w:line="240" w:lineRule="exact"/>
        <w:ind w:left="1267"/>
        <w:rPr>
          <w:lang w:val="fr-FR"/>
        </w:rPr>
      </w:pPr>
      <w:r w:rsidRPr="00A05151">
        <w:rPr>
          <w:lang w:val="fr-FR"/>
        </w:rPr>
        <w:t>Les forces de police mauriciennes ont pris plusieurs mesures afin d</w:t>
      </w:r>
      <w:r w:rsidR="00795C5F">
        <w:rPr>
          <w:lang w:val="fr-FR"/>
        </w:rPr>
        <w:t>’</w:t>
      </w:r>
      <w:r w:rsidRPr="00A05151">
        <w:rPr>
          <w:lang w:val="fr-FR"/>
        </w:rPr>
        <w:t>améliorer l</w:t>
      </w:r>
      <w:r w:rsidR="00795C5F">
        <w:rPr>
          <w:lang w:val="fr-FR"/>
        </w:rPr>
        <w:t>’</w:t>
      </w:r>
      <w:r w:rsidRPr="00A05151">
        <w:rPr>
          <w:lang w:val="fr-FR"/>
        </w:rPr>
        <w:t xml:space="preserve">intervention des agents dans les affaires de violences familiales. </w:t>
      </w:r>
    </w:p>
    <w:p w14:paraId="7327ADC8" w14:textId="7845D1B8"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L</w:t>
      </w:r>
      <w:r w:rsidR="00795C5F">
        <w:rPr>
          <w:lang w:val="fr-FR"/>
        </w:rPr>
        <w:t>’</w:t>
      </w:r>
      <w:r w:rsidRPr="00A05151">
        <w:rPr>
          <w:lang w:val="fr-FR"/>
        </w:rPr>
        <w:t>École de police a mis en place un module entièrement consacré aux violences familiales, qui a été validé par le service de la police chargé de la protection de la famille et par le Ministère de l</w:t>
      </w:r>
      <w:r w:rsidR="00795C5F">
        <w:rPr>
          <w:lang w:val="fr-FR"/>
        </w:rPr>
        <w:t>’</w:t>
      </w:r>
      <w:r w:rsidRPr="00A05151">
        <w:rPr>
          <w:lang w:val="fr-FR"/>
        </w:rPr>
        <w:t>égalité des genres, du développement de l</w:t>
      </w:r>
      <w:r w:rsidR="00795C5F">
        <w:rPr>
          <w:lang w:val="fr-FR"/>
        </w:rPr>
        <w:t>’</w:t>
      </w:r>
      <w:r w:rsidRPr="00A05151">
        <w:rPr>
          <w:lang w:val="fr-FR"/>
        </w:rPr>
        <w:t>enfant et du bien-être de la famille.</w:t>
      </w:r>
    </w:p>
    <w:p w14:paraId="5442CE43" w14:textId="64F61DF9"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Le Commissaire de police a fait distribuer des circulaires dans lesquelles il a donné des instructions claires à tous les policiers quant au protocole d</w:t>
      </w:r>
      <w:r w:rsidR="00795C5F">
        <w:rPr>
          <w:lang w:val="fr-FR"/>
        </w:rPr>
        <w:t>’</w:t>
      </w:r>
      <w:r w:rsidRPr="00A05151">
        <w:rPr>
          <w:lang w:val="fr-FR"/>
        </w:rPr>
        <w:t>intervention à adopter et à respecter dans les postes de police et au sein du service de la police chargé de la protection de la famille lorsqu</w:t>
      </w:r>
      <w:r w:rsidR="00795C5F">
        <w:rPr>
          <w:lang w:val="fr-FR"/>
        </w:rPr>
        <w:t>’</w:t>
      </w:r>
      <w:r w:rsidRPr="00A05151">
        <w:rPr>
          <w:lang w:val="fr-FR"/>
        </w:rPr>
        <w:t>ils doivent traiter des affaires de violences familiales.</w:t>
      </w:r>
    </w:p>
    <w:p w14:paraId="21EFBCE1" w14:textId="0D32B9C1"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Depuis 2016, plusieurs séries de formations ont été organisées à l</w:t>
      </w:r>
      <w:r w:rsidR="00795C5F">
        <w:rPr>
          <w:lang w:val="fr-FR"/>
        </w:rPr>
        <w:t>’</w:t>
      </w:r>
      <w:r w:rsidRPr="00A05151">
        <w:rPr>
          <w:lang w:val="fr-FR"/>
        </w:rPr>
        <w:t>intention des agents de première ligne, des agents du service de la police chargé de la protection de la famille, et des chefs des postes de police. Elles ont lieu chaque année à l</w:t>
      </w:r>
      <w:r w:rsidR="00795C5F">
        <w:rPr>
          <w:lang w:val="fr-FR"/>
        </w:rPr>
        <w:t>’</w:t>
      </w:r>
      <w:r w:rsidRPr="00A05151">
        <w:rPr>
          <w:lang w:val="fr-FR"/>
        </w:rPr>
        <w:t>École de police.</w:t>
      </w:r>
    </w:p>
    <w:p w14:paraId="052DC3BB" w14:textId="54C86A54" w:rsidR="00A05151" w:rsidRPr="00A05151" w:rsidRDefault="00A05151" w:rsidP="00A05151">
      <w:pPr>
        <w:pStyle w:val="SingleTxt"/>
        <w:tabs>
          <w:tab w:val="right" w:pos="1685"/>
        </w:tabs>
        <w:ind w:left="1742" w:hanging="475"/>
        <w:rPr>
          <w:lang w:val="fr-FR"/>
        </w:rPr>
      </w:pPr>
      <w:r>
        <w:rPr>
          <w:lang w:val="fr-FR"/>
        </w:rPr>
        <w:lastRenderedPageBreak/>
        <w:tab/>
      </w:r>
      <w:r w:rsidRPr="00A05151">
        <w:rPr>
          <w:lang w:val="fr-FR"/>
        </w:rPr>
        <w:t>•</w:t>
      </w:r>
      <w:r w:rsidRPr="00A05151">
        <w:rPr>
          <w:lang w:val="fr-FR"/>
        </w:rPr>
        <w:tab/>
        <w:t>Le module de formation consacré aux violences familiales couvre un certain nombre de sujets, notamment les nouveaux textes de loi, les conventions internationales, les effets et les conséquences des violences familiales, leurs signes et symptômes, la prise en charge des usagers, le recueil des preuves, le traumatisme et les comportements des victimes, l</w:t>
      </w:r>
      <w:r w:rsidR="00795C5F">
        <w:rPr>
          <w:lang w:val="fr-FR"/>
        </w:rPr>
        <w:t>’</w:t>
      </w:r>
      <w:r w:rsidRPr="00A05151">
        <w:rPr>
          <w:lang w:val="fr-FR"/>
        </w:rPr>
        <w:t>analyse des relations entre la victime et l</w:t>
      </w:r>
      <w:r w:rsidR="00795C5F">
        <w:rPr>
          <w:lang w:val="fr-FR"/>
        </w:rPr>
        <w:t>’</w:t>
      </w:r>
      <w:r w:rsidRPr="00A05151">
        <w:rPr>
          <w:lang w:val="fr-FR"/>
        </w:rPr>
        <w:t>agresseur, ou encore l</w:t>
      </w:r>
      <w:r w:rsidR="00795C5F">
        <w:rPr>
          <w:lang w:val="fr-FR"/>
        </w:rPr>
        <w:t>’</w:t>
      </w:r>
      <w:r w:rsidRPr="00A05151">
        <w:rPr>
          <w:lang w:val="fr-FR"/>
        </w:rPr>
        <w:t>amélioration de l</w:t>
      </w:r>
      <w:r w:rsidR="00795C5F">
        <w:rPr>
          <w:lang w:val="fr-FR"/>
        </w:rPr>
        <w:t>’</w:t>
      </w:r>
      <w:r w:rsidRPr="00A05151">
        <w:rPr>
          <w:lang w:val="fr-FR"/>
        </w:rPr>
        <w:t>intervention policière.</w:t>
      </w:r>
    </w:p>
    <w:p w14:paraId="47BA950E" w14:textId="5D6ED0B5"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Un policier ayant suivi la formation en matière de violences familiales est affecté à chaque poste de police pour enregistrer les déclarations des victimes et mettre rapidement des mesures en place avant d</w:t>
      </w:r>
      <w:r w:rsidR="00795C5F">
        <w:rPr>
          <w:lang w:val="fr-FR"/>
        </w:rPr>
        <w:t>’</w:t>
      </w:r>
      <w:r w:rsidRPr="00A05151">
        <w:rPr>
          <w:lang w:val="fr-FR"/>
        </w:rPr>
        <w:t>adresser ensuite la victime au service de la police chargé de la protection de la famille qui prendra d</w:t>
      </w:r>
      <w:r w:rsidR="00795C5F">
        <w:rPr>
          <w:lang w:val="fr-FR"/>
        </w:rPr>
        <w:t>’</w:t>
      </w:r>
      <w:r w:rsidRPr="00A05151">
        <w:rPr>
          <w:lang w:val="fr-FR"/>
        </w:rPr>
        <w:t>autres dispositions, à savoir une demande d</w:t>
      </w:r>
      <w:r w:rsidR="00795C5F">
        <w:rPr>
          <w:lang w:val="fr-FR"/>
        </w:rPr>
        <w:t>’</w:t>
      </w:r>
      <w:r w:rsidRPr="00A05151">
        <w:rPr>
          <w:lang w:val="fr-FR"/>
        </w:rPr>
        <w:t>ordonnance de protection, de location ou d</w:t>
      </w:r>
      <w:r w:rsidR="00795C5F">
        <w:rPr>
          <w:lang w:val="fr-FR"/>
        </w:rPr>
        <w:t>’</w:t>
      </w:r>
      <w:r w:rsidRPr="00A05151">
        <w:rPr>
          <w:lang w:val="fr-FR"/>
        </w:rPr>
        <w:t>occupation.</w:t>
      </w:r>
    </w:p>
    <w:p w14:paraId="5BF515CC" w14:textId="7F499E1F"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Le service de la police chargé de la protection de la famille a franchi une étape supplémentaire avec le Programme de reconstruction et de rétablissement, dans le cadre duquel il reprend contact avec les victimes ayant participé au processus de médiation et assure le suivi des demandes d</w:t>
      </w:r>
      <w:r w:rsidR="00795C5F">
        <w:rPr>
          <w:lang w:val="fr-FR"/>
        </w:rPr>
        <w:t>’</w:t>
      </w:r>
      <w:r w:rsidRPr="00A05151">
        <w:rPr>
          <w:lang w:val="fr-FR"/>
        </w:rPr>
        <w:t>ordonnance de protection. Ces ordonnances, valables trois mois, cherchent à assurer la sécurité constante des victimes, à améliorer leurs relations avec leur conjoint et à déterminer leurs besoins au cas par cas.</w:t>
      </w:r>
    </w:p>
    <w:p w14:paraId="64521989" w14:textId="78E04EE5"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Le service de la police chargé de la protection de la famille suit également tous les cas de violences familiales signalés et vérifie qu</w:t>
      </w:r>
      <w:r w:rsidR="00795C5F">
        <w:rPr>
          <w:lang w:val="fr-FR"/>
        </w:rPr>
        <w:t>’</w:t>
      </w:r>
      <w:r w:rsidRPr="00A05151">
        <w:rPr>
          <w:lang w:val="fr-FR"/>
        </w:rPr>
        <w:t>aucun nouvel acte de violence, quelle qu</w:t>
      </w:r>
      <w:r w:rsidR="00795C5F">
        <w:rPr>
          <w:lang w:val="fr-FR"/>
        </w:rPr>
        <w:t>’</w:t>
      </w:r>
      <w:r w:rsidRPr="00A05151">
        <w:rPr>
          <w:lang w:val="fr-FR"/>
        </w:rPr>
        <w:t>en soit la forme, n</w:t>
      </w:r>
      <w:r w:rsidR="00795C5F">
        <w:rPr>
          <w:lang w:val="fr-FR"/>
        </w:rPr>
        <w:t>’</w:t>
      </w:r>
      <w:r w:rsidRPr="00A05151">
        <w:rPr>
          <w:lang w:val="fr-FR"/>
        </w:rPr>
        <w:t>est perpétré contre des victimes ayant bénéficié d</w:t>
      </w:r>
      <w:r w:rsidR="00795C5F">
        <w:rPr>
          <w:lang w:val="fr-FR"/>
        </w:rPr>
        <w:t>’</w:t>
      </w:r>
      <w:r w:rsidRPr="00A05151">
        <w:rPr>
          <w:lang w:val="fr-FR"/>
        </w:rPr>
        <w:t>une ordonnance de protection.</w:t>
      </w:r>
    </w:p>
    <w:p w14:paraId="3CAA8239" w14:textId="1918DAAB"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Outre les sept services de la police chargés de la protection de la famille établis dans chaque division, cinq autres services ont été créés dans des zones où les cas de violences familiales sont les plus nombreux.</w:t>
      </w:r>
    </w:p>
    <w:p w14:paraId="74529C4C" w14:textId="698986F1"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t>Des campagnes de sensibilisation sont continuellement menées à tous les niveaux.</w:t>
      </w:r>
    </w:p>
    <w:p w14:paraId="2042F66A" w14:textId="7AE47690" w:rsidR="00A05151" w:rsidRPr="00A05151" w:rsidRDefault="00A05151" w:rsidP="00A05151">
      <w:pPr>
        <w:pStyle w:val="SingleTxt"/>
        <w:numPr>
          <w:ilvl w:val="0"/>
          <w:numId w:val="19"/>
        </w:numPr>
        <w:spacing w:line="240" w:lineRule="exact"/>
        <w:ind w:left="1267"/>
        <w:rPr>
          <w:lang w:val="fr-FR"/>
        </w:rPr>
      </w:pPr>
      <w:r w:rsidRPr="00A05151">
        <w:rPr>
          <w:lang w:val="fr-FR"/>
        </w:rPr>
        <w:t>Afin de sensibiliser les femmes et les filles au caractère délictueux et aux effets dommageables sur leur santé de toutes les formes de violences sexistes, et dans le but de les encourager à signaler ces actes de violence commis à leur encontre, 36 actions de sensibilisation ont été menées en 2017, qui ont permis de toucher 1</w:t>
      </w:r>
      <w:r w:rsidR="002050E5">
        <w:rPr>
          <w:lang w:val="fr-FR"/>
        </w:rPr>
        <w:t> </w:t>
      </w:r>
      <w:r w:rsidRPr="00A05151">
        <w:rPr>
          <w:lang w:val="fr-FR"/>
        </w:rPr>
        <w:t>024 personnes.</w:t>
      </w:r>
    </w:p>
    <w:p w14:paraId="43F3FC13" w14:textId="2EA025BC" w:rsidR="00A05151" w:rsidRPr="00A05151" w:rsidRDefault="00A05151" w:rsidP="00A05151">
      <w:pPr>
        <w:pStyle w:val="SingleTxt"/>
        <w:numPr>
          <w:ilvl w:val="0"/>
          <w:numId w:val="19"/>
        </w:numPr>
        <w:spacing w:line="240" w:lineRule="exact"/>
        <w:ind w:left="1267"/>
        <w:rPr>
          <w:lang w:val="fr-FR"/>
        </w:rPr>
      </w:pPr>
      <w:r w:rsidRPr="00A05151">
        <w:rPr>
          <w:lang w:val="fr-FR"/>
        </w:rPr>
        <w:t>En 2017, la Commission de la femme de l</w:t>
      </w:r>
      <w:r w:rsidR="00795C5F">
        <w:rPr>
          <w:lang w:val="fr-FR"/>
        </w:rPr>
        <w:t>’</w:t>
      </w:r>
      <w:r w:rsidRPr="00A05151">
        <w:rPr>
          <w:lang w:val="fr-FR"/>
        </w:rPr>
        <w:t xml:space="preserve">Assemblée régionale de Rodrigues et le Ministère de la défense et de Rodrigues ont constitué un </w:t>
      </w:r>
      <w:r w:rsidR="00984399">
        <w:rPr>
          <w:lang w:val="fr-FR"/>
        </w:rPr>
        <w:t>c</w:t>
      </w:r>
      <w:r w:rsidRPr="00A05151">
        <w:rPr>
          <w:lang w:val="fr-FR"/>
        </w:rPr>
        <w:t xml:space="preserve">omité directeur qui a reçu pour mission de lutter contre les violences sexistes. Présidé par le Commissaire pour la condition de la femme, ce </w:t>
      </w:r>
      <w:r w:rsidR="00984399">
        <w:rPr>
          <w:lang w:val="fr-FR"/>
        </w:rPr>
        <w:t>c</w:t>
      </w:r>
      <w:r w:rsidRPr="00A05151">
        <w:rPr>
          <w:lang w:val="fr-FR"/>
        </w:rPr>
        <w:t>omité s</w:t>
      </w:r>
      <w:r w:rsidR="00795C5F">
        <w:rPr>
          <w:lang w:val="fr-FR"/>
        </w:rPr>
        <w:t>’</w:t>
      </w:r>
      <w:r w:rsidRPr="00A05151">
        <w:rPr>
          <w:lang w:val="fr-FR"/>
        </w:rPr>
        <w:t xml:space="preserve">emploie à éliminer les violences sexistes à Rodrigues. Il se réunit tous les deux mois et a pour </w:t>
      </w:r>
      <w:r w:rsidR="00984399" w:rsidRPr="00A05151">
        <w:rPr>
          <w:lang w:val="fr-FR"/>
        </w:rPr>
        <w:t>objectifs</w:t>
      </w:r>
      <w:r w:rsidR="00795C5F">
        <w:rPr>
          <w:lang w:val="fr-FR"/>
        </w:rPr>
        <w:t> :</w:t>
      </w:r>
    </w:p>
    <w:p w14:paraId="021A4E41" w14:textId="010555BD"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00795C5F">
        <w:rPr>
          <w:lang w:val="fr-FR"/>
        </w:rPr>
        <w:t>’</w:t>
      </w:r>
      <w:r w:rsidRPr="00A05151">
        <w:rPr>
          <w:lang w:val="fr-FR"/>
        </w:rPr>
        <w:t>harmoniser les efforts déployés par tous les acteurs qui travaillent sur ces questions</w:t>
      </w:r>
      <w:r w:rsidR="00795C5F">
        <w:rPr>
          <w:lang w:val="fr-FR"/>
        </w:rPr>
        <w:t> ;</w:t>
      </w:r>
    </w:p>
    <w:p w14:paraId="4638D5ED" w14:textId="44B6D71A"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chercher à réduire progressivement le nombre de cas de violences sexistes</w:t>
      </w:r>
      <w:r w:rsidR="00795C5F">
        <w:rPr>
          <w:lang w:val="fr-FR"/>
        </w:rPr>
        <w:t> ;</w:t>
      </w:r>
    </w:p>
    <w:p w14:paraId="0D73B56D" w14:textId="45556537" w:rsidR="00A05151" w:rsidRPr="00A05151" w:rsidRDefault="00A05151" w:rsidP="00A05151">
      <w:pPr>
        <w:pStyle w:val="SingleTxt"/>
        <w:tabs>
          <w:tab w:val="right" w:pos="1685"/>
        </w:tabs>
        <w:ind w:left="1742" w:hanging="475"/>
        <w:rPr>
          <w:lang w:val="fr-FR"/>
        </w:rPr>
      </w:pPr>
      <w:r>
        <w:rPr>
          <w:lang w:val="fr-FR"/>
        </w:rPr>
        <w:tab/>
      </w:r>
      <w:r w:rsidRPr="00A05151">
        <w:rPr>
          <w:lang w:val="fr-FR"/>
        </w:rPr>
        <w:t>•</w:t>
      </w:r>
      <w:r w:rsidRPr="00A05151">
        <w:rPr>
          <w:lang w:val="fr-FR"/>
        </w:rPr>
        <w:tab/>
      </w:r>
      <w:r>
        <w:rPr>
          <w:lang w:val="fr-FR"/>
        </w:rPr>
        <w:t>D</w:t>
      </w:r>
      <w:r w:rsidR="00795C5F">
        <w:rPr>
          <w:lang w:val="fr-FR"/>
        </w:rPr>
        <w:t>’</w:t>
      </w:r>
      <w:r w:rsidRPr="00A05151">
        <w:rPr>
          <w:lang w:val="fr-FR"/>
        </w:rPr>
        <w:t>offrir aux victimes les meilleurs services que puissent proposer les différents organismes</w:t>
      </w:r>
      <w:r w:rsidR="00795C5F">
        <w:rPr>
          <w:lang w:val="fr-FR"/>
        </w:rPr>
        <w:t> ;</w:t>
      </w:r>
    </w:p>
    <w:p w14:paraId="2B03D64A" w14:textId="7818D81A"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veiller à ce que les auteurs de ces actes de violence suivent un programme de rééducation destiné à éviter toute récidive</w:t>
      </w:r>
      <w:r w:rsidR="00795C5F">
        <w:rPr>
          <w:lang w:val="fr-FR"/>
        </w:rPr>
        <w:t> ;</w:t>
      </w:r>
    </w:p>
    <w:p w14:paraId="4D40977E" w14:textId="36E072A1"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D</w:t>
      </w:r>
      <w:r w:rsidR="00795C5F">
        <w:rPr>
          <w:lang w:val="fr-FR"/>
        </w:rPr>
        <w:t>’</w:t>
      </w:r>
      <w:r w:rsidRPr="00A05151">
        <w:rPr>
          <w:lang w:val="fr-FR"/>
        </w:rPr>
        <w:t xml:space="preserve">ouvrir </w:t>
      </w:r>
      <w:r w:rsidR="00984399" w:rsidRPr="00A05151">
        <w:rPr>
          <w:lang w:val="fr-FR"/>
        </w:rPr>
        <w:t>«</w:t>
      </w:r>
      <w:r w:rsidR="00984399">
        <w:rPr>
          <w:lang w:val="fr-FR"/>
        </w:rPr>
        <w:t> </w:t>
      </w:r>
      <w:r w:rsidRPr="00A05151">
        <w:rPr>
          <w:lang w:val="fr-FR"/>
        </w:rPr>
        <w:t>une maison d</w:t>
      </w:r>
      <w:r w:rsidR="00795C5F">
        <w:rPr>
          <w:lang w:val="fr-FR"/>
        </w:rPr>
        <w:t>’</w:t>
      </w:r>
      <w:r w:rsidRPr="00A05151">
        <w:rPr>
          <w:lang w:val="fr-FR"/>
        </w:rPr>
        <w:t xml:space="preserve">urgence et de </w:t>
      </w:r>
      <w:r w:rsidR="00984399" w:rsidRPr="00A05151">
        <w:rPr>
          <w:lang w:val="fr-FR"/>
        </w:rPr>
        <w:t>relais</w:t>
      </w:r>
      <w:r w:rsidR="00984399">
        <w:rPr>
          <w:lang w:val="fr-FR"/>
        </w:rPr>
        <w:t> </w:t>
      </w:r>
      <w:r w:rsidRPr="00A05151">
        <w:rPr>
          <w:lang w:val="fr-FR"/>
        </w:rPr>
        <w:t>» pour les victimes qui n</w:t>
      </w:r>
      <w:r w:rsidR="00795C5F">
        <w:rPr>
          <w:lang w:val="fr-FR"/>
        </w:rPr>
        <w:t>’</w:t>
      </w:r>
      <w:r w:rsidRPr="00A05151">
        <w:rPr>
          <w:lang w:val="fr-FR"/>
        </w:rPr>
        <w:t>ont nulle part où aller après avoir subi des violences.</w:t>
      </w:r>
    </w:p>
    <w:p w14:paraId="4200A8F8" w14:textId="34F18C5C" w:rsidR="00A05151" w:rsidRPr="00A05151" w:rsidRDefault="00A05151" w:rsidP="00705260">
      <w:pPr>
        <w:pStyle w:val="SingleTxt"/>
        <w:numPr>
          <w:ilvl w:val="0"/>
          <w:numId w:val="19"/>
        </w:numPr>
        <w:spacing w:line="234" w:lineRule="exact"/>
        <w:ind w:left="1267"/>
        <w:rPr>
          <w:lang w:val="fr-FR"/>
        </w:rPr>
      </w:pPr>
      <w:r w:rsidRPr="00A05151">
        <w:rPr>
          <w:lang w:val="fr-FR"/>
        </w:rPr>
        <w:t>Un projet pilote a été lancé à Rodrigues à l</w:t>
      </w:r>
      <w:r w:rsidR="00795C5F">
        <w:rPr>
          <w:lang w:val="fr-FR"/>
        </w:rPr>
        <w:t>’</w:t>
      </w:r>
      <w:r w:rsidRPr="00A05151">
        <w:rPr>
          <w:lang w:val="fr-FR"/>
        </w:rPr>
        <w:t>occasion de la Journée des familles (15 mai 2018)</w:t>
      </w:r>
      <w:r w:rsidR="00795C5F">
        <w:rPr>
          <w:lang w:val="fr-FR"/>
        </w:rPr>
        <w:t> ;</w:t>
      </w:r>
      <w:r w:rsidRPr="00A05151">
        <w:rPr>
          <w:lang w:val="fr-FR"/>
        </w:rPr>
        <w:t xml:space="preserve"> il vise à s</w:t>
      </w:r>
      <w:r w:rsidR="00795C5F">
        <w:rPr>
          <w:lang w:val="fr-FR"/>
        </w:rPr>
        <w:t>’</w:t>
      </w:r>
      <w:r w:rsidRPr="00A05151">
        <w:rPr>
          <w:lang w:val="fr-FR"/>
        </w:rPr>
        <w:t xml:space="preserve">assurer que les enfants des victimes bénéficient de services </w:t>
      </w:r>
      <w:r w:rsidRPr="00A05151">
        <w:rPr>
          <w:lang w:val="fr-FR"/>
        </w:rPr>
        <w:lastRenderedPageBreak/>
        <w:t>appropriés et à donner aux victimes des moyens de réduire les risques de subir des violences.</w:t>
      </w:r>
    </w:p>
    <w:p w14:paraId="2E5F1706" w14:textId="63EC9249" w:rsidR="00A05151" w:rsidRPr="00A05151" w:rsidRDefault="00A05151" w:rsidP="00705260">
      <w:pPr>
        <w:pStyle w:val="SingleTxt"/>
        <w:numPr>
          <w:ilvl w:val="0"/>
          <w:numId w:val="19"/>
        </w:numPr>
        <w:spacing w:line="234" w:lineRule="exact"/>
        <w:ind w:left="1267"/>
        <w:rPr>
          <w:lang w:val="fr-FR"/>
        </w:rPr>
      </w:pPr>
      <w:r w:rsidRPr="00A05151">
        <w:rPr>
          <w:lang w:val="fr-FR"/>
        </w:rPr>
        <w:t>Des fonctionnaires du Ministère de l</w:t>
      </w:r>
      <w:r w:rsidR="00795C5F">
        <w:rPr>
          <w:lang w:val="fr-FR"/>
        </w:rPr>
        <w:t>’</w:t>
      </w:r>
      <w:r w:rsidRPr="00A05151">
        <w:rPr>
          <w:lang w:val="fr-FR"/>
        </w:rPr>
        <w:t>égalité des genres, du développement de l</w:t>
      </w:r>
      <w:r w:rsidR="00795C5F">
        <w:rPr>
          <w:lang w:val="fr-FR"/>
        </w:rPr>
        <w:t>’</w:t>
      </w:r>
      <w:r w:rsidRPr="00A05151">
        <w:rPr>
          <w:lang w:val="fr-FR"/>
        </w:rPr>
        <w:t>enfant et du bien-être de la famille peuvent, à la demande des autorités locales, se rendre dans les îles de l</w:t>
      </w:r>
      <w:r w:rsidR="00795C5F">
        <w:rPr>
          <w:lang w:val="fr-FR"/>
        </w:rPr>
        <w:t>’</w:t>
      </w:r>
      <w:r w:rsidRPr="00A05151">
        <w:rPr>
          <w:lang w:val="fr-FR"/>
        </w:rPr>
        <w:t>archipel d</w:t>
      </w:r>
      <w:r w:rsidR="00795C5F">
        <w:rPr>
          <w:lang w:val="fr-FR"/>
        </w:rPr>
        <w:t>’</w:t>
      </w:r>
      <w:r w:rsidRPr="00A05151">
        <w:rPr>
          <w:lang w:val="fr-FR"/>
        </w:rPr>
        <w:t xml:space="preserve">Agalega pour mener des actions de sensibilisation et apporter leur concours à la lutte contre les violences familiales et la maltraitance des enfants. </w:t>
      </w:r>
    </w:p>
    <w:p w14:paraId="11030E5C" w14:textId="32425D0D" w:rsidR="00A05151" w:rsidRPr="00A05151" w:rsidRDefault="00A05151" w:rsidP="00705260">
      <w:pPr>
        <w:pStyle w:val="SingleTxt"/>
        <w:numPr>
          <w:ilvl w:val="0"/>
          <w:numId w:val="19"/>
        </w:numPr>
        <w:spacing w:line="234" w:lineRule="exact"/>
        <w:ind w:left="1267"/>
        <w:rPr>
          <w:lang w:val="fr-FR"/>
        </w:rPr>
      </w:pPr>
      <w:r w:rsidRPr="00A05151">
        <w:rPr>
          <w:lang w:val="fr-FR"/>
        </w:rPr>
        <w:t>La loi relative à la protection contre les violences familiales, promulguée en 1997 et modifiée en 2004, 2007, 2011 et 2016, cherche à protéger les conjoints d</w:t>
      </w:r>
      <w:r w:rsidR="00795C5F">
        <w:rPr>
          <w:lang w:val="fr-FR"/>
        </w:rPr>
        <w:t>’</w:t>
      </w:r>
      <w:r w:rsidRPr="00A05151">
        <w:rPr>
          <w:lang w:val="fr-FR"/>
        </w:rPr>
        <w:t>individus qui se montrent violents à leur encontre, ainsi que ceux qui vivent sous leur toit. La modification apportée à ce texte en 2016 améliore la protection des victimes de violences familiales en ce qu</w:t>
      </w:r>
      <w:r w:rsidR="00795C5F">
        <w:rPr>
          <w:lang w:val="fr-FR"/>
        </w:rPr>
        <w:t>’</w:t>
      </w:r>
      <w:r w:rsidRPr="00A05151">
        <w:rPr>
          <w:lang w:val="fr-FR"/>
        </w:rPr>
        <w:t>elle confère aux forces de l</w:t>
      </w:r>
      <w:r w:rsidR="00795C5F">
        <w:rPr>
          <w:lang w:val="fr-FR"/>
        </w:rPr>
        <w:t>’</w:t>
      </w:r>
      <w:r w:rsidRPr="00A05151">
        <w:rPr>
          <w:lang w:val="fr-FR"/>
        </w:rPr>
        <w:t>ordre davantage de prérogatives et élargit la définition des «</w:t>
      </w:r>
      <w:r w:rsidR="002050E5">
        <w:rPr>
          <w:lang w:val="fr-FR"/>
        </w:rPr>
        <w:t> </w:t>
      </w:r>
      <w:r w:rsidRPr="00A05151">
        <w:rPr>
          <w:lang w:val="fr-FR"/>
        </w:rPr>
        <w:t>violences familiale</w:t>
      </w:r>
      <w:r w:rsidR="002050E5">
        <w:rPr>
          <w:lang w:val="fr-FR"/>
        </w:rPr>
        <w:t>s </w:t>
      </w:r>
      <w:r w:rsidRPr="00A05151">
        <w:rPr>
          <w:lang w:val="fr-FR"/>
        </w:rPr>
        <w:t>». La loi habilite les magistrats à rendre des ordonnances de protection, d</w:t>
      </w:r>
      <w:r w:rsidR="00795C5F">
        <w:rPr>
          <w:lang w:val="fr-FR"/>
        </w:rPr>
        <w:t>’</w:t>
      </w:r>
      <w:r w:rsidRPr="00A05151">
        <w:rPr>
          <w:lang w:val="fr-FR"/>
        </w:rPr>
        <w:t>occupation et de location, et à mettre en place des mesures de protection en cas de violences d</w:t>
      </w:r>
      <w:r w:rsidR="00795C5F">
        <w:rPr>
          <w:lang w:val="fr-FR"/>
        </w:rPr>
        <w:t>’</w:t>
      </w:r>
      <w:r w:rsidRPr="00A05151">
        <w:rPr>
          <w:lang w:val="fr-FR"/>
        </w:rPr>
        <w:t>ordre physique, affectif ou sexuel, voire de menaces de violences.</w:t>
      </w:r>
    </w:p>
    <w:p w14:paraId="3D4A9658" w14:textId="13DE870C" w:rsidR="00A05151" w:rsidRPr="00A05151" w:rsidRDefault="00A05151" w:rsidP="00705260">
      <w:pPr>
        <w:pStyle w:val="SingleTxt"/>
        <w:numPr>
          <w:ilvl w:val="0"/>
          <w:numId w:val="19"/>
        </w:numPr>
        <w:spacing w:line="234" w:lineRule="exact"/>
        <w:ind w:left="1267"/>
        <w:rPr>
          <w:w w:val="101"/>
          <w:lang w:val="fr-FR"/>
        </w:rPr>
      </w:pPr>
      <w:r w:rsidRPr="00A05151">
        <w:rPr>
          <w:w w:val="101"/>
          <w:lang w:val="fr-FR"/>
        </w:rPr>
        <w:t>Le non-respect d</w:t>
      </w:r>
      <w:r w:rsidR="00795C5F">
        <w:rPr>
          <w:w w:val="101"/>
          <w:lang w:val="fr-FR"/>
        </w:rPr>
        <w:t>’</w:t>
      </w:r>
      <w:r w:rsidRPr="00A05151">
        <w:rPr>
          <w:w w:val="101"/>
          <w:lang w:val="fr-FR"/>
        </w:rPr>
        <w:t>une décision de justice (ordonnance de protection, d</w:t>
      </w:r>
      <w:r w:rsidR="00795C5F">
        <w:rPr>
          <w:w w:val="101"/>
          <w:lang w:val="fr-FR"/>
        </w:rPr>
        <w:t>’</w:t>
      </w:r>
      <w:r w:rsidRPr="00A05151">
        <w:rPr>
          <w:w w:val="101"/>
          <w:lang w:val="fr-FR"/>
        </w:rPr>
        <w:t xml:space="preserve">occupation ou de location) constitue une infraction passible des sanctions </w:t>
      </w:r>
      <w:r w:rsidR="00984399" w:rsidRPr="00A05151">
        <w:rPr>
          <w:w w:val="101"/>
          <w:lang w:val="fr-FR"/>
        </w:rPr>
        <w:t>suivantes</w:t>
      </w:r>
      <w:r w:rsidR="00795C5F">
        <w:rPr>
          <w:w w:val="101"/>
          <w:lang w:val="fr-FR"/>
        </w:rPr>
        <w:t> :</w:t>
      </w:r>
    </w:p>
    <w:p w14:paraId="71768D46" w14:textId="4299CEC2"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P</w:t>
      </w:r>
      <w:r w:rsidRPr="00A05151">
        <w:rPr>
          <w:lang w:val="fr-FR"/>
        </w:rPr>
        <w:t>remière condamnation</w:t>
      </w:r>
      <w:r w:rsidR="00795C5F">
        <w:rPr>
          <w:lang w:val="fr-FR"/>
        </w:rPr>
        <w:t> :</w:t>
      </w:r>
      <w:r w:rsidRPr="00A05151">
        <w:rPr>
          <w:lang w:val="fr-FR"/>
        </w:rPr>
        <w:t xml:space="preserve"> amende à hauteur de 50</w:t>
      </w:r>
      <w:r w:rsidR="00592B48">
        <w:rPr>
          <w:lang w:val="fr-FR"/>
        </w:rPr>
        <w:t> </w:t>
      </w:r>
      <w:r w:rsidRPr="00A05151">
        <w:rPr>
          <w:lang w:val="fr-FR"/>
        </w:rPr>
        <w:t>000</w:t>
      </w:r>
      <w:r w:rsidR="00415B49">
        <w:rPr>
          <w:lang w:val="fr-FR"/>
        </w:rPr>
        <w:t> </w:t>
      </w:r>
      <w:r w:rsidRPr="00A05151">
        <w:rPr>
          <w:lang w:val="fr-FR"/>
        </w:rPr>
        <w:t>Rs et peine d</w:t>
      </w:r>
      <w:r w:rsidR="00795C5F">
        <w:rPr>
          <w:lang w:val="fr-FR"/>
        </w:rPr>
        <w:t>’</w:t>
      </w:r>
      <w:r w:rsidRPr="00A05151">
        <w:rPr>
          <w:lang w:val="fr-FR"/>
        </w:rPr>
        <w:t>emprisonnement d</w:t>
      </w:r>
      <w:r w:rsidR="00795C5F">
        <w:rPr>
          <w:lang w:val="fr-FR"/>
        </w:rPr>
        <w:t>’</w:t>
      </w:r>
      <w:r w:rsidRPr="00A05151">
        <w:rPr>
          <w:lang w:val="fr-FR"/>
        </w:rPr>
        <w:t>une durée maximale d</w:t>
      </w:r>
      <w:r w:rsidR="00795C5F">
        <w:rPr>
          <w:lang w:val="fr-FR"/>
        </w:rPr>
        <w:t>’</w:t>
      </w:r>
      <w:r w:rsidRPr="00A05151">
        <w:rPr>
          <w:lang w:val="fr-FR"/>
        </w:rPr>
        <w:t>un an</w:t>
      </w:r>
      <w:r w:rsidR="00795C5F">
        <w:rPr>
          <w:lang w:val="fr-FR"/>
        </w:rPr>
        <w:t> ;</w:t>
      </w:r>
    </w:p>
    <w:p w14:paraId="6C16B86E" w14:textId="051CEB98"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euxième condamnation</w:t>
      </w:r>
      <w:r w:rsidR="00795C5F">
        <w:rPr>
          <w:lang w:val="fr-FR"/>
        </w:rPr>
        <w:t> :</w:t>
      </w:r>
      <w:r w:rsidRPr="00A05151">
        <w:rPr>
          <w:lang w:val="fr-FR"/>
        </w:rPr>
        <w:t xml:space="preserve"> amende à hauteur de 100</w:t>
      </w:r>
      <w:r w:rsidR="00592B48">
        <w:rPr>
          <w:lang w:val="fr-FR"/>
        </w:rPr>
        <w:t> </w:t>
      </w:r>
      <w:r w:rsidRPr="00A05151">
        <w:rPr>
          <w:lang w:val="fr-FR"/>
        </w:rPr>
        <w:t>000</w:t>
      </w:r>
      <w:r w:rsidR="00415B49">
        <w:rPr>
          <w:lang w:val="fr-FR"/>
        </w:rPr>
        <w:t> </w:t>
      </w:r>
      <w:r w:rsidRPr="00A05151">
        <w:rPr>
          <w:lang w:val="fr-FR"/>
        </w:rPr>
        <w:t>Rs et peine d</w:t>
      </w:r>
      <w:r w:rsidR="00795C5F">
        <w:rPr>
          <w:lang w:val="fr-FR"/>
        </w:rPr>
        <w:t>’</w:t>
      </w:r>
      <w:r w:rsidRPr="00A05151">
        <w:rPr>
          <w:lang w:val="fr-FR"/>
        </w:rPr>
        <w:t>emprisonnement d</w:t>
      </w:r>
      <w:r w:rsidR="00795C5F">
        <w:rPr>
          <w:lang w:val="fr-FR"/>
        </w:rPr>
        <w:t>’</w:t>
      </w:r>
      <w:r w:rsidRPr="00A05151">
        <w:rPr>
          <w:lang w:val="fr-FR"/>
        </w:rPr>
        <w:t>une durée maximale de deux ans</w:t>
      </w:r>
      <w:r w:rsidR="00795C5F">
        <w:rPr>
          <w:lang w:val="fr-FR"/>
        </w:rPr>
        <w:t> ;</w:t>
      </w:r>
    </w:p>
    <w:p w14:paraId="3EAE337F" w14:textId="6CF233FB"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t>À compter de la troisième condamnation</w:t>
      </w:r>
      <w:r w:rsidR="00795C5F">
        <w:rPr>
          <w:lang w:val="fr-FR"/>
        </w:rPr>
        <w:t> :</w:t>
      </w:r>
      <w:r w:rsidRPr="00A05151">
        <w:rPr>
          <w:lang w:val="fr-FR"/>
        </w:rPr>
        <w:t xml:space="preserve"> peine d</w:t>
      </w:r>
      <w:r w:rsidR="00795C5F">
        <w:rPr>
          <w:lang w:val="fr-FR"/>
        </w:rPr>
        <w:t>’</w:t>
      </w:r>
      <w:r w:rsidRPr="00A05151">
        <w:rPr>
          <w:lang w:val="fr-FR"/>
        </w:rPr>
        <w:t>emprisonnement d</w:t>
      </w:r>
      <w:r w:rsidR="00795C5F">
        <w:rPr>
          <w:lang w:val="fr-FR"/>
        </w:rPr>
        <w:t>’</w:t>
      </w:r>
      <w:r w:rsidRPr="00A05151">
        <w:rPr>
          <w:lang w:val="fr-FR"/>
        </w:rPr>
        <w:t>une durée maximale de cinq ans.</w:t>
      </w:r>
    </w:p>
    <w:p w14:paraId="3BFA5964" w14:textId="62D7E72A" w:rsidR="00A05151" w:rsidRPr="00A05151" w:rsidRDefault="00A05151" w:rsidP="00705260">
      <w:pPr>
        <w:pStyle w:val="SingleTxt"/>
        <w:numPr>
          <w:ilvl w:val="0"/>
          <w:numId w:val="19"/>
        </w:numPr>
        <w:spacing w:line="234" w:lineRule="exact"/>
        <w:ind w:left="1267"/>
        <w:rPr>
          <w:lang w:val="fr-FR"/>
        </w:rPr>
      </w:pPr>
      <w:r w:rsidRPr="00A05151">
        <w:rPr>
          <w:lang w:val="fr-FR"/>
        </w:rPr>
        <w:t>En 2015, un Comité de coalition nationale contre les violences familiales créé sous l</w:t>
      </w:r>
      <w:r w:rsidR="00795C5F">
        <w:rPr>
          <w:lang w:val="fr-FR"/>
        </w:rPr>
        <w:t>’</w:t>
      </w:r>
      <w:r w:rsidRPr="00A05151">
        <w:rPr>
          <w:lang w:val="fr-FR"/>
        </w:rPr>
        <w:t>égide du Cabinet du Premier Ministre a notamment été chargé</w:t>
      </w:r>
      <w:r w:rsidR="00984399">
        <w:rPr>
          <w:lang w:val="fr-FR"/>
        </w:rPr>
        <w:t> </w:t>
      </w:r>
      <w:r w:rsidRPr="00A05151">
        <w:rPr>
          <w:lang w:val="fr-FR"/>
        </w:rPr>
        <w:t>:</w:t>
      </w:r>
    </w:p>
    <w:p w14:paraId="0E442B65" w14:textId="3F965F76"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définir un cadre approprié pour la protection des victimes de violences familiales qui leur permette d</w:t>
      </w:r>
      <w:r w:rsidR="00795C5F">
        <w:rPr>
          <w:lang w:val="fr-FR"/>
        </w:rPr>
        <w:t>’</w:t>
      </w:r>
      <w:r w:rsidRPr="00A05151">
        <w:rPr>
          <w:lang w:val="fr-FR"/>
        </w:rPr>
        <w:t>obtenir des organismes compétents une solution d</w:t>
      </w:r>
      <w:r w:rsidR="00795C5F">
        <w:rPr>
          <w:lang w:val="fr-FR"/>
        </w:rPr>
        <w:t>’</w:t>
      </w:r>
      <w:r w:rsidRPr="00A05151">
        <w:rPr>
          <w:lang w:val="fr-FR"/>
        </w:rPr>
        <w:t>hébergement adéquate ainsi que des moyens de subsistance suffisants pour mener une existence normale</w:t>
      </w:r>
      <w:r w:rsidR="00795C5F">
        <w:rPr>
          <w:lang w:val="fr-FR"/>
        </w:rPr>
        <w:t> ;</w:t>
      </w:r>
      <w:r w:rsidRPr="00A05151">
        <w:rPr>
          <w:lang w:val="fr-FR"/>
        </w:rPr>
        <w:t xml:space="preserve"> </w:t>
      </w:r>
    </w:p>
    <w:p w14:paraId="684181E7" w14:textId="51048085"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mettre en place, avec l</w:t>
      </w:r>
      <w:r w:rsidR="00795C5F">
        <w:rPr>
          <w:lang w:val="fr-FR"/>
        </w:rPr>
        <w:t>’</w:t>
      </w:r>
      <w:r w:rsidRPr="00A05151">
        <w:rPr>
          <w:lang w:val="fr-FR"/>
        </w:rPr>
        <w:t>appui de toutes les parties prenantes, un système de prise en charge rapide des victimes de violences familiales</w:t>
      </w:r>
      <w:r w:rsidR="00795C5F">
        <w:rPr>
          <w:lang w:val="fr-FR"/>
        </w:rPr>
        <w:t> ;</w:t>
      </w:r>
    </w:p>
    <w:p w14:paraId="34216E4F" w14:textId="40B5A4EE"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r>
      <w:r>
        <w:rPr>
          <w:lang w:val="fr-FR"/>
        </w:rPr>
        <w:t>D</w:t>
      </w:r>
      <w:r w:rsidRPr="00A05151">
        <w:rPr>
          <w:lang w:val="fr-FR"/>
        </w:rPr>
        <w:t>e tenir des statistiques à jour sur les cas de violences familiales et de garantir un suivi adéquat de chaque dossier.</w:t>
      </w:r>
    </w:p>
    <w:p w14:paraId="01919C0D" w14:textId="4C0CDD10" w:rsidR="00A05151" w:rsidRPr="00A05151" w:rsidRDefault="00A05151" w:rsidP="00705260">
      <w:pPr>
        <w:pStyle w:val="SingleTxt"/>
        <w:numPr>
          <w:ilvl w:val="0"/>
          <w:numId w:val="19"/>
        </w:numPr>
        <w:spacing w:line="234" w:lineRule="exact"/>
        <w:ind w:left="1267"/>
        <w:rPr>
          <w:lang w:val="fr-FR"/>
        </w:rPr>
      </w:pPr>
      <w:r w:rsidRPr="00A05151">
        <w:rPr>
          <w:lang w:val="fr-FR"/>
        </w:rPr>
        <w:t>Conformément aux recommandations du Comité, des initiatives ont été lancées en vue d</w:t>
      </w:r>
      <w:r w:rsidR="00795C5F">
        <w:rPr>
          <w:lang w:val="fr-FR"/>
        </w:rPr>
        <w:t>’</w:t>
      </w:r>
      <w:r w:rsidRPr="00A05151">
        <w:rPr>
          <w:lang w:val="fr-FR"/>
        </w:rPr>
        <w:t>offrir des solutions d</w:t>
      </w:r>
      <w:r w:rsidR="00795C5F">
        <w:rPr>
          <w:lang w:val="fr-FR"/>
        </w:rPr>
        <w:t>’</w:t>
      </w:r>
      <w:r w:rsidRPr="00A05151">
        <w:rPr>
          <w:lang w:val="fr-FR"/>
        </w:rPr>
        <w:t>hébergement d</w:t>
      </w:r>
      <w:r w:rsidR="00795C5F">
        <w:rPr>
          <w:lang w:val="fr-FR"/>
        </w:rPr>
        <w:t>’</w:t>
      </w:r>
      <w:r w:rsidRPr="00A05151">
        <w:rPr>
          <w:lang w:val="fr-FR"/>
        </w:rPr>
        <w:t>urgence aux femmes victimes de violences familiales et il a été décidé d</w:t>
      </w:r>
      <w:r w:rsidR="00795C5F">
        <w:rPr>
          <w:lang w:val="fr-FR"/>
        </w:rPr>
        <w:t>’</w:t>
      </w:r>
      <w:r w:rsidRPr="00A05151">
        <w:rPr>
          <w:lang w:val="fr-FR"/>
        </w:rPr>
        <w:t>allouer aux organisations non gouvernementales qui viennent en aide aux victimes de telles violences des subventions liées au nombre de personnes prises en charge.</w:t>
      </w:r>
    </w:p>
    <w:p w14:paraId="4A1C5FE9" w14:textId="16101AD3" w:rsidR="00A05151" w:rsidRPr="00A05151" w:rsidRDefault="00A05151" w:rsidP="00705260">
      <w:pPr>
        <w:pStyle w:val="SingleTxt"/>
        <w:numPr>
          <w:ilvl w:val="0"/>
          <w:numId w:val="19"/>
        </w:numPr>
        <w:spacing w:line="234" w:lineRule="exact"/>
        <w:ind w:left="1267"/>
        <w:rPr>
          <w:lang w:val="fr-FR"/>
        </w:rPr>
      </w:pPr>
      <w:r w:rsidRPr="00A05151">
        <w:rPr>
          <w:lang w:val="fr-FR"/>
        </w:rPr>
        <w:t>Trois foyers d</w:t>
      </w:r>
      <w:r w:rsidR="00795C5F">
        <w:rPr>
          <w:lang w:val="fr-FR"/>
        </w:rPr>
        <w:t>’</w:t>
      </w:r>
      <w:r w:rsidRPr="00A05151">
        <w:rPr>
          <w:lang w:val="fr-FR"/>
        </w:rPr>
        <w:t xml:space="preserve">accueil </w:t>
      </w:r>
      <w:r>
        <w:rPr>
          <w:lang w:val="fr-FR"/>
        </w:rPr>
        <w:t>–</w:t>
      </w:r>
      <w:r w:rsidR="00705260">
        <w:rPr>
          <w:lang w:val="fr-FR"/>
        </w:rPr>
        <w:t> </w:t>
      </w:r>
      <w:r w:rsidRPr="00A05151">
        <w:rPr>
          <w:lang w:val="fr-FR"/>
        </w:rPr>
        <w:t>S.O.S Femmes, le centre Passerelle et l</w:t>
      </w:r>
      <w:r w:rsidR="00795C5F">
        <w:rPr>
          <w:lang w:val="fr-FR"/>
        </w:rPr>
        <w:t>’</w:t>
      </w:r>
      <w:r w:rsidRPr="00A05151">
        <w:rPr>
          <w:lang w:val="fr-FR"/>
        </w:rPr>
        <w:t>association Chrysalide (organisations non gouvernementales)</w:t>
      </w:r>
      <w:r w:rsidR="00705260">
        <w:rPr>
          <w:lang w:val="fr-FR"/>
        </w:rPr>
        <w:t> </w:t>
      </w:r>
      <w:r w:rsidRPr="00A05151">
        <w:rPr>
          <w:lang w:val="fr-FR"/>
        </w:rPr>
        <w:t>– offrent un hébergement temporaire aux femmes victimes de violences familiales et à leurs enfants. Ils s</w:t>
      </w:r>
      <w:r w:rsidR="00795C5F">
        <w:rPr>
          <w:lang w:val="fr-FR"/>
        </w:rPr>
        <w:t>’</w:t>
      </w:r>
      <w:r w:rsidRPr="00A05151">
        <w:rPr>
          <w:lang w:val="fr-FR"/>
        </w:rPr>
        <w:t>efforcent de fournir à ces femmes un endroit sûr où elles seront encouragées à briser la spirale de la violence et où elles recevront une aide immédiate. Ils sont ouverts 7</w:t>
      </w:r>
      <w:r w:rsidR="00592B48">
        <w:rPr>
          <w:lang w:val="fr-FR"/>
        </w:rPr>
        <w:t> </w:t>
      </w:r>
      <w:r w:rsidRPr="00A05151">
        <w:rPr>
          <w:lang w:val="fr-FR"/>
        </w:rPr>
        <w:t>jours sur 7, 24 heures sur 24. Depuis mai 2017, des subventions journalières sont versées aux ONG qui accueillent des femmes victimes de violences familiales (400</w:t>
      </w:r>
      <w:r w:rsidR="00592B48">
        <w:rPr>
          <w:lang w:val="fr-FR"/>
        </w:rPr>
        <w:t> </w:t>
      </w:r>
      <w:r w:rsidRPr="00A05151">
        <w:rPr>
          <w:lang w:val="fr-FR"/>
        </w:rPr>
        <w:t>Rs par personne) et leurs enfants (341 Rs)</w:t>
      </w:r>
      <w:r w:rsidR="00795C5F">
        <w:rPr>
          <w:lang w:val="fr-FR"/>
        </w:rPr>
        <w:t> ;</w:t>
      </w:r>
      <w:r w:rsidRPr="00A05151">
        <w:rPr>
          <w:lang w:val="fr-FR"/>
        </w:rPr>
        <w:t xml:space="preserve"> S.O.S Femmes fait exception à la règle, car elle perçoit déjà du Ministère de l</w:t>
      </w:r>
      <w:r w:rsidR="00795C5F">
        <w:rPr>
          <w:lang w:val="fr-FR"/>
        </w:rPr>
        <w:t>’</w:t>
      </w:r>
      <w:r w:rsidRPr="00A05151">
        <w:rPr>
          <w:lang w:val="fr-FR"/>
        </w:rPr>
        <w:t>égalité des genres, du développement de l</w:t>
      </w:r>
      <w:r w:rsidR="00795C5F">
        <w:rPr>
          <w:lang w:val="fr-FR"/>
        </w:rPr>
        <w:t>’</w:t>
      </w:r>
      <w:r w:rsidRPr="00A05151">
        <w:rPr>
          <w:lang w:val="fr-FR"/>
        </w:rPr>
        <w:t>enfant et du bien-être de la famille une subvention annuelle d</w:t>
      </w:r>
      <w:r w:rsidR="00795C5F">
        <w:rPr>
          <w:lang w:val="fr-FR"/>
        </w:rPr>
        <w:t>’</w:t>
      </w:r>
      <w:r w:rsidRPr="00A05151">
        <w:rPr>
          <w:lang w:val="fr-FR"/>
        </w:rPr>
        <w:t>un montant de 1,05 million de Rs. «</w:t>
      </w:r>
      <w:r w:rsidR="00415B49">
        <w:rPr>
          <w:lang w:val="fr-FR"/>
        </w:rPr>
        <w:t> </w:t>
      </w:r>
      <w:r w:rsidRPr="00A05151">
        <w:rPr>
          <w:lang w:val="fr-FR"/>
        </w:rPr>
        <w:t>Halfway Home</w:t>
      </w:r>
      <w:r w:rsidR="00415B49">
        <w:rPr>
          <w:lang w:val="fr-FR"/>
        </w:rPr>
        <w:t> </w:t>
      </w:r>
      <w:r w:rsidRPr="00A05151">
        <w:rPr>
          <w:lang w:val="fr-FR"/>
        </w:rPr>
        <w:t>» est un foyer de l</w:t>
      </w:r>
      <w:r w:rsidR="00795C5F">
        <w:rPr>
          <w:lang w:val="fr-FR"/>
        </w:rPr>
        <w:t>’</w:t>
      </w:r>
      <w:r w:rsidRPr="00A05151">
        <w:rPr>
          <w:lang w:val="fr-FR"/>
        </w:rPr>
        <w:t xml:space="preserve">association Gender links qui accueille de </w:t>
      </w:r>
      <w:r w:rsidRPr="00A05151">
        <w:rPr>
          <w:lang w:val="fr-FR"/>
        </w:rPr>
        <w:lastRenderedPageBreak/>
        <w:t>jeunes adultes à leur sortie de centres de réadaptation, de centres de détention et de refuges pour enfants. Il s</w:t>
      </w:r>
      <w:r w:rsidR="00795C5F">
        <w:rPr>
          <w:lang w:val="fr-FR"/>
        </w:rPr>
        <w:t>’</w:t>
      </w:r>
      <w:r w:rsidRPr="00A05151">
        <w:rPr>
          <w:lang w:val="fr-FR"/>
        </w:rPr>
        <w:t>occupe de jeunes qui ont perdu la trace de leurs parents ou étaient devenus orphelins lorsqu</w:t>
      </w:r>
      <w:r w:rsidR="00795C5F">
        <w:rPr>
          <w:lang w:val="fr-FR"/>
        </w:rPr>
        <w:t>’</w:t>
      </w:r>
      <w:r w:rsidRPr="00A05151">
        <w:rPr>
          <w:lang w:val="fr-FR"/>
        </w:rPr>
        <w:t>ils ont recouvré la liberté, ainsi que de ceux qui, abandonnés par leurs parents, se retrouvent à la rue à l</w:t>
      </w:r>
      <w:r w:rsidR="00795C5F">
        <w:rPr>
          <w:lang w:val="fr-FR"/>
        </w:rPr>
        <w:t>’</w:t>
      </w:r>
      <w:r w:rsidRPr="00A05151">
        <w:rPr>
          <w:lang w:val="fr-FR"/>
        </w:rPr>
        <w:t>âge de 18 ans. Dans le cadre de son Programme spécial de mobilisation en faveur des femmes et des enfants en détresse, le Ministère de l</w:t>
      </w:r>
      <w:r w:rsidR="00795C5F">
        <w:rPr>
          <w:lang w:val="fr-FR"/>
        </w:rPr>
        <w:t>’</w:t>
      </w:r>
      <w:r w:rsidRPr="00A05151">
        <w:rPr>
          <w:lang w:val="fr-FR"/>
        </w:rPr>
        <w:t>égalité des genres, du développement de l</w:t>
      </w:r>
      <w:r w:rsidR="00795C5F">
        <w:rPr>
          <w:lang w:val="fr-FR"/>
        </w:rPr>
        <w:t>’</w:t>
      </w:r>
      <w:r w:rsidRPr="00A05151">
        <w:rPr>
          <w:lang w:val="fr-FR"/>
        </w:rPr>
        <w:t>enfant et du bien</w:t>
      </w:r>
      <w:r w:rsidR="00B65EDA">
        <w:rPr>
          <w:lang w:val="fr-FR"/>
        </w:rPr>
        <w:noBreakHyphen/>
      </w:r>
      <w:r w:rsidRPr="00A05151">
        <w:rPr>
          <w:lang w:val="fr-FR"/>
        </w:rPr>
        <w:t>être de la famille a invité les ONG à soumettre des propositions concrètes pour mettre des foyers supplémentaires à la disposition des victimes de violences familiales. Ce programme est cependant en passe d</w:t>
      </w:r>
      <w:r w:rsidR="00795C5F">
        <w:rPr>
          <w:lang w:val="fr-FR"/>
        </w:rPr>
        <w:t>’</w:t>
      </w:r>
      <w:r w:rsidRPr="00A05151">
        <w:rPr>
          <w:lang w:val="fr-FR"/>
        </w:rPr>
        <w:t>être progressivement abandonné.</w:t>
      </w:r>
    </w:p>
    <w:p w14:paraId="3D984889" w14:textId="2DA90F92" w:rsidR="00A05151" w:rsidRPr="00A05151" w:rsidRDefault="00A05151" w:rsidP="00705260">
      <w:pPr>
        <w:pStyle w:val="SingleTxt"/>
        <w:numPr>
          <w:ilvl w:val="0"/>
          <w:numId w:val="20"/>
        </w:numPr>
        <w:spacing w:line="234" w:lineRule="exact"/>
        <w:ind w:left="1267"/>
        <w:rPr>
          <w:lang w:val="fr-FR"/>
        </w:rPr>
      </w:pPr>
      <w:r w:rsidRPr="00A05151">
        <w:rPr>
          <w:lang w:val="fr-FR"/>
        </w:rPr>
        <w:t>Le Ministère a mis en place un système informatique de collecte de données sur les violences familiales. Les statistiques relatives aux cas de violences familiales s</w:t>
      </w:r>
      <w:r w:rsidR="00795C5F">
        <w:rPr>
          <w:lang w:val="fr-FR"/>
        </w:rPr>
        <w:t>’</w:t>
      </w:r>
      <w:r w:rsidRPr="00A05151">
        <w:rPr>
          <w:lang w:val="fr-FR"/>
        </w:rPr>
        <w:t>établissent comme suit pour l</w:t>
      </w:r>
      <w:r w:rsidR="00795C5F">
        <w:rPr>
          <w:lang w:val="fr-FR"/>
        </w:rPr>
        <w:t>’</w:t>
      </w:r>
      <w:r w:rsidRPr="00A05151">
        <w:rPr>
          <w:lang w:val="fr-FR"/>
        </w:rPr>
        <w:t>année 2017.</w:t>
      </w:r>
    </w:p>
    <w:p w14:paraId="16237B60" w14:textId="73591FB4"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t>Nombre d</w:t>
      </w:r>
      <w:r w:rsidR="00795C5F">
        <w:rPr>
          <w:lang w:val="fr-FR"/>
        </w:rPr>
        <w:t>’</w:t>
      </w:r>
      <w:r w:rsidRPr="00A05151">
        <w:rPr>
          <w:lang w:val="fr-FR"/>
        </w:rPr>
        <w:t>affaires signalées aux Bureaux d</w:t>
      </w:r>
      <w:r w:rsidR="00795C5F">
        <w:rPr>
          <w:lang w:val="fr-FR"/>
        </w:rPr>
        <w:t>’</w:t>
      </w:r>
      <w:r w:rsidRPr="00A05151">
        <w:rPr>
          <w:lang w:val="fr-FR"/>
        </w:rPr>
        <w:t xml:space="preserve">aide aux </w:t>
      </w:r>
      <w:r w:rsidR="00984399" w:rsidRPr="00A05151">
        <w:rPr>
          <w:lang w:val="fr-FR"/>
        </w:rPr>
        <w:t>familles</w:t>
      </w:r>
      <w:r w:rsidR="00795C5F">
        <w:rPr>
          <w:lang w:val="fr-FR"/>
        </w:rPr>
        <w:t> :</w:t>
      </w:r>
      <w:r w:rsidRPr="00A05151">
        <w:rPr>
          <w:lang w:val="fr-FR"/>
        </w:rPr>
        <w:t xml:space="preserve"> 3 </w:t>
      </w:r>
      <w:r w:rsidR="00984399" w:rsidRPr="00A05151">
        <w:rPr>
          <w:lang w:val="fr-FR"/>
        </w:rPr>
        <w:t>436</w:t>
      </w:r>
      <w:r w:rsidR="00795C5F">
        <w:rPr>
          <w:lang w:val="fr-FR"/>
        </w:rPr>
        <w:t> ;</w:t>
      </w:r>
    </w:p>
    <w:p w14:paraId="6A40CFEA" w14:textId="659896D0" w:rsidR="00A05151" w:rsidRPr="00592B48" w:rsidRDefault="00A05151" w:rsidP="00705260">
      <w:pPr>
        <w:pStyle w:val="SingleTxt"/>
        <w:tabs>
          <w:tab w:val="right" w:pos="1685"/>
        </w:tabs>
        <w:spacing w:line="234" w:lineRule="exact"/>
        <w:ind w:left="1742" w:hanging="475"/>
        <w:rPr>
          <w:w w:val="100"/>
          <w:lang w:val="fr-FR"/>
        </w:rPr>
      </w:pPr>
      <w:r>
        <w:rPr>
          <w:lang w:val="fr-FR"/>
        </w:rPr>
        <w:tab/>
      </w:r>
      <w:r w:rsidRPr="00A05151">
        <w:rPr>
          <w:lang w:val="fr-FR"/>
        </w:rPr>
        <w:t>•</w:t>
      </w:r>
      <w:r w:rsidRPr="00A05151">
        <w:rPr>
          <w:lang w:val="fr-FR"/>
        </w:rPr>
        <w:tab/>
      </w:r>
      <w:r w:rsidRPr="00592B48">
        <w:rPr>
          <w:w w:val="100"/>
          <w:lang w:val="fr-FR"/>
        </w:rPr>
        <w:t>Nombre de cas de violences familiales signalés aux Bureaux d</w:t>
      </w:r>
      <w:r w:rsidR="00795C5F">
        <w:rPr>
          <w:w w:val="100"/>
          <w:lang w:val="fr-FR"/>
        </w:rPr>
        <w:t>’</w:t>
      </w:r>
      <w:r w:rsidRPr="00592B48">
        <w:rPr>
          <w:w w:val="100"/>
          <w:lang w:val="fr-FR"/>
        </w:rPr>
        <w:t>aide aux familles</w:t>
      </w:r>
      <w:r w:rsidR="00795C5F">
        <w:rPr>
          <w:w w:val="100"/>
          <w:lang w:val="fr-FR"/>
        </w:rPr>
        <w:t> :</w:t>
      </w:r>
      <w:r w:rsidRPr="00592B48">
        <w:rPr>
          <w:w w:val="100"/>
          <w:lang w:val="fr-FR"/>
        </w:rPr>
        <w:t xml:space="preserve"> 1 703</w:t>
      </w:r>
      <w:r w:rsidR="00795C5F">
        <w:rPr>
          <w:w w:val="100"/>
          <w:lang w:val="fr-FR"/>
        </w:rPr>
        <w:t> ;</w:t>
      </w:r>
    </w:p>
    <w:p w14:paraId="53752D22" w14:textId="5A1F14A2"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t>Nombre de demandes d</w:t>
      </w:r>
      <w:r w:rsidR="00795C5F">
        <w:rPr>
          <w:lang w:val="fr-FR"/>
        </w:rPr>
        <w:t>’</w:t>
      </w:r>
      <w:r w:rsidRPr="00A05151">
        <w:rPr>
          <w:lang w:val="fr-FR"/>
        </w:rPr>
        <w:t>ordonnances de protection</w:t>
      </w:r>
      <w:r w:rsidR="00795C5F">
        <w:rPr>
          <w:lang w:val="fr-FR"/>
        </w:rPr>
        <w:t> :</w:t>
      </w:r>
      <w:r w:rsidRPr="00A05151">
        <w:rPr>
          <w:lang w:val="fr-FR"/>
        </w:rPr>
        <w:t xml:space="preserve"> 619 (à l</w:t>
      </w:r>
      <w:r w:rsidR="00795C5F">
        <w:rPr>
          <w:lang w:val="fr-FR"/>
        </w:rPr>
        <w:t>’</w:t>
      </w:r>
      <w:r w:rsidRPr="00A05151">
        <w:rPr>
          <w:lang w:val="fr-FR"/>
        </w:rPr>
        <w:t>initiative du conjoint</w:t>
      </w:r>
      <w:r w:rsidR="00795C5F">
        <w:rPr>
          <w:lang w:val="fr-FR"/>
        </w:rPr>
        <w:t> :</w:t>
      </w:r>
      <w:r w:rsidRPr="00A05151">
        <w:rPr>
          <w:lang w:val="fr-FR"/>
        </w:rPr>
        <w:t xml:space="preserve"> 478</w:t>
      </w:r>
      <w:r w:rsidR="00795C5F">
        <w:rPr>
          <w:lang w:val="fr-FR"/>
        </w:rPr>
        <w:t> ;</w:t>
      </w:r>
      <w:r w:rsidRPr="00A05151">
        <w:rPr>
          <w:lang w:val="fr-FR"/>
        </w:rPr>
        <w:t xml:space="preserve"> à l</w:t>
      </w:r>
      <w:r w:rsidR="00795C5F">
        <w:rPr>
          <w:lang w:val="fr-FR"/>
        </w:rPr>
        <w:t>’</w:t>
      </w:r>
      <w:r w:rsidRPr="00A05151">
        <w:rPr>
          <w:lang w:val="fr-FR"/>
        </w:rPr>
        <w:t>initiative d</w:t>
      </w:r>
      <w:r w:rsidR="00795C5F">
        <w:rPr>
          <w:lang w:val="fr-FR"/>
        </w:rPr>
        <w:t>’</w:t>
      </w:r>
      <w:r w:rsidRPr="00A05151">
        <w:rPr>
          <w:lang w:val="fr-FR"/>
        </w:rPr>
        <w:t>une autre personne</w:t>
      </w:r>
      <w:r w:rsidR="00795C5F">
        <w:rPr>
          <w:lang w:val="fr-FR"/>
        </w:rPr>
        <w:t> :</w:t>
      </w:r>
      <w:r w:rsidRPr="00A05151">
        <w:rPr>
          <w:lang w:val="fr-FR"/>
        </w:rPr>
        <w:t xml:space="preserve"> 138)</w:t>
      </w:r>
      <w:r w:rsidR="00795C5F">
        <w:rPr>
          <w:lang w:val="fr-FR"/>
        </w:rPr>
        <w:t> ;</w:t>
      </w:r>
      <w:r w:rsidRPr="00A05151">
        <w:rPr>
          <w:lang w:val="fr-FR"/>
        </w:rPr>
        <w:t xml:space="preserve"> </w:t>
      </w:r>
    </w:p>
    <w:p w14:paraId="5151451F" w14:textId="161DE8E3" w:rsidR="00A05151" w:rsidRPr="00A05151" w:rsidRDefault="00A05151" w:rsidP="00705260">
      <w:pPr>
        <w:pStyle w:val="SingleTxt"/>
        <w:tabs>
          <w:tab w:val="right" w:pos="1685"/>
        </w:tabs>
        <w:spacing w:line="234" w:lineRule="exact"/>
        <w:ind w:left="1742" w:hanging="475"/>
        <w:rPr>
          <w:lang w:val="fr-FR"/>
        </w:rPr>
      </w:pPr>
      <w:r>
        <w:rPr>
          <w:lang w:val="fr-FR"/>
        </w:rPr>
        <w:tab/>
      </w:r>
      <w:r w:rsidRPr="00A05151">
        <w:rPr>
          <w:lang w:val="fr-FR"/>
        </w:rPr>
        <w:t>•</w:t>
      </w:r>
      <w:r w:rsidRPr="00A05151">
        <w:rPr>
          <w:lang w:val="fr-FR"/>
        </w:rPr>
        <w:tab/>
        <w:t>Nombre d</w:t>
      </w:r>
      <w:r w:rsidR="00795C5F">
        <w:rPr>
          <w:lang w:val="fr-FR"/>
        </w:rPr>
        <w:t>’</w:t>
      </w:r>
      <w:r w:rsidRPr="00A05151">
        <w:rPr>
          <w:lang w:val="fr-FR"/>
        </w:rPr>
        <w:t>ordonnances de protection rendues</w:t>
      </w:r>
      <w:r w:rsidR="00795C5F">
        <w:rPr>
          <w:lang w:val="fr-FR"/>
        </w:rPr>
        <w:t> :</w:t>
      </w:r>
      <w:r w:rsidRPr="00A05151">
        <w:rPr>
          <w:lang w:val="fr-FR"/>
        </w:rPr>
        <w:t xml:space="preserve"> 361 (à la demande du conjoint</w:t>
      </w:r>
      <w:r w:rsidR="00795C5F">
        <w:rPr>
          <w:lang w:val="fr-FR"/>
        </w:rPr>
        <w:t> :</w:t>
      </w:r>
      <w:r w:rsidRPr="00A05151">
        <w:rPr>
          <w:lang w:val="fr-FR"/>
        </w:rPr>
        <w:t xml:space="preserve"> 283</w:t>
      </w:r>
      <w:r w:rsidR="00795C5F">
        <w:rPr>
          <w:lang w:val="fr-FR"/>
        </w:rPr>
        <w:t> ;</w:t>
      </w:r>
      <w:r w:rsidRPr="00A05151">
        <w:rPr>
          <w:lang w:val="fr-FR"/>
        </w:rPr>
        <w:t xml:space="preserve"> à la demande d</w:t>
      </w:r>
      <w:r w:rsidR="00795C5F">
        <w:rPr>
          <w:lang w:val="fr-FR"/>
        </w:rPr>
        <w:t>’</w:t>
      </w:r>
      <w:r w:rsidRPr="00A05151">
        <w:rPr>
          <w:lang w:val="fr-FR"/>
        </w:rPr>
        <w:t>une autre personne</w:t>
      </w:r>
      <w:r w:rsidR="00795C5F">
        <w:rPr>
          <w:lang w:val="fr-FR"/>
        </w:rPr>
        <w:t> :</w:t>
      </w:r>
      <w:r w:rsidRPr="00A05151">
        <w:rPr>
          <w:lang w:val="fr-FR"/>
        </w:rPr>
        <w:t xml:space="preserve"> 78). </w:t>
      </w:r>
    </w:p>
    <w:p w14:paraId="35FC0B2D" w14:textId="58A0BB3B" w:rsidR="00A05151" w:rsidRDefault="00A05151" w:rsidP="00705260">
      <w:pPr>
        <w:pStyle w:val="SingleTxt"/>
        <w:numPr>
          <w:ilvl w:val="0"/>
          <w:numId w:val="20"/>
        </w:numPr>
        <w:spacing w:line="234" w:lineRule="exact"/>
        <w:ind w:left="1267"/>
        <w:rPr>
          <w:lang w:val="fr-FR"/>
        </w:rPr>
      </w:pPr>
      <w:r w:rsidRPr="00A05151">
        <w:rPr>
          <w:lang w:val="fr-FR"/>
        </w:rPr>
        <w:t>Les tableaux ci-après présentent des données relatives au nombre de poursuites engagées pour des actes de violences sexuelles et familiales.</w:t>
      </w:r>
    </w:p>
    <w:p w14:paraId="293BB63A" w14:textId="2E421C5F" w:rsidR="00705260" w:rsidRPr="00705260" w:rsidRDefault="00705260" w:rsidP="00705260">
      <w:pPr>
        <w:pStyle w:val="SingleTxt"/>
        <w:spacing w:after="0" w:line="120" w:lineRule="exact"/>
        <w:rPr>
          <w:sz w:val="10"/>
          <w:lang w:val="fr-FR"/>
        </w:rPr>
      </w:pPr>
    </w:p>
    <w:p w14:paraId="6197D887" w14:textId="055BAFC3" w:rsidR="00705260" w:rsidRDefault="00705260" w:rsidP="00705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D1A90">
        <w:rPr>
          <w:lang w:val="fr-FR"/>
        </w:rPr>
        <w:t>Nombre de personnes poursuivies pour violence</w:t>
      </w:r>
      <w:r>
        <w:rPr>
          <w:lang w:val="fr-FR"/>
        </w:rPr>
        <w:t>s</w:t>
      </w:r>
      <w:r w:rsidRPr="001D1A90">
        <w:rPr>
          <w:lang w:val="fr-FR"/>
        </w:rPr>
        <w:t xml:space="preserve"> sexuelle</w:t>
      </w:r>
      <w:r>
        <w:rPr>
          <w:lang w:val="fr-FR"/>
        </w:rPr>
        <w:t>s</w:t>
      </w:r>
      <w:r w:rsidRPr="001D1A90">
        <w:rPr>
          <w:lang w:val="fr-FR"/>
        </w:rPr>
        <w:t xml:space="preserve"> et </w:t>
      </w:r>
      <w:r>
        <w:rPr>
          <w:lang w:val="fr-FR"/>
        </w:rPr>
        <w:t>familiales</w:t>
      </w:r>
      <w:r w:rsidRPr="001D1A90">
        <w:rPr>
          <w:lang w:val="fr-FR"/>
        </w:rPr>
        <w:t xml:space="preserve"> </w:t>
      </w:r>
      <w:r>
        <w:rPr>
          <w:lang w:val="fr-FR"/>
        </w:rPr>
        <w:br/>
      </w:r>
      <w:r w:rsidRPr="001D1A90">
        <w:rPr>
          <w:lang w:val="fr-FR"/>
        </w:rPr>
        <w:t>(2011-2017)</w:t>
      </w:r>
    </w:p>
    <w:p w14:paraId="0152F8B9" w14:textId="7AC45621" w:rsidR="00705260" w:rsidRPr="006E1537" w:rsidRDefault="00705260" w:rsidP="006E1537">
      <w:pPr>
        <w:pStyle w:val="SingleTxt"/>
        <w:spacing w:after="0" w:line="120" w:lineRule="exact"/>
        <w:rPr>
          <w:sz w:val="10"/>
          <w:lang w:val="fr-FR"/>
        </w:rPr>
      </w:pPr>
    </w:p>
    <w:p w14:paraId="592926C0" w14:textId="77777777" w:rsidR="006E1537" w:rsidRPr="00705260" w:rsidRDefault="006E1537" w:rsidP="00705260">
      <w:pPr>
        <w:pStyle w:val="SingleTxt"/>
        <w:spacing w:after="0" w:line="120" w:lineRule="exact"/>
        <w:rPr>
          <w:sz w:val="10"/>
          <w:lang w:val="fr-FR"/>
        </w:rPr>
      </w:pPr>
    </w:p>
    <w:tbl>
      <w:tblPr>
        <w:tblStyle w:val="TableGrid"/>
        <w:tblW w:w="7217" w:type="dxa"/>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1"/>
        <w:gridCol w:w="769"/>
        <w:gridCol w:w="769"/>
        <w:gridCol w:w="770"/>
        <w:gridCol w:w="769"/>
        <w:gridCol w:w="770"/>
        <w:gridCol w:w="769"/>
        <w:gridCol w:w="770"/>
      </w:tblGrid>
      <w:tr w:rsidR="00705260" w:rsidRPr="00705260" w14:paraId="008876A8" w14:textId="77777777" w:rsidTr="00705260">
        <w:trPr>
          <w:cantSplit/>
          <w:tblHeader/>
        </w:trPr>
        <w:tc>
          <w:tcPr>
            <w:tcW w:w="1831" w:type="dxa"/>
            <w:tcBorders>
              <w:top w:val="single" w:sz="4" w:space="0" w:color="auto"/>
              <w:bottom w:val="single" w:sz="12" w:space="0" w:color="auto"/>
            </w:tcBorders>
            <w:shd w:val="clear" w:color="auto" w:fill="auto"/>
            <w:noWrap/>
            <w:vAlign w:val="bottom"/>
          </w:tcPr>
          <w:p w14:paraId="195A90B5" w14:textId="77777777" w:rsidR="00705260" w:rsidRPr="00705260" w:rsidRDefault="00705260" w:rsidP="00705260">
            <w:pPr>
              <w:spacing w:before="81" w:after="81" w:line="160" w:lineRule="exact"/>
              <w:ind w:right="40"/>
              <w:rPr>
                <w:i/>
                <w:sz w:val="14"/>
              </w:rPr>
            </w:pPr>
            <w:r w:rsidRPr="00705260">
              <w:rPr>
                <w:i/>
                <w:sz w:val="14"/>
              </w:rPr>
              <w:t>Année</w:t>
            </w:r>
          </w:p>
        </w:tc>
        <w:tc>
          <w:tcPr>
            <w:tcW w:w="769" w:type="dxa"/>
            <w:tcBorders>
              <w:top w:val="single" w:sz="4" w:space="0" w:color="auto"/>
              <w:bottom w:val="single" w:sz="12" w:space="0" w:color="auto"/>
            </w:tcBorders>
            <w:shd w:val="clear" w:color="auto" w:fill="auto"/>
            <w:noWrap/>
            <w:vAlign w:val="bottom"/>
          </w:tcPr>
          <w:p w14:paraId="426E252E" w14:textId="77777777" w:rsidR="00705260" w:rsidRPr="00705260" w:rsidRDefault="00705260" w:rsidP="00705260">
            <w:pPr>
              <w:spacing w:before="81" w:after="81" w:line="160" w:lineRule="exact"/>
              <w:ind w:left="144" w:right="43"/>
              <w:jc w:val="right"/>
              <w:rPr>
                <w:i/>
                <w:sz w:val="14"/>
              </w:rPr>
            </w:pPr>
            <w:r w:rsidRPr="00705260">
              <w:rPr>
                <w:i/>
                <w:sz w:val="14"/>
              </w:rPr>
              <w:t>2011</w:t>
            </w:r>
          </w:p>
        </w:tc>
        <w:tc>
          <w:tcPr>
            <w:tcW w:w="769" w:type="dxa"/>
            <w:tcBorders>
              <w:top w:val="single" w:sz="4" w:space="0" w:color="auto"/>
              <w:bottom w:val="single" w:sz="12" w:space="0" w:color="auto"/>
            </w:tcBorders>
            <w:shd w:val="clear" w:color="auto" w:fill="auto"/>
            <w:noWrap/>
            <w:vAlign w:val="bottom"/>
          </w:tcPr>
          <w:p w14:paraId="16951CBF" w14:textId="77777777" w:rsidR="00705260" w:rsidRPr="00705260" w:rsidRDefault="00705260" w:rsidP="00705260">
            <w:pPr>
              <w:spacing w:before="81" w:after="81" w:line="160" w:lineRule="exact"/>
              <w:ind w:left="144" w:right="43"/>
              <w:jc w:val="right"/>
              <w:rPr>
                <w:i/>
                <w:sz w:val="14"/>
              </w:rPr>
            </w:pPr>
            <w:r w:rsidRPr="00705260">
              <w:rPr>
                <w:i/>
                <w:sz w:val="14"/>
              </w:rPr>
              <w:t>2012</w:t>
            </w:r>
          </w:p>
        </w:tc>
        <w:tc>
          <w:tcPr>
            <w:tcW w:w="770" w:type="dxa"/>
            <w:tcBorders>
              <w:top w:val="single" w:sz="4" w:space="0" w:color="auto"/>
              <w:bottom w:val="single" w:sz="12" w:space="0" w:color="auto"/>
            </w:tcBorders>
            <w:shd w:val="clear" w:color="auto" w:fill="auto"/>
            <w:noWrap/>
            <w:vAlign w:val="bottom"/>
          </w:tcPr>
          <w:p w14:paraId="717C865A" w14:textId="77777777" w:rsidR="00705260" w:rsidRPr="00705260" w:rsidRDefault="00705260" w:rsidP="00705260">
            <w:pPr>
              <w:spacing w:before="81" w:after="81" w:line="160" w:lineRule="exact"/>
              <w:ind w:left="144" w:right="43"/>
              <w:jc w:val="right"/>
              <w:rPr>
                <w:i/>
                <w:sz w:val="14"/>
              </w:rPr>
            </w:pPr>
            <w:r w:rsidRPr="00705260">
              <w:rPr>
                <w:i/>
                <w:sz w:val="14"/>
              </w:rPr>
              <w:t>2013</w:t>
            </w:r>
          </w:p>
        </w:tc>
        <w:tc>
          <w:tcPr>
            <w:tcW w:w="769" w:type="dxa"/>
            <w:tcBorders>
              <w:top w:val="single" w:sz="4" w:space="0" w:color="auto"/>
              <w:bottom w:val="single" w:sz="12" w:space="0" w:color="auto"/>
            </w:tcBorders>
            <w:shd w:val="clear" w:color="auto" w:fill="auto"/>
            <w:noWrap/>
            <w:vAlign w:val="bottom"/>
          </w:tcPr>
          <w:p w14:paraId="513B2906" w14:textId="77777777" w:rsidR="00705260" w:rsidRPr="00705260" w:rsidRDefault="00705260" w:rsidP="00705260">
            <w:pPr>
              <w:spacing w:before="81" w:after="81" w:line="160" w:lineRule="exact"/>
              <w:ind w:left="144" w:right="43"/>
              <w:jc w:val="right"/>
              <w:rPr>
                <w:i/>
                <w:sz w:val="14"/>
              </w:rPr>
            </w:pPr>
            <w:r w:rsidRPr="00705260">
              <w:rPr>
                <w:i/>
                <w:sz w:val="14"/>
              </w:rPr>
              <w:t>2014</w:t>
            </w:r>
          </w:p>
        </w:tc>
        <w:tc>
          <w:tcPr>
            <w:tcW w:w="770" w:type="dxa"/>
            <w:tcBorders>
              <w:top w:val="single" w:sz="4" w:space="0" w:color="auto"/>
              <w:bottom w:val="single" w:sz="12" w:space="0" w:color="auto"/>
            </w:tcBorders>
            <w:shd w:val="clear" w:color="auto" w:fill="auto"/>
            <w:noWrap/>
            <w:vAlign w:val="bottom"/>
          </w:tcPr>
          <w:p w14:paraId="65A1AE9C" w14:textId="77777777" w:rsidR="00705260" w:rsidRPr="00705260" w:rsidRDefault="00705260" w:rsidP="00705260">
            <w:pPr>
              <w:spacing w:before="81" w:after="81" w:line="160" w:lineRule="exact"/>
              <w:ind w:left="144" w:right="43"/>
              <w:jc w:val="right"/>
              <w:rPr>
                <w:i/>
                <w:sz w:val="14"/>
              </w:rPr>
            </w:pPr>
            <w:r w:rsidRPr="00705260">
              <w:rPr>
                <w:i/>
                <w:sz w:val="14"/>
              </w:rPr>
              <w:t>2015</w:t>
            </w:r>
          </w:p>
        </w:tc>
        <w:tc>
          <w:tcPr>
            <w:tcW w:w="769" w:type="dxa"/>
            <w:tcBorders>
              <w:top w:val="single" w:sz="4" w:space="0" w:color="auto"/>
              <w:bottom w:val="single" w:sz="12" w:space="0" w:color="auto"/>
            </w:tcBorders>
            <w:shd w:val="clear" w:color="auto" w:fill="auto"/>
            <w:noWrap/>
            <w:vAlign w:val="bottom"/>
          </w:tcPr>
          <w:p w14:paraId="06B471F0" w14:textId="77777777" w:rsidR="00705260" w:rsidRPr="00705260" w:rsidRDefault="00705260" w:rsidP="00705260">
            <w:pPr>
              <w:spacing w:before="81" w:after="81" w:line="160" w:lineRule="exact"/>
              <w:ind w:left="144" w:right="43"/>
              <w:jc w:val="right"/>
              <w:rPr>
                <w:i/>
                <w:sz w:val="14"/>
              </w:rPr>
            </w:pPr>
            <w:r w:rsidRPr="00705260">
              <w:rPr>
                <w:i/>
                <w:sz w:val="14"/>
              </w:rPr>
              <w:t>2016</w:t>
            </w:r>
          </w:p>
        </w:tc>
        <w:tc>
          <w:tcPr>
            <w:tcW w:w="770" w:type="dxa"/>
            <w:tcBorders>
              <w:top w:val="single" w:sz="4" w:space="0" w:color="auto"/>
              <w:bottom w:val="single" w:sz="12" w:space="0" w:color="auto"/>
            </w:tcBorders>
            <w:shd w:val="clear" w:color="auto" w:fill="auto"/>
            <w:noWrap/>
            <w:vAlign w:val="bottom"/>
          </w:tcPr>
          <w:p w14:paraId="5383C0CE" w14:textId="77777777" w:rsidR="00705260" w:rsidRPr="00705260" w:rsidRDefault="00705260" w:rsidP="00705260">
            <w:pPr>
              <w:spacing w:before="81" w:after="81" w:line="160" w:lineRule="exact"/>
              <w:ind w:left="144" w:right="43"/>
              <w:jc w:val="right"/>
              <w:rPr>
                <w:i/>
                <w:sz w:val="14"/>
              </w:rPr>
            </w:pPr>
            <w:r w:rsidRPr="00705260">
              <w:rPr>
                <w:i/>
                <w:sz w:val="14"/>
              </w:rPr>
              <w:t>2017</w:t>
            </w:r>
          </w:p>
        </w:tc>
      </w:tr>
      <w:tr w:rsidR="00705260" w:rsidRPr="00705260" w14:paraId="67C14724" w14:textId="77777777" w:rsidTr="00705260">
        <w:trPr>
          <w:cantSplit/>
          <w:trHeight w:hRule="exact" w:val="115"/>
          <w:tblHeader/>
        </w:trPr>
        <w:tc>
          <w:tcPr>
            <w:tcW w:w="1831" w:type="dxa"/>
            <w:tcBorders>
              <w:top w:val="single" w:sz="12" w:space="0" w:color="auto"/>
            </w:tcBorders>
            <w:shd w:val="clear" w:color="auto" w:fill="auto"/>
            <w:vAlign w:val="bottom"/>
          </w:tcPr>
          <w:p w14:paraId="39ADAE7A" w14:textId="77777777" w:rsidR="00705260" w:rsidRPr="00705260" w:rsidRDefault="00705260" w:rsidP="00705260">
            <w:pPr>
              <w:spacing w:before="40" w:after="40" w:line="210" w:lineRule="exact"/>
              <w:ind w:right="40"/>
              <w:rPr>
                <w:sz w:val="17"/>
              </w:rPr>
            </w:pPr>
          </w:p>
        </w:tc>
        <w:tc>
          <w:tcPr>
            <w:tcW w:w="769" w:type="dxa"/>
            <w:tcBorders>
              <w:top w:val="single" w:sz="12" w:space="0" w:color="auto"/>
            </w:tcBorders>
            <w:shd w:val="clear" w:color="auto" w:fill="auto"/>
            <w:vAlign w:val="bottom"/>
          </w:tcPr>
          <w:p w14:paraId="570B63D9" w14:textId="77777777" w:rsidR="00705260" w:rsidRPr="00705260" w:rsidRDefault="00705260" w:rsidP="00705260">
            <w:pPr>
              <w:spacing w:before="40" w:after="40" w:line="210" w:lineRule="exact"/>
              <w:ind w:left="144" w:right="43"/>
              <w:jc w:val="right"/>
              <w:rPr>
                <w:sz w:val="17"/>
              </w:rPr>
            </w:pPr>
          </w:p>
        </w:tc>
        <w:tc>
          <w:tcPr>
            <w:tcW w:w="769" w:type="dxa"/>
            <w:tcBorders>
              <w:top w:val="single" w:sz="12" w:space="0" w:color="auto"/>
            </w:tcBorders>
            <w:shd w:val="clear" w:color="auto" w:fill="auto"/>
            <w:vAlign w:val="bottom"/>
          </w:tcPr>
          <w:p w14:paraId="6B025A64" w14:textId="77777777" w:rsidR="00705260" w:rsidRPr="00705260" w:rsidRDefault="00705260" w:rsidP="00705260">
            <w:pPr>
              <w:spacing w:before="40" w:after="40" w:line="210" w:lineRule="exact"/>
              <w:ind w:left="144" w:right="43"/>
              <w:jc w:val="right"/>
              <w:rPr>
                <w:sz w:val="17"/>
              </w:rPr>
            </w:pPr>
          </w:p>
        </w:tc>
        <w:tc>
          <w:tcPr>
            <w:tcW w:w="770" w:type="dxa"/>
            <w:tcBorders>
              <w:top w:val="single" w:sz="12" w:space="0" w:color="auto"/>
            </w:tcBorders>
            <w:shd w:val="clear" w:color="auto" w:fill="auto"/>
            <w:vAlign w:val="bottom"/>
          </w:tcPr>
          <w:p w14:paraId="54529102" w14:textId="77777777" w:rsidR="00705260" w:rsidRPr="00705260" w:rsidRDefault="00705260" w:rsidP="00705260">
            <w:pPr>
              <w:spacing w:before="40" w:after="40" w:line="210" w:lineRule="exact"/>
              <w:ind w:left="144" w:right="43"/>
              <w:jc w:val="right"/>
              <w:rPr>
                <w:sz w:val="17"/>
              </w:rPr>
            </w:pPr>
          </w:p>
        </w:tc>
        <w:tc>
          <w:tcPr>
            <w:tcW w:w="769" w:type="dxa"/>
            <w:tcBorders>
              <w:top w:val="single" w:sz="12" w:space="0" w:color="auto"/>
            </w:tcBorders>
            <w:shd w:val="clear" w:color="auto" w:fill="auto"/>
            <w:vAlign w:val="bottom"/>
          </w:tcPr>
          <w:p w14:paraId="7E91DC1B" w14:textId="77777777" w:rsidR="00705260" w:rsidRPr="00705260" w:rsidRDefault="00705260" w:rsidP="00705260">
            <w:pPr>
              <w:spacing w:before="40" w:after="40" w:line="210" w:lineRule="exact"/>
              <w:ind w:left="144" w:right="43"/>
              <w:jc w:val="right"/>
              <w:rPr>
                <w:sz w:val="17"/>
              </w:rPr>
            </w:pPr>
          </w:p>
        </w:tc>
        <w:tc>
          <w:tcPr>
            <w:tcW w:w="770" w:type="dxa"/>
            <w:tcBorders>
              <w:top w:val="single" w:sz="12" w:space="0" w:color="auto"/>
            </w:tcBorders>
            <w:shd w:val="clear" w:color="auto" w:fill="auto"/>
            <w:vAlign w:val="bottom"/>
          </w:tcPr>
          <w:p w14:paraId="3CB5E49B" w14:textId="77777777" w:rsidR="00705260" w:rsidRPr="00705260" w:rsidRDefault="00705260" w:rsidP="00705260">
            <w:pPr>
              <w:spacing w:before="40" w:after="40" w:line="210" w:lineRule="exact"/>
              <w:ind w:left="144" w:right="43"/>
              <w:jc w:val="right"/>
              <w:rPr>
                <w:sz w:val="17"/>
              </w:rPr>
            </w:pPr>
          </w:p>
        </w:tc>
        <w:tc>
          <w:tcPr>
            <w:tcW w:w="769" w:type="dxa"/>
            <w:tcBorders>
              <w:top w:val="single" w:sz="12" w:space="0" w:color="auto"/>
            </w:tcBorders>
            <w:shd w:val="clear" w:color="auto" w:fill="auto"/>
            <w:vAlign w:val="bottom"/>
          </w:tcPr>
          <w:p w14:paraId="290FDE42" w14:textId="77777777" w:rsidR="00705260" w:rsidRPr="00705260" w:rsidRDefault="00705260" w:rsidP="00705260">
            <w:pPr>
              <w:spacing w:before="40" w:after="40" w:line="210" w:lineRule="exact"/>
              <w:ind w:left="144" w:right="43"/>
              <w:jc w:val="right"/>
              <w:rPr>
                <w:sz w:val="17"/>
              </w:rPr>
            </w:pPr>
          </w:p>
        </w:tc>
        <w:tc>
          <w:tcPr>
            <w:tcW w:w="770" w:type="dxa"/>
            <w:tcBorders>
              <w:top w:val="single" w:sz="12" w:space="0" w:color="auto"/>
            </w:tcBorders>
            <w:shd w:val="clear" w:color="auto" w:fill="auto"/>
            <w:vAlign w:val="bottom"/>
          </w:tcPr>
          <w:p w14:paraId="60CE5C8C" w14:textId="77777777" w:rsidR="00705260" w:rsidRPr="00705260" w:rsidRDefault="00705260" w:rsidP="00705260">
            <w:pPr>
              <w:spacing w:before="40" w:after="40" w:line="210" w:lineRule="exact"/>
              <w:ind w:left="144" w:right="43"/>
              <w:jc w:val="right"/>
              <w:rPr>
                <w:sz w:val="17"/>
              </w:rPr>
            </w:pPr>
          </w:p>
        </w:tc>
      </w:tr>
      <w:tr w:rsidR="00705260" w:rsidRPr="00705260" w14:paraId="5AD911AD" w14:textId="77777777" w:rsidTr="00705260">
        <w:trPr>
          <w:cantSplit/>
        </w:trPr>
        <w:tc>
          <w:tcPr>
            <w:tcW w:w="1831" w:type="dxa"/>
            <w:shd w:val="clear" w:color="auto" w:fill="auto"/>
            <w:vAlign w:val="bottom"/>
          </w:tcPr>
          <w:p w14:paraId="0E3CBA04"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Violences sexuelles</w:t>
            </w:r>
          </w:p>
        </w:tc>
        <w:tc>
          <w:tcPr>
            <w:tcW w:w="769" w:type="dxa"/>
            <w:shd w:val="clear" w:color="auto" w:fill="auto"/>
            <w:vAlign w:val="bottom"/>
          </w:tcPr>
          <w:p w14:paraId="4AB8DAA9"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272</w:t>
            </w:r>
          </w:p>
        </w:tc>
        <w:tc>
          <w:tcPr>
            <w:tcW w:w="769" w:type="dxa"/>
            <w:shd w:val="clear" w:color="auto" w:fill="auto"/>
            <w:vAlign w:val="bottom"/>
          </w:tcPr>
          <w:p w14:paraId="30A9550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282</w:t>
            </w:r>
          </w:p>
        </w:tc>
        <w:tc>
          <w:tcPr>
            <w:tcW w:w="770" w:type="dxa"/>
            <w:shd w:val="clear" w:color="auto" w:fill="auto"/>
            <w:vAlign w:val="bottom"/>
          </w:tcPr>
          <w:p w14:paraId="6B2EF428"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341</w:t>
            </w:r>
          </w:p>
        </w:tc>
        <w:tc>
          <w:tcPr>
            <w:tcW w:w="769" w:type="dxa"/>
            <w:shd w:val="clear" w:color="auto" w:fill="auto"/>
            <w:vAlign w:val="bottom"/>
          </w:tcPr>
          <w:p w14:paraId="035998D9"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259</w:t>
            </w:r>
          </w:p>
        </w:tc>
        <w:tc>
          <w:tcPr>
            <w:tcW w:w="770" w:type="dxa"/>
            <w:shd w:val="clear" w:color="auto" w:fill="auto"/>
            <w:vAlign w:val="bottom"/>
          </w:tcPr>
          <w:p w14:paraId="1F49691E"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364</w:t>
            </w:r>
          </w:p>
        </w:tc>
        <w:tc>
          <w:tcPr>
            <w:tcW w:w="769" w:type="dxa"/>
            <w:shd w:val="clear" w:color="auto" w:fill="auto"/>
            <w:vAlign w:val="bottom"/>
          </w:tcPr>
          <w:p w14:paraId="5E5264C9"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451</w:t>
            </w:r>
          </w:p>
        </w:tc>
        <w:tc>
          <w:tcPr>
            <w:tcW w:w="770" w:type="dxa"/>
            <w:shd w:val="clear" w:color="auto" w:fill="auto"/>
            <w:vAlign w:val="bottom"/>
          </w:tcPr>
          <w:p w14:paraId="19F15866"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433</w:t>
            </w:r>
          </w:p>
        </w:tc>
      </w:tr>
      <w:tr w:rsidR="00705260" w:rsidRPr="00705260" w14:paraId="432B7B42" w14:textId="77777777" w:rsidTr="00705260">
        <w:trPr>
          <w:cantSplit/>
        </w:trPr>
        <w:tc>
          <w:tcPr>
            <w:tcW w:w="1831" w:type="dxa"/>
            <w:tcBorders>
              <w:bottom w:val="single" w:sz="12" w:space="0" w:color="auto"/>
            </w:tcBorders>
            <w:shd w:val="clear" w:color="auto" w:fill="auto"/>
            <w:vAlign w:val="bottom"/>
          </w:tcPr>
          <w:p w14:paraId="548804C5"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Violences familiales</w:t>
            </w:r>
          </w:p>
        </w:tc>
        <w:tc>
          <w:tcPr>
            <w:tcW w:w="769" w:type="dxa"/>
            <w:tcBorders>
              <w:bottom w:val="single" w:sz="12" w:space="0" w:color="auto"/>
            </w:tcBorders>
            <w:shd w:val="clear" w:color="auto" w:fill="auto"/>
            <w:vAlign w:val="bottom"/>
          </w:tcPr>
          <w:p w14:paraId="012BDB21"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366</w:t>
            </w:r>
          </w:p>
        </w:tc>
        <w:tc>
          <w:tcPr>
            <w:tcW w:w="769" w:type="dxa"/>
            <w:tcBorders>
              <w:bottom w:val="single" w:sz="12" w:space="0" w:color="auto"/>
            </w:tcBorders>
            <w:shd w:val="clear" w:color="auto" w:fill="auto"/>
            <w:vAlign w:val="bottom"/>
          </w:tcPr>
          <w:p w14:paraId="0A822123"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354</w:t>
            </w:r>
          </w:p>
        </w:tc>
        <w:tc>
          <w:tcPr>
            <w:tcW w:w="770" w:type="dxa"/>
            <w:tcBorders>
              <w:bottom w:val="single" w:sz="12" w:space="0" w:color="auto"/>
            </w:tcBorders>
            <w:shd w:val="clear" w:color="auto" w:fill="auto"/>
            <w:vAlign w:val="bottom"/>
          </w:tcPr>
          <w:p w14:paraId="3D3DEC4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443</w:t>
            </w:r>
          </w:p>
        </w:tc>
        <w:tc>
          <w:tcPr>
            <w:tcW w:w="769" w:type="dxa"/>
            <w:tcBorders>
              <w:bottom w:val="single" w:sz="12" w:space="0" w:color="auto"/>
            </w:tcBorders>
            <w:shd w:val="clear" w:color="auto" w:fill="auto"/>
            <w:vAlign w:val="bottom"/>
          </w:tcPr>
          <w:p w14:paraId="0B9DED0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377</w:t>
            </w:r>
          </w:p>
        </w:tc>
        <w:tc>
          <w:tcPr>
            <w:tcW w:w="770" w:type="dxa"/>
            <w:tcBorders>
              <w:bottom w:val="single" w:sz="12" w:space="0" w:color="auto"/>
            </w:tcBorders>
            <w:shd w:val="clear" w:color="auto" w:fill="auto"/>
            <w:vAlign w:val="bottom"/>
          </w:tcPr>
          <w:p w14:paraId="449AA1CC"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448</w:t>
            </w:r>
          </w:p>
        </w:tc>
        <w:tc>
          <w:tcPr>
            <w:tcW w:w="769" w:type="dxa"/>
            <w:tcBorders>
              <w:bottom w:val="single" w:sz="12" w:space="0" w:color="auto"/>
            </w:tcBorders>
            <w:shd w:val="clear" w:color="auto" w:fill="auto"/>
            <w:vAlign w:val="bottom"/>
          </w:tcPr>
          <w:p w14:paraId="7B3DE5CC"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588</w:t>
            </w:r>
          </w:p>
        </w:tc>
        <w:tc>
          <w:tcPr>
            <w:tcW w:w="770" w:type="dxa"/>
            <w:tcBorders>
              <w:bottom w:val="single" w:sz="12" w:space="0" w:color="auto"/>
            </w:tcBorders>
            <w:shd w:val="clear" w:color="auto" w:fill="auto"/>
            <w:vAlign w:val="bottom"/>
          </w:tcPr>
          <w:p w14:paraId="10A5C96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623</w:t>
            </w:r>
          </w:p>
        </w:tc>
      </w:tr>
    </w:tbl>
    <w:p w14:paraId="2A8DA0F3" w14:textId="77777777" w:rsidR="00705260" w:rsidRPr="00705260" w:rsidRDefault="00705260" w:rsidP="00705260">
      <w:pPr>
        <w:pStyle w:val="SingleTxtG"/>
        <w:spacing w:after="0" w:line="120" w:lineRule="exact"/>
        <w:ind w:firstLine="170"/>
        <w:rPr>
          <w:i/>
          <w:sz w:val="10"/>
          <w:szCs w:val="18"/>
          <w:lang w:val="fr-FR"/>
        </w:rPr>
      </w:pPr>
    </w:p>
    <w:p w14:paraId="762477D4" w14:textId="769D551F" w:rsidR="00705260" w:rsidRPr="001D1A90" w:rsidRDefault="00705260" w:rsidP="00705260">
      <w:pPr>
        <w:pStyle w:val="FootnoteText"/>
        <w:tabs>
          <w:tab w:val="right" w:pos="1476"/>
          <w:tab w:val="left" w:pos="1548"/>
          <w:tab w:val="right" w:pos="1836"/>
          <w:tab w:val="left" w:pos="1908"/>
        </w:tabs>
        <w:ind w:left="1548" w:right="1267" w:hanging="288"/>
        <w:rPr>
          <w:rFonts w:eastAsia="Calibri"/>
          <w:lang w:val="fr-FR"/>
        </w:rPr>
      </w:pPr>
      <w:r w:rsidRPr="001D1A90">
        <w:rPr>
          <w:i/>
          <w:lang w:val="fr-FR"/>
        </w:rPr>
        <w:t>Source</w:t>
      </w:r>
      <w:r w:rsidR="00795C5F">
        <w:rPr>
          <w:lang w:val="fr-FR"/>
        </w:rPr>
        <w:t> :</w:t>
      </w:r>
      <w:r w:rsidRPr="001D1A90">
        <w:rPr>
          <w:lang w:val="fr-FR"/>
        </w:rPr>
        <w:t xml:space="preserve"> </w:t>
      </w:r>
      <w:r>
        <w:rPr>
          <w:lang w:val="fr-FR"/>
        </w:rPr>
        <w:t xml:space="preserve">Maître des requêtes et </w:t>
      </w:r>
      <w:r w:rsidR="00984399">
        <w:rPr>
          <w:lang w:val="fr-FR"/>
        </w:rPr>
        <w:t>G</w:t>
      </w:r>
      <w:r w:rsidRPr="001D1A90">
        <w:rPr>
          <w:lang w:val="fr-FR"/>
        </w:rPr>
        <w:t>reffier de la Cour suprême.</w:t>
      </w:r>
    </w:p>
    <w:p w14:paraId="2300147B" w14:textId="77777777" w:rsidR="00705260" w:rsidRPr="00705260" w:rsidRDefault="00705260" w:rsidP="00705260">
      <w:pPr>
        <w:pStyle w:val="SingleTxt"/>
        <w:spacing w:after="0" w:line="120" w:lineRule="exact"/>
        <w:rPr>
          <w:sz w:val="10"/>
          <w:lang w:val="fr-FR"/>
        </w:rPr>
      </w:pPr>
    </w:p>
    <w:p w14:paraId="0B6A1740" w14:textId="77777777" w:rsidR="00705260" w:rsidRPr="00705260" w:rsidRDefault="00705260" w:rsidP="00705260">
      <w:pPr>
        <w:pStyle w:val="SingleTxt"/>
        <w:spacing w:after="0" w:line="120" w:lineRule="exact"/>
        <w:rPr>
          <w:sz w:val="10"/>
          <w:lang w:val="fr-FR"/>
        </w:rPr>
      </w:pPr>
    </w:p>
    <w:p w14:paraId="33148749" w14:textId="77777777" w:rsidR="00705260" w:rsidRPr="00705260" w:rsidRDefault="00705260" w:rsidP="00705260">
      <w:pPr>
        <w:pStyle w:val="SingleTxt"/>
        <w:spacing w:after="0" w:line="120" w:lineRule="exact"/>
        <w:rPr>
          <w:sz w:val="10"/>
          <w:lang w:val="fr-FR"/>
        </w:rPr>
      </w:pPr>
    </w:p>
    <w:p w14:paraId="7015EC96" w14:textId="3596DC2E" w:rsidR="00705260" w:rsidRDefault="00705260" w:rsidP="00705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1A90">
        <w:rPr>
          <w:lang w:val="fr-FR"/>
        </w:rPr>
        <w:tab/>
      </w:r>
      <w:r w:rsidRPr="001D1A90">
        <w:rPr>
          <w:lang w:val="fr-FR"/>
        </w:rPr>
        <w:tab/>
        <w:t xml:space="preserve">Nombre de condamnations </w:t>
      </w:r>
      <w:r>
        <w:rPr>
          <w:lang w:val="fr-FR"/>
        </w:rPr>
        <w:t xml:space="preserve">prononcées </w:t>
      </w:r>
      <w:r w:rsidRPr="001D1A90">
        <w:rPr>
          <w:lang w:val="fr-FR"/>
        </w:rPr>
        <w:t>pour</w:t>
      </w:r>
      <w:r>
        <w:rPr>
          <w:lang w:val="fr-FR"/>
        </w:rPr>
        <w:t xml:space="preserve"> violences</w:t>
      </w:r>
      <w:r w:rsidRPr="001D1A90">
        <w:rPr>
          <w:lang w:val="fr-FR"/>
        </w:rPr>
        <w:t xml:space="preserve"> sexuelle</w:t>
      </w:r>
      <w:r>
        <w:rPr>
          <w:lang w:val="fr-FR"/>
        </w:rPr>
        <w:t>s</w:t>
      </w:r>
      <w:r w:rsidRPr="001D1A90">
        <w:rPr>
          <w:lang w:val="fr-FR"/>
        </w:rPr>
        <w:t xml:space="preserve"> (2011-2017)</w:t>
      </w:r>
    </w:p>
    <w:p w14:paraId="77899DF5" w14:textId="1AC069D8" w:rsidR="00705260" w:rsidRPr="006E1537" w:rsidRDefault="00705260" w:rsidP="006E1537">
      <w:pPr>
        <w:pStyle w:val="SingleTxt"/>
        <w:spacing w:after="0" w:line="120" w:lineRule="exact"/>
        <w:rPr>
          <w:sz w:val="10"/>
          <w:lang w:val="fr-FR"/>
        </w:rPr>
      </w:pPr>
    </w:p>
    <w:p w14:paraId="62A951FE" w14:textId="77777777" w:rsidR="006E1537" w:rsidRPr="00705260" w:rsidRDefault="006E1537" w:rsidP="00705260">
      <w:pPr>
        <w:pStyle w:val="SingleTxt"/>
        <w:spacing w:after="0" w:line="120" w:lineRule="exact"/>
        <w:rPr>
          <w:sz w:val="10"/>
          <w:lang w:val="fr-FR"/>
        </w:rPr>
      </w:pPr>
    </w:p>
    <w:tbl>
      <w:tblPr>
        <w:tblStyle w:val="TableGrid"/>
        <w:tblW w:w="7226"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9"/>
        <w:gridCol w:w="658"/>
        <w:gridCol w:w="658"/>
        <w:gridCol w:w="658"/>
        <w:gridCol w:w="658"/>
        <w:gridCol w:w="658"/>
        <w:gridCol w:w="658"/>
        <w:gridCol w:w="659"/>
      </w:tblGrid>
      <w:tr w:rsidR="00705260" w:rsidRPr="00705260" w14:paraId="4DDEFE2F" w14:textId="77777777" w:rsidTr="00705260">
        <w:trPr>
          <w:cantSplit/>
          <w:tblHeader/>
        </w:trPr>
        <w:tc>
          <w:tcPr>
            <w:tcW w:w="2619" w:type="dxa"/>
            <w:tcBorders>
              <w:top w:val="single" w:sz="4" w:space="0" w:color="auto"/>
              <w:bottom w:val="single" w:sz="12" w:space="0" w:color="auto"/>
            </w:tcBorders>
            <w:shd w:val="clear" w:color="auto" w:fill="auto"/>
            <w:noWrap/>
            <w:vAlign w:val="bottom"/>
          </w:tcPr>
          <w:p w14:paraId="142217FA" w14:textId="77777777" w:rsidR="00705260" w:rsidRPr="00705260" w:rsidRDefault="00705260" w:rsidP="00705260">
            <w:pPr>
              <w:spacing w:before="81" w:after="81" w:line="160" w:lineRule="exact"/>
              <w:ind w:right="40"/>
              <w:rPr>
                <w:i/>
                <w:sz w:val="14"/>
              </w:rPr>
            </w:pPr>
            <w:r w:rsidRPr="00705260">
              <w:rPr>
                <w:i/>
                <w:sz w:val="14"/>
              </w:rPr>
              <w:t>Année</w:t>
            </w:r>
          </w:p>
        </w:tc>
        <w:tc>
          <w:tcPr>
            <w:tcW w:w="658" w:type="dxa"/>
            <w:tcBorders>
              <w:top w:val="single" w:sz="4" w:space="0" w:color="auto"/>
              <w:bottom w:val="single" w:sz="12" w:space="0" w:color="auto"/>
            </w:tcBorders>
            <w:shd w:val="clear" w:color="auto" w:fill="auto"/>
            <w:noWrap/>
            <w:vAlign w:val="bottom"/>
          </w:tcPr>
          <w:p w14:paraId="7AFE916E" w14:textId="77777777" w:rsidR="00705260" w:rsidRPr="00705260" w:rsidRDefault="00705260" w:rsidP="00705260">
            <w:pPr>
              <w:spacing w:before="81" w:after="81" w:line="160" w:lineRule="exact"/>
              <w:ind w:left="144" w:right="43"/>
              <w:jc w:val="right"/>
              <w:rPr>
                <w:i/>
                <w:sz w:val="14"/>
              </w:rPr>
            </w:pPr>
            <w:r w:rsidRPr="00705260">
              <w:rPr>
                <w:i/>
                <w:sz w:val="14"/>
              </w:rPr>
              <w:t>2011</w:t>
            </w:r>
          </w:p>
        </w:tc>
        <w:tc>
          <w:tcPr>
            <w:tcW w:w="658" w:type="dxa"/>
            <w:tcBorders>
              <w:top w:val="single" w:sz="4" w:space="0" w:color="auto"/>
              <w:bottom w:val="single" w:sz="12" w:space="0" w:color="auto"/>
            </w:tcBorders>
            <w:shd w:val="clear" w:color="auto" w:fill="auto"/>
            <w:noWrap/>
            <w:vAlign w:val="bottom"/>
          </w:tcPr>
          <w:p w14:paraId="131E3155" w14:textId="77777777" w:rsidR="00705260" w:rsidRPr="00705260" w:rsidRDefault="00705260" w:rsidP="00705260">
            <w:pPr>
              <w:spacing w:before="81" w:after="81" w:line="160" w:lineRule="exact"/>
              <w:ind w:left="144" w:right="43"/>
              <w:jc w:val="right"/>
              <w:rPr>
                <w:i/>
                <w:sz w:val="14"/>
              </w:rPr>
            </w:pPr>
            <w:r w:rsidRPr="00705260">
              <w:rPr>
                <w:i/>
                <w:sz w:val="14"/>
              </w:rPr>
              <w:t>2012</w:t>
            </w:r>
          </w:p>
        </w:tc>
        <w:tc>
          <w:tcPr>
            <w:tcW w:w="658" w:type="dxa"/>
            <w:tcBorders>
              <w:top w:val="single" w:sz="4" w:space="0" w:color="auto"/>
              <w:bottom w:val="single" w:sz="12" w:space="0" w:color="auto"/>
            </w:tcBorders>
            <w:shd w:val="clear" w:color="auto" w:fill="auto"/>
            <w:noWrap/>
            <w:vAlign w:val="bottom"/>
          </w:tcPr>
          <w:p w14:paraId="085753D6" w14:textId="77777777" w:rsidR="00705260" w:rsidRPr="00705260" w:rsidRDefault="00705260" w:rsidP="00705260">
            <w:pPr>
              <w:spacing w:before="81" w:after="81" w:line="160" w:lineRule="exact"/>
              <w:ind w:left="144" w:right="43"/>
              <w:jc w:val="right"/>
              <w:rPr>
                <w:i/>
                <w:sz w:val="14"/>
              </w:rPr>
            </w:pPr>
            <w:r w:rsidRPr="00705260">
              <w:rPr>
                <w:i/>
                <w:sz w:val="14"/>
              </w:rPr>
              <w:t>2013</w:t>
            </w:r>
          </w:p>
        </w:tc>
        <w:tc>
          <w:tcPr>
            <w:tcW w:w="658" w:type="dxa"/>
            <w:tcBorders>
              <w:top w:val="single" w:sz="4" w:space="0" w:color="auto"/>
              <w:bottom w:val="single" w:sz="12" w:space="0" w:color="auto"/>
            </w:tcBorders>
            <w:shd w:val="clear" w:color="auto" w:fill="auto"/>
            <w:noWrap/>
            <w:vAlign w:val="bottom"/>
          </w:tcPr>
          <w:p w14:paraId="1937F6EF" w14:textId="77777777" w:rsidR="00705260" w:rsidRPr="00705260" w:rsidRDefault="00705260" w:rsidP="00705260">
            <w:pPr>
              <w:spacing w:before="81" w:after="81" w:line="160" w:lineRule="exact"/>
              <w:ind w:left="144" w:right="43"/>
              <w:jc w:val="right"/>
              <w:rPr>
                <w:i/>
                <w:sz w:val="14"/>
              </w:rPr>
            </w:pPr>
            <w:r w:rsidRPr="00705260">
              <w:rPr>
                <w:i/>
                <w:sz w:val="14"/>
              </w:rPr>
              <w:t>2014</w:t>
            </w:r>
          </w:p>
        </w:tc>
        <w:tc>
          <w:tcPr>
            <w:tcW w:w="658" w:type="dxa"/>
            <w:tcBorders>
              <w:top w:val="single" w:sz="4" w:space="0" w:color="auto"/>
              <w:bottom w:val="single" w:sz="12" w:space="0" w:color="auto"/>
            </w:tcBorders>
            <w:shd w:val="clear" w:color="auto" w:fill="auto"/>
            <w:noWrap/>
            <w:vAlign w:val="bottom"/>
          </w:tcPr>
          <w:p w14:paraId="1308FF86" w14:textId="77777777" w:rsidR="00705260" w:rsidRPr="00705260" w:rsidRDefault="00705260" w:rsidP="00705260">
            <w:pPr>
              <w:spacing w:before="81" w:after="81" w:line="160" w:lineRule="exact"/>
              <w:ind w:left="144" w:right="43"/>
              <w:jc w:val="right"/>
              <w:rPr>
                <w:i/>
                <w:sz w:val="14"/>
              </w:rPr>
            </w:pPr>
            <w:r w:rsidRPr="00705260">
              <w:rPr>
                <w:i/>
                <w:sz w:val="14"/>
              </w:rPr>
              <w:t>2015</w:t>
            </w:r>
          </w:p>
        </w:tc>
        <w:tc>
          <w:tcPr>
            <w:tcW w:w="658" w:type="dxa"/>
            <w:tcBorders>
              <w:top w:val="single" w:sz="4" w:space="0" w:color="auto"/>
              <w:bottom w:val="single" w:sz="12" w:space="0" w:color="auto"/>
            </w:tcBorders>
            <w:shd w:val="clear" w:color="auto" w:fill="auto"/>
            <w:noWrap/>
            <w:vAlign w:val="bottom"/>
          </w:tcPr>
          <w:p w14:paraId="5B3F8335" w14:textId="77777777" w:rsidR="00705260" w:rsidRPr="00705260" w:rsidRDefault="00705260" w:rsidP="00705260">
            <w:pPr>
              <w:spacing w:before="81" w:after="81" w:line="160" w:lineRule="exact"/>
              <w:ind w:left="144" w:right="43"/>
              <w:jc w:val="right"/>
              <w:rPr>
                <w:i/>
                <w:sz w:val="14"/>
              </w:rPr>
            </w:pPr>
            <w:r w:rsidRPr="00705260">
              <w:rPr>
                <w:i/>
                <w:sz w:val="14"/>
              </w:rPr>
              <w:t>2016</w:t>
            </w:r>
          </w:p>
        </w:tc>
        <w:tc>
          <w:tcPr>
            <w:tcW w:w="659" w:type="dxa"/>
            <w:tcBorders>
              <w:top w:val="single" w:sz="4" w:space="0" w:color="auto"/>
              <w:bottom w:val="single" w:sz="12" w:space="0" w:color="auto"/>
            </w:tcBorders>
            <w:shd w:val="clear" w:color="auto" w:fill="auto"/>
            <w:noWrap/>
            <w:vAlign w:val="bottom"/>
          </w:tcPr>
          <w:p w14:paraId="2E9965B1" w14:textId="77777777" w:rsidR="00705260" w:rsidRPr="00705260" w:rsidRDefault="00705260" w:rsidP="00705260">
            <w:pPr>
              <w:spacing w:before="81" w:after="81" w:line="160" w:lineRule="exact"/>
              <w:ind w:left="144" w:right="43"/>
              <w:jc w:val="right"/>
              <w:rPr>
                <w:i/>
                <w:sz w:val="14"/>
              </w:rPr>
            </w:pPr>
            <w:r w:rsidRPr="00705260">
              <w:rPr>
                <w:i/>
                <w:sz w:val="14"/>
              </w:rPr>
              <w:t>2017</w:t>
            </w:r>
          </w:p>
        </w:tc>
      </w:tr>
      <w:tr w:rsidR="00705260" w:rsidRPr="00705260" w14:paraId="17CD2B50" w14:textId="77777777" w:rsidTr="00705260">
        <w:trPr>
          <w:cantSplit/>
          <w:trHeight w:hRule="exact" w:val="115"/>
          <w:tblHeader/>
        </w:trPr>
        <w:tc>
          <w:tcPr>
            <w:tcW w:w="2619" w:type="dxa"/>
            <w:tcBorders>
              <w:top w:val="single" w:sz="12" w:space="0" w:color="auto"/>
            </w:tcBorders>
            <w:shd w:val="clear" w:color="auto" w:fill="auto"/>
            <w:vAlign w:val="bottom"/>
          </w:tcPr>
          <w:p w14:paraId="45C484FD" w14:textId="77777777" w:rsidR="00705260" w:rsidRPr="00705260" w:rsidRDefault="00705260" w:rsidP="00705260">
            <w:pPr>
              <w:spacing w:before="40" w:after="40" w:line="210" w:lineRule="exact"/>
              <w:ind w:right="40"/>
              <w:rPr>
                <w:sz w:val="17"/>
              </w:rPr>
            </w:pPr>
          </w:p>
        </w:tc>
        <w:tc>
          <w:tcPr>
            <w:tcW w:w="658" w:type="dxa"/>
            <w:tcBorders>
              <w:top w:val="single" w:sz="12" w:space="0" w:color="auto"/>
            </w:tcBorders>
            <w:shd w:val="clear" w:color="auto" w:fill="auto"/>
            <w:vAlign w:val="bottom"/>
          </w:tcPr>
          <w:p w14:paraId="1F2EBA99" w14:textId="77777777" w:rsidR="00705260" w:rsidRPr="00705260" w:rsidRDefault="00705260" w:rsidP="00705260">
            <w:pPr>
              <w:spacing w:before="40" w:after="40" w:line="210" w:lineRule="exact"/>
              <w:ind w:left="144" w:right="43"/>
              <w:jc w:val="right"/>
              <w:rPr>
                <w:sz w:val="17"/>
              </w:rPr>
            </w:pPr>
          </w:p>
        </w:tc>
        <w:tc>
          <w:tcPr>
            <w:tcW w:w="658" w:type="dxa"/>
            <w:tcBorders>
              <w:top w:val="single" w:sz="12" w:space="0" w:color="auto"/>
            </w:tcBorders>
            <w:shd w:val="clear" w:color="auto" w:fill="auto"/>
            <w:vAlign w:val="bottom"/>
          </w:tcPr>
          <w:p w14:paraId="5EB94D82" w14:textId="77777777" w:rsidR="00705260" w:rsidRPr="00705260" w:rsidRDefault="00705260" w:rsidP="00705260">
            <w:pPr>
              <w:spacing w:before="40" w:after="40" w:line="210" w:lineRule="exact"/>
              <w:ind w:left="144" w:right="43"/>
              <w:jc w:val="right"/>
              <w:rPr>
                <w:sz w:val="17"/>
              </w:rPr>
            </w:pPr>
          </w:p>
        </w:tc>
        <w:tc>
          <w:tcPr>
            <w:tcW w:w="658" w:type="dxa"/>
            <w:tcBorders>
              <w:top w:val="single" w:sz="12" w:space="0" w:color="auto"/>
            </w:tcBorders>
            <w:shd w:val="clear" w:color="auto" w:fill="auto"/>
            <w:vAlign w:val="bottom"/>
          </w:tcPr>
          <w:p w14:paraId="05DF4A79" w14:textId="77777777" w:rsidR="00705260" w:rsidRPr="00705260" w:rsidRDefault="00705260" w:rsidP="00705260">
            <w:pPr>
              <w:spacing w:before="40" w:after="40" w:line="210" w:lineRule="exact"/>
              <w:ind w:left="144" w:right="43"/>
              <w:jc w:val="right"/>
              <w:rPr>
                <w:sz w:val="17"/>
              </w:rPr>
            </w:pPr>
          </w:p>
        </w:tc>
        <w:tc>
          <w:tcPr>
            <w:tcW w:w="658" w:type="dxa"/>
            <w:tcBorders>
              <w:top w:val="single" w:sz="12" w:space="0" w:color="auto"/>
            </w:tcBorders>
            <w:shd w:val="clear" w:color="auto" w:fill="auto"/>
            <w:vAlign w:val="bottom"/>
          </w:tcPr>
          <w:p w14:paraId="6238BA0E" w14:textId="77777777" w:rsidR="00705260" w:rsidRPr="00705260" w:rsidRDefault="00705260" w:rsidP="00705260">
            <w:pPr>
              <w:spacing w:before="40" w:after="40" w:line="210" w:lineRule="exact"/>
              <w:ind w:left="144" w:right="43"/>
              <w:jc w:val="right"/>
              <w:rPr>
                <w:sz w:val="17"/>
              </w:rPr>
            </w:pPr>
          </w:p>
        </w:tc>
        <w:tc>
          <w:tcPr>
            <w:tcW w:w="658" w:type="dxa"/>
            <w:tcBorders>
              <w:top w:val="single" w:sz="12" w:space="0" w:color="auto"/>
            </w:tcBorders>
            <w:shd w:val="clear" w:color="auto" w:fill="auto"/>
            <w:vAlign w:val="bottom"/>
          </w:tcPr>
          <w:p w14:paraId="35468A78" w14:textId="77777777" w:rsidR="00705260" w:rsidRPr="00705260" w:rsidRDefault="00705260" w:rsidP="00705260">
            <w:pPr>
              <w:spacing w:before="40" w:after="40" w:line="210" w:lineRule="exact"/>
              <w:ind w:left="144" w:right="43"/>
              <w:jc w:val="right"/>
              <w:rPr>
                <w:sz w:val="17"/>
              </w:rPr>
            </w:pPr>
          </w:p>
        </w:tc>
        <w:tc>
          <w:tcPr>
            <w:tcW w:w="658" w:type="dxa"/>
            <w:tcBorders>
              <w:top w:val="single" w:sz="12" w:space="0" w:color="auto"/>
            </w:tcBorders>
            <w:shd w:val="clear" w:color="auto" w:fill="auto"/>
            <w:vAlign w:val="bottom"/>
          </w:tcPr>
          <w:p w14:paraId="6E3B0032" w14:textId="77777777" w:rsidR="00705260" w:rsidRPr="00705260" w:rsidRDefault="00705260" w:rsidP="00705260">
            <w:pPr>
              <w:spacing w:before="40" w:after="40" w:line="210" w:lineRule="exact"/>
              <w:ind w:left="144" w:right="43"/>
              <w:jc w:val="right"/>
              <w:rPr>
                <w:sz w:val="17"/>
              </w:rPr>
            </w:pPr>
          </w:p>
        </w:tc>
        <w:tc>
          <w:tcPr>
            <w:tcW w:w="659" w:type="dxa"/>
            <w:tcBorders>
              <w:top w:val="single" w:sz="12" w:space="0" w:color="auto"/>
            </w:tcBorders>
            <w:shd w:val="clear" w:color="auto" w:fill="auto"/>
            <w:vAlign w:val="bottom"/>
          </w:tcPr>
          <w:p w14:paraId="68837FDD" w14:textId="77777777" w:rsidR="00705260" w:rsidRPr="00705260" w:rsidRDefault="00705260" w:rsidP="00705260">
            <w:pPr>
              <w:spacing w:before="40" w:after="40" w:line="210" w:lineRule="exact"/>
              <w:ind w:left="144" w:right="43"/>
              <w:jc w:val="right"/>
              <w:rPr>
                <w:sz w:val="17"/>
              </w:rPr>
            </w:pPr>
          </w:p>
        </w:tc>
      </w:tr>
      <w:tr w:rsidR="00705260" w:rsidRPr="00705260" w14:paraId="584BA758" w14:textId="77777777" w:rsidTr="00705260">
        <w:trPr>
          <w:cantSplit/>
        </w:trPr>
        <w:tc>
          <w:tcPr>
            <w:tcW w:w="2619" w:type="dxa"/>
            <w:shd w:val="clear" w:color="auto" w:fill="auto"/>
            <w:vAlign w:val="bottom"/>
          </w:tcPr>
          <w:p w14:paraId="7ECA2477"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Peine de prison</w:t>
            </w:r>
          </w:p>
        </w:tc>
        <w:tc>
          <w:tcPr>
            <w:tcW w:w="658" w:type="dxa"/>
            <w:shd w:val="clear" w:color="auto" w:fill="auto"/>
            <w:vAlign w:val="bottom"/>
          </w:tcPr>
          <w:p w14:paraId="2BE5EFCE"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60</w:t>
            </w:r>
          </w:p>
        </w:tc>
        <w:tc>
          <w:tcPr>
            <w:tcW w:w="658" w:type="dxa"/>
            <w:shd w:val="clear" w:color="auto" w:fill="auto"/>
            <w:vAlign w:val="bottom"/>
          </w:tcPr>
          <w:p w14:paraId="2F2D6E01"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68</w:t>
            </w:r>
          </w:p>
        </w:tc>
        <w:tc>
          <w:tcPr>
            <w:tcW w:w="658" w:type="dxa"/>
            <w:shd w:val="clear" w:color="auto" w:fill="auto"/>
            <w:vAlign w:val="bottom"/>
          </w:tcPr>
          <w:p w14:paraId="7CE1F0BB"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73</w:t>
            </w:r>
          </w:p>
        </w:tc>
        <w:tc>
          <w:tcPr>
            <w:tcW w:w="658" w:type="dxa"/>
            <w:shd w:val="clear" w:color="auto" w:fill="auto"/>
            <w:vAlign w:val="bottom"/>
          </w:tcPr>
          <w:p w14:paraId="02DD240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51</w:t>
            </w:r>
          </w:p>
        </w:tc>
        <w:tc>
          <w:tcPr>
            <w:tcW w:w="658" w:type="dxa"/>
            <w:shd w:val="clear" w:color="auto" w:fill="auto"/>
            <w:vAlign w:val="bottom"/>
          </w:tcPr>
          <w:p w14:paraId="78BB0DC1"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51</w:t>
            </w:r>
          </w:p>
        </w:tc>
        <w:tc>
          <w:tcPr>
            <w:tcW w:w="658" w:type="dxa"/>
            <w:shd w:val="clear" w:color="auto" w:fill="auto"/>
            <w:vAlign w:val="bottom"/>
          </w:tcPr>
          <w:p w14:paraId="3B0BABB0"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77</w:t>
            </w:r>
          </w:p>
        </w:tc>
        <w:tc>
          <w:tcPr>
            <w:tcW w:w="659" w:type="dxa"/>
            <w:shd w:val="clear" w:color="auto" w:fill="auto"/>
            <w:vAlign w:val="bottom"/>
          </w:tcPr>
          <w:p w14:paraId="49C6522F"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68</w:t>
            </w:r>
          </w:p>
        </w:tc>
      </w:tr>
      <w:tr w:rsidR="00705260" w:rsidRPr="00705260" w14:paraId="62C400EA" w14:textId="77777777" w:rsidTr="00705260">
        <w:trPr>
          <w:cantSplit/>
        </w:trPr>
        <w:tc>
          <w:tcPr>
            <w:tcW w:w="2619" w:type="dxa"/>
            <w:shd w:val="clear" w:color="auto" w:fill="auto"/>
            <w:vAlign w:val="bottom"/>
          </w:tcPr>
          <w:p w14:paraId="695FC5BD"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Amende</w:t>
            </w:r>
          </w:p>
        </w:tc>
        <w:tc>
          <w:tcPr>
            <w:tcW w:w="658" w:type="dxa"/>
            <w:shd w:val="clear" w:color="auto" w:fill="auto"/>
            <w:vAlign w:val="bottom"/>
          </w:tcPr>
          <w:p w14:paraId="1A31DDA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35</w:t>
            </w:r>
          </w:p>
        </w:tc>
        <w:tc>
          <w:tcPr>
            <w:tcW w:w="658" w:type="dxa"/>
            <w:shd w:val="clear" w:color="auto" w:fill="auto"/>
            <w:vAlign w:val="bottom"/>
          </w:tcPr>
          <w:p w14:paraId="0610D1B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42</w:t>
            </w:r>
          </w:p>
        </w:tc>
        <w:tc>
          <w:tcPr>
            <w:tcW w:w="658" w:type="dxa"/>
            <w:shd w:val="clear" w:color="auto" w:fill="auto"/>
            <w:vAlign w:val="bottom"/>
          </w:tcPr>
          <w:p w14:paraId="4E494978"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52</w:t>
            </w:r>
          </w:p>
        </w:tc>
        <w:tc>
          <w:tcPr>
            <w:tcW w:w="658" w:type="dxa"/>
            <w:shd w:val="clear" w:color="auto" w:fill="auto"/>
            <w:vAlign w:val="bottom"/>
          </w:tcPr>
          <w:p w14:paraId="6C945616"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19</w:t>
            </w:r>
          </w:p>
        </w:tc>
        <w:tc>
          <w:tcPr>
            <w:tcW w:w="658" w:type="dxa"/>
            <w:shd w:val="clear" w:color="auto" w:fill="auto"/>
            <w:vAlign w:val="bottom"/>
          </w:tcPr>
          <w:p w14:paraId="11B76D80"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32</w:t>
            </w:r>
          </w:p>
        </w:tc>
        <w:tc>
          <w:tcPr>
            <w:tcW w:w="658" w:type="dxa"/>
            <w:shd w:val="clear" w:color="auto" w:fill="auto"/>
            <w:vAlign w:val="bottom"/>
          </w:tcPr>
          <w:p w14:paraId="44F0835E"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50</w:t>
            </w:r>
          </w:p>
        </w:tc>
        <w:tc>
          <w:tcPr>
            <w:tcW w:w="659" w:type="dxa"/>
            <w:shd w:val="clear" w:color="auto" w:fill="auto"/>
            <w:vAlign w:val="bottom"/>
          </w:tcPr>
          <w:p w14:paraId="59EC8C0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37</w:t>
            </w:r>
          </w:p>
        </w:tc>
      </w:tr>
      <w:tr w:rsidR="00705260" w:rsidRPr="00705260" w14:paraId="06711B19" w14:textId="77777777" w:rsidTr="00705260">
        <w:trPr>
          <w:cantSplit/>
        </w:trPr>
        <w:tc>
          <w:tcPr>
            <w:tcW w:w="2619" w:type="dxa"/>
            <w:shd w:val="clear" w:color="auto" w:fill="auto"/>
            <w:vAlign w:val="bottom"/>
          </w:tcPr>
          <w:p w14:paraId="14640932"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Sursis probatoire</w:t>
            </w:r>
          </w:p>
        </w:tc>
        <w:tc>
          <w:tcPr>
            <w:tcW w:w="658" w:type="dxa"/>
            <w:shd w:val="clear" w:color="auto" w:fill="auto"/>
            <w:vAlign w:val="bottom"/>
          </w:tcPr>
          <w:p w14:paraId="5CC18420"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5</w:t>
            </w:r>
          </w:p>
        </w:tc>
        <w:tc>
          <w:tcPr>
            <w:tcW w:w="658" w:type="dxa"/>
            <w:shd w:val="clear" w:color="auto" w:fill="auto"/>
            <w:vAlign w:val="bottom"/>
          </w:tcPr>
          <w:p w14:paraId="06F6ABFA"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w:t>
            </w:r>
          </w:p>
        </w:tc>
        <w:tc>
          <w:tcPr>
            <w:tcW w:w="658" w:type="dxa"/>
            <w:shd w:val="clear" w:color="auto" w:fill="auto"/>
            <w:vAlign w:val="bottom"/>
          </w:tcPr>
          <w:p w14:paraId="40303BF6"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w:t>
            </w:r>
          </w:p>
        </w:tc>
        <w:tc>
          <w:tcPr>
            <w:tcW w:w="658" w:type="dxa"/>
            <w:shd w:val="clear" w:color="auto" w:fill="auto"/>
            <w:vAlign w:val="bottom"/>
          </w:tcPr>
          <w:p w14:paraId="1579114E"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w:t>
            </w:r>
          </w:p>
        </w:tc>
        <w:tc>
          <w:tcPr>
            <w:tcW w:w="658" w:type="dxa"/>
            <w:shd w:val="clear" w:color="auto" w:fill="auto"/>
            <w:vAlign w:val="bottom"/>
          </w:tcPr>
          <w:p w14:paraId="6099950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7</w:t>
            </w:r>
          </w:p>
        </w:tc>
        <w:tc>
          <w:tcPr>
            <w:tcW w:w="658" w:type="dxa"/>
            <w:shd w:val="clear" w:color="auto" w:fill="auto"/>
            <w:vAlign w:val="bottom"/>
          </w:tcPr>
          <w:p w14:paraId="7EF645FD"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w:t>
            </w:r>
          </w:p>
        </w:tc>
        <w:tc>
          <w:tcPr>
            <w:tcW w:w="659" w:type="dxa"/>
            <w:shd w:val="clear" w:color="auto" w:fill="auto"/>
            <w:vAlign w:val="bottom"/>
          </w:tcPr>
          <w:p w14:paraId="48E7FA10"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w:t>
            </w:r>
          </w:p>
        </w:tc>
      </w:tr>
      <w:tr w:rsidR="00705260" w:rsidRPr="00705260" w14:paraId="4A707EDD" w14:textId="77777777" w:rsidTr="00705260">
        <w:trPr>
          <w:cantSplit/>
        </w:trPr>
        <w:tc>
          <w:tcPr>
            <w:tcW w:w="2619" w:type="dxa"/>
            <w:shd w:val="clear" w:color="auto" w:fill="auto"/>
            <w:vAlign w:val="bottom"/>
          </w:tcPr>
          <w:p w14:paraId="3C29350C" w14:textId="0CD77F80"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Peine de travail d</w:t>
            </w:r>
            <w:r w:rsidR="00795C5F">
              <w:rPr>
                <w:sz w:val="17"/>
              </w:rPr>
              <w:t>’</w:t>
            </w:r>
            <w:r w:rsidRPr="00705260">
              <w:rPr>
                <w:sz w:val="17"/>
              </w:rPr>
              <w:t>intérêt général</w:t>
            </w:r>
          </w:p>
        </w:tc>
        <w:tc>
          <w:tcPr>
            <w:tcW w:w="658" w:type="dxa"/>
            <w:shd w:val="clear" w:color="auto" w:fill="auto"/>
            <w:vAlign w:val="bottom"/>
          </w:tcPr>
          <w:p w14:paraId="13E4D239"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15</w:t>
            </w:r>
          </w:p>
        </w:tc>
        <w:tc>
          <w:tcPr>
            <w:tcW w:w="658" w:type="dxa"/>
            <w:shd w:val="clear" w:color="auto" w:fill="auto"/>
            <w:vAlign w:val="bottom"/>
          </w:tcPr>
          <w:p w14:paraId="4C618569"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12</w:t>
            </w:r>
          </w:p>
        </w:tc>
        <w:tc>
          <w:tcPr>
            <w:tcW w:w="658" w:type="dxa"/>
            <w:shd w:val="clear" w:color="auto" w:fill="auto"/>
            <w:vAlign w:val="bottom"/>
          </w:tcPr>
          <w:p w14:paraId="5447E988"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28</w:t>
            </w:r>
          </w:p>
        </w:tc>
        <w:tc>
          <w:tcPr>
            <w:tcW w:w="658" w:type="dxa"/>
            <w:shd w:val="clear" w:color="auto" w:fill="auto"/>
            <w:vAlign w:val="bottom"/>
          </w:tcPr>
          <w:p w14:paraId="65D6DED2"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20</w:t>
            </w:r>
          </w:p>
        </w:tc>
        <w:tc>
          <w:tcPr>
            <w:tcW w:w="658" w:type="dxa"/>
            <w:shd w:val="clear" w:color="auto" w:fill="auto"/>
            <w:vAlign w:val="bottom"/>
          </w:tcPr>
          <w:p w14:paraId="7F2F0503"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20</w:t>
            </w:r>
          </w:p>
        </w:tc>
        <w:tc>
          <w:tcPr>
            <w:tcW w:w="658" w:type="dxa"/>
            <w:shd w:val="clear" w:color="auto" w:fill="auto"/>
            <w:vAlign w:val="bottom"/>
          </w:tcPr>
          <w:p w14:paraId="49E0456A"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39</w:t>
            </w:r>
          </w:p>
        </w:tc>
        <w:tc>
          <w:tcPr>
            <w:tcW w:w="659" w:type="dxa"/>
            <w:shd w:val="clear" w:color="auto" w:fill="auto"/>
            <w:vAlign w:val="bottom"/>
          </w:tcPr>
          <w:p w14:paraId="3BD3E121"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31</w:t>
            </w:r>
          </w:p>
        </w:tc>
      </w:tr>
      <w:tr w:rsidR="00705260" w:rsidRPr="00705260" w14:paraId="6B3CA8D5" w14:textId="77777777" w:rsidTr="00705260">
        <w:trPr>
          <w:cantSplit/>
        </w:trPr>
        <w:tc>
          <w:tcPr>
            <w:tcW w:w="2619" w:type="dxa"/>
            <w:tcBorders>
              <w:bottom w:val="single" w:sz="4" w:space="0" w:color="auto"/>
            </w:tcBorders>
            <w:shd w:val="clear" w:color="auto" w:fill="auto"/>
            <w:vAlign w:val="bottom"/>
          </w:tcPr>
          <w:p w14:paraId="58BFAFE3" w14:textId="1F8D4338" w:rsidR="00705260" w:rsidRPr="00705260" w:rsidRDefault="00705260" w:rsidP="00545975">
            <w:pPr>
              <w:tabs>
                <w:tab w:val="left" w:pos="288"/>
                <w:tab w:val="left" w:pos="576"/>
                <w:tab w:val="left" w:pos="864"/>
                <w:tab w:val="left" w:pos="1152"/>
              </w:tabs>
              <w:spacing w:before="40" w:after="81" w:line="210" w:lineRule="exact"/>
              <w:ind w:right="40"/>
              <w:rPr>
                <w:sz w:val="17"/>
              </w:rPr>
            </w:pPr>
            <w:r w:rsidRPr="00705260">
              <w:rPr>
                <w:sz w:val="17"/>
              </w:rPr>
              <w:t>Suspension partielle ou totale de l</w:t>
            </w:r>
            <w:r w:rsidR="00795C5F">
              <w:rPr>
                <w:sz w:val="17"/>
              </w:rPr>
              <w:t>’</w:t>
            </w:r>
            <w:r w:rsidRPr="00705260">
              <w:rPr>
                <w:sz w:val="17"/>
              </w:rPr>
              <w:t>exécution d</w:t>
            </w:r>
            <w:r w:rsidR="00795C5F">
              <w:rPr>
                <w:sz w:val="17"/>
              </w:rPr>
              <w:t>’</w:t>
            </w:r>
            <w:r w:rsidRPr="00705260">
              <w:rPr>
                <w:sz w:val="17"/>
              </w:rPr>
              <w:t>une peine</w:t>
            </w:r>
          </w:p>
        </w:tc>
        <w:tc>
          <w:tcPr>
            <w:tcW w:w="658" w:type="dxa"/>
            <w:tcBorders>
              <w:bottom w:val="single" w:sz="4" w:space="0" w:color="auto"/>
            </w:tcBorders>
            <w:shd w:val="clear" w:color="auto" w:fill="auto"/>
            <w:vAlign w:val="bottom"/>
          </w:tcPr>
          <w:p w14:paraId="4CCB7BDE"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40</w:t>
            </w:r>
          </w:p>
        </w:tc>
        <w:tc>
          <w:tcPr>
            <w:tcW w:w="658" w:type="dxa"/>
            <w:tcBorders>
              <w:bottom w:val="single" w:sz="4" w:space="0" w:color="auto"/>
            </w:tcBorders>
            <w:shd w:val="clear" w:color="auto" w:fill="auto"/>
            <w:vAlign w:val="bottom"/>
          </w:tcPr>
          <w:p w14:paraId="355BDCC6"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67</w:t>
            </w:r>
          </w:p>
        </w:tc>
        <w:tc>
          <w:tcPr>
            <w:tcW w:w="658" w:type="dxa"/>
            <w:tcBorders>
              <w:bottom w:val="single" w:sz="4" w:space="0" w:color="auto"/>
            </w:tcBorders>
            <w:shd w:val="clear" w:color="auto" w:fill="auto"/>
            <w:vAlign w:val="bottom"/>
          </w:tcPr>
          <w:p w14:paraId="20316BB4"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63</w:t>
            </w:r>
          </w:p>
        </w:tc>
        <w:tc>
          <w:tcPr>
            <w:tcW w:w="658" w:type="dxa"/>
            <w:tcBorders>
              <w:bottom w:val="single" w:sz="4" w:space="0" w:color="auto"/>
            </w:tcBorders>
            <w:shd w:val="clear" w:color="auto" w:fill="auto"/>
            <w:vAlign w:val="bottom"/>
          </w:tcPr>
          <w:p w14:paraId="22FD8EB7"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47</w:t>
            </w:r>
          </w:p>
        </w:tc>
        <w:tc>
          <w:tcPr>
            <w:tcW w:w="658" w:type="dxa"/>
            <w:tcBorders>
              <w:bottom w:val="single" w:sz="4" w:space="0" w:color="auto"/>
            </w:tcBorders>
            <w:shd w:val="clear" w:color="auto" w:fill="auto"/>
            <w:vAlign w:val="bottom"/>
          </w:tcPr>
          <w:p w14:paraId="7458D067"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54</w:t>
            </w:r>
          </w:p>
        </w:tc>
        <w:tc>
          <w:tcPr>
            <w:tcW w:w="658" w:type="dxa"/>
            <w:tcBorders>
              <w:bottom w:val="single" w:sz="4" w:space="0" w:color="auto"/>
            </w:tcBorders>
            <w:shd w:val="clear" w:color="auto" w:fill="auto"/>
            <w:vAlign w:val="bottom"/>
          </w:tcPr>
          <w:p w14:paraId="0E3FFC07"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44</w:t>
            </w:r>
          </w:p>
        </w:tc>
        <w:tc>
          <w:tcPr>
            <w:tcW w:w="659" w:type="dxa"/>
            <w:tcBorders>
              <w:bottom w:val="single" w:sz="4" w:space="0" w:color="auto"/>
            </w:tcBorders>
            <w:shd w:val="clear" w:color="auto" w:fill="auto"/>
            <w:vAlign w:val="bottom"/>
          </w:tcPr>
          <w:p w14:paraId="47B44EB7"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49</w:t>
            </w:r>
          </w:p>
        </w:tc>
      </w:tr>
      <w:tr w:rsidR="00705260" w:rsidRPr="00705260" w14:paraId="5C45D2EC" w14:textId="77777777" w:rsidTr="00705260">
        <w:trPr>
          <w:cantSplit/>
        </w:trPr>
        <w:tc>
          <w:tcPr>
            <w:tcW w:w="2619" w:type="dxa"/>
            <w:tcBorders>
              <w:top w:val="single" w:sz="4" w:space="0" w:color="auto"/>
              <w:bottom w:val="single" w:sz="12" w:space="0" w:color="auto"/>
            </w:tcBorders>
            <w:shd w:val="clear" w:color="auto" w:fill="auto"/>
            <w:vAlign w:val="bottom"/>
          </w:tcPr>
          <w:p w14:paraId="1125D1DE" w14:textId="08775459" w:rsidR="00705260" w:rsidRPr="00705260" w:rsidRDefault="00705260" w:rsidP="00545975">
            <w:pPr>
              <w:tabs>
                <w:tab w:val="left" w:pos="288"/>
                <w:tab w:val="left" w:pos="576"/>
                <w:tab w:val="left" w:pos="864"/>
                <w:tab w:val="left" w:pos="1152"/>
              </w:tabs>
              <w:spacing w:before="81" w:after="81" w:line="210" w:lineRule="exact"/>
              <w:ind w:right="40"/>
              <w:rPr>
                <w:b/>
                <w:bCs/>
                <w:sz w:val="17"/>
              </w:rPr>
            </w:pPr>
            <w:r>
              <w:rPr>
                <w:b/>
                <w:bCs/>
                <w:sz w:val="17"/>
              </w:rPr>
              <w:tab/>
            </w:r>
            <w:r w:rsidRPr="00705260">
              <w:rPr>
                <w:b/>
                <w:bCs/>
                <w:sz w:val="17"/>
              </w:rPr>
              <w:t>Nombre de condamnations</w:t>
            </w:r>
          </w:p>
        </w:tc>
        <w:tc>
          <w:tcPr>
            <w:tcW w:w="658" w:type="dxa"/>
            <w:tcBorders>
              <w:top w:val="single" w:sz="4" w:space="0" w:color="auto"/>
              <w:bottom w:val="single" w:sz="12" w:space="0" w:color="auto"/>
            </w:tcBorders>
            <w:shd w:val="clear" w:color="auto" w:fill="auto"/>
            <w:vAlign w:val="bottom"/>
          </w:tcPr>
          <w:p w14:paraId="72F0E712"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155</w:t>
            </w:r>
          </w:p>
        </w:tc>
        <w:tc>
          <w:tcPr>
            <w:tcW w:w="658" w:type="dxa"/>
            <w:tcBorders>
              <w:top w:val="single" w:sz="4" w:space="0" w:color="auto"/>
              <w:bottom w:val="single" w:sz="12" w:space="0" w:color="auto"/>
            </w:tcBorders>
            <w:shd w:val="clear" w:color="auto" w:fill="auto"/>
            <w:vAlign w:val="bottom"/>
          </w:tcPr>
          <w:p w14:paraId="1EDD8AF0"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190</w:t>
            </w:r>
          </w:p>
        </w:tc>
        <w:tc>
          <w:tcPr>
            <w:tcW w:w="658" w:type="dxa"/>
            <w:tcBorders>
              <w:top w:val="single" w:sz="4" w:space="0" w:color="auto"/>
              <w:bottom w:val="single" w:sz="12" w:space="0" w:color="auto"/>
            </w:tcBorders>
            <w:shd w:val="clear" w:color="auto" w:fill="auto"/>
            <w:vAlign w:val="bottom"/>
          </w:tcPr>
          <w:p w14:paraId="3427D428"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220</w:t>
            </w:r>
          </w:p>
        </w:tc>
        <w:tc>
          <w:tcPr>
            <w:tcW w:w="658" w:type="dxa"/>
            <w:tcBorders>
              <w:top w:val="single" w:sz="4" w:space="0" w:color="auto"/>
              <w:bottom w:val="single" w:sz="12" w:space="0" w:color="auto"/>
            </w:tcBorders>
            <w:shd w:val="clear" w:color="auto" w:fill="auto"/>
            <w:vAlign w:val="bottom"/>
          </w:tcPr>
          <w:p w14:paraId="7702DA7E"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141</w:t>
            </w:r>
          </w:p>
        </w:tc>
        <w:tc>
          <w:tcPr>
            <w:tcW w:w="658" w:type="dxa"/>
            <w:tcBorders>
              <w:top w:val="single" w:sz="4" w:space="0" w:color="auto"/>
              <w:bottom w:val="single" w:sz="12" w:space="0" w:color="auto"/>
            </w:tcBorders>
            <w:shd w:val="clear" w:color="auto" w:fill="auto"/>
            <w:vAlign w:val="bottom"/>
          </w:tcPr>
          <w:p w14:paraId="43851D6B"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164</w:t>
            </w:r>
          </w:p>
        </w:tc>
        <w:tc>
          <w:tcPr>
            <w:tcW w:w="658" w:type="dxa"/>
            <w:tcBorders>
              <w:top w:val="single" w:sz="4" w:space="0" w:color="auto"/>
              <w:bottom w:val="single" w:sz="12" w:space="0" w:color="auto"/>
            </w:tcBorders>
            <w:shd w:val="clear" w:color="auto" w:fill="auto"/>
            <w:vAlign w:val="bottom"/>
          </w:tcPr>
          <w:p w14:paraId="64C65F45"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212</w:t>
            </w:r>
          </w:p>
        </w:tc>
        <w:tc>
          <w:tcPr>
            <w:tcW w:w="659" w:type="dxa"/>
            <w:tcBorders>
              <w:top w:val="single" w:sz="4" w:space="0" w:color="auto"/>
              <w:bottom w:val="single" w:sz="12" w:space="0" w:color="auto"/>
            </w:tcBorders>
            <w:shd w:val="clear" w:color="auto" w:fill="auto"/>
            <w:vAlign w:val="bottom"/>
          </w:tcPr>
          <w:p w14:paraId="2941CC42"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186</w:t>
            </w:r>
          </w:p>
        </w:tc>
      </w:tr>
    </w:tbl>
    <w:p w14:paraId="188A71C5" w14:textId="77777777" w:rsidR="00705260" w:rsidRPr="00705260" w:rsidRDefault="00705260" w:rsidP="00705260">
      <w:pPr>
        <w:pStyle w:val="SingleTxtG"/>
        <w:spacing w:after="0" w:line="120" w:lineRule="exact"/>
        <w:ind w:firstLine="170"/>
        <w:rPr>
          <w:i/>
          <w:sz w:val="10"/>
          <w:szCs w:val="18"/>
          <w:lang w:val="fr-FR"/>
        </w:rPr>
      </w:pPr>
    </w:p>
    <w:p w14:paraId="7DB9847E" w14:textId="14359151" w:rsidR="00705260" w:rsidRDefault="00984399" w:rsidP="00705260">
      <w:pPr>
        <w:pStyle w:val="FootnoteText"/>
        <w:tabs>
          <w:tab w:val="right" w:pos="1476"/>
          <w:tab w:val="left" w:pos="1548"/>
          <w:tab w:val="right" w:pos="1836"/>
          <w:tab w:val="left" w:pos="1908"/>
        </w:tabs>
        <w:ind w:left="1548" w:right="1267" w:hanging="288"/>
        <w:rPr>
          <w:lang w:val="fr-FR"/>
        </w:rPr>
      </w:pPr>
      <w:r w:rsidRPr="001D1A90">
        <w:rPr>
          <w:i/>
          <w:lang w:val="fr-FR"/>
        </w:rPr>
        <w:t>Source</w:t>
      </w:r>
      <w:r w:rsidR="00795C5F">
        <w:rPr>
          <w:lang w:val="fr-FR"/>
        </w:rPr>
        <w:t> :</w:t>
      </w:r>
      <w:r w:rsidR="00705260" w:rsidRPr="001D1A90">
        <w:rPr>
          <w:lang w:val="fr-FR"/>
        </w:rPr>
        <w:t xml:space="preserve"> </w:t>
      </w:r>
      <w:r w:rsidR="00705260">
        <w:rPr>
          <w:lang w:val="fr-FR"/>
        </w:rPr>
        <w:t xml:space="preserve">Maître des requêtes et </w:t>
      </w:r>
      <w:r>
        <w:rPr>
          <w:lang w:val="fr-FR"/>
        </w:rPr>
        <w:t>G</w:t>
      </w:r>
      <w:r w:rsidR="00705260" w:rsidRPr="001D1A90">
        <w:rPr>
          <w:lang w:val="fr-FR"/>
        </w:rPr>
        <w:t>reffier de la Cour suprême.</w:t>
      </w:r>
    </w:p>
    <w:p w14:paraId="4B66BCE3" w14:textId="775FE1D6" w:rsidR="00705260" w:rsidRPr="00503C29" w:rsidRDefault="00705260" w:rsidP="00503C29">
      <w:pPr>
        <w:pStyle w:val="FootnoteText"/>
        <w:tabs>
          <w:tab w:val="right" w:pos="1476"/>
          <w:tab w:val="left" w:pos="1548"/>
          <w:tab w:val="right" w:pos="1836"/>
          <w:tab w:val="left" w:pos="1908"/>
        </w:tabs>
        <w:spacing w:line="120" w:lineRule="exact"/>
        <w:ind w:left="1548" w:right="1267" w:hanging="288"/>
        <w:rPr>
          <w:sz w:val="10"/>
          <w:lang w:val="fr-FR"/>
        </w:rPr>
      </w:pPr>
    </w:p>
    <w:p w14:paraId="3467B459" w14:textId="097E7980" w:rsidR="00503C29" w:rsidRPr="00503C29" w:rsidRDefault="00503C29" w:rsidP="00503C29">
      <w:pPr>
        <w:pStyle w:val="FootnoteText"/>
        <w:tabs>
          <w:tab w:val="right" w:pos="1476"/>
          <w:tab w:val="left" w:pos="1548"/>
          <w:tab w:val="right" w:pos="1836"/>
          <w:tab w:val="left" w:pos="1908"/>
        </w:tabs>
        <w:spacing w:line="120" w:lineRule="exact"/>
        <w:ind w:left="1548" w:right="1267" w:hanging="288"/>
        <w:rPr>
          <w:sz w:val="10"/>
          <w:lang w:val="fr-FR"/>
        </w:rPr>
      </w:pPr>
    </w:p>
    <w:p w14:paraId="5407DBB2" w14:textId="77777777" w:rsidR="00503C29" w:rsidRPr="00705260" w:rsidRDefault="00503C29" w:rsidP="00705260">
      <w:pPr>
        <w:pStyle w:val="FootnoteText"/>
        <w:tabs>
          <w:tab w:val="right" w:pos="1476"/>
          <w:tab w:val="left" w:pos="1548"/>
          <w:tab w:val="right" w:pos="1836"/>
          <w:tab w:val="left" w:pos="1908"/>
        </w:tabs>
        <w:spacing w:line="120" w:lineRule="exact"/>
        <w:ind w:left="1548" w:right="1267" w:hanging="288"/>
        <w:rPr>
          <w:sz w:val="10"/>
          <w:lang w:val="fr-FR"/>
        </w:rPr>
      </w:pPr>
    </w:p>
    <w:p w14:paraId="4C36126F" w14:textId="77777777" w:rsidR="00046FCC" w:rsidRDefault="00046FCC">
      <w:pPr>
        <w:spacing w:after="200" w:line="276" w:lineRule="auto"/>
        <w:rPr>
          <w:b/>
          <w:spacing w:val="2"/>
          <w:lang w:val="fr-FR"/>
        </w:rPr>
      </w:pPr>
      <w:r>
        <w:rPr>
          <w:lang w:val="fr-FR"/>
        </w:rPr>
        <w:br w:type="page"/>
      </w:r>
    </w:p>
    <w:p w14:paraId="511CD108" w14:textId="5206068C" w:rsidR="00705260" w:rsidRDefault="00705260" w:rsidP="00705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1A90">
        <w:rPr>
          <w:lang w:val="fr-FR"/>
        </w:rPr>
        <w:lastRenderedPageBreak/>
        <w:tab/>
      </w:r>
      <w:r w:rsidRPr="001D1A90">
        <w:rPr>
          <w:lang w:val="fr-FR"/>
        </w:rPr>
        <w:tab/>
        <w:t xml:space="preserve">Nombre de condamnations </w:t>
      </w:r>
      <w:r>
        <w:rPr>
          <w:lang w:val="fr-FR"/>
        </w:rPr>
        <w:t xml:space="preserve">prononcées </w:t>
      </w:r>
      <w:r w:rsidRPr="001D1A90">
        <w:rPr>
          <w:lang w:val="fr-FR"/>
        </w:rPr>
        <w:t>pour violence</w:t>
      </w:r>
      <w:r>
        <w:rPr>
          <w:lang w:val="fr-FR"/>
        </w:rPr>
        <w:t>s familiales</w:t>
      </w:r>
      <w:r w:rsidRPr="001D1A90">
        <w:rPr>
          <w:lang w:val="fr-FR"/>
        </w:rPr>
        <w:t xml:space="preserve"> (2011-2017)</w:t>
      </w:r>
    </w:p>
    <w:p w14:paraId="5A569773" w14:textId="46FCFF27" w:rsidR="00705260" w:rsidRPr="00705260" w:rsidRDefault="00705260" w:rsidP="00705260">
      <w:pPr>
        <w:pStyle w:val="SingleTxt"/>
        <w:spacing w:after="0" w:line="120" w:lineRule="exact"/>
        <w:rPr>
          <w:sz w:val="10"/>
          <w:lang w:val="fr-FR"/>
        </w:rPr>
      </w:pPr>
    </w:p>
    <w:p w14:paraId="72D555FA" w14:textId="7D505DB7" w:rsidR="00705260" w:rsidRPr="00705260" w:rsidRDefault="00705260" w:rsidP="00705260">
      <w:pPr>
        <w:pStyle w:val="SingleTxt"/>
        <w:spacing w:after="0" w:line="120" w:lineRule="exact"/>
        <w:rPr>
          <w:sz w:val="10"/>
          <w:lang w:val="fr-FR"/>
        </w:rPr>
      </w:pPr>
    </w:p>
    <w:tbl>
      <w:tblPr>
        <w:tblStyle w:val="TableGrid"/>
        <w:tblW w:w="7226"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621"/>
        <w:gridCol w:w="532"/>
        <w:gridCol w:w="532"/>
        <w:gridCol w:w="532"/>
        <w:gridCol w:w="532"/>
        <w:gridCol w:w="532"/>
        <w:gridCol w:w="547"/>
      </w:tblGrid>
      <w:tr w:rsidR="00705260" w:rsidRPr="00705260" w14:paraId="1C7BBE5F" w14:textId="77777777" w:rsidTr="00705260">
        <w:trPr>
          <w:cantSplit/>
          <w:tblHeader/>
        </w:trPr>
        <w:tc>
          <w:tcPr>
            <w:tcW w:w="3398" w:type="dxa"/>
            <w:tcBorders>
              <w:top w:val="single" w:sz="4" w:space="0" w:color="auto"/>
              <w:bottom w:val="single" w:sz="12" w:space="0" w:color="auto"/>
            </w:tcBorders>
            <w:shd w:val="clear" w:color="auto" w:fill="auto"/>
            <w:noWrap/>
            <w:vAlign w:val="bottom"/>
          </w:tcPr>
          <w:p w14:paraId="598BF21A" w14:textId="77777777" w:rsidR="00705260" w:rsidRPr="00705260" w:rsidRDefault="00705260" w:rsidP="00545975">
            <w:pPr>
              <w:spacing w:before="81" w:after="81" w:line="160" w:lineRule="exact"/>
              <w:ind w:right="40"/>
              <w:rPr>
                <w:i/>
                <w:sz w:val="14"/>
              </w:rPr>
            </w:pPr>
            <w:r w:rsidRPr="00705260">
              <w:rPr>
                <w:i/>
                <w:sz w:val="14"/>
              </w:rPr>
              <w:t>Année</w:t>
            </w:r>
          </w:p>
        </w:tc>
        <w:tc>
          <w:tcPr>
            <w:tcW w:w="621" w:type="dxa"/>
            <w:tcBorders>
              <w:top w:val="single" w:sz="4" w:space="0" w:color="auto"/>
              <w:bottom w:val="single" w:sz="12" w:space="0" w:color="auto"/>
            </w:tcBorders>
            <w:shd w:val="clear" w:color="auto" w:fill="auto"/>
            <w:noWrap/>
            <w:vAlign w:val="bottom"/>
          </w:tcPr>
          <w:p w14:paraId="68D3B33F" w14:textId="77777777" w:rsidR="00705260" w:rsidRPr="00705260" w:rsidRDefault="00705260" w:rsidP="00545975">
            <w:pPr>
              <w:spacing w:before="81" w:after="81" w:line="160" w:lineRule="exact"/>
              <w:ind w:left="144" w:right="43"/>
              <w:jc w:val="right"/>
              <w:rPr>
                <w:i/>
                <w:sz w:val="14"/>
              </w:rPr>
            </w:pPr>
            <w:r w:rsidRPr="00705260">
              <w:rPr>
                <w:i/>
                <w:sz w:val="14"/>
              </w:rPr>
              <w:t>2011</w:t>
            </w:r>
          </w:p>
        </w:tc>
        <w:tc>
          <w:tcPr>
            <w:tcW w:w="532" w:type="dxa"/>
            <w:tcBorders>
              <w:top w:val="single" w:sz="4" w:space="0" w:color="auto"/>
              <w:bottom w:val="single" w:sz="12" w:space="0" w:color="auto"/>
            </w:tcBorders>
            <w:shd w:val="clear" w:color="auto" w:fill="auto"/>
            <w:noWrap/>
            <w:vAlign w:val="bottom"/>
          </w:tcPr>
          <w:p w14:paraId="1C9075FE" w14:textId="77777777" w:rsidR="00705260" w:rsidRPr="00705260" w:rsidRDefault="00705260" w:rsidP="00545975">
            <w:pPr>
              <w:spacing w:before="81" w:after="81" w:line="160" w:lineRule="exact"/>
              <w:ind w:left="144" w:right="43"/>
              <w:jc w:val="right"/>
              <w:rPr>
                <w:i/>
                <w:sz w:val="14"/>
              </w:rPr>
            </w:pPr>
            <w:r w:rsidRPr="00705260">
              <w:rPr>
                <w:i/>
                <w:sz w:val="14"/>
              </w:rPr>
              <w:t>2012</w:t>
            </w:r>
          </w:p>
        </w:tc>
        <w:tc>
          <w:tcPr>
            <w:tcW w:w="532" w:type="dxa"/>
            <w:tcBorders>
              <w:top w:val="single" w:sz="4" w:space="0" w:color="auto"/>
              <w:bottom w:val="single" w:sz="12" w:space="0" w:color="auto"/>
            </w:tcBorders>
            <w:shd w:val="clear" w:color="auto" w:fill="auto"/>
            <w:noWrap/>
            <w:vAlign w:val="bottom"/>
          </w:tcPr>
          <w:p w14:paraId="6D0B5FA5" w14:textId="77777777" w:rsidR="00705260" w:rsidRPr="00705260" w:rsidRDefault="00705260" w:rsidP="00545975">
            <w:pPr>
              <w:spacing w:before="81" w:after="81" w:line="160" w:lineRule="exact"/>
              <w:ind w:left="144" w:right="43"/>
              <w:jc w:val="right"/>
              <w:rPr>
                <w:i/>
                <w:sz w:val="14"/>
              </w:rPr>
            </w:pPr>
            <w:r w:rsidRPr="00705260">
              <w:rPr>
                <w:i/>
                <w:sz w:val="14"/>
              </w:rPr>
              <w:t>2013</w:t>
            </w:r>
          </w:p>
        </w:tc>
        <w:tc>
          <w:tcPr>
            <w:tcW w:w="532" w:type="dxa"/>
            <w:tcBorders>
              <w:top w:val="single" w:sz="4" w:space="0" w:color="auto"/>
              <w:bottom w:val="single" w:sz="12" w:space="0" w:color="auto"/>
            </w:tcBorders>
            <w:shd w:val="clear" w:color="auto" w:fill="auto"/>
            <w:noWrap/>
            <w:vAlign w:val="bottom"/>
          </w:tcPr>
          <w:p w14:paraId="68613CFE" w14:textId="77777777" w:rsidR="00705260" w:rsidRPr="00705260" w:rsidRDefault="00705260" w:rsidP="00545975">
            <w:pPr>
              <w:spacing w:before="81" w:after="81" w:line="160" w:lineRule="exact"/>
              <w:ind w:left="144" w:right="43"/>
              <w:jc w:val="right"/>
              <w:rPr>
                <w:i/>
                <w:sz w:val="14"/>
              </w:rPr>
            </w:pPr>
            <w:r w:rsidRPr="00705260">
              <w:rPr>
                <w:i/>
                <w:sz w:val="14"/>
              </w:rPr>
              <w:t>2014</w:t>
            </w:r>
          </w:p>
        </w:tc>
        <w:tc>
          <w:tcPr>
            <w:tcW w:w="532" w:type="dxa"/>
            <w:tcBorders>
              <w:top w:val="single" w:sz="4" w:space="0" w:color="auto"/>
              <w:bottom w:val="single" w:sz="12" w:space="0" w:color="auto"/>
            </w:tcBorders>
            <w:shd w:val="clear" w:color="auto" w:fill="auto"/>
            <w:noWrap/>
            <w:vAlign w:val="bottom"/>
          </w:tcPr>
          <w:p w14:paraId="756DC672" w14:textId="77777777" w:rsidR="00705260" w:rsidRPr="00705260" w:rsidRDefault="00705260" w:rsidP="00545975">
            <w:pPr>
              <w:spacing w:before="81" w:after="81" w:line="160" w:lineRule="exact"/>
              <w:ind w:left="144" w:right="43"/>
              <w:jc w:val="right"/>
              <w:rPr>
                <w:i/>
                <w:sz w:val="14"/>
              </w:rPr>
            </w:pPr>
            <w:r w:rsidRPr="00705260">
              <w:rPr>
                <w:i/>
                <w:sz w:val="14"/>
              </w:rPr>
              <w:t>2015</w:t>
            </w:r>
          </w:p>
        </w:tc>
        <w:tc>
          <w:tcPr>
            <w:tcW w:w="532" w:type="dxa"/>
            <w:tcBorders>
              <w:top w:val="single" w:sz="4" w:space="0" w:color="auto"/>
              <w:bottom w:val="single" w:sz="12" w:space="0" w:color="auto"/>
            </w:tcBorders>
            <w:shd w:val="clear" w:color="auto" w:fill="auto"/>
            <w:noWrap/>
            <w:vAlign w:val="bottom"/>
          </w:tcPr>
          <w:p w14:paraId="0F62EC04" w14:textId="77777777" w:rsidR="00705260" w:rsidRPr="00705260" w:rsidRDefault="00705260" w:rsidP="00545975">
            <w:pPr>
              <w:spacing w:before="81" w:after="81" w:line="160" w:lineRule="exact"/>
              <w:ind w:left="144" w:right="43"/>
              <w:jc w:val="right"/>
              <w:rPr>
                <w:i/>
                <w:sz w:val="14"/>
              </w:rPr>
            </w:pPr>
            <w:r w:rsidRPr="00705260">
              <w:rPr>
                <w:i/>
                <w:sz w:val="14"/>
              </w:rPr>
              <w:t>2016</w:t>
            </w:r>
          </w:p>
        </w:tc>
        <w:tc>
          <w:tcPr>
            <w:tcW w:w="547" w:type="dxa"/>
            <w:tcBorders>
              <w:top w:val="single" w:sz="4" w:space="0" w:color="auto"/>
              <w:bottom w:val="single" w:sz="12" w:space="0" w:color="auto"/>
            </w:tcBorders>
            <w:shd w:val="clear" w:color="auto" w:fill="auto"/>
            <w:noWrap/>
            <w:vAlign w:val="bottom"/>
          </w:tcPr>
          <w:p w14:paraId="61051ECE" w14:textId="77777777" w:rsidR="00705260" w:rsidRPr="00705260" w:rsidRDefault="00705260" w:rsidP="00545975">
            <w:pPr>
              <w:spacing w:before="81" w:after="81" w:line="160" w:lineRule="exact"/>
              <w:ind w:left="144" w:right="43"/>
              <w:jc w:val="right"/>
              <w:rPr>
                <w:i/>
                <w:sz w:val="14"/>
              </w:rPr>
            </w:pPr>
            <w:r w:rsidRPr="00705260">
              <w:rPr>
                <w:i/>
                <w:sz w:val="14"/>
              </w:rPr>
              <w:t>2017</w:t>
            </w:r>
          </w:p>
        </w:tc>
      </w:tr>
      <w:tr w:rsidR="00705260" w:rsidRPr="00705260" w14:paraId="652D4BAB" w14:textId="77777777" w:rsidTr="00705260">
        <w:trPr>
          <w:cantSplit/>
          <w:trHeight w:hRule="exact" w:val="115"/>
          <w:tblHeader/>
        </w:trPr>
        <w:tc>
          <w:tcPr>
            <w:tcW w:w="3398" w:type="dxa"/>
            <w:tcBorders>
              <w:top w:val="single" w:sz="12" w:space="0" w:color="auto"/>
            </w:tcBorders>
            <w:shd w:val="clear" w:color="auto" w:fill="auto"/>
            <w:vAlign w:val="bottom"/>
          </w:tcPr>
          <w:p w14:paraId="793419FC" w14:textId="77777777" w:rsidR="00705260" w:rsidRPr="00705260" w:rsidRDefault="00705260" w:rsidP="00705260">
            <w:pPr>
              <w:spacing w:before="40" w:after="40" w:line="210" w:lineRule="exact"/>
              <w:ind w:right="40"/>
              <w:rPr>
                <w:sz w:val="17"/>
              </w:rPr>
            </w:pPr>
          </w:p>
        </w:tc>
        <w:tc>
          <w:tcPr>
            <w:tcW w:w="621" w:type="dxa"/>
            <w:tcBorders>
              <w:top w:val="single" w:sz="12" w:space="0" w:color="auto"/>
            </w:tcBorders>
            <w:shd w:val="clear" w:color="auto" w:fill="auto"/>
            <w:vAlign w:val="bottom"/>
          </w:tcPr>
          <w:p w14:paraId="5ED5E449" w14:textId="77777777" w:rsidR="00705260" w:rsidRPr="00705260" w:rsidRDefault="00705260" w:rsidP="00705260">
            <w:pPr>
              <w:spacing w:before="40" w:after="40" w:line="210" w:lineRule="exact"/>
              <w:ind w:left="144" w:right="43"/>
              <w:jc w:val="right"/>
              <w:rPr>
                <w:sz w:val="17"/>
              </w:rPr>
            </w:pPr>
          </w:p>
        </w:tc>
        <w:tc>
          <w:tcPr>
            <w:tcW w:w="532" w:type="dxa"/>
            <w:tcBorders>
              <w:top w:val="single" w:sz="12" w:space="0" w:color="auto"/>
            </w:tcBorders>
            <w:shd w:val="clear" w:color="auto" w:fill="auto"/>
            <w:vAlign w:val="bottom"/>
          </w:tcPr>
          <w:p w14:paraId="4EA3BB94" w14:textId="77777777" w:rsidR="00705260" w:rsidRPr="00705260" w:rsidRDefault="00705260" w:rsidP="00705260">
            <w:pPr>
              <w:spacing w:before="40" w:after="40" w:line="210" w:lineRule="exact"/>
              <w:ind w:left="144" w:right="43"/>
              <w:jc w:val="right"/>
              <w:rPr>
                <w:sz w:val="17"/>
              </w:rPr>
            </w:pPr>
          </w:p>
        </w:tc>
        <w:tc>
          <w:tcPr>
            <w:tcW w:w="532" w:type="dxa"/>
            <w:tcBorders>
              <w:top w:val="single" w:sz="12" w:space="0" w:color="auto"/>
            </w:tcBorders>
            <w:shd w:val="clear" w:color="auto" w:fill="auto"/>
            <w:vAlign w:val="bottom"/>
          </w:tcPr>
          <w:p w14:paraId="7A600EA7" w14:textId="77777777" w:rsidR="00705260" w:rsidRPr="00705260" w:rsidRDefault="00705260" w:rsidP="00705260">
            <w:pPr>
              <w:spacing w:before="40" w:after="40" w:line="210" w:lineRule="exact"/>
              <w:ind w:left="144" w:right="43"/>
              <w:jc w:val="right"/>
              <w:rPr>
                <w:sz w:val="17"/>
              </w:rPr>
            </w:pPr>
          </w:p>
        </w:tc>
        <w:tc>
          <w:tcPr>
            <w:tcW w:w="532" w:type="dxa"/>
            <w:tcBorders>
              <w:top w:val="single" w:sz="12" w:space="0" w:color="auto"/>
            </w:tcBorders>
            <w:shd w:val="clear" w:color="auto" w:fill="auto"/>
            <w:vAlign w:val="bottom"/>
          </w:tcPr>
          <w:p w14:paraId="521F2077" w14:textId="77777777" w:rsidR="00705260" w:rsidRPr="00705260" w:rsidRDefault="00705260" w:rsidP="00705260">
            <w:pPr>
              <w:spacing w:before="40" w:after="40" w:line="210" w:lineRule="exact"/>
              <w:ind w:left="144" w:right="43"/>
              <w:jc w:val="right"/>
              <w:rPr>
                <w:sz w:val="17"/>
              </w:rPr>
            </w:pPr>
          </w:p>
        </w:tc>
        <w:tc>
          <w:tcPr>
            <w:tcW w:w="532" w:type="dxa"/>
            <w:tcBorders>
              <w:top w:val="single" w:sz="12" w:space="0" w:color="auto"/>
            </w:tcBorders>
            <w:shd w:val="clear" w:color="auto" w:fill="auto"/>
            <w:vAlign w:val="bottom"/>
          </w:tcPr>
          <w:p w14:paraId="0F2D628E" w14:textId="77777777" w:rsidR="00705260" w:rsidRPr="00705260" w:rsidRDefault="00705260" w:rsidP="00705260">
            <w:pPr>
              <w:spacing w:before="40" w:after="40" w:line="210" w:lineRule="exact"/>
              <w:ind w:left="144" w:right="43"/>
              <w:jc w:val="right"/>
              <w:rPr>
                <w:sz w:val="17"/>
              </w:rPr>
            </w:pPr>
          </w:p>
        </w:tc>
        <w:tc>
          <w:tcPr>
            <w:tcW w:w="532" w:type="dxa"/>
            <w:tcBorders>
              <w:top w:val="single" w:sz="12" w:space="0" w:color="auto"/>
            </w:tcBorders>
            <w:shd w:val="clear" w:color="auto" w:fill="auto"/>
            <w:vAlign w:val="bottom"/>
          </w:tcPr>
          <w:p w14:paraId="5B2A9596" w14:textId="77777777" w:rsidR="00705260" w:rsidRPr="00705260" w:rsidRDefault="00705260" w:rsidP="00705260">
            <w:pPr>
              <w:spacing w:before="40" w:after="40" w:line="210" w:lineRule="exact"/>
              <w:ind w:left="144" w:right="43"/>
              <w:jc w:val="right"/>
              <w:rPr>
                <w:sz w:val="17"/>
              </w:rPr>
            </w:pPr>
          </w:p>
        </w:tc>
        <w:tc>
          <w:tcPr>
            <w:tcW w:w="547" w:type="dxa"/>
            <w:tcBorders>
              <w:top w:val="single" w:sz="12" w:space="0" w:color="auto"/>
            </w:tcBorders>
            <w:shd w:val="clear" w:color="auto" w:fill="auto"/>
            <w:vAlign w:val="bottom"/>
          </w:tcPr>
          <w:p w14:paraId="0BB97795" w14:textId="77777777" w:rsidR="00705260" w:rsidRPr="00705260" w:rsidRDefault="00705260" w:rsidP="00705260">
            <w:pPr>
              <w:spacing w:before="40" w:after="40" w:line="210" w:lineRule="exact"/>
              <w:ind w:left="144" w:right="43"/>
              <w:jc w:val="right"/>
              <w:rPr>
                <w:sz w:val="17"/>
              </w:rPr>
            </w:pPr>
          </w:p>
        </w:tc>
      </w:tr>
      <w:tr w:rsidR="00705260" w:rsidRPr="00705260" w14:paraId="52579165" w14:textId="77777777" w:rsidTr="00705260">
        <w:trPr>
          <w:cantSplit/>
        </w:trPr>
        <w:tc>
          <w:tcPr>
            <w:tcW w:w="3398" w:type="dxa"/>
            <w:shd w:val="clear" w:color="auto" w:fill="auto"/>
            <w:vAlign w:val="bottom"/>
          </w:tcPr>
          <w:p w14:paraId="52430DD0" w14:textId="77777777" w:rsidR="00705260" w:rsidRPr="00705260" w:rsidRDefault="00705260" w:rsidP="00545975">
            <w:pPr>
              <w:tabs>
                <w:tab w:val="left" w:pos="288"/>
                <w:tab w:val="left" w:pos="576"/>
                <w:tab w:val="left" w:pos="864"/>
                <w:tab w:val="left" w:pos="1152"/>
              </w:tabs>
              <w:spacing w:before="40" w:after="40" w:line="210" w:lineRule="exact"/>
              <w:ind w:right="40"/>
              <w:rPr>
                <w:sz w:val="17"/>
              </w:rPr>
            </w:pPr>
            <w:r w:rsidRPr="00705260">
              <w:rPr>
                <w:sz w:val="17"/>
              </w:rPr>
              <w:t>Peine de prison</w:t>
            </w:r>
          </w:p>
        </w:tc>
        <w:tc>
          <w:tcPr>
            <w:tcW w:w="621" w:type="dxa"/>
            <w:shd w:val="clear" w:color="auto" w:fill="auto"/>
            <w:vAlign w:val="bottom"/>
          </w:tcPr>
          <w:p w14:paraId="7175D374"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48</w:t>
            </w:r>
          </w:p>
        </w:tc>
        <w:tc>
          <w:tcPr>
            <w:tcW w:w="532" w:type="dxa"/>
            <w:shd w:val="clear" w:color="auto" w:fill="auto"/>
            <w:vAlign w:val="bottom"/>
          </w:tcPr>
          <w:p w14:paraId="503E02C0"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30</w:t>
            </w:r>
          </w:p>
        </w:tc>
        <w:tc>
          <w:tcPr>
            <w:tcW w:w="532" w:type="dxa"/>
            <w:shd w:val="clear" w:color="auto" w:fill="auto"/>
            <w:vAlign w:val="bottom"/>
          </w:tcPr>
          <w:p w14:paraId="75FC5218"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44</w:t>
            </w:r>
          </w:p>
        </w:tc>
        <w:tc>
          <w:tcPr>
            <w:tcW w:w="532" w:type="dxa"/>
            <w:shd w:val="clear" w:color="auto" w:fill="auto"/>
            <w:vAlign w:val="bottom"/>
          </w:tcPr>
          <w:p w14:paraId="6BE65475"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44</w:t>
            </w:r>
          </w:p>
        </w:tc>
        <w:tc>
          <w:tcPr>
            <w:tcW w:w="532" w:type="dxa"/>
            <w:shd w:val="clear" w:color="auto" w:fill="auto"/>
            <w:vAlign w:val="bottom"/>
          </w:tcPr>
          <w:p w14:paraId="7E430283"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39</w:t>
            </w:r>
          </w:p>
        </w:tc>
        <w:tc>
          <w:tcPr>
            <w:tcW w:w="532" w:type="dxa"/>
            <w:shd w:val="clear" w:color="auto" w:fill="auto"/>
            <w:vAlign w:val="bottom"/>
          </w:tcPr>
          <w:p w14:paraId="6BC45F16"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56</w:t>
            </w:r>
          </w:p>
        </w:tc>
        <w:tc>
          <w:tcPr>
            <w:tcW w:w="547" w:type="dxa"/>
            <w:shd w:val="clear" w:color="auto" w:fill="auto"/>
            <w:vAlign w:val="bottom"/>
          </w:tcPr>
          <w:p w14:paraId="6780C6CD" w14:textId="77777777" w:rsidR="00705260" w:rsidRPr="00705260" w:rsidRDefault="00705260" w:rsidP="00545975">
            <w:pPr>
              <w:tabs>
                <w:tab w:val="left" w:pos="288"/>
                <w:tab w:val="left" w:pos="576"/>
                <w:tab w:val="left" w:pos="864"/>
                <w:tab w:val="left" w:pos="1152"/>
              </w:tabs>
              <w:spacing w:before="40" w:after="40" w:line="210" w:lineRule="exact"/>
              <w:ind w:left="144" w:right="43"/>
              <w:jc w:val="right"/>
              <w:rPr>
                <w:sz w:val="17"/>
              </w:rPr>
            </w:pPr>
            <w:r w:rsidRPr="00705260">
              <w:rPr>
                <w:sz w:val="17"/>
              </w:rPr>
              <w:t>100</w:t>
            </w:r>
          </w:p>
        </w:tc>
      </w:tr>
      <w:tr w:rsidR="00705260" w:rsidRPr="00705260" w14:paraId="56399835" w14:textId="77777777" w:rsidTr="00705260">
        <w:trPr>
          <w:cantSplit/>
        </w:trPr>
        <w:tc>
          <w:tcPr>
            <w:tcW w:w="3398" w:type="dxa"/>
            <w:shd w:val="clear" w:color="auto" w:fill="auto"/>
            <w:vAlign w:val="bottom"/>
          </w:tcPr>
          <w:p w14:paraId="0471B141"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Amende</w:t>
            </w:r>
          </w:p>
        </w:tc>
        <w:tc>
          <w:tcPr>
            <w:tcW w:w="621" w:type="dxa"/>
            <w:shd w:val="clear" w:color="auto" w:fill="auto"/>
            <w:vAlign w:val="bottom"/>
          </w:tcPr>
          <w:p w14:paraId="18A9AAC3"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244</w:t>
            </w:r>
          </w:p>
        </w:tc>
        <w:tc>
          <w:tcPr>
            <w:tcW w:w="532" w:type="dxa"/>
            <w:shd w:val="clear" w:color="auto" w:fill="auto"/>
            <w:vAlign w:val="bottom"/>
          </w:tcPr>
          <w:p w14:paraId="4008AB6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220</w:t>
            </w:r>
          </w:p>
        </w:tc>
        <w:tc>
          <w:tcPr>
            <w:tcW w:w="532" w:type="dxa"/>
            <w:shd w:val="clear" w:color="auto" w:fill="auto"/>
            <w:vAlign w:val="bottom"/>
          </w:tcPr>
          <w:p w14:paraId="27A4102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302</w:t>
            </w:r>
          </w:p>
        </w:tc>
        <w:tc>
          <w:tcPr>
            <w:tcW w:w="532" w:type="dxa"/>
            <w:shd w:val="clear" w:color="auto" w:fill="auto"/>
            <w:vAlign w:val="bottom"/>
          </w:tcPr>
          <w:p w14:paraId="5C0C15BC"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250</w:t>
            </w:r>
          </w:p>
        </w:tc>
        <w:tc>
          <w:tcPr>
            <w:tcW w:w="532" w:type="dxa"/>
            <w:shd w:val="clear" w:color="auto" w:fill="auto"/>
            <w:vAlign w:val="bottom"/>
          </w:tcPr>
          <w:p w14:paraId="56AAB346"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291</w:t>
            </w:r>
          </w:p>
        </w:tc>
        <w:tc>
          <w:tcPr>
            <w:tcW w:w="532" w:type="dxa"/>
            <w:shd w:val="clear" w:color="auto" w:fill="auto"/>
            <w:vAlign w:val="bottom"/>
          </w:tcPr>
          <w:p w14:paraId="6DAC666F"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429</w:t>
            </w:r>
          </w:p>
        </w:tc>
        <w:tc>
          <w:tcPr>
            <w:tcW w:w="547" w:type="dxa"/>
            <w:shd w:val="clear" w:color="auto" w:fill="auto"/>
            <w:vAlign w:val="bottom"/>
          </w:tcPr>
          <w:p w14:paraId="09E2A0A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418</w:t>
            </w:r>
          </w:p>
        </w:tc>
      </w:tr>
      <w:tr w:rsidR="00705260" w:rsidRPr="00705260" w14:paraId="11C0AE8A" w14:textId="77777777" w:rsidTr="00705260">
        <w:trPr>
          <w:cantSplit/>
        </w:trPr>
        <w:tc>
          <w:tcPr>
            <w:tcW w:w="3398" w:type="dxa"/>
            <w:shd w:val="clear" w:color="auto" w:fill="auto"/>
            <w:vAlign w:val="bottom"/>
          </w:tcPr>
          <w:p w14:paraId="7A9100EB" w14:textId="77777777"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Sursis probatoire</w:t>
            </w:r>
          </w:p>
        </w:tc>
        <w:tc>
          <w:tcPr>
            <w:tcW w:w="621" w:type="dxa"/>
            <w:shd w:val="clear" w:color="auto" w:fill="auto"/>
            <w:vAlign w:val="bottom"/>
          </w:tcPr>
          <w:p w14:paraId="27DD2525"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w:t>
            </w:r>
          </w:p>
        </w:tc>
        <w:tc>
          <w:tcPr>
            <w:tcW w:w="532" w:type="dxa"/>
            <w:shd w:val="clear" w:color="auto" w:fill="auto"/>
            <w:vAlign w:val="bottom"/>
          </w:tcPr>
          <w:p w14:paraId="69E6B3F6"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w:t>
            </w:r>
          </w:p>
        </w:tc>
        <w:tc>
          <w:tcPr>
            <w:tcW w:w="532" w:type="dxa"/>
            <w:shd w:val="clear" w:color="auto" w:fill="auto"/>
            <w:vAlign w:val="bottom"/>
          </w:tcPr>
          <w:p w14:paraId="5292D50F"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w:t>
            </w:r>
          </w:p>
        </w:tc>
        <w:tc>
          <w:tcPr>
            <w:tcW w:w="532" w:type="dxa"/>
            <w:shd w:val="clear" w:color="auto" w:fill="auto"/>
            <w:vAlign w:val="bottom"/>
          </w:tcPr>
          <w:p w14:paraId="6604817B"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w:t>
            </w:r>
          </w:p>
        </w:tc>
        <w:tc>
          <w:tcPr>
            <w:tcW w:w="532" w:type="dxa"/>
            <w:shd w:val="clear" w:color="auto" w:fill="auto"/>
            <w:vAlign w:val="bottom"/>
          </w:tcPr>
          <w:p w14:paraId="55E82E23"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w:t>
            </w:r>
          </w:p>
        </w:tc>
        <w:tc>
          <w:tcPr>
            <w:tcW w:w="532" w:type="dxa"/>
            <w:shd w:val="clear" w:color="auto" w:fill="auto"/>
            <w:vAlign w:val="bottom"/>
          </w:tcPr>
          <w:p w14:paraId="473EE87B"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6</w:t>
            </w:r>
          </w:p>
        </w:tc>
        <w:tc>
          <w:tcPr>
            <w:tcW w:w="547" w:type="dxa"/>
            <w:shd w:val="clear" w:color="auto" w:fill="auto"/>
            <w:vAlign w:val="bottom"/>
          </w:tcPr>
          <w:p w14:paraId="53698283"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8</w:t>
            </w:r>
          </w:p>
        </w:tc>
      </w:tr>
      <w:tr w:rsidR="00705260" w:rsidRPr="00705260" w14:paraId="44C5600E" w14:textId="77777777" w:rsidTr="00705260">
        <w:trPr>
          <w:cantSplit/>
        </w:trPr>
        <w:tc>
          <w:tcPr>
            <w:tcW w:w="3398" w:type="dxa"/>
            <w:shd w:val="clear" w:color="auto" w:fill="auto"/>
            <w:vAlign w:val="bottom"/>
          </w:tcPr>
          <w:p w14:paraId="27F49A88" w14:textId="66149CA0" w:rsidR="00705260" w:rsidRPr="00705260" w:rsidRDefault="00705260" w:rsidP="00705260">
            <w:pPr>
              <w:tabs>
                <w:tab w:val="left" w:pos="288"/>
                <w:tab w:val="left" w:pos="576"/>
                <w:tab w:val="left" w:pos="864"/>
                <w:tab w:val="left" w:pos="1152"/>
              </w:tabs>
              <w:spacing w:before="40" w:after="40" w:line="210" w:lineRule="exact"/>
              <w:ind w:right="40"/>
              <w:rPr>
                <w:sz w:val="17"/>
              </w:rPr>
            </w:pPr>
            <w:r w:rsidRPr="00705260">
              <w:rPr>
                <w:sz w:val="17"/>
              </w:rPr>
              <w:t>Peine de travail d</w:t>
            </w:r>
            <w:r w:rsidR="00795C5F">
              <w:rPr>
                <w:sz w:val="17"/>
              </w:rPr>
              <w:t>’</w:t>
            </w:r>
            <w:r w:rsidRPr="00705260">
              <w:rPr>
                <w:sz w:val="17"/>
              </w:rPr>
              <w:t>intérêt général</w:t>
            </w:r>
          </w:p>
        </w:tc>
        <w:tc>
          <w:tcPr>
            <w:tcW w:w="621" w:type="dxa"/>
            <w:shd w:val="clear" w:color="auto" w:fill="auto"/>
            <w:vAlign w:val="bottom"/>
          </w:tcPr>
          <w:p w14:paraId="6DD9284C"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2</w:t>
            </w:r>
          </w:p>
        </w:tc>
        <w:tc>
          <w:tcPr>
            <w:tcW w:w="532" w:type="dxa"/>
            <w:shd w:val="clear" w:color="auto" w:fill="auto"/>
            <w:vAlign w:val="bottom"/>
          </w:tcPr>
          <w:p w14:paraId="3EEBE418"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w:t>
            </w:r>
          </w:p>
        </w:tc>
        <w:tc>
          <w:tcPr>
            <w:tcW w:w="532" w:type="dxa"/>
            <w:shd w:val="clear" w:color="auto" w:fill="auto"/>
            <w:vAlign w:val="bottom"/>
          </w:tcPr>
          <w:p w14:paraId="7A9A498D"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1</w:t>
            </w:r>
          </w:p>
        </w:tc>
        <w:tc>
          <w:tcPr>
            <w:tcW w:w="532" w:type="dxa"/>
            <w:shd w:val="clear" w:color="auto" w:fill="auto"/>
            <w:vAlign w:val="bottom"/>
          </w:tcPr>
          <w:p w14:paraId="0C04A874"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w:t>
            </w:r>
          </w:p>
        </w:tc>
        <w:tc>
          <w:tcPr>
            <w:tcW w:w="532" w:type="dxa"/>
            <w:shd w:val="clear" w:color="auto" w:fill="auto"/>
            <w:vAlign w:val="bottom"/>
          </w:tcPr>
          <w:p w14:paraId="29BF11EE"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4</w:t>
            </w:r>
          </w:p>
        </w:tc>
        <w:tc>
          <w:tcPr>
            <w:tcW w:w="532" w:type="dxa"/>
            <w:shd w:val="clear" w:color="auto" w:fill="auto"/>
            <w:vAlign w:val="bottom"/>
          </w:tcPr>
          <w:p w14:paraId="221F9C3F"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9</w:t>
            </w:r>
          </w:p>
        </w:tc>
        <w:tc>
          <w:tcPr>
            <w:tcW w:w="547" w:type="dxa"/>
            <w:shd w:val="clear" w:color="auto" w:fill="auto"/>
            <w:vAlign w:val="bottom"/>
          </w:tcPr>
          <w:p w14:paraId="31B9ECFC" w14:textId="77777777" w:rsidR="00705260" w:rsidRPr="00705260" w:rsidRDefault="00705260" w:rsidP="00705260">
            <w:pPr>
              <w:tabs>
                <w:tab w:val="left" w:pos="288"/>
                <w:tab w:val="left" w:pos="576"/>
                <w:tab w:val="left" w:pos="864"/>
                <w:tab w:val="left" w:pos="1152"/>
              </w:tabs>
              <w:spacing w:before="40" w:after="40" w:line="210" w:lineRule="exact"/>
              <w:ind w:left="144" w:right="43"/>
              <w:jc w:val="right"/>
              <w:rPr>
                <w:sz w:val="17"/>
              </w:rPr>
            </w:pPr>
            <w:r w:rsidRPr="00705260">
              <w:rPr>
                <w:sz w:val="17"/>
              </w:rPr>
              <w:t>3</w:t>
            </w:r>
          </w:p>
        </w:tc>
      </w:tr>
      <w:tr w:rsidR="00705260" w:rsidRPr="00705260" w14:paraId="1BDF1B3C" w14:textId="77777777" w:rsidTr="00705260">
        <w:trPr>
          <w:cantSplit/>
        </w:trPr>
        <w:tc>
          <w:tcPr>
            <w:tcW w:w="3398" w:type="dxa"/>
            <w:tcBorders>
              <w:bottom w:val="single" w:sz="4" w:space="0" w:color="auto"/>
            </w:tcBorders>
            <w:shd w:val="clear" w:color="auto" w:fill="auto"/>
            <w:vAlign w:val="bottom"/>
          </w:tcPr>
          <w:p w14:paraId="6302D120" w14:textId="346F282A" w:rsidR="00705260" w:rsidRPr="00705260" w:rsidRDefault="00705260" w:rsidP="00545975">
            <w:pPr>
              <w:tabs>
                <w:tab w:val="left" w:pos="288"/>
                <w:tab w:val="left" w:pos="576"/>
                <w:tab w:val="left" w:pos="864"/>
                <w:tab w:val="left" w:pos="1152"/>
              </w:tabs>
              <w:spacing w:before="40" w:after="81" w:line="210" w:lineRule="exact"/>
              <w:ind w:right="40"/>
              <w:rPr>
                <w:sz w:val="17"/>
              </w:rPr>
            </w:pPr>
            <w:r w:rsidRPr="00705260">
              <w:rPr>
                <w:sz w:val="17"/>
              </w:rPr>
              <w:t>Suspension partielle ou totale de l</w:t>
            </w:r>
            <w:r w:rsidR="00795C5F">
              <w:rPr>
                <w:sz w:val="17"/>
              </w:rPr>
              <w:t>’</w:t>
            </w:r>
            <w:r w:rsidRPr="00705260">
              <w:rPr>
                <w:sz w:val="17"/>
              </w:rPr>
              <w:t>exécution d</w:t>
            </w:r>
            <w:r w:rsidR="00795C5F">
              <w:rPr>
                <w:sz w:val="17"/>
              </w:rPr>
              <w:t>’</w:t>
            </w:r>
            <w:r w:rsidRPr="00705260">
              <w:rPr>
                <w:sz w:val="17"/>
              </w:rPr>
              <w:t>une peine</w:t>
            </w:r>
          </w:p>
        </w:tc>
        <w:tc>
          <w:tcPr>
            <w:tcW w:w="621" w:type="dxa"/>
            <w:tcBorders>
              <w:bottom w:val="single" w:sz="4" w:space="0" w:color="auto"/>
            </w:tcBorders>
            <w:shd w:val="clear" w:color="auto" w:fill="auto"/>
            <w:vAlign w:val="bottom"/>
          </w:tcPr>
          <w:p w14:paraId="7E1DA2DF"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9</w:t>
            </w:r>
          </w:p>
        </w:tc>
        <w:tc>
          <w:tcPr>
            <w:tcW w:w="532" w:type="dxa"/>
            <w:tcBorders>
              <w:bottom w:val="single" w:sz="4" w:space="0" w:color="auto"/>
            </w:tcBorders>
            <w:shd w:val="clear" w:color="auto" w:fill="auto"/>
            <w:vAlign w:val="bottom"/>
          </w:tcPr>
          <w:p w14:paraId="51FE3494"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13</w:t>
            </w:r>
          </w:p>
        </w:tc>
        <w:tc>
          <w:tcPr>
            <w:tcW w:w="532" w:type="dxa"/>
            <w:tcBorders>
              <w:bottom w:val="single" w:sz="4" w:space="0" w:color="auto"/>
            </w:tcBorders>
            <w:shd w:val="clear" w:color="auto" w:fill="auto"/>
            <w:vAlign w:val="bottom"/>
          </w:tcPr>
          <w:p w14:paraId="2033FD71"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6</w:t>
            </w:r>
          </w:p>
        </w:tc>
        <w:tc>
          <w:tcPr>
            <w:tcW w:w="532" w:type="dxa"/>
            <w:tcBorders>
              <w:bottom w:val="single" w:sz="4" w:space="0" w:color="auto"/>
            </w:tcBorders>
            <w:shd w:val="clear" w:color="auto" w:fill="auto"/>
            <w:vAlign w:val="bottom"/>
          </w:tcPr>
          <w:p w14:paraId="058E8C34"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15</w:t>
            </w:r>
          </w:p>
        </w:tc>
        <w:tc>
          <w:tcPr>
            <w:tcW w:w="532" w:type="dxa"/>
            <w:tcBorders>
              <w:bottom w:val="single" w:sz="4" w:space="0" w:color="auto"/>
            </w:tcBorders>
            <w:shd w:val="clear" w:color="auto" w:fill="auto"/>
            <w:vAlign w:val="bottom"/>
          </w:tcPr>
          <w:p w14:paraId="48A56A8D"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20</w:t>
            </w:r>
          </w:p>
        </w:tc>
        <w:tc>
          <w:tcPr>
            <w:tcW w:w="532" w:type="dxa"/>
            <w:tcBorders>
              <w:bottom w:val="single" w:sz="4" w:space="0" w:color="auto"/>
            </w:tcBorders>
            <w:shd w:val="clear" w:color="auto" w:fill="auto"/>
            <w:vAlign w:val="bottom"/>
          </w:tcPr>
          <w:p w14:paraId="0CF57DE4"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15</w:t>
            </w:r>
          </w:p>
        </w:tc>
        <w:tc>
          <w:tcPr>
            <w:tcW w:w="547" w:type="dxa"/>
            <w:tcBorders>
              <w:bottom w:val="single" w:sz="4" w:space="0" w:color="auto"/>
            </w:tcBorders>
            <w:shd w:val="clear" w:color="auto" w:fill="auto"/>
            <w:vAlign w:val="bottom"/>
          </w:tcPr>
          <w:p w14:paraId="40EB3F10" w14:textId="77777777" w:rsidR="00705260" w:rsidRPr="00705260" w:rsidRDefault="00705260" w:rsidP="00545975">
            <w:pPr>
              <w:tabs>
                <w:tab w:val="left" w:pos="288"/>
                <w:tab w:val="left" w:pos="576"/>
                <w:tab w:val="left" w:pos="864"/>
                <w:tab w:val="left" w:pos="1152"/>
              </w:tabs>
              <w:spacing w:before="40" w:after="81" w:line="210" w:lineRule="exact"/>
              <w:ind w:left="144" w:right="43"/>
              <w:jc w:val="right"/>
              <w:rPr>
                <w:sz w:val="17"/>
              </w:rPr>
            </w:pPr>
            <w:r w:rsidRPr="00705260">
              <w:rPr>
                <w:sz w:val="17"/>
              </w:rPr>
              <w:t>17</w:t>
            </w:r>
          </w:p>
        </w:tc>
      </w:tr>
      <w:tr w:rsidR="00705260" w:rsidRPr="00705260" w14:paraId="48BF01F3" w14:textId="77777777" w:rsidTr="00705260">
        <w:trPr>
          <w:cantSplit/>
        </w:trPr>
        <w:tc>
          <w:tcPr>
            <w:tcW w:w="3398" w:type="dxa"/>
            <w:tcBorders>
              <w:top w:val="single" w:sz="4" w:space="0" w:color="auto"/>
              <w:bottom w:val="single" w:sz="12" w:space="0" w:color="auto"/>
            </w:tcBorders>
            <w:shd w:val="clear" w:color="auto" w:fill="auto"/>
            <w:vAlign w:val="bottom"/>
          </w:tcPr>
          <w:p w14:paraId="59249F24" w14:textId="15BCD656" w:rsidR="00705260" w:rsidRPr="00705260" w:rsidRDefault="00705260" w:rsidP="00545975">
            <w:pPr>
              <w:tabs>
                <w:tab w:val="left" w:pos="288"/>
                <w:tab w:val="left" w:pos="576"/>
                <w:tab w:val="left" w:pos="864"/>
                <w:tab w:val="left" w:pos="1152"/>
              </w:tabs>
              <w:spacing w:before="81" w:after="81" w:line="210" w:lineRule="exact"/>
              <w:ind w:right="40"/>
              <w:rPr>
                <w:b/>
                <w:bCs/>
                <w:sz w:val="17"/>
              </w:rPr>
            </w:pPr>
            <w:r>
              <w:rPr>
                <w:b/>
                <w:bCs/>
                <w:sz w:val="17"/>
              </w:rPr>
              <w:tab/>
            </w:r>
            <w:r w:rsidRPr="00705260">
              <w:rPr>
                <w:b/>
                <w:bCs/>
                <w:sz w:val="17"/>
              </w:rPr>
              <w:t>Nombre de condamnations</w:t>
            </w:r>
          </w:p>
        </w:tc>
        <w:tc>
          <w:tcPr>
            <w:tcW w:w="621" w:type="dxa"/>
            <w:tcBorders>
              <w:top w:val="single" w:sz="4" w:space="0" w:color="auto"/>
              <w:bottom w:val="single" w:sz="12" w:space="0" w:color="auto"/>
            </w:tcBorders>
            <w:shd w:val="clear" w:color="auto" w:fill="auto"/>
            <w:vAlign w:val="bottom"/>
          </w:tcPr>
          <w:p w14:paraId="6CFA19D1"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305</w:t>
            </w:r>
          </w:p>
        </w:tc>
        <w:tc>
          <w:tcPr>
            <w:tcW w:w="532" w:type="dxa"/>
            <w:tcBorders>
              <w:top w:val="single" w:sz="4" w:space="0" w:color="auto"/>
              <w:bottom w:val="single" w:sz="12" w:space="0" w:color="auto"/>
            </w:tcBorders>
            <w:shd w:val="clear" w:color="auto" w:fill="auto"/>
            <w:vAlign w:val="bottom"/>
          </w:tcPr>
          <w:p w14:paraId="51BD5CCA"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267</w:t>
            </w:r>
          </w:p>
        </w:tc>
        <w:tc>
          <w:tcPr>
            <w:tcW w:w="532" w:type="dxa"/>
            <w:tcBorders>
              <w:top w:val="single" w:sz="4" w:space="0" w:color="auto"/>
              <w:bottom w:val="single" w:sz="12" w:space="0" w:color="auto"/>
            </w:tcBorders>
            <w:shd w:val="clear" w:color="auto" w:fill="auto"/>
            <w:vAlign w:val="bottom"/>
          </w:tcPr>
          <w:p w14:paraId="689D8094"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355</w:t>
            </w:r>
          </w:p>
        </w:tc>
        <w:tc>
          <w:tcPr>
            <w:tcW w:w="532" w:type="dxa"/>
            <w:tcBorders>
              <w:top w:val="single" w:sz="4" w:space="0" w:color="auto"/>
              <w:bottom w:val="single" w:sz="12" w:space="0" w:color="auto"/>
            </w:tcBorders>
            <w:shd w:val="clear" w:color="auto" w:fill="auto"/>
            <w:vAlign w:val="bottom"/>
          </w:tcPr>
          <w:p w14:paraId="7D5AADBD"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316</w:t>
            </w:r>
          </w:p>
        </w:tc>
        <w:tc>
          <w:tcPr>
            <w:tcW w:w="532" w:type="dxa"/>
            <w:tcBorders>
              <w:top w:val="single" w:sz="4" w:space="0" w:color="auto"/>
              <w:bottom w:val="single" w:sz="12" w:space="0" w:color="auto"/>
            </w:tcBorders>
            <w:shd w:val="clear" w:color="auto" w:fill="auto"/>
            <w:vAlign w:val="bottom"/>
          </w:tcPr>
          <w:p w14:paraId="1AC83528"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355</w:t>
            </w:r>
          </w:p>
        </w:tc>
        <w:tc>
          <w:tcPr>
            <w:tcW w:w="532" w:type="dxa"/>
            <w:tcBorders>
              <w:top w:val="single" w:sz="4" w:space="0" w:color="auto"/>
              <w:bottom w:val="single" w:sz="12" w:space="0" w:color="auto"/>
            </w:tcBorders>
            <w:shd w:val="clear" w:color="auto" w:fill="auto"/>
            <w:vAlign w:val="bottom"/>
          </w:tcPr>
          <w:p w14:paraId="0DABFF00"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515</w:t>
            </w:r>
          </w:p>
        </w:tc>
        <w:tc>
          <w:tcPr>
            <w:tcW w:w="547" w:type="dxa"/>
            <w:tcBorders>
              <w:top w:val="single" w:sz="4" w:space="0" w:color="auto"/>
              <w:bottom w:val="single" w:sz="12" w:space="0" w:color="auto"/>
            </w:tcBorders>
            <w:shd w:val="clear" w:color="auto" w:fill="auto"/>
            <w:vAlign w:val="bottom"/>
          </w:tcPr>
          <w:p w14:paraId="1A6250B5" w14:textId="77777777" w:rsidR="00705260" w:rsidRPr="00705260" w:rsidRDefault="00705260" w:rsidP="00545975">
            <w:pPr>
              <w:tabs>
                <w:tab w:val="left" w:pos="288"/>
                <w:tab w:val="left" w:pos="576"/>
                <w:tab w:val="left" w:pos="864"/>
                <w:tab w:val="left" w:pos="1152"/>
              </w:tabs>
              <w:spacing w:before="81" w:after="81" w:line="210" w:lineRule="exact"/>
              <w:ind w:left="144" w:right="43"/>
              <w:jc w:val="right"/>
              <w:rPr>
                <w:b/>
                <w:bCs/>
                <w:sz w:val="17"/>
              </w:rPr>
            </w:pPr>
            <w:r w:rsidRPr="00705260">
              <w:rPr>
                <w:b/>
                <w:bCs/>
                <w:sz w:val="17"/>
              </w:rPr>
              <w:t>546</w:t>
            </w:r>
          </w:p>
        </w:tc>
      </w:tr>
    </w:tbl>
    <w:p w14:paraId="1122AC4D" w14:textId="77777777" w:rsidR="00705260" w:rsidRPr="00705260" w:rsidRDefault="00705260" w:rsidP="00705260">
      <w:pPr>
        <w:pStyle w:val="SingleTxtG"/>
        <w:spacing w:after="0" w:line="120" w:lineRule="exact"/>
        <w:ind w:firstLine="170"/>
        <w:rPr>
          <w:i/>
          <w:sz w:val="10"/>
          <w:szCs w:val="18"/>
          <w:lang w:val="fr-FR"/>
        </w:rPr>
      </w:pPr>
    </w:p>
    <w:p w14:paraId="62BAAB14" w14:textId="5BDB8F0E" w:rsidR="00705260" w:rsidRPr="001D1A90" w:rsidRDefault="00705260" w:rsidP="00705260">
      <w:pPr>
        <w:pStyle w:val="FootnoteText"/>
        <w:tabs>
          <w:tab w:val="right" w:pos="1476"/>
          <w:tab w:val="left" w:pos="1548"/>
          <w:tab w:val="right" w:pos="1836"/>
          <w:tab w:val="left" w:pos="1908"/>
        </w:tabs>
        <w:ind w:left="1548" w:right="1267" w:hanging="288"/>
        <w:rPr>
          <w:rFonts w:eastAsia="Calibri"/>
          <w:lang w:val="fr-FR"/>
        </w:rPr>
      </w:pPr>
      <w:r w:rsidRPr="001D1A90">
        <w:rPr>
          <w:i/>
          <w:lang w:val="fr-FR"/>
        </w:rPr>
        <w:t>Source</w:t>
      </w:r>
      <w:r w:rsidR="00795C5F">
        <w:rPr>
          <w:lang w:val="fr-FR"/>
        </w:rPr>
        <w:t> :</w:t>
      </w:r>
      <w:r w:rsidRPr="001D1A90">
        <w:rPr>
          <w:lang w:val="fr-FR"/>
        </w:rPr>
        <w:t xml:space="preserve"> </w:t>
      </w:r>
      <w:r>
        <w:rPr>
          <w:lang w:val="fr-FR"/>
        </w:rPr>
        <w:t xml:space="preserve">Maître des requêtes et </w:t>
      </w:r>
      <w:r w:rsidR="00984399">
        <w:rPr>
          <w:lang w:val="fr-FR"/>
        </w:rPr>
        <w:t>G</w:t>
      </w:r>
      <w:r w:rsidRPr="001D1A90">
        <w:rPr>
          <w:lang w:val="fr-FR"/>
        </w:rPr>
        <w:t>reffier de la Cour suprême.</w:t>
      </w:r>
    </w:p>
    <w:p w14:paraId="63CA43CC" w14:textId="193435CD" w:rsidR="00705260" w:rsidRPr="00705260" w:rsidRDefault="00705260" w:rsidP="00705260">
      <w:pPr>
        <w:pStyle w:val="SingleTxt"/>
        <w:spacing w:after="0" w:line="120" w:lineRule="exact"/>
        <w:rPr>
          <w:sz w:val="10"/>
          <w:lang w:val="fr-FR"/>
        </w:rPr>
      </w:pPr>
    </w:p>
    <w:p w14:paraId="0300C2D5" w14:textId="4F3F122F" w:rsidR="00705260" w:rsidRPr="00705260" w:rsidRDefault="00705260" w:rsidP="00705260">
      <w:pPr>
        <w:pStyle w:val="SingleTxt"/>
        <w:spacing w:after="0" w:line="120" w:lineRule="exact"/>
        <w:rPr>
          <w:sz w:val="10"/>
          <w:lang w:val="fr-FR"/>
        </w:rPr>
      </w:pPr>
    </w:p>
    <w:p w14:paraId="44DAB480" w14:textId="110D26C8" w:rsidR="00705260" w:rsidRPr="00705260" w:rsidRDefault="00705260" w:rsidP="00705260">
      <w:pPr>
        <w:pStyle w:val="SingleTxt"/>
        <w:numPr>
          <w:ilvl w:val="0"/>
          <w:numId w:val="20"/>
        </w:numPr>
        <w:tabs>
          <w:tab w:val="num" w:pos="2804"/>
        </w:tabs>
        <w:spacing w:line="240" w:lineRule="exact"/>
        <w:ind w:left="1267"/>
        <w:rPr>
          <w:lang w:val="fr-FR"/>
        </w:rPr>
      </w:pPr>
      <w:r w:rsidRPr="00705260">
        <w:rPr>
          <w:lang w:val="fr-FR"/>
        </w:rPr>
        <w:t>Les châtiments corporels sont interdits dans tous les établissements scolaires, de l</w:t>
      </w:r>
      <w:r w:rsidR="00795C5F">
        <w:rPr>
          <w:lang w:val="fr-FR"/>
        </w:rPr>
        <w:t>’</w:t>
      </w:r>
      <w:r w:rsidRPr="00705260">
        <w:rPr>
          <w:lang w:val="fr-FR"/>
        </w:rPr>
        <w:t>école maternelle jusqu</w:t>
      </w:r>
      <w:r w:rsidR="00795C5F">
        <w:rPr>
          <w:lang w:val="fr-FR"/>
        </w:rPr>
        <w:t>’</w:t>
      </w:r>
      <w:r w:rsidRPr="00705260">
        <w:rPr>
          <w:lang w:val="fr-FR"/>
        </w:rPr>
        <w:t>au lycée, en vertu du paragraphe 4 de l</w:t>
      </w:r>
      <w:r w:rsidR="00795C5F">
        <w:rPr>
          <w:lang w:val="fr-FR"/>
        </w:rPr>
        <w:t>’</w:t>
      </w:r>
      <w:r w:rsidRPr="00705260">
        <w:rPr>
          <w:lang w:val="fr-FR"/>
        </w:rPr>
        <w:t>article 13 du règlement régissant l</w:t>
      </w:r>
      <w:r w:rsidR="00795C5F">
        <w:rPr>
          <w:lang w:val="fr-FR"/>
        </w:rPr>
        <w:t>’</w:t>
      </w:r>
      <w:r w:rsidRPr="00705260">
        <w:rPr>
          <w:lang w:val="fr-FR"/>
        </w:rPr>
        <w:t>éducation et du paragraphe 1 de l</w:t>
      </w:r>
      <w:r w:rsidR="00795C5F">
        <w:rPr>
          <w:lang w:val="fr-FR"/>
        </w:rPr>
        <w:t>’</w:t>
      </w:r>
      <w:r w:rsidRPr="00705260">
        <w:rPr>
          <w:lang w:val="fr-FR"/>
        </w:rPr>
        <w:t>article 13 de la loi relative à la protection des enfants. Cette loi érige en infraction «</w:t>
      </w:r>
      <w:r w:rsidR="002050E5">
        <w:rPr>
          <w:lang w:val="fr-FR"/>
        </w:rPr>
        <w:t> </w:t>
      </w:r>
      <w:r w:rsidRPr="00705260">
        <w:rPr>
          <w:lang w:val="fr-FR"/>
        </w:rPr>
        <w:t>le fait de maltraiter un enfant ou de l</w:t>
      </w:r>
      <w:r w:rsidR="00795C5F">
        <w:rPr>
          <w:lang w:val="fr-FR"/>
        </w:rPr>
        <w:t>’</w:t>
      </w:r>
      <w:r w:rsidRPr="00705260">
        <w:rPr>
          <w:lang w:val="fr-FR"/>
        </w:rPr>
        <w:t>exposer de quelque autre façon à un danger</w:t>
      </w:r>
      <w:r w:rsidR="002050E5">
        <w:rPr>
          <w:lang w:val="fr-FR"/>
        </w:rPr>
        <w:t> </w:t>
      </w:r>
      <w:r w:rsidRPr="00705260">
        <w:rPr>
          <w:lang w:val="fr-FR"/>
        </w:rPr>
        <w:t>», ce dernier terme couvrant tout danger d</w:t>
      </w:r>
      <w:r w:rsidR="00795C5F">
        <w:rPr>
          <w:lang w:val="fr-FR"/>
        </w:rPr>
        <w:t>’</w:t>
      </w:r>
      <w:r w:rsidRPr="00705260">
        <w:rPr>
          <w:lang w:val="fr-FR"/>
        </w:rPr>
        <w:t>ordre physique, sexuel, psychologique, affectif ou moral, la négligence, la maltraitan</w:t>
      </w:r>
      <w:r w:rsidR="00984399">
        <w:rPr>
          <w:lang w:val="fr-FR"/>
        </w:rPr>
        <w:t>c</w:t>
      </w:r>
      <w:r w:rsidRPr="00705260">
        <w:rPr>
          <w:lang w:val="fr-FR"/>
        </w:rPr>
        <w:t>e ainsi que toute atteinte à la santé ou au développement de l</w:t>
      </w:r>
      <w:r w:rsidR="00795C5F">
        <w:rPr>
          <w:lang w:val="fr-FR"/>
        </w:rPr>
        <w:t>’</w:t>
      </w:r>
      <w:r w:rsidRPr="00705260">
        <w:rPr>
          <w:lang w:val="fr-FR"/>
        </w:rPr>
        <w:t>enfant. Les actes d</w:t>
      </w:r>
      <w:r w:rsidR="00795C5F">
        <w:rPr>
          <w:lang w:val="fr-FR"/>
        </w:rPr>
        <w:t>’</w:t>
      </w:r>
      <w:r w:rsidRPr="00705260">
        <w:rPr>
          <w:lang w:val="fr-FR"/>
        </w:rPr>
        <w:t>«</w:t>
      </w:r>
      <w:r w:rsidR="006E1537">
        <w:rPr>
          <w:lang w:val="fr-FR"/>
        </w:rPr>
        <w:t> </w:t>
      </w:r>
      <w:r w:rsidRPr="00705260">
        <w:rPr>
          <w:lang w:val="fr-FR"/>
        </w:rPr>
        <w:t>agression</w:t>
      </w:r>
      <w:r w:rsidR="006E1537">
        <w:rPr>
          <w:lang w:val="fr-FR"/>
        </w:rPr>
        <w:t> </w:t>
      </w:r>
      <w:r w:rsidRPr="00705260">
        <w:rPr>
          <w:lang w:val="fr-FR"/>
        </w:rPr>
        <w:t>» sont réprimés par le paragraphe 1 de l</w:t>
      </w:r>
      <w:r w:rsidR="00795C5F">
        <w:rPr>
          <w:lang w:val="fr-FR"/>
        </w:rPr>
        <w:t>’</w:t>
      </w:r>
      <w:r w:rsidRPr="00705260">
        <w:rPr>
          <w:lang w:val="fr-FR"/>
        </w:rPr>
        <w:t>article 230 du Code pénal. Le projet de loi sur l</w:t>
      </w:r>
      <w:r w:rsidR="00795C5F">
        <w:rPr>
          <w:lang w:val="fr-FR"/>
        </w:rPr>
        <w:t>’</w:t>
      </w:r>
      <w:r w:rsidRPr="00705260">
        <w:rPr>
          <w:lang w:val="fr-FR"/>
        </w:rPr>
        <w:t>enfance envisage d</w:t>
      </w:r>
      <w:r w:rsidR="00795C5F">
        <w:rPr>
          <w:lang w:val="fr-FR"/>
        </w:rPr>
        <w:t>’</w:t>
      </w:r>
      <w:r w:rsidRPr="00705260">
        <w:rPr>
          <w:lang w:val="fr-FR"/>
        </w:rPr>
        <w:t xml:space="preserve">interdire totalement les châtiments corporels, quel que soit le cadre dans lequel ils seraient infligés. </w:t>
      </w:r>
    </w:p>
    <w:p w14:paraId="4C3F6621" w14:textId="350927A9" w:rsidR="00705260" w:rsidRDefault="00705260" w:rsidP="00705260">
      <w:pPr>
        <w:pStyle w:val="SingleTxt"/>
        <w:numPr>
          <w:ilvl w:val="0"/>
          <w:numId w:val="20"/>
        </w:numPr>
        <w:spacing w:line="240" w:lineRule="exact"/>
        <w:ind w:left="1267"/>
        <w:rPr>
          <w:lang w:val="fr-FR"/>
        </w:rPr>
      </w:pPr>
      <w:r w:rsidRPr="00705260">
        <w:rPr>
          <w:lang w:val="fr-FR"/>
        </w:rPr>
        <w:t>S</w:t>
      </w:r>
      <w:r w:rsidR="00795C5F">
        <w:rPr>
          <w:lang w:val="fr-FR"/>
        </w:rPr>
        <w:t>’</w:t>
      </w:r>
      <w:r w:rsidRPr="00705260">
        <w:rPr>
          <w:lang w:val="fr-FR"/>
        </w:rPr>
        <w:t>agissant du viol conjugal, la question de son éventuelle qualification en infraction est toujours à l</w:t>
      </w:r>
      <w:r w:rsidR="00795C5F">
        <w:rPr>
          <w:lang w:val="fr-FR"/>
        </w:rPr>
        <w:t>’</w:t>
      </w:r>
      <w:r w:rsidRPr="00705260">
        <w:rPr>
          <w:lang w:val="fr-FR"/>
        </w:rPr>
        <w:t>étude. Il est toutefois possible de poursuivre l</w:t>
      </w:r>
      <w:r w:rsidR="00795C5F">
        <w:rPr>
          <w:lang w:val="fr-FR"/>
        </w:rPr>
        <w:t>’</w:t>
      </w:r>
      <w:r w:rsidRPr="00705260">
        <w:rPr>
          <w:lang w:val="fr-FR"/>
        </w:rPr>
        <w:t>auteur de tels faits au titre de l</w:t>
      </w:r>
      <w:r w:rsidR="00795C5F">
        <w:rPr>
          <w:lang w:val="fr-FR"/>
        </w:rPr>
        <w:t>’</w:t>
      </w:r>
      <w:r w:rsidRPr="00705260">
        <w:rPr>
          <w:lang w:val="fr-FR"/>
        </w:rPr>
        <w:t xml:space="preserve">actuel article 249 du </w:t>
      </w:r>
      <w:r w:rsidR="00984399">
        <w:rPr>
          <w:lang w:val="fr-FR"/>
        </w:rPr>
        <w:t>C</w:t>
      </w:r>
      <w:r w:rsidRPr="00705260">
        <w:rPr>
          <w:lang w:val="fr-FR"/>
        </w:rPr>
        <w:t xml:space="preserve">ode pénal. En </w:t>
      </w:r>
      <w:r w:rsidR="00ED416A">
        <w:rPr>
          <w:lang w:val="fr-FR"/>
        </w:rPr>
        <w:t>outre, aux termes du paragraphe </w:t>
      </w:r>
      <w:r w:rsidRPr="00705260">
        <w:rPr>
          <w:lang w:val="fr-FR"/>
        </w:rPr>
        <w:t>2 de l</w:t>
      </w:r>
      <w:r w:rsidR="00795C5F">
        <w:rPr>
          <w:lang w:val="fr-FR"/>
        </w:rPr>
        <w:t>’</w:t>
      </w:r>
      <w:r w:rsidRPr="00705260">
        <w:rPr>
          <w:lang w:val="fr-FR"/>
        </w:rPr>
        <w:t>article 13 de la loi relative à la protection contre les violences familiales, celles-ci englobent le fait d</w:t>
      </w:r>
      <w:r w:rsidR="00795C5F">
        <w:rPr>
          <w:lang w:val="fr-FR"/>
        </w:rPr>
        <w:t>’</w:t>
      </w:r>
      <w:r w:rsidRPr="00705260">
        <w:rPr>
          <w:lang w:val="fr-FR"/>
        </w:rPr>
        <w:t>obliger le conjoint par la force ou la menace à avoir un comportement ou à accomplir un acte, à caractère sexuel ou autre, dont il est en droit de s</w:t>
      </w:r>
      <w:r w:rsidR="00795C5F">
        <w:rPr>
          <w:lang w:val="fr-FR"/>
        </w:rPr>
        <w:t>’</w:t>
      </w:r>
      <w:r w:rsidRPr="00705260">
        <w:rPr>
          <w:lang w:val="fr-FR"/>
        </w:rPr>
        <w:t>abstenir. La sodomie constitue une infraction au regard du paragraphe 1 de l</w:t>
      </w:r>
      <w:r w:rsidR="00795C5F">
        <w:rPr>
          <w:lang w:val="fr-FR"/>
        </w:rPr>
        <w:t>’</w:t>
      </w:r>
      <w:r w:rsidRPr="00705260">
        <w:rPr>
          <w:lang w:val="fr-FR"/>
        </w:rPr>
        <w:t xml:space="preserve">article 250 du </w:t>
      </w:r>
      <w:r w:rsidR="00984399">
        <w:rPr>
          <w:lang w:val="fr-FR"/>
        </w:rPr>
        <w:t>C</w:t>
      </w:r>
      <w:r w:rsidRPr="00705260">
        <w:rPr>
          <w:lang w:val="fr-FR"/>
        </w:rPr>
        <w:t>ode pénal.</w:t>
      </w:r>
    </w:p>
    <w:p w14:paraId="638692BA" w14:textId="516E038A" w:rsidR="00705260" w:rsidRPr="00046FCC" w:rsidRDefault="00705260" w:rsidP="00046FCC">
      <w:pPr>
        <w:pStyle w:val="SingleTxt"/>
        <w:spacing w:after="0" w:line="120" w:lineRule="exact"/>
        <w:rPr>
          <w:sz w:val="10"/>
          <w:lang w:val="fr-FR"/>
        </w:rPr>
      </w:pPr>
    </w:p>
    <w:p w14:paraId="048AAF76" w14:textId="77777777" w:rsidR="00046FCC" w:rsidRPr="00705260" w:rsidRDefault="00046FCC" w:rsidP="00705260">
      <w:pPr>
        <w:pStyle w:val="SingleTxt"/>
        <w:spacing w:after="0" w:line="120" w:lineRule="exact"/>
        <w:rPr>
          <w:sz w:val="10"/>
          <w:lang w:val="fr-FR"/>
        </w:rPr>
      </w:pPr>
    </w:p>
    <w:p w14:paraId="549EDA53" w14:textId="72E72278" w:rsidR="00705260" w:rsidRDefault="00705260" w:rsidP="00046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05260">
        <w:rPr>
          <w:lang w:val="fr-FR"/>
        </w:rPr>
        <w:t>Traite des êtres humains et exploitation de la prostitution</w:t>
      </w:r>
    </w:p>
    <w:p w14:paraId="282239A0" w14:textId="5779EBAD" w:rsidR="00705260" w:rsidRPr="00046FCC" w:rsidRDefault="00705260" w:rsidP="00046FCC">
      <w:pPr>
        <w:pStyle w:val="SingleTxt"/>
        <w:spacing w:after="0" w:line="120" w:lineRule="exact"/>
        <w:rPr>
          <w:sz w:val="10"/>
          <w:lang w:val="fr-FR"/>
        </w:rPr>
      </w:pPr>
    </w:p>
    <w:p w14:paraId="7B533352" w14:textId="77777777" w:rsidR="00046FCC" w:rsidRPr="00705260" w:rsidRDefault="00046FCC" w:rsidP="00705260">
      <w:pPr>
        <w:pStyle w:val="SingleTxt"/>
        <w:spacing w:after="0" w:line="120" w:lineRule="exact"/>
        <w:rPr>
          <w:sz w:val="10"/>
          <w:lang w:val="fr-FR"/>
        </w:rPr>
      </w:pPr>
    </w:p>
    <w:p w14:paraId="6D2A85F5" w14:textId="1903CA47" w:rsidR="00705260" w:rsidRPr="00705260" w:rsidRDefault="00705260" w:rsidP="00D05A66">
      <w:pPr>
        <w:pStyle w:val="SingleTxt"/>
        <w:numPr>
          <w:ilvl w:val="0"/>
          <w:numId w:val="20"/>
        </w:numPr>
        <w:spacing w:line="234" w:lineRule="exact"/>
        <w:ind w:left="1267"/>
        <w:rPr>
          <w:lang w:val="fr-FR"/>
        </w:rPr>
      </w:pPr>
      <w:r w:rsidRPr="00705260">
        <w:rPr>
          <w:lang w:val="fr-FR"/>
        </w:rPr>
        <w:t>À Maurice, la prostitution est strictement interdite et le tourisme sexuel illégal. La loi relative à la lutte contre la traite des personnes donne effet au Protocole additionnel à la Convention des Nations Unies contre la criminalité transnationale organisée visant à prévenir, réprimer et punir la traite des personnes, en particulier des femmes et des enfants, en vue plus particulièrement de prévenir et de combattre la traite des êtres humains et de protéger et d</w:t>
      </w:r>
      <w:r w:rsidR="00795C5F">
        <w:rPr>
          <w:lang w:val="fr-FR"/>
        </w:rPr>
        <w:t>’</w:t>
      </w:r>
      <w:r w:rsidRPr="00705260">
        <w:rPr>
          <w:lang w:val="fr-FR"/>
        </w:rPr>
        <w:t>assister les personnes qui en sont victimes. Cette loi érige en infraction le fait de se livrer à la traite d</w:t>
      </w:r>
      <w:r w:rsidR="00795C5F">
        <w:rPr>
          <w:lang w:val="fr-FR"/>
        </w:rPr>
        <w:t>’</w:t>
      </w:r>
      <w:r w:rsidRPr="00705260">
        <w:rPr>
          <w:lang w:val="fr-FR"/>
        </w:rPr>
        <w:t>autrui ou de permettre que quelqu</w:t>
      </w:r>
      <w:r w:rsidR="00795C5F">
        <w:rPr>
          <w:lang w:val="fr-FR"/>
        </w:rPr>
        <w:t>’</w:t>
      </w:r>
      <w:r w:rsidRPr="00705260">
        <w:rPr>
          <w:lang w:val="fr-FR"/>
        </w:rPr>
        <w:t>un en fasse l</w:t>
      </w:r>
      <w:r w:rsidR="00795C5F">
        <w:rPr>
          <w:lang w:val="fr-FR"/>
        </w:rPr>
        <w:t>’</w:t>
      </w:r>
      <w:r w:rsidRPr="00705260">
        <w:rPr>
          <w:lang w:val="fr-FR"/>
        </w:rPr>
        <w:t>objet, et dispose notamment que le consentement de la victime aux actes qualifiés de traite ne peut être invoqué comme moyen de défense. Elle réprime également le fait de louer ou de sous-louer délibérément une chambre, un logement, un bâtiment ou un établissement ou d</w:t>
      </w:r>
      <w:r w:rsidR="00795C5F">
        <w:rPr>
          <w:lang w:val="fr-FR"/>
        </w:rPr>
        <w:t>’</w:t>
      </w:r>
      <w:r w:rsidRPr="00705260">
        <w:rPr>
          <w:lang w:val="fr-FR"/>
        </w:rPr>
        <w:t>autoriser son utilisation pour y héberger une victime de la traite, ainsi que le fait de promouvoir, de publier, d</w:t>
      </w:r>
      <w:r w:rsidR="00795C5F">
        <w:rPr>
          <w:lang w:val="fr-FR"/>
        </w:rPr>
        <w:t>’</w:t>
      </w:r>
      <w:r w:rsidRPr="00705260">
        <w:rPr>
          <w:lang w:val="fr-FR"/>
        </w:rPr>
        <w:t>imprimer, de diffuser, de distribuer des informations ou d</w:t>
      </w:r>
      <w:r w:rsidR="00795C5F">
        <w:rPr>
          <w:lang w:val="fr-FR"/>
        </w:rPr>
        <w:t>’</w:t>
      </w:r>
      <w:r w:rsidRPr="00705260">
        <w:rPr>
          <w:lang w:val="fr-FR"/>
        </w:rPr>
        <w:t>être à l</w:t>
      </w:r>
      <w:r w:rsidR="00795C5F">
        <w:rPr>
          <w:lang w:val="fr-FR"/>
        </w:rPr>
        <w:t>’</w:t>
      </w:r>
      <w:r w:rsidRPr="00705260">
        <w:rPr>
          <w:lang w:val="fr-FR"/>
        </w:rPr>
        <w:t>origine de la promotion, de la publication, de l</w:t>
      </w:r>
      <w:r w:rsidR="00795C5F">
        <w:rPr>
          <w:lang w:val="fr-FR"/>
        </w:rPr>
        <w:t>’</w:t>
      </w:r>
      <w:r w:rsidRPr="00705260">
        <w:rPr>
          <w:lang w:val="fr-FR"/>
        </w:rPr>
        <w:t>impression, de la diffusion ou de la distribution d</w:t>
      </w:r>
      <w:r w:rsidR="00795C5F">
        <w:rPr>
          <w:lang w:val="fr-FR"/>
        </w:rPr>
        <w:t>’</w:t>
      </w:r>
      <w:r w:rsidRPr="00705260">
        <w:rPr>
          <w:lang w:val="fr-FR"/>
        </w:rPr>
        <w:t>informations incitant ou faisant allusion à la traite des personnes, y compris l</w:t>
      </w:r>
      <w:r w:rsidR="00795C5F">
        <w:rPr>
          <w:lang w:val="fr-FR"/>
        </w:rPr>
        <w:t>’</w:t>
      </w:r>
      <w:r w:rsidRPr="00705260">
        <w:rPr>
          <w:lang w:val="fr-FR"/>
        </w:rPr>
        <w:t>utilisation d</w:t>
      </w:r>
      <w:r w:rsidR="00795C5F">
        <w:rPr>
          <w:lang w:val="fr-FR"/>
        </w:rPr>
        <w:t>’</w:t>
      </w:r>
      <w:r w:rsidRPr="00705260">
        <w:rPr>
          <w:lang w:val="fr-FR"/>
        </w:rPr>
        <w:t>Internet ou d</w:t>
      </w:r>
      <w:r w:rsidR="00795C5F">
        <w:rPr>
          <w:lang w:val="fr-FR"/>
        </w:rPr>
        <w:t>’</w:t>
      </w:r>
      <w:r w:rsidRPr="00705260">
        <w:rPr>
          <w:lang w:val="fr-FR"/>
        </w:rPr>
        <w:t>une autre technologie de l</w:t>
      </w:r>
      <w:r w:rsidR="00795C5F">
        <w:rPr>
          <w:lang w:val="fr-FR"/>
        </w:rPr>
        <w:t>’</w:t>
      </w:r>
      <w:r w:rsidRPr="00705260">
        <w:rPr>
          <w:lang w:val="fr-FR"/>
        </w:rPr>
        <w:t>information à cette fin. Par ailleurs, elle prévoit, entre autres, le rapatriement et le retour des victimes de la traite à Maurice. En vertu de l</w:t>
      </w:r>
      <w:r w:rsidR="00795C5F">
        <w:rPr>
          <w:lang w:val="fr-FR"/>
        </w:rPr>
        <w:t>’</w:t>
      </w:r>
      <w:r w:rsidRPr="00705260">
        <w:rPr>
          <w:lang w:val="fr-FR"/>
        </w:rPr>
        <w:t xml:space="preserve">article 11 de ce texte, le tribunal peut aussi ordonner à la </w:t>
      </w:r>
      <w:r w:rsidRPr="00705260">
        <w:rPr>
          <w:lang w:val="fr-FR"/>
        </w:rPr>
        <w:lastRenderedPageBreak/>
        <w:t>personne reconnue coupable de verser une indemnisation adéquate à la victime pour a) dégradation, perte ou destruction de biens, y compris pécuniaires</w:t>
      </w:r>
      <w:r w:rsidR="00B65EDA">
        <w:rPr>
          <w:lang w:val="fr-FR"/>
        </w:rPr>
        <w:t> ;</w:t>
      </w:r>
      <w:r w:rsidRPr="00705260">
        <w:rPr>
          <w:lang w:val="fr-FR"/>
        </w:rPr>
        <w:t xml:space="preserve"> b) blessures physiques, psychologiques ou autres</w:t>
      </w:r>
      <w:r w:rsidR="00B65EDA">
        <w:rPr>
          <w:lang w:val="fr-FR"/>
        </w:rPr>
        <w:t> ;</w:t>
      </w:r>
      <w:r w:rsidRPr="00705260">
        <w:rPr>
          <w:lang w:val="fr-FR"/>
        </w:rPr>
        <w:t xml:space="preserve"> ou c) perte de revenus ou d</w:t>
      </w:r>
      <w:r w:rsidR="00795C5F">
        <w:rPr>
          <w:lang w:val="fr-FR"/>
        </w:rPr>
        <w:t>’</w:t>
      </w:r>
      <w:r w:rsidRPr="00705260">
        <w:rPr>
          <w:lang w:val="fr-FR"/>
        </w:rPr>
        <w:t>aides résultant de l</w:t>
      </w:r>
      <w:r w:rsidR="00795C5F">
        <w:rPr>
          <w:lang w:val="fr-FR"/>
        </w:rPr>
        <w:t>’</w:t>
      </w:r>
      <w:r w:rsidRPr="00705260">
        <w:rPr>
          <w:lang w:val="fr-FR"/>
        </w:rPr>
        <w:t>infraction commise. En outre, cette loi oblige quiconque soupçonne qu</w:t>
      </w:r>
      <w:r w:rsidR="00795C5F">
        <w:rPr>
          <w:lang w:val="fr-FR"/>
        </w:rPr>
        <w:t>’</w:t>
      </w:r>
      <w:r w:rsidRPr="00705260">
        <w:rPr>
          <w:lang w:val="fr-FR"/>
        </w:rPr>
        <w:t>une personne est victime de traite de le signaler à la police. L</w:t>
      </w:r>
      <w:r w:rsidR="00795C5F">
        <w:rPr>
          <w:lang w:val="fr-FR"/>
        </w:rPr>
        <w:t>’</w:t>
      </w:r>
      <w:r w:rsidRPr="00705260">
        <w:rPr>
          <w:lang w:val="fr-FR"/>
        </w:rPr>
        <w:t>identité de l</w:t>
      </w:r>
      <w:r w:rsidR="00795C5F">
        <w:rPr>
          <w:lang w:val="fr-FR"/>
        </w:rPr>
        <w:t>’</w:t>
      </w:r>
      <w:r w:rsidRPr="00705260">
        <w:rPr>
          <w:lang w:val="fr-FR"/>
        </w:rPr>
        <w:t>auteur du signalement ne doit pas être révélée, à moins qu</w:t>
      </w:r>
      <w:r w:rsidR="00795C5F">
        <w:rPr>
          <w:lang w:val="fr-FR"/>
        </w:rPr>
        <w:t>’</w:t>
      </w:r>
      <w:r w:rsidRPr="00705260">
        <w:rPr>
          <w:lang w:val="fr-FR"/>
        </w:rPr>
        <w:t>un juge siégeant en chambre n</w:t>
      </w:r>
      <w:r w:rsidR="00795C5F">
        <w:rPr>
          <w:lang w:val="fr-FR"/>
        </w:rPr>
        <w:t>’</w:t>
      </w:r>
      <w:r w:rsidRPr="00705260">
        <w:rPr>
          <w:lang w:val="fr-FR"/>
        </w:rPr>
        <w:t>en dispose autrement. D</w:t>
      </w:r>
      <w:r w:rsidR="00795C5F">
        <w:rPr>
          <w:lang w:val="fr-FR"/>
        </w:rPr>
        <w:t>’</w:t>
      </w:r>
      <w:r w:rsidRPr="00705260">
        <w:rPr>
          <w:lang w:val="fr-FR"/>
        </w:rPr>
        <w:t>autre part, la loi prévoit la création de centres d</w:t>
      </w:r>
      <w:r w:rsidR="00795C5F">
        <w:rPr>
          <w:lang w:val="fr-FR"/>
        </w:rPr>
        <w:t>’</w:t>
      </w:r>
      <w:r w:rsidRPr="00705260">
        <w:rPr>
          <w:lang w:val="fr-FR"/>
        </w:rPr>
        <w:t>accueil pour les victimes de traite des êtres humains, destinés à leur offrir une solution d</w:t>
      </w:r>
      <w:r w:rsidR="00795C5F">
        <w:rPr>
          <w:lang w:val="fr-FR"/>
        </w:rPr>
        <w:t>’</w:t>
      </w:r>
      <w:r w:rsidRPr="00705260">
        <w:rPr>
          <w:lang w:val="fr-FR"/>
        </w:rPr>
        <w:t>hébergement temporaire adaptée à leurs besoins. Tous les dossiers de cette nature sont soumis au Département central d</w:t>
      </w:r>
      <w:r w:rsidR="00795C5F">
        <w:rPr>
          <w:lang w:val="fr-FR"/>
        </w:rPr>
        <w:t>’</w:t>
      </w:r>
      <w:r w:rsidRPr="00705260">
        <w:rPr>
          <w:lang w:val="fr-FR"/>
        </w:rPr>
        <w:t>enquête criminelle</w:t>
      </w:r>
      <w:r w:rsidR="00795C5F">
        <w:rPr>
          <w:lang w:val="fr-FR"/>
        </w:rPr>
        <w:t> ;</w:t>
      </w:r>
      <w:r w:rsidRPr="00705260">
        <w:rPr>
          <w:lang w:val="fr-FR"/>
        </w:rPr>
        <w:t xml:space="preserve"> la police est chargée d</w:t>
      </w:r>
      <w:r w:rsidR="00795C5F">
        <w:rPr>
          <w:lang w:val="fr-FR"/>
        </w:rPr>
        <w:t>’</w:t>
      </w:r>
      <w:r w:rsidRPr="00705260">
        <w:rPr>
          <w:lang w:val="fr-FR"/>
        </w:rPr>
        <w:t>enquêter sur les affaires de traite d</w:t>
      </w:r>
      <w:r w:rsidR="00795C5F">
        <w:rPr>
          <w:lang w:val="fr-FR"/>
        </w:rPr>
        <w:t>’</w:t>
      </w:r>
      <w:r w:rsidRPr="00705260">
        <w:rPr>
          <w:lang w:val="fr-FR"/>
        </w:rPr>
        <w:t>êtres humains et la Brigade pour la protection des mineurs sur les affaires de traite d</w:t>
      </w:r>
      <w:r w:rsidR="00795C5F">
        <w:rPr>
          <w:lang w:val="fr-FR"/>
        </w:rPr>
        <w:t>’</w:t>
      </w:r>
      <w:r w:rsidRPr="00705260">
        <w:rPr>
          <w:lang w:val="fr-FR"/>
        </w:rPr>
        <w:t>enfants.</w:t>
      </w:r>
    </w:p>
    <w:p w14:paraId="1361F6C0" w14:textId="126E9D06" w:rsidR="00705260" w:rsidRPr="00705260" w:rsidRDefault="00705260" w:rsidP="00D05A66">
      <w:pPr>
        <w:pStyle w:val="SingleTxt"/>
        <w:numPr>
          <w:ilvl w:val="0"/>
          <w:numId w:val="20"/>
        </w:numPr>
        <w:spacing w:line="234" w:lineRule="exact"/>
        <w:ind w:left="1267"/>
        <w:rPr>
          <w:lang w:val="fr-FR"/>
        </w:rPr>
      </w:pPr>
      <w:r w:rsidRPr="00705260">
        <w:rPr>
          <w:lang w:val="fr-FR"/>
        </w:rPr>
        <w:t xml:space="preserve">Un </w:t>
      </w:r>
      <w:r w:rsidR="00984399">
        <w:rPr>
          <w:lang w:val="fr-FR"/>
        </w:rPr>
        <w:t>c</w:t>
      </w:r>
      <w:r w:rsidRPr="00705260">
        <w:rPr>
          <w:lang w:val="fr-FR"/>
        </w:rPr>
        <w:t>omité interministériel a été chargé, en décembre 2015, d</w:t>
      </w:r>
      <w:r w:rsidR="00795C5F">
        <w:rPr>
          <w:lang w:val="fr-FR"/>
        </w:rPr>
        <w:t>’</w:t>
      </w:r>
      <w:r w:rsidRPr="00705260">
        <w:rPr>
          <w:lang w:val="fr-FR"/>
        </w:rPr>
        <w:t>examiner la question de la traite des personnes à Maurice. Les parties prenantes ont été invitées à communiquer leurs points de vue et à soumettre leurs propositions au Bureau du Procureur général. Ce dernier a élaboré un projet de plan national de lutte contre la traite des êtres humains, qui a été distribué à la deuxième réunion du Comité interministériel, le 14 mars 2016. Le Ministère de la défense et de Rodrigues a également été saisi du problème. En outre, un sous-comité présidé par le Secrétaire permanent du Ministère de la défense et de Rodrigues a été créé, et des consultations sont en cours avec les acteurs concernés.</w:t>
      </w:r>
    </w:p>
    <w:p w14:paraId="3043E936" w14:textId="38780540" w:rsidR="00705260" w:rsidRPr="00705260" w:rsidRDefault="00705260" w:rsidP="00D05A66">
      <w:pPr>
        <w:pStyle w:val="SingleTxt"/>
        <w:numPr>
          <w:ilvl w:val="0"/>
          <w:numId w:val="20"/>
        </w:numPr>
        <w:spacing w:line="234" w:lineRule="exact"/>
        <w:ind w:left="1267"/>
        <w:rPr>
          <w:lang w:val="fr-FR"/>
        </w:rPr>
      </w:pPr>
      <w:r w:rsidRPr="00705260">
        <w:rPr>
          <w:lang w:val="fr-FR"/>
        </w:rPr>
        <w:t>Le Bureau du Procureur général a participé aux diverses réunions du Comité interministériel tenues depuis décembre 2015, qui ont débouché sur les mesures ci</w:t>
      </w:r>
      <w:r w:rsidR="00B65EDA">
        <w:rPr>
          <w:lang w:val="fr-FR"/>
        </w:rPr>
        <w:noBreakHyphen/>
      </w:r>
      <w:r w:rsidRPr="00705260">
        <w:rPr>
          <w:lang w:val="fr-FR"/>
        </w:rPr>
        <w:t>après</w:t>
      </w:r>
      <w:r w:rsidR="00795C5F">
        <w:rPr>
          <w:lang w:val="fr-FR"/>
        </w:rPr>
        <w:t> :</w:t>
      </w:r>
    </w:p>
    <w:p w14:paraId="38567EB4" w14:textId="0239E583" w:rsidR="00705260" w:rsidRPr="00705260" w:rsidRDefault="00705260" w:rsidP="00D05A66">
      <w:pPr>
        <w:pStyle w:val="SingleTxt"/>
        <w:tabs>
          <w:tab w:val="right" w:pos="1685"/>
        </w:tabs>
        <w:spacing w:line="234" w:lineRule="exact"/>
        <w:ind w:left="1742" w:hanging="475"/>
        <w:rPr>
          <w:lang w:val="fr-FR"/>
        </w:rPr>
      </w:pPr>
      <w:r>
        <w:rPr>
          <w:lang w:val="fr-FR"/>
        </w:rPr>
        <w:tab/>
      </w:r>
      <w:r w:rsidRPr="00705260">
        <w:rPr>
          <w:lang w:val="fr-FR"/>
        </w:rPr>
        <w:t>•</w:t>
      </w:r>
      <w:r w:rsidRPr="00705260">
        <w:rPr>
          <w:lang w:val="fr-FR"/>
        </w:rPr>
        <w:tab/>
        <w:t>En collaboration avec l</w:t>
      </w:r>
      <w:r w:rsidR="00795C5F">
        <w:rPr>
          <w:lang w:val="fr-FR"/>
        </w:rPr>
        <w:t>’</w:t>
      </w:r>
      <w:r w:rsidRPr="00705260">
        <w:rPr>
          <w:lang w:val="fr-FR"/>
        </w:rPr>
        <w:t>ambassade des États-Unis et l</w:t>
      </w:r>
      <w:r w:rsidR="00795C5F">
        <w:rPr>
          <w:lang w:val="fr-FR"/>
        </w:rPr>
        <w:t>’</w:t>
      </w:r>
      <w:r w:rsidRPr="00705260">
        <w:rPr>
          <w:lang w:val="fr-FR"/>
        </w:rPr>
        <w:t>Organisation internationale pour les migrations, le Bureau du Procureur général a mis sur pied, en janvier 2016, une formation à l</w:t>
      </w:r>
      <w:r w:rsidR="00795C5F">
        <w:rPr>
          <w:lang w:val="fr-FR"/>
        </w:rPr>
        <w:t>’</w:t>
      </w:r>
      <w:r w:rsidRPr="00705260">
        <w:rPr>
          <w:lang w:val="fr-FR"/>
        </w:rPr>
        <w:t>instruction des affaires de traite d</w:t>
      </w:r>
      <w:r w:rsidR="00795C5F">
        <w:rPr>
          <w:lang w:val="fr-FR"/>
        </w:rPr>
        <w:t>’</w:t>
      </w:r>
      <w:r w:rsidRPr="00705260">
        <w:rPr>
          <w:lang w:val="fr-FR"/>
        </w:rPr>
        <w:t>êtres humains et à la poursuite de leurs auteurs, destinée à diverses parties prenantes</w:t>
      </w:r>
      <w:r w:rsidR="00795C5F">
        <w:rPr>
          <w:lang w:val="fr-FR"/>
        </w:rPr>
        <w:t> ;</w:t>
      </w:r>
    </w:p>
    <w:p w14:paraId="6947A12B" w14:textId="44BEE4E3" w:rsidR="00705260" w:rsidRPr="00705260" w:rsidRDefault="00705260" w:rsidP="00D05A66">
      <w:pPr>
        <w:pStyle w:val="SingleTxt"/>
        <w:tabs>
          <w:tab w:val="right" w:pos="1685"/>
        </w:tabs>
        <w:spacing w:line="234" w:lineRule="exact"/>
        <w:ind w:left="1742" w:hanging="475"/>
        <w:rPr>
          <w:lang w:val="fr-FR"/>
        </w:rPr>
      </w:pPr>
      <w:r>
        <w:rPr>
          <w:lang w:val="fr-FR"/>
        </w:rPr>
        <w:tab/>
      </w:r>
      <w:r w:rsidRPr="00705260">
        <w:rPr>
          <w:lang w:val="fr-FR"/>
        </w:rPr>
        <w:t>•</w:t>
      </w:r>
      <w:r w:rsidRPr="00705260">
        <w:rPr>
          <w:lang w:val="fr-FR"/>
        </w:rPr>
        <w:tab/>
        <w:t>Une deuxième formation, dispensée par deux procureurs du Bureau du Procureur général, s</w:t>
      </w:r>
      <w:r w:rsidR="00795C5F">
        <w:rPr>
          <w:lang w:val="fr-FR"/>
        </w:rPr>
        <w:t>’</w:t>
      </w:r>
      <w:r w:rsidRPr="00705260">
        <w:rPr>
          <w:lang w:val="fr-FR"/>
        </w:rPr>
        <w:t>est déroulée le 23 janvier 2016, à l</w:t>
      </w:r>
      <w:r w:rsidR="00795C5F">
        <w:rPr>
          <w:lang w:val="fr-FR"/>
        </w:rPr>
        <w:t>’</w:t>
      </w:r>
      <w:r w:rsidRPr="00705260">
        <w:rPr>
          <w:lang w:val="fr-FR"/>
        </w:rPr>
        <w:t xml:space="preserve">intention des hauts responsables du </w:t>
      </w:r>
      <w:r w:rsidR="00984399">
        <w:rPr>
          <w:lang w:val="fr-FR"/>
        </w:rPr>
        <w:t>D</w:t>
      </w:r>
      <w:r w:rsidRPr="00705260">
        <w:rPr>
          <w:lang w:val="fr-FR"/>
        </w:rPr>
        <w:t>épartement de la police</w:t>
      </w:r>
      <w:r w:rsidR="00795C5F">
        <w:rPr>
          <w:lang w:val="fr-FR"/>
        </w:rPr>
        <w:t> ;</w:t>
      </w:r>
    </w:p>
    <w:p w14:paraId="7BFEF065" w14:textId="742E4D2B" w:rsidR="00705260" w:rsidRPr="00705260" w:rsidRDefault="00705260" w:rsidP="00D05A66">
      <w:pPr>
        <w:pStyle w:val="SingleTxt"/>
        <w:tabs>
          <w:tab w:val="right" w:pos="1685"/>
        </w:tabs>
        <w:spacing w:line="234" w:lineRule="exact"/>
        <w:ind w:left="1742" w:hanging="475"/>
        <w:rPr>
          <w:lang w:val="fr-FR"/>
        </w:rPr>
      </w:pPr>
      <w:r>
        <w:rPr>
          <w:lang w:val="fr-FR"/>
        </w:rPr>
        <w:tab/>
      </w:r>
      <w:r w:rsidRPr="00705260">
        <w:rPr>
          <w:lang w:val="fr-FR"/>
        </w:rPr>
        <w:t>•</w:t>
      </w:r>
      <w:r w:rsidRPr="00705260">
        <w:rPr>
          <w:lang w:val="fr-FR"/>
        </w:rPr>
        <w:tab/>
        <w:t xml:space="preserve">En décembre 2016, le Bureau du Procureur général a organisé une session de travail avec des représentants de la police. Environ </w:t>
      </w:r>
      <w:r w:rsidR="004A7354">
        <w:rPr>
          <w:lang w:val="fr-FR"/>
        </w:rPr>
        <w:t>10</w:t>
      </w:r>
      <w:r w:rsidRPr="00705260">
        <w:rPr>
          <w:lang w:val="fr-FR"/>
        </w:rPr>
        <w:t xml:space="preserve"> cas de violation de la loi de 2009 relative à la lutte contre la traite des personnes étaient en cours d</w:t>
      </w:r>
      <w:r w:rsidR="00795C5F">
        <w:rPr>
          <w:lang w:val="fr-FR"/>
        </w:rPr>
        <w:t>’</w:t>
      </w:r>
      <w:r w:rsidRPr="00705260">
        <w:rPr>
          <w:lang w:val="fr-FR"/>
        </w:rPr>
        <w:t>instruction.</w:t>
      </w:r>
    </w:p>
    <w:p w14:paraId="6A80679B" w14:textId="77777777" w:rsidR="00705260" w:rsidRPr="00705260" w:rsidRDefault="00705260" w:rsidP="00705260">
      <w:pPr>
        <w:pStyle w:val="SingleTxt"/>
        <w:spacing w:after="0" w:line="120" w:lineRule="exact"/>
        <w:rPr>
          <w:sz w:val="10"/>
          <w:lang w:val="fr-FR"/>
        </w:rPr>
      </w:pPr>
    </w:p>
    <w:p w14:paraId="364086E2" w14:textId="2F53691A" w:rsidR="00705260" w:rsidRDefault="00705260" w:rsidP="00705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5260">
        <w:rPr>
          <w:lang w:val="fr-FR"/>
        </w:rPr>
        <w:tab/>
      </w:r>
      <w:r w:rsidRPr="00705260">
        <w:rPr>
          <w:lang w:val="fr-FR"/>
        </w:rPr>
        <w:tab/>
        <w:t>Affaires de traite d</w:t>
      </w:r>
      <w:r w:rsidR="00795C5F">
        <w:rPr>
          <w:lang w:val="fr-FR"/>
        </w:rPr>
        <w:t>’</w:t>
      </w:r>
      <w:r w:rsidRPr="00705260">
        <w:rPr>
          <w:lang w:val="fr-FR"/>
        </w:rPr>
        <w:t xml:space="preserve">êtres humains enregistrées entre 2009 et 2017 </w:t>
      </w:r>
      <w:r>
        <w:rPr>
          <w:lang w:val="fr-FR"/>
        </w:rPr>
        <w:t>–</w:t>
      </w:r>
      <w:r w:rsidRPr="00705260">
        <w:rPr>
          <w:lang w:val="fr-FR"/>
        </w:rPr>
        <w:t xml:space="preserve"> Maurice</w:t>
      </w:r>
    </w:p>
    <w:p w14:paraId="19BEDB6A" w14:textId="7A5F8C98" w:rsidR="00705260" w:rsidRPr="00705260" w:rsidRDefault="00705260" w:rsidP="00705260">
      <w:pPr>
        <w:pStyle w:val="SingleTxt"/>
        <w:spacing w:after="0" w:line="120" w:lineRule="exact"/>
        <w:rPr>
          <w:sz w:val="10"/>
          <w:lang w:val="fr-FR"/>
        </w:rPr>
      </w:pPr>
    </w:p>
    <w:p w14:paraId="3EA19B08" w14:textId="6BA3FB09" w:rsidR="00705260" w:rsidRPr="00705260" w:rsidRDefault="00705260" w:rsidP="00705260">
      <w:pPr>
        <w:pStyle w:val="SingleTxt"/>
        <w:spacing w:after="0" w:line="120" w:lineRule="exact"/>
        <w:rPr>
          <w:sz w:val="10"/>
          <w:lang w:val="fr-FR"/>
        </w:rPr>
      </w:pPr>
    </w:p>
    <w:tbl>
      <w:tblPr>
        <w:tblW w:w="8421" w:type="dxa"/>
        <w:tblInd w:w="1278" w:type="dxa"/>
        <w:tblLayout w:type="fixed"/>
        <w:tblCellMar>
          <w:left w:w="0" w:type="dxa"/>
          <w:right w:w="0" w:type="dxa"/>
        </w:tblCellMar>
        <w:tblLook w:val="04A0" w:firstRow="1" w:lastRow="0" w:firstColumn="1" w:lastColumn="0" w:noHBand="0" w:noVBand="1"/>
      </w:tblPr>
      <w:tblGrid>
        <w:gridCol w:w="2052"/>
        <w:gridCol w:w="677"/>
        <w:gridCol w:w="711"/>
        <w:gridCol w:w="712"/>
        <w:gridCol w:w="711"/>
        <w:gridCol w:w="712"/>
        <w:gridCol w:w="711"/>
        <w:gridCol w:w="712"/>
        <w:gridCol w:w="711"/>
        <w:gridCol w:w="712"/>
      </w:tblGrid>
      <w:tr w:rsidR="00705260" w:rsidRPr="00705260" w14:paraId="23600A3B" w14:textId="77777777" w:rsidTr="00D05A66">
        <w:trPr>
          <w:cantSplit/>
          <w:trHeight w:val="369"/>
          <w:tblHeader/>
        </w:trPr>
        <w:tc>
          <w:tcPr>
            <w:tcW w:w="2052" w:type="dxa"/>
            <w:tcBorders>
              <w:top w:val="single" w:sz="4" w:space="0" w:color="auto"/>
              <w:bottom w:val="single" w:sz="12" w:space="0" w:color="auto"/>
            </w:tcBorders>
            <w:shd w:val="clear" w:color="auto" w:fill="auto"/>
            <w:vAlign w:val="bottom"/>
          </w:tcPr>
          <w:p w14:paraId="64E8D1C3" w14:textId="77777777" w:rsidR="00705260" w:rsidRPr="00705260" w:rsidRDefault="00705260" w:rsidP="00545975">
            <w:pPr>
              <w:suppressAutoHyphens/>
              <w:spacing w:before="81" w:after="81" w:line="160" w:lineRule="exact"/>
              <w:ind w:right="40"/>
              <w:rPr>
                <w:i/>
                <w:sz w:val="14"/>
              </w:rPr>
            </w:pPr>
          </w:p>
        </w:tc>
        <w:tc>
          <w:tcPr>
            <w:tcW w:w="67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2C40273" w14:textId="77777777" w:rsidR="00705260" w:rsidRPr="00705260" w:rsidRDefault="00705260" w:rsidP="00545975">
            <w:pPr>
              <w:suppressAutoHyphens/>
              <w:spacing w:before="81" w:after="81" w:line="160" w:lineRule="exact"/>
              <w:ind w:left="-99" w:right="-75"/>
              <w:jc w:val="right"/>
              <w:rPr>
                <w:i/>
                <w:sz w:val="14"/>
              </w:rPr>
            </w:pPr>
            <w:r w:rsidRPr="00705260">
              <w:rPr>
                <w:i/>
                <w:sz w:val="14"/>
              </w:rPr>
              <w:t>2009</w:t>
            </w:r>
          </w:p>
        </w:tc>
        <w:tc>
          <w:tcPr>
            <w:tcW w:w="71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49EE319"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2010</w:t>
            </w:r>
          </w:p>
        </w:tc>
        <w:tc>
          <w:tcPr>
            <w:tcW w:w="71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E7B1073"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2011</w:t>
            </w:r>
          </w:p>
        </w:tc>
        <w:tc>
          <w:tcPr>
            <w:tcW w:w="71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7232C180"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2012</w:t>
            </w:r>
          </w:p>
        </w:tc>
        <w:tc>
          <w:tcPr>
            <w:tcW w:w="712"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20362E68"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2013</w:t>
            </w:r>
          </w:p>
        </w:tc>
        <w:tc>
          <w:tcPr>
            <w:tcW w:w="71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599F1CA1"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2014</w:t>
            </w:r>
          </w:p>
        </w:tc>
        <w:tc>
          <w:tcPr>
            <w:tcW w:w="71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81A25F4"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2015</w:t>
            </w:r>
          </w:p>
        </w:tc>
        <w:tc>
          <w:tcPr>
            <w:tcW w:w="71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E2ED6D6"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2016</w:t>
            </w:r>
          </w:p>
        </w:tc>
        <w:tc>
          <w:tcPr>
            <w:tcW w:w="71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5F4975F" w14:textId="77777777" w:rsidR="00705260" w:rsidRPr="00705260" w:rsidRDefault="00705260" w:rsidP="00545975">
            <w:pPr>
              <w:suppressAutoHyphens/>
              <w:spacing w:before="81" w:after="81" w:line="160" w:lineRule="exact"/>
              <w:ind w:left="-99" w:right="-75"/>
              <w:jc w:val="right"/>
              <w:rPr>
                <w:i/>
                <w:sz w:val="14"/>
              </w:rPr>
            </w:pPr>
            <w:r w:rsidRPr="00705260">
              <w:rPr>
                <w:i/>
                <w:sz w:val="14"/>
              </w:rPr>
              <w:t>2017</w:t>
            </w:r>
          </w:p>
        </w:tc>
      </w:tr>
      <w:tr w:rsidR="00705260" w:rsidRPr="00705260" w14:paraId="34FC59FF" w14:textId="77777777" w:rsidTr="00D05A66">
        <w:trPr>
          <w:cantSplit/>
          <w:trHeight w:hRule="exact" w:val="115"/>
          <w:tblHeader/>
        </w:trPr>
        <w:tc>
          <w:tcPr>
            <w:tcW w:w="2052" w:type="dxa"/>
            <w:tcBorders>
              <w:top w:val="single" w:sz="12" w:space="0" w:color="auto"/>
            </w:tcBorders>
            <w:shd w:val="clear" w:color="auto" w:fill="auto"/>
            <w:vAlign w:val="bottom"/>
          </w:tcPr>
          <w:p w14:paraId="220D6BA9" w14:textId="77777777" w:rsidR="00705260" w:rsidRPr="00705260" w:rsidRDefault="00705260" w:rsidP="00705260">
            <w:pPr>
              <w:suppressAutoHyphens/>
              <w:spacing w:before="40" w:after="80"/>
              <w:ind w:right="40"/>
            </w:pPr>
          </w:p>
        </w:tc>
        <w:tc>
          <w:tcPr>
            <w:tcW w:w="677" w:type="dxa"/>
            <w:tcBorders>
              <w:top w:val="single" w:sz="12" w:space="0" w:color="auto"/>
            </w:tcBorders>
            <w:shd w:val="clear" w:color="auto" w:fill="auto"/>
            <w:tcMar>
              <w:top w:w="0" w:type="dxa"/>
              <w:left w:w="108" w:type="dxa"/>
              <w:bottom w:w="0" w:type="dxa"/>
              <w:right w:w="108" w:type="dxa"/>
            </w:tcMar>
            <w:vAlign w:val="bottom"/>
          </w:tcPr>
          <w:p w14:paraId="77E8050A" w14:textId="77777777" w:rsidR="00705260" w:rsidRPr="00705260" w:rsidRDefault="00705260" w:rsidP="00D05A66">
            <w:pPr>
              <w:suppressAutoHyphens/>
              <w:spacing w:before="40" w:after="80"/>
              <w:ind w:left="-99" w:right="-75"/>
              <w:jc w:val="right"/>
            </w:pPr>
          </w:p>
        </w:tc>
        <w:tc>
          <w:tcPr>
            <w:tcW w:w="711" w:type="dxa"/>
            <w:tcBorders>
              <w:top w:val="single" w:sz="12" w:space="0" w:color="auto"/>
            </w:tcBorders>
            <w:shd w:val="clear" w:color="auto" w:fill="auto"/>
            <w:tcMar>
              <w:top w:w="0" w:type="dxa"/>
              <w:left w:w="108" w:type="dxa"/>
              <w:bottom w:w="0" w:type="dxa"/>
              <w:right w:w="108" w:type="dxa"/>
            </w:tcMar>
            <w:vAlign w:val="bottom"/>
          </w:tcPr>
          <w:p w14:paraId="1B1637E3" w14:textId="77777777" w:rsidR="00705260" w:rsidRPr="00705260" w:rsidRDefault="00705260" w:rsidP="00D05A66">
            <w:pPr>
              <w:suppressAutoHyphens/>
              <w:spacing w:before="40" w:after="80"/>
              <w:ind w:left="-99" w:right="-75"/>
              <w:jc w:val="right"/>
            </w:pPr>
          </w:p>
        </w:tc>
        <w:tc>
          <w:tcPr>
            <w:tcW w:w="712" w:type="dxa"/>
            <w:tcBorders>
              <w:top w:val="single" w:sz="12" w:space="0" w:color="auto"/>
            </w:tcBorders>
            <w:shd w:val="clear" w:color="auto" w:fill="auto"/>
            <w:tcMar>
              <w:top w:w="0" w:type="dxa"/>
              <w:left w:w="108" w:type="dxa"/>
              <w:bottom w:w="0" w:type="dxa"/>
              <w:right w:w="108" w:type="dxa"/>
            </w:tcMar>
            <w:vAlign w:val="bottom"/>
          </w:tcPr>
          <w:p w14:paraId="3E6ABEA1" w14:textId="77777777" w:rsidR="00705260" w:rsidRPr="00705260" w:rsidRDefault="00705260" w:rsidP="00D05A66">
            <w:pPr>
              <w:suppressAutoHyphens/>
              <w:spacing w:before="40" w:after="80"/>
              <w:ind w:left="-99" w:right="-75"/>
              <w:jc w:val="right"/>
            </w:pPr>
          </w:p>
        </w:tc>
        <w:tc>
          <w:tcPr>
            <w:tcW w:w="711" w:type="dxa"/>
            <w:tcBorders>
              <w:top w:val="single" w:sz="12" w:space="0" w:color="auto"/>
            </w:tcBorders>
            <w:shd w:val="clear" w:color="auto" w:fill="auto"/>
            <w:tcMar>
              <w:top w:w="0" w:type="dxa"/>
              <w:left w:w="108" w:type="dxa"/>
              <w:bottom w:w="0" w:type="dxa"/>
              <w:right w:w="108" w:type="dxa"/>
            </w:tcMar>
            <w:vAlign w:val="bottom"/>
          </w:tcPr>
          <w:p w14:paraId="2020050D" w14:textId="77777777" w:rsidR="00705260" w:rsidRPr="00705260" w:rsidRDefault="00705260" w:rsidP="00D05A66">
            <w:pPr>
              <w:suppressAutoHyphens/>
              <w:spacing w:before="40" w:after="80"/>
              <w:ind w:left="-99" w:right="-75"/>
              <w:jc w:val="right"/>
            </w:pPr>
          </w:p>
        </w:tc>
        <w:tc>
          <w:tcPr>
            <w:tcW w:w="712" w:type="dxa"/>
            <w:tcBorders>
              <w:top w:val="single" w:sz="12" w:space="0" w:color="auto"/>
            </w:tcBorders>
            <w:shd w:val="clear" w:color="auto" w:fill="auto"/>
            <w:tcMar>
              <w:top w:w="0" w:type="dxa"/>
              <w:left w:w="108" w:type="dxa"/>
              <w:bottom w:w="0" w:type="dxa"/>
              <w:right w:w="108" w:type="dxa"/>
            </w:tcMar>
            <w:vAlign w:val="bottom"/>
          </w:tcPr>
          <w:p w14:paraId="076E800B" w14:textId="77777777" w:rsidR="00705260" w:rsidRPr="00705260" w:rsidRDefault="00705260" w:rsidP="00D05A66">
            <w:pPr>
              <w:suppressAutoHyphens/>
              <w:spacing w:before="40" w:after="80"/>
              <w:ind w:left="-99" w:right="-75"/>
              <w:jc w:val="right"/>
            </w:pPr>
          </w:p>
        </w:tc>
        <w:tc>
          <w:tcPr>
            <w:tcW w:w="711" w:type="dxa"/>
            <w:tcBorders>
              <w:top w:val="single" w:sz="12" w:space="0" w:color="auto"/>
            </w:tcBorders>
            <w:shd w:val="clear" w:color="auto" w:fill="auto"/>
            <w:tcMar>
              <w:top w:w="0" w:type="dxa"/>
              <w:left w:w="108" w:type="dxa"/>
              <w:bottom w:w="0" w:type="dxa"/>
              <w:right w:w="108" w:type="dxa"/>
            </w:tcMar>
            <w:vAlign w:val="bottom"/>
          </w:tcPr>
          <w:p w14:paraId="3532E1F1" w14:textId="77777777" w:rsidR="00705260" w:rsidRPr="00705260" w:rsidRDefault="00705260" w:rsidP="00D05A66">
            <w:pPr>
              <w:suppressAutoHyphens/>
              <w:spacing w:before="40" w:after="80"/>
              <w:ind w:left="-99" w:right="-75"/>
              <w:jc w:val="right"/>
            </w:pPr>
          </w:p>
        </w:tc>
        <w:tc>
          <w:tcPr>
            <w:tcW w:w="712" w:type="dxa"/>
            <w:tcBorders>
              <w:top w:val="single" w:sz="12" w:space="0" w:color="auto"/>
            </w:tcBorders>
            <w:shd w:val="clear" w:color="auto" w:fill="auto"/>
            <w:tcMar>
              <w:top w:w="0" w:type="dxa"/>
              <w:left w:w="108" w:type="dxa"/>
              <w:bottom w:w="0" w:type="dxa"/>
              <w:right w:w="108" w:type="dxa"/>
            </w:tcMar>
            <w:vAlign w:val="bottom"/>
          </w:tcPr>
          <w:p w14:paraId="7C129A03" w14:textId="77777777" w:rsidR="00705260" w:rsidRPr="00705260" w:rsidRDefault="00705260" w:rsidP="00D05A66">
            <w:pPr>
              <w:suppressAutoHyphens/>
              <w:spacing w:before="40" w:after="80"/>
              <w:ind w:left="-99" w:right="-75"/>
              <w:jc w:val="right"/>
            </w:pPr>
          </w:p>
        </w:tc>
        <w:tc>
          <w:tcPr>
            <w:tcW w:w="711" w:type="dxa"/>
            <w:tcBorders>
              <w:top w:val="single" w:sz="12" w:space="0" w:color="auto"/>
            </w:tcBorders>
            <w:shd w:val="clear" w:color="auto" w:fill="auto"/>
            <w:tcMar>
              <w:top w:w="0" w:type="dxa"/>
              <w:left w:w="108" w:type="dxa"/>
              <w:bottom w:w="0" w:type="dxa"/>
              <w:right w:w="108" w:type="dxa"/>
            </w:tcMar>
            <w:vAlign w:val="bottom"/>
          </w:tcPr>
          <w:p w14:paraId="70AB5F85" w14:textId="77777777" w:rsidR="00705260" w:rsidRPr="00705260" w:rsidRDefault="00705260" w:rsidP="00D05A66">
            <w:pPr>
              <w:suppressAutoHyphens/>
              <w:spacing w:before="40" w:after="80"/>
              <w:ind w:left="-99" w:right="-75"/>
              <w:jc w:val="right"/>
            </w:pPr>
          </w:p>
        </w:tc>
        <w:tc>
          <w:tcPr>
            <w:tcW w:w="712" w:type="dxa"/>
            <w:tcBorders>
              <w:top w:val="single" w:sz="12" w:space="0" w:color="auto"/>
            </w:tcBorders>
            <w:shd w:val="clear" w:color="auto" w:fill="auto"/>
            <w:tcMar>
              <w:top w:w="0" w:type="dxa"/>
              <w:left w:w="108" w:type="dxa"/>
              <w:bottom w:w="0" w:type="dxa"/>
              <w:right w:w="108" w:type="dxa"/>
            </w:tcMar>
            <w:vAlign w:val="bottom"/>
          </w:tcPr>
          <w:p w14:paraId="797C6A06" w14:textId="77777777" w:rsidR="00705260" w:rsidRPr="00705260" w:rsidRDefault="00705260" w:rsidP="00D05A66">
            <w:pPr>
              <w:suppressAutoHyphens/>
              <w:spacing w:before="40" w:after="80"/>
              <w:ind w:left="-99" w:right="-75"/>
              <w:jc w:val="right"/>
            </w:pPr>
          </w:p>
        </w:tc>
      </w:tr>
      <w:tr w:rsidR="00705260" w:rsidRPr="00705260" w14:paraId="68E5BE81" w14:textId="77777777" w:rsidTr="00592B48">
        <w:trPr>
          <w:cantSplit/>
        </w:trPr>
        <w:tc>
          <w:tcPr>
            <w:tcW w:w="2052" w:type="dxa"/>
            <w:shd w:val="clear" w:color="auto" w:fill="auto"/>
          </w:tcPr>
          <w:p w14:paraId="3675306F" w14:textId="2DF3D54D" w:rsidR="00705260" w:rsidRPr="00705260" w:rsidRDefault="00705260" w:rsidP="00545975">
            <w:pPr>
              <w:tabs>
                <w:tab w:val="left" w:pos="288"/>
                <w:tab w:val="left" w:pos="576"/>
                <w:tab w:val="left" w:pos="864"/>
                <w:tab w:val="left" w:pos="1152"/>
              </w:tabs>
              <w:suppressAutoHyphens/>
              <w:spacing w:before="40" w:after="40" w:line="210" w:lineRule="exact"/>
              <w:ind w:right="40"/>
              <w:rPr>
                <w:sz w:val="17"/>
                <w:szCs w:val="17"/>
              </w:rPr>
            </w:pPr>
            <w:r w:rsidRPr="00705260">
              <w:rPr>
                <w:sz w:val="17"/>
                <w:szCs w:val="17"/>
              </w:rPr>
              <w:t>Affaires de traite d</w:t>
            </w:r>
            <w:r w:rsidR="00795C5F">
              <w:rPr>
                <w:sz w:val="17"/>
                <w:szCs w:val="17"/>
              </w:rPr>
              <w:t>’</w:t>
            </w:r>
            <w:r w:rsidRPr="00705260">
              <w:rPr>
                <w:sz w:val="17"/>
                <w:szCs w:val="17"/>
              </w:rPr>
              <w:t>êtres humains au regard de la loi de 2009 relative à la lutte contre la traite des personnes</w:t>
            </w:r>
          </w:p>
        </w:tc>
        <w:tc>
          <w:tcPr>
            <w:tcW w:w="677" w:type="dxa"/>
            <w:shd w:val="clear" w:color="auto" w:fill="auto"/>
            <w:tcMar>
              <w:top w:w="0" w:type="dxa"/>
              <w:left w:w="108" w:type="dxa"/>
              <w:bottom w:w="0" w:type="dxa"/>
              <w:right w:w="108" w:type="dxa"/>
            </w:tcMar>
            <w:hideMark/>
          </w:tcPr>
          <w:p w14:paraId="48CFD23D"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1" w:type="dxa"/>
            <w:shd w:val="clear" w:color="auto" w:fill="auto"/>
            <w:tcMar>
              <w:top w:w="0" w:type="dxa"/>
              <w:left w:w="108" w:type="dxa"/>
              <w:bottom w:w="0" w:type="dxa"/>
              <w:right w:w="108" w:type="dxa"/>
            </w:tcMar>
          </w:tcPr>
          <w:p w14:paraId="67C145AD"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2" w:type="dxa"/>
            <w:shd w:val="clear" w:color="auto" w:fill="auto"/>
            <w:tcMar>
              <w:top w:w="0" w:type="dxa"/>
              <w:left w:w="108" w:type="dxa"/>
              <w:bottom w:w="0" w:type="dxa"/>
              <w:right w:w="108" w:type="dxa"/>
            </w:tcMar>
            <w:hideMark/>
          </w:tcPr>
          <w:p w14:paraId="7C9ADDAD"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1" w:type="dxa"/>
            <w:shd w:val="clear" w:color="auto" w:fill="auto"/>
            <w:tcMar>
              <w:top w:w="0" w:type="dxa"/>
              <w:left w:w="108" w:type="dxa"/>
              <w:bottom w:w="0" w:type="dxa"/>
              <w:right w:w="108" w:type="dxa"/>
            </w:tcMar>
          </w:tcPr>
          <w:p w14:paraId="5C374243"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2" w:type="dxa"/>
            <w:shd w:val="clear" w:color="auto" w:fill="auto"/>
            <w:tcMar>
              <w:top w:w="0" w:type="dxa"/>
              <w:left w:w="108" w:type="dxa"/>
              <w:bottom w:w="0" w:type="dxa"/>
              <w:right w:w="108" w:type="dxa"/>
            </w:tcMar>
          </w:tcPr>
          <w:p w14:paraId="4EF5ED77"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1" w:type="dxa"/>
            <w:shd w:val="clear" w:color="auto" w:fill="auto"/>
            <w:tcMar>
              <w:top w:w="0" w:type="dxa"/>
              <w:left w:w="108" w:type="dxa"/>
              <w:bottom w:w="0" w:type="dxa"/>
              <w:right w:w="108" w:type="dxa"/>
            </w:tcMar>
          </w:tcPr>
          <w:p w14:paraId="4BA3C200"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2" w:type="dxa"/>
            <w:shd w:val="clear" w:color="auto" w:fill="auto"/>
            <w:tcMar>
              <w:top w:w="0" w:type="dxa"/>
              <w:left w:w="108" w:type="dxa"/>
              <w:bottom w:w="0" w:type="dxa"/>
              <w:right w:w="108" w:type="dxa"/>
            </w:tcMar>
            <w:hideMark/>
          </w:tcPr>
          <w:p w14:paraId="645656AF"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1" w:type="dxa"/>
            <w:shd w:val="clear" w:color="auto" w:fill="auto"/>
            <w:tcMar>
              <w:top w:w="0" w:type="dxa"/>
              <w:left w:w="108" w:type="dxa"/>
              <w:bottom w:w="0" w:type="dxa"/>
              <w:right w:w="108" w:type="dxa"/>
            </w:tcMar>
            <w:hideMark/>
          </w:tcPr>
          <w:p w14:paraId="5F486BDD" w14:textId="77777777"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Aucune</w:t>
            </w:r>
          </w:p>
        </w:tc>
        <w:tc>
          <w:tcPr>
            <w:tcW w:w="712" w:type="dxa"/>
            <w:shd w:val="clear" w:color="auto" w:fill="auto"/>
            <w:tcMar>
              <w:top w:w="0" w:type="dxa"/>
              <w:left w:w="108" w:type="dxa"/>
              <w:bottom w:w="0" w:type="dxa"/>
              <w:right w:w="108" w:type="dxa"/>
            </w:tcMar>
            <w:hideMark/>
          </w:tcPr>
          <w:p w14:paraId="785ED386" w14:textId="500E670C" w:rsidR="00705260" w:rsidRPr="00705260" w:rsidRDefault="00705260" w:rsidP="00545975">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2</w:t>
            </w:r>
            <w:r w:rsidR="00503C29">
              <w:rPr>
                <w:sz w:val="17"/>
                <w:szCs w:val="17"/>
              </w:rPr>
              <w:t xml:space="preserve"> </w:t>
            </w:r>
            <w:r w:rsidRPr="00705260">
              <w:rPr>
                <w:sz w:val="17"/>
                <w:szCs w:val="17"/>
              </w:rPr>
              <w:t>(séjour illégal)</w:t>
            </w:r>
          </w:p>
        </w:tc>
      </w:tr>
      <w:tr w:rsidR="00705260" w:rsidRPr="00705260" w14:paraId="54C7DE21" w14:textId="77777777" w:rsidTr="00592B48">
        <w:trPr>
          <w:cantSplit/>
        </w:trPr>
        <w:tc>
          <w:tcPr>
            <w:tcW w:w="2052" w:type="dxa"/>
            <w:shd w:val="clear" w:color="auto" w:fill="auto"/>
          </w:tcPr>
          <w:p w14:paraId="50CA3A65" w14:textId="7E4AB00E" w:rsidR="00705260" w:rsidRPr="00705260" w:rsidRDefault="00705260" w:rsidP="00D05A66">
            <w:pPr>
              <w:tabs>
                <w:tab w:val="left" w:pos="288"/>
                <w:tab w:val="left" w:pos="576"/>
                <w:tab w:val="left" w:pos="864"/>
                <w:tab w:val="left" w:pos="1152"/>
              </w:tabs>
              <w:suppressAutoHyphens/>
              <w:spacing w:before="40" w:after="40" w:line="210" w:lineRule="exact"/>
              <w:ind w:right="40"/>
              <w:rPr>
                <w:sz w:val="17"/>
                <w:szCs w:val="17"/>
              </w:rPr>
            </w:pPr>
            <w:r w:rsidRPr="00705260">
              <w:rPr>
                <w:sz w:val="17"/>
                <w:szCs w:val="17"/>
              </w:rPr>
              <w:t>Affaires de traite d</w:t>
            </w:r>
            <w:r w:rsidR="00795C5F">
              <w:rPr>
                <w:sz w:val="17"/>
                <w:szCs w:val="17"/>
              </w:rPr>
              <w:t>’</w:t>
            </w:r>
            <w:r w:rsidRPr="00705260">
              <w:rPr>
                <w:sz w:val="17"/>
                <w:szCs w:val="17"/>
              </w:rPr>
              <w:t>êtres humains au regard de la loi relative à la protection des enfants</w:t>
            </w:r>
          </w:p>
        </w:tc>
        <w:tc>
          <w:tcPr>
            <w:tcW w:w="677" w:type="dxa"/>
            <w:shd w:val="clear" w:color="auto" w:fill="auto"/>
            <w:tcMar>
              <w:top w:w="0" w:type="dxa"/>
              <w:left w:w="108" w:type="dxa"/>
              <w:bottom w:w="0" w:type="dxa"/>
              <w:right w:w="108" w:type="dxa"/>
            </w:tcMar>
            <w:hideMark/>
          </w:tcPr>
          <w:p w14:paraId="792F253B"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3</w:t>
            </w:r>
          </w:p>
        </w:tc>
        <w:tc>
          <w:tcPr>
            <w:tcW w:w="711" w:type="dxa"/>
            <w:shd w:val="clear" w:color="auto" w:fill="auto"/>
            <w:tcMar>
              <w:top w:w="0" w:type="dxa"/>
              <w:left w:w="108" w:type="dxa"/>
              <w:bottom w:w="0" w:type="dxa"/>
              <w:right w:w="108" w:type="dxa"/>
            </w:tcMar>
          </w:tcPr>
          <w:p w14:paraId="20B441E5"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5</w:t>
            </w:r>
          </w:p>
        </w:tc>
        <w:tc>
          <w:tcPr>
            <w:tcW w:w="712" w:type="dxa"/>
            <w:shd w:val="clear" w:color="auto" w:fill="auto"/>
            <w:tcMar>
              <w:top w:w="0" w:type="dxa"/>
              <w:left w:w="108" w:type="dxa"/>
              <w:bottom w:w="0" w:type="dxa"/>
              <w:right w:w="108" w:type="dxa"/>
            </w:tcMar>
            <w:hideMark/>
          </w:tcPr>
          <w:p w14:paraId="3E50B29A"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4</w:t>
            </w:r>
          </w:p>
        </w:tc>
        <w:tc>
          <w:tcPr>
            <w:tcW w:w="711" w:type="dxa"/>
            <w:shd w:val="clear" w:color="auto" w:fill="auto"/>
            <w:tcMar>
              <w:top w:w="0" w:type="dxa"/>
              <w:left w:w="108" w:type="dxa"/>
              <w:bottom w:w="0" w:type="dxa"/>
              <w:right w:w="108" w:type="dxa"/>
            </w:tcMar>
          </w:tcPr>
          <w:p w14:paraId="38E09191"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3</w:t>
            </w:r>
          </w:p>
        </w:tc>
        <w:tc>
          <w:tcPr>
            <w:tcW w:w="712" w:type="dxa"/>
            <w:shd w:val="clear" w:color="auto" w:fill="auto"/>
            <w:tcMar>
              <w:top w:w="0" w:type="dxa"/>
              <w:left w:w="108" w:type="dxa"/>
              <w:bottom w:w="0" w:type="dxa"/>
              <w:right w:w="108" w:type="dxa"/>
            </w:tcMar>
          </w:tcPr>
          <w:p w14:paraId="1A3D366E"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3</w:t>
            </w:r>
          </w:p>
        </w:tc>
        <w:tc>
          <w:tcPr>
            <w:tcW w:w="711" w:type="dxa"/>
            <w:shd w:val="clear" w:color="auto" w:fill="auto"/>
            <w:tcMar>
              <w:top w:w="0" w:type="dxa"/>
              <w:left w:w="108" w:type="dxa"/>
              <w:bottom w:w="0" w:type="dxa"/>
              <w:right w:w="108" w:type="dxa"/>
            </w:tcMar>
          </w:tcPr>
          <w:p w14:paraId="395DC9C4"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5</w:t>
            </w:r>
          </w:p>
        </w:tc>
        <w:tc>
          <w:tcPr>
            <w:tcW w:w="712" w:type="dxa"/>
            <w:shd w:val="clear" w:color="auto" w:fill="auto"/>
            <w:tcMar>
              <w:top w:w="0" w:type="dxa"/>
              <w:left w:w="108" w:type="dxa"/>
              <w:bottom w:w="0" w:type="dxa"/>
              <w:right w:w="108" w:type="dxa"/>
            </w:tcMar>
            <w:hideMark/>
          </w:tcPr>
          <w:p w14:paraId="5E1239B2"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5</w:t>
            </w:r>
          </w:p>
        </w:tc>
        <w:tc>
          <w:tcPr>
            <w:tcW w:w="711" w:type="dxa"/>
            <w:shd w:val="clear" w:color="auto" w:fill="auto"/>
            <w:tcMar>
              <w:top w:w="0" w:type="dxa"/>
              <w:left w:w="108" w:type="dxa"/>
              <w:bottom w:w="0" w:type="dxa"/>
              <w:right w:w="108" w:type="dxa"/>
            </w:tcMar>
            <w:hideMark/>
          </w:tcPr>
          <w:p w14:paraId="7C3C452A"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4</w:t>
            </w:r>
          </w:p>
        </w:tc>
        <w:tc>
          <w:tcPr>
            <w:tcW w:w="712" w:type="dxa"/>
            <w:shd w:val="clear" w:color="auto" w:fill="auto"/>
            <w:tcMar>
              <w:top w:w="0" w:type="dxa"/>
              <w:left w:w="108" w:type="dxa"/>
              <w:bottom w:w="0" w:type="dxa"/>
              <w:right w:w="108" w:type="dxa"/>
            </w:tcMar>
            <w:hideMark/>
          </w:tcPr>
          <w:p w14:paraId="2F3664DA"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2</w:t>
            </w:r>
          </w:p>
        </w:tc>
      </w:tr>
      <w:tr w:rsidR="00705260" w:rsidRPr="00705260" w14:paraId="39A66D13" w14:textId="77777777" w:rsidTr="00592B48">
        <w:trPr>
          <w:cantSplit/>
        </w:trPr>
        <w:tc>
          <w:tcPr>
            <w:tcW w:w="2052" w:type="dxa"/>
            <w:tcBorders>
              <w:bottom w:val="single" w:sz="12" w:space="0" w:color="auto"/>
            </w:tcBorders>
            <w:shd w:val="clear" w:color="auto" w:fill="auto"/>
          </w:tcPr>
          <w:p w14:paraId="12A17726" w14:textId="1250F510" w:rsidR="00705260" w:rsidRPr="00705260" w:rsidRDefault="00705260" w:rsidP="00D05A66">
            <w:pPr>
              <w:tabs>
                <w:tab w:val="left" w:pos="288"/>
                <w:tab w:val="left" w:pos="576"/>
                <w:tab w:val="left" w:pos="864"/>
                <w:tab w:val="left" w:pos="1152"/>
              </w:tabs>
              <w:suppressAutoHyphens/>
              <w:spacing w:before="40" w:after="40" w:line="210" w:lineRule="exact"/>
              <w:ind w:right="40"/>
              <w:rPr>
                <w:sz w:val="17"/>
                <w:szCs w:val="17"/>
              </w:rPr>
            </w:pPr>
            <w:r w:rsidRPr="00705260">
              <w:rPr>
                <w:sz w:val="17"/>
                <w:szCs w:val="17"/>
              </w:rPr>
              <w:t>Affaires en lien avec la traite d</w:t>
            </w:r>
            <w:r w:rsidR="00795C5F">
              <w:rPr>
                <w:sz w:val="17"/>
                <w:szCs w:val="17"/>
              </w:rPr>
              <w:t>’</w:t>
            </w:r>
            <w:r w:rsidRPr="00705260">
              <w:rPr>
                <w:sz w:val="17"/>
                <w:szCs w:val="17"/>
              </w:rPr>
              <w:t>êtres humains</w:t>
            </w:r>
          </w:p>
        </w:tc>
        <w:tc>
          <w:tcPr>
            <w:tcW w:w="677" w:type="dxa"/>
            <w:tcBorders>
              <w:bottom w:val="single" w:sz="12" w:space="0" w:color="auto"/>
            </w:tcBorders>
            <w:shd w:val="clear" w:color="auto" w:fill="auto"/>
            <w:tcMar>
              <w:top w:w="0" w:type="dxa"/>
              <w:left w:w="108" w:type="dxa"/>
              <w:bottom w:w="0" w:type="dxa"/>
              <w:right w:w="108" w:type="dxa"/>
            </w:tcMar>
            <w:hideMark/>
          </w:tcPr>
          <w:p w14:paraId="5764BA81"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3</w:t>
            </w:r>
          </w:p>
        </w:tc>
        <w:tc>
          <w:tcPr>
            <w:tcW w:w="711" w:type="dxa"/>
            <w:tcBorders>
              <w:bottom w:val="single" w:sz="12" w:space="0" w:color="auto"/>
            </w:tcBorders>
            <w:shd w:val="clear" w:color="auto" w:fill="auto"/>
            <w:tcMar>
              <w:top w:w="0" w:type="dxa"/>
              <w:left w:w="108" w:type="dxa"/>
              <w:bottom w:w="0" w:type="dxa"/>
              <w:right w:w="108" w:type="dxa"/>
            </w:tcMar>
          </w:tcPr>
          <w:p w14:paraId="4E53CE90"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p>
        </w:tc>
        <w:tc>
          <w:tcPr>
            <w:tcW w:w="712" w:type="dxa"/>
            <w:tcBorders>
              <w:bottom w:val="single" w:sz="12" w:space="0" w:color="auto"/>
            </w:tcBorders>
            <w:shd w:val="clear" w:color="auto" w:fill="auto"/>
            <w:tcMar>
              <w:top w:w="0" w:type="dxa"/>
              <w:left w:w="108" w:type="dxa"/>
              <w:bottom w:w="0" w:type="dxa"/>
              <w:right w:w="108" w:type="dxa"/>
            </w:tcMar>
            <w:hideMark/>
          </w:tcPr>
          <w:p w14:paraId="00285324"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8</w:t>
            </w:r>
          </w:p>
        </w:tc>
        <w:tc>
          <w:tcPr>
            <w:tcW w:w="711" w:type="dxa"/>
            <w:tcBorders>
              <w:bottom w:val="single" w:sz="12" w:space="0" w:color="auto"/>
            </w:tcBorders>
            <w:shd w:val="clear" w:color="auto" w:fill="auto"/>
            <w:tcMar>
              <w:top w:w="0" w:type="dxa"/>
              <w:left w:w="108" w:type="dxa"/>
              <w:bottom w:w="0" w:type="dxa"/>
              <w:right w:w="108" w:type="dxa"/>
            </w:tcMar>
          </w:tcPr>
          <w:p w14:paraId="260A43FA"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7</w:t>
            </w:r>
          </w:p>
        </w:tc>
        <w:tc>
          <w:tcPr>
            <w:tcW w:w="712" w:type="dxa"/>
            <w:tcBorders>
              <w:bottom w:val="single" w:sz="12" w:space="0" w:color="auto"/>
            </w:tcBorders>
            <w:shd w:val="clear" w:color="auto" w:fill="auto"/>
            <w:tcMar>
              <w:top w:w="0" w:type="dxa"/>
              <w:left w:w="108" w:type="dxa"/>
              <w:bottom w:w="0" w:type="dxa"/>
              <w:right w:w="108" w:type="dxa"/>
            </w:tcMar>
          </w:tcPr>
          <w:p w14:paraId="72DE94A0"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6</w:t>
            </w:r>
          </w:p>
        </w:tc>
        <w:tc>
          <w:tcPr>
            <w:tcW w:w="711" w:type="dxa"/>
            <w:tcBorders>
              <w:bottom w:val="single" w:sz="12" w:space="0" w:color="auto"/>
            </w:tcBorders>
            <w:shd w:val="clear" w:color="auto" w:fill="auto"/>
            <w:tcMar>
              <w:top w:w="0" w:type="dxa"/>
              <w:left w:w="108" w:type="dxa"/>
              <w:bottom w:w="0" w:type="dxa"/>
              <w:right w:w="108" w:type="dxa"/>
            </w:tcMar>
          </w:tcPr>
          <w:p w14:paraId="5FF8BF4D"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4</w:t>
            </w:r>
          </w:p>
        </w:tc>
        <w:tc>
          <w:tcPr>
            <w:tcW w:w="712" w:type="dxa"/>
            <w:tcBorders>
              <w:bottom w:val="single" w:sz="12" w:space="0" w:color="auto"/>
            </w:tcBorders>
            <w:shd w:val="clear" w:color="auto" w:fill="auto"/>
            <w:tcMar>
              <w:top w:w="0" w:type="dxa"/>
              <w:left w:w="108" w:type="dxa"/>
              <w:bottom w:w="0" w:type="dxa"/>
              <w:right w:w="108" w:type="dxa"/>
            </w:tcMar>
            <w:hideMark/>
          </w:tcPr>
          <w:p w14:paraId="64CFCC81"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9</w:t>
            </w:r>
          </w:p>
        </w:tc>
        <w:tc>
          <w:tcPr>
            <w:tcW w:w="711" w:type="dxa"/>
            <w:tcBorders>
              <w:bottom w:val="single" w:sz="12" w:space="0" w:color="auto"/>
            </w:tcBorders>
            <w:shd w:val="clear" w:color="auto" w:fill="auto"/>
            <w:tcMar>
              <w:top w:w="0" w:type="dxa"/>
              <w:left w:w="108" w:type="dxa"/>
              <w:bottom w:w="0" w:type="dxa"/>
              <w:right w:w="108" w:type="dxa"/>
            </w:tcMar>
            <w:hideMark/>
          </w:tcPr>
          <w:p w14:paraId="12E56169"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8</w:t>
            </w:r>
          </w:p>
        </w:tc>
        <w:tc>
          <w:tcPr>
            <w:tcW w:w="712" w:type="dxa"/>
            <w:tcBorders>
              <w:bottom w:val="single" w:sz="12" w:space="0" w:color="auto"/>
            </w:tcBorders>
            <w:shd w:val="clear" w:color="auto" w:fill="auto"/>
            <w:tcMar>
              <w:top w:w="0" w:type="dxa"/>
              <w:left w:w="108" w:type="dxa"/>
              <w:bottom w:w="0" w:type="dxa"/>
              <w:right w:w="108" w:type="dxa"/>
            </w:tcMar>
            <w:hideMark/>
          </w:tcPr>
          <w:p w14:paraId="04D6A5E1" w14:textId="77777777" w:rsidR="00705260" w:rsidRPr="00705260" w:rsidRDefault="00705260" w:rsidP="00D05A66">
            <w:pPr>
              <w:tabs>
                <w:tab w:val="left" w:pos="288"/>
                <w:tab w:val="left" w:pos="576"/>
                <w:tab w:val="left" w:pos="864"/>
                <w:tab w:val="left" w:pos="1152"/>
              </w:tabs>
              <w:suppressAutoHyphens/>
              <w:spacing w:before="40" w:after="40" w:line="210" w:lineRule="exact"/>
              <w:ind w:left="-99" w:right="-75"/>
              <w:jc w:val="right"/>
              <w:rPr>
                <w:sz w:val="17"/>
                <w:szCs w:val="17"/>
              </w:rPr>
            </w:pPr>
            <w:r w:rsidRPr="00705260">
              <w:rPr>
                <w:sz w:val="17"/>
                <w:szCs w:val="17"/>
              </w:rPr>
              <w:t>3</w:t>
            </w:r>
          </w:p>
        </w:tc>
      </w:tr>
    </w:tbl>
    <w:p w14:paraId="5BAC0FC1" w14:textId="77777777" w:rsidR="00D05A66" w:rsidRPr="00D05A66" w:rsidRDefault="00D05A66" w:rsidP="00D05A66">
      <w:pPr>
        <w:pStyle w:val="SingleTxtG"/>
        <w:spacing w:after="0" w:line="120" w:lineRule="exact"/>
        <w:ind w:firstLine="170"/>
        <w:rPr>
          <w:i/>
          <w:iCs/>
          <w:sz w:val="10"/>
          <w:lang w:val="fr-FR"/>
        </w:rPr>
      </w:pPr>
    </w:p>
    <w:p w14:paraId="40B33E8E" w14:textId="1D45AB5F" w:rsidR="00705260" w:rsidRDefault="00705260" w:rsidP="00D05A66">
      <w:pPr>
        <w:pStyle w:val="FootnoteText"/>
        <w:tabs>
          <w:tab w:val="right" w:pos="1476"/>
          <w:tab w:val="left" w:pos="1548"/>
          <w:tab w:val="right" w:pos="1836"/>
          <w:tab w:val="left" w:pos="1908"/>
        </w:tabs>
        <w:ind w:left="1548" w:right="1267" w:hanging="288"/>
        <w:rPr>
          <w:lang w:val="fr-FR"/>
        </w:rPr>
      </w:pPr>
      <w:r>
        <w:rPr>
          <w:i/>
          <w:iCs/>
          <w:lang w:val="fr-FR"/>
        </w:rPr>
        <w:t>Source</w:t>
      </w:r>
      <w:r w:rsidR="00795C5F">
        <w:rPr>
          <w:i/>
          <w:iCs/>
          <w:lang w:val="fr-FR"/>
        </w:rPr>
        <w:t> </w:t>
      </w:r>
      <w:r w:rsidR="00795C5F" w:rsidRPr="00ED416A">
        <w:rPr>
          <w:lang w:val="fr-FR"/>
        </w:rPr>
        <w:t>:</w:t>
      </w:r>
      <w:r>
        <w:rPr>
          <w:lang w:val="fr-FR"/>
        </w:rPr>
        <w:t xml:space="preserve"> Forces de police mauriciennes.</w:t>
      </w:r>
    </w:p>
    <w:p w14:paraId="5F64D333" w14:textId="3A072884" w:rsidR="00D05A66" w:rsidRPr="00D05A66" w:rsidRDefault="00D05A66" w:rsidP="00D05A66">
      <w:pPr>
        <w:pStyle w:val="SingleTxtG"/>
        <w:spacing w:after="0" w:line="120" w:lineRule="exact"/>
        <w:ind w:firstLine="170"/>
        <w:rPr>
          <w:sz w:val="10"/>
          <w:lang w:val="fr-FR"/>
        </w:rPr>
      </w:pPr>
    </w:p>
    <w:p w14:paraId="3FAA1364" w14:textId="7AB6A915" w:rsidR="00D05A66" w:rsidRPr="00D05A66" w:rsidRDefault="00D05A66" w:rsidP="00D05A66">
      <w:pPr>
        <w:pStyle w:val="SingleTxtG"/>
        <w:spacing w:after="0" w:line="120" w:lineRule="exact"/>
        <w:ind w:firstLine="170"/>
        <w:rPr>
          <w:rFonts w:eastAsia="Calibri"/>
          <w:sz w:val="10"/>
          <w:szCs w:val="18"/>
          <w:lang w:val="fr-FR"/>
        </w:rPr>
      </w:pPr>
    </w:p>
    <w:p w14:paraId="3773A075" w14:textId="1A462D25" w:rsidR="00705260" w:rsidRDefault="00705260" w:rsidP="00503C2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r>
      <w:r>
        <w:rPr>
          <w:lang w:val="fr-FR"/>
        </w:rPr>
        <w:tab/>
        <w:t>Condamnations pour traite d</w:t>
      </w:r>
      <w:r w:rsidR="00795C5F">
        <w:rPr>
          <w:lang w:val="fr-FR"/>
        </w:rPr>
        <w:t>’</w:t>
      </w:r>
      <w:r>
        <w:rPr>
          <w:lang w:val="fr-FR"/>
        </w:rPr>
        <w:t xml:space="preserve">êtres humains entre 2009 et 2017 </w:t>
      </w:r>
      <w:r w:rsidR="00B65EDA">
        <w:rPr>
          <w:lang w:val="fr-FR"/>
        </w:rPr>
        <w:t>– </w:t>
      </w:r>
      <w:r>
        <w:rPr>
          <w:lang w:val="fr-FR"/>
        </w:rPr>
        <w:t>Maurice</w:t>
      </w:r>
    </w:p>
    <w:p w14:paraId="65393F5E" w14:textId="3BBC4329" w:rsidR="00D05A66" w:rsidRPr="00D05A66" w:rsidRDefault="00D05A66" w:rsidP="00503C29">
      <w:pPr>
        <w:pStyle w:val="SingleTxt"/>
        <w:keepNext/>
        <w:spacing w:after="0" w:line="120" w:lineRule="exact"/>
        <w:rPr>
          <w:sz w:val="10"/>
          <w:lang w:val="fr-FR"/>
        </w:rPr>
      </w:pPr>
    </w:p>
    <w:p w14:paraId="40695C7A" w14:textId="250D9355" w:rsidR="00D05A66" w:rsidRPr="00D05A66" w:rsidRDefault="00D05A66" w:rsidP="00503C29">
      <w:pPr>
        <w:pStyle w:val="SingleTxt"/>
        <w:keepNext/>
        <w:spacing w:after="0" w:line="120" w:lineRule="exact"/>
        <w:rPr>
          <w:sz w:val="10"/>
          <w:lang w:val="fr-FR"/>
        </w:rPr>
      </w:pPr>
    </w:p>
    <w:tbl>
      <w:tblPr>
        <w:tblW w:w="8559" w:type="dxa"/>
        <w:tblInd w:w="1287" w:type="dxa"/>
        <w:tblLayout w:type="fixed"/>
        <w:tblCellMar>
          <w:left w:w="0" w:type="dxa"/>
          <w:right w:w="0" w:type="dxa"/>
        </w:tblCellMar>
        <w:tblLook w:val="04A0" w:firstRow="1" w:lastRow="0" w:firstColumn="1" w:lastColumn="0" w:noHBand="0" w:noVBand="1"/>
      </w:tblPr>
      <w:tblGrid>
        <w:gridCol w:w="1683"/>
        <w:gridCol w:w="764"/>
        <w:gridCol w:w="764"/>
        <w:gridCol w:w="764"/>
        <w:gridCol w:w="764"/>
        <w:gridCol w:w="764"/>
        <w:gridCol w:w="764"/>
        <w:gridCol w:w="764"/>
        <w:gridCol w:w="764"/>
        <w:gridCol w:w="764"/>
      </w:tblGrid>
      <w:tr w:rsidR="00705260" w:rsidRPr="00D05A66" w14:paraId="56043653" w14:textId="77777777" w:rsidTr="002050E5">
        <w:trPr>
          <w:cantSplit/>
          <w:trHeight w:val="589"/>
          <w:tblHeader/>
        </w:trPr>
        <w:tc>
          <w:tcPr>
            <w:tcW w:w="1683" w:type="dxa"/>
            <w:tcBorders>
              <w:top w:val="single" w:sz="4" w:space="0" w:color="auto"/>
              <w:bottom w:val="single" w:sz="12" w:space="0" w:color="auto"/>
            </w:tcBorders>
            <w:shd w:val="clear" w:color="auto" w:fill="auto"/>
            <w:vAlign w:val="bottom"/>
          </w:tcPr>
          <w:p w14:paraId="69DF7E4B" w14:textId="77777777" w:rsidR="00705260" w:rsidRPr="00D05A66" w:rsidRDefault="00705260" w:rsidP="00545975">
            <w:pPr>
              <w:keepNext/>
              <w:spacing w:before="80" w:after="80" w:line="200" w:lineRule="exact"/>
              <w:rPr>
                <w:bCs/>
                <w:i/>
                <w:sz w:val="14"/>
                <w:szCs w:val="14"/>
                <w:lang w:val="fr-FR"/>
              </w:rPr>
            </w:pP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DFD02A0" w14:textId="77777777" w:rsidR="00705260" w:rsidRPr="00D05A66" w:rsidRDefault="00705260" w:rsidP="00545975">
            <w:pPr>
              <w:keepNext/>
              <w:spacing w:before="80" w:after="80" w:line="200" w:lineRule="exact"/>
              <w:ind w:left="-97" w:right="-54"/>
              <w:jc w:val="right"/>
              <w:rPr>
                <w:i/>
                <w:sz w:val="14"/>
                <w:szCs w:val="14"/>
              </w:rPr>
            </w:pPr>
            <w:r w:rsidRPr="00D05A66">
              <w:rPr>
                <w:i/>
                <w:iCs/>
                <w:sz w:val="14"/>
                <w:szCs w:val="14"/>
                <w:lang w:val="fr-FR"/>
              </w:rPr>
              <w:t>2009</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2E5A85E0" w14:textId="77777777" w:rsidR="00705260" w:rsidRPr="00D05A66" w:rsidRDefault="00705260" w:rsidP="00545975">
            <w:pPr>
              <w:keepNext/>
              <w:spacing w:before="80" w:after="80" w:line="200" w:lineRule="exact"/>
              <w:ind w:left="-97" w:right="-54"/>
              <w:jc w:val="right"/>
              <w:rPr>
                <w:bCs/>
                <w:i/>
                <w:sz w:val="14"/>
                <w:szCs w:val="14"/>
              </w:rPr>
            </w:pPr>
            <w:r w:rsidRPr="00D05A66">
              <w:rPr>
                <w:i/>
                <w:iCs/>
                <w:sz w:val="14"/>
                <w:szCs w:val="14"/>
                <w:lang w:val="fr-FR"/>
              </w:rPr>
              <w:t>2010</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1CE9C5E" w14:textId="77777777" w:rsidR="00705260" w:rsidRPr="00D05A66" w:rsidRDefault="00705260" w:rsidP="00545975">
            <w:pPr>
              <w:keepNext/>
              <w:spacing w:before="80" w:after="80" w:line="200" w:lineRule="exact"/>
              <w:ind w:left="-97" w:right="-54"/>
              <w:jc w:val="right"/>
              <w:rPr>
                <w:i/>
                <w:sz w:val="14"/>
                <w:szCs w:val="14"/>
              </w:rPr>
            </w:pPr>
            <w:r w:rsidRPr="00D05A66">
              <w:rPr>
                <w:i/>
                <w:iCs/>
                <w:sz w:val="14"/>
                <w:szCs w:val="14"/>
                <w:lang w:val="fr-FR"/>
              </w:rPr>
              <w:t>2011</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E51B29E" w14:textId="77777777" w:rsidR="00705260" w:rsidRPr="00D05A66" w:rsidRDefault="00705260" w:rsidP="00545975">
            <w:pPr>
              <w:keepNext/>
              <w:spacing w:before="80" w:after="80" w:line="200" w:lineRule="exact"/>
              <w:ind w:left="-97" w:right="-54"/>
              <w:jc w:val="right"/>
              <w:rPr>
                <w:bCs/>
                <w:i/>
                <w:sz w:val="14"/>
                <w:szCs w:val="14"/>
              </w:rPr>
            </w:pPr>
            <w:r w:rsidRPr="00D05A66">
              <w:rPr>
                <w:i/>
                <w:iCs/>
                <w:sz w:val="14"/>
                <w:szCs w:val="14"/>
                <w:lang w:val="fr-FR"/>
              </w:rPr>
              <w:t>2012</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2F3E2387" w14:textId="77777777" w:rsidR="00705260" w:rsidRPr="00D05A66" w:rsidRDefault="00705260" w:rsidP="00545975">
            <w:pPr>
              <w:keepNext/>
              <w:spacing w:before="80" w:after="80" w:line="200" w:lineRule="exact"/>
              <w:ind w:left="-97" w:right="-54"/>
              <w:jc w:val="right"/>
              <w:rPr>
                <w:bCs/>
                <w:i/>
                <w:sz w:val="14"/>
                <w:szCs w:val="14"/>
              </w:rPr>
            </w:pPr>
            <w:r w:rsidRPr="00D05A66">
              <w:rPr>
                <w:i/>
                <w:iCs/>
                <w:sz w:val="14"/>
                <w:szCs w:val="14"/>
                <w:lang w:val="fr-FR"/>
              </w:rPr>
              <w:t>2013</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7DE5BA7F" w14:textId="77777777" w:rsidR="00705260" w:rsidRPr="00D05A66" w:rsidRDefault="00705260" w:rsidP="00545975">
            <w:pPr>
              <w:keepNext/>
              <w:spacing w:before="80" w:after="80" w:line="200" w:lineRule="exact"/>
              <w:ind w:left="-97" w:right="-54"/>
              <w:jc w:val="right"/>
              <w:rPr>
                <w:bCs/>
                <w:i/>
                <w:sz w:val="14"/>
                <w:szCs w:val="14"/>
              </w:rPr>
            </w:pPr>
            <w:r w:rsidRPr="00D05A66">
              <w:rPr>
                <w:i/>
                <w:iCs/>
                <w:sz w:val="14"/>
                <w:szCs w:val="14"/>
                <w:lang w:val="fr-FR"/>
              </w:rPr>
              <w:t>2014</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1308CC6" w14:textId="77777777" w:rsidR="00705260" w:rsidRPr="00D05A66" w:rsidRDefault="00705260" w:rsidP="00545975">
            <w:pPr>
              <w:keepNext/>
              <w:spacing w:before="80" w:after="80" w:line="200" w:lineRule="exact"/>
              <w:ind w:left="-97" w:right="-54"/>
              <w:jc w:val="right"/>
              <w:rPr>
                <w:i/>
                <w:sz w:val="14"/>
                <w:szCs w:val="14"/>
              </w:rPr>
            </w:pPr>
            <w:r w:rsidRPr="00D05A66">
              <w:rPr>
                <w:i/>
                <w:iCs/>
                <w:sz w:val="14"/>
                <w:szCs w:val="14"/>
                <w:lang w:val="fr-FR"/>
              </w:rPr>
              <w:t>2015</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E9584D5" w14:textId="77777777" w:rsidR="00705260" w:rsidRPr="00D05A66" w:rsidRDefault="00705260" w:rsidP="00545975">
            <w:pPr>
              <w:keepNext/>
              <w:spacing w:before="80" w:after="80" w:line="200" w:lineRule="exact"/>
              <w:ind w:left="-97" w:right="-54"/>
              <w:jc w:val="right"/>
              <w:rPr>
                <w:i/>
                <w:sz w:val="14"/>
                <w:szCs w:val="14"/>
              </w:rPr>
            </w:pPr>
            <w:r w:rsidRPr="00D05A66">
              <w:rPr>
                <w:i/>
                <w:iCs/>
                <w:sz w:val="14"/>
                <w:szCs w:val="14"/>
                <w:lang w:val="fr-FR"/>
              </w:rPr>
              <w:t>2016</w:t>
            </w:r>
          </w:p>
        </w:tc>
        <w:tc>
          <w:tcPr>
            <w:tcW w:w="76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915D7C9" w14:textId="77777777" w:rsidR="00705260" w:rsidRPr="00D05A66" w:rsidRDefault="00705260" w:rsidP="00545975">
            <w:pPr>
              <w:keepNext/>
              <w:spacing w:before="80" w:after="80" w:line="200" w:lineRule="exact"/>
              <w:ind w:left="-97" w:right="-54"/>
              <w:jc w:val="right"/>
              <w:rPr>
                <w:i/>
                <w:sz w:val="14"/>
                <w:szCs w:val="14"/>
              </w:rPr>
            </w:pPr>
            <w:r w:rsidRPr="00D05A66">
              <w:rPr>
                <w:i/>
                <w:iCs/>
                <w:sz w:val="14"/>
                <w:szCs w:val="14"/>
                <w:lang w:val="fr-FR"/>
              </w:rPr>
              <w:t>2017</w:t>
            </w:r>
          </w:p>
        </w:tc>
      </w:tr>
      <w:tr w:rsidR="00705260" w:rsidRPr="004B1E71" w14:paraId="6FB9CB99" w14:textId="77777777" w:rsidTr="002050E5">
        <w:trPr>
          <w:cantSplit/>
        </w:trPr>
        <w:tc>
          <w:tcPr>
            <w:tcW w:w="1683" w:type="dxa"/>
            <w:tcBorders>
              <w:top w:val="single" w:sz="12" w:space="0" w:color="auto"/>
            </w:tcBorders>
            <w:shd w:val="clear" w:color="auto" w:fill="auto"/>
          </w:tcPr>
          <w:p w14:paraId="7AA4F52D" w14:textId="113EA9C1" w:rsidR="00705260" w:rsidRPr="00D5174F" w:rsidRDefault="00705260" w:rsidP="00D05A66">
            <w:pPr>
              <w:spacing w:before="40" w:after="40" w:line="210" w:lineRule="exact"/>
              <w:rPr>
                <w:sz w:val="16"/>
                <w:szCs w:val="18"/>
                <w:lang w:val="fr-FR"/>
              </w:rPr>
            </w:pPr>
            <w:r w:rsidRPr="003114CE">
              <w:rPr>
                <w:sz w:val="16"/>
                <w:lang w:val="fr-FR"/>
              </w:rPr>
              <w:t>Affaires de traite d</w:t>
            </w:r>
            <w:r w:rsidR="00795C5F">
              <w:rPr>
                <w:sz w:val="16"/>
                <w:lang w:val="fr-FR"/>
              </w:rPr>
              <w:t>’</w:t>
            </w:r>
            <w:r w:rsidRPr="003114CE">
              <w:rPr>
                <w:sz w:val="16"/>
                <w:lang w:val="fr-FR"/>
              </w:rPr>
              <w:t>êtres humains au</w:t>
            </w:r>
            <w:r>
              <w:rPr>
                <w:sz w:val="16"/>
                <w:lang w:val="fr-FR"/>
              </w:rPr>
              <w:t xml:space="preserve"> regard</w:t>
            </w:r>
            <w:r w:rsidRPr="003114CE">
              <w:rPr>
                <w:sz w:val="16"/>
                <w:lang w:val="fr-FR"/>
              </w:rPr>
              <w:t xml:space="preserve"> de la loi de 2009 relative à la lutte contre la traite des personnes</w:t>
            </w:r>
          </w:p>
        </w:tc>
        <w:tc>
          <w:tcPr>
            <w:tcW w:w="764" w:type="dxa"/>
            <w:tcBorders>
              <w:top w:val="single" w:sz="12" w:space="0" w:color="auto"/>
            </w:tcBorders>
            <w:shd w:val="clear" w:color="auto" w:fill="auto"/>
            <w:tcMar>
              <w:top w:w="0" w:type="dxa"/>
              <w:left w:w="108" w:type="dxa"/>
              <w:bottom w:w="0" w:type="dxa"/>
              <w:right w:w="108" w:type="dxa"/>
            </w:tcMar>
            <w:hideMark/>
          </w:tcPr>
          <w:p w14:paraId="255EB630"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tcPr>
          <w:p w14:paraId="3D800636"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hideMark/>
          </w:tcPr>
          <w:p w14:paraId="737B16FD"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tcPr>
          <w:p w14:paraId="542DCBCA"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tcPr>
          <w:p w14:paraId="7BEFE32A"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tcPr>
          <w:p w14:paraId="3CEAB9D8"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hideMark/>
          </w:tcPr>
          <w:p w14:paraId="13E8696A"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hideMark/>
          </w:tcPr>
          <w:p w14:paraId="5620C818"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c>
          <w:tcPr>
            <w:tcW w:w="764" w:type="dxa"/>
            <w:tcBorders>
              <w:top w:val="single" w:sz="12" w:space="0" w:color="auto"/>
            </w:tcBorders>
            <w:shd w:val="clear" w:color="auto" w:fill="auto"/>
            <w:tcMar>
              <w:top w:w="0" w:type="dxa"/>
              <w:left w:w="108" w:type="dxa"/>
              <w:bottom w:w="0" w:type="dxa"/>
              <w:right w:w="108" w:type="dxa"/>
            </w:tcMar>
            <w:hideMark/>
          </w:tcPr>
          <w:p w14:paraId="42A93096" w14:textId="77777777" w:rsidR="00705260" w:rsidRPr="003114CE" w:rsidRDefault="00705260" w:rsidP="00592B48">
            <w:pPr>
              <w:spacing w:before="40" w:after="40" w:line="210" w:lineRule="exact"/>
              <w:ind w:left="-97" w:right="-54"/>
              <w:jc w:val="right"/>
              <w:rPr>
                <w:sz w:val="16"/>
                <w:szCs w:val="18"/>
              </w:rPr>
            </w:pPr>
            <w:r w:rsidRPr="003114CE">
              <w:rPr>
                <w:sz w:val="16"/>
                <w:lang w:val="fr-FR"/>
              </w:rPr>
              <w:t>Aucune</w:t>
            </w:r>
          </w:p>
        </w:tc>
      </w:tr>
      <w:tr w:rsidR="00705260" w:rsidRPr="004B1E71" w14:paraId="078B0EE4" w14:textId="77777777" w:rsidTr="002050E5">
        <w:trPr>
          <w:cantSplit/>
        </w:trPr>
        <w:tc>
          <w:tcPr>
            <w:tcW w:w="1683" w:type="dxa"/>
            <w:shd w:val="clear" w:color="auto" w:fill="auto"/>
          </w:tcPr>
          <w:p w14:paraId="45C49602" w14:textId="2C030544" w:rsidR="00705260" w:rsidRPr="00D5174F" w:rsidRDefault="00705260" w:rsidP="00D05A66">
            <w:pPr>
              <w:spacing w:before="40" w:after="40" w:line="210" w:lineRule="exact"/>
              <w:rPr>
                <w:sz w:val="16"/>
                <w:szCs w:val="18"/>
                <w:lang w:val="fr-FR"/>
              </w:rPr>
            </w:pPr>
            <w:r w:rsidRPr="003114CE">
              <w:rPr>
                <w:sz w:val="16"/>
                <w:lang w:val="fr-FR"/>
              </w:rPr>
              <w:t>Affaires de traite d</w:t>
            </w:r>
            <w:r w:rsidR="00795C5F">
              <w:rPr>
                <w:sz w:val="16"/>
                <w:lang w:val="fr-FR"/>
              </w:rPr>
              <w:t>’</w:t>
            </w:r>
            <w:r w:rsidRPr="003114CE">
              <w:rPr>
                <w:sz w:val="16"/>
                <w:lang w:val="fr-FR"/>
              </w:rPr>
              <w:t>êtres humains au</w:t>
            </w:r>
            <w:r>
              <w:rPr>
                <w:sz w:val="16"/>
                <w:lang w:val="fr-FR"/>
              </w:rPr>
              <w:t xml:space="preserve"> regard</w:t>
            </w:r>
            <w:r w:rsidRPr="003114CE">
              <w:rPr>
                <w:sz w:val="16"/>
                <w:lang w:val="fr-FR"/>
              </w:rPr>
              <w:t xml:space="preserve"> de la loi relative à la protection des enfants</w:t>
            </w:r>
          </w:p>
        </w:tc>
        <w:tc>
          <w:tcPr>
            <w:tcW w:w="764" w:type="dxa"/>
            <w:shd w:val="clear" w:color="auto" w:fill="auto"/>
            <w:tcMar>
              <w:top w:w="0" w:type="dxa"/>
              <w:left w:w="108" w:type="dxa"/>
              <w:bottom w:w="0" w:type="dxa"/>
              <w:right w:w="108" w:type="dxa"/>
            </w:tcMar>
            <w:hideMark/>
          </w:tcPr>
          <w:p w14:paraId="21BB9415" w14:textId="77777777" w:rsidR="00705260" w:rsidRPr="003114CE" w:rsidRDefault="00705260" w:rsidP="00592B48">
            <w:pPr>
              <w:spacing w:before="40" w:after="40" w:line="210" w:lineRule="exact"/>
              <w:ind w:left="-97" w:right="-54"/>
              <w:jc w:val="right"/>
              <w:rPr>
                <w:sz w:val="16"/>
                <w:szCs w:val="18"/>
              </w:rPr>
            </w:pPr>
            <w:r w:rsidRPr="003114CE">
              <w:rPr>
                <w:sz w:val="16"/>
                <w:lang w:val="fr-FR"/>
              </w:rPr>
              <w:t>1</w:t>
            </w:r>
          </w:p>
        </w:tc>
        <w:tc>
          <w:tcPr>
            <w:tcW w:w="764" w:type="dxa"/>
            <w:shd w:val="clear" w:color="auto" w:fill="auto"/>
            <w:tcMar>
              <w:top w:w="0" w:type="dxa"/>
              <w:left w:w="108" w:type="dxa"/>
              <w:bottom w:w="0" w:type="dxa"/>
              <w:right w:w="108" w:type="dxa"/>
            </w:tcMar>
          </w:tcPr>
          <w:p w14:paraId="342CBCCD" w14:textId="77777777" w:rsidR="00705260" w:rsidRPr="003114CE" w:rsidRDefault="00705260" w:rsidP="00592B48">
            <w:pPr>
              <w:spacing w:before="40" w:after="40" w:line="210" w:lineRule="exact"/>
              <w:ind w:left="-97" w:right="-54"/>
              <w:jc w:val="right"/>
              <w:rPr>
                <w:sz w:val="16"/>
                <w:szCs w:val="18"/>
              </w:rPr>
            </w:pPr>
            <w:r w:rsidRPr="003114CE">
              <w:rPr>
                <w:sz w:val="16"/>
                <w:lang w:val="fr-FR"/>
              </w:rPr>
              <w:t>1</w:t>
            </w:r>
          </w:p>
        </w:tc>
        <w:tc>
          <w:tcPr>
            <w:tcW w:w="764" w:type="dxa"/>
            <w:shd w:val="clear" w:color="auto" w:fill="auto"/>
            <w:tcMar>
              <w:top w:w="0" w:type="dxa"/>
              <w:left w:w="108" w:type="dxa"/>
              <w:bottom w:w="0" w:type="dxa"/>
              <w:right w:w="108" w:type="dxa"/>
            </w:tcMar>
            <w:hideMark/>
          </w:tcPr>
          <w:p w14:paraId="3353CFC7" w14:textId="77777777" w:rsidR="00705260" w:rsidRPr="003114CE" w:rsidRDefault="00705260" w:rsidP="00592B48">
            <w:pPr>
              <w:spacing w:before="40" w:after="40" w:line="210" w:lineRule="exact"/>
              <w:ind w:left="-97" w:right="-54"/>
              <w:jc w:val="right"/>
              <w:rPr>
                <w:sz w:val="16"/>
                <w:szCs w:val="18"/>
              </w:rPr>
            </w:pPr>
          </w:p>
        </w:tc>
        <w:tc>
          <w:tcPr>
            <w:tcW w:w="764" w:type="dxa"/>
            <w:shd w:val="clear" w:color="auto" w:fill="auto"/>
            <w:tcMar>
              <w:top w:w="0" w:type="dxa"/>
              <w:left w:w="108" w:type="dxa"/>
              <w:bottom w:w="0" w:type="dxa"/>
              <w:right w:w="108" w:type="dxa"/>
            </w:tcMar>
          </w:tcPr>
          <w:p w14:paraId="3156CDD3" w14:textId="77777777" w:rsidR="00705260" w:rsidRPr="003114CE" w:rsidRDefault="00705260" w:rsidP="00592B48">
            <w:pPr>
              <w:spacing w:before="40" w:after="40" w:line="210" w:lineRule="exact"/>
              <w:ind w:left="-97" w:right="-54"/>
              <w:jc w:val="right"/>
              <w:rPr>
                <w:sz w:val="16"/>
                <w:szCs w:val="18"/>
              </w:rPr>
            </w:pPr>
            <w:r w:rsidRPr="003114CE">
              <w:rPr>
                <w:sz w:val="16"/>
                <w:lang w:val="fr-FR"/>
              </w:rPr>
              <w:t>1</w:t>
            </w:r>
          </w:p>
        </w:tc>
        <w:tc>
          <w:tcPr>
            <w:tcW w:w="764" w:type="dxa"/>
            <w:shd w:val="clear" w:color="auto" w:fill="auto"/>
            <w:tcMar>
              <w:top w:w="0" w:type="dxa"/>
              <w:left w:w="108" w:type="dxa"/>
              <w:bottom w:w="0" w:type="dxa"/>
              <w:right w:w="108" w:type="dxa"/>
            </w:tcMar>
          </w:tcPr>
          <w:p w14:paraId="6A22EAE5" w14:textId="77777777" w:rsidR="00705260" w:rsidRPr="003114CE" w:rsidRDefault="00705260" w:rsidP="00592B48">
            <w:pPr>
              <w:spacing w:before="40" w:after="40" w:line="210" w:lineRule="exact"/>
              <w:ind w:left="-97" w:right="-54"/>
              <w:jc w:val="right"/>
              <w:rPr>
                <w:sz w:val="16"/>
                <w:szCs w:val="18"/>
              </w:rPr>
            </w:pPr>
          </w:p>
        </w:tc>
        <w:tc>
          <w:tcPr>
            <w:tcW w:w="764" w:type="dxa"/>
            <w:shd w:val="clear" w:color="auto" w:fill="auto"/>
            <w:tcMar>
              <w:top w:w="0" w:type="dxa"/>
              <w:left w:w="108" w:type="dxa"/>
              <w:bottom w:w="0" w:type="dxa"/>
              <w:right w:w="108" w:type="dxa"/>
            </w:tcMar>
          </w:tcPr>
          <w:p w14:paraId="589A4BD3" w14:textId="77777777" w:rsidR="00705260" w:rsidRPr="003114CE" w:rsidRDefault="00705260" w:rsidP="00592B48">
            <w:pPr>
              <w:spacing w:before="40" w:after="40" w:line="210" w:lineRule="exact"/>
              <w:ind w:left="-97" w:right="-54"/>
              <w:jc w:val="right"/>
              <w:rPr>
                <w:sz w:val="16"/>
                <w:szCs w:val="18"/>
              </w:rPr>
            </w:pPr>
          </w:p>
        </w:tc>
        <w:tc>
          <w:tcPr>
            <w:tcW w:w="764" w:type="dxa"/>
            <w:shd w:val="clear" w:color="auto" w:fill="auto"/>
            <w:tcMar>
              <w:top w:w="0" w:type="dxa"/>
              <w:left w:w="108" w:type="dxa"/>
              <w:bottom w:w="0" w:type="dxa"/>
              <w:right w:w="108" w:type="dxa"/>
            </w:tcMar>
            <w:hideMark/>
          </w:tcPr>
          <w:p w14:paraId="325BC86D" w14:textId="77777777" w:rsidR="00705260" w:rsidRPr="003114CE" w:rsidRDefault="00705260" w:rsidP="00592B48">
            <w:pPr>
              <w:spacing w:before="40" w:after="40" w:line="210" w:lineRule="exact"/>
              <w:ind w:left="-97" w:right="-54"/>
              <w:jc w:val="right"/>
              <w:rPr>
                <w:sz w:val="16"/>
                <w:szCs w:val="18"/>
              </w:rPr>
            </w:pPr>
          </w:p>
        </w:tc>
        <w:tc>
          <w:tcPr>
            <w:tcW w:w="764" w:type="dxa"/>
            <w:shd w:val="clear" w:color="auto" w:fill="auto"/>
            <w:tcMar>
              <w:top w:w="0" w:type="dxa"/>
              <w:left w:w="108" w:type="dxa"/>
              <w:bottom w:w="0" w:type="dxa"/>
              <w:right w:w="108" w:type="dxa"/>
            </w:tcMar>
            <w:hideMark/>
          </w:tcPr>
          <w:p w14:paraId="0624D139" w14:textId="77777777" w:rsidR="00705260" w:rsidRPr="003114CE" w:rsidRDefault="00705260" w:rsidP="00592B48">
            <w:pPr>
              <w:spacing w:before="40" w:after="40" w:line="210" w:lineRule="exact"/>
              <w:ind w:left="-97" w:right="-54"/>
              <w:jc w:val="right"/>
              <w:rPr>
                <w:sz w:val="16"/>
                <w:szCs w:val="18"/>
              </w:rPr>
            </w:pPr>
          </w:p>
        </w:tc>
        <w:tc>
          <w:tcPr>
            <w:tcW w:w="764" w:type="dxa"/>
            <w:shd w:val="clear" w:color="auto" w:fill="auto"/>
            <w:tcMar>
              <w:top w:w="0" w:type="dxa"/>
              <w:left w:w="108" w:type="dxa"/>
              <w:bottom w:w="0" w:type="dxa"/>
              <w:right w:w="108" w:type="dxa"/>
            </w:tcMar>
            <w:hideMark/>
          </w:tcPr>
          <w:p w14:paraId="4D7B2018" w14:textId="77777777" w:rsidR="00705260" w:rsidRPr="003114CE" w:rsidRDefault="00705260" w:rsidP="00592B48">
            <w:pPr>
              <w:spacing w:before="40" w:after="40" w:line="210" w:lineRule="exact"/>
              <w:ind w:left="-97" w:right="-54"/>
              <w:jc w:val="right"/>
              <w:rPr>
                <w:sz w:val="16"/>
                <w:szCs w:val="18"/>
              </w:rPr>
            </w:pPr>
            <w:r w:rsidRPr="003114CE">
              <w:rPr>
                <w:sz w:val="16"/>
                <w:lang w:val="fr-FR"/>
              </w:rPr>
              <w:t>1</w:t>
            </w:r>
          </w:p>
        </w:tc>
      </w:tr>
      <w:tr w:rsidR="00705260" w:rsidRPr="004B1E71" w14:paraId="2B654AFD" w14:textId="77777777" w:rsidTr="002050E5">
        <w:trPr>
          <w:cantSplit/>
          <w:trHeight w:val="550"/>
        </w:trPr>
        <w:tc>
          <w:tcPr>
            <w:tcW w:w="1683" w:type="dxa"/>
            <w:tcBorders>
              <w:bottom w:val="single" w:sz="12" w:space="0" w:color="auto"/>
            </w:tcBorders>
            <w:shd w:val="clear" w:color="auto" w:fill="auto"/>
          </w:tcPr>
          <w:p w14:paraId="7CC6EFF4" w14:textId="0AEDC55E" w:rsidR="00705260" w:rsidRPr="00D5174F" w:rsidRDefault="00705260" w:rsidP="00D05A66">
            <w:pPr>
              <w:spacing w:before="40" w:after="40" w:line="210" w:lineRule="exact"/>
              <w:rPr>
                <w:sz w:val="16"/>
                <w:szCs w:val="18"/>
                <w:lang w:val="fr-FR"/>
              </w:rPr>
            </w:pPr>
            <w:r w:rsidRPr="003114CE">
              <w:rPr>
                <w:sz w:val="16"/>
                <w:lang w:val="fr-FR"/>
              </w:rPr>
              <w:t>Affaires en lien avec la traite d</w:t>
            </w:r>
            <w:r w:rsidR="00795C5F">
              <w:rPr>
                <w:sz w:val="16"/>
                <w:lang w:val="fr-FR"/>
              </w:rPr>
              <w:t>’</w:t>
            </w:r>
            <w:r w:rsidRPr="003114CE">
              <w:rPr>
                <w:sz w:val="16"/>
                <w:lang w:val="fr-FR"/>
              </w:rPr>
              <w:t>êtres humains</w:t>
            </w:r>
          </w:p>
        </w:tc>
        <w:tc>
          <w:tcPr>
            <w:tcW w:w="764" w:type="dxa"/>
            <w:tcBorders>
              <w:bottom w:val="single" w:sz="12" w:space="0" w:color="auto"/>
            </w:tcBorders>
            <w:shd w:val="clear" w:color="auto" w:fill="auto"/>
            <w:tcMar>
              <w:top w:w="0" w:type="dxa"/>
              <w:left w:w="108" w:type="dxa"/>
              <w:bottom w:w="0" w:type="dxa"/>
              <w:right w:w="108" w:type="dxa"/>
            </w:tcMar>
            <w:hideMark/>
          </w:tcPr>
          <w:p w14:paraId="76F06D81" w14:textId="77777777" w:rsidR="00705260" w:rsidRPr="003114CE" w:rsidRDefault="00705260" w:rsidP="00592B48">
            <w:pPr>
              <w:spacing w:before="40" w:after="40" w:line="210" w:lineRule="exact"/>
              <w:ind w:left="-97" w:right="-54"/>
              <w:jc w:val="right"/>
              <w:rPr>
                <w:sz w:val="16"/>
                <w:szCs w:val="18"/>
              </w:rPr>
            </w:pPr>
            <w:r w:rsidRPr="003114CE">
              <w:rPr>
                <w:sz w:val="16"/>
                <w:lang w:val="fr-FR"/>
              </w:rPr>
              <w:t>8</w:t>
            </w:r>
          </w:p>
        </w:tc>
        <w:tc>
          <w:tcPr>
            <w:tcW w:w="764" w:type="dxa"/>
            <w:tcBorders>
              <w:bottom w:val="single" w:sz="12" w:space="0" w:color="auto"/>
            </w:tcBorders>
            <w:shd w:val="clear" w:color="auto" w:fill="auto"/>
            <w:tcMar>
              <w:top w:w="0" w:type="dxa"/>
              <w:left w:w="108" w:type="dxa"/>
              <w:bottom w:w="0" w:type="dxa"/>
              <w:right w:w="108" w:type="dxa"/>
            </w:tcMar>
          </w:tcPr>
          <w:p w14:paraId="00A5F676" w14:textId="77777777" w:rsidR="00705260" w:rsidRPr="003114CE" w:rsidRDefault="00705260" w:rsidP="00592B48">
            <w:pPr>
              <w:spacing w:before="40" w:after="40" w:line="210" w:lineRule="exact"/>
              <w:ind w:left="-97" w:right="-54"/>
              <w:jc w:val="right"/>
              <w:rPr>
                <w:sz w:val="16"/>
                <w:szCs w:val="18"/>
              </w:rPr>
            </w:pPr>
            <w:r w:rsidRPr="003114CE">
              <w:rPr>
                <w:sz w:val="16"/>
                <w:lang w:val="fr-FR"/>
              </w:rPr>
              <w:t>3</w:t>
            </w:r>
          </w:p>
        </w:tc>
        <w:tc>
          <w:tcPr>
            <w:tcW w:w="764" w:type="dxa"/>
            <w:tcBorders>
              <w:bottom w:val="single" w:sz="12" w:space="0" w:color="auto"/>
            </w:tcBorders>
            <w:shd w:val="clear" w:color="auto" w:fill="auto"/>
            <w:tcMar>
              <w:top w:w="0" w:type="dxa"/>
              <w:left w:w="108" w:type="dxa"/>
              <w:bottom w:w="0" w:type="dxa"/>
              <w:right w:w="108" w:type="dxa"/>
            </w:tcMar>
            <w:hideMark/>
          </w:tcPr>
          <w:p w14:paraId="79ECC56F" w14:textId="77777777" w:rsidR="00705260" w:rsidRPr="003114CE" w:rsidRDefault="00705260" w:rsidP="00592B48">
            <w:pPr>
              <w:spacing w:before="40" w:after="40" w:line="210" w:lineRule="exact"/>
              <w:ind w:left="-97" w:right="-54"/>
              <w:jc w:val="right"/>
              <w:rPr>
                <w:sz w:val="16"/>
                <w:szCs w:val="18"/>
              </w:rPr>
            </w:pPr>
            <w:r w:rsidRPr="003114CE">
              <w:rPr>
                <w:sz w:val="16"/>
                <w:lang w:val="fr-FR"/>
              </w:rPr>
              <w:t>7</w:t>
            </w:r>
          </w:p>
        </w:tc>
        <w:tc>
          <w:tcPr>
            <w:tcW w:w="764" w:type="dxa"/>
            <w:tcBorders>
              <w:bottom w:val="single" w:sz="12" w:space="0" w:color="auto"/>
            </w:tcBorders>
            <w:shd w:val="clear" w:color="auto" w:fill="auto"/>
            <w:tcMar>
              <w:top w:w="0" w:type="dxa"/>
              <w:left w:w="108" w:type="dxa"/>
              <w:bottom w:w="0" w:type="dxa"/>
              <w:right w:w="108" w:type="dxa"/>
            </w:tcMar>
          </w:tcPr>
          <w:p w14:paraId="0B5F38DA" w14:textId="77777777" w:rsidR="00705260" w:rsidRPr="003114CE" w:rsidRDefault="00705260" w:rsidP="00592B48">
            <w:pPr>
              <w:spacing w:before="40" w:after="40" w:line="210" w:lineRule="exact"/>
              <w:ind w:left="-97" w:right="-54"/>
              <w:jc w:val="right"/>
              <w:rPr>
                <w:sz w:val="16"/>
                <w:szCs w:val="18"/>
              </w:rPr>
            </w:pPr>
            <w:r w:rsidRPr="003114CE">
              <w:rPr>
                <w:sz w:val="16"/>
                <w:lang w:val="fr-FR"/>
              </w:rPr>
              <w:t>7</w:t>
            </w:r>
          </w:p>
        </w:tc>
        <w:tc>
          <w:tcPr>
            <w:tcW w:w="764" w:type="dxa"/>
            <w:tcBorders>
              <w:bottom w:val="single" w:sz="12" w:space="0" w:color="auto"/>
            </w:tcBorders>
            <w:shd w:val="clear" w:color="auto" w:fill="auto"/>
            <w:tcMar>
              <w:top w:w="0" w:type="dxa"/>
              <w:left w:w="108" w:type="dxa"/>
              <w:bottom w:w="0" w:type="dxa"/>
              <w:right w:w="108" w:type="dxa"/>
            </w:tcMar>
          </w:tcPr>
          <w:p w14:paraId="5F14B612" w14:textId="77777777" w:rsidR="00705260" w:rsidRPr="003114CE" w:rsidRDefault="00705260" w:rsidP="00592B48">
            <w:pPr>
              <w:spacing w:before="40" w:after="40" w:line="210" w:lineRule="exact"/>
              <w:ind w:left="-97" w:right="-54"/>
              <w:jc w:val="right"/>
              <w:rPr>
                <w:sz w:val="16"/>
                <w:szCs w:val="18"/>
              </w:rPr>
            </w:pPr>
            <w:r w:rsidRPr="003114CE">
              <w:rPr>
                <w:sz w:val="16"/>
                <w:lang w:val="fr-FR"/>
              </w:rPr>
              <w:t>4</w:t>
            </w:r>
          </w:p>
        </w:tc>
        <w:tc>
          <w:tcPr>
            <w:tcW w:w="764" w:type="dxa"/>
            <w:tcBorders>
              <w:bottom w:val="single" w:sz="12" w:space="0" w:color="auto"/>
            </w:tcBorders>
            <w:shd w:val="clear" w:color="auto" w:fill="auto"/>
            <w:tcMar>
              <w:top w:w="0" w:type="dxa"/>
              <w:left w:w="108" w:type="dxa"/>
              <w:bottom w:w="0" w:type="dxa"/>
              <w:right w:w="108" w:type="dxa"/>
            </w:tcMar>
          </w:tcPr>
          <w:p w14:paraId="3899B731" w14:textId="77777777" w:rsidR="00705260" w:rsidRPr="003114CE" w:rsidRDefault="00705260" w:rsidP="00592B48">
            <w:pPr>
              <w:spacing w:before="40" w:after="40" w:line="210" w:lineRule="exact"/>
              <w:ind w:left="-97" w:right="-54"/>
              <w:jc w:val="right"/>
              <w:rPr>
                <w:sz w:val="16"/>
                <w:szCs w:val="18"/>
              </w:rPr>
            </w:pPr>
            <w:r w:rsidRPr="003114CE">
              <w:rPr>
                <w:sz w:val="16"/>
                <w:lang w:val="fr-FR"/>
              </w:rPr>
              <w:t>7</w:t>
            </w:r>
          </w:p>
        </w:tc>
        <w:tc>
          <w:tcPr>
            <w:tcW w:w="764" w:type="dxa"/>
            <w:tcBorders>
              <w:bottom w:val="single" w:sz="12" w:space="0" w:color="auto"/>
            </w:tcBorders>
            <w:shd w:val="clear" w:color="auto" w:fill="auto"/>
            <w:tcMar>
              <w:top w:w="0" w:type="dxa"/>
              <w:left w:w="108" w:type="dxa"/>
              <w:bottom w:w="0" w:type="dxa"/>
              <w:right w:w="108" w:type="dxa"/>
            </w:tcMar>
            <w:hideMark/>
          </w:tcPr>
          <w:p w14:paraId="7C15A6CB" w14:textId="77777777" w:rsidR="00705260" w:rsidRPr="003114CE" w:rsidRDefault="00705260" w:rsidP="00592B48">
            <w:pPr>
              <w:spacing w:before="40" w:after="40" w:line="210" w:lineRule="exact"/>
              <w:ind w:left="-97" w:right="-54"/>
              <w:jc w:val="right"/>
              <w:rPr>
                <w:sz w:val="16"/>
                <w:szCs w:val="18"/>
              </w:rPr>
            </w:pPr>
            <w:r w:rsidRPr="003114CE">
              <w:rPr>
                <w:sz w:val="16"/>
                <w:lang w:val="fr-FR"/>
              </w:rPr>
              <w:t>1</w:t>
            </w:r>
          </w:p>
        </w:tc>
        <w:tc>
          <w:tcPr>
            <w:tcW w:w="764" w:type="dxa"/>
            <w:tcBorders>
              <w:bottom w:val="single" w:sz="12" w:space="0" w:color="auto"/>
            </w:tcBorders>
            <w:shd w:val="clear" w:color="auto" w:fill="auto"/>
            <w:tcMar>
              <w:top w:w="0" w:type="dxa"/>
              <w:left w:w="108" w:type="dxa"/>
              <w:bottom w:w="0" w:type="dxa"/>
              <w:right w:w="108" w:type="dxa"/>
            </w:tcMar>
            <w:hideMark/>
          </w:tcPr>
          <w:p w14:paraId="65ACAB56" w14:textId="77777777" w:rsidR="00705260" w:rsidRPr="003114CE" w:rsidRDefault="00705260" w:rsidP="00592B48">
            <w:pPr>
              <w:spacing w:before="40" w:after="40" w:line="210" w:lineRule="exact"/>
              <w:ind w:left="-97" w:right="-54"/>
              <w:jc w:val="right"/>
              <w:rPr>
                <w:sz w:val="16"/>
                <w:szCs w:val="18"/>
              </w:rPr>
            </w:pPr>
          </w:p>
        </w:tc>
        <w:tc>
          <w:tcPr>
            <w:tcW w:w="764" w:type="dxa"/>
            <w:tcBorders>
              <w:bottom w:val="single" w:sz="12" w:space="0" w:color="auto"/>
            </w:tcBorders>
            <w:shd w:val="clear" w:color="auto" w:fill="auto"/>
            <w:tcMar>
              <w:top w:w="0" w:type="dxa"/>
              <w:left w:w="108" w:type="dxa"/>
              <w:bottom w:w="0" w:type="dxa"/>
              <w:right w:w="108" w:type="dxa"/>
            </w:tcMar>
            <w:hideMark/>
          </w:tcPr>
          <w:p w14:paraId="2C35EA2B" w14:textId="77777777" w:rsidR="00705260" w:rsidRPr="003114CE" w:rsidRDefault="00705260" w:rsidP="00592B48">
            <w:pPr>
              <w:spacing w:before="40" w:after="40" w:line="210" w:lineRule="exact"/>
              <w:ind w:left="-97" w:right="-54"/>
              <w:jc w:val="right"/>
              <w:rPr>
                <w:sz w:val="16"/>
                <w:szCs w:val="18"/>
              </w:rPr>
            </w:pPr>
            <w:r w:rsidRPr="003114CE">
              <w:rPr>
                <w:sz w:val="16"/>
                <w:lang w:val="fr-FR"/>
              </w:rPr>
              <w:t>3</w:t>
            </w:r>
          </w:p>
        </w:tc>
      </w:tr>
    </w:tbl>
    <w:p w14:paraId="2775BA17" w14:textId="77777777" w:rsidR="00D05A66" w:rsidRPr="00D05A66" w:rsidRDefault="00D05A66" w:rsidP="00D05A66">
      <w:pPr>
        <w:pStyle w:val="SingleTxtG"/>
        <w:spacing w:after="0" w:line="120" w:lineRule="exact"/>
        <w:ind w:firstLine="170"/>
        <w:rPr>
          <w:i/>
          <w:iCs/>
          <w:sz w:val="10"/>
          <w:lang w:val="fr-FR"/>
        </w:rPr>
      </w:pPr>
    </w:p>
    <w:p w14:paraId="67FA9DCE" w14:textId="07F61C61" w:rsidR="00705260" w:rsidRPr="00D5174F" w:rsidRDefault="00705260" w:rsidP="00D05A66">
      <w:pPr>
        <w:pStyle w:val="FootnoteText"/>
        <w:tabs>
          <w:tab w:val="right" w:pos="1476"/>
          <w:tab w:val="left" w:pos="1548"/>
          <w:tab w:val="right" w:pos="1836"/>
          <w:tab w:val="left" w:pos="1908"/>
        </w:tabs>
        <w:ind w:left="1548" w:hanging="288"/>
        <w:rPr>
          <w:rFonts w:eastAsia="Calibri"/>
          <w:sz w:val="18"/>
          <w:szCs w:val="18"/>
          <w:lang w:val="fr-FR"/>
        </w:rPr>
      </w:pPr>
      <w:r>
        <w:rPr>
          <w:i/>
          <w:iCs/>
          <w:lang w:val="fr-FR"/>
        </w:rPr>
        <w:t>Source</w:t>
      </w:r>
      <w:r w:rsidR="00795C5F">
        <w:rPr>
          <w:i/>
          <w:iCs/>
          <w:lang w:val="fr-FR"/>
        </w:rPr>
        <w:t> </w:t>
      </w:r>
      <w:r w:rsidR="00795C5F" w:rsidRPr="00ED416A">
        <w:rPr>
          <w:lang w:val="fr-FR"/>
        </w:rPr>
        <w:t>:</w:t>
      </w:r>
      <w:r>
        <w:rPr>
          <w:lang w:val="fr-FR"/>
        </w:rPr>
        <w:t xml:space="preserve"> Forces de police mauriciennes.</w:t>
      </w:r>
    </w:p>
    <w:p w14:paraId="0CE26928" w14:textId="70FCE580" w:rsidR="00705260" w:rsidRPr="00D05A66" w:rsidRDefault="00705260" w:rsidP="00D05A66">
      <w:pPr>
        <w:pStyle w:val="SingleTxt"/>
        <w:spacing w:after="0" w:line="120" w:lineRule="exact"/>
        <w:rPr>
          <w:sz w:val="10"/>
          <w:lang w:val="fr-FR"/>
        </w:rPr>
      </w:pPr>
    </w:p>
    <w:p w14:paraId="30FD58BC" w14:textId="0241FA3E" w:rsidR="00D05A66" w:rsidRPr="00D05A66" w:rsidRDefault="00D05A66" w:rsidP="00D05A66">
      <w:pPr>
        <w:pStyle w:val="SingleTxt"/>
        <w:spacing w:after="0" w:line="120" w:lineRule="exact"/>
        <w:rPr>
          <w:sz w:val="10"/>
          <w:lang w:val="fr-FR"/>
        </w:rPr>
      </w:pPr>
    </w:p>
    <w:p w14:paraId="4605DF89" w14:textId="07AB614D" w:rsidR="00D05A66" w:rsidRPr="00D05A66" w:rsidRDefault="00D05A66" w:rsidP="00D05A66">
      <w:pPr>
        <w:pStyle w:val="SingleTxt"/>
        <w:numPr>
          <w:ilvl w:val="0"/>
          <w:numId w:val="20"/>
        </w:numPr>
        <w:tabs>
          <w:tab w:val="num" w:pos="2804"/>
        </w:tabs>
        <w:spacing w:line="240" w:lineRule="exact"/>
        <w:ind w:left="1267"/>
        <w:rPr>
          <w:lang w:val="fr-FR"/>
        </w:rPr>
      </w:pPr>
      <w:r w:rsidRPr="00D05A66">
        <w:rPr>
          <w:lang w:val="fr-FR"/>
        </w:rPr>
        <w:t>Les Forces de police mauriciennes ont également pris un certain nombre de mesures visant à prévenir la traite des êtres humains. En voici quelques exemples</w:t>
      </w:r>
      <w:r w:rsidR="00795C5F">
        <w:rPr>
          <w:lang w:val="fr-FR"/>
        </w:rPr>
        <w:t> :</w:t>
      </w:r>
      <w:r w:rsidRPr="00D05A66">
        <w:rPr>
          <w:lang w:val="fr-FR"/>
        </w:rPr>
        <w:t xml:space="preserve"> </w:t>
      </w:r>
    </w:p>
    <w:p w14:paraId="6A5D69B4" w14:textId="40F823B8"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Le service de la police chargé de la protection de la famille a mis au point un système de détection les cas de traite d</w:t>
      </w:r>
      <w:r w:rsidR="00795C5F">
        <w:rPr>
          <w:lang w:val="fr-FR"/>
        </w:rPr>
        <w:t>’</w:t>
      </w:r>
      <w:r w:rsidRPr="00D05A66">
        <w:rPr>
          <w:lang w:val="fr-FR"/>
        </w:rPr>
        <w:t>êtres humains, qui est utilisé lors des entretiens menés avec les victimes de violences familiales, en particulier lorsqu</w:t>
      </w:r>
      <w:r w:rsidR="00795C5F">
        <w:rPr>
          <w:lang w:val="fr-FR"/>
        </w:rPr>
        <w:t>’</w:t>
      </w:r>
      <w:r w:rsidRPr="00D05A66">
        <w:rPr>
          <w:lang w:val="fr-FR"/>
        </w:rPr>
        <w:t>il s</w:t>
      </w:r>
      <w:r w:rsidR="00795C5F">
        <w:rPr>
          <w:lang w:val="fr-FR"/>
        </w:rPr>
        <w:t>’</w:t>
      </w:r>
      <w:r w:rsidRPr="00D05A66">
        <w:rPr>
          <w:lang w:val="fr-FR"/>
        </w:rPr>
        <w:t>agit de ressortissants étrangers. Les auteurs présumés de ces actes sont cités à comparaître et interrogés afin de vérifier qu</w:t>
      </w:r>
      <w:r w:rsidR="00795C5F">
        <w:rPr>
          <w:lang w:val="fr-FR"/>
        </w:rPr>
        <w:t>’</w:t>
      </w:r>
      <w:r w:rsidRPr="00D05A66">
        <w:rPr>
          <w:lang w:val="fr-FR"/>
        </w:rPr>
        <w:t>ils ne sont pas impliqués dans la traite d</w:t>
      </w:r>
      <w:r w:rsidR="00795C5F">
        <w:rPr>
          <w:lang w:val="fr-FR"/>
        </w:rPr>
        <w:t>’</w:t>
      </w:r>
      <w:r w:rsidRPr="00D05A66">
        <w:rPr>
          <w:lang w:val="fr-FR"/>
        </w:rPr>
        <w:t>êtres humains ou liés à des réseaux de prostitution</w:t>
      </w:r>
      <w:r w:rsidR="00795C5F">
        <w:rPr>
          <w:lang w:val="fr-FR"/>
        </w:rPr>
        <w:t> ;</w:t>
      </w:r>
    </w:p>
    <w:p w14:paraId="1CACFD8D" w14:textId="4AFBBD13"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Les personnes qui sont reçues par le service de police précité sur tout le territoire mauricien sont dûment sensibilisées au problème de la traite d</w:t>
      </w:r>
      <w:r w:rsidR="00795C5F">
        <w:rPr>
          <w:lang w:val="fr-FR"/>
        </w:rPr>
        <w:t>’</w:t>
      </w:r>
      <w:r w:rsidRPr="00D05A66">
        <w:rPr>
          <w:lang w:val="fr-FR"/>
        </w:rPr>
        <w:t>êtres humains</w:t>
      </w:r>
      <w:r w:rsidR="00795C5F">
        <w:rPr>
          <w:lang w:val="fr-FR"/>
        </w:rPr>
        <w:t> ;</w:t>
      </w:r>
    </w:p>
    <w:p w14:paraId="3387D7ED" w14:textId="7FB32E20"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Les agents des services de répression ont participé à des séminaires et à des séances de renforcement des capacités organisés par l</w:t>
      </w:r>
      <w:r w:rsidR="00795C5F">
        <w:rPr>
          <w:lang w:val="fr-FR"/>
        </w:rPr>
        <w:t>’</w:t>
      </w:r>
      <w:r w:rsidRPr="00D05A66">
        <w:rPr>
          <w:lang w:val="fr-FR"/>
        </w:rPr>
        <w:t>ambassade des États-Unis et dispensés par des spécialistes australiens les 27 et 28 novembre 2017 au Centre pour les femmes de Phoenix</w:t>
      </w:r>
      <w:r w:rsidR="00795C5F">
        <w:rPr>
          <w:lang w:val="fr-FR"/>
        </w:rPr>
        <w:t> ;</w:t>
      </w:r>
    </w:p>
    <w:p w14:paraId="7D73606F" w14:textId="799A8AB9"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w:t>
      </w:r>
      <w:r w:rsidR="00795C5F">
        <w:rPr>
          <w:lang w:val="fr-FR"/>
        </w:rPr>
        <w:t>’</w:t>
      </w:r>
      <w:r w:rsidRPr="00D05A66">
        <w:rPr>
          <w:lang w:val="fr-FR"/>
        </w:rPr>
        <w:t>École de police a inscrit dans la formation des stagiaires un module consacré à la traite des êtres humains. D</w:t>
      </w:r>
      <w:r w:rsidR="00795C5F">
        <w:rPr>
          <w:lang w:val="fr-FR"/>
        </w:rPr>
        <w:t>’</w:t>
      </w:r>
      <w:r w:rsidRPr="00D05A66">
        <w:rPr>
          <w:lang w:val="fr-FR"/>
        </w:rPr>
        <w:t>autres membres de la police ont également suivi cette formation à l</w:t>
      </w:r>
      <w:r w:rsidR="00795C5F">
        <w:rPr>
          <w:lang w:val="fr-FR"/>
        </w:rPr>
        <w:t>’</w:t>
      </w:r>
      <w:r w:rsidRPr="00D05A66">
        <w:rPr>
          <w:lang w:val="fr-FR"/>
        </w:rPr>
        <w:t>École de police</w:t>
      </w:r>
      <w:r w:rsidR="00795C5F">
        <w:rPr>
          <w:lang w:val="fr-FR"/>
        </w:rPr>
        <w:t> ;</w:t>
      </w:r>
      <w:r w:rsidRPr="00D05A66">
        <w:rPr>
          <w:lang w:val="fr-FR"/>
        </w:rPr>
        <w:t xml:space="preserve"> </w:t>
      </w:r>
    </w:p>
    <w:p w14:paraId="4E476B26" w14:textId="119A95EB"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Une section spéciale a été créée au sein du Département central d</w:t>
      </w:r>
      <w:r w:rsidR="00795C5F">
        <w:rPr>
          <w:lang w:val="fr-FR"/>
        </w:rPr>
        <w:t>’</w:t>
      </w:r>
      <w:r w:rsidRPr="00D05A66">
        <w:rPr>
          <w:lang w:val="fr-FR"/>
        </w:rPr>
        <w:t>enquête criminelle afin de traiter les dossiers de traite d</w:t>
      </w:r>
      <w:r w:rsidR="00795C5F">
        <w:rPr>
          <w:lang w:val="fr-FR"/>
        </w:rPr>
        <w:t>’</w:t>
      </w:r>
      <w:r w:rsidRPr="00D05A66">
        <w:rPr>
          <w:lang w:val="fr-FR"/>
        </w:rPr>
        <w:t>êtres humains</w:t>
      </w:r>
      <w:r w:rsidR="00795C5F">
        <w:rPr>
          <w:lang w:val="fr-FR"/>
        </w:rPr>
        <w:t> ;</w:t>
      </w:r>
    </w:p>
    <w:p w14:paraId="24E66F24" w14:textId="5FB4B487"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Le Bureau des passeports et de l</w:t>
      </w:r>
      <w:r w:rsidR="00795C5F">
        <w:rPr>
          <w:lang w:val="fr-FR"/>
        </w:rPr>
        <w:t>’</w:t>
      </w:r>
      <w:r w:rsidRPr="00D05A66">
        <w:rPr>
          <w:lang w:val="fr-FR"/>
        </w:rPr>
        <w:t>immigration collabore avec le Ministère du travail en vue de mener des opérations communes de vérification portant sur d</w:t>
      </w:r>
      <w:r w:rsidR="00795C5F">
        <w:rPr>
          <w:lang w:val="fr-FR"/>
        </w:rPr>
        <w:t>’</w:t>
      </w:r>
      <w:r w:rsidRPr="00D05A66">
        <w:rPr>
          <w:lang w:val="fr-FR"/>
        </w:rPr>
        <w:t>éventuelles rétentions de passeports</w:t>
      </w:r>
      <w:r w:rsidR="00795C5F">
        <w:rPr>
          <w:lang w:val="fr-FR"/>
        </w:rPr>
        <w:t> ;</w:t>
      </w:r>
    </w:p>
    <w:p w14:paraId="374285DB" w14:textId="5FE8E808"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Le réseau de traite de travailleurs étrangers en provenance du Bangladesh est sous étroite surveillance</w:t>
      </w:r>
      <w:r w:rsidR="00795C5F">
        <w:rPr>
          <w:lang w:val="fr-FR"/>
        </w:rPr>
        <w:t> ;</w:t>
      </w:r>
      <w:r w:rsidRPr="00D05A66">
        <w:rPr>
          <w:lang w:val="fr-FR"/>
        </w:rPr>
        <w:t xml:space="preserve"> le réseau de traite de travailleurs venus du Népal et d</w:t>
      </w:r>
      <w:r w:rsidR="00795C5F">
        <w:rPr>
          <w:lang w:val="fr-FR"/>
        </w:rPr>
        <w:t>’</w:t>
      </w:r>
      <w:r w:rsidRPr="00D05A66">
        <w:rPr>
          <w:lang w:val="fr-FR"/>
        </w:rPr>
        <w:t>Inde a quant à lui été démantelé, et l</w:t>
      </w:r>
      <w:r w:rsidR="00795C5F">
        <w:rPr>
          <w:lang w:val="fr-FR"/>
        </w:rPr>
        <w:t>’</w:t>
      </w:r>
      <w:r w:rsidRPr="00D05A66">
        <w:rPr>
          <w:lang w:val="fr-FR"/>
        </w:rPr>
        <w:t>Organisation internationale de police criminelle (INTERPOL) en a été avisée</w:t>
      </w:r>
      <w:r w:rsidR="00795C5F">
        <w:rPr>
          <w:lang w:val="fr-FR"/>
        </w:rPr>
        <w:t> ;</w:t>
      </w:r>
    </w:p>
    <w:p w14:paraId="0E15EADE" w14:textId="2B7C2C69"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Plusieurs affaires de traite d</w:t>
      </w:r>
      <w:r w:rsidR="00795C5F">
        <w:rPr>
          <w:lang w:val="fr-FR"/>
        </w:rPr>
        <w:t>’</w:t>
      </w:r>
      <w:r w:rsidRPr="00D05A66">
        <w:rPr>
          <w:lang w:val="fr-FR"/>
        </w:rPr>
        <w:t>êtres humains ont été portées devant les tribunaux et l</w:t>
      </w:r>
      <w:r w:rsidR="00795C5F">
        <w:rPr>
          <w:lang w:val="fr-FR"/>
        </w:rPr>
        <w:t>’</w:t>
      </w:r>
      <w:r w:rsidRPr="00D05A66">
        <w:rPr>
          <w:lang w:val="fr-FR"/>
        </w:rPr>
        <w:t>une des parties mises en cause a été reconnue coupable par la Cour intermédiaire</w:t>
      </w:r>
      <w:r w:rsidR="00795C5F">
        <w:rPr>
          <w:lang w:val="fr-FR"/>
        </w:rPr>
        <w:t> ;</w:t>
      </w:r>
    </w:p>
    <w:p w14:paraId="79E004FC" w14:textId="52585A40"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 xml:space="preserve">Un </w:t>
      </w:r>
      <w:r w:rsidR="004A7354">
        <w:rPr>
          <w:lang w:val="fr-FR"/>
        </w:rPr>
        <w:t>c</w:t>
      </w:r>
      <w:r w:rsidRPr="00D05A66">
        <w:rPr>
          <w:lang w:val="fr-FR"/>
        </w:rPr>
        <w:t>omité directeur institué au sein de la police se réunit régulièrement avec les services concernés, à savoir le Département central d</w:t>
      </w:r>
      <w:r w:rsidR="00795C5F">
        <w:rPr>
          <w:lang w:val="fr-FR"/>
        </w:rPr>
        <w:t>’</w:t>
      </w:r>
      <w:r w:rsidRPr="00D05A66">
        <w:rPr>
          <w:lang w:val="fr-FR"/>
        </w:rPr>
        <w:t xml:space="preserve">enquête criminelle, le </w:t>
      </w:r>
      <w:r w:rsidRPr="00D05A66">
        <w:rPr>
          <w:lang w:val="fr-FR"/>
        </w:rPr>
        <w:lastRenderedPageBreak/>
        <w:t>service de la police chargé de la protection de la famille, la Brigade pour la protection des mineurs, le Service de prévention de la criminalité, le Bureau du procureur de la police, l</w:t>
      </w:r>
      <w:r w:rsidR="00795C5F">
        <w:rPr>
          <w:lang w:val="fr-FR"/>
        </w:rPr>
        <w:t>’</w:t>
      </w:r>
      <w:r w:rsidRPr="00D05A66">
        <w:rPr>
          <w:lang w:val="fr-FR"/>
        </w:rPr>
        <w:t>École de police et le Bureau des archives criminelles</w:t>
      </w:r>
      <w:r w:rsidR="00ED416A">
        <w:rPr>
          <w:lang w:val="fr-FR"/>
        </w:rPr>
        <w:t> ;</w:t>
      </w:r>
    </w:p>
    <w:p w14:paraId="222C3C8C" w14:textId="53C07713"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Des séances de travail ont été organisées avec des responsables de l</w:t>
      </w:r>
      <w:r w:rsidR="00795C5F">
        <w:rPr>
          <w:lang w:val="fr-FR"/>
        </w:rPr>
        <w:t>’</w:t>
      </w:r>
      <w:r w:rsidRPr="00D05A66">
        <w:rPr>
          <w:lang w:val="fr-FR"/>
        </w:rPr>
        <w:t>ambassade des États-Unis, de la police et du Ministère de la défense en vue de déterminer les mesures à prendre pour faire passer Maurice du niveau 2 au niveau 1</w:t>
      </w:r>
      <w:r w:rsidR="00795C5F">
        <w:rPr>
          <w:lang w:val="fr-FR"/>
        </w:rPr>
        <w:t> ;</w:t>
      </w:r>
    </w:p>
    <w:p w14:paraId="161B8A39" w14:textId="53E5CF95"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La Brigade pour la protection des mineurs et le Service de prévention de la criminalité s</w:t>
      </w:r>
      <w:r w:rsidR="00795C5F">
        <w:rPr>
          <w:lang w:val="fr-FR"/>
        </w:rPr>
        <w:t>’</w:t>
      </w:r>
      <w:r w:rsidRPr="00D05A66">
        <w:rPr>
          <w:lang w:val="fr-FR"/>
        </w:rPr>
        <w:t>efforcent de repérer les enfants qui ne vont pas à l</w:t>
      </w:r>
      <w:r w:rsidR="00795C5F">
        <w:rPr>
          <w:lang w:val="fr-FR"/>
        </w:rPr>
        <w:t>’</w:t>
      </w:r>
      <w:r w:rsidRPr="00D05A66">
        <w:rPr>
          <w:lang w:val="fr-FR"/>
        </w:rPr>
        <w:t>école et de surveiller leurs activités</w:t>
      </w:r>
      <w:r w:rsidR="00795C5F">
        <w:rPr>
          <w:lang w:val="fr-FR"/>
        </w:rPr>
        <w:t> ;</w:t>
      </w:r>
    </w:p>
    <w:p w14:paraId="39926B7F" w14:textId="2B374CC4"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Des actions de sensibilisation sont menées dans les établissements scolaires du niveau primaire au niveau universitaire ainsi que sur les lieux des migrants afin de les informer de leurs droits. Une campagne d</w:t>
      </w:r>
      <w:r w:rsidR="00795C5F">
        <w:rPr>
          <w:lang w:val="fr-FR"/>
        </w:rPr>
        <w:t>’</w:t>
      </w:r>
      <w:r w:rsidRPr="00D05A66">
        <w:rPr>
          <w:lang w:val="fr-FR"/>
        </w:rPr>
        <w:t>affichage a également été lancée sur tout le territoire mauricien</w:t>
      </w:r>
      <w:r w:rsidR="00795C5F">
        <w:rPr>
          <w:lang w:val="fr-FR"/>
        </w:rPr>
        <w:t> ;</w:t>
      </w:r>
    </w:p>
    <w:p w14:paraId="4132C938" w14:textId="4C372BBF"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La police intervient, aux côtés d</w:t>
      </w:r>
      <w:r w:rsidR="00795C5F">
        <w:rPr>
          <w:lang w:val="fr-FR"/>
        </w:rPr>
        <w:t>’</w:t>
      </w:r>
      <w:r w:rsidRPr="00D05A66">
        <w:rPr>
          <w:lang w:val="fr-FR"/>
        </w:rPr>
        <w:t>autres institutions relevant des pouvoirs publics et d</w:t>
      </w:r>
      <w:r w:rsidR="00795C5F">
        <w:rPr>
          <w:lang w:val="fr-FR"/>
        </w:rPr>
        <w:t>’</w:t>
      </w:r>
      <w:r w:rsidRPr="00D05A66">
        <w:rPr>
          <w:lang w:val="fr-FR"/>
        </w:rPr>
        <w:t>organisations non gouvernementales, pour permettre aux jeunes qui abandonnent prématurément leurs études et les femmes qui se livrent à la prostitution de suivre une formation pour acquérir des compétences utiles sur le marché de l</w:t>
      </w:r>
      <w:r w:rsidR="00795C5F">
        <w:rPr>
          <w:lang w:val="fr-FR"/>
        </w:rPr>
        <w:t>’</w:t>
      </w:r>
      <w:r w:rsidRPr="00D05A66">
        <w:rPr>
          <w:lang w:val="fr-FR"/>
        </w:rPr>
        <w:t>emploi et les aider à s</w:t>
      </w:r>
      <w:r w:rsidR="00795C5F">
        <w:rPr>
          <w:lang w:val="fr-FR"/>
        </w:rPr>
        <w:t>’</w:t>
      </w:r>
      <w:r w:rsidRPr="00D05A66">
        <w:rPr>
          <w:lang w:val="fr-FR"/>
        </w:rPr>
        <w:t>intégrer dans la société.</w:t>
      </w:r>
    </w:p>
    <w:p w14:paraId="545E3A44" w14:textId="57D60BA8" w:rsidR="00D05A66" w:rsidRPr="00D05A66" w:rsidRDefault="00D05A66" w:rsidP="00D05A66">
      <w:pPr>
        <w:pStyle w:val="SingleTxt"/>
        <w:numPr>
          <w:ilvl w:val="0"/>
          <w:numId w:val="20"/>
        </w:numPr>
        <w:spacing w:line="240" w:lineRule="exact"/>
        <w:ind w:left="1267"/>
        <w:rPr>
          <w:lang w:val="fr-FR"/>
        </w:rPr>
      </w:pPr>
      <w:r w:rsidRPr="00D05A66">
        <w:rPr>
          <w:lang w:val="fr-FR"/>
        </w:rPr>
        <w:t>En collaboration avec l</w:t>
      </w:r>
      <w:r w:rsidR="00795C5F">
        <w:rPr>
          <w:lang w:val="fr-FR"/>
        </w:rPr>
        <w:t>’</w:t>
      </w:r>
      <w:r w:rsidRPr="00D05A66">
        <w:rPr>
          <w:lang w:val="fr-FR"/>
        </w:rPr>
        <w:t>Association des hôteliers et restaurateurs de l</w:t>
      </w:r>
      <w:r w:rsidR="00795C5F">
        <w:rPr>
          <w:lang w:val="fr-FR"/>
        </w:rPr>
        <w:t>’</w:t>
      </w:r>
      <w:r w:rsidR="00B65EDA">
        <w:rPr>
          <w:lang w:val="fr-FR"/>
        </w:rPr>
        <w:t>Î</w:t>
      </w:r>
      <w:r w:rsidRPr="00D05A66">
        <w:rPr>
          <w:lang w:val="fr-FR"/>
        </w:rPr>
        <w:t>le Maurice et avec le Bureau de la Médiatrice pour les enfants, le Ministère du tourisme a réalisé en 2010 une brochure qui met en avant les responsabilités du secteur du tourisme dans l</w:t>
      </w:r>
      <w:r w:rsidR="00795C5F">
        <w:rPr>
          <w:lang w:val="fr-FR"/>
        </w:rPr>
        <w:t>’</w:t>
      </w:r>
      <w:r w:rsidRPr="00D05A66">
        <w:rPr>
          <w:lang w:val="fr-FR"/>
        </w:rPr>
        <w:t>application de la politique de tolérance zéro à l</w:t>
      </w:r>
      <w:r w:rsidR="00795C5F">
        <w:rPr>
          <w:lang w:val="fr-FR"/>
        </w:rPr>
        <w:t>’</w:t>
      </w:r>
      <w:r w:rsidRPr="00D05A66">
        <w:rPr>
          <w:lang w:val="fr-FR"/>
        </w:rPr>
        <w:t>égard de l</w:t>
      </w:r>
      <w:r w:rsidR="00795C5F">
        <w:rPr>
          <w:lang w:val="fr-FR"/>
        </w:rPr>
        <w:t>’</w:t>
      </w:r>
      <w:r w:rsidRPr="00D05A66">
        <w:rPr>
          <w:lang w:val="fr-FR"/>
        </w:rPr>
        <w:t>exploitation sexuelle des enfants. Cette brochure est en cours d</w:t>
      </w:r>
      <w:r w:rsidR="00795C5F">
        <w:rPr>
          <w:lang w:val="fr-FR"/>
        </w:rPr>
        <w:t>’</w:t>
      </w:r>
      <w:r w:rsidRPr="00D05A66">
        <w:rPr>
          <w:lang w:val="fr-FR"/>
        </w:rPr>
        <w:t>actualisation et sera distribuée à tous les acteurs concernés. Les établissements touristiques sont agréés et contrôlés par les autorités en charge du tourisme, qui sanctionnent sévèrement tout lieu d</w:t>
      </w:r>
      <w:r w:rsidR="00795C5F">
        <w:rPr>
          <w:lang w:val="fr-FR"/>
        </w:rPr>
        <w:t>’</w:t>
      </w:r>
      <w:r w:rsidRPr="00D05A66">
        <w:rPr>
          <w:lang w:val="fr-FR"/>
        </w:rPr>
        <w:t>hébergement touristique qui serait impliqué dans des activités immorales, telles que la prostitution ou la traite d</w:t>
      </w:r>
      <w:r w:rsidR="00795C5F">
        <w:rPr>
          <w:lang w:val="fr-FR"/>
        </w:rPr>
        <w:t>’</w:t>
      </w:r>
      <w:r w:rsidRPr="00D05A66">
        <w:rPr>
          <w:lang w:val="fr-FR"/>
        </w:rPr>
        <w:t>enfants. En outre, lors des campagnes de sécurité menées par la police, des tracts ont été distribués au public, notamment à l</w:t>
      </w:r>
      <w:r w:rsidR="00795C5F">
        <w:rPr>
          <w:lang w:val="fr-FR"/>
        </w:rPr>
        <w:t>’</w:t>
      </w:r>
      <w:r w:rsidRPr="00D05A66">
        <w:rPr>
          <w:lang w:val="fr-FR"/>
        </w:rPr>
        <w:t>aéroport.</w:t>
      </w:r>
    </w:p>
    <w:p w14:paraId="3DEE2323" w14:textId="0C14DFEE" w:rsidR="00D05A66" w:rsidRPr="00D05A66" w:rsidRDefault="00D05A66" w:rsidP="00D05A66">
      <w:pPr>
        <w:pStyle w:val="SingleTxt"/>
        <w:numPr>
          <w:ilvl w:val="0"/>
          <w:numId w:val="20"/>
        </w:numPr>
        <w:spacing w:line="240" w:lineRule="exact"/>
        <w:ind w:left="1267"/>
        <w:rPr>
          <w:lang w:val="fr-FR"/>
        </w:rPr>
      </w:pPr>
      <w:r w:rsidRPr="00D05A66">
        <w:rPr>
          <w:lang w:val="fr-FR"/>
        </w:rPr>
        <w:t>Le Ministère de l</w:t>
      </w:r>
      <w:r w:rsidR="00795C5F">
        <w:rPr>
          <w:lang w:val="fr-FR"/>
        </w:rPr>
        <w:t>’</w:t>
      </w:r>
      <w:r w:rsidRPr="00D05A66">
        <w:rPr>
          <w:lang w:val="fr-FR"/>
        </w:rPr>
        <w:t>égalité des genres, du développement de l</w:t>
      </w:r>
      <w:r w:rsidR="00795C5F">
        <w:rPr>
          <w:lang w:val="fr-FR"/>
        </w:rPr>
        <w:t>’</w:t>
      </w:r>
      <w:r w:rsidRPr="00D05A66">
        <w:rPr>
          <w:lang w:val="fr-FR"/>
        </w:rPr>
        <w:t>enfant et du bien</w:t>
      </w:r>
      <w:r w:rsidR="00B65EDA">
        <w:rPr>
          <w:lang w:val="fr-FR"/>
        </w:rPr>
        <w:noBreakHyphen/>
      </w:r>
      <w:r w:rsidRPr="00D05A66">
        <w:rPr>
          <w:lang w:val="fr-FR"/>
        </w:rPr>
        <w:t>être de la famille est chargé de répondre aux besoins des enfants victimes d</w:t>
      </w:r>
      <w:r w:rsidR="00795C5F">
        <w:rPr>
          <w:lang w:val="fr-FR"/>
        </w:rPr>
        <w:t>’</w:t>
      </w:r>
      <w:r w:rsidRPr="00D05A66">
        <w:rPr>
          <w:lang w:val="fr-FR"/>
        </w:rPr>
        <w:t>exploitation sexuelle à des fins commerciales. La traite d</w:t>
      </w:r>
      <w:r w:rsidR="00795C5F">
        <w:rPr>
          <w:lang w:val="fr-FR"/>
        </w:rPr>
        <w:t>’</w:t>
      </w:r>
      <w:r w:rsidRPr="00D05A66">
        <w:rPr>
          <w:lang w:val="fr-FR"/>
        </w:rPr>
        <w:t>enfants constitue une infraction au regard de l</w:t>
      </w:r>
      <w:r w:rsidR="00795C5F">
        <w:rPr>
          <w:lang w:val="fr-FR"/>
        </w:rPr>
        <w:t>’</w:t>
      </w:r>
      <w:r w:rsidRPr="00D05A66">
        <w:rPr>
          <w:lang w:val="fr-FR"/>
        </w:rPr>
        <w:t>article 13 A de la loi relative à la protection de l</w:t>
      </w:r>
      <w:r w:rsidR="00795C5F">
        <w:rPr>
          <w:lang w:val="fr-FR"/>
        </w:rPr>
        <w:t>’</w:t>
      </w:r>
      <w:r w:rsidRPr="00D05A66">
        <w:rPr>
          <w:lang w:val="fr-FR"/>
        </w:rPr>
        <w:t>enfance, qui dispose ce qui suit</w:t>
      </w:r>
      <w:r w:rsidR="00795C5F">
        <w:rPr>
          <w:lang w:val="fr-FR"/>
        </w:rPr>
        <w:t> :</w:t>
      </w:r>
    </w:p>
    <w:p w14:paraId="73C6C6C9" w14:textId="2A4EAB24"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w:t>
      </w:r>
      <w:r>
        <w:rPr>
          <w:lang w:val="fr-FR"/>
        </w:rPr>
        <w:t> </w:t>
      </w:r>
      <w:r w:rsidRPr="00D05A66">
        <w:rPr>
          <w:lang w:val="fr-FR"/>
        </w:rPr>
        <w:t>Le fait de procéder illégalement et de son plein gré au recrutement, au transport, au transfert, au recel ou à l</w:t>
      </w:r>
      <w:r w:rsidR="00795C5F">
        <w:rPr>
          <w:lang w:val="fr-FR"/>
        </w:rPr>
        <w:t>’</w:t>
      </w:r>
      <w:r w:rsidRPr="00D05A66">
        <w:rPr>
          <w:lang w:val="fr-FR"/>
        </w:rPr>
        <w:t>accueil d</w:t>
      </w:r>
      <w:r w:rsidR="00795C5F">
        <w:rPr>
          <w:lang w:val="fr-FR"/>
        </w:rPr>
        <w:t>’</w:t>
      </w:r>
      <w:r w:rsidRPr="00D05A66">
        <w:rPr>
          <w:lang w:val="fr-FR"/>
        </w:rPr>
        <w:t>un enfant à des fins d</w:t>
      </w:r>
      <w:r w:rsidR="00795C5F">
        <w:rPr>
          <w:lang w:val="fr-FR"/>
        </w:rPr>
        <w:t>’</w:t>
      </w:r>
      <w:r w:rsidRPr="00D05A66">
        <w:rPr>
          <w:lang w:val="fr-FR"/>
        </w:rPr>
        <w:t>exploitation constitue une infraction et est passible d</w:t>
      </w:r>
      <w:r w:rsidR="00795C5F">
        <w:rPr>
          <w:lang w:val="fr-FR"/>
        </w:rPr>
        <w:t>’</w:t>
      </w:r>
      <w:r w:rsidRPr="00D05A66">
        <w:rPr>
          <w:lang w:val="fr-FR"/>
        </w:rPr>
        <w:t>une peine d</w:t>
      </w:r>
      <w:r w:rsidR="00795C5F">
        <w:rPr>
          <w:lang w:val="fr-FR"/>
        </w:rPr>
        <w:t>’</w:t>
      </w:r>
      <w:r w:rsidRPr="00D05A66">
        <w:rPr>
          <w:lang w:val="fr-FR"/>
        </w:rPr>
        <w:t>emprisonnement d</w:t>
      </w:r>
      <w:r w:rsidR="00795C5F">
        <w:rPr>
          <w:lang w:val="fr-FR"/>
        </w:rPr>
        <w:t>’</w:t>
      </w:r>
      <w:r w:rsidRPr="00D05A66">
        <w:rPr>
          <w:lang w:val="fr-FR"/>
        </w:rPr>
        <w:t>une durée maximale de 30 ans</w:t>
      </w:r>
      <w:r w:rsidR="00795C5F">
        <w:rPr>
          <w:lang w:val="fr-FR"/>
        </w:rPr>
        <w:t> ;</w:t>
      </w:r>
      <w:r w:rsidR="00592B48">
        <w:rPr>
          <w:lang w:val="fr-FR"/>
        </w:rPr>
        <w:t> </w:t>
      </w:r>
      <w:r w:rsidRPr="00D05A66">
        <w:rPr>
          <w:lang w:val="fr-FR"/>
        </w:rPr>
        <w:t>»</w:t>
      </w:r>
    </w:p>
    <w:p w14:paraId="2BC4FB64" w14:textId="71189F74"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t>«</w:t>
      </w:r>
      <w:r>
        <w:rPr>
          <w:lang w:val="fr-FR"/>
        </w:rPr>
        <w:t> </w:t>
      </w:r>
      <w:r w:rsidRPr="00D05A66">
        <w:rPr>
          <w:lang w:val="fr-FR"/>
        </w:rPr>
        <w:t>Le fait de procéder illégalement et de son plein gré au recrutement, au transport, au transfert, au recel ou à l</w:t>
      </w:r>
      <w:r w:rsidR="00795C5F">
        <w:rPr>
          <w:lang w:val="fr-FR"/>
        </w:rPr>
        <w:t>’</w:t>
      </w:r>
      <w:r w:rsidRPr="00D05A66">
        <w:rPr>
          <w:lang w:val="fr-FR"/>
        </w:rPr>
        <w:t>accueil d</w:t>
      </w:r>
      <w:r w:rsidR="00795C5F">
        <w:rPr>
          <w:lang w:val="fr-FR"/>
        </w:rPr>
        <w:t>’</w:t>
      </w:r>
      <w:r w:rsidRPr="00D05A66">
        <w:rPr>
          <w:lang w:val="fr-FR"/>
        </w:rPr>
        <w:t xml:space="preserve">un </w:t>
      </w:r>
      <w:r w:rsidR="004A7354" w:rsidRPr="00D05A66">
        <w:rPr>
          <w:lang w:val="fr-FR"/>
        </w:rPr>
        <w:t>enfant</w:t>
      </w:r>
      <w:r w:rsidR="00795C5F">
        <w:rPr>
          <w:lang w:val="fr-FR"/>
        </w:rPr>
        <w:t> :</w:t>
      </w:r>
      <w:r w:rsidRPr="00D05A66">
        <w:rPr>
          <w:lang w:val="fr-FR"/>
        </w:rPr>
        <w:t xml:space="preserve"> </w:t>
      </w:r>
    </w:p>
    <w:p w14:paraId="3EECF43C" w14:textId="68793B4C" w:rsidR="00D05A66" w:rsidRPr="00D05A66" w:rsidRDefault="00D05A66" w:rsidP="00D05A66">
      <w:pPr>
        <w:pStyle w:val="SingleTxt"/>
        <w:rPr>
          <w:lang w:val="fr-FR"/>
        </w:rPr>
      </w:pPr>
      <w:r>
        <w:rPr>
          <w:lang w:val="fr-FR"/>
        </w:rPr>
        <w:tab/>
      </w:r>
      <w:r w:rsidRPr="00D05A66">
        <w:rPr>
          <w:lang w:val="fr-FR"/>
        </w:rPr>
        <w:t>a)</w:t>
      </w:r>
      <w:r w:rsidRPr="00D05A66">
        <w:rPr>
          <w:lang w:val="fr-FR"/>
        </w:rPr>
        <w:tab/>
      </w:r>
      <w:r w:rsidR="00ED416A">
        <w:rPr>
          <w:lang w:val="fr-FR"/>
        </w:rPr>
        <w:t>À</w:t>
      </w:r>
      <w:r w:rsidRPr="00D05A66">
        <w:rPr>
          <w:lang w:val="fr-FR"/>
        </w:rPr>
        <w:t xml:space="preserve"> l</w:t>
      </w:r>
      <w:r w:rsidR="00795C5F">
        <w:rPr>
          <w:lang w:val="fr-FR"/>
        </w:rPr>
        <w:t>’</w:t>
      </w:r>
      <w:r w:rsidRPr="00D05A66">
        <w:rPr>
          <w:lang w:val="fr-FR"/>
        </w:rPr>
        <w:t>extérieur de Maurice à des fins d</w:t>
      </w:r>
      <w:r w:rsidR="00795C5F">
        <w:rPr>
          <w:lang w:val="fr-FR"/>
        </w:rPr>
        <w:t>’</w:t>
      </w:r>
      <w:r w:rsidRPr="00D05A66">
        <w:rPr>
          <w:lang w:val="fr-FR"/>
        </w:rPr>
        <w:t>exploitation à Maurice</w:t>
      </w:r>
      <w:r w:rsidR="00795C5F">
        <w:rPr>
          <w:lang w:val="fr-FR"/>
        </w:rPr>
        <w:t> ;</w:t>
      </w:r>
      <w:r w:rsidRPr="00D05A66">
        <w:rPr>
          <w:lang w:val="fr-FR"/>
        </w:rPr>
        <w:t xml:space="preserve"> ou</w:t>
      </w:r>
    </w:p>
    <w:p w14:paraId="23627186" w14:textId="250A9AFB" w:rsidR="00D05A66" w:rsidRPr="00D05A66" w:rsidRDefault="00D05A66" w:rsidP="00D05A66">
      <w:pPr>
        <w:pStyle w:val="SingleTxt"/>
        <w:rPr>
          <w:lang w:val="fr-FR"/>
        </w:rPr>
      </w:pPr>
      <w:r>
        <w:rPr>
          <w:lang w:val="fr-FR"/>
        </w:rPr>
        <w:tab/>
      </w:r>
      <w:r w:rsidRPr="00D05A66">
        <w:rPr>
          <w:lang w:val="fr-FR"/>
        </w:rPr>
        <w:t>b)</w:t>
      </w:r>
      <w:r w:rsidRPr="00D05A66">
        <w:rPr>
          <w:lang w:val="fr-FR"/>
        </w:rPr>
        <w:tab/>
      </w:r>
      <w:r w:rsidR="00ED416A">
        <w:rPr>
          <w:lang w:val="fr-FR"/>
        </w:rPr>
        <w:t>À</w:t>
      </w:r>
      <w:r w:rsidRPr="00D05A66">
        <w:rPr>
          <w:lang w:val="fr-FR"/>
        </w:rPr>
        <w:t xml:space="preserve"> Maurice à des fins d</w:t>
      </w:r>
      <w:r w:rsidR="00795C5F">
        <w:rPr>
          <w:lang w:val="fr-FR"/>
        </w:rPr>
        <w:t>’</w:t>
      </w:r>
      <w:r w:rsidRPr="00D05A66">
        <w:rPr>
          <w:lang w:val="fr-FR"/>
        </w:rPr>
        <w:t>exploitation à l</w:t>
      </w:r>
      <w:r w:rsidR="00795C5F">
        <w:rPr>
          <w:lang w:val="fr-FR"/>
        </w:rPr>
        <w:t>’</w:t>
      </w:r>
      <w:r w:rsidRPr="00D05A66">
        <w:rPr>
          <w:lang w:val="fr-FR"/>
        </w:rPr>
        <w:t>extérieur de Maurice</w:t>
      </w:r>
      <w:r w:rsidR="00795C5F">
        <w:rPr>
          <w:lang w:val="fr-FR"/>
        </w:rPr>
        <w:t> ;</w:t>
      </w:r>
    </w:p>
    <w:p w14:paraId="12A9DF59" w14:textId="72444E6B" w:rsidR="00D05A66" w:rsidRPr="00D05A66" w:rsidRDefault="00D05A66" w:rsidP="00D05A66">
      <w:pPr>
        <w:pStyle w:val="SingleTxt"/>
        <w:ind w:left="1742" w:hanging="475"/>
        <w:rPr>
          <w:lang w:val="fr-FR"/>
        </w:rPr>
      </w:pPr>
      <w:r>
        <w:rPr>
          <w:lang w:val="fr-FR"/>
        </w:rPr>
        <w:tab/>
      </w:r>
      <w:r w:rsidRPr="00D05A66">
        <w:rPr>
          <w:lang w:val="fr-FR"/>
        </w:rPr>
        <w:t>constitue une infraction et est passible d</w:t>
      </w:r>
      <w:r w:rsidR="00795C5F">
        <w:rPr>
          <w:lang w:val="fr-FR"/>
        </w:rPr>
        <w:t>’</w:t>
      </w:r>
      <w:r w:rsidRPr="00D05A66">
        <w:rPr>
          <w:lang w:val="fr-FR"/>
        </w:rPr>
        <w:t>une peine d</w:t>
      </w:r>
      <w:r w:rsidR="00795C5F">
        <w:rPr>
          <w:lang w:val="fr-FR"/>
        </w:rPr>
        <w:t>’</w:t>
      </w:r>
      <w:r w:rsidRPr="00D05A66">
        <w:rPr>
          <w:lang w:val="fr-FR"/>
        </w:rPr>
        <w:t>emprisonnement d</w:t>
      </w:r>
      <w:r w:rsidR="00795C5F">
        <w:rPr>
          <w:lang w:val="fr-FR"/>
        </w:rPr>
        <w:t>’</w:t>
      </w:r>
      <w:r w:rsidRPr="00D05A66">
        <w:rPr>
          <w:lang w:val="fr-FR"/>
        </w:rPr>
        <w:t>une durée maximale de 30 ans.</w:t>
      </w:r>
      <w:r w:rsidR="004A7354">
        <w:rPr>
          <w:lang w:val="fr-FR"/>
        </w:rPr>
        <w:t> </w:t>
      </w:r>
      <w:r w:rsidRPr="00D05A66">
        <w:rPr>
          <w:lang w:val="fr-FR"/>
        </w:rPr>
        <w:t>»</w:t>
      </w:r>
    </w:p>
    <w:p w14:paraId="19EA1F9E" w14:textId="69621B1C" w:rsidR="00D05A66" w:rsidRPr="00D05A66" w:rsidRDefault="00D05A66" w:rsidP="00D05A66">
      <w:pPr>
        <w:pStyle w:val="SingleTxt"/>
        <w:numPr>
          <w:ilvl w:val="0"/>
          <w:numId w:val="20"/>
        </w:numPr>
        <w:spacing w:line="240" w:lineRule="exact"/>
        <w:ind w:left="1267"/>
        <w:rPr>
          <w:lang w:val="fr-FR"/>
        </w:rPr>
      </w:pPr>
      <w:r w:rsidRPr="00D05A66">
        <w:rPr>
          <w:lang w:val="fr-FR"/>
        </w:rPr>
        <w:t>Un foyer d</w:t>
      </w:r>
      <w:r w:rsidR="00795C5F">
        <w:rPr>
          <w:lang w:val="fr-FR"/>
        </w:rPr>
        <w:t>’</w:t>
      </w:r>
      <w:r w:rsidRPr="00D05A66">
        <w:rPr>
          <w:lang w:val="fr-FR"/>
        </w:rPr>
        <w:t>accueil a ouvert ses portes en mai 2016 afin de répondre aux besoins de réinsertion des enfants victimes de violences sexuelles et d</w:t>
      </w:r>
      <w:r w:rsidR="00795C5F">
        <w:rPr>
          <w:lang w:val="fr-FR"/>
        </w:rPr>
        <w:t>’</w:t>
      </w:r>
      <w:r w:rsidRPr="00D05A66">
        <w:rPr>
          <w:lang w:val="fr-FR"/>
        </w:rPr>
        <w:t>exploitation sexuelle à des fins commerciales, e</w:t>
      </w:r>
      <w:r w:rsidR="004A7354">
        <w:rPr>
          <w:lang w:val="fr-FR"/>
        </w:rPr>
        <w:t>t</w:t>
      </w:r>
      <w:r w:rsidRPr="00D05A66">
        <w:rPr>
          <w:lang w:val="fr-FR"/>
        </w:rPr>
        <w:t xml:space="preserve"> ce compris la traite d</w:t>
      </w:r>
      <w:r w:rsidR="00795C5F">
        <w:rPr>
          <w:lang w:val="fr-FR"/>
        </w:rPr>
        <w:t>’</w:t>
      </w:r>
      <w:r w:rsidRPr="00D05A66">
        <w:rPr>
          <w:lang w:val="fr-FR"/>
        </w:rPr>
        <w:t>enfants. Il s</w:t>
      </w:r>
      <w:r w:rsidR="00795C5F">
        <w:rPr>
          <w:lang w:val="fr-FR"/>
        </w:rPr>
        <w:t>’</w:t>
      </w:r>
      <w:r w:rsidRPr="00D05A66">
        <w:rPr>
          <w:lang w:val="fr-FR"/>
        </w:rPr>
        <w:t>inscrit dans le droit fil des recommandations formulées en janvier 2016 par le Comité des droits de l</w:t>
      </w:r>
      <w:r w:rsidR="00795C5F">
        <w:rPr>
          <w:lang w:val="fr-FR"/>
        </w:rPr>
        <w:t>’</w:t>
      </w:r>
      <w:r w:rsidRPr="00D05A66">
        <w:rPr>
          <w:lang w:val="fr-FR"/>
        </w:rPr>
        <w:t>enfant de l</w:t>
      </w:r>
      <w:r w:rsidR="00795C5F">
        <w:rPr>
          <w:lang w:val="fr-FR"/>
        </w:rPr>
        <w:t>’</w:t>
      </w:r>
      <w:r w:rsidRPr="00D05A66">
        <w:rPr>
          <w:lang w:val="fr-FR"/>
        </w:rPr>
        <w:t xml:space="preserve">Organisation des Nations Unies en vue de renforcer les politiques et programmes </w:t>
      </w:r>
      <w:r w:rsidRPr="00D05A66">
        <w:rPr>
          <w:lang w:val="fr-FR"/>
        </w:rPr>
        <w:lastRenderedPageBreak/>
        <w:t>de prévention, de rétablissement, de réadaptation et de réinsertion des enfants victimes d</w:t>
      </w:r>
      <w:r w:rsidR="00795C5F">
        <w:rPr>
          <w:lang w:val="fr-FR"/>
        </w:rPr>
        <w:t>’</w:t>
      </w:r>
      <w:r w:rsidRPr="00D05A66">
        <w:rPr>
          <w:lang w:val="fr-FR"/>
        </w:rPr>
        <w:t>exploitation sexuelle à des fins commerciales. Géré par le Conseil national de l</w:t>
      </w:r>
      <w:r w:rsidR="00795C5F">
        <w:rPr>
          <w:lang w:val="fr-FR"/>
        </w:rPr>
        <w:t>’</w:t>
      </w:r>
      <w:r w:rsidRPr="00D05A66">
        <w:rPr>
          <w:lang w:val="fr-FR"/>
        </w:rPr>
        <w:t>enfance, le foyer peut héberger 32 enfants âgés de 0 à 18 ans, regroupés dans différents dortoirs en fonction de leur âge. Les installations dont il est doté permettent d</w:t>
      </w:r>
      <w:r w:rsidR="00795C5F">
        <w:rPr>
          <w:lang w:val="fr-FR"/>
        </w:rPr>
        <w:t>’</w:t>
      </w:r>
      <w:r w:rsidRPr="00D05A66">
        <w:rPr>
          <w:lang w:val="fr-FR"/>
        </w:rPr>
        <w:t>assurer une rétablissement et une réadaptation durables des victimes d</w:t>
      </w:r>
      <w:r w:rsidR="00795C5F">
        <w:rPr>
          <w:lang w:val="fr-FR"/>
        </w:rPr>
        <w:t>’</w:t>
      </w:r>
      <w:r w:rsidRPr="00D05A66">
        <w:rPr>
          <w:lang w:val="fr-FR"/>
        </w:rPr>
        <w:t>exploitation et de violences sexuelles, et proposent aux victimes des services efficaces, notamment des dispositifs de soutien spécifiques, tels que des psychothérapies et des stages de reconstruction de la personnalité. Les enfants sont renvoyés à l</w:t>
      </w:r>
      <w:r w:rsidR="00795C5F">
        <w:rPr>
          <w:lang w:val="fr-FR"/>
        </w:rPr>
        <w:t>’</w:t>
      </w:r>
      <w:r w:rsidRPr="00D05A66">
        <w:rPr>
          <w:lang w:val="fr-FR"/>
        </w:rPr>
        <w:t>école pour reprendre leurs études ou leur formation et acquérir les compétences nécessaires à leur réinsertion progressive dans la société.</w:t>
      </w:r>
    </w:p>
    <w:p w14:paraId="45CBB269" w14:textId="4CC5ABDA" w:rsidR="00D05A66" w:rsidRPr="00D05A66" w:rsidRDefault="00D05A66" w:rsidP="00D05A66">
      <w:pPr>
        <w:pStyle w:val="SingleTxt"/>
        <w:numPr>
          <w:ilvl w:val="0"/>
          <w:numId w:val="20"/>
        </w:numPr>
        <w:spacing w:line="240" w:lineRule="exact"/>
        <w:ind w:left="1267"/>
        <w:rPr>
          <w:lang w:val="fr-FR"/>
        </w:rPr>
      </w:pPr>
      <w:r w:rsidRPr="00D05A66">
        <w:rPr>
          <w:lang w:val="fr-FR"/>
        </w:rPr>
        <w:t>La question de l</w:t>
      </w:r>
      <w:r w:rsidR="00795C5F">
        <w:rPr>
          <w:lang w:val="fr-FR"/>
        </w:rPr>
        <w:t>’</w:t>
      </w:r>
      <w:r w:rsidRPr="00D05A66">
        <w:rPr>
          <w:lang w:val="fr-FR"/>
        </w:rPr>
        <w:t>exploitation sexuelle à des fins commerciales est également prise en charge dans le centre d</w:t>
      </w:r>
      <w:r w:rsidR="00795C5F">
        <w:rPr>
          <w:lang w:val="fr-FR"/>
        </w:rPr>
        <w:t>’</w:t>
      </w:r>
      <w:r w:rsidRPr="00D05A66">
        <w:rPr>
          <w:lang w:val="fr-FR"/>
        </w:rPr>
        <w:t>accueil géré par l</w:t>
      </w:r>
      <w:r w:rsidR="00795C5F">
        <w:rPr>
          <w:lang w:val="fr-FR"/>
        </w:rPr>
        <w:t>’</w:t>
      </w:r>
      <w:r w:rsidRPr="00D05A66">
        <w:rPr>
          <w:lang w:val="fr-FR"/>
        </w:rPr>
        <w:t>Association mauricienne de planning familial et de protection sociale. Entre janvier 2011 et mars 2018, quelque 2 960 dossiers lui ont été adressés, dont 23 cas présumés de prostitution d</w:t>
      </w:r>
      <w:r w:rsidR="00795C5F">
        <w:rPr>
          <w:lang w:val="fr-FR"/>
        </w:rPr>
        <w:t>’</w:t>
      </w:r>
      <w:r w:rsidRPr="00D05A66">
        <w:rPr>
          <w:lang w:val="fr-FR"/>
        </w:rPr>
        <w:t>enfants. Le centre offre à toutes les victimes d</w:t>
      </w:r>
      <w:r w:rsidR="00795C5F">
        <w:rPr>
          <w:lang w:val="fr-FR"/>
        </w:rPr>
        <w:t>’</w:t>
      </w:r>
      <w:r w:rsidRPr="00D05A66">
        <w:rPr>
          <w:lang w:val="fr-FR"/>
        </w:rPr>
        <w:t>exploitation sexuelle à des fins commerciales divers services</w:t>
      </w:r>
      <w:r w:rsidR="00795C5F">
        <w:rPr>
          <w:lang w:val="fr-FR"/>
        </w:rPr>
        <w:t> :</w:t>
      </w:r>
      <w:r w:rsidRPr="00D05A66">
        <w:rPr>
          <w:lang w:val="fr-FR"/>
        </w:rPr>
        <w:t xml:space="preserve"> accompagnement individuel, collectif, conjugal et parental, conseils psycho-sexologiques, informations relatives à la contraception, assistance téléphonique, consultations médicales mensuelles, activités de rééducation (</w:t>
      </w:r>
      <w:r w:rsidR="004A7354" w:rsidRPr="00D05A66">
        <w:rPr>
          <w:lang w:val="fr-FR"/>
        </w:rPr>
        <w:t>axées</w:t>
      </w:r>
      <w:r w:rsidR="004A7354">
        <w:rPr>
          <w:lang w:val="fr-FR"/>
        </w:rPr>
        <w:t> </w:t>
      </w:r>
      <w:r w:rsidRPr="00D05A66">
        <w:rPr>
          <w:lang w:val="fr-FR"/>
        </w:rPr>
        <w:t>notamment sur l</w:t>
      </w:r>
      <w:r w:rsidR="00795C5F">
        <w:rPr>
          <w:lang w:val="fr-FR"/>
        </w:rPr>
        <w:t>’</w:t>
      </w:r>
      <w:r w:rsidRPr="00D05A66">
        <w:rPr>
          <w:lang w:val="fr-FR"/>
        </w:rPr>
        <w:t>art et l</w:t>
      </w:r>
      <w:r w:rsidR="00795C5F">
        <w:rPr>
          <w:lang w:val="fr-FR"/>
        </w:rPr>
        <w:t>’</w:t>
      </w:r>
      <w:r w:rsidRPr="00D05A66">
        <w:rPr>
          <w:lang w:val="fr-FR"/>
        </w:rPr>
        <w:t>artisanat) à l</w:t>
      </w:r>
      <w:r w:rsidR="00795C5F">
        <w:rPr>
          <w:lang w:val="fr-FR"/>
        </w:rPr>
        <w:t>’</w:t>
      </w:r>
      <w:r w:rsidRPr="00D05A66">
        <w:rPr>
          <w:lang w:val="fr-FR"/>
        </w:rPr>
        <w:t>intention des victimes, visites au domicile des victimes et activités de prévention telles que des conférences publiques, jusque dans les établissements scolaires.</w:t>
      </w:r>
    </w:p>
    <w:p w14:paraId="328840F5" w14:textId="2651BA85" w:rsidR="00D05A66" w:rsidRPr="00D05A66" w:rsidRDefault="00D05A66" w:rsidP="00D05A66">
      <w:pPr>
        <w:pStyle w:val="SingleTxt"/>
        <w:numPr>
          <w:ilvl w:val="0"/>
          <w:numId w:val="20"/>
        </w:numPr>
        <w:spacing w:line="240" w:lineRule="exact"/>
        <w:ind w:left="1267"/>
        <w:rPr>
          <w:lang w:val="fr-FR"/>
        </w:rPr>
      </w:pPr>
      <w:r w:rsidRPr="00D05A66">
        <w:rPr>
          <w:lang w:val="fr-FR"/>
        </w:rPr>
        <w:t>Des efforts sont par ailleurs déployés pour faciliter le suivi des affaires de traite et de prostitution d</w:t>
      </w:r>
      <w:r w:rsidR="00795C5F">
        <w:rPr>
          <w:lang w:val="fr-FR"/>
        </w:rPr>
        <w:t>’</w:t>
      </w:r>
      <w:r w:rsidRPr="00D05A66">
        <w:rPr>
          <w:lang w:val="fr-FR"/>
        </w:rPr>
        <w:t>enfants, avec le concours de la Brigade pour la protection des mineurs, et pour fournir un appui psychosocial et proposer aux victimes de traite des solutions alternatives en vue de leur réorientation. Entre janvier et juin 2017, les actions de sensibilisation au problème de l</w:t>
      </w:r>
      <w:r w:rsidR="00795C5F">
        <w:rPr>
          <w:lang w:val="fr-FR"/>
        </w:rPr>
        <w:t>’</w:t>
      </w:r>
      <w:r w:rsidRPr="00D05A66">
        <w:rPr>
          <w:lang w:val="fr-FR"/>
        </w:rPr>
        <w:t>exploitation sexuelle à des fins commerciales menées par des agents de l</w:t>
      </w:r>
      <w:r w:rsidR="00795C5F">
        <w:rPr>
          <w:lang w:val="fr-FR"/>
        </w:rPr>
        <w:t>’</w:t>
      </w:r>
      <w:r w:rsidRPr="00D05A66">
        <w:rPr>
          <w:lang w:val="fr-FR"/>
        </w:rPr>
        <w:t>Unité du développement de l</w:t>
      </w:r>
      <w:r w:rsidR="00795C5F">
        <w:rPr>
          <w:lang w:val="fr-FR"/>
        </w:rPr>
        <w:t>’</w:t>
      </w:r>
      <w:r w:rsidRPr="00D05A66">
        <w:rPr>
          <w:lang w:val="fr-FR"/>
        </w:rPr>
        <w:t>enfant et des psychologues du centre d</w:t>
      </w:r>
      <w:r w:rsidR="00795C5F">
        <w:rPr>
          <w:lang w:val="fr-FR"/>
        </w:rPr>
        <w:t>’</w:t>
      </w:r>
      <w:r w:rsidRPr="00D05A66">
        <w:rPr>
          <w:lang w:val="fr-FR"/>
        </w:rPr>
        <w:t>accueil dans les établissements scolaires, les centres de protection sociale et les centres communautaires ont touché 1</w:t>
      </w:r>
      <w:r w:rsidR="004A7354">
        <w:rPr>
          <w:lang w:val="fr-FR"/>
        </w:rPr>
        <w:t> </w:t>
      </w:r>
      <w:r w:rsidRPr="00D05A66">
        <w:rPr>
          <w:lang w:val="fr-FR"/>
        </w:rPr>
        <w:t>090 personnes. Entre janvier et novembre 2017, l</w:t>
      </w:r>
      <w:r w:rsidR="00795C5F">
        <w:rPr>
          <w:lang w:val="fr-FR"/>
        </w:rPr>
        <w:t>’</w:t>
      </w:r>
      <w:r w:rsidRPr="00D05A66">
        <w:rPr>
          <w:lang w:val="fr-FR"/>
        </w:rPr>
        <w:t>Unité précitée a recensé un cas de traite d</w:t>
      </w:r>
      <w:r w:rsidR="00795C5F">
        <w:rPr>
          <w:lang w:val="fr-FR"/>
        </w:rPr>
        <w:t>’</w:t>
      </w:r>
      <w:r w:rsidRPr="00D05A66">
        <w:rPr>
          <w:lang w:val="fr-FR"/>
        </w:rPr>
        <w:t>enfant (concernant une fille). En novembre 2017, 49 membres des Forces de police, du Ministère de l</w:t>
      </w:r>
      <w:r w:rsidR="00795C5F">
        <w:rPr>
          <w:lang w:val="fr-FR"/>
        </w:rPr>
        <w:t>’</w:t>
      </w:r>
      <w:r w:rsidRPr="00D05A66">
        <w:rPr>
          <w:lang w:val="fr-FR"/>
        </w:rPr>
        <w:t>égalité des genres, du développement de l</w:t>
      </w:r>
      <w:r w:rsidR="00795C5F">
        <w:rPr>
          <w:lang w:val="fr-FR"/>
        </w:rPr>
        <w:t>’</w:t>
      </w:r>
      <w:r w:rsidRPr="00D05A66">
        <w:rPr>
          <w:lang w:val="fr-FR"/>
        </w:rPr>
        <w:t>enfant et du bien-être de la famille, du Ministère du travail, de la Commission nationale des droits de l</w:t>
      </w:r>
      <w:r w:rsidR="00795C5F">
        <w:rPr>
          <w:lang w:val="fr-FR"/>
        </w:rPr>
        <w:t>’</w:t>
      </w:r>
      <w:r w:rsidRPr="00D05A66">
        <w:rPr>
          <w:lang w:val="fr-FR"/>
        </w:rPr>
        <w:t>homme et du Bureau de la Médiatrice pour les enfants ont suivi une formation sur la lutte contre la traite des êtres humains. La formation a été organisée par IREX et l</w:t>
      </w:r>
      <w:r w:rsidR="00795C5F">
        <w:rPr>
          <w:lang w:val="fr-FR"/>
        </w:rPr>
        <w:t>’</w:t>
      </w:r>
      <w:r w:rsidRPr="00D05A66">
        <w:rPr>
          <w:lang w:val="fr-FR"/>
        </w:rPr>
        <w:t>ambassade des États-Unis, en collaboration avec la police. D</w:t>
      </w:r>
      <w:r w:rsidR="00795C5F">
        <w:rPr>
          <w:lang w:val="fr-FR"/>
        </w:rPr>
        <w:t>’</w:t>
      </w:r>
      <w:r w:rsidRPr="00D05A66">
        <w:rPr>
          <w:lang w:val="fr-FR"/>
        </w:rPr>
        <w:t>autres mesures ont été prises pour combattre l</w:t>
      </w:r>
      <w:r w:rsidR="00795C5F">
        <w:rPr>
          <w:lang w:val="fr-FR"/>
        </w:rPr>
        <w:t>’</w:t>
      </w:r>
      <w:r w:rsidRPr="00D05A66">
        <w:rPr>
          <w:lang w:val="fr-FR"/>
        </w:rPr>
        <w:t>exploitation sexuelle à des fins commerciales, parmi lesquelles</w:t>
      </w:r>
      <w:r w:rsidR="00795C5F">
        <w:rPr>
          <w:lang w:val="fr-FR"/>
        </w:rPr>
        <w:t> :</w:t>
      </w:r>
    </w:p>
    <w:p w14:paraId="3030D68A" w14:textId="0456D728"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a révision de la législation en vigueur afin de garantir une meilleure protection aux enfants victimes d</w:t>
      </w:r>
      <w:r w:rsidR="00795C5F">
        <w:rPr>
          <w:lang w:val="fr-FR"/>
        </w:rPr>
        <w:t>’</w:t>
      </w:r>
      <w:r w:rsidRPr="00D05A66">
        <w:rPr>
          <w:lang w:val="fr-FR"/>
        </w:rPr>
        <w:t>exploitation sexuelle à des fins commerciales, en ce compris la prostitution</w:t>
      </w:r>
      <w:r w:rsidR="00795C5F">
        <w:rPr>
          <w:lang w:val="fr-FR"/>
        </w:rPr>
        <w:t> ;</w:t>
      </w:r>
    </w:p>
    <w:p w14:paraId="5CA3364F" w14:textId="0818B795"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a refonte du cadre institutionnel censé assurer un suivi dans la prise en charge des victimes d</w:t>
      </w:r>
      <w:r w:rsidR="00795C5F">
        <w:rPr>
          <w:lang w:val="fr-FR"/>
        </w:rPr>
        <w:t>’</w:t>
      </w:r>
      <w:r w:rsidRPr="00D05A66">
        <w:rPr>
          <w:lang w:val="fr-FR"/>
        </w:rPr>
        <w:t>exploitation sexuelle à des fins commerciales, e</w:t>
      </w:r>
      <w:r w:rsidR="004A7354">
        <w:rPr>
          <w:lang w:val="fr-FR"/>
        </w:rPr>
        <w:t>t</w:t>
      </w:r>
      <w:r w:rsidRPr="00D05A66">
        <w:rPr>
          <w:lang w:val="fr-FR"/>
        </w:rPr>
        <w:t xml:space="preserve"> ce compris la prostitution</w:t>
      </w:r>
      <w:r w:rsidR="00795C5F">
        <w:rPr>
          <w:lang w:val="fr-FR"/>
        </w:rPr>
        <w:t> ;</w:t>
      </w:r>
    </w:p>
    <w:p w14:paraId="7C676E28" w14:textId="0DABB532"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00795C5F">
        <w:rPr>
          <w:lang w:val="fr-FR"/>
        </w:rPr>
        <w:t>’</w:t>
      </w:r>
      <w:r w:rsidRPr="00D05A66">
        <w:rPr>
          <w:lang w:val="fr-FR"/>
        </w:rPr>
        <w:t>ouverture, le 26 mai 2016, d</w:t>
      </w:r>
      <w:r w:rsidR="00795C5F">
        <w:rPr>
          <w:lang w:val="fr-FR"/>
        </w:rPr>
        <w:t>’</w:t>
      </w:r>
      <w:r w:rsidRPr="00D05A66">
        <w:rPr>
          <w:lang w:val="fr-FR"/>
        </w:rPr>
        <w:t>un centre d</w:t>
      </w:r>
      <w:r w:rsidR="00795C5F">
        <w:rPr>
          <w:lang w:val="fr-FR"/>
        </w:rPr>
        <w:t>’</w:t>
      </w:r>
      <w:r w:rsidRPr="00D05A66">
        <w:rPr>
          <w:lang w:val="fr-FR"/>
        </w:rPr>
        <w:t>accueil pleinement opérationnel pour les victimes d</w:t>
      </w:r>
      <w:r w:rsidR="00795C5F">
        <w:rPr>
          <w:lang w:val="fr-FR"/>
        </w:rPr>
        <w:t>’</w:t>
      </w:r>
      <w:r w:rsidRPr="00D05A66">
        <w:rPr>
          <w:lang w:val="fr-FR"/>
        </w:rPr>
        <w:t>exploitation sexuelle à des fins commerciales à Grande-Rivière-Nord-Ouest</w:t>
      </w:r>
      <w:r w:rsidR="00795C5F">
        <w:rPr>
          <w:lang w:val="fr-FR"/>
        </w:rPr>
        <w:t> ;</w:t>
      </w:r>
    </w:p>
    <w:p w14:paraId="26F9DF3B" w14:textId="48582B34"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e maintien et l</w:t>
      </w:r>
      <w:r w:rsidR="00795C5F">
        <w:rPr>
          <w:lang w:val="fr-FR"/>
        </w:rPr>
        <w:t>’</w:t>
      </w:r>
      <w:r w:rsidRPr="00D05A66">
        <w:rPr>
          <w:lang w:val="fr-FR"/>
        </w:rPr>
        <w:t>intensification de l</w:t>
      </w:r>
      <w:r w:rsidR="00795C5F">
        <w:rPr>
          <w:lang w:val="fr-FR"/>
        </w:rPr>
        <w:t>’</w:t>
      </w:r>
      <w:r w:rsidRPr="00D05A66">
        <w:rPr>
          <w:lang w:val="fr-FR"/>
        </w:rPr>
        <w:t>aide fournie par le centre d</w:t>
      </w:r>
      <w:r w:rsidR="00795C5F">
        <w:rPr>
          <w:lang w:val="fr-FR"/>
        </w:rPr>
        <w:t>’</w:t>
      </w:r>
      <w:r w:rsidRPr="00D05A66">
        <w:rPr>
          <w:lang w:val="fr-FR"/>
        </w:rPr>
        <w:t>accueil de jour pour les victimes d</w:t>
      </w:r>
      <w:r w:rsidR="00795C5F">
        <w:rPr>
          <w:lang w:val="fr-FR"/>
        </w:rPr>
        <w:t>’</w:t>
      </w:r>
      <w:r w:rsidRPr="00D05A66">
        <w:rPr>
          <w:lang w:val="fr-FR"/>
        </w:rPr>
        <w:t>exploitation sexuelle à des fins commerciales géré par l</w:t>
      </w:r>
      <w:r w:rsidR="00795C5F">
        <w:rPr>
          <w:lang w:val="fr-FR"/>
        </w:rPr>
        <w:t>’</w:t>
      </w:r>
      <w:r w:rsidRPr="00D05A66">
        <w:rPr>
          <w:lang w:val="fr-FR"/>
        </w:rPr>
        <w:t>Association mauricienne de planning familial et de protection sociale</w:t>
      </w:r>
      <w:r w:rsidR="00795C5F">
        <w:rPr>
          <w:lang w:val="fr-FR"/>
        </w:rPr>
        <w:t> ;</w:t>
      </w:r>
    </w:p>
    <w:p w14:paraId="5AF5A715" w14:textId="20AA599C" w:rsidR="00D05A66" w:rsidRPr="00D05A66" w:rsidRDefault="00D05A66" w:rsidP="00D05A66">
      <w:pPr>
        <w:pStyle w:val="SingleTxt"/>
        <w:tabs>
          <w:tab w:val="right" w:pos="1685"/>
        </w:tabs>
        <w:ind w:left="1742" w:hanging="475"/>
        <w:rPr>
          <w:lang w:val="fr-FR"/>
        </w:rPr>
      </w:pPr>
      <w:r>
        <w:rPr>
          <w:lang w:val="fr-FR"/>
        </w:rPr>
        <w:lastRenderedPageBreak/>
        <w:tab/>
      </w:r>
      <w:r w:rsidRPr="00D05A66">
        <w:rPr>
          <w:lang w:val="fr-FR"/>
        </w:rPr>
        <w:t>•</w:t>
      </w:r>
      <w:r w:rsidRPr="00D05A66">
        <w:rPr>
          <w:lang w:val="fr-FR"/>
        </w:rPr>
        <w:tab/>
      </w:r>
      <w:r>
        <w:rPr>
          <w:lang w:val="fr-FR"/>
        </w:rPr>
        <w:t>L</w:t>
      </w:r>
      <w:r w:rsidRPr="00D05A66">
        <w:rPr>
          <w:lang w:val="fr-FR"/>
        </w:rPr>
        <w:t>e renforcement des capacités de toutes les personnes travaillant avec des enfants entraînés dans la prostitution ou exposés à celle-ci, à savoir des fonctionnaires, des représentants de la société civile et d</w:t>
      </w:r>
      <w:r w:rsidR="00795C5F">
        <w:rPr>
          <w:lang w:val="fr-FR"/>
        </w:rPr>
        <w:t>’</w:t>
      </w:r>
      <w:r w:rsidRPr="00D05A66">
        <w:rPr>
          <w:lang w:val="fr-FR"/>
        </w:rPr>
        <w:t>organisations non gouvernementales, des parents (dans le cadre des «</w:t>
      </w:r>
      <w:r w:rsidR="002050E5">
        <w:rPr>
          <w:lang w:val="fr-FR"/>
        </w:rPr>
        <w:t> </w:t>
      </w:r>
      <w:r w:rsidRPr="00D05A66">
        <w:rPr>
          <w:lang w:val="fr-FR"/>
        </w:rPr>
        <w:t>Ateliers Partage-Parents</w:t>
      </w:r>
      <w:r w:rsidR="002050E5">
        <w:rPr>
          <w:lang w:val="fr-FR"/>
        </w:rPr>
        <w:t> </w:t>
      </w:r>
      <w:r w:rsidRPr="00D05A66">
        <w:rPr>
          <w:lang w:val="fr-FR"/>
        </w:rPr>
        <w:t>» et de séances d</w:t>
      </w:r>
      <w:r w:rsidR="00795C5F">
        <w:rPr>
          <w:lang w:val="fr-FR"/>
        </w:rPr>
        <w:t>’</w:t>
      </w:r>
      <w:r w:rsidRPr="00D05A66">
        <w:rPr>
          <w:lang w:val="fr-FR"/>
        </w:rPr>
        <w:t>information) et les enfants eux-mêmes (par le truchement de leurs propres associations et des associations scolaires de protection de l</w:t>
      </w:r>
      <w:r w:rsidR="00795C5F">
        <w:rPr>
          <w:lang w:val="fr-FR"/>
        </w:rPr>
        <w:t>’</w:t>
      </w:r>
      <w:r w:rsidRPr="00D05A66">
        <w:rPr>
          <w:lang w:val="fr-FR"/>
        </w:rPr>
        <w:t>enfance)</w:t>
      </w:r>
      <w:r w:rsidR="00795C5F">
        <w:rPr>
          <w:lang w:val="fr-FR"/>
        </w:rPr>
        <w:t> ;</w:t>
      </w:r>
    </w:p>
    <w:p w14:paraId="1D17C9DE" w14:textId="2657DD6A"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a mise en place de toute une série de dispositifs de prise en charge et de soutien, notamment dans les domaines biomédical, psychosocial, économique et juridique, afin d</w:t>
      </w:r>
      <w:r w:rsidR="00795C5F">
        <w:rPr>
          <w:lang w:val="fr-FR"/>
        </w:rPr>
        <w:t>’</w:t>
      </w:r>
      <w:r w:rsidRPr="00D05A66">
        <w:rPr>
          <w:lang w:val="fr-FR"/>
        </w:rPr>
        <w:t>atténuer et résorber les traumatismes que subissent les enfants victimes de prostitution et de renforcer leur résilience</w:t>
      </w:r>
      <w:r w:rsidR="00795C5F">
        <w:rPr>
          <w:lang w:val="fr-FR"/>
        </w:rPr>
        <w:t> ;</w:t>
      </w:r>
    </w:p>
    <w:p w14:paraId="34A7F914" w14:textId="67CDDFFF"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00795C5F">
        <w:rPr>
          <w:lang w:val="fr-FR"/>
        </w:rPr>
        <w:t>’</w:t>
      </w:r>
      <w:r w:rsidRPr="00D05A66">
        <w:rPr>
          <w:lang w:val="fr-FR"/>
        </w:rPr>
        <w:t>organisation, dans les établissements scolaires, les associations d</w:t>
      </w:r>
      <w:r w:rsidR="00795C5F">
        <w:rPr>
          <w:lang w:val="fr-FR"/>
        </w:rPr>
        <w:t>’</w:t>
      </w:r>
      <w:r w:rsidRPr="00D05A66">
        <w:rPr>
          <w:lang w:val="fr-FR"/>
        </w:rPr>
        <w:t>enfants et les associations scolaires de protection de l</w:t>
      </w:r>
      <w:r w:rsidR="00795C5F">
        <w:rPr>
          <w:lang w:val="fr-FR"/>
        </w:rPr>
        <w:t>’</w:t>
      </w:r>
      <w:r w:rsidRPr="00D05A66">
        <w:rPr>
          <w:lang w:val="fr-FR"/>
        </w:rPr>
        <w:t>enfance, d</w:t>
      </w:r>
      <w:r w:rsidR="00795C5F">
        <w:rPr>
          <w:lang w:val="fr-FR"/>
        </w:rPr>
        <w:t>’</w:t>
      </w:r>
      <w:r w:rsidRPr="00D05A66">
        <w:rPr>
          <w:lang w:val="fr-FR"/>
        </w:rPr>
        <w:t>actions de sensibilisation aux effets néfastes des violences infligées aux enfants, e</w:t>
      </w:r>
      <w:r w:rsidR="004A7354">
        <w:rPr>
          <w:lang w:val="fr-FR"/>
        </w:rPr>
        <w:t>t</w:t>
      </w:r>
      <w:r w:rsidRPr="00D05A66">
        <w:rPr>
          <w:lang w:val="fr-FR"/>
        </w:rPr>
        <w:t xml:space="preserve"> ce compris la prostitution d</w:t>
      </w:r>
      <w:r w:rsidR="00795C5F">
        <w:rPr>
          <w:lang w:val="fr-FR"/>
        </w:rPr>
        <w:t>’</w:t>
      </w:r>
      <w:r w:rsidRPr="00D05A66">
        <w:rPr>
          <w:lang w:val="fr-FR"/>
        </w:rPr>
        <w:t>enfants</w:t>
      </w:r>
      <w:r w:rsidR="00795C5F">
        <w:rPr>
          <w:lang w:val="fr-FR"/>
        </w:rPr>
        <w:t> ;</w:t>
      </w:r>
    </w:p>
    <w:p w14:paraId="2B0B4D48" w14:textId="75944477"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a tenue très régulière de campagnes multimédias sur les effets néfastes de la prostitution d</w:t>
      </w:r>
      <w:r w:rsidR="00795C5F">
        <w:rPr>
          <w:lang w:val="fr-FR"/>
        </w:rPr>
        <w:t>’</w:t>
      </w:r>
      <w:r w:rsidRPr="00D05A66">
        <w:rPr>
          <w:lang w:val="fr-FR"/>
        </w:rPr>
        <w:t>enfants</w:t>
      </w:r>
      <w:r w:rsidR="00795C5F">
        <w:rPr>
          <w:lang w:val="fr-FR"/>
        </w:rPr>
        <w:t> ;</w:t>
      </w:r>
    </w:p>
    <w:p w14:paraId="6BA094E7" w14:textId="54137E7E"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a création de comités locaux de surveillance ciblés sur les enfants dans les zones à haut risque afin de maintenir la sécurité dans les quartiers</w:t>
      </w:r>
      <w:r w:rsidR="00795C5F">
        <w:rPr>
          <w:lang w:val="fr-FR"/>
        </w:rPr>
        <w:t> ;</w:t>
      </w:r>
    </w:p>
    <w:p w14:paraId="0A7D4248" w14:textId="164DE3DD" w:rsidR="00D05A66" w:rsidRPr="00D05A66" w:rsidRDefault="00D05A66" w:rsidP="00D05A66">
      <w:pPr>
        <w:pStyle w:val="SingleTxt"/>
        <w:tabs>
          <w:tab w:val="right" w:pos="1685"/>
        </w:tabs>
        <w:ind w:left="1742" w:hanging="475"/>
        <w:rPr>
          <w:lang w:val="fr-FR"/>
        </w:rPr>
      </w:pPr>
      <w:r>
        <w:rPr>
          <w:lang w:val="fr-FR"/>
        </w:rPr>
        <w:tab/>
      </w:r>
      <w:r w:rsidRPr="00D05A66">
        <w:rPr>
          <w:lang w:val="fr-FR"/>
        </w:rPr>
        <w:t>•</w:t>
      </w:r>
      <w:r w:rsidRPr="00D05A66">
        <w:rPr>
          <w:lang w:val="fr-FR"/>
        </w:rPr>
        <w:tab/>
      </w:r>
      <w:r>
        <w:rPr>
          <w:lang w:val="fr-FR"/>
        </w:rPr>
        <w:t>L</w:t>
      </w:r>
      <w:r w:rsidRPr="00D05A66">
        <w:rPr>
          <w:lang w:val="fr-FR"/>
        </w:rPr>
        <w:t>a mise en place d</w:t>
      </w:r>
      <w:r w:rsidR="00795C5F">
        <w:rPr>
          <w:lang w:val="fr-FR"/>
        </w:rPr>
        <w:t>’</w:t>
      </w:r>
      <w:r w:rsidRPr="00D05A66">
        <w:rPr>
          <w:lang w:val="fr-FR"/>
        </w:rPr>
        <w:t>un système de tutorat pour les enfants exposés à la prostitution en raison de légers troubles comportementaux et de l</w:t>
      </w:r>
      <w:r w:rsidR="00795C5F">
        <w:rPr>
          <w:lang w:val="fr-FR"/>
        </w:rPr>
        <w:t>’</w:t>
      </w:r>
      <w:r w:rsidRPr="00D05A66">
        <w:rPr>
          <w:lang w:val="fr-FR"/>
        </w:rPr>
        <w:t>incapacité de leurs parents à les surveiller convenablement.</w:t>
      </w:r>
    </w:p>
    <w:p w14:paraId="2AC09F18" w14:textId="6C98B780" w:rsidR="00D05A66" w:rsidRPr="00253578" w:rsidRDefault="00D05A66" w:rsidP="00253578">
      <w:pPr>
        <w:pStyle w:val="SingleTxt"/>
        <w:spacing w:after="0" w:line="120" w:lineRule="exact"/>
        <w:rPr>
          <w:sz w:val="10"/>
          <w:lang w:val="fr-FR"/>
        </w:rPr>
      </w:pPr>
    </w:p>
    <w:p w14:paraId="39C49CE4" w14:textId="77777777" w:rsidR="00253578" w:rsidRPr="00D05A66" w:rsidRDefault="00253578" w:rsidP="00D05A66">
      <w:pPr>
        <w:pStyle w:val="SingleTxt"/>
        <w:spacing w:after="0" w:line="120" w:lineRule="exact"/>
        <w:rPr>
          <w:sz w:val="10"/>
          <w:lang w:val="fr-FR"/>
        </w:rPr>
      </w:pPr>
    </w:p>
    <w:p w14:paraId="0264680D" w14:textId="3AA416FD" w:rsidR="00D05A66" w:rsidRDefault="00D05A66" w:rsidP="002535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5A66">
        <w:rPr>
          <w:lang w:val="fr-FR"/>
        </w:rPr>
        <w:tab/>
      </w:r>
      <w:r w:rsidRPr="00D05A66">
        <w:rPr>
          <w:lang w:val="fr-FR"/>
        </w:rPr>
        <w:tab/>
        <w:t>Participation à la vie politique et à la vie publique</w:t>
      </w:r>
    </w:p>
    <w:p w14:paraId="4412B563" w14:textId="46C3A62D" w:rsidR="00D05A66" w:rsidRPr="00253578" w:rsidRDefault="00D05A66" w:rsidP="00253578">
      <w:pPr>
        <w:pStyle w:val="SingleTxt"/>
        <w:spacing w:after="0" w:line="120" w:lineRule="exact"/>
        <w:rPr>
          <w:sz w:val="10"/>
          <w:lang w:val="fr-FR"/>
        </w:rPr>
      </w:pPr>
    </w:p>
    <w:p w14:paraId="5ACAF3E6" w14:textId="77777777" w:rsidR="00253578" w:rsidRPr="00D05A66" w:rsidRDefault="00253578" w:rsidP="00D05A66">
      <w:pPr>
        <w:pStyle w:val="SingleTxt"/>
        <w:spacing w:after="0" w:line="120" w:lineRule="exact"/>
        <w:rPr>
          <w:sz w:val="10"/>
          <w:lang w:val="fr-FR"/>
        </w:rPr>
      </w:pPr>
    </w:p>
    <w:p w14:paraId="60F86E6C" w14:textId="1D98BC91" w:rsidR="00D05A66" w:rsidRPr="00253578" w:rsidRDefault="00D05A66" w:rsidP="00D05A66">
      <w:pPr>
        <w:pStyle w:val="SingleTxt"/>
        <w:numPr>
          <w:ilvl w:val="0"/>
          <w:numId w:val="20"/>
        </w:numPr>
        <w:spacing w:line="240" w:lineRule="exact"/>
        <w:ind w:left="1267"/>
        <w:rPr>
          <w:w w:val="100"/>
          <w:lang w:val="fr-FR"/>
        </w:rPr>
      </w:pPr>
      <w:r w:rsidRPr="00253578">
        <w:rPr>
          <w:w w:val="100"/>
          <w:lang w:val="fr-FR"/>
        </w:rPr>
        <w:t>Le Gouvernement mauricien est conscient de la nécessité d</w:t>
      </w:r>
      <w:r w:rsidR="00795C5F">
        <w:rPr>
          <w:w w:val="100"/>
          <w:lang w:val="fr-FR"/>
        </w:rPr>
        <w:t>’</w:t>
      </w:r>
      <w:r w:rsidRPr="00253578">
        <w:rPr>
          <w:w w:val="100"/>
          <w:lang w:val="fr-FR"/>
        </w:rPr>
        <w:t>amener les femmes à participer davantage au processus démocratique du pays. Conformément aux engagements qu</w:t>
      </w:r>
      <w:r w:rsidR="00795C5F">
        <w:rPr>
          <w:w w:val="100"/>
          <w:lang w:val="fr-FR"/>
        </w:rPr>
        <w:t>’</w:t>
      </w:r>
      <w:r w:rsidRPr="00253578">
        <w:rPr>
          <w:w w:val="100"/>
          <w:lang w:val="fr-FR"/>
        </w:rPr>
        <w:t>il a pris au niveau international et régional en matière de droits de l</w:t>
      </w:r>
      <w:r w:rsidR="00795C5F">
        <w:rPr>
          <w:w w:val="100"/>
          <w:lang w:val="fr-FR"/>
        </w:rPr>
        <w:t>’</w:t>
      </w:r>
      <w:r w:rsidRPr="00253578">
        <w:rPr>
          <w:w w:val="100"/>
          <w:lang w:val="fr-FR"/>
        </w:rPr>
        <w:t>homme, il a promulgué, en 2011, une loi sur la gouvernance locale disposant que tout groupe qui représente plus de deux candidats dans une circonscription électorale doit veiller à ce que ces candidats ne soient pas du même sexe. En outre, la liste de réserve de candidats présentée par les partis ou groupes politiques à la Commission de supervision électorale en vue de pourvoir des postes vacants ne doit pas être composée à plus de deux tiers de personnes du même sexe. L</w:t>
      </w:r>
      <w:r w:rsidR="00795C5F">
        <w:rPr>
          <w:w w:val="100"/>
          <w:lang w:val="fr-FR"/>
        </w:rPr>
        <w:t>’</w:t>
      </w:r>
      <w:r w:rsidRPr="00253578">
        <w:rPr>
          <w:w w:val="100"/>
          <w:lang w:val="fr-FR"/>
        </w:rPr>
        <w:t>ordre de préséance de chaque candidat doit être indiqué sur la liste, sous réserve qu</w:t>
      </w:r>
      <w:r w:rsidR="00795C5F">
        <w:rPr>
          <w:w w:val="100"/>
          <w:lang w:val="fr-FR"/>
        </w:rPr>
        <w:t>’</w:t>
      </w:r>
      <w:r w:rsidRPr="00253578">
        <w:rPr>
          <w:w w:val="100"/>
          <w:lang w:val="fr-FR"/>
        </w:rPr>
        <w:t>elle ne comporte pas plus de deux candidats consécutifs du même sexe. Des modifications ont par ailleurs été apportées à la Constitution afin de fixer un nombre minimum de candidats d</w:t>
      </w:r>
      <w:r w:rsidR="00795C5F">
        <w:rPr>
          <w:w w:val="100"/>
          <w:lang w:val="fr-FR"/>
        </w:rPr>
        <w:t>’</w:t>
      </w:r>
      <w:r w:rsidRPr="00253578">
        <w:rPr>
          <w:w w:val="100"/>
          <w:lang w:val="fr-FR"/>
        </w:rPr>
        <w:t>un sexe donné aux élections locales, de manière à garantir une représentation adéquate de chaque sexe. Ces dispositions législatives marquent une évolution majeure en ce qu</w:t>
      </w:r>
      <w:r w:rsidR="00795C5F">
        <w:rPr>
          <w:w w:val="100"/>
          <w:lang w:val="fr-FR"/>
        </w:rPr>
        <w:t>’</w:t>
      </w:r>
      <w:r w:rsidRPr="00253578">
        <w:rPr>
          <w:w w:val="100"/>
          <w:lang w:val="fr-FR"/>
        </w:rPr>
        <w:t>elles se sont traduites par une hausse sensible du pourcentage de femmes élues aux scrutins locaux, passé de 12,7</w:t>
      </w:r>
      <w:r w:rsidR="00795C5F">
        <w:rPr>
          <w:w w:val="100"/>
          <w:lang w:val="fr-FR"/>
        </w:rPr>
        <w:t> %</w:t>
      </w:r>
      <w:r w:rsidRPr="00253578">
        <w:rPr>
          <w:w w:val="100"/>
          <w:lang w:val="fr-FR"/>
        </w:rPr>
        <w:t xml:space="preserve"> en 2005 à 36,7</w:t>
      </w:r>
      <w:r w:rsidR="00795C5F">
        <w:rPr>
          <w:w w:val="100"/>
          <w:lang w:val="fr-FR"/>
        </w:rPr>
        <w:t> %</w:t>
      </w:r>
      <w:r w:rsidRPr="00253578">
        <w:rPr>
          <w:w w:val="100"/>
          <w:lang w:val="fr-FR"/>
        </w:rPr>
        <w:t xml:space="preserve"> en 2012 et 34,2</w:t>
      </w:r>
      <w:r w:rsidR="00795C5F">
        <w:rPr>
          <w:w w:val="100"/>
          <w:lang w:val="fr-FR"/>
        </w:rPr>
        <w:t> %</w:t>
      </w:r>
      <w:r w:rsidRPr="00253578">
        <w:rPr>
          <w:w w:val="100"/>
          <w:lang w:val="fr-FR"/>
        </w:rPr>
        <w:t xml:space="preserve"> en 2015 aux élections municipales, et de 5,7</w:t>
      </w:r>
      <w:r w:rsidR="00795C5F">
        <w:rPr>
          <w:w w:val="100"/>
          <w:lang w:val="fr-FR"/>
        </w:rPr>
        <w:t> %</w:t>
      </w:r>
      <w:r w:rsidRPr="00253578">
        <w:rPr>
          <w:w w:val="100"/>
          <w:lang w:val="fr-FR"/>
        </w:rPr>
        <w:t xml:space="preserve"> en 2005 à 25,4</w:t>
      </w:r>
      <w:r w:rsidR="00795C5F">
        <w:rPr>
          <w:w w:val="100"/>
          <w:lang w:val="fr-FR"/>
        </w:rPr>
        <w:t> %</w:t>
      </w:r>
      <w:r w:rsidRPr="00253578">
        <w:rPr>
          <w:w w:val="100"/>
          <w:lang w:val="fr-FR"/>
        </w:rPr>
        <w:t xml:space="preserve"> en 2012 aux élections des conseils de village. Compte tenu des difficultés rencontrées par les conseillères municipales et les conseillères des villages à s</w:t>
      </w:r>
      <w:r w:rsidR="00795C5F">
        <w:rPr>
          <w:w w:val="100"/>
          <w:lang w:val="fr-FR"/>
        </w:rPr>
        <w:t>’</w:t>
      </w:r>
      <w:r w:rsidRPr="00253578">
        <w:rPr>
          <w:w w:val="100"/>
          <w:lang w:val="fr-FR"/>
        </w:rPr>
        <w:t>acquitter efficacement de leurs missions et à appliquer une démarche soucieuse de l</w:t>
      </w:r>
      <w:r w:rsidR="00795C5F">
        <w:rPr>
          <w:w w:val="100"/>
          <w:lang w:val="fr-FR"/>
        </w:rPr>
        <w:t>’</w:t>
      </w:r>
      <w:r w:rsidRPr="00253578">
        <w:rPr>
          <w:w w:val="100"/>
          <w:lang w:val="fr-FR"/>
        </w:rPr>
        <w:t>égalité des sexes au sein des autorités locales, le Ministère de l</w:t>
      </w:r>
      <w:r w:rsidR="00795C5F">
        <w:rPr>
          <w:w w:val="100"/>
          <w:lang w:val="fr-FR"/>
        </w:rPr>
        <w:t>’</w:t>
      </w:r>
      <w:r w:rsidRPr="00253578">
        <w:rPr>
          <w:w w:val="100"/>
          <w:lang w:val="fr-FR"/>
        </w:rPr>
        <w:t>égalité des genres, du développement de l</w:t>
      </w:r>
      <w:r w:rsidR="00795C5F">
        <w:rPr>
          <w:w w:val="100"/>
          <w:lang w:val="fr-FR"/>
        </w:rPr>
        <w:t>’</w:t>
      </w:r>
      <w:r w:rsidRPr="00253578">
        <w:rPr>
          <w:w w:val="100"/>
          <w:lang w:val="fr-FR"/>
        </w:rPr>
        <w:t>enfant et du bien-être de la famille, en collaboration avec le Ministère des administrations régionales et des îles, a mis en place en 2016 un programme sur mesure destiné à les y aider.</w:t>
      </w:r>
    </w:p>
    <w:p w14:paraId="35B10BD1" w14:textId="3CCD05E5" w:rsidR="00D05A66" w:rsidRPr="00D05A66" w:rsidRDefault="00D05A66" w:rsidP="00D05A66">
      <w:pPr>
        <w:pStyle w:val="SingleTxt"/>
        <w:numPr>
          <w:ilvl w:val="0"/>
          <w:numId w:val="20"/>
        </w:numPr>
        <w:spacing w:line="240" w:lineRule="exact"/>
        <w:ind w:left="1267"/>
        <w:rPr>
          <w:lang w:val="fr-FR"/>
        </w:rPr>
      </w:pPr>
      <w:r w:rsidRPr="00D05A66">
        <w:rPr>
          <w:lang w:val="fr-FR"/>
        </w:rPr>
        <w:t>À l</w:t>
      </w:r>
      <w:r w:rsidR="00795C5F">
        <w:rPr>
          <w:lang w:val="fr-FR"/>
        </w:rPr>
        <w:t>’</w:t>
      </w:r>
      <w:r w:rsidRPr="00D05A66">
        <w:rPr>
          <w:lang w:val="fr-FR"/>
        </w:rPr>
        <w:t>issue des élections législatives de décembre 2014, une femme a été nommée Présidente de la République par le Gouvernement, pour la première fois dans l</w:t>
      </w:r>
      <w:r w:rsidR="00795C5F">
        <w:rPr>
          <w:lang w:val="fr-FR"/>
        </w:rPr>
        <w:t>’</w:t>
      </w:r>
      <w:r w:rsidRPr="00D05A66">
        <w:rPr>
          <w:lang w:val="fr-FR"/>
        </w:rPr>
        <w:t>histoire du pays. En outre, la présidence de l</w:t>
      </w:r>
      <w:r w:rsidR="00795C5F">
        <w:rPr>
          <w:lang w:val="fr-FR"/>
        </w:rPr>
        <w:t>’</w:t>
      </w:r>
      <w:r w:rsidRPr="00D05A66">
        <w:rPr>
          <w:lang w:val="fr-FR"/>
        </w:rPr>
        <w:t xml:space="preserve">Assemblée nationale est actuellement </w:t>
      </w:r>
      <w:r w:rsidRPr="00D05A66">
        <w:rPr>
          <w:lang w:val="fr-FR"/>
        </w:rPr>
        <w:lastRenderedPageBreak/>
        <w:t>assurée, elle aussi, par une femme. Sur les 70 membres de l</w:t>
      </w:r>
      <w:r w:rsidR="00795C5F">
        <w:rPr>
          <w:lang w:val="fr-FR"/>
        </w:rPr>
        <w:t>’</w:t>
      </w:r>
      <w:r w:rsidRPr="00D05A66">
        <w:rPr>
          <w:lang w:val="fr-FR"/>
        </w:rPr>
        <w:t>Assemblée nationale, huit</w:t>
      </w:r>
      <w:r w:rsidR="006E1537">
        <w:rPr>
          <w:lang w:val="fr-FR"/>
        </w:rPr>
        <w:t> </w:t>
      </w:r>
      <w:r w:rsidRPr="00D05A66">
        <w:rPr>
          <w:lang w:val="fr-FR"/>
        </w:rPr>
        <w:t>(8) sont des femmes (soit 11,4</w:t>
      </w:r>
      <w:r w:rsidR="00795C5F">
        <w:rPr>
          <w:lang w:val="fr-FR"/>
        </w:rPr>
        <w:t> %</w:t>
      </w:r>
      <w:r w:rsidRPr="00D05A66">
        <w:rPr>
          <w:lang w:val="fr-FR"/>
        </w:rPr>
        <w:t>), dont trois (3) ont rang de ministre. La Commission des comptes publics a de surcroît choisi une femme pour Présidente, en mars 2017. En décembre 2017, à la suite d</w:t>
      </w:r>
      <w:r w:rsidR="00795C5F">
        <w:rPr>
          <w:lang w:val="fr-FR"/>
        </w:rPr>
        <w:t>’</w:t>
      </w:r>
      <w:r w:rsidRPr="00D05A66">
        <w:rPr>
          <w:lang w:val="fr-FR"/>
        </w:rPr>
        <w:t xml:space="preserve">un remaniement du Conseil des ministres, une femme a été nommée Vice-Première Ministre et Ministre des administrations régionales et des îles. </w:t>
      </w:r>
    </w:p>
    <w:p w14:paraId="641F0E97" w14:textId="5133C575" w:rsidR="00D05A66" w:rsidRPr="00D05A66" w:rsidRDefault="00D05A66" w:rsidP="00D05A66">
      <w:pPr>
        <w:pStyle w:val="SingleTxt"/>
        <w:numPr>
          <w:ilvl w:val="0"/>
          <w:numId w:val="20"/>
        </w:numPr>
        <w:spacing w:line="240" w:lineRule="exact"/>
        <w:ind w:left="1267"/>
        <w:rPr>
          <w:lang w:val="fr-FR"/>
        </w:rPr>
      </w:pPr>
      <w:r w:rsidRPr="00D05A66">
        <w:rPr>
          <w:lang w:val="fr-FR"/>
        </w:rPr>
        <w:t>Au Parlement, il demeure très difficile d</w:t>
      </w:r>
      <w:r w:rsidR="00795C5F">
        <w:rPr>
          <w:lang w:val="fr-FR"/>
        </w:rPr>
        <w:t>’</w:t>
      </w:r>
      <w:r w:rsidRPr="00D05A66">
        <w:rPr>
          <w:lang w:val="fr-FR"/>
        </w:rPr>
        <w:t>obtenir une représentation plus équilibrée des femmes en raison du système électoral en vigueur, à savoir le scrutin majoritaire à un tour. Pour y remédier, il faudrait parvenir à un accord permettant de réformer le système électoral et d</w:t>
      </w:r>
      <w:r w:rsidR="00795C5F">
        <w:rPr>
          <w:lang w:val="fr-FR"/>
        </w:rPr>
        <w:t>’</w:t>
      </w:r>
      <w:r w:rsidRPr="00D05A66">
        <w:rPr>
          <w:lang w:val="fr-FR"/>
        </w:rPr>
        <w:t xml:space="preserve">instaurer des quotas pour tenir compte de la complexité de la composition pluriethnique de la société mauricienne et donner aux femmes la possibilité de participer pleinement au processus démocratique. </w:t>
      </w:r>
    </w:p>
    <w:p w14:paraId="167FA381" w14:textId="2984854F" w:rsidR="00D05A66" w:rsidRPr="00D05A66" w:rsidRDefault="00D05A66" w:rsidP="00D05A66">
      <w:pPr>
        <w:pStyle w:val="SingleTxt"/>
        <w:numPr>
          <w:ilvl w:val="0"/>
          <w:numId w:val="20"/>
        </w:numPr>
        <w:spacing w:line="240" w:lineRule="exact"/>
        <w:ind w:left="1267"/>
        <w:rPr>
          <w:lang w:val="fr-FR"/>
        </w:rPr>
      </w:pPr>
      <w:r w:rsidRPr="00D05A66">
        <w:rPr>
          <w:lang w:val="fr-FR"/>
        </w:rPr>
        <w:t>Un groupe de réflexion parlementaire sur l</w:t>
      </w:r>
      <w:r w:rsidR="00795C5F">
        <w:rPr>
          <w:lang w:val="fr-FR"/>
        </w:rPr>
        <w:t>’</w:t>
      </w:r>
      <w:r w:rsidRPr="00D05A66">
        <w:rPr>
          <w:lang w:val="fr-FR"/>
        </w:rPr>
        <w:t>égalité des sexes a été constitué en mars 2017 par M</w:t>
      </w:r>
      <w:r w:rsidRPr="00415B49">
        <w:rPr>
          <w:vertAlign w:val="superscript"/>
          <w:lang w:val="fr-FR"/>
        </w:rPr>
        <w:t>me</w:t>
      </w:r>
      <w:r w:rsidR="00415B49">
        <w:rPr>
          <w:lang w:val="fr-FR"/>
        </w:rPr>
        <w:t> </w:t>
      </w:r>
      <w:r w:rsidRPr="00D05A66">
        <w:rPr>
          <w:lang w:val="fr-FR"/>
        </w:rPr>
        <w:t>Santi Bai Hanoomanjee, Présidente de l</w:t>
      </w:r>
      <w:r w:rsidR="00795C5F">
        <w:rPr>
          <w:lang w:val="fr-FR"/>
        </w:rPr>
        <w:t>’</w:t>
      </w:r>
      <w:r w:rsidRPr="00D05A66">
        <w:rPr>
          <w:lang w:val="fr-FR"/>
        </w:rPr>
        <w:t>Assemblée nationale mauricienne portant le titre honorifique de Grand Commandeur de l</w:t>
      </w:r>
      <w:r w:rsidR="00795C5F">
        <w:rPr>
          <w:lang w:val="fr-FR"/>
        </w:rPr>
        <w:t>’</w:t>
      </w:r>
      <w:r w:rsidRPr="00D05A66">
        <w:rPr>
          <w:lang w:val="fr-FR"/>
        </w:rPr>
        <w:t>Ordre de l</w:t>
      </w:r>
      <w:r w:rsidR="00795C5F">
        <w:rPr>
          <w:lang w:val="fr-FR"/>
        </w:rPr>
        <w:t>’</w:t>
      </w:r>
      <w:r w:rsidRPr="00D05A66">
        <w:rPr>
          <w:lang w:val="fr-FR"/>
        </w:rPr>
        <w:t>Étoile et de la Cl</w:t>
      </w:r>
      <w:r w:rsidR="004A7354">
        <w:rPr>
          <w:lang w:val="fr-FR"/>
        </w:rPr>
        <w:t>ef</w:t>
      </w:r>
      <w:r w:rsidRPr="00D05A66">
        <w:rPr>
          <w:lang w:val="fr-FR"/>
        </w:rPr>
        <w:t xml:space="preserve"> de l</w:t>
      </w:r>
      <w:r w:rsidR="00795C5F">
        <w:rPr>
          <w:lang w:val="fr-FR"/>
        </w:rPr>
        <w:t>’</w:t>
      </w:r>
      <w:r w:rsidRPr="00D05A66">
        <w:rPr>
          <w:lang w:val="fr-FR"/>
        </w:rPr>
        <w:t>Océan Indien (Grand Commander of the Order of the Star and Key of the Indian Ocean). Il s</w:t>
      </w:r>
      <w:r w:rsidR="00795C5F">
        <w:rPr>
          <w:lang w:val="fr-FR"/>
        </w:rPr>
        <w:t>’</w:t>
      </w:r>
      <w:r w:rsidRPr="00D05A66">
        <w:rPr>
          <w:lang w:val="fr-FR"/>
        </w:rPr>
        <w:t>agit d</w:t>
      </w:r>
      <w:r w:rsidR="00795C5F">
        <w:rPr>
          <w:lang w:val="fr-FR"/>
        </w:rPr>
        <w:t>’</w:t>
      </w:r>
      <w:r w:rsidRPr="00D05A66">
        <w:rPr>
          <w:lang w:val="fr-FR"/>
        </w:rPr>
        <w:t>une structure permanente au sein de laquelle des députés de toutes sensibilités politiques peuvent discuter de la question de l</w:t>
      </w:r>
      <w:r w:rsidR="00795C5F">
        <w:rPr>
          <w:lang w:val="fr-FR"/>
        </w:rPr>
        <w:t>’</w:t>
      </w:r>
      <w:r w:rsidRPr="00D05A66">
        <w:rPr>
          <w:lang w:val="fr-FR"/>
        </w:rPr>
        <w:t>égalité des sexes et plaider cette cause. Le groupe de réflexion a commandité deux études, à savoir 1) l</w:t>
      </w:r>
      <w:r w:rsidR="00795C5F">
        <w:rPr>
          <w:lang w:val="fr-FR"/>
        </w:rPr>
        <w:t>’</w:t>
      </w:r>
      <w:r w:rsidRPr="00D05A66">
        <w:rPr>
          <w:lang w:val="fr-FR"/>
        </w:rPr>
        <w:t>établissement de profils sociologiques des auteurs de violences familiales à Maurice et 2) un audit sur l</w:t>
      </w:r>
      <w:r w:rsidR="00795C5F">
        <w:rPr>
          <w:lang w:val="fr-FR"/>
        </w:rPr>
        <w:t>’</w:t>
      </w:r>
      <w:r w:rsidRPr="00D05A66">
        <w:rPr>
          <w:lang w:val="fr-FR"/>
        </w:rPr>
        <w:t>égalité des sexes dans la fonction publique mauricienne. Les résultats de ces deux études ont été présentés en avril 2018.</w:t>
      </w:r>
    </w:p>
    <w:p w14:paraId="39B04DE0" w14:textId="44FE7942" w:rsidR="00D05A66" w:rsidRPr="00D05A66" w:rsidRDefault="00D05A66" w:rsidP="00D05A66">
      <w:pPr>
        <w:pStyle w:val="SingleTxt"/>
        <w:numPr>
          <w:ilvl w:val="0"/>
          <w:numId w:val="20"/>
        </w:numPr>
        <w:spacing w:line="240" w:lineRule="exact"/>
        <w:ind w:left="1267"/>
        <w:rPr>
          <w:lang w:val="fr-FR"/>
        </w:rPr>
      </w:pPr>
      <w:r w:rsidRPr="00D05A66">
        <w:rPr>
          <w:lang w:val="fr-FR"/>
        </w:rPr>
        <w:t>Des progrès notables ont été constatés en matière de représentation des femmes dans les postes à responsabilité du service public. Ainsi, les femmes occupent de nombreux postes de juges, magistrates, conseillères juridiques, médecins ou secrétaires permanentes. Par ailleurs, le Gouvernement a nommé une femme Directrice de l</w:t>
      </w:r>
      <w:r w:rsidR="00795C5F">
        <w:rPr>
          <w:lang w:val="fr-FR"/>
        </w:rPr>
        <w:t>’</w:t>
      </w:r>
      <w:r w:rsidRPr="00D05A66">
        <w:rPr>
          <w:lang w:val="fr-FR"/>
        </w:rPr>
        <w:t>administration pénitentiaire en 2014, et c</w:t>
      </w:r>
      <w:r w:rsidR="00795C5F">
        <w:rPr>
          <w:lang w:val="fr-FR"/>
        </w:rPr>
        <w:t>’</w:t>
      </w:r>
      <w:r w:rsidRPr="00D05A66">
        <w:rPr>
          <w:lang w:val="fr-FR"/>
        </w:rPr>
        <w:t xml:space="preserve">est également une femme qui occupe le poste de Médiatrice pour les enfants. </w:t>
      </w:r>
    </w:p>
    <w:p w14:paraId="54E62522" w14:textId="77777777" w:rsidR="00D05A66" w:rsidRPr="00D05A66" w:rsidRDefault="00D05A66" w:rsidP="00545975">
      <w:pPr>
        <w:pStyle w:val="SingleTxt"/>
        <w:spacing w:after="0" w:line="100" w:lineRule="exact"/>
        <w:rPr>
          <w:sz w:val="10"/>
          <w:lang w:val="fr-FR"/>
        </w:rPr>
      </w:pPr>
    </w:p>
    <w:p w14:paraId="5F5B56BE" w14:textId="3110F3DF" w:rsidR="00D05A66" w:rsidRDefault="00D05A66" w:rsidP="00D05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5A66">
        <w:rPr>
          <w:lang w:val="fr-FR"/>
        </w:rPr>
        <w:tab/>
      </w:r>
      <w:r w:rsidRPr="00D05A66">
        <w:rPr>
          <w:lang w:val="fr-FR"/>
        </w:rPr>
        <w:tab/>
        <w:t>Proportion de femmes dans les postes à responsabilité du service public en</w:t>
      </w:r>
      <w:r>
        <w:rPr>
          <w:lang w:val="fr-FR"/>
        </w:rPr>
        <w:t> </w:t>
      </w:r>
      <w:r w:rsidRPr="00D05A66">
        <w:rPr>
          <w:lang w:val="fr-FR"/>
        </w:rPr>
        <w:t>novembre 2017</w:t>
      </w:r>
    </w:p>
    <w:p w14:paraId="47B71E67" w14:textId="3260A16C" w:rsidR="00D05A66" w:rsidRPr="00545975" w:rsidRDefault="00D05A66" w:rsidP="00545975">
      <w:pPr>
        <w:pStyle w:val="SingleTxt"/>
        <w:spacing w:after="0" w:line="100" w:lineRule="exact"/>
        <w:rPr>
          <w:sz w:val="10"/>
          <w:lang w:val="fr-FR"/>
        </w:rPr>
      </w:pPr>
    </w:p>
    <w:p w14:paraId="401D7E6E" w14:textId="77777777" w:rsidR="00FA5593" w:rsidRPr="00D05A66" w:rsidRDefault="00FA5593" w:rsidP="00545975">
      <w:pPr>
        <w:pStyle w:val="SingleTxt"/>
        <w:spacing w:after="0" w:line="100" w:lineRule="exact"/>
        <w:rPr>
          <w:sz w:val="10"/>
          <w:lang w:val="fr-FR"/>
        </w:rPr>
      </w:pPr>
    </w:p>
    <w:tbl>
      <w:tblPr>
        <w:tblStyle w:val="TableGrid"/>
        <w:tblW w:w="7226"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3401"/>
      </w:tblGrid>
      <w:tr w:rsidR="00D05A66" w:rsidRPr="00D05A66" w14:paraId="080FA055" w14:textId="77777777" w:rsidTr="00D05A66">
        <w:trPr>
          <w:cantSplit/>
          <w:tblHeader/>
        </w:trPr>
        <w:tc>
          <w:tcPr>
            <w:tcW w:w="3825" w:type="dxa"/>
            <w:tcBorders>
              <w:top w:val="single" w:sz="4" w:space="0" w:color="auto"/>
              <w:bottom w:val="single" w:sz="12" w:space="0" w:color="auto"/>
            </w:tcBorders>
            <w:shd w:val="clear" w:color="auto" w:fill="auto"/>
            <w:vAlign w:val="bottom"/>
            <w:hideMark/>
          </w:tcPr>
          <w:p w14:paraId="24A26FE8" w14:textId="77777777" w:rsidR="00D05A66" w:rsidRPr="00D05A66" w:rsidRDefault="00D05A66" w:rsidP="00545975">
            <w:pPr>
              <w:spacing w:before="81" w:after="81" w:line="160" w:lineRule="exact"/>
              <w:ind w:right="40"/>
              <w:rPr>
                <w:i/>
                <w:sz w:val="14"/>
              </w:rPr>
            </w:pPr>
            <w:r w:rsidRPr="00D05A66">
              <w:rPr>
                <w:i/>
                <w:sz w:val="14"/>
              </w:rPr>
              <w:t>Poste</w:t>
            </w:r>
          </w:p>
        </w:tc>
        <w:tc>
          <w:tcPr>
            <w:tcW w:w="3401" w:type="dxa"/>
            <w:tcBorders>
              <w:top w:val="single" w:sz="4" w:space="0" w:color="auto"/>
              <w:bottom w:val="single" w:sz="12" w:space="0" w:color="auto"/>
            </w:tcBorders>
            <w:shd w:val="clear" w:color="auto" w:fill="auto"/>
            <w:vAlign w:val="bottom"/>
            <w:hideMark/>
          </w:tcPr>
          <w:p w14:paraId="06ABCE22" w14:textId="69E6012E" w:rsidR="00D05A66" w:rsidRPr="00D05A66" w:rsidRDefault="00D05A66" w:rsidP="00545975">
            <w:pPr>
              <w:spacing w:before="81" w:after="81" w:line="160" w:lineRule="exact"/>
              <w:ind w:left="144" w:right="43"/>
              <w:jc w:val="right"/>
              <w:rPr>
                <w:i/>
                <w:sz w:val="14"/>
              </w:rPr>
            </w:pPr>
            <w:r w:rsidRPr="00D05A66">
              <w:rPr>
                <w:i/>
                <w:sz w:val="14"/>
              </w:rPr>
              <w:t>Pourcentage</w:t>
            </w:r>
          </w:p>
        </w:tc>
      </w:tr>
      <w:tr w:rsidR="00D05A66" w:rsidRPr="00D05A66" w14:paraId="1D1C9433" w14:textId="77777777" w:rsidTr="00D05A66">
        <w:trPr>
          <w:cantSplit/>
          <w:trHeight w:hRule="exact" w:val="115"/>
          <w:tblHeader/>
        </w:trPr>
        <w:tc>
          <w:tcPr>
            <w:tcW w:w="3825" w:type="dxa"/>
            <w:tcBorders>
              <w:top w:val="single" w:sz="12" w:space="0" w:color="auto"/>
            </w:tcBorders>
            <w:shd w:val="clear" w:color="auto" w:fill="auto"/>
            <w:vAlign w:val="bottom"/>
          </w:tcPr>
          <w:p w14:paraId="12B9BCA5" w14:textId="77777777" w:rsidR="00D05A66" w:rsidRPr="00D05A66" w:rsidRDefault="00D05A66" w:rsidP="00D05A66">
            <w:pPr>
              <w:spacing w:before="40" w:after="40" w:line="210" w:lineRule="exact"/>
              <w:ind w:right="40"/>
              <w:rPr>
                <w:sz w:val="17"/>
              </w:rPr>
            </w:pPr>
          </w:p>
        </w:tc>
        <w:tc>
          <w:tcPr>
            <w:tcW w:w="3401" w:type="dxa"/>
            <w:tcBorders>
              <w:top w:val="single" w:sz="12" w:space="0" w:color="auto"/>
            </w:tcBorders>
            <w:shd w:val="clear" w:color="auto" w:fill="auto"/>
            <w:vAlign w:val="bottom"/>
          </w:tcPr>
          <w:p w14:paraId="7A86B6B7" w14:textId="77777777" w:rsidR="00D05A66" w:rsidRPr="00D05A66" w:rsidRDefault="00D05A66" w:rsidP="00D05A66">
            <w:pPr>
              <w:spacing w:before="40" w:after="40" w:line="210" w:lineRule="exact"/>
              <w:ind w:left="144" w:right="43"/>
              <w:jc w:val="right"/>
              <w:rPr>
                <w:sz w:val="17"/>
              </w:rPr>
            </w:pPr>
          </w:p>
        </w:tc>
      </w:tr>
      <w:tr w:rsidR="00D05A66" w:rsidRPr="00D05A66" w14:paraId="44AEC0AF" w14:textId="77777777" w:rsidTr="00D05A66">
        <w:trPr>
          <w:cantSplit/>
        </w:trPr>
        <w:tc>
          <w:tcPr>
            <w:tcW w:w="3825" w:type="dxa"/>
            <w:shd w:val="clear" w:color="auto" w:fill="auto"/>
            <w:vAlign w:val="bottom"/>
            <w:hideMark/>
          </w:tcPr>
          <w:p w14:paraId="5A869646" w14:textId="77777777" w:rsidR="00D05A66" w:rsidRPr="00D05A66" w:rsidRDefault="00D05A66" w:rsidP="00545975">
            <w:pPr>
              <w:tabs>
                <w:tab w:val="left" w:pos="288"/>
                <w:tab w:val="left" w:pos="576"/>
                <w:tab w:val="left" w:pos="864"/>
                <w:tab w:val="left" w:pos="1152"/>
              </w:tabs>
              <w:spacing w:before="40" w:after="40" w:line="210" w:lineRule="exact"/>
              <w:ind w:right="40"/>
              <w:rPr>
                <w:sz w:val="17"/>
              </w:rPr>
            </w:pPr>
            <w:r w:rsidRPr="00D05A66">
              <w:rPr>
                <w:sz w:val="17"/>
              </w:rPr>
              <w:t>Directrices générales</w:t>
            </w:r>
          </w:p>
        </w:tc>
        <w:tc>
          <w:tcPr>
            <w:tcW w:w="3401" w:type="dxa"/>
            <w:shd w:val="clear" w:color="auto" w:fill="auto"/>
            <w:vAlign w:val="bottom"/>
            <w:hideMark/>
          </w:tcPr>
          <w:p w14:paraId="783FDA83" w14:textId="77777777" w:rsidR="00D05A66" w:rsidRPr="00D05A66" w:rsidRDefault="00D05A66" w:rsidP="00545975">
            <w:pPr>
              <w:tabs>
                <w:tab w:val="left" w:pos="288"/>
                <w:tab w:val="left" w:pos="576"/>
                <w:tab w:val="left" w:pos="864"/>
                <w:tab w:val="left" w:pos="1152"/>
              </w:tabs>
              <w:spacing w:before="40" w:after="40" w:line="210" w:lineRule="exact"/>
              <w:ind w:left="144" w:right="43"/>
              <w:jc w:val="right"/>
              <w:rPr>
                <w:sz w:val="17"/>
              </w:rPr>
            </w:pPr>
            <w:r w:rsidRPr="00D05A66">
              <w:rPr>
                <w:sz w:val="17"/>
              </w:rPr>
              <w:t>50</w:t>
            </w:r>
          </w:p>
        </w:tc>
      </w:tr>
      <w:tr w:rsidR="00D05A66" w:rsidRPr="00D05A66" w14:paraId="0E5B1303" w14:textId="77777777" w:rsidTr="00D05A66">
        <w:trPr>
          <w:cantSplit/>
        </w:trPr>
        <w:tc>
          <w:tcPr>
            <w:tcW w:w="3825" w:type="dxa"/>
            <w:shd w:val="clear" w:color="auto" w:fill="auto"/>
            <w:vAlign w:val="bottom"/>
            <w:hideMark/>
          </w:tcPr>
          <w:p w14:paraId="7F22E564" w14:textId="77777777" w:rsidR="00D05A66" w:rsidRPr="00D05A66" w:rsidRDefault="00D05A66" w:rsidP="00D05A66">
            <w:pPr>
              <w:tabs>
                <w:tab w:val="left" w:pos="288"/>
                <w:tab w:val="left" w:pos="576"/>
                <w:tab w:val="left" w:pos="864"/>
                <w:tab w:val="left" w:pos="1152"/>
              </w:tabs>
              <w:spacing w:before="40" w:after="40" w:line="210" w:lineRule="exact"/>
              <w:ind w:right="40"/>
              <w:rPr>
                <w:sz w:val="17"/>
              </w:rPr>
            </w:pPr>
            <w:r w:rsidRPr="00D05A66">
              <w:rPr>
                <w:sz w:val="17"/>
              </w:rPr>
              <w:t>Secrétaires permanentes</w:t>
            </w:r>
          </w:p>
        </w:tc>
        <w:tc>
          <w:tcPr>
            <w:tcW w:w="3401" w:type="dxa"/>
            <w:shd w:val="clear" w:color="auto" w:fill="auto"/>
            <w:vAlign w:val="bottom"/>
            <w:hideMark/>
          </w:tcPr>
          <w:p w14:paraId="78C73C23" w14:textId="77777777" w:rsidR="00D05A66" w:rsidRPr="00D05A66" w:rsidRDefault="00D05A66" w:rsidP="00D05A66">
            <w:pPr>
              <w:tabs>
                <w:tab w:val="left" w:pos="288"/>
                <w:tab w:val="left" w:pos="576"/>
                <w:tab w:val="left" w:pos="864"/>
                <w:tab w:val="left" w:pos="1152"/>
              </w:tabs>
              <w:spacing w:before="40" w:after="40" w:line="210" w:lineRule="exact"/>
              <w:ind w:left="144" w:right="43"/>
              <w:jc w:val="right"/>
              <w:rPr>
                <w:sz w:val="17"/>
              </w:rPr>
            </w:pPr>
            <w:r w:rsidRPr="00D05A66">
              <w:rPr>
                <w:sz w:val="17"/>
              </w:rPr>
              <w:t>38,9</w:t>
            </w:r>
          </w:p>
        </w:tc>
      </w:tr>
      <w:tr w:rsidR="00D05A66" w:rsidRPr="00D05A66" w14:paraId="14A549FB" w14:textId="77777777" w:rsidTr="00D05A66">
        <w:trPr>
          <w:cantSplit/>
        </w:trPr>
        <w:tc>
          <w:tcPr>
            <w:tcW w:w="3825" w:type="dxa"/>
            <w:shd w:val="clear" w:color="auto" w:fill="auto"/>
            <w:vAlign w:val="bottom"/>
            <w:hideMark/>
          </w:tcPr>
          <w:p w14:paraId="56F51D26" w14:textId="77777777" w:rsidR="00D05A66" w:rsidRPr="00D05A66" w:rsidRDefault="00D05A66" w:rsidP="00D05A66">
            <w:pPr>
              <w:tabs>
                <w:tab w:val="left" w:pos="288"/>
                <w:tab w:val="left" w:pos="576"/>
                <w:tab w:val="left" w:pos="864"/>
                <w:tab w:val="left" w:pos="1152"/>
              </w:tabs>
              <w:spacing w:before="40" w:after="40" w:line="210" w:lineRule="exact"/>
              <w:ind w:right="40"/>
              <w:rPr>
                <w:sz w:val="17"/>
              </w:rPr>
            </w:pPr>
            <w:r w:rsidRPr="00D05A66">
              <w:rPr>
                <w:sz w:val="17"/>
              </w:rPr>
              <w:t>Vice-Secrétaires permanentes</w:t>
            </w:r>
          </w:p>
        </w:tc>
        <w:tc>
          <w:tcPr>
            <w:tcW w:w="3401" w:type="dxa"/>
            <w:shd w:val="clear" w:color="auto" w:fill="auto"/>
            <w:vAlign w:val="bottom"/>
            <w:hideMark/>
          </w:tcPr>
          <w:p w14:paraId="146C2A73" w14:textId="77777777" w:rsidR="00D05A66" w:rsidRPr="00D05A66" w:rsidRDefault="00D05A66" w:rsidP="00D05A66">
            <w:pPr>
              <w:tabs>
                <w:tab w:val="left" w:pos="288"/>
                <w:tab w:val="left" w:pos="576"/>
                <w:tab w:val="left" w:pos="864"/>
                <w:tab w:val="left" w:pos="1152"/>
              </w:tabs>
              <w:spacing w:before="40" w:after="40" w:line="210" w:lineRule="exact"/>
              <w:ind w:left="144" w:right="43"/>
              <w:jc w:val="right"/>
              <w:rPr>
                <w:sz w:val="17"/>
              </w:rPr>
            </w:pPr>
            <w:r w:rsidRPr="00D05A66">
              <w:rPr>
                <w:sz w:val="17"/>
              </w:rPr>
              <w:t>48,1</w:t>
            </w:r>
          </w:p>
        </w:tc>
      </w:tr>
      <w:tr w:rsidR="00D05A66" w:rsidRPr="00D05A66" w14:paraId="30D45CC9" w14:textId="77777777" w:rsidTr="00D05A66">
        <w:trPr>
          <w:cantSplit/>
        </w:trPr>
        <w:tc>
          <w:tcPr>
            <w:tcW w:w="3825" w:type="dxa"/>
            <w:shd w:val="clear" w:color="auto" w:fill="auto"/>
            <w:vAlign w:val="bottom"/>
            <w:hideMark/>
          </w:tcPr>
          <w:p w14:paraId="2413F19C" w14:textId="77777777" w:rsidR="00D05A66" w:rsidRPr="00D05A66" w:rsidRDefault="00D05A66" w:rsidP="00D05A66">
            <w:pPr>
              <w:tabs>
                <w:tab w:val="left" w:pos="288"/>
                <w:tab w:val="left" w:pos="576"/>
                <w:tab w:val="left" w:pos="864"/>
                <w:tab w:val="left" w:pos="1152"/>
              </w:tabs>
              <w:spacing w:before="40" w:after="40" w:line="210" w:lineRule="exact"/>
              <w:ind w:right="40"/>
              <w:rPr>
                <w:sz w:val="17"/>
              </w:rPr>
            </w:pPr>
            <w:r w:rsidRPr="00D05A66">
              <w:rPr>
                <w:sz w:val="17"/>
              </w:rPr>
              <w:t>Secrétaires permanentes adjointes</w:t>
            </w:r>
          </w:p>
        </w:tc>
        <w:tc>
          <w:tcPr>
            <w:tcW w:w="3401" w:type="dxa"/>
            <w:shd w:val="clear" w:color="auto" w:fill="auto"/>
            <w:vAlign w:val="bottom"/>
            <w:hideMark/>
          </w:tcPr>
          <w:p w14:paraId="2C28B5D4" w14:textId="77777777" w:rsidR="00D05A66" w:rsidRPr="00D05A66" w:rsidRDefault="00D05A66" w:rsidP="00D05A66">
            <w:pPr>
              <w:tabs>
                <w:tab w:val="left" w:pos="288"/>
                <w:tab w:val="left" w:pos="576"/>
                <w:tab w:val="left" w:pos="864"/>
                <w:tab w:val="left" w:pos="1152"/>
              </w:tabs>
              <w:spacing w:before="40" w:after="40" w:line="210" w:lineRule="exact"/>
              <w:ind w:left="144" w:right="43"/>
              <w:jc w:val="right"/>
              <w:rPr>
                <w:sz w:val="17"/>
              </w:rPr>
            </w:pPr>
            <w:r w:rsidRPr="00D05A66">
              <w:rPr>
                <w:sz w:val="17"/>
              </w:rPr>
              <w:t>60,7</w:t>
            </w:r>
          </w:p>
        </w:tc>
      </w:tr>
      <w:tr w:rsidR="00D05A66" w:rsidRPr="00D05A66" w14:paraId="737E5A90" w14:textId="77777777" w:rsidTr="00D05A66">
        <w:trPr>
          <w:cantSplit/>
        </w:trPr>
        <w:tc>
          <w:tcPr>
            <w:tcW w:w="3825" w:type="dxa"/>
            <w:shd w:val="clear" w:color="auto" w:fill="auto"/>
            <w:vAlign w:val="bottom"/>
            <w:hideMark/>
          </w:tcPr>
          <w:p w14:paraId="5DF84B88" w14:textId="77777777" w:rsidR="00D05A66" w:rsidRPr="00D05A66" w:rsidRDefault="00D05A66" w:rsidP="00D05A66">
            <w:pPr>
              <w:tabs>
                <w:tab w:val="left" w:pos="288"/>
                <w:tab w:val="left" w:pos="576"/>
                <w:tab w:val="left" w:pos="864"/>
                <w:tab w:val="left" w:pos="1152"/>
              </w:tabs>
              <w:spacing w:before="40" w:after="40" w:line="210" w:lineRule="exact"/>
              <w:ind w:right="40"/>
              <w:rPr>
                <w:sz w:val="17"/>
              </w:rPr>
            </w:pPr>
            <w:r w:rsidRPr="00D05A66">
              <w:rPr>
                <w:sz w:val="17"/>
              </w:rPr>
              <w:t>Juges</w:t>
            </w:r>
          </w:p>
        </w:tc>
        <w:tc>
          <w:tcPr>
            <w:tcW w:w="3401" w:type="dxa"/>
            <w:shd w:val="clear" w:color="auto" w:fill="auto"/>
            <w:vAlign w:val="bottom"/>
            <w:hideMark/>
          </w:tcPr>
          <w:p w14:paraId="1976894F" w14:textId="77777777" w:rsidR="00D05A66" w:rsidRPr="00D05A66" w:rsidRDefault="00D05A66" w:rsidP="00D05A66">
            <w:pPr>
              <w:tabs>
                <w:tab w:val="left" w:pos="288"/>
                <w:tab w:val="left" w:pos="576"/>
                <w:tab w:val="left" w:pos="864"/>
                <w:tab w:val="left" w:pos="1152"/>
              </w:tabs>
              <w:spacing w:before="40" w:after="40" w:line="210" w:lineRule="exact"/>
              <w:ind w:left="144" w:right="43"/>
              <w:jc w:val="right"/>
              <w:rPr>
                <w:sz w:val="17"/>
              </w:rPr>
            </w:pPr>
            <w:r w:rsidRPr="00D05A66">
              <w:rPr>
                <w:sz w:val="17"/>
              </w:rPr>
              <w:t>50</w:t>
            </w:r>
          </w:p>
        </w:tc>
      </w:tr>
      <w:tr w:rsidR="00D05A66" w:rsidRPr="00D05A66" w14:paraId="18EC4E0B" w14:textId="77777777" w:rsidTr="00D05A66">
        <w:trPr>
          <w:cantSplit/>
        </w:trPr>
        <w:tc>
          <w:tcPr>
            <w:tcW w:w="3825" w:type="dxa"/>
            <w:tcBorders>
              <w:bottom w:val="single" w:sz="12" w:space="0" w:color="auto"/>
            </w:tcBorders>
            <w:shd w:val="clear" w:color="auto" w:fill="auto"/>
            <w:vAlign w:val="bottom"/>
            <w:hideMark/>
          </w:tcPr>
          <w:p w14:paraId="51652F5C" w14:textId="77777777" w:rsidR="00D05A66" w:rsidRPr="00D05A66" w:rsidRDefault="00D05A66" w:rsidP="00D05A66">
            <w:pPr>
              <w:spacing w:before="40" w:after="40" w:line="210" w:lineRule="exact"/>
              <w:ind w:right="40"/>
              <w:rPr>
                <w:sz w:val="17"/>
                <w:szCs w:val="17"/>
              </w:rPr>
            </w:pPr>
            <w:r w:rsidRPr="00D05A66">
              <w:rPr>
                <w:sz w:val="17"/>
                <w:szCs w:val="17"/>
              </w:rPr>
              <w:t>Magistrates</w:t>
            </w:r>
          </w:p>
        </w:tc>
        <w:tc>
          <w:tcPr>
            <w:tcW w:w="3401" w:type="dxa"/>
            <w:tcBorders>
              <w:bottom w:val="single" w:sz="12" w:space="0" w:color="auto"/>
            </w:tcBorders>
            <w:shd w:val="clear" w:color="auto" w:fill="auto"/>
            <w:vAlign w:val="bottom"/>
            <w:hideMark/>
          </w:tcPr>
          <w:p w14:paraId="31D6CFBD" w14:textId="77777777" w:rsidR="00D05A66" w:rsidRPr="00D05A66" w:rsidRDefault="00D05A66" w:rsidP="00D05A66">
            <w:pPr>
              <w:spacing w:before="40" w:after="40" w:line="210" w:lineRule="exact"/>
              <w:ind w:left="144" w:right="43"/>
              <w:jc w:val="right"/>
              <w:rPr>
                <w:sz w:val="17"/>
                <w:szCs w:val="17"/>
              </w:rPr>
            </w:pPr>
            <w:r w:rsidRPr="00D05A66">
              <w:rPr>
                <w:sz w:val="17"/>
                <w:szCs w:val="17"/>
              </w:rPr>
              <w:t>70</w:t>
            </w:r>
          </w:p>
        </w:tc>
      </w:tr>
    </w:tbl>
    <w:p w14:paraId="17C4BCBA" w14:textId="6E704378" w:rsidR="00D05A66" w:rsidRPr="00D05A66" w:rsidRDefault="00D05A66" w:rsidP="00545975">
      <w:pPr>
        <w:pStyle w:val="SingleTxt"/>
        <w:spacing w:after="0" w:line="100" w:lineRule="exact"/>
        <w:rPr>
          <w:sz w:val="10"/>
          <w:lang w:val="fr-FR"/>
        </w:rPr>
      </w:pPr>
    </w:p>
    <w:p w14:paraId="63D954AB" w14:textId="23920A8D" w:rsidR="00D05A66" w:rsidRPr="00D05A66" w:rsidRDefault="00D05A66" w:rsidP="00545975">
      <w:pPr>
        <w:pStyle w:val="SingleTxt"/>
        <w:spacing w:after="0" w:line="100" w:lineRule="exact"/>
        <w:rPr>
          <w:sz w:val="10"/>
          <w:lang w:val="fr-FR"/>
        </w:rPr>
      </w:pPr>
    </w:p>
    <w:p w14:paraId="3C7AC14E" w14:textId="17732CBF" w:rsidR="00D05A66" w:rsidRDefault="00D05A66" w:rsidP="005529B6">
      <w:pPr>
        <w:pStyle w:val="SingleTxt"/>
        <w:numPr>
          <w:ilvl w:val="0"/>
          <w:numId w:val="20"/>
        </w:numPr>
        <w:tabs>
          <w:tab w:val="num" w:pos="2804"/>
        </w:tabs>
        <w:spacing w:line="240" w:lineRule="exact"/>
        <w:ind w:left="1267"/>
        <w:rPr>
          <w:lang w:val="fr-FR"/>
        </w:rPr>
      </w:pPr>
      <w:r>
        <w:rPr>
          <w:lang w:val="fr-FR"/>
        </w:rPr>
        <w:t>Bien qu</w:t>
      </w:r>
      <w:r w:rsidR="00795C5F">
        <w:rPr>
          <w:lang w:val="fr-FR"/>
        </w:rPr>
        <w:t>’</w:t>
      </w:r>
      <w:r>
        <w:rPr>
          <w:lang w:val="fr-FR"/>
        </w:rPr>
        <w:t>il n</w:t>
      </w:r>
      <w:r w:rsidR="00795C5F">
        <w:rPr>
          <w:lang w:val="fr-FR"/>
        </w:rPr>
        <w:t>’</w:t>
      </w:r>
      <w:r>
        <w:rPr>
          <w:lang w:val="fr-FR"/>
        </w:rPr>
        <w:t>existe pas de politique de quotas dans le corps diplomatique, on constate que le nombre de femmes qui y ont été recrutées a considérablement augmenté ces dernières années, comme le montre le tableau ci-dessous.</w:t>
      </w:r>
    </w:p>
    <w:p w14:paraId="6B81ACAA" w14:textId="52EEEE91" w:rsidR="00D05A66" w:rsidRPr="00503C29" w:rsidRDefault="00D05A66" w:rsidP="00503C29">
      <w:pPr>
        <w:pStyle w:val="SingleTxt"/>
        <w:spacing w:after="0" w:line="120" w:lineRule="exact"/>
        <w:rPr>
          <w:sz w:val="10"/>
          <w:lang w:val="fr-FR"/>
        </w:rPr>
      </w:pPr>
    </w:p>
    <w:tbl>
      <w:tblPr>
        <w:tblW w:w="7316" w:type="dxa"/>
        <w:jc w:val="center"/>
        <w:tblLayout w:type="fixed"/>
        <w:tblCellMar>
          <w:left w:w="0" w:type="dxa"/>
          <w:right w:w="0" w:type="dxa"/>
        </w:tblCellMar>
        <w:tblLook w:val="04A0" w:firstRow="1" w:lastRow="0" w:firstColumn="1" w:lastColumn="0" w:noHBand="0" w:noVBand="1"/>
      </w:tblPr>
      <w:tblGrid>
        <w:gridCol w:w="1798"/>
        <w:gridCol w:w="1379"/>
        <w:gridCol w:w="1380"/>
        <w:gridCol w:w="1379"/>
        <w:gridCol w:w="1380"/>
      </w:tblGrid>
      <w:tr w:rsidR="005529B6" w:rsidRPr="00D05A66" w14:paraId="45881FD3" w14:textId="77777777" w:rsidTr="005529B6">
        <w:trPr>
          <w:cantSplit/>
          <w:tblHeader/>
          <w:jc w:val="center"/>
        </w:trPr>
        <w:tc>
          <w:tcPr>
            <w:tcW w:w="179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C56A7D9" w14:textId="388848A5" w:rsidR="00D05A66" w:rsidRPr="00D05A66" w:rsidRDefault="00D05A66" w:rsidP="005529B6">
            <w:pPr>
              <w:suppressAutoHyphens/>
              <w:spacing w:before="81" w:after="81" w:line="160" w:lineRule="exact"/>
              <w:ind w:left="-75" w:right="40"/>
              <w:rPr>
                <w:i/>
                <w:sz w:val="14"/>
              </w:rPr>
            </w:pPr>
            <w:r w:rsidRPr="00D05A66">
              <w:rPr>
                <w:i/>
                <w:sz w:val="14"/>
              </w:rPr>
              <w:t>Année d</w:t>
            </w:r>
            <w:r w:rsidR="00795C5F">
              <w:rPr>
                <w:i/>
                <w:sz w:val="14"/>
              </w:rPr>
              <w:t>’</w:t>
            </w:r>
            <w:r w:rsidRPr="00D05A66">
              <w:rPr>
                <w:i/>
                <w:sz w:val="14"/>
              </w:rPr>
              <w:t>entrée en service</w:t>
            </w:r>
          </w:p>
        </w:tc>
        <w:tc>
          <w:tcPr>
            <w:tcW w:w="137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37219DB" w14:textId="77777777" w:rsidR="00D05A66" w:rsidRPr="00D05A66" w:rsidRDefault="00D05A66" w:rsidP="005529B6">
            <w:pPr>
              <w:suppressAutoHyphens/>
              <w:spacing w:before="81" w:after="81" w:line="160" w:lineRule="exact"/>
              <w:ind w:left="-252" w:right="43"/>
              <w:jc w:val="right"/>
              <w:rPr>
                <w:i/>
                <w:sz w:val="14"/>
              </w:rPr>
            </w:pPr>
            <w:r w:rsidRPr="00D05A66">
              <w:rPr>
                <w:i/>
                <w:sz w:val="14"/>
              </w:rPr>
              <w:t>Hommes</w:t>
            </w:r>
          </w:p>
        </w:tc>
        <w:tc>
          <w:tcPr>
            <w:tcW w:w="138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B56C139" w14:textId="77777777" w:rsidR="00D05A66" w:rsidRPr="00D05A66" w:rsidRDefault="00D05A66" w:rsidP="005529B6">
            <w:pPr>
              <w:suppressAutoHyphens/>
              <w:spacing w:before="81" w:after="81" w:line="160" w:lineRule="exact"/>
              <w:ind w:left="-252" w:right="43"/>
              <w:jc w:val="right"/>
              <w:rPr>
                <w:i/>
                <w:sz w:val="14"/>
              </w:rPr>
            </w:pPr>
            <w:r w:rsidRPr="00D05A66">
              <w:rPr>
                <w:i/>
                <w:sz w:val="14"/>
              </w:rPr>
              <w:t>Femmes</w:t>
            </w:r>
          </w:p>
        </w:tc>
        <w:tc>
          <w:tcPr>
            <w:tcW w:w="137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A3F794F" w14:textId="77777777" w:rsidR="00D05A66" w:rsidRPr="00D05A66" w:rsidRDefault="00D05A66" w:rsidP="005529B6">
            <w:pPr>
              <w:suppressAutoHyphens/>
              <w:spacing w:before="81" w:after="81" w:line="160" w:lineRule="exact"/>
              <w:ind w:left="-252" w:right="43"/>
              <w:jc w:val="right"/>
              <w:rPr>
                <w:i/>
                <w:sz w:val="14"/>
              </w:rPr>
            </w:pPr>
            <w:r w:rsidRPr="00D05A66">
              <w:rPr>
                <w:i/>
                <w:sz w:val="14"/>
              </w:rPr>
              <w:t>Total</w:t>
            </w:r>
          </w:p>
        </w:tc>
        <w:tc>
          <w:tcPr>
            <w:tcW w:w="138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01D77C2" w14:textId="5F57B0B1" w:rsidR="00D05A66" w:rsidRPr="00D05A66" w:rsidRDefault="00D05A66" w:rsidP="005529B6">
            <w:pPr>
              <w:suppressAutoHyphens/>
              <w:spacing w:before="81" w:after="81" w:line="160" w:lineRule="exact"/>
              <w:ind w:left="-252" w:right="-72"/>
              <w:jc w:val="right"/>
              <w:rPr>
                <w:i/>
                <w:sz w:val="14"/>
              </w:rPr>
            </w:pPr>
            <w:r w:rsidRPr="00D05A66">
              <w:rPr>
                <w:i/>
                <w:sz w:val="14"/>
              </w:rPr>
              <w:t>Pourcentage (</w:t>
            </w:r>
            <w:r w:rsidR="00795C5F">
              <w:rPr>
                <w:i/>
                <w:sz w:val="14"/>
              </w:rPr>
              <w:t> %</w:t>
            </w:r>
            <w:r w:rsidRPr="00D05A66">
              <w:rPr>
                <w:i/>
                <w:sz w:val="14"/>
              </w:rPr>
              <w:t>)</w:t>
            </w:r>
          </w:p>
        </w:tc>
      </w:tr>
      <w:tr w:rsidR="00D05A66" w:rsidRPr="00D05A66" w14:paraId="303C836F" w14:textId="77777777" w:rsidTr="005529B6">
        <w:trPr>
          <w:cantSplit/>
          <w:trHeight w:hRule="exact" w:val="115"/>
          <w:tblHeader/>
          <w:jc w:val="center"/>
        </w:trPr>
        <w:tc>
          <w:tcPr>
            <w:tcW w:w="1798" w:type="dxa"/>
            <w:tcBorders>
              <w:top w:val="single" w:sz="12" w:space="0" w:color="auto"/>
            </w:tcBorders>
            <w:shd w:val="clear" w:color="auto" w:fill="auto"/>
            <w:tcMar>
              <w:top w:w="0" w:type="dxa"/>
              <w:left w:w="108" w:type="dxa"/>
              <w:bottom w:w="0" w:type="dxa"/>
              <w:right w:w="108" w:type="dxa"/>
            </w:tcMar>
            <w:vAlign w:val="bottom"/>
          </w:tcPr>
          <w:p w14:paraId="28F9C06B" w14:textId="77777777" w:rsidR="00D05A66" w:rsidRPr="00D05A66" w:rsidRDefault="00D05A66" w:rsidP="005529B6">
            <w:pPr>
              <w:suppressAutoHyphens/>
              <w:spacing w:before="40" w:after="40" w:line="210" w:lineRule="exact"/>
              <w:ind w:left="-75" w:right="40"/>
              <w:rPr>
                <w:sz w:val="17"/>
              </w:rPr>
            </w:pPr>
          </w:p>
        </w:tc>
        <w:tc>
          <w:tcPr>
            <w:tcW w:w="1379" w:type="dxa"/>
            <w:tcBorders>
              <w:top w:val="single" w:sz="12" w:space="0" w:color="auto"/>
            </w:tcBorders>
            <w:shd w:val="clear" w:color="auto" w:fill="auto"/>
            <w:tcMar>
              <w:top w:w="0" w:type="dxa"/>
              <w:left w:w="108" w:type="dxa"/>
              <w:bottom w:w="0" w:type="dxa"/>
              <w:right w:w="108" w:type="dxa"/>
            </w:tcMar>
            <w:vAlign w:val="bottom"/>
          </w:tcPr>
          <w:p w14:paraId="10579A9F" w14:textId="77777777" w:rsidR="00D05A66" w:rsidRPr="00D05A66" w:rsidRDefault="00D05A66" w:rsidP="005529B6">
            <w:pPr>
              <w:suppressAutoHyphens/>
              <w:spacing w:before="40" w:after="40" w:line="210" w:lineRule="exact"/>
              <w:ind w:left="-252" w:right="43"/>
              <w:jc w:val="right"/>
              <w:rPr>
                <w:sz w:val="17"/>
              </w:rPr>
            </w:pPr>
          </w:p>
        </w:tc>
        <w:tc>
          <w:tcPr>
            <w:tcW w:w="1380" w:type="dxa"/>
            <w:tcBorders>
              <w:top w:val="single" w:sz="12" w:space="0" w:color="auto"/>
            </w:tcBorders>
            <w:shd w:val="clear" w:color="auto" w:fill="auto"/>
            <w:tcMar>
              <w:top w:w="0" w:type="dxa"/>
              <w:left w:w="108" w:type="dxa"/>
              <w:bottom w:w="0" w:type="dxa"/>
              <w:right w:w="108" w:type="dxa"/>
            </w:tcMar>
            <w:vAlign w:val="bottom"/>
          </w:tcPr>
          <w:p w14:paraId="0BD37FC2" w14:textId="77777777" w:rsidR="00D05A66" w:rsidRPr="00D05A66" w:rsidRDefault="00D05A66" w:rsidP="005529B6">
            <w:pPr>
              <w:suppressAutoHyphens/>
              <w:spacing w:before="40" w:after="40" w:line="210" w:lineRule="exact"/>
              <w:ind w:left="-252" w:right="43"/>
              <w:jc w:val="right"/>
              <w:rPr>
                <w:sz w:val="17"/>
              </w:rPr>
            </w:pPr>
          </w:p>
        </w:tc>
        <w:tc>
          <w:tcPr>
            <w:tcW w:w="1379" w:type="dxa"/>
            <w:tcBorders>
              <w:top w:val="single" w:sz="12" w:space="0" w:color="auto"/>
            </w:tcBorders>
            <w:shd w:val="clear" w:color="auto" w:fill="auto"/>
            <w:tcMar>
              <w:top w:w="0" w:type="dxa"/>
              <w:left w:w="108" w:type="dxa"/>
              <w:bottom w:w="0" w:type="dxa"/>
              <w:right w:w="108" w:type="dxa"/>
            </w:tcMar>
            <w:vAlign w:val="bottom"/>
          </w:tcPr>
          <w:p w14:paraId="4BD8FF95" w14:textId="77777777" w:rsidR="00D05A66" w:rsidRPr="00D05A66" w:rsidRDefault="00D05A66" w:rsidP="005529B6">
            <w:pPr>
              <w:suppressAutoHyphens/>
              <w:spacing w:before="40" w:after="40" w:line="210" w:lineRule="exact"/>
              <w:ind w:left="-252" w:right="43"/>
              <w:jc w:val="right"/>
              <w:rPr>
                <w:sz w:val="17"/>
              </w:rPr>
            </w:pPr>
          </w:p>
        </w:tc>
        <w:tc>
          <w:tcPr>
            <w:tcW w:w="1380" w:type="dxa"/>
            <w:tcBorders>
              <w:top w:val="single" w:sz="12" w:space="0" w:color="auto"/>
            </w:tcBorders>
            <w:shd w:val="clear" w:color="auto" w:fill="auto"/>
            <w:tcMar>
              <w:top w:w="0" w:type="dxa"/>
              <w:left w:w="108" w:type="dxa"/>
              <w:bottom w:w="0" w:type="dxa"/>
              <w:right w:w="108" w:type="dxa"/>
            </w:tcMar>
            <w:vAlign w:val="bottom"/>
          </w:tcPr>
          <w:p w14:paraId="5ED1C341" w14:textId="77777777" w:rsidR="00D05A66" w:rsidRPr="00D05A66" w:rsidRDefault="00D05A66" w:rsidP="005529B6">
            <w:pPr>
              <w:suppressAutoHyphens/>
              <w:spacing w:before="40" w:after="40" w:line="210" w:lineRule="exact"/>
              <w:ind w:left="-252" w:right="-72"/>
              <w:jc w:val="right"/>
              <w:rPr>
                <w:sz w:val="17"/>
              </w:rPr>
            </w:pPr>
          </w:p>
        </w:tc>
      </w:tr>
      <w:tr w:rsidR="005529B6" w:rsidRPr="00D05A66" w14:paraId="7B0D7F94" w14:textId="77777777" w:rsidTr="005529B6">
        <w:trPr>
          <w:cantSplit/>
          <w:jc w:val="center"/>
        </w:trPr>
        <w:tc>
          <w:tcPr>
            <w:tcW w:w="1798" w:type="dxa"/>
            <w:shd w:val="clear" w:color="auto" w:fill="auto"/>
            <w:tcMar>
              <w:top w:w="0" w:type="dxa"/>
              <w:left w:w="108" w:type="dxa"/>
              <w:bottom w:w="0" w:type="dxa"/>
              <w:right w:w="108" w:type="dxa"/>
            </w:tcMar>
            <w:vAlign w:val="bottom"/>
            <w:hideMark/>
          </w:tcPr>
          <w:p w14:paraId="1239AD09" w14:textId="0DAA0230" w:rsidR="00D05A66" w:rsidRPr="00D05A66" w:rsidRDefault="00D05A66" w:rsidP="005529B6">
            <w:pPr>
              <w:tabs>
                <w:tab w:val="left" w:pos="288"/>
                <w:tab w:val="left" w:pos="576"/>
                <w:tab w:val="left" w:pos="864"/>
                <w:tab w:val="left" w:pos="1152"/>
              </w:tabs>
              <w:suppressAutoHyphens/>
              <w:spacing w:before="40" w:after="40" w:line="210" w:lineRule="exact"/>
              <w:ind w:left="-75" w:right="40"/>
              <w:rPr>
                <w:sz w:val="17"/>
              </w:rPr>
            </w:pPr>
            <w:r w:rsidRPr="00D05A66">
              <w:rPr>
                <w:sz w:val="17"/>
              </w:rPr>
              <w:t>20</w:t>
            </w:r>
            <w:hyperlink r:id="rId19" w:history="1">
              <w:r w:rsidRPr="007D711B">
                <w:rPr>
                  <w:rStyle w:val="Hyperlink"/>
                  <w:sz w:val="17"/>
                </w:rPr>
                <w:t>08/200</w:t>
              </w:r>
            </w:hyperlink>
            <w:r w:rsidRPr="00D05A66">
              <w:rPr>
                <w:sz w:val="17"/>
              </w:rPr>
              <w:t>9</w:t>
            </w:r>
          </w:p>
        </w:tc>
        <w:tc>
          <w:tcPr>
            <w:tcW w:w="1379" w:type="dxa"/>
            <w:shd w:val="clear" w:color="auto" w:fill="auto"/>
            <w:tcMar>
              <w:top w:w="0" w:type="dxa"/>
              <w:left w:w="108" w:type="dxa"/>
              <w:bottom w:w="0" w:type="dxa"/>
              <w:right w:w="108" w:type="dxa"/>
            </w:tcMar>
            <w:vAlign w:val="bottom"/>
            <w:hideMark/>
          </w:tcPr>
          <w:p w14:paraId="49AFDB68"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8</w:t>
            </w:r>
          </w:p>
        </w:tc>
        <w:tc>
          <w:tcPr>
            <w:tcW w:w="1380" w:type="dxa"/>
            <w:shd w:val="clear" w:color="auto" w:fill="auto"/>
            <w:tcMar>
              <w:top w:w="0" w:type="dxa"/>
              <w:left w:w="108" w:type="dxa"/>
              <w:bottom w:w="0" w:type="dxa"/>
              <w:right w:w="108" w:type="dxa"/>
            </w:tcMar>
            <w:vAlign w:val="bottom"/>
            <w:hideMark/>
          </w:tcPr>
          <w:p w14:paraId="7A80F3E7"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4</w:t>
            </w:r>
          </w:p>
        </w:tc>
        <w:tc>
          <w:tcPr>
            <w:tcW w:w="1379" w:type="dxa"/>
            <w:shd w:val="clear" w:color="auto" w:fill="auto"/>
            <w:tcMar>
              <w:top w:w="0" w:type="dxa"/>
              <w:left w:w="108" w:type="dxa"/>
              <w:bottom w:w="0" w:type="dxa"/>
              <w:right w:w="108" w:type="dxa"/>
            </w:tcMar>
            <w:vAlign w:val="bottom"/>
            <w:hideMark/>
          </w:tcPr>
          <w:p w14:paraId="4019DDED"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12</w:t>
            </w:r>
          </w:p>
        </w:tc>
        <w:tc>
          <w:tcPr>
            <w:tcW w:w="1380" w:type="dxa"/>
            <w:shd w:val="clear" w:color="auto" w:fill="auto"/>
            <w:tcMar>
              <w:top w:w="0" w:type="dxa"/>
              <w:left w:w="108" w:type="dxa"/>
              <w:bottom w:w="0" w:type="dxa"/>
              <w:right w:w="108" w:type="dxa"/>
            </w:tcMar>
            <w:vAlign w:val="bottom"/>
            <w:hideMark/>
          </w:tcPr>
          <w:p w14:paraId="3B63B46D"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72"/>
              <w:jc w:val="right"/>
              <w:rPr>
                <w:sz w:val="17"/>
              </w:rPr>
            </w:pPr>
            <w:r w:rsidRPr="00D05A66">
              <w:rPr>
                <w:sz w:val="17"/>
              </w:rPr>
              <w:t>33,3</w:t>
            </w:r>
          </w:p>
        </w:tc>
      </w:tr>
      <w:tr w:rsidR="005529B6" w:rsidRPr="00D05A66" w14:paraId="32B9D4EB" w14:textId="77777777" w:rsidTr="005529B6">
        <w:trPr>
          <w:cantSplit/>
          <w:jc w:val="center"/>
        </w:trPr>
        <w:tc>
          <w:tcPr>
            <w:tcW w:w="1798" w:type="dxa"/>
            <w:shd w:val="clear" w:color="auto" w:fill="auto"/>
            <w:tcMar>
              <w:top w:w="0" w:type="dxa"/>
              <w:left w:w="108" w:type="dxa"/>
              <w:bottom w:w="0" w:type="dxa"/>
              <w:right w:w="108" w:type="dxa"/>
            </w:tcMar>
            <w:vAlign w:val="bottom"/>
            <w:hideMark/>
          </w:tcPr>
          <w:p w14:paraId="4FE443A1" w14:textId="77777777" w:rsidR="00D05A66" w:rsidRPr="00D05A66" w:rsidRDefault="00D05A66" w:rsidP="005529B6">
            <w:pPr>
              <w:tabs>
                <w:tab w:val="left" w:pos="288"/>
                <w:tab w:val="left" w:pos="576"/>
                <w:tab w:val="left" w:pos="864"/>
                <w:tab w:val="left" w:pos="1152"/>
              </w:tabs>
              <w:suppressAutoHyphens/>
              <w:spacing w:before="40" w:after="40" w:line="210" w:lineRule="exact"/>
              <w:ind w:left="-75" w:right="40"/>
              <w:rPr>
                <w:sz w:val="17"/>
              </w:rPr>
            </w:pPr>
            <w:r w:rsidRPr="00D05A66">
              <w:rPr>
                <w:sz w:val="17"/>
              </w:rPr>
              <w:t>2013</w:t>
            </w:r>
          </w:p>
        </w:tc>
        <w:tc>
          <w:tcPr>
            <w:tcW w:w="1379" w:type="dxa"/>
            <w:shd w:val="clear" w:color="auto" w:fill="auto"/>
            <w:tcMar>
              <w:top w:w="0" w:type="dxa"/>
              <w:left w:w="108" w:type="dxa"/>
              <w:bottom w:w="0" w:type="dxa"/>
              <w:right w:w="108" w:type="dxa"/>
            </w:tcMar>
            <w:vAlign w:val="bottom"/>
            <w:hideMark/>
          </w:tcPr>
          <w:p w14:paraId="030362DD"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4</w:t>
            </w:r>
          </w:p>
        </w:tc>
        <w:tc>
          <w:tcPr>
            <w:tcW w:w="1380" w:type="dxa"/>
            <w:shd w:val="clear" w:color="auto" w:fill="auto"/>
            <w:tcMar>
              <w:top w:w="0" w:type="dxa"/>
              <w:left w:w="108" w:type="dxa"/>
              <w:bottom w:w="0" w:type="dxa"/>
              <w:right w:w="108" w:type="dxa"/>
            </w:tcMar>
            <w:vAlign w:val="bottom"/>
            <w:hideMark/>
          </w:tcPr>
          <w:p w14:paraId="33F476ED"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4</w:t>
            </w:r>
          </w:p>
        </w:tc>
        <w:tc>
          <w:tcPr>
            <w:tcW w:w="1379" w:type="dxa"/>
            <w:shd w:val="clear" w:color="auto" w:fill="auto"/>
            <w:tcMar>
              <w:top w:w="0" w:type="dxa"/>
              <w:left w:w="108" w:type="dxa"/>
              <w:bottom w:w="0" w:type="dxa"/>
              <w:right w:w="108" w:type="dxa"/>
            </w:tcMar>
            <w:vAlign w:val="bottom"/>
            <w:hideMark/>
          </w:tcPr>
          <w:p w14:paraId="4483363F"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8</w:t>
            </w:r>
          </w:p>
        </w:tc>
        <w:tc>
          <w:tcPr>
            <w:tcW w:w="1380" w:type="dxa"/>
            <w:shd w:val="clear" w:color="auto" w:fill="auto"/>
            <w:tcMar>
              <w:top w:w="0" w:type="dxa"/>
              <w:left w:w="108" w:type="dxa"/>
              <w:bottom w:w="0" w:type="dxa"/>
              <w:right w:w="108" w:type="dxa"/>
            </w:tcMar>
            <w:vAlign w:val="bottom"/>
            <w:hideMark/>
          </w:tcPr>
          <w:p w14:paraId="78C4D8B0"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72"/>
              <w:jc w:val="right"/>
              <w:rPr>
                <w:sz w:val="17"/>
              </w:rPr>
            </w:pPr>
            <w:r w:rsidRPr="00D05A66">
              <w:rPr>
                <w:sz w:val="17"/>
              </w:rPr>
              <w:t>50</w:t>
            </w:r>
          </w:p>
        </w:tc>
      </w:tr>
      <w:tr w:rsidR="005529B6" w:rsidRPr="00D05A66" w14:paraId="6DCE1D1E" w14:textId="77777777" w:rsidTr="005529B6">
        <w:trPr>
          <w:cantSplit/>
          <w:jc w:val="center"/>
        </w:trPr>
        <w:tc>
          <w:tcPr>
            <w:tcW w:w="1798" w:type="dxa"/>
            <w:tcBorders>
              <w:bottom w:val="single" w:sz="12" w:space="0" w:color="auto"/>
            </w:tcBorders>
            <w:shd w:val="clear" w:color="auto" w:fill="auto"/>
            <w:tcMar>
              <w:top w:w="0" w:type="dxa"/>
              <w:left w:w="108" w:type="dxa"/>
              <w:bottom w:w="0" w:type="dxa"/>
              <w:right w:w="108" w:type="dxa"/>
            </w:tcMar>
            <w:vAlign w:val="bottom"/>
            <w:hideMark/>
          </w:tcPr>
          <w:p w14:paraId="1E2A1450" w14:textId="77777777" w:rsidR="00D05A66" w:rsidRPr="00D05A66" w:rsidRDefault="00D05A66" w:rsidP="005529B6">
            <w:pPr>
              <w:tabs>
                <w:tab w:val="left" w:pos="288"/>
                <w:tab w:val="left" w:pos="576"/>
                <w:tab w:val="left" w:pos="864"/>
                <w:tab w:val="left" w:pos="1152"/>
              </w:tabs>
              <w:suppressAutoHyphens/>
              <w:spacing w:before="40" w:after="40" w:line="210" w:lineRule="exact"/>
              <w:ind w:left="-75" w:right="40"/>
              <w:rPr>
                <w:sz w:val="17"/>
              </w:rPr>
            </w:pPr>
            <w:r w:rsidRPr="00D05A66">
              <w:rPr>
                <w:sz w:val="17"/>
              </w:rPr>
              <w:t>2016-2017</w:t>
            </w:r>
          </w:p>
        </w:tc>
        <w:tc>
          <w:tcPr>
            <w:tcW w:w="1379" w:type="dxa"/>
            <w:tcBorders>
              <w:bottom w:val="single" w:sz="12" w:space="0" w:color="auto"/>
            </w:tcBorders>
            <w:shd w:val="clear" w:color="auto" w:fill="auto"/>
            <w:tcMar>
              <w:top w:w="0" w:type="dxa"/>
              <w:left w:w="108" w:type="dxa"/>
              <w:bottom w:w="0" w:type="dxa"/>
              <w:right w:w="108" w:type="dxa"/>
            </w:tcMar>
            <w:vAlign w:val="bottom"/>
            <w:hideMark/>
          </w:tcPr>
          <w:p w14:paraId="4F5A0BD7"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7</w:t>
            </w:r>
          </w:p>
        </w:tc>
        <w:tc>
          <w:tcPr>
            <w:tcW w:w="1380" w:type="dxa"/>
            <w:tcBorders>
              <w:bottom w:val="single" w:sz="12" w:space="0" w:color="auto"/>
            </w:tcBorders>
            <w:shd w:val="clear" w:color="auto" w:fill="auto"/>
            <w:tcMar>
              <w:top w:w="0" w:type="dxa"/>
              <w:left w:w="108" w:type="dxa"/>
              <w:bottom w:w="0" w:type="dxa"/>
              <w:right w:w="108" w:type="dxa"/>
            </w:tcMar>
            <w:vAlign w:val="bottom"/>
            <w:hideMark/>
          </w:tcPr>
          <w:p w14:paraId="4C851B95"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9</w:t>
            </w:r>
          </w:p>
        </w:tc>
        <w:tc>
          <w:tcPr>
            <w:tcW w:w="1379" w:type="dxa"/>
            <w:tcBorders>
              <w:bottom w:val="single" w:sz="12" w:space="0" w:color="auto"/>
            </w:tcBorders>
            <w:shd w:val="clear" w:color="auto" w:fill="auto"/>
            <w:tcMar>
              <w:top w:w="0" w:type="dxa"/>
              <w:left w:w="108" w:type="dxa"/>
              <w:bottom w:w="0" w:type="dxa"/>
              <w:right w:w="108" w:type="dxa"/>
            </w:tcMar>
            <w:vAlign w:val="bottom"/>
            <w:hideMark/>
          </w:tcPr>
          <w:p w14:paraId="29801339"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43"/>
              <w:jc w:val="right"/>
              <w:rPr>
                <w:sz w:val="17"/>
              </w:rPr>
            </w:pPr>
            <w:r w:rsidRPr="00D05A66">
              <w:rPr>
                <w:sz w:val="17"/>
              </w:rPr>
              <w:t>16</w:t>
            </w:r>
          </w:p>
        </w:tc>
        <w:tc>
          <w:tcPr>
            <w:tcW w:w="1380" w:type="dxa"/>
            <w:tcBorders>
              <w:bottom w:val="single" w:sz="12" w:space="0" w:color="auto"/>
            </w:tcBorders>
            <w:shd w:val="clear" w:color="auto" w:fill="auto"/>
            <w:tcMar>
              <w:top w:w="0" w:type="dxa"/>
              <w:left w:w="108" w:type="dxa"/>
              <w:bottom w:w="0" w:type="dxa"/>
              <w:right w:w="108" w:type="dxa"/>
            </w:tcMar>
            <w:vAlign w:val="bottom"/>
            <w:hideMark/>
          </w:tcPr>
          <w:p w14:paraId="316E415B" w14:textId="77777777" w:rsidR="00D05A66" w:rsidRPr="00D05A66" w:rsidRDefault="00D05A66" w:rsidP="005529B6">
            <w:pPr>
              <w:tabs>
                <w:tab w:val="left" w:pos="288"/>
                <w:tab w:val="left" w:pos="576"/>
                <w:tab w:val="left" w:pos="864"/>
                <w:tab w:val="left" w:pos="1152"/>
              </w:tabs>
              <w:suppressAutoHyphens/>
              <w:spacing w:before="40" w:after="40" w:line="210" w:lineRule="exact"/>
              <w:ind w:left="-252" w:right="-72"/>
              <w:jc w:val="right"/>
              <w:rPr>
                <w:sz w:val="17"/>
              </w:rPr>
            </w:pPr>
            <w:r w:rsidRPr="00D05A66">
              <w:rPr>
                <w:sz w:val="17"/>
              </w:rPr>
              <w:t>56,25</w:t>
            </w:r>
          </w:p>
        </w:tc>
      </w:tr>
    </w:tbl>
    <w:p w14:paraId="317D6BA0" w14:textId="33969465" w:rsidR="005529B6" w:rsidRPr="005529B6" w:rsidRDefault="005529B6" w:rsidP="005529B6">
      <w:pPr>
        <w:pStyle w:val="SingleTxt"/>
        <w:spacing w:after="0" w:line="120" w:lineRule="exact"/>
        <w:rPr>
          <w:sz w:val="10"/>
          <w:lang w:val="fr-FR"/>
        </w:rPr>
      </w:pPr>
    </w:p>
    <w:p w14:paraId="173FF8AB" w14:textId="38DC6D16" w:rsidR="00D05A66" w:rsidRPr="00D5174F" w:rsidRDefault="00D05A66" w:rsidP="005529B6">
      <w:pPr>
        <w:pStyle w:val="FootnoteText"/>
        <w:tabs>
          <w:tab w:val="right" w:pos="1476"/>
          <w:tab w:val="left" w:pos="1548"/>
          <w:tab w:val="right" w:pos="1836"/>
          <w:tab w:val="left" w:pos="1908"/>
        </w:tabs>
        <w:ind w:left="1548" w:right="1267" w:hanging="288"/>
        <w:rPr>
          <w:rFonts w:eastAsia="Calibri"/>
          <w:i/>
          <w:sz w:val="18"/>
          <w:szCs w:val="18"/>
          <w:lang w:val="fr-FR"/>
        </w:rPr>
      </w:pPr>
      <w:r>
        <w:rPr>
          <w:i/>
          <w:iCs/>
          <w:lang w:val="fr-FR"/>
        </w:rPr>
        <w:t>Source</w:t>
      </w:r>
      <w:r w:rsidR="00795C5F">
        <w:rPr>
          <w:i/>
          <w:iCs/>
          <w:lang w:val="fr-FR"/>
        </w:rPr>
        <w:t> </w:t>
      </w:r>
      <w:r w:rsidR="00795C5F" w:rsidRPr="00ED416A">
        <w:rPr>
          <w:lang w:val="fr-FR"/>
        </w:rPr>
        <w:t>:</w:t>
      </w:r>
      <w:r w:rsidRPr="00ED416A">
        <w:rPr>
          <w:lang w:val="fr-FR"/>
        </w:rPr>
        <w:t xml:space="preserve"> </w:t>
      </w:r>
      <w:r>
        <w:rPr>
          <w:lang w:val="fr-FR"/>
        </w:rPr>
        <w:t xml:space="preserve">Ministère des affaires étrangères. </w:t>
      </w:r>
    </w:p>
    <w:p w14:paraId="0AAC76CE" w14:textId="53A27C40" w:rsidR="00D05A66" w:rsidRPr="005529B6" w:rsidRDefault="00D05A66" w:rsidP="005529B6">
      <w:pPr>
        <w:pStyle w:val="SingleTxt"/>
        <w:spacing w:after="0" w:line="120" w:lineRule="exact"/>
        <w:rPr>
          <w:sz w:val="10"/>
          <w:lang w:val="fr-FR"/>
        </w:rPr>
      </w:pPr>
    </w:p>
    <w:p w14:paraId="1F2AF876" w14:textId="4FCF3971" w:rsidR="005529B6" w:rsidRDefault="005529B6" w:rsidP="00415B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5529B6">
        <w:rPr>
          <w:lang w:val="fr-FR"/>
        </w:rPr>
        <w:t>Intégration régionale et commerce international</w:t>
      </w:r>
    </w:p>
    <w:p w14:paraId="5BDB8F1F" w14:textId="110E87C2" w:rsidR="005529B6" w:rsidRPr="005529B6" w:rsidRDefault="005529B6" w:rsidP="00415B49">
      <w:pPr>
        <w:pStyle w:val="SingleTxt"/>
        <w:keepNext/>
        <w:spacing w:after="0" w:line="120" w:lineRule="exact"/>
        <w:rPr>
          <w:sz w:val="10"/>
          <w:lang w:val="fr-FR"/>
        </w:rPr>
      </w:pPr>
    </w:p>
    <w:p w14:paraId="4E8A7B3E" w14:textId="74037EC9" w:rsidR="005529B6" w:rsidRPr="005529B6" w:rsidRDefault="005529B6" w:rsidP="00415B49">
      <w:pPr>
        <w:pStyle w:val="SingleTxt"/>
        <w:keepNext/>
        <w:numPr>
          <w:ilvl w:val="0"/>
          <w:numId w:val="20"/>
        </w:numPr>
        <w:spacing w:line="240" w:lineRule="exact"/>
        <w:ind w:left="1267"/>
        <w:rPr>
          <w:lang w:val="fr-FR"/>
        </w:rPr>
      </w:pPr>
      <w:r w:rsidRPr="005529B6">
        <w:rPr>
          <w:lang w:val="fr-FR"/>
        </w:rPr>
        <w:t>Le Gouvernement a pour politique de permettre aux conjoints des diplomates et de non-diplomates travaillant dans le secteur public d</w:t>
      </w:r>
      <w:r w:rsidR="00795C5F">
        <w:rPr>
          <w:lang w:val="fr-FR"/>
        </w:rPr>
        <w:t>’</w:t>
      </w:r>
      <w:r w:rsidRPr="005529B6">
        <w:rPr>
          <w:lang w:val="fr-FR"/>
        </w:rPr>
        <w:t>accompagner, s</w:t>
      </w:r>
      <w:r w:rsidR="00795C5F">
        <w:rPr>
          <w:lang w:val="fr-FR"/>
        </w:rPr>
        <w:t>’</w:t>
      </w:r>
      <w:r w:rsidRPr="005529B6">
        <w:rPr>
          <w:lang w:val="fr-FR"/>
        </w:rPr>
        <w:t>ils le souhaitent, leur conjoint en mission à l</w:t>
      </w:r>
      <w:r w:rsidR="00795C5F">
        <w:rPr>
          <w:lang w:val="fr-FR"/>
        </w:rPr>
        <w:t>’</w:t>
      </w:r>
      <w:r w:rsidRPr="005529B6">
        <w:rPr>
          <w:lang w:val="fr-FR"/>
        </w:rPr>
        <w:t>étranger et de</w:t>
      </w:r>
      <w:r w:rsidR="006E1537">
        <w:rPr>
          <w:lang w:val="fr-FR"/>
        </w:rPr>
        <w:t xml:space="preserve"> </w:t>
      </w:r>
      <w:r w:rsidRPr="005529B6">
        <w:rPr>
          <w:lang w:val="fr-FR"/>
        </w:rPr>
        <w:t>leur accorder à cet effet un congé couvrant toute la durée d</w:t>
      </w:r>
      <w:r w:rsidR="00795C5F">
        <w:rPr>
          <w:lang w:val="fr-FR"/>
        </w:rPr>
        <w:t>’</w:t>
      </w:r>
      <w:r w:rsidRPr="005529B6">
        <w:rPr>
          <w:lang w:val="fr-FR"/>
        </w:rPr>
        <w:t>affectation. Le Ministère des affaires étrangères, de l</w:t>
      </w:r>
      <w:r w:rsidR="00795C5F">
        <w:rPr>
          <w:lang w:val="fr-FR"/>
        </w:rPr>
        <w:t>’</w:t>
      </w:r>
      <w:r w:rsidRPr="005529B6">
        <w:rPr>
          <w:lang w:val="fr-FR"/>
        </w:rPr>
        <w:t>intégration régionale et du commerce international a pris ces dernières années des mesures supplémentaires visant à faire en sorte que les couples de diplomates puissent être affectés aux mêmes missions, de façon à ne pas séparer les familles. En outre, une diplomate de carrière ayant rang d</w:t>
      </w:r>
      <w:r w:rsidR="00795C5F">
        <w:rPr>
          <w:lang w:val="fr-FR"/>
        </w:rPr>
        <w:t>’</w:t>
      </w:r>
      <w:r w:rsidR="00FA5593">
        <w:rPr>
          <w:lang w:val="fr-FR"/>
        </w:rPr>
        <w:t>A</w:t>
      </w:r>
      <w:r w:rsidRPr="005529B6">
        <w:rPr>
          <w:lang w:val="fr-FR"/>
        </w:rPr>
        <w:t xml:space="preserve">mbassadrice occupe le poste de </w:t>
      </w:r>
      <w:r w:rsidR="00FA5593">
        <w:rPr>
          <w:lang w:val="fr-FR"/>
        </w:rPr>
        <w:t>s</w:t>
      </w:r>
      <w:r w:rsidRPr="005529B6">
        <w:rPr>
          <w:lang w:val="fr-FR"/>
        </w:rPr>
        <w:t xml:space="preserve">ecrétaire aux affaires étrangères depuis 2014. Depuis le 12 juin 2017, le poste de </w:t>
      </w:r>
      <w:r w:rsidR="00FA5593">
        <w:rPr>
          <w:lang w:val="fr-FR"/>
        </w:rPr>
        <w:t>r</w:t>
      </w:r>
      <w:r w:rsidRPr="005529B6">
        <w:rPr>
          <w:lang w:val="fr-FR"/>
        </w:rPr>
        <w:t>eprésentant spécial du Secrétaire général chargé de la question des violences sexuelles commises en période de conflit est occupé par une Mauricienne, M</w:t>
      </w:r>
      <w:r w:rsidRPr="00415B49">
        <w:rPr>
          <w:vertAlign w:val="superscript"/>
          <w:lang w:val="fr-FR"/>
        </w:rPr>
        <w:t>me</w:t>
      </w:r>
      <w:r w:rsidR="00415B49">
        <w:rPr>
          <w:lang w:val="fr-FR"/>
        </w:rPr>
        <w:t> </w:t>
      </w:r>
      <w:r w:rsidRPr="005529B6">
        <w:rPr>
          <w:lang w:val="fr-FR"/>
        </w:rPr>
        <w:t>Pramila Patten, qui exerce ainsi les fonctions de Secrétaire générale adjointe. Un juge mauricien en exercice est également membre du Comité pour l</w:t>
      </w:r>
      <w:r w:rsidR="00795C5F">
        <w:rPr>
          <w:lang w:val="fr-FR"/>
        </w:rPr>
        <w:t>’</w:t>
      </w:r>
      <w:r w:rsidRPr="005529B6">
        <w:rPr>
          <w:lang w:val="fr-FR"/>
        </w:rPr>
        <w:t>élimination de la discrimination à l</w:t>
      </w:r>
      <w:r w:rsidR="00795C5F">
        <w:rPr>
          <w:lang w:val="fr-FR"/>
        </w:rPr>
        <w:t>’</w:t>
      </w:r>
      <w:r w:rsidRPr="005529B6">
        <w:rPr>
          <w:lang w:val="fr-FR"/>
        </w:rPr>
        <w:t>égard des femmes.</w:t>
      </w:r>
    </w:p>
    <w:p w14:paraId="31A6D217" w14:textId="138788B2" w:rsidR="005529B6" w:rsidRPr="005529B6" w:rsidRDefault="005529B6" w:rsidP="005529B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Unité en charge de l</w:t>
      </w:r>
      <w:r w:rsidR="00795C5F">
        <w:rPr>
          <w:lang w:val="fr-FR"/>
        </w:rPr>
        <w:t>’</w:t>
      </w:r>
      <w:r w:rsidRPr="005529B6">
        <w:rPr>
          <w:lang w:val="fr-FR"/>
        </w:rPr>
        <w:t>égalité des sexes dont s</w:t>
      </w:r>
      <w:r w:rsidR="00795C5F">
        <w:rPr>
          <w:lang w:val="fr-FR"/>
        </w:rPr>
        <w:t>’</w:t>
      </w:r>
      <w:r w:rsidRPr="005529B6">
        <w:rPr>
          <w:lang w:val="fr-FR"/>
        </w:rPr>
        <w:t>est doté le Ministère de l</w:t>
      </w:r>
      <w:r w:rsidR="00795C5F">
        <w:rPr>
          <w:lang w:val="fr-FR"/>
        </w:rPr>
        <w:t>’</w:t>
      </w:r>
      <w:r w:rsidRPr="005529B6">
        <w:rPr>
          <w:lang w:val="fr-FR"/>
        </w:rPr>
        <w:t>égalité des genres, du développement de l</w:t>
      </w:r>
      <w:r w:rsidR="00795C5F">
        <w:rPr>
          <w:lang w:val="fr-FR"/>
        </w:rPr>
        <w:t>’</w:t>
      </w:r>
      <w:r w:rsidRPr="005529B6">
        <w:rPr>
          <w:lang w:val="fr-FR"/>
        </w:rPr>
        <w:t>enfant et du bien-être de la famille a renforcé ses politiques en élaborant des programmes sur mesure qui donnent aux femmes les moyens de se porter candidates et de jouer une rôle plus important dans les instances de décision. À cet égard, le Ministère de l</w:t>
      </w:r>
      <w:r w:rsidR="00795C5F">
        <w:rPr>
          <w:lang w:val="fr-FR"/>
        </w:rPr>
        <w:t>’</w:t>
      </w:r>
      <w:r w:rsidRPr="005529B6">
        <w:rPr>
          <w:lang w:val="fr-FR"/>
        </w:rPr>
        <w:t>égalité des genres, du développement de l</w:t>
      </w:r>
      <w:r w:rsidR="00795C5F">
        <w:rPr>
          <w:lang w:val="fr-FR"/>
        </w:rPr>
        <w:t>’</w:t>
      </w:r>
      <w:r w:rsidRPr="005529B6">
        <w:rPr>
          <w:lang w:val="fr-FR"/>
        </w:rPr>
        <w:t>enfant et du bien-être de la famille, appuyé par l</w:t>
      </w:r>
      <w:r w:rsidR="00795C5F">
        <w:rPr>
          <w:lang w:val="fr-FR"/>
        </w:rPr>
        <w:t>’</w:t>
      </w:r>
      <w:r w:rsidRPr="005529B6">
        <w:rPr>
          <w:lang w:val="fr-FR"/>
        </w:rPr>
        <w:t>ambassade des États-Unis, a mis sur pied en 2012 une formation de formateurs axée sur l</w:t>
      </w:r>
      <w:r w:rsidR="00795C5F">
        <w:rPr>
          <w:lang w:val="fr-FR"/>
        </w:rPr>
        <w:t>’</w:t>
      </w:r>
      <w:r w:rsidRPr="005529B6">
        <w:rPr>
          <w:lang w:val="fr-FR"/>
        </w:rPr>
        <w:t>autonomisation politique des femmes, à l</w:t>
      </w:r>
      <w:r w:rsidR="00795C5F">
        <w:rPr>
          <w:lang w:val="fr-FR"/>
        </w:rPr>
        <w:t>’</w:t>
      </w:r>
      <w:r w:rsidRPr="005529B6">
        <w:rPr>
          <w:lang w:val="fr-FR"/>
        </w:rPr>
        <w:t xml:space="preserve">intention de 20 représentants issus de différents partis politiques et de </w:t>
      </w:r>
      <w:r w:rsidR="00FA5593" w:rsidRPr="005529B6">
        <w:rPr>
          <w:lang w:val="fr-FR"/>
        </w:rPr>
        <w:t>5</w:t>
      </w:r>
      <w:r w:rsidR="00FA5593">
        <w:rPr>
          <w:lang w:val="fr-FR"/>
        </w:rPr>
        <w:t> </w:t>
      </w:r>
      <w:r w:rsidRPr="005529B6">
        <w:rPr>
          <w:lang w:val="fr-FR"/>
        </w:rPr>
        <w:t>responsables du Ministère. Par la suite, des réunions de sensibilisation quant à l</w:t>
      </w:r>
      <w:r w:rsidR="00795C5F">
        <w:rPr>
          <w:lang w:val="fr-FR"/>
        </w:rPr>
        <w:t>’</w:t>
      </w:r>
      <w:r w:rsidRPr="005529B6">
        <w:rPr>
          <w:lang w:val="fr-FR"/>
        </w:rPr>
        <w:t>intérêt d</w:t>
      </w:r>
      <w:r w:rsidR="00795C5F">
        <w:rPr>
          <w:lang w:val="fr-FR"/>
        </w:rPr>
        <w:t>’</w:t>
      </w:r>
      <w:r w:rsidRPr="005529B6">
        <w:rPr>
          <w:lang w:val="fr-FR"/>
        </w:rPr>
        <w:t>accroître le nombre de femmes sur la scène politique ont été organisées à l</w:t>
      </w:r>
      <w:r w:rsidR="00795C5F">
        <w:rPr>
          <w:lang w:val="fr-FR"/>
        </w:rPr>
        <w:t>’</w:t>
      </w:r>
      <w:r w:rsidRPr="005529B6">
        <w:rPr>
          <w:lang w:val="fr-FR"/>
        </w:rPr>
        <w:t>intention de 200 femmes. Ces réunions ont aussi abordé plusieurs autres thèmes, tels que les obstacles à la participation des femmes, la prise de parole efficace en public, la préparation des campagnes et la réalisation du matériel y afférent, les dispositions juridiques applicables aux candidats et aux élections à Maurice, l</w:t>
      </w:r>
      <w:r w:rsidR="00795C5F">
        <w:rPr>
          <w:lang w:val="fr-FR"/>
        </w:rPr>
        <w:t>’</w:t>
      </w:r>
      <w:r w:rsidRPr="005529B6">
        <w:rPr>
          <w:lang w:val="fr-FR"/>
        </w:rPr>
        <w:t>aptitude à diriger, la responsabilité et la transparence, ou encore les relations avec les médias. Des actions de sensibilisation visant à amener les femmes à prendre conscience de la nécessité de renforcer leur participation au processus décisionnel ont été organisées dans différentes régions et dans des centres pour femmes entre 2013 et 2015.</w:t>
      </w:r>
    </w:p>
    <w:p w14:paraId="67D68AA7" w14:textId="7D0DDE9B" w:rsidR="005529B6" w:rsidRPr="005529B6" w:rsidRDefault="005529B6" w:rsidP="005529B6">
      <w:pPr>
        <w:pStyle w:val="SingleTxt"/>
        <w:numPr>
          <w:ilvl w:val="0"/>
          <w:numId w:val="20"/>
        </w:numPr>
        <w:spacing w:line="240" w:lineRule="exact"/>
        <w:ind w:left="1267"/>
        <w:rPr>
          <w:lang w:val="fr-FR"/>
        </w:rPr>
      </w:pPr>
      <w:r w:rsidRPr="005529B6">
        <w:rPr>
          <w:lang w:val="fr-FR"/>
        </w:rPr>
        <w:t>La Commission de la femme du Ministère de la défense et de Rodrigues et l</w:t>
      </w:r>
      <w:r w:rsidR="00795C5F">
        <w:rPr>
          <w:lang w:val="fr-FR"/>
        </w:rPr>
        <w:t>’</w:t>
      </w:r>
      <w:r w:rsidRPr="005529B6">
        <w:rPr>
          <w:lang w:val="fr-FR"/>
        </w:rPr>
        <w:t>Assemblée régionale de Rodrigues ont lancé en 2017 un programme consacré à l</w:t>
      </w:r>
      <w:r w:rsidR="00795C5F">
        <w:rPr>
          <w:lang w:val="fr-FR"/>
        </w:rPr>
        <w:t>’</w:t>
      </w:r>
      <w:r w:rsidRPr="005529B6">
        <w:rPr>
          <w:lang w:val="fr-FR"/>
        </w:rPr>
        <w:t>accès des femmes aux fonctions dirigeantes, qui a pour but d</w:t>
      </w:r>
      <w:r w:rsidR="00795C5F">
        <w:rPr>
          <w:lang w:val="fr-FR"/>
        </w:rPr>
        <w:t>’</w:t>
      </w:r>
      <w:r w:rsidRPr="005529B6">
        <w:rPr>
          <w:lang w:val="fr-FR"/>
        </w:rPr>
        <w:t>aider des femmes de tous horizons à «</w:t>
      </w:r>
      <w:r w:rsidR="002050E5">
        <w:rPr>
          <w:lang w:val="fr-FR"/>
        </w:rPr>
        <w:t> </w:t>
      </w:r>
      <w:r w:rsidRPr="005529B6">
        <w:rPr>
          <w:lang w:val="fr-FR"/>
        </w:rPr>
        <w:t>franchir une nouvelle étape</w:t>
      </w:r>
      <w:r w:rsidR="002050E5">
        <w:rPr>
          <w:lang w:val="fr-FR"/>
        </w:rPr>
        <w:t> </w:t>
      </w:r>
      <w:r w:rsidRPr="005529B6">
        <w:rPr>
          <w:lang w:val="fr-FR"/>
        </w:rPr>
        <w:t>». Plusieurs modules de formation et d</w:t>
      </w:r>
      <w:r w:rsidR="00795C5F">
        <w:rPr>
          <w:lang w:val="fr-FR"/>
        </w:rPr>
        <w:t>’</w:t>
      </w:r>
      <w:r w:rsidRPr="005529B6">
        <w:rPr>
          <w:lang w:val="fr-FR"/>
        </w:rPr>
        <w:t>assistance professionnelle sont en cours d</w:t>
      </w:r>
      <w:r w:rsidR="00795C5F">
        <w:rPr>
          <w:lang w:val="fr-FR"/>
        </w:rPr>
        <w:t>’</w:t>
      </w:r>
      <w:r w:rsidRPr="005529B6">
        <w:rPr>
          <w:lang w:val="fr-FR"/>
        </w:rPr>
        <w:t>élaboration</w:t>
      </w:r>
      <w:r w:rsidR="00795C5F">
        <w:rPr>
          <w:lang w:val="fr-FR"/>
        </w:rPr>
        <w:t> :</w:t>
      </w:r>
      <w:r w:rsidRPr="005529B6">
        <w:rPr>
          <w:lang w:val="fr-FR"/>
        </w:rPr>
        <w:t xml:space="preserve"> ils concernent les femmes dans le monde politique et les organisations non gouvernementales, les femmes dans la fonction publique, les cheffes d</w:t>
      </w:r>
      <w:r w:rsidR="00795C5F">
        <w:rPr>
          <w:lang w:val="fr-FR"/>
        </w:rPr>
        <w:t>’</w:t>
      </w:r>
      <w:r w:rsidRPr="005529B6">
        <w:rPr>
          <w:lang w:val="fr-FR"/>
        </w:rPr>
        <w:t>entreprises et les femmes au foyer. L</w:t>
      </w:r>
      <w:r w:rsidR="00795C5F">
        <w:rPr>
          <w:lang w:val="fr-FR"/>
        </w:rPr>
        <w:t>’</w:t>
      </w:r>
      <w:r w:rsidRPr="005529B6">
        <w:rPr>
          <w:lang w:val="fr-FR"/>
        </w:rPr>
        <w:t>objectif est d</w:t>
      </w:r>
      <w:r w:rsidR="00795C5F">
        <w:rPr>
          <w:lang w:val="fr-FR"/>
        </w:rPr>
        <w:t>’</w:t>
      </w:r>
      <w:r w:rsidRPr="005529B6">
        <w:rPr>
          <w:lang w:val="fr-FR"/>
        </w:rPr>
        <w:t>atteindre 1 500 femmes sur la période 2017-2022. Divers acteurs locaux, nationaux et régionaux participent à ce programme.</w:t>
      </w:r>
    </w:p>
    <w:p w14:paraId="2C9221C1" w14:textId="0A8B2699" w:rsidR="005529B6" w:rsidRPr="005529B6" w:rsidRDefault="005529B6" w:rsidP="00545975">
      <w:pPr>
        <w:pStyle w:val="SingleTxt"/>
        <w:numPr>
          <w:ilvl w:val="0"/>
          <w:numId w:val="20"/>
        </w:numPr>
        <w:spacing w:line="240" w:lineRule="exact"/>
        <w:ind w:left="1267"/>
        <w:rPr>
          <w:lang w:val="fr-FR"/>
        </w:rPr>
      </w:pPr>
      <w:r w:rsidRPr="005529B6">
        <w:rPr>
          <w:lang w:val="fr-FR"/>
        </w:rPr>
        <w:t>Afin de pallier le manque de femmes aux postes à responsabilité dans le secteur privé, où l</w:t>
      </w:r>
      <w:r w:rsidR="00795C5F">
        <w:rPr>
          <w:lang w:val="fr-FR"/>
        </w:rPr>
        <w:t>’</w:t>
      </w:r>
      <w:r w:rsidRPr="005529B6">
        <w:rPr>
          <w:lang w:val="fr-FR"/>
        </w:rPr>
        <w:t>on ne compte que 7</w:t>
      </w:r>
      <w:r w:rsidR="00795C5F">
        <w:rPr>
          <w:lang w:val="fr-FR"/>
        </w:rPr>
        <w:t> %</w:t>
      </w:r>
      <w:r w:rsidRPr="005529B6">
        <w:rPr>
          <w:lang w:val="fr-FR"/>
        </w:rPr>
        <w:t xml:space="preserve"> de directrices générales, le Gouvernement a présenté en 2017 un nouveau </w:t>
      </w:r>
      <w:r w:rsidR="00FA5593">
        <w:rPr>
          <w:lang w:val="fr-FR"/>
        </w:rPr>
        <w:t>« </w:t>
      </w:r>
      <w:r w:rsidRPr="005529B6">
        <w:rPr>
          <w:lang w:val="fr-FR"/>
        </w:rPr>
        <w:t>Code de la gouvernance d</w:t>
      </w:r>
      <w:r w:rsidR="00795C5F">
        <w:rPr>
          <w:lang w:val="fr-FR"/>
        </w:rPr>
        <w:t>’</w:t>
      </w:r>
      <w:r w:rsidRPr="005529B6">
        <w:rPr>
          <w:lang w:val="fr-FR"/>
        </w:rPr>
        <w:t>entreprise</w:t>
      </w:r>
      <w:r w:rsidR="00FA5593">
        <w:rPr>
          <w:lang w:val="fr-FR"/>
        </w:rPr>
        <w:t> »</w:t>
      </w:r>
      <w:r w:rsidRPr="005529B6">
        <w:rPr>
          <w:lang w:val="fr-FR"/>
        </w:rPr>
        <w:t>. D</w:t>
      </w:r>
      <w:r w:rsidR="00795C5F">
        <w:rPr>
          <w:lang w:val="fr-FR"/>
        </w:rPr>
        <w:t>’</w:t>
      </w:r>
      <w:r w:rsidRPr="005529B6">
        <w:rPr>
          <w:lang w:val="fr-FR"/>
        </w:rPr>
        <w:t>après le principe n</w:t>
      </w:r>
      <w:r w:rsidR="006E1537" w:rsidRPr="006E1537">
        <w:rPr>
          <w:vertAlign w:val="superscript"/>
          <w:lang w:val="fr-FR"/>
        </w:rPr>
        <w:t>o</w:t>
      </w:r>
      <w:r w:rsidR="006E1537">
        <w:rPr>
          <w:lang w:val="fr-FR"/>
        </w:rPr>
        <w:t> </w:t>
      </w:r>
      <w:r w:rsidRPr="005529B6">
        <w:rPr>
          <w:lang w:val="fr-FR"/>
        </w:rPr>
        <w:t xml:space="preserve">3 dudit </w:t>
      </w:r>
      <w:r w:rsidR="00FA5593">
        <w:rPr>
          <w:lang w:val="fr-FR"/>
        </w:rPr>
        <w:t>C</w:t>
      </w:r>
      <w:r w:rsidRPr="005529B6">
        <w:rPr>
          <w:lang w:val="fr-FR"/>
        </w:rPr>
        <w:t>ode, les procédures de nomination des directeurs, la recherche de candidats au Conseil de direction d</w:t>
      </w:r>
      <w:r w:rsidR="00795C5F">
        <w:rPr>
          <w:lang w:val="fr-FR"/>
        </w:rPr>
        <w:t>’</w:t>
      </w:r>
      <w:r w:rsidRPr="005529B6">
        <w:rPr>
          <w:lang w:val="fr-FR"/>
        </w:rPr>
        <w:t>une entreprise et la nomination des directeurs doivent se fonder sur le mérite et sur des critères objectifs (notamment les compétences, les connaissances, l</w:t>
      </w:r>
      <w:r w:rsidR="00795C5F">
        <w:rPr>
          <w:lang w:val="fr-FR"/>
        </w:rPr>
        <w:t>’</w:t>
      </w:r>
      <w:r w:rsidRPr="005529B6">
        <w:rPr>
          <w:lang w:val="fr-FR"/>
        </w:rPr>
        <w:t>expérience et l</w:t>
      </w:r>
      <w:r w:rsidR="00795C5F">
        <w:rPr>
          <w:lang w:val="fr-FR"/>
        </w:rPr>
        <w:t>’</w:t>
      </w:r>
      <w:r w:rsidRPr="005529B6">
        <w:rPr>
          <w:lang w:val="fr-FR"/>
        </w:rPr>
        <w:t xml:space="preserve">indépendance) et tenir dûment compte des avantages de la diversité, y compris en ce qui concerne la présence de femmes. Cette mesure vise à garantir une représentation plus équilibrée des femmes dans les conseils de </w:t>
      </w:r>
      <w:r w:rsidRPr="005529B6">
        <w:rPr>
          <w:lang w:val="fr-FR"/>
        </w:rPr>
        <w:lastRenderedPageBreak/>
        <w:t>direction. Par ailleurs, le Mauritius Institute of Directors a organisé une table ronde en 2017 au sujet de l</w:t>
      </w:r>
      <w:r w:rsidR="00795C5F">
        <w:rPr>
          <w:lang w:val="fr-FR"/>
        </w:rPr>
        <w:t>’</w:t>
      </w:r>
      <w:r w:rsidRPr="005529B6">
        <w:rPr>
          <w:lang w:val="fr-FR"/>
        </w:rPr>
        <w:t>initiative en faveur de l</w:t>
      </w:r>
      <w:r w:rsidR="00795C5F">
        <w:rPr>
          <w:lang w:val="fr-FR"/>
        </w:rPr>
        <w:t>’</w:t>
      </w:r>
      <w:r w:rsidRPr="005529B6">
        <w:rPr>
          <w:lang w:val="fr-FR"/>
        </w:rPr>
        <w:t>égalité des sexes dans les fonctions dirigeantes, qui a réuni des ambassadeurs des principales économies mondiales et des représentants des secteurs public et privé pour débattre des causes possibles de la faible représentation des femmes dans les conseils d</w:t>
      </w:r>
      <w:r w:rsidR="00795C5F">
        <w:rPr>
          <w:lang w:val="fr-FR"/>
        </w:rPr>
        <w:t>’</w:t>
      </w:r>
      <w:r w:rsidRPr="005529B6">
        <w:rPr>
          <w:lang w:val="fr-FR"/>
        </w:rPr>
        <w:t>administration et rechercher des solutions durables. Toutefois, les responsabilités familiales et parentales des femmes continuent de les empêcher de gravir les échelons dans le secteur privé. Pour les y aider, il est indispensable d</w:t>
      </w:r>
      <w:r w:rsidR="00795C5F">
        <w:rPr>
          <w:lang w:val="fr-FR"/>
        </w:rPr>
        <w:t>’</w:t>
      </w:r>
      <w:r w:rsidRPr="005529B6">
        <w:rPr>
          <w:lang w:val="fr-FR"/>
        </w:rPr>
        <w:t>adopter des politiques tenant compte de la problématique femmes-hommes à tous les niveaux du secteur privé. Il convient en outre d</w:t>
      </w:r>
      <w:r w:rsidR="00795C5F">
        <w:rPr>
          <w:lang w:val="fr-FR"/>
        </w:rPr>
        <w:t>’</w:t>
      </w:r>
      <w:r w:rsidRPr="005529B6">
        <w:rPr>
          <w:lang w:val="fr-FR"/>
        </w:rPr>
        <w:t>attirer l</w:t>
      </w:r>
      <w:r w:rsidR="00795C5F">
        <w:rPr>
          <w:lang w:val="fr-FR"/>
        </w:rPr>
        <w:t>’</w:t>
      </w:r>
      <w:r w:rsidRPr="005529B6">
        <w:rPr>
          <w:lang w:val="fr-FR"/>
        </w:rPr>
        <w:t>attention sur la nécessité d</w:t>
      </w:r>
      <w:r w:rsidR="00795C5F">
        <w:rPr>
          <w:lang w:val="fr-FR"/>
        </w:rPr>
        <w:t>’</w:t>
      </w:r>
      <w:r w:rsidRPr="005529B6">
        <w:rPr>
          <w:lang w:val="fr-FR"/>
        </w:rPr>
        <w:t>améliorer</w:t>
      </w:r>
      <w:r w:rsidR="006E1537">
        <w:rPr>
          <w:lang w:val="fr-FR"/>
        </w:rPr>
        <w:t xml:space="preserve"> </w:t>
      </w:r>
      <w:r w:rsidRPr="005529B6">
        <w:rPr>
          <w:lang w:val="fr-FR"/>
        </w:rPr>
        <w:t>les mécanismes sexospécifiques de collecte, d</w:t>
      </w:r>
      <w:r w:rsidR="00795C5F">
        <w:rPr>
          <w:lang w:val="fr-FR"/>
        </w:rPr>
        <w:t>’</w:t>
      </w:r>
      <w:r w:rsidRPr="005529B6">
        <w:rPr>
          <w:lang w:val="fr-FR"/>
        </w:rPr>
        <w:t>analyse et de diffusion de données, et de prendre des décisions en ce sens.</w:t>
      </w:r>
    </w:p>
    <w:p w14:paraId="13052512" w14:textId="1012C6F2" w:rsidR="005529B6" w:rsidRDefault="005529B6" w:rsidP="005529B6">
      <w:pPr>
        <w:pStyle w:val="SingleTxt"/>
        <w:numPr>
          <w:ilvl w:val="0"/>
          <w:numId w:val="20"/>
        </w:numPr>
        <w:spacing w:line="240" w:lineRule="exact"/>
        <w:ind w:left="1267"/>
        <w:rPr>
          <w:lang w:val="fr-FR"/>
        </w:rPr>
      </w:pPr>
      <w:r w:rsidRPr="005529B6">
        <w:rPr>
          <w:lang w:val="fr-FR"/>
        </w:rPr>
        <w:t>Pour ce qui est de l</w:t>
      </w:r>
      <w:r w:rsidR="00795C5F">
        <w:rPr>
          <w:lang w:val="fr-FR"/>
        </w:rPr>
        <w:t>’</w:t>
      </w:r>
      <w:r w:rsidRPr="005529B6">
        <w:rPr>
          <w:lang w:val="fr-FR"/>
        </w:rPr>
        <w:t>accès au congé parental et au congé pour raisons familiales que recommandent les observations finales au paragraphe 27 e), il importe de souligner que les conditions d</w:t>
      </w:r>
      <w:r w:rsidR="00795C5F">
        <w:rPr>
          <w:lang w:val="fr-FR"/>
        </w:rPr>
        <w:t>’</w:t>
      </w:r>
      <w:r w:rsidRPr="005529B6">
        <w:rPr>
          <w:lang w:val="fr-FR"/>
        </w:rPr>
        <w:t>emploi des femmes dans le secteur public, indépendamment de leur position hiérarchique, sont régies par le rapport établi par le Bureau de recherche sur les traitements, y compris en ce qui concerne les congés de maladie, de maternité et d</w:t>
      </w:r>
      <w:r w:rsidR="00795C5F">
        <w:rPr>
          <w:lang w:val="fr-FR"/>
        </w:rPr>
        <w:t>’</w:t>
      </w:r>
      <w:r w:rsidRPr="005529B6">
        <w:rPr>
          <w:lang w:val="fr-FR"/>
        </w:rPr>
        <w:t>adoption.</w:t>
      </w:r>
    </w:p>
    <w:p w14:paraId="16D2BDC6" w14:textId="014F5C2B" w:rsidR="005529B6" w:rsidRPr="00046FCC" w:rsidRDefault="005529B6" w:rsidP="00046FCC">
      <w:pPr>
        <w:pStyle w:val="SingleTxt"/>
        <w:spacing w:after="0" w:line="120" w:lineRule="exact"/>
        <w:rPr>
          <w:sz w:val="10"/>
          <w:lang w:val="fr-FR"/>
        </w:rPr>
      </w:pPr>
    </w:p>
    <w:p w14:paraId="5C8F7CF1" w14:textId="77777777" w:rsidR="00046FCC" w:rsidRPr="005529B6" w:rsidRDefault="00046FCC" w:rsidP="005529B6">
      <w:pPr>
        <w:pStyle w:val="SingleTxt"/>
        <w:spacing w:after="0" w:line="120" w:lineRule="exact"/>
        <w:rPr>
          <w:sz w:val="10"/>
          <w:lang w:val="fr-FR"/>
        </w:rPr>
      </w:pPr>
    </w:p>
    <w:p w14:paraId="02F54D73" w14:textId="636297CA" w:rsidR="005529B6" w:rsidRDefault="005529B6" w:rsidP="002535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529B6">
        <w:rPr>
          <w:lang w:val="fr-FR"/>
        </w:rPr>
        <w:t>Éducation</w:t>
      </w:r>
    </w:p>
    <w:p w14:paraId="586615F2" w14:textId="1C791EC3" w:rsidR="005529B6" w:rsidRPr="00046FCC" w:rsidRDefault="005529B6" w:rsidP="00046FCC">
      <w:pPr>
        <w:pStyle w:val="SingleTxt"/>
        <w:spacing w:after="0" w:line="120" w:lineRule="exact"/>
        <w:rPr>
          <w:sz w:val="10"/>
          <w:lang w:val="fr-FR"/>
        </w:rPr>
      </w:pPr>
    </w:p>
    <w:p w14:paraId="5F56B560" w14:textId="77777777" w:rsidR="00046FCC" w:rsidRPr="005529B6" w:rsidRDefault="00046FCC" w:rsidP="005529B6">
      <w:pPr>
        <w:pStyle w:val="SingleTxt"/>
        <w:spacing w:after="0" w:line="120" w:lineRule="exact"/>
        <w:rPr>
          <w:sz w:val="10"/>
          <w:lang w:val="fr-FR"/>
        </w:rPr>
      </w:pPr>
    </w:p>
    <w:p w14:paraId="17A8E2DC" w14:textId="4168AB87" w:rsidR="005529B6" w:rsidRPr="005529B6" w:rsidRDefault="005529B6" w:rsidP="005529B6">
      <w:pPr>
        <w:pStyle w:val="SingleTxt"/>
        <w:numPr>
          <w:ilvl w:val="0"/>
          <w:numId w:val="20"/>
        </w:numPr>
        <w:spacing w:line="240" w:lineRule="exact"/>
        <w:ind w:left="1267"/>
        <w:rPr>
          <w:lang w:val="fr-FR"/>
        </w:rPr>
      </w:pPr>
      <w:r w:rsidRPr="005529B6">
        <w:rPr>
          <w:lang w:val="fr-FR"/>
        </w:rPr>
        <w:t>À Maurice, tout enfant a droit à l</w:t>
      </w:r>
      <w:r w:rsidR="00795C5F">
        <w:rPr>
          <w:lang w:val="fr-FR"/>
        </w:rPr>
        <w:t>’</w:t>
      </w:r>
      <w:r w:rsidRPr="005529B6">
        <w:rPr>
          <w:lang w:val="fr-FR"/>
        </w:rPr>
        <w:t xml:space="preserve">éducation. Selon la </w:t>
      </w:r>
      <w:r w:rsidR="00FA5593">
        <w:rPr>
          <w:lang w:val="fr-FR"/>
        </w:rPr>
        <w:t>l</w:t>
      </w:r>
      <w:r w:rsidRPr="005529B6">
        <w:rPr>
          <w:lang w:val="fr-FR"/>
        </w:rPr>
        <w:t>oi sur l</w:t>
      </w:r>
      <w:r w:rsidR="00795C5F">
        <w:rPr>
          <w:lang w:val="fr-FR"/>
        </w:rPr>
        <w:t>’</w:t>
      </w:r>
      <w:r w:rsidRPr="005529B6">
        <w:rPr>
          <w:lang w:val="fr-FR"/>
        </w:rPr>
        <w:t>enseignement, l</w:t>
      </w:r>
      <w:r w:rsidR="00795C5F">
        <w:rPr>
          <w:lang w:val="fr-FR"/>
        </w:rPr>
        <w:t>’</w:t>
      </w:r>
      <w:r w:rsidRPr="005529B6">
        <w:rPr>
          <w:lang w:val="fr-FR"/>
        </w:rPr>
        <w:t>enseignement de base y est obligatoire jusqu</w:t>
      </w:r>
      <w:r w:rsidR="00795C5F">
        <w:rPr>
          <w:lang w:val="fr-FR"/>
        </w:rPr>
        <w:t>’</w:t>
      </w:r>
      <w:r w:rsidRPr="005529B6">
        <w:rPr>
          <w:lang w:val="fr-FR"/>
        </w:rPr>
        <w:t>à 16 ans. Le secteur de l</w:t>
      </w:r>
      <w:r w:rsidR="00795C5F">
        <w:rPr>
          <w:lang w:val="fr-FR"/>
        </w:rPr>
        <w:t>’</w:t>
      </w:r>
      <w:r w:rsidRPr="005529B6">
        <w:rPr>
          <w:lang w:val="fr-FR"/>
        </w:rPr>
        <w:t>éducation relève du Ministère de l</w:t>
      </w:r>
      <w:r w:rsidR="00795C5F">
        <w:rPr>
          <w:lang w:val="fr-FR"/>
        </w:rPr>
        <w:t>’</w:t>
      </w:r>
      <w:r w:rsidRPr="005529B6">
        <w:rPr>
          <w:lang w:val="fr-FR"/>
        </w:rPr>
        <w:t>éducation et des ressources humaines, de l</w:t>
      </w:r>
      <w:r w:rsidR="00795C5F">
        <w:rPr>
          <w:lang w:val="fr-FR"/>
        </w:rPr>
        <w:t>’</w:t>
      </w:r>
      <w:r w:rsidRPr="005529B6">
        <w:rPr>
          <w:lang w:val="fr-FR"/>
        </w:rPr>
        <w:t>enseignement supérieur et de la recherche scientifique, qui offre aux filles et aux garçons les possibilités et moyens ci-après de faire des études</w:t>
      </w:r>
      <w:r w:rsidR="00795C5F">
        <w:rPr>
          <w:lang w:val="fr-FR"/>
        </w:rPr>
        <w:t> :</w:t>
      </w:r>
      <w:r w:rsidRPr="005529B6">
        <w:rPr>
          <w:lang w:val="fr-FR"/>
        </w:rPr>
        <w:t xml:space="preserve"> </w:t>
      </w:r>
    </w:p>
    <w:p w14:paraId="4513E099" w14:textId="701EFBC8"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Bourses d</w:t>
      </w:r>
      <w:r w:rsidR="00795C5F">
        <w:rPr>
          <w:lang w:val="fr-FR"/>
        </w:rPr>
        <w:t>’</w:t>
      </w:r>
      <w:r w:rsidRPr="005529B6">
        <w:rPr>
          <w:lang w:val="fr-FR"/>
        </w:rPr>
        <w:t xml:space="preserve">études pour les </w:t>
      </w:r>
      <w:r w:rsidR="00FA5593" w:rsidRPr="005529B6">
        <w:rPr>
          <w:lang w:val="fr-FR"/>
        </w:rPr>
        <w:t>filles</w:t>
      </w:r>
      <w:r w:rsidR="00795C5F">
        <w:rPr>
          <w:lang w:val="fr-FR"/>
        </w:rPr>
        <w:t> ;</w:t>
      </w:r>
    </w:p>
    <w:p w14:paraId="269C33C9" w14:textId="1207DF4D"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Politique d</w:t>
      </w:r>
      <w:r w:rsidR="00795C5F">
        <w:rPr>
          <w:lang w:val="fr-FR"/>
        </w:rPr>
        <w:t>’</w:t>
      </w:r>
      <w:r w:rsidRPr="005529B6">
        <w:rPr>
          <w:lang w:val="fr-FR"/>
        </w:rPr>
        <w:t>accès universel à l</w:t>
      </w:r>
      <w:r w:rsidR="00795C5F">
        <w:rPr>
          <w:lang w:val="fr-FR"/>
        </w:rPr>
        <w:t>’</w:t>
      </w:r>
      <w:r w:rsidRPr="005529B6">
        <w:rPr>
          <w:lang w:val="fr-FR"/>
        </w:rPr>
        <w:t>éducation</w:t>
      </w:r>
      <w:r w:rsidR="00ED416A">
        <w:rPr>
          <w:lang w:val="fr-FR"/>
        </w:rPr>
        <w:t> ;</w:t>
      </w:r>
    </w:p>
    <w:p w14:paraId="517B7691" w14:textId="48AD2903"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Gratuité de l</w:t>
      </w:r>
      <w:r w:rsidR="00795C5F">
        <w:rPr>
          <w:lang w:val="fr-FR"/>
        </w:rPr>
        <w:t>’</w:t>
      </w:r>
      <w:r w:rsidRPr="005529B6">
        <w:rPr>
          <w:lang w:val="fr-FR"/>
        </w:rPr>
        <w:t>enseignement obligatoire pour tous jusqu</w:t>
      </w:r>
      <w:r w:rsidR="00795C5F">
        <w:rPr>
          <w:lang w:val="fr-FR"/>
        </w:rPr>
        <w:t>’</w:t>
      </w:r>
      <w:r w:rsidRPr="005529B6">
        <w:rPr>
          <w:lang w:val="fr-FR"/>
        </w:rPr>
        <w:t>à l</w:t>
      </w:r>
      <w:r w:rsidR="00795C5F">
        <w:rPr>
          <w:lang w:val="fr-FR"/>
        </w:rPr>
        <w:t>’</w:t>
      </w:r>
      <w:r w:rsidRPr="005529B6">
        <w:rPr>
          <w:lang w:val="fr-FR"/>
        </w:rPr>
        <w:t>âge de 16 ans</w:t>
      </w:r>
      <w:r w:rsidR="00795C5F">
        <w:rPr>
          <w:lang w:val="fr-FR"/>
        </w:rPr>
        <w:t> ;</w:t>
      </w:r>
    </w:p>
    <w:p w14:paraId="08807CA2" w14:textId="679B3CB7"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Gratuité des transports pour tous les élèves de l</w:t>
      </w:r>
      <w:r w:rsidR="00795C5F">
        <w:rPr>
          <w:lang w:val="fr-FR"/>
        </w:rPr>
        <w:t>’</w:t>
      </w:r>
      <w:r w:rsidRPr="005529B6">
        <w:rPr>
          <w:lang w:val="fr-FR"/>
        </w:rPr>
        <w:t>enseignement primaire et secondaire</w:t>
      </w:r>
      <w:r w:rsidR="00795C5F">
        <w:rPr>
          <w:lang w:val="fr-FR"/>
        </w:rPr>
        <w:t> ;</w:t>
      </w:r>
    </w:p>
    <w:p w14:paraId="443A122B" w14:textId="2F2F38B7"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Gratuité des manuels pour tous les élèves de l</w:t>
      </w:r>
      <w:r w:rsidR="00795C5F">
        <w:rPr>
          <w:lang w:val="fr-FR"/>
        </w:rPr>
        <w:t>’</w:t>
      </w:r>
      <w:r w:rsidRPr="005529B6">
        <w:rPr>
          <w:lang w:val="fr-FR"/>
        </w:rPr>
        <w:t>enseignement primaire</w:t>
      </w:r>
      <w:r w:rsidR="00795C5F">
        <w:rPr>
          <w:lang w:val="fr-FR"/>
        </w:rPr>
        <w:t> ;</w:t>
      </w:r>
    </w:p>
    <w:p w14:paraId="02D7C1C2" w14:textId="419F976D"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Allocations de sécurité sociale pour les étudiants issus de familles pauvres</w:t>
      </w:r>
      <w:r w:rsidR="00795C5F">
        <w:rPr>
          <w:lang w:val="fr-FR"/>
        </w:rPr>
        <w:t> ;</w:t>
      </w:r>
    </w:p>
    <w:p w14:paraId="2A30E38E" w14:textId="2DCA27B2"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Système de suivi des élèves à l</w:t>
      </w:r>
      <w:r w:rsidR="00795C5F">
        <w:rPr>
          <w:lang w:val="fr-FR"/>
        </w:rPr>
        <w:t>’</w:t>
      </w:r>
      <w:r w:rsidRPr="005529B6">
        <w:rPr>
          <w:lang w:val="fr-FR"/>
        </w:rPr>
        <w:t>appui du contrôle des présences jusqu</w:t>
      </w:r>
      <w:r w:rsidR="00795C5F">
        <w:rPr>
          <w:lang w:val="fr-FR"/>
        </w:rPr>
        <w:t>’</w:t>
      </w:r>
      <w:r w:rsidRPr="005529B6">
        <w:rPr>
          <w:lang w:val="fr-FR"/>
        </w:rPr>
        <w:t>à l</w:t>
      </w:r>
      <w:r w:rsidR="00795C5F">
        <w:rPr>
          <w:lang w:val="fr-FR"/>
        </w:rPr>
        <w:t>’</w:t>
      </w:r>
      <w:r w:rsidRPr="005529B6">
        <w:rPr>
          <w:lang w:val="fr-FR"/>
        </w:rPr>
        <w:t>âge de 16 ans</w:t>
      </w:r>
      <w:r w:rsidR="00795C5F">
        <w:rPr>
          <w:lang w:val="fr-FR"/>
        </w:rPr>
        <w:t> ;</w:t>
      </w:r>
    </w:p>
    <w:p w14:paraId="30967B48" w14:textId="2233EFEB"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Octroi de subventions et de bourses d</w:t>
      </w:r>
      <w:r w:rsidR="00795C5F">
        <w:rPr>
          <w:lang w:val="fr-FR"/>
        </w:rPr>
        <w:t>’</w:t>
      </w:r>
      <w:r w:rsidRPr="005529B6">
        <w:rPr>
          <w:lang w:val="fr-FR"/>
        </w:rPr>
        <w:t>études aux filles comme aux garçons, en particulier aux enfants de familles vulnérables désireux de faire des études supérieures</w:t>
      </w:r>
      <w:r w:rsidR="00795C5F">
        <w:rPr>
          <w:lang w:val="fr-FR"/>
        </w:rPr>
        <w:t> ;</w:t>
      </w:r>
    </w:p>
    <w:p w14:paraId="18044895" w14:textId="6FB8AE58"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Octroi d</w:t>
      </w:r>
      <w:r w:rsidR="00795C5F">
        <w:rPr>
          <w:lang w:val="fr-FR"/>
        </w:rPr>
        <w:t>’</w:t>
      </w:r>
      <w:r w:rsidRPr="005529B6">
        <w:rPr>
          <w:lang w:val="fr-FR"/>
        </w:rPr>
        <w:t>une prime pour chaque enfant d</w:t>
      </w:r>
      <w:r w:rsidR="00795C5F">
        <w:rPr>
          <w:lang w:val="fr-FR"/>
        </w:rPr>
        <w:t>’</w:t>
      </w:r>
      <w:r w:rsidRPr="005529B6">
        <w:rPr>
          <w:lang w:val="fr-FR"/>
        </w:rPr>
        <w:t>âge préscolaire inscrit dans un établissement</w:t>
      </w:r>
      <w:r w:rsidR="00795C5F">
        <w:rPr>
          <w:lang w:val="fr-FR"/>
        </w:rPr>
        <w:t> ;</w:t>
      </w:r>
    </w:p>
    <w:p w14:paraId="77614448" w14:textId="3016A620"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Création de 30 établissements dans des zones d</w:t>
      </w:r>
      <w:r w:rsidR="00795C5F">
        <w:rPr>
          <w:lang w:val="fr-FR"/>
        </w:rPr>
        <w:t>’</w:t>
      </w:r>
      <w:r w:rsidRPr="005529B6">
        <w:rPr>
          <w:lang w:val="fr-FR"/>
        </w:rPr>
        <w:t>éducation prioritaire, à Maurice</w:t>
      </w:r>
      <w:r w:rsidR="00ED416A">
        <w:rPr>
          <w:lang w:val="fr-FR"/>
        </w:rPr>
        <w:t xml:space="preserve"> et dans les îles périphériques ;</w:t>
      </w:r>
    </w:p>
    <w:p w14:paraId="69857B49" w14:textId="3706BA08"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Cadre d</w:t>
      </w:r>
      <w:r w:rsidR="00795C5F">
        <w:rPr>
          <w:lang w:val="fr-FR"/>
        </w:rPr>
        <w:t>’</w:t>
      </w:r>
      <w:r w:rsidRPr="005529B6">
        <w:rPr>
          <w:lang w:val="fr-FR"/>
        </w:rPr>
        <w:t>apprentissage, programmes d</w:t>
      </w:r>
      <w:r w:rsidR="00795C5F">
        <w:rPr>
          <w:lang w:val="fr-FR"/>
        </w:rPr>
        <w:t>’</w:t>
      </w:r>
      <w:r w:rsidRPr="005529B6">
        <w:rPr>
          <w:lang w:val="fr-FR"/>
        </w:rPr>
        <w:t>enseignement et matériel pédagogique tenant compte des disparités entre les sexes</w:t>
      </w:r>
      <w:r w:rsidR="00ED416A">
        <w:rPr>
          <w:lang w:val="fr-FR"/>
        </w:rPr>
        <w:t> ;</w:t>
      </w:r>
    </w:p>
    <w:p w14:paraId="40D7868C" w14:textId="0F249662"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Filles et garçons ont accès aux mêmes programmes, examens, enseignants qualifiés, matériel et installations, dans les écoles primaires comme dans les établissements secondaires</w:t>
      </w:r>
      <w:r w:rsidR="00795C5F">
        <w:rPr>
          <w:lang w:val="fr-FR"/>
        </w:rPr>
        <w:t> ;</w:t>
      </w:r>
    </w:p>
    <w:p w14:paraId="27517956" w14:textId="586868B1" w:rsidR="005529B6" w:rsidRPr="005529B6" w:rsidRDefault="005529B6" w:rsidP="005529B6">
      <w:pPr>
        <w:pStyle w:val="SingleTxt"/>
        <w:tabs>
          <w:tab w:val="right" w:pos="1685"/>
        </w:tabs>
        <w:ind w:left="1742" w:hanging="475"/>
        <w:rPr>
          <w:lang w:val="fr-FR"/>
        </w:rPr>
      </w:pPr>
      <w:r>
        <w:rPr>
          <w:lang w:val="fr-FR"/>
        </w:rPr>
        <w:lastRenderedPageBreak/>
        <w:tab/>
      </w:r>
      <w:r w:rsidRPr="005529B6">
        <w:rPr>
          <w:lang w:val="fr-FR"/>
        </w:rPr>
        <w:t>•</w:t>
      </w:r>
      <w:r w:rsidRPr="005529B6">
        <w:rPr>
          <w:lang w:val="fr-FR"/>
        </w:rPr>
        <w:tab/>
        <w:t>Le programme d</w:t>
      </w:r>
      <w:r w:rsidR="00795C5F">
        <w:rPr>
          <w:lang w:val="fr-FR"/>
        </w:rPr>
        <w:t>’</w:t>
      </w:r>
      <w:r w:rsidRPr="005529B6">
        <w:rPr>
          <w:lang w:val="fr-FR"/>
        </w:rPr>
        <w:t>enseignement national a été revu de façon à en retirer les stéréotypes sexistes</w:t>
      </w:r>
      <w:r w:rsidR="00795C5F">
        <w:rPr>
          <w:lang w:val="fr-FR"/>
        </w:rPr>
        <w:t> ;</w:t>
      </w:r>
    </w:p>
    <w:p w14:paraId="7BA88EDD" w14:textId="38852A17"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Toutes les données sont ventilées par sexe et les résultats aux examens analysés selon un point de vue tenant compte de la problématique femmes-hommes</w:t>
      </w:r>
      <w:r w:rsidR="00795C5F">
        <w:rPr>
          <w:lang w:val="fr-FR"/>
        </w:rPr>
        <w:t> ;</w:t>
      </w:r>
    </w:p>
    <w:p w14:paraId="0C7D9E16" w14:textId="7B066FAE"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L</w:t>
      </w:r>
      <w:r w:rsidR="00795C5F">
        <w:rPr>
          <w:lang w:val="fr-FR"/>
        </w:rPr>
        <w:t>’</w:t>
      </w:r>
      <w:r w:rsidRPr="005529B6">
        <w:rPr>
          <w:lang w:val="fr-FR"/>
        </w:rPr>
        <w:t>enseignement est plus pertinent, comme en témoigne l</w:t>
      </w:r>
      <w:r w:rsidR="00795C5F">
        <w:rPr>
          <w:lang w:val="fr-FR"/>
        </w:rPr>
        <w:t>’</w:t>
      </w:r>
      <w:r w:rsidRPr="005529B6">
        <w:rPr>
          <w:lang w:val="fr-FR"/>
        </w:rPr>
        <w:t>ajout de nouvelles matières telles que la création et la gestion d</w:t>
      </w:r>
      <w:r w:rsidR="00795C5F">
        <w:rPr>
          <w:lang w:val="fr-FR"/>
        </w:rPr>
        <w:t>’</w:t>
      </w:r>
      <w:r w:rsidRPr="005529B6">
        <w:rPr>
          <w:lang w:val="fr-FR"/>
        </w:rPr>
        <w:t>entreprises, les voyages et le tourisme, etc.</w:t>
      </w:r>
      <w:r w:rsidR="00795C5F">
        <w:rPr>
          <w:lang w:val="fr-FR"/>
        </w:rPr>
        <w:t> ;</w:t>
      </w:r>
    </w:p>
    <w:p w14:paraId="4A2677C0" w14:textId="40F759E7"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Tous les élèves peuvent étudier toutes les matières</w:t>
      </w:r>
      <w:r w:rsidR="00795C5F">
        <w:rPr>
          <w:lang w:val="fr-FR"/>
        </w:rPr>
        <w:t> ;</w:t>
      </w:r>
    </w:p>
    <w:p w14:paraId="40CCDEB6" w14:textId="1D9AB9F6"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Les frais d</w:t>
      </w:r>
      <w:r w:rsidR="00795C5F">
        <w:rPr>
          <w:lang w:val="fr-FR"/>
        </w:rPr>
        <w:t>’</w:t>
      </w:r>
      <w:r w:rsidRPr="005529B6">
        <w:rPr>
          <w:lang w:val="fr-FR"/>
        </w:rPr>
        <w:t>examen de fin de l</w:t>
      </w:r>
      <w:r w:rsidR="00795C5F">
        <w:rPr>
          <w:lang w:val="fr-FR"/>
        </w:rPr>
        <w:t>’</w:t>
      </w:r>
      <w:r w:rsidRPr="005529B6">
        <w:rPr>
          <w:lang w:val="fr-FR"/>
        </w:rPr>
        <w:t>enseignement secondaire (School Certificate, ou «</w:t>
      </w:r>
      <w:r w:rsidR="00415B49">
        <w:rPr>
          <w:lang w:val="fr-FR"/>
        </w:rPr>
        <w:t> </w:t>
      </w:r>
      <w:r w:rsidRPr="005529B6">
        <w:rPr>
          <w:lang w:val="fr-FR"/>
        </w:rPr>
        <w:t>O Level</w:t>
      </w:r>
      <w:r w:rsidR="00415B49">
        <w:rPr>
          <w:lang w:val="fr-FR"/>
        </w:rPr>
        <w:t> </w:t>
      </w:r>
      <w:r w:rsidRPr="005529B6">
        <w:rPr>
          <w:lang w:val="fr-FR"/>
        </w:rPr>
        <w:t>», et Higher School Certificate, ou «</w:t>
      </w:r>
      <w:r w:rsidR="00415B49">
        <w:rPr>
          <w:lang w:val="fr-FR"/>
        </w:rPr>
        <w:t> </w:t>
      </w:r>
      <w:r w:rsidRPr="005529B6">
        <w:rPr>
          <w:lang w:val="fr-FR"/>
        </w:rPr>
        <w:t>A Level</w:t>
      </w:r>
      <w:r w:rsidR="00415B49">
        <w:rPr>
          <w:lang w:val="fr-FR"/>
        </w:rPr>
        <w:t> </w:t>
      </w:r>
      <w:r w:rsidRPr="005529B6">
        <w:rPr>
          <w:lang w:val="fr-FR"/>
        </w:rPr>
        <w:t>») sont pris en charge par le Gouvernement pour tous les élèves</w:t>
      </w:r>
      <w:r w:rsidR="00795C5F">
        <w:rPr>
          <w:lang w:val="fr-FR"/>
        </w:rPr>
        <w:t> ;</w:t>
      </w:r>
    </w:p>
    <w:p w14:paraId="0E88BD6B" w14:textId="2D924339"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Des récompenses pécuniaires sont versées aux élèves issus de familles à faible revenu à l</w:t>
      </w:r>
      <w:r w:rsidR="00795C5F">
        <w:rPr>
          <w:lang w:val="fr-FR"/>
        </w:rPr>
        <w:t>’</w:t>
      </w:r>
      <w:r w:rsidRPr="005529B6">
        <w:rPr>
          <w:lang w:val="fr-FR"/>
        </w:rPr>
        <w:t>issue de différentes classes</w:t>
      </w:r>
      <w:r w:rsidR="00795C5F">
        <w:rPr>
          <w:lang w:val="fr-FR"/>
        </w:rPr>
        <w:t> :</w:t>
      </w:r>
      <w:r w:rsidRPr="005529B6">
        <w:rPr>
          <w:lang w:val="fr-FR"/>
        </w:rPr>
        <w:t xml:space="preserve"> à la fin du premier cycle de l</w:t>
      </w:r>
      <w:r w:rsidR="00795C5F">
        <w:rPr>
          <w:lang w:val="fr-FR"/>
        </w:rPr>
        <w:t>’</w:t>
      </w:r>
      <w:r w:rsidRPr="005529B6">
        <w:rPr>
          <w:lang w:val="fr-FR"/>
        </w:rPr>
        <w:t>enseignement secondaire (grade 9) et à la fin du second cycle de l</w:t>
      </w:r>
      <w:r w:rsidR="00795C5F">
        <w:rPr>
          <w:lang w:val="fr-FR"/>
        </w:rPr>
        <w:t>’</w:t>
      </w:r>
      <w:r w:rsidRPr="005529B6">
        <w:rPr>
          <w:lang w:val="fr-FR"/>
        </w:rPr>
        <w:t>enseignement secondaire (années d</w:t>
      </w:r>
      <w:r w:rsidR="00795C5F">
        <w:rPr>
          <w:lang w:val="fr-FR"/>
        </w:rPr>
        <w:t>’</w:t>
      </w:r>
      <w:r w:rsidRPr="005529B6">
        <w:rPr>
          <w:lang w:val="fr-FR"/>
        </w:rPr>
        <w:t>obtention du School Certificate et du Higher School Certificate)</w:t>
      </w:r>
      <w:r w:rsidR="00795C5F">
        <w:rPr>
          <w:lang w:val="fr-FR"/>
        </w:rPr>
        <w:t> ;</w:t>
      </w:r>
    </w:p>
    <w:p w14:paraId="2ED7686C" w14:textId="5F299E06"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Aide socio-psycho-pédagogique</w:t>
      </w:r>
      <w:r w:rsidR="00795C5F">
        <w:rPr>
          <w:lang w:val="fr-FR"/>
        </w:rPr>
        <w:t> ;</w:t>
      </w:r>
    </w:p>
    <w:p w14:paraId="18CDB3B4" w14:textId="719B34A9"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Le mariage d</w:t>
      </w:r>
      <w:r w:rsidR="00795C5F">
        <w:rPr>
          <w:lang w:val="fr-FR"/>
        </w:rPr>
        <w:t>’</w:t>
      </w:r>
      <w:r w:rsidRPr="005529B6">
        <w:rPr>
          <w:lang w:val="fr-FR"/>
        </w:rPr>
        <w:t>enfants est interdit à Maurice, le Code civil mauricien fixant l</w:t>
      </w:r>
      <w:r w:rsidR="00795C5F">
        <w:rPr>
          <w:lang w:val="fr-FR"/>
        </w:rPr>
        <w:t>’</w:t>
      </w:r>
      <w:r w:rsidRPr="005529B6">
        <w:rPr>
          <w:lang w:val="fr-FR"/>
        </w:rPr>
        <w:t>âge légal du mariage à 18 ans. Toutefois, à partir de 16 ans, une fille peut se marier si elle a le consentement de ses parents ou d</w:t>
      </w:r>
      <w:r w:rsidR="00795C5F">
        <w:rPr>
          <w:lang w:val="fr-FR"/>
        </w:rPr>
        <w:t>’</w:t>
      </w:r>
      <w:r w:rsidRPr="005529B6">
        <w:rPr>
          <w:lang w:val="fr-FR"/>
        </w:rPr>
        <w:t>un des parents ayant l</w:t>
      </w:r>
      <w:r w:rsidR="00795C5F">
        <w:rPr>
          <w:lang w:val="fr-FR"/>
        </w:rPr>
        <w:t>’</w:t>
      </w:r>
      <w:r w:rsidRPr="005529B6">
        <w:rPr>
          <w:lang w:val="fr-FR"/>
        </w:rPr>
        <w:t>autorité parentale. À défaut du consentement des parents, un juge peut autoriser le mariage si, l</w:t>
      </w:r>
      <w:r w:rsidR="00795C5F">
        <w:rPr>
          <w:lang w:val="fr-FR"/>
        </w:rPr>
        <w:t>’</w:t>
      </w:r>
      <w:r w:rsidRPr="005529B6">
        <w:rPr>
          <w:lang w:val="fr-FR"/>
        </w:rPr>
        <w:t>ayant entendue en audience de cabinet, il considère que c</w:t>
      </w:r>
      <w:r w:rsidR="00795C5F">
        <w:rPr>
          <w:lang w:val="fr-FR"/>
        </w:rPr>
        <w:t>’</w:t>
      </w:r>
      <w:r w:rsidRPr="005529B6">
        <w:rPr>
          <w:lang w:val="fr-FR"/>
        </w:rPr>
        <w:t>est dans l</w:t>
      </w:r>
      <w:r w:rsidR="00795C5F">
        <w:rPr>
          <w:lang w:val="fr-FR"/>
        </w:rPr>
        <w:t>’</w:t>
      </w:r>
      <w:r w:rsidRPr="005529B6">
        <w:rPr>
          <w:lang w:val="fr-FR"/>
        </w:rPr>
        <w:t>intérêt de la mineure. La gratuité de l</w:t>
      </w:r>
      <w:r w:rsidR="00795C5F">
        <w:rPr>
          <w:lang w:val="fr-FR"/>
        </w:rPr>
        <w:t>’</w:t>
      </w:r>
      <w:r w:rsidRPr="005529B6">
        <w:rPr>
          <w:lang w:val="fr-FR"/>
        </w:rPr>
        <w:t>enseignement obligatoire pour tous jusqu</w:t>
      </w:r>
      <w:r w:rsidR="00795C5F">
        <w:rPr>
          <w:lang w:val="fr-FR"/>
        </w:rPr>
        <w:t>’</w:t>
      </w:r>
      <w:r w:rsidRPr="005529B6">
        <w:rPr>
          <w:lang w:val="fr-FR"/>
        </w:rPr>
        <w:t>à l</w:t>
      </w:r>
      <w:r w:rsidR="00795C5F">
        <w:rPr>
          <w:lang w:val="fr-FR"/>
        </w:rPr>
        <w:t>’</w:t>
      </w:r>
      <w:r w:rsidRPr="005529B6">
        <w:rPr>
          <w:lang w:val="fr-FR"/>
        </w:rPr>
        <w:t xml:space="preserve">âge de 16 ans a également un effet dissuasif à cet </w:t>
      </w:r>
      <w:r w:rsidR="00FA5593" w:rsidRPr="005529B6">
        <w:rPr>
          <w:lang w:val="fr-FR"/>
        </w:rPr>
        <w:t>égard</w:t>
      </w:r>
      <w:r w:rsidR="00795C5F">
        <w:rPr>
          <w:lang w:val="fr-FR"/>
        </w:rPr>
        <w:t> ;</w:t>
      </w:r>
    </w:p>
    <w:p w14:paraId="2673CA46" w14:textId="6A4029BC"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Application des dispositions de la Charte africaine des droits et du bien-être de l</w:t>
      </w:r>
      <w:r w:rsidR="00795C5F">
        <w:rPr>
          <w:lang w:val="fr-FR"/>
        </w:rPr>
        <w:t>’</w:t>
      </w:r>
      <w:r w:rsidRPr="005529B6">
        <w:rPr>
          <w:lang w:val="fr-FR"/>
        </w:rPr>
        <w:t>enfant.</w:t>
      </w:r>
    </w:p>
    <w:p w14:paraId="432396A7" w14:textId="0E5FB7DC" w:rsidR="005529B6" w:rsidRDefault="005529B6" w:rsidP="005529B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admission des élèves à l</w:t>
      </w:r>
      <w:r w:rsidR="00795C5F">
        <w:rPr>
          <w:lang w:val="fr-FR"/>
        </w:rPr>
        <w:t>’</w:t>
      </w:r>
      <w:r w:rsidRPr="005529B6">
        <w:rPr>
          <w:lang w:val="fr-FR"/>
        </w:rPr>
        <w:t>école primaire n</w:t>
      </w:r>
      <w:r w:rsidR="00795C5F">
        <w:rPr>
          <w:lang w:val="fr-FR"/>
        </w:rPr>
        <w:t>’</w:t>
      </w:r>
      <w:r w:rsidRPr="005529B6">
        <w:rPr>
          <w:lang w:val="fr-FR"/>
        </w:rPr>
        <w:t>obéit à aucun parti pris sexiste. On voit dans le tableau ci-dessous que la progression des filles au niveau primaire est relativement élevée.</w:t>
      </w:r>
    </w:p>
    <w:p w14:paraId="494644CD" w14:textId="27CA5107" w:rsidR="00503C29" w:rsidRPr="00503C29" w:rsidRDefault="00503C29" w:rsidP="00503C29">
      <w:pPr>
        <w:pStyle w:val="SingleTxt"/>
        <w:spacing w:after="0" w:line="120" w:lineRule="exact"/>
        <w:rPr>
          <w:sz w:val="10"/>
          <w:lang w:val="fr-FR"/>
        </w:rPr>
      </w:pPr>
    </w:p>
    <w:tbl>
      <w:tblPr>
        <w:tblW w:w="7325" w:type="dxa"/>
        <w:jc w:val="center"/>
        <w:tblLayout w:type="fixed"/>
        <w:tblCellMar>
          <w:left w:w="0" w:type="dxa"/>
          <w:right w:w="0" w:type="dxa"/>
        </w:tblCellMar>
        <w:tblLook w:val="04A0" w:firstRow="1" w:lastRow="0" w:firstColumn="1" w:lastColumn="0" w:noHBand="0" w:noVBand="1"/>
      </w:tblPr>
      <w:tblGrid>
        <w:gridCol w:w="2514"/>
        <w:gridCol w:w="4811"/>
      </w:tblGrid>
      <w:tr w:rsidR="005529B6" w:rsidRPr="005529B6" w14:paraId="550E606E" w14:textId="77777777" w:rsidTr="005529B6">
        <w:trPr>
          <w:cantSplit/>
          <w:tblHeader/>
          <w:jc w:val="center"/>
        </w:trPr>
        <w:tc>
          <w:tcPr>
            <w:tcW w:w="2514" w:type="dxa"/>
            <w:tcBorders>
              <w:top w:val="single" w:sz="4" w:space="0" w:color="auto"/>
              <w:bottom w:val="single" w:sz="12" w:space="0" w:color="auto"/>
            </w:tcBorders>
            <w:shd w:val="clear" w:color="auto" w:fill="auto"/>
            <w:tcMar>
              <w:top w:w="0" w:type="dxa"/>
              <w:left w:w="45" w:type="dxa"/>
              <w:bottom w:w="0" w:type="dxa"/>
              <w:right w:w="45" w:type="dxa"/>
            </w:tcMar>
            <w:vAlign w:val="bottom"/>
            <w:hideMark/>
          </w:tcPr>
          <w:p w14:paraId="26B912E0" w14:textId="77777777" w:rsidR="005529B6" w:rsidRPr="005529B6" w:rsidRDefault="005529B6" w:rsidP="005529B6">
            <w:pPr>
              <w:suppressAutoHyphens/>
              <w:spacing w:before="81" w:after="81" w:line="160" w:lineRule="exact"/>
              <w:ind w:right="40"/>
              <w:rPr>
                <w:i/>
                <w:sz w:val="14"/>
              </w:rPr>
            </w:pPr>
            <w:r w:rsidRPr="005529B6">
              <w:rPr>
                <w:i/>
                <w:sz w:val="14"/>
              </w:rPr>
              <w:t>Année</w:t>
            </w:r>
          </w:p>
        </w:tc>
        <w:tc>
          <w:tcPr>
            <w:tcW w:w="4811" w:type="dxa"/>
            <w:tcBorders>
              <w:top w:val="single" w:sz="4" w:space="0" w:color="auto"/>
              <w:bottom w:val="single" w:sz="12" w:space="0" w:color="auto"/>
            </w:tcBorders>
            <w:shd w:val="clear" w:color="auto" w:fill="auto"/>
            <w:tcMar>
              <w:top w:w="0" w:type="dxa"/>
              <w:left w:w="45" w:type="dxa"/>
              <w:bottom w:w="0" w:type="dxa"/>
              <w:right w:w="45" w:type="dxa"/>
            </w:tcMar>
            <w:vAlign w:val="bottom"/>
            <w:hideMark/>
          </w:tcPr>
          <w:p w14:paraId="2515EC13" w14:textId="77777777" w:rsidR="005529B6" w:rsidRPr="005529B6" w:rsidRDefault="005529B6" w:rsidP="006E1537">
            <w:pPr>
              <w:suppressAutoHyphens/>
              <w:spacing w:before="81" w:after="81" w:line="160" w:lineRule="exact"/>
              <w:ind w:left="144" w:right="-19"/>
              <w:jc w:val="right"/>
              <w:rPr>
                <w:i/>
                <w:sz w:val="14"/>
              </w:rPr>
            </w:pPr>
            <w:r w:rsidRPr="005529B6">
              <w:rPr>
                <w:i/>
                <w:sz w:val="14"/>
              </w:rPr>
              <w:t>Progression des filles au primaire (taux de passage au niveau suivant)</w:t>
            </w:r>
          </w:p>
        </w:tc>
      </w:tr>
      <w:tr w:rsidR="005529B6" w:rsidRPr="005529B6" w14:paraId="168034E9" w14:textId="77777777" w:rsidTr="005529B6">
        <w:trPr>
          <w:cantSplit/>
          <w:trHeight w:hRule="exact" w:val="115"/>
          <w:tblHeader/>
          <w:jc w:val="center"/>
        </w:trPr>
        <w:tc>
          <w:tcPr>
            <w:tcW w:w="2514" w:type="dxa"/>
            <w:tcBorders>
              <w:top w:val="single" w:sz="12" w:space="0" w:color="auto"/>
            </w:tcBorders>
            <w:shd w:val="clear" w:color="auto" w:fill="auto"/>
            <w:tcMar>
              <w:top w:w="0" w:type="dxa"/>
              <w:left w:w="45" w:type="dxa"/>
              <w:bottom w:w="0" w:type="dxa"/>
              <w:right w:w="45" w:type="dxa"/>
            </w:tcMar>
            <w:vAlign w:val="bottom"/>
          </w:tcPr>
          <w:p w14:paraId="37CB6608" w14:textId="77777777" w:rsidR="005529B6" w:rsidRPr="005529B6" w:rsidRDefault="005529B6" w:rsidP="005529B6">
            <w:pPr>
              <w:suppressAutoHyphens/>
              <w:spacing w:before="40" w:after="40" w:line="210" w:lineRule="exact"/>
              <w:ind w:right="40"/>
              <w:rPr>
                <w:sz w:val="17"/>
              </w:rPr>
            </w:pPr>
          </w:p>
        </w:tc>
        <w:tc>
          <w:tcPr>
            <w:tcW w:w="4811" w:type="dxa"/>
            <w:tcBorders>
              <w:top w:val="single" w:sz="12" w:space="0" w:color="auto"/>
            </w:tcBorders>
            <w:shd w:val="clear" w:color="auto" w:fill="auto"/>
            <w:tcMar>
              <w:top w:w="0" w:type="dxa"/>
              <w:left w:w="45" w:type="dxa"/>
              <w:bottom w:w="0" w:type="dxa"/>
              <w:right w:w="45" w:type="dxa"/>
            </w:tcMar>
            <w:vAlign w:val="bottom"/>
          </w:tcPr>
          <w:p w14:paraId="11161069" w14:textId="77777777" w:rsidR="005529B6" w:rsidRPr="005529B6" w:rsidRDefault="005529B6" w:rsidP="006E1537">
            <w:pPr>
              <w:suppressAutoHyphens/>
              <w:spacing w:before="40" w:after="40" w:line="210" w:lineRule="exact"/>
              <w:ind w:left="144" w:right="-19"/>
              <w:jc w:val="right"/>
              <w:rPr>
                <w:sz w:val="17"/>
              </w:rPr>
            </w:pPr>
          </w:p>
        </w:tc>
      </w:tr>
      <w:tr w:rsidR="005529B6" w:rsidRPr="005529B6" w14:paraId="7EA3FE94"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23963966"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2010</w:t>
            </w:r>
          </w:p>
        </w:tc>
        <w:tc>
          <w:tcPr>
            <w:tcW w:w="4811" w:type="dxa"/>
            <w:shd w:val="clear" w:color="auto" w:fill="auto"/>
            <w:tcMar>
              <w:top w:w="0" w:type="dxa"/>
              <w:left w:w="45" w:type="dxa"/>
              <w:bottom w:w="0" w:type="dxa"/>
              <w:right w:w="45" w:type="dxa"/>
            </w:tcMar>
            <w:vAlign w:val="bottom"/>
            <w:hideMark/>
          </w:tcPr>
          <w:p w14:paraId="5524C4F0"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84,1</w:t>
            </w:r>
          </w:p>
        </w:tc>
      </w:tr>
      <w:tr w:rsidR="005529B6" w:rsidRPr="005529B6" w14:paraId="5070DB60"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746A7A55"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2011</w:t>
            </w:r>
          </w:p>
        </w:tc>
        <w:tc>
          <w:tcPr>
            <w:tcW w:w="4811" w:type="dxa"/>
            <w:shd w:val="clear" w:color="auto" w:fill="auto"/>
            <w:tcMar>
              <w:top w:w="0" w:type="dxa"/>
              <w:left w:w="45" w:type="dxa"/>
              <w:bottom w:w="0" w:type="dxa"/>
              <w:right w:w="45" w:type="dxa"/>
            </w:tcMar>
            <w:vAlign w:val="bottom"/>
            <w:hideMark/>
          </w:tcPr>
          <w:p w14:paraId="33E417C6"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86,5</w:t>
            </w:r>
          </w:p>
        </w:tc>
      </w:tr>
      <w:tr w:rsidR="005529B6" w:rsidRPr="005529B6" w14:paraId="28E3F8DA"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149CC08D"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2012</w:t>
            </w:r>
          </w:p>
        </w:tc>
        <w:tc>
          <w:tcPr>
            <w:tcW w:w="4811" w:type="dxa"/>
            <w:shd w:val="clear" w:color="auto" w:fill="auto"/>
            <w:tcMar>
              <w:top w:w="0" w:type="dxa"/>
              <w:left w:w="45" w:type="dxa"/>
              <w:bottom w:w="0" w:type="dxa"/>
              <w:right w:w="45" w:type="dxa"/>
            </w:tcMar>
            <w:vAlign w:val="bottom"/>
            <w:hideMark/>
          </w:tcPr>
          <w:p w14:paraId="5C93B06C"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87,0</w:t>
            </w:r>
          </w:p>
        </w:tc>
      </w:tr>
      <w:tr w:rsidR="005529B6" w:rsidRPr="005529B6" w14:paraId="61FC005C"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4CCE7FF6"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2013</w:t>
            </w:r>
          </w:p>
        </w:tc>
        <w:tc>
          <w:tcPr>
            <w:tcW w:w="4811" w:type="dxa"/>
            <w:shd w:val="clear" w:color="auto" w:fill="auto"/>
            <w:tcMar>
              <w:top w:w="0" w:type="dxa"/>
              <w:left w:w="45" w:type="dxa"/>
              <w:bottom w:w="0" w:type="dxa"/>
              <w:right w:w="45" w:type="dxa"/>
            </w:tcMar>
            <w:vAlign w:val="bottom"/>
            <w:hideMark/>
          </w:tcPr>
          <w:p w14:paraId="290FE61F"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92,2</w:t>
            </w:r>
          </w:p>
        </w:tc>
      </w:tr>
      <w:tr w:rsidR="005529B6" w:rsidRPr="005529B6" w14:paraId="7E168AA2"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1BA6C61B"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2014</w:t>
            </w:r>
          </w:p>
        </w:tc>
        <w:tc>
          <w:tcPr>
            <w:tcW w:w="4811" w:type="dxa"/>
            <w:shd w:val="clear" w:color="auto" w:fill="auto"/>
            <w:tcMar>
              <w:top w:w="0" w:type="dxa"/>
              <w:left w:w="45" w:type="dxa"/>
              <w:bottom w:w="0" w:type="dxa"/>
              <w:right w:w="45" w:type="dxa"/>
            </w:tcMar>
            <w:vAlign w:val="bottom"/>
            <w:hideMark/>
          </w:tcPr>
          <w:p w14:paraId="680AB6DF"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97,0</w:t>
            </w:r>
          </w:p>
        </w:tc>
      </w:tr>
      <w:tr w:rsidR="005529B6" w:rsidRPr="005529B6" w14:paraId="52D2B566"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41D17232"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2015</w:t>
            </w:r>
          </w:p>
        </w:tc>
        <w:tc>
          <w:tcPr>
            <w:tcW w:w="4811" w:type="dxa"/>
            <w:shd w:val="clear" w:color="auto" w:fill="auto"/>
            <w:tcMar>
              <w:top w:w="0" w:type="dxa"/>
              <w:left w:w="45" w:type="dxa"/>
              <w:bottom w:w="0" w:type="dxa"/>
              <w:right w:w="45" w:type="dxa"/>
            </w:tcMar>
            <w:vAlign w:val="bottom"/>
            <w:hideMark/>
          </w:tcPr>
          <w:p w14:paraId="1B16C00F"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97,0</w:t>
            </w:r>
          </w:p>
        </w:tc>
      </w:tr>
      <w:tr w:rsidR="005529B6" w:rsidRPr="005529B6" w14:paraId="12413913" w14:textId="77777777" w:rsidTr="005529B6">
        <w:trPr>
          <w:cantSplit/>
          <w:jc w:val="center"/>
        </w:trPr>
        <w:tc>
          <w:tcPr>
            <w:tcW w:w="2514" w:type="dxa"/>
            <w:shd w:val="clear" w:color="auto" w:fill="auto"/>
            <w:tcMar>
              <w:top w:w="0" w:type="dxa"/>
              <w:left w:w="45" w:type="dxa"/>
              <w:bottom w:w="0" w:type="dxa"/>
              <w:right w:w="45" w:type="dxa"/>
            </w:tcMar>
            <w:vAlign w:val="bottom"/>
            <w:hideMark/>
          </w:tcPr>
          <w:p w14:paraId="7885DB80"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2016</w:t>
            </w:r>
          </w:p>
        </w:tc>
        <w:tc>
          <w:tcPr>
            <w:tcW w:w="4811" w:type="dxa"/>
            <w:shd w:val="clear" w:color="auto" w:fill="auto"/>
            <w:tcMar>
              <w:top w:w="0" w:type="dxa"/>
              <w:left w:w="45" w:type="dxa"/>
              <w:bottom w:w="0" w:type="dxa"/>
              <w:right w:w="45" w:type="dxa"/>
            </w:tcMar>
            <w:vAlign w:val="bottom"/>
            <w:hideMark/>
          </w:tcPr>
          <w:p w14:paraId="4242A859"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99,3</w:t>
            </w:r>
          </w:p>
        </w:tc>
      </w:tr>
      <w:tr w:rsidR="005529B6" w:rsidRPr="005529B6" w14:paraId="292D76F8" w14:textId="77777777" w:rsidTr="005529B6">
        <w:trPr>
          <w:cantSplit/>
          <w:jc w:val="center"/>
        </w:trPr>
        <w:tc>
          <w:tcPr>
            <w:tcW w:w="2514" w:type="dxa"/>
            <w:tcBorders>
              <w:bottom w:val="single" w:sz="12" w:space="0" w:color="auto"/>
            </w:tcBorders>
            <w:shd w:val="clear" w:color="auto" w:fill="auto"/>
            <w:tcMar>
              <w:top w:w="0" w:type="dxa"/>
              <w:left w:w="45" w:type="dxa"/>
              <w:bottom w:w="0" w:type="dxa"/>
              <w:right w:w="45" w:type="dxa"/>
            </w:tcMar>
            <w:vAlign w:val="bottom"/>
            <w:hideMark/>
          </w:tcPr>
          <w:p w14:paraId="6B37401A" w14:textId="77777777" w:rsidR="005529B6" w:rsidRPr="005529B6" w:rsidRDefault="005529B6" w:rsidP="005529B6">
            <w:pPr>
              <w:tabs>
                <w:tab w:val="left" w:pos="288"/>
                <w:tab w:val="left" w:pos="576"/>
                <w:tab w:val="left" w:pos="864"/>
                <w:tab w:val="left" w:pos="1152"/>
              </w:tabs>
              <w:suppressAutoHyphens/>
              <w:spacing w:before="40" w:after="40" w:line="210" w:lineRule="exact"/>
              <w:ind w:right="40"/>
              <w:rPr>
                <w:sz w:val="17"/>
              </w:rPr>
            </w:pPr>
            <w:r w:rsidRPr="005529B6">
              <w:rPr>
                <w:sz w:val="17"/>
              </w:rPr>
              <w:t>2017</w:t>
            </w:r>
          </w:p>
        </w:tc>
        <w:tc>
          <w:tcPr>
            <w:tcW w:w="4811" w:type="dxa"/>
            <w:tcBorders>
              <w:bottom w:val="single" w:sz="12" w:space="0" w:color="auto"/>
            </w:tcBorders>
            <w:shd w:val="clear" w:color="auto" w:fill="auto"/>
            <w:tcMar>
              <w:top w:w="0" w:type="dxa"/>
              <w:left w:w="45" w:type="dxa"/>
              <w:bottom w:w="0" w:type="dxa"/>
              <w:right w:w="45" w:type="dxa"/>
            </w:tcMar>
            <w:vAlign w:val="bottom"/>
            <w:hideMark/>
          </w:tcPr>
          <w:p w14:paraId="41A31A1C"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19"/>
              <w:jc w:val="right"/>
              <w:rPr>
                <w:sz w:val="17"/>
              </w:rPr>
            </w:pPr>
            <w:r w:rsidRPr="005529B6">
              <w:rPr>
                <w:sz w:val="17"/>
              </w:rPr>
              <w:t>N.D.</w:t>
            </w:r>
          </w:p>
        </w:tc>
      </w:tr>
    </w:tbl>
    <w:p w14:paraId="6C2D805F" w14:textId="28A2ACD5" w:rsidR="005529B6" w:rsidRPr="005529B6" w:rsidRDefault="005529B6" w:rsidP="005529B6">
      <w:pPr>
        <w:pStyle w:val="SingleTxt"/>
        <w:spacing w:after="0" w:line="120" w:lineRule="exact"/>
        <w:rPr>
          <w:sz w:val="10"/>
          <w:lang w:val="fr-FR"/>
        </w:rPr>
      </w:pPr>
    </w:p>
    <w:p w14:paraId="5039D6EB" w14:textId="14D5D952" w:rsidR="005529B6" w:rsidRDefault="005529B6" w:rsidP="005529B6">
      <w:pPr>
        <w:pStyle w:val="FootnoteText"/>
        <w:tabs>
          <w:tab w:val="right" w:pos="1476"/>
          <w:tab w:val="left" w:pos="1548"/>
          <w:tab w:val="right" w:pos="1836"/>
          <w:tab w:val="left" w:pos="1908"/>
        </w:tabs>
        <w:ind w:left="1548" w:right="1267" w:hanging="288"/>
        <w:rPr>
          <w:lang w:val="fr-FR"/>
        </w:rPr>
      </w:pPr>
      <w:r w:rsidRPr="00822AA0">
        <w:rPr>
          <w:i/>
          <w:iCs/>
          <w:lang w:val="fr-FR"/>
        </w:rPr>
        <w:t>Source</w:t>
      </w:r>
      <w:r w:rsidR="00795C5F">
        <w:rPr>
          <w:lang w:val="fr-FR"/>
        </w:rPr>
        <w:t> :</w:t>
      </w:r>
      <w:r>
        <w:rPr>
          <w:lang w:val="fr-FR"/>
        </w:rPr>
        <w:t xml:space="preserve"> Ministère de l</w:t>
      </w:r>
      <w:r w:rsidR="00795C5F">
        <w:rPr>
          <w:lang w:val="fr-FR"/>
        </w:rPr>
        <w:t>’</w:t>
      </w:r>
      <w:r>
        <w:rPr>
          <w:lang w:val="fr-FR"/>
        </w:rPr>
        <w:t>éducation et des ressources humaines, de l</w:t>
      </w:r>
      <w:r w:rsidR="00795C5F">
        <w:rPr>
          <w:lang w:val="fr-FR"/>
        </w:rPr>
        <w:t>’</w:t>
      </w:r>
      <w:r>
        <w:rPr>
          <w:lang w:val="fr-FR"/>
        </w:rPr>
        <w:t>enseignement supérieur et de la recherche scientifique.</w:t>
      </w:r>
    </w:p>
    <w:p w14:paraId="16B2E215" w14:textId="6797F726" w:rsidR="005529B6" w:rsidRPr="005529B6" w:rsidRDefault="005529B6" w:rsidP="005529B6">
      <w:pPr>
        <w:pStyle w:val="FootnoteText"/>
        <w:tabs>
          <w:tab w:val="right" w:pos="1476"/>
          <w:tab w:val="left" w:pos="1548"/>
          <w:tab w:val="right" w:pos="1836"/>
          <w:tab w:val="left" w:pos="1908"/>
        </w:tabs>
        <w:spacing w:line="120" w:lineRule="exact"/>
        <w:ind w:left="1548" w:right="1267" w:hanging="288"/>
        <w:rPr>
          <w:sz w:val="10"/>
          <w:lang w:val="fr-FR"/>
        </w:rPr>
      </w:pPr>
    </w:p>
    <w:p w14:paraId="4BF15D7F" w14:textId="059CB22C" w:rsidR="005529B6" w:rsidRPr="005529B6" w:rsidRDefault="005529B6" w:rsidP="005529B6">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55F6D282" w14:textId="4C25F443" w:rsidR="005529B6" w:rsidRDefault="005529B6" w:rsidP="005529B6">
      <w:pPr>
        <w:pStyle w:val="SingleTxt"/>
        <w:numPr>
          <w:ilvl w:val="0"/>
          <w:numId w:val="20"/>
        </w:numPr>
        <w:tabs>
          <w:tab w:val="num" w:pos="2804"/>
        </w:tabs>
        <w:spacing w:line="240" w:lineRule="exact"/>
        <w:ind w:left="1267"/>
        <w:rPr>
          <w:lang w:val="fr-FR"/>
        </w:rPr>
      </w:pPr>
      <w:r>
        <w:rPr>
          <w:lang w:val="fr-FR"/>
        </w:rPr>
        <w:t>Les statistiques sur l</w:t>
      </w:r>
      <w:r w:rsidR="00795C5F">
        <w:rPr>
          <w:lang w:val="fr-FR"/>
        </w:rPr>
        <w:t>’</w:t>
      </w:r>
      <w:r>
        <w:rPr>
          <w:lang w:val="fr-FR"/>
        </w:rPr>
        <w:t>absentéisme au niveau primaire et au niveau secondaire ne font apparaître aucune différence significative entre le taux d</w:t>
      </w:r>
      <w:r w:rsidR="00795C5F">
        <w:rPr>
          <w:lang w:val="fr-FR"/>
        </w:rPr>
        <w:t>’</w:t>
      </w:r>
      <w:r>
        <w:rPr>
          <w:lang w:val="fr-FR"/>
        </w:rPr>
        <w:t>absentéisme des garçons et celui des filles.</w:t>
      </w:r>
    </w:p>
    <w:p w14:paraId="06973E3A" w14:textId="733AED77" w:rsidR="005529B6" w:rsidRPr="005529B6" w:rsidRDefault="005529B6" w:rsidP="005529B6">
      <w:pPr>
        <w:pStyle w:val="SingleTxt"/>
        <w:spacing w:after="0" w:line="120" w:lineRule="exact"/>
        <w:rPr>
          <w:sz w:val="10"/>
          <w:lang w:val="fr-FR"/>
        </w:rPr>
      </w:pPr>
    </w:p>
    <w:p w14:paraId="4FE4DD53" w14:textId="77777777" w:rsidR="00B639EA" w:rsidRDefault="00B639EA">
      <w:pPr>
        <w:spacing w:after="200" w:line="276" w:lineRule="auto"/>
        <w:rPr>
          <w:b/>
          <w:spacing w:val="2"/>
          <w:lang w:val="fr-FR"/>
        </w:rPr>
      </w:pPr>
      <w:r>
        <w:rPr>
          <w:lang w:val="fr-FR"/>
        </w:rPr>
        <w:br w:type="page"/>
      </w:r>
    </w:p>
    <w:p w14:paraId="78F69698" w14:textId="7BC1ABB3" w:rsidR="005529B6" w:rsidRDefault="005529B6" w:rsidP="005529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t>Absentéisme dans le primaire 2015-2017 (de janvier à septembre)</w:t>
      </w:r>
    </w:p>
    <w:p w14:paraId="7F98481C" w14:textId="22CE7CEF" w:rsidR="005529B6" w:rsidRPr="00B639EA" w:rsidRDefault="005529B6" w:rsidP="00B639EA">
      <w:pPr>
        <w:pStyle w:val="SingleTxt"/>
        <w:spacing w:after="0" w:line="120" w:lineRule="exact"/>
        <w:rPr>
          <w:sz w:val="10"/>
          <w:lang w:val="fr-FR"/>
        </w:rPr>
      </w:pPr>
    </w:p>
    <w:p w14:paraId="669BA2CE" w14:textId="77777777" w:rsidR="00B639EA" w:rsidRPr="005529B6" w:rsidRDefault="00B639EA" w:rsidP="005529B6">
      <w:pPr>
        <w:pStyle w:val="SingleTxt"/>
        <w:spacing w:after="0" w:line="120" w:lineRule="exact"/>
        <w:rPr>
          <w:sz w:val="10"/>
          <w:lang w:val="fr-FR"/>
        </w:rPr>
      </w:pPr>
    </w:p>
    <w:tbl>
      <w:tblPr>
        <w:tblW w:w="7217" w:type="dxa"/>
        <w:tblInd w:w="1287" w:type="dxa"/>
        <w:tblLayout w:type="fixed"/>
        <w:tblCellMar>
          <w:left w:w="0" w:type="dxa"/>
          <w:right w:w="0" w:type="dxa"/>
        </w:tblCellMar>
        <w:tblLook w:val="04A0" w:firstRow="1" w:lastRow="0" w:firstColumn="1" w:lastColumn="0" w:noHBand="0" w:noVBand="1"/>
      </w:tblPr>
      <w:tblGrid>
        <w:gridCol w:w="1689"/>
        <w:gridCol w:w="1842"/>
        <w:gridCol w:w="1843"/>
        <w:gridCol w:w="1843"/>
      </w:tblGrid>
      <w:tr w:rsidR="005529B6" w:rsidRPr="005529B6" w14:paraId="73347B84" w14:textId="77777777" w:rsidTr="00503C29">
        <w:trPr>
          <w:cantSplit/>
          <w:tblHeader/>
        </w:trPr>
        <w:tc>
          <w:tcPr>
            <w:tcW w:w="1689" w:type="dxa"/>
            <w:tcBorders>
              <w:top w:val="single" w:sz="4" w:space="0" w:color="auto"/>
              <w:bottom w:val="single" w:sz="12" w:space="0" w:color="auto"/>
            </w:tcBorders>
            <w:shd w:val="clear" w:color="auto" w:fill="auto"/>
            <w:vAlign w:val="bottom"/>
          </w:tcPr>
          <w:p w14:paraId="26FC4F77" w14:textId="77777777" w:rsidR="005529B6" w:rsidRPr="005529B6" w:rsidRDefault="005529B6" w:rsidP="005529B6">
            <w:pPr>
              <w:spacing w:before="81" w:after="81" w:line="160" w:lineRule="exact"/>
              <w:rPr>
                <w:i/>
                <w:sz w:val="14"/>
              </w:rPr>
            </w:pPr>
            <w:r w:rsidRPr="005529B6">
              <w:rPr>
                <w:i/>
                <w:sz w:val="14"/>
              </w:rPr>
              <w:t>Année</w:t>
            </w:r>
          </w:p>
        </w:tc>
        <w:tc>
          <w:tcPr>
            <w:tcW w:w="1842" w:type="dxa"/>
            <w:tcBorders>
              <w:top w:val="single" w:sz="4" w:space="0" w:color="auto"/>
              <w:bottom w:val="single" w:sz="12" w:space="0" w:color="auto"/>
            </w:tcBorders>
            <w:shd w:val="clear" w:color="auto" w:fill="auto"/>
            <w:vAlign w:val="bottom"/>
          </w:tcPr>
          <w:p w14:paraId="388140A7" w14:textId="77777777" w:rsidR="005529B6" w:rsidRPr="005529B6" w:rsidRDefault="005529B6" w:rsidP="005529B6">
            <w:pPr>
              <w:spacing w:before="81" w:after="81" w:line="160" w:lineRule="exact"/>
              <w:jc w:val="right"/>
              <w:rPr>
                <w:i/>
                <w:sz w:val="14"/>
              </w:rPr>
            </w:pPr>
            <w:r w:rsidRPr="005529B6">
              <w:rPr>
                <w:i/>
                <w:sz w:val="14"/>
              </w:rPr>
              <w:t>Garçons</w:t>
            </w:r>
          </w:p>
        </w:tc>
        <w:tc>
          <w:tcPr>
            <w:tcW w:w="1843" w:type="dxa"/>
            <w:tcBorders>
              <w:top w:val="single" w:sz="4" w:space="0" w:color="auto"/>
              <w:bottom w:val="single" w:sz="12" w:space="0" w:color="auto"/>
            </w:tcBorders>
            <w:shd w:val="clear" w:color="auto" w:fill="auto"/>
            <w:vAlign w:val="bottom"/>
          </w:tcPr>
          <w:p w14:paraId="519A17E4" w14:textId="77777777" w:rsidR="005529B6" w:rsidRPr="005529B6" w:rsidRDefault="005529B6" w:rsidP="005529B6">
            <w:pPr>
              <w:spacing w:before="81" w:after="81" w:line="160" w:lineRule="exact"/>
              <w:jc w:val="right"/>
              <w:rPr>
                <w:i/>
                <w:sz w:val="14"/>
              </w:rPr>
            </w:pPr>
            <w:r w:rsidRPr="005529B6">
              <w:rPr>
                <w:i/>
                <w:sz w:val="14"/>
              </w:rPr>
              <w:t>Filles</w:t>
            </w:r>
          </w:p>
        </w:tc>
        <w:tc>
          <w:tcPr>
            <w:tcW w:w="1843" w:type="dxa"/>
            <w:tcBorders>
              <w:top w:val="single" w:sz="4" w:space="0" w:color="auto"/>
              <w:bottom w:val="single" w:sz="12" w:space="0" w:color="auto"/>
            </w:tcBorders>
            <w:shd w:val="clear" w:color="auto" w:fill="auto"/>
            <w:tcMar>
              <w:top w:w="0" w:type="dxa"/>
              <w:left w:w="45" w:type="dxa"/>
              <w:bottom w:w="0" w:type="dxa"/>
              <w:right w:w="45" w:type="dxa"/>
            </w:tcMar>
            <w:vAlign w:val="bottom"/>
            <w:hideMark/>
          </w:tcPr>
          <w:p w14:paraId="1F935BC6" w14:textId="77777777" w:rsidR="005529B6" w:rsidRPr="005529B6" w:rsidRDefault="005529B6" w:rsidP="005529B6">
            <w:pPr>
              <w:spacing w:before="81" w:after="81" w:line="160" w:lineRule="exact"/>
              <w:jc w:val="right"/>
              <w:rPr>
                <w:i/>
                <w:sz w:val="14"/>
              </w:rPr>
            </w:pPr>
            <w:r w:rsidRPr="005529B6">
              <w:rPr>
                <w:i/>
                <w:sz w:val="14"/>
              </w:rPr>
              <w:t>Total</w:t>
            </w:r>
          </w:p>
        </w:tc>
      </w:tr>
      <w:tr w:rsidR="00503C29" w:rsidRPr="005529B6" w14:paraId="5067D966" w14:textId="77777777" w:rsidTr="00503C29">
        <w:trPr>
          <w:cantSplit/>
          <w:trHeight w:hRule="exact" w:val="115"/>
        </w:trPr>
        <w:tc>
          <w:tcPr>
            <w:tcW w:w="1689" w:type="dxa"/>
            <w:tcBorders>
              <w:top w:val="single" w:sz="12" w:space="0" w:color="auto"/>
            </w:tcBorders>
            <w:shd w:val="clear" w:color="auto" w:fill="auto"/>
          </w:tcPr>
          <w:p w14:paraId="28B13858" w14:textId="77777777" w:rsidR="00503C29" w:rsidRPr="005529B6" w:rsidRDefault="00503C29" w:rsidP="00503C29">
            <w:pPr>
              <w:spacing w:before="40" w:after="40" w:line="210" w:lineRule="exact"/>
              <w:rPr>
                <w:sz w:val="17"/>
                <w:szCs w:val="17"/>
              </w:rPr>
            </w:pPr>
          </w:p>
        </w:tc>
        <w:tc>
          <w:tcPr>
            <w:tcW w:w="1842" w:type="dxa"/>
            <w:tcBorders>
              <w:top w:val="single" w:sz="12" w:space="0" w:color="auto"/>
            </w:tcBorders>
            <w:shd w:val="clear" w:color="auto" w:fill="auto"/>
            <w:vAlign w:val="bottom"/>
          </w:tcPr>
          <w:p w14:paraId="31CB609C" w14:textId="77777777" w:rsidR="00503C29" w:rsidRPr="005529B6" w:rsidRDefault="00503C29" w:rsidP="00503C29">
            <w:pPr>
              <w:spacing w:before="40" w:after="40" w:line="210" w:lineRule="exact"/>
              <w:jc w:val="right"/>
              <w:rPr>
                <w:sz w:val="17"/>
                <w:szCs w:val="17"/>
              </w:rPr>
            </w:pPr>
          </w:p>
        </w:tc>
        <w:tc>
          <w:tcPr>
            <w:tcW w:w="1843" w:type="dxa"/>
            <w:tcBorders>
              <w:top w:val="single" w:sz="12" w:space="0" w:color="auto"/>
            </w:tcBorders>
            <w:shd w:val="clear" w:color="auto" w:fill="auto"/>
            <w:vAlign w:val="bottom"/>
          </w:tcPr>
          <w:p w14:paraId="624615F0" w14:textId="77777777" w:rsidR="00503C29" w:rsidRPr="005529B6" w:rsidRDefault="00503C29" w:rsidP="00503C29">
            <w:pPr>
              <w:spacing w:before="40" w:after="40" w:line="210" w:lineRule="exact"/>
              <w:jc w:val="right"/>
              <w:rPr>
                <w:sz w:val="17"/>
                <w:szCs w:val="17"/>
              </w:rPr>
            </w:pPr>
          </w:p>
        </w:tc>
        <w:tc>
          <w:tcPr>
            <w:tcW w:w="1843" w:type="dxa"/>
            <w:tcBorders>
              <w:top w:val="single" w:sz="12" w:space="0" w:color="auto"/>
            </w:tcBorders>
            <w:shd w:val="clear" w:color="auto" w:fill="auto"/>
            <w:tcMar>
              <w:top w:w="0" w:type="dxa"/>
              <w:left w:w="45" w:type="dxa"/>
              <w:bottom w:w="0" w:type="dxa"/>
              <w:right w:w="45" w:type="dxa"/>
            </w:tcMar>
            <w:vAlign w:val="bottom"/>
          </w:tcPr>
          <w:p w14:paraId="35C48D27" w14:textId="77777777" w:rsidR="00503C29" w:rsidRPr="005529B6" w:rsidRDefault="00503C29" w:rsidP="00503C29">
            <w:pPr>
              <w:spacing w:before="40" w:after="40" w:line="210" w:lineRule="exact"/>
              <w:jc w:val="right"/>
              <w:rPr>
                <w:sz w:val="17"/>
                <w:szCs w:val="17"/>
              </w:rPr>
            </w:pPr>
          </w:p>
        </w:tc>
      </w:tr>
      <w:tr w:rsidR="005529B6" w:rsidRPr="005529B6" w14:paraId="79DE981D" w14:textId="77777777" w:rsidTr="00503C29">
        <w:trPr>
          <w:cantSplit/>
        </w:trPr>
        <w:tc>
          <w:tcPr>
            <w:tcW w:w="1689" w:type="dxa"/>
            <w:shd w:val="clear" w:color="auto" w:fill="auto"/>
          </w:tcPr>
          <w:p w14:paraId="3F7366D2" w14:textId="77777777" w:rsidR="005529B6" w:rsidRPr="005529B6" w:rsidRDefault="005529B6" w:rsidP="00503C29">
            <w:pPr>
              <w:spacing w:before="40" w:after="40" w:line="210" w:lineRule="exact"/>
              <w:rPr>
                <w:sz w:val="17"/>
                <w:szCs w:val="17"/>
              </w:rPr>
            </w:pPr>
            <w:r w:rsidRPr="005529B6">
              <w:rPr>
                <w:sz w:val="17"/>
                <w:szCs w:val="17"/>
              </w:rPr>
              <w:t>2015</w:t>
            </w:r>
          </w:p>
        </w:tc>
        <w:tc>
          <w:tcPr>
            <w:tcW w:w="1842" w:type="dxa"/>
            <w:shd w:val="clear" w:color="auto" w:fill="auto"/>
            <w:vAlign w:val="bottom"/>
          </w:tcPr>
          <w:p w14:paraId="493C6779" w14:textId="77777777" w:rsidR="005529B6" w:rsidRPr="005529B6" w:rsidRDefault="005529B6" w:rsidP="00503C29">
            <w:pPr>
              <w:spacing w:before="40" w:after="40" w:line="210" w:lineRule="exact"/>
              <w:jc w:val="right"/>
              <w:rPr>
                <w:sz w:val="17"/>
                <w:szCs w:val="17"/>
              </w:rPr>
            </w:pPr>
            <w:r w:rsidRPr="005529B6">
              <w:rPr>
                <w:sz w:val="17"/>
                <w:szCs w:val="17"/>
              </w:rPr>
              <w:t>13,21</w:t>
            </w:r>
          </w:p>
        </w:tc>
        <w:tc>
          <w:tcPr>
            <w:tcW w:w="1843" w:type="dxa"/>
            <w:shd w:val="clear" w:color="auto" w:fill="auto"/>
            <w:vAlign w:val="bottom"/>
          </w:tcPr>
          <w:p w14:paraId="2D5A56FD" w14:textId="77777777" w:rsidR="005529B6" w:rsidRPr="005529B6" w:rsidRDefault="005529B6" w:rsidP="00503C29">
            <w:pPr>
              <w:spacing w:before="40" w:after="40" w:line="210" w:lineRule="exact"/>
              <w:jc w:val="right"/>
              <w:rPr>
                <w:sz w:val="17"/>
                <w:szCs w:val="17"/>
              </w:rPr>
            </w:pPr>
            <w:r w:rsidRPr="005529B6">
              <w:rPr>
                <w:sz w:val="17"/>
                <w:szCs w:val="17"/>
              </w:rPr>
              <w:t>13,06</w:t>
            </w:r>
          </w:p>
        </w:tc>
        <w:tc>
          <w:tcPr>
            <w:tcW w:w="1843" w:type="dxa"/>
            <w:shd w:val="clear" w:color="auto" w:fill="auto"/>
            <w:tcMar>
              <w:top w:w="0" w:type="dxa"/>
              <w:left w:w="45" w:type="dxa"/>
              <w:bottom w:w="0" w:type="dxa"/>
              <w:right w:w="45" w:type="dxa"/>
            </w:tcMar>
            <w:vAlign w:val="bottom"/>
            <w:hideMark/>
          </w:tcPr>
          <w:p w14:paraId="7DC7ED11" w14:textId="77777777" w:rsidR="005529B6" w:rsidRPr="005529B6" w:rsidRDefault="005529B6" w:rsidP="00503C29">
            <w:pPr>
              <w:spacing w:before="40" w:after="40" w:line="210" w:lineRule="exact"/>
              <w:jc w:val="right"/>
              <w:rPr>
                <w:sz w:val="17"/>
                <w:szCs w:val="17"/>
              </w:rPr>
            </w:pPr>
            <w:r w:rsidRPr="005529B6">
              <w:rPr>
                <w:sz w:val="17"/>
                <w:szCs w:val="17"/>
              </w:rPr>
              <w:t>13,10</w:t>
            </w:r>
          </w:p>
        </w:tc>
      </w:tr>
      <w:tr w:rsidR="005529B6" w:rsidRPr="005529B6" w14:paraId="2AFF5212" w14:textId="77777777" w:rsidTr="005529B6">
        <w:trPr>
          <w:cantSplit/>
        </w:trPr>
        <w:tc>
          <w:tcPr>
            <w:tcW w:w="1689" w:type="dxa"/>
            <w:shd w:val="clear" w:color="auto" w:fill="auto"/>
          </w:tcPr>
          <w:p w14:paraId="6B7E82F3" w14:textId="77777777" w:rsidR="005529B6" w:rsidRPr="005529B6" w:rsidRDefault="005529B6" w:rsidP="00503C29">
            <w:pPr>
              <w:spacing w:before="40" w:after="40" w:line="210" w:lineRule="exact"/>
              <w:rPr>
                <w:sz w:val="17"/>
                <w:szCs w:val="17"/>
              </w:rPr>
            </w:pPr>
            <w:r w:rsidRPr="005529B6">
              <w:rPr>
                <w:sz w:val="17"/>
                <w:szCs w:val="17"/>
              </w:rPr>
              <w:t>2016</w:t>
            </w:r>
          </w:p>
        </w:tc>
        <w:tc>
          <w:tcPr>
            <w:tcW w:w="1842" w:type="dxa"/>
            <w:shd w:val="clear" w:color="auto" w:fill="auto"/>
            <w:vAlign w:val="bottom"/>
          </w:tcPr>
          <w:p w14:paraId="6F728C33" w14:textId="77777777" w:rsidR="005529B6" w:rsidRPr="005529B6" w:rsidRDefault="005529B6" w:rsidP="00503C29">
            <w:pPr>
              <w:spacing w:before="40" w:after="40" w:line="210" w:lineRule="exact"/>
              <w:jc w:val="right"/>
              <w:rPr>
                <w:sz w:val="17"/>
                <w:szCs w:val="17"/>
              </w:rPr>
            </w:pPr>
            <w:r w:rsidRPr="005529B6">
              <w:rPr>
                <w:sz w:val="17"/>
                <w:szCs w:val="17"/>
              </w:rPr>
              <w:t>13,38</w:t>
            </w:r>
          </w:p>
        </w:tc>
        <w:tc>
          <w:tcPr>
            <w:tcW w:w="1843" w:type="dxa"/>
            <w:shd w:val="clear" w:color="auto" w:fill="auto"/>
            <w:vAlign w:val="bottom"/>
          </w:tcPr>
          <w:p w14:paraId="18797E56" w14:textId="77777777" w:rsidR="005529B6" w:rsidRPr="005529B6" w:rsidRDefault="005529B6" w:rsidP="00503C29">
            <w:pPr>
              <w:spacing w:before="40" w:after="40" w:line="210" w:lineRule="exact"/>
              <w:jc w:val="right"/>
              <w:rPr>
                <w:sz w:val="17"/>
                <w:szCs w:val="17"/>
              </w:rPr>
            </w:pPr>
            <w:r w:rsidRPr="005529B6">
              <w:rPr>
                <w:sz w:val="17"/>
                <w:szCs w:val="17"/>
              </w:rPr>
              <w:t>13,06</w:t>
            </w:r>
          </w:p>
        </w:tc>
        <w:tc>
          <w:tcPr>
            <w:tcW w:w="1843" w:type="dxa"/>
            <w:shd w:val="clear" w:color="auto" w:fill="auto"/>
            <w:tcMar>
              <w:top w:w="0" w:type="dxa"/>
              <w:left w:w="45" w:type="dxa"/>
              <w:bottom w:w="0" w:type="dxa"/>
              <w:right w:w="45" w:type="dxa"/>
            </w:tcMar>
            <w:vAlign w:val="bottom"/>
            <w:hideMark/>
          </w:tcPr>
          <w:p w14:paraId="07F05BD3" w14:textId="77777777" w:rsidR="005529B6" w:rsidRPr="005529B6" w:rsidRDefault="005529B6" w:rsidP="00503C29">
            <w:pPr>
              <w:spacing w:before="40" w:after="40" w:line="210" w:lineRule="exact"/>
              <w:jc w:val="right"/>
              <w:rPr>
                <w:sz w:val="17"/>
                <w:szCs w:val="17"/>
              </w:rPr>
            </w:pPr>
            <w:r w:rsidRPr="005529B6">
              <w:rPr>
                <w:sz w:val="17"/>
                <w:szCs w:val="17"/>
              </w:rPr>
              <w:t>13,22</w:t>
            </w:r>
          </w:p>
        </w:tc>
      </w:tr>
      <w:tr w:rsidR="005529B6" w:rsidRPr="005529B6" w14:paraId="4440945C" w14:textId="77777777" w:rsidTr="005529B6">
        <w:trPr>
          <w:cantSplit/>
        </w:trPr>
        <w:tc>
          <w:tcPr>
            <w:tcW w:w="1689" w:type="dxa"/>
            <w:tcBorders>
              <w:bottom w:val="single" w:sz="12" w:space="0" w:color="auto"/>
            </w:tcBorders>
            <w:shd w:val="clear" w:color="auto" w:fill="auto"/>
          </w:tcPr>
          <w:p w14:paraId="1FFC3AA8" w14:textId="77777777" w:rsidR="005529B6" w:rsidRPr="005529B6" w:rsidRDefault="005529B6" w:rsidP="00503C29">
            <w:pPr>
              <w:spacing w:before="40" w:after="40" w:line="210" w:lineRule="exact"/>
              <w:rPr>
                <w:sz w:val="17"/>
                <w:szCs w:val="17"/>
              </w:rPr>
            </w:pPr>
            <w:r w:rsidRPr="005529B6">
              <w:rPr>
                <w:sz w:val="17"/>
                <w:szCs w:val="17"/>
              </w:rPr>
              <w:t>2017</w:t>
            </w:r>
          </w:p>
        </w:tc>
        <w:tc>
          <w:tcPr>
            <w:tcW w:w="1842" w:type="dxa"/>
            <w:tcBorders>
              <w:bottom w:val="single" w:sz="12" w:space="0" w:color="auto"/>
            </w:tcBorders>
            <w:shd w:val="clear" w:color="auto" w:fill="auto"/>
            <w:vAlign w:val="bottom"/>
          </w:tcPr>
          <w:p w14:paraId="2A6308C3" w14:textId="77777777" w:rsidR="005529B6" w:rsidRPr="005529B6" w:rsidRDefault="005529B6" w:rsidP="00503C29">
            <w:pPr>
              <w:spacing w:before="40" w:after="40" w:line="210" w:lineRule="exact"/>
              <w:jc w:val="right"/>
              <w:rPr>
                <w:sz w:val="17"/>
                <w:szCs w:val="17"/>
              </w:rPr>
            </w:pPr>
            <w:r w:rsidRPr="005529B6">
              <w:rPr>
                <w:sz w:val="17"/>
                <w:szCs w:val="17"/>
              </w:rPr>
              <w:t>13,40</w:t>
            </w:r>
          </w:p>
        </w:tc>
        <w:tc>
          <w:tcPr>
            <w:tcW w:w="1843" w:type="dxa"/>
            <w:tcBorders>
              <w:bottom w:val="single" w:sz="12" w:space="0" w:color="auto"/>
            </w:tcBorders>
            <w:shd w:val="clear" w:color="auto" w:fill="auto"/>
            <w:vAlign w:val="bottom"/>
          </w:tcPr>
          <w:p w14:paraId="3453F07D" w14:textId="77777777" w:rsidR="005529B6" w:rsidRPr="005529B6" w:rsidRDefault="005529B6" w:rsidP="00503C29">
            <w:pPr>
              <w:spacing w:before="40" w:after="40" w:line="210" w:lineRule="exact"/>
              <w:jc w:val="right"/>
              <w:rPr>
                <w:sz w:val="17"/>
                <w:szCs w:val="17"/>
              </w:rPr>
            </w:pPr>
            <w:r w:rsidRPr="005529B6">
              <w:rPr>
                <w:sz w:val="17"/>
                <w:szCs w:val="17"/>
              </w:rPr>
              <w:t>13,03</w:t>
            </w:r>
          </w:p>
        </w:tc>
        <w:tc>
          <w:tcPr>
            <w:tcW w:w="1843" w:type="dxa"/>
            <w:tcBorders>
              <w:bottom w:val="single" w:sz="12" w:space="0" w:color="auto"/>
            </w:tcBorders>
            <w:shd w:val="clear" w:color="auto" w:fill="auto"/>
            <w:tcMar>
              <w:top w:w="0" w:type="dxa"/>
              <w:left w:w="45" w:type="dxa"/>
              <w:bottom w:w="0" w:type="dxa"/>
              <w:right w:w="45" w:type="dxa"/>
            </w:tcMar>
            <w:vAlign w:val="bottom"/>
            <w:hideMark/>
          </w:tcPr>
          <w:p w14:paraId="133DC879" w14:textId="77777777" w:rsidR="005529B6" w:rsidRPr="005529B6" w:rsidRDefault="005529B6" w:rsidP="00503C29">
            <w:pPr>
              <w:spacing w:before="40" w:after="40" w:line="210" w:lineRule="exact"/>
              <w:jc w:val="right"/>
              <w:rPr>
                <w:sz w:val="17"/>
                <w:szCs w:val="17"/>
              </w:rPr>
            </w:pPr>
            <w:r w:rsidRPr="005529B6">
              <w:rPr>
                <w:sz w:val="17"/>
                <w:szCs w:val="17"/>
              </w:rPr>
              <w:t>13,22</w:t>
            </w:r>
          </w:p>
        </w:tc>
      </w:tr>
    </w:tbl>
    <w:p w14:paraId="2DE2C506" w14:textId="77777777" w:rsidR="005529B6" w:rsidRPr="005529B6" w:rsidRDefault="005529B6" w:rsidP="005529B6">
      <w:pPr>
        <w:pStyle w:val="SingleTxt"/>
        <w:spacing w:after="0" w:line="120" w:lineRule="exact"/>
        <w:rPr>
          <w:sz w:val="10"/>
          <w:lang w:val="fr-FR"/>
        </w:rPr>
      </w:pPr>
    </w:p>
    <w:p w14:paraId="642FDF56" w14:textId="571E8375" w:rsidR="005529B6" w:rsidRPr="00B639EA" w:rsidRDefault="005529B6" w:rsidP="00B639EA">
      <w:pPr>
        <w:pStyle w:val="SingleTxt"/>
        <w:spacing w:after="0" w:line="120" w:lineRule="exact"/>
        <w:rPr>
          <w:sz w:val="10"/>
          <w:lang w:val="fr-FR"/>
        </w:rPr>
      </w:pPr>
    </w:p>
    <w:p w14:paraId="48A5FC57" w14:textId="77777777" w:rsidR="00B639EA" w:rsidRPr="005529B6" w:rsidRDefault="00B639EA" w:rsidP="005529B6">
      <w:pPr>
        <w:pStyle w:val="SingleTxt"/>
        <w:spacing w:after="0" w:line="120" w:lineRule="exact"/>
        <w:rPr>
          <w:sz w:val="10"/>
          <w:lang w:val="fr-FR"/>
        </w:rPr>
      </w:pPr>
    </w:p>
    <w:p w14:paraId="7C88756B" w14:textId="1B97CA93" w:rsidR="005529B6" w:rsidRDefault="005529B6" w:rsidP="005529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Absentéisme dans le secondaire 2015-2017 (de janvier à septembre)</w:t>
      </w:r>
    </w:p>
    <w:p w14:paraId="29432532" w14:textId="0FF6C70F" w:rsidR="005529B6" w:rsidRPr="005529B6" w:rsidRDefault="005529B6" w:rsidP="005529B6">
      <w:pPr>
        <w:pStyle w:val="SingleTxt"/>
        <w:spacing w:after="0" w:line="120" w:lineRule="exact"/>
        <w:rPr>
          <w:sz w:val="10"/>
          <w:lang w:val="fr-FR"/>
        </w:rPr>
      </w:pPr>
    </w:p>
    <w:p w14:paraId="093F4067" w14:textId="5A965A80" w:rsidR="005529B6" w:rsidRPr="005529B6" w:rsidRDefault="005529B6" w:rsidP="005529B6">
      <w:pPr>
        <w:pStyle w:val="SingleTxt"/>
        <w:spacing w:after="0" w:line="120" w:lineRule="exact"/>
        <w:rPr>
          <w:sz w:val="10"/>
          <w:lang w:val="fr-FR"/>
        </w:rPr>
      </w:pPr>
    </w:p>
    <w:tbl>
      <w:tblPr>
        <w:tblW w:w="7217" w:type="dxa"/>
        <w:tblInd w:w="1287" w:type="dxa"/>
        <w:tblLayout w:type="fixed"/>
        <w:tblCellMar>
          <w:left w:w="0" w:type="dxa"/>
          <w:right w:w="0" w:type="dxa"/>
        </w:tblCellMar>
        <w:tblLook w:val="04A0" w:firstRow="1" w:lastRow="0" w:firstColumn="1" w:lastColumn="0" w:noHBand="0" w:noVBand="1"/>
      </w:tblPr>
      <w:tblGrid>
        <w:gridCol w:w="1689"/>
        <w:gridCol w:w="1842"/>
        <w:gridCol w:w="1843"/>
        <w:gridCol w:w="1843"/>
      </w:tblGrid>
      <w:tr w:rsidR="005529B6" w:rsidRPr="005529B6" w14:paraId="7CCE778C" w14:textId="77777777" w:rsidTr="005529B6">
        <w:trPr>
          <w:cantSplit/>
          <w:tblHeader/>
        </w:trPr>
        <w:tc>
          <w:tcPr>
            <w:tcW w:w="1689" w:type="dxa"/>
            <w:tcBorders>
              <w:top w:val="single" w:sz="4" w:space="0" w:color="auto"/>
              <w:bottom w:val="single" w:sz="12" w:space="0" w:color="auto"/>
            </w:tcBorders>
            <w:shd w:val="clear" w:color="auto" w:fill="auto"/>
            <w:vAlign w:val="bottom"/>
          </w:tcPr>
          <w:p w14:paraId="1A0D8E92" w14:textId="77777777" w:rsidR="005529B6" w:rsidRPr="005529B6" w:rsidRDefault="005529B6" w:rsidP="005529B6">
            <w:pPr>
              <w:suppressAutoHyphens/>
              <w:spacing w:before="81" w:after="81" w:line="160" w:lineRule="exact"/>
              <w:ind w:right="40"/>
              <w:rPr>
                <w:i/>
                <w:sz w:val="14"/>
              </w:rPr>
            </w:pPr>
            <w:r w:rsidRPr="005529B6">
              <w:rPr>
                <w:i/>
                <w:sz w:val="14"/>
              </w:rPr>
              <w:t>Année</w:t>
            </w:r>
          </w:p>
        </w:tc>
        <w:tc>
          <w:tcPr>
            <w:tcW w:w="1842" w:type="dxa"/>
            <w:tcBorders>
              <w:top w:val="single" w:sz="4" w:space="0" w:color="auto"/>
              <w:bottom w:val="single" w:sz="12" w:space="0" w:color="auto"/>
            </w:tcBorders>
            <w:shd w:val="clear" w:color="auto" w:fill="auto"/>
            <w:vAlign w:val="bottom"/>
          </w:tcPr>
          <w:p w14:paraId="152344E4" w14:textId="77777777" w:rsidR="005529B6" w:rsidRPr="005529B6" w:rsidRDefault="005529B6" w:rsidP="005529B6">
            <w:pPr>
              <w:suppressAutoHyphens/>
              <w:spacing w:before="81" w:after="81" w:line="160" w:lineRule="exact"/>
              <w:ind w:left="144" w:right="43"/>
              <w:jc w:val="right"/>
              <w:rPr>
                <w:i/>
                <w:sz w:val="14"/>
              </w:rPr>
            </w:pPr>
            <w:r w:rsidRPr="005529B6">
              <w:rPr>
                <w:i/>
                <w:sz w:val="14"/>
              </w:rPr>
              <w:t>Garçons</w:t>
            </w:r>
          </w:p>
        </w:tc>
        <w:tc>
          <w:tcPr>
            <w:tcW w:w="1843" w:type="dxa"/>
            <w:tcBorders>
              <w:top w:val="single" w:sz="4" w:space="0" w:color="auto"/>
              <w:bottom w:val="single" w:sz="12" w:space="0" w:color="auto"/>
            </w:tcBorders>
            <w:shd w:val="clear" w:color="auto" w:fill="auto"/>
            <w:vAlign w:val="bottom"/>
          </w:tcPr>
          <w:p w14:paraId="0516AE1B" w14:textId="77777777" w:rsidR="005529B6" w:rsidRPr="005529B6" w:rsidRDefault="005529B6" w:rsidP="005529B6">
            <w:pPr>
              <w:suppressAutoHyphens/>
              <w:spacing w:before="81" w:after="81" w:line="160" w:lineRule="exact"/>
              <w:ind w:left="144" w:right="43"/>
              <w:jc w:val="right"/>
              <w:rPr>
                <w:i/>
                <w:sz w:val="14"/>
              </w:rPr>
            </w:pPr>
            <w:r w:rsidRPr="005529B6">
              <w:rPr>
                <w:i/>
                <w:sz w:val="14"/>
              </w:rPr>
              <w:t>Filles</w:t>
            </w:r>
          </w:p>
        </w:tc>
        <w:tc>
          <w:tcPr>
            <w:tcW w:w="1843" w:type="dxa"/>
            <w:tcBorders>
              <w:top w:val="single" w:sz="4" w:space="0" w:color="auto"/>
              <w:bottom w:val="single" w:sz="12" w:space="0" w:color="auto"/>
            </w:tcBorders>
            <w:shd w:val="clear" w:color="auto" w:fill="auto"/>
            <w:tcMar>
              <w:top w:w="0" w:type="dxa"/>
              <w:left w:w="45" w:type="dxa"/>
              <w:bottom w:w="0" w:type="dxa"/>
              <w:right w:w="45" w:type="dxa"/>
            </w:tcMar>
            <w:vAlign w:val="bottom"/>
            <w:hideMark/>
          </w:tcPr>
          <w:p w14:paraId="5221FC07" w14:textId="77777777" w:rsidR="005529B6" w:rsidRPr="005529B6" w:rsidRDefault="005529B6" w:rsidP="006E1537">
            <w:pPr>
              <w:suppressAutoHyphens/>
              <w:spacing w:before="81" w:after="81" w:line="160" w:lineRule="exact"/>
              <w:ind w:left="144" w:right="-2"/>
              <w:jc w:val="right"/>
              <w:rPr>
                <w:i/>
                <w:sz w:val="14"/>
              </w:rPr>
            </w:pPr>
            <w:r w:rsidRPr="005529B6">
              <w:rPr>
                <w:i/>
                <w:sz w:val="14"/>
              </w:rPr>
              <w:t>Total</w:t>
            </w:r>
          </w:p>
        </w:tc>
      </w:tr>
      <w:tr w:rsidR="005529B6" w:rsidRPr="005529B6" w14:paraId="15F6D7B0" w14:textId="77777777" w:rsidTr="005529B6">
        <w:trPr>
          <w:cantSplit/>
          <w:trHeight w:hRule="exact" w:val="115"/>
          <w:tblHeader/>
        </w:trPr>
        <w:tc>
          <w:tcPr>
            <w:tcW w:w="1689" w:type="dxa"/>
            <w:tcBorders>
              <w:top w:val="single" w:sz="12" w:space="0" w:color="auto"/>
            </w:tcBorders>
            <w:shd w:val="clear" w:color="auto" w:fill="auto"/>
            <w:vAlign w:val="bottom"/>
          </w:tcPr>
          <w:p w14:paraId="38C1AF76" w14:textId="77777777" w:rsidR="005529B6" w:rsidRPr="005529B6" w:rsidRDefault="005529B6" w:rsidP="005529B6">
            <w:pPr>
              <w:suppressAutoHyphens/>
              <w:spacing w:before="40" w:after="40" w:line="210" w:lineRule="exact"/>
              <w:ind w:right="40"/>
              <w:rPr>
                <w:sz w:val="17"/>
              </w:rPr>
            </w:pPr>
          </w:p>
        </w:tc>
        <w:tc>
          <w:tcPr>
            <w:tcW w:w="1842" w:type="dxa"/>
            <w:tcBorders>
              <w:top w:val="single" w:sz="12" w:space="0" w:color="auto"/>
            </w:tcBorders>
            <w:shd w:val="clear" w:color="auto" w:fill="auto"/>
            <w:vAlign w:val="bottom"/>
          </w:tcPr>
          <w:p w14:paraId="79750D8B" w14:textId="77777777" w:rsidR="005529B6" w:rsidRPr="005529B6" w:rsidRDefault="005529B6" w:rsidP="005529B6">
            <w:pPr>
              <w:suppressAutoHyphens/>
              <w:spacing w:before="40" w:after="40" w:line="210" w:lineRule="exact"/>
              <w:ind w:left="144" w:right="43"/>
              <w:jc w:val="right"/>
              <w:rPr>
                <w:sz w:val="17"/>
              </w:rPr>
            </w:pPr>
          </w:p>
        </w:tc>
        <w:tc>
          <w:tcPr>
            <w:tcW w:w="1843" w:type="dxa"/>
            <w:tcBorders>
              <w:top w:val="single" w:sz="12" w:space="0" w:color="auto"/>
            </w:tcBorders>
            <w:shd w:val="clear" w:color="auto" w:fill="auto"/>
            <w:vAlign w:val="bottom"/>
          </w:tcPr>
          <w:p w14:paraId="1A9578DF" w14:textId="77777777" w:rsidR="005529B6" w:rsidRPr="005529B6" w:rsidRDefault="005529B6" w:rsidP="005529B6">
            <w:pPr>
              <w:suppressAutoHyphens/>
              <w:spacing w:before="40" w:after="40" w:line="210" w:lineRule="exact"/>
              <w:ind w:left="144" w:right="43"/>
              <w:jc w:val="right"/>
              <w:rPr>
                <w:sz w:val="17"/>
              </w:rPr>
            </w:pPr>
          </w:p>
        </w:tc>
        <w:tc>
          <w:tcPr>
            <w:tcW w:w="1843" w:type="dxa"/>
            <w:tcBorders>
              <w:top w:val="single" w:sz="12" w:space="0" w:color="auto"/>
            </w:tcBorders>
            <w:shd w:val="clear" w:color="auto" w:fill="auto"/>
            <w:tcMar>
              <w:top w:w="0" w:type="dxa"/>
              <w:left w:w="45" w:type="dxa"/>
              <w:bottom w:w="0" w:type="dxa"/>
              <w:right w:w="45" w:type="dxa"/>
            </w:tcMar>
            <w:vAlign w:val="bottom"/>
          </w:tcPr>
          <w:p w14:paraId="734AC1B9" w14:textId="77777777" w:rsidR="005529B6" w:rsidRPr="005529B6" w:rsidRDefault="005529B6" w:rsidP="006E1537">
            <w:pPr>
              <w:suppressAutoHyphens/>
              <w:spacing w:before="40" w:after="40" w:line="210" w:lineRule="exact"/>
              <w:ind w:left="144" w:right="-2"/>
              <w:jc w:val="right"/>
              <w:rPr>
                <w:sz w:val="17"/>
              </w:rPr>
            </w:pPr>
          </w:p>
        </w:tc>
      </w:tr>
      <w:tr w:rsidR="005529B6" w:rsidRPr="005529B6" w14:paraId="2BF42A7B" w14:textId="77777777" w:rsidTr="005529B6">
        <w:trPr>
          <w:cantSplit/>
        </w:trPr>
        <w:tc>
          <w:tcPr>
            <w:tcW w:w="1689" w:type="dxa"/>
            <w:shd w:val="clear" w:color="auto" w:fill="auto"/>
            <w:vAlign w:val="bottom"/>
          </w:tcPr>
          <w:p w14:paraId="17CD425A" w14:textId="77777777" w:rsidR="005529B6" w:rsidRPr="005529B6" w:rsidRDefault="005529B6" w:rsidP="00503C29">
            <w:pPr>
              <w:tabs>
                <w:tab w:val="left" w:pos="288"/>
                <w:tab w:val="left" w:pos="576"/>
                <w:tab w:val="left" w:pos="864"/>
                <w:tab w:val="left" w:pos="1152"/>
              </w:tabs>
              <w:suppressAutoHyphens/>
              <w:spacing w:before="40" w:after="40" w:line="210" w:lineRule="exact"/>
              <w:ind w:right="40"/>
              <w:rPr>
                <w:sz w:val="17"/>
              </w:rPr>
            </w:pPr>
            <w:r w:rsidRPr="005529B6">
              <w:rPr>
                <w:sz w:val="17"/>
              </w:rPr>
              <w:t>2015</w:t>
            </w:r>
          </w:p>
        </w:tc>
        <w:tc>
          <w:tcPr>
            <w:tcW w:w="1842" w:type="dxa"/>
            <w:shd w:val="clear" w:color="auto" w:fill="auto"/>
            <w:vAlign w:val="bottom"/>
          </w:tcPr>
          <w:p w14:paraId="3877405A" w14:textId="77777777" w:rsidR="005529B6" w:rsidRPr="005529B6" w:rsidRDefault="005529B6" w:rsidP="00503C29">
            <w:pPr>
              <w:tabs>
                <w:tab w:val="left" w:pos="288"/>
                <w:tab w:val="left" w:pos="576"/>
                <w:tab w:val="left" w:pos="864"/>
                <w:tab w:val="left" w:pos="1152"/>
              </w:tabs>
              <w:suppressAutoHyphens/>
              <w:spacing w:before="40" w:after="40" w:line="210" w:lineRule="exact"/>
              <w:ind w:left="144" w:right="43"/>
              <w:jc w:val="right"/>
              <w:rPr>
                <w:sz w:val="17"/>
              </w:rPr>
            </w:pPr>
            <w:r w:rsidRPr="005529B6">
              <w:rPr>
                <w:sz w:val="17"/>
              </w:rPr>
              <w:t>24,34</w:t>
            </w:r>
          </w:p>
        </w:tc>
        <w:tc>
          <w:tcPr>
            <w:tcW w:w="1843" w:type="dxa"/>
            <w:shd w:val="clear" w:color="auto" w:fill="auto"/>
            <w:vAlign w:val="bottom"/>
          </w:tcPr>
          <w:p w14:paraId="51EC8560" w14:textId="77777777" w:rsidR="005529B6" w:rsidRPr="005529B6" w:rsidRDefault="005529B6" w:rsidP="00503C29">
            <w:pPr>
              <w:tabs>
                <w:tab w:val="left" w:pos="288"/>
                <w:tab w:val="left" w:pos="576"/>
                <w:tab w:val="left" w:pos="864"/>
                <w:tab w:val="left" w:pos="1152"/>
              </w:tabs>
              <w:suppressAutoHyphens/>
              <w:spacing w:before="40" w:after="40" w:line="210" w:lineRule="exact"/>
              <w:ind w:left="144" w:right="43"/>
              <w:jc w:val="right"/>
              <w:rPr>
                <w:sz w:val="17"/>
              </w:rPr>
            </w:pPr>
            <w:r w:rsidRPr="005529B6">
              <w:rPr>
                <w:sz w:val="17"/>
              </w:rPr>
              <w:t>21,11</w:t>
            </w:r>
          </w:p>
        </w:tc>
        <w:tc>
          <w:tcPr>
            <w:tcW w:w="1843" w:type="dxa"/>
            <w:shd w:val="clear" w:color="auto" w:fill="auto"/>
            <w:tcMar>
              <w:top w:w="0" w:type="dxa"/>
              <w:left w:w="45" w:type="dxa"/>
              <w:bottom w:w="0" w:type="dxa"/>
              <w:right w:w="45" w:type="dxa"/>
            </w:tcMar>
            <w:vAlign w:val="bottom"/>
            <w:hideMark/>
          </w:tcPr>
          <w:p w14:paraId="79C5950E"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2"/>
              <w:jc w:val="right"/>
              <w:rPr>
                <w:sz w:val="17"/>
              </w:rPr>
            </w:pPr>
            <w:r w:rsidRPr="005529B6">
              <w:rPr>
                <w:sz w:val="17"/>
              </w:rPr>
              <w:t>22,25</w:t>
            </w:r>
          </w:p>
        </w:tc>
      </w:tr>
      <w:tr w:rsidR="005529B6" w:rsidRPr="005529B6" w14:paraId="25471E41" w14:textId="77777777" w:rsidTr="005529B6">
        <w:trPr>
          <w:cantSplit/>
        </w:trPr>
        <w:tc>
          <w:tcPr>
            <w:tcW w:w="1689" w:type="dxa"/>
            <w:shd w:val="clear" w:color="auto" w:fill="auto"/>
            <w:vAlign w:val="bottom"/>
          </w:tcPr>
          <w:p w14:paraId="510E75D7" w14:textId="77777777" w:rsidR="005529B6" w:rsidRPr="005529B6" w:rsidRDefault="005529B6" w:rsidP="00503C29">
            <w:pPr>
              <w:tabs>
                <w:tab w:val="left" w:pos="288"/>
                <w:tab w:val="left" w:pos="576"/>
                <w:tab w:val="left" w:pos="864"/>
                <w:tab w:val="left" w:pos="1152"/>
              </w:tabs>
              <w:suppressAutoHyphens/>
              <w:spacing w:before="40" w:after="40" w:line="210" w:lineRule="exact"/>
              <w:ind w:right="40"/>
              <w:rPr>
                <w:sz w:val="17"/>
              </w:rPr>
            </w:pPr>
            <w:r w:rsidRPr="005529B6">
              <w:rPr>
                <w:sz w:val="17"/>
              </w:rPr>
              <w:t>2016</w:t>
            </w:r>
          </w:p>
        </w:tc>
        <w:tc>
          <w:tcPr>
            <w:tcW w:w="1842" w:type="dxa"/>
            <w:shd w:val="clear" w:color="auto" w:fill="auto"/>
            <w:vAlign w:val="bottom"/>
          </w:tcPr>
          <w:p w14:paraId="32CBAC0C" w14:textId="77777777" w:rsidR="005529B6" w:rsidRPr="005529B6" w:rsidRDefault="005529B6" w:rsidP="00503C29">
            <w:pPr>
              <w:tabs>
                <w:tab w:val="left" w:pos="288"/>
                <w:tab w:val="left" w:pos="576"/>
                <w:tab w:val="left" w:pos="864"/>
                <w:tab w:val="left" w:pos="1152"/>
              </w:tabs>
              <w:suppressAutoHyphens/>
              <w:spacing w:before="40" w:after="40" w:line="210" w:lineRule="exact"/>
              <w:ind w:left="144" w:right="43"/>
              <w:jc w:val="right"/>
              <w:rPr>
                <w:sz w:val="17"/>
              </w:rPr>
            </w:pPr>
            <w:r w:rsidRPr="005529B6">
              <w:rPr>
                <w:sz w:val="17"/>
              </w:rPr>
              <w:t>22,18</w:t>
            </w:r>
          </w:p>
        </w:tc>
        <w:tc>
          <w:tcPr>
            <w:tcW w:w="1843" w:type="dxa"/>
            <w:shd w:val="clear" w:color="auto" w:fill="auto"/>
            <w:vAlign w:val="bottom"/>
          </w:tcPr>
          <w:p w14:paraId="4A941443" w14:textId="77777777" w:rsidR="005529B6" w:rsidRPr="005529B6" w:rsidRDefault="005529B6" w:rsidP="00503C29">
            <w:pPr>
              <w:tabs>
                <w:tab w:val="left" w:pos="288"/>
                <w:tab w:val="left" w:pos="576"/>
                <w:tab w:val="left" w:pos="864"/>
                <w:tab w:val="left" w:pos="1152"/>
              </w:tabs>
              <w:suppressAutoHyphens/>
              <w:spacing w:before="40" w:after="40" w:line="210" w:lineRule="exact"/>
              <w:ind w:left="144" w:right="43"/>
              <w:jc w:val="right"/>
              <w:rPr>
                <w:sz w:val="17"/>
              </w:rPr>
            </w:pPr>
            <w:r w:rsidRPr="005529B6">
              <w:rPr>
                <w:sz w:val="17"/>
              </w:rPr>
              <w:t>18,83</w:t>
            </w:r>
          </w:p>
        </w:tc>
        <w:tc>
          <w:tcPr>
            <w:tcW w:w="1843" w:type="dxa"/>
            <w:shd w:val="clear" w:color="auto" w:fill="auto"/>
            <w:tcMar>
              <w:top w:w="0" w:type="dxa"/>
              <w:left w:w="45" w:type="dxa"/>
              <w:bottom w:w="0" w:type="dxa"/>
              <w:right w:w="45" w:type="dxa"/>
            </w:tcMar>
            <w:vAlign w:val="bottom"/>
            <w:hideMark/>
          </w:tcPr>
          <w:p w14:paraId="2DDA2841"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2"/>
              <w:jc w:val="right"/>
              <w:rPr>
                <w:sz w:val="17"/>
              </w:rPr>
            </w:pPr>
            <w:r w:rsidRPr="005529B6">
              <w:rPr>
                <w:sz w:val="17"/>
              </w:rPr>
              <w:t>20,39</w:t>
            </w:r>
          </w:p>
        </w:tc>
      </w:tr>
      <w:tr w:rsidR="005529B6" w:rsidRPr="005529B6" w14:paraId="69C114E4" w14:textId="77777777" w:rsidTr="005529B6">
        <w:trPr>
          <w:cantSplit/>
        </w:trPr>
        <w:tc>
          <w:tcPr>
            <w:tcW w:w="1689" w:type="dxa"/>
            <w:tcBorders>
              <w:bottom w:val="single" w:sz="12" w:space="0" w:color="auto"/>
            </w:tcBorders>
            <w:shd w:val="clear" w:color="auto" w:fill="auto"/>
            <w:vAlign w:val="bottom"/>
          </w:tcPr>
          <w:p w14:paraId="346078E2" w14:textId="77777777" w:rsidR="005529B6" w:rsidRPr="005529B6" w:rsidRDefault="005529B6" w:rsidP="00503C29">
            <w:pPr>
              <w:tabs>
                <w:tab w:val="left" w:pos="288"/>
                <w:tab w:val="left" w:pos="576"/>
                <w:tab w:val="left" w:pos="864"/>
                <w:tab w:val="left" w:pos="1152"/>
              </w:tabs>
              <w:suppressAutoHyphens/>
              <w:spacing w:before="40" w:after="40" w:line="210" w:lineRule="exact"/>
              <w:ind w:right="40"/>
              <w:rPr>
                <w:sz w:val="17"/>
              </w:rPr>
            </w:pPr>
            <w:r w:rsidRPr="005529B6">
              <w:rPr>
                <w:sz w:val="17"/>
              </w:rPr>
              <w:t>2017</w:t>
            </w:r>
          </w:p>
        </w:tc>
        <w:tc>
          <w:tcPr>
            <w:tcW w:w="1842" w:type="dxa"/>
            <w:tcBorders>
              <w:bottom w:val="single" w:sz="12" w:space="0" w:color="auto"/>
            </w:tcBorders>
            <w:shd w:val="clear" w:color="auto" w:fill="auto"/>
            <w:vAlign w:val="bottom"/>
          </w:tcPr>
          <w:p w14:paraId="740A44B3" w14:textId="77777777" w:rsidR="005529B6" w:rsidRPr="005529B6" w:rsidRDefault="005529B6" w:rsidP="00503C29">
            <w:pPr>
              <w:tabs>
                <w:tab w:val="left" w:pos="288"/>
                <w:tab w:val="left" w:pos="576"/>
                <w:tab w:val="left" w:pos="864"/>
                <w:tab w:val="left" w:pos="1152"/>
              </w:tabs>
              <w:suppressAutoHyphens/>
              <w:spacing w:before="40" w:after="40" w:line="210" w:lineRule="exact"/>
              <w:ind w:left="144" w:right="43"/>
              <w:jc w:val="right"/>
              <w:rPr>
                <w:sz w:val="17"/>
              </w:rPr>
            </w:pPr>
            <w:r w:rsidRPr="005529B6">
              <w:rPr>
                <w:sz w:val="17"/>
              </w:rPr>
              <w:t>18,52</w:t>
            </w:r>
          </w:p>
        </w:tc>
        <w:tc>
          <w:tcPr>
            <w:tcW w:w="1843" w:type="dxa"/>
            <w:tcBorders>
              <w:bottom w:val="single" w:sz="12" w:space="0" w:color="auto"/>
            </w:tcBorders>
            <w:shd w:val="clear" w:color="auto" w:fill="auto"/>
            <w:vAlign w:val="bottom"/>
          </w:tcPr>
          <w:p w14:paraId="48FA759F" w14:textId="77777777" w:rsidR="005529B6" w:rsidRPr="005529B6" w:rsidRDefault="005529B6" w:rsidP="00503C29">
            <w:pPr>
              <w:tabs>
                <w:tab w:val="left" w:pos="288"/>
                <w:tab w:val="left" w:pos="576"/>
                <w:tab w:val="left" w:pos="864"/>
                <w:tab w:val="left" w:pos="1152"/>
              </w:tabs>
              <w:suppressAutoHyphens/>
              <w:spacing w:before="40" w:after="40" w:line="210" w:lineRule="exact"/>
              <w:ind w:left="144" w:right="43"/>
              <w:jc w:val="right"/>
              <w:rPr>
                <w:sz w:val="17"/>
              </w:rPr>
            </w:pPr>
            <w:r w:rsidRPr="005529B6">
              <w:rPr>
                <w:sz w:val="17"/>
              </w:rPr>
              <w:t>17,05</w:t>
            </w:r>
          </w:p>
        </w:tc>
        <w:tc>
          <w:tcPr>
            <w:tcW w:w="1843" w:type="dxa"/>
            <w:tcBorders>
              <w:bottom w:val="single" w:sz="12" w:space="0" w:color="auto"/>
            </w:tcBorders>
            <w:shd w:val="clear" w:color="auto" w:fill="auto"/>
            <w:tcMar>
              <w:top w:w="0" w:type="dxa"/>
              <w:left w:w="45" w:type="dxa"/>
              <w:bottom w:w="0" w:type="dxa"/>
              <w:right w:w="45" w:type="dxa"/>
            </w:tcMar>
            <w:vAlign w:val="bottom"/>
            <w:hideMark/>
          </w:tcPr>
          <w:p w14:paraId="4B7F327F" w14:textId="77777777" w:rsidR="005529B6" w:rsidRPr="005529B6" w:rsidRDefault="005529B6" w:rsidP="006E1537">
            <w:pPr>
              <w:tabs>
                <w:tab w:val="left" w:pos="288"/>
                <w:tab w:val="left" w:pos="576"/>
                <w:tab w:val="left" w:pos="864"/>
                <w:tab w:val="left" w:pos="1152"/>
              </w:tabs>
              <w:suppressAutoHyphens/>
              <w:spacing w:before="40" w:after="40" w:line="210" w:lineRule="exact"/>
              <w:ind w:left="144" w:right="-2"/>
              <w:jc w:val="right"/>
              <w:rPr>
                <w:sz w:val="17"/>
              </w:rPr>
            </w:pPr>
            <w:r w:rsidRPr="005529B6">
              <w:rPr>
                <w:sz w:val="17"/>
              </w:rPr>
              <w:t>17,73</w:t>
            </w:r>
          </w:p>
        </w:tc>
      </w:tr>
    </w:tbl>
    <w:p w14:paraId="62DC7705" w14:textId="77777777" w:rsidR="005529B6" w:rsidRPr="005529B6" w:rsidRDefault="005529B6" w:rsidP="005529B6">
      <w:pPr>
        <w:pStyle w:val="SingleTxtG"/>
        <w:spacing w:after="0" w:line="120" w:lineRule="exact"/>
        <w:ind w:firstLine="170"/>
        <w:rPr>
          <w:i/>
          <w:iCs/>
          <w:sz w:val="10"/>
          <w:lang w:val="fr-FR"/>
        </w:rPr>
      </w:pPr>
    </w:p>
    <w:p w14:paraId="2F4B581B" w14:textId="256A6C99" w:rsidR="005529B6" w:rsidRDefault="005529B6" w:rsidP="005529B6">
      <w:pPr>
        <w:pStyle w:val="FootnoteText"/>
        <w:tabs>
          <w:tab w:val="right" w:pos="1476"/>
          <w:tab w:val="left" w:pos="1548"/>
          <w:tab w:val="right" w:pos="1836"/>
          <w:tab w:val="left" w:pos="1908"/>
        </w:tabs>
        <w:ind w:left="1548" w:right="1267" w:hanging="288"/>
        <w:rPr>
          <w:lang w:val="fr-FR"/>
        </w:rPr>
      </w:pPr>
      <w:r>
        <w:rPr>
          <w:i/>
          <w:iCs/>
          <w:lang w:val="fr-FR"/>
        </w:rPr>
        <w:t>Source</w:t>
      </w:r>
      <w:r w:rsidR="00795C5F">
        <w:rPr>
          <w:lang w:val="fr-FR"/>
        </w:rPr>
        <w:t> :</w:t>
      </w:r>
      <w:r>
        <w:rPr>
          <w:lang w:val="fr-FR"/>
        </w:rPr>
        <w:t xml:space="preserve"> Ministère de l</w:t>
      </w:r>
      <w:r w:rsidR="00795C5F">
        <w:rPr>
          <w:lang w:val="fr-FR"/>
        </w:rPr>
        <w:t>’</w:t>
      </w:r>
      <w:r>
        <w:rPr>
          <w:lang w:val="fr-FR"/>
        </w:rPr>
        <w:t>éducation et des ressources humaines, de l</w:t>
      </w:r>
      <w:r w:rsidR="00795C5F">
        <w:rPr>
          <w:lang w:val="fr-FR"/>
        </w:rPr>
        <w:t>’</w:t>
      </w:r>
      <w:r>
        <w:rPr>
          <w:lang w:val="fr-FR"/>
        </w:rPr>
        <w:t>enseignement supérieur et de la recherche scientifique.</w:t>
      </w:r>
    </w:p>
    <w:p w14:paraId="2427D002" w14:textId="2663B1EC" w:rsidR="005529B6" w:rsidRPr="005529B6" w:rsidRDefault="005529B6" w:rsidP="005529B6">
      <w:pPr>
        <w:pStyle w:val="FootnoteText"/>
        <w:tabs>
          <w:tab w:val="right" w:pos="1476"/>
          <w:tab w:val="left" w:pos="1548"/>
          <w:tab w:val="right" w:pos="1836"/>
          <w:tab w:val="left" w:pos="1908"/>
        </w:tabs>
        <w:spacing w:line="120" w:lineRule="exact"/>
        <w:ind w:left="1548" w:right="1267" w:hanging="288"/>
        <w:rPr>
          <w:sz w:val="10"/>
          <w:lang w:val="fr-FR"/>
        </w:rPr>
      </w:pPr>
    </w:p>
    <w:p w14:paraId="59AD725D" w14:textId="6E094C7F" w:rsidR="005529B6" w:rsidRPr="005529B6" w:rsidRDefault="005529B6" w:rsidP="005529B6">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0A3BE311" w14:textId="008E00DD" w:rsidR="005529B6" w:rsidRPr="005529B6" w:rsidRDefault="005529B6" w:rsidP="005529B6">
      <w:pPr>
        <w:pStyle w:val="SingleTxt"/>
        <w:spacing w:after="0" w:line="120" w:lineRule="exact"/>
        <w:rPr>
          <w:sz w:val="10"/>
          <w:lang w:val="fr-FR"/>
        </w:rPr>
      </w:pPr>
    </w:p>
    <w:p w14:paraId="3682CA0F" w14:textId="2F6477A8" w:rsidR="005529B6" w:rsidRPr="005529B6" w:rsidRDefault="005529B6" w:rsidP="005529B6">
      <w:pPr>
        <w:pStyle w:val="SingleTxt"/>
        <w:numPr>
          <w:ilvl w:val="0"/>
          <w:numId w:val="20"/>
        </w:numPr>
        <w:spacing w:line="240" w:lineRule="exact"/>
        <w:ind w:left="1267"/>
        <w:rPr>
          <w:lang w:val="fr-FR"/>
        </w:rPr>
      </w:pPr>
      <w:r w:rsidRPr="005529B6">
        <w:rPr>
          <w:lang w:val="fr-FR"/>
        </w:rPr>
        <w:t>Les élèves, peu nombreuses, qui tombent enceintes sont autorisées à suivre les cours. Toutefois, la plupart du temps, elles cessent d</w:t>
      </w:r>
      <w:r w:rsidR="00795C5F">
        <w:rPr>
          <w:lang w:val="fr-FR"/>
        </w:rPr>
        <w:t>’</w:t>
      </w:r>
      <w:r w:rsidRPr="005529B6">
        <w:rPr>
          <w:lang w:val="fr-FR"/>
        </w:rPr>
        <w:t>aller en classe à partir du sixième mois de grossesse. Elles sont néanmoins encouragées à reprendre les cours après l</w:t>
      </w:r>
      <w:r w:rsidR="00795C5F">
        <w:rPr>
          <w:lang w:val="fr-FR"/>
        </w:rPr>
        <w:t>’</w:t>
      </w:r>
      <w:r w:rsidRPr="005529B6">
        <w:rPr>
          <w:lang w:val="fr-FR"/>
        </w:rPr>
        <w:t>accouchement. Celles qui passent leurs examens de fin de l</w:t>
      </w:r>
      <w:r w:rsidR="00795C5F">
        <w:rPr>
          <w:lang w:val="fr-FR"/>
        </w:rPr>
        <w:t>’</w:t>
      </w:r>
      <w:r w:rsidRPr="005529B6">
        <w:rPr>
          <w:lang w:val="fr-FR"/>
        </w:rPr>
        <w:t>enseignement secondaire (School Certificate ou Higher School Certificate) bénéficient de mesures spéciales.</w:t>
      </w:r>
    </w:p>
    <w:p w14:paraId="528E74D8" w14:textId="598B155A" w:rsidR="005529B6" w:rsidRPr="005529B6" w:rsidRDefault="005529B6" w:rsidP="005529B6">
      <w:pPr>
        <w:pStyle w:val="SingleTxt"/>
        <w:numPr>
          <w:ilvl w:val="0"/>
          <w:numId w:val="20"/>
        </w:numPr>
        <w:spacing w:line="240" w:lineRule="exact"/>
        <w:ind w:left="1267"/>
        <w:rPr>
          <w:lang w:val="fr-FR"/>
        </w:rPr>
      </w:pPr>
      <w:r w:rsidRPr="005529B6">
        <w:rPr>
          <w:lang w:val="fr-FR"/>
        </w:rPr>
        <w:t>Dans son plan stratégique pour 2008</w:t>
      </w:r>
      <w:r w:rsidR="00503C29">
        <w:rPr>
          <w:lang w:val="fr-FR"/>
        </w:rPr>
        <w:t>-</w:t>
      </w:r>
      <w:r w:rsidRPr="005529B6">
        <w:rPr>
          <w:lang w:val="fr-FR"/>
        </w:rPr>
        <w:t>2020, le Ministère de l</w:t>
      </w:r>
      <w:r w:rsidR="00795C5F">
        <w:rPr>
          <w:lang w:val="fr-FR"/>
        </w:rPr>
        <w:t>’</w:t>
      </w:r>
      <w:r w:rsidRPr="005529B6">
        <w:rPr>
          <w:lang w:val="fr-FR"/>
        </w:rPr>
        <w:t>éducation s</w:t>
      </w:r>
      <w:r w:rsidR="00795C5F">
        <w:rPr>
          <w:lang w:val="fr-FR"/>
        </w:rPr>
        <w:t>’</w:t>
      </w:r>
      <w:r w:rsidRPr="005529B6">
        <w:rPr>
          <w:lang w:val="fr-FR"/>
        </w:rPr>
        <w:t>est notamment fixé les objectifs suivants</w:t>
      </w:r>
      <w:r w:rsidR="00795C5F">
        <w:rPr>
          <w:lang w:val="fr-FR"/>
        </w:rPr>
        <w:t> :</w:t>
      </w:r>
    </w:p>
    <w:p w14:paraId="3E2562AD" w14:textId="7A6D623B"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Améliorer l</w:t>
      </w:r>
      <w:r w:rsidR="00795C5F">
        <w:rPr>
          <w:lang w:val="fr-FR"/>
        </w:rPr>
        <w:t>’</w:t>
      </w:r>
      <w:r w:rsidRPr="005529B6">
        <w:rPr>
          <w:lang w:val="fr-FR"/>
        </w:rPr>
        <w:t>accès à l</w:t>
      </w:r>
      <w:r w:rsidR="00795C5F">
        <w:rPr>
          <w:lang w:val="fr-FR"/>
        </w:rPr>
        <w:t>’</w:t>
      </w:r>
      <w:r w:rsidRPr="005529B6">
        <w:rPr>
          <w:lang w:val="fr-FR"/>
        </w:rPr>
        <w:t>enseignement et à la formation techniques et professionnels et y améliorer l</w:t>
      </w:r>
      <w:r w:rsidR="00795C5F">
        <w:rPr>
          <w:lang w:val="fr-FR"/>
        </w:rPr>
        <w:t>’</w:t>
      </w:r>
      <w:r w:rsidRPr="005529B6">
        <w:rPr>
          <w:lang w:val="fr-FR"/>
        </w:rPr>
        <w:t>équité</w:t>
      </w:r>
      <w:r w:rsidR="00795C5F">
        <w:rPr>
          <w:lang w:val="fr-FR"/>
        </w:rPr>
        <w:t> ;</w:t>
      </w:r>
    </w:p>
    <w:p w14:paraId="3B476961" w14:textId="3B2803B2"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Améliorer le passage de l</w:t>
      </w:r>
      <w:r w:rsidR="00795C5F">
        <w:rPr>
          <w:lang w:val="fr-FR"/>
        </w:rPr>
        <w:t>’</w:t>
      </w:r>
      <w:r w:rsidRPr="005529B6">
        <w:rPr>
          <w:lang w:val="fr-FR"/>
        </w:rPr>
        <w:t>enseignement technique et professionnel à l</w:t>
      </w:r>
      <w:r w:rsidR="00795C5F">
        <w:rPr>
          <w:lang w:val="fr-FR"/>
        </w:rPr>
        <w:t>’</w:t>
      </w:r>
      <w:r w:rsidRPr="005529B6">
        <w:rPr>
          <w:lang w:val="fr-FR"/>
        </w:rPr>
        <w:t>enseignement général</w:t>
      </w:r>
      <w:r w:rsidR="00795C5F">
        <w:rPr>
          <w:lang w:val="fr-FR"/>
        </w:rPr>
        <w:t> ;</w:t>
      </w:r>
    </w:p>
    <w:p w14:paraId="3DA2829C" w14:textId="09229F01" w:rsidR="005529B6" w:rsidRPr="005529B6" w:rsidRDefault="005529B6" w:rsidP="005529B6">
      <w:pPr>
        <w:pStyle w:val="SingleTxt"/>
        <w:tabs>
          <w:tab w:val="right" w:pos="1685"/>
        </w:tabs>
        <w:ind w:left="1742" w:hanging="475"/>
        <w:rPr>
          <w:lang w:val="fr-FR"/>
        </w:rPr>
      </w:pPr>
      <w:r>
        <w:rPr>
          <w:lang w:val="fr-FR"/>
        </w:rPr>
        <w:tab/>
      </w:r>
      <w:r w:rsidRPr="005529B6">
        <w:rPr>
          <w:lang w:val="fr-FR"/>
        </w:rPr>
        <w:t>•</w:t>
      </w:r>
      <w:r w:rsidRPr="005529B6">
        <w:rPr>
          <w:lang w:val="fr-FR"/>
        </w:rPr>
        <w:tab/>
        <w:t>Améliorer la qualité et la pertinence de l</w:t>
      </w:r>
      <w:r w:rsidR="00795C5F">
        <w:rPr>
          <w:lang w:val="fr-FR"/>
        </w:rPr>
        <w:t>’</w:t>
      </w:r>
      <w:r w:rsidRPr="005529B6">
        <w:rPr>
          <w:lang w:val="fr-FR"/>
        </w:rPr>
        <w:t>enseignement technique et professionnel de façon à répondre aux besoins des élèves des deux sexes.</w:t>
      </w:r>
    </w:p>
    <w:p w14:paraId="1E796261" w14:textId="2E305B2D" w:rsidR="005529B6" w:rsidRPr="005529B6" w:rsidRDefault="005529B6" w:rsidP="005529B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objectif est de porter à 40</w:t>
      </w:r>
      <w:r w:rsidR="00795C5F">
        <w:rPr>
          <w:lang w:val="fr-FR"/>
        </w:rPr>
        <w:t> %</w:t>
      </w:r>
      <w:r w:rsidRPr="005529B6">
        <w:rPr>
          <w:lang w:val="fr-FR"/>
        </w:rPr>
        <w:t xml:space="preserve"> le taux d</w:t>
      </w:r>
      <w:r w:rsidR="00795C5F">
        <w:rPr>
          <w:lang w:val="fr-FR"/>
        </w:rPr>
        <w:t>’</w:t>
      </w:r>
      <w:r w:rsidRPr="005529B6">
        <w:rPr>
          <w:lang w:val="fr-FR"/>
        </w:rPr>
        <w:t>inscription des filles en 2020.</w:t>
      </w:r>
    </w:p>
    <w:p w14:paraId="69BE3AB7" w14:textId="66439CBB" w:rsidR="005529B6" w:rsidRPr="005529B6" w:rsidRDefault="005529B6" w:rsidP="005529B6">
      <w:pPr>
        <w:pStyle w:val="SingleTxt"/>
        <w:spacing w:after="0" w:line="120" w:lineRule="exact"/>
        <w:rPr>
          <w:sz w:val="10"/>
          <w:lang w:val="fr-FR"/>
        </w:rPr>
      </w:pPr>
    </w:p>
    <w:p w14:paraId="4AE08F25" w14:textId="23E056C9" w:rsidR="005529B6" w:rsidRPr="005529B6" w:rsidRDefault="005529B6" w:rsidP="005529B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538"/>
        <w:gridCol w:w="654"/>
        <w:gridCol w:w="654"/>
        <w:gridCol w:w="654"/>
        <w:gridCol w:w="2928"/>
      </w:tblGrid>
      <w:tr w:rsidR="00F960B9" w:rsidRPr="00F960B9" w14:paraId="51EF41DE" w14:textId="77777777" w:rsidTr="002050E5">
        <w:trPr>
          <w:tblHeader/>
        </w:trPr>
        <w:tc>
          <w:tcPr>
            <w:tcW w:w="2538" w:type="dxa"/>
            <w:tcBorders>
              <w:top w:val="single" w:sz="4" w:space="0" w:color="auto"/>
              <w:bottom w:val="single" w:sz="12" w:space="0" w:color="auto"/>
            </w:tcBorders>
            <w:shd w:val="clear" w:color="auto" w:fill="auto"/>
            <w:vAlign w:val="bottom"/>
          </w:tcPr>
          <w:p w14:paraId="76CCF312" w14:textId="2AC92E61" w:rsidR="00F960B9" w:rsidRPr="00F960B9" w:rsidRDefault="00F960B9" w:rsidP="00F960B9">
            <w:pPr>
              <w:tabs>
                <w:tab w:val="left" w:pos="288"/>
                <w:tab w:val="left" w:pos="576"/>
                <w:tab w:val="left" w:pos="864"/>
                <w:tab w:val="left" w:pos="1152"/>
              </w:tabs>
              <w:suppressAutoHyphens/>
              <w:spacing w:before="81" w:after="81" w:line="160" w:lineRule="exact"/>
              <w:ind w:right="40"/>
              <w:rPr>
                <w:i/>
                <w:iCs/>
                <w:sz w:val="14"/>
                <w:szCs w:val="14"/>
                <w:lang w:val="fr-FR"/>
              </w:rPr>
            </w:pPr>
            <w:r w:rsidRPr="00F960B9">
              <w:rPr>
                <w:i/>
                <w:iCs/>
                <w:sz w:val="14"/>
                <w:szCs w:val="14"/>
              </w:rPr>
              <w:t>Indicateur</w:t>
            </w:r>
          </w:p>
        </w:tc>
        <w:tc>
          <w:tcPr>
            <w:tcW w:w="654" w:type="dxa"/>
            <w:tcBorders>
              <w:top w:val="single" w:sz="4" w:space="0" w:color="auto"/>
              <w:bottom w:val="single" w:sz="12" w:space="0" w:color="auto"/>
            </w:tcBorders>
            <w:shd w:val="clear" w:color="auto" w:fill="auto"/>
            <w:vAlign w:val="bottom"/>
          </w:tcPr>
          <w:p w14:paraId="2F95DE8B" w14:textId="030517BC" w:rsidR="00F960B9" w:rsidRPr="00F960B9" w:rsidRDefault="00F960B9" w:rsidP="00F960B9">
            <w:pPr>
              <w:tabs>
                <w:tab w:val="left" w:pos="288"/>
                <w:tab w:val="left" w:pos="576"/>
                <w:tab w:val="left" w:pos="864"/>
                <w:tab w:val="left" w:pos="1152"/>
              </w:tabs>
              <w:suppressAutoHyphens/>
              <w:spacing w:before="81" w:after="81" w:line="160" w:lineRule="exact"/>
              <w:ind w:left="144" w:right="43"/>
              <w:jc w:val="right"/>
              <w:rPr>
                <w:i/>
                <w:iCs/>
                <w:sz w:val="14"/>
                <w:szCs w:val="14"/>
                <w:lang w:val="fr-FR"/>
              </w:rPr>
            </w:pPr>
            <w:r w:rsidRPr="00F960B9">
              <w:rPr>
                <w:i/>
                <w:iCs/>
                <w:sz w:val="14"/>
                <w:szCs w:val="14"/>
              </w:rPr>
              <w:t>Total</w:t>
            </w:r>
          </w:p>
        </w:tc>
        <w:tc>
          <w:tcPr>
            <w:tcW w:w="654" w:type="dxa"/>
            <w:tcBorders>
              <w:top w:val="single" w:sz="4" w:space="0" w:color="auto"/>
              <w:bottom w:val="single" w:sz="12" w:space="0" w:color="auto"/>
            </w:tcBorders>
            <w:shd w:val="clear" w:color="auto" w:fill="auto"/>
            <w:vAlign w:val="bottom"/>
          </w:tcPr>
          <w:p w14:paraId="23874EA5" w14:textId="10269F66" w:rsidR="00F960B9" w:rsidRPr="00F960B9" w:rsidRDefault="00F960B9" w:rsidP="00F960B9">
            <w:pPr>
              <w:tabs>
                <w:tab w:val="left" w:pos="288"/>
                <w:tab w:val="left" w:pos="576"/>
                <w:tab w:val="left" w:pos="864"/>
                <w:tab w:val="left" w:pos="1152"/>
              </w:tabs>
              <w:suppressAutoHyphens/>
              <w:spacing w:before="81" w:after="81" w:line="160" w:lineRule="exact"/>
              <w:ind w:left="144" w:right="43"/>
              <w:jc w:val="right"/>
              <w:rPr>
                <w:i/>
                <w:iCs/>
                <w:sz w:val="14"/>
                <w:szCs w:val="14"/>
                <w:lang w:val="fr-FR"/>
              </w:rPr>
            </w:pPr>
            <w:r w:rsidRPr="00F960B9">
              <w:rPr>
                <w:i/>
                <w:iCs/>
                <w:sz w:val="14"/>
                <w:szCs w:val="14"/>
              </w:rPr>
              <w:t>Filles</w:t>
            </w:r>
            <w:r>
              <w:rPr>
                <w:i/>
                <w:iCs/>
                <w:sz w:val="14"/>
                <w:szCs w:val="14"/>
              </w:rPr>
              <w:br/>
            </w:r>
            <w:r w:rsidRPr="00F960B9">
              <w:rPr>
                <w:i/>
                <w:iCs/>
                <w:sz w:val="14"/>
                <w:szCs w:val="14"/>
              </w:rPr>
              <w:t>(en</w:t>
            </w:r>
            <w:r w:rsidR="00795C5F">
              <w:rPr>
                <w:i/>
                <w:iCs/>
                <w:sz w:val="14"/>
                <w:szCs w:val="14"/>
              </w:rPr>
              <w:t> %</w:t>
            </w:r>
            <w:r w:rsidRPr="00F960B9">
              <w:rPr>
                <w:i/>
                <w:iCs/>
                <w:sz w:val="14"/>
                <w:szCs w:val="14"/>
              </w:rPr>
              <w:t>)</w:t>
            </w:r>
          </w:p>
        </w:tc>
        <w:tc>
          <w:tcPr>
            <w:tcW w:w="654" w:type="dxa"/>
            <w:tcBorders>
              <w:top w:val="single" w:sz="4" w:space="0" w:color="auto"/>
              <w:bottom w:val="single" w:sz="12" w:space="0" w:color="auto"/>
            </w:tcBorders>
            <w:shd w:val="clear" w:color="auto" w:fill="auto"/>
            <w:vAlign w:val="bottom"/>
          </w:tcPr>
          <w:p w14:paraId="18E0C2BF" w14:textId="34BDBB8F" w:rsidR="00F960B9" w:rsidRPr="00F960B9" w:rsidRDefault="00F960B9" w:rsidP="002050E5">
            <w:pPr>
              <w:tabs>
                <w:tab w:val="left" w:pos="288"/>
                <w:tab w:val="left" w:pos="576"/>
                <w:tab w:val="left" w:pos="864"/>
                <w:tab w:val="left" w:pos="1152"/>
              </w:tabs>
              <w:suppressAutoHyphens/>
              <w:spacing w:before="81" w:after="81" w:line="160" w:lineRule="exact"/>
              <w:ind w:right="43"/>
              <w:jc w:val="right"/>
              <w:rPr>
                <w:i/>
                <w:iCs/>
                <w:sz w:val="14"/>
                <w:szCs w:val="14"/>
                <w:lang w:val="fr-FR"/>
              </w:rPr>
            </w:pPr>
            <w:r w:rsidRPr="00F960B9">
              <w:rPr>
                <w:i/>
                <w:iCs/>
                <w:sz w:val="14"/>
                <w:szCs w:val="14"/>
              </w:rPr>
              <w:t>Garçons (en</w:t>
            </w:r>
            <w:r w:rsidR="00795C5F">
              <w:rPr>
                <w:i/>
                <w:iCs/>
                <w:sz w:val="14"/>
                <w:szCs w:val="14"/>
              </w:rPr>
              <w:t> %</w:t>
            </w:r>
            <w:r w:rsidRPr="00F960B9">
              <w:rPr>
                <w:i/>
                <w:iCs/>
                <w:sz w:val="14"/>
                <w:szCs w:val="14"/>
              </w:rPr>
              <w:t>)</w:t>
            </w:r>
          </w:p>
        </w:tc>
        <w:tc>
          <w:tcPr>
            <w:tcW w:w="2928" w:type="dxa"/>
            <w:tcBorders>
              <w:top w:val="single" w:sz="4" w:space="0" w:color="auto"/>
              <w:bottom w:val="single" w:sz="12" w:space="0" w:color="auto"/>
            </w:tcBorders>
            <w:shd w:val="clear" w:color="auto" w:fill="auto"/>
          </w:tcPr>
          <w:p w14:paraId="019BD2B6" w14:textId="181B8A71" w:rsidR="00F960B9" w:rsidRPr="00F960B9" w:rsidRDefault="00F960B9" w:rsidP="00F960B9">
            <w:pPr>
              <w:tabs>
                <w:tab w:val="left" w:pos="288"/>
                <w:tab w:val="left" w:pos="576"/>
                <w:tab w:val="left" w:pos="864"/>
                <w:tab w:val="left" w:pos="1152"/>
              </w:tabs>
              <w:suppressAutoHyphens/>
              <w:spacing w:before="81" w:after="81" w:line="160" w:lineRule="exact"/>
              <w:ind w:left="144" w:right="43"/>
              <w:rPr>
                <w:i/>
                <w:iCs/>
                <w:sz w:val="14"/>
                <w:szCs w:val="14"/>
                <w:lang w:val="fr-FR"/>
              </w:rPr>
            </w:pPr>
            <w:r w:rsidRPr="00F960B9">
              <w:rPr>
                <w:i/>
                <w:iCs/>
                <w:sz w:val="14"/>
                <w:szCs w:val="14"/>
              </w:rPr>
              <w:t xml:space="preserve">Mesures prises pour améliorer </w:t>
            </w:r>
            <w:r w:rsidR="00ED416A">
              <w:rPr>
                <w:i/>
                <w:iCs/>
                <w:sz w:val="14"/>
                <w:szCs w:val="14"/>
              </w:rPr>
              <w:br/>
            </w:r>
            <w:r w:rsidRPr="00F960B9">
              <w:rPr>
                <w:i/>
                <w:iCs/>
                <w:sz w:val="14"/>
                <w:szCs w:val="14"/>
              </w:rPr>
              <w:t>la situation/les pratiques</w:t>
            </w:r>
          </w:p>
        </w:tc>
      </w:tr>
      <w:tr w:rsidR="00F960B9" w:rsidRPr="00F960B9" w14:paraId="7A788ECF" w14:textId="77777777" w:rsidTr="002050E5">
        <w:trPr>
          <w:trHeight w:hRule="exact" w:val="115"/>
          <w:tblHeader/>
        </w:trPr>
        <w:tc>
          <w:tcPr>
            <w:tcW w:w="2538" w:type="dxa"/>
            <w:tcBorders>
              <w:top w:val="single" w:sz="12" w:space="0" w:color="auto"/>
            </w:tcBorders>
            <w:shd w:val="clear" w:color="auto" w:fill="auto"/>
            <w:vAlign w:val="bottom"/>
          </w:tcPr>
          <w:p w14:paraId="55EC5403"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lang w:val="fr-FR"/>
              </w:rPr>
            </w:pPr>
          </w:p>
        </w:tc>
        <w:tc>
          <w:tcPr>
            <w:tcW w:w="654" w:type="dxa"/>
            <w:tcBorders>
              <w:top w:val="single" w:sz="12" w:space="0" w:color="auto"/>
            </w:tcBorders>
            <w:shd w:val="clear" w:color="auto" w:fill="auto"/>
            <w:vAlign w:val="bottom"/>
          </w:tcPr>
          <w:p w14:paraId="665FD353"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54" w:type="dxa"/>
            <w:tcBorders>
              <w:top w:val="single" w:sz="12" w:space="0" w:color="auto"/>
            </w:tcBorders>
            <w:shd w:val="clear" w:color="auto" w:fill="auto"/>
            <w:vAlign w:val="bottom"/>
          </w:tcPr>
          <w:p w14:paraId="053B0800"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54" w:type="dxa"/>
            <w:tcBorders>
              <w:top w:val="single" w:sz="12" w:space="0" w:color="auto"/>
            </w:tcBorders>
            <w:shd w:val="clear" w:color="auto" w:fill="auto"/>
            <w:vAlign w:val="bottom"/>
          </w:tcPr>
          <w:p w14:paraId="44AE8A3E" w14:textId="77777777" w:rsidR="00F960B9" w:rsidRPr="00F960B9" w:rsidRDefault="00F960B9" w:rsidP="002050E5">
            <w:pPr>
              <w:tabs>
                <w:tab w:val="left" w:pos="288"/>
                <w:tab w:val="left" w:pos="576"/>
                <w:tab w:val="left" w:pos="864"/>
                <w:tab w:val="left" w:pos="1152"/>
              </w:tabs>
              <w:suppressAutoHyphens/>
              <w:spacing w:before="40" w:after="40" w:line="210" w:lineRule="exact"/>
              <w:ind w:right="43"/>
              <w:jc w:val="right"/>
              <w:rPr>
                <w:sz w:val="17"/>
                <w:lang w:val="fr-FR"/>
              </w:rPr>
            </w:pPr>
          </w:p>
        </w:tc>
        <w:tc>
          <w:tcPr>
            <w:tcW w:w="2928" w:type="dxa"/>
            <w:tcBorders>
              <w:top w:val="single" w:sz="12" w:space="0" w:color="auto"/>
            </w:tcBorders>
            <w:shd w:val="clear" w:color="auto" w:fill="auto"/>
          </w:tcPr>
          <w:p w14:paraId="76FA46BC"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rPr>
                <w:sz w:val="17"/>
                <w:lang w:val="fr-FR"/>
              </w:rPr>
            </w:pPr>
          </w:p>
        </w:tc>
      </w:tr>
      <w:tr w:rsidR="00F960B9" w:rsidRPr="00F960B9" w14:paraId="385795FE" w14:textId="77777777" w:rsidTr="002050E5">
        <w:tc>
          <w:tcPr>
            <w:tcW w:w="2538" w:type="dxa"/>
            <w:shd w:val="clear" w:color="auto" w:fill="auto"/>
          </w:tcPr>
          <w:p w14:paraId="62BED2DD" w14:textId="6DD13CEE"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szCs w:val="17"/>
                <w:lang w:val="fr-FR"/>
              </w:rPr>
            </w:pPr>
            <w:r w:rsidRPr="00F960B9">
              <w:rPr>
                <w:sz w:val="17"/>
                <w:szCs w:val="17"/>
              </w:rPr>
              <w:t>Nombre de filles et de garçons inscrits dans des formations scientifiques et techniques (effectif des inscrits à plein temps, à temps partiel ou en apprentissage pour l</w:t>
            </w:r>
            <w:r w:rsidR="00795C5F">
              <w:rPr>
                <w:sz w:val="17"/>
                <w:szCs w:val="17"/>
              </w:rPr>
              <w:t>’</w:t>
            </w:r>
            <w:r w:rsidRPr="00F960B9">
              <w:rPr>
                <w:sz w:val="17"/>
                <w:szCs w:val="17"/>
              </w:rPr>
              <w:t>année 2016 au Mauritius Institute of Training and Development)</w:t>
            </w:r>
          </w:p>
        </w:tc>
        <w:tc>
          <w:tcPr>
            <w:tcW w:w="654" w:type="dxa"/>
            <w:shd w:val="clear" w:color="auto" w:fill="auto"/>
          </w:tcPr>
          <w:p w14:paraId="4DAC5F32" w14:textId="000BF82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r w:rsidRPr="00F960B9">
              <w:rPr>
                <w:sz w:val="17"/>
                <w:szCs w:val="17"/>
              </w:rPr>
              <w:t>7 290</w:t>
            </w:r>
          </w:p>
        </w:tc>
        <w:tc>
          <w:tcPr>
            <w:tcW w:w="654" w:type="dxa"/>
            <w:shd w:val="clear" w:color="auto" w:fill="auto"/>
          </w:tcPr>
          <w:p w14:paraId="68CCE51E" w14:textId="663B8DB0"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r w:rsidRPr="00F960B9">
              <w:rPr>
                <w:sz w:val="17"/>
                <w:szCs w:val="17"/>
              </w:rPr>
              <w:t>21,1</w:t>
            </w:r>
          </w:p>
        </w:tc>
        <w:tc>
          <w:tcPr>
            <w:tcW w:w="654" w:type="dxa"/>
            <w:shd w:val="clear" w:color="auto" w:fill="auto"/>
          </w:tcPr>
          <w:p w14:paraId="177E9594" w14:textId="15B78883" w:rsidR="00F960B9" w:rsidRPr="00F960B9" w:rsidRDefault="00F960B9" w:rsidP="002050E5">
            <w:pPr>
              <w:tabs>
                <w:tab w:val="left" w:pos="288"/>
                <w:tab w:val="left" w:pos="576"/>
                <w:tab w:val="left" w:pos="864"/>
                <w:tab w:val="left" w:pos="1152"/>
              </w:tabs>
              <w:suppressAutoHyphens/>
              <w:spacing w:before="40" w:after="40" w:line="210" w:lineRule="exact"/>
              <w:ind w:right="43"/>
              <w:jc w:val="right"/>
              <w:rPr>
                <w:sz w:val="17"/>
                <w:szCs w:val="17"/>
                <w:lang w:val="fr-FR"/>
              </w:rPr>
            </w:pPr>
            <w:r w:rsidRPr="00F960B9">
              <w:rPr>
                <w:sz w:val="17"/>
                <w:szCs w:val="17"/>
              </w:rPr>
              <w:t>78,9</w:t>
            </w:r>
          </w:p>
        </w:tc>
        <w:tc>
          <w:tcPr>
            <w:tcW w:w="2928" w:type="dxa"/>
            <w:shd w:val="clear" w:color="auto" w:fill="auto"/>
          </w:tcPr>
          <w:p w14:paraId="6E3D14E5" w14:textId="42F24BDF" w:rsidR="00F960B9" w:rsidRPr="00F960B9" w:rsidRDefault="00F960B9" w:rsidP="00F960B9">
            <w:pPr>
              <w:tabs>
                <w:tab w:val="left" w:pos="288"/>
                <w:tab w:val="left" w:pos="576"/>
                <w:tab w:val="left" w:pos="864"/>
                <w:tab w:val="left" w:pos="1152"/>
              </w:tabs>
              <w:suppressAutoHyphens/>
              <w:spacing w:before="40" w:after="40" w:line="210" w:lineRule="exact"/>
              <w:ind w:left="144" w:right="43"/>
              <w:rPr>
                <w:sz w:val="17"/>
                <w:szCs w:val="17"/>
                <w:lang w:val="fr-FR"/>
              </w:rPr>
            </w:pPr>
            <w:r w:rsidRPr="00F960B9">
              <w:rPr>
                <w:sz w:val="17"/>
                <w:szCs w:val="17"/>
                <w:lang w:val="fr-FR"/>
              </w:rPr>
              <w:t>L</w:t>
            </w:r>
            <w:r w:rsidR="00795C5F">
              <w:rPr>
                <w:sz w:val="17"/>
                <w:szCs w:val="17"/>
                <w:lang w:val="fr-FR"/>
              </w:rPr>
              <w:t>’</w:t>
            </w:r>
            <w:r w:rsidRPr="00F960B9">
              <w:rPr>
                <w:sz w:val="17"/>
                <w:szCs w:val="17"/>
                <w:lang w:val="fr-FR"/>
              </w:rPr>
              <w:t>enseignement technique et professionnel est tout aussi accessible aux filles qu</w:t>
            </w:r>
            <w:r w:rsidR="00795C5F">
              <w:rPr>
                <w:sz w:val="17"/>
                <w:szCs w:val="17"/>
                <w:lang w:val="fr-FR"/>
              </w:rPr>
              <w:t>’</w:t>
            </w:r>
            <w:r w:rsidRPr="00F960B9">
              <w:rPr>
                <w:sz w:val="17"/>
                <w:szCs w:val="17"/>
                <w:lang w:val="fr-FR"/>
              </w:rPr>
              <w:t>aux garçons. Le secteur est en cours de réforme, le but étant d</w:t>
            </w:r>
            <w:r w:rsidR="00795C5F">
              <w:rPr>
                <w:sz w:val="17"/>
                <w:szCs w:val="17"/>
                <w:lang w:val="fr-FR"/>
              </w:rPr>
              <w:t>’</w:t>
            </w:r>
            <w:r w:rsidRPr="00F960B9">
              <w:rPr>
                <w:sz w:val="17"/>
                <w:szCs w:val="17"/>
                <w:lang w:val="fr-FR"/>
              </w:rPr>
              <w:t>encourager les jeunes mauriciens à choisir cette voie après avoir reçu l</w:t>
            </w:r>
            <w:r w:rsidR="00795C5F">
              <w:rPr>
                <w:sz w:val="17"/>
                <w:szCs w:val="17"/>
                <w:lang w:val="fr-FR"/>
              </w:rPr>
              <w:t>’</w:t>
            </w:r>
            <w:r w:rsidRPr="00F960B9">
              <w:rPr>
                <w:sz w:val="17"/>
                <w:szCs w:val="17"/>
                <w:lang w:val="fr-FR"/>
              </w:rPr>
              <w:t>enseignement de base</w:t>
            </w:r>
            <w:r w:rsidR="00FA5593">
              <w:rPr>
                <w:sz w:val="17"/>
                <w:szCs w:val="17"/>
                <w:lang w:val="fr-FR"/>
              </w:rPr>
              <w:t>.</w:t>
            </w:r>
          </w:p>
        </w:tc>
      </w:tr>
      <w:tr w:rsidR="00F960B9" w:rsidRPr="00F960B9" w14:paraId="1047F354" w14:textId="77777777" w:rsidTr="002050E5">
        <w:tc>
          <w:tcPr>
            <w:tcW w:w="2538" w:type="dxa"/>
            <w:shd w:val="clear" w:color="auto" w:fill="auto"/>
            <w:vAlign w:val="bottom"/>
          </w:tcPr>
          <w:p w14:paraId="13221468"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szCs w:val="17"/>
                <w:lang w:val="fr-FR"/>
              </w:rPr>
            </w:pPr>
          </w:p>
        </w:tc>
        <w:tc>
          <w:tcPr>
            <w:tcW w:w="654" w:type="dxa"/>
            <w:shd w:val="clear" w:color="auto" w:fill="auto"/>
            <w:vAlign w:val="bottom"/>
          </w:tcPr>
          <w:p w14:paraId="1D75992C"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shd w:val="clear" w:color="auto" w:fill="auto"/>
            <w:vAlign w:val="bottom"/>
          </w:tcPr>
          <w:p w14:paraId="4381FA16"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shd w:val="clear" w:color="auto" w:fill="auto"/>
            <w:vAlign w:val="bottom"/>
          </w:tcPr>
          <w:p w14:paraId="6C63F44F" w14:textId="77777777" w:rsidR="00F960B9" w:rsidRPr="00F960B9" w:rsidRDefault="00F960B9" w:rsidP="002050E5">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2928" w:type="dxa"/>
            <w:shd w:val="clear" w:color="auto" w:fill="auto"/>
          </w:tcPr>
          <w:p w14:paraId="51A05E21" w14:textId="009E66E9" w:rsidR="00F960B9" w:rsidRPr="00F960B9" w:rsidRDefault="00F960B9" w:rsidP="00F960B9">
            <w:pPr>
              <w:tabs>
                <w:tab w:val="left" w:pos="288"/>
                <w:tab w:val="left" w:pos="576"/>
                <w:tab w:val="left" w:pos="864"/>
                <w:tab w:val="left" w:pos="1152"/>
              </w:tabs>
              <w:suppressAutoHyphens/>
              <w:spacing w:before="40" w:after="40" w:line="210" w:lineRule="exact"/>
              <w:ind w:left="144" w:right="43"/>
              <w:rPr>
                <w:sz w:val="17"/>
                <w:szCs w:val="17"/>
                <w:lang w:val="fr-FR"/>
              </w:rPr>
            </w:pPr>
            <w:r w:rsidRPr="00F960B9">
              <w:rPr>
                <w:sz w:val="17"/>
                <w:szCs w:val="17"/>
                <w:lang w:val="fr-FR"/>
              </w:rPr>
              <w:t>Les élèves suivant une formation technique ou professionnelle bénéficient de la gratuité des déplacements en autobus</w:t>
            </w:r>
            <w:r w:rsidR="00FA5593">
              <w:rPr>
                <w:sz w:val="17"/>
                <w:szCs w:val="17"/>
                <w:lang w:val="fr-FR"/>
              </w:rPr>
              <w:t>.</w:t>
            </w:r>
          </w:p>
        </w:tc>
      </w:tr>
      <w:tr w:rsidR="00F960B9" w:rsidRPr="00F960B9" w14:paraId="6818E909" w14:textId="77777777" w:rsidTr="002050E5">
        <w:tc>
          <w:tcPr>
            <w:tcW w:w="2538" w:type="dxa"/>
            <w:shd w:val="clear" w:color="auto" w:fill="auto"/>
            <w:vAlign w:val="bottom"/>
          </w:tcPr>
          <w:p w14:paraId="334EA11A"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szCs w:val="17"/>
                <w:lang w:val="fr-FR"/>
              </w:rPr>
            </w:pPr>
          </w:p>
        </w:tc>
        <w:tc>
          <w:tcPr>
            <w:tcW w:w="654" w:type="dxa"/>
            <w:shd w:val="clear" w:color="auto" w:fill="auto"/>
            <w:vAlign w:val="bottom"/>
          </w:tcPr>
          <w:p w14:paraId="6A873623"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shd w:val="clear" w:color="auto" w:fill="auto"/>
            <w:vAlign w:val="bottom"/>
          </w:tcPr>
          <w:p w14:paraId="6034D8CB"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shd w:val="clear" w:color="auto" w:fill="auto"/>
            <w:vAlign w:val="bottom"/>
          </w:tcPr>
          <w:p w14:paraId="666DDC27" w14:textId="77777777" w:rsidR="00F960B9" w:rsidRPr="00F960B9" w:rsidRDefault="00F960B9" w:rsidP="002050E5">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2928" w:type="dxa"/>
            <w:shd w:val="clear" w:color="auto" w:fill="auto"/>
          </w:tcPr>
          <w:p w14:paraId="1FA3C067" w14:textId="360765AC" w:rsidR="00F960B9" w:rsidRPr="00F960B9" w:rsidRDefault="00F960B9" w:rsidP="00F960B9">
            <w:pPr>
              <w:tabs>
                <w:tab w:val="left" w:pos="288"/>
                <w:tab w:val="left" w:pos="576"/>
                <w:tab w:val="left" w:pos="864"/>
                <w:tab w:val="left" w:pos="1152"/>
              </w:tabs>
              <w:suppressAutoHyphens/>
              <w:spacing w:before="40" w:after="40" w:line="210" w:lineRule="exact"/>
              <w:ind w:left="144" w:right="43"/>
              <w:rPr>
                <w:sz w:val="17"/>
                <w:szCs w:val="17"/>
                <w:lang w:val="fr-FR"/>
              </w:rPr>
            </w:pPr>
            <w:r w:rsidRPr="00F960B9">
              <w:rPr>
                <w:sz w:val="17"/>
                <w:szCs w:val="17"/>
                <w:lang w:val="fr-FR"/>
              </w:rPr>
              <w:t>L</w:t>
            </w:r>
            <w:r w:rsidR="00795C5F">
              <w:rPr>
                <w:sz w:val="17"/>
                <w:szCs w:val="17"/>
                <w:lang w:val="fr-FR"/>
              </w:rPr>
              <w:t>’</w:t>
            </w:r>
            <w:r w:rsidRPr="00F960B9">
              <w:rPr>
                <w:sz w:val="17"/>
                <w:szCs w:val="17"/>
                <w:lang w:val="fr-FR"/>
              </w:rPr>
              <w:t>enseignement, qu</w:t>
            </w:r>
            <w:r w:rsidR="00795C5F">
              <w:rPr>
                <w:sz w:val="17"/>
                <w:szCs w:val="17"/>
                <w:lang w:val="fr-FR"/>
              </w:rPr>
              <w:t>’</w:t>
            </w:r>
            <w:r w:rsidRPr="00F960B9">
              <w:rPr>
                <w:sz w:val="17"/>
                <w:szCs w:val="17"/>
                <w:lang w:val="fr-FR"/>
              </w:rPr>
              <w:t>il soit général ou technique et professionnel, est obligatoire jusqu</w:t>
            </w:r>
            <w:r w:rsidR="00795C5F">
              <w:rPr>
                <w:sz w:val="17"/>
                <w:szCs w:val="17"/>
                <w:lang w:val="fr-FR"/>
              </w:rPr>
              <w:t>’</w:t>
            </w:r>
            <w:r w:rsidRPr="00F960B9">
              <w:rPr>
                <w:sz w:val="17"/>
                <w:szCs w:val="17"/>
                <w:lang w:val="fr-FR"/>
              </w:rPr>
              <w:t>à 16 ans</w:t>
            </w:r>
            <w:r w:rsidR="00FA5593">
              <w:rPr>
                <w:sz w:val="17"/>
                <w:szCs w:val="17"/>
                <w:lang w:val="fr-FR"/>
              </w:rPr>
              <w:t>.</w:t>
            </w:r>
          </w:p>
        </w:tc>
      </w:tr>
      <w:tr w:rsidR="00F960B9" w:rsidRPr="00F960B9" w14:paraId="5839CD46" w14:textId="77777777" w:rsidTr="002050E5">
        <w:tc>
          <w:tcPr>
            <w:tcW w:w="2538" w:type="dxa"/>
            <w:shd w:val="clear" w:color="auto" w:fill="auto"/>
            <w:vAlign w:val="bottom"/>
          </w:tcPr>
          <w:p w14:paraId="1EB0F243"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szCs w:val="17"/>
                <w:lang w:val="fr-FR"/>
              </w:rPr>
            </w:pPr>
          </w:p>
        </w:tc>
        <w:tc>
          <w:tcPr>
            <w:tcW w:w="654" w:type="dxa"/>
            <w:shd w:val="clear" w:color="auto" w:fill="auto"/>
            <w:vAlign w:val="bottom"/>
          </w:tcPr>
          <w:p w14:paraId="054AAEB7"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shd w:val="clear" w:color="auto" w:fill="auto"/>
            <w:vAlign w:val="bottom"/>
          </w:tcPr>
          <w:p w14:paraId="1D1D42B4"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shd w:val="clear" w:color="auto" w:fill="auto"/>
            <w:vAlign w:val="bottom"/>
          </w:tcPr>
          <w:p w14:paraId="0694AAEB" w14:textId="77777777" w:rsidR="00F960B9" w:rsidRPr="00F960B9" w:rsidRDefault="00F960B9" w:rsidP="002050E5">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2928" w:type="dxa"/>
            <w:shd w:val="clear" w:color="auto" w:fill="auto"/>
          </w:tcPr>
          <w:p w14:paraId="106D9D57" w14:textId="54D444E2" w:rsidR="00F960B9" w:rsidRPr="00F960B9" w:rsidRDefault="00F960B9" w:rsidP="00F960B9">
            <w:pPr>
              <w:tabs>
                <w:tab w:val="left" w:pos="288"/>
                <w:tab w:val="left" w:pos="576"/>
                <w:tab w:val="left" w:pos="864"/>
                <w:tab w:val="left" w:pos="1152"/>
              </w:tabs>
              <w:suppressAutoHyphens/>
              <w:spacing w:before="40" w:after="40" w:line="210" w:lineRule="exact"/>
              <w:ind w:left="144" w:right="43"/>
              <w:rPr>
                <w:sz w:val="17"/>
                <w:szCs w:val="17"/>
                <w:lang w:val="fr-FR"/>
              </w:rPr>
            </w:pPr>
            <w:r w:rsidRPr="00F960B9">
              <w:rPr>
                <w:sz w:val="17"/>
                <w:szCs w:val="17"/>
                <w:lang w:val="fr-FR"/>
              </w:rPr>
              <w:t>Les formations techniques ou professionnelles sont gratuites jusqu</w:t>
            </w:r>
            <w:r w:rsidR="00795C5F">
              <w:rPr>
                <w:sz w:val="17"/>
                <w:szCs w:val="17"/>
                <w:lang w:val="fr-FR"/>
              </w:rPr>
              <w:t>’</w:t>
            </w:r>
            <w:r w:rsidRPr="00F960B9">
              <w:rPr>
                <w:sz w:val="17"/>
                <w:szCs w:val="17"/>
                <w:lang w:val="fr-FR"/>
              </w:rPr>
              <w:t>au niveau 3 du certificat national (National Certificate) et les frais de scolarité pour les formations de niveau supérieur sont fortement subventionnés</w:t>
            </w:r>
            <w:r w:rsidR="00F0127C">
              <w:rPr>
                <w:sz w:val="17"/>
                <w:szCs w:val="17"/>
                <w:lang w:val="fr-FR"/>
              </w:rPr>
              <w:t>.</w:t>
            </w:r>
          </w:p>
        </w:tc>
      </w:tr>
      <w:tr w:rsidR="00F960B9" w:rsidRPr="00F960B9" w14:paraId="07197F21" w14:textId="77777777" w:rsidTr="002050E5">
        <w:tc>
          <w:tcPr>
            <w:tcW w:w="2538" w:type="dxa"/>
            <w:tcBorders>
              <w:bottom w:val="single" w:sz="12" w:space="0" w:color="auto"/>
            </w:tcBorders>
            <w:shd w:val="clear" w:color="auto" w:fill="auto"/>
            <w:vAlign w:val="bottom"/>
          </w:tcPr>
          <w:p w14:paraId="3C84D8E3"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szCs w:val="17"/>
                <w:lang w:val="fr-FR"/>
              </w:rPr>
            </w:pPr>
          </w:p>
        </w:tc>
        <w:tc>
          <w:tcPr>
            <w:tcW w:w="654" w:type="dxa"/>
            <w:tcBorders>
              <w:bottom w:val="single" w:sz="12" w:space="0" w:color="auto"/>
            </w:tcBorders>
            <w:shd w:val="clear" w:color="auto" w:fill="auto"/>
            <w:vAlign w:val="bottom"/>
          </w:tcPr>
          <w:p w14:paraId="4F8149DD"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tcBorders>
              <w:bottom w:val="single" w:sz="12" w:space="0" w:color="auto"/>
            </w:tcBorders>
            <w:shd w:val="clear" w:color="auto" w:fill="auto"/>
            <w:vAlign w:val="bottom"/>
          </w:tcPr>
          <w:p w14:paraId="2DFB957A"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szCs w:val="17"/>
                <w:lang w:val="fr-FR"/>
              </w:rPr>
            </w:pPr>
          </w:p>
        </w:tc>
        <w:tc>
          <w:tcPr>
            <w:tcW w:w="654" w:type="dxa"/>
            <w:tcBorders>
              <w:bottom w:val="single" w:sz="12" w:space="0" w:color="auto"/>
            </w:tcBorders>
            <w:shd w:val="clear" w:color="auto" w:fill="auto"/>
            <w:vAlign w:val="bottom"/>
          </w:tcPr>
          <w:p w14:paraId="27A23C45" w14:textId="77777777" w:rsidR="00F960B9" w:rsidRPr="00F960B9" w:rsidRDefault="00F960B9" w:rsidP="002050E5">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2928" w:type="dxa"/>
            <w:tcBorders>
              <w:bottom w:val="single" w:sz="12" w:space="0" w:color="auto"/>
            </w:tcBorders>
            <w:shd w:val="clear" w:color="auto" w:fill="auto"/>
          </w:tcPr>
          <w:p w14:paraId="15EED978" w14:textId="2D529D24" w:rsidR="00F960B9" w:rsidRPr="00F960B9" w:rsidRDefault="00F960B9" w:rsidP="00F960B9">
            <w:pPr>
              <w:tabs>
                <w:tab w:val="left" w:pos="288"/>
                <w:tab w:val="left" w:pos="576"/>
                <w:tab w:val="left" w:pos="864"/>
                <w:tab w:val="left" w:pos="1152"/>
              </w:tabs>
              <w:suppressAutoHyphens/>
              <w:spacing w:before="40" w:after="40" w:line="210" w:lineRule="exact"/>
              <w:ind w:left="144" w:right="43"/>
              <w:rPr>
                <w:sz w:val="17"/>
                <w:szCs w:val="17"/>
                <w:lang w:val="fr-FR"/>
              </w:rPr>
            </w:pPr>
            <w:r w:rsidRPr="00F960B9">
              <w:rPr>
                <w:sz w:val="17"/>
                <w:szCs w:val="17"/>
                <w:lang w:val="fr-FR"/>
              </w:rPr>
              <w:t>Le Mauritius Institute of Training and Development a mis en place un programme de réinsertion professionnelle destiné aux femmes</w:t>
            </w:r>
            <w:r w:rsidR="00F0127C">
              <w:rPr>
                <w:sz w:val="17"/>
                <w:szCs w:val="17"/>
                <w:lang w:val="fr-FR"/>
              </w:rPr>
              <w:t>.</w:t>
            </w:r>
          </w:p>
        </w:tc>
      </w:tr>
    </w:tbl>
    <w:p w14:paraId="652D223F" w14:textId="77777777" w:rsidR="00F960B9" w:rsidRPr="00F960B9" w:rsidRDefault="00F960B9" w:rsidP="00F960B9">
      <w:pPr>
        <w:pStyle w:val="SingleTxt"/>
        <w:spacing w:after="0" w:line="120" w:lineRule="exact"/>
        <w:rPr>
          <w:sz w:val="10"/>
          <w:lang w:val="fr-FR"/>
        </w:rPr>
      </w:pPr>
    </w:p>
    <w:p w14:paraId="697557BC" w14:textId="25C8A8A4" w:rsidR="005529B6" w:rsidRDefault="005529B6" w:rsidP="00F960B9">
      <w:pPr>
        <w:pStyle w:val="FootnoteText"/>
        <w:tabs>
          <w:tab w:val="right" w:pos="1476"/>
          <w:tab w:val="left" w:pos="1548"/>
          <w:tab w:val="right" w:pos="1836"/>
          <w:tab w:val="left" w:pos="1908"/>
        </w:tabs>
        <w:ind w:left="1548" w:right="1267" w:hanging="288"/>
        <w:rPr>
          <w:lang w:val="fr-FR"/>
        </w:rPr>
      </w:pPr>
      <w:r w:rsidRPr="00ED416A">
        <w:rPr>
          <w:i/>
          <w:iCs/>
          <w:lang w:val="fr-FR"/>
        </w:rPr>
        <w:t>Source</w:t>
      </w:r>
      <w:r w:rsidR="00795C5F">
        <w:rPr>
          <w:lang w:val="fr-FR"/>
        </w:rPr>
        <w:t> :</w:t>
      </w:r>
      <w:r w:rsidRPr="005529B6">
        <w:rPr>
          <w:lang w:val="fr-FR"/>
        </w:rPr>
        <w:t xml:space="preserve"> Ministère de l</w:t>
      </w:r>
      <w:r w:rsidR="00795C5F">
        <w:rPr>
          <w:lang w:val="fr-FR"/>
        </w:rPr>
        <w:t>’</w:t>
      </w:r>
      <w:r w:rsidRPr="005529B6">
        <w:rPr>
          <w:lang w:val="fr-FR"/>
        </w:rPr>
        <w:t>éducation et des ressources humaines, de l</w:t>
      </w:r>
      <w:r w:rsidR="00795C5F">
        <w:rPr>
          <w:lang w:val="fr-FR"/>
        </w:rPr>
        <w:t>’</w:t>
      </w:r>
      <w:r w:rsidRPr="005529B6">
        <w:rPr>
          <w:lang w:val="fr-FR"/>
        </w:rPr>
        <w:t>enseignement supérieur et de la recherche scientifique.</w:t>
      </w:r>
    </w:p>
    <w:p w14:paraId="665090FE" w14:textId="3BD750BE" w:rsidR="00F960B9" w:rsidRPr="00F960B9" w:rsidRDefault="00F960B9" w:rsidP="00F960B9">
      <w:pPr>
        <w:pStyle w:val="FootnoteText"/>
        <w:tabs>
          <w:tab w:val="right" w:pos="1476"/>
          <w:tab w:val="left" w:pos="1548"/>
          <w:tab w:val="right" w:pos="1836"/>
          <w:tab w:val="left" w:pos="1908"/>
        </w:tabs>
        <w:spacing w:line="120" w:lineRule="exact"/>
        <w:ind w:left="1548" w:right="1267" w:hanging="288"/>
        <w:rPr>
          <w:sz w:val="10"/>
          <w:lang w:val="fr-FR"/>
        </w:rPr>
      </w:pPr>
    </w:p>
    <w:p w14:paraId="4E415526" w14:textId="3B6C81A0" w:rsidR="00F960B9" w:rsidRPr="00F960B9" w:rsidRDefault="00F960B9" w:rsidP="00F960B9">
      <w:pPr>
        <w:pStyle w:val="FootnoteText"/>
        <w:tabs>
          <w:tab w:val="right" w:pos="1476"/>
          <w:tab w:val="left" w:pos="1548"/>
          <w:tab w:val="right" w:pos="1836"/>
          <w:tab w:val="left" w:pos="1908"/>
        </w:tabs>
        <w:spacing w:line="120" w:lineRule="exact"/>
        <w:ind w:left="1548" w:right="1267" w:hanging="288"/>
        <w:rPr>
          <w:sz w:val="10"/>
          <w:lang w:val="fr-FR"/>
        </w:rPr>
      </w:pPr>
    </w:p>
    <w:p w14:paraId="55B3B597" w14:textId="1DFA5127" w:rsidR="005529B6" w:rsidRPr="005529B6" w:rsidRDefault="005529B6" w:rsidP="00F960B9">
      <w:pPr>
        <w:pStyle w:val="SingleTxt"/>
        <w:numPr>
          <w:ilvl w:val="0"/>
          <w:numId w:val="20"/>
        </w:numPr>
        <w:spacing w:line="240" w:lineRule="exact"/>
        <w:ind w:left="1267"/>
        <w:rPr>
          <w:lang w:val="fr-FR"/>
        </w:rPr>
      </w:pPr>
      <w:r w:rsidRPr="005529B6">
        <w:rPr>
          <w:lang w:val="fr-FR"/>
        </w:rPr>
        <w:t>Les élèves qui suivent une formation technique ou professionnelle peuvent demander des bourses spécialement conçues pour eux et offertes par différentes institutions telles que le SBM Group, Mutual Aid et le Rotary Club pour les encourager à étudier au Mauritius Institute of Training and Development. Les stagiaires de cet établissement peuvent aussi demander une bourse dans le cadre du programme destiné aux groupes vulnérables financé par le Ministère de l</w:t>
      </w:r>
      <w:r w:rsidR="00795C5F">
        <w:rPr>
          <w:lang w:val="fr-FR"/>
        </w:rPr>
        <w:t>’</w:t>
      </w:r>
      <w:r w:rsidRPr="005529B6">
        <w:rPr>
          <w:lang w:val="fr-FR"/>
        </w:rPr>
        <w:t>éducation et le Fonds de solidarité nationale.</w:t>
      </w:r>
    </w:p>
    <w:p w14:paraId="6A4A4A14" w14:textId="7CDF89CD" w:rsidR="005529B6" w:rsidRPr="005529B6" w:rsidRDefault="005529B6" w:rsidP="00F960B9">
      <w:pPr>
        <w:pStyle w:val="SingleTxt"/>
        <w:numPr>
          <w:ilvl w:val="0"/>
          <w:numId w:val="20"/>
        </w:numPr>
        <w:spacing w:line="240" w:lineRule="exact"/>
        <w:ind w:left="1267"/>
        <w:rPr>
          <w:lang w:val="fr-FR"/>
        </w:rPr>
      </w:pPr>
      <w:r w:rsidRPr="005529B6">
        <w:rPr>
          <w:lang w:val="fr-FR"/>
        </w:rPr>
        <w:t>Le Gouvernement mauricien finance un nombre égal de bourses d</w:t>
      </w:r>
      <w:r w:rsidR="00795C5F">
        <w:rPr>
          <w:lang w:val="fr-FR"/>
        </w:rPr>
        <w:t>’</w:t>
      </w:r>
      <w:r w:rsidRPr="005529B6">
        <w:rPr>
          <w:lang w:val="fr-FR"/>
        </w:rPr>
        <w:t>études pour les filles et pour les garçons dans différentes disciplines (annexe). En outre, le Ministère de l</w:t>
      </w:r>
      <w:r w:rsidR="00795C5F">
        <w:rPr>
          <w:lang w:val="fr-FR"/>
        </w:rPr>
        <w:t>’</w:t>
      </w:r>
      <w:r w:rsidRPr="005529B6">
        <w:rPr>
          <w:lang w:val="fr-FR"/>
        </w:rPr>
        <w:t>éducation annonce les possibilités de bourses entièrement ou partiellement financées par des pays donateurs dès que ceux-ci en font part au service concerné (la Scholarship Section).</w:t>
      </w:r>
    </w:p>
    <w:p w14:paraId="3F08D481" w14:textId="53316E91" w:rsidR="005529B6" w:rsidRPr="005529B6" w:rsidRDefault="005529B6" w:rsidP="00F960B9">
      <w:pPr>
        <w:pStyle w:val="SingleTxt"/>
        <w:numPr>
          <w:ilvl w:val="0"/>
          <w:numId w:val="20"/>
        </w:numPr>
        <w:spacing w:line="240" w:lineRule="exact"/>
        <w:ind w:left="1267"/>
        <w:rPr>
          <w:lang w:val="fr-FR"/>
        </w:rPr>
      </w:pPr>
      <w:r w:rsidRPr="005529B6">
        <w:rPr>
          <w:lang w:val="fr-FR"/>
        </w:rPr>
        <w:t>Toutes les politiques d</w:t>
      </w:r>
      <w:r w:rsidR="00795C5F">
        <w:rPr>
          <w:lang w:val="fr-FR"/>
        </w:rPr>
        <w:t>’</w:t>
      </w:r>
      <w:r w:rsidRPr="005529B6">
        <w:rPr>
          <w:lang w:val="fr-FR"/>
        </w:rPr>
        <w:t>éducation visent à assurer l</w:t>
      </w:r>
      <w:r w:rsidR="00795C5F">
        <w:rPr>
          <w:lang w:val="fr-FR"/>
        </w:rPr>
        <w:t>’</w:t>
      </w:r>
      <w:r w:rsidRPr="005529B6">
        <w:rPr>
          <w:lang w:val="fr-FR"/>
        </w:rPr>
        <w:t>égalité des chances et de l</w:t>
      </w:r>
      <w:r w:rsidR="00795C5F">
        <w:rPr>
          <w:lang w:val="fr-FR"/>
        </w:rPr>
        <w:t>’</w:t>
      </w:r>
      <w:r w:rsidRPr="005529B6">
        <w:rPr>
          <w:lang w:val="fr-FR"/>
        </w:rPr>
        <w:t>accès à l</w:t>
      </w:r>
      <w:r w:rsidR="00795C5F">
        <w:rPr>
          <w:lang w:val="fr-FR"/>
        </w:rPr>
        <w:t>’</w:t>
      </w:r>
      <w:r w:rsidRPr="005529B6">
        <w:rPr>
          <w:lang w:val="fr-FR"/>
        </w:rPr>
        <w:t>éducation des garçons et des filles à tous les niveaux, et notre système éducatif fournit des services sans distinction de sexe. Pour que les élèves, garçons et filles, n</w:t>
      </w:r>
      <w:r w:rsidR="00795C5F">
        <w:rPr>
          <w:lang w:val="fr-FR"/>
        </w:rPr>
        <w:t>’</w:t>
      </w:r>
      <w:r w:rsidRPr="005529B6">
        <w:rPr>
          <w:lang w:val="fr-FR"/>
        </w:rPr>
        <w:t>interrompent pas leur scolarité, les mesures suivantes ont été prises</w:t>
      </w:r>
      <w:r w:rsidR="00795C5F">
        <w:rPr>
          <w:lang w:val="fr-FR"/>
        </w:rPr>
        <w:t> :</w:t>
      </w:r>
    </w:p>
    <w:p w14:paraId="50CD40A3" w14:textId="778D4F41"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Enseignement gratuit et obligatoire pour tous jusqu</w:t>
      </w:r>
      <w:r w:rsidR="00795C5F">
        <w:rPr>
          <w:lang w:val="fr-FR"/>
        </w:rPr>
        <w:t>’</w:t>
      </w:r>
      <w:r w:rsidR="005529B6" w:rsidRPr="005529B6">
        <w:rPr>
          <w:lang w:val="fr-FR"/>
        </w:rPr>
        <w:t>à l</w:t>
      </w:r>
      <w:r w:rsidR="00795C5F">
        <w:rPr>
          <w:lang w:val="fr-FR"/>
        </w:rPr>
        <w:t>’</w:t>
      </w:r>
      <w:r w:rsidR="005529B6" w:rsidRPr="005529B6">
        <w:rPr>
          <w:lang w:val="fr-FR"/>
        </w:rPr>
        <w:t>âge de 16 ans</w:t>
      </w:r>
      <w:r w:rsidR="00795C5F">
        <w:rPr>
          <w:lang w:val="fr-FR"/>
        </w:rPr>
        <w:t> ;</w:t>
      </w:r>
    </w:p>
    <w:p w14:paraId="6D359D01" w14:textId="03266F05"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Gratuité des transports pour tous les élèves</w:t>
      </w:r>
      <w:r w:rsidR="00795C5F">
        <w:rPr>
          <w:lang w:val="fr-FR"/>
        </w:rPr>
        <w:t> ;</w:t>
      </w:r>
    </w:p>
    <w:p w14:paraId="3CD52FDE" w14:textId="1AA56079"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Gratuité des manuels pour tous les élèves de l</w:t>
      </w:r>
      <w:r w:rsidR="00795C5F">
        <w:rPr>
          <w:lang w:val="fr-FR"/>
        </w:rPr>
        <w:t>’</w:t>
      </w:r>
      <w:r w:rsidR="005529B6" w:rsidRPr="005529B6">
        <w:rPr>
          <w:lang w:val="fr-FR"/>
        </w:rPr>
        <w:t>enseignement primaire</w:t>
      </w:r>
      <w:r w:rsidR="00795C5F">
        <w:rPr>
          <w:lang w:val="fr-FR"/>
        </w:rPr>
        <w:t> ;</w:t>
      </w:r>
    </w:p>
    <w:p w14:paraId="599A1EE7" w14:textId="5572B3C9"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Allocations de sécurité sociale pour les étudiants issus de familles pauvres</w:t>
      </w:r>
      <w:r w:rsidR="00795C5F">
        <w:rPr>
          <w:lang w:val="fr-FR"/>
        </w:rPr>
        <w:t> ;</w:t>
      </w:r>
    </w:p>
    <w:p w14:paraId="08A07A29" w14:textId="7D73B0D2" w:rsidR="005529B6" w:rsidRPr="00B639EA" w:rsidRDefault="00F960B9" w:rsidP="00F960B9">
      <w:pPr>
        <w:pStyle w:val="SingleTxt"/>
        <w:tabs>
          <w:tab w:val="right" w:pos="1685"/>
        </w:tabs>
        <w:ind w:left="1742" w:hanging="475"/>
        <w:rPr>
          <w:w w:val="101"/>
          <w:lang w:val="fr-FR"/>
        </w:rPr>
      </w:pPr>
      <w:r>
        <w:rPr>
          <w:lang w:val="fr-FR"/>
        </w:rPr>
        <w:tab/>
      </w:r>
      <w:r w:rsidR="005529B6" w:rsidRPr="005529B6">
        <w:rPr>
          <w:lang w:val="fr-FR"/>
        </w:rPr>
        <w:t>•</w:t>
      </w:r>
      <w:r w:rsidR="005529B6" w:rsidRPr="005529B6">
        <w:rPr>
          <w:lang w:val="fr-FR"/>
        </w:rPr>
        <w:tab/>
      </w:r>
      <w:r w:rsidR="005529B6" w:rsidRPr="00B639EA">
        <w:rPr>
          <w:w w:val="101"/>
          <w:lang w:val="fr-FR"/>
        </w:rPr>
        <w:t>Augmentation de 50</w:t>
      </w:r>
      <w:r w:rsidR="00795C5F">
        <w:rPr>
          <w:w w:val="101"/>
          <w:lang w:val="fr-FR"/>
        </w:rPr>
        <w:t> %</w:t>
      </w:r>
      <w:r w:rsidR="005529B6" w:rsidRPr="00B639EA">
        <w:rPr>
          <w:w w:val="101"/>
          <w:lang w:val="fr-FR"/>
        </w:rPr>
        <w:t xml:space="preserve"> de l</w:t>
      </w:r>
      <w:r w:rsidR="00795C5F">
        <w:rPr>
          <w:w w:val="101"/>
          <w:lang w:val="fr-FR"/>
        </w:rPr>
        <w:t>’</w:t>
      </w:r>
      <w:r w:rsidR="005529B6" w:rsidRPr="00B639EA">
        <w:rPr>
          <w:w w:val="101"/>
          <w:lang w:val="fr-FR"/>
        </w:rPr>
        <w:t>indemnité de repas pour les élèves qui fréquentent un établissement d</w:t>
      </w:r>
      <w:r w:rsidR="00795C5F">
        <w:rPr>
          <w:w w:val="101"/>
          <w:lang w:val="fr-FR"/>
        </w:rPr>
        <w:t>’</w:t>
      </w:r>
      <w:r w:rsidR="005529B6" w:rsidRPr="00B639EA">
        <w:rPr>
          <w:w w:val="101"/>
          <w:lang w:val="fr-FR"/>
        </w:rPr>
        <w:t>une zone d</w:t>
      </w:r>
      <w:r w:rsidR="00795C5F">
        <w:rPr>
          <w:w w:val="101"/>
          <w:lang w:val="fr-FR"/>
        </w:rPr>
        <w:t>’</w:t>
      </w:r>
      <w:r w:rsidR="005529B6" w:rsidRPr="00B639EA">
        <w:rPr>
          <w:w w:val="101"/>
          <w:lang w:val="fr-FR"/>
        </w:rPr>
        <w:t>éducation prioritaire (de 40 à 60 roupies par jour)</w:t>
      </w:r>
      <w:r w:rsidR="00795C5F">
        <w:rPr>
          <w:w w:val="101"/>
          <w:lang w:val="fr-FR"/>
        </w:rPr>
        <w:t> ;</w:t>
      </w:r>
    </w:p>
    <w:p w14:paraId="0F7B1C23" w14:textId="60E2A78D"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Prise en charge par le Gouvernement des frais d</w:t>
      </w:r>
      <w:r w:rsidR="00795C5F">
        <w:rPr>
          <w:lang w:val="fr-FR"/>
        </w:rPr>
        <w:t>’</w:t>
      </w:r>
      <w:r w:rsidR="005529B6" w:rsidRPr="005529B6">
        <w:rPr>
          <w:lang w:val="fr-FR"/>
        </w:rPr>
        <w:t>examen de fin de l</w:t>
      </w:r>
      <w:r w:rsidR="00795C5F">
        <w:rPr>
          <w:lang w:val="fr-FR"/>
        </w:rPr>
        <w:t>’</w:t>
      </w:r>
      <w:r w:rsidR="005529B6" w:rsidRPr="005529B6">
        <w:rPr>
          <w:lang w:val="fr-FR"/>
        </w:rPr>
        <w:t>enseignement secondaire (School Certificate et Higher School Certificate), pour tous les élèves</w:t>
      </w:r>
      <w:r w:rsidR="00795C5F">
        <w:rPr>
          <w:lang w:val="fr-FR"/>
        </w:rPr>
        <w:t> ;</w:t>
      </w:r>
    </w:p>
    <w:p w14:paraId="00F328C2" w14:textId="02B2BC70"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Octroi de primes d</w:t>
      </w:r>
      <w:r w:rsidR="00795C5F">
        <w:rPr>
          <w:lang w:val="fr-FR"/>
        </w:rPr>
        <w:t>’</w:t>
      </w:r>
      <w:r w:rsidR="005529B6" w:rsidRPr="005529B6">
        <w:rPr>
          <w:lang w:val="fr-FR"/>
        </w:rPr>
        <w:t>incitation à la poursuite des études pour les élèves issus de familles pauvres inscrites au Registre social de Maurice</w:t>
      </w:r>
      <w:r w:rsidR="00795C5F">
        <w:rPr>
          <w:lang w:val="fr-FR"/>
        </w:rPr>
        <w:t> ;</w:t>
      </w:r>
    </w:p>
    <w:p w14:paraId="0B6F5D3E" w14:textId="2944E81C"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15 000 roupies s</w:t>
      </w:r>
      <w:r w:rsidR="00795C5F">
        <w:rPr>
          <w:lang w:val="fr-FR"/>
        </w:rPr>
        <w:t>’</w:t>
      </w:r>
      <w:r w:rsidR="005529B6" w:rsidRPr="005529B6">
        <w:rPr>
          <w:lang w:val="fr-FR"/>
        </w:rPr>
        <w:t>ils achèvent avec succès la dernière année du premier cycle du secondaire (grade 9)</w:t>
      </w:r>
      <w:r w:rsidR="00795C5F">
        <w:rPr>
          <w:lang w:val="fr-FR"/>
        </w:rPr>
        <w:t> ;</w:t>
      </w:r>
    </w:p>
    <w:p w14:paraId="4A58C0EE" w14:textId="554C3590" w:rsidR="005529B6" w:rsidRPr="005529B6" w:rsidRDefault="00F960B9" w:rsidP="00F960B9">
      <w:pPr>
        <w:pStyle w:val="SingleTxt"/>
        <w:tabs>
          <w:tab w:val="right" w:pos="1685"/>
        </w:tabs>
        <w:ind w:left="1742" w:hanging="475"/>
        <w:rPr>
          <w:lang w:val="fr-FR"/>
        </w:rPr>
      </w:pPr>
      <w:r>
        <w:rPr>
          <w:lang w:val="fr-FR"/>
        </w:rPr>
        <w:lastRenderedPageBreak/>
        <w:tab/>
      </w:r>
      <w:r w:rsidR="005529B6" w:rsidRPr="005529B6">
        <w:rPr>
          <w:lang w:val="fr-FR"/>
        </w:rPr>
        <w:t>•</w:t>
      </w:r>
      <w:r w:rsidR="005529B6" w:rsidRPr="005529B6">
        <w:rPr>
          <w:lang w:val="fr-FR"/>
        </w:rPr>
        <w:tab/>
        <w:t>25 000 roupies s</w:t>
      </w:r>
      <w:r w:rsidR="00795C5F">
        <w:rPr>
          <w:lang w:val="fr-FR"/>
        </w:rPr>
        <w:t>’</w:t>
      </w:r>
      <w:r w:rsidR="005529B6" w:rsidRPr="005529B6">
        <w:rPr>
          <w:lang w:val="fr-FR"/>
        </w:rPr>
        <w:t>ils obtiennent le School Certificate ou un certificat professionnel équivalent</w:t>
      </w:r>
      <w:r w:rsidR="00795C5F">
        <w:rPr>
          <w:lang w:val="fr-FR"/>
        </w:rPr>
        <w:t> ;</w:t>
      </w:r>
    </w:p>
    <w:p w14:paraId="49EE52A6" w14:textId="5D743395"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35 000 roupies s</w:t>
      </w:r>
      <w:r w:rsidR="00795C5F">
        <w:rPr>
          <w:lang w:val="fr-FR"/>
        </w:rPr>
        <w:t>’</w:t>
      </w:r>
      <w:r w:rsidR="005529B6" w:rsidRPr="005529B6">
        <w:rPr>
          <w:lang w:val="fr-FR"/>
        </w:rPr>
        <w:t>ils obtiennent le Higher School Certificate ou un diplôme technique équivalent</w:t>
      </w:r>
      <w:r w:rsidR="00795C5F">
        <w:rPr>
          <w:lang w:val="fr-FR"/>
        </w:rPr>
        <w:t> ;</w:t>
      </w:r>
    </w:p>
    <w:p w14:paraId="56E586EA" w14:textId="6AAF100B"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Octroi de subventions et de bourses d</w:t>
      </w:r>
      <w:r w:rsidR="00795C5F">
        <w:rPr>
          <w:lang w:val="fr-FR"/>
        </w:rPr>
        <w:t>’</w:t>
      </w:r>
      <w:r w:rsidR="005529B6" w:rsidRPr="005529B6">
        <w:rPr>
          <w:lang w:val="fr-FR"/>
        </w:rPr>
        <w:t>études aux filles comme aux garçons</w:t>
      </w:r>
      <w:r w:rsidR="00795C5F">
        <w:rPr>
          <w:lang w:val="fr-FR"/>
        </w:rPr>
        <w:t> ;</w:t>
      </w:r>
    </w:p>
    <w:p w14:paraId="3E75AC54" w14:textId="6D6F0F13"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Mise en place d</w:t>
      </w:r>
      <w:r w:rsidR="00795C5F">
        <w:rPr>
          <w:lang w:val="fr-FR"/>
        </w:rPr>
        <w:t>’</w:t>
      </w:r>
      <w:r w:rsidR="005529B6" w:rsidRPr="005529B6">
        <w:rPr>
          <w:lang w:val="fr-FR"/>
        </w:rPr>
        <w:t>un système de prêts garantis par le Gouvernement accordés aux étudiants du premier cycle universitaire, qu</w:t>
      </w:r>
      <w:r w:rsidR="00795C5F">
        <w:rPr>
          <w:lang w:val="fr-FR"/>
        </w:rPr>
        <w:t>’</w:t>
      </w:r>
      <w:r w:rsidR="005529B6" w:rsidRPr="005529B6">
        <w:rPr>
          <w:lang w:val="fr-FR"/>
        </w:rPr>
        <w:t>ils soient filles ou garçons et qu</w:t>
      </w:r>
      <w:r w:rsidR="00795C5F">
        <w:rPr>
          <w:lang w:val="fr-FR"/>
        </w:rPr>
        <w:t>’</w:t>
      </w:r>
      <w:r w:rsidR="005529B6" w:rsidRPr="005529B6">
        <w:rPr>
          <w:lang w:val="fr-FR"/>
        </w:rPr>
        <w:t>ils étudient à temps plein ou à temps partiel</w:t>
      </w:r>
      <w:r w:rsidR="00795C5F">
        <w:rPr>
          <w:lang w:val="fr-FR"/>
        </w:rPr>
        <w:t> ;</w:t>
      </w:r>
    </w:p>
    <w:p w14:paraId="4360ECE1" w14:textId="55485F64"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Amélioration de la pertinence des programmes d</w:t>
      </w:r>
      <w:r w:rsidR="00795C5F">
        <w:rPr>
          <w:lang w:val="fr-FR"/>
        </w:rPr>
        <w:t>’</w:t>
      </w:r>
      <w:r w:rsidR="005529B6" w:rsidRPr="005529B6">
        <w:rPr>
          <w:lang w:val="fr-FR"/>
        </w:rPr>
        <w:t>enseignement, avec l</w:t>
      </w:r>
      <w:r w:rsidR="00795C5F">
        <w:rPr>
          <w:lang w:val="fr-FR"/>
        </w:rPr>
        <w:t>’</w:t>
      </w:r>
      <w:r w:rsidR="005529B6" w:rsidRPr="005529B6">
        <w:rPr>
          <w:lang w:val="fr-FR"/>
        </w:rPr>
        <w:t>ajout de nouvelles matières telles que la création et la gestion d</w:t>
      </w:r>
      <w:r w:rsidR="00795C5F">
        <w:rPr>
          <w:lang w:val="fr-FR"/>
        </w:rPr>
        <w:t>’</w:t>
      </w:r>
      <w:r w:rsidR="005529B6" w:rsidRPr="005529B6">
        <w:rPr>
          <w:lang w:val="fr-FR"/>
        </w:rPr>
        <w:t>entreprises, les voyages et le tourisme, entre autres, et la création en 2015 du Higher School Certificate professionnel (pendant professionnel du Higher School Certificate, qui est un diplôme d</w:t>
      </w:r>
      <w:r w:rsidR="00795C5F">
        <w:rPr>
          <w:lang w:val="fr-FR"/>
        </w:rPr>
        <w:t>’</w:t>
      </w:r>
      <w:r w:rsidR="005529B6" w:rsidRPr="005529B6">
        <w:rPr>
          <w:lang w:val="fr-FR"/>
        </w:rPr>
        <w:t>enseignement général), ouvert à tous les élèves</w:t>
      </w:r>
      <w:r w:rsidR="00795C5F">
        <w:rPr>
          <w:lang w:val="fr-FR"/>
        </w:rPr>
        <w:t> ;</w:t>
      </w:r>
    </w:p>
    <w:p w14:paraId="786C4FD2" w14:textId="5EDD6AC5" w:rsidR="005529B6" w:rsidRPr="00B639EA" w:rsidRDefault="00F960B9" w:rsidP="00F960B9">
      <w:pPr>
        <w:pStyle w:val="SingleTxt"/>
        <w:tabs>
          <w:tab w:val="right" w:pos="1685"/>
        </w:tabs>
        <w:ind w:left="1742" w:hanging="475"/>
        <w:rPr>
          <w:w w:val="101"/>
          <w:lang w:val="fr-FR"/>
        </w:rPr>
      </w:pPr>
      <w:r>
        <w:rPr>
          <w:lang w:val="fr-FR"/>
        </w:rPr>
        <w:tab/>
      </w:r>
      <w:r w:rsidR="005529B6" w:rsidRPr="005529B6">
        <w:rPr>
          <w:lang w:val="fr-FR"/>
        </w:rPr>
        <w:t>•</w:t>
      </w:r>
      <w:r w:rsidR="005529B6" w:rsidRPr="005529B6">
        <w:rPr>
          <w:lang w:val="fr-FR"/>
        </w:rPr>
        <w:tab/>
      </w:r>
      <w:r w:rsidR="005529B6" w:rsidRPr="00B639EA">
        <w:rPr>
          <w:w w:val="101"/>
          <w:lang w:val="fr-FR"/>
        </w:rPr>
        <w:t>Élargissement de l</w:t>
      </w:r>
      <w:r w:rsidR="00795C5F">
        <w:rPr>
          <w:w w:val="101"/>
          <w:lang w:val="fr-FR"/>
        </w:rPr>
        <w:t>’</w:t>
      </w:r>
      <w:r w:rsidR="005529B6" w:rsidRPr="00B639EA">
        <w:rPr>
          <w:w w:val="101"/>
          <w:lang w:val="fr-FR"/>
        </w:rPr>
        <w:t>accès aux formations techniques ou professionnelles afin que tous les jeunes puissent en bénéficier et acquièrent une meilleure connaissance des réalités concrètes du monde du travail, en vue de leur employabilité future</w:t>
      </w:r>
      <w:r w:rsidR="00795C5F">
        <w:rPr>
          <w:w w:val="101"/>
          <w:lang w:val="fr-FR"/>
        </w:rPr>
        <w:t> ;</w:t>
      </w:r>
    </w:p>
    <w:p w14:paraId="6E3F348E" w14:textId="4DB7D8D0"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Création de nouvelles formations et de formations de niveau supérieur pour encourager la participation des filles (esthétique et coiffure, artisanat, bijouterie, gestion d</w:t>
      </w:r>
      <w:r w:rsidR="00795C5F">
        <w:rPr>
          <w:lang w:val="fr-FR"/>
        </w:rPr>
        <w:t>’</w:t>
      </w:r>
      <w:r w:rsidR="005529B6" w:rsidRPr="005529B6">
        <w:rPr>
          <w:lang w:val="fr-FR"/>
        </w:rPr>
        <w:t>entreprises et hôtellerie)</w:t>
      </w:r>
      <w:r w:rsidR="00795C5F">
        <w:rPr>
          <w:lang w:val="fr-FR"/>
        </w:rPr>
        <w:t> ;</w:t>
      </w:r>
    </w:p>
    <w:p w14:paraId="09D022CD" w14:textId="12B0F92D"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Mise en place d</w:t>
      </w:r>
      <w:r w:rsidR="00795C5F">
        <w:rPr>
          <w:lang w:val="fr-FR"/>
        </w:rPr>
        <w:t>’</w:t>
      </w:r>
      <w:r w:rsidR="005529B6" w:rsidRPr="005529B6">
        <w:rPr>
          <w:lang w:val="fr-FR"/>
        </w:rPr>
        <w:t>un système de suivi des élèves à l</w:t>
      </w:r>
      <w:r w:rsidR="00795C5F">
        <w:rPr>
          <w:lang w:val="fr-FR"/>
        </w:rPr>
        <w:t>’</w:t>
      </w:r>
      <w:r w:rsidR="005529B6" w:rsidRPr="005529B6">
        <w:rPr>
          <w:lang w:val="fr-FR"/>
        </w:rPr>
        <w:t>appui du contrôle des présences jusqu</w:t>
      </w:r>
      <w:r w:rsidR="00795C5F">
        <w:rPr>
          <w:lang w:val="fr-FR"/>
        </w:rPr>
        <w:t>’</w:t>
      </w:r>
      <w:r w:rsidR="005529B6" w:rsidRPr="005529B6">
        <w:rPr>
          <w:lang w:val="fr-FR"/>
        </w:rPr>
        <w:t>à l</w:t>
      </w:r>
      <w:r w:rsidR="00795C5F">
        <w:rPr>
          <w:lang w:val="fr-FR"/>
        </w:rPr>
        <w:t>’</w:t>
      </w:r>
      <w:r w:rsidR="005529B6" w:rsidRPr="005529B6">
        <w:rPr>
          <w:lang w:val="fr-FR"/>
        </w:rPr>
        <w:t>âge de 16 ans</w:t>
      </w:r>
      <w:r w:rsidR="00795C5F">
        <w:rPr>
          <w:lang w:val="fr-FR"/>
        </w:rPr>
        <w:t> ;</w:t>
      </w:r>
    </w:p>
    <w:p w14:paraId="10D3C5A7" w14:textId="63D555F6" w:rsidR="005529B6" w:rsidRPr="005529B6" w:rsidRDefault="00F960B9" w:rsidP="00F960B9">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Travaillant en étroite collaboration avec les chefs d</w:t>
      </w:r>
      <w:r w:rsidR="00795C5F">
        <w:rPr>
          <w:lang w:val="fr-FR"/>
        </w:rPr>
        <w:t>’</w:t>
      </w:r>
      <w:r w:rsidR="005529B6" w:rsidRPr="005529B6">
        <w:rPr>
          <w:lang w:val="fr-FR"/>
        </w:rPr>
        <w:t>établissements, les enseignants et les parents, les psychologues du Service d</w:t>
      </w:r>
      <w:r w:rsidR="00795C5F">
        <w:rPr>
          <w:lang w:val="fr-FR"/>
        </w:rPr>
        <w:t>’</w:t>
      </w:r>
      <w:r w:rsidR="005529B6" w:rsidRPr="005529B6">
        <w:rPr>
          <w:lang w:val="fr-FR"/>
        </w:rPr>
        <w:t>appui socio</w:t>
      </w:r>
      <w:r w:rsidR="00F0127C">
        <w:rPr>
          <w:lang w:val="fr-FR"/>
        </w:rPr>
        <w:noBreakHyphen/>
      </w:r>
      <w:r w:rsidR="005529B6" w:rsidRPr="005529B6">
        <w:rPr>
          <w:lang w:val="fr-FR"/>
        </w:rPr>
        <w:t>psychologique de l</w:t>
      </w:r>
      <w:r w:rsidR="00795C5F">
        <w:rPr>
          <w:lang w:val="fr-FR"/>
        </w:rPr>
        <w:t>’</w:t>
      </w:r>
      <w:r w:rsidR="005529B6" w:rsidRPr="005529B6">
        <w:rPr>
          <w:lang w:val="fr-FR"/>
        </w:rPr>
        <w:t>Éducation nationale apportent l</w:t>
      </w:r>
      <w:r w:rsidR="00795C5F">
        <w:rPr>
          <w:lang w:val="fr-FR"/>
        </w:rPr>
        <w:t>’</w:t>
      </w:r>
      <w:r w:rsidR="005529B6" w:rsidRPr="005529B6">
        <w:rPr>
          <w:lang w:val="fr-FR"/>
        </w:rPr>
        <w:t>aide psychologique et sociale nécessaire pour favoriser le bien-être général des élèves et des familles et faire en sorte que les enfants reçoivent des soins et une éducation satisfaisants.</w:t>
      </w:r>
    </w:p>
    <w:p w14:paraId="27524D78" w14:textId="5C0645E3" w:rsidR="005529B6" w:rsidRPr="005529B6" w:rsidRDefault="005529B6" w:rsidP="00F960B9">
      <w:pPr>
        <w:pStyle w:val="SingleTxt"/>
        <w:numPr>
          <w:ilvl w:val="0"/>
          <w:numId w:val="20"/>
        </w:numPr>
        <w:spacing w:line="240" w:lineRule="exact"/>
        <w:ind w:left="1267"/>
        <w:rPr>
          <w:lang w:val="fr-FR"/>
        </w:rPr>
      </w:pPr>
      <w:r w:rsidRPr="005529B6">
        <w:rPr>
          <w:lang w:val="fr-FR"/>
        </w:rPr>
        <w:t>Le programme d</w:t>
      </w:r>
      <w:r w:rsidR="00795C5F">
        <w:rPr>
          <w:lang w:val="fr-FR"/>
        </w:rPr>
        <w:t>’</w:t>
      </w:r>
      <w:r w:rsidRPr="005529B6">
        <w:rPr>
          <w:lang w:val="fr-FR"/>
        </w:rPr>
        <w:t>enseignement national pour les grades 7 à 9 (les trois années du premier cycle de l</w:t>
      </w:r>
      <w:r w:rsidR="00795C5F">
        <w:rPr>
          <w:lang w:val="fr-FR"/>
        </w:rPr>
        <w:t>’</w:t>
      </w:r>
      <w:r w:rsidRPr="005529B6">
        <w:rPr>
          <w:lang w:val="fr-FR"/>
        </w:rPr>
        <w:t>enseignement secondaire) a été revu dans le cadre de la réforme de l</w:t>
      </w:r>
      <w:r w:rsidR="00795C5F">
        <w:rPr>
          <w:lang w:val="fr-FR"/>
        </w:rPr>
        <w:t>’</w:t>
      </w:r>
      <w:r w:rsidRPr="005529B6">
        <w:rPr>
          <w:lang w:val="fr-FR"/>
        </w:rPr>
        <w:t>éducation de base. Un enseignement sur la santé et les droits en matière de sexualité et de procréation a été ajouté au programme de tous les niveaux. En outre, un enseignant par établissement secondaire suit une formation sur le bien-être social et émotionnel qui est dispensée par des formateurs du Service diocésain de l</w:t>
      </w:r>
      <w:r w:rsidR="00795C5F">
        <w:rPr>
          <w:lang w:val="fr-FR"/>
        </w:rPr>
        <w:t>’</w:t>
      </w:r>
      <w:r w:rsidRPr="005529B6">
        <w:rPr>
          <w:lang w:val="fr-FR"/>
        </w:rPr>
        <w:t>éducation catholique spécialisés dans ce domaine. Dans ce cadre, les stagiaires apprennent comment lutter contre les représentations stéréotypées et traiter la question des comportements sexuels. La santé et les droits en matière de sexualité et de procréation ont également été inscrits au programme de biologie au niveau secondaire. Un enseignement de l</w:t>
      </w:r>
      <w:r w:rsidR="00795C5F">
        <w:rPr>
          <w:lang w:val="fr-FR"/>
        </w:rPr>
        <w:t>’</w:t>
      </w:r>
      <w:r w:rsidRPr="005529B6">
        <w:rPr>
          <w:lang w:val="fr-FR"/>
        </w:rPr>
        <w:t>autonomie fonctionnelle a été introduit à partir du grade 7</w:t>
      </w:r>
      <w:r w:rsidR="00795C5F">
        <w:rPr>
          <w:lang w:val="fr-FR"/>
        </w:rPr>
        <w:t> ;</w:t>
      </w:r>
      <w:r w:rsidRPr="005529B6">
        <w:rPr>
          <w:lang w:val="fr-FR"/>
        </w:rPr>
        <w:t xml:space="preserve"> il couvre les questions relatives aux stéréotypes sexistes. Par ailleurs, tous les enseignants chargés de cet enseignement ont reçu une formation dispensée par le Maurice Institute of Education (</w:t>
      </w:r>
      <w:r w:rsidR="00F0127C">
        <w:rPr>
          <w:lang w:val="fr-FR"/>
        </w:rPr>
        <w:t>I</w:t>
      </w:r>
      <w:r w:rsidRPr="005529B6">
        <w:rPr>
          <w:lang w:val="fr-FR"/>
        </w:rPr>
        <w:t>nstitut mauricien de formation des enseignants). L</w:t>
      </w:r>
      <w:r w:rsidR="00795C5F">
        <w:rPr>
          <w:lang w:val="fr-FR"/>
        </w:rPr>
        <w:t>’</w:t>
      </w:r>
      <w:r w:rsidRPr="005529B6">
        <w:rPr>
          <w:lang w:val="fr-FR"/>
        </w:rPr>
        <w:t>éducation aux droits de l</w:t>
      </w:r>
      <w:r w:rsidR="00795C5F">
        <w:rPr>
          <w:lang w:val="fr-FR"/>
        </w:rPr>
        <w:t>’</w:t>
      </w:r>
      <w:r w:rsidRPr="005529B6">
        <w:rPr>
          <w:lang w:val="fr-FR"/>
        </w:rPr>
        <w:t>homme sera intégrée à l</w:t>
      </w:r>
      <w:r w:rsidR="00795C5F">
        <w:rPr>
          <w:lang w:val="fr-FR"/>
        </w:rPr>
        <w:t>’</w:t>
      </w:r>
      <w:r w:rsidRPr="005529B6">
        <w:rPr>
          <w:lang w:val="fr-FR"/>
        </w:rPr>
        <w:t>enseignement de l</w:t>
      </w:r>
      <w:r w:rsidR="00795C5F">
        <w:rPr>
          <w:lang w:val="fr-FR"/>
        </w:rPr>
        <w:t>’</w:t>
      </w:r>
      <w:r w:rsidRPr="005529B6">
        <w:rPr>
          <w:lang w:val="fr-FR"/>
        </w:rPr>
        <w:t>autonomie fonctionnelle dispensé aux élèves du grade 8.</w:t>
      </w:r>
    </w:p>
    <w:p w14:paraId="1B72B81B" w14:textId="13815D9F" w:rsidR="005529B6" w:rsidRDefault="005529B6" w:rsidP="00F960B9">
      <w:pPr>
        <w:pStyle w:val="SingleTxt"/>
        <w:numPr>
          <w:ilvl w:val="0"/>
          <w:numId w:val="20"/>
        </w:numPr>
        <w:spacing w:line="240" w:lineRule="exact"/>
        <w:ind w:left="1267"/>
        <w:rPr>
          <w:lang w:val="fr-FR"/>
        </w:rPr>
      </w:pPr>
      <w:r w:rsidRPr="005529B6">
        <w:rPr>
          <w:lang w:val="fr-FR"/>
        </w:rPr>
        <w:t>Jusqu</w:t>
      </w:r>
      <w:r w:rsidR="00795C5F">
        <w:rPr>
          <w:lang w:val="fr-FR"/>
        </w:rPr>
        <w:t>’</w:t>
      </w:r>
      <w:r w:rsidRPr="005529B6">
        <w:rPr>
          <w:lang w:val="fr-FR"/>
        </w:rPr>
        <w:t>à présent, les hommes sont plus nombreux que les femmes dans le personnel enseignant des établissements publics d</w:t>
      </w:r>
      <w:r w:rsidR="00795C5F">
        <w:rPr>
          <w:lang w:val="fr-FR"/>
        </w:rPr>
        <w:t>’</w:t>
      </w:r>
      <w:r w:rsidRPr="005529B6">
        <w:rPr>
          <w:lang w:val="fr-FR"/>
        </w:rPr>
        <w:t>enseignement supérieur, comme indiqué dans le tableau ci-dessous. L</w:t>
      </w:r>
      <w:r w:rsidR="00795C5F">
        <w:rPr>
          <w:lang w:val="fr-FR"/>
        </w:rPr>
        <w:t>’</w:t>
      </w:r>
      <w:r w:rsidRPr="005529B6">
        <w:rPr>
          <w:lang w:val="fr-FR"/>
        </w:rPr>
        <w:t>écart n</w:t>
      </w:r>
      <w:r w:rsidR="00795C5F">
        <w:rPr>
          <w:lang w:val="fr-FR"/>
        </w:rPr>
        <w:t>’</w:t>
      </w:r>
      <w:r w:rsidRPr="005529B6">
        <w:rPr>
          <w:lang w:val="fr-FR"/>
        </w:rPr>
        <w:t>est pas très important et devrait finir par se réduire.</w:t>
      </w:r>
    </w:p>
    <w:p w14:paraId="773E85BC" w14:textId="349D7050" w:rsidR="00B639EA" w:rsidRPr="00B639EA" w:rsidRDefault="00B639EA" w:rsidP="00B639EA">
      <w:pPr>
        <w:pStyle w:val="SingleTxt"/>
        <w:spacing w:after="0" w:line="120" w:lineRule="exact"/>
        <w:rPr>
          <w:sz w:val="10"/>
          <w:lang w:val="fr-FR"/>
        </w:rPr>
      </w:pPr>
    </w:p>
    <w:p w14:paraId="1B0DB08A" w14:textId="2FD4C587" w:rsidR="005529B6" w:rsidRDefault="005529B6" w:rsidP="00415B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29B6">
        <w:rPr>
          <w:lang w:val="fr-FR"/>
        </w:rPr>
        <w:lastRenderedPageBreak/>
        <w:tab/>
      </w:r>
      <w:r w:rsidRPr="005529B6">
        <w:rPr>
          <w:lang w:val="fr-FR"/>
        </w:rPr>
        <w:tab/>
        <w:t>Enseignantes et enseignants des établissements publics travaillant à plein temps (2015)</w:t>
      </w:r>
    </w:p>
    <w:p w14:paraId="10AA8B83" w14:textId="3D3DA97D" w:rsidR="00F960B9" w:rsidRPr="00B639EA" w:rsidRDefault="00F960B9" w:rsidP="00415B49">
      <w:pPr>
        <w:pStyle w:val="SingleTxt"/>
        <w:keepNext/>
        <w:spacing w:after="0" w:line="120" w:lineRule="exact"/>
        <w:rPr>
          <w:sz w:val="10"/>
          <w:lang w:val="fr-FR"/>
        </w:rPr>
      </w:pPr>
    </w:p>
    <w:p w14:paraId="019BF54F" w14:textId="77777777" w:rsidR="00B639EA" w:rsidRPr="00F960B9" w:rsidRDefault="00B639EA" w:rsidP="00415B49">
      <w:pPr>
        <w:pStyle w:val="SingleTxt"/>
        <w:keepNext/>
        <w:spacing w:after="0" w:line="120" w:lineRule="exact"/>
        <w:rPr>
          <w:sz w:val="10"/>
          <w:lang w:val="fr-FR"/>
        </w:rPr>
      </w:pPr>
    </w:p>
    <w:tbl>
      <w:tblPr>
        <w:tblW w:w="7208" w:type="dxa"/>
        <w:tblInd w:w="1296" w:type="dxa"/>
        <w:tblLayout w:type="fixed"/>
        <w:tblCellMar>
          <w:left w:w="0" w:type="dxa"/>
          <w:right w:w="0" w:type="dxa"/>
        </w:tblCellMar>
        <w:tblLook w:val="04A0" w:firstRow="1" w:lastRow="0" w:firstColumn="1" w:lastColumn="0" w:noHBand="0" w:noVBand="1"/>
      </w:tblPr>
      <w:tblGrid>
        <w:gridCol w:w="4725"/>
        <w:gridCol w:w="827"/>
        <w:gridCol w:w="828"/>
        <w:gridCol w:w="828"/>
      </w:tblGrid>
      <w:tr w:rsidR="00F960B9" w:rsidRPr="00F960B9" w14:paraId="756D1F7B" w14:textId="77777777" w:rsidTr="00503C29">
        <w:trPr>
          <w:cantSplit/>
          <w:tblHeader/>
        </w:trPr>
        <w:tc>
          <w:tcPr>
            <w:tcW w:w="4725" w:type="dxa"/>
            <w:tcBorders>
              <w:top w:val="single" w:sz="4" w:space="0" w:color="auto"/>
              <w:bottom w:val="single" w:sz="12" w:space="0" w:color="auto"/>
            </w:tcBorders>
            <w:shd w:val="clear" w:color="auto" w:fill="auto"/>
            <w:vAlign w:val="bottom"/>
          </w:tcPr>
          <w:p w14:paraId="2072C9ED" w14:textId="77777777" w:rsidR="00F960B9" w:rsidRPr="00F960B9" w:rsidRDefault="00F960B9" w:rsidP="00415B49">
            <w:pPr>
              <w:keepNext/>
              <w:suppressAutoHyphens/>
              <w:spacing w:before="81" w:after="81" w:line="160" w:lineRule="exact"/>
              <w:ind w:right="40"/>
              <w:rPr>
                <w:i/>
                <w:sz w:val="14"/>
              </w:rPr>
            </w:pPr>
            <w:r w:rsidRPr="00F960B9">
              <w:rPr>
                <w:i/>
                <w:sz w:val="14"/>
              </w:rPr>
              <w:t>Établissement</w:t>
            </w:r>
          </w:p>
        </w:tc>
        <w:tc>
          <w:tcPr>
            <w:tcW w:w="827" w:type="dxa"/>
            <w:tcBorders>
              <w:top w:val="single" w:sz="4" w:space="0" w:color="auto"/>
              <w:bottom w:val="single" w:sz="12" w:space="0" w:color="auto"/>
            </w:tcBorders>
            <w:shd w:val="clear" w:color="auto" w:fill="auto"/>
            <w:vAlign w:val="bottom"/>
          </w:tcPr>
          <w:p w14:paraId="6EB95F0A" w14:textId="77777777" w:rsidR="00F960B9" w:rsidRPr="00F960B9" w:rsidRDefault="00F960B9" w:rsidP="00415B49">
            <w:pPr>
              <w:keepNext/>
              <w:suppressAutoHyphens/>
              <w:spacing w:before="81" w:after="81" w:line="160" w:lineRule="exact"/>
              <w:ind w:left="144" w:right="43"/>
              <w:jc w:val="right"/>
              <w:rPr>
                <w:i/>
                <w:sz w:val="14"/>
              </w:rPr>
            </w:pPr>
            <w:r w:rsidRPr="00F960B9">
              <w:rPr>
                <w:i/>
                <w:sz w:val="14"/>
              </w:rPr>
              <w:t>Hommes</w:t>
            </w:r>
          </w:p>
        </w:tc>
        <w:tc>
          <w:tcPr>
            <w:tcW w:w="828" w:type="dxa"/>
            <w:tcBorders>
              <w:top w:val="single" w:sz="4" w:space="0" w:color="auto"/>
              <w:bottom w:val="single" w:sz="12" w:space="0" w:color="auto"/>
            </w:tcBorders>
            <w:shd w:val="clear" w:color="auto" w:fill="auto"/>
            <w:vAlign w:val="bottom"/>
          </w:tcPr>
          <w:p w14:paraId="587FE995" w14:textId="77777777" w:rsidR="00F960B9" w:rsidRPr="00F960B9" w:rsidRDefault="00F960B9" w:rsidP="00415B49">
            <w:pPr>
              <w:keepNext/>
              <w:suppressAutoHyphens/>
              <w:spacing w:before="81" w:after="81" w:line="160" w:lineRule="exact"/>
              <w:ind w:left="144" w:right="43"/>
              <w:jc w:val="right"/>
              <w:rPr>
                <w:i/>
                <w:sz w:val="14"/>
              </w:rPr>
            </w:pPr>
            <w:r w:rsidRPr="00F960B9">
              <w:rPr>
                <w:i/>
                <w:sz w:val="14"/>
              </w:rPr>
              <w:t>Femmes</w:t>
            </w:r>
          </w:p>
        </w:tc>
        <w:tc>
          <w:tcPr>
            <w:tcW w:w="828" w:type="dxa"/>
            <w:tcBorders>
              <w:top w:val="single" w:sz="4" w:space="0" w:color="auto"/>
              <w:bottom w:val="single" w:sz="12" w:space="0" w:color="auto"/>
            </w:tcBorders>
            <w:shd w:val="clear" w:color="auto" w:fill="auto"/>
            <w:vAlign w:val="bottom"/>
          </w:tcPr>
          <w:p w14:paraId="3E30E926" w14:textId="77777777" w:rsidR="00F960B9" w:rsidRPr="00F960B9" w:rsidRDefault="00F960B9" w:rsidP="00415B49">
            <w:pPr>
              <w:keepNext/>
              <w:suppressAutoHyphens/>
              <w:spacing w:before="81" w:after="81" w:line="160" w:lineRule="exact"/>
              <w:ind w:left="144" w:right="43"/>
              <w:jc w:val="right"/>
              <w:rPr>
                <w:i/>
                <w:sz w:val="14"/>
              </w:rPr>
            </w:pPr>
            <w:r w:rsidRPr="00F960B9">
              <w:rPr>
                <w:i/>
                <w:sz w:val="14"/>
              </w:rPr>
              <w:t>Total</w:t>
            </w:r>
          </w:p>
        </w:tc>
      </w:tr>
      <w:tr w:rsidR="00F960B9" w:rsidRPr="00F960B9" w14:paraId="46526382" w14:textId="77777777" w:rsidTr="00503C29">
        <w:trPr>
          <w:cantSplit/>
          <w:trHeight w:hRule="exact" w:val="115"/>
          <w:tblHeader/>
        </w:trPr>
        <w:tc>
          <w:tcPr>
            <w:tcW w:w="4725" w:type="dxa"/>
            <w:tcBorders>
              <w:top w:val="single" w:sz="12" w:space="0" w:color="auto"/>
            </w:tcBorders>
            <w:shd w:val="clear" w:color="auto" w:fill="auto"/>
            <w:vAlign w:val="bottom"/>
          </w:tcPr>
          <w:p w14:paraId="20822D76" w14:textId="77777777" w:rsidR="00F960B9" w:rsidRPr="00F960B9" w:rsidRDefault="00F960B9" w:rsidP="00415B49">
            <w:pPr>
              <w:keepNext/>
              <w:suppressAutoHyphens/>
              <w:spacing w:before="40" w:after="40" w:line="210" w:lineRule="exact"/>
              <w:ind w:right="40"/>
              <w:rPr>
                <w:sz w:val="17"/>
              </w:rPr>
            </w:pPr>
          </w:p>
        </w:tc>
        <w:tc>
          <w:tcPr>
            <w:tcW w:w="827" w:type="dxa"/>
            <w:tcBorders>
              <w:top w:val="single" w:sz="12" w:space="0" w:color="auto"/>
            </w:tcBorders>
            <w:shd w:val="clear" w:color="auto" w:fill="auto"/>
            <w:vAlign w:val="bottom"/>
          </w:tcPr>
          <w:p w14:paraId="3D16BB0B" w14:textId="77777777" w:rsidR="00F960B9" w:rsidRPr="00F960B9" w:rsidRDefault="00F960B9" w:rsidP="00415B49">
            <w:pPr>
              <w:keepNext/>
              <w:suppressAutoHyphens/>
              <w:spacing w:before="40" w:after="40" w:line="210" w:lineRule="exact"/>
              <w:ind w:left="144" w:right="43"/>
              <w:jc w:val="right"/>
              <w:rPr>
                <w:sz w:val="17"/>
              </w:rPr>
            </w:pPr>
          </w:p>
        </w:tc>
        <w:tc>
          <w:tcPr>
            <w:tcW w:w="828" w:type="dxa"/>
            <w:tcBorders>
              <w:top w:val="single" w:sz="12" w:space="0" w:color="auto"/>
            </w:tcBorders>
            <w:shd w:val="clear" w:color="auto" w:fill="auto"/>
            <w:vAlign w:val="bottom"/>
          </w:tcPr>
          <w:p w14:paraId="2C127129" w14:textId="77777777" w:rsidR="00F960B9" w:rsidRPr="00F960B9" w:rsidRDefault="00F960B9" w:rsidP="00415B49">
            <w:pPr>
              <w:keepNext/>
              <w:suppressAutoHyphens/>
              <w:spacing w:before="40" w:after="40" w:line="210" w:lineRule="exact"/>
              <w:ind w:left="144" w:right="43"/>
              <w:jc w:val="right"/>
              <w:rPr>
                <w:sz w:val="17"/>
              </w:rPr>
            </w:pPr>
          </w:p>
        </w:tc>
        <w:tc>
          <w:tcPr>
            <w:tcW w:w="828" w:type="dxa"/>
            <w:tcBorders>
              <w:top w:val="single" w:sz="12" w:space="0" w:color="auto"/>
            </w:tcBorders>
            <w:shd w:val="clear" w:color="auto" w:fill="auto"/>
            <w:vAlign w:val="bottom"/>
          </w:tcPr>
          <w:p w14:paraId="5A8BF567" w14:textId="77777777" w:rsidR="00F960B9" w:rsidRPr="00F960B9" w:rsidRDefault="00F960B9" w:rsidP="00415B49">
            <w:pPr>
              <w:keepNext/>
              <w:suppressAutoHyphens/>
              <w:spacing w:before="40" w:after="40" w:line="210" w:lineRule="exact"/>
              <w:ind w:left="144" w:right="43"/>
              <w:jc w:val="right"/>
              <w:rPr>
                <w:sz w:val="17"/>
              </w:rPr>
            </w:pPr>
          </w:p>
        </w:tc>
      </w:tr>
      <w:tr w:rsidR="00F960B9" w:rsidRPr="00F960B9" w14:paraId="666A0A46" w14:textId="77777777" w:rsidTr="00503C29">
        <w:trPr>
          <w:cantSplit/>
        </w:trPr>
        <w:tc>
          <w:tcPr>
            <w:tcW w:w="4725" w:type="dxa"/>
            <w:shd w:val="clear" w:color="auto" w:fill="auto"/>
            <w:vAlign w:val="bottom"/>
          </w:tcPr>
          <w:p w14:paraId="765DB93A" w14:textId="77777777" w:rsidR="00F960B9" w:rsidRPr="00F960B9" w:rsidRDefault="00F960B9" w:rsidP="00415B49">
            <w:pPr>
              <w:keepNext/>
              <w:tabs>
                <w:tab w:val="left" w:pos="288"/>
                <w:tab w:val="left" w:pos="576"/>
                <w:tab w:val="left" w:pos="864"/>
                <w:tab w:val="left" w:pos="1152"/>
              </w:tabs>
              <w:suppressAutoHyphens/>
              <w:spacing w:before="40" w:after="40" w:line="210" w:lineRule="exact"/>
              <w:ind w:right="40"/>
              <w:rPr>
                <w:sz w:val="17"/>
              </w:rPr>
            </w:pPr>
            <w:r w:rsidRPr="00F960B9">
              <w:rPr>
                <w:sz w:val="17"/>
              </w:rPr>
              <w:t>Université de Maurice</w:t>
            </w:r>
          </w:p>
        </w:tc>
        <w:tc>
          <w:tcPr>
            <w:tcW w:w="827" w:type="dxa"/>
            <w:shd w:val="clear" w:color="auto" w:fill="auto"/>
            <w:vAlign w:val="bottom"/>
          </w:tcPr>
          <w:p w14:paraId="0497D68B" w14:textId="77777777" w:rsidR="00F960B9" w:rsidRPr="00F960B9" w:rsidRDefault="00F960B9" w:rsidP="00415B49">
            <w:pPr>
              <w:keepNext/>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165</w:t>
            </w:r>
          </w:p>
        </w:tc>
        <w:tc>
          <w:tcPr>
            <w:tcW w:w="828" w:type="dxa"/>
            <w:shd w:val="clear" w:color="auto" w:fill="auto"/>
            <w:vAlign w:val="bottom"/>
          </w:tcPr>
          <w:p w14:paraId="500E3856" w14:textId="77777777" w:rsidR="00F960B9" w:rsidRPr="00F960B9" w:rsidRDefault="00F960B9" w:rsidP="00415B49">
            <w:pPr>
              <w:keepNext/>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141</w:t>
            </w:r>
          </w:p>
        </w:tc>
        <w:tc>
          <w:tcPr>
            <w:tcW w:w="828" w:type="dxa"/>
            <w:shd w:val="clear" w:color="auto" w:fill="auto"/>
            <w:vAlign w:val="bottom"/>
          </w:tcPr>
          <w:p w14:paraId="4C940AAA" w14:textId="77777777" w:rsidR="00F960B9" w:rsidRPr="00F960B9" w:rsidRDefault="00F960B9" w:rsidP="00415B49">
            <w:pPr>
              <w:keepNext/>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306</w:t>
            </w:r>
          </w:p>
        </w:tc>
      </w:tr>
      <w:tr w:rsidR="00F960B9" w:rsidRPr="00F960B9" w14:paraId="530ED1D3" w14:textId="77777777" w:rsidTr="00503C29">
        <w:trPr>
          <w:cantSplit/>
        </w:trPr>
        <w:tc>
          <w:tcPr>
            <w:tcW w:w="4725" w:type="dxa"/>
            <w:shd w:val="clear" w:color="auto" w:fill="auto"/>
            <w:vAlign w:val="bottom"/>
          </w:tcPr>
          <w:p w14:paraId="0D191C90"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Mauritius Institute of Education</w:t>
            </w:r>
          </w:p>
        </w:tc>
        <w:tc>
          <w:tcPr>
            <w:tcW w:w="827" w:type="dxa"/>
            <w:shd w:val="clear" w:color="auto" w:fill="auto"/>
            <w:vAlign w:val="bottom"/>
          </w:tcPr>
          <w:p w14:paraId="176980D4"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57</w:t>
            </w:r>
          </w:p>
        </w:tc>
        <w:tc>
          <w:tcPr>
            <w:tcW w:w="828" w:type="dxa"/>
            <w:shd w:val="clear" w:color="auto" w:fill="auto"/>
            <w:vAlign w:val="bottom"/>
          </w:tcPr>
          <w:p w14:paraId="4580078D"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45</w:t>
            </w:r>
          </w:p>
        </w:tc>
        <w:tc>
          <w:tcPr>
            <w:tcW w:w="828" w:type="dxa"/>
            <w:shd w:val="clear" w:color="auto" w:fill="auto"/>
            <w:vAlign w:val="bottom"/>
          </w:tcPr>
          <w:p w14:paraId="5BAE9173"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102</w:t>
            </w:r>
          </w:p>
        </w:tc>
      </w:tr>
      <w:tr w:rsidR="00F960B9" w:rsidRPr="00F960B9" w14:paraId="676D376F" w14:textId="77777777" w:rsidTr="00503C29">
        <w:trPr>
          <w:cantSplit/>
        </w:trPr>
        <w:tc>
          <w:tcPr>
            <w:tcW w:w="4725" w:type="dxa"/>
            <w:shd w:val="clear" w:color="auto" w:fill="auto"/>
            <w:vAlign w:val="bottom"/>
          </w:tcPr>
          <w:p w14:paraId="7A947ED0"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Mahatma Gandhi Institute</w:t>
            </w:r>
          </w:p>
        </w:tc>
        <w:tc>
          <w:tcPr>
            <w:tcW w:w="827" w:type="dxa"/>
            <w:shd w:val="clear" w:color="auto" w:fill="auto"/>
            <w:vAlign w:val="bottom"/>
          </w:tcPr>
          <w:p w14:paraId="2DD1F8BC"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32</w:t>
            </w:r>
          </w:p>
        </w:tc>
        <w:tc>
          <w:tcPr>
            <w:tcW w:w="828" w:type="dxa"/>
            <w:shd w:val="clear" w:color="auto" w:fill="auto"/>
            <w:vAlign w:val="bottom"/>
          </w:tcPr>
          <w:p w14:paraId="6B4011D8"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40</w:t>
            </w:r>
          </w:p>
        </w:tc>
        <w:tc>
          <w:tcPr>
            <w:tcW w:w="828" w:type="dxa"/>
            <w:shd w:val="clear" w:color="auto" w:fill="auto"/>
            <w:vAlign w:val="bottom"/>
          </w:tcPr>
          <w:p w14:paraId="13F98B99"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72</w:t>
            </w:r>
          </w:p>
        </w:tc>
      </w:tr>
      <w:tr w:rsidR="00F960B9" w:rsidRPr="00F960B9" w14:paraId="16C131B4" w14:textId="77777777" w:rsidTr="00503C29">
        <w:trPr>
          <w:cantSplit/>
        </w:trPr>
        <w:tc>
          <w:tcPr>
            <w:tcW w:w="4725" w:type="dxa"/>
            <w:shd w:val="clear" w:color="auto" w:fill="auto"/>
            <w:vAlign w:val="bottom"/>
          </w:tcPr>
          <w:p w14:paraId="63F488C5"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University of Technology, Mauritius</w:t>
            </w:r>
          </w:p>
        </w:tc>
        <w:tc>
          <w:tcPr>
            <w:tcW w:w="827" w:type="dxa"/>
            <w:shd w:val="clear" w:color="auto" w:fill="auto"/>
            <w:vAlign w:val="bottom"/>
          </w:tcPr>
          <w:p w14:paraId="372FD98A"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20</w:t>
            </w:r>
          </w:p>
        </w:tc>
        <w:tc>
          <w:tcPr>
            <w:tcW w:w="828" w:type="dxa"/>
            <w:shd w:val="clear" w:color="auto" w:fill="auto"/>
            <w:vAlign w:val="bottom"/>
          </w:tcPr>
          <w:p w14:paraId="41B95328"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13</w:t>
            </w:r>
          </w:p>
        </w:tc>
        <w:tc>
          <w:tcPr>
            <w:tcW w:w="828" w:type="dxa"/>
            <w:shd w:val="clear" w:color="auto" w:fill="auto"/>
            <w:vAlign w:val="bottom"/>
          </w:tcPr>
          <w:p w14:paraId="7DB7FF11"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33</w:t>
            </w:r>
          </w:p>
        </w:tc>
      </w:tr>
      <w:tr w:rsidR="00F960B9" w:rsidRPr="00F960B9" w14:paraId="7394B683" w14:textId="77777777" w:rsidTr="00503C29">
        <w:trPr>
          <w:cantSplit/>
        </w:trPr>
        <w:tc>
          <w:tcPr>
            <w:tcW w:w="4725" w:type="dxa"/>
            <w:shd w:val="clear" w:color="auto" w:fill="auto"/>
            <w:vAlign w:val="bottom"/>
          </w:tcPr>
          <w:p w14:paraId="0C9C8A0E"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Université des Mascareignes</w:t>
            </w:r>
          </w:p>
        </w:tc>
        <w:tc>
          <w:tcPr>
            <w:tcW w:w="827" w:type="dxa"/>
            <w:shd w:val="clear" w:color="auto" w:fill="auto"/>
            <w:vAlign w:val="bottom"/>
          </w:tcPr>
          <w:p w14:paraId="6C68EF62"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40</w:t>
            </w:r>
          </w:p>
        </w:tc>
        <w:tc>
          <w:tcPr>
            <w:tcW w:w="828" w:type="dxa"/>
            <w:shd w:val="clear" w:color="auto" w:fill="auto"/>
            <w:vAlign w:val="bottom"/>
          </w:tcPr>
          <w:p w14:paraId="10B47A91"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13</w:t>
            </w:r>
          </w:p>
        </w:tc>
        <w:tc>
          <w:tcPr>
            <w:tcW w:w="828" w:type="dxa"/>
            <w:shd w:val="clear" w:color="auto" w:fill="auto"/>
            <w:vAlign w:val="bottom"/>
          </w:tcPr>
          <w:p w14:paraId="76CEB8CE"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53</w:t>
            </w:r>
          </w:p>
        </w:tc>
      </w:tr>
      <w:tr w:rsidR="00F960B9" w:rsidRPr="00F960B9" w14:paraId="0FC13D20" w14:textId="77777777" w:rsidTr="00503C29">
        <w:trPr>
          <w:cantSplit/>
        </w:trPr>
        <w:tc>
          <w:tcPr>
            <w:tcW w:w="4725" w:type="dxa"/>
            <w:shd w:val="clear" w:color="auto" w:fill="auto"/>
            <w:vAlign w:val="bottom"/>
          </w:tcPr>
          <w:p w14:paraId="2B2AAD36"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Open University of Mauritius</w:t>
            </w:r>
          </w:p>
        </w:tc>
        <w:tc>
          <w:tcPr>
            <w:tcW w:w="827" w:type="dxa"/>
            <w:shd w:val="clear" w:color="auto" w:fill="auto"/>
            <w:vAlign w:val="bottom"/>
          </w:tcPr>
          <w:p w14:paraId="1F43C091"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8</w:t>
            </w:r>
          </w:p>
        </w:tc>
        <w:tc>
          <w:tcPr>
            <w:tcW w:w="828" w:type="dxa"/>
            <w:shd w:val="clear" w:color="auto" w:fill="auto"/>
            <w:vAlign w:val="bottom"/>
          </w:tcPr>
          <w:p w14:paraId="053F4D40"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8</w:t>
            </w:r>
          </w:p>
        </w:tc>
        <w:tc>
          <w:tcPr>
            <w:tcW w:w="828" w:type="dxa"/>
            <w:shd w:val="clear" w:color="auto" w:fill="auto"/>
            <w:vAlign w:val="bottom"/>
          </w:tcPr>
          <w:p w14:paraId="68834A2B"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16</w:t>
            </w:r>
          </w:p>
        </w:tc>
      </w:tr>
      <w:tr w:rsidR="00F960B9" w:rsidRPr="00F960B9" w14:paraId="4BB8CAFD" w14:textId="77777777" w:rsidTr="00503C29">
        <w:trPr>
          <w:cantSplit/>
        </w:trPr>
        <w:tc>
          <w:tcPr>
            <w:tcW w:w="4725" w:type="dxa"/>
            <w:shd w:val="clear" w:color="auto" w:fill="auto"/>
            <w:vAlign w:val="bottom"/>
          </w:tcPr>
          <w:p w14:paraId="03529E84"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Rabindranath Tagore Institute</w:t>
            </w:r>
          </w:p>
        </w:tc>
        <w:tc>
          <w:tcPr>
            <w:tcW w:w="827" w:type="dxa"/>
            <w:shd w:val="clear" w:color="auto" w:fill="auto"/>
            <w:vAlign w:val="bottom"/>
          </w:tcPr>
          <w:p w14:paraId="1397CFAD"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w:t>
            </w:r>
          </w:p>
        </w:tc>
        <w:tc>
          <w:tcPr>
            <w:tcW w:w="828" w:type="dxa"/>
            <w:shd w:val="clear" w:color="auto" w:fill="auto"/>
            <w:vAlign w:val="bottom"/>
          </w:tcPr>
          <w:p w14:paraId="4206C949"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w:t>
            </w:r>
          </w:p>
        </w:tc>
        <w:tc>
          <w:tcPr>
            <w:tcW w:w="828" w:type="dxa"/>
            <w:shd w:val="clear" w:color="auto" w:fill="auto"/>
            <w:vAlign w:val="bottom"/>
          </w:tcPr>
          <w:p w14:paraId="1964D129"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2</w:t>
            </w:r>
          </w:p>
        </w:tc>
      </w:tr>
      <w:tr w:rsidR="00F960B9" w:rsidRPr="00F960B9" w14:paraId="23E40BF0" w14:textId="77777777" w:rsidTr="00503C29">
        <w:trPr>
          <w:cantSplit/>
        </w:trPr>
        <w:tc>
          <w:tcPr>
            <w:tcW w:w="4725" w:type="dxa"/>
            <w:shd w:val="clear" w:color="auto" w:fill="auto"/>
            <w:vAlign w:val="bottom"/>
          </w:tcPr>
          <w:p w14:paraId="0B50357D" w14:textId="77777777" w:rsidR="00F960B9" w:rsidRPr="00F960B9" w:rsidRDefault="00F960B9" w:rsidP="00F960B9">
            <w:pPr>
              <w:tabs>
                <w:tab w:val="left" w:pos="288"/>
                <w:tab w:val="left" w:pos="576"/>
                <w:tab w:val="left" w:pos="864"/>
                <w:tab w:val="left" w:pos="1152"/>
              </w:tabs>
              <w:suppressAutoHyphens/>
              <w:spacing w:before="40" w:after="40" w:line="210" w:lineRule="exact"/>
              <w:ind w:right="40"/>
              <w:rPr>
                <w:sz w:val="17"/>
              </w:rPr>
            </w:pPr>
            <w:r w:rsidRPr="00F960B9">
              <w:rPr>
                <w:sz w:val="17"/>
              </w:rPr>
              <w:t>Fashion and Design Institute (Institut de la mode et du design)</w:t>
            </w:r>
          </w:p>
        </w:tc>
        <w:tc>
          <w:tcPr>
            <w:tcW w:w="827" w:type="dxa"/>
            <w:shd w:val="clear" w:color="auto" w:fill="auto"/>
            <w:vAlign w:val="bottom"/>
          </w:tcPr>
          <w:p w14:paraId="1F20AD44"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4</w:t>
            </w:r>
          </w:p>
        </w:tc>
        <w:tc>
          <w:tcPr>
            <w:tcW w:w="828" w:type="dxa"/>
            <w:shd w:val="clear" w:color="auto" w:fill="auto"/>
            <w:vAlign w:val="bottom"/>
          </w:tcPr>
          <w:p w14:paraId="43A3CDAA"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3</w:t>
            </w:r>
          </w:p>
        </w:tc>
        <w:tc>
          <w:tcPr>
            <w:tcW w:w="828" w:type="dxa"/>
            <w:shd w:val="clear" w:color="auto" w:fill="auto"/>
            <w:vAlign w:val="bottom"/>
          </w:tcPr>
          <w:p w14:paraId="7E15C2ED"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7</w:t>
            </w:r>
          </w:p>
        </w:tc>
      </w:tr>
      <w:tr w:rsidR="00F960B9" w:rsidRPr="00F960B9" w14:paraId="6ADC3680" w14:textId="77777777" w:rsidTr="00503C29">
        <w:trPr>
          <w:cantSplit/>
        </w:trPr>
        <w:tc>
          <w:tcPr>
            <w:tcW w:w="4725" w:type="dxa"/>
            <w:shd w:val="clear" w:color="auto" w:fill="auto"/>
            <w:vAlign w:val="bottom"/>
          </w:tcPr>
          <w:p w14:paraId="7EAACA2E" w14:textId="77777777" w:rsidR="00F960B9" w:rsidRPr="00B639EA" w:rsidRDefault="00F960B9" w:rsidP="00F960B9">
            <w:pPr>
              <w:tabs>
                <w:tab w:val="left" w:pos="288"/>
                <w:tab w:val="left" w:pos="576"/>
                <w:tab w:val="left" w:pos="864"/>
                <w:tab w:val="left" w:pos="1152"/>
              </w:tabs>
              <w:suppressAutoHyphens/>
              <w:spacing w:before="40" w:after="40" w:line="210" w:lineRule="exact"/>
              <w:ind w:right="40"/>
              <w:rPr>
                <w:sz w:val="17"/>
                <w:lang w:val="en-US"/>
              </w:rPr>
            </w:pPr>
            <w:r w:rsidRPr="00B639EA">
              <w:rPr>
                <w:sz w:val="17"/>
                <w:lang w:val="en-US"/>
              </w:rPr>
              <w:t>Mauritius Institute of Training and Development</w:t>
            </w:r>
          </w:p>
        </w:tc>
        <w:tc>
          <w:tcPr>
            <w:tcW w:w="827" w:type="dxa"/>
            <w:shd w:val="clear" w:color="auto" w:fill="auto"/>
            <w:vAlign w:val="bottom"/>
          </w:tcPr>
          <w:p w14:paraId="791B384D"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19</w:t>
            </w:r>
          </w:p>
        </w:tc>
        <w:tc>
          <w:tcPr>
            <w:tcW w:w="828" w:type="dxa"/>
            <w:shd w:val="clear" w:color="auto" w:fill="auto"/>
            <w:vAlign w:val="bottom"/>
          </w:tcPr>
          <w:p w14:paraId="244BC9E6"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21</w:t>
            </w:r>
          </w:p>
        </w:tc>
        <w:tc>
          <w:tcPr>
            <w:tcW w:w="828" w:type="dxa"/>
            <w:shd w:val="clear" w:color="auto" w:fill="auto"/>
            <w:vAlign w:val="bottom"/>
          </w:tcPr>
          <w:p w14:paraId="0A8D5400" w14:textId="77777777" w:rsidR="00F960B9" w:rsidRPr="00F960B9" w:rsidRDefault="00F960B9" w:rsidP="00F960B9">
            <w:pPr>
              <w:tabs>
                <w:tab w:val="left" w:pos="288"/>
                <w:tab w:val="left" w:pos="576"/>
                <w:tab w:val="left" w:pos="864"/>
                <w:tab w:val="left" w:pos="1152"/>
              </w:tabs>
              <w:suppressAutoHyphens/>
              <w:spacing w:before="40" w:after="40" w:line="210" w:lineRule="exact"/>
              <w:ind w:left="144" w:right="43"/>
              <w:jc w:val="right"/>
              <w:rPr>
                <w:sz w:val="17"/>
              </w:rPr>
            </w:pPr>
            <w:r w:rsidRPr="00F960B9">
              <w:rPr>
                <w:sz w:val="17"/>
              </w:rPr>
              <w:t>40</w:t>
            </w:r>
          </w:p>
        </w:tc>
      </w:tr>
      <w:tr w:rsidR="00F960B9" w:rsidRPr="00F960B9" w14:paraId="08FFD35F" w14:textId="77777777" w:rsidTr="00503C29">
        <w:trPr>
          <w:cantSplit/>
        </w:trPr>
        <w:tc>
          <w:tcPr>
            <w:tcW w:w="4725" w:type="dxa"/>
            <w:tcBorders>
              <w:bottom w:val="single" w:sz="4" w:space="0" w:color="auto"/>
            </w:tcBorders>
            <w:shd w:val="clear" w:color="auto" w:fill="auto"/>
            <w:vAlign w:val="bottom"/>
          </w:tcPr>
          <w:p w14:paraId="1D23B6AD" w14:textId="77777777" w:rsidR="00F960B9" w:rsidRPr="00F960B9" w:rsidRDefault="00F960B9" w:rsidP="00F960B9">
            <w:pPr>
              <w:tabs>
                <w:tab w:val="left" w:pos="288"/>
                <w:tab w:val="left" w:pos="576"/>
                <w:tab w:val="left" w:pos="864"/>
                <w:tab w:val="left" w:pos="1152"/>
              </w:tabs>
              <w:suppressAutoHyphens/>
              <w:spacing w:before="40" w:after="81" w:line="210" w:lineRule="exact"/>
              <w:ind w:right="40"/>
              <w:rPr>
                <w:sz w:val="17"/>
              </w:rPr>
            </w:pPr>
            <w:r w:rsidRPr="00F960B9">
              <w:rPr>
                <w:sz w:val="17"/>
              </w:rPr>
              <w:t>Mauritius Institute of Health</w:t>
            </w:r>
          </w:p>
        </w:tc>
        <w:tc>
          <w:tcPr>
            <w:tcW w:w="827" w:type="dxa"/>
            <w:tcBorders>
              <w:bottom w:val="single" w:sz="4" w:space="0" w:color="auto"/>
            </w:tcBorders>
            <w:shd w:val="clear" w:color="auto" w:fill="auto"/>
            <w:vAlign w:val="bottom"/>
          </w:tcPr>
          <w:p w14:paraId="7E23CD28" w14:textId="77777777" w:rsidR="00F960B9" w:rsidRPr="00F960B9" w:rsidRDefault="00F960B9" w:rsidP="00F960B9">
            <w:pPr>
              <w:tabs>
                <w:tab w:val="left" w:pos="288"/>
                <w:tab w:val="left" w:pos="576"/>
                <w:tab w:val="left" w:pos="864"/>
                <w:tab w:val="left" w:pos="1152"/>
              </w:tabs>
              <w:suppressAutoHyphens/>
              <w:spacing w:before="40" w:after="81" w:line="210" w:lineRule="exact"/>
              <w:ind w:left="144" w:right="43"/>
              <w:jc w:val="right"/>
              <w:rPr>
                <w:sz w:val="17"/>
              </w:rPr>
            </w:pPr>
            <w:r w:rsidRPr="00F960B9">
              <w:rPr>
                <w:sz w:val="17"/>
              </w:rPr>
              <w:t>4</w:t>
            </w:r>
          </w:p>
        </w:tc>
        <w:tc>
          <w:tcPr>
            <w:tcW w:w="828" w:type="dxa"/>
            <w:tcBorders>
              <w:bottom w:val="single" w:sz="4" w:space="0" w:color="auto"/>
            </w:tcBorders>
            <w:shd w:val="clear" w:color="auto" w:fill="auto"/>
            <w:vAlign w:val="bottom"/>
          </w:tcPr>
          <w:p w14:paraId="3E826E38" w14:textId="77777777" w:rsidR="00F960B9" w:rsidRPr="00F960B9" w:rsidRDefault="00F960B9" w:rsidP="00F960B9">
            <w:pPr>
              <w:tabs>
                <w:tab w:val="left" w:pos="288"/>
                <w:tab w:val="left" w:pos="576"/>
                <w:tab w:val="left" w:pos="864"/>
                <w:tab w:val="left" w:pos="1152"/>
              </w:tabs>
              <w:suppressAutoHyphens/>
              <w:spacing w:before="40" w:after="81" w:line="210" w:lineRule="exact"/>
              <w:ind w:left="144" w:right="43"/>
              <w:jc w:val="right"/>
              <w:rPr>
                <w:sz w:val="17"/>
              </w:rPr>
            </w:pPr>
            <w:r w:rsidRPr="00F960B9">
              <w:rPr>
                <w:sz w:val="17"/>
              </w:rPr>
              <w:t>4</w:t>
            </w:r>
          </w:p>
        </w:tc>
        <w:tc>
          <w:tcPr>
            <w:tcW w:w="828" w:type="dxa"/>
            <w:tcBorders>
              <w:bottom w:val="single" w:sz="4" w:space="0" w:color="auto"/>
            </w:tcBorders>
            <w:shd w:val="clear" w:color="auto" w:fill="auto"/>
            <w:vAlign w:val="bottom"/>
          </w:tcPr>
          <w:p w14:paraId="2CCB2965" w14:textId="77777777" w:rsidR="00F960B9" w:rsidRPr="00F960B9" w:rsidRDefault="00F960B9" w:rsidP="00F960B9">
            <w:pPr>
              <w:tabs>
                <w:tab w:val="left" w:pos="288"/>
                <w:tab w:val="left" w:pos="576"/>
                <w:tab w:val="left" w:pos="864"/>
                <w:tab w:val="left" w:pos="1152"/>
              </w:tabs>
              <w:suppressAutoHyphens/>
              <w:spacing w:before="40" w:after="81" w:line="210" w:lineRule="exact"/>
              <w:ind w:left="144" w:right="43"/>
              <w:jc w:val="right"/>
              <w:rPr>
                <w:sz w:val="17"/>
              </w:rPr>
            </w:pPr>
            <w:r w:rsidRPr="00F960B9">
              <w:rPr>
                <w:sz w:val="17"/>
              </w:rPr>
              <w:t>8</w:t>
            </w:r>
          </w:p>
        </w:tc>
      </w:tr>
      <w:tr w:rsidR="00F960B9" w:rsidRPr="00F960B9" w14:paraId="7AD03A97" w14:textId="77777777" w:rsidTr="00503C29">
        <w:trPr>
          <w:cantSplit/>
        </w:trPr>
        <w:tc>
          <w:tcPr>
            <w:tcW w:w="4725" w:type="dxa"/>
            <w:tcBorders>
              <w:top w:val="single" w:sz="4" w:space="0" w:color="auto"/>
              <w:bottom w:val="single" w:sz="12" w:space="0" w:color="auto"/>
            </w:tcBorders>
            <w:shd w:val="clear" w:color="auto" w:fill="auto"/>
            <w:vAlign w:val="bottom"/>
          </w:tcPr>
          <w:p w14:paraId="595CA885" w14:textId="64F14A17" w:rsidR="00F960B9" w:rsidRPr="00F960B9" w:rsidRDefault="00F960B9" w:rsidP="00F960B9">
            <w:pPr>
              <w:tabs>
                <w:tab w:val="left" w:pos="288"/>
                <w:tab w:val="left" w:pos="576"/>
                <w:tab w:val="left" w:pos="864"/>
                <w:tab w:val="left" w:pos="1152"/>
              </w:tabs>
              <w:suppressAutoHyphens/>
              <w:spacing w:before="81" w:after="81" w:line="210" w:lineRule="exact"/>
              <w:ind w:right="40"/>
              <w:rPr>
                <w:b/>
                <w:sz w:val="17"/>
              </w:rPr>
            </w:pPr>
            <w:r>
              <w:rPr>
                <w:b/>
                <w:sz w:val="17"/>
              </w:rPr>
              <w:tab/>
            </w:r>
            <w:r w:rsidRPr="00F960B9">
              <w:rPr>
                <w:b/>
                <w:sz w:val="17"/>
              </w:rPr>
              <w:t>Nombre total d</w:t>
            </w:r>
            <w:r w:rsidR="00795C5F">
              <w:rPr>
                <w:b/>
                <w:sz w:val="17"/>
              </w:rPr>
              <w:t>’</w:t>
            </w:r>
            <w:r w:rsidRPr="00F960B9">
              <w:rPr>
                <w:b/>
                <w:sz w:val="17"/>
              </w:rPr>
              <w:t>enseignants</w:t>
            </w:r>
          </w:p>
        </w:tc>
        <w:tc>
          <w:tcPr>
            <w:tcW w:w="827" w:type="dxa"/>
            <w:tcBorders>
              <w:top w:val="single" w:sz="4" w:space="0" w:color="auto"/>
              <w:bottom w:val="single" w:sz="12" w:space="0" w:color="auto"/>
            </w:tcBorders>
            <w:shd w:val="clear" w:color="auto" w:fill="auto"/>
            <w:vAlign w:val="bottom"/>
          </w:tcPr>
          <w:p w14:paraId="52B9DB52" w14:textId="77777777" w:rsidR="00F960B9" w:rsidRPr="00F960B9" w:rsidRDefault="00F960B9" w:rsidP="00F960B9">
            <w:pPr>
              <w:tabs>
                <w:tab w:val="left" w:pos="288"/>
                <w:tab w:val="left" w:pos="576"/>
                <w:tab w:val="left" w:pos="864"/>
                <w:tab w:val="left" w:pos="1152"/>
              </w:tabs>
              <w:suppressAutoHyphens/>
              <w:spacing w:before="81" w:after="81" w:line="210" w:lineRule="exact"/>
              <w:ind w:left="144" w:right="43"/>
              <w:jc w:val="right"/>
              <w:rPr>
                <w:b/>
                <w:sz w:val="17"/>
              </w:rPr>
            </w:pPr>
            <w:r w:rsidRPr="00F960B9">
              <w:rPr>
                <w:b/>
                <w:sz w:val="17"/>
              </w:rPr>
              <w:t>350</w:t>
            </w:r>
          </w:p>
        </w:tc>
        <w:tc>
          <w:tcPr>
            <w:tcW w:w="828" w:type="dxa"/>
            <w:tcBorders>
              <w:top w:val="single" w:sz="4" w:space="0" w:color="auto"/>
              <w:bottom w:val="single" w:sz="12" w:space="0" w:color="auto"/>
            </w:tcBorders>
            <w:shd w:val="clear" w:color="auto" w:fill="auto"/>
            <w:vAlign w:val="bottom"/>
          </w:tcPr>
          <w:p w14:paraId="3F1FACEF" w14:textId="77777777" w:rsidR="00F960B9" w:rsidRPr="00F960B9" w:rsidRDefault="00F960B9" w:rsidP="00F960B9">
            <w:pPr>
              <w:tabs>
                <w:tab w:val="left" w:pos="288"/>
                <w:tab w:val="left" w:pos="576"/>
                <w:tab w:val="left" w:pos="864"/>
                <w:tab w:val="left" w:pos="1152"/>
              </w:tabs>
              <w:suppressAutoHyphens/>
              <w:spacing w:before="81" w:after="81" w:line="210" w:lineRule="exact"/>
              <w:ind w:left="144" w:right="43"/>
              <w:jc w:val="right"/>
              <w:rPr>
                <w:b/>
                <w:sz w:val="17"/>
              </w:rPr>
            </w:pPr>
            <w:r w:rsidRPr="00F960B9">
              <w:rPr>
                <w:b/>
                <w:sz w:val="17"/>
              </w:rPr>
              <w:t>289</w:t>
            </w:r>
          </w:p>
        </w:tc>
        <w:tc>
          <w:tcPr>
            <w:tcW w:w="828" w:type="dxa"/>
            <w:tcBorders>
              <w:top w:val="single" w:sz="4" w:space="0" w:color="auto"/>
              <w:bottom w:val="single" w:sz="12" w:space="0" w:color="auto"/>
            </w:tcBorders>
            <w:shd w:val="clear" w:color="auto" w:fill="auto"/>
            <w:vAlign w:val="bottom"/>
          </w:tcPr>
          <w:p w14:paraId="3D3A25FD" w14:textId="77777777" w:rsidR="00F960B9" w:rsidRPr="00F960B9" w:rsidRDefault="00F960B9" w:rsidP="00F960B9">
            <w:pPr>
              <w:tabs>
                <w:tab w:val="left" w:pos="288"/>
                <w:tab w:val="left" w:pos="576"/>
                <w:tab w:val="left" w:pos="864"/>
                <w:tab w:val="left" w:pos="1152"/>
              </w:tabs>
              <w:suppressAutoHyphens/>
              <w:spacing w:before="81" w:after="81" w:line="210" w:lineRule="exact"/>
              <w:ind w:left="144" w:right="43"/>
              <w:jc w:val="right"/>
              <w:rPr>
                <w:b/>
                <w:sz w:val="17"/>
              </w:rPr>
            </w:pPr>
            <w:r w:rsidRPr="00F960B9">
              <w:rPr>
                <w:b/>
                <w:sz w:val="17"/>
              </w:rPr>
              <w:t>639</w:t>
            </w:r>
          </w:p>
        </w:tc>
      </w:tr>
    </w:tbl>
    <w:p w14:paraId="75150BCE" w14:textId="570AC22E" w:rsidR="00F960B9" w:rsidRPr="00F960B9" w:rsidRDefault="00F960B9" w:rsidP="00F960B9">
      <w:pPr>
        <w:pStyle w:val="SingleTxt"/>
        <w:spacing w:after="0" w:line="120" w:lineRule="exact"/>
        <w:rPr>
          <w:sz w:val="10"/>
          <w:lang w:val="fr-FR"/>
        </w:rPr>
      </w:pPr>
    </w:p>
    <w:p w14:paraId="2CE0AD0E" w14:textId="4568C42A" w:rsidR="005529B6" w:rsidRDefault="005529B6" w:rsidP="006E1537">
      <w:pPr>
        <w:pStyle w:val="FootnoteText"/>
        <w:tabs>
          <w:tab w:val="right" w:pos="1476"/>
          <w:tab w:val="left" w:pos="1548"/>
          <w:tab w:val="right" w:pos="1836"/>
          <w:tab w:val="left" w:pos="1908"/>
        </w:tabs>
        <w:ind w:left="1548" w:right="1267" w:hanging="288"/>
        <w:rPr>
          <w:lang w:val="fr-FR"/>
        </w:rPr>
      </w:pPr>
      <w:r w:rsidRPr="00F960B9">
        <w:rPr>
          <w:i/>
          <w:iCs/>
          <w:lang w:val="fr-FR"/>
        </w:rPr>
        <w:t>Source</w:t>
      </w:r>
      <w:r w:rsidR="00795C5F">
        <w:rPr>
          <w:lang w:val="fr-FR"/>
        </w:rPr>
        <w:t> :</w:t>
      </w:r>
      <w:r w:rsidRPr="005529B6">
        <w:rPr>
          <w:lang w:val="fr-FR"/>
        </w:rPr>
        <w:t xml:space="preserve"> Ministère de l</w:t>
      </w:r>
      <w:r w:rsidR="00795C5F">
        <w:rPr>
          <w:lang w:val="fr-FR"/>
        </w:rPr>
        <w:t>’</w:t>
      </w:r>
      <w:r w:rsidRPr="005529B6">
        <w:rPr>
          <w:lang w:val="fr-FR"/>
        </w:rPr>
        <w:t>éducation et des ressources humaines, de l</w:t>
      </w:r>
      <w:r w:rsidR="00795C5F">
        <w:rPr>
          <w:lang w:val="fr-FR"/>
        </w:rPr>
        <w:t>’</w:t>
      </w:r>
      <w:r w:rsidRPr="005529B6">
        <w:rPr>
          <w:lang w:val="fr-FR"/>
        </w:rPr>
        <w:t>enseignement supérieur et de la recherche scientifique.</w:t>
      </w:r>
    </w:p>
    <w:p w14:paraId="264C4908" w14:textId="579A7173" w:rsidR="00F960B9" w:rsidRPr="00F960B9" w:rsidRDefault="00F960B9" w:rsidP="00F960B9">
      <w:pPr>
        <w:pStyle w:val="FootnoteText"/>
        <w:tabs>
          <w:tab w:val="right" w:pos="1476"/>
          <w:tab w:val="left" w:pos="1548"/>
          <w:tab w:val="right" w:pos="1836"/>
          <w:tab w:val="left" w:pos="1908"/>
        </w:tabs>
        <w:spacing w:line="120" w:lineRule="exact"/>
        <w:ind w:left="1548" w:right="1267" w:hanging="288"/>
        <w:rPr>
          <w:sz w:val="10"/>
          <w:lang w:val="fr-FR"/>
        </w:rPr>
      </w:pPr>
    </w:p>
    <w:p w14:paraId="5AFF35CC" w14:textId="0BBFB7F7" w:rsidR="00F960B9" w:rsidRPr="00F960B9" w:rsidRDefault="00F960B9" w:rsidP="00F960B9">
      <w:pPr>
        <w:pStyle w:val="FootnoteText"/>
        <w:tabs>
          <w:tab w:val="right" w:pos="1476"/>
          <w:tab w:val="left" w:pos="1548"/>
          <w:tab w:val="right" w:pos="1836"/>
          <w:tab w:val="left" w:pos="1908"/>
        </w:tabs>
        <w:spacing w:line="120" w:lineRule="exact"/>
        <w:ind w:left="1548" w:right="1267" w:hanging="288"/>
        <w:rPr>
          <w:sz w:val="10"/>
          <w:lang w:val="fr-FR"/>
        </w:rPr>
      </w:pPr>
    </w:p>
    <w:p w14:paraId="550144F0" w14:textId="2CBE8C99" w:rsidR="00F960B9" w:rsidRPr="00F960B9" w:rsidRDefault="00F960B9" w:rsidP="00F960B9">
      <w:pPr>
        <w:pStyle w:val="FootnoteText"/>
        <w:tabs>
          <w:tab w:val="right" w:pos="1476"/>
          <w:tab w:val="left" w:pos="1548"/>
          <w:tab w:val="right" w:pos="1836"/>
          <w:tab w:val="left" w:pos="1908"/>
        </w:tabs>
        <w:spacing w:line="120" w:lineRule="exact"/>
        <w:ind w:left="1548" w:right="1267" w:hanging="288"/>
        <w:rPr>
          <w:sz w:val="10"/>
          <w:lang w:val="fr-FR"/>
        </w:rPr>
      </w:pPr>
    </w:p>
    <w:p w14:paraId="425BB60C" w14:textId="04A1F155" w:rsidR="005529B6" w:rsidRDefault="005529B6" w:rsidP="00E379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29B6">
        <w:rPr>
          <w:lang w:val="fr-FR"/>
        </w:rPr>
        <w:tab/>
      </w:r>
      <w:r w:rsidRPr="005529B6">
        <w:rPr>
          <w:lang w:val="fr-FR"/>
        </w:rPr>
        <w:tab/>
        <w:t>Emploi</w:t>
      </w:r>
    </w:p>
    <w:p w14:paraId="53B3F137" w14:textId="0B901F97" w:rsidR="00F960B9" w:rsidRPr="00E37905" w:rsidRDefault="00F960B9" w:rsidP="00E37905">
      <w:pPr>
        <w:pStyle w:val="SingleTxt"/>
        <w:spacing w:after="0" w:line="120" w:lineRule="exact"/>
        <w:rPr>
          <w:sz w:val="10"/>
          <w:lang w:val="fr-FR"/>
        </w:rPr>
      </w:pPr>
    </w:p>
    <w:p w14:paraId="3318A7F7" w14:textId="77777777" w:rsidR="00E37905" w:rsidRPr="00F960B9" w:rsidRDefault="00E37905" w:rsidP="00F960B9">
      <w:pPr>
        <w:pStyle w:val="SingleTxt"/>
        <w:spacing w:after="0" w:line="120" w:lineRule="exact"/>
        <w:rPr>
          <w:sz w:val="10"/>
          <w:lang w:val="fr-FR"/>
        </w:rPr>
      </w:pPr>
    </w:p>
    <w:p w14:paraId="5363BA88" w14:textId="7891D21E" w:rsidR="005529B6" w:rsidRPr="005529B6" w:rsidRDefault="005529B6" w:rsidP="00F960B9">
      <w:pPr>
        <w:pStyle w:val="SingleTxt"/>
        <w:numPr>
          <w:ilvl w:val="0"/>
          <w:numId w:val="20"/>
        </w:numPr>
        <w:spacing w:line="240" w:lineRule="exact"/>
        <w:ind w:left="1267"/>
        <w:rPr>
          <w:lang w:val="fr-FR"/>
        </w:rPr>
      </w:pPr>
      <w:r w:rsidRPr="005529B6">
        <w:rPr>
          <w:lang w:val="fr-FR"/>
        </w:rPr>
        <w:t>Il est déjà prévu, à l</w:t>
      </w:r>
      <w:r w:rsidR="00795C5F">
        <w:rPr>
          <w:lang w:val="fr-FR"/>
        </w:rPr>
        <w:t>’</w:t>
      </w:r>
      <w:r w:rsidRPr="005529B6">
        <w:rPr>
          <w:lang w:val="fr-FR"/>
        </w:rPr>
        <w:t xml:space="preserve">article 30 de la </w:t>
      </w:r>
      <w:r w:rsidR="00F0127C">
        <w:rPr>
          <w:lang w:val="fr-FR"/>
        </w:rPr>
        <w:t>l</w:t>
      </w:r>
      <w:r w:rsidRPr="005529B6">
        <w:rPr>
          <w:lang w:val="fr-FR"/>
        </w:rPr>
        <w:t>oi relative aux droits en matière d</w:t>
      </w:r>
      <w:r w:rsidR="00795C5F">
        <w:rPr>
          <w:lang w:val="fr-FR"/>
        </w:rPr>
        <w:t>’</w:t>
      </w:r>
      <w:r w:rsidRPr="005529B6">
        <w:rPr>
          <w:lang w:val="fr-FR"/>
        </w:rPr>
        <w:t>emploi, que les femmes ont droit à 14 semaines de congé de maternité à compter de la date de leur accouchement, quelle que soit leur ancienneté dans l</w:t>
      </w:r>
      <w:r w:rsidR="00795C5F">
        <w:rPr>
          <w:lang w:val="fr-FR"/>
        </w:rPr>
        <w:t>’</w:t>
      </w:r>
      <w:r w:rsidRPr="005529B6">
        <w:rPr>
          <w:lang w:val="fr-FR"/>
        </w:rPr>
        <w:t>entreprise.</w:t>
      </w:r>
    </w:p>
    <w:p w14:paraId="33F7DAE2" w14:textId="314F2C0F" w:rsidR="005529B6" w:rsidRPr="005529B6" w:rsidRDefault="005529B6" w:rsidP="00F960B9">
      <w:pPr>
        <w:pStyle w:val="SingleTxt"/>
        <w:numPr>
          <w:ilvl w:val="0"/>
          <w:numId w:val="20"/>
        </w:numPr>
        <w:spacing w:line="240" w:lineRule="exact"/>
        <w:ind w:left="1267"/>
        <w:rPr>
          <w:lang w:val="fr-FR"/>
        </w:rPr>
      </w:pPr>
      <w:r w:rsidRPr="005529B6">
        <w:rPr>
          <w:lang w:val="fr-FR"/>
        </w:rPr>
        <w:t>Le Conseil national des salaires est chargé de formuler des recommandations sur le salaire minimum et d</w:t>
      </w:r>
      <w:r w:rsidR="00795C5F">
        <w:rPr>
          <w:lang w:val="fr-FR"/>
        </w:rPr>
        <w:t>’</w:t>
      </w:r>
      <w:r w:rsidRPr="005529B6">
        <w:rPr>
          <w:lang w:val="fr-FR"/>
        </w:rPr>
        <w:t>autres conditions d</w:t>
      </w:r>
      <w:r w:rsidR="00795C5F">
        <w:rPr>
          <w:lang w:val="fr-FR"/>
        </w:rPr>
        <w:t>’</w:t>
      </w:r>
      <w:r w:rsidRPr="005529B6">
        <w:rPr>
          <w:lang w:val="fr-FR"/>
        </w:rPr>
        <w:t>emploi des travailleurs dans le secteur privé. Il réexamine actuellement la r</w:t>
      </w:r>
      <w:r w:rsidR="00F0127C">
        <w:rPr>
          <w:lang w:val="fr-FR"/>
        </w:rPr>
        <w:t>è</w:t>
      </w:r>
      <w:r w:rsidRPr="005529B6">
        <w:rPr>
          <w:lang w:val="fr-FR"/>
        </w:rPr>
        <w:t>glementation relative aux salaires, toujours guidé par les principes énoncés à l</w:t>
      </w:r>
      <w:r w:rsidR="00795C5F">
        <w:rPr>
          <w:lang w:val="fr-FR"/>
        </w:rPr>
        <w:t>’</w:t>
      </w:r>
      <w:r w:rsidRPr="005529B6">
        <w:rPr>
          <w:lang w:val="fr-FR"/>
        </w:rPr>
        <w:t xml:space="preserve">article 97 de la </w:t>
      </w:r>
      <w:r w:rsidR="00F0127C">
        <w:rPr>
          <w:lang w:val="fr-FR"/>
        </w:rPr>
        <w:t>l</w:t>
      </w:r>
      <w:r w:rsidRPr="005529B6">
        <w:rPr>
          <w:lang w:val="fr-FR"/>
        </w:rPr>
        <w:t>oi sur les relations du travail et, dans la mesure où l</w:t>
      </w:r>
      <w:r w:rsidR="00795C5F">
        <w:rPr>
          <w:lang w:val="fr-FR"/>
        </w:rPr>
        <w:t>’</w:t>
      </w:r>
      <w:r w:rsidRPr="005529B6">
        <w:rPr>
          <w:lang w:val="fr-FR"/>
        </w:rPr>
        <w:t>évolution conjoncturelle des secteurs d</w:t>
      </w:r>
      <w:r w:rsidR="00795C5F">
        <w:rPr>
          <w:lang w:val="fr-FR"/>
        </w:rPr>
        <w:t>’</w:t>
      </w:r>
      <w:r w:rsidRPr="005529B6">
        <w:rPr>
          <w:lang w:val="fr-FR"/>
        </w:rPr>
        <w:t>activité le lui permet, fait en sorte que la fixation des salaires et la désignation et la classification des emplois répondent au principe de l</w:t>
      </w:r>
      <w:r w:rsidR="00795C5F">
        <w:rPr>
          <w:lang w:val="fr-FR"/>
        </w:rPr>
        <w:t>’</w:t>
      </w:r>
      <w:r w:rsidRPr="005529B6">
        <w:rPr>
          <w:lang w:val="fr-FR"/>
        </w:rPr>
        <w:t>égalité de rémunération pour un travail de valeur égale consacré dans la Convention n</w:t>
      </w:r>
      <w:r w:rsidRPr="006E1537">
        <w:rPr>
          <w:vertAlign w:val="superscript"/>
          <w:lang w:val="fr-FR"/>
        </w:rPr>
        <w:t>o</w:t>
      </w:r>
      <w:r w:rsidR="006E1537">
        <w:rPr>
          <w:lang w:val="fr-FR"/>
        </w:rPr>
        <w:t> </w:t>
      </w:r>
      <w:r w:rsidRPr="005529B6">
        <w:rPr>
          <w:lang w:val="fr-FR"/>
        </w:rPr>
        <w:t>100 sur l</w:t>
      </w:r>
      <w:r w:rsidR="00795C5F">
        <w:rPr>
          <w:lang w:val="fr-FR"/>
        </w:rPr>
        <w:t>’</w:t>
      </w:r>
      <w:r w:rsidRPr="005529B6">
        <w:rPr>
          <w:lang w:val="fr-FR"/>
        </w:rPr>
        <w:t>égalité de rémunération. En général, les salaires des travailleurs de différents secteurs d</w:t>
      </w:r>
      <w:r w:rsidR="00795C5F">
        <w:rPr>
          <w:lang w:val="fr-FR"/>
        </w:rPr>
        <w:t>’</w:t>
      </w:r>
      <w:r w:rsidRPr="005529B6">
        <w:rPr>
          <w:lang w:val="fr-FR"/>
        </w:rPr>
        <w:t>activité économique qui sont spécifiquement couverts par la réglementation ont été fixés compte tenu de facteurs ou critères non discriminatoires, dont la nature des tâches à accomplir, le niveau de compétences requis, les capacités et les qualifications.</w:t>
      </w:r>
    </w:p>
    <w:p w14:paraId="4694E405" w14:textId="2C798359" w:rsidR="005529B6" w:rsidRPr="005529B6" w:rsidRDefault="005529B6" w:rsidP="00F960B9">
      <w:pPr>
        <w:pStyle w:val="SingleTxt"/>
        <w:numPr>
          <w:ilvl w:val="0"/>
          <w:numId w:val="20"/>
        </w:numPr>
        <w:spacing w:line="240" w:lineRule="exact"/>
        <w:ind w:left="1267"/>
        <w:rPr>
          <w:lang w:val="fr-FR"/>
        </w:rPr>
      </w:pPr>
      <w:r w:rsidRPr="005529B6">
        <w:rPr>
          <w:lang w:val="fr-FR"/>
        </w:rPr>
        <w:t>Les différences entre les taux de rémunération en vigueur dans le secteur agricole en application de la règlementation relative aux salaires, en particulier dans les industries du sucre et du thé, s</w:t>
      </w:r>
      <w:r w:rsidR="00795C5F">
        <w:rPr>
          <w:lang w:val="fr-FR"/>
        </w:rPr>
        <w:t>’</w:t>
      </w:r>
      <w:r w:rsidRPr="005529B6">
        <w:rPr>
          <w:lang w:val="fr-FR"/>
        </w:rPr>
        <w:t>expliquent par les exigences des emplois concernés et ne devraient donc pas être considérées comme discriminatoires. Elles correspondent à la répartition des tâches, le volume des tâches confiées aux femmes étant bien inférieur à celui confié aux hommes. Ces différences sont par ailleurs accentuées par les dispositions légales limitant l</w:t>
      </w:r>
      <w:r w:rsidR="00795C5F">
        <w:rPr>
          <w:lang w:val="fr-FR"/>
        </w:rPr>
        <w:t>’</w:t>
      </w:r>
      <w:r w:rsidRPr="005529B6">
        <w:rPr>
          <w:lang w:val="fr-FR"/>
        </w:rPr>
        <w:t>affectation de tâches aux femmes.</w:t>
      </w:r>
    </w:p>
    <w:p w14:paraId="58FC7E70" w14:textId="79D8D7D2" w:rsidR="005529B6" w:rsidRPr="005529B6" w:rsidRDefault="005529B6" w:rsidP="00F960B9">
      <w:pPr>
        <w:pStyle w:val="SingleTxt"/>
        <w:numPr>
          <w:ilvl w:val="0"/>
          <w:numId w:val="20"/>
        </w:numPr>
        <w:spacing w:line="240" w:lineRule="exact"/>
        <w:ind w:left="1267"/>
        <w:rPr>
          <w:lang w:val="fr-FR"/>
        </w:rPr>
      </w:pPr>
      <w:r w:rsidRPr="005529B6">
        <w:rPr>
          <w:lang w:val="fr-FR"/>
        </w:rPr>
        <w:t xml:space="preserve">Au cours de la période allant du </w:t>
      </w:r>
      <w:r w:rsidR="00F0127C" w:rsidRPr="005529B6">
        <w:rPr>
          <w:lang w:val="fr-FR"/>
        </w:rPr>
        <w:t>1</w:t>
      </w:r>
      <w:r w:rsidR="00F0127C" w:rsidRPr="00545975">
        <w:rPr>
          <w:vertAlign w:val="superscript"/>
          <w:lang w:val="fr-FR"/>
        </w:rPr>
        <w:t>er</w:t>
      </w:r>
      <w:r w:rsidR="00F0127C">
        <w:rPr>
          <w:lang w:val="fr-FR"/>
        </w:rPr>
        <w:t> </w:t>
      </w:r>
      <w:r w:rsidRPr="005529B6">
        <w:rPr>
          <w:lang w:val="fr-FR"/>
        </w:rPr>
        <w:t>janvier au 31 décembre 2017, le Ministère du travail, des relations professionnelles et de la formation a enregistré six plaintes pour harcèlement sexuel dans ses bureaux régionaux</w:t>
      </w:r>
      <w:r w:rsidR="00795C5F">
        <w:rPr>
          <w:lang w:val="fr-FR"/>
        </w:rPr>
        <w:t> :</w:t>
      </w:r>
      <w:r w:rsidRPr="005529B6">
        <w:rPr>
          <w:lang w:val="fr-FR"/>
        </w:rPr>
        <w:t xml:space="preserve"> deux ont été classées sans suite, deux autres ont été retirées par les personnes concernées et une a été réglée à la satisfaction des parties. La dernière est toujours en cours d</w:t>
      </w:r>
      <w:r w:rsidR="00795C5F">
        <w:rPr>
          <w:lang w:val="fr-FR"/>
        </w:rPr>
        <w:t>’</w:t>
      </w:r>
      <w:r w:rsidRPr="005529B6">
        <w:rPr>
          <w:lang w:val="fr-FR"/>
        </w:rPr>
        <w:t>instruction.</w:t>
      </w:r>
    </w:p>
    <w:p w14:paraId="698B7ABB" w14:textId="3E414409" w:rsidR="005529B6" w:rsidRDefault="005529B6" w:rsidP="00F960B9">
      <w:pPr>
        <w:pStyle w:val="SingleTxt"/>
        <w:numPr>
          <w:ilvl w:val="0"/>
          <w:numId w:val="20"/>
        </w:numPr>
        <w:spacing w:line="240" w:lineRule="exact"/>
        <w:ind w:left="1267"/>
        <w:rPr>
          <w:lang w:val="fr-FR"/>
        </w:rPr>
      </w:pPr>
      <w:r w:rsidRPr="005529B6">
        <w:rPr>
          <w:lang w:val="fr-FR"/>
        </w:rPr>
        <w:lastRenderedPageBreak/>
        <w:t>Les données sur le nombre de travailleurs migrants et leur domaine d</w:t>
      </w:r>
      <w:r w:rsidR="00795C5F">
        <w:rPr>
          <w:lang w:val="fr-FR"/>
        </w:rPr>
        <w:t>’</w:t>
      </w:r>
      <w:r w:rsidRPr="005529B6">
        <w:rPr>
          <w:lang w:val="fr-FR"/>
        </w:rPr>
        <w:t>activité, le nombre de plaintes déposées contre des employeurs abusifs et les résultats des enquêtes menées sont résumés dans les tableaux ci-après.</w:t>
      </w:r>
    </w:p>
    <w:p w14:paraId="4EFAA95B" w14:textId="6084A0CC" w:rsidR="00F960B9" w:rsidRPr="00F960B9" w:rsidRDefault="00F960B9" w:rsidP="00F960B9">
      <w:pPr>
        <w:pStyle w:val="SingleTxt"/>
        <w:spacing w:after="0" w:line="120" w:lineRule="exact"/>
        <w:rPr>
          <w:sz w:val="10"/>
          <w:lang w:val="fr-FR"/>
        </w:rPr>
      </w:pPr>
    </w:p>
    <w:p w14:paraId="51A26A24" w14:textId="6072EF09" w:rsidR="00F960B9" w:rsidRDefault="00F960B9" w:rsidP="00F960B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Plaintes reçues 2015-2017</w:t>
      </w:r>
    </w:p>
    <w:p w14:paraId="34490C1B" w14:textId="051B061B" w:rsidR="00F960B9" w:rsidRPr="00F960B9" w:rsidRDefault="00F960B9" w:rsidP="00F960B9">
      <w:pPr>
        <w:pStyle w:val="SingleTxt"/>
        <w:spacing w:after="0" w:line="120" w:lineRule="exact"/>
        <w:rPr>
          <w:sz w:val="10"/>
          <w:lang w:val="fr-FR"/>
        </w:rPr>
      </w:pPr>
    </w:p>
    <w:tbl>
      <w:tblPr>
        <w:tblW w:w="7226" w:type="dxa"/>
        <w:tblInd w:w="1278" w:type="dxa"/>
        <w:tblLayout w:type="fixed"/>
        <w:tblCellMar>
          <w:left w:w="0" w:type="dxa"/>
          <w:right w:w="0" w:type="dxa"/>
        </w:tblCellMar>
        <w:tblLook w:val="04A0" w:firstRow="1" w:lastRow="0" w:firstColumn="1" w:lastColumn="0" w:noHBand="0" w:noVBand="1"/>
      </w:tblPr>
      <w:tblGrid>
        <w:gridCol w:w="5562"/>
        <w:gridCol w:w="1664"/>
      </w:tblGrid>
      <w:tr w:rsidR="00F960B9" w:rsidRPr="00F960B9" w14:paraId="0A60C7DC" w14:textId="77777777" w:rsidTr="00812366">
        <w:trPr>
          <w:cantSplit/>
          <w:tblHeader/>
        </w:trPr>
        <w:tc>
          <w:tcPr>
            <w:tcW w:w="5562" w:type="dxa"/>
            <w:tcBorders>
              <w:top w:val="single" w:sz="4" w:space="0" w:color="auto"/>
              <w:bottom w:val="single" w:sz="12" w:space="0" w:color="auto"/>
            </w:tcBorders>
            <w:shd w:val="clear" w:color="auto" w:fill="auto"/>
            <w:vAlign w:val="bottom"/>
          </w:tcPr>
          <w:p w14:paraId="5ECEC6C3" w14:textId="77777777" w:rsidR="00F960B9" w:rsidRPr="00F960B9" w:rsidRDefault="00F960B9" w:rsidP="00F960B9">
            <w:pPr>
              <w:spacing w:before="81" w:after="81" w:line="160" w:lineRule="exact"/>
              <w:rPr>
                <w:i/>
                <w:sz w:val="14"/>
              </w:rPr>
            </w:pPr>
            <w:r w:rsidRPr="00F960B9">
              <w:rPr>
                <w:i/>
                <w:sz w:val="14"/>
              </w:rPr>
              <w:t>Année</w:t>
            </w:r>
          </w:p>
        </w:tc>
        <w:tc>
          <w:tcPr>
            <w:tcW w:w="1664" w:type="dxa"/>
            <w:tcBorders>
              <w:top w:val="single" w:sz="4" w:space="0" w:color="auto"/>
              <w:bottom w:val="single" w:sz="12" w:space="0" w:color="auto"/>
            </w:tcBorders>
            <w:shd w:val="clear" w:color="auto" w:fill="auto"/>
            <w:vAlign w:val="bottom"/>
          </w:tcPr>
          <w:p w14:paraId="3DABFEF5" w14:textId="77777777" w:rsidR="00F960B9" w:rsidRPr="00F960B9" w:rsidRDefault="00F960B9" w:rsidP="00F960B9">
            <w:pPr>
              <w:spacing w:before="81" w:after="81" w:line="160" w:lineRule="exact"/>
              <w:jc w:val="right"/>
              <w:rPr>
                <w:i/>
                <w:sz w:val="14"/>
              </w:rPr>
            </w:pPr>
            <w:r w:rsidRPr="00F960B9">
              <w:rPr>
                <w:i/>
                <w:sz w:val="14"/>
              </w:rPr>
              <w:t>2017</w:t>
            </w:r>
          </w:p>
        </w:tc>
      </w:tr>
      <w:tr w:rsidR="00630B2D" w:rsidRPr="00F960B9" w14:paraId="2C4466AD" w14:textId="77777777" w:rsidTr="00812366">
        <w:trPr>
          <w:cantSplit/>
          <w:trHeight w:hRule="exact" w:val="115"/>
        </w:trPr>
        <w:tc>
          <w:tcPr>
            <w:tcW w:w="5562" w:type="dxa"/>
            <w:tcBorders>
              <w:top w:val="single" w:sz="12" w:space="0" w:color="auto"/>
            </w:tcBorders>
            <w:shd w:val="clear" w:color="auto" w:fill="auto"/>
          </w:tcPr>
          <w:p w14:paraId="2F3187B2" w14:textId="77777777" w:rsidR="00630B2D" w:rsidRPr="00F960B9" w:rsidRDefault="00630B2D" w:rsidP="00F960B9">
            <w:pPr>
              <w:spacing w:before="40" w:after="40" w:line="210" w:lineRule="exact"/>
              <w:rPr>
                <w:sz w:val="17"/>
                <w:szCs w:val="17"/>
              </w:rPr>
            </w:pPr>
          </w:p>
        </w:tc>
        <w:tc>
          <w:tcPr>
            <w:tcW w:w="1664" w:type="dxa"/>
            <w:tcBorders>
              <w:top w:val="single" w:sz="12" w:space="0" w:color="auto"/>
            </w:tcBorders>
            <w:shd w:val="clear" w:color="auto" w:fill="auto"/>
            <w:vAlign w:val="bottom"/>
          </w:tcPr>
          <w:p w14:paraId="1A2F866B" w14:textId="77777777" w:rsidR="00630B2D" w:rsidRPr="00F960B9" w:rsidRDefault="00630B2D" w:rsidP="00F960B9">
            <w:pPr>
              <w:spacing w:before="40" w:after="40" w:line="210" w:lineRule="exact"/>
              <w:jc w:val="right"/>
              <w:rPr>
                <w:sz w:val="17"/>
                <w:szCs w:val="17"/>
              </w:rPr>
            </w:pPr>
          </w:p>
        </w:tc>
      </w:tr>
      <w:tr w:rsidR="00F960B9" w:rsidRPr="00F960B9" w14:paraId="52538544" w14:textId="77777777" w:rsidTr="00812366">
        <w:trPr>
          <w:cantSplit/>
        </w:trPr>
        <w:tc>
          <w:tcPr>
            <w:tcW w:w="5562" w:type="dxa"/>
            <w:shd w:val="clear" w:color="auto" w:fill="auto"/>
          </w:tcPr>
          <w:p w14:paraId="3DE00802" w14:textId="77777777" w:rsidR="00F960B9" w:rsidRPr="00F960B9" w:rsidRDefault="00F960B9" w:rsidP="00630B2D">
            <w:pPr>
              <w:spacing w:before="40" w:after="40" w:line="210" w:lineRule="exact"/>
              <w:rPr>
                <w:sz w:val="17"/>
                <w:szCs w:val="17"/>
              </w:rPr>
            </w:pPr>
            <w:r w:rsidRPr="00F960B9">
              <w:rPr>
                <w:sz w:val="17"/>
                <w:szCs w:val="17"/>
              </w:rPr>
              <w:t>Nombre de plaintes enregistrées</w:t>
            </w:r>
          </w:p>
        </w:tc>
        <w:tc>
          <w:tcPr>
            <w:tcW w:w="1664" w:type="dxa"/>
            <w:shd w:val="clear" w:color="auto" w:fill="auto"/>
            <w:vAlign w:val="bottom"/>
          </w:tcPr>
          <w:p w14:paraId="569FFA55" w14:textId="77777777" w:rsidR="00F960B9" w:rsidRPr="00F960B9" w:rsidRDefault="00F960B9" w:rsidP="00630B2D">
            <w:pPr>
              <w:spacing w:before="40" w:after="40" w:line="210" w:lineRule="exact"/>
              <w:jc w:val="right"/>
              <w:rPr>
                <w:sz w:val="17"/>
                <w:szCs w:val="17"/>
              </w:rPr>
            </w:pPr>
            <w:r w:rsidRPr="00F960B9">
              <w:rPr>
                <w:sz w:val="17"/>
                <w:szCs w:val="17"/>
              </w:rPr>
              <w:t>16 058</w:t>
            </w:r>
          </w:p>
        </w:tc>
      </w:tr>
      <w:tr w:rsidR="00F960B9" w:rsidRPr="00F960B9" w14:paraId="73D96472" w14:textId="77777777" w:rsidTr="00812366">
        <w:trPr>
          <w:cantSplit/>
        </w:trPr>
        <w:tc>
          <w:tcPr>
            <w:tcW w:w="5562" w:type="dxa"/>
            <w:shd w:val="clear" w:color="auto" w:fill="auto"/>
          </w:tcPr>
          <w:p w14:paraId="692C5B3E" w14:textId="77777777" w:rsidR="00F960B9" w:rsidRPr="00F960B9" w:rsidRDefault="00F960B9" w:rsidP="00630B2D">
            <w:pPr>
              <w:spacing w:before="40" w:after="40" w:line="210" w:lineRule="exact"/>
              <w:rPr>
                <w:sz w:val="17"/>
                <w:szCs w:val="17"/>
              </w:rPr>
            </w:pPr>
            <w:r w:rsidRPr="00F960B9">
              <w:rPr>
                <w:sz w:val="17"/>
                <w:szCs w:val="17"/>
              </w:rPr>
              <w:t>Affaires réglées</w:t>
            </w:r>
          </w:p>
        </w:tc>
        <w:tc>
          <w:tcPr>
            <w:tcW w:w="1664" w:type="dxa"/>
            <w:shd w:val="clear" w:color="auto" w:fill="auto"/>
            <w:vAlign w:val="bottom"/>
          </w:tcPr>
          <w:p w14:paraId="65B535AF" w14:textId="77777777" w:rsidR="00F960B9" w:rsidRPr="00F960B9" w:rsidRDefault="00F960B9" w:rsidP="00630B2D">
            <w:pPr>
              <w:spacing w:before="40" w:after="40" w:line="210" w:lineRule="exact"/>
              <w:jc w:val="right"/>
              <w:rPr>
                <w:sz w:val="17"/>
                <w:szCs w:val="17"/>
              </w:rPr>
            </w:pPr>
            <w:r w:rsidRPr="00F960B9">
              <w:rPr>
                <w:sz w:val="17"/>
                <w:szCs w:val="17"/>
              </w:rPr>
              <w:t>16 614</w:t>
            </w:r>
          </w:p>
        </w:tc>
      </w:tr>
      <w:tr w:rsidR="00F960B9" w:rsidRPr="00F960B9" w14:paraId="3087BD23" w14:textId="77777777" w:rsidTr="00812366">
        <w:trPr>
          <w:cantSplit/>
        </w:trPr>
        <w:tc>
          <w:tcPr>
            <w:tcW w:w="5562" w:type="dxa"/>
            <w:tcBorders>
              <w:bottom w:val="single" w:sz="4" w:space="0" w:color="auto"/>
            </w:tcBorders>
            <w:shd w:val="clear" w:color="auto" w:fill="auto"/>
          </w:tcPr>
          <w:p w14:paraId="75EF5C80" w14:textId="68DBEE86" w:rsidR="00F960B9" w:rsidRPr="00630B2D" w:rsidRDefault="00F960B9" w:rsidP="00F960B9">
            <w:pPr>
              <w:spacing w:before="40" w:after="81" w:line="210" w:lineRule="exact"/>
              <w:rPr>
                <w:i/>
                <w:iCs/>
                <w:sz w:val="17"/>
                <w:szCs w:val="17"/>
              </w:rPr>
            </w:pPr>
            <w:r w:rsidRPr="00630B2D">
              <w:rPr>
                <w:i/>
                <w:iCs/>
                <w:sz w:val="17"/>
                <w:szCs w:val="17"/>
              </w:rPr>
              <w:t>Nombre d</w:t>
            </w:r>
            <w:r w:rsidR="00795C5F">
              <w:rPr>
                <w:i/>
                <w:iCs/>
                <w:sz w:val="17"/>
                <w:szCs w:val="17"/>
              </w:rPr>
              <w:t>’</w:t>
            </w:r>
            <w:r w:rsidRPr="00630B2D">
              <w:rPr>
                <w:i/>
                <w:iCs/>
                <w:sz w:val="17"/>
                <w:szCs w:val="17"/>
              </w:rPr>
              <w:t>affaires portées devant les tribunaux</w:t>
            </w:r>
          </w:p>
        </w:tc>
        <w:tc>
          <w:tcPr>
            <w:tcW w:w="1664" w:type="dxa"/>
            <w:tcBorders>
              <w:bottom w:val="single" w:sz="4" w:space="0" w:color="auto"/>
            </w:tcBorders>
            <w:shd w:val="clear" w:color="auto" w:fill="auto"/>
            <w:vAlign w:val="bottom"/>
          </w:tcPr>
          <w:p w14:paraId="7ABC9AB3" w14:textId="77777777" w:rsidR="00F960B9" w:rsidRPr="00F960B9" w:rsidRDefault="00F960B9" w:rsidP="00F960B9">
            <w:pPr>
              <w:spacing w:before="40" w:after="81" w:line="210" w:lineRule="exact"/>
              <w:jc w:val="right"/>
              <w:rPr>
                <w:sz w:val="17"/>
                <w:szCs w:val="17"/>
              </w:rPr>
            </w:pPr>
            <w:r w:rsidRPr="00F960B9">
              <w:rPr>
                <w:sz w:val="17"/>
                <w:szCs w:val="17"/>
              </w:rPr>
              <w:t>1 179</w:t>
            </w:r>
          </w:p>
        </w:tc>
      </w:tr>
      <w:tr w:rsidR="00F960B9" w:rsidRPr="00F960B9" w14:paraId="389FC1BF" w14:textId="77777777" w:rsidTr="00812366">
        <w:trPr>
          <w:cantSplit/>
        </w:trPr>
        <w:tc>
          <w:tcPr>
            <w:tcW w:w="5562" w:type="dxa"/>
            <w:tcBorders>
              <w:top w:val="single" w:sz="4" w:space="0" w:color="auto"/>
              <w:bottom w:val="single" w:sz="12" w:space="0" w:color="auto"/>
            </w:tcBorders>
            <w:shd w:val="clear" w:color="auto" w:fill="auto"/>
          </w:tcPr>
          <w:p w14:paraId="626FC825" w14:textId="77CFD24D" w:rsidR="00F960B9" w:rsidRPr="00F960B9" w:rsidRDefault="00F960B9" w:rsidP="00F960B9">
            <w:pPr>
              <w:tabs>
                <w:tab w:val="left" w:pos="288"/>
                <w:tab w:val="left" w:pos="576"/>
                <w:tab w:val="left" w:pos="864"/>
                <w:tab w:val="left" w:pos="1152"/>
              </w:tabs>
              <w:suppressAutoHyphens/>
              <w:spacing w:before="81" w:after="81" w:line="210" w:lineRule="exact"/>
              <w:ind w:right="40"/>
              <w:rPr>
                <w:b/>
                <w:sz w:val="17"/>
              </w:rPr>
            </w:pPr>
            <w:r w:rsidRPr="00F960B9">
              <w:rPr>
                <w:b/>
                <w:sz w:val="17"/>
              </w:rPr>
              <w:tab/>
              <w:t>Total des montants versés</w:t>
            </w:r>
          </w:p>
        </w:tc>
        <w:tc>
          <w:tcPr>
            <w:tcW w:w="1664" w:type="dxa"/>
            <w:tcBorders>
              <w:top w:val="single" w:sz="4" w:space="0" w:color="auto"/>
              <w:bottom w:val="single" w:sz="12" w:space="0" w:color="auto"/>
            </w:tcBorders>
            <w:shd w:val="clear" w:color="auto" w:fill="auto"/>
            <w:vAlign w:val="bottom"/>
          </w:tcPr>
          <w:p w14:paraId="755E2AE0" w14:textId="77777777" w:rsidR="00F960B9" w:rsidRPr="00F960B9" w:rsidRDefault="00F960B9" w:rsidP="00F960B9">
            <w:pPr>
              <w:spacing w:before="81" w:after="81" w:line="210" w:lineRule="exact"/>
              <w:jc w:val="right"/>
              <w:rPr>
                <w:b/>
                <w:sz w:val="17"/>
                <w:szCs w:val="17"/>
              </w:rPr>
            </w:pPr>
            <w:r w:rsidRPr="00F960B9">
              <w:rPr>
                <w:b/>
                <w:sz w:val="17"/>
                <w:szCs w:val="17"/>
              </w:rPr>
              <w:t>88 303 037</w:t>
            </w:r>
          </w:p>
        </w:tc>
      </w:tr>
    </w:tbl>
    <w:p w14:paraId="5B28E3C6" w14:textId="77777777" w:rsidR="00F960B9" w:rsidRPr="00F960B9" w:rsidRDefault="00F960B9" w:rsidP="00F960B9">
      <w:pPr>
        <w:pStyle w:val="SingleTxt"/>
        <w:spacing w:after="0" w:line="120" w:lineRule="exact"/>
        <w:rPr>
          <w:sz w:val="10"/>
          <w:lang w:val="fr-FR"/>
        </w:rPr>
      </w:pPr>
    </w:p>
    <w:p w14:paraId="6A28766F" w14:textId="3F28DB51" w:rsidR="00F960B9" w:rsidRPr="00415B49" w:rsidRDefault="00F960B9" w:rsidP="00415B49">
      <w:pPr>
        <w:pStyle w:val="SingleTxt"/>
        <w:spacing w:after="0" w:line="120" w:lineRule="exact"/>
        <w:rPr>
          <w:sz w:val="10"/>
          <w:lang w:val="fr-FR"/>
        </w:rPr>
      </w:pPr>
    </w:p>
    <w:p w14:paraId="1D727D6E" w14:textId="77777777" w:rsidR="00415B49" w:rsidRPr="00F960B9" w:rsidRDefault="00415B49" w:rsidP="00F960B9">
      <w:pPr>
        <w:pStyle w:val="SingleTxt"/>
        <w:spacing w:after="0" w:line="120" w:lineRule="exact"/>
        <w:rPr>
          <w:sz w:val="10"/>
          <w:lang w:val="fr-FR"/>
        </w:rPr>
      </w:pPr>
    </w:p>
    <w:p w14:paraId="63D8854A" w14:textId="2D5467BA" w:rsidR="00F960B9" w:rsidRDefault="00F960B9" w:rsidP="00F960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Inspections effectuées 2015-2017</w:t>
      </w:r>
    </w:p>
    <w:p w14:paraId="1A1C1786" w14:textId="42BF3810" w:rsidR="00F960B9" w:rsidRPr="00F960B9" w:rsidRDefault="00F960B9" w:rsidP="00F960B9">
      <w:pPr>
        <w:pStyle w:val="SingleTxt"/>
        <w:spacing w:after="0" w:line="120" w:lineRule="exact"/>
        <w:rPr>
          <w:sz w:val="10"/>
          <w:lang w:val="fr-FR"/>
        </w:rPr>
      </w:pPr>
    </w:p>
    <w:p w14:paraId="3CD6831F" w14:textId="0C7116C7" w:rsidR="00F960B9" w:rsidRPr="00F960B9" w:rsidRDefault="00F960B9" w:rsidP="00F960B9">
      <w:pPr>
        <w:pStyle w:val="SingleTxt"/>
        <w:spacing w:after="0" w:line="120" w:lineRule="exact"/>
        <w:rPr>
          <w:sz w:val="10"/>
          <w:lang w:val="fr-FR"/>
        </w:rPr>
      </w:pPr>
    </w:p>
    <w:tbl>
      <w:tblPr>
        <w:tblW w:w="7226" w:type="dxa"/>
        <w:tblInd w:w="1278" w:type="dxa"/>
        <w:tblLayout w:type="fixed"/>
        <w:tblCellMar>
          <w:left w:w="0" w:type="dxa"/>
          <w:right w:w="0" w:type="dxa"/>
        </w:tblCellMar>
        <w:tblLook w:val="04A0" w:firstRow="1" w:lastRow="0" w:firstColumn="1" w:lastColumn="0" w:noHBand="0" w:noVBand="1"/>
      </w:tblPr>
      <w:tblGrid>
        <w:gridCol w:w="5549"/>
        <w:gridCol w:w="1669"/>
        <w:gridCol w:w="8"/>
      </w:tblGrid>
      <w:tr w:rsidR="00F960B9" w:rsidRPr="00F960B9" w14:paraId="1F34ACE9" w14:textId="77777777" w:rsidTr="00812366">
        <w:trPr>
          <w:gridAfter w:val="1"/>
          <w:wAfter w:w="8" w:type="dxa"/>
          <w:cantSplit/>
          <w:tblHeader/>
        </w:trPr>
        <w:tc>
          <w:tcPr>
            <w:tcW w:w="5549" w:type="dxa"/>
            <w:tcBorders>
              <w:top w:val="single" w:sz="4" w:space="0" w:color="auto"/>
              <w:bottom w:val="single" w:sz="12" w:space="0" w:color="auto"/>
            </w:tcBorders>
            <w:shd w:val="clear" w:color="auto" w:fill="auto"/>
            <w:vAlign w:val="bottom"/>
          </w:tcPr>
          <w:p w14:paraId="047E5DF9" w14:textId="77777777" w:rsidR="00F960B9" w:rsidRPr="00F960B9" w:rsidRDefault="00F960B9" w:rsidP="00F960B9">
            <w:pPr>
              <w:spacing w:before="81" w:after="81" w:line="160" w:lineRule="exact"/>
              <w:rPr>
                <w:i/>
                <w:sz w:val="14"/>
              </w:rPr>
            </w:pPr>
            <w:r w:rsidRPr="00F960B9">
              <w:rPr>
                <w:i/>
                <w:sz w:val="14"/>
              </w:rPr>
              <w:t>Année</w:t>
            </w:r>
          </w:p>
        </w:tc>
        <w:tc>
          <w:tcPr>
            <w:tcW w:w="1669" w:type="dxa"/>
            <w:tcBorders>
              <w:top w:val="single" w:sz="4" w:space="0" w:color="auto"/>
              <w:bottom w:val="single" w:sz="12" w:space="0" w:color="auto"/>
            </w:tcBorders>
            <w:shd w:val="clear" w:color="auto" w:fill="auto"/>
            <w:vAlign w:val="bottom"/>
          </w:tcPr>
          <w:p w14:paraId="7EE7D71F" w14:textId="77777777" w:rsidR="00F960B9" w:rsidRPr="00F960B9" w:rsidRDefault="00F960B9" w:rsidP="00630B2D">
            <w:pPr>
              <w:spacing w:before="81" w:after="81" w:line="160" w:lineRule="exact"/>
              <w:jc w:val="right"/>
              <w:rPr>
                <w:i/>
                <w:sz w:val="14"/>
              </w:rPr>
            </w:pPr>
            <w:r w:rsidRPr="00F960B9">
              <w:rPr>
                <w:i/>
                <w:sz w:val="14"/>
              </w:rPr>
              <w:t>2017</w:t>
            </w:r>
          </w:p>
        </w:tc>
      </w:tr>
      <w:tr w:rsidR="00630B2D" w:rsidRPr="00F960B9" w14:paraId="7CA85964" w14:textId="77777777" w:rsidTr="00812366">
        <w:trPr>
          <w:cantSplit/>
          <w:trHeight w:hRule="exact" w:val="115"/>
        </w:trPr>
        <w:tc>
          <w:tcPr>
            <w:tcW w:w="5549" w:type="dxa"/>
            <w:tcBorders>
              <w:top w:val="single" w:sz="12" w:space="0" w:color="auto"/>
            </w:tcBorders>
            <w:shd w:val="clear" w:color="auto" w:fill="auto"/>
          </w:tcPr>
          <w:p w14:paraId="7B53B462" w14:textId="77777777" w:rsidR="00630B2D" w:rsidRPr="00F960B9" w:rsidRDefault="00630B2D" w:rsidP="00B639EA">
            <w:pPr>
              <w:spacing w:before="40" w:after="40" w:line="210" w:lineRule="exact"/>
              <w:rPr>
                <w:sz w:val="17"/>
                <w:szCs w:val="17"/>
              </w:rPr>
            </w:pPr>
          </w:p>
        </w:tc>
        <w:tc>
          <w:tcPr>
            <w:tcW w:w="1677" w:type="dxa"/>
            <w:gridSpan w:val="2"/>
            <w:tcBorders>
              <w:top w:val="single" w:sz="12" w:space="0" w:color="auto"/>
            </w:tcBorders>
            <w:shd w:val="clear" w:color="auto" w:fill="auto"/>
            <w:vAlign w:val="bottom"/>
          </w:tcPr>
          <w:p w14:paraId="553C12C1" w14:textId="77777777" w:rsidR="00630B2D" w:rsidRPr="00F960B9" w:rsidRDefault="00630B2D" w:rsidP="00630B2D">
            <w:pPr>
              <w:spacing w:before="40" w:after="40" w:line="210" w:lineRule="exact"/>
              <w:jc w:val="right"/>
              <w:rPr>
                <w:sz w:val="17"/>
                <w:szCs w:val="17"/>
              </w:rPr>
            </w:pPr>
          </w:p>
        </w:tc>
      </w:tr>
      <w:tr w:rsidR="00F960B9" w:rsidRPr="00F960B9" w14:paraId="5E6604C8" w14:textId="77777777" w:rsidTr="00812366">
        <w:trPr>
          <w:gridAfter w:val="1"/>
          <w:wAfter w:w="8" w:type="dxa"/>
          <w:cantSplit/>
        </w:trPr>
        <w:tc>
          <w:tcPr>
            <w:tcW w:w="5549" w:type="dxa"/>
            <w:shd w:val="clear" w:color="auto" w:fill="auto"/>
          </w:tcPr>
          <w:p w14:paraId="42DA28CE" w14:textId="585A820A" w:rsidR="00F960B9" w:rsidRPr="00F960B9" w:rsidRDefault="00F960B9" w:rsidP="00503C29">
            <w:pPr>
              <w:spacing w:before="40" w:after="40" w:line="210" w:lineRule="exact"/>
              <w:rPr>
                <w:sz w:val="17"/>
                <w:szCs w:val="17"/>
              </w:rPr>
            </w:pPr>
            <w:r w:rsidRPr="00F960B9">
              <w:rPr>
                <w:sz w:val="17"/>
                <w:szCs w:val="17"/>
              </w:rPr>
              <w:t>Nombre d</w:t>
            </w:r>
            <w:r w:rsidR="00795C5F">
              <w:rPr>
                <w:sz w:val="17"/>
                <w:szCs w:val="17"/>
              </w:rPr>
              <w:t>’</w:t>
            </w:r>
            <w:r w:rsidRPr="00F960B9">
              <w:rPr>
                <w:sz w:val="17"/>
                <w:szCs w:val="17"/>
              </w:rPr>
              <w:t>inspections</w:t>
            </w:r>
          </w:p>
        </w:tc>
        <w:tc>
          <w:tcPr>
            <w:tcW w:w="1669" w:type="dxa"/>
            <w:shd w:val="clear" w:color="auto" w:fill="auto"/>
            <w:vAlign w:val="bottom"/>
          </w:tcPr>
          <w:p w14:paraId="465C4F96" w14:textId="77777777" w:rsidR="00F960B9" w:rsidRPr="00F960B9" w:rsidRDefault="00F960B9" w:rsidP="00503C29">
            <w:pPr>
              <w:spacing w:before="40" w:after="40" w:line="210" w:lineRule="exact"/>
              <w:jc w:val="right"/>
              <w:rPr>
                <w:sz w:val="17"/>
                <w:szCs w:val="17"/>
              </w:rPr>
            </w:pPr>
            <w:r w:rsidRPr="00F960B9">
              <w:rPr>
                <w:sz w:val="17"/>
                <w:szCs w:val="17"/>
              </w:rPr>
              <w:t>5 770</w:t>
            </w:r>
          </w:p>
        </w:tc>
      </w:tr>
      <w:tr w:rsidR="00F960B9" w:rsidRPr="00F960B9" w14:paraId="7AD2215D" w14:textId="77777777" w:rsidTr="00812366">
        <w:trPr>
          <w:gridAfter w:val="1"/>
          <w:wAfter w:w="8" w:type="dxa"/>
          <w:cantSplit/>
        </w:trPr>
        <w:tc>
          <w:tcPr>
            <w:tcW w:w="5549" w:type="dxa"/>
            <w:tcBorders>
              <w:bottom w:val="single" w:sz="12" w:space="0" w:color="auto"/>
            </w:tcBorders>
            <w:shd w:val="clear" w:color="auto" w:fill="auto"/>
          </w:tcPr>
          <w:p w14:paraId="0AD25DF4" w14:textId="77777777" w:rsidR="00F960B9" w:rsidRPr="00F960B9" w:rsidRDefault="00F960B9" w:rsidP="00503C29">
            <w:pPr>
              <w:spacing w:before="40" w:after="40" w:line="210" w:lineRule="exact"/>
              <w:rPr>
                <w:sz w:val="17"/>
                <w:szCs w:val="17"/>
              </w:rPr>
            </w:pPr>
            <w:r w:rsidRPr="00F960B9">
              <w:rPr>
                <w:sz w:val="17"/>
                <w:szCs w:val="17"/>
              </w:rPr>
              <w:t>Montant recouvré après inspections ou enquêtes</w:t>
            </w:r>
          </w:p>
        </w:tc>
        <w:tc>
          <w:tcPr>
            <w:tcW w:w="1669" w:type="dxa"/>
            <w:tcBorders>
              <w:bottom w:val="single" w:sz="12" w:space="0" w:color="auto"/>
            </w:tcBorders>
            <w:shd w:val="clear" w:color="auto" w:fill="auto"/>
            <w:vAlign w:val="bottom"/>
          </w:tcPr>
          <w:p w14:paraId="436AFF54" w14:textId="77777777" w:rsidR="00F960B9" w:rsidRPr="00F960B9" w:rsidRDefault="00F960B9" w:rsidP="00503C29">
            <w:pPr>
              <w:spacing w:before="40" w:after="40" w:line="210" w:lineRule="exact"/>
              <w:jc w:val="right"/>
              <w:rPr>
                <w:sz w:val="17"/>
                <w:szCs w:val="17"/>
              </w:rPr>
            </w:pPr>
            <w:r w:rsidRPr="00F960B9">
              <w:rPr>
                <w:sz w:val="17"/>
                <w:szCs w:val="17"/>
              </w:rPr>
              <w:t>191 266,3</w:t>
            </w:r>
          </w:p>
        </w:tc>
      </w:tr>
    </w:tbl>
    <w:p w14:paraId="4C4F89C7" w14:textId="4C42B7FB" w:rsidR="00630B2D" w:rsidRPr="00415B49" w:rsidRDefault="00630B2D" w:rsidP="00415B49">
      <w:pPr>
        <w:pStyle w:val="SingleTxt"/>
        <w:spacing w:after="0" w:line="120" w:lineRule="exact"/>
        <w:rPr>
          <w:sz w:val="10"/>
          <w:lang w:val="fr-FR"/>
        </w:rPr>
      </w:pPr>
    </w:p>
    <w:p w14:paraId="3698FBEA" w14:textId="77777777" w:rsidR="00415B49" w:rsidRPr="00630B2D" w:rsidRDefault="00415B49" w:rsidP="00630B2D">
      <w:pPr>
        <w:pStyle w:val="SingleTxt"/>
        <w:spacing w:after="0" w:line="120" w:lineRule="exact"/>
        <w:rPr>
          <w:sz w:val="10"/>
          <w:lang w:val="fr-FR"/>
        </w:rPr>
      </w:pPr>
    </w:p>
    <w:p w14:paraId="298C6D32" w14:textId="77777777" w:rsidR="00630B2D" w:rsidRPr="00630B2D" w:rsidRDefault="00630B2D" w:rsidP="00630B2D">
      <w:pPr>
        <w:pStyle w:val="SingleTxt"/>
        <w:spacing w:after="0" w:line="120" w:lineRule="exact"/>
        <w:rPr>
          <w:sz w:val="10"/>
          <w:lang w:val="fr-FR"/>
        </w:rPr>
      </w:pPr>
    </w:p>
    <w:p w14:paraId="6A56E38B" w14:textId="0B45EA43" w:rsidR="00F960B9" w:rsidRDefault="00F960B9" w:rsidP="00630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Enquêtes menées 2017</w:t>
      </w:r>
    </w:p>
    <w:p w14:paraId="1438D0AD" w14:textId="62AA497F" w:rsidR="00630B2D" w:rsidRPr="00630B2D" w:rsidRDefault="00630B2D" w:rsidP="00630B2D">
      <w:pPr>
        <w:pStyle w:val="SingleTxt"/>
        <w:spacing w:after="0" w:line="120" w:lineRule="exact"/>
        <w:rPr>
          <w:sz w:val="10"/>
          <w:lang w:val="fr-FR"/>
        </w:rPr>
      </w:pPr>
    </w:p>
    <w:p w14:paraId="39D2865F" w14:textId="5C79C04E" w:rsidR="00630B2D" w:rsidRPr="00630B2D" w:rsidRDefault="00630B2D" w:rsidP="00630B2D">
      <w:pPr>
        <w:pStyle w:val="SingleTxt"/>
        <w:spacing w:after="0" w:line="120" w:lineRule="exact"/>
        <w:rPr>
          <w:sz w:val="10"/>
          <w:lang w:val="fr-FR"/>
        </w:rPr>
      </w:pPr>
    </w:p>
    <w:tbl>
      <w:tblPr>
        <w:tblStyle w:val="TableGrid"/>
        <w:tblW w:w="7235"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gridCol w:w="1673"/>
      </w:tblGrid>
      <w:tr w:rsidR="00F960B9" w:rsidRPr="00630B2D" w14:paraId="524374E2" w14:textId="77777777" w:rsidTr="00812366">
        <w:trPr>
          <w:cantSplit/>
        </w:trPr>
        <w:tc>
          <w:tcPr>
            <w:tcW w:w="5562" w:type="dxa"/>
            <w:tcBorders>
              <w:top w:val="single" w:sz="4" w:space="0" w:color="auto"/>
              <w:bottom w:val="single" w:sz="12" w:space="0" w:color="auto"/>
            </w:tcBorders>
            <w:shd w:val="clear" w:color="auto" w:fill="auto"/>
            <w:vAlign w:val="bottom"/>
          </w:tcPr>
          <w:p w14:paraId="226447F4" w14:textId="77777777" w:rsidR="00F960B9" w:rsidRPr="00630B2D" w:rsidRDefault="00F960B9" w:rsidP="00630B2D">
            <w:pPr>
              <w:spacing w:before="81" w:after="81" w:line="160" w:lineRule="exact"/>
              <w:rPr>
                <w:i/>
                <w:sz w:val="14"/>
              </w:rPr>
            </w:pPr>
            <w:r w:rsidRPr="00630B2D">
              <w:rPr>
                <w:i/>
                <w:sz w:val="14"/>
              </w:rPr>
              <w:t>Année</w:t>
            </w:r>
          </w:p>
        </w:tc>
        <w:tc>
          <w:tcPr>
            <w:tcW w:w="1673" w:type="dxa"/>
            <w:tcBorders>
              <w:top w:val="single" w:sz="4" w:space="0" w:color="auto"/>
              <w:bottom w:val="single" w:sz="12" w:space="0" w:color="auto"/>
            </w:tcBorders>
            <w:shd w:val="clear" w:color="auto" w:fill="auto"/>
            <w:vAlign w:val="bottom"/>
          </w:tcPr>
          <w:p w14:paraId="7C292A2A" w14:textId="77777777" w:rsidR="00F960B9" w:rsidRPr="00630B2D" w:rsidRDefault="00F960B9" w:rsidP="00630B2D">
            <w:pPr>
              <w:spacing w:before="81" w:after="81" w:line="160" w:lineRule="exact"/>
              <w:jc w:val="right"/>
              <w:rPr>
                <w:i/>
                <w:sz w:val="14"/>
              </w:rPr>
            </w:pPr>
            <w:r w:rsidRPr="00630B2D">
              <w:rPr>
                <w:i/>
                <w:sz w:val="14"/>
              </w:rPr>
              <w:t>2017</w:t>
            </w:r>
          </w:p>
        </w:tc>
      </w:tr>
      <w:tr w:rsidR="00630B2D" w:rsidRPr="00630B2D" w14:paraId="1A6AB6BD" w14:textId="77777777" w:rsidTr="00812366">
        <w:tblPrEx>
          <w:tblBorders>
            <w:bottom w:val="single" w:sz="12" w:space="0" w:color="auto"/>
          </w:tblBorders>
        </w:tblPrEx>
        <w:trPr>
          <w:cantSplit/>
          <w:trHeight w:hRule="exact" w:val="115"/>
        </w:trPr>
        <w:tc>
          <w:tcPr>
            <w:tcW w:w="5562" w:type="dxa"/>
            <w:tcBorders>
              <w:top w:val="single" w:sz="12" w:space="0" w:color="auto"/>
              <w:bottom w:val="nil"/>
            </w:tcBorders>
            <w:shd w:val="clear" w:color="auto" w:fill="auto"/>
            <w:vAlign w:val="bottom"/>
          </w:tcPr>
          <w:p w14:paraId="57679BC8" w14:textId="77777777" w:rsidR="00630B2D" w:rsidRPr="00630B2D" w:rsidRDefault="00630B2D" w:rsidP="00630B2D">
            <w:pPr>
              <w:spacing w:before="40" w:after="40" w:line="210" w:lineRule="exact"/>
              <w:rPr>
                <w:sz w:val="17"/>
              </w:rPr>
            </w:pPr>
          </w:p>
        </w:tc>
        <w:tc>
          <w:tcPr>
            <w:tcW w:w="1673" w:type="dxa"/>
            <w:tcBorders>
              <w:top w:val="single" w:sz="12" w:space="0" w:color="auto"/>
              <w:bottom w:val="nil"/>
            </w:tcBorders>
            <w:shd w:val="clear" w:color="auto" w:fill="auto"/>
            <w:vAlign w:val="bottom"/>
          </w:tcPr>
          <w:p w14:paraId="3CD03414" w14:textId="77777777" w:rsidR="00630B2D" w:rsidRPr="00630B2D" w:rsidRDefault="00630B2D" w:rsidP="00630B2D">
            <w:pPr>
              <w:spacing w:before="40" w:after="40" w:line="210" w:lineRule="exact"/>
              <w:jc w:val="right"/>
              <w:rPr>
                <w:sz w:val="17"/>
              </w:rPr>
            </w:pPr>
          </w:p>
        </w:tc>
      </w:tr>
      <w:tr w:rsidR="00F960B9" w:rsidRPr="00630B2D" w14:paraId="0CC4D64B" w14:textId="77777777" w:rsidTr="00812366">
        <w:tblPrEx>
          <w:tblBorders>
            <w:bottom w:val="single" w:sz="12" w:space="0" w:color="auto"/>
          </w:tblBorders>
        </w:tblPrEx>
        <w:trPr>
          <w:cantSplit/>
        </w:trPr>
        <w:tc>
          <w:tcPr>
            <w:tcW w:w="5562" w:type="dxa"/>
            <w:tcBorders>
              <w:top w:val="nil"/>
            </w:tcBorders>
            <w:shd w:val="clear" w:color="auto" w:fill="auto"/>
            <w:vAlign w:val="bottom"/>
          </w:tcPr>
          <w:p w14:paraId="00E7E409" w14:textId="233BA109" w:rsidR="00F960B9" w:rsidRPr="00630B2D" w:rsidRDefault="00F960B9" w:rsidP="00630B2D">
            <w:pPr>
              <w:spacing w:before="40" w:after="40" w:line="210" w:lineRule="exact"/>
              <w:rPr>
                <w:sz w:val="17"/>
              </w:rPr>
            </w:pPr>
            <w:r w:rsidRPr="00630B2D">
              <w:rPr>
                <w:sz w:val="17"/>
              </w:rPr>
              <w:t>Nombre d</w:t>
            </w:r>
            <w:r w:rsidR="00795C5F">
              <w:rPr>
                <w:sz w:val="17"/>
              </w:rPr>
              <w:t>’</w:t>
            </w:r>
            <w:r w:rsidRPr="00630B2D">
              <w:rPr>
                <w:sz w:val="17"/>
              </w:rPr>
              <w:t>enquêtes</w:t>
            </w:r>
          </w:p>
        </w:tc>
        <w:tc>
          <w:tcPr>
            <w:tcW w:w="1673" w:type="dxa"/>
            <w:tcBorders>
              <w:top w:val="nil"/>
            </w:tcBorders>
            <w:shd w:val="clear" w:color="auto" w:fill="auto"/>
            <w:vAlign w:val="bottom"/>
          </w:tcPr>
          <w:p w14:paraId="5B23F041" w14:textId="77777777" w:rsidR="00F960B9" w:rsidRPr="00630B2D" w:rsidRDefault="00F960B9" w:rsidP="00630B2D">
            <w:pPr>
              <w:spacing w:before="40" w:after="40" w:line="210" w:lineRule="exact"/>
              <w:jc w:val="right"/>
              <w:rPr>
                <w:sz w:val="17"/>
              </w:rPr>
            </w:pPr>
            <w:r w:rsidRPr="00630B2D">
              <w:rPr>
                <w:sz w:val="17"/>
              </w:rPr>
              <w:t>791</w:t>
            </w:r>
          </w:p>
        </w:tc>
      </w:tr>
    </w:tbl>
    <w:p w14:paraId="1FBC32CC" w14:textId="77777777" w:rsidR="00630B2D" w:rsidRPr="00630B2D" w:rsidRDefault="00630B2D" w:rsidP="00630B2D">
      <w:pPr>
        <w:pStyle w:val="SingleTxt"/>
        <w:spacing w:after="0" w:line="120" w:lineRule="exact"/>
        <w:rPr>
          <w:sz w:val="10"/>
          <w:lang w:val="fr-FR"/>
        </w:rPr>
      </w:pPr>
    </w:p>
    <w:p w14:paraId="11D1C7A1" w14:textId="260510C8" w:rsidR="00630B2D" w:rsidRPr="00415B49" w:rsidRDefault="00630B2D" w:rsidP="00415B49">
      <w:pPr>
        <w:pStyle w:val="SingleTxt"/>
        <w:spacing w:after="0" w:line="120" w:lineRule="exact"/>
        <w:rPr>
          <w:sz w:val="10"/>
          <w:lang w:val="fr-FR"/>
        </w:rPr>
      </w:pPr>
    </w:p>
    <w:p w14:paraId="2B619B27" w14:textId="77777777" w:rsidR="00415B49" w:rsidRPr="00630B2D" w:rsidRDefault="00415B49" w:rsidP="00630B2D">
      <w:pPr>
        <w:pStyle w:val="SingleTxt"/>
        <w:spacing w:after="0" w:line="120" w:lineRule="exact"/>
        <w:rPr>
          <w:sz w:val="10"/>
          <w:lang w:val="fr-FR"/>
        </w:rPr>
      </w:pPr>
    </w:p>
    <w:p w14:paraId="765DB0AB" w14:textId="37E42FC0" w:rsidR="00F960B9" w:rsidRDefault="00F960B9" w:rsidP="00630B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Affaires portées devant les tribunaux 2015-2017</w:t>
      </w:r>
    </w:p>
    <w:p w14:paraId="48089E6F" w14:textId="0DB2DF52" w:rsidR="00630B2D" w:rsidRPr="00630B2D" w:rsidRDefault="00630B2D" w:rsidP="00630B2D">
      <w:pPr>
        <w:pStyle w:val="SingleTxt"/>
        <w:spacing w:after="0" w:line="120" w:lineRule="exact"/>
        <w:rPr>
          <w:sz w:val="10"/>
          <w:lang w:val="fr-FR"/>
        </w:rPr>
      </w:pPr>
    </w:p>
    <w:p w14:paraId="222DFBD9" w14:textId="59236A01" w:rsidR="00630B2D" w:rsidRPr="00630B2D" w:rsidRDefault="00630B2D" w:rsidP="00630B2D">
      <w:pPr>
        <w:pStyle w:val="SingleTxt"/>
        <w:spacing w:after="0" w:line="120" w:lineRule="exact"/>
        <w:rPr>
          <w:sz w:val="10"/>
          <w:lang w:val="fr-FR"/>
        </w:rPr>
      </w:pPr>
    </w:p>
    <w:tbl>
      <w:tblPr>
        <w:tblW w:w="7244" w:type="dxa"/>
        <w:tblInd w:w="1260" w:type="dxa"/>
        <w:tblLayout w:type="fixed"/>
        <w:tblCellMar>
          <w:left w:w="0" w:type="dxa"/>
          <w:right w:w="0" w:type="dxa"/>
        </w:tblCellMar>
        <w:tblLook w:val="04A0" w:firstRow="1" w:lastRow="0" w:firstColumn="1" w:lastColumn="0" w:noHBand="0" w:noVBand="1"/>
      </w:tblPr>
      <w:tblGrid>
        <w:gridCol w:w="5669"/>
        <w:gridCol w:w="1575"/>
      </w:tblGrid>
      <w:tr w:rsidR="00F960B9" w:rsidRPr="00630B2D" w14:paraId="5ABD527D" w14:textId="77777777" w:rsidTr="00812366">
        <w:trPr>
          <w:cantSplit/>
          <w:tblHeader/>
        </w:trPr>
        <w:tc>
          <w:tcPr>
            <w:tcW w:w="5669" w:type="dxa"/>
            <w:tcBorders>
              <w:top w:val="single" w:sz="4" w:space="0" w:color="auto"/>
              <w:bottom w:val="single" w:sz="12" w:space="0" w:color="auto"/>
            </w:tcBorders>
            <w:shd w:val="clear" w:color="auto" w:fill="auto"/>
            <w:vAlign w:val="bottom"/>
          </w:tcPr>
          <w:p w14:paraId="034F7D85" w14:textId="77777777" w:rsidR="00F960B9" w:rsidRPr="00630B2D" w:rsidRDefault="00F960B9" w:rsidP="00630B2D">
            <w:pPr>
              <w:suppressAutoHyphens/>
              <w:spacing w:before="81" w:after="81" w:line="160" w:lineRule="exact"/>
              <w:ind w:right="40"/>
              <w:rPr>
                <w:i/>
                <w:sz w:val="14"/>
              </w:rPr>
            </w:pPr>
            <w:r w:rsidRPr="00630B2D">
              <w:rPr>
                <w:i/>
                <w:sz w:val="14"/>
              </w:rPr>
              <w:t>Année</w:t>
            </w:r>
          </w:p>
        </w:tc>
        <w:tc>
          <w:tcPr>
            <w:tcW w:w="1575" w:type="dxa"/>
            <w:tcBorders>
              <w:top w:val="single" w:sz="4" w:space="0" w:color="auto"/>
              <w:bottom w:val="single" w:sz="12" w:space="0" w:color="auto"/>
            </w:tcBorders>
            <w:shd w:val="clear" w:color="auto" w:fill="auto"/>
            <w:vAlign w:val="bottom"/>
          </w:tcPr>
          <w:p w14:paraId="1B8F124A" w14:textId="77777777" w:rsidR="00F960B9" w:rsidRPr="00630B2D" w:rsidRDefault="00F960B9" w:rsidP="00630B2D">
            <w:pPr>
              <w:suppressAutoHyphens/>
              <w:spacing w:before="81" w:after="81" w:line="160" w:lineRule="exact"/>
              <w:ind w:left="144" w:right="43"/>
              <w:jc w:val="right"/>
              <w:rPr>
                <w:i/>
                <w:sz w:val="14"/>
              </w:rPr>
            </w:pPr>
            <w:r w:rsidRPr="00630B2D">
              <w:rPr>
                <w:i/>
                <w:sz w:val="14"/>
              </w:rPr>
              <w:t>2017</w:t>
            </w:r>
          </w:p>
        </w:tc>
      </w:tr>
      <w:tr w:rsidR="00630B2D" w:rsidRPr="00630B2D" w14:paraId="72468C59" w14:textId="77777777" w:rsidTr="00812366">
        <w:trPr>
          <w:cantSplit/>
          <w:trHeight w:hRule="exact" w:val="115"/>
          <w:tblHeader/>
        </w:trPr>
        <w:tc>
          <w:tcPr>
            <w:tcW w:w="5669" w:type="dxa"/>
            <w:tcBorders>
              <w:top w:val="single" w:sz="12" w:space="0" w:color="auto"/>
            </w:tcBorders>
            <w:shd w:val="clear" w:color="auto" w:fill="auto"/>
            <w:vAlign w:val="bottom"/>
          </w:tcPr>
          <w:p w14:paraId="57D8755A" w14:textId="77777777" w:rsidR="00630B2D" w:rsidRPr="00630B2D" w:rsidRDefault="00630B2D" w:rsidP="00630B2D">
            <w:pPr>
              <w:suppressAutoHyphens/>
              <w:spacing w:before="40" w:after="40" w:line="210" w:lineRule="exact"/>
              <w:ind w:right="40"/>
              <w:rPr>
                <w:sz w:val="17"/>
              </w:rPr>
            </w:pPr>
          </w:p>
        </w:tc>
        <w:tc>
          <w:tcPr>
            <w:tcW w:w="1575" w:type="dxa"/>
            <w:tcBorders>
              <w:top w:val="single" w:sz="12" w:space="0" w:color="auto"/>
            </w:tcBorders>
            <w:shd w:val="clear" w:color="auto" w:fill="auto"/>
            <w:vAlign w:val="bottom"/>
          </w:tcPr>
          <w:p w14:paraId="261AEEC4" w14:textId="77777777" w:rsidR="00630B2D" w:rsidRPr="00630B2D" w:rsidRDefault="00630B2D" w:rsidP="00630B2D">
            <w:pPr>
              <w:suppressAutoHyphens/>
              <w:spacing w:before="40" w:after="40" w:line="210" w:lineRule="exact"/>
              <w:ind w:left="144" w:right="43"/>
              <w:jc w:val="right"/>
              <w:rPr>
                <w:sz w:val="17"/>
              </w:rPr>
            </w:pPr>
          </w:p>
        </w:tc>
      </w:tr>
      <w:tr w:rsidR="00F960B9" w:rsidRPr="00630B2D" w14:paraId="4998E8C3" w14:textId="77777777" w:rsidTr="00812366">
        <w:trPr>
          <w:cantSplit/>
        </w:trPr>
        <w:tc>
          <w:tcPr>
            <w:tcW w:w="5669" w:type="dxa"/>
            <w:shd w:val="clear" w:color="auto" w:fill="auto"/>
            <w:vAlign w:val="bottom"/>
          </w:tcPr>
          <w:p w14:paraId="2C125955" w14:textId="77777777"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Audiences publiques</w:t>
            </w:r>
          </w:p>
        </w:tc>
        <w:tc>
          <w:tcPr>
            <w:tcW w:w="1575" w:type="dxa"/>
            <w:shd w:val="clear" w:color="auto" w:fill="auto"/>
            <w:vAlign w:val="bottom"/>
          </w:tcPr>
          <w:p w14:paraId="56F9D623"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758</w:t>
            </w:r>
          </w:p>
        </w:tc>
      </w:tr>
      <w:tr w:rsidR="00F960B9" w:rsidRPr="00630B2D" w14:paraId="4E427DA5" w14:textId="77777777" w:rsidTr="00812366">
        <w:trPr>
          <w:cantSplit/>
        </w:trPr>
        <w:tc>
          <w:tcPr>
            <w:tcW w:w="5669" w:type="dxa"/>
            <w:shd w:val="clear" w:color="auto" w:fill="auto"/>
            <w:vAlign w:val="bottom"/>
          </w:tcPr>
          <w:p w14:paraId="0A2657D6" w14:textId="77777777"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Montants recouvrés</w:t>
            </w:r>
          </w:p>
        </w:tc>
        <w:tc>
          <w:tcPr>
            <w:tcW w:w="1575" w:type="dxa"/>
            <w:shd w:val="clear" w:color="auto" w:fill="auto"/>
            <w:vAlign w:val="bottom"/>
          </w:tcPr>
          <w:p w14:paraId="7C045BCB"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64 966 749</w:t>
            </w:r>
          </w:p>
        </w:tc>
      </w:tr>
      <w:tr w:rsidR="00F960B9" w:rsidRPr="00630B2D" w14:paraId="6CD22B89" w14:textId="77777777" w:rsidTr="00812366">
        <w:trPr>
          <w:cantSplit/>
        </w:trPr>
        <w:tc>
          <w:tcPr>
            <w:tcW w:w="5669" w:type="dxa"/>
            <w:shd w:val="clear" w:color="auto" w:fill="auto"/>
            <w:vAlign w:val="bottom"/>
          </w:tcPr>
          <w:p w14:paraId="67DB095E" w14:textId="77777777"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Audiences à huis clos</w:t>
            </w:r>
          </w:p>
        </w:tc>
        <w:tc>
          <w:tcPr>
            <w:tcW w:w="1575" w:type="dxa"/>
            <w:shd w:val="clear" w:color="auto" w:fill="auto"/>
            <w:vAlign w:val="bottom"/>
          </w:tcPr>
          <w:p w14:paraId="5903409A"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289</w:t>
            </w:r>
          </w:p>
        </w:tc>
      </w:tr>
      <w:tr w:rsidR="00F960B9" w:rsidRPr="00630B2D" w14:paraId="6FC6C271" w14:textId="77777777" w:rsidTr="00812366">
        <w:trPr>
          <w:cantSplit/>
        </w:trPr>
        <w:tc>
          <w:tcPr>
            <w:tcW w:w="5669" w:type="dxa"/>
            <w:shd w:val="clear" w:color="auto" w:fill="auto"/>
            <w:vAlign w:val="bottom"/>
          </w:tcPr>
          <w:p w14:paraId="55DD0D92" w14:textId="77777777"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Montants recouvrés</w:t>
            </w:r>
          </w:p>
        </w:tc>
        <w:tc>
          <w:tcPr>
            <w:tcW w:w="1575" w:type="dxa"/>
            <w:shd w:val="clear" w:color="auto" w:fill="auto"/>
            <w:vAlign w:val="bottom"/>
          </w:tcPr>
          <w:p w14:paraId="1C5E7BF9"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1 846 035</w:t>
            </w:r>
          </w:p>
        </w:tc>
      </w:tr>
      <w:tr w:rsidR="00F960B9" w:rsidRPr="00630B2D" w14:paraId="1A8E2C1D" w14:textId="77777777" w:rsidTr="00812366">
        <w:trPr>
          <w:cantSplit/>
        </w:trPr>
        <w:tc>
          <w:tcPr>
            <w:tcW w:w="5669" w:type="dxa"/>
            <w:shd w:val="clear" w:color="auto" w:fill="auto"/>
            <w:vAlign w:val="bottom"/>
          </w:tcPr>
          <w:p w14:paraId="371E51BA" w14:textId="77777777"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Affaires pénales</w:t>
            </w:r>
          </w:p>
        </w:tc>
        <w:tc>
          <w:tcPr>
            <w:tcW w:w="1575" w:type="dxa"/>
            <w:shd w:val="clear" w:color="auto" w:fill="auto"/>
            <w:vAlign w:val="bottom"/>
          </w:tcPr>
          <w:p w14:paraId="21321CF8"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100</w:t>
            </w:r>
          </w:p>
        </w:tc>
      </w:tr>
      <w:tr w:rsidR="00F960B9" w:rsidRPr="00630B2D" w14:paraId="7E2FE8EC" w14:textId="77777777" w:rsidTr="00812366">
        <w:trPr>
          <w:cantSplit/>
        </w:trPr>
        <w:tc>
          <w:tcPr>
            <w:tcW w:w="5669" w:type="dxa"/>
            <w:shd w:val="clear" w:color="auto" w:fill="auto"/>
            <w:vAlign w:val="bottom"/>
          </w:tcPr>
          <w:p w14:paraId="5B3F1C17" w14:textId="77777777"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Amendes payées</w:t>
            </w:r>
          </w:p>
        </w:tc>
        <w:tc>
          <w:tcPr>
            <w:tcW w:w="1575" w:type="dxa"/>
            <w:shd w:val="clear" w:color="auto" w:fill="auto"/>
            <w:vAlign w:val="bottom"/>
          </w:tcPr>
          <w:p w14:paraId="1F258A1B"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208 600</w:t>
            </w:r>
          </w:p>
        </w:tc>
      </w:tr>
      <w:tr w:rsidR="00F960B9" w:rsidRPr="00630B2D" w14:paraId="20B09EB6" w14:textId="77777777" w:rsidTr="00812366">
        <w:trPr>
          <w:cantSplit/>
        </w:trPr>
        <w:tc>
          <w:tcPr>
            <w:tcW w:w="5669" w:type="dxa"/>
            <w:tcBorders>
              <w:bottom w:val="single" w:sz="12" w:space="0" w:color="auto"/>
            </w:tcBorders>
            <w:shd w:val="clear" w:color="auto" w:fill="auto"/>
            <w:vAlign w:val="bottom"/>
          </w:tcPr>
          <w:p w14:paraId="0F07B201" w14:textId="1D6A9836" w:rsidR="00F960B9" w:rsidRPr="00630B2D" w:rsidRDefault="00F960B9" w:rsidP="00503C29">
            <w:pPr>
              <w:tabs>
                <w:tab w:val="left" w:pos="288"/>
                <w:tab w:val="left" w:pos="576"/>
                <w:tab w:val="left" w:pos="864"/>
                <w:tab w:val="left" w:pos="1152"/>
              </w:tabs>
              <w:suppressAutoHyphens/>
              <w:spacing w:before="40" w:after="40" w:line="210" w:lineRule="exact"/>
              <w:ind w:right="40"/>
              <w:rPr>
                <w:sz w:val="17"/>
              </w:rPr>
            </w:pPr>
            <w:r w:rsidRPr="00630B2D">
              <w:rPr>
                <w:sz w:val="17"/>
              </w:rPr>
              <w:t>Dépens</w:t>
            </w:r>
            <w:r w:rsidR="00630B2D">
              <w:rPr>
                <w:sz w:val="17"/>
              </w:rPr>
              <w:t>es</w:t>
            </w:r>
          </w:p>
        </w:tc>
        <w:tc>
          <w:tcPr>
            <w:tcW w:w="1575" w:type="dxa"/>
            <w:tcBorders>
              <w:bottom w:val="single" w:sz="12" w:space="0" w:color="auto"/>
            </w:tcBorders>
            <w:shd w:val="clear" w:color="auto" w:fill="auto"/>
            <w:vAlign w:val="bottom"/>
          </w:tcPr>
          <w:p w14:paraId="3544850A" w14:textId="77777777" w:rsidR="00F960B9" w:rsidRPr="00630B2D" w:rsidRDefault="00F960B9" w:rsidP="00503C29">
            <w:pPr>
              <w:tabs>
                <w:tab w:val="left" w:pos="288"/>
                <w:tab w:val="left" w:pos="576"/>
                <w:tab w:val="left" w:pos="864"/>
                <w:tab w:val="left" w:pos="1152"/>
              </w:tabs>
              <w:suppressAutoHyphens/>
              <w:spacing w:before="40" w:after="40" w:line="210" w:lineRule="exact"/>
              <w:ind w:left="144" w:right="43"/>
              <w:jc w:val="right"/>
              <w:rPr>
                <w:sz w:val="17"/>
              </w:rPr>
            </w:pPr>
            <w:r w:rsidRPr="00630B2D">
              <w:rPr>
                <w:sz w:val="17"/>
              </w:rPr>
              <w:t>11 600</w:t>
            </w:r>
          </w:p>
        </w:tc>
      </w:tr>
    </w:tbl>
    <w:p w14:paraId="3CB789B9" w14:textId="77777777" w:rsidR="00630B2D" w:rsidRPr="00630B2D" w:rsidRDefault="00630B2D" w:rsidP="00630B2D">
      <w:pPr>
        <w:pStyle w:val="SingleTxtG"/>
        <w:spacing w:after="0" w:line="120" w:lineRule="exact"/>
        <w:ind w:firstLine="170"/>
        <w:rPr>
          <w:sz w:val="10"/>
          <w:lang w:val="fr-FR"/>
        </w:rPr>
      </w:pPr>
    </w:p>
    <w:p w14:paraId="32C569EF" w14:textId="419DA339" w:rsidR="00F960B9" w:rsidRDefault="00F960B9" w:rsidP="00630B2D">
      <w:pPr>
        <w:pStyle w:val="FootnoteText"/>
        <w:tabs>
          <w:tab w:val="right" w:pos="1476"/>
          <w:tab w:val="left" w:pos="1548"/>
          <w:tab w:val="right" w:pos="1836"/>
          <w:tab w:val="left" w:pos="1908"/>
        </w:tabs>
        <w:ind w:left="1548" w:right="1267" w:hanging="288"/>
        <w:rPr>
          <w:lang w:val="fr-FR"/>
        </w:rPr>
      </w:pPr>
      <w:r w:rsidRPr="00630B2D">
        <w:rPr>
          <w:i/>
          <w:iCs/>
          <w:lang w:val="fr-FR"/>
        </w:rPr>
        <w:t>Source</w:t>
      </w:r>
      <w:r w:rsidR="00795C5F">
        <w:rPr>
          <w:lang w:val="fr-FR"/>
        </w:rPr>
        <w:t> :</w:t>
      </w:r>
      <w:r>
        <w:rPr>
          <w:lang w:val="fr-FR"/>
        </w:rPr>
        <w:t xml:space="preserve"> Ministère du travail, des relations professionnelles et de la formation.</w:t>
      </w:r>
    </w:p>
    <w:p w14:paraId="63C3602C" w14:textId="594D71D1" w:rsidR="00630B2D" w:rsidRPr="00630B2D" w:rsidRDefault="00630B2D" w:rsidP="00630B2D">
      <w:pPr>
        <w:pStyle w:val="FootnoteText"/>
        <w:tabs>
          <w:tab w:val="right" w:pos="1476"/>
          <w:tab w:val="left" w:pos="1548"/>
          <w:tab w:val="right" w:pos="1836"/>
          <w:tab w:val="left" w:pos="1908"/>
        </w:tabs>
        <w:spacing w:line="120" w:lineRule="exact"/>
        <w:ind w:left="1548" w:right="1267" w:hanging="288"/>
        <w:rPr>
          <w:sz w:val="10"/>
          <w:lang w:val="fr-FR"/>
        </w:rPr>
      </w:pPr>
    </w:p>
    <w:p w14:paraId="0B14461B" w14:textId="23D231DB" w:rsidR="00630B2D" w:rsidRPr="00630B2D" w:rsidRDefault="00630B2D" w:rsidP="00630B2D">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51CF734D" w14:textId="1E873B86" w:rsidR="00630B2D" w:rsidRPr="00630B2D" w:rsidRDefault="00630B2D" w:rsidP="00630B2D">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5A7DCA0B" w14:textId="2916F7CE" w:rsidR="00F960B9" w:rsidRDefault="00F960B9" w:rsidP="00630B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Plaintes reçues de travailleurs migrants 2015-2017</w:t>
      </w:r>
    </w:p>
    <w:p w14:paraId="712D6EE0" w14:textId="6D476872" w:rsidR="00630B2D" w:rsidRPr="00630B2D" w:rsidRDefault="00630B2D" w:rsidP="00630B2D">
      <w:pPr>
        <w:pStyle w:val="SingleTxt"/>
        <w:spacing w:after="0" w:line="120" w:lineRule="exact"/>
        <w:rPr>
          <w:sz w:val="10"/>
          <w:lang w:val="fr-FR"/>
        </w:rPr>
      </w:pPr>
    </w:p>
    <w:p w14:paraId="677ED932" w14:textId="085F2FB4" w:rsidR="00630B2D" w:rsidRPr="00630B2D" w:rsidRDefault="00630B2D" w:rsidP="00630B2D">
      <w:pPr>
        <w:pStyle w:val="SingleTxt"/>
        <w:spacing w:after="0" w:line="120" w:lineRule="exact"/>
        <w:rPr>
          <w:sz w:val="10"/>
          <w:lang w:val="fr-FR"/>
        </w:rPr>
      </w:pPr>
    </w:p>
    <w:tbl>
      <w:tblPr>
        <w:tblW w:w="7244" w:type="dxa"/>
        <w:tblInd w:w="1260" w:type="dxa"/>
        <w:tblLayout w:type="fixed"/>
        <w:tblCellMar>
          <w:left w:w="0" w:type="dxa"/>
          <w:right w:w="0" w:type="dxa"/>
        </w:tblCellMar>
        <w:tblLook w:val="04A0" w:firstRow="1" w:lastRow="0" w:firstColumn="1" w:lastColumn="0" w:noHBand="0" w:noVBand="1"/>
      </w:tblPr>
      <w:tblGrid>
        <w:gridCol w:w="5679"/>
        <w:gridCol w:w="1565"/>
      </w:tblGrid>
      <w:tr w:rsidR="00F960B9" w:rsidRPr="00630B2D" w14:paraId="0EA19AB7" w14:textId="77777777" w:rsidTr="00812366">
        <w:trPr>
          <w:cantSplit/>
          <w:tblHeader/>
        </w:trPr>
        <w:tc>
          <w:tcPr>
            <w:tcW w:w="5679" w:type="dxa"/>
            <w:tcBorders>
              <w:top w:val="single" w:sz="4" w:space="0" w:color="auto"/>
              <w:bottom w:val="single" w:sz="12" w:space="0" w:color="auto"/>
            </w:tcBorders>
            <w:shd w:val="clear" w:color="auto" w:fill="auto"/>
            <w:vAlign w:val="bottom"/>
          </w:tcPr>
          <w:p w14:paraId="26BCE822" w14:textId="77777777" w:rsidR="00F960B9" w:rsidRPr="00630B2D" w:rsidRDefault="00F960B9" w:rsidP="00630B2D">
            <w:pPr>
              <w:spacing w:before="81" w:after="81" w:line="160" w:lineRule="exact"/>
              <w:rPr>
                <w:i/>
                <w:sz w:val="14"/>
              </w:rPr>
            </w:pPr>
            <w:r w:rsidRPr="00630B2D">
              <w:rPr>
                <w:i/>
                <w:sz w:val="14"/>
              </w:rPr>
              <w:t>Année</w:t>
            </w:r>
          </w:p>
        </w:tc>
        <w:tc>
          <w:tcPr>
            <w:tcW w:w="1565" w:type="dxa"/>
            <w:tcBorders>
              <w:top w:val="single" w:sz="4" w:space="0" w:color="auto"/>
              <w:bottom w:val="single" w:sz="12" w:space="0" w:color="auto"/>
            </w:tcBorders>
            <w:shd w:val="clear" w:color="auto" w:fill="auto"/>
            <w:vAlign w:val="bottom"/>
          </w:tcPr>
          <w:p w14:paraId="3822158D" w14:textId="77777777" w:rsidR="00F960B9" w:rsidRPr="00630B2D" w:rsidRDefault="00F960B9" w:rsidP="00630B2D">
            <w:pPr>
              <w:spacing w:before="81" w:after="81" w:line="160" w:lineRule="exact"/>
              <w:jc w:val="right"/>
              <w:rPr>
                <w:i/>
                <w:sz w:val="14"/>
              </w:rPr>
            </w:pPr>
            <w:r w:rsidRPr="00630B2D">
              <w:rPr>
                <w:i/>
                <w:sz w:val="14"/>
              </w:rPr>
              <w:t>2017</w:t>
            </w:r>
          </w:p>
        </w:tc>
      </w:tr>
      <w:tr w:rsidR="00630B2D" w:rsidRPr="00F960B9" w14:paraId="53B8AA7C" w14:textId="77777777" w:rsidTr="00812366">
        <w:trPr>
          <w:cantSplit/>
          <w:trHeight w:hRule="exact" w:val="115"/>
        </w:trPr>
        <w:tc>
          <w:tcPr>
            <w:tcW w:w="5679" w:type="dxa"/>
            <w:tcBorders>
              <w:top w:val="single" w:sz="12" w:space="0" w:color="auto"/>
            </w:tcBorders>
            <w:shd w:val="clear" w:color="auto" w:fill="auto"/>
          </w:tcPr>
          <w:p w14:paraId="2674FA98" w14:textId="77777777" w:rsidR="00630B2D" w:rsidRPr="00F960B9" w:rsidRDefault="00630B2D" w:rsidP="00B639EA">
            <w:pPr>
              <w:spacing w:before="40" w:after="40" w:line="210" w:lineRule="exact"/>
              <w:rPr>
                <w:sz w:val="17"/>
                <w:szCs w:val="17"/>
              </w:rPr>
            </w:pPr>
          </w:p>
        </w:tc>
        <w:tc>
          <w:tcPr>
            <w:tcW w:w="1565" w:type="dxa"/>
            <w:tcBorders>
              <w:top w:val="single" w:sz="12" w:space="0" w:color="auto"/>
            </w:tcBorders>
            <w:shd w:val="clear" w:color="auto" w:fill="auto"/>
            <w:vAlign w:val="bottom"/>
          </w:tcPr>
          <w:p w14:paraId="70BE686A" w14:textId="77777777" w:rsidR="00630B2D" w:rsidRPr="00F960B9" w:rsidRDefault="00630B2D" w:rsidP="00630B2D">
            <w:pPr>
              <w:spacing w:before="40" w:after="40" w:line="210" w:lineRule="exact"/>
              <w:jc w:val="right"/>
              <w:rPr>
                <w:sz w:val="17"/>
                <w:szCs w:val="17"/>
              </w:rPr>
            </w:pPr>
          </w:p>
        </w:tc>
      </w:tr>
      <w:tr w:rsidR="00F960B9" w:rsidRPr="00630B2D" w14:paraId="07142444" w14:textId="77777777" w:rsidTr="00812366">
        <w:trPr>
          <w:cantSplit/>
        </w:trPr>
        <w:tc>
          <w:tcPr>
            <w:tcW w:w="5679" w:type="dxa"/>
            <w:shd w:val="clear" w:color="auto" w:fill="auto"/>
          </w:tcPr>
          <w:p w14:paraId="68B925CF" w14:textId="77777777" w:rsidR="00F960B9" w:rsidRPr="00630B2D" w:rsidRDefault="00F960B9" w:rsidP="00630B2D">
            <w:pPr>
              <w:spacing w:before="40" w:after="40" w:line="210" w:lineRule="exact"/>
              <w:rPr>
                <w:sz w:val="17"/>
                <w:szCs w:val="17"/>
              </w:rPr>
            </w:pPr>
            <w:r w:rsidRPr="00630B2D">
              <w:rPr>
                <w:sz w:val="17"/>
                <w:szCs w:val="17"/>
              </w:rPr>
              <w:t>Nombre de plaintes enregistrées</w:t>
            </w:r>
          </w:p>
        </w:tc>
        <w:tc>
          <w:tcPr>
            <w:tcW w:w="1565" w:type="dxa"/>
            <w:shd w:val="clear" w:color="auto" w:fill="auto"/>
            <w:vAlign w:val="bottom"/>
          </w:tcPr>
          <w:p w14:paraId="21EC7368" w14:textId="77777777" w:rsidR="00F960B9" w:rsidRPr="00630B2D" w:rsidRDefault="00F960B9" w:rsidP="00630B2D">
            <w:pPr>
              <w:spacing w:before="40" w:after="40" w:line="210" w:lineRule="exact"/>
              <w:jc w:val="right"/>
              <w:rPr>
                <w:sz w:val="17"/>
                <w:szCs w:val="17"/>
              </w:rPr>
            </w:pPr>
            <w:r w:rsidRPr="00630B2D">
              <w:rPr>
                <w:sz w:val="17"/>
                <w:szCs w:val="17"/>
              </w:rPr>
              <w:t>603</w:t>
            </w:r>
          </w:p>
        </w:tc>
      </w:tr>
      <w:tr w:rsidR="00F960B9" w:rsidRPr="00630B2D" w14:paraId="1542C308" w14:textId="77777777" w:rsidTr="00812366">
        <w:trPr>
          <w:cantSplit/>
        </w:trPr>
        <w:tc>
          <w:tcPr>
            <w:tcW w:w="5679" w:type="dxa"/>
            <w:shd w:val="clear" w:color="auto" w:fill="auto"/>
          </w:tcPr>
          <w:p w14:paraId="2AC0031F" w14:textId="77777777" w:rsidR="00F960B9" w:rsidRPr="00630B2D" w:rsidRDefault="00F960B9" w:rsidP="00630B2D">
            <w:pPr>
              <w:spacing w:before="40" w:after="40" w:line="210" w:lineRule="exact"/>
              <w:rPr>
                <w:sz w:val="17"/>
                <w:szCs w:val="17"/>
              </w:rPr>
            </w:pPr>
            <w:r w:rsidRPr="00630B2D">
              <w:rPr>
                <w:sz w:val="17"/>
                <w:szCs w:val="17"/>
              </w:rPr>
              <w:t>Affaires réglées</w:t>
            </w:r>
          </w:p>
        </w:tc>
        <w:tc>
          <w:tcPr>
            <w:tcW w:w="1565" w:type="dxa"/>
            <w:shd w:val="clear" w:color="auto" w:fill="auto"/>
            <w:vAlign w:val="bottom"/>
          </w:tcPr>
          <w:p w14:paraId="23447B81" w14:textId="77777777" w:rsidR="00F960B9" w:rsidRPr="00630B2D" w:rsidRDefault="00F960B9" w:rsidP="00630B2D">
            <w:pPr>
              <w:spacing w:before="40" w:after="40" w:line="210" w:lineRule="exact"/>
              <w:jc w:val="right"/>
              <w:rPr>
                <w:sz w:val="17"/>
                <w:szCs w:val="17"/>
              </w:rPr>
            </w:pPr>
            <w:r w:rsidRPr="00630B2D">
              <w:rPr>
                <w:sz w:val="17"/>
                <w:szCs w:val="17"/>
              </w:rPr>
              <w:t>560</w:t>
            </w:r>
          </w:p>
        </w:tc>
      </w:tr>
      <w:tr w:rsidR="00F960B9" w:rsidRPr="00630B2D" w14:paraId="12ECA7EF" w14:textId="77777777" w:rsidTr="00812366">
        <w:trPr>
          <w:cantSplit/>
        </w:trPr>
        <w:tc>
          <w:tcPr>
            <w:tcW w:w="5679" w:type="dxa"/>
            <w:tcBorders>
              <w:bottom w:val="single" w:sz="4" w:space="0" w:color="auto"/>
            </w:tcBorders>
            <w:shd w:val="clear" w:color="auto" w:fill="auto"/>
          </w:tcPr>
          <w:p w14:paraId="3D40C21A" w14:textId="578B8A16" w:rsidR="00F960B9" w:rsidRPr="00630B2D" w:rsidRDefault="00F960B9" w:rsidP="00630B2D">
            <w:pPr>
              <w:spacing w:before="40" w:after="81" w:line="210" w:lineRule="exact"/>
              <w:rPr>
                <w:sz w:val="17"/>
                <w:szCs w:val="17"/>
              </w:rPr>
            </w:pPr>
            <w:r w:rsidRPr="00630B2D">
              <w:rPr>
                <w:sz w:val="17"/>
                <w:szCs w:val="17"/>
              </w:rPr>
              <w:t>Nombre d</w:t>
            </w:r>
            <w:r w:rsidR="00795C5F">
              <w:rPr>
                <w:sz w:val="17"/>
                <w:szCs w:val="17"/>
              </w:rPr>
              <w:t>’</w:t>
            </w:r>
            <w:r w:rsidRPr="00630B2D">
              <w:rPr>
                <w:sz w:val="17"/>
                <w:szCs w:val="17"/>
              </w:rPr>
              <w:t>affaires portées devant les tribunaux</w:t>
            </w:r>
          </w:p>
        </w:tc>
        <w:tc>
          <w:tcPr>
            <w:tcW w:w="1565" w:type="dxa"/>
            <w:tcBorders>
              <w:bottom w:val="single" w:sz="4" w:space="0" w:color="auto"/>
            </w:tcBorders>
            <w:shd w:val="clear" w:color="auto" w:fill="auto"/>
            <w:vAlign w:val="bottom"/>
          </w:tcPr>
          <w:p w14:paraId="7863421F" w14:textId="77777777" w:rsidR="00F960B9" w:rsidRPr="00630B2D" w:rsidRDefault="00F960B9" w:rsidP="00630B2D">
            <w:pPr>
              <w:spacing w:before="40" w:after="81" w:line="210" w:lineRule="exact"/>
              <w:jc w:val="right"/>
              <w:rPr>
                <w:sz w:val="17"/>
                <w:szCs w:val="17"/>
              </w:rPr>
            </w:pPr>
            <w:r w:rsidRPr="00630B2D">
              <w:rPr>
                <w:sz w:val="17"/>
                <w:szCs w:val="17"/>
              </w:rPr>
              <w:t>8</w:t>
            </w:r>
          </w:p>
        </w:tc>
      </w:tr>
      <w:tr w:rsidR="00F960B9" w:rsidRPr="00630B2D" w14:paraId="0925B7D7" w14:textId="77777777" w:rsidTr="00812366">
        <w:trPr>
          <w:cantSplit/>
        </w:trPr>
        <w:tc>
          <w:tcPr>
            <w:tcW w:w="5679" w:type="dxa"/>
            <w:tcBorders>
              <w:top w:val="single" w:sz="4" w:space="0" w:color="auto"/>
              <w:bottom w:val="single" w:sz="12" w:space="0" w:color="auto"/>
            </w:tcBorders>
            <w:shd w:val="clear" w:color="auto" w:fill="auto"/>
          </w:tcPr>
          <w:p w14:paraId="1BF33B4A" w14:textId="0AF1317A" w:rsidR="00F960B9" w:rsidRPr="00630B2D" w:rsidRDefault="00630B2D" w:rsidP="00503C29">
            <w:pPr>
              <w:tabs>
                <w:tab w:val="left" w:pos="288"/>
                <w:tab w:val="left" w:pos="576"/>
                <w:tab w:val="left" w:pos="864"/>
                <w:tab w:val="left" w:pos="1152"/>
              </w:tabs>
              <w:suppressAutoHyphens/>
              <w:spacing w:before="81" w:after="81" w:line="210" w:lineRule="exact"/>
              <w:ind w:right="40"/>
              <w:rPr>
                <w:b/>
                <w:sz w:val="17"/>
              </w:rPr>
            </w:pPr>
            <w:r w:rsidRPr="00630B2D">
              <w:rPr>
                <w:b/>
                <w:sz w:val="17"/>
              </w:rPr>
              <w:tab/>
            </w:r>
            <w:r w:rsidR="00F960B9" w:rsidRPr="00630B2D">
              <w:rPr>
                <w:b/>
                <w:sz w:val="17"/>
              </w:rPr>
              <w:t>Total des montants versés (en roupies)</w:t>
            </w:r>
          </w:p>
        </w:tc>
        <w:tc>
          <w:tcPr>
            <w:tcW w:w="1565" w:type="dxa"/>
            <w:tcBorders>
              <w:top w:val="single" w:sz="4" w:space="0" w:color="auto"/>
              <w:bottom w:val="single" w:sz="12" w:space="0" w:color="auto"/>
            </w:tcBorders>
            <w:shd w:val="clear" w:color="auto" w:fill="auto"/>
            <w:vAlign w:val="bottom"/>
          </w:tcPr>
          <w:p w14:paraId="5D3659F3" w14:textId="77777777" w:rsidR="00F960B9" w:rsidRPr="00630B2D" w:rsidRDefault="00F960B9" w:rsidP="00503C29">
            <w:pPr>
              <w:spacing w:before="81" w:after="81" w:line="210" w:lineRule="exact"/>
              <w:jc w:val="right"/>
              <w:rPr>
                <w:b/>
                <w:sz w:val="17"/>
                <w:szCs w:val="17"/>
              </w:rPr>
            </w:pPr>
            <w:r w:rsidRPr="00630B2D">
              <w:rPr>
                <w:b/>
                <w:sz w:val="17"/>
                <w:szCs w:val="17"/>
              </w:rPr>
              <w:t>12 094 225</w:t>
            </w:r>
          </w:p>
        </w:tc>
      </w:tr>
    </w:tbl>
    <w:p w14:paraId="77D40B87" w14:textId="18598363" w:rsidR="00630B2D" w:rsidRPr="00503C29" w:rsidRDefault="00630B2D" w:rsidP="00503C29">
      <w:pPr>
        <w:pStyle w:val="SingleTxt"/>
        <w:spacing w:after="0" w:line="120" w:lineRule="exact"/>
        <w:rPr>
          <w:sz w:val="10"/>
          <w:lang w:val="fr-FR"/>
        </w:rPr>
      </w:pPr>
    </w:p>
    <w:p w14:paraId="3D12192C" w14:textId="77777777" w:rsidR="00503C29" w:rsidRPr="00503C29" w:rsidRDefault="00503C29" w:rsidP="00503C29">
      <w:pPr>
        <w:pStyle w:val="SingleTxt"/>
        <w:spacing w:after="0" w:line="120" w:lineRule="exact"/>
        <w:rPr>
          <w:sz w:val="10"/>
          <w:lang w:val="fr-FR"/>
        </w:rPr>
      </w:pPr>
    </w:p>
    <w:p w14:paraId="070A708D" w14:textId="78947756" w:rsidR="00F960B9" w:rsidRDefault="00630B2D" w:rsidP="00812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812366">
        <w:rPr>
          <w:lang w:val="fr-FR"/>
        </w:rPr>
        <w:tab/>
      </w:r>
      <w:r w:rsidR="00F960B9">
        <w:rPr>
          <w:lang w:val="fr-FR"/>
        </w:rPr>
        <w:t>Inspections effectuées relativement à des travailleurs migrants 2015-2017</w:t>
      </w:r>
    </w:p>
    <w:p w14:paraId="5BC7D2BF" w14:textId="646912E9" w:rsidR="00630B2D" w:rsidRPr="00812366" w:rsidRDefault="00630B2D" w:rsidP="00812366">
      <w:pPr>
        <w:pStyle w:val="SingleTxt"/>
        <w:spacing w:after="0" w:line="120" w:lineRule="exact"/>
        <w:rPr>
          <w:sz w:val="10"/>
          <w:lang w:val="fr-FR"/>
        </w:rPr>
      </w:pPr>
    </w:p>
    <w:tbl>
      <w:tblPr>
        <w:tblW w:w="7235" w:type="dxa"/>
        <w:tblInd w:w="1269" w:type="dxa"/>
        <w:tblLayout w:type="fixed"/>
        <w:tblCellMar>
          <w:left w:w="0" w:type="dxa"/>
          <w:right w:w="0" w:type="dxa"/>
        </w:tblCellMar>
        <w:tblLook w:val="04A0" w:firstRow="1" w:lastRow="0" w:firstColumn="1" w:lastColumn="0" w:noHBand="0" w:noVBand="1"/>
      </w:tblPr>
      <w:tblGrid>
        <w:gridCol w:w="5443"/>
        <w:gridCol w:w="1792"/>
      </w:tblGrid>
      <w:tr w:rsidR="00F960B9" w:rsidRPr="00812366" w14:paraId="58FA4F7A" w14:textId="77777777" w:rsidTr="00812366">
        <w:trPr>
          <w:cantSplit/>
          <w:tblHeader/>
        </w:trPr>
        <w:tc>
          <w:tcPr>
            <w:tcW w:w="5443" w:type="dxa"/>
            <w:tcBorders>
              <w:top w:val="single" w:sz="4" w:space="0" w:color="auto"/>
              <w:bottom w:val="single" w:sz="12" w:space="0" w:color="auto"/>
            </w:tcBorders>
            <w:shd w:val="clear" w:color="auto" w:fill="auto"/>
            <w:vAlign w:val="bottom"/>
          </w:tcPr>
          <w:p w14:paraId="368C829A" w14:textId="77777777" w:rsidR="00F960B9" w:rsidRPr="00812366" w:rsidRDefault="00F960B9" w:rsidP="00812366">
            <w:pPr>
              <w:spacing w:before="81" w:after="81" w:line="160" w:lineRule="exact"/>
              <w:rPr>
                <w:i/>
                <w:sz w:val="14"/>
              </w:rPr>
            </w:pPr>
            <w:r w:rsidRPr="00812366">
              <w:rPr>
                <w:i/>
                <w:sz w:val="14"/>
              </w:rPr>
              <w:t>Année</w:t>
            </w:r>
          </w:p>
        </w:tc>
        <w:tc>
          <w:tcPr>
            <w:tcW w:w="1792" w:type="dxa"/>
            <w:tcBorders>
              <w:top w:val="single" w:sz="4" w:space="0" w:color="auto"/>
              <w:bottom w:val="single" w:sz="12" w:space="0" w:color="auto"/>
            </w:tcBorders>
            <w:shd w:val="clear" w:color="auto" w:fill="auto"/>
            <w:vAlign w:val="bottom"/>
          </w:tcPr>
          <w:p w14:paraId="477B1C52" w14:textId="77777777" w:rsidR="00F960B9" w:rsidRPr="00812366" w:rsidRDefault="00F960B9" w:rsidP="00B639EA">
            <w:pPr>
              <w:spacing w:before="81" w:after="81" w:line="160" w:lineRule="exact"/>
              <w:jc w:val="right"/>
              <w:rPr>
                <w:i/>
                <w:sz w:val="14"/>
              </w:rPr>
            </w:pPr>
            <w:r w:rsidRPr="00812366">
              <w:rPr>
                <w:i/>
                <w:sz w:val="14"/>
              </w:rPr>
              <w:t>2017</w:t>
            </w:r>
          </w:p>
        </w:tc>
      </w:tr>
      <w:tr w:rsidR="00812366" w:rsidRPr="00812366" w14:paraId="5DBA1F27" w14:textId="77777777" w:rsidTr="00812366">
        <w:trPr>
          <w:cantSplit/>
          <w:trHeight w:hRule="exact" w:val="115"/>
        </w:trPr>
        <w:tc>
          <w:tcPr>
            <w:tcW w:w="5443" w:type="dxa"/>
            <w:tcBorders>
              <w:top w:val="single" w:sz="12" w:space="0" w:color="auto"/>
            </w:tcBorders>
            <w:shd w:val="clear" w:color="auto" w:fill="auto"/>
          </w:tcPr>
          <w:p w14:paraId="621E698E" w14:textId="77777777" w:rsidR="00812366" w:rsidRPr="00812366" w:rsidRDefault="00812366" w:rsidP="00812366">
            <w:pPr>
              <w:spacing w:before="40" w:after="40" w:line="210" w:lineRule="exact"/>
              <w:rPr>
                <w:sz w:val="17"/>
                <w:szCs w:val="17"/>
              </w:rPr>
            </w:pPr>
          </w:p>
        </w:tc>
        <w:tc>
          <w:tcPr>
            <w:tcW w:w="1792" w:type="dxa"/>
            <w:tcBorders>
              <w:top w:val="single" w:sz="12" w:space="0" w:color="auto"/>
            </w:tcBorders>
            <w:shd w:val="clear" w:color="auto" w:fill="auto"/>
            <w:vAlign w:val="bottom"/>
          </w:tcPr>
          <w:p w14:paraId="43C4533D" w14:textId="77777777" w:rsidR="00812366" w:rsidRPr="00812366" w:rsidRDefault="00812366" w:rsidP="00B639EA">
            <w:pPr>
              <w:spacing w:before="40" w:after="40" w:line="210" w:lineRule="exact"/>
              <w:jc w:val="right"/>
              <w:rPr>
                <w:sz w:val="17"/>
                <w:szCs w:val="17"/>
              </w:rPr>
            </w:pPr>
          </w:p>
        </w:tc>
      </w:tr>
      <w:tr w:rsidR="00F960B9" w:rsidRPr="00812366" w14:paraId="4860F157" w14:textId="77777777" w:rsidTr="00812366">
        <w:trPr>
          <w:cantSplit/>
        </w:trPr>
        <w:tc>
          <w:tcPr>
            <w:tcW w:w="5443" w:type="dxa"/>
            <w:shd w:val="clear" w:color="auto" w:fill="auto"/>
          </w:tcPr>
          <w:p w14:paraId="15C7E56C" w14:textId="1F3D59AB" w:rsidR="00F960B9" w:rsidRPr="00812366" w:rsidRDefault="00F960B9" w:rsidP="00812366">
            <w:pPr>
              <w:spacing w:before="40" w:after="40" w:line="210" w:lineRule="exact"/>
              <w:rPr>
                <w:sz w:val="17"/>
                <w:szCs w:val="17"/>
              </w:rPr>
            </w:pPr>
            <w:r w:rsidRPr="00812366">
              <w:rPr>
                <w:sz w:val="17"/>
                <w:szCs w:val="17"/>
              </w:rPr>
              <w:t>Nombre d</w:t>
            </w:r>
            <w:r w:rsidR="00795C5F">
              <w:rPr>
                <w:sz w:val="17"/>
                <w:szCs w:val="17"/>
              </w:rPr>
              <w:t>’</w:t>
            </w:r>
            <w:r w:rsidRPr="00812366">
              <w:rPr>
                <w:sz w:val="17"/>
                <w:szCs w:val="17"/>
              </w:rPr>
              <w:t>inspections</w:t>
            </w:r>
          </w:p>
        </w:tc>
        <w:tc>
          <w:tcPr>
            <w:tcW w:w="1792" w:type="dxa"/>
            <w:shd w:val="clear" w:color="auto" w:fill="auto"/>
            <w:vAlign w:val="bottom"/>
          </w:tcPr>
          <w:p w14:paraId="30B91B81" w14:textId="77777777" w:rsidR="00F960B9" w:rsidRPr="00812366" w:rsidRDefault="00F960B9" w:rsidP="00B639EA">
            <w:pPr>
              <w:spacing w:before="40" w:after="40" w:line="210" w:lineRule="exact"/>
              <w:jc w:val="right"/>
              <w:rPr>
                <w:sz w:val="17"/>
                <w:szCs w:val="17"/>
              </w:rPr>
            </w:pPr>
            <w:r w:rsidRPr="00812366">
              <w:rPr>
                <w:sz w:val="17"/>
                <w:szCs w:val="17"/>
              </w:rPr>
              <w:t>1 119</w:t>
            </w:r>
          </w:p>
        </w:tc>
      </w:tr>
      <w:tr w:rsidR="00F960B9" w:rsidRPr="00812366" w14:paraId="71731EA8" w14:textId="77777777" w:rsidTr="00812366">
        <w:trPr>
          <w:cantSplit/>
        </w:trPr>
        <w:tc>
          <w:tcPr>
            <w:tcW w:w="5443" w:type="dxa"/>
            <w:tcBorders>
              <w:bottom w:val="single" w:sz="12" w:space="0" w:color="auto"/>
            </w:tcBorders>
            <w:shd w:val="clear" w:color="auto" w:fill="auto"/>
          </w:tcPr>
          <w:p w14:paraId="4A176967" w14:textId="77777777" w:rsidR="00F960B9" w:rsidRPr="00812366" w:rsidRDefault="00F960B9" w:rsidP="00812366">
            <w:pPr>
              <w:spacing w:before="40" w:after="40" w:line="210" w:lineRule="exact"/>
              <w:rPr>
                <w:sz w:val="17"/>
                <w:szCs w:val="17"/>
              </w:rPr>
            </w:pPr>
            <w:r w:rsidRPr="00812366">
              <w:rPr>
                <w:sz w:val="17"/>
                <w:szCs w:val="17"/>
              </w:rPr>
              <w:t>Montant recouvré après inspections ou enquêtes (en roupies)</w:t>
            </w:r>
          </w:p>
        </w:tc>
        <w:tc>
          <w:tcPr>
            <w:tcW w:w="1792" w:type="dxa"/>
            <w:tcBorders>
              <w:bottom w:val="single" w:sz="12" w:space="0" w:color="auto"/>
            </w:tcBorders>
            <w:shd w:val="clear" w:color="auto" w:fill="auto"/>
            <w:vAlign w:val="bottom"/>
          </w:tcPr>
          <w:p w14:paraId="7F33633D" w14:textId="77777777" w:rsidR="00F960B9" w:rsidRPr="00812366" w:rsidRDefault="00F960B9" w:rsidP="00B639EA">
            <w:pPr>
              <w:spacing w:before="40" w:after="40" w:line="210" w:lineRule="exact"/>
              <w:jc w:val="right"/>
              <w:rPr>
                <w:sz w:val="17"/>
                <w:szCs w:val="17"/>
              </w:rPr>
            </w:pPr>
            <w:r w:rsidRPr="00812366">
              <w:rPr>
                <w:sz w:val="17"/>
                <w:szCs w:val="17"/>
              </w:rPr>
              <w:t>3 511 658</w:t>
            </w:r>
          </w:p>
        </w:tc>
      </w:tr>
    </w:tbl>
    <w:p w14:paraId="49BE1933" w14:textId="7A5C8D44" w:rsidR="00812366" w:rsidRPr="00503C29" w:rsidRDefault="00812366" w:rsidP="00503C29">
      <w:pPr>
        <w:pStyle w:val="SingleTxt"/>
        <w:spacing w:after="0" w:line="120" w:lineRule="exact"/>
        <w:rPr>
          <w:sz w:val="10"/>
          <w:lang w:val="fr-FR"/>
        </w:rPr>
      </w:pPr>
    </w:p>
    <w:p w14:paraId="4BA45334" w14:textId="77777777" w:rsidR="00503C29" w:rsidRPr="00812366" w:rsidRDefault="00503C29" w:rsidP="00812366">
      <w:pPr>
        <w:pStyle w:val="SingleTxt"/>
        <w:spacing w:after="0" w:line="120" w:lineRule="exact"/>
        <w:rPr>
          <w:sz w:val="10"/>
          <w:lang w:val="fr-FR"/>
        </w:rPr>
      </w:pPr>
    </w:p>
    <w:p w14:paraId="6008E510" w14:textId="77777777" w:rsidR="00812366" w:rsidRPr="00812366" w:rsidRDefault="00812366" w:rsidP="00812366">
      <w:pPr>
        <w:pStyle w:val="SingleTxt"/>
        <w:spacing w:after="0" w:line="120" w:lineRule="exact"/>
        <w:rPr>
          <w:sz w:val="10"/>
          <w:lang w:val="fr-FR"/>
        </w:rPr>
      </w:pPr>
    </w:p>
    <w:p w14:paraId="686C0AD7" w14:textId="5048827C" w:rsidR="00F960B9" w:rsidRDefault="00F960B9" w:rsidP="00812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Enquêtes menées relativement à des travailleurs migrants (2015-2017)</w:t>
      </w:r>
    </w:p>
    <w:p w14:paraId="08C2A990" w14:textId="2EEFBCF9" w:rsidR="00812366" w:rsidRPr="00812366" w:rsidRDefault="00812366" w:rsidP="00812366">
      <w:pPr>
        <w:pStyle w:val="SingleTxt"/>
        <w:spacing w:after="0" w:line="120" w:lineRule="exact"/>
        <w:rPr>
          <w:sz w:val="10"/>
          <w:lang w:val="fr-FR"/>
        </w:rPr>
      </w:pPr>
    </w:p>
    <w:p w14:paraId="3E31771F" w14:textId="0AB3B1DD" w:rsidR="00812366" w:rsidRPr="00812366" w:rsidRDefault="00812366" w:rsidP="00812366">
      <w:pPr>
        <w:pStyle w:val="SingleTxt"/>
        <w:spacing w:after="0" w:line="120" w:lineRule="exact"/>
        <w:rPr>
          <w:sz w:val="10"/>
          <w:lang w:val="fr-FR"/>
        </w:rPr>
      </w:pPr>
    </w:p>
    <w:tbl>
      <w:tblPr>
        <w:tblStyle w:val="TableGrid"/>
        <w:tblW w:w="7226"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1"/>
        <w:gridCol w:w="3685"/>
      </w:tblGrid>
      <w:tr w:rsidR="00F960B9" w:rsidRPr="00812366" w14:paraId="76A7CEF3" w14:textId="77777777" w:rsidTr="00812366">
        <w:trPr>
          <w:cantSplit/>
          <w:tblHeader/>
        </w:trPr>
        <w:tc>
          <w:tcPr>
            <w:tcW w:w="3541" w:type="dxa"/>
            <w:tcBorders>
              <w:top w:val="single" w:sz="4" w:space="0" w:color="auto"/>
              <w:bottom w:val="single" w:sz="12" w:space="0" w:color="auto"/>
            </w:tcBorders>
            <w:shd w:val="clear" w:color="auto" w:fill="auto"/>
            <w:vAlign w:val="bottom"/>
          </w:tcPr>
          <w:p w14:paraId="13E8C508" w14:textId="77777777" w:rsidR="00F960B9" w:rsidRPr="00812366" w:rsidRDefault="00F960B9" w:rsidP="00812366">
            <w:pPr>
              <w:spacing w:before="81" w:after="81" w:line="160" w:lineRule="exact"/>
              <w:ind w:right="40"/>
              <w:rPr>
                <w:i/>
                <w:sz w:val="14"/>
              </w:rPr>
            </w:pPr>
            <w:r w:rsidRPr="00812366">
              <w:rPr>
                <w:i/>
                <w:sz w:val="14"/>
              </w:rPr>
              <w:t>Année</w:t>
            </w:r>
          </w:p>
        </w:tc>
        <w:tc>
          <w:tcPr>
            <w:tcW w:w="3685" w:type="dxa"/>
            <w:tcBorders>
              <w:top w:val="single" w:sz="4" w:space="0" w:color="auto"/>
              <w:bottom w:val="single" w:sz="12" w:space="0" w:color="auto"/>
            </w:tcBorders>
            <w:shd w:val="clear" w:color="auto" w:fill="auto"/>
            <w:vAlign w:val="bottom"/>
          </w:tcPr>
          <w:p w14:paraId="63DB7F19" w14:textId="77777777" w:rsidR="00F960B9" w:rsidRPr="00812366" w:rsidRDefault="00F960B9" w:rsidP="00812366">
            <w:pPr>
              <w:spacing w:before="81" w:after="81" w:line="160" w:lineRule="exact"/>
              <w:ind w:left="144" w:right="43"/>
              <w:jc w:val="right"/>
              <w:rPr>
                <w:i/>
                <w:sz w:val="14"/>
              </w:rPr>
            </w:pPr>
            <w:r w:rsidRPr="00812366">
              <w:rPr>
                <w:i/>
                <w:sz w:val="14"/>
              </w:rPr>
              <w:t>2017</w:t>
            </w:r>
          </w:p>
        </w:tc>
      </w:tr>
      <w:tr w:rsidR="00812366" w:rsidRPr="00812366" w14:paraId="3C4152E1" w14:textId="77777777" w:rsidTr="00812366">
        <w:trPr>
          <w:cantSplit/>
          <w:trHeight w:hRule="exact" w:val="115"/>
          <w:tblHeader/>
        </w:trPr>
        <w:tc>
          <w:tcPr>
            <w:tcW w:w="3541" w:type="dxa"/>
            <w:tcBorders>
              <w:top w:val="single" w:sz="12" w:space="0" w:color="auto"/>
            </w:tcBorders>
            <w:shd w:val="clear" w:color="auto" w:fill="auto"/>
            <w:vAlign w:val="bottom"/>
          </w:tcPr>
          <w:p w14:paraId="634507BE" w14:textId="77777777" w:rsidR="00812366" w:rsidRPr="00812366" w:rsidRDefault="00812366" w:rsidP="00812366">
            <w:pPr>
              <w:spacing w:before="40" w:after="40" w:line="210" w:lineRule="exact"/>
              <w:ind w:right="40"/>
              <w:rPr>
                <w:sz w:val="17"/>
              </w:rPr>
            </w:pPr>
          </w:p>
        </w:tc>
        <w:tc>
          <w:tcPr>
            <w:tcW w:w="3685" w:type="dxa"/>
            <w:tcBorders>
              <w:top w:val="single" w:sz="12" w:space="0" w:color="auto"/>
            </w:tcBorders>
            <w:shd w:val="clear" w:color="auto" w:fill="auto"/>
            <w:vAlign w:val="bottom"/>
          </w:tcPr>
          <w:p w14:paraId="6A46E162" w14:textId="77777777" w:rsidR="00812366" w:rsidRPr="00812366" w:rsidRDefault="00812366" w:rsidP="00812366">
            <w:pPr>
              <w:spacing w:before="40" w:after="40" w:line="210" w:lineRule="exact"/>
              <w:ind w:left="144" w:right="43"/>
              <w:jc w:val="right"/>
              <w:rPr>
                <w:sz w:val="17"/>
              </w:rPr>
            </w:pPr>
          </w:p>
        </w:tc>
      </w:tr>
      <w:tr w:rsidR="00F960B9" w:rsidRPr="00812366" w14:paraId="6B7FDAB6" w14:textId="77777777" w:rsidTr="00812366">
        <w:trPr>
          <w:cantSplit/>
        </w:trPr>
        <w:tc>
          <w:tcPr>
            <w:tcW w:w="3541" w:type="dxa"/>
            <w:tcBorders>
              <w:bottom w:val="single" w:sz="12" w:space="0" w:color="auto"/>
            </w:tcBorders>
            <w:shd w:val="clear" w:color="auto" w:fill="auto"/>
            <w:vAlign w:val="bottom"/>
          </w:tcPr>
          <w:p w14:paraId="1EBB3D8F" w14:textId="0FA5A946" w:rsidR="00F960B9" w:rsidRPr="00812366" w:rsidRDefault="00F960B9" w:rsidP="00812366">
            <w:pPr>
              <w:tabs>
                <w:tab w:val="left" w:pos="288"/>
                <w:tab w:val="left" w:pos="576"/>
                <w:tab w:val="left" w:pos="864"/>
                <w:tab w:val="left" w:pos="1152"/>
              </w:tabs>
              <w:spacing w:before="40" w:after="40" w:line="210" w:lineRule="exact"/>
              <w:ind w:right="40"/>
              <w:rPr>
                <w:sz w:val="17"/>
              </w:rPr>
            </w:pPr>
            <w:r w:rsidRPr="00812366">
              <w:rPr>
                <w:sz w:val="17"/>
              </w:rPr>
              <w:t>Nombre d</w:t>
            </w:r>
            <w:r w:rsidR="00795C5F">
              <w:rPr>
                <w:sz w:val="17"/>
              </w:rPr>
              <w:t>’</w:t>
            </w:r>
            <w:r w:rsidRPr="00812366">
              <w:rPr>
                <w:sz w:val="17"/>
              </w:rPr>
              <w:t>enquêtes</w:t>
            </w:r>
          </w:p>
        </w:tc>
        <w:tc>
          <w:tcPr>
            <w:tcW w:w="3685" w:type="dxa"/>
            <w:tcBorders>
              <w:bottom w:val="single" w:sz="12" w:space="0" w:color="auto"/>
            </w:tcBorders>
            <w:shd w:val="clear" w:color="auto" w:fill="auto"/>
            <w:vAlign w:val="bottom"/>
          </w:tcPr>
          <w:p w14:paraId="10356567" w14:textId="77777777" w:rsidR="00F960B9" w:rsidRPr="00812366" w:rsidRDefault="00F960B9" w:rsidP="00812366">
            <w:pPr>
              <w:tabs>
                <w:tab w:val="left" w:pos="288"/>
                <w:tab w:val="left" w:pos="576"/>
                <w:tab w:val="left" w:pos="864"/>
                <w:tab w:val="left" w:pos="1152"/>
              </w:tabs>
              <w:spacing w:before="40" w:after="40" w:line="210" w:lineRule="exact"/>
              <w:ind w:left="144" w:right="43"/>
              <w:jc w:val="right"/>
              <w:rPr>
                <w:sz w:val="17"/>
              </w:rPr>
            </w:pPr>
            <w:r w:rsidRPr="00812366">
              <w:rPr>
                <w:sz w:val="17"/>
              </w:rPr>
              <w:t>66</w:t>
            </w:r>
          </w:p>
        </w:tc>
      </w:tr>
    </w:tbl>
    <w:p w14:paraId="0B985E77" w14:textId="77777777" w:rsidR="00812366" w:rsidRPr="00812366" w:rsidRDefault="00812366" w:rsidP="00812366">
      <w:pPr>
        <w:pStyle w:val="SingleTxtG"/>
        <w:spacing w:after="0" w:line="120" w:lineRule="exact"/>
        <w:ind w:firstLine="170"/>
        <w:rPr>
          <w:i/>
          <w:iCs/>
          <w:sz w:val="10"/>
          <w:lang w:val="fr-FR"/>
        </w:rPr>
      </w:pPr>
    </w:p>
    <w:p w14:paraId="22F65E19" w14:textId="615BA617" w:rsidR="00F960B9" w:rsidRDefault="00F960B9" w:rsidP="00812366">
      <w:pPr>
        <w:pStyle w:val="FootnoteText"/>
        <w:tabs>
          <w:tab w:val="right" w:pos="1476"/>
          <w:tab w:val="left" w:pos="1548"/>
          <w:tab w:val="right" w:pos="1836"/>
          <w:tab w:val="left" w:pos="1908"/>
        </w:tabs>
        <w:ind w:left="1548" w:right="1267" w:hanging="288"/>
        <w:rPr>
          <w:lang w:val="fr-FR"/>
        </w:rPr>
      </w:pPr>
      <w:r>
        <w:rPr>
          <w:i/>
          <w:iCs/>
          <w:lang w:val="fr-FR"/>
        </w:rPr>
        <w:t>Source</w:t>
      </w:r>
      <w:r w:rsidR="00795C5F">
        <w:rPr>
          <w:lang w:val="fr-FR"/>
        </w:rPr>
        <w:t> :</w:t>
      </w:r>
      <w:r>
        <w:rPr>
          <w:lang w:val="fr-FR"/>
        </w:rPr>
        <w:t xml:space="preserve"> Ministère du travail, des relations professionnelles et de la formation.</w:t>
      </w:r>
    </w:p>
    <w:p w14:paraId="35691F18" w14:textId="1CDAA813" w:rsidR="00812366" w:rsidRPr="00812366" w:rsidRDefault="00812366" w:rsidP="00812366">
      <w:pPr>
        <w:pStyle w:val="FootnoteText"/>
        <w:tabs>
          <w:tab w:val="right" w:pos="1476"/>
          <w:tab w:val="left" w:pos="1548"/>
          <w:tab w:val="right" w:pos="1836"/>
          <w:tab w:val="left" w:pos="1908"/>
        </w:tabs>
        <w:spacing w:line="120" w:lineRule="exact"/>
        <w:ind w:left="1548" w:right="1267" w:hanging="288"/>
        <w:rPr>
          <w:sz w:val="10"/>
          <w:lang w:val="fr-FR"/>
        </w:rPr>
      </w:pPr>
    </w:p>
    <w:p w14:paraId="0B6E97E7" w14:textId="7A18C223" w:rsidR="00812366" w:rsidRPr="00503C29" w:rsidRDefault="00812366" w:rsidP="00503C29">
      <w:pPr>
        <w:pStyle w:val="FootnoteText"/>
        <w:tabs>
          <w:tab w:val="right" w:pos="1476"/>
          <w:tab w:val="left" w:pos="1548"/>
          <w:tab w:val="right" w:pos="1836"/>
          <w:tab w:val="left" w:pos="1908"/>
        </w:tabs>
        <w:spacing w:line="120" w:lineRule="exact"/>
        <w:ind w:left="1548" w:right="1267" w:hanging="288"/>
        <w:rPr>
          <w:sz w:val="10"/>
          <w:szCs w:val="18"/>
          <w:lang w:val="fr-FR"/>
        </w:rPr>
      </w:pPr>
    </w:p>
    <w:p w14:paraId="22DCA729" w14:textId="77777777" w:rsidR="00503C29" w:rsidRPr="00812366" w:rsidRDefault="00503C29" w:rsidP="00812366">
      <w:pPr>
        <w:pStyle w:val="FootnoteText"/>
        <w:tabs>
          <w:tab w:val="right" w:pos="1476"/>
          <w:tab w:val="left" w:pos="1548"/>
          <w:tab w:val="right" w:pos="1836"/>
          <w:tab w:val="left" w:pos="1908"/>
        </w:tabs>
        <w:spacing w:line="120" w:lineRule="exact"/>
        <w:ind w:left="1548" w:right="1267" w:hanging="288"/>
        <w:rPr>
          <w:sz w:val="10"/>
          <w:szCs w:val="18"/>
          <w:lang w:val="fr-FR"/>
        </w:rPr>
      </w:pPr>
    </w:p>
    <w:p w14:paraId="271B4E8E" w14:textId="423200E4" w:rsidR="005529B6" w:rsidRPr="005529B6" w:rsidRDefault="005529B6" w:rsidP="00812366">
      <w:pPr>
        <w:pStyle w:val="SingleTxt"/>
        <w:numPr>
          <w:ilvl w:val="0"/>
          <w:numId w:val="20"/>
        </w:numPr>
        <w:spacing w:line="240" w:lineRule="exact"/>
        <w:ind w:left="1267"/>
        <w:rPr>
          <w:lang w:val="fr-FR"/>
        </w:rPr>
      </w:pPr>
      <w:r w:rsidRPr="005529B6">
        <w:rPr>
          <w:lang w:val="fr-FR"/>
        </w:rPr>
        <w:t xml:space="preserve">La </w:t>
      </w:r>
      <w:r w:rsidR="00F0127C">
        <w:rPr>
          <w:lang w:val="fr-FR"/>
        </w:rPr>
        <w:t>l</w:t>
      </w:r>
      <w:r w:rsidRPr="005529B6">
        <w:rPr>
          <w:lang w:val="fr-FR"/>
        </w:rPr>
        <w:t>oi relative aux droits en matière d</w:t>
      </w:r>
      <w:r w:rsidR="00795C5F">
        <w:rPr>
          <w:lang w:val="fr-FR"/>
        </w:rPr>
        <w:t>’</w:t>
      </w:r>
      <w:r w:rsidRPr="005529B6">
        <w:rPr>
          <w:lang w:val="fr-FR"/>
        </w:rPr>
        <w:t>emploi offre indistinctement et sans discrimination à tous les travailleurs (hommes et femmes), y compris aux travailleurs migrants, les garanties et la protection nécessaires en ce qui concerne leurs droits. À cet effet, et en vue de combattre, d</w:t>
      </w:r>
      <w:r w:rsidR="00795C5F">
        <w:rPr>
          <w:lang w:val="fr-FR"/>
        </w:rPr>
        <w:t>’</w:t>
      </w:r>
      <w:r w:rsidRPr="005529B6">
        <w:rPr>
          <w:lang w:val="fr-FR"/>
        </w:rPr>
        <w:t>interdire ou de réduire les pratiques discriminatoires sous toutes leurs formes ainsi que d</w:t>
      </w:r>
      <w:r w:rsidR="00795C5F">
        <w:rPr>
          <w:lang w:val="fr-FR"/>
        </w:rPr>
        <w:t>’</w:t>
      </w:r>
      <w:r w:rsidRPr="005529B6">
        <w:rPr>
          <w:lang w:val="fr-FR"/>
        </w:rPr>
        <w:t>empêcher toute forme d</w:t>
      </w:r>
      <w:r w:rsidR="00795C5F">
        <w:rPr>
          <w:lang w:val="fr-FR"/>
        </w:rPr>
        <w:t>’</w:t>
      </w:r>
      <w:r w:rsidRPr="005529B6">
        <w:rPr>
          <w:lang w:val="fr-FR"/>
        </w:rPr>
        <w:t>exploitation au travail et de garantir l</w:t>
      </w:r>
      <w:r w:rsidR="00795C5F">
        <w:rPr>
          <w:lang w:val="fr-FR"/>
        </w:rPr>
        <w:t>’</w:t>
      </w:r>
      <w:r w:rsidRPr="005529B6">
        <w:rPr>
          <w:lang w:val="fr-FR"/>
        </w:rPr>
        <w:t>application du principe de l</w:t>
      </w:r>
      <w:r w:rsidR="00795C5F">
        <w:rPr>
          <w:lang w:val="fr-FR"/>
        </w:rPr>
        <w:t>’</w:t>
      </w:r>
      <w:r w:rsidRPr="005529B6">
        <w:rPr>
          <w:lang w:val="fr-FR"/>
        </w:rPr>
        <w:t>égalité entre les femmes et les hommes, y compris les travailleuses migrantes et les travailleurs migrants, à l</w:t>
      </w:r>
      <w:r w:rsidR="00795C5F">
        <w:rPr>
          <w:lang w:val="fr-FR"/>
        </w:rPr>
        <w:t>’</w:t>
      </w:r>
      <w:r w:rsidRPr="005529B6">
        <w:rPr>
          <w:lang w:val="fr-FR"/>
        </w:rPr>
        <w:t>accès à l</w:t>
      </w:r>
      <w:r w:rsidR="00795C5F">
        <w:rPr>
          <w:lang w:val="fr-FR"/>
        </w:rPr>
        <w:t>’</w:t>
      </w:r>
      <w:r w:rsidRPr="005529B6">
        <w:rPr>
          <w:lang w:val="fr-FR"/>
        </w:rPr>
        <w:t>emploi et au marché du travail, l</w:t>
      </w:r>
      <w:r w:rsidR="00795C5F">
        <w:rPr>
          <w:lang w:val="fr-FR"/>
        </w:rPr>
        <w:t>’</w:t>
      </w:r>
      <w:r w:rsidRPr="005529B6">
        <w:rPr>
          <w:lang w:val="fr-FR"/>
        </w:rPr>
        <w:t xml:space="preserve">article 4 de la </w:t>
      </w:r>
      <w:r w:rsidR="00F0127C">
        <w:rPr>
          <w:lang w:val="fr-FR"/>
        </w:rPr>
        <w:t>l</w:t>
      </w:r>
      <w:r w:rsidRPr="005529B6">
        <w:rPr>
          <w:lang w:val="fr-FR"/>
        </w:rPr>
        <w:t>oi, qui porte sur la discrimination dans l</w:t>
      </w:r>
      <w:r w:rsidR="00795C5F">
        <w:rPr>
          <w:lang w:val="fr-FR"/>
        </w:rPr>
        <w:t>’</w:t>
      </w:r>
      <w:r w:rsidRPr="005529B6">
        <w:rPr>
          <w:lang w:val="fr-FR"/>
        </w:rPr>
        <w:t>emploi ou la profession, dispose notamment ce qui suit</w:t>
      </w:r>
      <w:r w:rsidR="00795C5F">
        <w:rPr>
          <w:lang w:val="fr-FR"/>
        </w:rPr>
        <w:t> :</w:t>
      </w:r>
    </w:p>
    <w:p w14:paraId="5DA172A1" w14:textId="135901AC"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Aucun travailleur ne sera traité de façon discriminatoire par son employeur dans son emploi ou sa profession</w:t>
      </w:r>
      <w:r w:rsidR="00795C5F">
        <w:rPr>
          <w:lang w:val="fr-FR"/>
        </w:rPr>
        <w:t> ;</w:t>
      </w:r>
    </w:p>
    <w:p w14:paraId="15B76A8D" w14:textId="56BFEA82"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Nul ne se verra refuser l</w:t>
      </w:r>
      <w:r w:rsidR="00795C5F">
        <w:rPr>
          <w:lang w:val="fr-FR"/>
        </w:rPr>
        <w:t>’</w:t>
      </w:r>
      <w:r w:rsidR="005529B6" w:rsidRPr="005529B6">
        <w:rPr>
          <w:lang w:val="fr-FR"/>
        </w:rPr>
        <w:t>accès à l</w:t>
      </w:r>
      <w:r w:rsidR="00795C5F">
        <w:rPr>
          <w:lang w:val="fr-FR"/>
        </w:rPr>
        <w:t>’</w:t>
      </w:r>
      <w:r w:rsidR="005529B6" w:rsidRPr="005529B6">
        <w:rPr>
          <w:lang w:val="fr-FR"/>
        </w:rPr>
        <w:t>emploi ou à une profession par un employeur potentiel pour des motifs discriminatoires.</w:t>
      </w:r>
    </w:p>
    <w:p w14:paraId="387F5174" w14:textId="15E29B0D" w:rsidR="005529B6" w:rsidRPr="005529B6" w:rsidRDefault="005529B6" w:rsidP="00812366">
      <w:pPr>
        <w:pStyle w:val="SingleTxt"/>
        <w:numPr>
          <w:ilvl w:val="0"/>
          <w:numId w:val="20"/>
        </w:numPr>
        <w:spacing w:line="240" w:lineRule="exact"/>
        <w:ind w:left="1267"/>
        <w:rPr>
          <w:lang w:val="fr-FR"/>
        </w:rPr>
      </w:pPr>
      <w:r w:rsidRPr="005529B6">
        <w:rPr>
          <w:lang w:val="fr-FR"/>
        </w:rPr>
        <w:t xml:space="preserve">Aux fins de cette loi, on entend par </w:t>
      </w:r>
      <w:r w:rsidR="00F0127C" w:rsidRPr="005529B6">
        <w:rPr>
          <w:lang w:val="fr-FR"/>
        </w:rPr>
        <w:t>«</w:t>
      </w:r>
      <w:r w:rsidR="00F0127C">
        <w:rPr>
          <w:lang w:val="fr-FR"/>
        </w:rPr>
        <w:t> </w:t>
      </w:r>
      <w:r w:rsidR="00F0127C" w:rsidRPr="005529B6">
        <w:rPr>
          <w:lang w:val="fr-FR"/>
        </w:rPr>
        <w:t>discrimination</w:t>
      </w:r>
      <w:r w:rsidR="00F0127C">
        <w:rPr>
          <w:lang w:val="fr-FR"/>
        </w:rPr>
        <w:t> </w:t>
      </w:r>
      <w:r w:rsidRPr="005529B6">
        <w:rPr>
          <w:lang w:val="fr-FR"/>
        </w:rPr>
        <w:t>» le fait d</w:t>
      </w:r>
      <w:r w:rsidR="00795C5F">
        <w:rPr>
          <w:lang w:val="fr-FR"/>
        </w:rPr>
        <w:t>’</w:t>
      </w:r>
      <w:r w:rsidRPr="005529B6">
        <w:rPr>
          <w:lang w:val="fr-FR"/>
        </w:rPr>
        <w:t>accorder un traitement différent à des travailleurs différents en raison uniquement ou essentiellement de leur âge, race, couleur de peau, caste, conviction, sexe, orientation sexuelle, séropositivité, religion, opinion politique, lieu d</w:t>
      </w:r>
      <w:r w:rsidR="00795C5F">
        <w:rPr>
          <w:lang w:val="fr-FR"/>
        </w:rPr>
        <w:t>’</w:t>
      </w:r>
      <w:r w:rsidRPr="005529B6">
        <w:rPr>
          <w:lang w:val="fr-FR"/>
        </w:rPr>
        <w:t>origine, ascendance nationale ou origine sociale qui a pour effet de détruire ou d</w:t>
      </w:r>
      <w:r w:rsidR="00795C5F">
        <w:rPr>
          <w:lang w:val="fr-FR"/>
        </w:rPr>
        <w:t>’</w:t>
      </w:r>
      <w:r w:rsidRPr="005529B6">
        <w:rPr>
          <w:lang w:val="fr-FR"/>
        </w:rPr>
        <w:t>altérer l</w:t>
      </w:r>
      <w:r w:rsidR="00795C5F">
        <w:rPr>
          <w:lang w:val="fr-FR"/>
        </w:rPr>
        <w:t>’</w:t>
      </w:r>
      <w:r w:rsidRPr="005529B6">
        <w:rPr>
          <w:lang w:val="fr-FR"/>
        </w:rPr>
        <w:t>égalité de chances ou de traitement en matière d</w:t>
      </w:r>
      <w:r w:rsidR="00795C5F">
        <w:rPr>
          <w:lang w:val="fr-FR"/>
        </w:rPr>
        <w:t>’</w:t>
      </w:r>
      <w:r w:rsidRPr="005529B6">
        <w:rPr>
          <w:lang w:val="fr-FR"/>
        </w:rPr>
        <w:t>emploi ou de profession.</w:t>
      </w:r>
    </w:p>
    <w:p w14:paraId="0764ABC1" w14:textId="59CA79ED" w:rsidR="005529B6" w:rsidRPr="005529B6" w:rsidRDefault="005529B6" w:rsidP="00812366">
      <w:pPr>
        <w:pStyle w:val="SingleTxt"/>
        <w:numPr>
          <w:ilvl w:val="0"/>
          <w:numId w:val="20"/>
        </w:numPr>
        <w:spacing w:line="240" w:lineRule="exact"/>
        <w:ind w:left="1267"/>
        <w:rPr>
          <w:lang w:val="fr-FR"/>
        </w:rPr>
      </w:pPr>
      <w:r w:rsidRPr="005529B6">
        <w:rPr>
          <w:lang w:val="fr-FR"/>
        </w:rPr>
        <w:t>Il est notamment prévu au paragraphe premier de l</w:t>
      </w:r>
      <w:r w:rsidR="00795C5F">
        <w:rPr>
          <w:lang w:val="fr-FR"/>
        </w:rPr>
        <w:t>’</w:t>
      </w:r>
      <w:r w:rsidRPr="005529B6">
        <w:rPr>
          <w:lang w:val="fr-FR"/>
        </w:rPr>
        <w:t>article 20 («</w:t>
      </w:r>
      <w:r w:rsidR="00B639EA">
        <w:rPr>
          <w:lang w:val="fr-FR"/>
        </w:rPr>
        <w:t> </w:t>
      </w:r>
      <w:r w:rsidRPr="005529B6">
        <w:rPr>
          <w:lang w:val="fr-FR"/>
        </w:rPr>
        <w:t xml:space="preserve">Égalité de rémunération pour un travail de valeur </w:t>
      </w:r>
      <w:r w:rsidR="00F0127C" w:rsidRPr="005529B6">
        <w:rPr>
          <w:lang w:val="fr-FR"/>
        </w:rPr>
        <w:t>égale</w:t>
      </w:r>
      <w:r w:rsidR="00F0127C">
        <w:rPr>
          <w:lang w:val="fr-FR"/>
        </w:rPr>
        <w:t> </w:t>
      </w:r>
      <w:r w:rsidRPr="005529B6">
        <w:rPr>
          <w:lang w:val="fr-FR"/>
        </w:rPr>
        <w:t>»), que les hommes et les femmes, y compris les travailleurs migrants et les travailleuses migrantes, doivent être traités sur un pied d</w:t>
      </w:r>
      <w:r w:rsidR="00795C5F">
        <w:rPr>
          <w:lang w:val="fr-FR"/>
        </w:rPr>
        <w:t>’</w:t>
      </w:r>
      <w:r w:rsidRPr="005529B6">
        <w:rPr>
          <w:lang w:val="fr-FR"/>
        </w:rPr>
        <w:t>égalité dans ce domaine</w:t>
      </w:r>
      <w:r w:rsidR="00795C5F">
        <w:rPr>
          <w:lang w:val="fr-FR"/>
        </w:rPr>
        <w:t> :</w:t>
      </w:r>
    </w:p>
    <w:p w14:paraId="3C1DD212" w14:textId="4A589B3E"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Tout employeur veille à ce qu</w:t>
      </w:r>
      <w:r w:rsidR="00795C5F">
        <w:rPr>
          <w:lang w:val="fr-FR"/>
        </w:rPr>
        <w:t>’</w:t>
      </w:r>
      <w:r w:rsidR="005529B6" w:rsidRPr="005529B6">
        <w:rPr>
          <w:lang w:val="fr-FR"/>
        </w:rPr>
        <w:t>aucun travailleur ne soit rémunéré moins favorablement qu</w:t>
      </w:r>
      <w:r w:rsidR="00795C5F">
        <w:rPr>
          <w:lang w:val="fr-FR"/>
        </w:rPr>
        <w:t>’</w:t>
      </w:r>
      <w:r w:rsidR="005529B6" w:rsidRPr="005529B6">
        <w:rPr>
          <w:lang w:val="fr-FR"/>
        </w:rPr>
        <w:t>un autre travailleur accomplissant un travail de valeur égale</w:t>
      </w:r>
      <w:r w:rsidR="00795C5F">
        <w:rPr>
          <w:lang w:val="fr-FR"/>
        </w:rPr>
        <w:t> ;</w:t>
      </w:r>
    </w:p>
    <w:p w14:paraId="5F10D6E7" w14:textId="3DCC8C29"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w:t>
      </w:r>
      <w:r w:rsidR="00795C5F">
        <w:rPr>
          <w:lang w:val="fr-FR"/>
        </w:rPr>
        <w:t>’</w:t>
      </w:r>
      <w:r w:rsidR="005529B6" w:rsidRPr="005529B6">
        <w:rPr>
          <w:lang w:val="fr-FR"/>
        </w:rPr>
        <w:t>employeur qui recourt aux services d</w:t>
      </w:r>
      <w:r w:rsidR="00795C5F">
        <w:rPr>
          <w:lang w:val="fr-FR"/>
        </w:rPr>
        <w:t>’</w:t>
      </w:r>
      <w:r w:rsidR="005529B6" w:rsidRPr="005529B6">
        <w:rPr>
          <w:lang w:val="fr-FR"/>
        </w:rPr>
        <w:t>une entreprise sous-traitante veille à ce qu</w:t>
      </w:r>
      <w:r w:rsidR="00795C5F">
        <w:rPr>
          <w:lang w:val="fr-FR"/>
        </w:rPr>
        <w:t>’</w:t>
      </w:r>
      <w:r w:rsidR="005529B6" w:rsidRPr="005529B6">
        <w:rPr>
          <w:lang w:val="fr-FR"/>
        </w:rPr>
        <w:t>aucun travailleur de cette entreprise ne soit rémunéré moins favorablement qu</w:t>
      </w:r>
      <w:r w:rsidR="00795C5F">
        <w:rPr>
          <w:lang w:val="fr-FR"/>
        </w:rPr>
        <w:t>’</w:t>
      </w:r>
      <w:r w:rsidR="005529B6" w:rsidRPr="005529B6">
        <w:rPr>
          <w:lang w:val="fr-FR"/>
        </w:rPr>
        <w:t>un autre travailleur accomplissant un travail de valeur égale.</w:t>
      </w:r>
    </w:p>
    <w:p w14:paraId="24113802" w14:textId="176BE4B0" w:rsidR="005529B6" w:rsidRPr="00545975" w:rsidRDefault="005529B6" w:rsidP="00812366">
      <w:pPr>
        <w:pStyle w:val="SingleTxt"/>
        <w:numPr>
          <w:ilvl w:val="0"/>
          <w:numId w:val="20"/>
        </w:numPr>
        <w:spacing w:line="240" w:lineRule="exact"/>
        <w:ind w:left="1267"/>
        <w:rPr>
          <w:spacing w:val="0"/>
          <w:lang w:val="fr-FR"/>
        </w:rPr>
      </w:pPr>
      <w:r w:rsidRPr="00545975">
        <w:rPr>
          <w:spacing w:val="0"/>
          <w:lang w:val="fr-FR"/>
        </w:rPr>
        <w:t>Afin d</w:t>
      </w:r>
      <w:r w:rsidR="00795C5F">
        <w:rPr>
          <w:spacing w:val="0"/>
          <w:lang w:val="fr-FR"/>
        </w:rPr>
        <w:t>’</w:t>
      </w:r>
      <w:r w:rsidRPr="00545975">
        <w:rPr>
          <w:spacing w:val="0"/>
          <w:lang w:val="fr-FR"/>
        </w:rPr>
        <w:t>empêcher, limiter ou interdire de toute autre manière toute décision injuste prise pour des raisons discriminatoires, l</w:t>
      </w:r>
      <w:r w:rsidR="00795C5F">
        <w:rPr>
          <w:spacing w:val="0"/>
          <w:lang w:val="fr-FR"/>
        </w:rPr>
        <w:t>’</w:t>
      </w:r>
      <w:r w:rsidRPr="00545975">
        <w:rPr>
          <w:spacing w:val="0"/>
          <w:lang w:val="fr-FR"/>
        </w:rPr>
        <w:t xml:space="preserve">article 67 1) e) iii) de la </w:t>
      </w:r>
      <w:r w:rsidR="00F0127C" w:rsidRPr="00545975">
        <w:rPr>
          <w:spacing w:val="0"/>
          <w:lang w:val="fr-FR"/>
        </w:rPr>
        <w:t>l</w:t>
      </w:r>
      <w:r w:rsidRPr="00545975">
        <w:rPr>
          <w:spacing w:val="0"/>
          <w:lang w:val="fr-FR"/>
        </w:rPr>
        <w:t>oi relative aux droits en matière d</w:t>
      </w:r>
      <w:r w:rsidR="00795C5F">
        <w:rPr>
          <w:spacing w:val="0"/>
          <w:lang w:val="fr-FR"/>
        </w:rPr>
        <w:t>’</w:t>
      </w:r>
      <w:r w:rsidRPr="00545975">
        <w:rPr>
          <w:spacing w:val="0"/>
          <w:lang w:val="fr-FR"/>
        </w:rPr>
        <w:t>emploi dispose que le non-respect des dispositions de l</w:t>
      </w:r>
      <w:r w:rsidR="00795C5F">
        <w:rPr>
          <w:spacing w:val="0"/>
          <w:lang w:val="fr-FR"/>
        </w:rPr>
        <w:t>’</w:t>
      </w:r>
      <w:r w:rsidRPr="00545975">
        <w:rPr>
          <w:spacing w:val="0"/>
          <w:lang w:val="fr-FR"/>
        </w:rPr>
        <w:t>article susmentionné constitue un délit dont l</w:t>
      </w:r>
      <w:r w:rsidR="00795C5F">
        <w:rPr>
          <w:spacing w:val="0"/>
          <w:lang w:val="fr-FR"/>
        </w:rPr>
        <w:t>’</w:t>
      </w:r>
      <w:r w:rsidRPr="00545975">
        <w:rPr>
          <w:spacing w:val="0"/>
          <w:lang w:val="fr-FR"/>
        </w:rPr>
        <w:t>auteur est passible d</w:t>
      </w:r>
      <w:r w:rsidR="00795C5F">
        <w:rPr>
          <w:spacing w:val="0"/>
          <w:lang w:val="fr-FR"/>
        </w:rPr>
        <w:t>’</w:t>
      </w:r>
      <w:r w:rsidRPr="00545975">
        <w:rPr>
          <w:spacing w:val="0"/>
          <w:lang w:val="fr-FR"/>
        </w:rPr>
        <w:t>une amende d</w:t>
      </w:r>
      <w:r w:rsidR="00795C5F">
        <w:rPr>
          <w:spacing w:val="0"/>
          <w:lang w:val="fr-FR"/>
        </w:rPr>
        <w:t>’</w:t>
      </w:r>
      <w:r w:rsidRPr="00545975">
        <w:rPr>
          <w:spacing w:val="0"/>
          <w:lang w:val="fr-FR"/>
        </w:rPr>
        <w:t xml:space="preserve">un montant maximum de </w:t>
      </w:r>
      <w:r w:rsidR="00F0127C" w:rsidRPr="00545975">
        <w:rPr>
          <w:spacing w:val="0"/>
          <w:lang w:val="fr-FR"/>
        </w:rPr>
        <w:t>25</w:t>
      </w:r>
      <w:r w:rsidR="00F0127C">
        <w:rPr>
          <w:spacing w:val="0"/>
          <w:lang w:val="fr-FR"/>
        </w:rPr>
        <w:t> </w:t>
      </w:r>
      <w:r w:rsidRPr="00545975">
        <w:rPr>
          <w:spacing w:val="0"/>
          <w:lang w:val="fr-FR"/>
        </w:rPr>
        <w:t>000 roupies et d</w:t>
      </w:r>
      <w:r w:rsidR="00795C5F">
        <w:rPr>
          <w:spacing w:val="0"/>
          <w:lang w:val="fr-FR"/>
        </w:rPr>
        <w:t>’</w:t>
      </w:r>
      <w:r w:rsidRPr="00545975">
        <w:rPr>
          <w:spacing w:val="0"/>
          <w:lang w:val="fr-FR"/>
        </w:rPr>
        <w:t>une peine de prison d</w:t>
      </w:r>
      <w:r w:rsidR="00795C5F">
        <w:rPr>
          <w:spacing w:val="0"/>
          <w:lang w:val="fr-FR"/>
        </w:rPr>
        <w:t>’</w:t>
      </w:r>
      <w:r w:rsidRPr="00545975">
        <w:rPr>
          <w:spacing w:val="0"/>
          <w:lang w:val="fr-FR"/>
        </w:rPr>
        <w:t xml:space="preserve">une durée maximale de </w:t>
      </w:r>
      <w:r w:rsidR="00F0127C" w:rsidRPr="00545975">
        <w:rPr>
          <w:spacing w:val="0"/>
          <w:lang w:val="fr-FR"/>
        </w:rPr>
        <w:t>deux</w:t>
      </w:r>
      <w:r w:rsidRPr="00545975">
        <w:rPr>
          <w:spacing w:val="0"/>
          <w:lang w:val="fr-FR"/>
        </w:rPr>
        <w:t xml:space="preserve"> ans.</w:t>
      </w:r>
    </w:p>
    <w:p w14:paraId="439E6145" w14:textId="248305C2" w:rsidR="005529B6" w:rsidRPr="005529B6" w:rsidRDefault="005529B6" w:rsidP="00812366">
      <w:pPr>
        <w:pStyle w:val="SingleTxt"/>
        <w:numPr>
          <w:ilvl w:val="0"/>
          <w:numId w:val="20"/>
        </w:numPr>
        <w:spacing w:line="240" w:lineRule="exact"/>
        <w:ind w:left="1267"/>
        <w:rPr>
          <w:lang w:val="fr-FR"/>
        </w:rPr>
      </w:pPr>
      <w:r w:rsidRPr="005529B6">
        <w:rPr>
          <w:lang w:val="fr-FR"/>
        </w:rPr>
        <w:lastRenderedPageBreak/>
        <w:t>À l</w:t>
      </w:r>
      <w:r w:rsidR="00795C5F">
        <w:rPr>
          <w:lang w:val="fr-FR"/>
        </w:rPr>
        <w:t>’</w:t>
      </w:r>
      <w:r w:rsidRPr="005529B6">
        <w:rPr>
          <w:lang w:val="fr-FR"/>
        </w:rPr>
        <w:t>exception des dispositions visant à la protection de la maternité, cette loi est neutre du point de vue du genre, qu</w:t>
      </w:r>
      <w:r w:rsidR="00795C5F">
        <w:rPr>
          <w:lang w:val="fr-FR"/>
        </w:rPr>
        <w:t>’</w:t>
      </w:r>
      <w:r w:rsidRPr="005529B6">
        <w:rPr>
          <w:lang w:val="fr-FR"/>
        </w:rPr>
        <w:t>il s</w:t>
      </w:r>
      <w:r w:rsidR="00795C5F">
        <w:rPr>
          <w:lang w:val="fr-FR"/>
        </w:rPr>
        <w:t>’</w:t>
      </w:r>
      <w:r w:rsidRPr="005529B6">
        <w:rPr>
          <w:lang w:val="fr-FR"/>
        </w:rPr>
        <w:t>agisse des travailleurs locaux, migrants ou autres, comme en témoigne la formulation des articles ci-après.</w:t>
      </w:r>
    </w:p>
    <w:p w14:paraId="2E0664EA" w14:textId="6D7750B4" w:rsidR="005529B6" w:rsidRPr="005529B6" w:rsidRDefault="005529B6" w:rsidP="0081236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article 54, qui concerne la violence au travail, offre aux travailleurs une protection supplémentaire contre les différentes formes de violence sur le lieu de travail, y compris le harcèlement sexuel, qui est une autre forme de discrimination et touche les femmes en particulier. Il dispose en particulier que nul ne peut harceler, sexuellement ou de quelque autre manière, agresser, blesser verbalement ou proférer des jurons ou des insultes contre un travailleur au cours ou en raison de son travail. Le terme «</w:t>
      </w:r>
      <w:r w:rsidR="006E1537">
        <w:rPr>
          <w:lang w:val="fr-FR"/>
        </w:rPr>
        <w:t> </w:t>
      </w:r>
      <w:r w:rsidRPr="005529B6">
        <w:rPr>
          <w:lang w:val="fr-FR"/>
        </w:rPr>
        <w:t>harcèlement</w:t>
      </w:r>
      <w:r w:rsidR="006E1537">
        <w:rPr>
          <w:lang w:val="fr-FR"/>
        </w:rPr>
        <w:t> </w:t>
      </w:r>
      <w:r w:rsidRPr="005529B6">
        <w:rPr>
          <w:lang w:val="fr-FR"/>
        </w:rPr>
        <w:t>» y est défini comme désignant tout comportement non désiré, verbal, non verbal, visuel, psychologique ou physique, fondé sur l</w:t>
      </w:r>
      <w:r w:rsidR="00795C5F">
        <w:rPr>
          <w:lang w:val="fr-FR"/>
        </w:rPr>
        <w:t>’</w:t>
      </w:r>
      <w:r w:rsidRPr="005529B6">
        <w:rPr>
          <w:lang w:val="fr-FR"/>
        </w:rPr>
        <w:t>âge, le handicap, la séropositivité, la situation personnelle, le sexe, l</w:t>
      </w:r>
      <w:r w:rsidR="00795C5F">
        <w:rPr>
          <w:lang w:val="fr-FR"/>
        </w:rPr>
        <w:t>’</w:t>
      </w:r>
      <w:r w:rsidRPr="005529B6">
        <w:rPr>
          <w:lang w:val="fr-FR"/>
        </w:rPr>
        <w:t>orientation sexuelle, la race, la couleur de peau, la langue, la religion, l</w:t>
      </w:r>
      <w:r w:rsidR="00795C5F">
        <w:rPr>
          <w:lang w:val="fr-FR"/>
        </w:rPr>
        <w:t>’</w:t>
      </w:r>
      <w:r w:rsidRPr="005529B6">
        <w:rPr>
          <w:lang w:val="fr-FR"/>
        </w:rPr>
        <w:t>opinion politique, syndicale ou autre opinion ou conviction, l</w:t>
      </w:r>
      <w:r w:rsidR="00795C5F">
        <w:rPr>
          <w:lang w:val="fr-FR"/>
        </w:rPr>
        <w:t>’</w:t>
      </w:r>
      <w:r w:rsidRPr="005529B6">
        <w:rPr>
          <w:lang w:val="fr-FR"/>
        </w:rPr>
        <w:t>origine nationale ou sociale, l</w:t>
      </w:r>
      <w:r w:rsidR="00795C5F">
        <w:rPr>
          <w:lang w:val="fr-FR"/>
        </w:rPr>
        <w:t>’</w:t>
      </w:r>
      <w:r w:rsidRPr="005529B6">
        <w:rPr>
          <w:lang w:val="fr-FR"/>
        </w:rPr>
        <w:t>appartenance à une minorité, la naissance ou toute autre situation, dont une personne raisonnable aurait pu prévoir qu</w:t>
      </w:r>
      <w:r w:rsidR="00795C5F">
        <w:rPr>
          <w:lang w:val="fr-FR"/>
        </w:rPr>
        <w:t>’</w:t>
      </w:r>
      <w:r w:rsidRPr="005529B6">
        <w:rPr>
          <w:lang w:val="fr-FR"/>
        </w:rPr>
        <w:t>il était de nature à porter atteinte à la dignité d</w:t>
      </w:r>
      <w:r w:rsidR="00795C5F">
        <w:rPr>
          <w:lang w:val="fr-FR"/>
        </w:rPr>
        <w:t>’</w:t>
      </w:r>
      <w:r w:rsidRPr="005529B6">
        <w:rPr>
          <w:lang w:val="fr-FR"/>
        </w:rPr>
        <w:t>un travailleur. Pour tenter d</w:t>
      </w:r>
      <w:r w:rsidR="00795C5F">
        <w:rPr>
          <w:lang w:val="fr-FR"/>
        </w:rPr>
        <w:t>’</w:t>
      </w:r>
      <w:r w:rsidRPr="005529B6">
        <w:rPr>
          <w:lang w:val="fr-FR"/>
        </w:rPr>
        <w:t>éliminer cette forme de comportement non désiré au travail, il est prévu qu</w:t>
      </w:r>
      <w:r w:rsidR="00795C5F">
        <w:rPr>
          <w:lang w:val="fr-FR"/>
        </w:rPr>
        <w:t>’</w:t>
      </w:r>
      <w:r w:rsidRPr="005529B6">
        <w:rPr>
          <w:lang w:val="fr-FR"/>
        </w:rPr>
        <w:t>en cas de condamnation, la personne déclarée coupable encourt une amende d</w:t>
      </w:r>
      <w:r w:rsidR="00795C5F">
        <w:rPr>
          <w:lang w:val="fr-FR"/>
        </w:rPr>
        <w:t>’</w:t>
      </w:r>
      <w:r w:rsidRPr="005529B6">
        <w:rPr>
          <w:lang w:val="fr-FR"/>
        </w:rPr>
        <w:t>un montant maximum de 75 000 roupies et une peine de prison d</w:t>
      </w:r>
      <w:r w:rsidR="00795C5F">
        <w:rPr>
          <w:lang w:val="fr-FR"/>
        </w:rPr>
        <w:t>’</w:t>
      </w:r>
      <w:r w:rsidRPr="005529B6">
        <w:rPr>
          <w:lang w:val="fr-FR"/>
        </w:rPr>
        <w:t>une durée pouvant atteindre deux ans.</w:t>
      </w:r>
    </w:p>
    <w:p w14:paraId="465A3E79" w14:textId="6912F79C" w:rsidR="005529B6" w:rsidRPr="005529B6" w:rsidRDefault="005529B6" w:rsidP="00812366">
      <w:pPr>
        <w:pStyle w:val="SingleTxt"/>
        <w:numPr>
          <w:ilvl w:val="0"/>
          <w:numId w:val="20"/>
        </w:numPr>
        <w:spacing w:line="240" w:lineRule="exact"/>
        <w:ind w:left="1267"/>
        <w:rPr>
          <w:lang w:val="fr-FR"/>
        </w:rPr>
      </w:pPr>
      <w:r w:rsidRPr="005529B6">
        <w:rPr>
          <w:lang w:val="fr-FR"/>
        </w:rPr>
        <w:t>Le paragraphe 3 de l</w:t>
      </w:r>
      <w:r w:rsidR="00795C5F">
        <w:rPr>
          <w:lang w:val="fr-FR"/>
        </w:rPr>
        <w:t>’</w:t>
      </w:r>
      <w:r w:rsidRPr="005529B6">
        <w:rPr>
          <w:lang w:val="fr-FR"/>
        </w:rPr>
        <w:t>article 36 de la même loi dispose expressément que, lorsqu</w:t>
      </w:r>
      <w:r w:rsidR="00795C5F">
        <w:rPr>
          <w:lang w:val="fr-FR"/>
        </w:rPr>
        <w:t>’</w:t>
      </w:r>
      <w:r w:rsidRPr="005529B6">
        <w:rPr>
          <w:lang w:val="fr-FR"/>
        </w:rPr>
        <w:t>un travailleur a été maltraité par son employeur, il y a lieu de considérer que ce dernier a mis fin au contrat de manière injustifiée. Le travailleur pourra donc demander l</w:t>
      </w:r>
      <w:r w:rsidR="00795C5F">
        <w:rPr>
          <w:lang w:val="fr-FR"/>
        </w:rPr>
        <w:t>’</w:t>
      </w:r>
      <w:r w:rsidRPr="005529B6">
        <w:rPr>
          <w:lang w:val="fr-FR"/>
        </w:rPr>
        <w:t>indemnisation prévue en cas de licenciement injustifié.</w:t>
      </w:r>
    </w:p>
    <w:p w14:paraId="0F1B7D27" w14:textId="55AFCF96" w:rsidR="005529B6" w:rsidRPr="005529B6" w:rsidRDefault="005529B6" w:rsidP="00812366">
      <w:pPr>
        <w:pStyle w:val="SingleTxt"/>
        <w:numPr>
          <w:ilvl w:val="0"/>
          <w:numId w:val="20"/>
        </w:numPr>
        <w:spacing w:line="240" w:lineRule="exact"/>
        <w:ind w:left="1267"/>
        <w:rPr>
          <w:lang w:val="fr-FR"/>
        </w:rPr>
      </w:pPr>
      <w:r w:rsidRPr="005529B6">
        <w:rPr>
          <w:lang w:val="fr-FR"/>
        </w:rPr>
        <w:t xml:space="preserve">Pour protéger les travailleurs contre des inégalités de traitement ou des décisions arbitraires en ce qui concerne leur emploi, la </w:t>
      </w:r>
      <w:r w:rsidR="00F0127C">
        <w:rPr>
          <w:lang w:val="fr-FR"/>
        </w:rPr>
        <w:t>l</w:t>
      </w:r>
      <w:r w:rsidRPr="005529B6">
        <w:rPr>
          <w:lang w:val="fr-FR"/>
        </w:rPr>
        <w:t>oi prévoit qu</w:t>
      </w:r>
      <w:r w:rsidR="00795C5F">
        <w:rPr>
          <w:lang w:val="fr-FR"/>
        </w:rPr>
        <w:t>’</w:t>
      </w:r>
      <w:r w:rsidRPr="005529B6">
        <w:rPr>
          <w:lang w:val="fr-FR"/>
        </w:rPr>
        <w:t>aucun employeur ne peut invoquer un motif discriminatoire pour mettre fin au contrat. Ainsi, aux termes du paragraphe premier de l</w:t>
      </w:r>
      <w:r w:rsidR="00795C5F">
        <w:rPr>
          <w:lang w:val="fr-FR"/>
        </w:rPr>
        <w:t>’</w:t>
      </w:r>
      <w:r w:rsidRPr="005529B6">
        <w:rPr>
          <w:lang w:val="fr-FR"/>
        </w:rPr>
        <w:t xml:space="preserve">article 38 de la </w:t>
      </w:r>
      <w:r w:rsidR="00F0127C">
        <w:rPr>
          <w:lang w:val="fr-FR"/>
        </w:rPr>
        <w:t>l</w:t>
      </w:r>
      <w:r w:rsidRPr="005529B6">
        <w:rPr>
          <w:lang w:val="fr-FR"/>
        </w:rPr>
        <w:t>oi relative aux droits en matière d</w:t>
      </w:r>
      <w:r w:rsidR="00795C5F">
        <w:rPr>
          <w:lang w:val="fr-FR"/>
        </w:rPr>
        <w:t>’</w:t>
      </w:r>
      <w:r w:rsidRPr="005529B6">
        <w:rPr>
          <w:lang w:val="fr-FR"/>
        </w:rPr>
        <w:t>emploi, un employeur ne peut mettre fin à un contrat pour les motifs suivants</w:t>
      </w:r>
      <w:r w:rsidR="00795C5F">
        <w:rPr>
          <w:lang w:val="fr-FR"/>
        </w:rPr>
        <w:t> :</w:t>
      </w:r>
    </w:p>
    <w:p w14:paraId="2C9D08CD" w14:textId="3CF26F22"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La race d</w:t>
      </w:r>
      <w:r w:rsidR="00795C5F">
        <w:rPr>
          <w:lang w:val="fr-FR"/>
        </w:rPr>
        <w:t>’</w:t>
      </w:r>
      <w:r w:rsidR="005529B6" w:rsidRPr="005529B6">
        <w:rPr>
          <w:lang w:val="fr-FR"/>
        </w:rPr>
        <w:t>un travailleur, sa couleur de peau, sa caste, son ascendance nationale, son origine sociale, une grossesse, sa religion, ses opinions politiques, son sexe, son orientation sexuelle, sa séropositivité, sa situation familiale ou ses responsabilités familiales</w:t>
      </w:r>
      <w:r w:rsidR="00795C5F">
        <w:rPr>
          <w:lang w:val="fr-FR"/>
        </w:rPr>
        <w:t> ;</w:t>
      </w:r>
    </w:p>
    <w:p w14:paraId="1F676CD4" w14:textId="0DD78236"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Le fait, pour un travailleur, de devenir ou d</w:t>
      </w:r>
      <w:r w:rsidR="00795C5F">
        <w:rPr>
          <w:lang w:val="fr-FR"/>
        </w:rPr>
        <w:t>’</w:t>
      </w:r>
      <w:r w:rsidR="005529B6" w:rsidRPr="005529B6">
        <w:rPr>
          <w:lang w:val="fr-FR"/>
        </w:rPr>
        <w:t>être membre d</w:t>
      </w:r>
      <w:r w:rsidR="00795C5F">
        <w:rPr>
          <w:lang w:val="fr-FR"/>
        </w:rPr>
        <w:t>’</w:t>
      </w:r>
      <w:r w:rsidR="005529B6" w:rsidRPr="005529B6">
        <w:rPr>
          <w:lang w:val="fr-FR"/>
        </w:rPr>
        <w:t>un syndicat, de briguer ou d</w:t>
      </w:r>
      <w:r w:rsidR="00795C5F">
        <w:rPr>
          <w:lang w:val="fr-FR"/>
        </w:rPr>
        <w:t>’</w:t>
      </w:r>
      <w:r w:rsidR="005529B6" w:rsidRPr="005529B6">
        <w:rPr>
          <w:lang w:val="fr-FR"/>
        </w:rPr>
        <w:t>exercer des fonctions syndicales, ou encore de participer à des activités syndicales en dehors des heures de travail ou, avec le consentement de l</w:t>
      </w:r>
      <w:r w:rsidR="00795C5F">
        <w:rPr>
          <w:lang w:val="fr-FR"/>
        </w:rPr>
        <w:t>’</w:t>
      </w:r>
      <w:r w:rsidR="005529B6" w:rsidRPr="005529B6">
        <w:rPr>
          <w:lang w:val="fr-FR"/>
        </w:rPr>
        <w:t>employeur, durant les heures de travail</w:t>
      </w:r>
      <w:r w:rsidR="00795C5F">
        <w:rPr>
          <w:lang w:val="fr-FR"/>
        </w:rPr>
        <w:t> ;</w:t>
      </w:r>
    </w:p>
    <w:p w14:paraId="5DC6B803" w14:textId="64279D33"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Le fait, pour un travailleur agissant de bonne foi, d</w:t>
      </w:r>
      <w:r w:rsidR="00795C5F">
        <w:rPr>
          <w:lang w:val="fr-FR"/>
        </w:rPr>
        <w:t>’</w:t>
      </w:r>
      <w:r w:rsidR="005529B6" w:rsidRPr="005529B6">
        <w:rPr>
          <w:lang w:val="fr-FR"/>
        </w:rPr>
        <w:t>avoir porté plainte ou d</w:t>
      </w:r>
      <w:r w:rsidR="00795C5F">
        <w:rPr>
          <w:lang w:val="fr-FR"/>
        </w:rPr>
        <w:t>’</w:t>
      </w:r>
      <w:r w:rsidR="005529B6" w:rsidRPr="005529B6">
        <w:rPr>
          <w:lang w:val="fr-FR"/>
        </w:rPr>
        <w:t>être partie à une procédure contre un employeur à raison du non-respect d</w:t>
      </w:r>
      <w:r w:rsidR="00795C5F">
        <w:rPr>
          <w:lang w:val="fr-FR"/>
        </w:rPr>
        <w:t>’</w:t>
      </w:r>
      <w:r w:rsidR="005529B6" w:rsidRPr="005529B6">
        <w:rPr>
          <w:lang w:val="fr-FR"/>
        </w:rPr>
        <w:t>une de ses conditions d</w:t>
      </w:r>
      <w:r w:rsidR="00795C5F">
        <w:rPr>
          <w:lang w:val="fr-FR"/>
        </w:rPr>
        <w:t>’</w:t>
      </w:r>
      <w:r w:rsidR="005529B6" w:rsidRPr="005529B6">
        <w:rPr>
          <w:lang w:val="fr-FR"/>
        </w:rPr>
        <w:t>emploi</w:t>
      </w:r>
      <w:r w:rsidR="00795C5F">
        <w:rPr>
          <w:lang w:val="fr-FR"/>
        </w:rPr>
        <w:t> ;</w:t>
      </w:r>
    </w:p>
    <w:p w14:paraId="2B8E315E" w14:textId="764D7CD4"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w:t>
      </w:r>
      <w:r w:rsidR="00795C5F">
        <w:rPr>
          <w:lang w:val="fr-FR"/>
        </w:rPr>
        <w:t>’</w:t>
      </w:r>
      <w:r w:rsidR="005529B6" w:rsidRPr="005529B6">
        <w:rPr>
          <w:lang w:val="fr-FR"/>
        </w:rPr>
        <w:t>exercice par un travailleur de l</w:t>
      </w:r>
      <w:r w:rsidR="00795C5F">
        <w:rPr>
          <w:lang w:val="fr-FR"/>
        </w:rPr>
        <w:t>’</w:t>
      </w:r>
      <w:r w:rsidR="005529B6" w:rsidRPr="005529B6">
        <w:rPr>
          <w:lang w:val="fr-FR"/>
        </w:rPr>
        <w:t xml:space="preserve">un quelconque des droits que lui confère la </w:t>
      </w:r>
      <w:r w:rsidR="00F0127C">
        <w:rPr>
          <w:lang w:val="fr-FR"/>
        </w:rPr>
        <w:t>l</w:t>
      </w:r>
      <w:r w:rsidR="005529B6" w:rsidRPr="005529B6">
        <w:rPr>
          <w:lang w:val="fr-FR"/>
        </w:rPr>
        <w:t>oi relative aux droits en matière d</w:t>
      </w:r>
      <w:r w:rsidR="00795C5F">
        <w:rPr>
          <w:lang w:val="fr-FR"/>
        </w:rPr>
        <w:t>’</w:t>
      </w:r>
      <w:r w:rsidR="005529B6" w:rsidRPr="005529B6">
        <w:rPr>
          <w:lang w:val="fr-FR"/>
        </w:rPr>
        <w:t>emploi ou une autre disposition, ou qui résulte du contrat, d</w:t>
      </w:r>
      <w:r w:rsidR="00795C5F">
        <w:rPr>
          <w:lang w:val="fr-FR"/>
        </w:rPr>
        <w:t>’</w:t>
      </w:r>
      <w:r w:rsidR="005529B6" w:rsidRPr="005529B6">
        <w:rPr>
          <w:lang w:val="fr-FR"/>
        </w:rPr>
        <w:t>une convention collective ou d</w:t>
      </w:r>
      <w:r w:rsidR="00795C5F">
        <w:rPr>
          <w:lang w:val="fr-FR"/>
        </w:rPr>
        <w:t>’</w:t>
      </w:r>
      <w:r w:rsidR="005529B6" w:rsidRPr="005529B6">
        <w:rPr>
          <w:lang w:val="fr-FR"/>
        </w:rPr>
        <w:t>une sentence arbitrale.</w:t>
      </w:r>
    </w:p>
    <w:p w14:paraId="0908BAAB" w14:textId="50CB87A3" w:rsidR="005529B6" w:rsidRPr="005529B6" w:rsidRDefault="005529B6" w:rsidP="00812366">
      <w:pPr>
        <w:pStyle w:val="SingleTxt"/>
        <w:numPr>
          <w:ilvl w:val="0"/>
          <w:numId w:val="20"/>
        </w:numPr>
        <w:spacing w:line="240" w:lineRule="exact"/>
        <w:ind w:left="1267"/>
        <w:rPr>
          <w:lang w:val="fr-FR"/>
        </w:rPr>
      </w:pPr>
      <w:r w:rsidRPr="005529B6">
        <w:rPr>
          <w:lang w:val="fr-FR"/>
        </w:rPr>
        <w:t>En ce qui concerne les droits fondamentaux des travailleurs, l</w:t>
      </w:r>
      <w:r w:rsidR="00795C5F">
        <w:rPr>
          <w:lang w:val="fr-FR"/>
        </w:rPr>
        <w:t>’</w:t>
      </w:r>
      <w:r w:rsidRPr="005529B6">
        <w:rPr>
          <w:lang w:val="fr-FR"/>
        </w:rPr>
        <w:t xml:space="preserve">article 13 de la Constitution garantit à chaque citoyen la </w:t>
      </w:r>
      <w:r w:rsidR="00795C5F" w:rsidRPr="005529B6">
        <w:rPr>
          <w:lang w:val="fr-FR"/>
        </w:rPr>
        <w:t>«</w:t>
      </w:r>
      <w:r w:rsidR="00795C5F">
        <w:rPr>
          <w:lang w:val="fr-FR"/>
        </w:rPr>
        <w:t> </w:t>
      </w:r>
      <w:r w:rsidRPr="005529B6">
        <w:rPr>
          <w:lang w:val="fr-FR"/>
        </w:rPr>
        <w:t xml:space="preserve">liberté </w:t>
      </w:r>
      <w:r w:rsidR="00795C5F" w:rsidRPr="005529B6">
        <w:rPr>
          <w:lang w:val="fr-FR"/>
        </w:rPr>
        <w:t>d</w:t>
      </w:r>
      <w:r w:rsidR="00795C5F">
        <w:rPr>
          <w:lang w:val="fr-FR"/>
        </w:rPr>
        <w:t>’</w:t>
      </w:r>
      <w:r w:rsidR="00795C5F" w:rsidRPr="005529B6">
        <w:rPr>
          <w:lang w:val="fr-FR"/>
        </w:rPr>
        <w:t>association</w:t>
      </w:r>
      <w:r w:rsidR="00795C5F">
        <w:rPr>
          <w:lang w:val="fr-FR"/>
        </w:rPr>
        <w:t> </w:t>
      </w:r>
      <w:r w:rsidRPr="005529B6">
        <w:rPr>
          <w:lang w:val="fr-FR"/>
        </w:rPr>
        <w:t>», en vertu de laquelle il peut fonder avec d</w:t>
      </w:r>
      <w:r w:rsidR="00795C5F">
        <w:rPr>
          <w:lang w:val="fr-FR"/>
        </w:rPr>
        <w:t>’</w:t>
      </w:r>
      <w:r w:rsidRPr="005529B6">
        <w:rPr>
          <w:lang w:val="fr-FR"/>
        </w:rPr>
        <w:t>autres une organisation ou s</w:t>
      </w:r>
      <w:r w:rsidR="00795C5F">
        <w:rPr>
          <w:lang w:val="fr-FR"/>
        </w:rPr>
        <w:t>’</w:t>
      </w:r>
      <w:r w:rsidRPr="005529B6">
        <w:rPr>
          <w:lang w:val="fr-FR"/>
        </w:rPr>
        <w:t>affilier à une organisation pour la défense de ses intérêts. Ce droit fondamental est également consacré à l</w:t>
      </w:r>
      <w:r w:rsidR="00795C5F">
        <w:rPr>
          <w:lang w:val="fr-FR"/>
        </w:rPr>
        <w:t>’</w:t>
      </w:r>
      <w:r w:rsidRPr="005529B6">
        <w:rPr>
          <w:lang w:val="fr-FR"/>
        </w:rPr>
        <w:t xml:space="preserve">article 29 de la </w:t>
      </w:r>
      <w:r w:rsidR="00F0127C">
        <w:rPr>
          <w:lang w:val="fr-FR"/>
        </w:rPr>
        <w:t>l</w:t>
      </w:r>
      <w:r w:rsidRPr="005529B6">
        <w:rPr>
          <w:lang w:val="fr-FR"/>
        </w:rPr>
        <w:t>oi sur les relations du travail, dans les termes ci-après</w:t>
      </w:r>
      <w:r w:rsidR="00795C5F">
        <w:rPr>
          <w:lang w:val="fr-FR"/>
        </w:rPr>
        <w:t> :</w:t>
      </w:r>
    </w:p>
    <w:p w14:paraId="2EEDEB98" w14:textId="2B1F54E7" w:rsidR="005529B6" w:rsidRPr="005529B6" w:rsidRDefault="00812366" w:rsidP="006C0DCF">
      <w:pPr>
        <w:pStyle w:val="SingleTxt"/>
        <w:keepNext/>
        <w:tabs>
          <w:tab w:val="right" w:pos="1685"/>
        </w:tabs>
        <w:ind w:left="1742" w:hanging="475"/>
        <w:rPr>
          <w:lang w:val="fr-FR"/>
        </w:rPr>
      </w:pPr>
      <w:r>
        <w:rPr>
          <w:lang w:val="fr-FR"/>
        </w:rPr>
        <w:lastRenderedPageBreak/>
        <w:tab/>
      </w:r>
      <w:r w:rsidR="005529B6" w:rsidRPr="005529B6">
        <w:rPr>
          <w:lang w:val="fr-FR"/>
        </w:rPr>
        <w:t>•</w:t>
      </w:r>
      <w:r w:rsidR="005529B6" w:rsidRPr="005529B6">
        <w:rPr>
          <w:lang w:val="fr-FR"/>
        </w:rPr>
        <w:tab/>
        <w:t>Tout travailleur a le droit</w:t>
      </w:r>
      <w:r w:rsidR="00795C5F">
        <w:rPr>
          <w:lang w:val="fr-FR"/>
        </w:rPr>
        <w:t> :</w:t>
      </w:r>
    </w:p>
    <w:p w14:paraId="7873E5E8" w14:textId="2F2AA58D" w:rsidR="005529B6" w:rsidRPr="00457EF9" w:rsidRDefault="00812366" w:rsidP="00ED416A">
      <w:pPr>
        <w:pStyle w:val="SingleTxt"/>
        <w:keepNe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w w:val="100"/>
          <w:lang w:val="fr-FR"/>
        </w:rPr>
      </w:pPr>
      <w:r>
        <w:rPr>
          <w:lang w:val="fr-FR"/>
        </w:rPr>
        <w:tab/>
      </w:r>
      <w:r w:rsidR="005529B6" w:rsidRPr="005529B6">
        <w:rPr>
          <w:lang w:val="fr-FR"/>
        </w:rPr>
        <w:t>•</w:t>
      </w:r>
      <w:r w:rsidR="005529B6" w:rsidRPr="005529B6">
        <w:rPr>
          <w:lang w:val="fr-FR"/>
        </w:rPr>
        <w:tab/>
      </w:r>
      <w:r w:rsidRPr="00457EF9">
        <w:rPr>
          <w:w w:val="100"/>
          <w:lang w:val="fr-FR"/>
        </w:rPr>
        <w:t>D</w:t>
      </w:r>
      <w:r w:rsidR="00795C5F">
        <w:rPr>
          <w:w w:val="100"/>
          <w:lang w:val="fr-FR"/>
        </w:rPr>
        <w:t>’</w:t>
      </w:r>
      <w:r w:rsidR="005529B6" w:rsidRPr="00457EF9">
        <w:rPr>
          <w:w w:val="100"/>
          <w:lang w:val="fr-FR"/>
        </w:rPr>
        <w:t>adhérer à un syndicat de son choix ou de fonder avec d</w:t>
      </w:r>
      <w:r w:rsidR="00795C5F">
        <w:rPr>
          <w:w w:val="100"/>
          <w:lang w:val="fr-FR"/>
        </w:rPr>
        <w:t>’</w:t>
      </w:r>
      <w:r w:rsidR="005529B6" w:rsidRPr="00457EF9">
        <w:rPr>
          <w:w w:val="100"/>
          <w:lang w:val="fr-FR"/>
        </w:rPr>
        <w:t>autres un syndicat, sans autorisation préalable et sans distinction ni discrimination d</w:t>
      </w:r>
      <w:r w:rsidR="00795C5F">
        <w:rPr>
          <w:w w:val="100"/>
          <w:lang w:val="fr-FR"/>
        </w:rPr>
        <w:t>’</w:t>
      </w:r>
      <w:r w:rsidR="005529B6" w:rsidRPr="00457EF9">
        <w:rPr>
          <w:w w:val="100"/>
          <w:lang w:val="fr-FR"/>
        </w:rPr>
        <w:t>aucune sorte, notamment fondée sur la profession, l</w:t>
      </w:r>
      <w:r w:rsidR="00795C5F">
        <w:rPr>
          <w:w w:val="100"/>
          <w:lang w:val="fr-FR"/>
        </w:rPr>
        <w:t>’</w:t>
      </w:r>
      <w:r w:rsidR="005529B6" w:rsidRPr="00457EF9">
        <w:rPr>
          <w:w w:val="100"/>
          <w:lang w:val="fr-FR"/>
        </w:rPr>
        <w:t>âge, la situation matrimoniale, le sexe, l</w:t>
      </w:r>
      <w:r w:rsidR="00795C5F">
        <w:rPr>
          <w:w w:val="100"/>
          <w:lang w:val="fr-FR"/>
        </w:rPr>
        <w:t>’</w:t>
      </w:r>
      <w:r w:rsidR="005529B6" w:rsidRPr="00457EF9">
        <w:rPr>
          <w:w w:val="100"/>
          <w:lang w:val="fr-FR"/>
        </w:rPr>
        <w:t>orientation sexuelle, la couleur de peau, la race, la religion, la séropositivité, l</w:t>
      </w:r>
      <w:r w:rsidR="00795C5F">
        <w:rPr>
          <w:w w:val="100"/>
          <w:lang w:val="fr-FR"/>
        </w:rPr>
        <w:t>’</w:t>
      </w:r>
      <w:r w:rsidR="005529B6" w:rsidRPr="00457EF9">
        <w:rPr>
          <w:w w:val="100"/>
          <w:lang w:val="fr-FR"/>
        </w:rPr>
        <w:t>ascendance nationale, l</w:t>
      </w:r>
      <w:r w:rsidR="00795C5F">
        <w:rPr>
          <w:w w:val="100"/>
          <w:lang w:val="fr-FR"/>
        </w:rPr>
        <w:t>’</w:t>
      </w:r>
      <w:r w:rsidR="005529B6" w:rsidRPr="00457EF9">
        <w:rPr>
          <w:w w:val="100"/>
          <w:lang w:val="fr-FR"/>
        </w:rPr>
        <w:t>origine sociale, ou l</w:t>
      </w:r>
      <w:r w:rsidR="00795C5F">
        <w:rPr>
          <w:w w:val="100"/>
          <w:lang w:val="fr-FR"/>
        </w:rPr>
        <w:t>’</w:t>
      </w:r>
      <w:r w:rsidR="005529B6" w:rsidRPr="00457EF9">
        <w:rPr>
          <w:w w:val="100"/>
          <w:lang w:val="fr-FR"/>
        </w:rPr>
        <w:t>opinion ou l</w:t>
      </w:r>
      <w:r w:rsidR="00795C5F">
        <w:rPr>
          <w:w w:val="100"/>
          <w:lang w:val="fr-FR"/>
        </w:rPr>
        <w:t>’</w:t>
      </w:r>
      <w:r w:rsidR="005529B6" w:rsidRPr="00457EF9">
        <w:rPr>
          <w:w w:val="100"/>
          <w:lang w:val="fr-FR"/>
        </w:rPr>
        <w:t>affiliation politiques</w:t>
      </w:r>
      <w:r w:rsidR="00795C5F">
        <w:rPr>
          <w:w w:val="100"/>
          <w:lang w:val="fr-FR"/>
        </w:rPr>
        <w:t> ;</w:t>
      </w:r>
    </w:p>
    <w:p w14:paraId="1147DE42" w14:textId="1CFC6145" w:rsidR="005529B6" w:rsidRPr="005529B6" w:rsidRDefault="00812366" w:rsidP="00ED416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5529B6" w:rsidRPr="005529B6">
        <w:rPr>
          <w:lang w:val="fr-FR"/>
        </w:rPr>
        <w:t>•</w:t>
      </w:r>
      <w:r w:rsidR="005529B6" w:rsidRPr="005529B6">
        <w:rPr>
          <w:lang w:val="fr-FR"/>
        </w:rPr>
        <w:tab/>
      </w:r>
      <w:r>
        <w:rPr>
          <w:lang w:val="fr-FR"/>
        </w:rPr>
        <w:t>D</w:t>
      </w:r>
      <w:r w:rsidR="005529B6" w:rsidRPr="005529B6">
        <w:rPr>
          <w:lang w:val="fr-FR"/>
        </w:rPr>
        <w:t>e participer, en dehors des heures de travail ou, avec le consentement de l</w:t>
      </w:r>
      <w:r w:rsidR="00795C5F">
        <w:rPr>
          <w:lang w:val="fr-FR"/>
        </w:rPr>
        <w:t>’</w:t>
      </w:r>
      <w:r w:rsidR="005529B6" w:rsidRPr="005529B6">
        <w:rPr>
          <w:lang w:val="fr-FR"/>
        </w:rPr>
        <w:t>employeur, durant les heures de travail, aux activités licites du syndicat dont il est membre</w:t>
      </w:r>
      <w:r w:rsidR="00795C5F">
        <w:rPr>
          <w:lang w:val="fr-FR"/>
        </w:rPr>
        <w:t> ;</w:t>
      </w:r>
    </w:p>
    <w:p w14:paraId="0D264FE3" w14:textId="52D87022" w:rsidR="005529B6" w:rsidRPr="005529B6" w:rsidRDefault="00812366" w:rsidP="00ED416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5529B6" w:rsidRPr="005529B6">
        <w:rPr>
          <w:lang w:val="fr-FR"/>
        </w:rPr>
        <w:t>•</w:t>
      </w:r>
      <w:r w:rsidR="005529B6" w:rsidRPr="005529B6">
        <w:rPr>
          <w:lang w:val="fr-FR"/>
        </w:rPr>
        <w:tab/>
      </w:r>
      <w:r>
        <w:rPr>
          <w:lang w:val="fr-FR"/>
        </w:rPr>
        <w:t>D</w:t>
      </w:r>
      <w:r w:rsidR="005529B6" w:rsidRPr="005529B6">
        <w:rPr>
          <w:lang w:val="fr-FR"/>
        </w:rPr>
        <w:t>e briguer, sous réserve du règlement du syndicat dont il est membre, la nomination ou l</w:t>
      </w:r>
      <w:r w:rsidR="00795C5F">
        <w:rPr>
          <w:lang w:val="fr-FR"/>
        </w:rPr>
        <w:t>’</w:t>
      </w:r>
      <w:r w:rsidR="005529B6" w:rsidRPr="005529B6">
        <w:rPr>
          <w:lang w:val="fr-FR"/>
        </w:rPr>
        <w:t>élection à des fonctions dans ce syndicat</w:t>
      </w:r>
      <w:r w:rsidR="00795C5F">
        <w:rPr>
          <w:lang w:val="fr-FR"/>
        </w:rPr>
        <w:t> ;</w:t>
      </w:r>
    </w:p>
    <w:p w14:paraId="11D37D00" w14:textId="63240D22"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La clause d</w:t>
      </w:r>
      <w:r w:rsidR="00795C5F">
        <w:rPr>
          <w:lang w:val="fr-FR"/>
        </w:rPr>
        <w:t>’</w:t>
      </w:r>
      <w:r w:rsidR="005529B6" w:rsidRPr="005529B6">
        <w:rPr>
          <w:lang w:val="fr-FR"/>
        </w:rPr>
        <w:t>un contrat de travail ou disposition d</w:t>
      </w:r>
      <w:r w:rsidR="00795C5F">
        <w:rPr>
          <w:lang w:val="fr-FR"/>
        </w:rPr>
        <w:t>’</w:t>
      </w:r>
      <w:r w:rsidR="005529B6" w:rsidRPr="005529B6">
        <w:rPr>
          <w:lang w:val="fr-FR"/>
        </w:rPr>
        <w:t>une convention collective qui tend à restreindre l</w:t>
      </w:r>
      <w:r w:rsidR="00795C5F">
        <w:rPr>
          <w:lang w:val="fr-FR"/>
        </w:rPr>
        <w:t>’</w:t>
      </w:r>
      <w:r w:rsidR="005529B6" w:rsidRPr="005529B6">
        <w:rPr>
          <w:lang w:val="fr-FR"/>
        </w:rPr>
        <w:t xml:space="preserve">exercice de tout droit découlant de la </w:t>
      </w:r>
      <w:r w:rsidR="00795C5F">
        <w:rPr>
          <w:lang w:val="fr-FR"/>
        </w:rPr>
        <w:t>l</w:t>
      </w:r>
      <w:r w:rsidR="005529B6" w:rsidRPr="005529B6">
        <w:rPr>
          <w:lang w:val="fr-FR"/>
        </w:rPr>
        <w:t>oi sur les relations du travail est considérée comme nulle et non avenue</w:t>
      </w:r>
      <w:r w:rsidR="00795C5F">
        <w:rPr>
          <w:lang w:val="fr-FR"/>
        </w:rPr>
        <w:t> ;</w:t>
      </w:r>
    </w:p>
    <w:p w14:paraId="796F320D" w14:textId="43329F8D"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Nul employeur ne peut empêcher un travailleur d</w:t>
      </w:r>
      <w:r w:rsidR="00795C5F">
        <w:rPr>
          <w:lang w:val="fr-FR"/>
        </w:rPr>
        <w:t>’</w:t>
      </w:r>
      <w:r w:rsidR="005529B6" w:rsidRPr="005529B6">
        <w:rPr>
          <w:lang w:val="fr-FR"/>
        </w:rPr>
        <w:t>exercer les droits qu</w:t>
      </w:r>
      <w:r w:rsidR="00795C5F">
        <w:rPr>
          <w:lang w:val="fr-FR"/>
        </w:rPr>
        <w:t>’</w:t>
      </w:r>
      <w:r w:rsidR="005529B6" w:rsidRPr="005529B6">
        <w:rPr>
          <w:lang w:val="fr-FR"/>
        </w:rPr>
        <w:t>il tire du présent article.</w:t>
      </w:r>
    </w:p>
    <w:p w14:paraId="39E020BF" w14:textId="6A14C61D" w:rsidR="005529B6" w:rsidRPr="005529B6" w:rsidRDefault="005529B6" w:rsidP="0081236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 xml:space="preserve">article 31 de la </w:t>
      </w:r>
      <w:r w:rsidR="00795C5F">
        <w:rPr>
          <w:lang w:val="fr-FR"/>
        </w:rPr>
        <w:t>l</w:t>
      </w:r>
      <w:r w:rsidRPr="005529B6">
        <w:rPr>
          <w:lang w:val="fr-FR"/>
        </w:rPr>
        <w:t>oi sur les relations du travail garantit également les droits susmentionnés, en veillant à ce que les travailleurs, y compris les travailleurs migrants, jouissent d</w:t>
      </w:r>
      <w:r w:rsidR="00795C5F">
        <w:rPr>
          <w:lang w:val="fr-FR"/>
        </w:rPr>
        <w:t>’</w:t>
      </w:r>
      <w:r w:rsidRPr="005529B6">
        <w:rPr>
          <w:lang w:val="fr-FR"/>
        </w:rPr>
        <w:t>une protection suffisante contre toute forme de discrimination et de victimisation. Il est libellé comme suit</w:t>
      </w:r>
      <w:r w:rsidR="00795C5F">
        <w:rPr>
          <w:lang w:val="fr-FR"/>
        </w:rPr>
        <w:t> :</w:t>
      </w:r>
    </w:p>
    <w:p w14:paraId="66551B52" w14:textId="3A01320F"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Nul ne peut</w:t>
      </w:r>
      <w:r w:rsidR="00795C5F">
        <w:rPr>
          <w:lang w:val="fr-FR"/>
        </w:rPr>
        <w:t> :</w:t>
      </w:r>
    </w:p>
    <w:p w14:paraId="6A06141E" w14:textId="5AEA3606" w:rsidR="005529B6" w:rsidRPr="005529B6" w:rsidRDefault="00812366" w:rsidP="00ED416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5529B6" w:rsidRPr="005529B6">
        <w:rPr>
          <w:lang w:val="fr-FR"/>
        </w:rPr>
        <w:t>•</w:t>
      </w:r>
      <w:r w:rsidR="005529B6" w:rsidRPr="005529B6">
        <w:rPr>
          <w:lang w:val="fr-FR"/>
        </w:rPr>
        <w:tab/>
        <w:t>Obliger une autre personne</w:t>
      </w:r>
      <w:r w:rsidR="00795C5F">
        <w:rPr>
          <w:lang w:val="fr-FR"/>
        </w:rPr>
        <w:t> :</w:t>
      </w:r>
    </w:p>
    <w:p w14:paraId="063EC25B" w14:textId="0A5EEEDC" w:rsidR="005529B6" w:rsidRPr="005529B6" w:rsidRDefault="00ED416A" w:rsidP="00ED416A">
      <w:pPr>
        <w:pStyle w:val="SingleTxt"/>
        <w:ind w:left="2693" w:hanging="1426"/>
        <w:rPr>
          <w:lang w:val="fr-FR"/>
        </w:rPr>
      </w:pPr>
      <w:r>
        <w:rPr>
          <w:lang w:val="fr-FR"/>
        </w:rPr>
        <w:tab/>
      </w:r>
      <w:r w:rsidR="00812366">
        <w:rPr>
          <w:lang w:val="fr-FR"/>
        </w:rPr>
        <w:tab/>
      </w:r>
      <w:r>
        <w:rPr>
          <w:lang w:val="fr-FR"/>
        </w:rPr>
        <w:tab/>
      </w:r>
      <w:r w:rsidR="005529B6" w:rsidRPr="005529B6">
        <w:rPr>
          <w:lang w:val="fr-FR"/>
        </w:rPr>
        <w:t>i)</w:t>
      </w:r>
      <w:r w:rsidR="005529B6" w:rsidRPr="005529B6">
        <w:rPr>
          <w:lang w:val="fr-FR"/>
        </w:rPr>
        <w:tab/>
        <w:t>À la recherche d</w:t>
      </w:r>
      <w:r w:rsidR="00795C5F">
        <w:rPr>
          <w:lang w:val="fr-FR"/>
        </w:rPr>
        <w:t>’</w:t>
      </w:r>
      <w:r w:rsidR="005529B6" w:rsidRPr="005529B6">
        <w:rPr>
          <w:lang w:val="fr-FR"/>
        </w:rPr>
        <w:t>un emploi à ne pas adhérer à un syndicat de son choix</w:t>
      </w:r>
      <w:r w:rsidR="00795C5F">
        <w:rPr>
          <w:lang w:val="fr-FR"/>
        </w:rPr>
        <w:t> ;</w:t>
      </w:r>
    </w:p>
    <w:p w14:paraId="30B2CF69" w14:textId="400A61EB" w:rsidR="005529B6" w:rsidRPr="005529B6" w:rsidRDefault="00ED416A" w:rsidP="005529B6">
      <w:pPr>
        <w:pStyle w:val="SingleTxt"/>
        <w:rPr>
          <w:lang w:val="fr-FR"/>
        </w:rPr>
      </w:pPr>
      <w:r>
        <w:rPr>
          <w:lang w:val="fr-FR"/>
        </w:rPr>
        <w:tab/>
      </w:r>
      <w:r w:rsidR="00812366">
        <w:rPr>
          <w:lang w:val="fr-FR"/>
        </w:rPr>
        <w:tab/>
      </w:r>
      <w:r w:rsidR="005529B6" w:rsidRPr="005529B6">
        <w:rPr>
          <w:lang w:val="fr-FR"/>
        </w:rPr>
        <w:t>ii)</w:t>
      </w:r>
      <w:r w:rsidR="005529B6" w:rsidRPr="005529B6">
        <w:rPr>
          <w:lang w:val="fr-FR"/>
        </w:rPr>
        <w:tab/>
        <w:t>À renoncer à son affiliation à un syndicat</w:t>
      </w:r>
      <w:r w:rsidR="00795C5F">
        <w:rPr>
          <w:lang w:val="fr-FR"/>
        </w:rPr>
        <w:t> ;</w:t>
      </w:r>
    </w:p>
    <w:p w14:paraId="56CBCB61" w14:textId="695B4345" w:rsidR="005529B6" w:rsidRPr="005529B6" w:rsidRDefault="00ED416A" w:rsidP="005529B6">
      <w:pPr>
        <w:pStyle w:val="SingleTxt"/>
        <w:rPr>
          <w:lang w:val="fr-FR"/>
        </w:rPr>
      </w:pPr>
      <w:r>
        <w:rPr>
          <w:lang w:val="fr-FR"/>
        </w:rPr>
        <w:tab/>
      </w:r>
      <w:r w:rsidR="00812366">
        <w:rPr>
          <w:lang w:val="fr-FR"/>
        </w:rPr>
        <w:tab/>
      </w:r>
      <w:r w:rsidR="005529B6" w:rsidRPr="005529B6">
        <w:rPr>
          <w:lang w:val="fr-FR"/>
        </w:rPr>
        <w:t>iii)</w:t>
      </w:r>
      <w:r w:rsidR="005529B6" w:rsidRPr="005529B6">
        <w:rPr>
          <w:lang w:val="fr-FR"/>
        </w:rPr>
        <w:tab/>
        <w:t>À ne pas exercer un droit que lui confère la présente loi</w:t>
      </w:r>
      <w:r w:rsidR="00795C5F">
        <w:rPr>
          <w:lang w:val="fr-FR"/>
        </w:rPr>
        <w:t> ;</w:t>
      </w:r>
      <w:r w:rsidR="005529B6" w:rsidRPr="005529B6">
        <w:rPr>
          <w:lang w:val="fr-FR"/>
        </w:rPr>
        <w:t xml:space="preserve"> ou</w:t>
      </w:r>
    </w:p>
    <w:p w14:paraId="63463914" w14:textId="76FE266A" w:rsidR="005529B6" w:rsidRPr="005529B6" w:rsidRDefault="00ED416A" w:rsidP="00ED416A">
      <w:pPr>
        <w:pStyle w:val="SingleTxt"/>
        <w:ind w:left="2693" w:hanging="1426"/>
        <w:rPr>
          <w:lang w:val="fr-FR"/>
        </w:rPr>
      </w:pPr>
      <w:r>
        <w:rPr>
          <w:lang w:val="fr-FR"/>
        </w:rPr>
        <w:tab/>
      </w:r>
      <w:r w:rsidR="00812366">
        <w:rPr>
          <w:lang w:val="fr-FR"/>
        </w:rPr>
        <w:tab/>
      </w:r>
      <w:r>
        <w:rPr>
          <w:lang w:val="fr-FR"/>
        </w:rPr>
        <w:tab/>
      </w:r>
      <w:r w:rsidR="005529B6" w:rsidRPr="005529B6">
        <w:rPr>
          <w:lang w:val="fr-FR"/>
        </w:rPr>
        <w:t>iv)</w:t>
      </w:r>
      <w:r w:rsidR="005529B6" w:rsidRPr="005529B6">
        <w:rPr>
          <w:lang w:val="fr-FR"/>
        </w:rPr>
        <w:tab/>
        <w:t>À ne pas participer aux procédures engagées aux fins de la présente loi.</w:t>
      </w:r>
    </w:p>
    <w:p w14:paraId="1808A33D" w14:textId="093E5613" w:rsidR="005529B6" w:rsidRPr="005529B6" w:rsidRDefault="00812366" w:rsidP="00ED416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5529B6" w:rsidRPr="005529B6">
        <w:rPr>
          <w:lang w:val="fr-FR"/>
        </w:rPr>
        <w:t>•</w:t>
      </w:r>
      <w:r w:rsidR="005529B6" w:rsidRPr="005529B6">
        <w:rPr>
          <w:lang w:val="fr-FR"/>
        </w:rPr>
        <w:tab/>
        <w:t>Désavantager, victimiser ou léser de toute autre manière</w:t>
      </w:r>
      <w:r w:rsidR="00795C5F">
        <w:rPr>
          <w:lang w:val="fr-FR"/>
        </w:rPr>
        <w:t> :</w:t>
      </w:r>
    </w:p>
    <w:p w14:paraId="1E6B0F03" w14:textId="7B646F3B" w:rsidR="005529B6" w:rsidRPr="006C0DCF" w:rsidRDefault="00457EF9" w:rsidP="00F169A4">
      <w:pPr>
        <w:pStyle w:val="SingleTxt"/>
        <w:ind w:left="2693" w:hanging="1426"/>
        <w:rPr>
          <w:w w:val="100"/>
          <w:lang w:val="fr-FR"/>
        </w:rPr>
      </w:pPr>
      <w:r>
        <w:rPr>
          <w:lang w:val="fr-FR"/>
        </w:rPr>
        <w:tab/>
      </w:r>
      <w:r w:rsidR="00ED416A">
        <w:rPr>
          <w:lang w:val="fr-FR"/>
        </w:rPr>
        <w:tab/>
      </w:r>
      <w:r w:rsidR="00812366">
        <w:rPr>
          <w:lang w:val="fr-FR"/>
        </w:rPr>
        <w:tab/>
      </w:r>
      <w:r w:rsidR="005529B6" w:rsidRPr="005529B6">
        <w:rPr>
          <w:lang w:val="fr-FR"/>
        </w:rPr>
        <w:t>i)</w:t>
      </w:r>
      <w:r w:rsidR="005529B6" w:rsidRPr="005529B6">
        <w:rPr>
          <w:lang w:val="fr-FR"/>
        </w:rPr>
        <w:tab/>
      </w:r>
      <w:r w:rsidR="005529B6" w:rsidRPr="006C0DCF">
        <w:rPr>
          <w:w w:val="100"/>
          <w:lang w:val="fr-FR"/>
        </w:rPr>
        <w:t>Une personne à la recherche d</w:t>
      </w:r>
      <w:r w:rsidR="00795C5F">
        <w:rPr>
          <w:w w:val="100"/>
          <w:lang w:val="fr-FR"/>
        </w:rPr>
        <w:t>’</w:t>
      </w:r>
      <w:r w:rsidR="005529B6" w:rsidRPr="006C0DCF">
        <w:rPr>
          <w:w w:val="100"/>
          <w:lang w:val="fr-FR"/>
        </w:rPr>
        <w:t>un emploi en raison de son affiliation passée, présente ou future à un syndicat ou de sa participation à la fondation d</w:t>
      </w:r>
      <w:r w:rsidR="00795C5F">
        <w:rPr>
          <w:w w:val="100"/>
          <w:lang w:val="fr-FR"/>
        </w:rPr>
        <w:t>’</w:t>
      </w:r>
      <w:r w:rsidR="005529B6" w:rsidRPr="006C0DCF">
        <w:rPr>
          <w:w w:val="100"/>
          <w:lang w:val="fr-FR"/>
        </w:rPr>
        <w:t>un syndicat</w:t>
      </w:r>
      <w:r w:rsidR="00795C5F">
        <w:rPr>
          <w:w w:val="100"/>
          <w:lang w:val="fr-FR"/>
        </w:rPr>
        <w:t> </w:t>
      </w:r>
      <w:r w:rsidR="005529B6" w:rsidRPr="006C0DCF">
        <w:rPr>
          <w:w w:val="100"/>
          <w:lang w:val="fr-FR"/>
        </w:rPr>
        <w:t>;</w:t>
      </w:r>
    </w:p>
    <w:p w14:paraId="0C2BB43E" w14:textId="570C3520" w:rsidR="005529B6" w:rsidRPr="005529B6" w:rsidRDefault="00457EF9" w:rsidP="00F169A4">
      <w:pPr>
        <w:pStyle w:val="SingleTxt"/>
        <w:ind w:left="2693" w:hanging="1426"/>
        <w:rPr>
          <w:lang w:val="fr-FR"/>
        </w:rPr>
      </w:pPr>
      <w:r>
        <w:rPr>
          <w:lang w:val="fr-FR"/>
        </w:rPr>
        <w:tab/>
      </w:r>
      <w:r w:rsidR="00ED416A">
        <w:rPr>
          <w:lang w:val="fr-FR"/>
        </w:rPr>
        <w:tab/>
      </w:r>
      <w:r w:rsidR="00812366">
        <w:rPr>
          <w:lang w:val="fr-FR"/>
        </w:rPr>
        <w:tab/>
      </w:r>
      <w:r w:rsidR="005529B6" w:rsidRPr="005529B6">
        <w:rPr>
          <w:lang w:val="fr-FR"/>
        </w:rPr>
        <w:t>ii)</w:t>
      </w:r>
      <w:r w:rsidR="005529B6" w:rsidRPr="005529B6">
        <w:rPr>
          <w:lang w:val="fr-FR"/>
        </w:rPr>
        <w:tab/>
        <w:t>Le travailleur qui omet ou refuse d</w:t>
      </w:r>
      <w:r w:rsidR="00795C5F">
        <w:rPr>
          <w:lang w:val="fr-FR"/>
        </w:rPr>
        <w:t>’</w:t>
      </w:r>
      <w:r w:rsidR="005529B6" w:rsidRPr="005529B6">
        <w:rPr>
          <w:lang w:val="fr-FR"/>
        </w:rPr>
        <w:t>accomplir un acte qu</w:t>
      </w:r>
      <w:r w:rsidR="00795C5F">
        <w:rPr>
          <w:lang w:val="fr-FR"/>
        </w:rPr>
        <w:t>’</w:t>
      </w:r>
      <w:r w:rsidR="005529B6" w:rsidRPr="005529B6">
        <w:rPr>
          <w:lang w:val="fr-FR"/>
        </w:rPr>
        <w:t>il serait illicite d</w:t>
      </w:r>
      <w:r w:rsidR="00795C5F">
        <w:rPr>
          <w:lang w:val="fr-FR"/>
        </w:rPr>
        <w:t>’</w:t>
      </w:r>
      <w:r w:rsidR="005529B6" w:rsidRPr="005529B6">
        <w:rPr>
          <w:lang w:val="fr-FR"/>
        </w:rPr>
        <w:t>exiger de lui, qui divulgue une information qu</w:t>
      </w:r>
      <w:r w:rsidR="00795C5F">
        <w:rPr>
          <w:lang w:val="fr-FR"/>
        </w:rPr>
        <w:t>’</w:t>
      </w:r>
      <w:r w:rsidR="005529B6" w:rsidRPr="005529B6">
        <w:rPr>
          <w:lang w:val="fr-FR"/>
        </w:rPr>
        <w:t>il a légalement le droit ou l</w:t>
      </w:r>
      <w:r w:rsidR="00795C5F">
        <w:rPr>
          <w:lang w:val="fr-FR"/>
        </w:rPr>
        <w:t>’</w:t>
      </w:r>
      <w:r w:rsidR="005529B6" w:rsidRPr="005529B6">
        <w:rPr>
          <w:lang w:val="fr-FR"/>
        </w:rPr>
        <w:t>obligation de divulguer à une autre personne, ou qui participe à des activités syndicales.</w:t>
      </w:r>
    </w:p>
    <w:p w14:paraId="03AE7350" w14:textId="237542F0"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La personne qui contrevient au paragraphe premier commet un délit et, en cas de condamnation, est passible d</w:t>
      </w:r>
      <w:r w:rsidR="00795C5F">
        <w:rPr>
          <w:lang w:val="fr-FR"/>
        </w:rPr>
        <w:t>’</w:t>
      </w:r>
      <w:r w:rsidR="005529B6" w:rsidRPr="005529B6">
        <w:rPr>
          <w:lang w:val="fr-FR"/>
        </w:rPr>
        <w:t>une amende d</w:t>
      </w:r>
      <w:r w:rsidR="00795C5F">
        <w:rPr>
          <w:lang w:val="fr-FR"/>
        </w:rPr>
        <w:t>’</w:t>
      </w:r>
      <w:r w:rsidR="005529B6" w:rsidRPr="005529B6">
        <w:rPr>
          <w:lang w:val="fr-FR"/>
        </w:rPr>
        <w:t>un montant maximal de 100</w:t>
      </w:r>
      <w:r w:rsidR="00B639EA">
        <w:rPr>
          <w:lang w:val="fr-FR"/>
        </w:rPr>
        <w:t> </w:t>
      </w:r>
      <w:r w:rsidR="005529B6" w:rsidRPr="005529B6">
        <w:rPr>
          <w:lang w:val="fr-FR"/>
        </w:rPr>
        <w:t>000</w:t>
      </w:r>
      <w:r w:rsidR="00B639EA">
        <w:rPr>
          <w:lang w:val="fr-FR"/>
        </w:rPr>
        <w:t> </w:t>
      </w:r>
      <w:r w:rsidR="005529B6" w:rsidRPr="005529B6">
        <w:rPr>
          <w:lang w:val="fr-FR"/>
        </w:rPr>
        <w:t>roupies. Pour empêcher les employeurs d</w:t>
      </w:r>
      <w:r w:rsidR="00795C5F">
        <w:rPr>
          <w:lang w:val="fr-FR"/>
        </w:rPr>
        <w:t>’</w:t>
      </w:r>
      <w:r w:rsidR="005529B6" w:rsidRPr="005529B6">
        <w:rPr>
          <w:lang w:val="fr-FR"/>
        </w:rPr>
        <w:t>exercer des pressions ou de licencier des travailleurs pour des motifs discriminatoires ou en raison de leur participation à des activités syndicales, une protection supplémentaire a été ajoutée dans la législation. Ainsi, le paragraphe 5B de l</w:t>
      </w:r>
      <w:r w:rsidR="00795C5F">
        <w:rPr>
          <w:lang w:val="fr-FR"/>
        </w:rPr>
        <w:t>’</w:t>
      </w:r>
      <w:r w:rsidR="005529B6" w:rsidRPr="005529B6">
        <w:rPr>
          <w:lang w:val="fr-FR"/>
        </w:rPr>
        <w:t xml:space="preserve">article 46 de la </w:t>
      </w:r>
      <w:r w:rsidR="00795C5F">
        <w:rPr>
          <w:lang w:val="fr-FR"/>
        </w:rPr>
        <w:t>l</w:t>
      </w:r>
      <w:r w:rsidR="005529B6" w:rsidRPr="005529B6">
        <w:rPr>
          <w:lang w:val="fr-FR"/>
        </w:rPr>
        <w:t>oi relative aux droits en matière d</w:t>
      </w:r>
      <w:r w:rsidR="00795C5F">
        <w:rPr>
          <w:lang w:val="fr-FR"/>
        </w:rPr>
        <w:t>’</w:t>
      </w:r>
      <w:r w:rsidR="005529B6" w:rsidRPr="005529B6">
        <w:rPr>
          <w:lang w:val="fr-FR"/>
        </w:rPr>
        <w:t>emploi dispose que, dans de tels cas, le tribunal ordonne que le travailleur</w:t>
      </w:r>
      <w:r w:rsidR="00795C5F">
        <w:rPr>
          <w:lang w:val="fr-FR"/>
        </w:rPr>
        <w:t> :</w:t>
      </w:r>
    </w:p>
    <w:p w14:paraId="568A6DCC" w14:textId="60D72602" w:rsidR="005529B6" w:rsidRPr="005529B6" w:rsidRDefault="00812366" w:rsidP="00F169A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lastRenderedPageBreak/>
        <w:tab/>
      </w:r>
      <w:r w:rsidR="005529B6" w:rsidRPr="005529B6">
        <w:rPr>
          <w:lang w:val="fr-FR"/>
        </w:rPr>
        <w:t>•</w:t>
      </w:r>
      <w:r w:rsidR="005529B6" w:rsidRPr="005529B6">
        <w:rPr>
          <w:lang w:val="fr-FR"/>
        </w:rPr>
        <w:tab/>
      </w:r>
      <w:r>
        <w:rPr>
          <w:lang w:val="fr-FR"/>
        </w:rPr>
        <w:t>S</w:t>
      </w:r>
      <w:r w:rsidR="005529B6" w:rsidRPr="005529B6">
        <w:rPr>
          <w:lang w:val="fr-FR"/>
        </w:rPr>
        <w:t xml:space="preserve">oit réintégré dans son ancien emploi et reçoive la rémunération due à compter de la date de son </w:t>
      </w:r>
      <w:r w:rsidR="00795C5F" w:rsidRPr="005529B6">
        <w:rPr>
          <w:lang w:val="fr-FR"/>
        </w:rPr>
        <w:t>licenciement</w:t>
      </w:r>
      <w:r w:rsidR="00795C5F">
        <w:rPr>
          <w:lang w:val="fr-FR"/>
        </w:rPr>
        <w:t> ;</w:t>
      </w:r>
      <w:r w:rsidR="005529B6" w:rsidRPr="005529B6">
        <w:rPr>
          <w:lang w:val="fr-FR"/>
        </w:rPr>
        <w:t xml:space="preserve"> ou</w:t>
      </w:r>
    </w:p>
    <w:p w14:paraId="17A30B9F" w14:textId="38D9FFCE" w:rsidR="005529B6" w:rsidRPr="005529B6" w:rsidRDefault="00812366" w:rsidP="00F169A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5529B6" w:rsidRPr="005529B6">
        <w:rPr>
          <w:lang w:val="fr-FR"/>
        </w:rPr>
        <w:t>•</w:t>
      </w:r>
      <w:r w:rsidR="005529B6" w:rsidRPr="005529B6">
        <w:rPr>
          <w:lang w:val="fr-FR"/>
        </w:rPr>
        <w:tab/>
      </w:r>
      <w:r>
        <w:rPr>
          <w:lang w:val="fr-FR"/>
        </w:rPr>
        <w:t>R</w:t>
      </w:r>
      <w:r w:rsidR="005529B6" w:rsidRPr="005529B6">
        <w:rPr>
          <w:lang w:val="fr-FR"/>
        </w:rPr>
        <w:t>eçoive l</w:t>
      </w:r>
      <w:r w:rsidR="00795C5F">
        <w:rPr>
          <w:lang w:val="fr-FR"/>
        </w:rPr>
        <w:t>’</w:t>
      </w:r>
      <w:r w:rsidR="005529B6" w:rsidRPr="005529B6">
        <w:rPr>
          <w:lang w:val="fr-FR"/>
        </w:rPr>
        <w:t>indemnité de licenciement prévue dans la loi.</w:t>
      </w:r>
    </w:p>
    <w:p w14:paraId="65018470" w14:textId="42F94EC4" w:rsidR="005529B6" w:rsidRPr="005529B6" w:rsidRDefault="005529B6" w:rsidP="002050E5">
      <w:pPr>
        <w:pStyle w:val="SingleTxt"/>
        <w:numPr>
          <w:ilvl w:val="0"/>
          <w:numId w:val="20"/>
        </w:numPr>
        <w:spacing w:line="240" w:lineRule="exact"/>
        <w:ind w:left="1267"/>
        <w:rPr>
          <w:lang w:val="fr-FR"/>
        </w:rPr>
      </w:pPr>
      <w:r w:rsidRPr="005529B6">
        <w:rPr>
          <w:lang w:val="fr-FR"/>
        </w:rPr>
        <w:t>Le Service de l</w:t>
      </w:r>
      <w:r w:rsidR="00795C5F">
        <w:rPr>
          <w:lang w:val="fr-FR"/>
        </w:rPr>
        <w:t>’</w:t>
      </w:r>
      <w:r w:rsidRPr="005529B6">
        <w:rPr>
          <w:lang w:val="fr-FR"/>
        </w:rPr>
        <w:t>inspection du travail du Ministère du travail, des relations professionnelles et de la formation est chargé, notamment, d</w:t>
      </w:r>
      <w:r w:rsidR="00795C5F">
        <w:rPr>
          <w:lang w:val="fr-FR"/>
        </w:rPr>
        <w:t>’</w:t>
      </w:r>
      <w:r w:rsidRPr="005529B6">
        <w:rPr>
          <w:lang w:val="fr-FR"/>
        </w:rPr>
        <w:t>effectuer des contrôles complets sur les lieux de travail afin de s</w:t>
      </w:r>
      <w:r w:rsidR="00795C5F">
        <w:rPr>
          <w:lang w:val="fr-FR"/>
        </w:rPr>
        <w:t>’</w:t>
      </w:r>
      <w:r w:rsidRPr="005529B6">
        <w:rPr>
          <w:lang w:val="fr-FR"/>
        </w:rPr>
        <w:t>assurer que la législation du travail est respectée ainsi que de déceler les infractions en vue de les sanctionner. C</w:t>
      </w:r>
      <w:r w:rsidR="00795C5F">
        <w:rPr>
          <w:lang w:val="fr-FR"/>
        </w:rPr>
        <w:t>’</w:t>
      </w:r>
      <w:r w:rsidRPr="005529B6">
        <w:rPr>
          <w:lang w:val="fr-FR"/>
        </w:rPr>
        <w:t>est également le service qui instruit les plaintes déposées par les travailleurs dans ses 17</w:t>
      </w:r>
      <w:r w:rsidR="002050E5">
        <w:rPr>
          <w:lang w:val="fr-FR"/>
        </w:rPr>
        <w:t> </w:t>
      </w:r>
      <w:r w:rsidRPr="005529B6">
        <w:rPr>
          <w:lang w:val="fr-FR"/>
        </w:rPr>
        <w:t>bureaux régionaux. Les agents de ces bureaux s</w:t>
      </w:r>
      <w:r w:rsidR="00795C5F">
        <w:rPr>
          <w:lang w:val="fr-FR"/>
        </w:rPr>
        <w:t>’</w:t>
      </w:r>
      <w:r w:rsidRPr="005529B6">
        <w:rPr>
          <w:lang w:val="fr-FR"/>
        </w:rPr>
        <w:t>efforcent de régler les litiges entre les parties concernées</w:t>
      </w:r>
      <w:r w:rsidR="00795C5F">
        <w:rPr>
          <w:lang w:val="fr-FR"/>
        </w:rPr>
        <w:t> ;</w:t>
      </w:r>
      <w:r w:rsidRPr="005529B6">
        <w:rPr>
          <w:lang w:val="fr-FR"/>
        </w:rPr>
        <w:t xml:space="preserve"> lorsque les parties sont de bonne foi, les affaires qui n</w:t>
      </w:r>
      <w:r w:rsidR="00795C5F">
        <w:rPr>
          <w:lang w:val="fr-FR"/>
        </w:rPr>
        <w:t>’</w:t>
      </w:r>
      <w:r w:rsidRPr="005529B6">
        <w:rPr>
          <w:lang w:val="fr-FR"/>
        </w:rPr>
        <w:t>ont pu être réglées sont renvoyées devant le tribunal du travail.</w:t>
      </w:r>
    </w:p>
    <w:p w14:paraId="0642A6F1" w14:textId="2490398D" w:rsidR="005529B6" w:rsidRPr="005529B6" w:rsidRDefault="005529B6" w:rsidP="0081236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 xml:space="preserve">Unité spéciale pour les travailleurs migrants, en activité depuis 1999, a été réorganisée et renommée </w:t>
      </w:r>
      <w:r w:rsidR="00795C5F" w:rsidRPr="005529B6">
        <w:rPr>
          <w:lang w:val="fr-FR"/>
        </w:rPr>
        <w:t>«</w:t>
      </w:r>
      <w:r w:rsidR="00795C5F">
        <w:rPr>
          <w:lang w:val="fr-FR"/>
        </w:rPr>
        <w:t> </w:t>
      </w:r>
      <w:r w:rsidRPr="005529B6">
        <w:rPr>
          <w:lang w:val="fr-FR"/>
        </w:rPr>
        <w:t xml:space="preserve">Brigade </w:t>
      </w:r>
      <w:r w:rsidR="00795C5F" w:rsidRPr="005529B6">
        <w:rPr>
          <w:lang w:val="fr-FR"/>
        </w:rPr>
        <w:t>mobile</w:t>
      </w:r>
      <w:r w:rsidR="00795C5F">
        <w:rPr>
          <w:lang w:val="fr-FR"/>
        </w:rPr>
        <w:t> </w:t>
      </w:r>
      <w:r w:rsidRPr="005529B6">
        <w:rPr>
          <w:lang w:val="fr-FR"/>
        </w:rPr>
        <w:t>». Elle est chargée de veiller à l</w:t>
      </w:r>
      <w:r w:rsidR="00795C5F">
        <w:rPr>
          <w:lang w:val="fr-FR"/>
        </w:rPr>
        <w:t>’</w:t>
      </w:r>
      <w:r w:rsidRPr="005529B6">
        <w:rPr>
          <w:lang w:val="fr-FR"/>
        </w:rPr>
        <w:t>observation des règles, en particulier des conditions d</w:t>
      </w:r>
      <w:r w:rsidR="00795C5F">
        <w:rPr>
          <w:lang w:val="fr-FR"/>
        </w:rPr>
        <w:t>’</w:t>
      </w:r>
      <w:r w:rsidRPr="005529B6">
        <w:rPr>
          <w:lang w:val="fr-FR"/>
        </w:rPr>
        <w:t>emploi à Maurice</w:t>
      </w:r>
      <w:r w:rsidR="00795C5F">
        <w:rPr>
          <w:lang w:val="fr-FR"/>
        </w:rPr>
        <w:t>,</w:t>
      </w:r>
      <w:r w:rsidRPr="005529B6">
        <w:rPr>
          <w:lang w:val="fr-FR"/>
        </w:rPr>
        <w:t xml:space="preserve"> des travailleurs migrants, dont elle s</w:t>
      </w:r>
      <w:r w:rsidR="00795C5F">
        <w:rPr>
          <w:lang w:val="fr-FR"/>
        </w:rPr>
        <w:t>’</w:t>
      </w:r>
      <w:r w:rsidRPr="005529B6">
        <w:rPr>
          <w:lang w:val="fr-FR"/>
        </w:rPr>
        <w:t>assure que les droits fondamentaux sont respectés et qu</w:t>
      </w:r>
      <w:r w:rsidR="00795C5F">
        <w:rPr>
          <w:lang w:val="fr-FR"/>
        </w:rPr>
        <w:t>’</w:t>
      </w:r>
      <w:r w:rsidRPr="005529B6">
        <w:rPr>
          <w:lang w:val="fr-FR"/>
        </w:rPr>
        <w:t>ils jouissent de conditions d</w:t>
      </w:r>
      <w:r w:rsidR="00795C5F">
        <w:rPr>
          <w:lang w:val="fr-FR"/>
        </w:rPr>
        <w:t>’</w:t>
      </w:r>
      <w:r w:rsidRPr="005529B6">
        <w:rPr>
          <w:lang w:val="fr-FR"/>
        </w:rPr>
        <w:t>emploi qui ne sont pas moins favorables que celles appliquées à leurs homologues locaux. Elle procède essentiellement de la façon suivante</w:t>
      </w:r>
      <w:r w:rsidR="00795C5F">
        <w:rPr>
          <w:lang w:val="fr-FR"/>
        </w:rPr>
        <w:t> :</w:t>
      </w:r>
    </w:p>
    <w:p w14:paraId="460B0E64" w14:textId="4BFC9A55"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contrôle et approuve le contrat de travail des travailleurs migrants avant leur arrivée à Maurice</w:t>
      </w:r>
      <w:r w:rsidR="00795C5F">
        <w:rPr>
          <w:lang w:val="fr-FR"/>
        </w:rPr>
        <w:t> ;</w:t>
      </w:r>
    </w:p>
    <w:p w14:paraId="3133FDED" w14:textId="4D62A525"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effectue régulièrement des inspections de routine et des visites de suivi dans les entreprises afin de vérifier que les conditions d</w:t>
      </w:r>
      <w:r w:rsidR="00795C5F">
        <w:rPr>
          <w:lang w:val="fr-FR"/>
        </w:rPr>
        <w:t>’</w:t>
      </w:r>
      <w:r w:rsidR="005529B6" w:rsidRPr="005529B6">
        <w:rPr>
          <w:lang w:val="fr-FR"/>
        </w:rPr>
        <w:t>emploi figurant dans les contrats de travail approuvés sont strictement respectées</w:t>
      </w:r>
      <w:r w:rsidR="00795C5F">
        <w:rPr>
          <w:lang w:val="fr-FR"/>
        </w:rPr>
        <w:t> ;</w:t>
      </w:r>
    </w:p>
    <w:p w14:paraId="32A140A5" w14:textId="5C66511C"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vérifie que les travailleurs connaissent parfaitement les clauses et conditions de leur contrat de travail approuvé</w:t>
      </w:r>
      <w:r w:rsidR="00795C5F">
        <w:rPr>
          <w:lang w:val="fr-FR"/>
        </w:rPr>
        <w:t> ;</w:t>
      </w:r>
    </w:p>
    <w:p w14:paraId="6F39C1B8" w14:textId="203DAB18"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s</w:t>
      </w:r>
      <w:r w:rsidR="00795C5F">
        <w:rPr>
          <w:lang w:val="fr-FR"/>
        </w:rPr>
        <w:t>’</w:t>
      </w:r>
      <w:r w:rsidR="005529B6" w:rsidRPr="005529B6">
        <w:rPr>
          <w:lang w:val="fr-FR"/>
        </w:rPr>
        <w:t>assure qu</w:t>
      </w:r>
      <w:r w:rsidR="00795C5F">
        <w:rPr>
          <w:lang w:val="fr-FR"/>
        </w:rPr>
        <w:t>’</w:t>
      </w:r>
      <w:r w:rsidR="005529B6" w:rsidRPr="005529B6">
        <w:rPr>
          <w:lang w:val="fr-FR"/>
        </w:rPr>
        <w:t>il existe dans l</w:t>
      </w:r>
      <w:r w:rsidR="00795C5F">
        <w:rPr>
          <w:lang w:val="fr-FR"/>
        </w:rPr>
        <w:t>’</w:t>
      </w:r>
      <w:r w:rsidR="005529B6" w:rsidRPr="005529B6">
        <w:rPr>
          <w:lang w:val="fr-FR"/>
        </w:rPr>
        <w:t>entreprise un dispositif par lequel les griefs des travailleurs puissent être examinés et réglés efficacement</w:t>
      </w:r>
      <w:r w:rsidR="00795C5F">
        <w:rPr>
          <w:lang w:val="fr-FR"/>
        </w:rPr>
        <w:t> ;</w:t>
      </w:r>
    </w:p>
    <w:p w14:paraId="15C9B080" w14:textId="0FD58EE6"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organise des séances de formation qu</w:t>
      </w:r>
      <w:r w:rsidR="00795C5F">
        <w:rPr>
          <w:lang w:val="fr-FR"/>
        </w:rPr>
        <w:t>’</w:t>
      </w:r>
      <w:r w:rsidR="005529B6" w:rsidRPr="005529B6">
        <w:rPr>
          <w:lang w:val="fr-FR"/>
        </w:rPr>
        <w:t>elle dispense au cours des visites d</w:t>
      </w:r>
      <w:r w:rsidR="00795C5F">
        <w:rPr>
          <w:lang w:val="fr-FR"/>
        </w:rPr>
        <w:t>’</w:t>
      </w:r>
      <w:r w:rsidR="005529B6" w:rsidRPr="005529B6">
        <w:rPr>
          <w:lang w:val="fr-FR"/>
        </w:rPr>
        <w:t>inspection afin d</w:t>
      </w:r>
      <w:r w:rsidR="00795C5F">
        <w:rPr>
          <w:lang w:val="fr-FR"/>
        </w:rPr>
        <w:t>’</w:t>
      </w:r>
      <w:r w:rsidR="005529B6" w:rsidRPr="005529B6">
        <w:rPr>
          <w:lang w:val="fr-FR"/>
        </w:rPr>
        <w:t>informer les travailleurs de leurs droits et devoirs</w:t>
      </w:r>
      <w:r w:rsidR="00795C5F">
        <w:rPr>
          <w:lang w:val="fr-FR"/>
        </w:rPr>
        <w:t> ;</w:t>
      </w:r>
    </w:p>
    <w:p w14:paraId="7584CD54" w14:textId="7BDE4DBB"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enregistre les plaintes concernant des infractions à la législation ou le non</w:t>
      </w:r>
      <w:r w:rsidR="00B65EDA">
        <w:rPr>
          <w:lang w:val="fr-FR"/>
        </w:rPr>
        <w:noBreakHyphen/>
      </w:r>
      <w:r w:rsidR="005529B6" w:rsidRPr="005529B6">
        <w:rPr>
          <w:lang w:val="fr-FR"/>
        </w:rPr>
        <w:t>respect d</w:t>
      </w:r>
      <w:r w:rsidR="00795C5F">
        <w:rPr>
          <w:lang w:val="fr-FR"/>
        </w:rPr>
        <w:t>’</w:t>
      </w:r>
      <w:r w:rsidR="005529B6" w:rsidRPr="005529B6">
        <w:rPr>
          <w:lang w:val="fr-FR"/>
        </w:rPr>
        <w:t>une quelconque des conditions d</w:t>
      </w:r>
      <w:r w:rsidR="00795C5F">
        <w:rPr>
          <w:lang w:val="fr-FR"/>
        </w:rPr>
        <w:t>’</w:t>
      </w:r>
      <w:r w:rsidR="005529B6" w:rsidRPr="005529B6">
        <w:rPr>
          <w:lang w:val="fr-FR"/>
        </w:rPr>
        <w:t>emploi figurant dans les contrats de travail approuvés, ou tout autre problème se rapportant aux conditions de travail à Maurice</w:t>
      </w:r>
      <w:r w:rsidR="00795C5F">
        <w:rPr>
          <w:lang w:val="fr-FR"/>
        </w:rPr>
        <w:t> ;</w:t>
      </w:r>
    </w:p>
    <w:p w14:paraId="02C5FD84" w14:textId="61DC437F"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Elle formule des recommandations lorsque les employeurs n</w:t>
      </w:r>
      <w:r w:rsidR="00795C5F">
        <w:rPr>
          <w:lang w:val="fr-FR"/>
        </w:rPr>
        <w:t>’</w:t>
      </w:r>
      <w:r w:rsidR="005529B6" w:rsidRPr="005529B6">
        <w:rPr>
          <w:lang w:val="fr-FR"/>
        </w:rPr>
        <w:t>ont pas pris les mesures correctives nécessaires pour remédier aux griefs ou autres motifs de plainte dans un délai raisonnable</w:t>
      </w:r>
      <w:r w:rsidR="00795C5F">
        <w:rPr>
          <w:lang w:val="fr-FR"/>
        </w:rPr>
        <w:t> ;</w:t>
      </w:r>
    </w:p>
    <w:p w14:paraId="009B56F2" w14:textId="5A164BC8" w:rsidR="005529B6" w:rsidRPr="005529B6" w:rsidRDefault="00812366" w:rsidP="00812366">
      <w:pPr>
        <w:pStyle w:val="SingleTxt"/>
        <w:tabs>
          <w:tab w:val="right" w:pos="1685"/>
        </w:tabs>
        <w:ind w:left="1742" w:hanging="475"/>
        <w:rPr>
          <w:lang w:val="fr-FR"/>
        </w:rPr>
      </w:pPr>
      <w:r>
        <w:rPr>
          <w:lang w:val="fr-FR"/>
        </w:rPr>
        <w:tab/>
      </w:r>
      <w:r w:rsidR="005529B6" w:rsidRPr="005529B6">
        <w:rPr>
          <w:lang w:val="fr-FR"/>
        </w:rPr>
        <w:t>•</w:t>
      </w:r>
      <w:r w:rsidR="005529B6" w:rsidRPr="005529B6">
        <w:rPr>
          <w:lang w:val="fr-FR"/>
        </w:rPr>
        <w:tab/>
        <w:t>Par la suite, elle engage des poursuites civiles ou pénales contre les employeurs en infraction qui n</w:t>
      </w:r>
      <w:r w:rsidR="00795C5F">
        <w:rPr>
          <w:lang w:val="fr-FR"/>
        </w:rPr>
        <w:t>’</w:t>
      </w:r>
      <w:r w:rsidR="005529B6" w:rsidRPr="005529B6">
        <w:rPr>
          <w:lang w:val="fr-FR"/>
        </w:rPr>
        <w:t>ont pas suivi les recommandations susmentionnées.</w:t>
      </w:r>
    </w:p>
    <w:p w14:paraId="626338E9" w14:textId="45F8C5D6" w:rsidR="005529B6" w:rsidRPr="005529B6" w:rsidRDefault="005529B6" w:rsidP="00812366">
      <w:pPr>
        <w:pStyle w:val="SingleTxt"/>
        <w:numPr>
          <w:ilvl w:val="0"/>
          <w:numId w:val="20"/>
        </w:numPr>
        <w:spacing w:line="240" w:lineRule="exact"/>
        <w:ind w:left="1267"/>
        <w:rPr>
          <w:lang w:val="fr-FR"/>
        </w:rPr>
      </w:pPr>
      <w:r w:rsidRPr="005529B6">
        <w:rPr>
          <w:lang w:val="fr-FR"/>
        </w:rPr>
        <w:t>Pour faire mieux connaître la législation du travail aux différentes parties prenantes et les sensibiliser davantage aux questions qui en relèvent, l</w:t>
      </w:r>
      <w:r w:rsidR="00795C5F">
        <w:rPr>
          <w:lang w:val="fr-FR"/>
        </w:rPr>
        <w:t>’</w:t>
      </w:r>
      <w:r w:rsidRPr="005529B6">
        <w:rPr>
          <w:lang w:val="fr-FR"/>
        </w:rPr>
        <w:t>Unité de l</w:t>
      </w:r>
      <w:r w:rsidR="00795C5F">
        <w:rPr>
          <w:lang w:val="fr-FR"/>
        </w:rPr>
        <w:t>’</w:t>
      </w:r>
      <w:r w:rsidRPr="005529B6">
        <w:rPr>
          <w:lang w:val="fr-FR"/>
        </w:rPr>
        <w:t>information, de l</w:t>
      </w:r>
      <w:r w:rsidR="00795C5F">
        <w:rPr>
          <w:lang w:val="fr-FR"/>
        </w:rPr>
        <w:t>’</w:t>
      </w:r>
      <w:r w:rsidRPr="005529B6">
        <w:rPr>
          <w:lang w:val="fr-FR"/>
        </w:rPr>
        <w:t>éducation et de la communication du Ministère du travail, des relations professionnelles et de la formation organise régulièrement des débats et des séminaires dans les entreprises, au Ministère, ainsi qu</w:t>
      </w:r>
      <w:r w:rsidR="00795C5F">
        <w:rPr>
          <w:lang w:val="fr-FR"/>
        </w:rPr>
        <w:t>’</w:t>
      </w:r>
      <w:r w:rsidRPr="005529B6">
        <w:rPr>
          <w:lang w:val="fr-FR"/>
        </w:rPr>
        <w:t>à la radio ou à la télévision, à l</w:t>
      </w:r>
      <w:r w:rsidR="00795C5F">
        <w:rPr>
          <w:lang w:val="fr-FR"/>
        </w:rPr>
        <w:t>’</w:t>
      </w:r>
      <w:r w:rsidRPr="005529B6">
        <w:rPr>
          <w:lang w:val="fr-FR"/>
        </w:rPr>
        <w:t>intention des travailleurs, des représentants syndicaux et des employeurs.</w:t>
      </w:r>
    </w:p>
    <w:p w14:paraId="472474C1" w14:textId="54B7B046" w:rsidR="005529B6" w:rsidRDefault="005529B6" w:rsidP="00812366">
      <w:pPr>
        <w:pStyle w:val="SingleTxt"/>
        <w:numPr>
          <w:ilvl w:val="0"/>
          <w:numId w:val="20"/>
        </w:numPr>
        <w:spacing w:line="240" w:lineRule="exact"/>
        <w:ind w:left="1267"/>
        <w:rPr>
          <w:lang w:val="fr-FR"/>
        </w:rPr>
      </w:pPr>
      <w:r w:rsidRPr="005529B6">
        <w:rPr>
          <w:lang w:val="fr-FR"/>
        </w:rPr>
        <w:t>L</w:t>
      </w:r>
      <w:r w:rsidR="00795C5F">
        <w:rPr>
          <w:lang w:val="fr-FR"/>
        </w:rPr>
        <w:t>’</w:t>
      </w:r>
      <w:r w:rsidRPr="005529B6">
        <w:rPr>
          <w:lang w:val="fr-FR"/>
        </w:rPr>
        <w:t>instauration du salaire minimum national contribuera à régler le problème de l</w:t>
      </w:r>
      <w:r w:rsidR="00795C5F">
        <w:rPr>
          <w:lang w:val="fr-FR"/>
        </w:rPr>
        <w:t>’</w:t>
      </w:r>
      <w:r w:rsidRPr="005529B6">
        <w:rPr>
          <w:lang w:val="fr-FR"/>
        </w:rPr>
        <w:t>inégalité des salaires et celui de l</w:t>
      </w:r>
      <w:r w:rsidR="00795C5F">
        <w:rPr>
          <w:lang w:val="fr-FR"/>
        </w:rPr>
        <w:t>’</w:t>
      </w:r>
      <w:r w:rsidRPr="005529B6">
        <w:rPr>
          <w:lang w:val="fr-FR"/>
        </w:rPr>
        <w:t>emploi dans le secteur manufacturier.</w:t>
      </w:r>
    </w:p>
    <w:p w14:paraId="4E4B1C81" w14:textId="6933A194" w:rsidR="003933A1" w:rsidRDefault="003933A1" w:rsidP="003933A1">
      <w:pPr>
        <w:pStyle w:val="SingleTxt"/>
        <w:spacing w:after="0" w:line="120" w:lineRule="exact"/>
        <w:rPr>
          <w:sz w:val="10"/>
          <w:lang w:val="fr-FR"/>
        </w:rPr>
      </w:pPr>
    </w:p>
    <w:p w14:paraId="7CCA91CA" w14:textId="4ECCE47D" w:rsidR="003933A1" w:rsidRPr="003933A1" w:rsidRDefault="003933A1" w:rsidP="003933A1">
      <w:pPr>
        <w:pStyle w:val="SingleTxt"/>
        <w:spacing w:after="0" w:line="120" w:lineRule="exact"/>
        <w:rPr>
          <w:sz w:val="10"/>
          <w:lang w:val="fr-FR"/>
        </w:rPr>
      </w:pPr>
    </w:p>
    <w:p w14:paraId="636D8C5D" w14:textId="43752968" w:rsidR="003933A1" w:rsidRDefault="003933A1" w:rsidP="003933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3933A1">
        <w:rPr>
          <w:lang w:val="fr-FR"/>
        </w:rPr>
        <w:t>Santé</w:t>
      </w:r>
    </w:p>
    <w:p w14:paraId="00C260EA" w14:textId="3C0C943A" w:rsidR="003933A1" w:rsidRPr="003933A1" w:rsidRDefault="003933A1" w:rsidP="003933A1">
      <w:pPr>
        <w:pStyle w:val="SingleTxt"/>
        <w:spacing w:after="0" w:line="120" w:lineRule="exact"/>
        <w:rPr>
          <w:sz w:val="10"/>
          <w:lang w:val="fr-FR"/>
        </w:rPr>
      </w:pPr>
    </w:p>
    <w:p w14:paraId="499F36C9" w14:textId="7C05876C" w:rsidR="003933A1" w:rsidRPr="003933A1" w:rsidRDefault="003933A1" w:rsidP="003933A1">
      <w:pPr>
        <w:pStyle w:val="SingleTxt"/>
        <w:spacing w:after="0" w:line="120" w:lineRule="exact"/>
        <w:rPr>
          <w:sz w:val="10"/>
          <w:lang w:val="fr-FR"/>
        </w:rPr>
      </w:pPr>
    </w:p>
    <w:p w14:paraId="7CAEC0F8" w14:textId="3102DD0E" w:rsidR="003933A1" w:rsidRPr="003933A1" w:rsidRDefault="003933A1" w:rsidP="003933A1">
      <w:pPr>
        <w:pStyle w:val="SingleTxt"/>
        <w:numPr>
          <w:ilvl w:val="0"/>
          <w:numId w:val="20"/>
        </w:numPr>
        <w:spacing w:line="240" w:lineRule="exact"/>
        <w:ind w:left="1267"/>
        <w:rPr>
          <w:lang w:val="fr-FR"/>
        </w:rPr>
      </w:pPr>
      <w:r w:rsidRPr="003933A1">
        <w:rPr>
          <w:lang w:val="fr-FR"/>
        </w:rPr>
        <w:t>L</w:t>
      </w:r>
      <w:r w:rsidR="00795C5F">
        <w:rPr>
          <w:lang w:val="fr-FR"/>
        </w:rPr>
        <w:t>’</w:t>
      </w:r>
      <w:r w:rsidRPr="003933A1">
        <w:rPr>
          <w:lang w:val="fr-FR"/>
        </w:rPr>
        <w:t>article 235 du Code pénal érige en infraction l</w:t>
      </w:r>
      <w:r w:rsidR="00795C5F">
        <w:rPr>
          <w:lang w:val="fr-FR"/>
        </w:rPr>
        <w:t>’</w:t>
      </w:r>
      <w:r w:rsidRPr="003933A1">
        <w:rPr>
          <w:lang w:val="fr-FR"/>
        </w:rPr>
        <w:t>interruption de grossesse sous quelque forme que ce soit. En 2012, le Code pénal a été modifié afin de prévoir les cas bien précis dans lesquels le recours à l</w:t>
      </w:r>
      <w:r w:rsidR="00795C5F">
        <w:rPr>
          <w:lang w:val="fr-FR"/>
        </w:rPr>
        <w:t>’</w:t>
      </w:r>
      <w:r w:rsidRPr="003933A1">
        <w:rPr>
          <w:lang w:val="fr-FR"/>
        </w:rPr>
        <w:t>interruption de grossesse est autorisé, à savoir</w:t>
      </w:r>
      <w:r w:rsidR="00795C5F">
        <w:rPr>
          <w:lang w:val="fr-FR"/>
        </w:rPr>
        <w:t> :</w:t>
      </w:r>
    </w:p>
    <w:p w14:paraId="572DED98" w14:textId="55E7358E" w:rsidR="003933A1" w:rsidRPr="003933A1" w:rsidRDefault="003933A1" w:rsidP="003933A1">
      <w:pPr>
        <w:pStyle w:val="SingleTxt"/>
        <w:tabs>
          <w:tab w:val="right" w:pos="1685"/>
        </w:tabs>
        <w:ind w:left="1742" w:hanging="475"/>
        <w:rPr>
          <w:lang w:val="fr-FR"/>
        </w:rPr>
      </w:pPr>
      <w:r>
        <w:rPr>
          <w:lang w:val="fr-FR"/>
        </w:rPr>
        <w:tab/>
      </w:r>
      <w:r w:rsidRPr="003933A1">
        <w:rPr>
          <w:lang w:val="fr-FR"/>
        </w:rPr>
        <w:t>•</w:t>
      </w:r>
      <w:r w:rsidRPr="003933A1">
        <w:rPr>
          <w:lang w:val="fr-FR"/>
        </w:rPr>
        <w:tab/>
      </w:r>
      <w:r>
        <w:rPr>
          <w:lang w:val="fr-FR"/>
        </w:rPr>
        <w:t>L</w:t>
      </w:r>
      <w:r w:rsidRPr="003933A1">
        <w:rPr>
          <w:lang w:val="fr-FR"/>
        </w:rPr>
        <w:t>orsque la vie de la mère est en danger</w:t>
      </w:r>
      <w:r w:rsidR="00795C5F">
        <w:rPr>
          <w:lang w:val="fr-FR"/>
        </w:rPr>
        <w:t> ;</w:t>
      </w:r>
    </w:p>
    <w:p w14:paraId="1800B1AB" w14:textId="39126A40" w:rsidR="003933A1" w:rsidRPr="003933A1" w:rsidRDefault="003933A1" w:rsidP="003933A1">
      <w:pPr>
        <w:pStyle w:val="SingleTxt"/>
        <w:tabs>
          <w:tab w:val="right" w:pos="1685"/>
        </w:tabs>
        <w:ind w:left="1742" w:hanging="475"/>
        <w:rPr>
          <w:lang w:val="fr-FR"/>
        </w:rPr>
      </w:pPr>
      <w:r>
        <w:rPr>
          <w:lang w:val="fr-FR"/>
        </w:rPr>
        <w:tab/>
      </w:r>
      <w:r w:rsidRPr="003933A1">
        <w:rPr>
          <w:lang w:val="fr-FR"/>
        </w:rPr>
        <w:t>•</w:t>
      </w:r>
      <w:r w:rsidRPr="003933A1">
        <w:rPr>
          <w:lang w:val="fr-FR"/>
        </w:rPr>
        <w:tab/>
      </w:r>
      <w:r>
        <w:rPr>
          <w:lang w:val="fr-FR"/>
        </w:rPr>
        <w:t>L</w:t>
      </w:r>
      <w:r w:rsidRPr="003933A1">
        <w:rPr>
          <w:lang w:val="fr-FR"/>
        </w:rPr>
        <w:t>orsqu</w:t>
      </w:r>
      <w:r w:rsidR="00795C5F">
        <w:rPr>
          <w:lang w:val="fr-FR"/>
        </w:rPr>
        <w:t>’</w:t>
      </w:r>
      <w:r w:rsidRPr="003933A1">
        <w:rPr>
          <w:lang w:val="fr-FR"/>
        </w:rPr>
        <w:t>il est établi par diagnostic médical que la poursuite de la grossesse peut porter atteinte de façon permanente à la santé physique ou mentale de la mère</w:t>
      </w:r>
      <w:r w:rsidR="00795C5F">
        <w:rPr>
          <w:lang w:val="fr-FR"/>
        </w:rPr>
        <w:t> ;</w:t>
      </w:r>
    </w:p>
    <w:p w14:paraId="6DACB19A" w14:textId="43F113D2" w:rsidR="003933A1" w:rsidRPr="003933A1" w:rsidRDefault="003933A1" w:rsidP="003933A1">
      <w:pPr>
        <w:pStyle w:val="SingleTxt"/>
        <w:tabs>
          <w:tab w:val="right" w:pos="1685"/>
        </w:tabs>
        <w:ind w:left="1742" w:hanging="475"/>
        <w:rPr>
          <w:lang w:val="fr-FR"/>
        </w:rPr>
      </w:pPr>
      <w:r>
        <w:rPr>
          <w:lang w:val="fr-FR"/>
        </w:rPr>
        <w:tab/>
      </w:r>
      <w:r w:rsidRPr="003933A1">
        <w:rPr>
          <w:lang w:val="fr-FR"/>
        </w:rPr>
        <w:t>•</w:t>
      </w:r>
      <w:r w:rsidRPr="003933A1">
        <w:rPr>
          <w:lang w:val="fr-FR"/>
        </w:rPr>
        <w:tab/>
      </w:r>
      <w:r>
        <w:rPr>
          <w:lang w:val="fr-FR"/>
        </w:rPr>
        <w:t>L</w:t>
      </w:r>
      <w:r w:rsidRPr="003933A1">
        <w:rPr>
          <w:lang w:val="fr-FR"/>
        </w:rPr>
        <w:t>orsque, selon des diagnostics établis par des spécialistes qualifiés, le fœtus est atteint d</w:t>
      </w:r>
      <w:r w:rsidR="00795C5F">
        <w:rPr>
          <w:lang w:val="fr-FR"/>
        </w:rPr>
        <w:t>’</w:t>
      </w:r>
      <w:r w:rsidRPr="003933A1">
        <w:rPr>
          <w:lang w:val="fr-FR"/>
        </w:rPr>
        <w:t>une malformation grave qui compromet sa viabilité ou ses chances de survie</w:t>
      </w:r>
      <w:r w:rsidR="00795C5F">
        <w:rPr>
          <w:lang w:val="fr-FR"/>
        </w:rPr>
        <w:t> ;</w:t>
      </w:r>
    </w:p>
    <w:p w14:paraId="152661E6" w14:textId="00941FAA" w:rsidR="003933A1" w:rsidRPr="003933A1" w:rsidRDefault="003933A1" w:rsidP="003933A1">
      <w:pPr>
        <w:pStyle w:val="SingleTxt"/>
        <w:tabs>
          <w:tab w:val="right" w:pos="1685"/>
        </w:tabs>
        <w:ind w:left="1742" w:hanging="475"/>
        <w:rPr>
          <w:lang w:val="fr-FR"/>
        </w:rPr>
      </w:pPr>
      <w:r>
        <w:rPr>
          <w:lang w:val="fr-FR"/>
        </w:rPr>
        <w:tab/>
      </w:r>
      <w:r w:rsidRPr="003933A1">
        <w:rPr>
          <w:lang w:val="fr-FR"/>
        </w:rPr>
        <w:t>•</w:t>
      </w:r>
      <w:r w:rsidRPr="003933A1">
        <w:rPr>
          <w:lang w:val="fr-FR"/>
        </w:rPr>
        <w:tab/>
      </w:r>
      <w:r>
        <w:rPr>
          <w:lang w:val="fr-FR"/>
        </w:rPr>
        <w:t>L</w:t>
      </w:r>
      <w:r w:rsidRPr="003933A1">
        <w:rPr>
          <w:lang w:val="fr-FR"/>
        </w:rPr>
        <w:t>orsque la grossesse n</w:t>
      </w:r>
      <w:r w:rsidR="00795C5F">
        <w:rPr>
          <w:lang w:val="fr-FR"/>
        </w:rPr>
        <w:t>’</w:t>
      </w:r>
      <w:r w:rsidRPr="003933A1">
        <w:rPr>
          <w:lang w:val="fr-FR"/>
        </w:rPr>
        <w:t>a pas dépassé 14 semaines et est la conséquence d</w:t>
      </w:r>
      <w:r w:rsidR="00795C5F">
        <w:rPr>
          <w:lang w:val="fr-FR"/>
        </w:rPr>
        <w:t>’</w:t>
      </w:r>
      <w:r w:rsidRPr="003933A1">
        <w:rPr>
          <w:lang w:val="fr-FR"/>
        </w:rPr>
        <w:t>un viol, d</w:t>
      </w:r>
      <w:r w:rsidR="00795C5F">
        <w:rPr>
          <w:lang w:val="fr-FR"/>
        </w:rPr>
        <w:t>’</w:t>
      </w:r>
      <w:r w:rsidRPr="003933A1">
        <w:rPr>
          <w:lang w:val="fr-FR"/>
        </w:rPr>
        <w:t>un rapport sexuel avec une jeune fille de moins de 16 ans ou d</w:t>
      </w:r>
      <w:r w:rsidR="00795C5F">
        <w:rPr>
          <w:lang w:val="fr-FR"/>
        </w:rPr>
        <w:t>’</w:t>
      </w:r>
      <w:r w:rsidRPr="003933A1">
        <w:rPr>
          <w:lang w:val="fr-FR"/>
        </w:rPr>
        <w:t>un rapport sexuel avec une personne signalée à la police ou avec un médecin.</w:t>
      </w:r>
    </w:p>
    <w:p w14:paraId="1BCAE67B" w14:textId="62D30F19" w:rsidR="003933A1" w:rsidRDefault="003933A1" w:rsidP="003933A1">
      <w:pPr>
        <w:pStyle w:val="SingleTxt"/>
        <w:rPr>
          <w:lang w:val="fr-FR"/>
        </w:rPr>
      </w:pPr>
      <w:r w:rsidRPr="003933A1">
        <w:rPr>
          <w:lang w:val="fr-FR"/>
        </w:rPr>
        <w:t>103.</w:t>
      </w:r>
      <w:r w:rsidRPr="003933A1">
        <w:rPr>
          <w:lang w:val="fr-FR"/>
        </w:rPr>
        <w:tab/>
        <w:t>Les spécialistes en obstétrique et en gynécologie qui sont dûment enregistrés auprès de l</w:t>
      </w:r>
      <w:r w:rsidR="00795C5F">
        <w:rPr>
          <w:lang w:val="fr-FR"/>
        </w:rPr>
        <w:t>’</w:t>
      </w:r>
      <w:r w:rsidRPr="003933A1">
        <w:rPr>
          <w:lang w:val="fr-FR"/>
        </w:rPr>
        <w:t>ordre des médecins selon les dispositions prévues par la loi (Medical Council Act) sont habilités à administrer des soins aux fins de l</w:t>
      </w:r>
      <w:r w:rsidR="00795C5F">
        <w:rPr>
          <w:lang w:val="fr-FR"/>
        </w:rPr>
        <w:t>’</w:t>
      </w:r>
      <w:r w:rsidRPr="003933A1">
        <w:rPr>
          <w:lang w:val="fr-FR"/>
        </w:rPr>
        <w:t>interruption de grossesse dans l</w:t>
      </w:r>
      <w:r w:rsidR="00795C5F">
        <w:rPr>
          <w:lang w:val="fr-FR"/>
        </w:rPr>
        <w:t>’</w:t>
      </w:r>
      <w:r w:rsidRPr="003933A1">
        <w:rPr>
          <w:lang w:val="fr-FR"/>
        </w:rPr>
        <w:t>une des institutions agréées.</w:t>
      </w:r>
    </w:p>
    <w:p w14:paraId="472C6E04" w14:textId="0E855BA9" w:rsidR="007C0CFC" w:rsidRPr="007C0CFC" w:rsidRDefault="007C0CFC" w:rsidP="007C0CFC">
      <w:pPr>
        <w:pStyle w:val="SingleTxt"/>
        <w:spacing w:after="0" w:line="120" w:lineRule="exact"/>
        <w:rPr>
          <w:sz w:val="10"/>
          <w:lang w:val="fr-FR"/>
        </w:rPr>
      </w:pPr>
    </w:p>
    <w:p w14:paraId="46B744F9" w14:textId="4A06C10C" w:rsidR="003933A1" w:rsidRDefault="003933A1" w:rsidP="007C0C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fr-FR"/>
        </w:rPr>
      </w:pPr>
      <w:r>
        <w:rPr>
          <w:lang w:val="fr-FR"/>
        </w:rPr>
        <w:tab/>
      </w:r>
      <w:r>
        <w:rPr>
          <w:lang w:val="fr-FR"/>
        </w:rPr>
        <w:tab/>
      </w:r>
      <w:r w:rsidRPr="00E402C8">
        <w:rPr>
          <w:lang w:val="fr-FR"/>
        </w:rPr>
        <w:t>Nombre de femmes hospitalisées dans des centres hospitaliers publics pour des complications liées à un avortement entre 2010 et 2017</w:t>
      </w:r>
      <w:r w:rsidRPr="007C0CFC">
        <w:rPr>
          <w:rStyle w:val="FootnoteReference"/>
          <w:rFonts w:eastAsia="Calibri"/>
          <w:b w:val="0"/>
          <w:lang w:val="fr-FR"/>
        </w:rPr>
        <w:footnoteReference w:id="1"/>
      </w:r>
    </w:p>
    <w:p w14:paraId="0028CEE4" w14:textId="3895B906" w:rsidR="003933A1" w:rsidRPr="003933A1" w:rsidRDefault="003933A1" w:rsidP="003933A1">
      <w:pPr>
        <w:pStyle w:val="SingleTxt"/>
        <w:spacing w:after="0" w:line="120" w:lineRule="exact"/>
        <w:rPr>
          <w:sz w:val="10"/>
          <w:lang w:val="fr-FR"/>
        </w:rPr>
      </w:pPr>
    </w:p>
    <w:p w14:paraId="62E7FDDC" w14:textId="7902D19C" w:rsidR="003933A1" w:rsidRPr="003933A1" w:rsidRDefault="003933A1" w:rsidP="003933A1">
      <w:pPr>
        <w:pStyle w:val="SingleTxt"/>
        <w:spacing w:after="0" w:line="120" w:lineRule="exact"/>
        <w:rPr>
          <w:sz w:val="10"/>
          <w:lang w:val="fr-FR"/>
        </w:rPr>
      </w:pPr>
    </w:p>
    <w:tbl>
      <w:tblPr>
        <w:tblStyle w:val="TableGrid1"/>
        <w:tblW w:w="7208"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4"/>
        <w:gridCol w:w="781"/>
        <w:gridCol w:w="782"/>
        <w:gridCol w:w="782"/>
        <w:gridCol w:w="782"/>
        <w:gridCol w:w="781"/>
        <w:gridCol w:w="782"/>
        <w:gridCol w:w="782"/>
        <w:gridCol w:w="782"/>
      </w:tblGrid>
      <w:tr w:rsidR="003933A1" w:rsidRPr="007C0CFC" w14:paraId="62C35D61" w14:textId="77777777" w:rsidTr="007C0CFC">
        <w:trPr>
          <w:cantSplit/>
          <w:tblHeader/>
        </w:trPr>
        <w:tc>
          <w:tcPr>
            <w:tcW w:w="954" w:type="dxa"/>
            <w:tcBorders>
              <w:top w:val="single" w:sz="4" w:space="0" w:color="auto"/>
              <w:bottom w:val="single" w:sz="12" w:space="0" w:color="auto"/>
            </w:tcBorders>
            <w:shd w:val="clear" w:color="auto" w:fill="auto"/>
            <w:vAlign w:val="bottom"/>
          </w:tcPr>
          <w:p w14:paraId="7FDDDA06" w14:textId="77777777" w:rsidR="003933A1" w:rsidRPr="007C0CFC" w:rsidRDefault="003933A1" w:rsidP="00545975">
            <w:pPr>
              <w:suppressAutoHyphens/>
              <w:spacing w:before="80" w:after="80" w:line="160" w:lineRule="exact"/>
              <w:ind w:right="40"/>
              <w:rPr>
                <w:i/>
                <w:sz w:val="14"/>
              </w:rPr>
            </w:pPr>
          </w:p>
        </w:tc>
        <w:tc>
          <w:tcPr>
            <w:tcW w:w="781" w:type="dxa"/>
            <w:tcBorders>
              <w:top w:val="single" w:sz="4" w:space="0" w:color="auto"/>
              <w:bottom w:val="single" w:sz="12" w:space="0" w:color="auto"/>
            </w:tcBorders>
            <w:shd w:val="clear" w:color="auto" w:fill="auto"/>
            <w:vAlign w:val="bottom"/>
          </w:tcPr>
          <w:p w14:paraId="7D0202A6"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2010</w:t>
            </w:r>
          </w:p>
        </w:tc>
        <w:tc>
          <w:tcPr>
            <w:tcW w:w="782" w:type="dxa"/>
            <w:tcBorders>
              <w:top w:val="single" w:sz="4" w:space="0" w:color="auto"/>
              <w:bottom w:val="single" w:sz="12" w:space="0" w:color="auto"/>
            </w:tcBorders>
            <w:shd w:val="clear" w:color="auto" w:fill="auto"/>
            <w:vAlign w:val="bottom"/>
          </w:tcPr>
          <w:p w14:paraId="512C9EDA"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2011</w:t>
            </w:r>
          </w:p>
        </w:tc>
        <w:tc>
          <w:tcPr>
            <w:tcW w:w="782" w:type="dxa"/>
            <w:tcBorders>
              <w:top w:val="single" w:sz="4" w:space="0" w:color="auto"/>
              <w:bottom w:val="single" w:sz="12" w:space="0" w:color="auto"/>
            </w:tcBorders>
            <w:shd w:val="clear" w:color="auto" w:fill="auto"/>
            <w:vAlign w:val="bottom"/>
          </w:tcPr>
          <w:p w14:paraId="37D6F779"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2012</w:t>
            </w:r>
          </w:p>
        </w:tc>
        <w:tc>
          <w:tcPr>
            <w:tcW w:w="782" w:type="dxa"/>
            <w:tcBorders>
              <w:top w:val="single" w:sz="4" w:space="0" w:color="auto"/>
              <w:bottom w:val="single" w:sz="12" w:space="0" w:color="auto"/>
            </w:tcBorders>
            <w:shd w:val="clear" w:color="auto" w:fill="auto"/>
            <w:vAlign w:val="bottom"/>
          </w:tcPr>
          <w:p w14:paraId="4CE0B479"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2013</w:t>
            </w:r>
          </w:p>
        </w:tc>
        <w:tc>
          <w:tcPr>
            <w:tcW w:w="781" w:type="dxa"/>
            <w:tcBorders>
              <w:top w:val="single" w:sz="4" w:space="0" w:color="auto"/>
              <w:bottom w:val="single" w:sz="12" w:space="0" w:color="auto"/>
            </w:tcBorders>
            <w:shd w:val="clear" w:color="auto" w:fill="auto"/>
            <w:vAlign w:val="bottom"/>
          </w:tcPr>
          <w:p w14:paraId="637865CA"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2014</w:t>
            </w:r>
          </w:p>
        </w:tc>
        <w:tc>
          <w:tcPr>
            <w:tcW w:w="782" w:type="dxa"/>
            <w:tcBorders>
              <w:top w:val="single" w:sz="4" w:space="0" w:color="auto"/>
              <w:bottom w:val="single" w:sz="12" w:space="0" w:color="auto"/>
            </w:tcBorders>
            <w:shd w:val="clear" w:color="auto" w:fill="auto"/>
            <w:vAlign w:val="bottom"/>
          </w:tcPr>
          <w:p w14:paraId="1CE5DC70"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2015</w:t>
            </w:r>
          </w:p>
        </w:tc>
        <w:tc>
          <w:tcPr>
            <w:tcW w:w="782" w:type="dxa"/>
            <w:tcBorders>
              <w:top w:val="single" w:sz="4" w:space="0" w:color="auto"/>
              <w:bottom w:val="single" w:sz="12" w:space="0" w:color="auto"/>
            </w:tcBorders>
            <w:shd w:val="clear" w:color="auto" w:fill="auto"/>
            <w:vAlign w:val="bottom"/>
          </w:tcPr>
          <w:p w14:paraId="3946774D" w14:textId="77777777" w:rsidR="003933A1" w:rsidRPr="007C0CFC" w:rsidRDefault="003933A1" w:rsidP="00545975">
            <w:pPr>
              <w:suppressAutoHyphens/>
              <w:spacing w:before="80" w:after="80" w:line="160" w:lineRule="exact"/>
              <w:ind w:left="144" w:right="43"/>
              <w:jc w:val="right"/>
              <w:rPr>
                <w:i/>
                <w:sz w:val="14"/>
              </w:rPr>
            </w:pPr>
            <w:r w:rsidRPr="007C0CFC">
              <w:rPr>
                <w:i/>
                <w:sz w:val="14"/>
              </w:rPr>
              <w:t>2016</w:t>
            </w:r>
          </w:p>
        </w:tc>
        <w:tc>
          <w:tcPr>
            <w:tcW w:w="782" w:type="dxa"/>
            <w:tcBorders>
              <w:top w:val="single" w:sz="4" w:space="0" w:color="auto"/>
              <w:bottom w:val="single" w:sz="12" w:space="0" w:color="auto"/>
            </w:tcBorders>
            <w:shd w:val="clear" w:color="auto" w:fill="auto"/>
            <w:vAlign w:val="bottom"/>
          </w:tcPr>
          <w:p w14:paraId="55E8E5C3" w14:textId="3406B034" w:rsidR="003933A1" w:rsidRPr="007C0CFC" w:rsidRDefault="003933A1" w:rsidP="00545975">
            <w:pPr>
              <w:suppressAutoHyphens/>
              <w:spacing w:before="80" w:after="80" w:line="160" w:lineRule="exact"/>
              <w:ind w:left="17" w:right="43"/>
              <w:jc w:val="right"/>
              <w:rPr>
                <w:i/>
                <w:sz w:val="14"/>
              </w:rPr>
            </w:pPr>
            <w:r w:rsidRPr="007C0CFC">
              <w:rPr>
                <w:i/>
                <w:sz w:val="14"/>
              </w:rPr>
              <w:t>2017</w:t>
            </w:r>
            <w:r w:rsidR="007C0CFC">
              <w:rPr>
                <w:i/>
                <w:sz w:val="14"/>
              </w:rPr>
              <w:br/>
            </w:r>
            <w:r w:rsidRPr="007C0CFC">
              <w:rPr>
                <w:i/>
                <w:sz w:val="14"/>
              </w:rPr>
              <w:t>(janv.-juin)</w:t>
            </w:r>
          </w:p>
        </w:tc>
      </w:tr>
      <w:tr w:rsidR="007C0CFC" w:rsidRPr="007C0CFC" w14:paraId="49ACC704" w14:textId="77777777" w:rsidTr="007C0CFC">
        <w:trPr>
          <w:cantSplit/>
          <w:trHeight w:hRule="exact" w:val="115"/>
          <w:tblHeader/>
        </w:trPr>
        <w:tc>
          <w:tcPr>
            <w:tcW w:w="954" w:type="dxa"/>
            <w:tcBorders>
              <w:top w:val="single" w:sz="12" w:space="0" w:color="auto"/>
            </w:tcBorders>
            <w:shd w:val="clear" w:color="auto" w:fill="auto"/>
            <w:vAlign w:val="bottom"/>
          </w:tcPr>
          <w:p w14:paraId="2EEA242D" w14:textId="77777777" w:rsidR="007C0CFC" w:rsidRPr="007C0CFC" w:rsidRDefault="007C0CFC" w:rsidP="007C0CFC">
            <w:pPr>
              <w:suppressAutoHyphens/>
              <w:spacing w:before="40" w:after="40" w:line="210" w:lineRule="exact"/>
              <w:ind w:right="40"/>
              <w:rPr>
                <w:sz w:val="17"/>
              </w:rPr>
            </w:pPr>
          </w:p>
        </w:tc>
        <w:tc>
          <w:tcPr>
            <w:tcW w:w="781" w:type="dxa"/>
            <w:tcBorders>
              <w:top w:val="single" w:sz="12" w:space="0" w:color="auto"/>
            </w:tcBorders>
            <w:shd w:val="clear" w:color="auto" w:fill="auto"/>
            <w:vAlign w:val="bottom"/>
          </w:tcPr>
          <w:p w14:paraId="677AA78A" w14:textId="77777777" w:rsidR="007C0CFC" w:rsidRPr="007C0CFC" w:rsidRDefault="007C0CFC" w:rsidP="007C0CFC">
            <w:pPr>
              <w:suppressAutoHyphens/>
              <w:spacing w:before="40" w:after="40" w:line="210" w:lineRule="exact"/>
              <w:ind w:left="144" w:right="43"/>
              <w:jc w:val="right"/>
              <w:rPr>
                <w:sz w:val="17"/>
              </w:rPr>
            </w:pPr>
          </w:p>
        </w:tc>
        <w:tc>
          <w:tcPr>
            <w:tcW w:w="782" w:type="dxa"/>
            <w:tcBorders>
              <w:top w:val="single" w:sz="12" w:space="0" w:color="auto"/>
            </w:tcBorders>
            <w:shd w:val="clear" w:color="auto" w:fill="auto"/>
            <w:vAlign w:val="bottom"/>
          </w:tcPr>
          <w:p w14:paraId="677A4720" w14:textId="77777777" w:rsidR="007C0CFC" w:rsidRPr="007C0CFC" w:rsidRDefault="007C0CFC" w:rsidP="007C0CFC">
            <w:pPr>
              <w:suppressAutoHyphens/>
              <w:spacing w:before="40" w:after="40" w:line="210" w:lineRule="exact"/>
              <w:ind w:left="144" w:right="43"/>
              <w:jc w:val="right"/>
              <w:rPr>
                <w:sz w:val="17"/>
              </w:rPr>
            </w:pPr>
          </w:p>
        </w:tc>
        <w:tc>
          <w:tcPr>
            <w:tcW w:w="782" w:type="dxa"/>
            <w:tcBorders>
              <w:top w:val="single" w:sz="12" w:space="0" w:color="auto"/>
            </w:tcBorders>
            <w:shd w:val="clear" w:color="auto" w:fill="auto"/>
            <w:vAlign w:val="bottom"/>
          </w:tcPr>
          <w:p w14:paraId="59078957" w14:textId="77777777" w:rsidR="007C0CFC" w:rsidRPr="007C0CFC" w:rsidRDefault="007C0CFC" w:rsidP="007C0CFC">
            <w:pPr>
              <w:suppressAutoHyphens/>
              <w:spacing w:before="40" w:after="40" w:line="210" w:lineRule="exact"/>
              <w:ind w:left="144" w:right="43"/>
              <w:jc w:val="right"/>
              <w:rPr>
                <w:sz w:val="17"/>
              </w:rPr>
            </w:pPr>
          </w:p>
        </w:tc>
        <w:tc>
          <w:tcPr>
            <w:tcW w:w="782" w:type="dxa"/>
            <w:tcBorders>
              <w:top w:val="single" w:sz="12" w:space="0" w:color="auto"/>
            </w:tcBorders>
            <w:shd w:val="clear" w:color="auto" w:fill="auto"/>
            <w:vAlign w:val="bottom"/>
          </w:tcPr>
          <w:p w14:paraId="112CABF8" w14:textId="77777777" w:rsidR="007C0CFC" w:rsidRPr="007C0CFC" w:rsidRDefault="007C0CFC" w:rsidP="007C0CFC">
            <w:pPr>
              <w:suppressAutoHyphens/>
              <w:spacing w:before="40" w:after="40" w:line="210" w:lineRule="exact"/>
              <w:ind w:left="144" w:right="43"/>
              <w:jc w:val="right"/>
              <w:rPr>
                <w:sz w:val="17"/>
              </w:rPr>
            </w:pPr>
          </w:p>
        </w:tc>
        <w:tc>
          <w:tcPr>
            <w:tcW w:w="781" w:type="dxa"/>
            <w:tcBorders>
              <w:top w:val="single" w:sz="12" w:space="0" w:color="auto"/>
            </w:tcBorders>
            <w:shd w:val="clear" w:color="auto" w:fill="auto"/>
            <w:vAlign w:val="bottom"/>
          </w:tcPr>
          <w:p w14:paraId="79CE0901" w14:textId="77777777" w:rsidR="007C0CFC" w:rsidRPr="007C0CFC" w:rsidRDefault="007C0CFC" w:rsidP="007C0CFC">
            <w:pPr>
              <w:suppressAutoHyphens/>
              <w:spacing w:before="40" w:after="40" w:line="210" w:lineRule="exact"/>
              <w:ind w:left="144" w:right="43"/>
              <w:jc w:val="right"/>
              <w:rPr>
                <w:sz w:val="17"/>
              </w:rPr>
            </w:pPr>
          </w:p>
        </w:tc>
        <w:tc>
          <w:tcPr>
            <w:tcW w:w="782" w:type="dxa"/>
            <w:tcBorders>
              <w:top w:val="single" w:sz="12" w:space="0" w:color="auto"/>
            </w:tcBorders>
            <w:shd w:val="clear" w:color="auto" w:fill="auto"/>
            <w:vAlign w:val="bottom"/>
          </w:tcPr>
          <w:p w14:paraId="703C693D" w14:textId="77777777" w:rsidR="007C0CFC" w:rsidRPr="007C0CFC" w:rsidRDefault="007C0CFC" w:rsidP="007C0CFC">
            <w:pPr>
              <w:suppressAutoHyphens/>
              <w:spacing w:before="40" w:after="40" w:line="210" w:lineRule="exact"/>
              <w:ind w:left="144" w:right="43"/>
              <w:jc w:val="right"/>
              <w:rPr>
                <w:sz w:val="17"/>
              </w:rPr>
            </w:pPr>
          </w:p>
        </w:tc>
        <w:tc>
          <w:tcPr>
            <w:tcW w:w="782" w:type="dxa"/>
            <w:tcBorders>
              <w:top w:val="single" w:sz="12" w:space="0" w:color="auto"/>
            </w:tcBorders>
            <w:shd w:val="clear" w:color="auto" w:fill="auto"/>
            <w:vAlign w:val="bottom"/>
          </w:tcPr>
          <w:p w14:paraId="589E4F5B" w14:textId="77777777" w:rsidR="007C0CFC" w:rsidRPr="007C0CFC" w:rsidRDefault="007C0CFC" w:rsidP="007C0CFC">
            <w:pPr>
              <w:suppressAutoHyphens/>
              <w:spacing w:before="40" w:after="40" w:line="210" w:lineRule="exact"/>
              <w:ind w:left="144" w:right="43"/>
              <w:jc w:val="right"/>
              <w:rPr>
                <w:sz w:val="17"/>
              </w:rPr>
            </w:pPr>
          </w:p>
        </w:tc>
        <w:tc>
          <w:tcPr>
            <w:tcW w:w="782" w:type="dxa"/>
            <w:tcBorders>
              <w:top w:val="single" w:sz="12" w:space="0" w:color="auto"/>
            </w:tcBorders>
            <w:shd w:val="clear" w:color="auto" w:fill="auto"/>
            <w:vAlign w:val="bottom"/>
          </w:tcPr>
          <w:p w14:paraId="4C573C2F" w14:textId="77777777" w:rsidR="007C0CFC" w:rsidRPr="007C0CFC" w:rsidRDefault="007C0CFC" w:rsidP="007C0CFC">
            <w:pPr>
              <w:suppressAutoHyphens/>
              <w:spacing w:before="40" w:after="40" w:line="210" w:lineRule="exact"/>
              <w:ind w:left="144" w:right="43"/>
              <w:jc w:val="right"/>
              <w:rPr>
                <w:sz w:val="17"/>
              </w:rPr>
            </w:pPr>
          </w:p>
        </w:tc>
      </w:tr>
      <w:tr w:rsidR="003933A1" w:rsidRPr="007C0CFC" w14:paraId="4F1A380D" w14:textId="77777777" w:rsidTr="007C0CFC">
        <w:trPr>
          <w:cantSplit/>
        </w:trPr>
        <w:tc>
          <w:tcPr>
            <w:tcW w:w="954" w:type="dxa"/>
            <w:shd w:val="clear" w:color="auto" w:fill="auto"/>
            <w:vAlign w:val="bottom"/>
          </w:tcPr>
          <w:p w14:paraId="7BE22F85" w14:textId="77777777" w:rsidR="003933A1" w:rsidRPr="007C0CFC" w:rsidRDefault="003933A1" w:rsidP="00545975">
            <w:pPr>
              <w:tabs>
                <w:tab w:val="left" w:pos="288"/>
                <w:tab w:val="left" w:pos="576"/>
                <w:tab w:val="left" w:pos="864"/>
                <w:tab w:val="left" w:pos="1152"/>
              </w:tabs>
              <w:suppressAutoHyphens/>
              <w:spacing w:before="40" w:after="40" w:line="210" w:lineRule="exact"/>
              <w:ind w:right="40"/>
              <w:rPr>
                <w:sz w:val="17"/>
              </w:rPr>
            </w:pPr>
            <w:r w:rsidRPr="007C0CFC">
              <w:rPr>
                <w:sz w:val="17"/>
              </w:rPr>
              <w:t>&lt; 15 ans</w:t>
            </w:r>
          </w:p>
        </w:tc>
        <w:tc>
          <w:tcPr>
            <w:tcW w:w="781" w:type="dxa"/>
            <w:shd w:val="clear" w:color="auto" w:fill="auto"/>
            <w:vAlign w:val="bottom"/>
          </w:tcPr>
          <w:p w14:paraId="2F4606FD"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w:t>
            </w:r>
          </w:p>
        </w:tc>
        <w:tc>
          <w:tcPr>
            <w:tcW w:w="782" w:type="dxa"/>
            <w:shd w:val="clear" w:color="auto" w:fill="auto"/>
            <w:vAlign w:val="bottom"/>
          </w:tcPr>
          <w:p w14:paraId="2C86F38D"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7</w:t>
            </w:r>
          </w:p>
        </w:tc>
        <w:tc>
          <w:tcPr>
            <w:tcW w:w="782" w:type="dxa"/>
            <w:shd w:val="clear" w:color="auto" w:fill="auto"/>
            <w:vAlign w:val="bottom"/>
          </w:tcPr>
          <w:p w14:paraId="503A2151"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w:t>
            </w:r>
          </w:p>
        </w:tc>
        <w:tc>
          <w:tcPr>
            <w:tcW w:w="782" w:type="dxa"/>
            <w:shd w:val="clear" w:color="auto" w:fill="auto"/>
            <w:vAlign w:val="bottom"/>
          </w:tcPr>
          <w:p w14:paraId="611D0A00"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w:t>
            </w:r>
          </w:p>
        </w:tc>
        <w:tc>
          <w:tcPr>
            <w:tcW w:w="781" w:type="dxa"/>
            <w:shd w:val="clear" w:color="auto" w:fill="auto"/>
            <w:vAlign w:val="bottom"/>
          </w:tcPr>
          <w:p w14:paraId="32157938"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5</w:t>
            </w:r>
          </w:p>
        </w:tc>
        <w:tc>
          <w:tcPr>
            <w:tcW w:w="782" w:type="dxa"/>
            <w:shd w:val="clear" w:color="auto" w:fill="auto"/>
            <w:vAlign w:val="bottom"/>
          </w:tcPr>
          <w:p w14:paraId="7CD81D4D"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6</w:t>
            </w:r>
          </w:p>
        </w:tc>
        <w:tc>
          <w:tcPr>
            <w:tcW w:w="782" w:type="dxa"/>
            <w:shd w:val="clear" w:color="auto" w:fill="auto"/>
            <w:vAlign w:val="bottom"/>
          </w:tcPr>
          <w:p w14:paraId="09E90983"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4</w:t>
            </w:r>
          </w:p>
        </w:tc>
        <w:tc>
          <w:tcPr>
            <w:tcW w:w="782" w:type="dxa"/>
            <w:shd w:val="clear" w:color="auto" w:fill="auto"/>
            <w:vAlign w:val="bottom"/>
          </w:tcPr>
          <w:p w14:paraId="4C1EA7DA" w14:textId="77777777" w:rsidR="003933A1" w:rsidRPr="007C0CFC" w:rsidRDefault="003933A1" w:rsidP="00545975">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w:t>
            </w:r>
          </w:p>
        </w:tc>
      </w:tr>
      <w:tr w:rsidR="003933A1" w:rsidRPr="007C0CFC" w14:paraId="00C7BD30" w14:textId="77777777" w:rsidTr="007C0CFC">
        <w:trPr>
          <w:cantSplit/>
        </w:trPr>
        <w:tc>
          <w:tcPr>
            <w:tcW w:w="954" w:type="dxa"/>
            <w:shd w:val="clear" w:color="auto" w:fill="auto"/>
            <w:vAlign w:val="bottom"/>
          </w:tcPr>
          <w:p w14:paraId="3BE52D1B"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15-19 ans</w:t>
            </w:r>
          </w:p>
        </w:tc>
        <w:tc>
          <w:tcPr>
            <w:tcW w:w="781" w:type="dxa"/>
            <w:shd w:val="clear" w:color="auto" w:fill="auto"/>
            <w:vAlign w:val="bottom"/>
          </w:tcPr>
          <w:p w14:paraId="62002B3D"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150</w:t>
            </w:r>
          </w:p>
        </w:tc>
        <w:tc>
          <w:tcPr>
            <w:tcW w:w="782" w:type="dxa"/>
            <w:shd w:val="clear" w:color="auto" w:fill="auto"/>
            <w:vAlign w:val="bottom"/>
          </w:tcPr>
          <w:p w14:paraId="3B87B979"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135</w:t>
            </w:r>
          </w:p>
        </w:tc>
        <w:tc>
          <w:tcPr>
            <w:tcW w:w="782" w:type="dxa"/>
            <w:shd w:val="clear" w:color="auto" w:fill="auto"/>
            <w:vAlign w:val="bottom"/>
          </w:tcPr>
          <w:p w14:paraId="60E32987"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132</w:t>
            </w:r>
          </w:p>
        </w:tc>
        <w:tc>
          <w:tcPr>
            <w:tcW w:w="782" w:type="dxa"/>
            <w:shd w:val="clear" w:color="auto" w:fill="auto"/>
            <w:vAlign w:val="bottom"/>
          </w:tcPr>
          <w:p w14:paraId="05BD0054"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121</w:t>
            </w:r>
          </w:p>
        </w:tc>
        <w:tc>
          <w:tcPr>
            <w:tcW w:w="781" w:type="dxa"/>
            <w:shd w:val="clear" w:color="auto" w:fill="auto"/>
            <w:vAlign w:val="bottom"/>
          </w:tcPr>
          <w:p w14:paraId="3EC259A7"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137</w:t>
            </w:r>
          </w:p>
        </w:tc>
        <w:tc>
          <w:tcPr>
            <w:tcW w:w="782" w:type="dxa"/>
            <w:shd w:val="clear" w:color="auto" w:fill="auto"/>
            <w:vAlign w:val="bottom"/>
          </w:tcPr>
          <w:p w14:paraId="40F62BEB"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106</w:t>
            </w:r>
          </w:p>
        </w:tc>
        <w:tc>
          <w:tcPr>
            <w:tcW w:w="782" w:type="dxa"/>
            <w:shd w:val="clear" w:color="auto" w:fill="auto"/>
            <w:vAlign w:val="bottom"/>
          </w:tcPr>
          <w:p w14:paraId="3EFF9E74"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98</w:t>
            </w:r>
          </w:p>
        </w:tc>
        <w:tc>
          <w:tcPr>
            <w:tcW w:w="782" w:type="dxa"/>
            <w:shd w:val="clear" w:color="auto" w:fill="auto"/>
            <w:vAlign w:val="bottom"/>
          </w:tcPr>
          <w:p w14:paraId="6F6E97F0"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53</w:t>
            </w:r>
          </w:p>
        </w:tc>
      </w:tr>
      <w:tr w:rsidR="003933A1" w:rsidRPr="007C0CFC" w14:paraId="676F6D0A" w14:textId="77777777" w:rsidTr="007C0CFC">
        <w:trPr>
          <w:cantSplit/>
        </w:trPr>
        <w:tc>
          <w:tcPr>
            <w:tcW w:w="954" w:type="dxa"/>
            <w:shd w:val="clear" w:color="auto" w:fill="auto"/>
            <w:vAlign w:val="bottom"/>
          </w:tcPr>
          <w:p w14:paraId="09B19C9A"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20-24 ans</w:t>
            </w:r>
          </w:p>
        </w:tc>
        <w:tc>
          <w:tcPr>
            <w:tcW w:w="781" w:type="dxa"/>
            <w:shd w:val="clear" w:color="auto" w:fill="auto"/>
            <w:vAlign w:val="bottom"/>
          </w:tcPr>
          <w:p w14:paraId="7DD18254"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341</w:t>
            </w:r>
          </w:p>
        </w:tc>
        <w:tc>
          <w:tcPr>
            <w:tcW w:w="782" w:type="dxa"/>
            <w:shd w:val="clear" w:color="auto" w:fill="auto"/>
            <w:vAlign w:val="bottom"/>
          </w:tcPr>
          <w:p w14:paraId="6981D9AB"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344</w:t>
            </w:r>
          </w:p>
        </w:tc>
        <w:tc>
          <w:tcPr>
            <w:tcW w:w="782" w:type="dxa"/>
            <w:shd w:val="clear" w:color="auto" w:fill="auto"/>
            <w:vAlign w:val="bottom"/>
          </w:tcPr>
          <w:p w14:paraId="3588752D"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346</w:t>
            </w:r>
          </w:p>
        </w:tc>
        <w:tc>
          <w:tcPr>
            <w:tcW w:w="782" w:type="dxa"/>
            <w:shd w:val="clear" w:color="auto" w:fill="auto"/>
            <w:vAlign w:val="bottom"/>
          </w:tcPr>
          <w:p w14:paraId="4F040315"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283</w:t>
            </w:r>
          </w:p>
        </w:tc>
        <w:tc>
          <w:tcPr>
            <w:tcW w:w="781" w:type="dxa"/>
            <w:shd w:val="clear" w:color="auto" w:fill="auto"/>
            <w:vAlign w:val="bottom"/>
          </w:tcPr>
          <w:p w14:paraId="67F71E42"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296</w:t>
            </w:r>
          </w:p>
        </w:tc>
        <w:tc>
          <w:tcPr>
            <w:tcW w:w="782" w:type="dxa"/>
            <w:shd w:val="clear" w:color="auto" w:fill="auto"/>
            <w:vAlign w:val="bottom"/>
          </w:tcPr>
          <w:p w14:paraId="0E50BDD2"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304</w:t>
            </w:r>
          </w:p>
        </w:tc>
        <w:tc>
          <w:tcPr>
            <w:tcW w:w="782" w:type="dxa"/>
            <w:shd w:val="clear" w:color="auto" w:fill="auto"/>
            <w:vAlign w:val="bottom"/>
          </w:tcPr>
          <w:p w14:paraId="4A8ECDB9"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252</w:t>
            </w:r>
          </w:p>
        </w:tc>
        <w:tc>
          <w:tcPr>
            <w:tcW w:w="782" w:type="dxa"/>
            <w:shd w:val="clear" w:color="auto" w:fill="auto"/>
            <w:vAlign w:val="bottom"/>
          </w:tcPr>
          <w:p w14:paraId="63770108"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130</w:t>
            </w:r>
          </w:p>
        </w:tc>
      </w:tr>
      <w:tr w:rsidR="003933A1" w:rsidRPr="007C0CFC" w14:paraId="19F14373" w14:textId="77777777" w:rsidTr="007C0CFC">
        <w:trPr>
          <w:cantSplit/>
        </w:trPr>
        <w:tc>
          <w:tcPr>
            <w:tcW w:w="954" w:type="dxa"/>
            <w:shd w:val="clear" w:color="auto" w:fill="auto"/>
            <w:vAlign w:val="bottom"/>
          </w:tcPr>
          <w:p w14:paraId="38B7105E"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25</w:t>
            </w:r>
            <w:r w:rsidRPr="007C0CFC">
              <w:rPr>
                <w:sz w:val="17"/>
              </w:rPr>
              <w:noBreakHyphen/>
              <w:t>29 ans</w:t>
            </w:r>
          </w:p>
        </w:tc>
        <w:tc>
          <w:tcPr>
            <w:tcW w:w="781" w:type="dxa"/>
            <w:shd w:val="clear" w:color="auto" w:fill="auto"/>
            <w:vAlign w:val="bottom"/>
          </w:tcPr>
          <w:p w14:paraId="61FBCA07"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366</w:t>
            </w:r>
          </w:p>
        </w:tc>
        <w:tc>
          <w:tcPr>
            <w:tcW w:w="782" w:type="dxa"/>
            <w:shd w:val="clear" w:color="auto" w:fill="auto"/>
            <w:vAlign w:val="bottom"/>
          </w:tcPr>
          <w:p w14:paraId="13824D41"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312</w:t>
            </w:r>
          </w:p>
        </w:tc>
        <w:tc>
          <w:tcPr>
            <w:tcW w:w="782" w:type="dxa"/>
            <w:shd w:val="clear" w:color="auto" w:fill="auto"/>
            <w:vAlign w:val="bottom"/>
          </w:tcPr>
          <w:p w14:paraId="08DA80D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305</w:t>
            </w:r>
          </w:p>
        </w:tc>
        <w:tc>
          <w:tcPr>
            <w:tcW w:w="782" w:type="dxa"/>
            <w:shd w:val="clear" w:color="auto" w:fill="auto"/>
            <w:vAlign w:val="bottom"/>
          </w:tcPr>
          <w:p w14:paraId="418E9EB6"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262</w:t>
            </w:r>
          </w:p>
        </w:tc>
        <w:tc>
          <w:tcPr>
            <w:tcW w:w="781" w:type="dxa"/>
            <w:shd w:val="clear" w:color="auto" w:fill="auto"/>
            <w:vAlign w:val="bottom"/>
          </w:tcPr>
          <w:p w14:paraId="176B92B2"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305</w:t>
            </w:r>
          </w:p>
        </w:tc>
        <w:tc>
          <w:tcPr>
            <w:tcW w:w="782" w:type="dxa"/>
            <w:shd w:val="clear" w:color="auto" w:fill="auto"/>
            <w:vAlign w:val="bottom"/>
          </w:tcPr>
          <w:p w14:paraId="14E783B1"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307</w:t>
            </w:r>
          </w:p>
        </w:tc>
        <w:tc>
          <w:tcPr>
            <w:tcW w:w="782" w:type="dxa"/>
            <w:shd w:val="clear" w:color="auto" w:fill="auto"/>
            <w:vAlign w:val="bottom"/>
          </w:tcPr>
          <w:p w14:paraId="10B3ECA7"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314</w:t>
            </w:r>
          </w:p>
        </w:tc>
        <w:tc>
          <w:tcPr>
            <w:tcW w:w="782" w:type="dxa"/>
            <w:shd w:val="clear" w:color="auto" w:fill="auto"/>
            <w:vAlign w:val="bottom"/>
          </w:tcPr>
          <w:p w14:paraId="618A83DB"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135</w:t>
            </w:r>
          </w:p>
        </w:tc>
      </w:tr>
      <w:tr w:rsidR="003933A1" w:rsidRPr="007C0CFC" w14:paraId="7DFD36C1" w14:textId="77777777" w:rsidTr="007C0CFC">
        <w:trPr>
          <w:cantSplit/>
        </w:trPr>
        <w:tc>
          <w:tcPr>
            <w:tcW w:w="954" w:type="dxa"/>
            <w:shd w:val="clear" w:color="auto" w:fill="auto"/>
            <w:vAlign w:val="bottom"/>
          </w:tcPr>
          <w:p w14:paraId="57B552EA"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30</w:t>
            </w:r>
            <w:r w:rsidRPr="007C0CFC">
              <w:rPr>
                <w:sz w:val="17"/>
              </w:rPr>
              <w:noBreakHyphen/>
              <w:t>34 ans</w:t>
            </w:r>
          </w:p>
        </w:tc>
        <w:tc>
          <w:tcPr>
            <w:tcW w:w="781" w:type="dxa"/>
            <w:shd w:val="clear" w:color="auto" w:fill="auto"/>
            <w:vAlign w:val="bottom"/>
          </w:tcPr>
          <w:p w14:paraId="623AC76D"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272</w:t>
            </w:r>
          </w:p>
        </w:tc>
        <w:tc>
          <w:tcPr>
            <w:tcW w:w="782" w:type="dxa"/>
            <w:shd w:val="clear" w:color="auto" w:fill="auto"/>
            <w:vAlign w:val="bottom"/>
          </w:tcPr>
          <w:p w14:paraId="04019A6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283</w:t>
            </w:r>
          </w:p>
        </w:tc>
        <w:tc>
          <w:tcPr>
            <w:tcW w:w="782" w:type="dxa"/>
            <w:shd w:val="clear" w:color="auto" w:fill="auto"/>
            <w:vAlign w:val="bottom"/>
          </w:tcPr>
          <w:p w14:paraId="4C8E5523"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295</w:t>
            </w:r>
          </w:p>
        </w:tc>
        <w:tc>
          <w:tcPr>
            <w:tcW w:w="782" w:type="dxa"/>
            <w:shd w:val="clear" w:color="auto" w:fill="auto"/>
            <w:vAlign w:val="bottom"/>
          </w:tcPr>
          <w:p w14:paraId="0B64FE21"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225</w:t>
            </w:r>
          </w:p>
        </w:tc>
        <w:tc>
          <w:tcPr>
            <w:tcW w:w="781" w:type="dxa"/>
            <w:shd w:val="clear" w:color="auto" w:fill="auto"/>
            <w:vAlign w:val="bottom"/>
          </w:tcPr>
          <w:p w14:paraId="3C75E65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265</w:t>
            </w:r>
          </w:p>
        </w:tc>
        <w:tc>
          <w:tcPr>
            <w:tcW w:w="782" w:type="dxa"/>
            <w:shd w:val="clear" w:color="auto" w:fill="auto"/>
            <w:vAlign w:val="bottom"/>
          </w:tcPr>
          <w:p w14:paraId="12138EB3"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260</w:t>
            </w:r>
          </w:p>
        </w:tc>
        <w:tc>
          <w:tcPr>
            <w:tcW w:w="782" w:type="dxa"/>
            <w:shd w:val="clear" w:color="auto" w:fill="auto"/>
            <w:vAlign w:val="bottom"/>
          </w:tcPr>
          <w:p w14:paraId="135627B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232</w:t>
            </w:r>
          </w:p>
        </w:tc>
        <w:tc>
          <w:tcPr>
            <w:tcW w:w="782" w:type="dxa"/>
            <w:shd w:val="clear" w:color="auto" w:fill="auto"/>
            <w:vAlign w:val="bottom"/>
          </w:tcPr>
          <w:p w14:paraId="6B3F7F22"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84</w:t>
            </w:r>
          </w:p>
        </w:tc>
      </w:tr>
      <w:tr w:rsidR="003933A1" w:rsidRPr="007C0CFC" w14:paraId="129726B3" w14:textId="77777777" w:rsidTr="007C0CFC">
        <w:trPr>
          <w:cantSplit/>
        </w:trPr>
        <w:tc>
          <w:tcPr>
            <w:tcW w:w="954" w:type="dxa"/>
            <w:shd w:val="clear" w:color="auto" w:fill="auto"/>
            <w:vAlign w:val="bottom"/>
          </w:tcPr>
          <w:p w14:paraId="762A909B"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35</w:t>
            </w:r>
            <w:r w:rsidRPr="007C0CFC">
              <w:rPr>
                <w:sz w:val="17"/>
              </w:rPr>
              <w:noBreakHyphen/>
              <w:t>39 ans</w:t>
            </w:r>
          </w:p>
        </w:tc>
        <w:tc>
          <w:tcPr>
            <w:tcW w:w="781" w:type="dxa"/>
            <w:shd w:val="clear" w:color="auto" w:fill="auto"/>
            <w:vAlign w:val="bottom"/>
          </w:tcPr>
          <w:p w14:paraId="59FA8C4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176</w:t>
            </w:r>
          </w:p>
        </w:tc>
        <w:tc>
          <w:tcPr>
            <w:tcW w:w="782" w:type="dxa"/>
            <w:shd w:val="clear" w:color="auto" w:fill="auto"/>
            <w:vAlign w:val="bottom"/>
          </w:tcPr>
          <w:p w14:paraId="7BE5923B"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175</w:t>
            </w:r>
          </w:p>
        </w:tc>
        <w:tc>
          <w:tcPr>
            <w:tcW w:w="782" w:type="dxa"/>
            <w:shd w:val="clear" w:color="auto" w:fill="auto"/>
            <w:vAlign w:val="bottom"/>
          </w:tcPr>
          <w:p w14:paraId="3127D1FA"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149</w:t>
            </w:r>
          </w:p>
        </w:tc>
        <w:tc>
          <w:tcPr>
            <w:tcW w:w="782" w:type="dxa"/>
            <w:shd w:val="clear" w:color="auto" w:fill="auto"/>
            <w:vAlign w:val="bottom"/>
          </w:tcPr>
          <w:p w14:paraId="5FAF3710"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143</w:t>
            </w:r>
          </w:p>
        </w:tc>
        <w:tc>
          <w:tcPr>
            <w:tcW w:w="781" w:type="dxa"/>
            <w:shd w:val="clear" w:color="auto" w:fill="auto"/>
            <w:vAlign w:val="bottom"/>
          </w:tcPr>
          <w:p w14:paraId="5FE05972"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192</w:t>
            </w:r>
          </w:p>
        </w:tc>
        <w:tc>
          <w:tcPr>
            <w:tcW w:w="782" w:type="dxa"/>
            <w:shd w:val="clear" w:color="auto" w:fill="auto"/>
            <w:vAlign w:val="bottom"/>
          </w:tcPr>
          <w:p w14:paraId="3CD45530"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204</w:t>
            </w:r>
          </w:p>
        </w:tc>
        <w:tc>
          <w:tcPr>
            <w:tcW w:w="782" w:type="dxa"/>
            <w:shd w:val="clear" w:color="auto" w:fill="auto"/>
            <w:vAlign w:val="bottom"/>
          </w:tcPr>
          <w:p w14:paraId="38D4E60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159</w:t>
            </w:r>
          </w:p>
        </w:tc>
        <w:tc>
          <w:tcPr>
            <w:tcW w:w="782" w:type="dxa"/>
            <w:shd w:val="clear" w:color="auto" w:fill="auto"/>
            <w:vAlign w:val="bottom"/>
          </w:tcPr>
          <w:p w14:paraId="5A8A9C33"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87</w:t>
            </w:r>
          </w:p>
        </w:tc>
      </w:tr>
      <w:tr w:rsidR="003933A1" w:rsidRPr="007C0CFC" w14:paraId="63A361E7" w14:textId="77777777" w:rsidTr="007C0CFC">
        <w:trPr>
          <w:cantSplit/>
        </w:trPr>
        <w:tc>
          <w:tcPr>
            <w:tcW w:w="954" w:type="dxa"/>
            <w:shd w:val="clear" w:color="auto" w:fill="auto"/>
            <w:vAlign w:val="bottom"/>
          </w:tcPr>
          <w:p w14:paraId="4BB45028"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40</w:t>
            </w:r>
            <w:r w:rsidRPr="007C0CFC">
              <w:rPr>
                <w:sz w:val="17"/>
              </w:rPr>
              <w:noBreakHyphen/>
              <w:t>44 ans</w:t>
            </w:r>
          </w:p>
        </w:tc>
        <w:tc>
          <w:tcPr>
            <w:tcW w:w="781" w:type="dxa"/>
            <w:shd w:val="clear" w:color="auto" w:fill="auto"/>
            <w:vAlign w:val="bottom"/>
          </w:tcPr>
          <w:p w14:paraId="5F73F209"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90</w:t>
            </w:r>
          </w:p>
        </w:tc>
        <w:tc>
          <w:tcPr>
            <w:tcW w:w="782" w:type="dxa"/>
            <w:shd w:val="clear" w:color="auto" w:fill="auto"/>
            <w:vAlign w:val="bottom"/>
          </w:tcPr>
          <w:p w14:paraId="7E19257F"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64</w:t>
            </w:r>
          </w:p>
        </w:tc>
        <w:tc>
          <w:tcPr>
            <w:tcW w:w="782" w:type="dxa"/>
            <w:shd w:val="clear" w:color="auto" w:fill="auto"/>
            <w:vAlign w:val="bottom"/>
          </w:tcPr>
          <w:p w14:paraId="25C07E5C"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54</w:t>
            </w:r>
          </w:p>
        </w:tc>
        <w:tc>
          <w:tcPr>
            <w:tcW w:w="782" w:type="dxa"/>
            <w:shd w:val="clear" w:color="auto" w:fill="auto"/>
            <w:vAlign w:val="bottom"/>
          </w:tcPr>
          <w:p w14:paraId="64BC67C3"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62</w:t>
            </w:r>
          </w:p>
        </w:tc>
        <w:tc>
          <w:tcPr>
            <w:tcW w:w="781" w:type="dxa"/>
            <w:shd w:val="clear" w:color="auto" w:fill="auto"/>
            <w:vAlign w:val="bottom"/>
          </w:tcPr>
          <w:p w14:paraId="2AE5839A"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68</w:t>
            </w:r>
          </w:p>
        </w:tc>
        <w:tc>
          <w:tcPr>
            <w:tcW w:w="782" w:type="dxa"/>
            <w:shd w:val="clear" w:color="auto" w:fill="auto"/>
            <w:vAlign w:val="bottom"/>
          </w:tcPr>
          <w:p w14:paraId="41F663AB"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68</w:t>
            </w:r>
          </w:p>
        </w:tc>
        <w:tc>
          <w:tcPr>
            <w:tcW w:w="782" w:type="dxa"/>
            <w:shd w:val="clear" w:color="auto" w:fill="auto"/>
            <w:vAlign w:val="bottom"/>
          </w:tcPr>
          <w:p w14:paraId="245A5DDB"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59</w:t>
            </w:r>
          </w:p>
        </w:tc>
        <w:tc>
          <w:tcPr>
            <w:tcW w:w="782" w:type="dxa"/>
            <w:shd w:val="clear" w:color="auto" w:fill="auto"/>
            <w:vAlign w:val="bottom"/>
          </w:tcPr>
          <w:p w14:paraId="39CF6005"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33</w:t>
            </w:r>
          </w:p>
        </w:tc>
      </w:tr>
      <w:tr w:rsidR="003933A1" w:rsidRPr="007C0CFC" w14:paraId="305571DF" w14:textId="77777777" w:rsidTr="007C0CFC">
        <w:trPr>
          <w:cantSplit/>
        </w:trPr>
        <w:tc>
          <w:tcPr>
            <w:tcW w:w="954" w:type="dxa"/>
            <w:shd w:val="clear" w:color="auto" w:fill="auto"/>
            <w:vAlign w:val="bottom"/>
          </w:tcPr>
          <w:p w14:paraId="0DEFBCB4"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45-49 ans</w:t>
            </w:r>
          </w:p>
        </w:tc>
        <w:tc>
          <w:tcPr>
            <w:tcW w:w="781" w:type="dxa"/>
            <w:shd w:val="clear" w:color="auto" w:fill="auto"/>
            <w:vAlign w:val="bottom"/>
          </w:tcPr>
          <w:p w14:paraId="4126FA71"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17</w:t>
            </w:r>
          </w:p>
        </w:tc>
        <w:tc>
          <w:tcPr>
            <w:tcW w:w="782" w:type="dxa"/>
            <w:shd w:val="clear" w:color="auto" w:fill="auto"/>
            <w:vAlign w:val="bottom"/>
          </w:tcPr>
          <w:p w14:paraId="0F628B9C"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11</w:t>
            </w:r>
          </w:p>
        </w:tc>
        <w:tc>
          <w:tcPr>
            <w:tcW w:w="782" w:type="dxa"/>
            <w:shd w:val="clear" w:color="auto" w:fill="auto"/>
            <w:vAlign w:val="bottom"/>
          </w:tcPr>
          <w:p w14:paraId="529288E2"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10</w:t>
            </w:r>
          </w:p>
        </w:tc>
        <w:tc>
          <w:tcPr>
            <w:tcW w:w="782" w:type="dxa"/>
            <w:shd w:val="clear" w:color="auto" w:fill="auto"/>
            <w:vAlign w:val="bottom"/>
          </w:tcPr>
          <w:p w14:paraId="5A9A1C31"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6</w:t>
            </w:r>
          </w:p>
        </w:tc>
        <w:tc>
          <w:tcPr>
            <w:tcW w:w="781" w:type="dxa"/>
            <w:shd w:val="clear" w:color="auto" w:fill="auto"/>
            <w:vAlign w:val="bottom"/>
          </w:tcPr>
          <w:p w14:paraId="653878B0"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8</w:t>
            </w:r>
          </w:p>
        </w:tc>
        <w:tc>
          <w:tcPr>
            <w:tcW w:w="782" w:type="dxa"/>
            <w:shd w:val="clear" w:color="auto" w:fill="auto"/>
            <w:vAlign w:val="bottom"/>
          </w:tcPr>
          <w:p w14:paraId="427ADF90"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4</w:t>
            </w:r>
          </w:p>
        </w:tc>
        <w:tc>
          <w:tcPr>
            <w:tcW w:w="782" w:type="dxa"/>
            <w:shd w:val="clear" w:color="auto" w:fill="auto"/>
            <w:vAlign w:val="bottom"/>
          </w:tcPr>
          <w:p w14:paraId="7EDF792A"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7</w:t>
            </w:r>
          </w:p>
        </w:tc>
        <w:tc>
          <w:tcPr>
            <w:tcW w:w="782" w:type="dxa"/>
            <w:shd w:val="clear" w:color="auto" w:fill="auto"/>
            <w:vAlign w:val="bottom"/>
          </w:tcPr>
          <w:p w14:paraId="5E384900" w14:textId="77777777" w:rsidR="003933A1" w:rsidRPr="007C0CFC" w:rsidRDefault="003933A1" w:rsidP="007C0CFC">
            <w:pPr>
              <w:tabs>
                <w:tab w:val="left" w:pos="288"/>
                <w:tab w:val="left" w:pos="576"/>
                <w:tab w:val="left" w:pos="864"/>
                <w:tab w:val="left" w:pos="1152"/>
              </w:tabs>
              <w:suppressAutoHyphens/>
              <w:spacing w:before="40" w:after="40" w:line="210" w:lineRule="exact"/>
              <w:ind w:left="144" w:right="43"/>
              <w:jc w:val="right"/>
              <w:rPr>
                <w:sz w:val="17"/>
              </w:rPr>
            </w:pPr>
            <w:r w:rsidRPr="007C0CFC">
              <w:rPr>
                <w:sz w:val="17"/>
              </w:rPr>
              <w:t>2</w:t>
            </w:r>
          </w:p>
        </w:tc>
      </w:tr>
      <w:tr w:rsidR="003933A1" w:rsidRPr="007C0CFC" w14:paraId="6D518FCC" w14:textId="77777777" w:rsidTr="007C0CFC">
        <w:trPr>
          <w:cantSplit/>
        </w:trPr>
        <w:tc>
          <w:tcPr>
            <w:tcW w:w="954" w:type="dxa"/>
            <w:tcBorders>
              <w:bottom w:val="single" w:sz="4" w:space="0" w:color="auto"/>
            </w:tcBorders>
            <w:shd w:val="clear" w:color="auto" w:fill="auto"/>
            <w:vAlign w:val="bottom"/>
          </w:tcPr>
          <w:p w14:paraId="58FE4EED" w14:textId="77777777" w:rsidR="003933A1" w:rsidRPr="007C0CFC" w:rsidRDefault="003933A1" w:rsidP="00545975">
            <w:pPr>
              <w:tabs>
                <w:tab w:val="left" w:pos="288"/>
                <w:tab w:val="left" w:pos="576"/>
                <w:tab w:val="left" w:pos="864"/>
                <w:tab w:val="left" w:pos="1152"/>
              </w:tabs>
              <w:suppressAutoHyphens/>
              <w:spacing w:before="40" w:after="81" w:line="210" w:lineRule="exact"/>
              <w:ind w:right="40"/>
              <w:rPr>
                <w:sz w:val="17"/>
              </w:rPr>
            </w:pPr>
            <w:r w:rsidRPr="007C0CFC">
              <w:rPr>
                <w:sz w:val="17"/>
              </w:rPr>
              <w:t>50 ans +</w:t>
            </w:r>
          </w:p>
        </w:tc>
        <w:tc>
          <w:tcPr>
            <w:tcW w:w="781" w:type="dxa"/>
            <w:tcBorders>
              <w:bottom w:val="single" w:sz="4" w:space="0" w:color="auto"/>
            </w:tcBorders>
            <w:shd w:val="clear" w:color="auto" w:fill="auto"/>
            <w:vAlign w:val="bottom"/>
          </w:tcPr>
          <w:p w14:paraId="2F26CEEA" w14:textId="21D01E29" w:rsidR="003933A1" w:rsidRPr="007C0CFC" w:rsidRDefault="007C0CFC" w:rsidP="00545975">
            <w:pPr>
              <w:tabs>
                <w:tab w:val="left" w:pos="288"/>
                <w:tab w:val="left" w:pos="576"/>
                <w:tab w:val="left" w:pos="864"/>
                <w:tab w:val="left" w:pos="1152"/>
              </w:tabs>
              <w:suppressAutoHyphens/>
              <w:spacing w:before="40" w:after="81" w:line="210" w:lineRule="exact"/>
              <w:ind w:left="144" w:right="43"/>
              <w:jc w:val="right"/>
              <w:rPr>
                <w:sz w:val="17"/>
              </w:rPr>
            </w:pPr>
            <w:r>
              <w:rPr>
                <w:sz w:val="17"/>
              </w:rPr>
              <w:t>–</w:t>
            </w:r>
          </w:p>
        </w:tc>
        <w:tc>
          <w:tcPr>
            <w:tcW w:w="782" w:type="dxa"/>
            <w:tcBorders>
              <w:bottom w:val="single" w:sz="4" w:space="0" w:color="auto"/>
            </w:tcBorders>
            <w:shd w:val="clear" w:color="auto" w:fill="auto"/>
            <w:vAlign w:val="bottom"/>
          </w:tcPr>
          <w:p w14:paraId="7EDCA14C" w14:textId="518594B3" w:rsidR="003933A1" w:rsidRPr="007C0CFC" w:rsidRDefault="007C0CFC" w:rsidP="00545975">
            <w:pPr>
              <w:tabs>
                <w:tab w:val="left" w:pos="288"/>
                <w:tab w:val="left" w:pos="576"/>
                <w:tab w:val="left" w:pos="864"/>
                <w:tab w:val="left" w:pos="1152"/>
              </w:tabs>
              <w:suppressAutoHyphens/>
              <w:spacing w:before="40" w:after="81" w:line="210" w:lineRule="exact"/>
              <w:ind w:left="144" w:right="43"/>
              <w:jc w:val="right"/>
              <w:rPr>
                <w:sz w:val="17"/>
              </w:rPr>
            </w:pPr>
            <w:r>
              <w:rPr>
                <w:sz w:val="17"/>
              </w:rPr>
              <w:t>–</w:t>
            </w:r>
          </w:p>
        </w:tc>
        <w:tc>
          <w:tcPr>
            <w:tcW w:w="782" w:type="dxa"/>
            <w:tcBorders>
              <w:bottom w:val="single" w:sz="4" w:space="0" w:color="auto"/>
            </w:tcBorders>
            <w:shd w:val="clear" w:color="auto" w:fill="auto"/>
            <w:vAlign w:val="bottom"/>
          </w:tcPr>
          <w:p w14:paraId="7124ECF3" w14:textId="6AABEAA4" w:rsidR="003933A1" w:rsidRPr="007C0CFC" w:rsidRDefault="007C0CFC" w:rsidP="00545975">
            <w:pPr>
              <w:tabs>
                <w:tab w:val="left" w:pos="288"/>
                <w:tab w:val="left" w:pos="576"/>
                <w:tab w:val="left" w:pos="864"/>
                <w:tab w:val="left" w:pos="1152"/>
              </w:tabs>
              <w:suppressAutoHyphens/>
              <w:spacing w:before="40" w:after="81" w:line="210" w:lineRule="exact"/>
              <w:ind w:left="144" w:right="43"/>
              <w:jc w:val="right"/>
              <w:rPr>
                <w:sz w:val="17"/>
              </w:rPr>
            </w:pPr>
            <w:r>
              <w:rPr>
                <w:sz w:val="17"/>
              </w:rPr>
              <w:t>–</w:t>
            </w:r>
          </w:p>
        </w:tc>
        <w:tc>
          <w:tcPr>
            <w:tcW w:w="782" w:type="dxa"/>
            <w:tcBorders>
              <w:bottom w:val="single" w:sz="4" w:space="0" w:color="auto"/>
            </w:tcBorders>
            <w:shd w:val="clear" w:color="auto" w:fill="auto"/>
            <w:vAlign w:val="bottom"/>
          </w:tcPr>
          <w:p w14:paraId="30A3085C" w14:textId="77777777" w:rsidR="003933A1" w:rsidRPr="007C0CFC" w:rsidRDefault="003933A1" w:rsidP="00545975">
            <w:pPr>
              <w:tabs>
                <w:tab w:val="left" w:pos="288"/>
                <w:tab w:val="left" w:pos="576"/>
                <w:tab w:val="left" w:pos="864"/>
                <w:tab w:val="left" w:pos="1152"/>
              </w:tabs>
              <w:suppressAutoHyphens/>
              <w:spacing w:before="40" w:after="81" w:line="210" w:lineRule="exact"/>
              <w:ind w:left="144" w:right="43"/>
              <w:jc w:val="right"/>
              <w:rPr>
                <w:sz w:val="17"/>
              </w:rPr>
            </w:pPr>
            <w:r w:rsidRPr="007C0CFC">
              <w:rPr>
                <w:sz w:val="17"/>
              </w:rPr>
              <w:t>1</w:t>
            </w:r>
          </w:p>
        </w:tc>
        <w:tc>
          <w:tcPr>
            <w:tcW w:w="781" w:type="dxa"/>
            <w:tcBorders>
              <w:bottom w:val="single" w:sz="4" w:space="0" w:color="auto"/>
            </w:tcBorders>
            <w:shd w:val="clear" w:color="auto" w:fill="auto"/>
            <w:vAlign w:val="bottom"/>
          </w:tcPr>
          <w:p w14:paraId="7984826B" w14:textId="0F686909" w:rsidR="003933A1" w:rsidRPr="007C0CFC" w:rsidRDefault="007C0CFC" w:rsidP="00545975">
            <w:pPr>
              <w:tabs>
                <w:tab w:val="left" w:pos="288"/>
                <w:tab w:val="left" w:pos="576"/>
                <w:tab w:val="left" w:pos="864"/>
                <w:tab w:val="left" w:pos="1152"/>
              </w:tabs>
              <w:suppressAutoHyphens/>
              <w:spacing w:before="40" w:after="81" w:line="210" w:lineRule="exact"/>
              <w:ind w:left="144" w:right="43"/>
              <w:jc w:val="right"/>
              <w:rPr>
                <w:sz w:val="17"/>
              </w:rPr>
            </w:pPr>
            <w:r>
              <w:rPr>
                <w:sz w:val="17"/>
              </w:rPr>
              <w:t>–</w:t>
            </w:r>
          </w:p>
        </w:tc>
        <w:tc>
          <w:tcPr>
            <w:tcW w:w="782" w:type="dxa"/>
            <w:tcBorders>
              <w:bottom w:val="single" w:sz="4" w:space="0" w:color="auto"/>
            </w:tcBorders>
            <w:shd w:val="clear" w:color="auto" w:fill="auto"/>
            <w:vAlign w:val="bottom"/>
          </w:tcPr>
          <w:p w14:paraId="6B8C2A45" w14:textId="77777777" w:rsidR="003933A1" w:rsidRPr="007C0CFC" w:rsidRDefault="003933A1" w:rsidP="00545975">
            <w:pPr>
              <w:tabs>
                <w:tab w:val="left" w:pos="288"/>
                <w:tab w:val="left" w:pos="576"/>
                <w:tab w:val="left" w:pos="864"/>
                <w:tab w:val="left" w:pos="1152"/>
              </w:tabs>
              <w:suppressAutoHyphens/>
              <w:spacing w:before="40" w:after="81" w:line="210" w:lineRule="exact"/>
              <w:ind w:left="144" w:right="43"/>
              <w:jc w:val="right"/>
              <w:rPr>
                <w:sz w:val="17"/>
              </w:rPr>
            </w:pPr>
            <w:r w:rsidRPr="007C0CFC">
              <w:rPr>
                <w:sz w:val="17"/>
              </w:rPr>
              <w:t>1</w:t>
            </w:r>
          </w:p>
        </w:tc>
        <w:tc>
          <w:tcPr>
            <w:tcW w:w="782" w:type="dxa"/>
            <w:tcBorders>
              <w:bottom w:val="single" w:sz="4" w:space="0" w:color="auto"/>
            </w:tcBorders>
            <w:shd w:val="clear" w:color="auto" w:fill="auto"/>
            <w:vAlign w:val="bottom"/>
          </w:tcPr>
          <w:p w14:paraId="7B3E8C61" w14:textId="08A573EB" w:rsidR="003933A1" w:rsidRPr="007C0CFC" w:rsidRDefault="007C0CFC" w:rsidP="00545975">
            <w:pPr>
              <w:tabs>
                <w:tab w:val="left" w:pos="288"/>
                <w:tab w:val="left" w:pos="576"/>
                <w:tab w:val="left" w:pos="864"/>
                <w:tab w:val="left" w:pos="1152"/>
              </w:tabs>
              <w:suppressAutoHyphens/>
              <w:spacing w:before="40" w:after="81" w:line="210" w:lineRule="exact"/>
              <w:ind w:left="144" w:right="43"/>
              <w:jc w:val="right"/>
              <w:rPr>
                <w:sz w:val="17"/>
              </w:rPr>
            </w:pPr>
            <w:r>
              <w:rPr>
                <w:sz w:val="17"/>
              </w:rPr>
              <w:t>–</w:t>
            </w:r>
          </w:p>
        </w:tc>
        <w:tc>
          <w:tcPr>
            <w:tcW w:w="782" w:type="dxa"/>
            <w:tcBorders>
              <w:bottom w:val="single" w:sz="4" w:space="0" w:color="auto"/>
            </w:tcBorders>
            <w:shd w:val="clear" w:color="auto" w:fill="auto"/>
            <w:vAlign w:val="bottom"/>
          </w:tcPr>
          <w:p w14:paraId="299C540F" w14:textId="77777777" w:rsidR="003933A1" w:rsidRPr="007C0CFC" w:rsidRDefault="003933A1" w:rsidP="00545975">
            <w:pPr>
              <w:tabs>
                <w:tab w:val="left" w:pos="288"/>
                <w:tab w:val="left" w:pos="576"/>
                <w:tab w:val="left" w:pos="864"/>
                <w:tab w:val="left" w:pos="1152"/>
              </w:tabs>
              <w:suppressAutoHyphens/>
              <w:spacing w:before="40" w:after="81" w:line="210" w:lineRule="exact"/>
              <w:ind w:left="144" w:right="43"/>
              <w:jc w:val="right"/>
              <w:rPr>
                <w:sz w:val="17"/>
              </w:rPr>
            </w:pPr>
            <w:r w:rsidRPr="007C0CFC">
              <w:rPr>
                <w:sz w:val="17"/>
              </w:rPr>
              <w:t>1</w:t>
            </w:r>
          </w:p>
        </w:tc>
      </w:tr>
      <w:tr w:rsidR="003933A1" w:rsidRPr="007C0CFC" w14:paraId="6108EF9A" w14:textId="77777777" w:rsidTr="007C0CFC">
        <w:trPr>
          <w:cantSplit/>
        </w:trPr>
        <w:tc>
          <w:tcPr>
            <w:tcW w:w="954" w:type="dxa"/>
            <w:tcBorders>
              <w:top w:val="single" w:sz="4" w:space="0" w:color="auto"/>
              <w:bottom w:val="single" w:sz="12" w:space="0" w:color="auto"/>
            </w:tcBorders>
            <w:shd w:val="clear" w:color="auto" w:fill="auto"/>
            <w:vAlign w:val="bottom"/>
          </w:tcPr>
          <w:p w14:paraId="6D0688D5" w14:textId="4691EBFD" w:rsidR="003933A1" w:rsidRPr="007C0CFC" w:rsidRDefault="007C0CFC" w:rsidP="00545975">
            <w:pPr>
              <w:tabs>
                <w:tab w:val="left" w:pos="288"/>
                <w:tab w:val="left" w:pos="576"/>
                <w:tab w:val="left" w:pos="864"/>
                <w:tab w:val="left" w:pos="1152"/>
              </w:tabs>
              <w:suppressAutoHyphens/>
              <w:spacing w:before="81" w:after="81" w:line="210" w:lineRule="exact"/>
              <w:ind w:right="40"/>
              <w:rPr>
                <w:b/>
                <w:sz w:val="17"/>
              </w:rPr>
            </w:pPr>
            <w:r>
              <w:rPr>
                <w:b/>
                <w:sz w:val="17"/>
              </w:rPr>
              <w:tab/>
            </w:r>
            <w:r w:rsidR="003933A1" w:rsidRPr="007C0CFC">
              <w:rPr>
                <w:b/>
                <w:sz w:val="17"/>
              </w:rPr>
              <w:t>Total</w:t>
            </w:r>
          </w:p>
        </w:tc>
        <w:tc>
          <w:tcPr>
            <w:tcW w:w="781" w:type="dxa"/>
            <w:tcBorders>
              <w:top w:val="single" w:sz="4" w:space="0" w:color="auto"/>
              <w:bottom w:val="single" w:sz="12" w:space="0" w:color="auto"/>
            </w:tcBorders>
            <w:shd w:val="clear" w:color="auto" w:fill="auto"/>
            <w:vAlign w:val="bottom"/>
          </w:tcPr>
          <w:p w14:paraId="2EBC39CF"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1 412</w:t>
            </w:r>
          </w:p>
        </w:tc>
        <w:tc>
          <w:tcPr>
            <w:tcW w:w="782" w:type="dxa"/>
            <w:tcBorders>
              <w:top w:val="single" w:sz="4" w:space="0" w:color="auto"/>
              <w:bottom w:val="single" w:sz="12" w:space="0" w:color="auto"/>
            </w:tcBorders>
            <w:shd w:val="clear" w:color="auto" w:fill="auto"/>
            <w:vAlign w:val="bottom"/>
          </w:tcPr>
          <w:p w14:paraId="0602795E"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1 331</w:t>
            </w:r>
          </w:p>
        </w:tc>
        <w:tc>
          <w:tcPr>
            <w:tcW w:w="782" w:type="dxa"/>
            <w:tcBorders>
              <w:top w:val="single" w:sz="4" w:space="0" w:color="auto"/>
              <w:bottom w:val="single" w:sz="12" w:space="0" w:color="auto"/>
            </w:tcBorders>
            <w:shd w:val="clear" w:color="auto" w:fill="auto"/>
            <w:vAlign w:val="bottom"/>
          </w:tcPr>
          <w:p w14:paraId="27F6C359"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1 293</w:t>
            </w:r>
          </w:p>
        </w:tc>
        <w:tc>
          <w:tcPr>
            <w:tcW w:w="782" w:type="dxa"/>
            <w:tcBorders>
              <w:top w:val="single" w:sz="4" w:space="0" w:color="auto"/>
              <w:bottom w:val="single" w:sz="12" w:space="0" w:color="auto"/>
            </w:tcBorders>
            <w:shd w:val="clear" w:color="auto" w:fill="auto"/>
            <w:vAlign w:val="bottom"/>
          </w:tcPr>
          <w:p w14:paraId="40B0E9A6"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1 104</w:t>
            </w:r>
          </w:p>
        </w:tc>
        <w:tc>
          <w:tcPr>
            <w:tcW w:w="781" w:type="dxa"/>
            <w:tcBorders>
              <w:top w:val="single" w:sz="4" w:space="0" w:color="auto"/>
              <w:bottom w:val="single" w:sz="12" w:space="0" w:color="auto"/>
            </w:tcBorders>
            <w:shd w:val="clear" w:color="auto" w:fill="auto"/>
            <w:vAlign w:val="bottom"/>
          </w:tcPr>
          <w:p w14:paraId="5E00679C"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1 276</w:t>
            </w:r>
          </w:p>
        </w:tc>
        <w:tc>
          <w:tcPr>
            <w:tcW w:w="782" w:type="dxa"/>
            <w:tcBorders>
              <w:top w:val="single" w:sz="4" w:space="0" w:color="auto"/>
              <w:bottom w:val="single" w:sz="12" w:space="0" w:color="auto"/>
            </w:tcBorders>
            <w:shd w:val="clear" w:color="auto" w:fill="auto"/>
            <w:vAlign w:val="bottom"/>
          </w:tcPr>
          <w:p w14:paraId="5093B180"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1 260</w:t>
            </w:r>
          </w:p>
        </w:tc>
        <w:tc>
          <w:tcPr>
            <w:tcW w:w="782" w:type="dxa"/>
            <w:tcBorders>
              <w:top w:val="single" w:sz="4" w:space="0" w:color="auto"/>
              <w:bottom w:val="single" w:sz="12" w:space="0" w:color="auto"/>
            </w:tcBorders>
            <w:shd w:val="clear" w:color="auto" w:fill="auto"/>
            <w:vAlign w:val="bottom"/>
          </w:tcPr>
          <w:p w14:paraId="4D0D4F92"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1 125</w:t>
            </w:r>
          </w:p>
        </w:tc>
        <w:tc>
          <w:tcPr>
            <w:tcW w:w="782" w:type="dxa"/>
            <w:tcBorders>
              <w:top w:val="single" w:sz="4" w:space="0" w:color="auto"/>
              <w:bottom w:val="single" w:sz="12" w:space="0" w:color="auto"/>
            </w:tcBorders>
            <w:shd w:val="clear" w:color="auto" w:fill="auto"/>
            <w:vAlign w:val="bottom"/>
          </w:tcPr>
          <w:p w14:paraId="12B2663D" w14:textId="77777777" w:rsidR="003933A1" w:rsidRPr="007C0CFC" w:rsidRDefault="003933A1" w:rsidP="00545975">
            <w:pPr>
              <w:tabs>
                <w:tab w:val="left" w:pos="288"/>
                <w:tab w:val="left" w:pos="576"/>
                <w:tab w:val="left" w:pos="864"/>
                <w:tab w:val="left" w:pos="1152"/>
              </w:tabs>
              <w:suppressAutoHyphens/>
              <w:spacing w:before="81" w:after="81" w:line="210" w:lineRule="exact"/>
              <w:ind w:left="144" w:right="43"/>
              <w:jc w:val="right"/>
              <w:rPr>
                <w:b/>
                <w:sz w:val="17"/>
              </w:rPr>
            </w:pPr>
            <w:r w:rsidRPr="007C0CFC">
              <w:rPr>
                <w:b/>
                <w:sz w:val="17"/>
              </w:rPr>
              <w:t>527</w:t>
            </w:r>
          </w:p>
        </w:tc>
      </w:tr>
    </w:tbl>
    <w:p w14:paraId="50C23C58" w14:textId="7A33CD24" w:rsidR="007C0CFC" w:rsidRPr="007C0CFC" w:rsidRDefault="007C0CFC" w:rsidP="007C0CFC">
      <w:pPr>
        <w:pStyle w:val="SingleTxt"/>
        <w:spacing w:after="0" w:line="120" w:lineRule="exact"/>
        <w:rPr>
          <w:sz w:val="10"/>
          <w:lang w:val="fr-FR"/>
        </w:rPr>
      </w:pPr>
    </w:p>
    <w:p w14:paraId="2EDCBEB0" w14:textId="55F72ACA" w:rsidR="003933A1" w:rsidRDefault="003933A1" w:rsidP="007C0CFC">
      <w:pPr>
        <w:pStyle w:val="FootnoteText"/>
        <w:tabs>
          <w:tab w:val="right" w:pos="1476"/>
          <w:tab w:val="left" w:pos="1548"/>
          <w:tab w:val="right" w:pos="1836"/>
          <w:tab w:val="left" w:pos="1908"/>
        </w:tabs>
        <w:ind w:left="1548" w:right="1267" w:hanging="288"/>
        <w:rPr>
          <w:lang w:val="fr-FR"/>
        </w:rPr>
      </w:pPr>
      <w:r w:rsidRPr="0098242D">
        <w:rPr>
          <w:i/>
          <w:iCs/>
          <w:lang w:val="fr-FR"/>
        </w:rPr>
        <w:t>Source</w:t>
      </w:r>
      <w:r w:rsidR="00795C5F">
        <w:rPr>
          <w:lang w:val="fr-FR"/>
        </w:rPr>
        <w:t> :</w:t>
      </w:r>
      <w:r w:rsidRPr="00E402C8">
        <w:rPr>
          <w:lang w:val="fr-FR"/>
        </w:rPr>
        <w:t xml:space="preserve"> Ministère de la santé et de la qualité de vie.</w:t>
      </w:r>
    </w:p>
    <w:p w14:paraId="7FCF9B2E" w14:textId="37293F90" w:rsidR="007C0CFC" w:rsidRPr="00953FF1" w:rsidRDefault="007C0CFC" w:rsidP="00953FF1">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44784098" w14:textId="77777777" w:rsidR="00953FF1" w:rsidRPr="007C0CFC" w:rsidRDefault="00953FF1" w:rsidP="007C0CFC">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658C344F" w14:textId="37A5EAC0" w:rsidR="003933A1" w:rsidRPr="00E402C8" w:rsidRDefault="003933A1" w:rsidP="007C0CFC">
      <w:pPr>
        <w:pStyle w:val="SingleTxt"/>
        <w:numPr>
          <w:ilvl w:val="0"/>
          <w:numId w:val="35"/>
        </w:numPr>
        <w:spacing w:line="240" w:lineRule="exact"/>
        <w:rPr>
          <w:lang w:val="fr-FR"/>
        </w:rPr>
      </w:pPr>
      <w:r>
        <w:rPr>
          <w:lang w:val="fr-FR"/>
        </w:rPr>
        <w:t>U</w:t>
      </w:r>
      <w:r w:rsidRPr="00E402C8">
        <w:rPr>
          <w:lang w:val="fr-FR"/>
        </w:rPr>
        <w:t>ne aide médicale spécialisée et des soins adaptés aux suites d</w:t>
      </w:r>
      <w:r w:rsidR="00795C5F">
        <w:rPr>
          <w:lang w:val="fr-FR"/>
        </w:rPr>
        <w:t>’</w:t>
      </w:r>
      <w:r w:rsidRPr="00E402C8">
        <w:rPr>
          <w:lang w:val="fr-FR"/>
        </w:rPr>
        <w:t xml:space="preserve">avortement sont dispensés </w:t>
      </w:r>
      <w:r>
        <w:rPr>
          <w:lang w:val="fr-FR"/>
        </w:rPr>
        <w:t xml:space="preserve">à </w:t>
      </w:r>
      <w:r w:rsidRPr="00E402C8">
        <w:rPr>
          <w:lang w:val="fr-FR"/>
        </w:rPr>
        <w:t>l</w:t>
      </w:r>
      <w:r w:rsidR="00795C5F">
        <w:rPr>
          <w:lang w:val="fr-FR"/>
        </w:rPr>
        <w:t>’</w:t>
      </w:r>
      <w:r w:rsidRPr="00E402C8">
        <w:rPr>
          <w:lang w:val="fr-FR"/>
        </w:rPr>
        <w:t xml:space="preserve">hôpital par des médecins consultants </w:t>
      </w:r>
      <w:r>
        <w:rPr>
          <w:lang w:val="fr-FR"/>
        </w:rPr>
        <w:t>et des spécialistes expérimentés</w:t>
      </w:r>
      <w:r w:rsidRPr="00E402C8">
        <w:rPr>
          <w:lang w:val="fr-FR"/>
        </w:rPr>
        <w:t xml:space="preserve"> qui interviennent sur les plans médical </w:t>
      </w:r>
      <w:r>
        <w:rPr>
          <w:lang w:val="fr-FR"/>
        </w:rPr>
        <w:t>ou</w:t>
      </w:r>
      <w:r w:rsidRPr="00E402C8">
        <w:rPr>
          <w:lang w:val="fr-FR"/>
        </w:rPr>
        <w:t xml:space="preserve"> chirurgical</w:t>
      </w:r>
      <w:r>
        <w:rPr>
          <w:lang w:val="fr-FR"/>
        </w:rPr>
        <w:t xml:space="preserve">, ou les deux, </w:t>
      </w:r>
      <w:r w:rsidRPr="00E402C8">
        <w:rPr>
          <w:lang w:val="fr-FR"/>
        </w:rPr>
        <w:t>selon qu</w:t>
      </w:r>
      <w:r w:rsidR="00795C5F">
        <w:rPr>
          <w:lang w:val="fr-FR"/>
        </w:rPr>
        <w:t>’</w:t>
      </w:r>
      <w:r w:rsidRPr="00E402C8">
        <w:rPr>
          <w:lang w:val="fr-FR"/>
        </w:rPr>
        <w:t xml:space="preserve">il convient. Si nécessaire, les patientes sont également </w:t>
      </w:r>
      <w:r>
        <w:rPr>
          <w:lang w:val="fr-FR"/>
        </w:rPr>
        <w:t>orientées</w:t>
      </w:r>
      <w:r w:rsidRPr="00E402C8">
        <w:rPr>
          <w:lang w:val="fr-FR"/>
        </w:rPr>
        <w:t xml:space="preserve"> vers des psychologues et des travailleurs médico-sociaux</w:t>
      </w:r>
      <w:r>
        <w:rPr>
          <w:lang w:val="fr-FR"/>
        </w:rPr>
        <w:t xml:space="preserve"> pour recevoir</w:t>
      </w:r>
      <w:r w:rsidRPr="00E402C8">
        <w:rPr>
          <w:lang w:val="fr-FR"/>
        </w:rPr>
        <w:t xml:space="preserve"> un </w:t>
      </w:r>
      <w:r>
        <w:rPr>
          <w:lang w:val="fr-FR"/>
        </w:rPr>
        <w:t>soutien</w:t>
      </w:r>
      <w:r w:rsidRPr="00E402C8">
        <w:rPr>
          <w:lang w:val="fr-FR"/>
        </w:rPr>
        <w:t xml:space="preserve"> supplémentaire.</w:t>
      </w:r>
    </w:p>
    <w:p w14:paraId="4EBFBAC0" w14:textId="6ACEFBF1" w:rsidR="003933A1" w:rsidRDefault="003933A1" w:rsidP="007C0CFC">
      <w:pPr>
        <w:pStyle w:val="SingleTxt"/>
        <w:numPr>
          <w:ilvl w:val="0"/>
          <w:numId w:val="35"/>
        </w:numPr>
        <w:spacing w:line="240" w:lineRule="exact"/>
        <w:rPr>
          <w:lang w:val="fr-FR"/>
        </w:rPr>
      </w:pPr>
      <w:r w:rsidRPr="00E402C8">
        <w:rPr>
          <w:lang w:val="fr-FR"/>
        </w:rPr>
        <w:t xml:space="preserve">Le Ministère de la santé et de la qualité de vie mène </w:t>
      </w:r>
      <w:r>
        <w:rPr>
          <w:lang w:val="fr-FR"/>
        </w:rPr>
        <w:t>en permanence</w:t>
      </w:r>
      <w:r w:rsidRPr="00E402C8">
        <w:rPr>
          <w:lang w:val="fr-FR"/>
        </w:rPr>
        <w:t xml:space="preserve"> des campagnes d</w:t>
      </w:r>
      <w:r w:rsidR="00795C5F">
        <w:rPr>
          <w:lang w:val="fr-FR"/>
        </w:rPr>
        <w:t>’</w:t>
      </w:r>
      <w:r w:rsidRPr="00E402C8">
        <w:rPr>
          <w:lang w:val="fr-FR"/>
        </w:rPr>
        <w:t xml:space="preserve">information sur les grossesses non désirées et les grossesses précoces dans les </w:t>
      </w:r>
      <w:r>
        <w:rPr>
          <w:lang w:val="fr-FR"/>
        </w:rPr>
        <w:t>services</w:t>
      </w:r>
      <w:r w:rsidRPr="00E402C8">
        <w:rPr>
          <w:lang w:val="fr-FR"/>
        </w:rPr>
        <w:t xml:space="preserve"> de soins anténatals et postnatals des </w:t>
      </w:r>
      <w:r>
        <w:rPr>
          <w:lang w:val="fr-FR"/>
        </w:rPr>
        <w:t>établissements de santé publics</w:t>
      </w:r>
      <w:r w:rsidRPr="00E402C8">
        <w:rPr>
          <w:lang w:val="fr-FR"/>
        </w:rPr>
        <w:t>.</w:t>
      </w:r>
      <w:r>
        <w:rPr>
          <w:lang w:val="fr-FR"/>
        </w:rPr>
        <w:t xml:space="preserve"> </w:t>
      </w:r>
      <w:r w:rsidRPr="00E402C8">
        <w:rPr>
          <w:lang w:val="fr-FR"/>
        </w:rPr>
        <w:lastRenderedPageBreak/>
        <w:t>Des campagnes de sensibilisation sont également organisées ponctuellement dans les établissements d</w:t>
      </w:r>
      <w:r w:rsidR="00795C5F">
        <w:rPr>
          <w:lang w:val="fr-FR"/>
        </w:rPr>
        <w:t>’</w:t>
      </w:r>
      <w:r w:rsidRPr="00E402C8">
        <w:rPr>
          <w:lang w:val="fr-FR"/>
        </w:rPr>
        <w:t>enseignement secondaire.</w:t>
      </w:r>
    </w:p>
    <w:tbl>
      <w:tblPr>
        <w:tblW w:w="7226" w:type="dxa"/>
        <w:tblInd w:w="1278" w:type="dxa"/>
        <w:tblLayout w:type="fixed"/>
        <w:tblCellMar>
          <w:left w:w="0" w:type="dxa"/>
          <w:right w:w="0" w:type="dxa"/>
        </w:tblCellMar>
        <w:tblLook w:val="04A0" w:firstRow="1" w:lastRow="0" w:firstColumn="1" w:lastColumn="0" w:noHBand="0" w:noVBand="1"/>
      </w:tblPr>
      <w:tblGrid>
        <w:gridCol w:w="3037"/>
        <w:gridCol w:w="590"/>
        <w:gridCol w:w="605"/>
        <w:gridCol w:w="585"/>
        <w:gridCol w:w="13"/>
        <w:gridCol w:w="597"/>
        <w:gridCol w:w="11"/>
        <w:gridCol w:w="587"/>
        <w:gridCol w:w="7"/>
        <w:gridCol w:w="596"/>
        <w:gridCol w:w="598"/>
      </w:tblGrid>
      <w:tr w:rsidR="003933A1" w:rsidRPr="007C0CFC" w14:paraId="50270377" w14:textId="77777777" w:rsidTr="007C0CFC">
        <w:trPr>
          <w:cantSplit/>
          <w:tblHeader/>
        </w:trPr>
        <w:tc>
          <w:tcPr>
            <w:tcW w:w="7226" w:type="dxa"/>
            <w:gridSpan w:val="11"/>
            <w:tcBorders>
              <w:top w:val="single" w:sz="4" w:space="0" w:color="auto"/>
              <w:bottom w:val="single" w:sz="12" w:space="0" w:color="auto"/>
            </w:tcBorders>
            <w:shd w:val="clear" w:color="auto" w:fill="auto"/>
            <w:noWrap/>
            <w:vAlign w:val="bottom"/>
            <w:hideMark/>
          </w:tcPr>
          <w:p w14:paraId="2C6C41DA" w14:textId="21A43215" w:rsidR="003933A1" w:rsidRPr="007C0CFC" w:rsidRDefault="003933A1" w:rsidP="007C0CFC">
            <w:pPr>
              <w:suppressAutoHyphens/>
              <w:spacing w:before="81" w:after="81" w:line="160" w:lineRule="exact"/>
              <w:ind w:right="40"/>
              <w:rPr>
                <w:i/>
                <w:sz w:val="14"/>
              </w:rPr>
            </w:pPr>
            <w:r w:rsidRPr="007C0CFC">
              <w:rPr>
                <w:i/>
                <w:sz w:val="14"/>
              </w:rPr>
              <w:t xml:space="preserve">République de Maurice </w:t>
            </w:r>
            <w:r w:rsidR="00FC794C" w:rsidRPr="007C0CFC">
              <w:rPr>
                <w:i/>
                <w:sz w:val="14"/>
              </w:rPr>
              <w:t>–</w:t>
            </w:r>
            <w:r w:rsidR="00FC794C">
              <w:rPr>
                <w:i/>
                <w:sz w:val="14"/>
              </w:rPr>
              <w:t> </w:t>
            </w:r>
            <w:r w:rsidRPr="007C0CFC">
              <w:rPr>
                <w:i/>
                <w:sz w:val="14"/>
              </w:rPr>
              <w:t>Naissances vivantes chez les adolescentes entre 2010 et 2016</w:t>
            </w:r>
            <w:r w:rsidRPr="00545975">
              <w:rPr>
                <w:iCs/>
                <w:sz w:val="14"/>
              </w:rPr>
              <w:t>*</w:t>
            </w:r>
          </w:p>
        </w:tc>
      </w:tr>
      <w:tr w:rsidR="007C0CFC" w:rsidRPr="007C0CFC" w14:paraId="0128BD96" w14:textId="77777777" w:rsidTr="0042389E">
        <w:trPr>
          <w:cantSplit/>
          <w:trHeight w:hRule="exact" w:val="115"/>
          <w:tblHeader/>
        </w:trPr>
        <w:tc>
          <w:tcPr>
            <w:tcW w:w="3037" w:type="dxa"/>
            <w:tcBorders>
              <w:top w:val="single" w:sz="12" w:space="0" w:color="auto"/>
            </w:tcBorders>
            <w:shd w:val="clear" w:color="auto" w:fill="auto"/>
            <w:noWrap/>
            <w:vAlign w:val="bottom"/>
          </w:tcPr>
          <w:p w14:paraId="62F5995D" w14:textId="4AAEF8D3" w:rsidR="007C0CFC" w:rsidRPr="007C0CFC" w:rsidRDefault="007C0CFC" w:rsidP="007C0CFC">
            <w:pPr>
              <w:suppressAutoHyphens/>
              <w:spacing w:before="40" w:after="40" w:line="210" w:lineRule="exact"/>
              <w:ind w:left="144" w:right="43"/>
              <w:jc w:val="right"/>
              <w:rPr>
                <w:sz w:val="17"/>
              </w:rPr>
            </w:pPr>
          </w:p>
        </w:tc>
        <w:tc>
          <w:tcPr>
            <w:tcW w:w="590" w:type="dxa"/>
            <w:tcBorders>
              <w:top w:val="single" w:sz="12" w:space="0" w:color="auto"/>
            </w:tcBorders>
            <w:shd w:val="clear" w:color="auto" w:fill="auto"/>
            <w:noWrap/>
            <w:vAlign w:val="bottom"/>
          </w:tcPr>
          <w:p w14:paraId="030962C0" w14:textId="77777777" w:rsidR="007C0CFC" w:rsidRPr="007C0CFC" w:rsidRDefault="007C0CFC" w:rsidP="007C0CFC">
            <w:pPr>
              <w:suppressAutoHyphens/>
              <w:spacing w:before="40" w:after="40" w:line="210" w:lineRule="exact"/>
              <w:ind w:left="144" w:right="43"/>
              <w:jc w:val="right"/>
              <w:rPr>
                <w:sz w:val="17"/>
              </w:rPr>
            </w:pPr>
          </w:p>
        </w:tc>
        <w:tc>
          <w:tcPr>
            <w:tcW w:w="605" w:type="dxa"/>
            <w:tcBorders>
              <w:top w:val="single" w:sz="12" w:space="0" w:color="auto"/>
            </w:tcBorders>
            <w:shd w:val="clear" w:color="auto" w:fill="auto"/>
            <w:noWrap/>
            <w:vAlign w:val="bottom"/>
          </w:tcPr>
          <w:p w14:paraId="1A1E0AB0" w14:textId="77777777" w:rsidR="007C0CFC" w:rsidRPr="007C0CFC" w:rsidRDefault="007C0CFC" w:rsidP="007C0CFC">
            <w:pPr>
              <w:suppressAutoHyphens/>
              <w:spacing w:before="40" w:after="40" w:line="210" w:lineRule="exact"/>
              <w:ind w:left="144" w:right="43"/>
              <w:jc w:val="right"/>
              <w:rPr>
                <w:sz w:val="17"/>
              </w:rPr>
            </w:pPr>
          </w:p>
        </w:tc>
        <w:tc>
          <w:tcPr>
            <w:tcW w:w="585" w:type="dxa"/>
            <w:tcBorders>
              <w:top w:val="single" w:sz="12" w:space="0" w:color="auto"/>
            </w:tcBorders>
            <w:shd w:val="clear" w:color="auto" w:fill="auto"/>
            <w:noWrap/>
            <w:vAlign w:val="bottom"/>
          </w:tcPr>
          <w:p w14:paraId="0D8CB87E" w14:textId="77777777" w:rsidR="007C0CFC" w:rsidRPr="007C0CFC" w:rsidRDefault="007C0CFC" w:rsidP="007C0CFC">
            <w:pPr>
              <w:suppressAutoHyphens/>
              <w:spacing w:before="40" w:after="40" w:line="210" w:lineRule="exact"/>
              <w:ind w:left="144" w:right="43"/>
              <w:jc w:val="right"/>
              <w:rPr>
                <w:sz w:val="17"/>
              </w:rPr>
            </w:pPr>
          </w:p>
        </w:tc>
        <w:tc>
          <w:tcPr>
            <w:tcW w:w="621" w:type="dxa"/>
            <w:gridSpan w:val="3"/>
            <w:tcBorders>
              <w:top w:val="single" w:sz="12" w:space="0" w:color="auto"/>
            </w:tcBorders>
            <w:shd w:val="clear" w:color="auto" w:fill="auto"/>
            <w:noWrap/>
            <w:vAlign w:val="bottom"/>
          </w:tcPr>
          <w:p w14:paraId="6A8E66E1" w14:textId="77777777" w:rsidR="007C0CFC" w:rsidRPr="007C0CFC" w:rsidRDefault="007C0CFC" w:rsidP="007C0CFC">
            <w:pPr>
              <w:suppressAutoHyphens/>
              <w:spacing w:before="40" w:after="40" w:line="210" w:lineRule="exact"/>
              <w:ind w:left="144" w:right="43"/>
              <w:jc w:val="right"/>
              <w:rPr>
                <w:sz w:val="17"/>
              </w:rPr>
            </w:pPr>
          </w:p>
        </w:tc>
        <w:tc>
          <w:tcPr>
            <w:tcW w:w="594" w:type="dxa"/>
            <w:gridSpan w:val="2"/>
            <w:tcBorders>
              <w:top w:val="single" w:sz="12" w:space="0" w:color="auto"/>
            </w:tcBorders>
            <w:shd w:val="clear" w:color="auto" w:fill="auto"/>
            <w:noWrap/>
            <w:vAlign w:val="bottom"/>
          </w:tcPr>
          <w:p w14:paraId="740DACE9" w14:textId="77777777" w:rsidR="007C0CFC" w:rsidRPr="007C0CFC" w:rsidRDefault="007C0CFC" w:rsidP="007C0CFC">
            <w:pPr>
              <w:suppressAutoHyphens/>
              <w:spacing w:before="40" w:after="40" w:line="210" w:lineRule="exact"/>
              <w:ind w:left="144" w:right="43"/>
              <w:jc w:val="right"/>
              <w:rPr>
                <w:sz w:val="17"/>
              </w:rPr>
            </w:pPr>
          </w:p>
        </w:tc>
        <w:tc>
          <w:tcPr>
            <w:tcW w:w="596" w:type="dxa"/>
            <w:tcBorders>
              <w:top w:val="single" w:sz="12" w:space="0" w:color="auto"/>
            </w:tcBorders>
            <w:shd w:val="clear" w:color="auto" w:fill="auto"/>
            <w:noWrap/>
            <w:vAlign w:val="bottom"/>
          </w:tcPr>
          <w:p w14:paraId="4BAF6B6B" w14:textId="77777777" w:rsidR="007C0CFC" w:rsidRPr="007C0CFC" w:rsidRDefault="007C0CFC" w:rsidP="007C0CFC">
            <w:pPr>
              <w:suppressAutoHyphens/>
              <w:spacing w:before="40" w:after="40" w:line="210" w:lineRule="exact"/>
              <w:ind w:left="144" w:right="43"/>
              <w:jc w:val="right"/>
              <w:rPr>
                <w:sz w:val="17"/>
              </w:rPr>
            </w:pPr>
          </w:p>
        </w:tc>
        <w:tc>
          <w:tcPr>
            <w:tcW w:w="598" w:type="dxa"/>
            <w:tcBorders>
              <w:top w:val="single" w:sz="12" w:space="0" w:color="auto"/>
            </w:tcBorders>
            <w:shd w:val="clear" w:color="auto" w:fill="auto"/>
            <w:noWrap/>
            <w:vAlign w:val="bottom"/>
          </w:tcPr>
          <w:p w14:paraId="23B8BC9E" w14:textId="77777777" w:rsidR="007C0CFC" w:rsidRPr="007C0CFC" w:rsidRDefault="007C0CFC" w:rsidP="007C0CFC">
            <w:pPr>
              <w:suppressAutoHyphens/>
              <w:spacing w:before="40" w:after="40" w:line="210" w:lineRule="exact"/>
              <w:ind w:right="40"/>
              <w:rPr>
                <w:sz w:val="17"/>
              </w:rPr>
            </w:pPr>
          </w:p>
        </w:tc>
      </w:tr>
      <w:tr w:rsidR="003933A1" w:rsidRPr="007C0CFC" w14:paraId="6544691A" w14:textId="77777777" w:rsidTr="0042389E">
        <w:trPr>
          <w:cantSplit/>
        </w:trPr>
        <w:tc>
          <w:tcPr>
            <w:tcW w:w="3037" w:type="dxa"/>
            <w:shd w:val="clear" w:color="auto" w:fill="auto"/>
            <w:noWrap/>
            <w:vAlign w:val="bottom"/>
            <w:hideMark/>
          </w:tcPr>
          <w:p w14:paraId="03BCB9B6" w14:textId="3B95EC34"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 xml:space="preserve">Nombre de naissances vivantes chez </w:t>
            </w:r>
            <w:r w:rsidR="00FC794C" w:rsidRPr="007C0CFC">
              <w:rPr>
                <w:sz w:val="17"/>
              </w:rPr>
              <w:t>les</w:t>
            </w:r>
            <w:r w:rsidR="00FC794C">
              <w:rPr>
                <w:sz w:val="17"/>
              </w:rPr>
              <w:t> </w:t>
            </w:r>
            <w:r w:rsidRPr="007C0CFC">
              <w:rPr>
                <w:sz w:val="17"/>
              </w:rPr>
              <w:t>adolescentes par groupe d</w:t>
            </w:r>
            <w:r w:rsidR="00795C5F">
              <w:rPr>
                <w:sz w:val="17"/>
              </w:rPr>
              <w:t>’</w:t>
            </w:r>
            <w:r w:rsidRPr="007C0CFC">
              <w:rPr>
                <w:sz w:val="17"/>
              </w:rPr>
              <w:t>âges (ans)</w:t>
            </w:r>
          </w:p>
        </w:tc>
        <w:tc>
          <w:tcPr>
            <w:tcW w:w="590" w:type="dxa"/>
            <w:shd w:val="clear" w:color="auto" w:fill="auto"/>
            <w:noWrap/>
            <w:vAlign w:val="bottom"/>
            <w:hideMark/>
          </w:tcPr>
          <w:p w14:paraId="7A2D278C"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2010</w:t>
            </w:r>
          </w:p>
        </w:tc>
        <w:tc>
          <w:tcPr>
            <w:tcW w:w="605" w:type="dxa"/>
            <w:shd w:val="clear" w:color="auto" w:fill="auto"/>
            <w:noWrap/>
            <w:vAlign w:val="bottom"/>
            <w:hideMark/>
          </w:tcPr>
          <w:p w14:paraId="31531B0C"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2011</w:t>
            </w:r>
          </w:p>
        </w:tc>
        <w:tc>
          <w:tcPr>
            <w:tcW w:w="598" w:type="dxa"/>
            <w:gridSpan w:val="2"/>
            <w:shd w:val="clear" w:color="auto" w:fill="auto"/>
            <w:noWrap/>
            <w:vAlign w:val="bottom"/>
            <w:hideMark/>
          </w:tcPr>
          <w:p w14:paraId="5C41787E"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2012</w:t>
            </w:r>
          </w:p>
        </w:tc>
        <w:tc>
          <w:tcPr>
            <w:tcW w:w="597" w:type="dxa"/>
            <w:shd w:val="clear" w:color="auto" w:fill="auto"/>
            <w:noWrap/>
            <w:vAlign w:val="bottom"/>
            <w:hideMark/>
          </w:tcPr>
          <w:p w14:paraId="56B87182"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2013</w:t>
            </w:r>
          </w:p>
        </w:tc>
        <w:tc>
          <w:tcPr>
            <w:tcW w:w="598" w:type="dxa"/>
            <w:gridSpan w:val="2"/>
            <w:shd w:val="clear" w:color="auto" w:fill="auto"/>
            <w:noWrap/>
            <w:vAlign w:val="bottom"/>
            <w:hideMark/>
          </w:tcPr>
          <w:p w14:paraId="7CE76C1A"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2014</w:t>
            </w:r>
          </w:p>
        </w:tc>
        <w:tc>
          <w:tcPr>
            <w:tcW w:w="603" w:type="dxa"/>
            <w:gridSpan w:val="2"/>
            <w:shd w:val="clear" w:color="auto" w:fill="auto"/>
            <w:noWrap/>
            <w:vAlign w:val="bottom"/>
            <w:hideMark/>
          </w:tcPr>
          <w:p w14:paraId="552B2684"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2015</w:t>
            </w:r>
          </w:p>
        </w:tc>
        <w:tc>
          <w:tcPr>
            <w:tcW w:w="598" w:type="dxa"/>
            <w:shd w:val="clear" w:color="auto" w:fill="auto"/>
            <w:noWrap/>
            <w:vAlign w:val="bottom"/>
            <w:hideMark/>
          </w:tcPr>
          <w:p w14:paraId="73718691"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2016</w:t>
            </w:r>
          </w:p>
        </w:tc>
      </w:tr>
      <w:tr w:rsidR="003933A1" w:rsidRPr="007C0CFC" w14:paraId="1E86336F" w14:textId="77777777" w:rsidTr="0042389E">
        <w:trPr>
          <w:cantSplit/>
        </w:trPr>
        <w:tc>
          <w:tcPr>
            <w:tcW w:w="3037" w:type="dxa"/>
            <w:shd w:val="clear" w:color="auto" w:fill="auto"/>
            <w:noWrap/>
            <w:vAlign w:val="bottom"/>
            <w:hideMark/>
          </w:tcPr>
          <w:p w14:paraId="0C80F12D"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 xml:space="preserve">Moins de 10 </w:t>
            </w:r>
          </w:p>
        </w:tc>
        <w:tc>
          <w:tcPr>
            <w:tcW w:w="590" w:type="dxa"/>
            <w:shd w:val="clear" w:color="auto" w:fill="auto"/>
            <w:noWrap/>
            <w:vAlign w:val="bottom"/>
            <w:hideMark/>
          </w:tcPr>
          <w:p w14:paraId="49B0FFF2"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c>
          <w:tcPr>
            <w:tcW w:w="605" w:type="dxa"/>
            <w:shd w:val="clear" w:color="auto" w:fill="auto"/>
            <w:noWrap/>
            <w:vAlign w:val="bottom"/>
            <w:hideMark/>
          </w:tcPr>
          <w:p w14:paraId="2657D463"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c>
          <w:tcPr>
            <w:tcW w:w="598" w:type="dxa"/>
            <w:gridSpan w:val="2"/>
            <w:shd w:val="clear" w:color="auto" w:fill="auto"/>
            <w:noWrap/>
            <w:vAlign w:val="bottom"/>
            <w:hideMark/>
          </w:tcPr>
          <w:p w14:paraId="127B9BE8"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c>
          <w:tcPr>
            <w:tcW w:w="597" w:type="dxa"/>
            <w:shd w:val="clear" w:color="auto" w:fill="auto"/>
            <w:noWrap/>
            <w:vAlign w:val="bottom"/>
            <w:hideMark/>
          </w:tcPr>
          <w:p w14:paraId="2B18C0C4"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c>
          <w:tcPr>
            <w:tcW w:w="598" w:type="dxa"/>
            <w:gridSpan w:val="2"/>
            <w:shd w:val="clear" w:color="auto" w:fill="auto"/>
            <w:noWrap/>
            <w:vAlign w:val="bottom"/>
            <w:hideMark/>
          </w:tcPr>
          <w:p w14:paraId="6FA7DC7E"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c>
          <w:tcPr>
            <w:tcW w:w="603" w:type="dxa"/>
            <w:gridSpan w:val="2"/>
            <w:shd w:val="clear" w:color="auto" w:fill="auto"/>
            <w:noWrap/>
            <w:vAlign w:val="bottom"/>
            <w:hideMark/>
          </w:tcPr>
          <w:p w14:paraId="15C2BDF2"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c>
          <w:tcPr>
            <w:tcW w:w="598" w:type="dxa"/>
            <w:shd w:val="clear" w:color="auto" w:fill="auto"/>
            <w:noWrap/>
            <w:vAlign w:val="bottom"/>
            <w:hideMark/>
          </w:tcPr>
          <w:p w14:paraId="6AFD9D3E"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0</w:t>
            </w:r>
          </w:p>
        </w:tc>
      </w:tr>
      <w:tr w:rsidR="003933A1" w:rsidRPr="007C0CFC" w14:paraId="46DC6598" w14:textId="77777777" w:rsidTr="0042389E">
        <w:trPr>
          <w:cantSplit/>
        </w:trPr>
        <w:tc>
          <w:tcPr>
            <w:tcW w:w="3037" w:type="dxa"/>
            <w:shd w:val="clear" w:color="auto" w:fill="auto"/>
            <w:noWrap/>
            <w:vAlign w:val="bottom"/>
            <w:hideMark/>
          </w:tcPr>
          <w:p w14:paraId="1D6FEFFC"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rPr>
                <w:sz w:val="17"/>
              </w:rPr>
            </w:pPr>
            <w:r w:rsidRPr="007C0CFC">
              <w:rPr>
                <w:sz w:val="17"/>
              </w:rPr>
              <w:t xml:space="preserve">10-14 </w:t>
            </w:r>
          </w:p>
        </w:tc>
        <w:tc>
          <w:tcPr>
            <w:tcW w:w="590" w:type="dxa"/>
            <w:shd w:val="clear" w:color="auto" w:fill="auto"/>
            <w:noWrap/>
            <w:vAlign w:val="bottom"/>
            <w:hideMark/>
          </w:tcPr>
          <w:p w14:paraId="6A565509"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23</w:t>
            </w:r>
          </w:p>
        </w:tc>
        <w:tc>
          <w:tcPr>
            <w:tcW w:w="605" w:type="dxa"/>
            <w:shd w:val="clear" w:color="auto" w:fill="auto"/>
            <w:noWrap/>
            <w:vAlign w:val="bottom"/>
            <w:hideMark/>
          </w:tcPr>
          <w:p w14:paraId="0D0926D8"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25</w:t>
            </w:r>
          </w:p>
        </w:tc>
        <w:tc>
          <w:tcPr>
            <w:tcW w:w="598" w:type="dxa"/>
            <w:gridSpan w:val="2"/>
            <w:shd w:val="clear" w:color="auto" w:fill="auto"/>
            <w:noWrap/>
            <w:vAlign w:val="bottom"/>
            <w:hideMark/>
          </w:tcPr>
          <w:p w14:paraId="3323E783"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18</w:t>
            </w:r>
          </w:p>
        </w:tc>
        <w:tc>
          <w:tcPr>
            <w:tcW w:w="597" w:type="dxa"/>
            <w:shd w:val="clear" w:color="auto" w:fill="auto"/>
            <w:noWrap/>
            <w:vAlign w:val="bottom"/>
            <w:hideMark/>
          </w:tcPr>
          <w:p w14:paraId="03756B87"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30</w:t>
            </w:r>
          </w:p>
        </w:tc>
        <w:tc>
          <w:tcPr>
            <w:tcW w:w="598" w:type="dxa"/>
            <w:gridSpan w:val="2"/>
            <w:shd w:val="clear" w:color="auto" w:fill="auto"/>
            <w:noWrap/>
            <w:vAlign w:val="bottom"/>
            <w:hideMark/>
          </w:tcPr>
          <w:p w14:paraId="4AAAD2D7"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29</w:t>
            </w:r>
          </w:p>
        </w:tc>
        <w:tc>
          <w:tcPr>
            <w:tcW w:w="603" w:type="dxa"/>
            <w:gridSpan w:val="2"/>
            <w:shd w:val="clear" w:color="auto" w:fill="auto"/>
            <w:noWrap/>
            <w:vAlign w:val="bottom"/>
            <w:hideMark/>
          </w:tcPr>
          <w:p w14:paraId="16674FCF"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27</w:t>
            </w:r>
          </w:p>
        </w:tc>
        <w:tc>
          <w:tcPr>
            <w:tcW w:w="598" w:type="dxa"/>
            <w:shd w:val="clear" w:color="auto" w:fill="auto"/>
            <w:noWrap/>
            <w:vAlign w:val="bottom"/>
            <w:hideMark/>
          </w:tcPr>
          <w:p w14:paraId="146D798A" w14:textId="77777777" w:rsidR="003933A1" w:rsidRPr="007C0CFC" w:rsidRDefault="003933A1" w:rsidP="007C0CFC">
            <w:pPr>
              <w:tabs>
                <w:tab w:val="left" w:pos="288"/>
                <w:tab w:val="left" w:pos="576"/>
                <w:tab w:val="left" w:pos="864"/>
                <w:tab w:val="left" w:pos="1152"/>
              </w:tabs>
              <w:suppressAutoHyphens/>
              <w:spacing w:before="40" w:after="40" w:line="210" w:lineRule="exact"/>
              <w:ind w:right="40"/>
              <w:jc w:val="right"/>
              <w:rPr>
                <w:sz w:val="17"/>
              </w:rPr>
            </w:pPr>
            <w:r w:rsidRPr="007C0CFC">
              <w:rPr>
                <w:sz w:val="17"/>
              </w:rPr>
              <w:t>26</w:t>
            </w:r>
          </w:p>
        </w:tc>
      </w:tr>
      <w:tr w:rsidR="003933A1" w:rsidRPr="007C0CFC" w14:paraId="088CFDEF" w14:textId="77777777" w:rsidTr="0042389E">
        <w:trPr>
          <w:cantSplit/>
        </w:trPr>
        <w:tc>
          <w:tcPr>
            <w:tcW w:w="3037" w:type="dxa"/>
            <w:tcBorders>
              <w:bottom w:val="single" w:sz="4" w:space="0" w:color="auto"/>
            </w:tcBorders>
            <w:shd w:val="clear" w:color="auto" w:fill="auto"/>
            <w:noWrap/>
            <w:vAlign w:val="bottom"/>
            <w:hideMark/>
          </w:tcPr>
          <w:p w14:paraId="1032567B"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rPr>
                <w:sz w:val="17"/>
              </w:rPr>
            </w:pPr>
            <w:r w:rsidRPr="007C0CFC">
              <w:rPr>
                <w:sz w:val="17"/>
              </w:rPr>
              <w:t>15</w:t>
            </w:r>
            <w:r w:rsidRPr="007C0CFC">
              <w:rPr>
                <w:sz w:val="17"/>
              </w:rPr>
              <w:noBreakHyphen/>
              <w:t xml:space="preserve">19 </w:t>
            </w:r>
          </w:p>
        </w:tc>
        <w:tc>
          <w:tcPr>
            <w:tcW w:w="590" w:type="dxa"/>
            <w:tcBorders>
              <w:bottom w:val="single" w:sz="4" w:space="0" w:color="auto"/>
            </w:tcBorders>
            <w:shd w:val="clear" w:color="auto" w:fill="auto"/>
            <w:noWrap/>
            <w:vAlign w:val="bottom"/>
            <w:hideMark/>
          </w:tcPr>
          <w:p w14:paraId="762C737D"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1 593</w:t>
            </w:r>
          </w:p>
        </w:tc>
        <w:tc>
          <w:tcPr>
            <w:tcW w:w="605" w:type="dxa"/>
            <w:tcBorders>
              <w:bottom w:val="single" w:sz="4" w:space="0" w:color="auto"/>
            </w:tcBorders>
            <w:shd w:val="clear" w:color="auto" w:fill="auto"/>
            <w:noWrap/>
            <w:vAlign w:val="bottom"/>
            <w:hideMark/>
          </w:tcPr>
          <w:p w14:paraId="22577534"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1 530</w:t>
            </w:r>
          </w:p>
        </w:tc>
        <w:tc>
          <w:tcPr>
            <w:tcW w:w="598" w:type="dxa"/>
            <w:gridSpan w:val="2"/>
            <w:tcBorders>
              <w:bottom w:val="single" w:sz="4" w:space="0" w:color="auto"/>
            </w:tcBorders>
            <w:shd w:val="clear" w:color="auto" w:fill="auto"/>
            <w:noWrap/>
            <w:vAlign w:val="bottom"/>
            <w:hideMark/>
          </w:tcPr>
          <w:p w14:paraId="103809DC"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1 493</w:t>
            </w:r>
          </w:p>
        </w:tc>
        <w:tc>
          <w:tcPr>
            <w:tcW w:w="597" w:type="dxa"/>
            <w:tcBorders>
              <w:bottom w:val="single" w:sz="4" w:space="0" w:color="auto"/>
            </w:tcBorders>
            <w:shd w:val="clear" w:color="auto" w:fill="auto"/>
            <w:noWrap/>
            <w:vAlign w:val="bottom"/>
            <w:hideMark/>
          </w:tcPr>
          <w:p w14:paraId="50DEF8B7"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1 294</w:t>
            </w:r>
          </w:p>
        </w:tc>
        <w:tc>
          <w:tcPr>
            <w:tcW w:w="598" w:type="dxa"/>
            <w:gridSpan w:val="2"/>
            <w:tcBorders>
              <w:bottom w:val="single" w:sz="4" w:space="0" w:color="auto"/>
            </w:tcBorders>
            <w:shd w:val="clear" w:color="auto" w:fill="auto"/>
            <w:noWrap/>
            <w:vAlign w:val="bottom"/>
            <w:hideMark/>
          </w:tcPr>
          <w:p w14:paraId="14F85C60"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1 170</w:t>
            </w:r>
          </w:p>
        </w:tc>
        <w:tc>
          <w:tcPr>
            <w:tcW w:w="603" w:type="dxa"/>
            <w:gridSpan w:val="2"/>
            <w:tcBorders>
              <w:bottom w:val="single" w:sz="4" w:space="0" w:color="auto"/>
            </w:tcBorders>
            <w:shd w:val="clear" w:color="auto" w:fill="auto"/>
            <w:noWrap/>
            <w:vAlign w:val="bottom"/>
            <w:hideMark/>
          </w:tcPr>
          <w:p w14:paraId="16FC84D4"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1 107</w:t>
            </w:r>
          </w:p>
        </w:tc>
        <w:tc>
          <w:tcPr>
            <w:tcW w:w="598" w:type="dxa"/>
            <w:tcBorders>
              <w:bottom w:val="single" w:sz="4" w:space="0" w:color="auto"/>
            </w:tcBorders>
            <w:shd w:val="clear" w:color="auto" w:fill="auto"/>
            <w:noWrap/>
            <w:vAlign w:val="bottom"/>
            <w:hideMark/>
          </w:tcPr>
          <w:p w14:paraId="70806419" w14:textId="77777777" w:rsidR="003933A1" w:rsidRPr="007C0CFC" w:rsidRDefault="003933A1" w:rsidP="007C0CFC">
            <w:pPr>
              <w:tabs>
                <w:tab w:val="left" w:pos="288"/>
                <w:tab w:val="left" w:pos="576"/>
                <w:tab w:val="left" w:pos="864"/>
                <w:tab w:val="left" w:pos="1152"/>
              </w:tabs>
              <w:suppressAutoHyphens/>
              <w:spacing w:before="40" w:after="81" w:line="210" w:lineRule="exact"/>
              <w:ind w:right="40"/>
              <w:jc w:val="right"/>
              <w:rPr>
                <w:sz w:val="17"/>
              </w:rPr>
            </w:pPr>
            <w:r w:rsidRPr="007C0CFC">
              <w:rPr>
                <w:sz w:val="17"/>
              </w:rPr>
              <w:t>1 111</w:t>
            </w:r>
          </w:p>
        </w:tc>
      </w:tr>
      <w:tr w:rsidR="003933A1" w:rsidRPr="007C0CFC" w14:paraId="4BEB1334" w14:textId="77777777" w:rsidTr="0042389E">
        <w:trPr>
          <w:cantSplit/>
        </w:trPr>
        <w:tc>
          <w:tcPr>
            <w:tcW w:w="3037" w:type="dxa"/>
            <w:tcBorders>
              <w:top w:val="single" w:sz="4" w:space="0" w:color="auto"/>
              <w:bottom w:val="single" w:sz="12" w:space="0" w:color="auto"/>
            </w:tcBorders>
            <w:shd w:val="clear" w:color="auto" w:fill="auto"/>
            <w:noWrap/>
            <w:vAlign w:val="bottom"/>
            <w:hideMark/>
          </w:tcPr>
          <w:p w14:paraId="23F66E33" w14:textId="12FDE236" w:rsidR="003933A1" w:rsidRPr="007C0CFC" w:rsidRDefault="007C0CFC" w:rsidP="00B60353">
            <w:pPr>
              <w:tabs>
                <w:tab w:val="left" w:pos="288"/>
                <w:tab w:val="left" w:pos="576"/>
                <w:tab w:val="left" w:pos="864"/>
                <w:tab w:val="left" w:pos="1152"/>
              </w:tabs>
              <w:suppressAutoHyphens/>
              <w:spacing w:before="81" w:after="81" w:line="210" w:lineRule="exact"/>
              <w:ind w:left="288" w:right="40" w:hanging="288"/>
              <w:rPr>
                <w:b/>
                <w:sz w:val="17"/>
              </w:rPr>
            </w:pPr>
            <w:r>
              <w:rPr>
                <w:b/>
                <w:sz w:val="17"/>
              </w:rPr>
              <w:tab/>
            </w:r>
            <w:r w:rsidR="003933A1" w:rsidRPr="007C0CFC">
              <w:rPr>
                <w:b/>
                <w:sz w:val="17"/>
              </w:rPr>
              <w:t>Nombre total de naissances vivantes chez les jeunes filles âgées de moins de 20 ans</w:t>
            </w:r>
          </w:p>
        </w:tc>
        <w:tc>
          <w:tcPr>
            <w:tcW w:w="590" w:type="dxa"/>
            <w:tcBorders>
              <w:top w:val="single" w:sz="4" w:space="0" w:color="auto"/>
              <w:bottom w:val="single" w:sz="12" w:space="0" w:color="auto"/>
            </w:tcBorders>
            <w:shd w:val="clear" w:color="auto" w:fill="auto"/>
            <w:noWrap/>
            <w:vAlign w:val="bottom"/>
            <w:hideMark/>
          </w:tcPr>
          <w:p w14:paraId="3FEE7318"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1 616</w:t>
            </w:r>
          </w:p>
        </w:tc>
        <w:tc>
          <w:tcPr>
            <w:tcW w:w="605" w:type="dxa"/>
            <w:tcBorders>
              <w:top w:val="single" w:sz="4" w:space="0" w:color="auto"/>
              <w:bottom w:val="single" w:sz="12" w:space="0" w:color="auto"/>
            </w:tcBorders>
            <w:shd w:val="clear" w:color="auto" w:fill="auto"/>
            <w:noWrap/>
            <w:vAlign w:val="bottom"/>
            <w:hideMark/>
          </w:tcPr>
          <w:p w14:paraId="39C22E05"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1 555</w:t>
            </w:r>
          </w:p>
        </w:tc>
        <w:tc>
          <w:tcPr>
            <w:tcW w:w="598" w:type="dxa"/>
            <w:gridSpan w:val="2"/>
            <w:tcBorders>
              <w:top w:val="single" w:sz="4" w:space="0" w:color="auto"/>
              <w:bottom w:val="single" w:sz="12" w:space="0" w:color="auto"/>
            </w:tcBorders>
            <w:shd w:val="clear" w:color="auto" w:fill="auto"/>
            <w:noWrap/>
            <w:vAlign w:val="bottom"/>
            <w:hideMark/>
          </w:tcPr>
          <w:p w14:paraId="696C4889"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1 511</w:t>
            </w:r>
          </w:p>
        </w:tc>
        <w:tc>
          <w:tcPr>
            <w:tcW w:w="597" w:type="dxa"/>
            <w:tcBorders>
              <w:top w:val="single" w:sz="4" w:space="0" w:color="auto"/>
              <w:bottom w:val="single" w:sz="12" w:space="0" w:color="auto"/>
            </w:tcBorders>
            <w:shd w:val="clear" w:color="auto" w:fill="auto"/>
            <w:noWrap/>
            <w:vAlign w:val="bottom"/>
            <w:hideMark/>
          </w:tcPr>
          <w:p w14:paraId="7A279DFC"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1 324</w:t>
            </w:r>
          </w:p>
        </w:tc>
        <w:tc>
          <w:tcPr>
            <w:tcW w:w="598" w:type="dxa"/>
            <w:gridSpan w:val="2"/>
            <w:tcBorders>
              <w:top w:val="single" w:sz="4" w:space="0" w:color="auto"/>
              <w:bottom w:val="single" w:sz="12" w:space="0" w:color="auto"/>
            </w:tcBorders>
            <w:shd w:val="clear" w:color="auto" w:fill="auto"/>
            <w:noWrap/>
            <w:vAlign w:val="bottom"/>
            <w:hideMark/>
          </w:tcPr>
          <w:p w14:paraId="5CE4D42A"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1 199</w:t>
            </w:r>
          </w:p>
        </w:tc>
        <w:tc>
          <w:tcPr>
            <w:tcW w:w="603" w:type="dxa"/>
            <w:gridSpan w:val="2"/>
            <w:tcBorders>
              <w:top w:val="single" w:sz="4" w:space="0" w:color="auto"/>
              <w:bottom w:val="single" w:sz="12" w:space="0" w:color="auto"/>
            </w:tcBorders>
            <w:shd w:val="clear" w:color="auto" w:fill="auto"/>
            <w:noWrap/>
            <w:vAlign w:val="bottom"/>
            <w:hideMark/>
          </w:tcPr>
          <w:p w14:paraId="51AC46C5"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1 134</w:t>
            </w:r>
          </w:p>
        </w:tc>
        <w:tc>
          <w:tcPr>
            <w:tcW w:w="598" w:type="dxa"/>
            <w:tcBorders>
              <w:top w:val="single" w:sz="4" w:space="0" w:color="auto"/>
              <w:bottom w:val="single" w:sz="12" w:space="0" w:color="auto"/>
            </w:tcBorders>
            <w:shd w:val="clear" w:color="auto" w:fill="auto"/>
            <w:noWrap/>
            <w:vAlign w:val="bottom"/>
            <w:hideMark/>
          </w:tcPr>
          <w:p w14:paraId="5923C28A" w14:textId="77777777" w:rsidR="003933A1" w:rsidRPr="007C0CFC" w:rsidRDefault="003933A1" w:rsidP="007C0CFC">
            <w:pPr>
              <w:tabs>
                <w:tab w:val="left" w:pos="288"/>
                <w:tab w:val="left" w:pos="576"/>
                <w:tab w:val="left" w:pos="864"/>
                <w:tab w:val="left" w:pos="1152"/>
              </w:tabs>
              <w:suppressAutoHyphens/>
              <w:spacing w:before="81" w:after="81" w:line="210" w:lineRule="exact"/>
              <w:ind w:right="40"/>
              <w:jc w:val="right"/>
              <w:rPr>
                <w:b/>
                <w:sz w:val="17"/>
              </w:rPr>
            </w:pPr>
            <w:r w:rsidRPr="007C0CFC">
              <w:rPr>
                <w:b/>
                <w:sz w:val="17"/>
              </w:rPr>
              <w:t>1 137</w:t>
            </w:r>
          </w:p>
        </w:tc>
      </w:tr>
    </w:tbl>
    <w:p w14:paraId="55F17A10" w14:textId="183FF075" w:rsidR="007C0CFC" w:rsidRPr="007C0CFC" w:rsidRDefault="007C0CFC" w:rsidP="007C0CFC">
      <w:pPr>
        <w:pStyle w:val="SingleTxt"/>
        <w:spacing w:after="0" w:line="120" w:lineRule="exact"/>
        <w:rPr>
          <w:sz w:val="10"/>
          <w:lang w:val="fr-FR"/>
        </w:rPr>
      </w:pPr>
    </w:p>
    <w:p w14:paraId="144CA163" w14:textId="01936514" w:rsidR="003933A1" w:rsidRDefault="003933A1" w:rsidP="007C0CFC">
      <w:pPr>
        <w:pStyle w:val="FootnoteText"/>
        <w:tabs>
          <w:tab w:val="right" w:pos="1476"/>
          <w:tab w:val="left" w:pos="1548"/>
          <w:tab w:val="right" w:pos="1836"/>
          <w:tab w:val="left" w:pos="1908"/>
        </w:tabs>
        <w:ind w:left="1548" w:right="1267" w:hanging="288"/>
        <w:rPr>
          <w:lang w:val="fr-FR"/>
        </w:rPr>
      </w:pPr>
      <w:r w:rsidRPr="003F7034">
        <w:rPr>
          <w:i/>
          <w:iCs/>
          <w:lang w:val="fr-FR"/>
        </w:rPr>
        <w:t>Source</w:t>
      </w:r>
      <w:r w:rsidR="00795C5F">
        <w:rPr>
          <w:lang w:val="fr-FR"/>
        </w:rPr>
        <w:t> :</w:t>
      </w:r>
      <w:r>
        <w:rPr>
          <w:lang w:val="fr-FR"/>
        </w:rPr>
        <w:t xml:space="preserve"> </w:t>
      </w:r>
      <w:r w:rsidRPr="00141913">
        <w:rPr>
          <w:lang w:val="fr-FR"/>
        </w:rPr>
        <w:t>Statistics Mauritius</w:t>
      </w:r>
      <w:r w:rsidRPr="003F7034">
        <w:rPr>
          <w:lang w:val="fr-FR"/>
        </w:rPr>
        <w:t>.</w:t>
      </w:r>
    </w:p>
    <w:p w14:paraId="5F8546C5" w14:textId="433EAC3B" w:rsidR="007C0CFC" w:rsidRPr="007C0CFC" w:rsidRDefault="007C0CFC" w:rsidP="007C0CFC">
      <w:pPr>
        <w:pStyle w:val="SingleTxtG"/>
        <w:spacing w:after="0" w:line="120" w:lineRule="exact"/>
        <w:ind w:firstLine="170"/>
        <w:rPr>
          <w:rFonts w:eastAsia="Calibri"/>
          <w:sz w:val="10"/>
          <w:szCs w:val="18"/>
          <w:lang w:val="fr-FR"/>
        </w:rPr>
      </w:pPr>
    </w:p>
    <w:p w14:paraId="56622F85" w14:textId="77777777" w:rsidR="007C0CFC" w:rsidRPr="007C0CFC" w:rsidRDefault="007C0CFC" w:rsidP="007C0CFC">
      <w:pPr>
        <w:pStyle w:val="SingleTxtG"/>
        <w:spacing w:after="0" w:line="120" w:lineRule="exact"/>
        <w:ind w:firstLine="170"/>
        <w:rPr>
          <w:rFonts w:eastAsia="Calibri"/>
          <w:sz w:val="10"/>
          <w:szCs w:val="18"/>
          <w:lang w:val="fr-FR"/>
        </w:rPr>
      </w:pPr>
    </w:p>
    <w:p w14:paraId="5AD8113B" w14:textId="4AADD3E9" w:rsidR="003933A1" w:rsidRPr="00E402C8" w:rsidRDefault="003933A1" w:rsidP="00545975">
      <w:pPr>
        <w:pStyle w:val="SingleTxt"/>
        <w:numPr>
          <w:ilvl w:val="0"/>
          <w:numId w:val="35"/>
        </w:numPr>
        <w:spacing w:line="220" w:lineRule="exact"/>
        <w:rPr>
          <w:lang w:val="fr-FR"/>
        </w:rPr>
      </w:pPr>
      <w:r w:rsidRPr="003F7034">
        <w:rPr>
          <w:lang w:val="fr-FR"/>
        </w:rPr>
        <w:t>Des services de planification familiale sont proposés tant dans les hôpitaux que dans les centres de soins de santé primaires [centres hospitaliers publics</w:t>
      </w:r>
      <w:r w:rsidRPr="003F7034">
        <w:rPr>
          <w:i/>
          <w:iCs/>
          <w:lang w:val="fr-FR"/>
        </w:rPr>
        <w:t xml:space="preserve"> </w:t>
      </w:r>
      <w:r w:rsidRPr="003F7034">
        <w:rPr>
          <w:lang w:val="fr-FR"/>
        </w:rPr>
        <w:t>(</w:t>
      </w:r>
      <w:r w:rsidRPr="002F32BC">
        <w:rPr>
          <w:i/>
          <w:iCs/>
          <w:lang w:val="fr-FR"/>
        </w:rPr>
        <w:t>Mediclinics</w:t>
      </w:r>
      <w:r w:rsidRPr="003F7034">
        <w:rPr>
          <w:lang w:val="fr-FR"/>
        </w:rPr>
        <w:t>),</w:t>
      </w:r>
      <w:r w:rsidR="006E1537">
        <w:rPr>
          <w:lang w:val="fr-FR"/>
        </w:rPr>
        <w:t xml:space="preserve"> </w:t>
      </w:r>
      <w:r w:rsidRPr="003F7034">
        <w:rPr>
          <w:lang w:val="fr-FR"/>
        </w:rPr>
        <w:t>centres de santé régionaux (</w:t>
      </w:r>
      <w:r w:rsidRPr="002F32BC">
        <w:rPr>
          <w:i/>
          <w:iCs/>
          <w:lang w:val="fr-FR"/>
        </w:rPr>
        <w:t>Area Health Care Centres</w:t>
      </w:r>
      <w:r w:rsidRPr="003F7034">
        <w:rPr>
          <w:lang w:val="fr-FR"/>
        </w:rPr>
        <w:t>) et centres de santé locaux (</w:t>
      </w:r>
      <w:r w:rsidRPr="002F32BC">
        <w:rPr>
          <w:i/>
          <w:iCs/>
          <w:lang w:val="fr-FR"/>
        </w:rPr>
        <w:t>Community Health Centres</w:t>
      </w:r>
      <w:r w:rsidRPr="003F7034">
        <w:rPr>
          <w:lang w:val="fr-FR"/>
        </w:rPr>
        <w:t>)]. La population</w:t>
      </w:r>
      <w:r w:rsidRPr="00F41561">
        <w:rPr>
          <w:lang w:val="fr-FR"/>
        </w:rPr>
        <w:t xml:space="preserve"> a ainsi accès non seulement à des consultations médicales, mais</w:t>
      </w:r>
      <w:r w:rsidRPr="00E402C8">
        <w:rPr>
          <w:lang w:val="fr-FR"/>
        </w:rPr>
        <w:t xml:space="preserve"> également à des conseils et</w:t>
      </w:r>
      <w:r>
        <w:rPr>
          <w:lang w:val="fr-FR"/>
        </w:rPr>
        <w:t xml:space="preserve"> à</w:t>
      </w:r>
      <w:r w:rsidRPr="00E402C8">
        <w:rPr>
          <w:lang w:val="fr-FR"/>
        </w:rPr>
        <w:t xml:space="preserve"> des méthodes contraceptives modernes telles que le préservatif, la pilule ou le stérilet. Des </w:t>
      </w:r>
      <w:r>
        <w:rPr>
          <w:lang w:val="fr-FR"/>
        </w:rPr>
        <w:t>activités</w:t>
      </w:r>
      <w:r w:rsidRPr="00E402C8">
        <w:rPr>
          <w:lang w:val="fr-FR"/>
        </w:rPr>
        <w:t xml:space="preserve"> de prévention et des programmes de dépistage sont </w:t>
      </w:r>
      <w:r>
        <w:rPr>
          <w:lang w:val="fr-FR"/>
        </w:rPr>
        <w:t>constamment menés</w:t>
      </w:r>
      <w:r w:rsidRPr="00E402C8">
        <w:rPr>
          <w:lang w:val="fr-FR"/>
        </w:rPr>
        <w:t xml:space="preserve"> auprès des populations les plus à risque, à savoir les travailleuses du sexe, les hommes ayant des relations sexuelles avec les hommes et les usagers de drogues injectables. Des </w:t>
      </w:r>
      <w:r>
        <w:rPr>
          <w:lang w:val="fr-FR"/>
        </w:rPr>
        <w:t>séances</w:t>
      </w:r>
      <w:r w:rsidRPr="00E402C8">
        <w:rPr>
          <w:lang w:val="fr-FR"/>
        </w:rPr>
        <w:t xml:space="preserve"> d</w:t>
      </w:r>
      <w:r w:rsidR="00795C5F">
        <w:rPr>
          <w:lang w:val="fr-FR"/>
        </w:rPr>
        <w:t>’</w:t>
      </w:r>
      <w:r w:rsidRPr="00E402C8">
        <w:rPr>
          <w:lang w:val="fr-FR"/>
        </w:rPr>
        <w:t>information sont organisées dans les points chauds à l</w:t>
      </w:r>
      <w:r w:rsidR="00795C5F">
        <w:rPr>
          <w:lang w:val="fr-FR"/>
        </w:rPr>
        <w:t>’</w:t>
      </w:r>
      <w:r w:rsidRPr="00E402C8">
        <w:rPr>
          <w:lang w:val="fr-FR"/>
        </w:rPr>
        <w:t xml:space="preserve">intention des travailleuses du sexe. </w:t>
      </w:r>
      <w:r>
        <w:rPr>
          <w:lang w:val="fr-FR"/>
        </w:rPr>
        <w:t>Des</w:t>
      </w:r>
      <w:r w:rsidRPr="00E402C8">
        <w:rPr>
          <w:lang w:val="fr-FR"/>
        </w:rPr>
        <w:t xml:space="preserve"> kits de prévention </w:t>
      </w:r>
      <w:r>
        <w:rPr>
          <w:lang w:val="fr-FR"/>
        </w:rPr>
        <w:t>comprenant des</w:t>
      </w:r>
      <w:r w:rsidRPr="00E402C8">
        <w:rPr>
          <w:lang w:val="fr-FR"/>
        </w:rPr>
        <w:t xml:space="preserve"> préservatifs, de</w:t>
      </w:r>
      <w:r>
        <w:rPr>
          <w:lang w:val="fr-FR"/>
        </w:rPr>
        <w:t>s</w:t>
      </w:r>
      <w:r w:rsidRPr="00E402C8">
        <w:rPr>
          <w:lang w:val="fr-FR"/>
        </w:rPr>
        <w:t xml:space="preserve"> gels, de</w:t>
      </w:r>
      <w:r>
        <w:rPr>
          <w:lang w:val="fr-FR"/>
        </w:rPr>
        <w:t>s</w:t>
      </w:r>
      <w:r w:rsidRPr="00E402C8">
        <w:rPr>
          <w:lang w:val="fr-FR"/>
        </w:rPr>
        <w:t xml:space="preserve"> tests et de</w:t>
      </w:r>
      <w:r>
        <w:rPr>
          <w:lang w:val="fr-FR"/>
        </w:rPr>
        <w:t>s</w:t>
      </w:r>
      <w:r w:rsidRPr="00E402C8">
        <w:rPr>
          <w:lang w:val="fr-FR"/>
        </w:rPr>
        <w:t xml:space="preserve"> supports d</w:t>
      </w:r>
      <w:r w:rsidR="00795C5F">
        <w:rPr>
          <w:lang w:val="fr-FR"/>
        </w:rPr>
        <w:t>’</w:t>
      </w:r>
      <w:r w:rsidRPr="00E402C8">
        <w:rPr>
          <w:lang w:val="fr-FR"/>
        </w:rPr>
        <w:t>éducation, d</w:t>
      </w:r>
      <w:r w:rsidR="00795C5F">
        <w:rPr>
          <w:lang w:val="fr-FR"/>
        </w:rPr>
        <w:t>’</w:t>
      </w:r>
      <w:r w:rsidRPr="00E402C8">
        <w:rPr>
          <w:lang w:val="fr-FR"/>
        </w:rPr>
        <w:t>information et de communication sur la santé</w:t>
      </w:r>
      <w:r>
        <w:rPr>
          <w:lang w:val="fr-FR"/>
        </w:rPr>
        <w:t xml:space="preserve"> sont distribués</w:t>
      </w:r>
      <w:r w:rsidRPr="00E402C8">
        <w:rPr>
          <w:lang w:val="fr-FR"/>
        </w:rPr>
        <w:t xml:space="preserve">. Des </w:t>
      </w:r>
      <w:r>
        <w:rPr>
          <w:lang w:val="fr-FR"/>
        </w:rPr>
        <w:t>programmes</w:t>
      </w:r>
      <w:r w:rsidRPr="00E402C8">
        <w:rPr>
          <w:lang w:val="fr-FR"/>
        </w:rPr>
        <w:t xml:space="preserve"> de développement des compétences et de soutien psychosocial sont actuellement </w:t>
      </w:r>
      <w:r>
        <w:rPr>
          <w:lang w:val="fr-FR"/>
        </w:rPr>
        <w:t>menés</w:t>
      </w:r>
      <w:r w:rsidRPr="00E402C8">
        <w:rPr>
          <w:lang w:val="fr-FR"/>
        </w:rPr>
        <w:t xml:space="preserve"> en collaboration avec l</w:t>
      </w:r>
      <w:r w:rsidR="00795C5F">
        <w:rPr>
          <w:lang w:val="fr-FR"/>
        </w:rPr>
        <w:t>’</w:t>
      </w:r>
      <w:r w:rsidRPr="00E402C8">
        <w:rPr>
          <w:lang w:val="fr-FR"/>
        </w:rPr>
        <w:t xml:space="preserve">ONG Parapli Rouz/PILS. </w:t>
      </w:r>
      <w:r>
        <w:rPr>
          <w:lang w:val="fr-FR"/>
        </w:rPr>
        <w:t>Il existe un système</w:t>
      </w:r>
      <w:r w:rsidRPr="00E402C8">
        <w:rPr>
          <w:lang w:val="fr-FR"/>
        </w:rPr>
        <w:t xml:space="preserve"> d</w:t>
      </w:r>
      <w:r w:rsidR="00795C5F">
        <w:rPr>
          <w:lang w:val="fr-FR"/>
        </w:rPr>
        <w:t>’</w:t>
      </w:r>
      <w:r w:rsidRPr="00E402C8">
        <w:rPr>
          <w:lang w:val="fr-FR"/>
        </w:rPr>
        <w:t>orientation et d</w:t>
      </w:r>
      <w:r w:rsidR="00795C5F">
        <w:rPr>
          <w:lang w:val="fr-FR"/>
        </w:rPr>
        <w:t>’</w:t>
      </w:r>
      <w:r w:rsidRPr="00E402C8">
        <w:rPr>
          <w:lang w:val="fr-FR"/>
        </w:rPr>
        <w:t xml:space="preserve">aide en matière de contraception </w:t>
      </w:r>
      <w:r>
        <w:rPr>
          <w:lang w:val="fr-FR"/>
        </w:rPr>
        <w:t xml:space="preserve">qui </w:t>
      </w:r>
      <w:r w:rsidRPr="00E402C8">
        <w:rPr>
          <w:lang w:val="fr-FR"/>
        </w:rPr>
        <w:t>s</w:t>
      </w:r>
      <w:r w:rsidR="00795C5F">
        <w:rPr>
          <w:lang w:val="fr-FR"/>
        </w:rPr>
        <w:t>’</w:t>
      </w:r>
      <w:r w:rsidRPr="00E402C8">
        <w:rPr>
          <w:lang w:val="fr-FR"/>
        </w:rPr>
        <w:t>ad</w:t>
      </w:r>
      <w:r>
        <w:rPr>
          <w:lang w:val="fr-FR"/>
        </w:rPr>
        <w:t>resse</w:t>
      </w:r>
      <w:r w:rsidRPr="00E402C8">
        <w:rPr>
          <w:lang w:val="fr-FR"/>
        </w:rPr>
        <w:t xml:space="preserve"> à </w:t>
      </w:r>
      <w:r>
        <w:rPr>
          <w:lang w:val="fr-FR"/>
        </w:rPr>
        <w:t>l</w:t>
      </w:r>
      <w:r w:rsidR="00795C5F">
        <w:rPr>
          <w:lang w:val="fr-FR"/>
        </w:rPr>
        <w:t>’</w:t>
      </w:r>
      <w:r>
        <w:rPr>
          <w:lang w:val="fr-FR"/>
        </w:rPr>
        <w:t>ensemble de la population féminine</w:t>
      </w:r>
      <w:r w:rsidRPr="00E402C8">
        <w:rPr>
          <w:lang w:val="fr-FR"/>
        </w:rPr>
        <w:t>, y compris les travailleuses du sexe. Des séances d</w:t>
      </w:r>
      <w:r w:rsidR="00795C5F">
        <w:rPr>
          <w:lang w:val="fr-FR"/>
        </w:rPr>
        <w:t>’</w:t>
      </w:r>
      <w:r w:rsidRPr="00E402C8">
        <w:rPr>
          <w:lang w:val="fr-FR"/>
        </w:rPr>
        <w:t xml:space="preserve">information </w:t>
      </w:r>
      <w:r>
        <w:rPr>
          <w:lang w:val="fr-FR"/>
        </w:rPr>
        <w:t>sont également organisées dans l</w:t>
      </w:r>
      <w:r w:rsidRPr="00E402C8">
        <w:rPr>
          <w:lang w:val="fr-FR"/>
        </w:rPr>
        <w:t>es centres de réinsertion et les établissements pénitentiaires pour mineurs et dans les centres de la jeunesse.</w:t>
      </w:r>
    </w:p>
    <w:p w14:paraId="2E19DC1A" w14:textId="706A2BB6" w:rsidR="003933A1" w:rsidRDefault="003933A1" w:rsidP="00545975">
      <w:pPr>
        <w:pStyle w:val="SingleTxt"/>
        <w:numPr>
          <w:ilvl w:val="0"/>
          <w:numId w:val="35"/>
        </w:numPr>
        <w:spacing w:line="220" w:lineRule="exact"/>
        <w:rPr>
          <w:lang w:val="fr-FR"/>
        </w:rPr>
      </w:pPr>
      <w:r w:rsidRPr="003F7034">
        <w:rPr>
          <w:lang w:val="fr-FR"/>
        </w:rPr>
        <w:t>Le Groupe sida (</w:t>
      </w:r>
      <w:r w:rsidRPr="003F7034">
        <w:rPr>
          <w:i/>
          <w:iCs/>
          <w:lang w:val="fr-FR"/>
        </w:rPr>
        <w:t>Aids Unit</w:t>
      </w:r>
      <w:r w:rsidRPr="003F7034">
        <w:rPr>
          <w:lang w:val="fr-FR"/>
        </w:rPr>
        <w:t>) intensifie ses activités de prévention du VIH et du sida, en particulier auprès des adolescentes. Le Ministère</w:t>
      </w:r>
      <w:r w:rsidRPr="00E402C8">
        <w:rPr>
          <w:lang w:val="fr-FR"/>
        </w:rPr>
        <w:t xml:space="preserve"> de la santé et de la qualité de vie continuera de sensibiliser les jeunes </w:t>
      </w:r>
      <w:r>
        <w:rPr>
          <w:lang w:val="fr-FR"/>
        </w:rPr>
        <w:t>en et hors milieu scolaire</w:t>
      </w:r>
      <w:r w:rsidRPr="00E402C8">
        <w:rPr>
          <w:lang w:val="fr-FR"/>
        </w:rPr>
        <w:t>, dans les centres de la jeunesse et lors de séances d</w:t>
      </w:r>
      <w:r w:rsidR="00795C5F">
        <w:rPr>
          <w:lang w:val="fr-FR"/>
        </w:rPr>
        <w:t>’</w:t>
      </w:r>
      <w:r w:rsidRPr="00E402C8">
        <w:rPr>
          <w:lang w:val="fr-FR"/>
        </w:rPr>
        <w:t xml:space="preserve">information. </w:t>
      </w:r>
      <w:r>
        <w:rPr>
          <w:lang w:val="fr-FR"/>
        </w:rPr>
        <w:t>À</w:t>
      </w:r>
      <w:r w:rsidRPr="00E402C8">
        <w:rPr>
          <w:lang w:val="fr-FR"/>
        </w:rPr>
        <w:t xml:space="preserve"> ce jour, </w:t>
      </w:r>
      <w:r>
        <w:rPr>
          <w:lang w:val="fr-FR"/>
        </w:rPr>
        <w:t>on compte</w:t>
      </w:r>
      <w:r w:rsidRPr="00E402C8">
        <w:rPr>
          <w:lang w:val="fr-FR"/>
        </w:rPr>
        <w:t xml:space="preserve"> plus d</w:t>
      </w:r>
      <w:r w:rsidR="00795C5F">
        <w:rPr>
          <w:lang w:val="fr-FR"/>
        </w:rPr>
        <w:t>’</w:t>
      </w:r>
      <w:r w:rsidRPr="00E402C8">
        <w:rPr>
          <w:lang w:val="fr-FR"/>
        </w:rPr>
        <w:t>hommes que de femmes viv</w:t>
      </w:r>
      <w:r>
        <w:rPr>
          <w:lang w:val="fr-FR"/>
        </w:rPr>
        <w:t>a</w:t>
      </w:r>
      <w:r w:rsidRPr="00E402C8">
        <w:rPr>
          <w:lang w:val="fr-FR"/>
        </w:rPr>
        <w:t xml:space="preserve">nt avec le VIH/sida, comme </w:t>
      </w:r>
      <w:r>
        <w:rPr>
          <w:lang w:val="fr-FR"/>
        </w:rPr>
        <w:t>l</w:t>
      </w:r>
      <w:r w:rsidR="00795C5F">
        <w:rPr>
          <w:lang w:val="fr-FR"/>
        </w:rPr>
        <w:t>’</w:t>
      </w:r>
      <w:r>
        <w:rPr>
          <w:lang w:val="fr-FR"/>
        </w:rPr>
        <w:t>illustre</w:t>
      </w:r>
      <w:r w:rsidRPr="00E402C8">
        <w:rPr>
          <w:lang w:val="fr-FR"/>
        </w:rPr>
        <w:t xml:space="preserve"> le tableau ci-</w:t>
      </w:r>
      <w:r>
        <w:rPr>
          <w:lang w:val="fr-FR"/>
        </w:rPr>
        <w:t>après</w:t>
      </w:r>
      <w:r w:rsidRPr="00E402C8">
        <w:rPr>
          <w:lang w:val="fr-FR"/>
        </w:rPr>
        <w:t>.</w:t>
      </w:r>
    </w:p>
    <w:p w14:paraId="60CCC1EA" w14:textId="2A381B41" w:rsidR="007C0CFC" w:rsidRPr="007C0CFC" w:rsidRDefault="007C0CFC" w:rsidP="007C0CFC">
      <w:pPr>
        <w:pStyle w:val="SingleTxt"/>
        <w:spacing w:after="0" w:line="120" w:lineRule="exact"/>
        <w:rPr>
          <w:sz w:val="10"/>
          <w:lang w:val="fr-FR"/>
        </w:rPr>
      </w:pPr>
    </w:p>
    <w:p w14:paraId="311D98DA" w14:textId="2967F882" w:rsidR="003933A1" w:rsidRDefault="003933A1" w:rsidP="007C0C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lang w:val="fr-FR"/>
        </w:rPr>
        <w:tab/>
      </w:r>
      <w:r w:rsidRPr="00E402C8">
        <w:rPr>
          <w:lang w:val="fr-FR"/>
        </w:rPr>
        <w:tab/>
        <w:t>Nouveaux cas d</w:t>
      </w:r>
      <w:r w:rsidR="00795C5F">
        <w:rPr>
          <w:lang w:val="fr-FR"/>
        </w:rPr>
        <w:t>’</w:t>
      </w:r>
      <w:r w:rsidRPr="00E402C8">
        <w:rPr>
          <w:lang w:val="fr-FR"/>
        </w:rPr>
        <w:t xml:space="preserve">infection </w:t>
      </w:r>
      <w:r>
        <w:rPr>
          <w:lang w:val="fr-FR"/>
        </w:rPr>
        <w:t>par le</w:t>
      </w:r>
      <w:r w:rsidRPr="00E402C8">
        <w:rPr>
          <w:lang w:val="fr-FR"/>
        </w:rPr>
        <w:t xml:space="preserve"> VIH signalés au cours des cinq dernières </w:t>
      </w:r>
      <w:r w:rsidR="00E343C8" w:rsidRPr="00E402C8">
        <w:rPr>
          <w:lang w:val="fr-FR"/>
        </w:rPr>
        <w:t>années</w:t>
      </w:r>
      <w:r w:rsidR="00E343C8">
        <w:rPr>
          <w:lang w:val="fr-FR"/>
        </w:rPr>
        <w:t> </w:t>
      </w:r>
      <w:r w:rsidRPr="00E402C8">
        <w:rPr>
          <w:lang w:val="fr-FR"/>
        </w:rPr>
        <w:t>(données ventilées par sexe)</w:t>
      </w:r>
    </w:p>
    <w:p w14:paraId="351A340D" w14:textId="792A94E3" w:rsidR="007C0CFC" w:rsidRPr="0042389E" w:rsidRDefault="007C0CFC" w:rsidP="00545975">
      <w:pPr>
        <w:pStyle w:val="SingleTxt"/>
        <w:spacing w:after="0" w:line="100" w:lineRule="exact"/>
        <w:rPr>
          <w:sz w:val="10"/>
          <w:lang w:val="fr-FR"/>
        </w:rPr>
      </w:pPr>
    </w:p>
    <w:p w14:paraId="719EC525" w14:textId="77777777" w:rsidR="0042389E" w:rsidRPr="007C0CFC" w:rsidRDefault="0042389E" w:rsidP="00545975">
      <w:pPr>
        <w:pStyle w:val="SingleTxt"/>
        <w:spacing w:after="0" w:line="100" w:lineRule="exact"/>
        <w:rPr>
          <w:sz w:val="10"/>
          <w:lang w:val="fr-FR"/>
        </w:rPr>
      </w:pPr>
    </w:p>
    <w:tbl>
      <w:tblPr>
        <w:tblW w:w="7226" w:type="dxa"/>
        <w:tblInd w:w="1278" w:type="dxa"/>
        <w:tblLayout w:type="fixed"/>
        <w:tblCellMar>
          <w:left w:w="0" w:type="dxa"/>
          <w:right w:w="0" w:type="dxa"/>
        </w:tblCellMar>
        <w:tblLook w:val="04A0" w:firstRow="1" w:lastRow="0" w:firstColumn="1" w:lastColumn="0" w:noHBand="0" w:noVBand="1"/>
      </w:tblPr>
      <w:tblGrid>
        <w:gridCol w:w="4167"/>
        <w:gridCol w:w="1215"/>
        <w:gridCol w:w="900"/>
        <w:gridCol w:w="944"/>
      </w:tblGrid>
      <w:tr w:rsidR="003933A1" w:rsidRPr="0095017D" w14:paraId="67688A25" w14:textId="77777777" w:rsidTr="00B60353">
        <w:trPr>
          <w:cantSplit/>
          <w:tblHeader/>
        </w:trPr>
        <w:tc>
          <w:tcPr>
            <w:tcW w:w="4167" w:type="dxa"/>
            <w:vMerge w:val="restart"/>
            <w:tcBorders>
              <w:top w:val="single" w:sz="4" w:space="0" w:color="auto"/>
              <w:bottom w:val="single" w:sz="12" w:space="0" w:color="auto"/>
            </w:tcBorders>
            <w:shd w:val="clear" w:color="auto" w:fill="auto"/>
            <w:vAlign w:val="bottom"/>
            <w:hideMark/>
          </w:tcPr>
          <w:p w14:paraId="577DC101" w14:textId="77777777" w:rsidR="003933A1" w:rsidRPr="007C0CFC" w:rsidRDefault="003933A1" w:rsidP="00B60353">
            <w:pPr>
              <w:spacing w:before="81" w:after="81" w:line="160" w:lineRule="exact"/>
              <w:rPr>
                <w:i/>
                <w:iCs/>
                <w:sz w:val="14"/>
                <w:szCs w:val="14"/>
                <w:lang w:val="fr-FR"/>
              </w:rPr>
            </w:pPr>
            <w:r w:rsidRPr="007C0CFC">
              <w:rPr>
                <w:i/>
                <w:iCs/>
                <w:sz w:val="14"/>
                <w:szCs w:val="14"/>
                <w:lang w:val="fr-FR"/>
              </w:rPr>
              <w:t>Année</w:t>
            </w:r>
          </w:p>
        </w:tc>
        <w:tc>
          <w:tcPr>
            <w:tcW w:w="3059" w:type="dxa"/>
            <w:gridSpan w:val="3"/>
            <w:tcBorders>
              <w:top w:val="single" w:sz="4" w:space="0" w:color="auto"/>
              <w:bottom w:val="single" w:sz="4" w:space="0" w:color="auto"/>
            </w:tcBorders>
            <w:shd w:val="clear" w:color="auto" w:fill="auto"/>
            <w:noWrap/>
            <w:vAlign w:val="bottom"/>
            <w:hideMark/>
          </w:tcPr>
          <w:p w14:paraId="0E622D17" w14:textId="77777777" w:rsidR="003933A1" w:rsidRPr="00B60353" w:rsidRDefault="003933A1" w:rsidP="00B60353">
            <w:pPr>
              <w:spacing w:before="81" w:after="81" w:line="160" w:lineRule="exact"/>
              <w:jc w:val="center"/>
              <w:rPr>
                <w:rFonts w:ascii="Times New Roman Italic" w:hAnsi="Times New Roman Italic" w:cs="Times New Roman Italic"/>
                <w:i/>
                <w:iCs/>
                <w:w w:val="100"/>
                <w:sz w:val="14"/>
                <w:szCs w:val="14"/>
                <w:lang w:val="fr-FR"/>
              </w:rPr>
            </w:pPr>
            <w:r w:rsidRPr="00B60353">
              <w:rPr>
                <w:rFonts w:ascii="Times New Roman Italic" w:hAnsi="Times New Roman Italic" w:cs="Times New Roman Italic"/>
                <w:i/>
                <w:iCs/>
                <w:w w:val="100"/>
                <w:sz w:val="14"/>
                <w:szCs w:val="14"/>
                <w:lang w:val="fr-FR"/>
              </w:rPr>
              <w:t>Population de nationalité mauricienne uniquement</w:t>
            </w:r>
          </w:p>
        </w:tc>
      </w:tr>
      <w:tr w:rsidR="003933A1" w:rsidRPr="004021EC" w14:paraId="54555A25" w14:textId="77777777" w:rsidTr="00B60353">
        <w:trPr>
          <w:cantSplit/>
          <w:tblHeader/>
        </w:trPr>
        <w:tc>
          <w:tcPr>
            <w:tcW w:w="4167" w:type="dxa"/>
            <w:vMerge/>
            <w:tcBorders>
              <w:top w:val="single" w:sz="12" w:space="0" w:color="auto"/>
              <w:bottom w:val="single" w:sz="12" w:space="0" w:color="auto"/>
            </w:tcBorders>
            <w:shd w:val="clear" w:color="auto" w:fill="auto"/>
            <w:vAlign w:val="bottom"/>
            <w:hideMark/>
          </w:tcPr>
          <w:p w14:paraId="30888F86" w14:textId="77777777" w:rsidR="003933A1" w:rsidRPr="007C0CFC" w:rsidRDefault="003933A1" w:rsidP="00B60353">
            <w:pPr>
              <w:spacing w:before="81" w:after="81" w:line="160" w:lineRule="exact"/>
              <w:rPr>
                <w:b/>
                <w:i/>
                <w:iCs/>
                <w:sz w:val="14"/>
                <w:szCs w:val="14"/>
                <w:lang w:val="fr-FR"/>
              </w:rPr>
            </w:pPr>
          </w:p>
        </w:tc>
        <w:tc>
          <w:tcPr>
            <w:tcW w:w="1215" w:type="dxa"/>
            <w:tcBorders>
              <w:top w:val="single" w:sz="4" w:space="0" w:color="auto"/>
              <w:bottom w:val="single" w:sz="12" w:space="0" w:color="auto"/>
            </w:tcBorders>
            <w:shd w:val="clear" w:color="auto" w:fill="auto"/>
            <w:noWrap/>
            <w:vAlign w:val="bottom"/>
            <w:hideMark/>
          </w:tcPr>
          <w:p w14:paraId="01F6D89B" w14:textId="77777777" w:rsidR="003933A1" w:rsidRPr="007C0CFC" w:rsidRDefault="003933A1" w:rsidP="00B60353">
            <w:pPr>
              <w:spacing w:before="81" w:after="81" w:line="160" w:lineRule="exact"/>
              <w:jc w:val="right"/>
              <w:rPr>
                <w:i/>
                <w:iCs/>
                <w:sz w:val="14"/>
                <w:szCs w:val="14"/>
                <w:lang w:val="fr-FR"/>
              </w:rPr>
            </w:pPr>
            <w:r w:rsidRPr="007C0CFC">
              <w:rPr>
                <w:i/>
                <w:iCs/>
                <w:sz w:val="14"/>
                <w:szCs w:val="14"/>
                <w:lang w:val="fr-FR"/>
              </w:rPr>
              <w:t>Hommes</w:t>
            </w:r>
          </w:p>
        </w:tc>
        <w:tc>
          <w:tcPr>
            <w:tcW w:w="900" w:type="dxa"/>
            <w:tcBorders>
              <w:top w:val="single" w:sz="4" w:space="0" w:color="auto"/>
              <w:bottom w:val="single" w:sz="12" w:space="0" w:color="auto"/>
            </w:tcBorders>
            <w:shd w:val="clear" w:color="auto" w:fill="auto"/>
            <w:noWrap/>
            <w:vAlign w:val="bottom"/>
            <w:hideMark/>
          </w:tcPr>
          <w:p w14:paraId="75E06C60" w14:textId="77777777" w:rsidR="003933A1" w:rsidRPr="007C0CFC" w:rsidRDefault="003933A1" w:rsidP="00B60353">
            <w:pPr>
              <w:spacing w:before="81" w:after="81" w:line="160" w:lineRule="exact"/>
              <w:jc w:val="right"/>
              <w:rPr>
                <w:i/>
                <w:iCs/>
                <w:sz w:val="14"/>
                <w:szCs w:val="14"/>
                <w:lang w:val="fr-FR"/>
              </w:rPr>
            </w:pPr>
            <w:r w:rsidRPr="007C0CFC">
              <w:rPr>
                <w:i/>
                <w:iCs/>
                <w:sz w:val="14"/>
                <w:szCs w:val="14"/>
                <w:lang w:val="fr-FR"/>
              </w:rPr>
              <w:t>Femmes</w:t>
            </w:r>
          </w:p>
        </w:tc>
        <w:tc>
          <w:tcPr>
            <w:tcW w:w="944" w:type="dxa"/>
            <w:tcBorders>
              <w:top w:val="single" w:sz="4" w:space="0" w:color="auto"/>
              <w:bottom w:val="single" w:sz="12" w:space="0" w:color="auto"/>
            </w:tcBorders>
            <w:shd w:val="clear" w:color="auto" w:fill="auto"/>
            <w:vAlign w:val="bottom"/>
            <w:hideMark/>
          </w:tcPr>
          <w:p w14:paraId="3DAA9650" w14:textId="77777777" w:rsidR="003933A1" w:rsidRPr="007C0CFC" w:rsidRDefault="003933A1" w:rsidP="00B60353">
            <w:pPr>
              <w:spacing w:before="81" w:after="81" w:line="160" w:lineRule="exact"/>
              <w:jc w:val="right"/>
              <w:rPr>
                <w:i/>
                <w:iCs/>
                <w:sz w:val="14"/>
                <w:szCs w:val="14"/>
                <w:lang w:val="fr-FR"/>
              </w:rPr>
            </w:pPr>
            <w:r w:rsidRPr="007C0CFC">
              <w:rPr>
                <w:i/>
                <w:iCs/>
                <w:sz w:val="14"/>
                <w:szCs w:val="14"/>
                <w:lang w:val="fr-FR"/>
              </w:rPr>
              <w:t>Total</w:t>
            </w:r>
          </w:p>
        </w:tc>
      </w:tr>
      <w:tr w:rsidR="007C0CFC" w:rsidRPr="004021EC" w14:paraId="497076F8" w14:textId="77777777" w:rsidTr="00B60353">
        <w:trPr>
          <w:cantSplit/>
        </w:trPr>
        <w:tc>
          <w:tcPr>
            <w:tcW w:w="4167" w:type="dxa"/>
            <w:tcBorders>
              <w:top w:val="single" w:sz="12" w:space="0" w:color="auto"/>
            </w:tcBorders>
            <w:shd w:val="clear" w:color="auto" w:fill="auto"/>
            <w:noWrap/>
          </w:tcPr>
          <w:p w14:paraId="5E3FB090" w14:textId="77777777" w:rsidR="007C0CFC" w:rsidRPr="004021EC" w:rsidRDefault="007C0CFC" w:rsidP="007C0CFC">
            <w:pPr>
              <w:pStyle w:val="NoSpacing"/>
              <w:spacing w:line="80" w:lineRule="exact"/>
              <w:rPr>
                <w:rFonts w:asciiTheme="majorBidi" w:hAnsiTheme="majorBidi" w:cstheme="majorBidi"/>
                <w:sz w:val="16"/>
                <w:szCs w:val="16"/>
                <w:lang w:val="fr-FR"/>
              </w:rPr>
            </w:pPr>
          </w:p>
        </w:tc>
        <w:tc>
          <w:tcPr>
            <w:tcW w:w="1215" w:type="dxa"/>
            <w:tcBorders>
              <w:top w:val="single" w:sz="12" w:space="0" w:color="auto"/>
            </w:tcBorders>
            <w:shd w:val="clear" w:color="auto" w:fill="auto"/>
            <w:noWrap/>
            <w:vAlign w:val="bottom"/>
          </w:tcPr>
          <w:p w14:paraId="4C656EA3" w14:textId="77777777" w:rsidR="007C0CFC" w:rsidRPr="004021EC" w:rsidRDefault="007C0CFC" w:rsidP="007C0CFC">
            <w:pPr>
              <w:pStyle w:val="NoSpacing"/>
              <w:spacing w:line="80" w:lineRule="exact"/>
              <w:jc w:val="right"/>
              <w:rPr>
                <w:rFonts w:asciiTheme="majorBidi" w:hAnsiTheme="majorBidi" w:cstheme="majorBidi"/>
                <w:sz w:val="16"/>
                <w:szCs w:val="16"/>
                <w:lang w:val="fr-FR"/>
              </w:rPr>
            </w:pPr>
          </w:p>
        </w:tc>
        <w:tc>
          <w:tcPr>
            <w:tcW w:w="900" w:type="dxa"/>
            <w:tcBorders>
              <w:top w:val="single" w:sz="12" w:space="0" w:color="auto"/>
            </w:tcBorders>
            <w:shd w:val="clear" w:color="auto" w:fill="auto"/>
            <w:noWrap/>
            <w:vAlign w:val="bottom"/>
          </w:tcPr>
          <w:p w14:paraId="6A523363" w14:textId="77777777" w:rsidR="007C0CFC" w:rsidRPr="004021EC" w:rsidRDefault="007C0CFC" w:rsidP="007C0CFC">
            <w:pPr>
              <w:pStyle w:val="NoSpacing"/>
              <w:spacing w:line="80" w:lineRule="exact"/>
              <w:jc w:val="right"/>
              <w:rPr>
                <w:rFonts w:asciiTheme="majorBidi" w:hAnsiTheme="majorBidi" w:cstheme="majorBidi"/>
                <w:sz w:val="16"/>
                <w:szCs w:val="16"/>
                <w:lang w:val="fr-FR"/>
              </w:rPr>
            </w:pPr>
          </w:p>
        </w:tc>
        <w:tc>
          <w:tcPr>
            <w:tcW w:w="944" w:type="dxa"/>
            <w:tcBorders>
              <w:top w:val="single" w:sz="12" w:space="0" w:color="auto"/>
            </w:tcBorders>
            <w:shd w:val="clear" w:color="auto" w:fill="auto"/>
            <w:noWrap/>
            <w:vAlign w:val="bottom"/>
          </w:tcPr>
          <w:p w14:paraId="6E8A4470" w14:textId="77777777" w:rsidR="007C0CFC" w:rsidRPr="004021EC" w:rsidRDefault="007C0CFC" w:rsidP="007C0CFC">
            <w:pPr>
              <w:pStyle w:val="NoSpacing"/>
              <w:spacing w:line="80" w:lineRule="exact"/>
              <w:jc w:val="right"/>
              <w:rPr>
                <w:rFonts w:asciiTheme="majorBidi" w:hAnsiTheme="majorBidi" w:cstheme="majorBidi"/>
                <w:sz w:val="16"/>
                <w:szCs w:val="16"/>
                <w:lang w:val="fr-FR"/>
              </w:rPr>
            </w:pPr>
          </w:p>
        </w:tc>
      </w:tr>
      <w:tr w:rsidR="003933A1" w:rsidRPr="004021EC" w14:paraId="42AD7E50" w14:textId="77777777" w:rsidTr="00B60353">
        <w:trPr>
          <w:cantSplit/>
        </w:trPr>
        <w:tc>
          <w:tcPr>
            <w:tcW w:w="4167" w:type="dxa"/>
            <w:shd w:val="clear" w:color="auto" w:fill="auto"/>
            <w:noWrap/>
            <w:hideMark/>
          </w:tcPr>
          <w:p w14:paraId="69702A89" w14:textId="77777777" w:rsidR="003933A1" w:rsidRPr="00B60353" w:rsidRDefault="003933A1" w:rsidP="003933A1">
            <w:pPr>
              <w:pStyle w:val="NoSpacing"/>
              <w:spacing w:before="40" w:after="40" w:line="220" w:lineRule="exac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2013</w:t>
            </w:r>
          </w:p>
        </w:tc>
        <w:tc>
          <w:tcPr>
            <w:tcW w:w="1215" w:type="dxa"/>
            <w:shd w:val="clear" w:color="auto" w:fill="auto"/>
            <w:noWrap/>
            <w:vAlign w:val="bottom"/>
            <w:hideMark/>
          </w:tcPr>
          <w:p w14:paraId="0F1CB598"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151</w:t>
            </w:r>
          </w:p>
        </w:tc>
        <w:tc>
          <w:tcPr>
            <w:tcW w:w="900" w:type="dxa"/>
            <w:shd w:val="clear" w:color="auto" w:fill="auto"/>
            <w:noWrap/>
            <w:vAlign w:val="bottom"/>
            <w:hideMark/>
          </w:tcPr>
          <w:p w14:paraId="5B6F4A4E"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109</w:t>
            </w:r>
          </w:p>
        </w:tc>
        <w:tc>
          <w:tcPr>
            <w:tcW w:w="944" w:type="dxa"/>
            <w:shd w:val="clear" w:color="auto" w:fill="auto"/>
            <w:noWrap/>
            <w:vAlign w:val="bottom"/>
            <w:hideMark/>
          </w:tcPr>
          <w:p w14:paraId="5782741E"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260</w:t>
            </w:r>
          </w:p>
        </w:tc>
      </w:tr>
      <w:tr w:rsidR="003933A1" w:rsidRPr="004021EC" w14:paraId="356CB903" w14:textId="77777777" w:rsidTr="00B60353">
        <w:trPr>
          <w:cantSplit/>
        </w:trPr>
        <w:tc>
          <w:tcPr>
            <w:tcW w:w="4167" w:type="dxa"/>
            <w:shd w:val="clear" w:color="auto" w:fill="auto"/>
            <w:noWrap/>
            <w:hideMark/>
          </w:tcPr>
          <w:p w14:paraId="14D38D9E" w14:textId="77777777" w:rsidR="003933A1" w:rsidRPr="00B60353" w:rsidRDefault="003933A1" w:rsidP="003933A1">
            <w:pPr>
              <w:pStyle w:val="NoSpacing"/>
              <w:spacing w:before="40" w:after="40" w:line="220" w:lineRule="exac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2014</w:t>
            </w:r>
          </w:p>
        </w:tc>
        <w:tc>
          <w:tcPr>
            <w:tcW w:w="1215" w:type="dxa"/>
            <w:shd w:val="clear" w:color="auto" w:fill="auto"/>
            <w:noWrap/>
            <w:vAlign w:val="bottom"/>
            <w:hideMark/>
          </w:tcPr>
          <w:p w14:paraId="12ECB5FA"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190</w:t>
            </w:r>
          </w:p>
        </w:tc>
        <w:tc>
          <w:tcPr>
            <w:tcW w:w="900" w:type="dxa"/>
            <w:shd w:val="clear" w:color="auto" w:fill="auto"/>
            <w:noWrap/>
            <w:vAlign w:val="bottom"/>
            <w:hideMark/>
          </w:tcPr>
          <w:p w14:paraId="1E0DE78D"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132</w:t>
            </w:r>
          </w:p>
        </w:tc>
        <w:tc>
          <w:tcPr>
            <w:tcW w:w="944" w:type="dxa"/>
            <w:shd w:val="clear" w:color="auto" w:fill="auto"/>
            <w:noWrap/>
            <w:vAlign w:val="bottom"/>
            <w:hideMark/>
          </w:tcPr>
          <w:p w14:paraId="1678DAC0"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322</w:t>
            </w:r>
          </w:p>
        </w:tc>
      </w:tr>
      <w:tr w:rsidR="003933A1" w:rsidRPr="004021EC" w14:paraId="45A1288F" w14:textId="77777777" w:rsidTr="00B60353">
        <w:trPr>
          <w:cantSplit/>
        </w:trPr>
        <w:tc>
          <w:tcPr>
            <w:tcW w:w="4167" w:type="dxa"/>
            <w:shd w:val="clear" w:color="auto" w:fill="auto"/>
            <w:noWrap/>
            <w:hideMark/>
          </w:tcPr>
          <w:p w14:paraId="270289F3" w14:textId="77777777" w:rsidR="003933A1" w:rsidRPr="00B60353" w:rsidRDefault="003933A1" w:rsidP="003933A1">
            <w:pPr>
              <w:pStyle w:val="NoSpacing"/>
              <w:spacing w:before="40" w:after="40" w:line="220" w:lineRule="exac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2015</w:t>
            </w:r>
          </w:p>
        </w:tc>
        <w:tc>
          <w:tcPr>
            <w:tcW w:w="1215" w:type="dxa"/>
            <w:shd w:val="clear" w:color="auto" w:fill="auto"/>
            <w:noWrap/>
            <w:vAlign w:val="bottom"/>
            <w:hideMark/>
          </w:tcPr>
          <w:p w14:paraId="2772EB4C"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155</w:t>
            </w:r>
          </w:p>
        </w:tc>
        <w:tc>
          <w:tcPr>
            <w:tcW w:w="900" w:type="dxa"/>
            <w:shd w:val="clear" w:color="auto" w:fill="auto"/>
            <w:noWrap/>
            <w:vAlign w:val="bottom"/>
            <w:hideMark/>
          </w:tcPr>
          <w:p w14:paraId="7EB9890A"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107</w:t>
            </w:r>
          </w:p>
        </w:tc>
        <w:tc>
          <w:tcPr>
            <w:tcW w:w="944" w:type="dxa"/>
            <w:shd w:val="clear" w:color="auto" w:fill="auto"/>
            <w:noWrap/>
            <w:vAlign w:val="bottom"/>
            <w:hideMark/>
          </w:tcPr>
          <w:p w14:paraId="2ECB3AF2"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262</w:t>
            </w:r>
          </w:p>
        </w:tc>
      </w:tr>
      <w:tr w:rsidR="003933A1" w:rsidRPr="004021EC" w14:paraId="027BCFAB" w14:textId="77777777" w:rsidTr="00B60353">
        <w:trPr>
          <w:cantSplit/>
        </w:trPr>
        <w:tc>
          <w:tcPr>
            <w:tcW w:w="4167" w:type="dxa"/>
            <w:shd w:val="clear" w:color="auto" w:fill="auto"/>
            <w:noWrap/>
            <w:hideMark/>
          </w:tcPr>
          <w:p w14:paraId="529DDD33" w14:textId="77777777" w:rsidR="003933A1" w:rsidRPr="00B60353" w:rsidRDefault="003933A1" w:rsidP="003933A1">
            <w:pPr>
              <w:pStyle w:val="NoSpacing"/>
              <w:spacing w:before="40" w:after="40" w:line="220" w:lineRule="exac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2016</w:t>
            </w:r>
          </w:p>
        </w:tc>
        <w:tc>
          <w:tcPr>
            <w:tcW w:w="1215" w:type="dxa"/>
            <w:shd w:val="clear" w:color="auto" w:fill="auto"/>
            <w:noWrap/>
            <w:vAlign w:val="bottom"/>
            <w:hideMark/>
          </w:tcPr>
          <w:p w14:paraId="0D3BD2E9"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190</w:t>
            </w:r>
          </w:p>
        </w:tc>
        <w:tc>
          <w:tcPr>
            <w:tcW w:w="900" w:type="dxa"/>
            <w:shd w:val="clear" w:color="auto" w:fill="auto"/>
            <w:noWrap/>
            <w:vAlign w:val="bottom"/>
            <w:hideMark/>
          </w:tcPr>
          <w:p w14:paraId="4B16DEE7"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129</w:t>
            </w:r>
          </w:p>
        </w:tc>
        <w:tc>
          <w:tcPr>
            <w:tcW w:w="944" w:type="dxa"/>
            <w:shd w:val="clear" w:color="auto" w:fill="auto"/>
            <w:noWrap/>
            <w:vAlign w:val="bottom"/>
            <w:hideMark/>
          </w:tcPr>
          <w:p w14:paraId="47722ED7" w14:textId="77777777" w:rsidR="003933A1" w:rsidRPr="00B60353" w:rsidRDefault="003933A1" w:rsidP="003933A1">
            <w:pPr>
              <w:pStyle w:val="NoSpacing"/>
              <w:spacing w:before="40" w:after="40"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319</w:t>
            </w:r>
          </w:p>
        </w:tc>
      </w:tr>
      <w:tr w:rsidR="003933A1" w:rsidRPr="004021EC" w14:paraId="48E16F95" w14:textId="77777777" w:rsidTr="00B60353">
        <w:trPr>
          <w:cantSplit/>
        </w:trPr>
        <w:tc>
          <w:tcPr>
            <w:tcW w:w="4167" w:type="dxa"/>
            <w:tcBorders>
              <w:bottom w:val="single" w:sz="4" w:space="0" w:color="auto"/>
            </w:tcBorders>
            <w:shd w:val="clear" w:color="auto" w:fill="auto"/>
            <w:noWrap/>
            <w:hideMark/>
          </w:tcPr>
          <w:p w14:paraId="62DA7343" w14:textId="77777777" w:rsidR="003933A1" w:rsidRPr="00B60353" w:rsidRDefault="003933A1" w:rsidP="003E1795">
            <w:pPr>
              <w:pStyle w:val="NoSpacing"/>
              <w:keepNext/>
              <w:keepLines/>
              <w:spacing w:before="40" w:after="81" w:line="220" w:lineRule="exact"/>
              <w:rPr>
                <w:rFonts w:asciiTheme="majorBidi" w:eastAsia="Calibri" w:hAnsiTheme="majorBidi" w:cstheme="majorBidi"/>
                <w:sz w:val="17"/>
                <w:szCs w:val="17"/>
                <w:lang w:val="fr-FR"/>
              </w:rPr>
            </w:pPr>
            <w:r w:rsidRPr="00B60353">
              <w:rPr>
                <w:rFonts w:asciiTheme="majorBidi" w:hAnsiTheme="majorBidi" w:cstheme="majorBidi"/>
                <w:sz w:val="17"/>
                <w:szCs w:val="17"/>
                <w:lang w:val="fr-FR"/>
              </w:rPr>
              <w:lastRenderedPageBreak/>
              <w:t>2017</w:t>
            </w:r>
          </w:p>
        </w:tc>
        <w:tc>
          <w:tcPr>
            <w:tcW w:w="1215" w:type="dxa"/>
            <w:tcBorders>
              <w:bottom w:val="single" w:sz="4" w:space="0" w:color="auto"/>
            </w:tcBorders>
            <w:shd w:val="clear" w:color="auto" w:fill="auto"/>
            <w:noWrap/>
            <w:vAlign w:val="bottom"/>
            <w:hideMark/>
          </w:tcPr>
          <w:p w14:paraId="7184CE9F" w14:textId="77777777" w:rsidR="003933A1" w:rsidRPr="00B60353" w:rsidRDefault="003933A1" w:rsidP="003E1795">
            <w:pPr>
              <w:pStyle w:val="NoSpacing"/>
              <w:keepNext/>
              <w:keepLines/>
              <w:spacing w:before="40" w:after="81"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224</w:t>
            </w:r>
          </w:p>
        </w:tc>
        <w:tc>
          <w:tcPr>
            <w:tcW w:w="900" w:type="dxa"/>
            <w:tcBorders>
              <w:bottom w:val="single" w:sz="4" w:space="0" w:color="auto"/>
            </w:tcBorders>
            <w:shd w:val="clear" w:color="auto" w:fill="auto"/>
            <w:noWrap/>
            <w:vAlign w:val="bottom"/>
            <w:hideMark/>
          </w:tcPr>
          <w:p w14:paraId="0EF78F38" w14:textId="77777777" w:rsidR="003933A1" w:rsidRPr="00B60353" w:rsidRDefault="003933A1" w:rsidP="003E1795">
            <w:pPr>
              <w:pStyle w:val="NoSpacing"/>
              <w:keepNext/>
              <w:keepLines/>
              <w:spacing w:before="40" w:after="81"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144</w:t>
            </w:r>
          </w:p>
        </w:tc>
        <w:tc>
          <w:tcPr>
            <w:tcW w:w="944" w:type="dxa"/>
            <w:tcBorders>
              <w:bottom w:val="single" w:sz="4" w:space="0" w:color="auto"/>
            </w:tcBorders>
            <w:shd w:val="clear" w:color="auto" w:fill="auto"/>
            <w:noWrap/>
            <w:vAlign w:val="bottom"/>
            <w:hideMark/>
          </w:tcPr>
          <w:p w14:paraId="4A3E08B9" w14:textId="77777777" w:rsidR="003933A1" w:rsidRPr="00B60353" w:rsidRDefault="003933A1" w:rsidP="003E1795">
            <w:pPr>
              <w:pStyle w:val="NoSpacing"/>
              <w:keepNext/>
              <w:keepLines/>
              <w:spacing w:before="40" w:after="81" w:line="220" w:lineRule="exact"/>
              <w:jc w:val="right"/>
              <w:rPr>
                <w:rFonts w:asciiTheme="majorBidi" w:eastAsia="Calibri" w:hAnsiTheme="majorBidi" w:cstheme="majorBidi"/>
                <w:sz w:val="17"/>
                <w:szCs w:val="17"/>
                <w:lang w:val="fr-FR"/>
              </w:rPr>
            </w:pPr>
            <w:r w:rsidRPr="00B60353">
              <w:rPr>
                <w:rFonts w:asciiTheme="majorBidi" w:hAnsiTheme="majorBidi" w:cstheme="majorBidi"/>
                <w:sz w:val="17"/>
                <w:szCs w:val="17"/>
                <w:lang w:val="fr-FR"/>
              </w:rPr>
              <w:t>368</w:t>
            </w:r>
          </w:p>
        </w:tc>
      </w:tr>
      <w:tr w:rsidR="003933A1" w:rsidRPr="004021EC" w14:paraId="5581B294" w14:textId="77777777" w:rsidTr="00B60353">
        <w:trPr>
          <w:cantSplit/>
        </w:trPr>
        <w:tc>
          <w:tcPr>
            <w:tcW w:w="4167" w:type="dxa"/>
            <w:tcBorders>
              <w:top w:val="single" w:sz="4" w:space="0" w:color="auto"/>
              <w:bottom w:val="single" w:sz="12" w:space="0" w:color="auto"/>
            </w:tcBorders>
            <w:shd w:val="clear" w:color="auto" w:fill="auto"/>
            <w:noWrap/>
            <w:hideMark/>
          </w:tcPr>
          <w:p w14:paraId="0B8280D2" w14:textId="14B5614E" w:rsidR="003933A1" w:rsidRPr="00B60353" w:rsidRDefault="007C0CFC" w:rsidP="003E1795">
            <w:pPr>
              <w:keepNext/>
              <w:keepLines/>
              <w:tabs>
                <w:tab w:val="left" w:pos="288"/>
                <w:tab w:val="left" w:pos="576"/>
                <w:tab w:val="left" w:pos="864"/>
                <w:tab w:val="left" w:pos="1152"/>
              </w:tabs>
              <w:suppressAutoHyphens/>
              <w:spacing w:beforeLines="81" w:before="194" w:afterLines="81" w:after="194" w:line="210" w:lineRule="exact"/>
              <w:ind w:left="288" w:right="40" w:hanging="288"/>
              <w:rPr>
                <w:rFonts w:asciiTheme="majorBidi" w:hAnsiTheme="majorBidi" w:cstheme="majorBidi"/>
                <w:b/>
                <w:bCs/>
                <w:spacing w:val="2"/>
                <w:w w:val="100"/>
                <w:sz w:val="16"/>
                <w:szCs w:val="16"/>
                <w:lang w:val="fr-FR"/>
              </w:rPr>
            </w:pPr>
            <w:r>
              <w:rPr>
                <w:rFonts w:asciiTheme="majorBidi" w:hAnsiTheme="majorBidi" w:cstheme="majorBidi"/>
                <w:b/>
                <w:bCs/>
                <w:sz w:val="16"/>
                <w:szCs w:val="16"/>
                <w:lang w:val="fr-FR"/>
              </w:rPr>
              <w:tab/>
            </w:r>
            <w:r w:rsidR="003933A1" w:rsidRPr="00B60353">
              <w:rPr>
                <w:rFonts w:ascii="Times New Roman Bold" w:hAnsi="Times New Roman Bold" w:cs="Times New Roman Bold"/>
                <w:b/>
                <w:spacing w:val="2"/>
                <w:w w:val="100"/>
                <w:sz w:val="17"/>
              </w:rPr>
              <w:t>Nombre total de cas, y compris les décès, enregistrés</w:t>
            </w:r>
            <w:r w:rsidR="003933A1" w:rsidRPr="00B60353">
              <w:rPr>
                <w:b/>
                <w:spacing w:val="2"/>
                <w:w w:val="100"/>
                <w:sz w:val="17"/>
              </w:rPr>
              <w:t xml:space="preserve"> depuis l</w:t>
            </w:r>
            <w:r w:rsidR="00795C5F">
              <w:rPr>
                <w:b/>
                <w:spacing w:val="2"/>
                <w:w w:val="100"/>
                <w:sz w:val="17"/>
              </w:rPr>
              <w:t>’</w:t>
            </w:r>
            <w:r w:rsidR="003933A1" w:rsidRPr="00B60353">
              <w:rPr>
                <w:b/>
                <w:spacing w:val="2"/>
                <w:w w:val="100"/>
                <w:sz w:val="17"/>
              </w:rPr>
              <w:t>apparition du premier, en 1987</w:t>
            </w:r>
          </w:p>
        </w:tc>
        <w:tc>
          <w:tcPr>
            <w:tcW w:w="1215" w:type="dxa"/>
            <w:tcBorders>
              <w:top w:val="single" w:sz="4" w:space="0" w:color="auto"/>
              <w:bottom w:val="single" w:sz="12" w:space="0" w:color="auto"/>
            </w:tcBorders>
            <w:shd w:val="clear" w:color="auto" w:fill="auto"/>
            <w:noWrap/>
            <w:vAlign w:val="bottom"/>
            <w:hideMark/>
          </w:tcPr>
          <w:p w14:paraId="2894BC07" w14:textId="77777777" w:rsidR="003933A1" w:rsidRPr="00B60353" w:rsidRDefault="003933A1" w:rsidP="003E1795">
            <w:pPr>
              <w:pStyle w:val="NoSpacing"/>
              <w:keepNext/>
              <w:keepLines/>
              <w:spacing w:beforeLines="81" w:before="194" w:afterLines="81" w:after="194" w:line="210" w:lineRule="exact"/>
              <w:jc w:val="right"/>
              <w:rPr>
                <w:rFonts w:asciiTheme="majorBidi" w:hAnsiTheme="majorBidi" w:cstheme="majorBidi"/>
                <w:b/>
                <w:bCs/>
                <w:sz w:val="17"/>
                <w:szCs w:val="17"/>
                <w:lang w:val="fr-FR"/>
              </w:rPr>
            </w:pPr>
            <w:r w:rsidRPr="00B60353">
              <w:rPr>
                <w:rFonts w:asciiTheme="majorBidi" w:hAnsiTheme="majorBidi" w:cstheme="majorBidi"/>
                <w:b/>
                <w:bCs/>
                <w:sz w:val="17"/>
                <w:szCs w:val="17"/>
                <w:lang w:val="fr-FR"/>
              </w:rPr>
              <w:t>5 285</w:t>
            </w:r>
          </w:p>
        </w:tc>
        <w:tc>
          <w:tcPr>
            <w:tcW w:w="900" w:type="dxa"/>
            <w:tcBorders>
              <w:top w:val="single" w:sz="4" w:space="0" w:color="auto"/>
              <w:bottom w:val="single" w:sz="12" w:space="0" w:color="auto"/>
            </w:tcBorders>
            <w:shd w:val="clear" w:color="auto" w:fill="auto"/>
            <w:noWrap/>
            <w:vAlign w:val="bottom"/>
            <w:hideMark/>
          </w:tcPr>
          <w:p w14:paraId="6CFE13CF" w14:textId="77777777" w:rsidR="003933A1" w:rsidRPr="00B60353" w:rsidRDefault="003933A1" w:rsidP="003E1795">
            <w:pPr>
              <w:pStyle w:val="NoSpacing"/>
              <w:keepNext/>
              <w:keepLines/>
              <w:spacing w:beforeLines="81" w:before="194" w:afterLines="81" w:after="194" w:line="210" w:lineRule="exact"/>
              <w:jc w:val="right"/>
              <w:rPr>
                <w:rFonts w:asciiTheme="majorBidi" w:hAnsiTheme="majorBidi" w:cstheme="majorBidi"/>
                <w:b/>
                <w:bCs/>
                <w:sz w:val="17"/>
                <w:szCs w:val="17"/>
                <w:lang w:val="fr-FR"/>
              </w:rPr>
            </w:pPr>
            <w:r w:rsidRPr="00B60353">
              <w:rPr>
                <w:rFonts w:asciiTheme="majorBidi" w:hAnsiTheme="majorBidi" w:cstheme="majorBidi"/>
                <w:b/>
                <w:bCs/>
                <w:sz w:val="17"/>
                <w:szCs w:val="17"/>
                <w:lang w:val="fr-FR"/>
              </w:rPr>
              <w:t>1 754</w:t>
            </w:r>
          </w:p>
        </w:tc>
        <w:tc>
          <w:tcPr>
            <w:tcW w:w="944" w:type="dxa"/>
            <w:tcBorders>
              <w:top w:val="single" w:sz="4" w:space="0" w:color="auto"/>
              <w:bottom w:val="single" w:sz="12" w:space="0" w:color="auto"/>
            </w:tcBorders>
            <w:shd w:val="clear" w:color="auto" w:fill="auto"/>
            <w:noWrap/>
            <w:vAlign w:val="bottom"/>
            <w:hideMark/>
          </w:tcPr>
          <w:p w14:paraId="6A4AE009" w14:textId="77777777" w:rsidR="003933A1" w:rsidRPr="00B60353" w:rsidRDefault="003933A1" w:rsidP="003E1795">
            <w:pPr>
              <w:pStyle w:val="NoSpacing"/>
              <w:keepNext/>
              <w:keepLines/>
              <w:spacing w:beforeLines="81" w:before="194" w:afterLines="81" w:after="194" w:line="210" w:lineRule="exact"/>
              <w:jc w:val="right"/>
              <w:rPr>
                <w:rFonts w:asciiTheme="majorBidi" w:hAnsiTheme="majorBidi" w:cstheme="majorBidi"/>
                <w:b/>
                <w:bCs/>
                <w:sz w:val="17"/>
                <w:szCs w:val="17"/>
                <w:lang w:val="fr-FR"/>
              </w:rPr>
            </w:pPr>
            <w:r w:rsidRPr="00B60353">
              <w:rPr>
                <w:rFonts w:asciiTheme="majorBidi" w:hAnsiTheme="majorBidi" w:cstheme="majorBidi"/>
                <w:b/>
                <w:bCs/>
                <w:sz w:val="17"/>
                <w:szCs w:val="17"/>
                <w:lang w:val="fr-FR"/>
              </w:rPr>
              <w:t>7 039</w:t>
            </w:r>
          </w:p>
        </w:tc>
      </w:tr>
    </w:tbl>
    <w:p w14:paraId="2AB48FAC" w14:textId="0140B231" w:rsidR="007C0CFC" w:rsidRPr="00B60353" w:rsidRDefault="007C0CFC" w:rsidP="003E1795">
      <w:pPr>
        <w:pStyle w:val="SingleTxt"/>
        <w:keepNext/>
        <w:keepLines/>
        <w:spacing w:after="0" w:line="120" w:lineRule="exact"/>
        <w:rPr>
          <w:sz w:val="10"/>
          <w:lang w:val="fr-FR"/>
        </w:rPr>
      </w:pPr>
    </w:p>
    <w:p w14:paraId="6BACB486" w14:textId="0D62AB28" w:rsidR="003933A1" w:rsidRPr="00E402C8" w:rsidRDefault="003933A1" w:rsidP="003E1795">
      <w:pPr>
        <w:pStyle w:val="FootnoteText"/>
        <w:keepNext/>
        <w:keepLines/>
        <w:tabs>
          <w:tab w:val="right" w:pos="1476"/>
          <w:tab w:val="left" w:pos="1548"/>
          <w:tab w:val="right" w:pos="1836"/>
          <w:tab w:val="left" w:pos="1908"/>
        </w:tabs>
        <w:ind w:left="1548" w:right="1267" w:hanging="288"/>
        <w:rPr>
          <w:rFonts w:eastAsia="Calibri"/>
          <w:sz w:val="18"/>
          <w:szCs w:val="18"/>
          <w:lang w:val="fr-FR"/>
        </w:rPr>
      </w:pPr>
      <w:r w:rsidRPr="004021EC">
        <w:rPr>
          <w:i/>
          <w:iCs/>
          <w:lang w:val="fr-FR"/>
        </w:rPr>
        <w:t>Source</w:t>
      </w:r>
      <w:r w:rsidR="00795C5F">
        <w:rPr>
          <w:lang w:val="fr-FR"/>
        </w:rPr>
        <w:t> :</w:t>
      </w:r>
      <w:r w:rsidRPr="00E402C8">
        <w:rPr>
          <w:lang w:val="fr-FR"/>
        </w:rPr>
        <w:t xml:space="preserve"> Ministère de la santé et de la qualité de vie.</w:t>
      </w:r>
    </w:p>
    <w:p w14:paraId="5B9673EF" w14:textId="39501BA5" w:rsidR="003933A1" w:rsidRDefault="003933A1" w:rsidP="0042389E">
      <w:pPr>
        <w:pStyle w:val="SingleTxtG"/>
        <w:numPr>
          <w:ilvl w:val="0"/>
          <w:numId w:val="35"/>
        </w:numPr>
        <w:spacing w:before="240"/>
        <w:rPr>
          <w:lang w:val="fr-FR"/>
        </w:rPr>
      </w:pPr>
      <w:r w:rsidRPr="00E402C8">
        <w:rPr>
          <w:lang w:val="fr-FR"/>
        </w:rPr>
        <w:t>En ce qui concerne l</w:t>
      </w:r>
      <w:r w:rsidR="00795C5F">
        <w:rPr>
          <w:lang w:val="fr-FR"/>
        </w:rPr>
        <w:t>’</w:t>
      </w:r>
      <w:r w:rsidRPr="00E402C8">
        <w:rPr>
          <w:lang w:val="fr-FR"/>
        </w:rPr>
        <w:t>état d</w:t>
      </w:r>
      <w:r w:rsidR="00795C5F">
        <w:rPr>
          <w:lang w:val="fr-FR"/>
        </w:rPr>
        <w:t>’</w:t>
      </w:r>
      <w:r w:rsidRPr="00E402C8">
        <w:rPr>
          <w:lang w:val="fr-FR"/>
        </w:rPr>
        <w:t xml:space="preserve">avancement de toutes les mesures adoptées pour la mise en œuvre du plan national de lutte contre le VIH/sida et de leurs </w:t>
      </w:r>
      <w:r>
        <w:rPr>
          <w:lang w:val="fr-FR"/>
        </w:rPr>
        <w:t>conséquences</w:t>
      </w:r>
      <w:r w:rsidRPr="00E402C8">
        <w:rPr>
          <w:lang w:val="fr-FR"/>
        </w:rPr>
        <w:t>, les points ci-après sont à relever</w:t>
      </w:r>
      <w:r w:rsidR="00E343C8">
        <w:rPr>
          <w:lang w:val="fr-FR"/>
        </w:rPr>
        <w:t> :</w:t>
      </w:r>
    </w:p>
    <w:p w14:paraId="68FDE55A" w14:textId="3D547155" w:rsidR="0042389E" w:rsidRPr="0042389E" w:rsidRDefault="0042389E" w:rsidP="0042389E">
      <w:pPr>
        <w:pStyle w:val="SingleTxtG"/>
        <w:spacing w:after="0" w:line="120" w:lineRule="exact"/>
        <w:ind w:left="1267"/>
        <w:rPr>
          <w:sz w:val="10"/>
          <w:lang w:val="fr-FR"/>
        </w:rPr>
      </w:pPr>
    </w:p>
    <w:p w14:paraId="35EA9063" w14:textId="0D5D7C6D" w:rsidR="003933A1" w:rsidRDefault="003933A1" w:rsidP="0042389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402C8">
        <w:rPr>
          <w:lang w:val="fr-FR"/>
        </w:rPr>
        <w:tab/>
      </w:r>
      <w:r w:rsidRPr="00E402C8">
        <w:rPr>
          <w:lang w:val="fr-FR"/>
        </w:rPr>
        <w:tab/>
        <w:t>Volonté au niveau national</w:t>
      </w:r>
    </w:p>
    <w:p w14:paraId="567B0B2F" w14:textId="493C1B80" w:rsidR="0042389E" w:rsidRPr="0042389E" w:rsidRDefault="0042389E" w:rsidP="0042389E">
      <w:pPr>
        <w:pStyle w:val="SingleTxt"/>
        <w:spacing w:after="0" w:line="120" w:lineRule="exact"/>
        <w:rPr>
          <w:sz w:val="10"/>
          <w:lang w:val="fr-FR"/>
        </w:rPr>
      </w:pPr>
    </w:p>
    <w:p w14:paraId="02B1E369" w14:textId="5443A6A8" w:rsidR="003933A1" w:rsidRPr="0042389E" w:rsidRDefault="003933A1" w:rsidP="0042389E">
      <w:pPr>
        <w:pStyle w:val="SingleTxtG"/>
        <w:numPr>
          <w:ilvl w:val="0"/>
          <w:numId w:val="35"/>
        </w:numPr>
        <w:rPr>
          <w:spacing w:val="4"/>
          <w:w w:val="103"/>
          <w:lang w:val="fr-FR"/>
        </w:rPr>
      </w:pPr>
      <w:r w:rsidRPr="0042389E">
        <w:rPr>
          <w:spacing w:val="4"/>
          <w:w w:val="103"/>
          <w:lang w:val="fr-FR"/>
        </w:rPr>
        <w:t>Plusieurs plans stratégiques multisectoriels ont été élaborés et mis en œuvre à l</w:t>
      </w:r>
      <w:r w:rsidR="00795C5F">
        <w:rPr>
          <w:spacing w:val="4"/>
          <w:w w:val="103"/>
          <w:lang w:val="fr-FR"/>
        </w:rPr>
        <w:t>’</w:t>
      </w:r>
      <w:r w:rsidRPr="0042389E">
        <w:rPr>
          <w:spacing w:val="4"/>
          <w:w w:val="103"/>
          <w:lang w:val="fr-FR"/>
        </w:rPr>
        <w:t>échelle nationale, à savoir le Cadre stratégique national pour 2001-2005, le Cadre stratégique national pour 2006-2011 et le Cadre stratégique national pour 2012-2016. Le Plan d</w:t>
      </w:r>
      <w:r w:rsidR="00795C5F">
        <w:rPr>
          <w:spacing w:val="4"/>
          <w:w w:val="103"/>
          <w:lang w:val="fr-FR"/>
        </w:rPr>
        <w:t>’</w:t>
      </w:r>
      <w:r w:rsidRPr="0042389E">
        <w:rPr>
          <w:spacing w:val="4"/>
          <w:w w:val="103"/>
          <w:lang w:val="fr-FR"/>
        </w:rPr>
        <w:t>action national de lutte contre le VIH et le sida pour 2018-2022 est en cours de validation.</w:t>
      </w:r>
    </w:p>
    <w:p w14:paraId="4DF49B1D" w14:textId="77777777" w:rsidR="0042389E" w:rsidRPr="0042389E" w:rsidRDefault="0042389E" w:rsidP="0042389E">
      <w:pPr>
        <w:pStyle w:val="SingleTxt"/>
        <w:spacing w:after="0" w:line="120" w:lineRule="exact"/>
        <w:rPr>
          <w:sz w:val="10"/>
          <w:lang w:val="fr-FR"/>
        </w:rPr>
      </w:pPr>
    </w:p>
    <w:p w14:paraId="7D6DE485" w14:textId="3BEF9010" w:rsidR="003933A1" w:rsidRDefault="003933A1" w:rsidP="004238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lang w:val="fr-FR"/>
        </w:rPr>
        <w:tab/>
      </w:r>
      <w:r w:rsidRPr="00E402C8">
        <w:rPr>
          <w:lang w:val="fr-FR"/>
        </w:rPr>
        <w:tab/>
      </w:r>
      <w:r>
        <w:rPr>
          <w:lang w:val="fr-FR"/>
        </w:rPr>
        <w:t>D</w:t>
      </w:r>
      <w:r w:rsidRPr="00E402C8">
        <w:rPr>
          <w:lang w:val="fr-FR"/>
        </w:rPr>
        <w:t>épistage du VIH e</w:t>
      </w:r>
      <w:r>
        <w:rPr>
          <w:lang w:val="fr-FR"/>
        </w:rPr>
        <w:t>t accompagnement psychologique</w:t>
      </w:r>
    </w:p>
    <w:p w14:paraId="70767832" w14:textId="0BEE13D3" w:rsidR="0042389E" w:rsidRPr="0042389E" w:rsidRDefault="0042389E" w:rsidP="0042389E">
      <w:pPr>
        <w:pStyle w:val="SingleTxt"/>
        <w:spacing w:after="0" w:line="120" w:lineRule="exact"/>
        <w:rPr>
          <w:sz w:val="10"/>
          <w:lang w:val="fr-FR"/>
        </w:rPr>
      </w:pPr>
    </w:p>
    <w:p w14:paraId="7BE4B70E" w14:textId="56AED745" w:rsidR="003933A1" w:rsidRPr="00E402C8" w:rsidRDefault="003933A1" w:rsidP="0042389E">
      <w:pPr>
        <w:pStyle w:val="SingleTxt"/>
        <w:numPr>
          <w:ilvl w:val="0"/>
          <w:numId w:val="35"/>
        </w:numPr>
        <w:spacing w:line="240" w:lineRule="exact"/>
        <w:rPr>
          <w:lang w:val="fr-FR"/>
        </w:rPr>
      </w:pPr>
      <w:r w:rsidRPr="00E402C8">
        <w:rPr>
          <w:lang w:val="fr-FR"/>
        </w:rPr>
        <w:t xml:space="preserve">Les </w:t>
      </w:r>
      <w:r>
        <w:rPr>
          <w:lang w:val="fr-FR"/>
        </w:rPr>
        <w:t>s</w:t>
      </w:r>
      <w:r w:rsidRPr="00E402C8">
        <w:rPr>
          <w:lang w:val="fr-FR"/>
        </w:rPr>
        <w:t>ervices d</w:t>
      </w:r>
      <w:r w:rsidR="00795C5F">
        <w:rPr>
          <w:lang w:val="fr-FR"/>
        </w:rPr>
        <w:t>’</w:t>
      </w:r>
      <w:r w:rsidRPr="00E402C8">
        <w:rPr>
          <w:lang w:val="fr-FR"/>
        </w:rPr>
        <w:t>analyse médicale sont une composante essentielle de la lutte contre l</w:t>
      </w:r>
      <w:r w:rsidR="00795C5F">
        <w:rPr>
          <w:lang w:val="fr-FR"/>
        </w:rPr>
        <w:t>’</w:t>
      </w:r>
      <w:r w:rsidRPr="00E402C8">
        <w:rPr>
          <w:lang w:val="fr-FR"/>
        </w:rPr>
        <w:t>épidémie de VIH.</w:t>
      </w:r>
      <w:r>
        <w:rPr>
          <w:lang w:val="fr-FR"/>
        </w:rPr>
        <w:t xml:space="preserve"> </w:t>
      </w:r>
      <w:r w:rsidRPr="00E402C8">
        <w:rPr>
          <w:lang w:val="fr-FR"/>
        </w:rPr>
        <w:t>L</w:t>
      </w:r>
      <w:r w:rsidR="00795C5F">
        <w:rPr>
          <w:lang w:val="fr-FR"/>
        </w:rPr>
        <w:t>’</w:t>
      </w:r>
      <w:r w:rsidRPr="00E402C8">
        <w:rPr>
          <w:lang w:val="fr-FR"/>
        </w:rPr>
        <w:t>idée d</w:t>
      </w:r>
      <w:r w:rsidR="00795C5F">
        <w:rPr>
          <w:lang w:val="fr-FR"/>
        </w:rPr>
        <w:t>’</w:t>
      </w:r>
      <w:r w:rsidRPr="00E402C8">
        <w:rPr>
          <w:lang w:val="fr-FR"/>
        </w:rPr>
        <w:t>un dépistage du VIH par un test de diagnostic rapide est largement acceptée par la population</w:t>
      </w:r>
      <w:r w:rsidR="00795C5F">
        <w:rPr>
          <w:lang w:val="fr-FR"/>
        </w:rPr>
        <w:t> :</w:t>
      </w:r>
      <w:r w:rsidRPr="00E402C8">
        <w:rPr>
          <w:lang w:val="fr-FR"/>
        </w:rPr>
        <w:t xml:space="preserve"> </w:t>
      </w:r>
      <w:r>
        <w:rPr>
          <w:lang w:val="fr-FR"/>
        </w:rPr>
        <w:t>quelque 19 </w:t>
      </w:r>
      <w:r w:rsidRPr="00E402C8">
        <w:rPr>
          <w:lang w:val="fr-FR"/>
        </w:rPr>
        <w:t xml:space="preserve">400 tests rapides ont été </w:t>
      </w:r>
      <w:r>
        <w:rPr>
          <w:lang w:val="fr-FR"/>
        </w:rPr>
        <w:t>réalisés</w:t>
      </w:r>
      <w:r w:rsidRPr="00E402C8">
        <w:rPr>
          <w:lang w:val="fr-FR"/>
        </w:rPr>
        <w:t xml:space="preserve"> en 2017, contre 14</w:t>
      </w:r>
      <w:r>
        <w:rPr>
          <w:lang w:val="fr-FR"/>
        </w:rPr>
        <w:t> </w:t>
      </w:r>
      <w:r w:rsidRPr="00E402C8">
        <w:rPr>
          <w:lang w:val="fr-FR"/>
        </w:rPr>
        <w:t>500 en 2014, ce qui représente une augmentation de 25</w:t>
      </w:r>
      <w:r w:rsidR="00795C5F">
        <w:rPr>
          <w:lang w:val="fr-FR"/>
        </w:rPr>
        <w:t> %</w:t>
      </w:r>
      <w:r>
        <w:rPr>
          <w:lang w:val="fr-FR"/>
        </w:rPr>
        <w:t xml:space="preserve">. </w:t>
      </w:r>
      <w:r w:rsidRPr="00E402C8">
        <w:rPr>
          <w:lang w:val="fr-FR"/>
        </w:rPr>
        <w:t>En outre, 110</w:t>
      </w:r>
      <w:r>
        <w:rPr>
          <w:lang w:val="fr-FR"/>
        </w:rPr>
        <w:t> </w:t>
      </w:r>
      <w:r w:rsidRPr="00E402C8">
        <w:rPr>
          <w:lang w:val="fr-FR"/>
        </w:rPr>
        <w:t xml:space="preserve">720 tests (ELISA et tests rapides) ont été </w:t>
      </w:r>
      <w:r>
        <w:rPr>
          <w:lang w:val="fr-FR"/>
        </w:rPr>
        <w:t>réalisés</w:t>
      </w:r>
      <w:r w:rsidRPr="00E402C8">
        <w:rPr>
          <w:lang w:val="fr-FR"/>
        </w:rPr>
        <w:t xml:space="preserve"> par le</w:t>
      </w:r>
      <w:r>
        <w:rPr>
          <w:lang w:val="fr-FR"/>
        </w:rPr>
        <w:t xml:space="preserve">s services </w:t>
      </w:r>
      <w:r w:rsidRPr="00E402C8">
        <w:rPr>
          <w:lang w:val="fr-FR"/>
        </w:rPr>
        <w:t>de virologi</w:t>
      </w:r>
      <w:r>
        <w:rPr>
          <w:lang w:val="fr-FR"/>
        </w:rPr>
        <w:t>e</w:t>
      </w:r>
      <w:r w:rsidRPr="00E402C8">
        <w:rPr>
          <w:lang w:val="fr-FR"/>
        </w:rPr>
        <w:t xml:space="preserve"> en 2017.</w:t>
      </w:r>
      <w:r>
        <w:rPr>
          <w:lang w:val="fr-FR"/>
        </w:rPr>
        <w:t xml:space="preserve"> </w:t>
      </w:r>
      <w:r w:rsidRPr="00E402C8">
        <w:rPr>
          <w:lang w:val="fr-FR"/>
        </w:rPr>
        <w:t>Au total, 112</w:t>
      </w:r>
      <w:r>
        <w:rPr>
          <w:lang w:val="fr-FR"/>
        </w:rPr>
        <w:t> </w:t>
      </w:r>
      <w:r w:rsidRPr="00E402C8">
        <w:rPr>
          <w:lang w:val="fr-FR"/>
        </w:rPr>
        <w:t xml:space="preserve">281 tests </w:t>
      </w:r>
      <w:r>
        <w:rPr>
          <w:lang w:val="fr-FR"/>
        </w:rPr>
        <w:t>avaient</w:t>
      </w:r>
      <w:r w:rsidRPr="00E402C8">
        <w:rPr>
          <w:lang w:val="fr-FR"/>
        </w:rPr>
        <w:t xml:space="preserve"> été </w:t>
      </w:r>
      <w:r>
        <w:rPr>
          <w:lang w:val="fr-FR"/>
        </w:rPr>
        <w:t>réalisés</w:t>
      </w:r>
      <w:r w:rsidRPr="00E402C8">
        <w:rPr>
          <w:lang w:val="fr-FR"/>
        </w:rPr>
        <w:t xml:space="preserve"> en 2015.</w:t>
      </w:r>
    </w:p>
    <w:p w14:paraId="104F84DB" w14:textId="224321F7" w:rsidR="003933A1" w:rsidRPr="00E402C8" w:rsidRDefault="003933A1" w:rsidP="0042389E">
      <w:pPr>
        <w:pStyle w:val="SingleTxt"/>
        <w:numPr>
          <w:ilvl w:val="0"/>
          <w:numId w:val="35"/>
        </w:numPr>
        <w:spacing w:line="240" w:lineRule="exact"/>
        <w:rPr>
          <w:lang w:val="fr-FR"/>
        </w:rPr>
      </w:pPr>
      <w:r w:rsidRPr="00F81676">
        <w:rPr>
          <w:lang w:val="fr-FR"/>
        </w:rPr>
        <w:t>Afin d</w:t>
      </w:r>
      <w:r w:rsidR="00795C5F">
        <w:rPr>
          <w:lang w:val="fr-FR"/>
        </w:rPr>
        <w:t>’</w:t>
      </w:r>
      <w:r w:rsidRPr="00F81676">
        <w:rPr>
          <w:lang w:val="fr-FR"/>
        </w:rPr>
        <w:t>améliorer le dépistage et l</w:t>
      </w:r>
      <w:r w:rsidR="00795C5F">
        <w:rPr>
          <w:lang w:val="fr-FR"/>
        </w:rPr>
        <w:t>’</w:t>
      </w:r>
      <w:r w:rsidRPr="00F81676">
        <w:rPr>
          <w:lang w:val="fr-FR"/>
        </w:rPr>
        <w:t>accompagnement psychologique proposés à l</w:t>
      </w:r>
      <w:r w:rsidR="00795C5F">
        <w:rPr>
          <w:lang w:val="fr-FR"/>
        </w:rPr>
        <w:t>’</w:t>
      </w:r>
      <w:r w:rsidRPr="00F81676">
        <w:rPr>
          <w:lang w:val="fr-FR"/>
        </w:rPr>
        <w:t>occasion des programmes de sensibilisation au VIH menés auprès des groupes de population difficiles à atteindre, 70 éducateurs sociaux et pairs éducateurs issus de diverses ONG ont été formés aux techniques de diagnostic rapide dans le cadre d</w:t>
      </w:r>
      <w:r w:rsidR="00795C5F">
        <w:rPr>
          <w:lang w:val="fr-FR"/>
        </w:rPr>
        <w:t>’</w:t>
      </w:r>
      <w:r w:rsidRPr="00F81676">
        <w:rPr>
          <w:lang w:val="fr-FR"/>
        </w:rPr>
        <w:t>une initiative lancée par le Secrétariat national de lutte contre le sida (</w:t>
      </w:r>
      <w:r w:rsidRPr="00F81676">
        <w:rPr>
          <w:i/>
          <w:iCs/>
          <w:lang w:val="fr-FR"/>
        </w:rPr>
        <w:t>National AIDS Secretariat</w:t>
      </w:r>
      <w:r w:rsidRPr="00F81676">
        <w:rPr>
          <w:lang w:val="fr-FR"/>
        </w:rPr>
        <w:t>) du Ministère de la santé et de la qualité de vie, en collaboration avec le Groupe sida</w:t>
      </w:r>
      <w:r w:rsidRPr="00F81676">
        <w:rPr>
          <w:i/>
          <w:iCs/>
          <w:lang w:val="fr-FR"/>
        </w:rPr>
        <w:t xml:space="preserve"> </w:t>
      </w:r>
      <w:r w:rsidRPr="00F81676">
        <w:rPr>
          <w:lang w:val="fr-FR"/>
        </w:rPr>
        <w:t>et le Département de virologie (</w:t>
      </w:r>
      <w:r w:rsidRPr="009E34DA">
        <w:rPr>
          <w:i/>
          <w:iCs/>
          <w:lang w:val="fr-FR"/>
        </w:rPr>
        <w:t>Virology Department</w:t>
      </w:r>
      <w:r w:rsidRPr="00F81676">
        <w:rPr>
          <w:lang w:val="fr-FR"/>
        </w:rPr>
        <w:t>). L</w:t>
      </w:r>
      <w:r w:rsidR="00795C5F">
        <w:rPr>
          <w:lang w:val="fr-FR"/>
        </w:rPr>
        <w:t>’</w:t>
      </w:r>
      <w:r w:rsidRPr="00F81676">
        <w:rPr>
          <w:lang w:val="fr-FR"/>
        </w:rPr>
        <w:t>initiative se poursuit.</w:t>
      </w:r>
      <w:r>
        <w:rPr>
          <w:lang w:val="fr-FR"/>
        </w:rPr>
        <w:t xml:space="preserve"> </w:t>
      </w:r>
    </w:p>
    <w:p w14:paraId="55A88745" w14:textId="7426527D" w:rsidR="003933A1" w:rsidRPr="00E402C8" w:rsidRDefault="003933A1" w:rsidP="0042389E">
      <w:pPr>
        <w:pStyle w:val="SingleTxt"/>
        <w:numPr>
          <w:ilvl w:val="0"/>
          <w:numId w:val="35"/>
        </w:numPr>
        <w:spacing w:line="240" w:lineRule="exact"/>
        <w:rPr>
          <w:lang w:val="fr-FR"/>
        </w:rPr>
      </w:pPr>
      <w:r w:rsidRPr="009E34DA">
        <w:rPr>
          <w:lang w:val="fr-FR"/>
        </w:rPr>
        <w:t>Le Groupe sida</w:t>
      </w:r>
      <w:r w:rsidRPr="009E34DA">
        <w:rPr>
          <w:i/>
          <w:iCs/>
          <w:lang w:val="fr-FR"/>
        </w:rPr>
        <w:t xml:space="preserve"> </w:t>
      </w:r>
      <w:r w:rsidRPr="009E34DA">
        <w:rPr>
          <w:lang w:val="fr-FR"/>
        </w:rPr>
        <w:t>assure également le dépistage et l</w:t>
      </w:r>
      <w:r w:rsidR="00795C5F">
        <w:rPr>
          <w:lang w:val="fr-FR"/>
        </w:rPr>
        <w:t>’</w:t>
      </w:r>
      <w:r w:rsidRPr="009E34DA">
        <w:rPr>
          <w:lang w:val="fr-FR"/>
        </w:rPr>
        <w:t>accompagnement psychologique mis en place à l</w:t>
      </w:r>
      <w:r w:rsidR="00795C5F">
        <w:rPr>
          <w:lang w:val="fr-FR"/>
        </w:rPr>
        <w:t>’</w:t>
      </w:r>
      <w:r w:rsidRPr="009E34DA">
        <w:rPr>
          <w:lang w:val="fr-FR"/>
        </w:rPr>
        <w:t xml:space="preserve">initiative des professionnels de </w:t>
      </w:r>
      <w:r w:rsidR="00E343C8">
        <w:rPr>
          <w:lang w:val="fr-FR"/>
        </w:rPr>
        <w:t xml:space="preserve">la </w:t>
      </w:r>
      <w:r w:rsidRPr="009E34DA">
        <w:rPr>
          <w:lang w:val="fr-FR"/>
        </w:rPr>
        <w:t xml:space="preserve">santé dans les centres de santé régionaux et </w:t>
      </w:r>
      <w:r>
        <w:rPr>
          <w:lang w:val="fr-FR"/>
        </w:rPr>
        <w:t>locaux</w:t>
      </w:r>
      <w:r w:rsidRPr="009E34DA">
        <w:rPr>
          <w:lang w:val="fr-FR"/>
        </w:rPr>
        <w:t xml:space="preserve"> et dans les services ambulatoires et hospitaliers.</w:t>
      </w:r>
    </w:p>
    <w:p w14:paraId="3EBA5515" w14:textId="77777777" w:rsidR="0042389E" w:rsidRPr="0042389E" w:rsidRDefault="0042389E" w:rsidP="0042389E">
      <w:pPr>
        <w:pStyle w:val="SingleTxt"/>
        <w:spacing w:after="0" w:line="120" w:lineRule="exact"/>
        <w:rPr>
          <w:sz w:val="10"/>
          <w:lang w:val="fr-FR"/>
        </w:rPr>
      </w:pPr>
    </w:p>
    <w:p w14:paraId="3D5A475F" w14:textId="0D5ECDE4" w:rsidR="003933A1" w:rsidRDefault="003933A1" w:rsidP="004238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lang w:val="fr-FR"/>
        </w:rPr>
        <w:tab/>
      </w:r>
      <w:r w:rsidRPr="00E402C8">
        <w:rPr>
          <w:lang w:val="fr-FR"/>
        </w:rPr>
        <w:tab/>
        <w:t xml:space="preserve">Tests de dépistage du VIH </w:t>
      </w:r>
      <w:r>
        <w:rPr>
          <w:lang w:val="fr-FR"/>
        </w:rPr>
        <w:t>réalisés</w:t>
      </w:r>
      <w:r w:rsidRPr="00E402C8">
        <w:rPr>
          <w:lang w:val="fr-FR"/>
        </w:rPr>
        <w:t xml:space="preserve"> par </w:t>
      </w:r>
      <w:r>
        <w:rPr>
          <w:lang w:val="fr-FR"/>
        </w:rPr>
        <w:t>le</w:t>
      </w:r>
      <w:r w:rsidRPr="00E402C8">
        <w:rPr>
          <w:lang w:val="fr-FR"/>
        </w:rPr>
        <w:t xml:space="preserve"> </w:t>
      </w:r>
      <w:r>
        <w:rPr>
          <w:lang w:val="fr-FR"/>
        </w:rPr>
        <w:t xml:space="preserve">laboratoire de virologie </w:t>
      </w:r>
    </w:p>
    <w:p w14:paraId="090D4D58" w14:textId="5E5CCE35" w:rsidR="0042389E" w:rsidRPr="0042389E" w:rsidRDefault="0042389E" w:rsidP="0042389E">
      <w:pPr>
        <w:pStyle w:val="SingleTxt"/>
        <w:spacing w:after="0" w:line="120" w:lineRule="exact"/>
        <w:rPr>
          <w:sz w:val="10"/>
          <w:lang w:val="fr-FR"/>
        </w:rPr>
      </w:pPr>
    </w:p>
    <w:p w14:paraId="4B70D12A" w14:textId="5624A8BF" w:rsidR="003933A1" w:rsidRDefault="003933A1" w:rsidP="0042389E">
      <w:pPr>
        <w:pStyle w:val="SingleTxt"/>
        <w:numPr>
          <w:ilvl w:val="0"/>
          <w:numId w:val="35"/>
        </w:numPr>
        <w:spacing w:line="240" w:lineRule="exact"/>
        <w:rPr>
          <w:lang w:val="fr-FR"/>
        </w:rPr>
      </w:pPr>
      <w:r>
        <w:rPr>
          <w:lang w:val="fr-FR"/>
        </w:rPr>
        <w:t xml:space="preserve">Le </w:t>
      </w:r>
      <w:r w:rsidR="00E343C8">
        <w:rPr>
          <w:lang w:val="fr-FR"/>
        </w:rPr>
        <w:t>L</w:t>
      </w:r>
      <w:r w:rsidRPr="00E402C8">
        <w:rPr>
          <w:lang w:val="fr-FR"/>
        </w:rPr>
        <w:t xml:space="preserve">aboratoire central de virologie est un acteur important de la lutte contre le VIH et le sida. Le tableau ci-après indique le nombre de tests de dépistage du VIH </w:t>
      </w:r>
      <w:r>
        <w:rPr>
          <w:lang w:val="fr-FR"/>
        </w:rPr>
        <w:t>réalisés</w:t>
      </w:r>
      <w:r w:rsidRPr="00E402C8">
        <w:rPr>
          <w:lang w:val="fr-FR"/>
        </w:rPr>
        <w:t xml:space="preserve"> par les services </w:t>
      </w:r>
      <w:r>
        <w:rPr>
          <w:lang w:val="fr-FR"/>
        </w:rPr>
        <w:t>d</w:t>
      </w:r>
      <w:r w:rsidR="00795C5F">
        <w:rPr>
          <w:lang w:val="fr-FR"/>
        </w:rPr>
        <w:t>’</w:t>
      </w:r>
      <w:r>
        <w:rPr>
          <w:lang w:val="fr-FR"/>
        </w:rPr>
        <w:t>analyse virologique</w:t>
      </w:r>
      <w:r w:rsidRPr="00E402C8">
        <w:rPr>
          <w:lang w:val="fr-FR"/>
        </w:rPr>
        <w:t xml:space="preserve"> du Ministère de la santé et de la qualité de vie et la proportion de </w:t>
      </w:r>
      <w:r>
        <w:rPr>
          <w:lang w:val="fr-FR"/>
        </w:rPr>
        <w:t>résultats</w:t>
      </w:r>
      <w:r w:rsidRPr="00E402C8">
        <w:rPr>
          <w:lang w:val="fr-FR"/>
        </w:rPr>
        <w:t xml:space="preserve"> positifs.</w:t>
      </w:r>
    </w:p>
    <w:p w14:paraId="0FCBAC69" w14:textId="13A1E75A" w:rsidR="0042389E" w:rsidRPr="0042389E" w:rsidRDefault="0042389E" w:rsidP="0042389E">
      <w:pPr>
        <w:pStyle w:val="SingleTxt"/>
        <w:spacing w:after="0" w:line="120" w:lineRule="exact"/>
        <w:rPr>
          <w:sz w:val="10"/>
          <w:lang w:val="fr-FR"/>
        </w:rPr>
      </w:pPr>
    </w:p>
    <w:tbl>
      <w:tblPr>
        <w:tblW w:w="7217" w:type="dxa"/>
        <w:tblInd w:w="1287" w:type="dxa"/>
        <w:tblLayout w:type="fixed"/>
        <w:tblCellMar>
          <w:left w:w="0" w:type="dxa"/>
          <w:right w:w="0" w:type="dxa"/>
        </w:tblCellMar>
        <w:tblLook w:val="0000" w:firstRow="0" w:lastRow="0" w:firstColumn="0" w:lastColumn="0" w:noHBand="0" w:noVBand="0"/>
      </w:tblPr>
      <w:tblGrid>
        <w:gridCol w:w="2807"/>
        <w:gridCol w:w="2309"/>
        <w:gridCol w:w="2101"/>
      </w:tblGrid>
      <w:tr w:rsidR="003933A1" w:rsidRPr="0042389E" w14:paraId="52B1C778" w14:textId="77777777" w:rsidTr="0042389E">
        <w:trPr>
          <w:cantSplit/>
          <w:tblHeader/>
        </w:trPr>
        <w:tc>
          <w:tcPr>
            <w:tcW w:w="2807" w:type="dxa"/>
            <w:tcBorders>
              <w:top w:val="single" w:sz="4" w:space="0" w:color="auto"/>
              <w:bottom w:val="single" w:sz="12" w:space="0" w:color="auto"/>
            </w:tcBorders>
            <w:shd w:val="clear" w:color="auto" w:fill="auto"/>
            <w:vAlign w:val="bottom"/>
          </w:tcPr>
          <w:p w14:paraId="4215274D" w14:textId="77777777" w:rsidR="003933A1" w:rsidRPr="0042389E" w:rsidRDefault="003933A1" w:rsidP="00545975">
            <w:pPr>
              <w:pStyle w:val="NoSpacing"/>
              <w:spacing w:before="80" w:after="80" w:line="160" w:lineRule="exact"/>
              <w:rPr>
                <w:rFonts w:asciiTheme="majorBidi" w:hAnsiTheme="majorBidi" w:cstheme="majorBidi"/>
                <w:i/>
                <w:iCs/>
                <w:sz w:val="14"/>
                <w:szCs w:val="14"/>
                <w:lang w:val="fr-FR"/>
              </w:rPr>
            </w:pPr>
            <w:r w:rsidRPr="0042389E">
              <w:rPr>
                <w:rFonts w:asciiTheme="majorBidi" w:hAnsiTheme="majorBidi" w:cstheme="majorBidi"/>
                <w:i/>
                <w:iCs/>
                <w:sz w:val="14"/>
                <w:szCs w:val="14"/>
                <w:lang w:val="fr-FR"/>
              </w:rPr>
              <w:t>Année</w:t>
            </w:r>
          </w:p>
        </w:tc>
        <w:tc>
          <w:tcPr>
            <w:tcW w:w="4410" w:type="dxa"/>
            <w:gridSpan w:val="2"/>
            <w:tcBorders>
              <w:top w:val="single" w:sz="4" w:space="0" w:color="auto"/>
              <w:bottom w:val="single" w:sz="12" w:space="0" w:color="auto"/>
            </w:tcBorders>
            <w:shd w:val="clear" w:color="auto" w:fill="auto"/>
            <w:vAlign w:val="bottom"/>
          </w:tcPr>
          <w:p w14:paraId="2C3A4690" w14:textId="7EE2B078" w:rsidR="003933A1" w:rsidRPr="0042389E" w:rsidRDefault="003933A1" w:rsidP="00545975">
            <w:pPr>
              <w:pStyle w:val="NoSpacing"/>
              <w:spacing w:before="80" w:after="80" w:line="160" w:lineRule="exact"/>
              <w:jc w:val="right"/>
              <w:rPr>
                <w:rFonts w:asciiTheme="majorBidi" w:hAnsiTheme="majorBidi" w:cstheme="majorBidi"/>
                <w:i/>
                <w:iCs/>
                <w:sz w:val="14"/>
                <w:szCs w:val="14"/>
                <w:lang w:val="fr-FR"/>
              </w:rPr>
            </w:pPr>
            <w:r w:rsidRPr="0042389E">
              <w:rPr>
                <w:rFonts w:asciiTheme="majorBidi" w:hAnsiTheme="majorBidi" w:cstheme="majorBidi"/>
                <w:i/>
                <w:iCs/>
                <w:sz w:val="14"/>
                <w:szCs w:val="14"/>
                <w:lang w:val="fr-FR"/>
              </w:rPr>
              <w:t>Nombre de tests de</w:t>
            </w:r>
            <w:r w:rsidR="0042389E" w:rsidRPr="0042389E">
              <w:rPr>
                <w:rFonts w:asciiTheme="majorBidi" w:hAnsiTheme="majorBidi" w:cstheme="majorBidi"/>
                <w:i/>
                <w:iCs/>
                <w:sz w:val="14"/>
                <w:szCs w:val="14"/>
                <w:lang w:val="fr-FR"/>
              </w:rPr>
              <w:t xml:space="preserve"> </w:t>
            </w:r>
            <w:r w:rsidRPr="0042389E">
              <w:rPr>
                <w:rFonts w:asciiTheme="majorBidi" w:hAnsiTheme="majorBidi" w:cstheme="majorBidi"/>
                <w:i/>
                <w:iCs/>
                <w:sz w:val="14"/>
                <w:szCs w:val="14"/>
                <w:lang w:val="fr-FR"/>
              </w:rPr>
              <w:t>dépistage du VIH réalisés</w:t>
            </w:r>
          </w:p>
        </w:tc>
      </w:tr>
      <w:tr w:rsidR="0042389E" w:rsidRPr="00893429" w14:paraId="5927D754" w14:textId="77777777" w:rsidTr="0042389E">
        <w:trPr>
          <w:cantSplit/>
          <w:trHeight w:hRule="exact" w:val="115"/>
        </w:trPr>
        <w:tc>
          <w:tcPr>
            <w:tcW w:w="2807" w:type="dxa"/>
            <w:tcBorders>
              <w:top w:val="single" w:sz="12" w:space="0" w:color="auto"/>
            </w:tcBorders>
            <w:shd w:val="clear" w:color="auto" w:fill="auto"/>
          </w:tcPr>
          <w:p w14:paraId="2538DF8E" w14:textId="77777777" w:rsidR="0042389E" w:rsidRPr="0042389E" w:rsidRDefault="0042389E" w:rsidP="003933A1">
            <w:pPr>
              <w:pStyle w:val="NoSpacing"/>
              <w:spacing w:before="40" w:after="40" w:line="220" w:lineRule="exact"/>
              <w:rPr>
                <w:rFonts w:asciiTheme="majorBidi" w:hAnsiTheme="majorBidi" w:cstheme="majorBidi"/>
                <w:spacing w:val="4"/>
                <w:w w:val="103"/>
                <w:sz w:val="17"/>
                <w:szCs w:val="17"/>
                <w:lang w:val="fr-FR"/>
              </w:rPr>
            </w:pPr>
          </w:p>
        </w:tc>
        <w:tc>
          <w:tcPr>
            <w:tcW w:w="2309" w:type="dxa"/>
            <w:tcBorders>
              <w:top w:val="single" w:sz="12" w:space="0" w:color="auto"/>
            </w:tcBorders>
            <w:shd w:val="clear" w:color="auto" w:fill="auto"/>
            <w:vAlign w:val="bottom"/>
          </w:tcPr>
          <w:p w14:paraId="11E51F09" w14:textId="77777777" w:rsidR="0042389E" w:rsidRPr="0042389E" w:rsidRDefault="0042389E" w:rsidP="003933A1">
            <w:pPr>
              <w:pStyle w:val="NoSpacing"/>
              <w:spacing w:before="40" w:after="40" w:line="220" w:lineRule="exact"/>
              <w:jc w:val="right"/>
              <w:rPr>
                <w:rFonts w:asciiTheme="majorBidi" w:hAnsiTheme="majorBidi" w:cstheme="majorBidi"/>
                <w:spacing w:val="4"/>
                <w:w w:val="103"/>
                <w:sz w:val="17"/>
                <w:szCs w:val="17"/>
                <w:lang w:val="fr-FR"/>
              </w:rPr>
            </w:pPr>
          </w:p>
        </w:tc>
        <w:tc>
          <w:tcPr>
            <w:tcW w:w="2101" w:type="dxa"/>
            <w:tcBorders>
              <w:top w:val="single" w:sz="12" w:space="0" w:color="auto"/>
            </w:tcBorders>
            <w:shd w:val="clear" w:color="auto" w:fill="auto"/>
            <w:vAlign w:val="bottom"/>
          </w:tcPr>
          <w:p w14:paraId="1DE44495" w14:textId="77777777" w:rsidR="0042389E" w:rsidRPr="0042389E" w:rsidRDefault="0042389E" w:rsidP="003933A1">
            <w:pPr>
              <w:pStyle w:val="NoSpacing"/>
              <w:spacing w:before="40" w:after="40" w:line="220" w:lineRule="exact"/>
              <w:jc w:val="right"/>
              <w:rPr>
                <w:rFonts w:asciiTheme="majorBidi" w:hAnsiTheme="majorBidi" w:cstheme="majorBidi"/>
                <w:spacing w:val="4"/>
                <w:w w:val="103"/>
                <w:sz w:val="17"/>
                <w:szCs w:val="17"/>
                <w:lang w:val="fr-FR"/>
              </w:rPr>
            </w:pPr>
          </w:p>
        </w:tc>
      </w:tr>
      <w:tr w:rsidR="003933A1" w:rsidRPr="00893429" w14:paraId="4E1489B2" w14:textId="77777777" w:rsidTr="0042389E">
        <w:trPr>
          <w:cantSplit/>
        </w:trPr>
        <w:tc>
          <w:tcPr>
            <w:tcW w:w="2807" w:type="dxa"/>
            <w:shd w:val="clear" w:color="auto" w:fill="auto"/>
          </w:tcPr>
          <w:p w14:paraId="093E398A" w14:textId="5998F589" w:rsidR="003933A1" w:rsidRPr="0042389E" w:rsidRDefault="003933A1" w:rsidP="003933A1">
            <w:pPr>
              <w:pStyle w:val="NoSpacing"/>
              <w:spacing w:before="40" w:after="40" w:line="220" w:lineRule="exac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2017</w:t>
            </w:r>
          </w:p>
        </w:tc>
        <w:tc>
          <w:tcPr>
            <w:tcW w:w="2309" w:type="dxa"/>
            <w:shd w:val="clear" w:color="auto" w:fill="auto"/>
            <w:vAlign w:val="bottom"/>
          </w:tcPr>
          <w:p w14:paraId="333208AC" w14:textId="77777777" w:rsidR="003933A1" w:rsidRPr="0042389E" w:rsidRDefault="003933A1" w:rsidP="003933A1">
            <w:pPr>
              <w:pStyle w:val="NoSpacing"/>
              <w:spacing w:before="40" w:after="40" w:line="220" w:lineRule="exact"/>
              <w:jc w:val="righ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Elisa</w:t>
            </w:r>
          </w:p>
        </w:tc>
        <w:tc>
          <w:tcPr>
            <w:tcW w:w="2101" w:type="dxa"/>
            <w:shd w:val="clear" w:color="auto" w:fill="auto"/>
            <w:vAlign w:val="bottom"/>
          </w:tcPr>
          <w:p w14:paraId="21838867" w14:textId="77777777" w:rsidR="003933A1" w:rsidRPr="0042389E" w:rsidRDefault="003933A1" w:rsidP="003933A1">
            <w:pPr>
              <w:pStyle w:val="NoSpacing"/>
              <w:spacing w:before="40" w:after="40" w:line="220" w:lineRule="exact"/>
              <w:jc w:val="righ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Tests rapides</w:t>
            </w:r>
          </w:p>
        </w:tc>
      </w:tr>
      <w:tr w:rsidR="003933A1" w:rsidRPr="00893429" w14:paraId="000E60C1" w14:textId="77777777" w:rsidTr="0042389E">
        <w:trPr>
          <w:cantSplit/>
        </w:trPr>
        <w:tc>
          <w:tcPr>
            <w:tcW w:w="2807" w:type="dxa"/>
            <w:shd w:val="clear" w:color="auto" w:fill="auto"/>
          </w:tcPr>
          <w:p w14:paraId="04F346F0" w14:textId="77777777" w:rsidR="003933A1" w:rsidRPr="0042389E" w:rsidRDefault="003933A1" w:rsidP="003933A1">
            <w:pPr>
              <w:pStyle w:val="NoSpacing"/>
              <w:spacing w:before="40" w:after="40" w:line="220" w:lineRule="exac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Service public</w:t>
            </w:r>
          </w:p>
        </w:tc>
        <w:tc>
          <w:tcPr>
            <w:tcW w:w="2309" w:type="dxa"/>
            <w:shd w:val="clear" w:color="auto" w:fill="auto"/>
            <w:vAlign w:val="bottom"/>
          </w:tcPr>
          <w:p w14:paraId="03F50D6E" w14:textId="77777777" w:rsidR="003933A1" w:rsidRPr="0042389E" w:rsidRDefault="003933A1" w:rsidP="003933A1">
            <w:pPr>
              <w:pStyle w:val="NoSpacing"/>
              <w:spacing w:before="40" w:after="40" w:line="220" w:lineRule="exact"/>
              <w:jc w:val="righ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87 329</w:t>
            </w:r>
          </w:p>
        </w:tc>
        <w:tc>
          <w:tcPr>
            <w:tcW w:w="2101" w:type="dxa"/>
            <w:shd w:val="clear" w:color="auto" w:fill="auto"/>
            <w:vAlign w:val="bottom"/>
          </w:tcPr>
          <w:p w14:paraId="6B10D6D4" w14:textId="77777777" w:rsidR="003933A1" w:rsidRPr="0042389E" w:rsidRDefault="003933A1" w:rsidP="003933A1">
            <w:pPr>
              <w:pStyle w:val="NoSpacing"/>
              <w:spacing w:before="40" w:after="40" w:line="220" w:lineRule="exact"/>
              <w:jc w:val="righ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19 401</w:t>
            </w:r>
          </w:p>
        </w:tc>
      </w:tr>
      <w:tr w:rsidR="003933A1" w:rsidRPr="00893429" w14:paraId="624D726B" w14:textId="77777777" w:rsidTr="0042389E">
        <w:trPr>
          <w:cantSplit/>
        </w:trPr>
        <w:tc>
          <w:tcPr>
            <w:tcW w:w="2807" w:type="dxa"/>
            <w:shd w:val="clear" w:color="auto" w:fill="auto"/>
          </w:tcPr>
          <w:p w14:paraId="42A28895" w14:textId="77777777" w:rsidR="003933A1" w:rsidRPr="0042389E" w:rsidRDefault="003933A1" w:rsidP="003933A1">
            <w:pPr>
              <w:pStyle w:val="NoSpacing"/>
              <w:spacing w:before="40" w:after="40" w:line="220" w:lineRule="exac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Laboratoire privé</w:t>
            </w:r>
          </w:p>
        </w:tc>
        <w:tc>
          <w:tcPr>
            <w:tcW w:w="2309" w:type="dxa"/>
            <w:shd w:val="clear" w:color="auto" w:fill="auto"/>
            <w:vAlign w:val="bottom"/>
          </w:tcPr>
          <w:p w14:paraId="705E8602" w14:textId="77777777" w:rsidR="003933A1" w:rsidRPr="0042389E" w:rsidRDefault="003933A1" w:rsidP="003933A1">
            <w:pPr>
              <w:pStyle w:val="NoSpacing"/>
              <w:spacing w:before="40" w:after="40" w:line="220" w:lineRule="exact"/>
              <w:jc w:val="righ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1 752</w:t>
            </w:r>
          </w:p>
        </w:tc>
        <w:tc>
          <w:tcPr>
            <w:tcW w:w="2101" w:type="dxa"/>
            <w:shd w:val="clear" w:color="auto" w:fill="auto"/>
            <w:vAlign w:val="bottom"/>
          </w:tcPr>
          <w:p w14:paraId="7547E5F2" w14:textId="77777777" w:rsidR="003933A1" w:rsidRPr="0042389E" w:rsidRDefault="003933A1" w:rsidP="003933A1">
            <w:pPr>
              <w:pStyle w:val="NoSpacing"/>
              <w:spacing w:before="40" w:after="40" w:line="220" w:lineRule="exact"/>
              <w:jc w:val="right"/>
              <w:rPr>
                <w:rFonts w:asciiTheme="majorBidi" w:hAnsiTheme="majorBidi" w:cstheme="majorBidi"/>
                <w:spacing w:val="4"/>
                <w:w w:val="103"/>
                <w:sz w:val="17"/>
                <w:szCs w:val="17"/>
                <w:lang w:val="fr-FR"/>
              </w:rPr>
            </w:pPr>
          </w:p>
        </w:tc>
      </w:tr>
      <w:tr w:rsidR="003933A1" w:rsidRPr="00893429" w14:paraId="231E051C" w14:textId="77777777" w:rsidTr="0042389E">
        <w:trPr>
          <w:cantSplit/>
        </w:trPr>
        <w:tc>
          <w:tcPr>
            <w:tcW w:w="2807" w:type="dxa"/>
            <w:tcBorders>
              <w:bottom w:val="single" w:sz="4" w:space="0" w:color="auto"/>
            </w:tcBorders>
            <w:shd w:val="clear" w:color="auto" w:fill="auto"/>
          </w:tcPr>
          <w:p w14:paraId="502B564D" w14:textId="77777777" w:rsidR="003933A1" w:rsidRPr="0042389E" w:rsidRDefault="003933A1" w:rsidP="0042389E">
            <w:pPr>
              <w:pStyle w:val="NoSpacing"/>
              <w:spacing w:before="40" w:after="81" w:line="220" w:lineRule="exac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lastRenderedPageBreak/>
              <w:t>ONG</w:t>
            </w:r>
          </w:p>
        </w:tc>
        <w:tc>
          <w:tcPr>
            <w:tcW w:w="2309" w:type="dxa"/>
            <w:tcBorders>
              <w:bottom w:val="single" w:sz="4" w:space="0" w:color="auto"/>
            </w:tcBorders>
            <w:shd w:val="clear" w:color="auto" w:fill="auto"/>
            <w:vAlign w:val="bottom"/>
          </w:tcPr>
          <w:p w14:paraId="299AA33D" w14:textId="77777777" w:rsidR="003933A1" w:rsidRPr="0042389E" w:rsidRDefault="003933A1" w:rsidP="0042389E">
            <w:pPr>
              <w:pStyle w:val="NoSpacing"/>
              <w:spacing w:before="40" w:after="81" w:line="220" w:lineRule="exact"/>
              <w:jc w:val="right"/>
              <w:rPr>
                <w:rFonts w:asciiTheme="majorBidi" w:hAnsiTheme="majorBidi" w:cstheme="majorBidi"/>
                <w:spacing w:val="4"/>
                <w:w w:val="103"/>
                <w:sz w:val="17"/>
                <w:szCs w:val="17"/>
                <w:lang w:val="fr-FR"/>
              </w:rPr>
            </w:pPr>
          </w:p>
        </w:tc>
        <w:tc>
          <w:tcPr>
            <w:tcW w:w="2101" w:type="dxa"/>
            <w:tcBorders>
              <w:bottom w:val="single" w:sz="4" w:space="0" w:color="auto"/>
            </w:tcBorders>
            <w:shd w:val="clear" w:color="auto" w:fill="auto"/>
            <w:vAlign w:val="bottom"/>
          </w:tcPr>
          <w:p w14:paraId="2C7517C7" w14:textId="77777777" w:rsidR="003933A1" w:rsidRPr="0042389E" w:rsidRDefault="003933A1" w:rsidP="0042389E">
            <w:pPr>
              <w:pStyle w:val="NoSpacing"/>
              <w:spacing w:before="40" w:after="81" w:line="220" w:lineRule="exact"/>
              <w:jc w:val="right"/>
              <w:rPr>
                <w:rFonts w:asciiTheme="majorBidi" w:hAnsiTheme="majorBidi" w:cstheme="majorBidi"/>
                <w:spacing w:val="4"/>
                <w:w w:val="103"/>
                <w:sz w:val="17"/>
                <w:szCs w:val="17"/>
                <w:lang w:val="fr-FR"/>
              </w:rPr>
            </w:pPr>
            <w:r w:rsidRPr="0042389E">
              <w:rPr>
                <w:rFonts w:asciiTheme="majorBidi" w:hAnsiTheme="majorBidi" w:cstheme="majorBidi"/>
                <w:spacing w:val="4"/>
                <w:w w:val="103"/>
                <w:sz w:val="17"/>
                <w:szCs w:val="17"/>
                <w:lang w:val="fr-FR"/>
              </w:rPr>
              <w:t>2 238</w:t>
            </w:r>
          </w:p>
        </w:tc>
      </w:tr>
      <w:tr w:rsidR="003933A1" w:rsidRPr="0042389E" w14:paraId="1B4F79CB" w14:textId="77777777" w:rsidTr="0042389E">
        <w:trPr>
          <w:cantSplit/>
        </w:trPr>
        <w:tc>
          <w:tcPr>
            <w:tcW w:w="2807" w:type="dxa"/>
            <w:tcBorders>
              <w:top w:val="single" w:sz="4" w:space="0" w:color="auto"/>
              <w:bottom w:val="single" w:sz="12" w:space="0" w:color="auto"/>
            </w:tcBorders>
            <w:shd w:val="clear" w:color="auto" w:fill="auto"/>
          </w:tcPr>
          <w:p w14:paraId="51B6D884" w14:textId="5C10720B" w:rsidR="003933A1" w:rsidRPr="00B60353" w:rsidRDefault="0042389E" w:rsidP="00545975">
            <w:pPr>
              <w:tabs>
                <w:tab w:val="left" w:pos="288"/>
                <w:tab w:val="left" w:pos="576"/>
                <w:tab w:val="left" w:pos="864"/>
                <w:tab w:val="left" w:pos="1152"/>
              </w:tabs>
              <w:suppressAutoHyphens/>
              <w:spacing w:before="81" w:after="81" w:line="210" w:lineRule="exact"/>
              <w:ind w:right="40"/>
              <w:rPr>
                <w:b/>
                <w:sz w:val="17"/>
              </w:rPr>
            </w:pPr>
            <w:r w:rsidRPr="00B60353">
              <w:rPr>
                <w:b/>
                <w:sz w:val="17"/>
              </w:rPr>
              <w:tab/>
            </w:r>
            <w:r w:rsidR="003933A1" w:rsidRPr="00B60353">
              <w:rPr>
                <w:b/>
                <w:sz w:val="17"/>
              </w:rPr>
              <w:t>Total</w:t>
            </w:r>
          </w:p>
        </w:tc>
        <w:tc>
          <w:tcPr>
            <w:tcW w:w="4410" w:type="dxa"/>
            <w:gridSpan w:val="2"/>
            <w:tcBorders>
              <w:top w:val="single" w:sz="4" w:space="0" w:color="auto"/>
              <w:bottom w:val="single" w:sz="12" w:space="0" w:color="auto"/>
            </w:tcBorders>
            <w:shd w:val="clear" w:color="auto" w:fill="auto"/>
            <w:vAlign w:val="bottom"/>
          </w:tcPr>
          <w:p w14:paraId="6E9D1585" w14:textId="77777777" w:rsidR="003933A1" w:rsidRPr="0042389E" w:rsidRDefault="003933A1" w:rsidP="00545975">
            <w:pPr>
              <w:pStyle w:val="NoSpacing"/>
              <w:spacing w:before="81" w:after="81" w:line="210" w:lineRule="exact"/>
              <w:jc w:val="right"/>
              <w:rPr>
                <w:rFonts w:asciiTheme="majorBidi" w:hAnsiTheme="majorBidi" w:cstheme="majorBidi"/>
                <w:b/>
                <w:bCs/>
                <w:spacing w:val="4"/>
                <w:w w:val="103"/>
                <w:sz w:val="17"/>
                <w:szCs w:val="17"/>
                <w:lang w:val="fr-FR"/>
              </w:rPr>
            </w:pPr>
            <w:r w:rsidRPr="0042389E">
              <w:rPr>
                <w:rFonts w:asciiTheme="majorBidi" w:hAnsiTheme="majorBidi" w:cstheme="majorBidi"/>
                <w:b/>
                <w:bCs/>
                <w:spacing w:val="4"/>
                <w:w w:val="103"/>
                <w:sz w:val="17"/>
                <w:szCs w:val="17"/>
                <w:lang w:val="fr-FR"/>
              </w:rPr>
              <w:t>110 720</w:t>
            </w:r>
          </w:p>
        </w:tc>
      </w:tr>
    </w:tbl>
    <w:p w14:paraId="08A70389" w14:textId="03E0B40A" w:rsidR="0042389E" w:rsidRPr="00457EF9" w:rsidRDefault="0042389E" w:rsidP="00457EF9">
      <w:pPr>
        <w:pStyle w:val="SingleTxt"/>
        <w:spacing w:after="0" w:line="120" w:lineRule="exact"/>
        <w:rPr>
          <w:sz w:val="10"/>
          <w:lang w:val="fr-FR"/>
        </w:rPr>
      </w:pPr>
    </w:p>
    <w:p w14:paraId="53001891" w14:textId="576A8D37" w:rsidR="003933A1" w:rsidRDefault="003933A1" w:rsidP="0042389E">
      <w:pPr>
        <w:pStyle w:val="FootnoteText"/>
        <w:tabs>
          <w:tab w:val="right" w:pos="1476"/>
          <w:tab w:val="left" w:pos="1548"/>
          <w:tab w:val="right" w:pos="1836"/>
          <w:tab w:val="left" w:pos="1908"/>
        </w:tabs>
        <w:ind w:left="1548" w:right="1267" w:hanging="288"/>
        <w:rPr>
          <w:lang w:val="fr-FR"/>
        </w:rPr>
      </w:pPr>
      <w:r w:rsidRPr="00893429">
        <w:rPr>
          <w:i/>
          <w:iCs/>
          <w:lang w:val="fr-FR"/>
        </w:rPr>
        <w:t>Source</w:t>
      </w:r>
      <w:r w:rsidR="00795C5F">
        <w:rPr>
          <w:lang w:val="fr-FR"/>
        </w:rPr>
        <w:t> :</w:t>
      </w:r>
      <w:r w:rsidRPr="00E402C8">
        <w:rPr>
          <w:lang w:val="fr-FR"/>
        </w:rPr>
        <w:t xml:space="preserve"> Ministère de la santé et de la qualité de vie.</w:t>
      </w:r>
    </w:p>
    <w:p w14:paraId="3296E24D" w14:textId="51F25E4C" w:rsidR="00457EF9" w:rsidRPr="00457EF9" w:rsidRDefault="00457EF9" w:rsidP="00457EF9">
      <w:pPr>
        <w:pStyle w:val="FootnoteText"/>
        <w:tabs>
          <w:tab w:val="right" w:pos="1476"/>
          <w:tab w:val="left" w:pos="1548"/>
          <w:tab w:val="right" w:pos="1836"/>
          <w:tab w:val="left" w:pos="1908"/>
        </w:tabs>
        <w:spacing w:line="120" w:lineRule="exact"/>
        <w:ind w:left="1548" w:right="1267" w:hanging="288"/>
        <w:rPr>
          <w:sz w:val="10"/>
          <w:lang w:val="fr-FR"/>
        </w:rPr>
      </w:pPr>
    </w:p>
    <w:p w14:paraId="5A18646C" w14:textId="74D162C4" w:rsidR="00457EF9" w:rsidRPr="00457EF9" w:rsidRDefault="00457EF9" w:rsidP="00457EF9">
      <w:pPr>
        <w:pStyle w:val="FootnoteText"/>
        <w:tabs>
          <w:tab w:val="right" w:pos="1476"/>
          <w:tab w:val="left" w:pos="1548"/>
          <w:tab w:val="right" w:pos="1836"/>
          <w:tab w:val="left" w:pos="1908"/>
        </w:tabs>
        <w:spacing w:line="120" w:lineRule="exact"/>
        <w:ind w:left="1548" w:right="1267" w:hanging="288"/>
        <w:rPr>
          <w:sz w:val="10"/>
          <w:lang w:val="fr-FR"/>
        </w:rPr>
      </w:pPr>
    </w:p>
    <w:p w14:paraId="45BB58E1" w14:textId="6637AA0F" w:rsidR="003933A1" w:rsidRPr="00E402C8" w:rsidRDefault="003933A1" w:rsidP="0042389E">
      <w:pPr>
        <w:pStyle w:val="SingleTxt"/>
        <w:numPr>
          <w:ilvl w:val="0"/>
          <w:numId w:val="35"/>
        </w:numPr>
        <w:spacing w:line="240" w:lineRule="exact"/>
        <w:rPr>
          <w:lang w:val="fr-FR"/>
        </w:rPr>
      </w:pPr>
      <w:r w:rsidRPr="00E402C8">
        <w:rPr>
          <w:lang w:val="fr-FR"/>
        </w:rPr>
        <w:t>Afin de faciliter l</w:t>
      </w:r>
      <w:r w:rsidR="00795C5F">
        <w:rPr>
          <w:lang w:val="fr-FR"/>
        </w:rPr>
        <w:t>’</w:t>
      </w:r>
      <w:r w:rsidRPr="00E402C8">
        <w:rPr>
          <w:lang w:val="fr-FR"/>
        </w:rPr>
        <w:t xml:space="preserve">accès de la population aux services </w:t>
      </w:r>
      <w:r>
        <w:rPr>
          <w:lang w:val="fr-FR"/>
        </w:rPr>
        <w:t>spécialisés</w:t>
      </w:r>
      <w:r w:rsidRPr="00E402C8">
        <w:rPr>
          <w:lang w:val="fr-FR"/>
        </w:rPr>
        <w:t xml:space="preserve">, ceux-ci ont été décentralisés, passant de quatre </w:t>
      </w:r>
      <w:r>
        <w:rPr>
          <w:lang w:val="fr-FR"/>
        </w:rPr>
        <w:t>sites</w:t>
      </w:r>
      <w:r w:rsidRPr="00E402C8">
        <w:rPr>
          <w:lang w:val="fr-FR"/>
        </w:rPr>
        <w:t xml:space="preserve"> (Volcy Pougnet, hôpital Victoria, hôpital Jawaharlal Nehru et hôpital national Sir Seewoosagur Ramgoolam) à huit centres d</w:t>
      </w:r>
      <w:r w:rsidR="00795C5F">
        <w:rPr>
          <w:lang w:val="fr-FR"/>
        </w:rPr>
        <w:t>’</w:t>
      </w:r>
      <w:r w:rsidRPr="00E402C8">
        <w:rPr>
          <w:lang w:val="fr-FR"/>
        </w:rPr>
        <w:t>accueil de jour pour les patients immunodé</w:t>
      </w:r>
      <w:r>
        <w:rPr>
          <w:lang w:val="fr-FR"/>
        </w:rPr>
        <w:t>primés</w:t>
      </w:r>
      <w:r w:rsidRPr="00E402C8">
        <w:rPr>
          <w:lang w:val="fr-FR"/>
        </w:rPr>
        <w:t>.</w:t>
      </w:r>
      <w:r>
        <w:rPr>
          <w:lang w:val="fr-FR"/>
        </w:rPr>
        <w:t xml:space="preserve"> Ainsi, d</w:t>
      </w:r>
      <w:r w:rsidRPr="00E402C8">
        <w:rPr>
          <w:lang w:val="fr-FR"/>
        </w:rPr>
        <w:t>epuis avril 2016, ces services sont aussi proposés à l</w:t>
      </w:r>
      <w:r w:rsidR="00795C5F">
        <w:rPr>
          <w:lang w:val="fr-FR"/>
        </w:rPr>
        <w:t>’</w:t>
      </w:r>
      <w:r w:rsidRPr="00E402C8">
        <w:rPr>
          <w:lang w:val="fr-FR"/>
        </w:rPr>
        <w:t xml:space="preserve">hôpital de Flacq, </w:t>
      </w:r>
      <w:r>
        <w:rPr>
          <w:lang w:val="fr-FR"/>
        </w:rPr>
        <w:t xml:space="preserve">à </w:t>
      </w:r>
      <w:r w:rsidRPr="00E402C8">
        <w:rPr>
          <w:lang w:val="fr-FR"/>
        </w:rPr>
        <w:t>l</w:t>
      </w:r>
      <w:r w:rsidR="00795C5F">
        <w:rPr>
          <w:lang w:val="fr-FR"/>
        </w:rPr>
        <w:t>’</w:t>
      </w:r>
      <w:r w:rsidRPr="00E402C8">
        <w:rPr>
          <w:lang w:val="fr-FR"/>
        </w:rPr>
        <w:t>hôpital de Mahebourg,</w:t>
      </w:r>
      <w:r>
        <w:rPr>
          <w:lang w:val="fr-FR"/>
        </w:rPr>
        <w:t xml:space="preserve"> à</w:t>
      </w:r>
      <w:r w:rsidRPr="00E402C8">
        <w:rPr>
          <w:lang w:val="fr-FR"/>
        </w:rPr>
        <w:t xml:space="preserve"> l</w:t>
      </w:r>
      <w:r w:rsidR="00795C5F">
        <w:rPr>
          <w:lang w:val="fr-FR"/>
        </w:rPr>
        <w:t>’</w:t>
      </w:r>
      <w:r w:rsidRPr="00E402C8">
        <w:rPr>
          <w:lang w:val="fr-FR"/>
        </w:rPr>
        <w:t xml:space="preserve">hôpital local Dr Yves Cantin et </w:t>
      </w:r>
      <w:r>
        <w:rPr>
          <w:lang w:val="fr-FR"/>
        </w:rPr>
        <w:t xml:space="preserve">à </w:t>
      </w:r>
      <w:r w:rsidRPr="00E402C8">
        <w:rPr>
          <w:lang w:val="fr-FR"/>
        </w:rPr>
        <w:t>l</w:t>
      </w:r>
      <w:r w:rsidR="00795C5F">
        <w:rPr>
          <w:lang w:val="fr-FR"/>
        </w:rPr>
        <w:t>’</w:t>
      </w:r>
      <w:r w:rsidRPr="00E402C8">
        <w:rPr>
          <w:lang w:val="fr-FR"/>
        </w:rPr>
        <w:t>hôpital de Souillac.</w:t>
      </w:r>
      <w:r>
        <w:rPr>
          <w:lang w:val="fr-FR"/>
        </w:rPr>
        <w:t xml:space="preserve"> </w:t>
      </w:r>
      <w:r w:rsidRPr="00E402C8">
        <w:rPr>
          <w:lang w:val="fr-FR"/>
        </w:rPr>
        <w:t>Au total, les centres d</w:t>
      </w:r>
      <w:r w:rsidR="00795C5F">
        <w:rPr>
          <w:lang w:val="fr-FR"/>
        </w:rPr>
        <w:t>’</w:t>
      </w:r>
      <w:r w:rsidRPr="00E402C8">
        <w:rPr>
          <w:lang w:val="fr-FR"/>
        </w:rPr>
        <w:t xml:space="preserve">accueil de jour </w:t>
      </w:r>
      <w:r>
        <w:rPr>
          <w:lang w:val="fr-FR"/>
        </w:rPr>
        <w:t xml:space="preserve">assurent le suivi de </w:t>
      </w:r>
      <w:r w:rsidRPr="00E402C8">
        <w:rPr>
          <w:lang w:val="fr-FR"/>
        </w:rPr>
        <w:t>4</w:t>
      </w:r>
      <w:r>
        <w:rPr>
          <w:lang w:val="fr-FR"/>
        </w:rPr>
        <w:t> </w:t>
      </w:r>
      <w:r w:rsidRPr="00E402C8">
        <w:rPr>
          <w:lang w:val="fr-FR"/>
        </w:rPr>
        <w:t>921 patients</w:t>
      </w:r>
      <w:r>
        <w:rPr>
          <w:lang w:val="fr-FR"/>
        </w:rPr>
        <w:t>, dont</w:t>
      </w:r>
      <w:r w:rsidRPr="00E402C8">
        <w:rPr>
          <w:lang w:val="fr-FR"/>
        </w:rPr>
        <w:t xml:space="preserve"> 2</w:t>
      </w:r>
      <w:r>
        <w:rPr>
          <w:lang w:val="fr-FR"/>
        </w:rPr>
        <w:t> </w:t>
      </w:r>
      <w:r w:rsidRPr="00E402C8">
        <w:rPr>
          <w:lang w:val="fr-FR"/>
        </w:rPr>
        <w:t>690</w:t>
      </w:r>
      <w:r>
        <w:rPr>
          <w:lang w:val="fr-FR"/>
        </w:rPr>
        <w:t xml:space="preserve"> sont</w:t>
      </w:r>
      <w:r w:rsidRPr="00E402C8">
        <w:rPr>
          <w:lang w:val="fr-FR"/>
        </w:rPr>
        <w:t xml:space="preserve"> </w:t>
      </w:r>
      <w:r>
        <w:rPr>
          <w:lang w:val="fr-FR"/>
        </w:rPr>
        <w:t>sous</w:t>
      </w:r>
      <w:r w:rsidRPr="00E402C8">
        <w:rPr>
          <w:lang w:val="fr-FR"/>
        </w:rPr>
        <w:t xml:space="preserve"> traitement antirétroviral. La plupart des </w:t>
      </w:r>
      <w:r>
        <w:rPr>
          <w:lang w:val="fr-FR"/>
        </w:rPr>
        <w:t>soins</w:t>
      </w:r>
      <w:r w:rsidRPr="00E402C8">
        <w:rPr>
          <w:lang w:val="fr-FR"/>
        </w:rPr>
        <w:t xml:space="preserve"> sont </w:t>
      </w:r>
      <w:r>
        <w:rPr>
          <w:lang w:val="fr-FR"/>
        </w:rPr>
        <w:t>également proposés</w:t>
      </w:r>
      <w:r w:rsidRPr="00E402C8">
        <w:rPr>
          <w:lang w:val="fr-FR"/>
        </w:rPr>
        <w:t xml:space="preserve"> en milieu carcéral</w:t>
      </w:r>
      <w:r>
        <w:rPr>
          <w:lang w:val="fr-FR"/>
        </w:rPr>
        <w:t xml:space="preserve"> grâce aux</w:t>
      </w:r>
      <w:r w:rsidRPr="00E402C8">
        <w:rPr>
          <w:lang w:val="fr-FR"/>
        </w:rPr>
        <w:t xml:space="preserve"> sept </w:t>
      </w:r>
      <w:r>
        <w:rPr>
          <w:lang w:val="fr-FR"/>
        </w:rPr>
        <w:t>centres</w:t>
      </w:r>
      <w:r w:rsidRPr="00E402C8">
        <w:rPr>
          <w:lang w:val="fr-FR"/>
        </w:rPr>
        <w:t xml:space="preserve"> de soins </w:t>
      </w:r>
      <w:r>
        <w:rPr>
          <w:lang w:val="fr-FR"/>
        </w:rPr>
        <w:t>qui y sont installés</w:t>
      </w:r>
      <w:r w:rsidRPr="00E402C8">
        <w:rPr>
          <w:lang w:val="fr-FR"/>
        </w:rPr>
        <w:t>. En décembre 2017, 392 détenus étaient suivis et 304 d</w:t>
      </w:r>
      <w:r w:rsidR="00795C5F">
        <w:rPr>
          <w:lang w:val="fr-FR"/>
        </w:rPr>
        <w:t>’</w:t>
      </w:r>
      <w:r w:rsidRPr="00E402C8">
        <w:rPr>
          <w:lang w:val="fr-FR"/>
        </w:rPr>
        <w:t xml:space="preserve">entre eux </w:t>
      </w:r>
      <w:r>
        <w:rPr>
          <w:lang w:val="fr-FR"/>
        </w:rPr>
        <w:t>étaient sous</w:t>
      </w:r>
      <w:r w:rsidRPr="00E402C8">
        <w:rPr>
          <w:lang w:val="fr-FR"/>
        </w:rPr>
        <w:t xml:space="preserve"> traitement antirétroviral. Par ailleurs, 301 détenus suivaient une thérapie de substitution par la méthadone. La couverture antirétrovirale, qui s</w:t>
      </w:r>
      <w:r w:rsidR="00795C5F">
        <w:rPr>
          <w:lang w:val="fr-FR"/>
        </w:rPr>
        <w:t>’</w:t>
      </w:r>
      <w:r w:rsidRPr="00E402C8">
        <w:rPr>
          <w:lang w:val="fr-FR"/>
        </w:rPr>
        <w:t xml:space="preserve">établissait à 62,2 </w:t>
      </w:r>
      <w:r>
        <w:rPr>
          <w:lang w:val="fr-FR"/>
        </w:rPr>
        <w:t>pour cent</w:t>
      </w:r>
      <w:r w:rsidRPr="00E402C8">
        <w:rPr>
          <w:lang w:val="fr-FR"/>
        </w:rPr>
        <w:t xml:space="preserve"> en 2017, devrait augmenter du fait de la mise en œuvre de la stratégie </w:t>
      </w:r>
      <w:r>
        <w:rPr>
          <w:lang w:val="fr-FR"/>
        </w:rPr>
        <w:t>« Tester et traiter »</w:t>
      </w:r>
      <w:r w:rsidRPr="00E402C8">
        <w:rPr>
          <w:lang w:val="fr-FR"/>
        </w:rPr>
        <w:t xml:space="preserve">. Maurice étant un État-providence, </w:t>
      </w:r>
      <w:r>
        <w:rPr>
          <w:lang w:val="fr-FR"/>
        </w:rPr>
        <w:t>les</w:t>
      </w:r>
      <w:r w:rsidRPr="00E402C8">
        <w:rPr>
          <w:lang w:val="fr-FR"/>
        </w:rPr>
        <w:t xml:space="preserve"> services de santé, </w:t>
      </w:r>
      <w:r>
        <w:rPr>
          <w:lang w:val="fr-FR"/>
        </w:rPr>
        <w:t>y compris</w:t>
      </w:r>
      <w:r w:rsidRPr="00E402C8">
        <w:rPr>
          <w:lang w:val="fr-FR"/>
        </w:rPr>
        <w:t xml:space="preserve"> les services </w:t>
      </w:r>
      <w:r>
        <w:rPr>
          <w:lang w:val="fr-FR"/>
        </w:rPr>
        <w:t>spécialisés dans le</w:t>
      </w:r>
      <w:r w:rsidRPr="00E402C8">
        <w:rPr>
          <w:lang w:val="fr-FR"/>
        </w:rPr>
        <w:t xml:space="preserve"> VIH, sont gratuits pour tous les citoyens.</w:t>
      </w:r>
    </w:p>
    <w:p w14:paraId="3F4D8049" w14:textId="608587A0" w:rsidR="003933A1" w:rsidRPr="00E402C8" w:rsidRDefault="003933A1" w:rsidP="0042389E">
      <w:pPr>
        <w:pStyle w:val="SingleTxt"/>
        <w:numPr>
          <w:ilvl w:val="0"/>
          <w:numId w:val="35"/>
        </w:numPr>
        <w:spacing w:line="240" w:lineRule="exact"/>
        <w:rPr>
          <w:lang w:val="fr-FR"/>
        </w:rPr>
      </w:pPr>
      <w:r>
        <w:rPr>
          <w:lang w:val="fr-FR"/>
        </w:rPr>
        <w:t xml:space="preserve">Pour </w:t>
      </w:r>
      <w:r w:rsidRPr="00E402C8">
        <w:rPr>
          <w:lang w:val="fr-FR"/>
        </w:rPr>
        <w:t xml:space="preserve">atteindre en 2020 la cible de traitement 90-90-90 fixée par les Nations Unies </w:t>
      </w:r>
      <w:r>
        <w:rPr>
          <w:lang w:val="fr-FR"/>
        </w:rPr>
        <w:t>afin d</w:t>
      </w:r>
      <w:r w:rsidR="00795C5F">
        <w:rPr>
          <w:lang w:val="fr-FR"/>
        </w:rPr>
        <w:t>’</w:t>
      </w:r>
      <w:r w:rsidRPr="00E402C8">
        <w:rPr>
          <w:lang w:val="fr-FR"/>
        </w:rPr>
        <w:t>accélérer la riposte pour mettre fin à l</w:t>
      </w:r>
      <w:r w:rsidR="00795C5F">
        <w:rPr>
          <w:lang w:val="fr-FR"/>
        </w:rPr>
        <w:t>’</w:t>
      </w:r>
      <w:r w:rsidRPr="00E402C8">
        <w:rPr>
          <w:lang w:val="fr-FR"/>
        </w:rPr>
        <w:t>épidémie de sida d</w:t>
      </w:r>
      <w:r w:rsidR="00795C5F">
        <w:rPr>
          <w:lang w:val="fr-FR"/>
        </w:rPr>
        <w:t>’</w:t>
      </w:r>
      <w:r w:rsidRPr="00E402C8">
        <w:rPr>
          <w:lang w:val="fr-FR"/>
        </w:rPr>
        <w:t xml:space="preserve">ici à 2030, </w:t>
      </w:r>
      <w:r>
        <w:rPr>
          <w:lang w:val="fr-FR"/>
        </w:rPr>
        <w:t>il est nécessaire d</w:t>
      </w:r>
      <w:r w:rsidR="00795C5F">
        <w:rPr>
          <w:lang w:val="fr-FR"/>
        </w:rPr>
        <w:t>’</w:t>
      </w:r>
      <w:r>
        <w:rPr>
          <w:lang w:val="fr-FR"/>
        </w:rPr>
        <w:t xml:space="preserve">instaurer </w:t>
      </w:r>
      <w:r w:rsidRPr="00E402C8">
        <w:rPr>
          <w:lang w:val="fr-FR"/>
        </w:rPr>
        <w:t>une politique de traitement systématique, indépendamment de l</w:t>
      </w:r>
      <w:r w:rsidR="00795C5F">
        <w:rPr>
          <w:lang w:val="fr-FR"/>
        </w:rPr>
        <w:t>’</w:t>
      </w:r>
      <w:r w:rsidRPr="00E402C8">
        <w:rPr>
          <w:lang w:val="fr-FR"/>
        </w:rPr>
        <w:t>état immunitaire du patient. Ainsi, depuis le 1</w:t>
      </w:r>
      <w:r w:rsidRPr="002F11B0">
        <w:rPr>
          <w:vertAlign w:val="superscript"/>
          <w:lang w:val="fr-FR"/>
        </w:rPr>
        <w:t>er</w:t>
      </w:r>
      <w:r w:rsidR="00B60353">
        <w:rPr>
          <w:lang w:val="fr-FR"/>
        </w:rPr>
        <w:t> </w:t>
      </w:r>
      <w:r w:rsidRPr="00E402C8">
        <w:rPr>
          <w:lang w:val="fr-FR"/>
        </w:rPr>
        <w:t>août 2017, date de l</w:t>
      </w:r>
      <w:r w:rsidR="00795C5F">
        <w:rPr>
          <w:lang w:val="fr-FR"/>
        </w:rPr>
        <w:t>’</w:t>
      </w:r>
      <w:r w:rsidRPr="00E402C8">
        <w:rPr>
          <w:lang w:val="fr-FR"/>
        </w:rPr>
        <w:t xml:space="preserve">entrée en vigueur de cette politique, toutes les personnes diagnostiquées séropositives se voient prescrire un traitement. Le </w:t>
      </w:r>
      <w:r w:rsidR="00272405">
        <w:rPr>
          <w:lang w:val="fr-FR"/>
        </w:rPr>
        <w:t>P</w:t>
      </w:r>
      <w:r w:rsidRPr="00E402C8">
        <w:rPr>
          <w:lang w:val="fr-FR"/>
        </w:rPr>
        <w:t>rotocole national relatif au VIH, qui prévoit la prescription de nouveaux antirétroviraux</w:t>
      </w:r>
      <w:r>
        <w:rPr>
          <w:lang w:val="fr-FR"/>
        </w:rPr>
        <w:t xml:space="preserve"> (doluté</w:t>
      </w:r>
      <w:r w:rsidRPr="00E402C8">
        <w:rPr>
          <w:lang w:val="fr-FR"/>
        </w:rPr>
        <w:t>gravir</w:t>
      </w:r>
      <w:r>
        <w:rPr>
          <w:lang w:val="fr-FR"/>
        </w:rPr>
        <w:t xml:space="preserve"> et</w:t>
      </w:r>
      <w:r w:rsidRPr="00E402C8">
        <w:rPr>
          <w:lang w:val="fr-FR"/>
        </w:rPr>
        <w:t xml:space="preserve"> darunavir) comme traitement de première intention </w:t>
      </w:r>
      <w:r>
        <w:rPr>
          <w:lang w:val="fr-FR"/>
        </w:rPr>
        <w:t>afin de progresser vers</w:t>
      </w:r>
      <w:r w:rsidRPr="00E402C8">
        <w:rPr>
          <w:lang w:val="fr-FR"/>
        </w:rPr>
        <w:t xml:space="preserve"> la cible, a été </w:t>
      </w:r>
      <w:r>
        <w:rPr>
          <w:lang w:val="fr-FR"/>
        </w:rPr>
        <w:t>révisé</w:t>
      </w:r>
      <w:r w:rsidRPr="00E402C8">
        <w:rPr>
          <w:lang w:val="fr-FR"/>
        </w:rPr>
        <w:t xml:space="preserve"> et est en attente de validation. La riposte nationale s</w:t>
      </w:r>
      <w:r w:rsidR="00795C5F">
        <w:rPr>
          <w:lang w:val="fr-FR"/>
        </w:rPr>
        <w:t>’</w:t>
      </w:r>
      <w:r w:rsidRPr="00E402C8">
        <w:rPr>
          <w:lang w:val="fr-FR"/>
        </w:rPr>
        <w:t>est révélée efficace grâce à la mise en œuvre de</w:t>
      </w:r>
      <w:r>
        <w:rPr>
          <w:lang w:val="fr-FR"/>
        </w:rPr>
        <w:t>s</w:t>
      </w:r>
      <w:r w:rsidRPr="00E402C8">
        <w:rPr>
          <w:lang w:val="fr-FR"/>
        </w:rPr>
        <w:t xml:space="preserve"> stratégies multisectorielles</w:t>
      </w:r>
      <w:r>
        <w:rPr>
          <w:lang w:val="fr-FR"/>
        </w:rPr>
        <w:t xml:space="preserve"> suivantes</w:t>
      </w:r>
      <w:r w:rsidR="00795C5F">
        <w:rPr>
          <w:lang w:val="fr-FR"/>
        </w:rPr>
        <w:t> :</w:t>
      </w:r>
    </w:p>
    <w:p w14:paraId="1B3F547A" w14:textId="090CB160" w:rsidR="003933A1" w:rsidRPr="009256FB" w:rsidRDefault="0042389E" w:rsidP="0042389E">
      <w:pPr>
        <w:pStyle w:val="SingleTxt"/>
        <w:tabs>
          <w:tab w:val="right" w:pos="1685"/>
        </w:tabs>
        <w:ind w:left="1742" w:hanging="475"/>
        <w:rPr>
          <w:lang w:val="fr-FR"/>
        </w:rPr>
      </w:pPr>
      <w:r>
        <w:rPr>
          <w:rFonts w:eastAsia="Calibri"/>
          <w:lang w:val="fr-FR"/>
        </w:rPr>
        <w:tab/>
      </w:r>
      <w:r w:rsidR="003933A1" w:rsidRPr="00E402C8">
        <w:rPr>
          <w:rFonts w:eastAsia="Calibri"/>
          <w:lang w:val="fr-FR"/>
        </w:rPr>
        <w:t>•</w:t>
      </w:r>
      <w:r w:rsidR="003933A1" w:rsidRPr="00E402C8">
        <w:rPr>
          <w:lang w:val="fr-FR"/>
        </w:rPr>
        <w:tab/>
      </w:r>
      <w:r>
        <w:rPr>
          <w:lang w:val="fr-FR"/>
        </w:rPr>
        <w:t>P</w:t>
      </w:r>
      <w:r w:rsidR="003933A1" w:rsidRPr="00E402C8">
        <w:rPr>
          <w:lang w:val="fr-FR"/>
        </w:rPr>
        <w:t>rogramme</w:t>
      </w:r>
      <w:r w:rsidR="003933A1">
        <w:rPr>
          <w:lang w:val="fr-FR"/>
        </w:rPr>
        <w:t>s à l</w:t>
      </w:r>
      <w:r w:rsidR="00795C5F">
        <w:rPr>
          <w:lang w:val="fr-FR"/>
        </w:rPr>
        <w:t>’</w:t>
      </w:r>
      <w:r w:rsidR="003933A1">
        <w:rPr>
          <w:lang w:val="fr-FR"/>
        </w:rPr>
        <w:t>intention de</w:t>
      </w:r>
      <w:r w:rsidR="003933A1" w:rsidRPr="00E402C8">
        <w:rPr>
          <w:lang w:val="fr-FR"/>
        </w:rPr>
        <w:t xml:space="preserve"> différents </w:t>
      </w:r>
      <w:r w:rsidR="003933A1">
        <w:rPr>
          <w:lang w:val="fr-FR"/>
        </w:rPr>
        <w:t xml:space="preserve">publics </w:t>
      </w:r>
      <w:r w:rsidR="003933A1" w:rsidRPr="00E402C8">
        <w:rPr>
          <w:lang w:val="fr-FR"/>
        </w:rPr>
        <w:t>pour les inciter à changer de comportement</w:t>
      </w:r>
      <w:r w:rsidR="00795C5F">
        <w:rPr>
          <w:lang w:val="fr-FR"/>
        </w:rPr>
        <w:t> ;</w:t>
      </w:r>
    </w:p>
    <w:p w14:paraId="67988BA2" w14:textId="4DD90478"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G</w:t>
      </w:r>
      <w:r w:rsidR="003933A1">
        <w:rPr>
          <w:lang w:val="fr-FR"/>
        </w:rPr>
        <w:t xml:space="preserve">énéralisation </w:t>
      </w:r>
      <w:r w:rsidR="003933A1" w:rsidRPr="00E402C8">
        <w:rPr>
          <w:lang w:val="fr-FR"/>
        </w:rPr>
        <w:t>des dépistages du VIH, à l</w:t>
      </w:r>
      <w:r w:rsidR="00795C5F">
        <w:rPr>
          <w:lang w:val="fr-FR"/>
        </w:rPr>
        <w:t>’</w:t>
      </w:r>
      <w:r w:rsidR="003933A1" w:rsidRPr="00E402C8">
        <w:rPr>
          <w:lang w:val="fr-FR"/>
        </w:rPr>
        <w:t>initiative des professionnels de la santé ou de l</w:t>
      </w:r>
      <w:r w:rsidR="00795C5F">
        <w:rPr>
          <w:lang w:val="fr-FR"/>
        </w:rPr>
        <w:t>’</w:t>
      </w:r>
      <w:r w:rsidR="003933A1" w:rsidRPr="00E402C8">
        <w:rPr>
          <w:lang w:val="fr-FR"/>
        </w:rPr>
        <w:t>intéressé, et de l</w:t>
      </w:r>
      <w:r w:rsidR="00795C5F">
        <w:rPr>
          <w:lang w:val="fr-FR"/>
        </w:rPr>
        <w:t>’</w:t>
      </w:r>
      <w:r w:rsidR="003933A1" w:rsidRPr="00E402C8">
        <w:rPr>
          <w:lang w:val="fr-FR"/>
        </w:rPr>
        <w:t>accompagnement psychologique avant et après le dépistage</w:t>
      </w:r>
      <w:r w:rsidR="00795C5F">
        <w:rPr>
          <w:lang w:val="fr-FR"/>
        </w:rPr>
        <w:t> ;</w:t>
      </w:r>
    </w:p>
    <w:p w14:paraId="6231B259" w14:textId="4ABBDEA5"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A</w:t>
      </w:r>
      <w:r w:rsidR="003933A1" w:rsidRPr="00E402C8">
        <w:rPr>
          <w:lang w:val="fr-FR"/>
        </w:rPr>
        <w:t>dministration de traitements antir</w:t>
      </w:r>
      <w:r w:rsidR="003933A1">
        <w:rPr>
          <w:lang w:val="fr-FR"/>
        </w:rPr>
        <w:t>étroviraux révisés régulièrement</w:t>
      </w:r>
      <w:r w:rsidR="00272405">
        <w:rPr>
          <w:lang w:val="fr-FR"/>
        </w:rPr>
        <w:t>,</w:t>
      </w:r>
      <w:r w:rsidR="003933A1">
        <w:rPr>
          <w:lang w:val="fr-FR"/>
        </w:rPr>
        <w:t xml:space="preserve"> conformément aux</w:t>
      </w:r>
      <w:r w:rsidR="003933A1" w:rsidRPr="00E402C8">
        <w:rPr>
          <w:lang w:val="fr-FR"/>
        </w:rPr>
        <w:t xml:space="preserve"> recommandations de l</w:t>
      </w:r>
      <w:r w:rsidR="00795C5F">
        <w:rPr>
          <w:lang w:val="fr-FR"/>
        </w:rPr>
        <w:t>’</w:t>
      </w:r>
      <w:r w:rsidR="003933A1" w:rsidRPr="00E402C8">
        <w:rPr>
          <w:lang w:val="fr-FR"/>
        </w:rPr>
        <w:t xml:space="preserve">Organisation mondiale de la </w:t>
      </w:r>
      <w:r w:rsidR="00272405">
        <w:rPr>
          <w:lang w:val="fr-FR"/>
        </w:rPr>
        <w:t>s</w:t>
      </w:r>
      <w:r w:rsidR="003933A1" w:rsidRPr="00E402C8">
        <w:rPr>
          <w:lang w:val="fr-FR"/>
        </w:rPr>
        <w:t xml:space="preserve">anté (OMS), et </w:t>
      </w:r>
      <w:r w:rsidR="003933A1">
        <w:rPr>
          <w:lang w:val="fr-FR"/>
        </w:rPr>
        <w:t xml:space="preserve">diagnostic </w:t>
      </w:r>
      <w:r w:rsidR="003933A1" w:rsidRPr="00E402C8">
        <w:rPr>
          <w:lang w:val="fr-FR"/>
        </w:rPr>
        <w:t>et prise en charge rapide des maladies sexuellement transmissibles</w:t>
      </w:r>
      <w:r w:rsidR="00795C5F">
        <w:rPr>
          <w:lang w:val="fr-FR"/>
        </w:rPr>
        <w:t> ;</w:t>
      </w:r>
    </w:p>
    <w:p w14:paraId="2793DAC6" w14:textId="31435171"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P</w:t>
      </w:r>
      <w:r w:rsidR="003933A1" w:rsidRPr="00E402C8">
        <w:rPr>
          <w:lang w:val="fr-FR"/>
        </w:rPr>
        <w:t>révention de la transmission mère-enfant (option B+ depuis 2011)</w:t>
      </w:r>
      <w:r w:rsidR="00795C5F">
        <w:rPr>
          <w:lang w:val="fr-FR"/>
        </w:rPr>
        <w:t> :</w:t>
      </w:r>
      <w:r w:rsidR="003933A1">
        <w:rPr>
          <w:lang w:val="fr-FR"/>
        </w:rPr>
        <w:t xml:space="preserve"> </w:t>
      </w:r>
      <w:r w:rsidR="003933A1" w:rsidRPr="00E402C8">
        <w:rPr>
          <w:lang w:val="fr-FR"/>
        </w:rPr>
        <w:t>Maurice a adopté et</w:t>
      </w:r>
      <w:r w:rsidR="003933A1">
        <w:rPr>
          <w:lang w:val="fr-FR"/>
        </w:rPr>
        <w:t xml:space="preserve"> met en œuvre </w:t>
      </w:r>
      <w:r w:rsidR="003933A1" w:rsidRPr="00E402C8">
        <w:rPr>
          <w:lang w:val="fr-FR"/>
        </w:rPr>
        <w:t>l</w:t>
      </w:r>
      <w:r w:rsidR="00795C5F">
        <w:rPr>
          <w:lang w:val="fr-FR"/>
        </w:rPr>
        <w:t>’</w:t>
      </w:r>
      <w:r w:rsidR="003933A1" w:rsidRPr="00E402C8">
        <w:rPr>
          <w:lang w:val="fr-FR"/>
        </w:rPr>
        <w:t>option B</w:t>
      </w:r>
      <w:r w:rsidR="003933A1">
        <w:rPr>
          <w:lang w:val="fr-FR"/>
        </w:rPr>
        <w:t>+</w:t>
      </w:r>
      <w:r w:rsidR="003933A1" w:rsidRPr="00E402C8">
        <w:rPr>
          <w:lang w:val="fr-FR"/>
        </w:rPr>
        <w:t xml:space="preserve"> du programme de prévention de la transmission mère-enfant de l</w:t>
      </w:r>
      <w:r w:rsidR="00795C5F">
        <w:rPr>
          <w:lang w:val="fr-FR"/>
        </w:rPr>
        <w:t>’</w:t>
      </w:r>
      <w:r w:rsidR="003933A1" w:rsidRPr="00E402C8">
        <w:rPr>
          <w:lang w:val="fr-FR"/>
        </w:rPr>
        <w:t>OMS, à savoir la prescription d</w:t>
      </w:r>
      <w:r w:rsidR="00795C5F">
        <w:rPr>
          <w:lang w:val="fr-FR"/>
        </w:rPr>
        <w:t>’</w:t>
      </w:r>
      <w:r w:rsidR="003933A1" w:rsidRPr="00E402C8">
        <w:rPr>
          <w:lang w:val="fr-FR"/>
        </w:rPr>
        <w:t>un traitement antirétroviral</w:t>
      </w:r>
      <w:r w:rsidR="003933A1">
        <w:rPr>
          <w:lang w:val="fr-FR"/>
        </w:rPr>
        <w:t xml:space="preserve"> à vie</w:t>
      </w:r>
      <w:r w:rsidR="003933A1" w:rsidRPr="00E402C8">
        <w:rPr>
          <w:lang w:val="fr-FR"/>
        </w:rPr>
        <w:t xml:space="preserve"> à toutes les femmes enceintes à partir de la 12</w:t>
      </w:r>
      <w:r w:rsidR="003933A1" w:rsidRPr="00C3530D">
        <w:rPr>
          <w:vertAlign w:val="superscript"/>
          <w:lang w:val="fr-FR"/>
        </w:rPr>
        <w:t>e</w:t>
      </w:r>
      <w:r w:rsidR="003933A1">
        <w:rPr>
          <w:lang w:val="fr-FR"/>
        </w:rPr>
        <w:t xml:space="preserve"> </w:t>
      </w:r>
      <w:r w:rsidR="003933A1" w:rsidRPr="00E402C8">
        <w:rPr>
          <w:lang w:val="fr-FR"/>
        </w:rPr>
        <w:t>semaine de grossesse</w:t>
      </w:r>
      <w:r w:rsidR="00795C5F">
        <w:rPr>
          <w:lang w:val="fr-FR"/>
        </w:rPr>
        <w:t> ;</w:t>
      </w:r>
    </w:p>
    <w:p w14:paraId="6E3C9A9E" w14:textId="747A27A4"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sidR="00272405">
        <w:rPr>
          <w:lang w:val="fr-FR"/>
        </w:rPr>
        <w:t>C</w:t>
      </w:r>
      <w:r w:rsidR="003933A1" w:rsidRPr="00E402C8">
        <w:rPr>
          <w:lang w:val="fr-FR"/>
        </w:rPr>
        <w:t>ontre-indication de l</w:t>
      </w:r>
      <w:r w:rsidR="00795C5F">
        <w:rPr>
          <w:lang w:val="fr-FR"/>
        </w:rPr>
        <w:t>’</w:t>
      </w:r>
      <w:r w:rsidR="003933A1" w:rsidRPr="00E402C8">
        <w:rPr>
          <w:lang w:val="fr-FR"/>
        </w:rPr>
        <w:t xml:space="preserve">allaitement maternel et lait maternisé </w:t>
      </w:r>
      <w:r w:rsidR="003933A1">
        <w:rPr>
          <w:lang w:val="fr-FR"/>
        </w:rPr>
        <w:t xml:space="preserve">fourni gratuitement </w:t>
      </w:r>
      <w:r w:rsidR="003933A1" w:rsidRPr="00E402C8">
        <w:rPr>
          <w:lang w:val="fr-FR"/>
        </w:rPr>
        <w:t>jusqu</w:t>
      </w:r>
      <w:r w:rsidR="00795C5F">
        <w:rPr>
          <w:lang w:val="fr-FR"/>
        </w:rPr>
        <w:t>’</w:t>
      </w:r>
      <w:r w:rsidR="003933A1">
        <w:rPr>
          <w:lang w:val="fr-FR"/>
        </w:rPr>
        <w:t xml:space="preserve">aux </w:t>
      </w:r>
      <w:r w:rsidR="00272405">
        <w:rPr>
          <w:lang w:val="fr-FR"/>
        </w:rPr>
        <w:t>deux</w:t>
      </w:r>
      <w:r w:rsidR="003933A1">
        <w:rPr>
          <w:lang w:val="fr-FR"/>
        </w:rPr>
        <w:t xml:space="preserve"> ans de l</w:t>
      </w:r>
      <w:r w:rsidR="00795C5F">
        <w:rPr>
          <w:lang w:val="fr-FR"/>
        </w:rPr>
        <w:t>’</w:t>
      </w:r>
      <w:r w:rsidR="003933A1">
        <w:rPr>
          <w:lang w:val="fr-FR"/>
        </w:rPr>
        <w:t>enfant</w:t>
      </w:r>
      <w:r w:rsidR="00795C5F">
        <w:rPr>
          <w:lang w:val="fr-FR"/>
        </w:rPr>
        <w:t> ;</w:t>
      </w:r>
    </w:p>
    <w:p w14:paraId="2604A48C" w14:textId="0987D193"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A</w:t>
      </w:r>
      <w:r w:rsidR="003933A1" w:rsidRPr="00E402C8">
        <w:rPr>
          <w:lang w:val="fr-FR"/>
        </w:rPr>
        <w:t>dministration d</w:t>
      </w:r>
      <w:r w:rsidR="00795C5F">
        <w:rPr>
          <w:lang w:val="fr-FR"/>
        </w:rPr>
        <w:t>’</w:t>
      </w:r>
      <w:r w:rsidR="003933A1" w:rsidRPr="00E402C8">
        <w:rPr>
          <w:lang w:val="fr-FR"/>
        </w:rPr>
        <w:t xml:space="preserve">un traitement antirétroviral prophylactique pendant </w:t>
      </w:r>
      <w:r w:rsidR="00272405">
        <w:rPr>
          <w:lang w:val="fr-FR"/>
        </w:rPr>
        <w:t xml:space="preserve">quatre </w:t>
      </w:r>
      <w:r w:rsidR="003933A1" w:rsidRPr="00E402C8">
        <w:rPr>
          <w:lang w:val="fr-FR"/>
        </w:rPr>
        <w:t xml:space="preserve">à </w:t>
      </w:r>
      <w:r w:rsidR="00272405">
        <w:rPr>
          <w:lang w:val="fr-FR"/>
        </w:rPr>
        <w:t>six</w:t>
      </w:r>
      <w:r w:rsidR="00D85F19">
        <w:rPr>
          <w:lang w:val="fr-FR"/>
        </w:rPr>
        <w:t> </w:t>
      </w:r>
      <w:r w:rsidR="003933A1" w:rsidRPr="00E402C8">
        <w:rPr>
          <w:lang w:val="fr-FR"/>
        </w:rPr>
        <w:t xml:space="preserve">semaines aux nouveau-nés exposés au VIH, ce qui </w:t>
      </w:r>
      <w:r w:rsidR="003933A1">
        <w:rPr>
          <w:lang w:val="fr-FR"/>
        </w:rPr>
        <w:t>limite</w:t>
      </w:r>
      <w:r w:rsidR="003933A1" w:rsidRPr="00E402C8">
        <w:rPr>
          <w:lang w:val="fr-FR"/>
        </w:rPr>
        <w:t xml:space="preserve"> le risque de transmission à moins de 1 </w:t>
      </w:r>
      <w:r w:rsidR="003933A1">
        <w:rPr>
          <w:lang w:val="fr-FR"/>
        </w:rPr>
        <w:t>pour cent</w:t>
      </w:r>
      <w:r w:rsidR="00795C5F">
        <w:rPr>
          <w:lang w:val="fr-FR"/>
        </w:rPr>
        <w:t> ;</w:t>
      </w:r>
    </w:p>
    <w:p w14:paraId="1B296029" w14:textId="6ABF4ED1" w:rsidR="003933A1" w:rsidRPr="00E402C8" w:rsidRDefault="0042389E" w:rsidP="0042389E">
      <w:pPr>
        <w:pStyle w:val="SingleTxt"/>
        <w:tabs>
          <w:tab w:val="right" w:pos="1685"/>
        </w:tabs>
        <w:ind w:left="1742" w:hanging="475"/>
        <w:rPr>
          <w:rFonts w:eastAsia="Calibri"/>
          <w:lang w:val="fr-FR"/>
        </w:rPr>
      </w:pPr>
      <w:r>
        <w:rPr>
          <w:rFonts w:eastAsia="Calibri"/>
          <w:lang w:val="fr-FR"/>
        </w:rPr>
        <w:lastRenderedPageBreak/>
        <w:tab/>
      </w:r>
      <w:r w:rsidR="003933A1" w:rsidRPr="00E402C8">
        <w:rPr>
          <w:rFonts w:eastAsia="Calibri"/>
          <w:lang w:val="fr-FR"/>
        </w:rPr>
        <w:t>•</w:t>
      </w:r>
      <w:r w:rsidR="003933A1" w:rsidRPr="00E402C8">
        <w:rPr>
          <w:lang w:val="fr-FR"/>
        </w:rPr>
        <w:tab/>
      </w:r>
      <w:r>
        <w:rPr>
          <w:lang w:val="fr-FR"/>
        </w:rPr>
        <w:t>S</w:t>
      </w:r>
      <w:r w:rsidR="003933A1" w:rsidRPr="00E402C8">
        <w:rPr>
          <w:lang w:val="fr-FR"/>
        </w:rPr>
        <w:t>tabilisation du taux de prévalence du VIH chez les femmes enceintes, d</w:t>
      </w:r>
      <w:r w:rsidR="00795C5F">
        <w:rPr>
          <w:lang w:val="fr-FR"/>
        </w:rPr>
        <w:t>’</w:t>
      </w:r>
      <w:r w:rsidR="003933A1" w:rsidRPr="00E402C8">
        <w:rPr>
          <w:lang w:val="fr-FR"/>
        </w:rPr>
        <w:t>après le taux de naissances vivantes chez les femmes enceintes. Les femmes ayant une grossesse à haut risque sont suivies jusqu</w:t>
      </w:r>
      <w:r w:rsidR="00795C5F">
        <w:rPr>
          <w:lang w:val="fr-FR"/>
        </w:rPr>
        <w:t>’</w:t>
      </w:r>
      <w:r w:rsidR="003933A1" w:rsidRPr="00E402C8">
        <w:rPr>
          <w:lang w:val="fr-FR"/>
        </w:rPr>
        <w:t>à l</w:t>
      </w:r>
      <w:r w:rsidR="00795C5F">
        <w:rPr>
          <w:lang w:val="fr-FR"/>
        </w:rPr>
        <w:t>’</w:t>
      </w:r>
      <w:r w:rsidR="003933A1" w:rsidRPr="00E402C8">
        <w:rPr>
          <w:lang w:val="fr-FR"/>
        </w:rPr>
        <w:t>accouchement. En 2017, 96,23</w:t>
      </w:r>
      <w:r w:rsidR="00795C5F">
        <w:rPr>
          <w:lang w:val="fr-FR"/>
        </w:rPr>
        <w:t> %</w:t>
      </w:r>
      <w:r w:rsidR="003933A1" w:rsidRPr="00E402C8">
        <w:rPr>
          <w:lang w:val="fr-FR"/>
        </w:rPr>
        <w:t xml:space="preserve"> des femmes enceintes séropositives participaient au programme de prévention de la transmission mère-enfant</w:t>
      </w:r>
      <w:r w:rsidR="00795C5F">
        <w:rPr>
          <w:lang w:val="fr-FR"/>
        </w:rPr>
        <w:t> ;</w:t>
      </w:r>
    </w:p>
    <w:p w14:paraId="1D5ABB72" w14:textId="4BB79BF4"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M</w:t>
      </w:r>
      <w:r w:rsidR="003933A1" w:rsidRPr="00E402C8">
        <w:rPr>
          <w:lang w:val="fr-FR"/>
        </w:rPr>
        <w:t xml:space="preserve">ise à </w:t>
      </w:r>
      <w:r w:rsidR="003933A1">
        <w:rPr>
          <w:lang w:val="fr-FR"/>
        </w:rPr>
        <w:t xml:space="preserve">la </w:t>
      </w:r>
      <w:r w:rsidR="003933A1" w:rsidRPr="00E402C8">
        <w:rPr>
          <w:lang w:val="fr-FR"/>
        </w:rPr>
        <w:t xml:space="preserve">disposition </w:t>
      </w:r>
      <w:r w:rsidR="003933A1">
        <w:rPr>
          <w:lang w:val="fr-FR"/>
        </w:rPr>
        <w:t>des</w:t>
      </w:r>
      <w:r w:rsidR="003933A1" w:rsidRPr="00E402C8">
        <w:rPr>
          <w:lang w:val="fr-FR"/>
        </w:rPr>
        <w:t xml:space="preserve"> adolescentes enceintes </w:t>
      </w:r>
      <w:r w:rsidR="003933A1">
        <w:rPr>
          <w:lang w:val="fr-FR"/>
        </w:rPr>
        <w:t xml:space="preserve">et </w:t>
      </w:r>
      <w:r w:rsidR="003933A1" w:rsidRPr="00E402C8">
        <w:rPr>
          <w:lang w:val="fr-FR"/>
        </w:rPr>
        <w:t>séropositives de tou</w:t>
      </w:r>
      <w:r w:rsidR="003933A1">
        <w:rPr>
          <w:lang w:val="fr-FR"/>
        </w:rPr>
        <w:t>te</w:t>
      </w:r>
      <w:r w:rsidR="003933A1" w:rsidRPr="00E402C8">
        <w:rPr>
          <w:lang w:val="fr-FR"/>
        </w:rPr>
        <w:t xml:space="preserve">s les </w:t>
      </w:r>
      <w:r w:rsidR="003933A1">
        <w:rPr>
          <w:lang w:val="fr-FR"/>
        </w:rPr>
        <w:t>prestations</w:t>
      </w:r>
      <w:r w:rsidR="003933A1" w:rsidRPr="00E402C8">
        <w:rPr>
          <w:lang w:val="fr-FR"/>
        </w:rPr>
        <w:t xml:space="preserve"> proposé</w:t>
      </w:r>
      <w:r w:rsidR="003933A1">
        <w:rPr>
          <w:lang w:val="fr-FR"/>
        </w:rPr>
        <w:t>e</w:t>
      </w:r>
      <w:r w:rsidR="003933A1" w:rsidRPr="00E402C8">
        <w:rPr>
          <w:lang w:val="fr-FR"/>
        </w:rPr>
        <w:t xml:space="preserve">s par les services </w:t>
      </w:r>
      <w:r w:rsidR="003933A1">
        <w:rPr>
          <w:lang w:val="fr-FR"/>
        </w:rPr>
        <w:t>spécialisés dans le VIH, et services de</w:t>
      </w:r>
      <w:r w:rsidR="003933A1" w:rsidRPr="00E402C8">
        <w:rPr>
          <w:lang w:val="fr-FR"/>
        </w:rPr>
        <w:t xml:space="preserve"> soutien psychologique </w:t>
      </w:r>
      <w:r w:rsidR="003933A1">
        <w:rPr>
          <w:lang w:val="fr-FR"/>
        </w:rPr>
        <w:t xml:space="preserve">proposés à leur intention par des </w:t>
      </w:r>
      <w:r w:rsidR="003933A1" w:rsidRPr="00E402C8">
        <w:rPr>
          <w:lang w:val="fr-FR"/>
        </w:rPr>
        <w:t>travailleurs sociaux du service public ou d</w:t>
      </w:r>
      <w:r w:rsidR="00272405">
        <w:rPr>
          <w:lang w:val="fr-FR"/>
        </w:rPr>
        <w:t xml:space="preserve">es </w:t>
      </w:r>
      <w:r w:rsidR="003933A1" w:rsidRPr="00E402C8">
        <w:rPr>
          <w:lang w:val="fr-FR"/>
        </w:rPr>
        <w:t>ONG</w:t>
      </w:r>
      <w:r w:rsidR="00795C5F">
        <w:rPr>
          <w:lang w:val="fr-FR"/>
        </w:rPr>
        <w:t> ;</w:t>
      </w:r>
    </w:p>
    <w:p w14:paraId="3CD5C0E2" w14:textId="03968FE2"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R</w:t>
      </w:r>
      <w:r w:rsidR="003933A1">
        <w:rPr>
          <w:lang w:val="fr-FR"/>
        </w:rPr>
        <w:t>éalisation du</w:t>
      </w:r>
      <w:r w:rsidR="003933A1" w:rsidRPr="00E402C8">
        <w:rPr>
          <w:lang w:val="fr-FR"/>
        </w:rPr>
        <w:t xml:space="preserve"> diagnostic précoce par amplification génique à </w:t>
      </w:r>
      <w:r w:rsidR="00272405">
        <w:rPr>
          <w:lang w:val="fr-FR"/>
        </w:rPr>
        <w:t>trois</w:t>
      </w:r>
      <w:r w:rsidR="003933A1" w:rsidRPr="00E402C8">
        <w:rPr>
          <w:lang w:val="fr-FR"/>
        </w:rPr>
        <w:t xml:space="preserve"> et </w:t>
      </w:r>
      <w:r w:rsidR="00272405">
        <w:rPr>
          <w:lang w:val="fr-FR"/>
        </w:rPr>
        <w:t>six</w:t>
      </w:r>
      <w:r w:rsidR="003933A1" w:rsidRPr="00E402C8">
        <w:rPr>
          <w:lang w:val="fr-FR"/>
        </w:rPr>
        <w:t xml:space="preserve"> mois, </w:t>
      </w:r>
      <w:r w:rsidR="003933A1">
        <w:rPr>
          <w:lang w:val="fr-FR"/>
        </w:rPr>
        <w:t xml:space="preserve">ce </w:t>
      </w:r>
      <w:r w:rsidR="003933A1" w:rsidRPr="00E402C8">
        <w:rPr>
          <w:lang w:val="fr-FR"/>
        </w:rPr>
        <w:t xml:space="preserve">qui permet de débuter rapidement le traitement antirétroviral </w:t>
      </w:r>
      <w:r w:rsidR="003933A1">
        <w:rPr>
          <w:lang w:val="fr-FR"/>
        </w:rPr>
        <w:t>chez</w:t>
      </w:r>
      <w:r w:rsidR="003933A1" w:rsidRPr="00E402C8">
        <w:rPr>
          <w:lang w:val="fr-FR"/>
        </w:rPr>
        <w:t xml:space="preserve"> les nourrissons infectés et réduit le taux de mortalité et la morbidité chez les nourrissons et les enfants infectés. Les nouveau-nés et enfants séropositifs </w:t>
      </w:r>
      <w:r w:rsidR="003933A1">
        <w:rPr>
          <w:lang w:val="fr-FR"/>
        </w:rPr>
        <w:t>ainsi que les</w:t>
      </w:r>
      <w:r w:rsidR="003933A1" w:rsidRPr="00E402C8">
        <w:rPr>
          <w:lang w:val="fr-FR"/>
        </w:rPr>
        <w:t xml:space="preserve"> nourrissons exposés</w:t>
      </w:r>
      <w:r w:rsidR="003933A1">
        <w:rPr>
          <w:lang w:val="fr-FR"/>
        </w:rPr>
        <w:t xml:space="preserve"> au VIH</w:t>
      </w:r>
      <w:r w:rsidR="003933A1" w:rsidRPr="00E402C8">
        <w:rPr>
          <w:lang w:val="fr-FR"/>
        </w:rPr>
        <w:t xml:space="preserve"> sont suivis par des pédiatres à Volcy Pougnet, au centre d</w:t>
      </w:r>
      <w:r w:rsidR="00795C5F">
        <w:rPr>
          <w:lang w:val="fr-FR"/>
        </w:rPr>
        <w:t>’</w:t>
      </w:r>
      <w:r w:rsidR="003933A1" w:rsidRPr="00E402C8">
        <w:rPr>
          <w:lang w:val="fr-FR"/>
        </w:rPr>
        <w:t>accueil de jour de l</w:t>
      </w:r>
      <w:r w:rsidR="00795C5F">
        <w:rPr>
          <w:lang w:val="fr-FR"/>
        </w:rPr>
        <w:t>’</w:t>
      </w:r>
      <w:r w:rsidR="003933A1" w:rsidRPr="00E402C8">
        <w:rPr>
          <w:lang w:val="fr-FR"/>
        </w:rPr>
        <w:t>hôpital Victoria et à hôpital national Sir Seewoosagur Ramgoolam</w:t>
      </w:r>
      <w:r w:rsidR="00272405">
        <w:rPr>
          <w:lang w:val="fr-FR"/>
        </w:rPr>
        <w:t> ;</w:t>
      </w:r>
    </w:p>
    <w:p w14:paraId="6F5567FA" w14:textId="421A74B1"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Pr>
          <w:rFonts w:eastAsia="Calibri"/>
          <w:lang w:val="fr-FR"/>
        </w:rPr>
        <w:tab/>
        <w:t>S</w:t>
      </w:r>
      <w:r w:rsidR="003933A1" w:rsidRPr="00E402C8">
        <w:rPr>
          <w:lang w:val="fr-FR"/>
        </w:rPr>
        <w:t>outien psychosocial (aide financière en fonction de la situation sanitaire)</w:t>
      </w:r>
      <w:r w:rsidR="00795C5F">
        <w:rPr>
          <w:lang w:val="fr-FR"/>
        </w:rPr>
        <w:t> ;</w:t>
      </w:r>
    </w:p>
    <w:p w14:paraId="3A82E5C5" w14:textId="4CA43842"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C</w:t>
      </w:r>
      <w:r w:rsidR="003933A1" w:rsidRPr="00E402C8">
        <w:rPr>
          <w:lang w:val="fr-FR"/>
        </w:rPr>
        <w:t xml:space="preserve">ampagnes </w:t>
      </w:r>
      <w:r w:rsidR="003933A1">
        <w:rPr>
          <w:lang w:val="fr-FR"/>
        </w:rPr>
        <w:t>de promotion des préservatifs masculin et féminin et distribution</w:t>
      </w:r>
      <w:r w:rsidR="003933A1" w:rsidRPr="00E402C8">
        <w:rPr>
          <w:lang w:val="fr-FR"/>
        </w:rPr>
        <w:t xml:space="preserve"> </w:t>
      </w:r>
      <w:r w:rsidR="003933A1">
        <w:rPr>
          <w:lang w:val="fr-FR"/>
        </w:rPr>
        <w:t>à la population</w:t>
      </w:r>
      <w:r w:rsidR="00795C5F">
        <w:rPr>
          <w:lang w:val="fr-FR"/>
        </w:rPr>
        <w:t> ;</w:t>
      </w:r>
    </w:p>
    <w:p w14:paraId="4AB58B76" w14:textId="1472E3FD"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Pr>
          <w:rFonts w:eastAsia="Calibri"/>
          <w:lang w:val="fr-FR"/>
        </w:rPr>
        <w:tab/>
        <w:t>I</w:t>
      </w:r>
      <w:r w:rsidR="003933A1">
        <w:rPr>
          <w:lang w:val="fr-FR"/>
        </w:rPr>
        <w:t>nsta</w:t>
      </w:r>
      <w:r w:rsidR="003933A1" w:rsidRPr="00E402C8">
        <w:rPr>
          <w:lang w:val="fr-FR"/>
        </w:rPr>
        <w:t>uration d</w:t>
      </w:r>
      <w:r w:rsidR="00795C5F">
        <w:rPr>
          <w:lang w:val="fr-FR"/>
        </w:rPr>
        <w:t>’</w:t>
      </w:r>
      <w:r w:rsidR="003933A1" w:rsidRPr="00E402C8">
        <w:rPr>
          <w:lang w:val="fr-FR"/>
        </w:rPr>
        <w:t>un cadre juridique plus f</w:t>
      </w:r>
      <w:r w:rsidR="003E1795">
        <w:rPr>
          <w:lang w:val="fr-FR"/>
        </w:rPr>
        <w:t>avorable en 2006-2007 (</w:t>
      </w:r>
      <w:r w:rsidR="003933A1">
        <w:rPr>
          <w:lang w:val="fr-FR"/>
        </w:rPr>
        <w:t xml:space="preserve">en 2006, </w:t>
      </w:r>
      <w:r w:rsidR="003933A1" w:rsidRPr="007A3326">
        <w:rPr>
          <w:lang w:val="fr-FR"/>
        </w:rPr>
        <w:t>adoption de la loi sur le VIH (</w:t>
      </w:r>
      <w:r w:rsidR="003933A1" w:rsidRPr="007A3326">
        <w:rPr>
          <w:i/>
          <w:iCs/>
          <w:lang w:val="fr-FR"/>
        </w:rPr>
        <w:t>HIV Act</w:t>
      </w:r>
      <w:r w:rsidR="003933A1" w:rsidRPr="007A3326">
        <w:rPr>
          <w:lang w:val="fr-FR"/>
        </w:rPr>
        <w:t>) visant à lutter</w:t>
      </w:r>
      <w:r w:rsidR="003933A1">
        <w:rPr>
          <w:lang w:val="fr-FR"/>
        </w:rPr>
        <w:t xml:space="preserve"> contre</w:t>
      </w:r>
      <w:r w:rsidR="003933A1" w:rsidRPr="00E402C8">
        <w:rPr>
          <w:lang w:val="fr-FR"/>
        </w:rPr>
        <w:t xml:space="preserve"> la stigmatisation et la discrimi</w:t>
      </w:r>
      <w:r w:rsidR="003E1795">
        <w:rPr>
          <w:lang w:val="fr-FR"/>
        </w:rPr>
        <w:t>nation)</w:t>
      </w:r>
      <w:r w:rsidR="00795C5F">
        <w:rPr>
          <w:lang w:val="fr-FR"/>
        </w:rPr>
        <w:t> ;</w:t>
      </w:r>
    </w:p>
    <w:p w14:paraId="31B3FFFD" w14:textId="0FD719F6"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M</w:t>
      </w:r>
      <w:r w:rsidR="003933A1" w:rsidRPr="00E402C8">
        <w:rPr>
          <w:lang w:val="fr-FR"/>
        </w:rPr>
        <w:t>ise en place de services de réduction des risques en 2006-2007</w:t>
      </w:r>
      <w:r w:rsidR="00795C5F">
        <w:rPr>
          <w:lang w:val="fr-FR"/>
        </w:rPr>
        <w:t> ;</w:t>
      </w:r>
    </w:p>
    <w:p w14:paraId="617069BF" w14:textId="3A8D30A9"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Pr>
          <w:lang w:val="fr-FR"/>
        </w:rPr>
        <w:tab/>
      </w:r>
      <w:r>
        <w:rPr>
          <w:lang w:val="fr-FR"/>
        </w:rPr>
        <w:t>S</w:t>
      </w:r>
      <w:r w:rsidR="003933A1" w:rsidRPr="00E402C8">
        <w:rPr>
          <w:lang w:val="fr-FR"/>
        </w:rPr>
        <w:t>écurisation de l</w:t>
      </w:r>
      <w:r w:rsidR="00795C5F">
        <w:rPr>
          <w:lang w:val="fr-FR"/>
        </w:rPr>
        <w:t>’</w:t>
      </w:r>
      <w:r w:rsidR="003933A1" w:rsidRPr="00E402C8">
        <w:rPr>
          <w:lang w:val="fr-FR"/>
        </w:rPr>
        <w:t>approvisionnement en sang</w:t>
      </w:r>
      <w:r w:rsidR="00795C5F">
        <w:rPr>
          <w:lang w:val="fr-FR"/>
        </w:rPr>
        <w:t> ;</w:t>
      </w:r>
    </w:p>
    <w:p w14:paraId="3095A040" w14:textId="55909896"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P</w:t>
      </w:r>
      <w:r w:rsidR="003933A1" w:rsidRPr="00E402C8">
        <w:rPr>
          <w:lang w:val="fr-FR"/>
        </w:rPr>
        <w:t>rophylaxie post-exposition</w:t>
      </w:r>
      <w:r w:rsidR="00795C5F">
        <w:rPr>
          <w:lang w:val="fr-FR"/>
        </w:rPr>
        <w:t> ;</w:t>
      </w:r>
    </w:p>
    <w:p w14:paraId="7731853F" w14:textId="2D2C814F" w:rsidR="003933A1" w:rsidRPr="00E402C8" w:rsidRDefault="0042389E" w:rsidP="0042389E">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L</w:t>
      </w:r>
      <w:r w:rsidR="003933A1" w:rsidRPr="00E402C8">
        <w:rPr>
          <w:lang w:val="fr-FR"/>
        </w:rPr>
        <w:t>utte contre les infections dans les établissements de santé.</w:t>
      </w:r>
    </w:p>
    <w:p w14:paraId="41D1C576" w14:textId="7533A7CD" w:rsidR="003933A1" w:rsidRPr="00E402C8" w:rsidRDefault="003933A1" w:rsidP="00B60353">
      <w:pPr>
        <w:pStyle w:val="SingleTxt"/>
        <w:numPr>
          <w:ilvl w:val="0"/>
          <w:numId w:val="35"/>
        </w:numPr>
        <w:spacing w:line="240" w:lineRule="exact"/>
        <w:rPr>
          <w:lang w:val="fr-FR"/>
        </w:rPr>
      </w:pPr>
      <w:r w:rsidRPr="00E402C8">
        <w:rPr>
          <w:lang w:val="fr-FR"/>
        </w:rPr>
        <w:t>En collaboration avec le Centre hospitalier universitaire de la Réunion, le Ministère de la santé et de la qualité de vie a assuré la formation de 12 médecins</w:t>
      </w:r>
      <w:r>
        <w:rPr>
          <w:lang w:val="fr-FR"/>
        </w:rPr>
        <w:t xml:space="preserve"> dans le cadre du diplôme universitaire</w:t>
      </w:r>
      <w:r w:rsidRPr="00E402C8">
        <w:rPr>
          <w:lang w:val="fr-FR"/>
        </w:rPr>
        <w:t xml:space="preserve"> </w:t>
      </w:r>
      <w:r>
        <w:rPr>
          <w:lang w:val="fr-FR"/>
        </w:rPr>
        <w:t>intitulé « </w:t>
      </w:r>
      <w:r w:rsidRPr="00E402C8">
        <w:rPr>
          <w:lang w:val="fr-FR"/>
        </w:rPr>
        <w:t>VIH et sida et hépatite C</w:t>
      </w:r>
      <w:r>
        <w:rPr>
          <w:lang w:val="fr-FR"/>
        </w:rPr>
        <w:t> ».</w:t>
      </w:r>
      <w:r w:rsidRPr="00E402C8">
        <w:rPr>
          <w:lang w:val="fr-FR"/>
        </w:rPr>
        <w:t xml:space="preserve"> </w:t>
      </w:r>
      <w:r>
        <w:rPr>
          <w:lang w:val="fr-FR"/>
        </w:rPr>
        <w:t>La formation</w:t>
      </w:r>
      <w:r w:rsidRPr="00E402C8">
        <w:rPr>
          <w:lang w:val="fr-FR"/>
        </w:rPr>
        <w:t xml:space="preserve"> des professionnels de la santé en matière de prise en charge des personnes vivant avec le VIH et de lutte contre la stigmatisation et la discrimination se poursuit. Dans le cadre de la formation continue, </w:t>
      </w:r>
      <w:r>
        <w:rPr>
          <w:lang w:val="fr-FR"/>
        </w:rPr>
        <w:t xml:space="preserve">plusieurs </w:t>
      </w:r>
      <w:r w:rsidRPr="00E402C8">
        <w:rPr>
          <w:lang w:val="fr-FR"/>
        </w:rPr>
        <w:t xml:space="preserve">ateliers </w:t>
      </w:r>
      <w:r>
        <w:rPr>
          <w:lang w:val="fr-FR"/>
        </w:rPr>
        <w:t>ont été organisés</w:t>
      </w:r>
      <w:r w:rsidRPr="00E402C8">
        <w:rPr>
          <w:lang w:val="fr-FR"/>
        </w:rPr>
        <w:t xml:space="preserve"> à l</w:t>
      </w:r>
      <w:r w:rsidR="00795C5F">
        <w:rPr>
          <w:lang w:val="fr-FR"/>
        </w:rPr>
        <w:t>’</w:t>
      </w:r>
      <w:r w:rsidRPr="00E402C8">
        <w:rPr>
          <w:lang w:val="fr-FR"/>
        </w:rPr>
        <w:t xml:space="preserve">intention de membres du personnel soignant et de professionnels de secteurs autres que celui de la santé. </w:t>
      </w:r>
      <w:r>
        <w:rPr>
          <w:lang w:val="fr-FR"/>
        </w:rPr>
        <w:t>Les traitements</w:t>
      </w:r>
      <w:r w:rsidRPr="00E402C8">
        <w:rPr>
          <w:lang w:val="fr-FR"/>
        </w:rPr>
        <w:t xml:space="preserve"> </w:t>
      </w:r>
      <w:r>
        <w:rPr>
          <w:lang w:val="fr-FR"/>
        </w:rPr>
        <w:t>sont également expliqués aux patients et à la population en général, l</w:t>
      </w:r>
      <w:r w:rsidR="00795C5F">
        <w:rPr>
          <w:lang w:val="fr-FR"/>
        </w:rPr>
        <w:t>’</w:t>
      </w:r>
      <w:r>
        <w:rPr>
          <w:lang w:val="fr-FR"/>
        </w:rPr>
        <w:t xml:space="preserve">idée étant de renforcer les capacités en matière </w:t>
      </w:r>
      <w:r w:rsidRPr="00E402C8">
        <w:rPr>
          <w:lang w:val="fr-FR"/>
        </w:rPr>
        <w:t>de préventions primaire et secondaire</w:t>
      </w:r>
      <w:r>
        <w:rPr>
          <w:lang w:val="fr-FR"/>
        </w:rPr>
        <w:t xml:space="preserve"> et d</w:t>
      </w:r>
      <w:r w:rsidR="00795C5F">
        <w:rPr>
          <w:lang w:val="fr-FR"/>
        </w:rPr>
        <w:t>’</w:t>
      </w:r>
      <w:r w:rsidRPr="00E402C8">
        <w:rPr>
          <w:lang w:val="fr-FR"/>
        </w:rPr>
        <w:t>améliorer l</w:t>
      </w:r>
      <w:r w:rsidR="00795C5F">
        <w:rPr>
          <w:lang w:val="fr-FR"/>
        </w:rPr>
        <w:t>’</w:t>
      </w:r>
      <w:r w:rsidRPr="00E402C8">
        <w:rPr>
          <w:lang w:val="fr-FR"/>
        </w:rPr>
        <w:t>adhésion au</w:t>
      </w:r>
      <w:r>
        <w:rPr>
          <w:lang w:val="fr-FR"/>
        </w:rPr>
        <w:t>x</w:t>
      </w:r>
      <w:r w:rsidRPr="00E402C8">
        <w:rPr>
          <w:lang w:val="fr-FR"/>
        </w:rPr>
        <w:t xml:space="preserve"> protocole</w:t>
      </w:r>
      <w:r>
        <w:rPr>
          <w:lang w:val="fr-FR"/>
        </w:rPr>
        <w:t>s de soins.</w:t>
      </w:r>
      <w:r w:rsidR="006E1537">
        <w:rPr>
          <w:lang w:val="fr-FR"/>
        </w:rPr>
        <w:t xml:space="preserve"> </w:t>
      </w:r>
    </w:p>
    <w:p w14:paraId="27911836" w14:textId="37D89988" w:rsidR="003933A1" w:rsidRPr="00E402C8" w:rsidRDefault="003933A1" w:rsidP="00B60353">
      <w:pPr>
        <w:pStyle w:val="SingleTxt"/>
        <w:numPr>
          <w:ilvl w:val="0"/>
          <w:numId w:val="35"/>
        </w:numPr>
        <w:spacing w:line="240" w:lineRule="exact"/>
        <w:rPr>
          <w:lang w:val="fr-FR"/>
        </w:rPr>
      </w:pPr>
      <w:r w:rsidRPr="00E402C8">
        <w:rPr>
          <w:lang w:val="fr-FR"/>
        </w:rPr>
        <w:t>Le Ministère de la santé et de la qualité de vie a adopté et suit les lignes directrices relatives au VIH publiées par l</w:t>
      </w:r>
      <w:r w:rsidR="00795C5F">
        <w:rPr>
          <w:lang w:val="fr-FR"/>
        </w:rPr>
        <w:t>’</w:t>
      </w:r>
      <w:r w:rsidRPr="00E402C8">
        <w:rPr>
          <w:lang w:val="fr-FR"/>
        </w:rPr>
        <w:t>OMS en 2015. Pour ce faire, il fait constamment campagne en faveur de</w:t>
      </w:r>
      <w:r w:rsidR="00795C5F">
        <w:rPr>
          <w:lang w:val="fr-FR"/>
        </w:rPr>
        <w:t> :</w:t>
      </w:r>
    </w:p>
    <w:p w14:paraId="045A8904" w14:textId="0B86B619" w:rsidR="003933A1" w:rsidRPr="00E402C8" w:rsidRDefault="00B60353" w:rsidP="00B60353">
      <w:pPr>
        <w:pStyle w:val="SingleTxt"/>
        <w:tabs>
          <w:tab w:val="right" w:pos="1685"/>
        </w:tabs>
        <w:ind w:left="1742" w:hanging="475"/>
        <w:rPr>
          <w:lang w:val="fr-FR"/>
        </w:rPr>
      </w:pPr>
      <w:r>
        <w:rPr>
          <w:rStyle w:val="admitted"/>
          <w:lang w:val="fr-FR"/>
        </w:rPr>
        <w:tab/>
        <w:t>•</w:t>
      </w:r>
      <w:r>
        <w:rPr>
          <w:rStyle w:val="admitted"/>
          <w:lang w:val="fr-FR"/>
        </w:rPr>
        <w:tab/>
        <w:t>L</w:t>
      </w:r>
      <w:r w:rsidR="003933A1" w:rsidRPr="00E402C8">
        <w:rPr>
          <w:rStyle w:val="admitted"/>
          <w:lang w:val="fr-FR"/>
        </w:rPr>
        <w:t>a prophylaxie préexposition</w:t>
      </w:r>
      <w:r w:rsidR="003933A1" w:rsidRPr="00E402C8">
        <w:rPr>
          <w:lang w:val="fr-FR"/>
        </w:rPr>
        <w:t xml:space="preserve"> pour les personnes courant un risque important de contracter le VIH</w:t>
      </w:r>
      <w:r w:rsidR="00795C5F">
        <w:rPr>
          <w:lang w:val="fr-FR"/>
        </w:rPr>
        <w:t> ;</w:t>
      </w:r>
    </w:p>
    <w:p w14:paraId="2047172D" w14:textId="2E6F3580" w:rsidR="003933A1" w:rsidRPr="00E402C8" w:rsidRDefault="00B60353" w:rsidP="00B60353">
      <w:pPr>
        <w:pStyle w:val="SingleTxt"/>
        <w:tabs>
          <w:tab w:val="right" w:pos="1685"/>
        </w:tabs>
        <w:ind w:left="1742" w:hanging="475"/>
        <w:rPr>
          <w:lang w:val="fr-FR"/>
        </w:rPr>
      </w:pPr>
      <w:r>
        <w:rPr>
          <w:lang w:val="fr-FR"/>
        </w:rPr>
        <w:tab/>
        <w:t>•</w:t>
      </w:r>
      <w:r>
        <w:rPr>
          <w:lang w:val="fr-FR"/>
        </w:rPr>
        <w:tab/>
        <w:t>L</w:t>
      </w:r>
      <w:r w:rsidR="003933A1" w:rsidRPr="00E402C8">
        <w:rPr>
          <w:lang w:val="fr-FR"/>
        </w:rPr>
        <w:t>e suivi et l</w:t>
      </w:r>
      <w:r w:rsidR="00795C5F">
        <w:rPr>
          <w:lang w:val="fr-FR"/>
        </w:rPr>
        <w:t>’</w:t>
      </w:r>
      <w:r w:rsidR="003933A1" w:rsidRPr="00E402C8">
        <w:rPr>
          <w:lang w:val="fr-FR"/>
        </w:rPr>
        <w:t xml:space="preserve">évaluation des services </w:t>
      </w:r>
      <w:r w:rsidR="003933A1">
        <w:rPr>
          <w:lang w:val="fr-FR"/>
        </w:rPr>
        <w:t>spécialisés</w:t>
      </w:r>
      <w:r w:rsidR="00795C5F">
        <w:rPr>
          <w:lang w:val="fr-FR"/>
        </w:rPr>
        <w:t> ;</w:t>
      </w:r>
    </w:p>
    <w:p w14:paraId="6250E014" w14:textId="7B642E10" w:rsidR="003933A1" w:rsidRPr="00E402C8" w:rsidRDefault="00B60353" w:rsidP="00B60353">
      <w:pPr>
        <w:pStyle w:val="SingleTxt"/>
        <w:tabs>
          <w:tab w:val="right" w:pos="1685"/>
        </w:tabs>
        <w:ind w:left="1742" w:hanging="475"/>
        <w:rPr>
          <w:lang w:val="fr-FR"/>
        </w:rPr>
      </w:pPr>
      <w:r>
        <w:rPr>
          <w:lang w:val="fr-FR"/>
        </w:rPr>
        <w:tab/>
        <w:t>•</w:t>
      </w:r>
      <w:r>
        <w:rPr>
          <w:lang w:val="fr-FR"/>
        </w:rPr>
        <w:tab/>
        <w:t>L</w:t>
      </w:r>
      <w:r w:rsidR="003933A1">
        <w:rPr>
          <w:lang w:val="fr-FR"/>
        </w:rPr>
        <w:t>a révision</w:t>
      </w:r>
      <w:r w:rsidR="003933A1" w:rsidRPr="00E402C8">
        <w:rPr>
          <w:lang w:val="fr-FR"/>
        </w:rPr>
        <w:t xml:space="preserve"> constante de la prise en charge des personnes vivant avec le VIH, </w:t>
      </w:r>
      <w:r w:rsidR="003933A1">
        <w:rPr>
          <w:lang w:val="fr-FR"/>
        </w:rPr>
        <w:t>conformément aux recommandations que fait</w:t>
      </w:r>
      <w:r w:rsidR="003933A1" w:rsidRPr="00E402C8">
        <w:rPr>
          <w:lang w:val="fr-FR"/>
        </w:rPr>
        <w:t xml:space="preserve"> l</w:t>
      </w:r>
      <w:r w:rsidR="00795C5F">
        <w:rPr>
          <w:lang w:val="fr-FR"/>
        </w:rPr>
        <w:t>’</w:t>
      </w:r>
      <w:r w:rsidR="003933A1" w:rsidRPr="00E402C8">
        <w:rPr>
          <w:lang w:val="fr-FR"/>
        </w:rPr>
        <w:t>OMS dans ses lignes directrices.</w:t>
      </w:r>
    </w:p>
    <w:p w14:paraId="53B14B16" w14:textId="42203E38" w:rsidR="003933A1" w:rsidRPr="00B60353" w:rsidRDefault="003933A1" w:rsidP="00B60353">
      <w:pPr>
        <w:pStyle w:val="SingleTxtG"/>
        <w:shd w:val="clear" w:color="auto" w:fill="FFFFFF" w:themeFill="background1"/>
        <w:tabs>
          <w:tab w:val="right" w:pos="1685"/>
        </w:tabs>
        <w:spacing w:after="0" w:line="120" w:lineRule="exact"/>
        <w:ind w:left="1742" w:hanging="475"/>
        <w:rPr>
          <w:sz w:val="10"/>
          <w:lang w:val="fr-FR"/>
        </w:rPr>
      </w:pPr>
    </w:p>
    <w:p w14:paraId="69FFD3EA" w14:textId="1671B597" w:rsidR="00B60353" w:rsidRPr="00B60353" w:rsidRDefault="00B60353" w:rsidP="00B60353">
      <w:pPr>
        <w:pStyle w:val="SingleTxtG"/>
        <w:shd w:val="clear" w:color="auto" w:fill="FFFFFF" w:themeFill="background1"/>
        <w:tabs>
          <w:tab w:val="right" w:pos="1685"/>
        </w:tabs>
        <w:spacing w:after="0" w:line="120" w:lineRule="exact"/>
        <w:ind w:left="1742" w:hanging="475"/>
        <w:rPr>
          <w:sz w:val="10"/>
          <w:lang w:val="fr-FR"/>
        </w:rPr>
      </w:pPr>
    </w:p>
    <w:p w14:paraId="539A7371" w14:textId="7E0BFADE" w:rsidR="003933A1" w:rsidRDefault="00B60353" w:rsidP="003E17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3933A1" w:rsidRPr="007A3326">
        <w:rPr>
          <w:lang w:val="fr-FR"/>
        </w:rPr>
        <w:t>Groupes de femmes défavorisés</w:t>
      </w:r>
    </w:p>
    <w:p w14:paraId="2CA40146" w14:textId="2AD1A031" w:rsidR="00B60353" w:rsidRPr="00B60353" w:rsidRDefault="00B60353" w:rsidP="003E1795">
      <w:pPr>
        <w:pStyle w:val="SingleTxt"/>
        <w:keepNext/>
        <w:keepLines/>
        <w:spacing w:after="0" w:line="120" w:lineRule="exact"/>
        <w:rPr>
          <w:sz w:val="10"/>
          <w:lang w:val="fr-FR"/>
        </w:rPr>
      </w:pPr>
    </w:p>
    <w:p w14:paraId="46FB2F66" w14:textId="2D562D5A" w:rsidR="00B60353" w:rsidRPr="00B60353" w:rsidRDefault="00B60353" w:rsidP="003E1795">
      <w:pPr>
        <w:pStyle w:val="SingleTxt"/>
        <w:keepNext/>
        <w:keepLines/>
        <w:spacing w:after="0" w:line="120" w:lineRule="exact"/>
        <w:rPr>
          <w:sz w:val="10"/>
          <w:lang w:val="fr-FR"/>
        </w:rPr>
      </w:pPr>
    </w:p>
    <w:p w14:paraId="674B97D5" w14:textId="30C3B42E" w:rsidR="003933A1" w:rsidRDefault="003933A1" w:rsidP="00B60353">
      <w:pPr>
        <w:pStyle w:val="SingleTxt"/>
        <w:numPr>
          <w:ilvl w:val="0"/>
          <w:numId w:val="35"/>
        </w:numPr>
        <w:spacing w:line="240" w:lineRule="exact"/>
        <w:rPr>
          <w:lang w:val="fr-FR"/>
        </w:rPr>
      </w:pPr>
      <w:r w:rsidRPr="007A3326">
        <w:rPr>
          <w:lang w:val="fr-FR"/>
        </w:rPr>
        <w:t>État-Providence, Maurice garantit à tous ses citoyens l</w:t>
      </w:r>
      <w:r w:rsidR="00795C5F">
        <w:rPr>
          <w:lang w:val="fr-FR"/>
        </w:rPr>
        <w:t>’</w:t>
      </w:r>
      <w:r w:rsidRPr="007A3326">
        <w:rPr>
          <w:lang w:val="fr-FR"/>
        </w:rPr>
        <w:t>accès gratuit aux services de santé et à l</w:t>
      </w:r>
      <w:r w:rsidR="00795C5F">
        <w:rPr>
          <w:lang w:val="fr-FR"/>
        </w:rPr>
        <w:t>’</w:t>
      </w:r>
      <w:r w:rsidRPr="007A3326">
        <w:rPr>
          <w:lang w:val="fr-FR"/>
        </w:rPr>
        <w:t>enseignement ainsi qu</w:t>
      </w:r>
      <w:r w:rsidR="00795C5F">
        <w:rPr>
          <w:lang w:val="fr-FR"/>
        </w:rPr>
        <w:t>’</w:t>
      </w:r>
      <w:r w:rsidRPr="007A3326">
        <w:rPr>
          <w:lang w:val="fr-FR"/>
        </w:rPr>
        <w:t>une pension de retraite de base. La Constitution mauricienne protège la liberté et les droits fondamentaux de tous et garantit que nul ne soit victim</w:t>
      </w:r>
      <w:r>
        <w:rPr>
          <w:lang w:val="fr-FR"/>
        </w:rPr>
        <w:t>e de discrimination, quel</w:t>
      </w:r>
      <w:r w:rsidRPr="007A3326">
        <w:rPr>
          <w:lang w:val="fr-FR"/>
        </w:rPr>
        <w:t xml:space="preserve"> qu</w:t>
      </w:r>
      <w:r w:rsidR="00795C5F">
        <w:rPr>
          <w:lang w:val="fr-FR"/>
        </w:rPr>
        <w:t>’</w:t>
      </w:r>
      <w:r w:rsidRPr="007A3326">
        <w:rPr>
          <w:lang w:val="fr-FR"/>
        </w:rPr>
        <w:t>il soit. En milieu rural, les femmes sont traitées de la même façon qu</w:t>
      </w:r>
      <w:r w:rsidR="00795C5F">
        <w:rPr>
          <w:lang w:val="fr-FR"/>
        </w:rPr>
        <w:t>’</w:t>
      </w:r>
      <w:r w:rsidRPr="007A3326">
        <w:rPr>
          <w:lang w:val="fr-FR"/>
        </w:rPr>
        <w:t>en milieu urbain et bénéficient de nombreux services, lesquels sont généralement décentralisés et facilement accessibles. Le Ministère de l</w:t>
      </w:r>
      <w:r w:rsidR="00795C5F">
        <w:rPr>
          <w:lang w:val="fr-FR"/>
        </w:rPr>
        <w:t>’</w:t>
      </w:r>
      <w:r w:rsidRPr="007A3326">
        <w:rPr>
          <w:lang w:val="fr-FR"/>
        </w:rPr>
        <w:t>intégration sociale et de l</w:t>
      </w:r>
      <w:r w:rsidR="00795C5F">
        <w:rPr>
          <w:lang w:val="fr-FR"/>
        </w:rPr>
        <w:t>’</w:t>
      </w:r>
      <w:r w:rsidRPr="007A3326">
        <w:rPr>
          <w:lang w:val="fr-FR"/>
        </w:rPr>
        <w:t>émancipation économique s</w:t>
      </w:r>
      <w:r w:rsidR="00795C5F">
        <w:rPr>
          <w:lang w:val="fr-FR"/>
        </w:rPr>
        <w:t>’</w:t>
      </w:r>
      <w:r w:rsidRPr="007A3326">
        <w:rPr>
          <w:lang w:val="fr-FR"/>
        </w:rPr>
        <w:t>emploie à promouvoir le développement socioéconomique des femmes vulnérables dans tous les programmes et toutes les politiques qu</w:t>
      </w:r>
      <w:r w:rsidR="00795C5F">
        <w:rPr>
          <w:lang w:val="fr-FR"/>
        </w:rPr>
        <w:t>’</w:t>
      </w:r>
      <w:r w:rsidRPr="007A3326">
        <w:rPr>
          <w:lang w:val="fr-FR"/>
        </w:rPr>
        <w:t>il élabore en faveur de l</w:t>
      </w:r>
      <w:r w:rsidR="00795C5F">
        <w:rPr>
          <w:lang w:val="fr-FR"/>
        </w:rPr>
        <w:t>’</w:t>
      </w:r>
      <w:r w:rsidRPr="007A3326">
        <w:rPr>
          <w:lang w:val="fr-FR"/>
        </w:rPr>
        <w:t xml:space="preserve">autonomisation. Les données relatives aux ménages dirigés par des femmes et aux femmes prestataires inscrites dans la base de données </w:t>
      </w:r>
      <w:r>
        <w:rPr>
          <w:lang w:val="fr-FR"/>
        </w:rPr>
        <w:t>des services sociaux (</w:t>
      </w:r>
      <w:r w:rsidR="00A27CC2" w:rsidRPr="00963FD1">
        <w:rPr>
          <w:i/>
          <w:iCs/>
          <w:lang w:val="fr-FR"/>
        </w:rPr>
        <w:t>Social</w:t>
      </w:r>
      <w:r w:rsidR="00A27CC2">
        <w:rPr>
          <w:i/>
          <w:iCs/>
          <w:lang w:val="fr-FR"/>
        </w:rPr>
        <w:t> </w:t>
      </w:r>
      <w:r w:rsidRPr="00963FD1">
        <w:rPr>
          <w:i/>
          <w:iCs/>
          <w:lang w:val="fr-FR"/>
        </w:rPr>
        <w:t>Register of Mauritius</w:t>
      </w:r>
      <w:r>
        <w:rPr>
          <w:lang w:val="fr-FR"/>
        </w:rPr>
        <w:t>)</w:t>
      </w:r>
      <w:r w:rsidRPr="007A3326">
        <w:rPr>
          <w:lang w:val="fr-FR"/>
        </w:rPr>
        <w:t xml:space="preserve"> </w:t>
      </w:r>
      <w:r>
        <w:rPr>
          <w:lang w:val="fr-FR"/>
        </w:rPr>
        <w:t>qui bénéficie</w:t>
      </w:r>
      <w:r w:rsidRPr="007A3326">
        <w:rPr>
          <w:lang w:val="fr-FR"/>
        </w:rPr>
        <w:t>nt des programmes d</w:t>
      </w:r>
      <w:r w:rsidR="00795C5F">
        <w:rPr>
          <w:lang w:val="fr-FR"/>
        </w:rPr>
        <w:t>’</w:t>
      </w:r>
      <w:r w:rsidRPr="007A3326">
        <w:rPr>
          <w:lang w:val="fr-FR"/>
        </w:rPr>
        <w:t xml:space="preserve">autonomisation du Ministère sont récapitulées dans le tableau ci-après. </w:t>
      </w:r>
    </w:p>
    <w:p w14:paraId="2EDC3AAD" w14:textId="51C3CA00" w:rsidR="00B60353" w:rsidRPr="00B60353" w:rsidRDefault="00B60353" w:rsidP="00B60353">
      <w:pPr>
        <w:pStyle w:val="SingleTxt"/>
        <w:spacing w:after="0" w:line="120" w:lineRule="exact"/>
        <w:rPr>
          <w:sz w:val="10"/>
          <w:lang w:val="fr-FR"/>
        </w:rPr>
      </w:pPr>
    </w:p>
    <w:tbl>
      <w:tblPr>
        <w:tblStyle w:val="TableGrid"/>
        <w:tblW w:w="7226"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3"/>
        <w:gridCol w:w="1337"/>
        <w:gridCol w:w="1338"/>
        <w:gridCol w:w="1338"/>
      </w:tblGrid>
      <w:tr w:rsidR="003933A1" w:rsidRPr="00B60353" w14:paraId="274B4F2B" w14:textId="77777777" w:rsidTr="00D85F19">
        <w:trPr>
          <w:tblHeader/>
        </w:trPr>
        <w:tc>
          <w:tcPr>
            <w:tcW w:w="2223" w:type="pct"/>
            <w:tcBorders>
              <w:top w:val="single" w:sz="4" w:space="0" w:color="auto"/>
              <w:bottom w:val="single" w:sz="12" w:space="0" w:color="auto"/>
            </w:tcBorders>
            <w:shd w:val="clear" w:color="auto" w:fill="auto"/>
            <w:vAlign w:val="bottom"/>
          </w:tcPr>
          <w:p w14:paraId="5A0CA1CA" w14:textId="77777777" w:rsidR="003933A1" w:rsidRPr="00B60353" w:rsidRDefault="003933A1" w:rsidP="00545975">
            <w:pPr>
              <w:spacing w:before="80" w:after="80" w:line="160" w:lineRule="exact"/>
              <w:ind w:right="40"/>
              <w:rPr>
                <w:i/>
                <w:sz w:val="14"/>
              </w:rPr>
            </w:pPr>
          </w:p>
        </w:tc>
        <w:tc>
          <w:tcPr>
            <w:tcW w:w="925" w:type="pct"/>
            <w:tcBorders>
              <w:top w:val="single" w:sz="4" w:space="0" w:color="auto"/>
              <w:bottom w:val="single" w:sz="12" w:space="0" w:color="auto"/>
            </w:tcBorders>
            <w:shd w:val="clear" w:color="auto" w:fill="auto"/>
            <w:vAlign w:val="bottom"/>
          </w:tcPr>
          <w:p w14:paraId="31A7B34D" w14:textId="77777777" w:rsidR="003933A1" w:rsidRPr="00B60353" w:rsidRDefault="003933A1" w:rsidP="00545975">
            <w:pPr>
              <w:spacing w:before="80" w:after="80" w:line="160" w:lineRule="exact"/>
              <w:ind w:left="144" w:right="43"/>
              <w:jc w:val="right"/>
              <w:rPr>
                <w:i/>
                <w:sz w:val="14"/>
              </w:rPr>
            </w:pPr>
            <w:r w:rsidRPr="00B60353">
              <w:rPr>
                <w:i/>
                <w:sz w:val="14"/>
              </w:rPr>
              <w:t>Hommes</w:t>
            </w:r>
          </w:p>
        </w:tc>
        <w:tc>
          <w:tcPr>
            <w:tcW w:w="926" w:type="pct"/>
            <w:tcBorders>
              <w:top w:val="single" w:sz="4" w:space="0" w:color="auto"/>
              <w:bottom w:val="single" w:sz="12" w:space="0" w:color="auto"/>
            </w:tcBorders>
            <w:shd w:val="clear" w:color="auto" w:fill="auto"/>
            <w:vAlign w:val="bottom"/>
          </w:tcPr>
          <w:p w14:paraId="0996608D" w14:textId="77777777" w:rsidR="003933A1" w:rsidRPr="00B60353" w:rsidRDefault="003933A1" w:rsidP="00545975">
            <w:pPr>
              <w:spacing w:before="80" w:after="80" w:line="160" w:lineRule="exact"/>
              <w:ind w:left="144" w:right="43"/>
              <w:jc w:val="right"/>
              <w:rPr>
                <w:i/>
                <w:sz w:val="14"/>
              </w:rPr>
            </w:pPr>
            <w:r w:rsidRPr="00B60353">
              <w:rPr>
                <w:i/>
                <w:sz w:val="14"/>
              </w:rPr>
              <w:t>Femmes</w:t>
            </w:r>
          </w:p>
        </w:tc>
        <w:tc>
          <w:tcPr>
            <w:tcW w:w="926" w:type="pct"/>
            <w:tcBorders>
              <w:top w:val="single" w:sz="4" w:space="0" w:color="auto"/>
              <w:bottom w:val="single" w:sz="12" w:space="0" w:color="auto"/>
            </w:tcBorders>
            <w:shd w:val="clear" w:color="auto" w:fill="auto"/>
            <w:vAlign w:val="bottom"/>
          </w:tcPr>
          <w:p w14:paraId="6902B0F3" w14:textId="77777777" w:rsidR="003933A1" w:rsidRPr="00B60353" w:rsidRDefault="003933A1" w:rsidP="00545975">
            <w:pPr>
              <w:spacing w:before="80" w:after="80" w:line="160" w:lineRule="exact"/>
              <w:ind w:left="144" w:right="43"/>
              <w:jc w:val="right"/>
              <w:rPr>
                <w:i/>
                <w:sz w:val="14"/>
              </w:rPr>
            </w:pPr>
            <w:r w:rsidRPr="00B60353">
              <w:rPr>
                <w:i/>
                <w:sz w:val="14"/>
              </w:rPr>
              <w:t>Total</w:t>
            </w:r>
          </w:p>
        </w:tc>
      </w:tr>
      <w:tr w:rsidR="00B60353" w:rsidRPr="00B60353" w14:paraId="020A320C" w14:textId="77777777" w:rsidTr="00D85F19">
        <w:trPr>
          <w:trHeight w:hRule="exact" w:val="115"/>
          <w:tblHeader/>
        </w:trPr>
        <w:tc>
          <w:tcPr>
            <w:tcW w:w="2223" w:type="pct"/>
            <w:tcBorders>
              <w:top w:val="single" w:sz="12" w:space="0" w:color="auto"/>
            </w:tcBorders>
            <w:shd w:val="clear" w:color="auto" w:fill="auto"/>
            <w:vAlign w:val="bottom"/>
          </w:tcPr>
          <w:p w14:paraId="1F0369B0" w14:textId="77777777" w:rsidR="00B60353" w:rsidRPr="00B60353" w:rsidRDefault="00B60353" w:rsidP="00B60353">
            <w:pPr>
              <w:spacing w:before="40" w:after="40" w:line="210" w:lineRule="exact"/>
              <w:ind w:right="40"/>
              <w:rPr>
                <w:sz w:val="17"/>
              </w:rPr>
            </w:pPr>
          </w:p>
        </w:tc>
        <w:tc>
          <w:tcPr>
            <w:tcW w:w="925" w:type="pct"/>
            <w:tcBorders>
              <w:top w:val="single" w:sz="12" w:space="0" w:color="auto"/>
            </w:tcBorders>
            <w:shd w:val="clear" w:color="auto" w:fill="auto"/>
            <w:vAlign w:val="bottom"/>
          </w:tcPr>
          <w:p w14:paraId="60FA4EAA" w14:textId="77777777" w:rsidR="00B60353" w:rsidRPr="00B60353" w:rsidRDefault="00B60353" w:rsidP="00B60353">
            <w:pPr>
              <w:spacing w:before="40" w:after="40" w:line="210" w:lineRule="exact"/>
              <w:ind w:left="144" w:right="43"/>
              <w:jc w:val="right"/>
              <w:rPr>
                <w:sz w:val="17"/>
              </w:rPr>
            </w:pPr>
          </w:p>
        </w:tc>
        <w:tc>
          <w:tcPr>
            <w:tcW w:w="926" w:type="pct"/>
            <w:tcBorders>
              <w:top w:val="single" w:sz="12" w:space="0" w:color="auto"/>
            </w:tcBorders>
            <w:shd w:val="clear" w:color="auto" w:fill="auto"/>
            <w:vAlign w:val="bottom"/>
          </w:tcPr>
          <w:p w14:paraId="7DA8C5C4" w14:textId="77777777" w:rsidR="00B60353" w:rsidRPr="00B60353" w:rsidRDefault="00B60353" w:rsidP="00B60353">
            <w:pPr>
              <w:spacing w:before="40" w:after="40" w:line="210" w:lineRule="exact"/>
              <w:ind w:left="144" w:right="43"/>
              <w:jc w:val="right"/>
              <w:rPr>
                <w:sz w:val="17"/>
              </w:rPr>
            </w:pPr>
          </w:p>
        </w:tc>
        <w:tc>
          <w:tcPr>
            <w:tcW w:w="926" w:type="pct"/>
            <w:tcBorders>
              <w:top w:val="single" w:sz="12" w:space="0" w:color="auto"/>
            </w:tcBorders>
            <w:shd w:val="clear" w:color="auto" w:fill="auto"/>
            <w:vAlign w:val="bottom"/>
          </w:tcPr>
          <w:p w14:paraId="4EB7F3A0" w14:textId="77777777" w:rsidR="00B60353" w:rsidRPr="00B60353" w:rsidRDefault="00B60353" w:rsidP="00B60353">
            <w:pPr>
              <w:spacing w:before="40" w:after="40" w:line="210" w:lineRule="exact"/>
              <w:ind w:left="144" w:right="43"/>
              <w:jc w:val="right"/>
              <w:rPr>
                <w:sz w:val="17"/>
              </w:rPr>
            </w:pPr>
          </w:p>
        </w:tc>
      </w:tr>
      <w:tr w:rsidR="003933A1" w:rsidRPr="00B60353" w14:paraId="1AD99601" w14:textId="77777777" w:rsidTr="00D85F19">
        <w:tc>
          <w:tcPr>
            <w:tcW w:w="2223" w:type="pct"/>
            <w:shd w:val="clear" w:color="auto" w:fill="auto"/>
            <w:vAlign w:val="bottom"/>
          </w:tcPr>
          <w:p w14:paraId="0F28E5E3" w14:textId="77777777" w:rsidR="003933A1" w:rsidRPr="00B60353" w:rsidRDefault="003933A1" w:rsidP="00B60353">
            <w:pPr>
              <w:tabs>
                <w:tab w:val="left" w:pos="288"/>
                <w:tab w:val="left" w:pos="576"/>
                <w:tab w:val="left" w:pos="864"/>
                <w:tab w:val="left" w:pos="1152"/>
              </w:tabs>
              <w:spacing w:before="40" w:after="40" w:line="210" w:lineRule="exact"/>
              <w:ind w:right="40"/>
              <w:rPr>
                <w:sz w:val="17"/>
              </w:rPr>
            </w:pPr>
            <w:r w:rsidRPr="00B60353">
              <w:rPr>
                <w:sz w:val="17"/>
              </w:rPr>
              <w:t xml:space="preserve">Nombre de foyers </w:t>
            </w:r>
          </w:p>
        </w:tc>
        <w:tc>
          <w:tcPr>
            <w:tcW w:w="925" w:type="pct"/>
            <w:shd w:val="clear" w:color="auto" w:fill="auto"/>
            <w:vAlign w:val="bottom"/>
          </w:tcPr>
          <w:p w14:paraId="2F07F0F6" w14:textId="77777777" w:rsidR="003933A1" w:rsidRPr="00B60353" w:rsidRDefault="003933A1" w:rsidP="00B60353">
            <w:pPr>
              <w:tabs>
                <w:tab w:val="left" w:pos="288"/>
                <w:tab w:val="left" w:pos="576"/>
                <w:tab w:val="left" w:pos="864"/>
                <w:tab w:val="left" w:pos="1152"/>
              </w:tabs>
              <w:spacing w:before="40" w:after="40" w:line="210" w:lineRule="exact"/>
              <w:ind w:left="144" w:right="43"/>
              <w:jc w:val="right"/>
              <w:rPr>
                <w:sz w:val="17"/>
              </w:rPr>
            </w:pPr>
            <w:r w:rsidRPr="00B60353">
              <w:rPr>
                <w:sz w:val="17"/>
              </w:rPr>
              <w:t>6 401</w:t>
            </w:r>
          </w:p>
        </w:tc>
        <w:tc>
          <w:tcPr>
            <w:tcW w:w="926" w:type="pct"/>
            <w:shd w:val="clear" w:color="auto" w:fill="auto"/>
            <w:vAlign w:val="bottom"/>
          </w:tcPr>
          <w:p w14:paraId="5EB3C962" w14:textId="77777777" w:rsidR="003933A1" w:rsidRPr="00B60353" w:rsidRDefault="003933A1" w:rsidP="00B60353">
            <w:pPr>
              <w:tabs>
                <w:tab w:val="left" w:pos="288"/>
                <w:tab w:val="left" w:pos="576"/>
                <w:tab w:val="left" w:pos="864"/>
                <w:tab w:val="left" w:pos="1152"/>
              </w:tabs>
              <w:spacing w:before="40" w:after="40" w:line="210" w:lineRule="exact"/>
              <w:ind w:left="144" w:right="43"/>
              <w:jc w:val="right"/>
              <w:rPr>
                <w:sz w:val="17"/>
              </w:rPr>
            </w:pPr>
            <w:r w:rsidRPr="00B60353">
              <w:rPr>
                <w:sz w:val="17"/>
              </w:rPr>
              <w:t>3 969</w:t>
            </w:r>
          </w:p>
        </w:tc>
        <w:tc>
          <w:tcPr>
            <w:tcW w:w="926" w:type="pct"/>
            <w:shd w:val="clear" w:color="auto" w:fill="auto"/>
            <w:vAlign w:val="bottom"/>
          </w:tcPr>
          <w:p w14:paraId="3241A166" w14:textId="77777777" w:rsidR="003933A1" w:rsidRPr="00B60353" w:rsidRDefault="003933A1" w:rsidP="00B60353">
            <w:pPr>
              <w:tabs>
                <w:tab w:val="left" w:pos="288"/>
                <w:tab w:val="left" w:pos="576"/>
                <w:tab w:val="left" w:pos="864"/>
                <w:tab w:val="left" w:pos="1152"/>
              </w:tabs>
              <w:spacing w:before="40" w:after="40" w:line="210" w:lineRule="exact"/>
              <w:ind w:left="144" w:right="43"/>
              <w:jc w:val="right"/>
              <w:rPr>
                <w:sz w:val="17"/>
              </w:rPr>
            </w:pPr>
            <w:r w:rsidRPr="00B60353">
              <w:rPr>
                <w:sz w:val="17"/>
              </w:rPr>
              <w:t>10 370</w:t>
            </w:r>
          </w:p>
        </w:tc>
      </w:tr>
      <w:tr w:rsidR="003933A1" w:rsidRPr="00B60353" w14:paraId="082CA85D" w14:textId="77777777" w:rsidTr="00D85F19">
        <w:tc>
          <w:tcPr>
            <w:tcW w:w="2223" w:type="pct"/>
            <w:tcBorders>
              <w:bottom w:val="single" w:sz="12" w:space="0" w:color="auto"/>
            </w:tcBorders>
            <w:shd w:val="clear" w:color="auto" w:fill="auto"/>
            <w:vAlign w:val="bottom"/>
          </w:tcPr>
          <w:p w14:paraId="285C76F0" w14:textId="77777777" w:rsidR="003933A1" w:rsidRPr="00B60353" w:rsidRDefault="003933A1" w:rsidP="00B60353">
            <w:pPr>
              <w:tabs>
                <w:tab w:val="left" w:pos="288"/>
                <w:tab w:val="left" w:pos="576"/>
                <w:tab w:val="left" w:pos="864"/>
                <w:tab w:val="left" w:pos="1152"/>
              </w:tabs>
              <w:spacing w:before="40" w:after="40" w:line="210" w:lineRule="exact"/>
              <w:ind w:right="40"/>
              <w:rPr>
                <w:sz w:val="17"/>
              </w:rPr>
            </w:pPr>
            <w:r w:rsidRPr="00B60353">
              <w:rPr>
                <w:sz w:val="17"/>
              </w:rPr>
              <w:t xml:space="preserve">Nombre de prestataires </w:t>
            </w:r>
          </w:p>
        </w:tc>
        <w:tc>
          <w:tcPr>
            <w:tcW w:w="925" w:type="pct"/>
            <w:tcBorders>
              <w:bottom w:val="single" w:sz="12" w:space="0" w:color="auto"/>
            </w:tcBorders>
            <w:shd w:val="clear" w:color="auto" w:fill="auto"/>
            <w:vAlign w:val="bottom"/>
          </w:tcPr>
          <w:p w14:paraId="7E4B8F1B" w14:textId="77777777" w:rsidR="003933A1" w:rsidRPr="00B60353" w:rsidRDefault="003933A1" w:rsidP="00B60353">
            <w:pPr>
              <w:tabs>
                <w:tab w:val="left" w:pos="288"/>
                <w:tab w:val="left" w:pos="576"/>
                <w:tab w:val="left" w:pos="864"/>
                <w:tab w:val="left" w:pos="1152"/>
              </w:tabs>
              <w:spacing w:before="40" w:after="40" w:line="210" w:lineRule="exact"/>
              <w:ind w:left="144" w:right="43"/>
              <w:jc w:val="right"/>
              <w:rPr>
                <w:sz w:val="17"/>
              </w:rPr>
            </w:pPr>
            <w:r w:rsidRPr="00B60353">
              <w:rPr>
                <w:sz w:val="17"/>
              </w:rPr>
              <w:t>19 101</w:t>
            </w:r>
          </w:p>
        </w:tc>
        <w:tc>
          <w:tcPr>
            <w:tcW w:w="926" w:type="pct"/>
            <w:tcBorders>
              <w:bottom w:val="single" w:sz="12" w:space="0" w:color="auto"/>
            </w:tcBorders>
            <w:shd w:val="clear" w:color="auto" w:fill="auto"/>
            <w:vAlign w:val="bottom"/>
          </w:tcPr>
          <w:p w14:paraId="33BDE84F" w14:textId="77777777" w:rsidR="003933A1" w:rsidRPr="00B60353" w:rsidRDefault="003933A1" w:rsidP="00B60353">
            <w:pPr>
              <w:tabs>
                <w:tab w:val="left" w:pos="288"/>
                <w:tab w:val="left" w:pos="576"/>
                <w:tab w:val="left" w:pos="864"/>
                <w:tab w:val="left" w:pos="1152"/>
              </w:tabs>
              <w:spacing w:before="40" w:after="40" w:line="210" w:lineRule="exact"/>
              <w:ind w:left="144" w:right="43"/>
              <w:jc w:val="right"/>
              <w:rPr>
                <w:sz w:val="17"/>
              </w:rPr>
            </w:pPr>
            <w:r w:rsidRPr="00B60353">
              <w:rPr>
                <w:sz w:val="17"/>
              </w:rPr>
              <w:t>21 884</w:t>
            </w:r>
          </w:p>
        </w:tc>
        <w:tc>
          <w:tcPr>
            <w:tcW w:w="926" w:type="pct"/>
            <w:tcBorders>
              <w:bottom w:val="single" w:sz="12" w:space="0" w:color="auto"/>
            </w:tcBorders>
            <w:shd w:val="clear" w:color="auto" w:fill="auto"/>
            <w:vAlign w:val="bottom"/>
          </w:tcPr>
          <w:p w14:paraId="1785EEF3" w14:textId="77777777" w:rsidR="003933A1" w:rsidRPr="00B60353" w:rsidRDefault="003933A1" w:rsidP="00B60353">
            <w:pPr>
              <w:tabs>
                <w:tab w:val="left" w:pos="288"/>
                <w:tab w:val="left" w:pos="576"/>
                <w:tab w:val="left" w:pos="864"/>
                <w:tab w:val="left" w:pos="1152"/>
              </w:tabs>
              <w:spacing w:before="40" w:after="40" w:line="210" w:lineRule="exact"/>
              <w:ind w:left="144" w:right="43"/>
              <w:jc w:val="right"/>
              <w:rPr>
                <w:sz w:val="17"/>
              </w:rPr>
            </w:pPr>
            <w:r w:rsidRPr="00B60353">
              <w:rPr>
                <w:sz w:val="17"/>
              </w:rPr>
              <w:t>40 985</w:t>
            </w:r>
          </w:p>
        </w:tc>
      </w:tr>
    </w:tbl>
    <w:p w14:paraId="03AC7A23" w14:textId="462E4994" w:rsidR="00B60353" w:rsidRPr="00457EF9" w:rsidRDefault="00B60353" w:rsidP="00457EF9">
      <w:pPr>
        <w:pStyle w:val="SingleTxt"/>
        <w:spacing w:after="0" w:line="120" w:lineRule="exact"/>
        <w:rPr>
          <w:sz w:val="10"/>
          <w:lang w:val="fr-FR"/>
        </w:rPr>
      </w:pPr>
    </w:p>
    <w:p w14:paraId="3443A139" w14:textId="13EC7658" w:rsidR="003933A1" w:rsidRDefault="003933A1" w:rsidP="00B60353">
      <w:pPr>
        <w:pStyle w:val="FootnoteText"/>
        <w:tabs>
          <w:tab w:val="right" w:pos="1476"/>
          <w:tab w:val="left" w:pos="1548"/>
          <w:tab w:val="right" w:pos="1836"/>
          <w:tab w:val="left" w:pos="1908"/>
        </w:tabs>
        <w:ind w:left="1548" w:right="1267" w:hanging="288"/>
        <w:rPr>
          <w:lang w:val="fr-FR"/>
        </w:rPr>
      </w:pPr>
      <w:r w:rsidRPr="00E402C8">
        <w:rPr>
          <w:i/>
          <w:lang w:val="fr-FR"/>
        </w:rPr>
        <w:t>Source</w:t>
      </w:r>
      <w:r w:rsidR="00795C5F">
        <w:rPr>
          <w:i/>
          <w:lang w:val="fr-FR"/>
        </w:rPr>
        <w:t> </w:t>
      </w:r>
      <w:r w:rsidR="00795C5F" w:rsidRPr="003E1795">
        <w:rPr>
          <w:iCs/>
          <w:lang w:val="fr-FR"/>
        </w:rPr>
        <w:t>:</w:t>
      </w:r>
      <w:r w:rsidRPr="00E402C8">
        <w:rPr>
          <w:lang w:val="fr-FR"/>
        </w:rPr>
        <w:t xml:space="preserve"> Ministère de l</w:t>
      </w:r>
      <w:r w:rsidR="00795C5F">
        <w:rPr>
          <w:lang w:val="fr-FR"/>
        </w:rPr>
        <w:t>’</w:t>
      </w:r>
      <w:r w:rsidRPr="00E402C8">
        <w:rPr>
          <w:lang w:val="fr-FR"/>
        </w:rPr>
        <w:t xml:space="preserve">intégration sociale et de </w:t>
      </w:r>
      <w:r>
        <w:rPr>
          <w:lang w:val="fr-FR"/>
        </w:rPr>
        <w:t>l</w:t>
      </w:r>
      <w:r w:rsidR="00795C5F">
        <w:rPr>
          <w:lang w:val="fr-FR"/>
        </w:rPr>
        <w:t>’</w:t>
      </w:r>
      <w:r>
        <w:rPr>
          <w:lang w:val="fr-FR"/>
        </w:rPr>
        <w:t>émancipation économique (</w:t>
      </w:r>
      <w:r w:rsidRPr="00E402C8">
        <w:rPr>
          <w:lang w:val="fr-FR"/>
        </w:rPr>
        <w:t>janvier 2018</w:t>
      </w:r>
      <w:r>
        <w:rPr>
          <w:lang w:val="fr-FR"/>
        </w:rPr>
        <w:t>)</w:t>
      </w:r>
      <w:r w:rsidRPr="00E402C8">
        <w:rPr>
          <w:lang w:val="fr-FR"/>
        </w:rPr>
        <w:t>.</w:t>
      </w:r>
    </w:p>
    <w:p w14:paraId="5AC3494C" w14:textId="10DFCB4B" w:rsidR="00B60353" w:rsidRPr="00B60353" w:rsidRDefault="00B60353" w:rsidP="00B60353">
      <w:pPr>
        <w:pStyle w:val="FootnoteText"/>
        <w:tabs>
          <w:tab w:val="right" w:pos="1476"/>
          <w:tab w:val="left" w:pos="1548"/>
          <w:tab w:val="right" w:pos="1836"/>
          <w:tab w:val="left" w:pos="1908"/>
        </w:tabs>
        <w:spacing w:line="120" w:lineRule="exact"/>
        <w:ind w:left="1548" w:right="1267" w:hanging="288"/>
        <w:rPr>
          <w:sz w:val="10"/>
          <w:lang w:val="fr-FR"/>
        </w:rPr>
      </w:pPr>
    </w:p>
    <w:p w14:paraId="7486B830" w14:textId="6F54EF43" w:rsidR="00B60353" w:rsidRPr="00B60353" w:rsidRDefault="00B60353" w:rsidP="00B60353">
      <w:pPr>
        <w:pStyle w:val="FootnoteText"/>
        <w:tabs>
          <w:tab w:val="right" w:pos="1476"/>
          <w:tab w:val="left" w:pos="1548"/>
          <w:tab w:val="right" w:pos="1836"/>
          <w:tab w:val="left" w:pos="1908"/>
        </w:tabs>
        <w:spacing w:line="120" w:lineRule="exact"/>
        <w:ind w:left="1548" w:right="1267" w:hanging="288"/>
        <w:rPr>
          <w:sz w:val="10"/>
          <w:lang w:val="fr-FR"/>
        </w:rPr>
      </w:pPr>
    </w:p>
    <w:p w14:paraId="218CCC58" w14:textId="1DD44F17" w:rsidR="003933A1" w:rsidRPr="00E402C8" w:rsidRDefault="003933A1" w:rsidP="00B60353">
      <w:pPr>
        <w:pStyle w:val="SingleTxt"/>
        <w:numPr>
          <w:ilvl w:val="0"/>
          <w:numId w:val="35"/>
        </w:numPr>
        <w:spacing w:line="240" w:lineRule="exact"/>
        <w:rPr>
          <w:lang w:val="fr-FR"/>
        </w:rPr>
      </w:pPr>
      <w:r w:rsidRPr="00E402C8">
        <w:rPr>
          <w:lang w:val="fr-FR"/>
        </w:rPr>
        <w:t>Le nombre de femmes prestataires est légèrement plus élevé que celui d</w:t>
      </w:r>
      <w:r w:rsidR="00795C5F">
        <w:rPr>
          <w:lang w:val="fr-FR"/>
        </w:rPr>
        <w:t>’</w:t>
      </w:r>
      <w:r w:rsidRPr="00E402C8">
        <w:rPr>
          <w:lang w:val="fr-FR"/>
        </w:rPr>
        <w:t>hommes prestataires, ce qui indique qu</w:t>
      </w:r>
      <w:r w:rsidR="00795C5F">
        <w:rPr>
          <w:lang w:val="fr-FR"/>
        </w:rPr>
        <w:t>’</w:t>
      </w:r>
      <w:r>
        <w:rPr>
          <w:lang w:val="fr-FR"/>
        </w:rPr>
        <w:t xml:space="preserve">il y a plus </w:t>
      </w:r>
      <w:r w:rsidRPr="00E402C8">
        <w:rPr>
          <w:lang w:val="fr-FR"/>
        </w:rPr>
        <w:t>de femmes que d</w:t>
      </w:r>
      <w:r w:rsidR="00795C5F">
        <w:rPr>
          <w:lang w:val="fr-FR"/>
        </w:rPr>
        <w:t>’</w:t>
      </w:r>
      <w:r w:rsidRPr="00E402C8">
        <w:rPr>
          <w:lang w:val="fr-FR"/>
        </w:rPr>
        <w:t xml:space="preserve">hommes </w:t>
      </w:r>
      <w:r>
        <w:rPr>
          <w:lang w:val="fr-FR"/>
        </w:rPr>
        <w:t xml:space="preserve">qui sont </w:t>
      </w:r>
      <w:r w:rsidRPr="00E402C8">
        <w:rPr>
          <w:lang w:val="fr-FR"/>
        </w:rPr>
        <w:t>défavorisé</w:t>
      </w:r>
      <w:r w:rsidR="00A27CC2">
        <w:rPr>
          <w:lang w:val="fr-FR"/>
        </w:rPr>
        <w:t>e</w:t>
      </w:r>
      <w:r w:rsidRPr="00E402C8">
        <w:rPr>
          <w:lang w:val="fr-FR"/>
        </w:rPr>
        <w:t>s sur le plan économique.</w:t>
      </w:r>
    </w:p>
    <w:p w14:paraId="31880E22" w14:textId="74EAF96C" w:rsidR="003933A1" w:rsidRDefault="003933A1" w:rsidP="00B60353">
      <w:pPr>
        <w:pStyle w:val="SingleTxt"/>
        <w:numPr>
          <w:ilvl w:val="0"/>
          <w:numId w:val="35"/>
        </w:numPr>
        <w:spacing w:line="240" w:lineRule="exact"/>
        <w:rPr>
          <w:lang w:val="fr-FR"/>
        </w:rPr>
      </w:pPr>
      <w:r w:rsidRPr="00E402C8">
        <w:rPr>
          <w:lang w:val="fr-FR"/>
        </w:rPr>
        <w:t xml:space="preserve">Les tableaux ci-après présentent des statistiques sur les </w:t>
      </w:r>
      <w:r>
        <w:rPr>
          <w:lang w:val="fr-FR"/>
        </w:rPr>
        <w:t xml:space="preserve">groupes de </w:t>
      </w:r>
      <w:r w:rsidRPr="00E402C8">
        <w:rPr>
          <w:lang w:val="fr-FR"/>
        </w:rPr>
        <w:t xml:space="preserve">femmes </w:t>
      </w:r>
      <w:r>
        <w:rPr>
          <w:lang w:val="fr-FR"/>
        </w:rPr>
        <w:t>susceptibles d</w:t>
      </w:r>
      <w:r w:rsidR="00795C5F">
        <w:rPr>
          <w:lang w:val="fr-FR"/>
        </w:rPr>
        <w:t>’</w:t>
      </w:r>
      <w:r>
        <w:rPr>
          <w:lang w:val="fr-FR"/>
        </w:rPr>
        <w:t>être plus défavorisés</w:t>
      </w:r>
      <w:r w:rsidRPr="00E402C8">
        <w:rPr>
          <w:lang w:val="fr-FR"/>
        </w:rPr>
        <w:t xml:space="preserve"> à Maurice.</w:t>
      </w:r>
    </w:p>
    <w:p w14:paraId="10F37A6A" w14:textId="67ABFD1C" w:rsidR="00B60353" w:rsidRPr="00B60353" w:rsidRDefault="00B60353" w:rsidP="00B60353">
      <w:pPr>
        <w:pStyle w:val="SingleTxt"/>
        <w:spacing w:after="0" w:line="120" w:lineRule="exact"/>
        <w:rPr>
          <w:sz w:val="10"/>
          <w:lang w:val="fr-FR"/>
        </w:rPr>
      </w:pPr>
    </w:p>
    <w:p w14:paraId="4B92F0BD" w14:textId="756F9CCB" w:rsidR="003933A1" w:rsidRDefault="00B60353" w:rsidP="00D85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fr-FR"/>
        </w:rPr>
      </w:pPr>
      <w:r>
        <w:rPr>
          <w:lang w:val="fr-FR"/>
        </w:rPr>
        <w:tab/>
      </w:r>
      <w:r>
        <w:rPr>
          <w:lang w:val="fr-FR"/>
        </w:rPr>
        <w:tab/>
      </w:r>
      <w:r w:rsidR="003933A1" w:rsidRPr="00E402C8">
        <w:rPr>
          <w:lang w:val="fr-FR"/>
        </w:rPr>
        <w:t xml:space="preserve">Nombre de veuves par rapport au nombre total de femmes par groupe </w:t>
      </w:r>
      <w:r w:rsidR="00A27CC2">
        <w:rPr>
          <w:lang w:val="fr-FR"/>
        </w:rPr>
        <w:br/>
      </w:r>
      <w:r w:rsidR="003933A1" w:rsidRPr="00E402C8">
        <w:rPr>
          <w:lang w:val="fr-FR"/>
        </w:rPr>
        <w:t>d</w:t>
      </w:r>
      <w:r w:rsidR="00795C5F">
        <w:rPr>
          <w:lang w:val="fr-FR"/>
        </w:rPr>
        <w:t>’</w:t>
      </w:r>
      <w:r w:rsidR="003933A1" w:rsidRPr="00E402C8">
        <w:rPr>
          <w:lang w:val="fr-FR"/>
        </w:rPr>
        <w:t>âge</w:t>
      </w:r>
      <w:r w:rsidR="003933A1">
        <w:rPr>
          <w:lang w:val="fr-FR"/>
        </w:rPr>
        <w:t>s</w:t>
      </w:r>
      <w:r w:rsidR="003933A1" w:rsidRPr="00E402C8">
        <w:rPr>
          <w:lang w:val="fr-FR"/>
        </w:rPr>
        <w:t xml:space="preserve"> à Maurice courant 2016.</w:t>
      </w:r>
    </w:p>
    <w:p w14:paraId="7FCC7CEA" w14:textId="75BE83B8" w:rsidR="00B60353" w:rsidRPr="00953FF1" w:rsidRDefault="00B60353" w:rsidP="00953FF1">
      <w:pPr>
        <w:pStyle w:val="SingleTxt"/>
        <w:spacing w:after="0" w:line="120" w:lineRule="exact"/>
        <w:rPr>
          <w:sz w:val="10"/>
          <w:lang w:val="fr-FR"/>
        </w:rPr>
      </w:pPr>
    </w:p>
    <w:p w14:paraId="28D01E0F" w14:textId="77777777" w:rsidR="00953FF1" w:rsidRPr="00B60353" w:rsidRDefault="00953FF1" w:rsidP="00B60353">
      <w:pPr>
        <w:pStyle w:val="SingleTxt"/>
        <w:spacing w:after="0" w:line="120" w:lineRule="exact"/>
        <w:rPr>
          <w:sz w:val="10"/>
          <w:lang w:val="fr-FR"/>
        </w:rPr>
      </w:pPr>
    </w:p>
    <w:tbl>
      <w:tblPr>
        <w:tblW w:w="7226" w:type="dxa"/>
        <w:tblInd w:w="1278" w:type="dxa"/>
        <w:tblLayout w:type="fixed"/>
        <w:tblCellMar>
          <w:left w:w="0" w:type="dxa"/>
          <w:right w:w="0" w:type="dxa"/>
        </w:tblCellMar>
        <w:tblLook w:val="04A0" w:firstRow="1" w:lastRow="0" w:firstColumn="1" w:lastColumn="0" w:noHBand="0" w:noVBand="1"/>
      </w:tblPr>
      <w:tblGrid>
        <w:gridCol w:w="2108"/>
        <w:gridCol w:w="1661"/>
        <w:gridCol w:w="1865"/>
        <w:gridCol w:w="1592"/>
      </w:tblGrid>
      <w:tr w:rsidR="003933A1" w:rsidRPr="00E402C8" w14:paraId="32879D18" w14:textId="77777777" w:rsidTr="00B60353">
        <w:trPr>
          <w:tblHeader/>
        </w:trPr>
        <w:tc>
          <w:tcPr>
            <w:tcW w:w="2108" w:type="dxa"/>
            <w:vMerge w:val="restart"/>
            <w:tcBorders>
              <w:top w:val="single" w:sz="4" w:space="0" w:color="auto"/>
            </w:tcBorders>
            <w:shd w:val="clear" w:color="auto" w:fill="auto"/>
            <w:vAlign w:val="bottom"/>
            <w:hideMark/>
          </w:tcPr>
          <w:p w14:paraId="5F2A59F3" w14:textId="55DEFBA0" w:rsidR="003933A1" w:rsidRPr="00B60353" w:rsidRDefault="003933A1" w:rsidP="00545975">
            <w:pPr>
              <w:shd w:val="clear" w:color="auto" w:fill="FFFFFF" w:themeFill="background1"/>
              <w:spacing w:before="80" w:after="80" w:line="160" w:lineRule="exact"/>
              <w:rPr>
                <w:rFonts w:eastAsia="Calibri"/>
                <w:bCs/>
                <w:i/>
                <w:sz w:val="14"/>
                <w:szCs w:val="14"/>
                <w:lang w:val="fr-FR"/>
              </w:rPr>
            </w:pPr>
            <w:r w:rsidRPr="00B60353">
              <w:rPr>
                <w:rFonts w:eastAsia="Calibri"/>
                <w:bCs/>
                <w:i/>
                <w:sz w:val="14"/>
                <w:szCs w:val="14"/>
                <w:lang w:val="fr-FR"/>
              </w:rPr>
              <w:t>Groupe d</w:t>
            </w:r>
            <w:r w:rsidR="00795C5F">
              <w:rPr>
                <w:rFonts w:eastAsia="Calibri"/>
                <w:bCs/>
                <w:i/>
                <w:sz w:val="14"/>
                <w:szCs w:val="14"/>
                <w:lang w:val="fr-FR"/>
              </w:rPr>
              <w:t>’</w:t>
            </w:r>
            <w:r w:rsidRPr="00B60353">
              <w:rPr>
                <w:rFonts w:eastAsia="Calibri"/>
                <w:bCs/>
                <w:i/>
                <w:sz w:val="14"/>
                <w:szCs w:val="14"/>
                <w:lang w:val="fr-FR"/>
              </w:rPr>
              <w:t>âges (ans)</w:t>
            </w:r>
          </w:p>
        </w:tc>
        <w:tc>
          <w:tcPr>
            <w:tcW w:w="5118" w:type="dxa"/>
            <w:gridSpan w:val="3"/>
            <w:tcBorders>
              <w:top w:val="single" w:sz="4" w:space="0" w:color="auto"/>
              <w:bottom w:val="single" w:sz="4" w:space="0" w:color="auto"/>
            </w:tcBorders>
            <w:shd w:val="clear" w:color="auto" w:fill="auto"/>
            <w:vAlign w:val="bottom"/>
            <w:hideMark/>
          </w:tcPr>
          <w:p w14:paraId="76C9B091" w14:textId="77777777" w:rsidR="003933A1" w:rsidRPr="00B60353" w:rsidRDefault="003933A1" w:rsidP="00545975">
            <w:pPr>
              <w:shd w:val="clear" w:color="auto" w:fill="FFFFFF" w:themeFill="background1"/>
              <w:spacing w:before="80" w:after="80" w:line="160" w:lineRule="exact"/>
              <w:jc w:val="center"/>
              <w:rPr>
                <w:rFonts w:eastAsia="Calibri"/>
                <w:bCs/>
                <w:i/>
                <w:sz w:val="14"/>
                <w:szCs w:val="14"/>
                <w:lang w:val="fr-FR"/>
              </w:rPr>
            </w:pPr>
            <w:r w:rsidRPr="00B60353">
              <w:rPr>
                <w:rFonts w:eastAsia="Calibri"/>
                <w:bCs/>
                <w:i/>
                <w:sz w:val="14"/>
                <w:szCs w:val="14"/>
                <w:lang w:val="fr-FR"/>
              </w:rPr>
              <w:t>Année 2016</w:t>
            </w:r>
          </w:p>
        </w:tc>
      </w:tr>
      <w:tr w:rsidR="003933A1" w:rsidRPr="00E402C8" w14:paraId="098123E5" w14:textId="77777777" w:rsidTr="00B60353">
        <w:tc>
          <w:tcPr>
            <w:tcW w:w="2108" w:type="dxa"/>
            <w:vMerge/>
            <w:tcBorders>
              <w:bottom w:val="single" w:sz="12" w:space="0" w:color="auto"/>
            </w:tcBorders>
            <w:shd w:val="clear" w:color="auto" w:fill="auto"/>
          </w:tcPr>
          <w:p w14:paraId="17A26349" w14:textId="77777777" w:rsidR="003933A1" w:rsidRPr="00B60353" w:rsidRDefault="003933A1" w:rsidP="00D85F19">
            <w:pPr>
              <w:shd w:val="clear" w:color="auto" w:fill="FFFFFF" w:themeFill="background1"/>
              <w:spacing w:before="81" w:after="81" w:line="160" w:lineRule="exact"/>
              <w:rPr>
                <w:rFonts w:eastAsia="Calibri"/>
                <w:b/>
                <w:bCs/>
                <w:i/>
                <w:sz w:val="14"/>
                <w:szCs w:val="14"/>
                <w:lang w:val="fr-FR"/>
              </w:rPr>
            </w:pPr>
          </w:p>
        </w:tc>
        <w:tc>
          <w:tcPr>
            <w:tcW w:w="1661" w:type="dxa"/>
            <w:tcBorders>
              <w:top w:val="single" w:sz="4" w:space="0" w:color="auto"/>
              <w:bottom w:val="single" w:sz="12" w:space="0" w:color="auto"/>
            </w:tcBorders>
            <w:shd w:val="clear" w:color="auto" w:fill="auto"/>
            <w:vAlign w:val="bottom"/>
            <w:hideMark/>
          </w:tcPr>
          <w:p w14:paraId="4BC79886" w14:textId="77777777" w:rsidR="003933A1" w:rsidRPr="00B60353" w:rsidRDefault="003933A1" w:rsidP="00D85F19">
            <w:pPr>
              <w:shd w:val="clear" w:color="auto" w:fill="FFFFFF" w:themeFill="background1"/>
              <w:spacing w:before="81" w:after="81" w:line="160" w:lineRule="exact"/>
              <w:jc w:val="right"/>
              <w:rPr>
                <w:rFonts w:eastAsia="Calibri"/>
                <w:bCs/>
                <w:i/>
                <w:sz w:val="14"/>
                <w:szCs w:val="14"/>
                <w:lang w:val="fr-FR"/>
              </w:rPr>
            </w:pPr>
            <w:r w:rsidRPr="00B60353">
              <w:rPr>
                <w:rFonts w:eastAsia="Calibri"/>
                <w:bCs/>
                <w:i/>
                <w:sz w:val="14"/>
                <w:szCs w:val="14"/>
                <w:lang w:val="fr-FR"/>
              </w:rPr>
              <w:t>Nombre de veuves</w:t>
            </w:r>
          </w:p>
        </w:tc>
        <w:tc>
          <w:tcPr>
            <w:tcW w:w="1865" w:type="dxa"/>
            <w:tcBorders>
              <w:top w:val="single" w:sz="4" w:space="0" w:color="auto"/>
              <w:bottom w:val="single" w:sz="12" w:space="0" w:color="auto"/>
            </w:tcBorders>
            <w:shd w:val="clear" w:color="auto" w:fill="auto"/>
            <w:vAlign w:val="bottom"/>
            <w:hideMark/>
          </w:tcPr>
          <w:p w14:paraId="43331E94" w14:textId="77777777" w:rsidR="003933A1" w:rsidRPr="00B60353" w:rsidRDefault="003933A1" w:rsidP="00D85F19">
            <w:pPr>
              <w:shd w:val="clear" w:color="auto" w:fill="FFFFFF" w:themeFill="background1"/>
              <w:spacing w:before="81" w:after="81" w:line="160" w:lineRule="exact"/>
              <w:jc w:val="right"/>
              <w:rPr>
                <w:rFonts w:eastAsia="Calibri"/>
                <w:bCs/>
                <w:i/>
                <w:sz w:val="14"/>
                <w:szCs w:val="14"/>
                <w:lang w:val="fr-FR"/>
              </w:rPr>
            </w:pPr>
            <w:r w:rsidRPr="00B60353">
              <w:rPr>
                <w:rFonts w:eastAsia="Calibri"/>
                <w:bCs/>
                <w:i/>
                <w:sz w:val="14"/>
                <w:szCs w:val="14"/>
                <w:lang w:val="fr-FR"/>
              </w:rPr>
              <w:t>Nombre total de femmes</w:t>
            </w:r>
          </w:p>
        </w:tc>
        <w:tc>
          <w:tcPr>
            <w:tcW w:w="1592" w:type="dxa"/>
            <w:tcBorders>
              <w:top w:val="single" w:sz="4" w:space="0" w:color="auto"/>
              <w:bottom w:val="single" w:sz="12" w:space="0" w:color="auto"/>
            </w:tcBorders>
            <w:shd w:val="clear" w:color="auto" w:fill="auto"/>
            <w:vAlign w:val="bottom"/>
            <w:hideMark/>
          </w:tcPr>
          <w:p w14:paraId="1B28DBB3" w14:textId="67545118" w:rsidR="003933A1" w:rsidRPr="00B60353" w:rsidRDefault="00D85F19" w:rsidP="00D85F19">
            <w:pPr>
              <w:shd w:val="clear" w:color="auto" w:fill="FFFFFF" w:themeFill="background1"/>
              <w:spacing w:before="81" w:after="81" w:line="160" w:lineRule="exact"/>
              <w:jc w:val="right"/>
              <w:rPr>
                <w:rFonts w:eastAsia="Calibri"/>
                <w:bCs/>
                <w:i/>
                <w:sz w:val="14"/>
                <w:szCs w:val="14"/>
                <w:lang w:val="fr-FR"/>
              </w:rPr>
            </w:pPr>
            <w:r>
              <w:rPr>
                <w:rFonts w:eastAsia="Calibri"/>
                <w:bCs/>
                <w:i/>
                <w:sz w:val="14"/>
                <w:szCs w:val="14"/>
                <w:lang w:val="fr-FR"/>
              </w:rPr>
              <w:t xml:space="preserve">Pourcentage </w:t>
            </w:r>
            <w:r w:rsidR="003933A1" w:rsidRPr="00B60353">
              <w:rPr>
                <w:rFonts w:eastAsia="Calibri"/>
                <w:bCs/>
                <w:i/>
                <w:sz w:val="14"/>
                <w:szCs w:val="14"/>
                <w:lang w:val="fr-FR"/>
              </w:rPr>
              <w:t>de veuves</w:t>
            </w:r>
          </w:p>
        </w:tc>
      </w:tr>
      <w:tr w:rsidR="00D85F19" w:rsidRPr="00E402C8" w14:paraId="0BD93D33" w14:textId="77777777" w:rsidTr="00D85F19">
        <w:tc>
          <w:tcPr>
            <w:tcW w:w="2108" w:type="dxa"/>
            <w:tcBorders>
              <w:top w:val="single" w:sz="12" w:space="0" w:color="auto"/>
            </w:tcBorders>
            <w:shd w:val="clear" w:color="auto" w:fill="auto"/>
          </w:tcPr>
          <w:p w14:paraId="65B4DB5C" w14:textId="77777777" w:rsidR="00D85F19" w:rsidRPr="00D85F19" w:rsidRDefault="00D85F19" w:rsidP="00D85F19">
            <w:pPr>
              <w:shd w:val="clear" w:color="auto" w:fill="FFFFFF" w:themeFill="background1"/>
              <w:spacing w:line="80" w:lineRule="exact"/>
              <w:rPr>
                <w:rFonts w:eastAsia="Calibri"/>
                <w:sz w:val="17"/>
                <w:szCs w:val="17"/>
                <w:lang w:val="fr-FR"/>
              </w:rPr>
            </w:pPr>
          </w:p>
        </w:tc>
        <w:tc>
          <w:tcPr>
            <w:tcW w:w="1661" w:type="dxa"/>
            <w:tcBorders>
              <w:top w:val="single" w:sz="12" w:space="0" w:color="auto"/>
            </w:tcBorders>
            <w:shd w:val="clear" w:color="auto" w:fill="auto"/>
            <w:vAlign w:val="bottom"/>
          </w:tcPr>
          <w:p w14:paraId="6650551A" w14:textId="77777777" w:rsidR="00D85F19" w:rsidRPr="00D85F19" w:rsidRDefault="00D85F19" w:rsidP="00D85F19">
            <w:pPr>
              <w:shd w:val="clear" w:color="auto" w:fill="FFFFFF" w:themeFill="background1"/>
              <w:spacing w:line="80" w:lineRule="exact"/>
              <w:jc w:val="right"/>
              <w:rPr>
                <w:rFonts w:eastAsia="Calibri"/>
                <w:sz w:val="17"/>
                <w:szCs w:val="17"/>
                <w:lang w:val="fr-FR"/>
              </w:rPr>
            </w:pPr>
          </w:p>
        </w:tc>
        <w:tc>
          <w:tcPr>
            <w:tcW w:w="1865" w:type="dxa"/>
            <w:tcBorders>
              <w:top w:val="single" w:sz="12" w:space="0" w:color="auto"/>
            </w:tcBorders>
            <w:shd w:val="clear" w:color="auto" w:fill="auto"/>
            <w:vAlign w:val="bottom"/>
          </w:tcPr>
          <w:p w14:paraId="32DDA9E0" w14:textId="77777777" w:rsidR="00D85F19" w:rsidRPr="00D85F19" w:rsidRDefault="00D85F19" w:rsidP="00D85F19">
            <w:pPr>
              <w:shd w:val="clear" w:color="auto" w:fill="FFFFFF" w:themeFill="background1"/>
              <w:spacing w:line="80" w:lineRule="exact"/>
              <w:jc w:val="right"/>
              <w:rPr>
                <w:rFonts w:eastAsia="Calibri"/>
                <w:sz w:val="17"/>
                <w:szCs w:val="17"/>
                <w:lang w:val="fr-FR"/>
              </w:rPr>
            </w:pPr>
          </w:p>
        </w:tc>
        <w:tc>
          <w:tcPr>
            <w:tcW w:w="1592" w:type="dxa"/>
            <w:tcBorders>
              <w:top w:val="single" w:sz="12" w:space="0" w:color="auto"/>
            </w:tcBorders>
            <w:shd w:val="clear" w:color="auto" w:fill="auto"/>
            <w:vAlign w:val="bottom"/>
          </w:tcPr>
          <w:p w14:paraId="7CCAD1A2" w14:textId="77777777" w:rsidR="00D85F19" w:rsidRPr="00D85F19" w:rsidRDefault="00D85F19" w:rsidP="00D85F19">
            <w:pPr>
              <w:shd w:val="clear" w:color="auto" w:fill="FFFFFF" w:themeFill="background1"/>
              <w:spacing w:line="80" w:lineRule="exact"/>
              <w:jc w:val="right"/>
              <w:rPr>
                <w:rFonts w:eastAsia="Calibri"/>
                <w:sz w:val="17"/>
                <w:szCs w:val="17"/>
                <w:lang w:val="fr-FR"/>
              </w:rPr>
            </w:pPr>
          </w:p>
        </w:tc>
      </w:tr>
      <w:tr w:rsidR="003933A1" w:rsidRPr="00E402C8" w14:paraId="2107C778" w14:textId="77777777" w:rsidTr="00D85F19">
        <w:tc>
          <w:tcPr>
            <w:tcW w:w="2108" w:type="dxa"/>
            <w:shd w:val="clear" w:color="auto" w:fill="auto"/>
            <w:hideMark/>
          </w:tcPr>
          <w:p w14:paraId="3A4AAEB5" w14:textId="3276B733"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15</w:t>
            </w:r>
            <w:r w:rsidR="00B60353" w:rsidRPr="00D85F19">
              <w:rPr>
                <w:rFonts w:eastAsia="Calibri"/>
                <w:sz w:val="17"/>
                <w:szCs w:val="17"/>
                <w:lang w:val="fr-FR"/>
              </w:rPr>
              <w:t>-</w:t>
            </w:r>
            <w:r w:rsidRPr="00D85F19">
              <w:rPr>
                <w:rFonts w:eastAsia="Calibri"/>
                <w:sz w:val="17"/>
                <w:szCs w:val="17"/>
                <w:lang w:val="fr-FR"/>
              </w:rPr>
              <w:t>19</w:t>
            </w:r>
          </w:p>
        </w:tc>
        <w:tc>
          <w:tcPr>
            <w:tcW w:w="1661" w:type="dxa"/>
            <w:shd w:val="clear" w:color="auto" w:fill="auto"/>
            <w:vAlign w:val="bottom"/>
            <w:hideMark/>
          </w:tcPr>
          <w:p w14:paraId="5E1D172A"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2</w:t>
            </w:r>
          </w:p>
        </w:tc>
        <w:tc>
          <w:tcPr>
            <w:tcW w:w="1865" w:type="dxa"/>
            <w:shd w:val="clear" w:color="auto" w:fill="auto"/>
            <w:vAlign w:val="bottom"/>
            <w:hideMark/>
          </w:tcPr>
          <w:p w14:paraId="1D0E960E"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48 270</w:t>
            </w:r>
          </w:p>
        </w:tc>
        <w:tc>
          <w:tcPr>
            <w:tcW w:w="1592" w:type="dxa"/>
            <w:shd w:val="clear" w:color="auto" w:fill="auto"/>
            <w:vAlign w:val="bottom"/>
            <w:hideMark/>
          </w:tcPr>
          <w:p w14:paraId="539F4ADC"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0,0</w:t>
            </w:r>
          </w:p>
        </w:tc>
      </w:tr>
      <w:tr w:rsidR="003933A1" w:rsidRPr="00E402C8" w14:paraId="2C1950ED" w14:textId="77777777" w:rsidTr="00B60353">
        <w:tc>
          <w:tcPr>
            <w:tcW w:w="2108" w:type="dxa"/>
            <w:shd w:val="clear" w:color="auto" w:fill="auto"/>
            <w:hideMark/>
          </w:tcPr>
          <w:p w14:paraId="427C0F80" w14:textId="01B12E17"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20</w:t>
            </w:r>
            <w:r w:rsidR="00B60353" w:rsidRPr="00D85F19">
              <w:rPr>
                <w:rFonts w:eastAsia="Calibri"/>
                <w:sz w:val="17"/>
                <w:szCs w:val="17"/>
                <w:lang w:val="fr-FR"/>
              </w:rPr>
              <w:t>-</w:t>
            </w:r>
            <w:r w:rsidRPr="00D85F19">
              <w:rPr>
                <w:rFonts w:eastAsia="Calibri"/>
                <w:sz w:val="17"/>
                <w:szCs w:val="17"/>
                <w:lang w:val="fr-FR"/>
              </w:rPr>
              <w:t>24</w:t>
            </w:r>
          </w:p>
        </w:tc>
        <w:tc>
          <w:tcPr>
            <w:tcW w:w="1661" w:type="dxa"/>
            <w:shd w:val="clear" w:color="auto" w:fill="auto"/>
            <w:vAlign w:val="bottom"/>
            <w:hideMark/>
          </w:tcPr>
          <w:p w14:paraId="2C6B713A"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33</w:t>
            </w:r>
          </w:p>
        </w:tc>
        <w:tc>
          <w:tcPr>
            <w:tcW w:w="1865" w:type="dxa"/>
            <w:shd w:val="clear" w:color="auto" w:fill="auto"/>
            <w:vAlign w:val="bottom"/>
            <w:hideMark/>
          </w:tcPr>
          <w:p w14:paraId="30E37BBD"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49 402</w:t>
            </w:r>
          </w:p>
        </w:tc>
        <w:tc>
          <w:tcPr>
            <w:tcW w:w="1592" w:type="dxa"/>
            <w:shd w:val="clear" w:color="auto" w:fill="auto"/>
            <w:vAlign w:val="bottom"/>
            <w:hideMark/>
          </w:tcPr>
          <w:p w14:paraId="220EC7F2"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0,1</w:t>
            </w:r>
          </w:p>
        </w:tc>
      </w:tr>
      <w:tr w:rsidR="003933A1" w:rsidRPr="00E402C8" w14:paraId="1EF68F6F" w14:textId="77777777" w:rsidTr="00B60353">
        <w:tc>
          <w:tcPr>
            <w:tcW w:w="2108" w:type="dxa"/>
            <w:shd w:val="clear" w:color="auto" w:fill="auto"/>
            <w:hideMark/>
          </w:tcPr>
          <w:p w14:paraId="62426EE9" w14:textId="733AE904"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25</w:t>
            </w:r>
            <w:r w:rsidR="00B60353" w:rsidRPr="00D85F19">
              <w:rPr>
                <w:rFonts w:eastAsia="Calibri"/>
                <w:sz w:val="17"/>
                <w:szCs w:val="17"/>
                <w:lang w:val="fr-FR"/>
              </w:rPr>
              <w:t>-</w:t>
            </w:r>
            <w:r w:rsidRPr="00D85F19">
              <w:rPr>
                <w:rFonts w:eastAsia="Calibri"/>
                <w:sz w:val="17"/>
                <w:szCs w:val="17"/>
                <w:lang w:val="fr-FR"/>
              </w:rPr>
              <w:t>29</w:t>
            </w:r>
          </w:p>
        </w:tc>
        <w:tc>
          <w:tcPr>
            <w:tcW w:w="1661" w:type="dxa"/>
            <w:shd w:val="clear" w:color="auto" w:fill="auto"/>
            <w:vAlign w:val="bottom"/>
            <w:hideMark/>
          </w:tcPr>
          <w:p w14:paraId="29A5C02E"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179</w:t>
            </w:r>
          </w:p>
        </w:tc>
        <w:tc>
          <w:tcPr>
            <w:tcW w:w="1865" w:type="dxa"/>
            <w:shd w:val="clear" w:color="auto" w:fill="auto"/>
            <w:vAlign w:val="bottom"/>
            <w:hideMark/>
          </w:tcPr>
          <w:p w14:paraId="56CA6EE4"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44 677</w:t>
            </w:r>
          </w:p>
        </w:tc>
        <w:tc>
          <w:tcPr>
            <w:tcW w:w="1592" w:type="dxa"/>
            <w:shd w:val="clear" w:color="auto" w:fill="auto"/>
            <w:vAlign w:val="bottom"/>
            <w:hideMark/>
          </w:tcPr>
          <w:p w14:paraId="2F0CF3ED"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0,4</w:t>
            </w:r>
          </w:p>
        </w:tc>
      </w:tr>
      <w:tr w:rsidR="003933A1" w:rsidRPr="00E402C8" w14:paraId="65DAB8D3" w14:textId="77777777" w:rsidTr="00B60353">
        <w:tc>
          <w:tcPr>
            <w:tcW w:w="2108" w:type="dxa"/>
            <w:shd w:val="clear" w:color="auto" w:fill="auto"/>
            <w:hideMark/>
          </w:tcPr>
          <w:p w14:paraId="73E961F9" w14:textId="2CBD0CE5"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30</w:t>
            </w:r>
            <w:r w:rsidR="00B60353" w:rsidRPr="00D85F19">
              <w:rPr>
                <w:rFonts w:eastAsia="Calibri"/>
                <w:sz w:val="17"/>
                <w:szCs w:val="17"/>
                <w:lang w:val="fr-FR"/>
              </w:rPr>
              <w:t>-</w:t>
            </w:r>
            <w:r w:rsidRPr="00D85F19">
              <w:rPr>
                <w:rFonts w:eastAsia="Calibri"/>
                <w:sz w:val="17"/>
                <w:szCs w:val="17"/>
                <w:lang w:val="fr-FR"/>
              </w:rPr>
              <w:t>34</w:t>
            </w:r>
          </w:p>
        </w:tc>
        <w:tc>
          <w:tcPr>
            <w:tcW w:w="1661" w:type="dxa"/>
            <w:shd w:val="clear" w:color="auto" w:fill="auto"/>
            <w:vAlign w:val="bottom"/>
            <w:hideMark/>
          </w:tcPr>
          <w:p w14:paraId="5B6086B1"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400</w:t>
            </w:r>
          </w:p>
        </w:tc>
        <w:tc>
          <w:tcPr>
            <w:tcW w:w="1865" w:type="dxa"/>
            <w:shd w:val="clear" w:color="auto" w:fill="auto"/>
            <w:vAlign w:val="bottom"/>
            <w:hideMark/>
          </w:tcPr>
          <w:p w14:paraId="211C0A3F"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44 035</w:t>
            </w:r>
          </w:p>
        </w:tc>
        <w:tc>
          <w:tcPr>
            <w:tcW w:w="1592" w:type="dxa"/>
            <w:shd w:val="clear" w:color="auto" w:fill="auto"/>
            <w:vAlign w:val="bottom"/>
            <w:hideMark/>
          </w:tcPr>
          <w:p w14:paraId="4BC1D379"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0,9</w:t>
            </w:r>
          </w:p>
        </w:tc>
      </w:tr>
      <w:tr w:rsidR="003933A1" w:rsidRPr="00E402C8" w14:paraId="506B525B" w14:textId="77777777" w:rsidTr="00B60353">
        <w:tc>
          <w:tcPr>
            <w:tcW w:w="2108" w:type="dxa"/>
            <w:shd w:val="clear" w:color="auto" w:fill="auto"/>
            <w:hideMark/>
          </w:tcPr>
          <w:p w14:paraId="12F157C3" w14:textId="08249E22"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35</w:t>
            </w:r>
            <w:r w:rsidR="00B60353" w:rsidRPr="00D85F19">
              <w:rPr>
                <w:rFonts w:eastAsia="Calibri"/>
                <w:sz w:val="17"/>
                <w:szCs w:val="17"/>
                <w:lang w:val="fr-FR"/>
              </w:rPr>
              <w:t>-</w:t>
            </w:r>
            <w:r w:rsidRPr="00D85F19">
              <w:rPr>
                <w:rFonts w:eastAsia="Calibri"/>
                <w:sz w:val="17"/>
                <w:szCs w:val="17"/>
                <w:lang w:val="fr-FR"/>
              </w:rPr>
              <w:t>39</w:t>
            </w:r>
          </w:p>
        </w:tc>
        <w:tc>
          <w:tcPr>
            <w:tcW w:w="1661" w:type="dxa"/>
            <w:shd w:val="clear" w:color="auto" w:fill="auto"/>
            <w:vAlign w:val="bottom"/>
            <w:hideMark/>
          </w:tcPr>
          <w:p w14:paraId="4FC096E6"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1 016</w:t>
            </w:r>
          </w:p>
        </w:tc>
        <w:tc>
          <w:tcPr>
            <w:tcW w:w="1865" w:type="dxa"/>
            <w:shd w:val="clear" w:color="auto" w:fill="auto"/>
            <w:vAlign w:val="bottom"/>
            <w:hideMark/>
          </w:tcPr>
          <w:p w14:paraId="2A69E533"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49 478</w:t>
            </w:r>
          </w:p>
        </w:tc>
        <w:tc>
          <w:tcPr>
            <w:tcW w:w="1592" w:type="dxa"/>
            <w:shd w:val="clear" w:color="auto" w:fill="auto"/>
            <w:vAlign w:val="bottom"/>
            <w:hideMark/>
          </w:tcPr>
          <w:p w14:paraId="3B8AA1BB"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2,1</w:t>
            </w:r>
          </w:p>
        </w:tc>
      </w:tr>
      <w:tr w:rsidR="003933A1" w:rsidRPr="00E402C8" w14:paraId="2DF2CC30" w14:textId="77777777" w:rsidTr="00B60353">
        <w:tc>
          <w:tcPr>
            <w:tcW w:w="2108" w:type="dxa"/>
            <w:shd w:val="clear" w:color="auto" w:fill="auto"/>
            <w:hideMark/>
          </w:tcPr>
          <w:p w14:paraId="40435B94" w14:textId="2137913D"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40</w:t>
            </w:r>
            <w:r w:rsidR="00B60353" w:rsidRPr="00D85F19">
              <w:rPr>
                <w:rFonts w:eastAsia="Calibri"/>
                <w:sz w:val="17"/>
                <w:szCs w:val="17"/>
                <w:lang w:val="fr-FR"/>
              </w:rPr>
              <w:t>-</w:t>
            </w:r>
            <w:r w:rsidRPr="00D85F19">
              <w:rPr>
                <w:rFonts w:eastAsia="Calibri"/>
                <w:sz w:val="17"/>
                <w:szCs w:val="17"/>
                <w:lang w:val="fr-FR"/>
              </w:rPr>
              <w:t>44</w:t>
            </w:r>
          </w:p>
        </w:tc>
        <w:tc>
          <w:tcPr>
            <w:tcW w:w="1661" w:type="dxa"/>
            <w:shd w:val="clear" w:color="auto" w:fill="auto"/>
            <w:vAlign w:val="bottom"/>
            <w:hideMark/>
          </w:tcPr>
          <w:p w14:paraId="731D1388"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1 657</w:t>
            </w:r>
          </w:p>
        </w:tc>
        <w:tc>
          <w:tcPr>
            <w:tcW w:w="1865" w:type="dxa"/>
            <w:shd w:val="clear" w:color="auto" w:fill="auto"/>
            <w:vAlign w:val="bottom"/>
            <w:hideMark/>
          </w:tcPr>
          <w:p w14:paraId="3D832F49"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42 106</w:t>
            </w:r>
          </w:p>
        </w:tc>
        <w:tc>
          <w:tcPr>
            <w:tcW w:w="1592" w:type="dxa"/>
            <w:shd w:val="clear" w:color="auto" w:fill="auto"/>
            <w:vAlign w:val="bottom"/>
            <w:hideMark/>
          </w:tcPr>
          <w:p w14:paraId="6CB9C621"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3,9</w:t>
            </w:r>
          </w:p>
        </w:tc>
      </w:tr>
      <w:tr w:rsidR="003933A1" w:rsidRPr="00E402C8" w14:paraId="13829639" w14:textId="77777777" w:rsidTr="00B60353">
        <w:tc>
          <w:tcPr>
            <w:tcW w:w="2108" w:type="dxa"/>
            <w:shd w:val="clear" w:color="auto" w:fill="auto"/>
            <w:hideMark/>
          </w:tcPr>
          <w:p w14:paraId="56900C00" w14:textId="407566EA"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45</w:t>
            </w:r>
            <w:r w:rsidR="00B60353" w:rsidRPr="00D85F19">
              <w:rPr>
                <w:rFonts w:eastAsia="Calibri"/>
                <w:sz w:val="17"/>
                <w:szCs w:val="17"/>
                <w:lang w:val="fr-FR"/>
              </w:rPr>
              <w:t>-</w:t>
            </w:r>
            <w:r w:rsidRPr="00D85F19">
              <w:rPr>
                <w:rFonts w:eastAsia="Calibri"/>
                <w:sz w:val="17"/>
                <w:szCs w:val="17"/>
                <w:lang w:val="fr-FR"/>
              </w:rPr>
              <w:t>49</w:t>
            </w:r>
          </w:p>
        </w:tc>
        <w:tc>
          <w:tcPr>
            <w:tcW w:w="1661" w:type="dxa"/>
            <w:shd w:val="clear" w:color="auto" w:fill="auto"/>
            <w:vAlign w:val="bottom"/>
            <w:hideMark/>
          </w:tcPr>
          <w:p w14:paraId="6F294F89"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3 145</w:t>
            </w:r>
          </w:p>
        </w:tc>
        <w:tc>
          <w:tcPr>
            <w:tcW w:w="1865" w:type="dxa"/>
            <w:shd w:val="clear" w:color="auto" w:fill="auto"/>
            <w:vAlign w:val="bottom"/>
            <w:hideMark/>
          </w:tcPr>
          <w:p w14:paraId="1EDD3E6C"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43 009</w:t>
            </w:r>
          </w:p>
        </w:tc>
        <w:tc>
          <w:tcPr>
            <w:tcW w:w="1592" w:type="dxa"/>
            <w:shd w:val="clear" w:color="auto" w:fill="auto"/>
            <w:vAlign w:val="bottom"/>
            <w:hideMark/>
          </w:tcPr>
          <w:p w14:paraId="28B06E42"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7,3</w:t>
            </w:r>
          </w:p>
        </w:tc>
      </w:tr>
      <w:tr w:rsidR="003933A1" w:rsidRPr="00E402C8" w14:paraId="7CAEAD72" w14:textId="77777777" w:rsidTr="00B60353">
        <w:tc>
          <w:tcPr>
            <w:tcW w:w="2108" w:type="dxa"/>
            <w:shd w:val="clear" w:color="auto" w:fill="auto"/>
            <w:hideMark/>
          </w:tcPr>
          <w:p w14:paraId="13C9BDAF" w14:textId="13CFEE42" w:rsidR="003933A1" w:rsidRPr="00D85F19" w:rsidRDefault="003933A1" w:rsidP="003933A1">
            <w:pPr>
              <w:shd w:val="clear" w:color="auto" w:fill="FFFFFF" w:themeFill="background1"/>
              <w:spacing w:before="40" w:after="40" w:line="220" w:lineRule="exact"/>
              <w:rPr>
                <w:rFonts w:eastAsia="Calibri"/>
                <w:sz w:val="17"/>
                <w:szCs w:val="17"/>
                <w:lang w:val="fr-FR"/>
              </w:rPr>
            </w:pPr>
            <w:r w:rsidRPr="00D85F19">
              <w:rPr>
                <w:rFonts w:eastAsia="Calibri"/>
                <w:sz w:val="17"/>
                <w:szCs w:val="17"/>
                <w:lang w:val="fr-FR"/>
              </w:rPr>
              <w:t>50</w:t>
            </w:r>
            <w:r w:rsidR="00B60353" w:rsidRPr="00D85F19">
              <w:rPr>
                <w:rFonts w:eastAsia="Calibri"/>
                <w:sz w:val="17"/>
                <w:szCs w:val="17"/>
                <w:lang w:val="fr-FR"/>
              </w:rPr>
              <w:t>-</w:t>
            </w:r>
            <w:r w:rsidRPr="00D85F19">
              <w:rPr>
                <w:rFonts w:eastAsia="Calibri"/>
                <w:sz w:val="17"/>
                <w:szCs w:val="17"/>
                <w:lang w:val="fr-FR"/>
              </w:rPr>
              <w:t>54</w:t>
            </w:r>
          </w:p>
        </w:tc>
        <w:tc>
          <w:tcPr>
            <w:tcW w:w="1661" w:type="dxa"/>
            <w:shd w:val="clear" w:color="auto" w:fill="auto"/>
            <w:vAlign w:val="bottom"/>
            <w:hideMark/>
          </w:tcPr>
          <w:p w14:paraId="3D7EA629"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5 678</w:t>
            </w:r>
          </w:p>
        </w:tc>
        <w:tc>
          <w:tcPr>
            <w:tcW w:w="1865" w:type="dxa"/>
            <w:shd w:val="clear" w:color="auto" w:fill="auto"/>
            <w:vAlign w:val="bottom"/>
            <w:hideMark/>
          </w:tcPr>
          <w:p w14:paraId="3EB94697"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48 432</w:t>
            </w:r>
          </w:p>
        </w:tc>
        <w:tc>
          <w:tcPr>
            <w:tcW w:w="1592" w:type="dxa"/>
            <w:shd w:val="clear" w:color="auto" w:fill="auto"/>
            <w:vAlign w:val="bottom"/>
            <w:hideMark/>
          </w:tcPr>
          <w:p w14:paraId="64D5E492" w14:textId="77777777" w:rsidR="003933A1" w:rsidRPr="00D85F19" w:rsidRDefault="003933A1" w:rsidP="003933A1">
            <w:pPr>
              <w:shd w:val="clear" w:color="auto" w:fill="FFFFFF" w:themeFill="background1"/>
              <w:spacing w:before="40" w:after="40" w:line="220" w:lineRule="exact"/>
              <w:jc w:val="right"/>
              <w:rPr>
                <w:rFonts w:eastAsia="Calibri"/>
                <w:sz w:val="17"/>
                <w:szCs w:val="17"/>
                <w:lang w:val="fr-FR"/>
              </w:rPr>
            </w:pPr>
            <w:r w:rsidRPr="00D85F19">
              <w:rPr>
                <w:rFonts w:eastAsia="Calibri"/>
                <w:sz w:val="17"/>
                <w:szCs w:val="17"/>
                <w:lang w:val="fr-FR"/>
              </w:rPr>
              <w:t>11,7</w:t>
            </w:r>
          </w:p>
        </w:tc>
      </w:tr>
      <w:tr w:rsidR="003933A1" w:rsidRPr="00E402C8" w14:paraId="2364B98A" w14:textId="77777777" w:rsidTr="00B60353">
        <w:tc>
          <w:tcPr>
            <w:tcW w:w="2108" w:type="dxa"/>
            <w:tcBorders>
              <w:bottom w:val="single" w:sz="4" w:space="0" w:color="auto"/>
            </w:tcBorders>
            <w:shd w:val="clear" w:color="auto" w:fill="auto"/>
            <w:hideMark/>
          </w:tcPr>
          <w:p w14:paraId="5440EAA5" w14:textId="4D928DDA" w:rsidR="003933A1" w:rsidRPr="00D85F19" w:rsidRDefault="003933A1" w:rsidP="00545975">
            <w:pPr>
              <w:shd w:val="clear" w:color="auto" w:fill="FFFFFF" w:themeFill="background1"/>
              <w:spacing w:before="40" w:after="81" w:line="210" w:lineRule="exact"/>
              <w:rPr>
                <w:rFonts w:eastAsia="Calibri"/>
                <w:sz w:val="17"/>
                <w:szCs w:val="17"/>
                <w:lang w:val="fr-FR"/>
              </w:rPr>
            </w:pPr>
            <w:r w:rsidRPr="00D85F19">
              <w:rPr>
                <w:rFonts w:eastAsia="Calibri"/>
                <w:sz w:val="17"/>
                <w:szCs w:val="17"/>
                <w:lang w:val="fr-FR"/>
              </w:rPr>
              <w:t>55</w:t>
            </w:r>
            <w:r w:rsidR="00B60353" w:rsidRPr="00D85F19">
              <w:rPr>
                <w:rFonts w:eastAsia="Calibri"/>
                <w:sz w:val="17"/>
                <w:szCs w:val="17"/>
                <w:lang w:val="fr-FR"/>
              </w:rPr>
              <w:t>-</w:t>
            </w:r>
            <w:r w:rsidRPr="00D85F19">
              <w:rPr>
                <w:rFonts w:eastAsia="Calibri"/>
                <w:sz w:val="17"/>
                <w:szCs w:val="17"/>
                <w:lang w:val="fr-FR"/>
              </w:rPr>
              <w:t>59</w:t>
            </w:r>
          </w:p>
        </w:tc>
        <w:tc>
          <w:tcPr>
            <w:tcW w:w="1661" w:type="dxa"/>
            <w:tcBorders>
              <w:bottom w:val="single" w:sz="4" w:space="0" w:color="auto"/>
            </w:tcBorders>
            <w:shd w:val="clear" w:color="auto" w:fill="auto"/>
            <w:vAlign w:val="bottom"/>
            <w:hideMark/>
          </w:tcPr>
          <w:p w14:paraId="59769C13"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sz w:val="17"/>
                <w:szCs w:val="17"/>
                <w:lang w:val="fr-FR"/>
              </w:rPr>
              <w:t>7 780</w:t>
            </w:r>
          </w:p>
        </w:tc>
        <w:tc>
          <w:tcPr>
            <w:tcW w:w="1865" w:type="dxa"/>
            <w:tcBorders>
              <w:bottom w:val="single" w:sz="4" w:space="0" w:color="auto"/>
            </w:tcBorders>
            <w:shd w:val="clear" w:color="auto" w:fill="auto"/>
            <w:vAlign w:val="bottom"/>
            <w:hideMark/>
          </w:tcPr>
          <w:p w14:paraId="364E6077"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sz w:val="17"/>
                <w:szCs w:val="17"/>
                <w:lang w:val="fr-FR"/>
              </w:rPr>
              <w:t>42 079</w:t>
            </w:r>
          </w:p>
        </w:tc>
        <w:tc>
          <w:tcPr>
            <w:tcW w:w="1592" w:type="dxa"/>
            <w:tcBorders>
              <w:bottom w:val="single" w:sz="4" w:space="0" w:color="auto"/>
            </w:tcBorders>
            <w:shd w:val="clear" w:color="auto" w:fill="auto"/>
            <w:vAlign w:val="bottom"/>
            <w:hideMark/>
          </w:tcPr>
          <w:p w14:paraId="77D78DB8"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sz w:val="17"/>
                <w:szCs w:val="17"/>
                <w:lang w:val="fr-FR"/>
              </w:rPr>
              <w:t>18,5</w:t>
            </w:r>
          </w:p>
        </w:tc>
      </w:tr>
      <w:tr w:rsidR="003933A1" w:rsidRPr="00E402C8" w14:paraId="09031E3A" w14:textId="77777777" w:rsidTr="00B60353">
        <w:tc>
          <w:tcPr>
            <w:tcW w:w="2108" w:type="dxa"/>
            <w:tcBorders>
              <w:top w:val="single" w:sz="4" w:space="0" w:color="auto"/>
              <w:bottom w:val="single" w:sz="12" w:space="0" w:color="auto"/>
            </w:tcBorders>
            <w:shd w:val="clear" w:color="auto" w:fill="auto"/>
            <w:hideMark/>
          </w:tcPr>
          <w:p w14:paraId="6A2EB9F9" w14:textId="13445CFB" w:rsidR="003933A1" w:rsidRPr="00D85F19" w:rsidRDefault="00D85F19" w:rsidP="00545975">
            <w:pPr>
              <w:tabs>
                <w:tab w:val="left" w:pos="288"/>
                <w:tab w:val="left" w:pos="576"/>
                <w:tab w:val="left" w:pos="864"/>
                <w:tab w:val="left" w:pos="1152"/>
              </w:tabs>
              <w:suppressAutoHyphens/>
              <w:spacing w:before="81" w:after="81" w:line="210" w:lineRule="exact"/>
              <w:ind w:right="40"/>
              <w:rPr>
                <w:b/>
                <w:sz w:val="17"/>
                <w:szCs w:val="17"/>
              </w:rPr>
            </w:pPr>
            <w:r w:rsidRPr="00D85F19">
              <w:rPr>
                <w:b/>
                <w:sz w:val="17"/>
                <w:szCs w:val="17"/>
              </w:rPr>
              <w:tab/>
            </w:r>
            <w:r w:rsidR="003933A1" w:rsidRPr="00D85F19">
              <w:rPr>
                <w:b/>
                <w:sz w:val="17"/>
                <w:szCs w:val="17"/>
              </w:rPr>
              <w:t>Total</w:t>
            </w:r>
          </w:p>
        </w:tc>
        <w:tc>
          <w:tcPr>
            <w:tcW w:w="1661" w:type="dxa"/>
            <w:tcBorders>
              <w:top w:val="single" w:sz="4" w:space="0" w:color="auto"/>
              <w:bottom w:val="single" w:sz="12" w:space="0" w:color="auto"/>
            </w:tcBorders>
            <w:shd w:val="clear" w:color="auto" w:fill="auto"/>
            <w:vAlign w:val="bottom"/>
            <w:hideMark/>
          </w:tcPr>
          <w:p w14:paraId="1DA1734E" w14:textId="77777777" w:rsidR="003933A1" w:rsidRPr="00D85F19" w:rsidRDefault="003933A1" w:rsidP="00545975">
            <w:pPr>
              <w:shd w:val="clear" w:color="auto" w:fill="FFFFFF" w:themeFill="background1"/>
              <w:spacing w:before="81" w:after="81" w:line="210" w:lineRule="exact"/>
              <w:jc w:val="right"/>
              <w:rPr>
                <w:rFonts w:eastAsia="Calibri"/>
                <w:b/>
                <w:sz w:val="17"/>
                <w:szCs w:val="17"/>
                <w:lang w:val="fr-FR"/>
              </w:rPr>
            </w:pPr>
            <w:r w:rsidRPr="00D85F19">
              <w:rPr>
                <w:rFonts w:eastAsia="Calibri"/>
                <w:b/>
                <w:bCs/>
                <w:sz w:val="17"/>
                <w:szCs w:val="17"/>
                <w:lang w:val="fr-FR"/>
              </w:rPr>
              <w:t>19 890</w:t>
            </w:r>
          </w:p>
        </w:tc>
        <w:tc>
          <w:tcPr>
            <w:tcW w:w="1865" w:type="dxa"/>
            <w:tcBorders>
              <w:top w:val="single" w:sz="4" w:space="0" w:color="auto"/>
              <w:bottom w:val="single" w:sz="12" w:space="0" w:color="auto"/>
            </w:tcBorders>
            <w:shd w:val="clear" w:color="auto" w:fill="auto"/>
            <w:vAlign w:val="bottom"/>
            <w:hideMark/>
          </w:tcPr>
          <w:p w14:paraId="55D135C0" w14:textId="77777777" w:rsidR="003933A1" w:rsidRPr="00D85F19" w:rsidRDefault="003933A1" w:rsidP="00545975">
            <w:pPr>
              <w:shd w:val="clear" w:color="auto" w:fill="FFFFFF" w:themeFill="background1"/>
              <w:spacing w:before="81" w:after="81" w:line="210" w:lineRule="exact"/>
              <w:jc w:val="right"/>
              <w:rPr>
                <w:rFonts w:eastAsia="Calibri"/>
                <w:b/>
                <w:sz w:val="17"/>
                <w:szCs w:val="17"/>
                <w:lang w:val="fr-FR"/>
              </w:rPr>
            </w:pPr>
            <w:r w:rsidRPr="00D85F19">
              <w:rPr>
                <w:rFonts w:eastAsia="Calibri"/>
                <w:b/>
                <w:bCs/>
                <w:sz w:val="17"/>
                <w:szCs w:val="17"/>
                <w:lang w:val="fr-FR"/>
              </w:rPr>
              <w:t>411 488</w:t>
            </w:r>
          </w:p>
        </w:tc>
        <w:tc>
          <w:tcPr>
            <w:tcW w:w="1592" w:type="dxa"/>
            <w:tcBorders>
              <w:top w:val="single" w:sz="4" w:space="0" w:color="auto"/>
              <w:bottom w:val="single" w:sz="12" w:space="0" w:color="auto"/>
            </w:tcBorders>
            <w:shd w:val="clear" w:color="auto" w:fill="auto"/>
            <w:vAlign w:val="bottom"/>
            <w:hideMark/>
          </w:tcPr>
          <w:p w14:paraId="5607EC5A" w14:textId="77777777" w:rsidR="003933A1" w:rsidRPr="00D85F19" w:rsidRDefault="003933A1" w:rsidP="00545975">
            <w:pPr>
              <w:shd w:val="clear" w:color="auto" w:fill="FFFFFF" w:themeFill="background1"/>
              <w:spacing w:before="81" w:after="81" w:line="210" w:lineRule="exact"/>
              <w:jc w:val="right"/>
              <w:rPr>
                <w:rFonts w:eastAsia="Calibri"/>
                <w:b/>
                <w:sz w:val="17"/>
                <w:szCs w:val="17"/>
                <w:lang w:val="fr-FR"/>
              </w:rPr>
            </w:pPr>
            <w:r w:rsidRPr="00D85F19">
              <w:rPr>
                <w:rFonts w:eastAsia="Calibri"/>
                <w:b/>
                <w:bCs/>
                <w:sz w:val="17"/>
                <w:szCs w:val="17"/>
                <w:lang w:val="fr-FR"/>
              </w:rPr>
              <w:t>4,8</w:t>
            </w:r>
          </w:p>
        </w:tc>
      </w:tr>
    </w:tbl>
    <w:p w14:paraId="33896F71" w14:textId="66970E51" w:rsidR="00B60353" w:rsidRPr="00457EF9" w:rsidRDefault="00B60353" w:rsidP="00457EF9">
      <w:pPr>
        <w:pStyle w:val="SingleTxt"/>
        <w:spacing w:after="0" w:line="120" w:lineRule="exact"/>
        <w:rPr>
          <w:sz w:val="10"/>
          <w:lang w:val="fr-FR"/>
        </w:rPr>
      </w:pPr>
    </w:p>
    <w:p w14:paraId="57AB4F44" w14:textId="666807E8" w:rsidR="003933A1" w:rsidRDefault="003933A1" w:rsidP="00B60353">
      <w:pPr>
        <w:pStyle w:val="FootnoteText"/>
        <w:tabs>
          <w:tab w:val="right" w:pos="1476"/>
          <w:tab w:val="left" w:pos="1548"/>
          <w:tab w:val="right" w:pos="1836"/>
          <w:tab w:val="left" w:pos="1908"/>
        </w:tabs>
        <w:ind w:left="1548" w:right="1267" w:hanging="288"/>
        <w:rPr>
          <w:rFonts w:eastAsia="Calibri"/>
          <w:sz w:val="18"/>
          <w:szCs w:val="18"/>
          <w:lang w:val="fr-FR"/>
        </w:rPr>
      </w:pPr>
      <w:r w:rsidRPr="004A2C8C">
        <w:rPr>
          <w:rFonts w:eastAsia="Calibri"/>
          <w:i/>
          <w:sz w:val="18"/>
          <w:szCs w:val="18"/>
          <w:lang w:val="fr-FR"/>
        </w:rPr>
        <w:t>Source</w:t>
      </w:r>
      <w:r w:rsidR="00795C5F">
        <w:rPr>
          <w:rFonts w:eastAsia="Calibri"/>
          <w:i/>
          <w:sz w:val="18"/>
          <w:szCs w:val="18"/>
          <w:lang w:val="fr-FR"/>
        </w:rPr>
        <w:t> </w:t>
      </w:r>
      <w:r w:rsidR="00795C5F" w:rsidRPr="003E1795">
        <w:rPr>
          <w:rFonts w:eastAsia="Calibri"/>
          <w:iCs/>
          <w:sz w:val="18"/>
          <w:szCs w:val="18"/>
          <w:lang w:val="fr-FR"/>
        </w:rPr>
        <w:t>:</w:t>
      </w:r>
      <w:r w:rsidRPr="004A2C8C">
        <w:rPr>
          <w:rFonts w:eastAsia="Calibri"/>
          <w:sz w:val="18"/>
          <w:szCs w:val="18"/>
          <w:lang w:val="fr-FR"/>
        </w:rPr>
        <w:t xml:space="preserve"> </w:t>
      </w:r>
      <w:r w:rsidRPr="004A2C8C">
        <w:rPr>
          <w:lang w:val="fr-FR"/>
        </w:rPr>
        <w:t>Statistics Mauritius</w:t>
      </w:r>
      <w:r w:rsidRPr="004A2C8C">
        <w:rPr>
          <w:rFonts w:eastAsia="Calibri"/>
          <w:sz w:val="18"/>
          <w:szCs w:val="18"/>
          <w:lang w:val="fr-FR"/>
        </w:rPr>
        <w:t>.</w:t>
      </w:r>
    </w:p>
    <w:p w14:paraId="0A064ADE" w14:textId="2E72D7CE" w:rsidR="00B60353" w:rsidRPr="00B60353" w:rsidRDefault="00B60353" w:rsidP="00B60353">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06CDB34F" w14:textId="1C649D64" w:rsidR="00B60353" w:rsidRPr="00B60353" w:rsidRDefault="00B60353" w:rsidP="00B60353">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5AF6C7F0" w14:textId="48612E62" w:rsidR="00B60353" w:rsidRPr="00B60353" w:rsidRDefault="00B60353" w:rsidP="00B60353">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620CC662" w14:textId="71611094" w:rsidR="003933A1" w:rsidRDefault="003933A1" w:rsidP="003E17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lang w:val="fr-FR"/>
        </w:rPr>
        <w:lastRenderedPageBreak/>
        <w:tab/>
      </w:r>
      <w:r w:rsidRPr="00E402C8">
        <w:rPr>
          <w:lang w:val="fr-FR"/>
        </w:rPr>
        <w:tab/>
        <w:t>Estimations</w:t>
      </w:r>
      <w:r>
        <w:rPr>
          <w:lang w:val="fr-FR"/>
        </w:rPr>
        <w:t xml:space="preserve"> statistiques du nombre de</w:t>
      </w:r>
      <w:r w:rsidRPr="00E402C8">
        <w:rPr>
          <w:lang w:val="fr-FR"/>
        </w:rPr>
        <w:t xml:space="preserve"> femmes âgées</w:t>
      </w:r>
    </w:p>
    <w:p w14:paraId="33C6016A" w14:textId="4E311EE4" w:rsidR="00B60353" w:rsidRPr="00B60353" w:rsidRDefault="00B60353" w:rsidP="003E1795">
      <w:pPr>
        <w:pStyle w:val="SingleTxt"/>
        <w:keepNext/>
        <w:keepLines/>
        <w:spacing w:after="0" w:line="120" w:lineRule="exact"/>
        <w:rPr>
          <w:sz w:val="10"/>
          <w:lang w:val="fr-FR"/>
        </w:rPr>
      </w:pPr>
    </w:p>
    <w:p w14:paraId="4D7AF36F" w14:textId="00D9C4AA" w:rsidR="00B60353" w:rsidRPr="00B60353" w:rsidRDefault="00B60353" w:rsidP="003E1795">
      <w:pPr>
        <w:pStyle w:val="SingleTxt"/>
        <w:keepNext/>
        <w:keepLines/>
        <w:spacing w:after="0" w:line="120" w:lineRule="exact"/>
        <w:rPr>
          <w:sz w:val="10"/>
          <w:lang w:val="fr-FR"/>
        </w:rPr>
      </w:pPr>
    </w:p>
    <w:tbl>
      <w:tblPr>
        <w:tblW w:w="7226" w:type="dxa"/>
        <w:tblInd w:w="1278" w:type="dxa"/>
        <w:tblLayout w:type="fixed"/>
        <w:tblCellMar>
          <w:left w:w="0" w:type="dxa"/>
          <w:right w:w="0" w:type="dxa"/>
        </w:tblCellMar>
        <w:tblLook w:val="04A0" w:firstRow="1" w:lastRow="0" w:firstColumn="1" w:lastColumn="0" w:noHBand="0" w:noVBand="1"/>
      </w:tblPr>
      <w:tblGrid>
        <w:gridCol w:w="3029"/>
        <w:gridCol w:w="2380"/>
        <w:gridCol w:w="1817"/>
      </w:tblGrid>
      <w:tr w:rsidR="003933A1" w:rsidRPr="00E402C8" w14:paraId="773F7F3D" w14:textId="77777777" w:rsidTr="00457EF9">
        <w:trPr>
          <w:tblHeader/>
        </w:trPr>
        <w:tc>
          <w:tcPr>
            <w:tcW w:w="3029" w:type="dxa"/>
            <w:vMerge w:val="restart"/>
            <w:tcBorders>
              <w:top w:val="single" w:sz="4" w:space="0" w:color="auto"/>
            </w:tcBorders>
            <w:shd w:val="clear" w:color="auto" w:fill="auto"/>
            <w:vAlign w:val="bottom"/>
            <w:hideMark/>
          </w:tcPr>
          <w:p w14:paraId="1F237FE9" w14:textId="400446DE" w:rsidR="003933A1" w:rsidRPr="00D85F19" w:rsidRDefault="003933A1" w:rsidP="00545975">
            <w:pPr>
              <w:shd w:val="clear" w:color="auto" w:fill="FFFFFF" w:themeFill="background1"/>
              <w:spacing w:before="80" w:after="80" w:line="210" w:lineRule="exact"/>
              <w:rPr>
                <w:rFonts w:eastAsia="Calibri"/>
                <w:i/>
                <w:sz w:val="14"/>
                <w:szCs w:val="14"/>
                <w:lang w:val="fr-FR"/>
              </w:rPr>
            </w:pPr>
            <w:r w:rsidRPr="00D85F19">
              <w:rPr>
                <w:rFonts w:eastAsia="Calibri"/>
                <w:i/>
                <w:sz w:val="14"/>
                <w:szCs w:val="14"/>
                <w:lang w:val="fr-FR"/>
              </w:rPr>
              <w:t>Groupe d</w:t>
            </w:r>
            <w:r w:rsidR="00795C5F">
              <w:rPr>
                <w:rFonts w:eastAsia="Calibri"/>
                <w:i/>
                <w:sz w:val="14"/>
                <w:szCs w:val="14"/>
                <w:lang w:val="fr-FR"/>
              </w:rPr>
              <w:t>’</w:t>
            </w:r>
            <w:r w:rsidRPr="00D85F19">
              <w:rPr>
                <w:rFonts w:eastAsia="Calibri"/>
                <w:i/>
                <w:sz w:val="14"/>
                <w:szCs w:val="14"/>
                <w:lang w:val="fr-FR"/>
              </w:rPr>
              <w:t>âges (ans)</w:t>
            </w:r>
          </w:p>
        </w:tc>
        <w:tc>
          <w:tcPr>
            <w:tcW w:w="4197" w:type="dxa"/>
            <w:gridSpan w:val="2"/>
            <w:tcBorders>
              <w:top w:val="single" w:sz="4" w:space="0" w:color="auto"/>
              <w:bottom w:val="single" w:sz="4" w:space="0" w:color="auto"/>
            </w:tcBorders>
            <w:shd w:val="clear" w:color="auto" w:fill="auto"/>
            <w:vAlign w:val="bottom"/>
            <w:hideMark/>
          </w:tcPr>
          <w:p w14:paraId="2FEECD1C" w14:textId="77777777" w:rsidR="003933A1" w:rsidRPr="00D85F19" w:rsidRDefault="003933A1" w:rsidP="00545975">
            <w:pPr>
              <w:shd w:val="clear" w:color="auto" w:fill="FFFFFF" w:themeFill="background1"/>
              <w:spacing w:before="80" w:after="80" w:line="210" w:lineRule="exact"/>
              <w:jc w:val="center"/>
              <w:rPr>
                <w:rFonts w:eastAsia="Calibri"/>
                <w:i/>
                <w:sz w:val="14"/>
                <w:szCs w:val="14"/>
                <w:lang w:val="fr-FR"/>
              </w:rPr>
            </w:pPr>
            <w:r w:rsidRPr="00D85F19">
              <w:rPr>
                <w:rFonts w:eastAsia="Calibri"/>
                <w:i/>
                <w:sz w:val="14"/>
                <w:szCs w:val="14"/>
                <w:lang w:val="fr-FR"/>
              </w:rPr>
              <w:t>Juin 2016</w:t>
            </w:r>
          </w:p>
        </w:tc>
      </w:tr>
      <w:tr w:rsidR="003933A1" w:rsidRPr="00E402C8" w14:paraId="6379BDA0" w14:textId="77777777" w:rsidTr="00457EF9">
        <w:tc>
          <w:tcPr>
            <w:tcW w:w="3029" w:type="dxa"/>
            <w:vMerge/>
            <w:tcBorders>
              <w:bottom w:val="single" w:sz="12" w:space="0" w:color="auto"/>
            </w:tcBorders>
            <w:shd w:val="clear" w:color="auto" w:fill="auto"/>
          </w:tcPr>
          <w:p w14:paraId="5A013FB8" w14:textId="77777777" w:rsidR="003933A1" w:rsidRPr="00D85F19" w:rsidRDefault="003933A1" w:rsidP="00D85F19">
            <w:pPr>
              <w:shd w:val="clear" w:color="auto" w:fill="FFFFFF" w:themeFill="background1"/>
              <w:spacing w:before="81" w:after="81" w:line="210" w:lineRule="exact"/>
              <w:rPr>
                <w:rFonts w:eastAsia="Calibri"/>
                <w:b/>
                <w:i/>
                <w:sz w:val="14"/>
                <w:szCs w:val="14"/>
                <w:lang w:val="fr-FR"/>
              </w:rPr>
            </w:pPr>
          </w:p>
        </w:tc>
        <w:tc>
          <w:tcPr>
            <w:tcW w:w="2380" w:type="dxa"/>
            <w:tcBorders>
              <w:top w:val="single" w:sz="4" w:space="0" w:color="auto"/>
              <w:bottom w:val="single" w:sz="12" w:space="0" w:color="auto"/>
            </w:tcBorders>
            <w:shd w:val="clear" w:color="auto" w:fill="auto"/>
            <w:vAlign w:val="bottom"/>
            <w:hideMark/>
          </w:tcPr>
          <w:p w14:paraId="7CF659B8" w14:textId="77777777" w:rsidR="003933A1" w:rsidRPr="00D85F19" w:rsidRDefault="003933A1" w:rsidP="00D85F19">
            <w:pPr>
              <w:shd w:val="clear" w:color="auto" w:fill="FFFFFF" w:themeFill="background1"/>
              <w:spacing w:before="81" w:after="81" w:line="210" w:lineRule="exact"/>
              <w:jc w:val="right"/>
              <w:rPr>
                <w:rFonts w:eastAsia="Calibri"/>
                <w:i/>
                <w:sz w:val="14"/>
                <w:szCs w:val="14"/>
                <w:lang w:val="fr-FR"/>
              </w:rPr>
            </w:pPr>
            <w:r w:rsidRPr="00D85F19">
              <w:rPr>
                <w:rFonts w:eastAsia="Calibri"/>
                <w:i/>
                <w:sz w:val="14"/>
                <w:szCs w:val="14"/>
                <w:lang w:val="fr-FR"/>
              </w:rPr>
              <w:t>Femmes</w:t>
            </w:r>
          </w:p>
        </w:tc>
        <w:tc>
          <w:tcPr>
            <w:tcW w:w="1817" w:type="dxa"/>
            <w:tcBorders>
              <w:top w:val="single" w:sz="4" w:space="0" w:color="auto"/>
              <w:bottom w:val="single" w:sz="12" w:space="0" w:color="auto"/>
            </w:tcBorders>
            <w:shd w:val="clear" w:color="auto" w:fill="auto"/>
            <w:vAlign w:val="bottom"/>
            <w:hideMark/>
          </w:tcPr>
          <w:p w14:paraId="11DCECEB" w14:textId="24AC4536" w:rsidR="003933A1" w:rsidRPr="00D85F19" w:rsidRDefault="00D85F19" w:rsidP="00D85F19">
            <w:pPr>
              <w:shd w:val="clear" w:color="auto" w:fill="FFFFFF" w:themeFill="background1"/>
              <w:spacing w:before="81" w:after="81" w:line="210" w:lineRule="exact"/>
              <w:jc w:val="right"/>
              <w:rPr>
                <w:rFonts w:eastAsia="Calibri"/>
                <w:i/>
                <w:sz w:val="14"/>
                <w:szCs w:val="14"/>
                <w:lang w:val="fr-FR"/>
              </w:rPr>
            </w:pPr>
            <w:r>
              <w:rPr>
                <w:rFonts w:eastAsia="Calibri"/>
                <w:i/>
                <w:sz w:val="14"/>
                <w:szCs w:val="14"/>
                <w:lang w:val="fr-FR"/>
              </w:rPr>
              <w:t>Pourcentage</w:t>
            </w:r>
          </w:p>
        </w:tc>
      </w:tr>
      <w:tr w:rsidR="00D85F19" w:rsidRPr="00E402C8" w14:paraId="6FD7A458" w14:textId="77777777" w:rsidTr="00457EF9">
        <w:tc>
          <w:tcPr>
            <w:tcW w:w="3029" w:type="dxa"/>
            <w:tcBorders>
              <w:top w:val="single" w:sz="12" w:space="0" w:color="auto"/>
            </w:tcBorders>
            <w:shd w:val="clear" w:color="auto" w:fill="auto"/>
          </w:tcPr>
          <w:p w14:paraId="6AF038FC" w14:textId="77777777" w:rsidR="00D85F19" w:rsidRPr="00D85F19" w:rsidRDefault="00D85F19" w:rsidP="00D85F19">
            <w:pPr>
              <w:shd w:val="clear" w:color="auto" w:fill="FFFFFF" w:themeFill="background1"/>
              <w:spacing w:line="80" w:lineRule="exact"/>
              <w:rPr>
                <w:rFonts w:eastAsia="Calibri"/>
                <w:sz w:val="17"/>
                <w:szCs w:val="17"/>
                <w:lang w:val="fr-FR"/>
              </w:rPr>
            </w:pPr>
          </w:p>
        </w:tc>
        <w:tc>
          <w:tcPr>
            <w:tcW w:w="2380" w:type="dxa"/>
            <w:tcBorders>
              <w:top w:val="single" w:sz="12" w:space="0" w:color="auto"/>
            </w:tcBorders>
            <w:shd w:val="clear" w:color="auto" w:fill="auto"/>
            <w:vAlign w:val="bottom"/>
          </w:tcPr>
          <w:p w14:paraId="1CC71648" w14:textId="77777777" w:rsidR="00D85F19" w:rsidRPr="00D85F19" w:rsidRDefault="00D85F19" w:rsidP="00D85F19">
            <w:pPr>
              <w:shd w:val="clear" w:color="auto" w:fill="FFFFFF" w:themeFill="background1"/>
              <w:spacing w:line="80" w:lineRule="exact"/>
              <w:jc w:val="right"/>
              <w:rPr>
                <w:rFonts w:eastAsia="Calibri"/>
                <w:sz w:val="17"/>
                <w:szCs w:val="17"/>
                <w:lang w:val="fr-FR"/>
              </w:rPr>
            </w:pPr>
          </w:p>
        </w:tc>
        <w:tc>
          <w:tcPr>
            <w:tcW w:w="1817" w:type="dxa"/>
            <w:tcBorders>
              <w:top w:val="single" w:sz="12" w:space="0" w:color="auto"/>
            </w:tcBorders>
            <w:shd w:val="clear" w:color="auto" w:fill="auto"/>
            <w:vAlign w:val="bottom"/>
          </w:tcPr>
          <w:p w14:paraId="1CAE9004" w14:textId="77777777" w:rsidR="00D85F19" w:rsidRPr="00D85F19" w:rsidRDefault="00D85F19" w:rsidP="00D85F19">
            <w:pPr>
              <w:shd w:val="clear" w:color="auto" w:fill="FFFFFF" w:themeFill="background1"/>
              <w:spacing w:line="80" w:lineRule="exact"/>
              <w:jc w:val="right"/>
              <w:rPr>
                <w:rFonts w:eastAsia="Calibri"/>
                <w:sz w:val="17"/>
                <w:szCs w:val="17"/>
                <w:lang w:val="fr-FR"/>
              </w:rPr>
            </w:pPr>
          </w:p>
        </w:tc>
      </w:tr>
      <w:tr w:rsidR="003933A1" w:rsidRPr="00E402C8" w14:paraId="47669508" w14:textId="77777777" w:rsidTr="00457EF9">
        <w:tc>
          <w:tcPr>
            <w:tcW w:w="3029" w:type="dxa"/>
            <w:shd w:val="clear" w:color="auto" w:fill="auto"/>
            <w:hideMark/>
          </w:tcPr>
          <w:p w14:paraId="506C7D30" w14:textId="0EFA7692" w:rsidR="003933A1" w:rsidRPr="00D85F19" w:rsidRDefault="003933A1" w:rsidP="00545975">
            <w:pPr>
              <w:shd w:val="clear" w:color="auto" w:fill="FFFFFF" w:themeFill="background1"/>
              <w:spacing w:before="40" w:after="40" w:line="210" w:lineRule="exact"/>
              <w:rPr>
                <w:rFonts w:eastAsia="Calibri"/>
                <w:sz w:val="17"/>
                <w:szCs w:val="17"/>
                <w:lang w:val="fr-FR"/>
              </w:rPr>
            </w:pPr>
            <w:r w:rsidRPr="00D85F19">
              <w:rPr>
                <w:rFonts w:eastAsia="Calibri"/>
                <w:sz w:val="17"/>
                <w:szCs w:val="17"/>
                <w:lang w:val="fr-FR"/>
              </w:rPr>
              <w:t>60</w:t>
            </w:r>
            <w:r w:rsidR="00D85F19" w:rsidRPr="00D85F19">
              <w:rPr>
                <w:rFonts w:eastAsia="Calibri"/>
                <w:sz w:val="17"/>
                <w:szCs w:val="17"/>
                <w:lang w:val="fr-FR"/>
              </w:rPr>
              <w:t>-</w:t>
            </w:r>
            <w:r w:rsidRPr="00D85F19">
              <w:rPr>
                <w:rFonts w:eastAsia="Calibri"/>
                <w:sz w:val="17"/>
                <w:szCs w:val="17"/>
                <w:lang w:val="fr-FR"/>
              </w:rPr>
              <w:t>69</w:t>
            </w:r>
          </w:p>
        </w:tc>
        <w:tc>
          <w:tcPr>
            <w:tcW w:w="2380" w:type="dxa"/>
            <w:shd w:val="clear" w:color="auto" w:fill="auto"/>
            <w:vAlign w:val="bottom"/>
            <w:hideMark/>
          </w:tcPr>
          <w:p w14:paraId="6D0B8103"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63 879</w:t>
            </w:r>
          </w:p>
        </w:tc>
        <w:tc>
          <w:tcPr>
            <w:tcW w:w="1817" w:type="dxa"/>
            <w:shd w:val="clear" w:color="auto" w:fill="auto"/>
            <w:vAlign w:val="bottom"/>
            <w:hideMark/>
          </w:tcPr>
          <w:p w14:paraId="6D61437A"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58,9</w:t>
            </w:r>
          </w:p>
        </w:tc>
      </w:tr>
      <w:tr w:rsidR="003933A1" w:rsidRPr="00E402C8" w14:paraId="5C61FDB7" w14:textId="77777777" w:rsidTr="00457EF9">
        <w:tc>
          <w:tcPr>
            <w:tcW w:w="3029" w:type="dxa"/>
            <w:shd w:val="clear" w:color="auto" w:fill="auto"/>
            <w:hideMark/>
          </w:tcPr>
          <w:p w14:paraId="45703B88" w14:textId="62AA59DB" w:rsidR="003933A1" w:rsidRPr="00D85F19" w:rsidRDefault="003933A1" w:rsidP="00545975">
            <w:pPr>
              <w:shd w:val="clear" w:color="auto" w:fill="FFFFFF" w:themeFill="background1"/>
              <w:spacing w:before="40" w:after="40" w:line="210" w:lineRule="exact"/>
              <w:rPr>
                <w:rFonts w:eastAsia="Calibri"/>
                <w:sz w:val="17"/>
                <w:szCs w:val="17"/>
                <w:lang w:val="fr-FR"/>
              </w:rPr>
            </w:pPr>
            <w:r w:rsidRPr="00D85F19">
              <w:rPr>
                <w:rFonts w:eastAsia="Calibri"/>
                <w:sz w:val="17"/>
                <w:szCs w:val="17"/>
                <w:lang w:val="fr-FR"/>
              </w:rPr>
              <w:t>70</w:t>
            </w:r>
            <w:r w:rsidR="00D85F19" w:rsidRPr="00D85F19">
              <w:rPr>
                <w:rFonts w:eastAsia="Calibri"/>
                <w:sz w:val="17"/>
                <w:szCs w:val="17"/>
                <w:lang w:val="fr-FR"/>
              </w:rPr>
              <w:t>-</w:t>
            </w:r>
            <w:r w:rsidRPr="00D85F19">
              <w:rPr>
                <w:rFonts w:eastAsia="Calibri"/>
                <w:sz w:val="17"/>
                <w:szCs w:val="17"/>
                <w:lang w:val="fr-FR"/>
              </w:rPr>
              <w:t>84</w:t>
            </w:r>
          </w:p>
        </w:tc>
        <w:tc>
          <w:tcPr>
            <w:tcW w:w="2380" w:type="dxa"/>
            <w:shd w:val="clear" w:color="auto" w:fill="auto"/>
            <w:vAlign w:val="bottom"/>
            <w:hideMark/>
          </w:tcPr>
          <w:p w14:paraId="7DA8B242" w14:textId="77777777" w:rsidR="003933A1" w:rsidRPr="00D85F19" w:rsidRDefault="003933A1" w:rsidP="00545975">
            <w:pPr>
              <w:shd w:val="clear" w:color="auto" w:fill="FFFFFF" w:themeFill="background1"/>
              <w:spacing w:before="40" w:after="40" w:line="210" w:lineRule="exact"/>
              <w:jc w:val="right"/>
              <w:rPr>
                <w:rFonts w:eastAsia="Calibri"/>
                <w:bCs/>
                <w:sz w:val="17"/>
                <w:szCs w:val="17"/>
                <w:lang w:val="fr-FR"/>
              </w:rPr>
            </w:pPr>
            <w:r w:rsidRPr="00D85F19">
              <w:rPr>
                <w:rFonts w:eastAsia="Calibri"/>
                <w:bCs/>
                <w:sz w:val="17"/>
                <w:szCs w:val="17"/>
                <w:lang w:val="fr-FR"/>
              </w:rPr>
              <w:t>37 594</w:t>
            </w:r>
          </w:p>
        </w:tc>
        <w:tc>
          <w:tcPr>
            <w:tcW w:w="1817" w:type="dxa"/>
            <w:shd w:val="clear" w:color="auto" w:fill="auto"/>
            <w:vAlign w:val="bottom"/>
            <w:hideMark/>
          </w:tcPr>
          <w:p w14:paraId="4BCB96B8" w14:textId="77777777" w:rsidR="003933A1" w:rsidRPr="00D85F19" w:rsidRDefault="003933A1" w:rsidP="00545975">
            <w:pPr>
              <w:shd w:val="clear" w:color="auto" w:fill="FFFFFF" w:themeFill="background1"/>
              <w:spacing w:before="40" w:after="40" w:line="210" w:lineRule="exact"/>
              <w:jc w:val="right"/>
              <w:rPr>
                <w:rFonts w:eastAsia="Calibri"/>
                <w:bCs/>
                <w:sz w:val="17"/>
                <w:szCs w:val="17"/>
                <w:lang w:val="fr-FR"/>
              </w:rPr>
            </w:pPr>
            <w:r w:rsidRPr="00D85F19">
              <w:rPr>
                <w:rFonts w:eastAsia="Calibri"/>
                <w:bCs/>
                <w:sz w:val="17"/>
                <w:szCs w:val="17"/>
                <w:lang w:val="fr-FR"/>
              </w:rPr>
              <w:t>34,6</w:t>
            </w:r>
          </w:p>
        </w:tc>
      </w:tr>
      <w:tr w:rsidR="003933A1" w:rsidRPr="00E402C8" w14:paraId="1AA7004C" w14:textId="77777777" w:rsidTr="00457EF9">
        <w:tc>
          <w:tcPr>
            <w:tcW w:w="3029" w:type="dxa"/>
            <w:tcBorders>
              <w:bottom w:val="single" w:sz="4" w:space="0" w:color="auto"/>
            </w:tcBorders>
            <w:shd w:val="clear" w:color="auto" w:fill="auto"/>
            <w:hideMark/>
          </w:tcPr>
          <w:p w14:paraId="364F2C66" w14:textId="77777777" w:rsidR="003933A1" w:rsidRPr="00D85F19" w:rsidRDefault="003933A1" w:rsidP="00545975">
            <w:pPr>
              <w:shd w:val="clear" w:color="auto" w:fill="FFFFFF" w:themeFill="background1"/>
              <w:spacing w:before="40" w:after="81" w:line="210" w:lineRule="exact"/>
              <w:rPr>
                <w:rFonts w:eastAsia="Calibri"/>
                <w:sz w:val="17"/>
                <w:szCs w:val="17"/>
                <w:lang w:val="fr-FR"/>
              </w:rPr>
            </w:pPr>
            <w:r w:rsidRPr="00D85F19">
              <w:rPr>
                <w:rFonts w:eastAsia="Calibri"/>
                <w:sz w:val="17"/>
                <w:szCs w:val="17"/>
                <w:lang w:val="fr-FR"/>
              </w:rPr>
              <w:t>85+</w:t>
            </w:r>
          </w:p>
        </w:tc>
        <w:tc>
          <w:tcPr>
            <w:tcW w:w="2380" w:type="dxa"/>
            <w:tcBorders>
              <w:bottom w:val="single" w:sz="4" w:space="0" w:color="auto"/>
            </w:tcBorders>
            <w:shd w:val="clear" w:color="auto" w:fill="auto"/>
            <w:vAlign w:val="bottom"/>
            <w:hideMark/>
          </w:tcPr>
          <w:p w14:paraId="16671382"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bCs/>
                <w:sz w:val="17"/>
                <w:szCs w:val="17"/>
                <w:lang w:val="fr-FR"/>
              </w:rPr>
              <w:t>7 013</w:t>
            </w:r>
          </w:p>
        </w:tc>
        <w:tc>
          <w:tcPr>
            <w:tcW w:w="1817" w:type="dxa"/>
            <w:tcBorders>
              <w:bottom w:val="single" w:sz="4" w:space="0" w:color="auto"/>
            </w:tcBorders>
            <w:shd w:val="clear" w:color="auto" w:fill="auto"/>
            <w:vAlign w:val="bottom"/>
            <w:hideMark/>
          </w:tcPr>
          <w:p w14:paraId="0B641C86"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bCs/>
                <w:sz w:val="17"/>
                <w:szCs w:val="17"/>
                <w:lang w:val="fr-FR"/>
              </w:rPr>
              <w:t>6,5</w:t>
            </w:r>
          </w:p>
        </w:tc>
      </w:tr>
      <w:tr w:rsidR="003933A1" w:rsidRPr="00E402C8" w14:paraId="19A60522" w14:textId="77777777" w:rsidTr="00457EF9">
        <w:tc>
          <w:tcPr>
            <w:tcW w:w="3029" w:type="dxa"/>
            <w:tcBorders>
              <w:top w:val="single" w:sz="4" w:space="0" w:color="auto"/>
              <w:bottom w:val="single" w:sz="12" w:space="0" w:color="auto"/>
            </w:tcBorders>
            <w:shd w:val="clear" w:color="auto" w:fill="auto"/>
            <w:hideMark/>
          </w:tcPr>
          <w:p w14:paraId="13C31F41" w14:textId="40AFCC65" w:rsidR="003933A1" w:rsidRPr="00D85F19" w:rsidRDefault="00D85F19" w:rsidP="00545975">
            <w:pPr>
              <w:tabs>
                <w:tab w:val="left" w:pos="288"/>
                <w:tab w:val="left" w:pos="576"/>
                <w:tab w:val="left" w:pos="864"/>
                <w:tab w:val="left" w:pos="1152"/>
              </w:tabs>
              <w:suppressAutoHyphens/>
              <w:spacing w:before="81" w:after="81" w:line="210" w:lineRule="exact"/>
              <w:ind w:right="40"/>
              <w:rPr>
                <w:b/>
                <w:sz w:val="17"/>
                <w:szCs w:val="17"/>
              </w:rPr>
            </w:pPr>
            <w:r w:rsidRPr="00D85F19">
              <w:rPr>
                <w:b/>
                <w:sz w:val="17"/>
                <w:szCs w:val="17"/>
              </w:rPr>
              <w:tab/>
            </w:r>
            <w:r w:rsidR="003933A1" w:rsidRPr="00D85F19">
              <w:rPr>
                <w:b/>
                <w:sz w:val="17"/>
                <w:szCs w:val="17"/>
              </w:rPr>
              <w:t>Total</w:t>
            </w:r>
          </w:p>
        </w:tc>
        <w:tc>
          <w:tcPr>
            <w:tcW w:w="2380" w:type="dxa"/>
            <w:tcBorders>
              <w:top w:val="single" w:sz="4" w:space="0" w:color="auto"/>
              <w:bottom w:val="single" w:sz="12" w:space="0" w:color="auto"/>
            </w:tcBorders>
            <w:shd w:val="clear" w:color="auto" w:fill="auto"/>
            <w:vAlign w:val="bottom"/>
            <w:hideMark/>
          </w:tcPr>
          <w:p w14:paraId="3F92CA91" w14:textId="77777777" w:rsidR="003933A1" w:rsidRPr="00D85F19" w:rsidRDefault="003933A1" w:rsidP="00545975">
            <w:pPr>
              <w:shd w:val="clear" w:color="auto" w:fill="FFFFFF" w:themeFill="background1"/>
              <w:spacing w:before="81" w:after="81" w:line="210" w:lineRule="exact"/>
              <w:jc w:val="right"/>
              <w:rPr>
                <w:rFonts w:eastAsia="Calibri"/>
                <w:b/>
                <w:bCs/>
                <w:sz w:val="17"/>
                <w:szCs w:val="17"/>
                <w:lang w:val="fr-FR"/>
              </w:rPr>
            </w:pPr>
            <w:r w:rsidRPr="00D85F19">
              <w:rPr>
                <w:rFonts w:eastAsia="Calibri"/>
                <w:b/>
                <w:bCs/>
                <w:sz w:val="17"/>
                <w:szCs w:val="17"/>
                <w:lang w:val="fr-FR"/>
              </w:rPr>
              <w:t>108 486</w:t>
            </w:r>
          </w:p>
        </w:tc>
        <w:tc>
          <w:tcPr>
            <w:tcW w:w="1817" w:type="dxa"/>
            <w:tcBorders>
              <w:top w:val="single" w:sz="4" w:space="0" w:color="auto"/>
              <w:bottom w:val="single" w:sz="12" w:space="0" w:color="auto"/>
            </w:tcBorders>
            <w:shd w:val="clear" w:color="auto" w:fill="auto"/>
            <w:vAlign w:val="bottom"/>
            <w:hideMark/>
          </w:tcPr>
          <w:p w14:paraId="7D72013A" w14:textId="77777777" w:rsidR="003933A1" w:rsidRPr="00D85F19" w:rsidRDefault="003933A1" w:rsidP="00545975">
            <w:pPr>
              <w:shd w:val="clear" w:color="auto" w:fill="FFFFFF" w:themeFill="background1"/>
              <w:spacing w:before="81" w:after="81" w:line="210" w:lineRule="exact"/>
              <w:jc w:val="right"/>
              <w:rPr>
                <w:rFonts w:eastAsia="Calibri"/>
                <w:b/>
                <w:bCs/>
                <w:sz w:val="17"/>
                <w:szCs w:val="17"/>
                <w:lang w:val="fr-FR"/>
              </w:rPr>
            </w:pPr>
            <w:r w:rsidRPr="00D85F19">
              <w:rPr>
                <w:rFonts w:eastAsia="Calibri"/>
                <w:b/>
                <w:bCs/>
                <w:sz w:val="17"/>
                <w:szCs w:val="17"/>
                <w:lang w:val="fr-FR"/>
              </w:rPr>
              <w:t>100</w:t>
            </w:r>
          </w:p>
        </w:tc>
      </w:tr>
    </w:tbl>
    <w:p w14:paraId="28C241C0" w14:textId="3F6119AC" w:rsidR="00D85F19" w:rsidRPr="00D85F19" w:rsidRDefault="00D85F19" w:rsidP="00D85F19">
      <w:pPr>
        <w:pStyle w:val="SingleTxt"/>
        <w:spacing w:after="0" w:line="120" w:lineRule="exact"/>
        <w:rPr>
          <w:sz w:val="10"/>
          <w:lang w:val="fr-FR"/>
        </w:rPr>
      </w:pPr>
    </w:p>
    <w:p w14:paraId="111FB4F5" w14:textId="7F1F8896" w:rsidR="003933A1" w:rsidRDefault="003933A1" w:rsidP="00D85F19">
      <w:pPr>
        <w:pStyle w:val="FootnoteText"/>
        <w:tabs>
          <w:tab w:val="right" w:pos="1476"/>
          <w:tab w:val="left" w:pos="1548"/>
          <w:tab w:val="right" w:pos="1836"/>
          <w:tab w:val="left" w:pos="1908"/>
        </w:tabs>
        <w:ind w:left="1548" w:right="1267" w:hanging="288"/>
        <w:rPr>
          <w:rFonts w:eastAsia="Calibri"/>
          <w:sz w:val="18"/>
          <w:szCs w:val="18"/>
          <w:lang w:val="fr-FR"/>
        </w:rPr>
      </w:pPr>
      <w:r w:rsidRPr="004A2C8C">
        <w:rPr>
          <w:rFonts w:eastAsia="Calibri"/>
          <w:i/>
          <w:sz w:val="18"/>
          <w:szCs w:val="18"/>
          <w:lang w:val="fr-FR"/>
        </w:rPr>
        <w:t>Source</w:t>
      </w:r>
      <w:r w:rsidR="00795C5F">
        <w:rPr>
          <w:rFonts w:eastAsia="Calibri"/>
          <w:i/>
          <w:sz w:val="18"/>
          <w:szCs w:val="18"/>
          <w:lang w:val="fr-FR"/>
        </w:rPr>
        <w:t> </w:t>
      </w:r>
      <w:r w:rsidR="00795C5F" w:rsidRPr="003E1795">
        <w:rPr>
          <w:rFonts w:eastAsia="Calibri"/>
          <w:iCs/>
          <w:sz w:val="18"/>
          <w:szCs w:val="18"/>
          <w:lang w:val="fr-FR"/>
        </w:rPr>
        <w:t>:</w:t>
      </w:r>
      <w:r w:rsidRPr="003E1795">
        <w:rPr>
          <w:rFonts w:eastAsia="Calibri"/>
          <w:iCs/>
          <w:sz w:val="18"/>
          <w:szCs w:val="18"/>
          <w:lang w:val="fr-FR"/>
        </w:rPr>
        <w:t xml:space="preserve"> </w:t>
      </w:r>
      <w:r w:rsidRPr="004A2C8C">
        <w:rPr>
          <w:lang w:val="fr-FR"/>
        </w:rPr>
        <w:t>Statistics Mauritius</w:t>
      </w:r>
      <w:r w:rsidRPr="004A2C8C">
        <w:rPr>
          <w:rFonts w:eastAsia="Calibri"/>
          <w:sz w:val="18"/>
          <w:szCs w:val="18"/>
          <w:lang w:val="fr-FR"/>
        </w:rPr>
        <w:t>.</w:t>
      </w:r>
    </w:p>
    <w:p w14:paraId="55B5F99A" w14:textId="41355CDE" w:rsidR="00D85F19" w:rsidRPr="00D85F19" w:rsidRDefault="00D85F19" w:rsidP="00D85F19">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373874E9" w14:textId="0BE9D455" w:rsidR="00D85F19" w:rsidRPr="00D85F19" w:rsidRDefault="00D85F19" w:rsidP="00D85F19">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24837182" w14:textId="61A65DA5" w:rsidR="00D85F19" w:rsidRPr="00D85F19" w:rsidRDefault="00D85F19" w:rsidP="00D85F19">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086DD90C" w14:textId="77C7EFCE" w:rsidR="003933A1" w:rsidRDefault="003933A1" w:rsidP="003A6B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fr-FR"/>
        </w:rPr>
      </w:pPr>
      <w:r w:rsidRPr="00E402C8">
        <w:rPr>
          <w:lang w:val="fr-FR"/>
        </w:rPr>
        <w:tab/>
      </w:r>
      <w:r w:rsidRPr="00E402C8">
        <w:rPr>
          <w:lang w:val="fr-FR"/>
        </w:rPr>
        <w:tab/>
        <w:t xml:space="preserve">Nombre de personnes handicapées par âge et par sexe </w:t>
      </w:r>
      <w:r w:rsidR="00A27CC2">
        <w:rPr>
          <w:lang w:val="fr-FR"/>
        </w:rPr>
        <w:br/>
      </w:r>
      <w:r>
        <w:rPr>
          <w:lang w:val="fr-FR"/>
        </w:rPr>
        <w:t>d</w:t>
      </w:r>
      <w:r w:rsidR="00795C5F">
        <w:rPr>
          <w:lang w:val="fr-FR"/>
        </w:rPr>
        <w:t>’</w:t>
      </w:r>
      <w:r>
        <w:rPr>
          <w:lang w:val="fr-FR"/>
        </w:rPr>
        <w:t>après</w:t>
      </w:r>
      <w:r w:rsidRPr="00E402C8">
        <w:rPr>
          <w:lang w:val="fr-FR"/>
        </w:rPr>
        <w:t xml:space="preserve"> le recensement de 2011</w:t>
      </w:r>
    </w:p>
    <w:p w14:paraId="73AF7D05" w14:textId="4298782C" w:rsidR="00D85F19" w:rsidRPr="0099433A" w:rsidRDefault="00D85F19" w:rsidP="0099433A">
      <w:pPr>
        <w:pStyle w:val="SingleTxt"/>
        <w:keepNext/>
        <w:spacing w:after="0" w:line="120" w:lineRule="exact"/>
        <w:rPr>
          <w:sz w:val="10"/>
          <w:lang w:val="fr-FR"/>
        </w:rPr>
      </w:pPr>
    </w:p>
    <w:p w14:paraId="6E47052D" w14:textId="77777777" w:rsidR="0099433A" w:rsidRPr="00D85F19" w:rsidRDefault="0099433A" w:rsidP="003A6B41">
      <w:pPr>
        <w:pStyle w:val="SingleTxt"/>
        <w:keepNext/>
        <w:spacing w:after="0" w:line="120" w:lineRule="exact"/>
        <w:rPr>
          <w:sz w:val="10"/>
          <w:lang w:val="fr-FR"/>
        </w:rPr>
      </w:pPr>
    </w:p>
    <w:tbl>
      <w:tblPr>
        <w:tblW w:w="7226" w:type="dxa"/>
        <w:tblInd w:w="1278" w:type="dxa"/>
        <w:tblBorders>
          <w:bottom w:val="single" w:sz="12" w:space="0" w:color="auto"/>
        </w:tblBorders>
        <w:tblLayout w:type="fixed"/>
        <w:tblCellMar>
          <w:left w:w="0" w:type="dxa"/>
          <w:right w:w="0" w:type="dxa"/>
        </w:tblCellMar>
        <w:tblLook w:val="04A0" w:firstRow="1" w:lastRow="0" w:firstColumn="1" w:lastColumn="0" w:noHBand="0" w:noVBand="1"/>
      </w:tblPr>
      <w:tblGrid>
        <w:gridCol w:w="1475"/>
        <w:gridCol w:w="1135"/>
        <w:gridCol w:w="1530"/>
        <w:gridCol w:w="1530"/>
        <w:gridCol w:w="1556"/>
      </w:tblGrid>
      <w:tr w:rsidR="003933A1" w:rsidRPr="00E402C8" w14:paraId="0E0B88BF" w14:textId="77777777" w:rsidTr="0099433A">
        <w:trPr>
          <w:tblHeader/>
        </w:trPr>
        <w:tc>
          <w:tcPr>
            <w:tcW w:w="1475" w:type="dxa"/>
            <w:vMerge w:val="restart"/>
            <w:tcBorders>
              <w:top w:val="single" w:sz="4" w:space="0" w:color="auto"/>
              <w:bottom w:val="nil"/>
            </w:tcBorders>
            <w:shd w:val="clear" w:color="auto" w:fill="auto"/>
            <w:vAlign w:val="bottom"/>
            <w:hideMark/>
          </w:tcPr>
          <w:p w14:paraId="792C641E" w14:textId="4C47A1DA" w:rsidR="003933A1" w:rsidRPr="00D85F19" w:rsidRDefault="003933A1" w:rsidP="00545975">
            <w:pPr>
              <w:keepNext/>
              <w:shd w:val="clear" w:color="auto" w:fill="FFFFFF" w:themeFill="background1"/>
              <w:spacing w:before="80" w:after="80" w:line="160" w:lineRule="exact"/>
              <w:rPr>
                <w:rFonts w:eastAsia="Calibri"/>
                <w:bCs/>
                <w:i/>
                <w:sz w:val="14"/>
                <w:szCs w:val="14"/>
                <w:lang w:val="fr-FR"/>
              </w:rPr>
            </w:pPr>
            <w:r w:rsidRPr="00D85F19">
              <w:rPr>
                <w:rFonts w:eastAsia="Calibri"/>
                <w:bCs/>
                <w:i/>
                <w:sz w:val="14"/>
                <w:szCs w:val="14"/>
                <w:lang w:val="fr-FR"/>
              </w:rPr>
              <w:t>Groupe d</w:t>
            </w:r>
            <w:r w:rsidR="00795C5F">
              <w:rPr>
                <w:rFonts w:eastAsia="Calibri"/>
                <w:bCs/>
                <w:i/>
                <w:sz w:val="14"/>
                <w:szCs w:val="14"/>
                <w:lang w:val="fr-FR"/>
              </w:rPr>
              <w:t>’</w:t>
            </w:r>
            <w:r w:rsidRPr="00D85F19">
              <w:rPr>
                <w:rFonts w:eastAsia="Calibri"/>
                <w:bCs/>
                <w:i/>
                <w:sz w:val="14"/>
                <w:szCs w:val="14"/>
                <w:lang w:val="fr-FR"/>
              </w:rPr>
              <w:t>âges</w:t>
            </w:r>
          </w:p>
        </w:tc>
        <w:tc>
          <w:tcPr>
            <w:tcW w:w="5751" w:type="dxa"/>
            <w:gridSpan w:val="4"/>
            <w:tcBorders>
              <w:top w:val="single" w:sz="4" w:space="0" w:color="auto"/>
              <w:bottom w:val="single" w:sz="4" w:space="0" w:color="auto"/>
            </w:tcBorders>
            <w:shd w:val="clear" w:color="auto" w:fill="auto"/>
            <w:noWrap/>
            <w:vAlign w:val="bottom"/>
            <w:hideMark/>
          </w:tcPr>
          <w:p w14:paraId="3709CD08" w14:textId="77777777" w:rsidR="003933A1" w:rsidRPr="00D85F19" w:rsidRDefault="003933A1" w:rsidP="00545975">
            <w:pPr>
              <w:keepNext/>
              <w:shd w:val="clear" w:color="auto" w:fill="FFFFFF" w:themeFill="background1"/>
              <w:spacing w:before="80" w:after="80" w:line="160" w:lineRule="exact"/>
              <w:jc w:val="center"/>
              <w:rPr>
                <w:rFonts w:eastAsia="Calibri"/>
                <w:bCs/>
                <w:i/>
                <w:sz w:val="14"/>
                <w:szCs w:val="14"/>
                <w:lang w:val="fr-FR"/>
              </w:rPr>
            </w:pPr>
            <w:r w:rsidRPr="00D85F19">
              <w:rPr>
                <w:rFonts w:eastAsia="Calibri"/>
                <w:bCs/>
                <w:i/>
                <w:sz w:val="14"/>
                <w:szCs w:val="14"/>
                <w:lang w:val="fr-FR"/>
              </w:rPr>
              <w:t>Recensement de 2011</w:t>
            </w:r>
          </w:p>
        </w:tc>
      </w:tr>
      <w:tr w:rsidR="003933A1" w:rsidRPr="00E402C8" w14:paraId="56639E47" w14:textId="77777777" w:rsidTr="0099433A">
        <w:trPr>
          <w:tblHeader/>
        </w:trPr>
        <w:tc>
          <w:tcPr>
            <w:tcW w:w="1475" w:type="dxa"/>
            <w:vMerge/>
            <w:tcBorders>
              <w:bottom w:val="single" w:sz="12" w:space="0" w:color="auto"/>
            </w:tcBorders>
            <w:shd w:val="clear" w:color="auto" w:fill="auto"/>
            <w:vAlign w:val="bottom"/>
            <w:hideMark/>
          </w:tcPr>
          <w:p w14:paraId="6B89BCE2" w14:textId="77777777" w:rsidR="003933A1" w:rsidRPr="00D85F19" w:rsidRDefault="003933A1" w:rsidP="003A6B41">
            <w:pPr>
              <w:keepNext/>
              <w:shd w:val="clear" w:color="auto" w:fill="FFFFFF" w:themeFill="background1"/>
              <w:spacing w:before="81" w:after="81" w:line="160" w:lineRule="exact"/>
              <w:rPr>
                <w:rFonts w:eastAsia="Calibri"/>
                <w:b/>
                <w:bCs/>
                <w:i/>
                <w:sz w:val="14"/>
                <w:szCs w:val="14"/>
                <w:lang w:val="fr-FR"/>
              </w:rPr>
            </w:pPr>
          </w:p>
        </w:tc>
        <w:tc>
          <w:tcPr>
            <w:tcW w:w="1135" w:type="dxa"/>
            <w:tcBorders>
              <w:top w:val="single" w:sz="4" w:space="0" w:color="auto"/>
              <w:bottom w:val="single" w:sz="12" w:space="0" w:color="auto"/>
            </w:tcBorders>
            <w:shd w:val="clear" w:color="auto" w:fill="auto"/>
            <w:noWrap/>
            <w:vAlign w:val="bottom"/>
            <w:hideMark/>
          </w:tcPr>
          <w:p w14:paraId="1E201E78" w14:textId="77777777" w:rsidR="003933A1" w:rsidRPr="00D85F19" w:rsidRDefault="003933A1" w:rsidP="003A6B41">
            <w:pPr>
              <w:keepNext/>
              <w:shd w:val="clear" w:color="auto" w:fill="FFFFFF" w:themeFill="background1"/>
              <w:spacing w:before="81" w:after="81" w:line="160" w:lineRule="exact"/>
              <w:jc w:val="right"/>
              <w:rPr>
                <w:rFonts w:eastAsia="Calibri"/>
                <w:bCs/>
                <w:i/>
                <w:sz w:val="14"/>
                <w:szCs w:val="14"/>
                <w:lang w:val="fr-FR"/>
              </w:rPr>
            </w:pPr>
            <w:r w:rsidRPr="00D85F19">
              <w:rPr>
                <w:rFonts w:eastAsia="Calibri"/>
                <w:bCs/>
                <w:i/>
                <w:sz w:val="14"/>
                <w:szCs w:val="14"/>
                <w:lang w:val="fr-FR"/>
              </w:rPr>
              <w:t>Hommes</w:t>
            </w:r>
          </w:p>
        </w:tc>
        <w:tc>
          <w:tcPr>
            <w:tcW w:w="1530" w:type="dxa"/>
            <w:tcBorders>
              <w:top w:val="single" w:sz="4" w:space="0" w:color="auto"/>
              <w:bottom w:val="single" w:sz="12" w:space="0" w:color="auto"/>
            </w:tcBorders>
            <w:shd w:val="clear" w:color="auto" w:fill="auto"/>
            <w:noWrap/>
            <w:vAlign w:val="bottom"/>
            <w:hideMark/>
          </w:tcPr>
          <w:p w14:paraId="513D9884" w14:textId="77777777" w:rsidR="003933A1" w:rsidRPr="00D85F19" w:rsidRDefault="003933A1" w:rsidP="003A6B41">
            <w:pPr>
              <w:keepNext/>
              <w:shd w:val="clear" w:color="auto" w:fill="FFFFFF" w:themeFill="background1"/>
              <w:spacing w:before="81" w:after="81" w:line="160" w:lineRule="exact"/>
              <w:jc w:val="right"/>
              <w:rPr>
                <w:rFonts w:eastAsia="Calibri"/>
                <w:bCs/>
                <w:i/>
                <w:sz w:val="14"/>
                <w:szCs w:val="14"/>
                <w:lang w:val="fr-FR"/>
              </w:rPr>
            </w:pPr>
            <w:r w:rsidRPr="00D85F19">
              <w:rPr>
                <w:rFonts w:eastAsia="Calibri"/>
                <w:bCs/>
                <w:i/>
                <w:sz w:val="14"/>
                <w:szCs w:val="14"/>
                <w:lang w:val="fr-FR"/>
              </w:rPr>
              <w:t>Femmes</w:t>
            </w:r>
          </w:p>
        </w:tc>
        <w:tc>
          <w:tcPr>
            <w:tcW w:w="1530" w:type="dxa"/>
            <w:tcBorders>
              <w:top w:val="single" w:sz="4" w:space="0" w:color="auto"/>
              <w:bottom w:val="single" w:sz="12" w:space="0" w:color="auto"/>
            </w:tcBorders>
            <w:shd w:val="clear" w:color="auto" w:fill="auto"/>
            <w:vAlign w:val="bottom"/>
            <w:hideMark/>
          </w:tcPr>
          <w:p w14:paraId="4310DF43" w14:textId="77777777" w:rsidR="003933A1" w:rsidRPr="00D85F19" w:rsidRDefault="003933A1" w:rsidP="003A6B41">
            <w:pPr>
              <w:keepNext/>
              <w:shd w:val="clear" w:color="auto" w:fill="FFFFFF" w:themeFill="background1"/>
              <w:spacing w:before="81" w:after="81" w:line="160" w:lineRule="exact"/>
              <w:jc w:val="right"/>
              <w:rPr>
                <w:rFonts w:eastAsia="Calibri"/>
                <w:bCs/>
                <w:i/>
                <w:sz w:val="14"/>
                <w:szCs w:val="14"/>
                <w:lang w:val="fr-FR"/>
              </w:rPr>
            </w:pPr>
            <w:r w:rsidRPr="00D85F19">
              <w:rPr>
                <w:rFonts w:eastAsia="Calibri"/>
                <w:bCs/>
                <w:i/>
                <w:sz w:val="14"/>
                <w:szCs w:val="14"/>
                <w:lang w:val="fr-FR"/>
              </w:rPr>
              <w:t xml:space="preserve">Total </w:t>
            </w:r>
          </w:p>
        </w:tc>
        <w:tc>
          <w:tcPr>
            <w:tcW w:w="1556" w:type="dxa"/>
            <w:tcBorders>
              <w:top w:val="single" w:sz="4" w:space="0" w:color="auto"/>
              <w:bottom w:val="single" w:sz="12" w:space="0" w:color="auto"/>
            </w:tcBorders>
            <w:shd w:val="clear" w:color="auto" w:fill="auto"/>
            <w:vAlign w:val="bottom"/>
            <w:hideMark/>
          </w:tcPr>
          <w:p w14:paraId="7951E8F9" w14:textId="5E0823E7" w:rsidR="003933A1" w:rsidRPr="00D85F19" w:rsidRDefault="00D85F19" w:rsidP="003A6B41">
            <w:pPr>
              <w:keepNext/>
              <w:shd w:val="clear" w:color="auto" w:fill="FFFFFF" w:themeFill="background1"/>
              <w:spacing w:before="81" w:after="81" w:line="160" w:lineRule="exact"/>
              <w:jc w:val="right"/>
              <w:rPr>
                <w:rFonts w:eastAsia="Calibri"/>
                <w:bCs/>
                <w:i/>
                <w:sz w:val="14"/>
                <w:szCs w:val="14"/>
                <w:lang w:val="fr-FR"/>
              </w:rPr>
            </w:pPr>
            <w:r>
              <w:rPr>
                <w:rFonts w:eastAsia="Calibri"/>
                <w:bCs/>
                <w:i/>
                <w:sz w:val="14"/>
                <w:szCs w:val="14"/>
                <w:lang w:val="fr-FR"/>
              </w:rPr>
              <w:t>Pourcentage</w:t>
            </w:r>
            <w:r w:rsidR="003933A1" w:rsidRPr="00D85F19">
              <w:rPr>
                <w:rFonts w:eastAsia="Calibri"/>
                <w:bCs/>
                <w:i/>
                <w:sz w:val="14"/>
                <w:szCs w:val="14"/>
                <w:lang w:val="fr-FR"/>
              </w:rPr>
              <w:t xml:space="preserve"> de femmes</w:t>
            </w:r>
          </w:p>
        </w:tc>
      </w:tr>
      <w:tr w:rsidR="003933A1" w:rsidRPr="00E402C8" w14:paraId="23441239" w14:textId="77777777" w:rsidTr="0099433A">
        <w:tc>
          <w:tcPr>
            <w:tcW w:w="1475" w:type="dxa"/>
            <w:tcBorders>
              <w:top w:val="single" w:sz="12" w:space="0" w:color="auto"/>
            </w:tcBorders>
            <w:shd w:val="clear" w:color="auto" w:fill="auto"/>
            <w:hideMark/>
          </w:tcPr>
          <w:p w14:paraId="46BBF384" w14:textId="2D31CF2A" w:rsidR="003933A1" w:rsidRPr="00D85F19" w:rsidRDefault="003933A1" w:rsidP="00545975">
            <w:pPr>
              <w:keepNext/>
              <w:shd w:val="clear" w:color="auto" w:fill="FFFFFF" w:themeFill="background1"/>
              <w:spacing w:before="40" w:after="40" w:line="210" w:lineRule="exact"/>
              <w:rPr>
                <w:rFonts w:eastAsia="Calibri"/>
                <w:sz w:val="17"/>
                <w:szCs w:val="17"/>
                <w:lang w:val="fr-FR"/>
              </w:rPr>
            </w:pPr>
            <w:r w:rsidRPr="00D85F19">
              <w:rPr>
                <w:rFonts w:eastAsia="Calibri"/>
                <w:sz w:val="17"/>
                <w:szCs w:val="17"/>
                <w:lang w:val="fr-FR"/>
              </w:rPr>
              <w:t>0-14</w:t>
            </w:r>
          </w:p>
        </w:tc>
        <w:tc>
          <w:tcPr>
            <w:tcW w:w="1135" w:type="dxa"/>
            <w:tcBorders>
              <w:top w:val="single" w:sz="12" w:space="0" w:color="auto"/>
            </w:tcBorders>
            <w:shd w:val="clear" w:color="auto" w:fill="auto"/>
            <w:noWrap/>
            <w:vAlign w:val="bottom"/>
            <w:hideMark/>
          </w:tcPr>
          <w:p w14:paraId="3379F41B" w14:textId="77777777" w:rsidR="003933A1" w:rsidRPr="00D85F19" w:rsidRDefault="003933A1" w:rsidP="00545975">
            <w:pPr>
              <w:keepNext/>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2 264</w:t>
            </w:r>
          </w:p>
        </w:tc>
        <w:tc>
          <w:tcPr>
            <w:tcW w:w="1530" w:type="dxa"/>
            <w:tcBorders>
              <w:top w:val="single" w:sz="12" w:space="0" w:color="auto"/>
            </w:tcBorders>
            <w:shd w:val="clear" w:color="auto" w:fill="auto"/>
            <w:noWrap/>
            <w:vAlign w:val="bottom"/>
            <w:hideMark/>
          </w:tcPr>
          <w:p w14:paraId="689691E3" w14:textId="77777777" w:rsidR="003933A1" w:rsidRPr="00D85F19" w:rsidRDefault="003933A1" w:rsidP="00545975">
            <w:pPr>
              <w:keepNext/>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1 592</w:t>
            </w:r>
          </w:p>
        </w:tc>
        <w:tc>
          <w:tcPr>
            <w:tcW w:w="1530" w:type="dxa"/>
            <w:tcBorders>
              <w:top w:val="single" w:sz="12" w:space="0" w:color="auto"/>
            </w:tcBorders>
            <w:shd w:val="clear" w:color="auto" w:fill="auto"/>
            <w:noWrap/>
            <w:vAlign w:val="bottom"/>
            <w:hideMark/>
          </w:tcPr>
          <w:p w14:paraId="7367A8BF" w14:textId="77777777" w:rsidR="003933A1" w:rsidRPr="00D85F19" w:rsidRDefault="003933A1" w:rsidP="00545975">
            <w:pPr>
              <w:keepNext/>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3 856</w:t>
            </w:r>
          </w:p>
        </w:tc>
        <w:tc>
          <w:tcPr>
            <w:tcW w:w="1556" w:type="dxa"/>
            <w:tcBorders>
              <w:top w:val="single" w:sz="12" w:space="0" w:color="auto"/>
            </w:tcBorders>
            <w:shd w:val="clear" w:color="auto" w:fill="auto"/>
            <w:noWrap/>
            <w:vAlign w:val="bottom"/>
            <w:hideMark/>
          </w:tcPr>
          <w:p w14:paraId="6AC1AE2E" w14:textId="77777777" w:rsidR="003933A1" w:rsidRPr="00D85F19" w:rsidRDefault="003933A1" w:rsidP="00545975">
            <w:pPr>
              <w:keepNext/>
              <w:shd w:val="clear" w:color="auto" w:fill="FFFFFF" w:themeFill="background1"/>
              <w:spacing w:before="40" w:after="40" w:line="210" w:lineRule="exact"/>
              <w:jc w:val="right"/>
              <w:rPr>
                <w:rFonts w:eastAsia="Calibri"/>
                <w:b/>
                <w:sz w:val="17"/>
                <w:szCs w:val="17"/>
                <w:lang w:val="fr-FR"/>
              </w:rPr>
            </w:pPr>
            <w:r w:rsidRPr="00D85F19">
              <w:rPr>
                <w:rFonts w:eastAsia="Calibri"/>
                <w:b/>
                <w:sz w:val="17"/>
                <w:szCs w:val="17"/>
                <w:lang w:val="fr-FR"/>
              </w:rPr>
              <w:t>5,2</w:t>
            </w:r>
          </w:p>
        </w:tc>
      </w:tr>
      <w:tr w:rsidR="003933A1" w:rsidRPr="00E402C8" w14:paraId="2182B72F" w14:textId="77777777" w:rsidTr="0099433A">
        <w:tc>
          <w:tcPr>
            <w:tcW w:w="1475" w:type="dxa"/>
            <w:shd w:val="clear" w:color="auto" w:fill="auto"/>
            <w:hideMark/>
          </w:tcPr>
          <w:p w14:paraId="057BE3AF" w14:textId="2437F8E2" w:rsidR="003933A1" w:rsidRPr="00D85F19" w:rsidRDefault="003933A1" w:rsidP="00545975">
            <w:pPr>
              <w:shd w:val="clear" w:color="auto" w:fill="FFFFFF" w:themeFill="background1"/>
              <w:spacing w:before="40" w:after="40" w:line="210" w:lineRule="exact"/>
              <w:rPr>
                <w:rFonts w:eastAsia="Calibri"/>
                <w:sz w:val="17"/>
                <w:szCs w:val="17"/>
                <w:lang w:val="fr-FR"/>
              </w:rPr>
            </w:pPr>
            <w:r w:rsidRPr="00D85F19">
              <w:rPr>
                <w:rFonts w:eastAsia="Calibri"/>
                <w:sz w:val="17"/>
                <w:szCs w:val="17"/>
                <w:lang w:val="fr-FR"/>
              </w:rPr>
              <w:t>15</w:t>
            </w:r>
            <w:r w:rsidR="00D85F19" w:rsidRPr="00D85F19">
              <w:rPr>
                <w:rFonts w:eastAsia="Calibri"/>
                <w:sz w:val="17"/>
                <w:szCs w:val="17"/>
                <w:lang w:val="fr-FR"/>
              </w:rPr>
              <w:t>-</w:t>
            </w:r>
            <w:r w:rsidRPr="00D85F19">
              <w:rPr>
                <w:rFonts w:eastAsia="Calibri"/>
                <w:sz w:val="17"/>
                <w:szCs w:val="17"/>
                <w:lang w:val="fr-FR"/>
              </w:rPr>
              <w:t>44</w:t>
            </w:r>
          </w:p>
        </w:tc>
        <w:tc>
          <w:tcPr>
            <w:tcW w:w="1135" w:type="dxa"/>
            <w:shd w:val="clear" w:color="auto" w:fill="auto"/>
            <w:noWrap/>
            <w:vAlign w:val="bottom"/>
            <w:hideMark/>
          </w:tcPr>
          <w:p w14:paraId="7CDA7548"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7 543</w:t>
            </w:r>
          </w:p>
        </w:tc>
        <w:tc>
          <w:tcPr>
            <w:tcW w:w="1530" w:type="dxa"/>
            <w:shd w:val="clear" w:color="auto" w:fill="auto"/>
            <w:noWrap/>
            <w:vAlign w:val="bottom"/>
            <w:hideMark/>
          </w:tcPr>
          <w:p w14:paraId="63D23AA6"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5 576</w:t>
            </w:r>
          </w:p>
        </w:tc>
        <w:tc>
          <w:tcPr>
            <w:tcW w:w="1530" w:type="dxa"/>
            <w:shd w:val="clear" w:color="auto" w:fill="auto"/>
            <w:noWrap/>
            <w:vAlign w:val="bottom"/>
            <w:hideMark/>
          </w:tcPr>
          <w:p w14:paraId="1320D6F0"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13 119</w:t>
            </w:r>
          </w:p>
        </w:tc>
        <w:tc>
          <w:tcPr>
            <w:tcW w:w="1556" w:type="dxa"/>
            <w:shd w:val="clear" w:color="auto" w:fill="auto"/>
            <w:noWrap/>
            <w:vAlign w:val="bottom"/>
            <w:hideMark/>
          </w:tcPr>
          <w:p w14:paraId="6DE2667D" w14:textId="77777777" w:rsidR="003933A1" w:rsidRPr="00D85F19" w:rsidRDefault="003933A1" w:rsidP="00545975">
            <w:pPr>
              <w:shd w:val="clear" w:color="auto" w:fill="FFFFFF" w:themeFill="background1"/>
              <w:spacing w:before="40" w:after="40" w:line="210" w:lineRule="exact"/>
              <w:jc w:val="right"/>
              <w:rPr>
                <w:rFonts w:eastAsia="Calibri"/>
                <w:b/>
                <w:sz w:val="17"/>
                <w:szCs w:val="17"/>
                <w:lang w:val="fr-FR"/>
              </w:rPr>
            </w:pPr>
            <w:r w:rsidRPr="00D85F19">
              <w:rPr>
                <w:rFonts w:eastAsia="Calibri"/>
                <w:b/>
                <w:sz w:val="17"/>
                <w:szCs w:val="17"/>
                <w:lang w:val="fr-FR"/>
              </w:rPr>
              <w:t>18,1</w:t>
            </w:r>
          </w:p>
        </w:tc>
      </w:tr>
      <w:tr w:rsidR="003933A1" w:rsidRPr="00E402C8" w14:paraId="1274A54F" w14:textId="77777777" w:rsidTr="0099433A">
        <w:tc>
          <w:tcPr>
            <w:tcW w:w="1475" w:type="dxa"/>
            <w:shd w:val="clear" w:color="auto" w:fill="auto"/>
            <w:hideMark/>
          </w:tcPr>
          <w:p w14:paraId="2EBA3D99" w14:textId="74696D34" w:rsidR="003933A1" w:rsidRPr="00D85F19" w:rsidRDefault="003933A1" w:rsidP="00545975">
            <w:pPr>
              <w:shd w:val="clear" w:color="auto" w:fill="FFFFFF" w:themeFill="background1"/>
              <w:spacing w:before="40" w:after="40" w:line="210" w:lineRule="exact"/>
              <w:rPr>
                <w:rFonts w:eastAsia="Calibri"/>
                <w:sz w:val="17"/>
                <w:szCs w:val="17"/>
                <w:lang w:val="fr-FR"/>
              </w:rPr>
            </w:pPr>
            <w:r w:rsidRPr="00D85F19">
              <w:rPr>
                <w:rFonts w:eastAsia="Calibri"/>
                <w:sz w:val="17"/>
                <w:szCs w:val="17"/>
                <w:lang w:val="fr-FR"/>
              </w:rPr>
              <w:t>45</w:t>
            </w:r>
            <w:r w:rsidR="00D85F19" w:rsidRPr="00D85F19">
              <w:rPr>
                <w:rFonts w:eastAsia="Calibri"/>
                <w:sz w:val="17"/>
                <w:szCs w:val="17"/>
                <w:lang w:val="fr-FR"/>
              </w:rPr>
              <w:t>-</w:t>
            </w:r>
            <w:r w:rsidRPr="00D85F19">
              <w:rPr>
                <w:rFonts w:eastAsia="Calibri"/>
                <w:sz w:val="17"/>
                <w:szCs w:val="17"/>
                <w:lang w:val="fr-FR"/>
              </w:rPr>
              <w:t>59</w:t>
            </w:r>
          </w:p>
        </w:tc>
        <w:tc>
          <w:tcPr>
            <w:tcW w:w="1135" w:type="dxa"/>
            <w:shd w:val="clear" w:color="auto" w:fill="auto"/>
            <w:noWrap/>
            <w:vAlign w:val="bottom"/>
            <w:hideMark/>
          </w:tcPr>
          <w:p w14:paraId="39D9E0E9"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8 767</w:t>
            </w:r>
          </w:p>
        </w:tc>
        <w:tc>
          <w:tcPr>
            <w:tcW w:w="1530" w:type="dxa"/>
            <w:shd w:val="clear" w:color="auto" w:fill="auto"/>
            <w:noWrap/>
            <w:vAlign w:val="bottom"/>
            <w:hideMark/>
          </w:tcPr>
          <w:p w14:paraId="76962BAC"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7 281</w:t>
            </w:r>
          </w:p>
        </w:tc>
        <w:tc>
          <w:tcPr>
            <w:tcW w:w="1530" w:type="dxa"/>
            <w:shd w:val="clear" w:color="auto" w:fill="auto"/>
            <w:noWrap/>
            <w:vAlign w:val="bottom"/>
            <w:hideMark/>
          </w:tcPr>
          <w:p w14:paraId="7A166E4D"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16 048</w:t>
            </w:r>
          </w:p>
        </w:tc>
        <w:tc>
          <w:tcPr>
            <w:tcW w:w="1556" w:type="dxa"/>
            <w:shd w:val="clear" w:color="auto" w:fill="auto"/>
            <w:noWrap/>
            <w:vAlign w:val="bottom"/>
            <w:hideMark/>
          </w:tcPr>
          <w:p w14:paraId="499273E3" w14:textId="77777777" w:rsidR="003933A1" w:rsidRPr="00D85F19" w:rsidRDefault="003933A1" w:rsidP="00545975">
            <w:pPr>
              <w:shd w:val="clear" w:color="auto" w:fill="FFFFFF" w:themeFill="background1"/>
              <w:spacing w:before="40" w:after="40" w:line="210" w:lineRule="exact"/>
              <w:jc w:val="right"/>
              <w:rPr>
                <w:rFonts w:eastAsia="Calibri"/>
                <w:b/>
                <w:sz w:val="17"/>
                <w:szCs w:val="17"/>
                <w:lang w:val="fr-FR"/>
              </w:rPr>
            </w:pPr>
            <w:r w:rsidRPr="00D85F19">
              <w:rPr>
                <w:rFonts w:eastAsia="Calibri"/>
                <w:b/>
                <w:sz w:val="17"/>
                <w:szCs w:val="17"/>
                <w:lang w:val="fr-FR"/>
              </w:rPr>
              <w:t>23,6</w:t>
            </w:r>
          </w:p>
        </w:tc>
      </w:tr>
      <w:tr w:rsidR="003933A1" w:rsidRPr="00E402C8" w14:paraId="490C8CDD" w14:textId="77777777" w:rsidTr="0099433A">
        <w:tc>
          <w:tcPr>
            <w:tcW w:w="1475" w:type="dxa"/>
            <w:shd w:val="clear" w:color="auto" w:fill="auto"/>
            <w:hideMark/>
          </w:tcPr>
          <w:p w14:paraId="1FF67303" w14:textId="4561B4A7" w:rsidR="003933A1" w:rsidRPr="00D85F19" w:rsidRDefault="003933A1" w:rsidP="00545975">
            <w:pPr>
              <w:shd w:val="clear" w:color="auto" w:fill="FFFFFF" w:themeFill="background1"/>
              <w:spacing w:before="40" w:after="40" w:line="210" w:lineRule="exact"/>
              <w:rPr>
                <w:rFonts w:eastAsia="Calibri"/>
                <w:sz w:val="17"/>
                <w:szCs w:val="17"/>
                <w:lang w:val="fr-FR"/>
              </w:rPr>
            </w:pPr>
            <w:r w:rsidRPr="00D85F19">
              <w:rPr>
                <w:rFonts w:eastAsia="Calibri"/>
                <w:sz w:val="17"/>
                <w:szCs w:val="17"/>
                <w:lang w:val="fr-FR"/>
              </w:rPr>
              <w:t>60</w:t>
            </w:r>
            <w:r w:rsidR="00D85F19" w:rsidRPr="00D85F19">
              <w:rPr>
                <w:rFonts w:eastAsia="Calibri"/>
                <w:sz w:val="17"/>
                <w:szCs w:val="17"/>
                <w:lang w:val="fr-FR"/>
              </w:rPr>
              <w:t>-</w:t>
            </w:r>
            <w:r w:rsidRPr="00D85F19">
              <w:rPr>
                <w:rFonts w:eastAsia="Calibri"/>
                <w:sz w:val="17"/>
                <w:szCs w:val="17"/>
                <w:lang w:val="fr-FR"/>
              </w:rPr>
              <w:t>74</w:t>
            </w:r>
          </w:p>
        </w:tc>
        <w:tc>
          <w:tcPr>
            <w:tcW w:w="1135" w:type="dxa"/>
            <w:shd w:val="clear" w:color="auto" w:fill="auto"/>
            <w:noWrap/>
            <w:vAlign w:val="bottom"/>
            <w:hideMark/>
          </w:tcPr>
          <w:p w14:paraId="4CA6ED1E"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6 411</w:t>
            </w:r>
          </w:p>
        </w:tc>
        <w:tc>
          <w:tcPr>
            <w:tcW w:w="1530" w:type="dxa"/>
            <w:shd w:val="clear" w:color="auto" w:fill="auto"/>
            <w:noWrap/>
            <w:vAlign w:val="bottom"/>
            <w:hideMark/>
          </w:tcPr>
          <w:p w14:paraId="3AE36620"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8 344</w:t>
            </w:r>
          </w:p>
        </w:tc>
        <w:tc>
          <w:tcPr>
            <w:tcW w:w="1530" w:type="dxa"/>
            <w:shd w:val="clear" w:color="auto" w:fill="auto"/>
            <w:noWrap/>
            <w:vAlign w:val="bottom"/>
            <w:hideMark/>
          </w:tcPr>
          <w:p w14:paraId="40D1A561" w14:textId="77777777" w:rsidR="003933A1" w:rsidRPr="00D85F19" w:rsidRDefault="003933A1" w:rsidP="00545975">
            <w:pPr>
              <w:shd w:val="clear" w:color="auto" w:fill="FFFFFF" w:themeFill="background1"/>
              <w:spacing w:before="40" w:after="40" w:line="210" w:lineRule="exact"/>
              <w:jc w:val="right"/>
              <w:rPr>
                <w:rFonts w:eastAsia="Calibri"/>
                <w:sz w:val="17"/>
                <w:szCs w:val="17"/>
                <w:lang w:val="fr-FR"/>
              </w:rPr>
            </w:pPr>
            <w:r w:rsidRPr="00D85F19">
              <w:rPr>
                <w:rFonts w:eastAsia="Calibri"/>
                <w:sz w:val="17"/>
                <w:szCs w:val="17"/>
                <w:lang w:val="fr-FR"/>
              </w:rPr>
              <w:t>14 755</w:t>
            </w:r>
          </w:p>
        </w:tc>
        <w:tc>
          <w:tcPr>
            <w:tcW w:w="1556" w:type="dxa"/>
            <w:shd w:val="clear" w:color="auto" w:fill="auto"/>
            <w:noWrap/>
            <w:vAlign w:val="bottom"/>
            <w:hideMark/>
          </w:tcPr>
          <w:p w14:paraId="45C24637" w14:textId="77777777" w:rsidR="003933A1" w:rsidRPr="00D85F19" w:rsidRDefault="003933A1" w:rsidP="00545975">
            <w:pPr>
              <w:shd w:val="clear" w:color="auto" w:fill="FFFFFF" w:themeFill="background1"/>
              <w:spacing w:before="40" w:after="40" w:line="210" w:lineRule="exact"/>
              <w:jc w:val="right"/>
              <w:rPr>
                <w:rFonts w:eastAsia="Calibri"/>
                <w:b/>
                <w:sz w:val="17"/>
                <w:szCs w:val="17"/>
                <w:lang w:val="fr-FR"/>
              </w:rPr>
            </w:pPr>
            <w:r w:rsidRPr="00D85F19">
              <w:rPr>
                <w:rFonts w:eastAsia="Calibri"/>
                <w:b/>
                <w:sz w:val="17"/>
                <w:szCs w:val="17"/>
                <w:lang w:val="fr-FR"/>
              </w:rPr>
              <w:t>27,0</w:t>
            </w:r>
          </w:p>
        </w:tc>
      </w:tr>
      <w:tr w:rsidR="003933A1" w:rsidRPr="00E402C8" w14:paraId="7294918B" w14:textId="77777777" w:rsidTr="00545975">
        <w:tc>
          <w:tcPr>
            <w:tcW w:w="1475" w:type="dxa"/>
            <w:tcBorders>
              <w:bottom w:val="single" w:sz="4" w:space="0" w:color="auto"/>
            </w:tcBorders>
            <w:shd w:val="clear" w:color="auto" w:fill="auto"/>
            <w:hideMark/>
          </w:tcPr>
          <w:p w14:paraId="0184CECF" w14:textId="77777777" w:rsidR="003933A1" w:rsidRPr="00D85F19" w:rsidRDefault="003933A1" w:rsidP="00545975">
            <w:pPr>
              <w:shd w:val="clear" w:color="auto" w:fill="FFFFFF" w:themeFill="background1"/>
              <w:spacing w:before="40" w:after="81" w:line="210" w:lineRule="exact"/>
              <w:rPr>
                <w:rFonts w:eastAsia="Calibri"/>
                <w:sz w:val="17"/>
                <w:szCs w:val="17"/>
                <w:lang w:val="fr-FR"/>
              </w:rPr>
            </w:pPr>
            <w:r w:rsidRPr="00D85F19">
              <w:rPr>
                <w:rFonts w:eastAsia="Calibri"/>
                <w:sz w:val="17"/>
                <w:szCs w:val="17"/>
                <w:lang w:val="fr-FR"/>
              </w:rPr>
              <w:t>75+</w:t>
            </w:r>
          </w:p>
        </w:tc>
        <w:tc>
          <w:tcPr>
            <w:tcW w:w="1135" w:type="dxa"/>
            <w:tcBorders>
              <w:bottom w:val="single" w:sz="4" w:space="0" w:color="auto"/>
            </w:tcBorders>
            <w:shd w:val="clear" w:color="auto" w:fill="auto"/>
            <w:noWrap/>
            <w:vAlign w:val="bottom"/>
            <w:hideMark/>
          </w:tcPr>
          <w:p w14:paraId="5EFE8A7A"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sz w:val="17"/>
                <w:szCs w:val="17"/>
                <w:lang w:val="fr-FR"/>
              </w:rPr>
              <w:t>4 002</w:t>
            </w:r>
          </w:p>
        </w:tc>
        <w:tc>
          <w:tcPr>
            <w:tcW w:w="1530" w:type="dxa"/>
            <w:tcBorders>
              <w:bottom w:val="single" w:sz="4" w:space="0" w:color="auto"/>
            </w:tcBorders>
            <w:shd w:val="clear" w:color="auto" w:fill="auto"/>
            <w:noWrap/>
            <w:vAlign w:val="bottom"/>
            <w:hideMark/>
          </w:tcPr>
          <w:p w14:paraId="66135BC3"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sz w:val="17"/>
                <w:szCs w:val="17"/>
                <w:lang w:val="fr-FR"/>
              </w:rPr>
              <w:t>8 088</w:t>
            </w:r>
          </w:p>
        </w:tc>
        <w:tc>
          <w:tcPr>
            <w:tcW w:w="1530" w:type="dxa"/>
            <w:tcBorders>
              <w:bottom w:val="single" w:sz="4" w:space="0" w:color="auto"/>
            </w:tcBorders>
            <w:shd w:val="clear" w:color="auto" w:fill="auto"/>
            <w:noWrap/>
            <w:vAlign w:val="bottom"/>
            <w:hideMark/>
          </w:tcPr>
          <w:p w14:paraId="0FB42D4C" w14:textId="77777777" w:rsidR="003933A1" w:rsidRPr="00D85F19" w:rsidRDefault="003933A1" w:rsidP="00545975">
            <w:pPr>
              <w:shd w:val="clear" w:color="auto" w:fill="FFFFFF" w:themeFill="background1"/>
              <w:spacing w:before="40" w:after="81" w:line="210" w:lineRule="exact"/>
              <w:jc w:val="right"/>
              <w:rPr>
                <w:rFonts w:eastAsia="Calibri"/>
                <w:sz w:val="17"/>
                <w:szCs w:val="17"/>
                <w:lang w:val="fr-FR"/>
              </w:rPr>
            </w:pPr>
            <w:r w:rsidRPr="00D85F19">
              <w:rPr>
                <w:rFonts w:eastAsia="Calibri"/>
                <w:sz w:val="17"/>
                <w:szCs w:val="17"/>
                <w:lang w:val="fr-FR"/>
              </w:rPr>
              <w:t>12 090</w:t>
            </w:r>
          </w:p>
        </w:tc>
        <w:tc>
          <w:tcPr>
            <w:tcW w:w="1556" w:type="dxa"/>
            <w:tcBorders>
              <w:bottom w:val="single" w:sz="4" w:space="0" w:color="auto"/>
            </w:tcBorders>
            <w:shd w:val="clear" w:color="auto" w:fill="auto"/>
            <w:noWrap/>
            <w:vAlign w:val="bottom"/>
            <w:hideMark/>
          </w:tcPr>
          <w:p w14:paraId="0E3A6DD7" w14:textId="77777777" w:rsidR="003933A1" w:rsidRPr="00D85F19" w:rsidRDefault="003933A1" w:rsidP="00545975">
            <w:pPr>
              <w:shd w:val="clear" w:color="auto" w:fill="FFFFFF" w:themeFill="background1"/>
              <w:spacing w:before="40" w:after="81" w:line="210" w:lineRule="exact"/>
              <w:jc w:val="right"/>
              <w:rPr>
                <w:rFonts w:eastAsia="Calibri"/>
                <w:b/>
                <w:sz w:val="17"/>
                <w:szCs w:val="17"/>
                <w:lang w:val="fr-FR"/>
              </w:rPr>
            </w:pPr>
            <w:r w:rsidRPr="00D85F19">
              <w:rPr>
                <w:rFonts w:eastAsia="Calibri"/>
                <w:b/>
                <w:sz w:val="17"/>
                <w:szCs w:val="17"/>
                <w:lang w:val="fr-FR"/>
              </w:rPr>
              <w:t>26,2</w:t>
            </w:r>
          </w:p>
        </w:tc>
      </w:tr>
      <w:tr w:rsidR="003933A1" w:rsidRPr="00E402C8" w14:paraId="591CBCE3" w14:textId="77777777" w:rsidTr="00545975">
        <w:tc>
          <w:tcPr>
            <w:tcW w:w="1475" w:type="dxa"/>
            <w:tcBorders>
              <w:top w:val="single" w:sz="4" w:space="0" w:color="auto"/>
              <w:bottom w:val="single" w:sz="12" w:space="0" w:color="auto"/>
            </w:tcBorders>
            <w:shd w:val="clear" w:color="auto" w:fill="auto"/>
            <w:hideMark/>
          </w:tcPr>
          <w:p w14:paraId="48A0636D" w14:textId="358FB51E" w:rsidR="003933A1" w:rsidRPr="00D85F19" w:rsidRDefault="00A27CC2" w:rsidP="00545975">
            <w:pPr>
              <w:shd w:val="clear" w:color="auto" w:fill="FFFFFF" w:themeFill="background1"/>
              <w:spacing w:before="81" w:after="81" w:line="210" w:lineRule="exact"/>
              <w:rPr>
                <w:rFonts w:eastAsia="Calibri"/>
                <w:b/>
                <w:bCs/>
                <w:sz w:val="17"/>
                <w:szCs w:val="17"/>
                <w:lang w:val="fr-FR"/>
              </w:rPr>
            </w:pPr>
            <w:r>
              <w:rPr>
                <w:rFonts w:eastAsia="Calibri"/>
                <w:b/>
                <w:bCs/>
                <w:sz w:val="17"/>
                <w:szCs w:val="17"/>
                <w:lang w:val="fr-FR"/>
              </w:rPr>
              <w:tab/>
            </w:r>
            <w:r w:rsidR="003933A1" w:rsidRPr="00D85F19">
              <w:rPr>
                <w:rFonts w:eastAsia="Calibri"/>
                <w:b/>
                <w:bCs/>
                <w:sz w:val="17"/>
                <w:szCs w:val="17"/>
                <w:lang w:val="fr-FR"/>
              </w:rPr>
              <w:t>Total</w:t>
            </w:r>
          </w:p>
        </w:tc>
        <w:tc>
          <w:tcPr>
            <w:tcW w:w="1135" w:type="dxa"/>
            <w:tcBorders>
              <w:top w:val="single" w:sz="4" w:space="0" w:color="auto"/>
              <w:bottom w:val="single" w:sz="12" w:space="0" w:color="auto"/>
            </w:tcBorders>
            <w:shd w:val="clear" w:color="auto" w:fill="auto"/>
            <w:noWrap/>
            <w:vAlign w:val="bottom"/>
            <w:hideMark/>
          </w:tcPr>
          <w:p w14:paraId="4C133605" w14:textId="77777777" w:rsidR="003933A1" w:rsidRPr="00D85F19" w:rsidRDefault="003933A1" w:rsidP="00545975">
            <w:pPr>
              <w:shd w:val="clear" w:color="auto" w:fill="FFFFFF" w:themeFill="background1"/>
              <w:spacing w:before="81" w:after="81" w:line="210" w:lineRule="exact"/>
              <w:jc w:val="right"/>
              <w:rPr>
                <w:rFonts w:eastAsia="Calibri"/>
                <w:b/>
                <w:bCs/>
                <w:sz w:val="17"/>
                <w:szCs w:val="17"/>
                <w:lang w:val="fr-FR"/>
              </w:rPr>
            </w:pPr>
            <w:r w:rsidRPr="00D85F19">
              <w:rPr>
                <w:rFonts w:eastAsia="Calibri"/>
                <w:b/>
                <w:bCs/>
                <w:sz w:val="17"/>
                <w:szCs w:val="17"/>
                <w:lang w:val="fr-FR"/>
              </w:rPr>
              <w:t>28 987</w:t>
            </w:r>
          </w:p>
        </w:tc>
        <w:tc>
          <w:tcPr>
            <w:tcW w:w="1530" w:type="dxa"/>
            <w:tcBorders>
              <w:top w:val="single" w:sz="4" w:space="0" w:color="auto"/>
              <w:bottom w:val="single" w:sz="12" w:space="0" w:color="auto"/>
            </w:tcBorders>
            <w:shd w:val="clear" w:color="auto" w:fill="auto"/>
            <w:noWrap/>
            <w:vAlign w:val="bottom"/>
            <w:hideMark/>
          </w:tcPr>
          <w:p w14:paraId="180C4D76" w14:textId="77777777" w:rsidR="003933A1" w:rsidRPr="00D85F19" w:rsidRDefault="003933A1" w:rsidP="00545975">
            <w:pPr>
              <w:shd w:val="clear" w:color="auto" w:fill="FFFFFF" w:themeFill="background1"/>
              <w:spacing w:before="81" w:after="81" w:line="210" w:lineRule="exact"/>
              <w:jc w:val="right"/>
              <w:rPr>
                <w:rFonts w:eastAsia="Calibri"/>
                <w:b/>
                <w:bCs/>
                <w:sz w:val="17"/>
                <w:szCs w:val="17"/>
                <w:lang w:val="fr-FR"/>
              </w:rPr>
            </w:pPr>
            <w:r w:rsidRPr="00D85F19">
              <w:rPr>
                <w:rFonts w:eastAsia="Calibri"/>
                <w:b/>
                <w:bCs/>
                <w:sz w:val="17"/>
                <w:szCs w:val="17"/>
                <w:lang w:val="fr-FR"/>
              </w:rPr>
              <w:t>30 881</w:t>
            </w:r>
          </w:p>
        </w:tc>
        <w:tc>
          <w:tcPr>
            <w:tcW w:w="1530" w:type="dxa"/>
            <w:tcBorders>
              <w:top w:val="single" w:sz="4" w:space="0" w:color="auto"/>
              <w:bottom w:val="single" w:sz="12" w:space="0" w:color="auto"/>
            </w:tcBorders>
            <w:shd w:val="clear" w:color="auto" w:fill="auto"/>
            <w:noWrap/>
            <w:vAlign w:val="bottom"/>
            <w:hideMark/>
          </w:tcPr>
          <w:p w14:paraId="2B047412" w14:textId="77777777" w:rsidR="003933A1" w:rsidRPr="00D85F19" w:rsidRDefault="003933A1" w:rsidP="00545975">
            <w:pPr>
              <w:shd w:val="clear" w:color="auto" w:fill="FFFFFF" w:themeFill="background1"/>
              <w:spacing w:before="81" w:after="81" w:line="210" w:lineRule="exact"/>
              <w:jc w:val="right"/>
              <w:rPr>
                <w:rFonts w:eastAsia="Calibri"/>
                <w:b/>
                <w:bCs/>
                <w:sz w:val="17"/>
                <w:szCs w:val="17"/>
                <w:lang w:val="fr-FR"/>
              </w:rPr>
            </w:pPr>
            <w:r w:rsidRPr="00D85F19">
              <w:rPr>
                <w:rFonts w:eastAsia="Calibri"/>
                <w:b/>
                <w:bCs/>
                <w:sz w:val="17"/>
                <w:szCs w:val="17"/>
                <w:lang w:val="fr-FR"/>
              </w:rPr>
              <w:t>59 868</w:t>
            </w:r>
          </w:p>
        </w:tc>
        <w:tc>
          <w:tcPr>
            <w:tcW w:w="1556" w:type="dxa"/>
            <w:tcBorders>
              <w:top w:val="single" w:sz="4" w:space="0" w:color="auto"/>
              <w:bottom w:val="single" w:sz="12" w:space="0" w:color="auto"/>
            </w:tcBorders>
            <w:shd w:val="clear" w:color="auto" w:fill="auto"/>
            <w:noWrap/>
            <w:vAlign w:val="bottom"/>
            <w:hideMark/>
          </w:tcPr>
          <w:p w14:paraId="64E5A5F6" w14:textId="77777777" w:rsidR="003933A1" w:rsidRPr="00D85F19" w:rsidRDefault="003933A1" w:rsidP="00545975">
            <w:pPr>
              <w:shd w:val="clear" w:color="auto" w:fill="FFFFFF" w:themeFill="background1"/>
              <w:spacing w:before="81" w:after="81" w:line="210" w:lineRule="exact"/>
              <w:jc w:val="right"/>
              <w:rPr>
                <w:rFonts w:eastAsia="Calibri"/>
                <w:b/>
                <w:sz w:val="17"/>
                <w:szCs w:val="17"/>
                <w:lang w:val="fr-FR"/>
              </w:rPr>
            </w:pPr>
            <w:r w:rsidRPr="00D85F19">
              <w:rPr>
                <w:rFonts w:eastAsia="Calibri"/>
                <w:b/>
                <w:sz w:val="17"/>
                <w:szCs w:val="17"/>
                <w:lang w:val="fr-FR"/>
              </w:rPr>
              <w:t>100,0</w:t>
            </w:r>
          </w:p>
        </w:tc>
      </w:tr>
    </w:tbl>
    <w:p w14:paraId="7AC01283" w14:textId="3593249A" w:rsidR="00D85F19" w:rsidRPr="00D85F19" w:rsidRDefault="00D85F19" w:rsidP="00D85F19">
      <w:pPr>
        <w:pStyle w:val="SingleTxt"/>
        <w:spacing w:after="0" w:line="120" w:lineRule="exact"/>
        <w:rPr>
          <w:sz w:val="10"/>
          <w:lang w:val="fr-FR"/>
        </w:rPr>
      </w:pPr>
    </w:p>
    <w:p w14:paraId="3E87273B" w14:textId="73191750" w:rsidR="003933A1" w:rsidRDefault="003933A1" w:rsidP="00D85F19">
      <w:pPr>
        <w:pStyle w:val="FootnoteText"/>
        <w:tabs>
          <w:tab w:val="right" w:pos="1476"/>
          <w:tab w:val="left" w:pos="1548"/>
          <w:tab w:val="right" w:pos="1836"/>
          <w:tab w:val="left" w:pos="1908"/>
        </w:tabs>
        <w:ind w:left="1548" w:right="1267" w:hanging="288"/>
        <w:rPr>
          <w:rFonts w:eastAsia="Calibri"/>
          <w:sz w:val="18"/>
          <w:szCs w:val="18"/>
          <w:lang w:val="fr-FR"/>
        </w:rPr>
      </w:pPr>
      <w:r w:rsidRPr="004A2C8C">
        <w:rPr>
          <w:rFonts w:eastAsia="Calibri"/>
          <w:i/>
          <w:sz w:val="18"/>
          <w:szCs w:val="18"/>
          <w:lang w:val="fr-FR"/>
        </w:rPr>
        <w:t>Source</w:t>
      </w:r>
      <w:r w:rsidR="00795C5F">
        <w:rPr>
          <w:rFonts w:eastAsia="Calibri"/>
          <w:i/>
          <w:sz w:val="18"/>
          <w:szCs w:val="18"/>
          <w:lang w:val="fr-FR"/>
        </w:rPr>
        <w:t> </w:t>
      </w:r>
      <w:r w:rsidR="00795C5F" w:rsidRPr="00545975">
        <w:rPr>
          <w:rFonts w:eastAsia="Calibri"/>
          <w:iCs/>
          <w:sz w:val="18"/>
          <w:szCs w:val="18"/>
          <w:lang w:val="fr-FR"/>
        </w:rPr>
        <w:t>:</w:t>
      </w:r>
      <w:r w:rsidRPr="004A2C8C">
        <w:rPr>
          <w:rFonts w:eastAsia="Calibri"/>
          <w:sz w:val="18"/>
          <w:szCs w:val="18"/>
          <w:lang w:val="fr-FR"/>
        </w:rPr>
        <w:t xml:space="preserve"> </w:t>
      </w:r>
      <w:r w:rsidRPr="004A2C8C">
        <w:rPr>
          <w:lang w:val="fr-FR"/>
        </w:rPr>
        <w:t>Statistics Mauritius</w:t>
      </w:r>
      <w:r w:rsidRPr="004A2C8C">
        <w:rPr>
          <w:rFonts w:eastAsia="Calibri"/>
          <w:sz w:val="18"/>
          <w:szCs w:val="18"/>
          <w:lang w:val="fr-FR"/>
        </w:rPr>
        <w:t>.</w:t>
      </w:r>
    </w:p>
    <w:p w14:paraId="2A3D04FE" w14:textId="1FDC7327" w:rsidR="00D85F19" w:rsidRPr="00D85F19" w:rsidRDefault="00D85F19" w:rsidP="00D85F19">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673A6898" w14:textId="46CB8FB8" w:rsidR="00D85F19" w:rsidRPr="00D85F19" w:rsidRDefault="00D85F19" w:rsidP="00D85F19">
      <w:pPr>
        <w:pStyle w:val="FootnoteText"/>
        <w:tabs>
          <w:tab w:val="right" w:pos="1476"/>
          <w:tab w:val="left" w:pos="1548"/>
          <w:tab w:val="right" w:pos="1836"/>
          <w:tab w:val="left" w:pos="1908"/>
        </w:tabs>
        <w:spacing w:line="120" w:lineRule="exact"/>
        <w:ind w:left="1548" w:right="1267" w:hanging="288"/>
        <w:rPr>
          <w:rFonts w:eastAsia="Calibri"/>
          <w:sz w:val="10"/>
          <w:szCs w:val="18"/>
          <w:lang w:val="fr-FR"/>
        </w:rPr>
      </w:pPr>
    </w:p>
    <w:p w14:paraId="61F8E94F" w14:textId="32CC440A" w:rsidR="003933A1" w:rsidRPr="00E402C8" w:rsidRDefault="003933A1" w:rsidP="00D85F19">
      <w:pPr>
        <w:pStyle w:val="SingleTxt"/>
        <w:numPr>
          <w:ilvl w:val="0"/>
          <w:numId w:val="41"/>
        </w:numPr>
        <w:spacing w:line="240" w:lineRule="exact"/>
        <w:rPr>
          <w:lang w:val="fr-FR"/>
        </w:rPr>
      </w:pPr>
      <w:r w:rsidRPr="00E402C8">
        <w:rPr>
          <w:lang w:val="fr-FR"/>
        </w:rPr>
        <w:t xml:space="preserve">Parmi les </w:t>
      </w:r>
      <w:r>
        <w:rPr>
          <w:lang w:val="fr-FR"/>
        </w:rPr>
        <w:t>dispositions</w:t>
      </w:r>
      <w:r w:rsidRPr="00E402C8">
        <w:rPr>
          <w:lang w:val="fr-FR"/>
        </w:rPr>
        <w:t xml:space="preserve"> prises pour lutter contre la discrimination à l</w:t>
      </w:r>
      <w:r w:rsidR="00795C5F">
        <w:rPr>
          <w:lang w:val="fr-FR"/>
        </w:rPr>
        <w:t>’</w:t>
      </w:r>
      <w:r w:rsidRPr="00E402C8">
        <w:rPr>
          <w:lang w:val="fr-FR"/>
        </w:rPr>
        <w:t>égard des groupes de femmes défavorisés figurent les mesures ci-après</w:t>
      </w:r>
      <w:r w:rsidR="001962FF">
        <w:rPr>
          <w:lang w:val="fr-FR"/>
        </w:rPr>
        <w:t> :</w:t>
      </w:r>
    </w:p>
    <w:p w14:paraId="6E24179D" w14:textId="63C85CCA" w:rsidR="00D85F19" w:rsidRPr="003A6B41" w:rsidRDefault="00D85F19" w:rsidP="003A6B41">
      <w:pPr>
        <w:pStyle w:val="SingleTxt"/>
        <w:spacing w:after="0" w:line="120" w:lineRule="exact"/>
        <w:rPr>
          <w:sz w:val="10"/>
          <w:lang w:val="fr-FR"/>
        </w:rPr>
      </w:pPr>
    </w:p>
    <w:p w14:paraId="251B649A" w14:textId="79AACA68" w:rsidR="003933A1" w:rsidRDefault="003933A1" w:rsidP="00D85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rFonts w:eastAsia="Calibri"/>
          <w:lang w:val="fr-FR"/>
        </w:rPr>
        <w:tab/>
      </w:r>
      <w:r w:rsidRPr="00E402C8">
        <w:rPr>
          <w:rFonts w:eastAsia="Calibri"/>
          <w:lang w:val="fr-FR"/>
        </w:rPr>
        <w:tab/>
      </w:r>
      <w:r w:rsidRPr="00E402C8">
        <w:rPr>
          <w:lang w:val="fr-FR"/>
        </w:rPr>
        <w:t>Accès à la justice</w:t>
      </w:r>
    </w:p>
    <w:p w14:paraId="2823F909" w14:textId="07158E7D" w:rsidR="00D85F19" w:rsidRPr="00D85F19" w:rsidRDefault="00D85F19" w:rsidP="00D85F19">
      <w:pPr>
        <w:pStyle w:val="SingleTxt"/>
        <w:spacing w:after="0" w:line="120" w:lineRule="exact"/>
        <w:rPr>
          <w:sz w:val="10"/>
          <w:lang w:val="fr-FR"/>
        </w:rPr>
      </w:pPr>
    </w:p>
    <w:p w14:paraId="26EF26D0" w14:textId="4C2A4D2C" w:rsidR="003933A1" w:rsidRPr="00E402C8" w:rsidRDefault="003933A1" w:rsidP="00D85F19">
      <w:pPr>
        <w:pStyle w:val="SingleTxt"/>
        <w:numPr>
          <w:ilvl w:val="0"/>
          <w:numId w:val="41"/>
        </w:numPr>
        <w:spacing w:line="240" w:lineRule="exact"/>
        <w:rPr>
          <w:lang w:val="fr-FR"/>
        </w:rPr>
      </w:pPr>
      <w:r w:rsidRPr="00E402C8">
        <w:rPr>
          <w:lang w:val="fr-FR"/>
        </w:rPr>
        <w:t>Le Gouvernement a promulgué une série de lois visant à protéger les droits de l</w:t>
      </w:r>
      <w:r w:rsidR="00795C5F">
        <w:rPr>
          <w:lang w:val="fr-FR"/>
        </w:rPr>
        <w:t>’</w:t>
      </w:r>
      <w:r w:rsidRPr="00E402C8">
        <w:rPr>
          <w:lang w:val="fr-FR"/>
        </w:rPr>
        <w:t>homme</w:t>
      </w:r>
      <w:r>
        <w:rPr>
          <w:lang w:val="fr-FR"/>
        </w:rPr>
        <w:t xml:space="preserve"> et</w:t>
      </w:r>
      <w:r w:rsidRPr="00E402C8">
        <w:rPr>
          <w:lang w:val="fr-FR"/>
        </w:rPr>
        <w:t xml:space="preserve"> les droits </w:t>
      </w:r>
      <w:r>
        <w:rPr>
          <w:lang w:val="fr-FR"/>
        </w:rPr>
        <w:t>des femmes</w:t>
      </w:r>
      <w:r w:rsidRPr="00E402C8">
        <w:rPr>
          <w:lang w:val="fr-FR"/>
        </w:rPr>
        <w:t xml:space="preserve"> ainsi que les groupes de femmes défavorisé</w:t>
      </w:r>
      <w:r w:rsidR="001962FF">
        <w:rPr>
          <w:lang w:val="fr-FR"/>
        </w:rPr>
        <w:t>e</w:t>
      </w:r>
      <w:r w:rsidRPr="00E402C8">
        <w:rPr>
          <w:lang w:val="fr-FR"/>
        </w:rPr>
        <w:t>s (</w:t>
      </w:r>
      <w:r>
        <w:rPr>
          <w:lang w:val="fr-FR"/>
        </w:rPr>
        <w:t>notamment</w:t>
      </w:r>
      <w:r w:rsidRPr="00E402C8">
        <w:rPr>
          <w:lang w:val="fr-FR"/>
        </w:rPr>
        <w:t xml:space="preserve"> les femmes rurales, </w:t>
      </w:r>
      <w:r>
        <w:rPr>
          <w:lang w:val="fr-FR"/>
        </w:rPr>
        <w:t xml:space="preserve">les femmes </w:t>
      </w:r>
      <w:r w:rsidRPr="00E402C8">
        <w:rPr>
          <w:lang w:val="fr-FR"/>
        </w:rPr>
        <w:t xml:space="preserve">âgées et </w:t>
      </w:r>
      <w:r>
        <w:rPr>
          <w:lang w:val="fr-FR"/>
        </w:rPr>
        <w:t xml:space="preserve">les femmes </w:t>
      </w:r>
      <w:r w:rsidRPr="00E402C8">
        <w:rPr>
          <w:lang w:val="fr-FR"/>
        </w:rPr>
        <w:t>handicapées).</w:t>
      </w:r>
      <w:r>
        <w:rPr>
          <w:lang w:val="fr-FR"/>
        </w:rPr>
        <w:t xml:space="preserve"> </w:t>
      </w:r>
      <w:r w:rsidRPr="00E402C8">
        <w:rPr>
          <w:lang w:val="fr-FR"/>
        </w:rPr>
        <w:t>En outre, l</w:t>
      </w:r>
      <w:r w:rsidR="00795C5F">
        <w:rPr>
          <w:lang w:val="fr-FR"/>
        </w:rPr>
        <w:t>’</w:t>
      </w:r>
      <w:r w:rsidRPr="00E402C8">
        <w:rPr>
          <w:lang w:val="fr-FR"/>
        </w:rPr>
        <w:t xml:space="preserve">article 17 de la Constitution </w:t>
      </w:r>
      <w:r>
        <w:rPr>
          <w:lang w:val="fr-FR"/>
        </w:rPr>
        <w:t xml:space="preserve">dispose </w:t>
      </w:r>
      <w:r w:rsidRPr="00E402C8">
        <w:rPr>
          <w:lang w:val="fr-FR"/>
        </w:rPr>
        <w:t>que toute personne dont les droits énoncés au chapitre II de la Constitution (libertés et droits fondamentaux) ont été, sont ou sont susceptibles d</w:t>
      </w:r>
      <w:r w:rsidR="00795C5F">
        <w:rPr>
          <w:lang w:val="fr-FR"/>
        </w:rPr>
        <w:t>’</w:t>
      </w:r>
      <w:r w:rsidRPr="00E402C8">
        <w:rPr>
          <w:lang w:val="fr-FR"/>
        </w:rPr>
        <w:t>être violés peut saisir la Cour suprême pour obtenir réparation.</w:t>
      </w:r>
    </w:p>
    <w:p w14:paraId="3FB0BC40" w14:textId="4E4E7B1E" w:rsidR="003933A1" w:rsidRPr="00E402C8" w:rsidRDefault="003933A1" w:rsidP="00D85F19">
      <w:pPr>
        <w:pStyle w:val="SingleTxt"/>
        <w:numPr>
          <w:ilvl w:val="0"/>
          <w:numId w:val="41"/>
        </w:numPr>
        <w:spacing w:line="240" w:lineRule="exact"/>
        <w:rPr>
          <w:lang w:val="fr-FR"/>
        </w:rPr>
      </w:pPr>
      <w:r w:rsidRPr="006A04A6">
        <w:rPr>
          <w:lang w:val="fr-FR"/>
        </w:rPr>
        <w:t>La Division de la sécurité sociale (</w:t>
      </w:r>
      <w:r w:rsidRPr="006A04A6">
        <w:rPr>
          <w:i/>
          <w:iCs/>
          <w:lang w:val="fr-FR"/>
        </w:rPr>
        <w:t>Social Security Division</w:t>
      </w:r>
      <w:r w:rsidRPr="006A04A6">
        <w:rPr>
          <w:lang w:val="fr-FR"/>
        </w:rPr>
        <w:t>) du Ministère de la sécurité sociale, de la solidarité nationale, de l</w:t>
      </w:r>
      <w:r w:rsidR="00795C5F">
        <w:rPr>
          <w:lang w:val="fr-FR"/>
        </w:rPr>
        <w:t>’</w:t>
      </w:r>
      <w:r w:rsidRPr="006A04A6">
        <w:rPr>
          <w:lang w:val="fr-FR"/>
        </w:rPr>
        <w:t>environnement et du développement durable compte un Groupe handicap (</w:t>
      </w:r>
      <w:r w:rsidRPr="006A04A6">
        <w:rPr>
          <w:i/>
          <w:iCs/>
          <w:lang w:val="fr-FR"/>
        </w:rPr>
        <w:t>Disability Unit</w:t>
      </w:r>
      <w:r w:rsidRPr="006A04A6">
        <w:rPr>
          <w:lang w:val="fr-FR"/>
        </w:rPr>
        <w:t>) chargé de promouvoir et de protéger les droits et le bien-être des personnes handicapées. Les femmes handicapées sont plus vulnérables à toutes les formes d</w:t>
      </w:r>
      <w:r w:rsidR="00795C5F">
        <w:rPr>
          <w:lang w:val="fr-FR"/>
        </w:rPr>
        <w:t>’</w:t>
      </w:r>
      <w:r w:rsidRPr="006A04A6">
        <w:rPr>
          <w:lang w:val="fr-FR"/>
        </w:rPr>
        <w:t>exploitation, de violence et de mauvais traitements, notamment en milieu professionnel, scolaire et familial. Les femmes handicapées souffrent de discrimination multiple du fait de leur sexe et de leur handicap.</w:t>
      </w:r>
    </w:p>
    <w:p w14:paraId="7A32B00C" w14:textId="33D612FA" w:rsidR="003933A1" w:rsidRPr="00E402C8" w:rsidRDefault="003933A1" w:rsidP="00D85F19">
      <w:pPr>
        <w:pStyle w:val="SingleTxt"/>
        <w:numPr>
          <w:ilvl w:val="0"/>
          <w:numId w:val="41"/>
        </w:numPr>
        <w:spacing w:line="240" w:lineRule="exact"/>
        <w:rPr>
          <w:lang w:val="fr-FR"/>
        </w:rPr>
      </w:pPr>
      <w:r w:rsidRPr="006A04A6">
        <w:rPr>
          <w:lang w:val="fr-FR"/>
        </w:rPr>
        <w:t>La loi relative à la protection des personnes âgées (</w:t>
      </w:r>
      <w:r w:rsidRPr="006A04A6">
        <w:rPr>
          <w:i/>
          <w:iCs/>
          <w:lang w:val="fr-FR"/>
        </w:rPr>
        <w:t>Protection of Elderly Persons Act</w:t>
      </w:r>
      <w:r w:rsidRPr="006A04A6">
        <w:rPr>
          <w:lang w:val="fr-FR"/>
        </w:rPr>
        <w:t>) prévoit</w:t>
      </w:r>
      <w:r w:rsidRPr="00E402C8">
        <w:rPr>
          <w:lang w:val="fr-FR"/>
        </w:rPr>
        <w:t xml:space="preserve"> le cadre juridique et administratif nécessaire pour protéger comme il se doit les personnes âgées,</w:t>
      </w:r>
      <w:r>
        <w:rPr>
          <w:lang w:val="fr-FR"/>
        </w:rPr>
        <w:t xml:space="preserve"> tant contre</w:t>
      </w:r>
      <w:r w:rsidRPr="00E402C8">
        <w:rPr>
          <w:lang w:val="fr-FR"/>
        </w:rPr>
        <w:t xml:space="preserve"> les violences</w:t>
      </w:r>
      <w:r>
        <w:rPr>
          <w:lang w:val="fr-FR"/>
        </w:rPr>
        <w:t>, qu</w:t>
      </w:r>
      <w:r w:rsidR="00795C5F">
        <w:rPr>
          <w:lang w:val="fr-FR"/>
        </w:rPr>
        <w:t>’</w:t>
      </w:r>
      <w:r>
        <w:rPr>
          <w:lang w:val="fr-FR"/>
        </w:rPr>
        <w:t>elles soient</w:t>
      </w:r>
      <w:r w:rsidRPr="00E402C8">
        <w:rPr>
          <w:lang w:val="fr-FR"/>
        </w:rPr>
        <w:t xml:space="preserve"> physiques</w:t>
      </w:r>
      <w:r>
        <w:rPr>
          <w:lang w:val="fr-FR"/>
        </w:rPr>
        <w:t>,</w:t>
      </w:r>
      <w:r w:rsidRPr="00E402C8">
        <w:rPr>
          <w:lang w:val="fr-FR"/>
        </w:rPr>
        <w:t xml:space="preserve"> verbales </w:t>
      </w:r>
      <w:r>
        <w:rPr>
          <w:lang w:val="fr-FR"/>
        </w:rPr>
        <w:t>ou</w:t>
      </w:r>
      <w:r w:rsidRPr="00E402C8">
        <w:rPr>
          <w:lang w:val="fr-FR"/>
        </w:rPr>
        <w:t xml:space="preserve"> psychologique</w:t>
      </w:r>
      <w:r>
        <w:rPr>
          <w:lang w:val="fr-FR"/>
        </w:rPr>
        <w:t>s</w:t>
      </w:r>
      <w:r w:rsidRPr="00E402C8">
        <w:rPr>
          <w:lang w:val="fr-FR"/>
        </w:rPr>
        <w:t>,</w:t>
      </w:r>
      <w:r>
        <w:rPr>
          <w:lang w:val="fr-FR"/>
        </w:rPr>
        <w:t xml:space="preserve"> que sur les plans</w:t>
      </w:r>
      <w:r w:rsidRPr="00E402C8">
        <w:rPr>
          <w:lang w:val="fr-FR"/>
        </w:rPr>
        <w:t xml:space="preserve"> affectif </w:t>
      </w:r>
      <w:r>
        <w:rPr>
          <w:lang w:val="fr-FR"/>
        </w:rPr>
        <w:t>et</w:t>
      </w:r>
      <w:r w:rsidRPr="00E402C8">
        <w:rPr>
          <w:lang w:val="fr-FR"/>
        </w:rPr>
        <w:t xml:space="preserve"> matériel.</w:t>
      </w:r>
    </w:p>
    <w:p w14:paraId="0598C389" w14:textId="45917560" w:rsidR="003933A1" w:rsidRPr="00E402C8" w:rsidRDefault="003933A1" w:rsidP="00D85F19">
      <w:pPr>
        <w:pStyle w:val="SingleTxt"/>
        <w:numPr>
          <w:ilvl w:val="0"/>
          <w:numId w:val="41"/>
        </w:numPr>
        <w:spacing w:line="240" w:lineRule="exact"/>
        <w:rPr>
          <w:lang w:val="fr-FR"/>
        </w:rPr>
      </w:pPr>
      <w:r w:rsidRPr="00641FCD">
        <w:rPr>
          <w:lang w:val="fr-FR"/>
        </w:rPr>
        <w:lastRenderedPageBreak/>
        <w:t>Plusieurs régions sont dotées d</w:t>
      </w:r>
      <w:r w:rsidR="00795C5F">
        <w:rPr>
          <w:lang w:val="fr-FR"/>
        </w:rPr>
        <w:t>’</w:t>
      </w:r>
      <w:r w:rsidRPr="00641FCD">
        <w:rPr>
          <w:lang w:val="fr-FR"/>
        </w:rPr>
        <w:t>un service de veille dont l</w:t>
      </w:r>
      <w:r w:rsidR="00795C5F">
        <w:rPr>
          <w:lang w:val="fr-FR"/>
        </w:rPr>
        <w:t>’</w:t>
      </w:r>
      <w:r w:rsidRPr="00641FCD">
        <w:rPr>
          <w:lang w:val="fr-FR"/>
        </w:rPr>
        <w:t>objectif est de favoriser le bien-être des personnes âgées, d</w:t>
      </w:r>
      <w:r w:rsidR="00795C5F">
        <w:rPr>
          <w:lang w:val="fr-FR"/>
        </w:rPr>
        <w:t>’</w:t>
      </w:r>
      <w:r w:rsidRPr="00641FCD">
        <w:rPr>
          <w:lang w:val="fr-FR"/>
        </w:rPr>
        <w:t>apporter un soutien aux familles ayant besoin d</w:t>
      </w:r>
      <w:r w:rsidR="00795C5F">
        <w:rPr>
          <w:lang w:val="fr-FR"/>
        </w:rPr>
        <w:t>’</w:t>
      </w:r>
      <w:r w:rsidRPr="00641FCD">
        <w:rPr>
          <w:lang w:val="fr-FR"/>
        </w:rPr>
        <w:t>aide et d</w:t>
      </w:r>
      <w:r w:rsidR="00795C5F">
        <w:rPr>
          <w:lang w:val="fr-FR"/>
        </w:rPr>
        <w:t>’</w:t>
      </w:r>
      <w:r w:rsidRPr="00641FCD">
        <w:rPr>
          <w:lang w:val="fr-FR"/>
        </w:rPr>
        <w:t xml:space="preserve">une protection pour </w:t>
      </w:r>
      <w:r>
        <w:rPr>
          <w:lang w:val="fr-FR"/>
        </w:rPr>
        <w:t>des</w:t>
      </w:r>
      <w:r w:rsidRPr="00641FCD">
        <w:rPr>
          <w:lang w:val="fr-FR"/>
        </w:rPr>
        <w:t xml:space="preserve"> personnes âgées, de prévenir les mauvais traitements à l</w:t>
      </w:r>
      <w:r w:rsidR="00795C5F">
        <w:rPr>
          <w:lang w:val="fr-FR"/>
        </w:rPr>
        <w:t>’</w:t>
      </w:r>
      <w:r w:rsidRPr="00641FCD">
        <w:rPr>
          <w:lang w:val="fr-FR"/>
        </w:rPr>
        <w:t>égard de personnes âgées et de signaler les cas de violences répétées contre des personnes âgée au Groupe de protection des personnes âgées (</w:t>
      </w:r>
      <w:r w:rsidR="001962FF" w:rsidRPr="00641FCD">
        <w:rPr>
          <w:i/>
          <w:iCs/>
          <w:lang w:val="fr-FR"/>
        </w:rPr>
        <w:t>Elderly</w:t>
      </w:r>
      <w:r w:rsidR="001962FF">
        <w:rPr>
          <w:i/>
          <w:iCs/>
          <w:lang w:val="fr-FR"/>
        </w:rPr>
        <w:t> </w:t>
      </w:r>
      <w:r w:rsidRPr="00641FCD">
        <w:rPr>
          <w:i/>
          <w:iCs/>
          <w:lang w:val="fr-FR"/>
        </w:rPr>
        <w:t>Persons Unit</w:t>
      </w:r>
      <w:r w:rsidRPr="00641FCD">
        <w:rPr>
          <w:lang w:val="fr-FR"/>
        </w:rPr>
        <w:t>).</w:t>
      </w:r>
    </w:p>
    <w:p w14:paraId="509205F5" w14:textId="57CD0F52" w:rsidR="003933A1" w:rsidRPr="00E402C8" w:rsidRDefault="003933A1" w:rsidP="00D85F19">
      <w:pPr>
        <w:pStyle w:val="SingleTxt"/>
        <w:numPr>
          <w:ilvl w:val="0"/>
          <w:numId w:val="41"/>
        </w:numPr>
        <w:spacing w:line="240" w:lineRule="exact"/>
        <w:rPr>
          <w:lang w:val="fr-FR"/>
        </w:rPr>
      </w:pPr>
      <w:r>
        <w:rPr>
          <w:lang w:val="fr-FR"/>
        </w:rPr>
        <w:t>Ce groupe, qui relève</w:t>
      </w:r>
      <w:r w:rsidRPr="00E402C8">
        <w:rPr>
          <w:lang w:val="fr-FR"/>
        </w:rPr>
        <w:t xml:space="preserve"> du Ministère de la sécurité sociale, </w:t>
      </w:r>
      <w:r>
        <w:rPr>
          <w:lang w:val="fr-FR"/>
        </w:rPr>
        <w:t>de la solidarité nationale, de l</w:t>
      </w:r>
      <w:r w:rsidR="00795C5F">
        <w:rPr>
          <w:lang w:val="fr-FR"/>
        </w:rPr>
        <w:t>’</w:t>
      </w:r>
      <w:r>
        <w:rPr>
          <w:lang w:val="fr-FR"/>
        </w:rPr>
        <w:t>environnement et du développement durable, est chargé</w:t>
      </w:r>
      <w:r w:rsidRPr="00E402C8">
        <w:rPr>
          <w:lang w:val="fr-FR"/>
        </w:rPr>
        <w:t xml:space="preserve"> de sensibiliser le public aux droits des personnes âgées, d</w:t>
      </w:r>
      <w:r w:rsidR="00795C5F">
        <w:rPr>
          <w:lang w:val="fr-FR"/>
        </w:rPr>
        <w:t>’</w:t>
      </w:r>
      <w:r w:rsidRPr="00E402C8">
        <w:rPr>
          <w:lang w:val="fr-FR"/>
        </w:rPr>
        <w:t xml:space="preserve">enregistrer les plaintes et de saisir </w:t>
      </w:r>
      <w:r>
        <w:rPr>
          <w:lang w:val="fr-FR"/>
        </w:rPr>
        <w:t>la justice</w:t>
      </w:r>
      <w:r w:rsidRPr="00E402C8">
        <w:rPr>
          <w:lang w:val="fr-FR"/>
        </w:rPr>
        <w:t xml:space="preserve"> pour demander </w:t>
      </w:r>
      <w:r>
        <w:rPr>
          <w:lang w:val="fr-FR"/>
        </w:rPr>
        <w:t>une</w:t>
      </w:r>
      <w:r w:rsidRPr="00E402C8">
        <w:rPr>
          <w:lang w:val="fr-FR"/>
        </w:rPr>
        <w:t xml:space="preserve"> ordonnance de protection lorsqu</w:t>
      </w:r>
      <w:r w:rsidR="00795C5F">
        <w:rPr>
          <w:lang w:val="fr-FR"/>
        </w:rPr>
        <w:t>’</w:t>
      </w:r>
      <w:r>
        <w:rPr>
          <w:lang w:val="fr-FR"/>
        </w:rPr>
        <w:t>un réel danger pèse sur</w:t>
      </w:r>
      <w:r w:rsidRPr="00E402C8">
        <w:rPr>
          <w:lang w:val="fr-FR"/>
        </w:rPr>
        <w:t xml:space="preserve"> la vie </w:t>
      </w:r>
      <w:r>
        <w:rPr>
          <w:lang w:val="fr-FR"/>
        </w:rPr>
        <w:t>de l</w:t>
      </w:r>
      <w:r w:rsidR="00795C5F">
        <w:rPr>
          <w:lang w:val="fr-FR"/>
        </w:rPr>
        <w:t>’</w:t>
      </w:r>
      <w:r>
        <w:rPr>
          <w:lang w:val="fr-FR"/>
        </w:rPr>
        <w:t>une</w:t>
      </w:r>
      <w:r w:rsidRPr="00E402C8">
        <w:rPr>
          <w:lang w:val="fr-FR"/>
        </w:rPr>
        <w:t xml:space="preserve"> </w:t>
      </w:r>
      <w:r>
        <w:rPr>
          <w:lang w:val="fr-FR"/>
        </w:rPr>
        <w:t>d</w:t>
      </w:r>
      <w:r w:rsidR="00795C5F">
        <w:rPr>
          <w:lang w:val="fr-FR"/>
        </w:rPr>
        <w:t>’</w:t>
      </w:r>
      <w:r>
        <w:rPr>
          <w:lang w:val="fr-FR"/>
        </w:rPr>
        <w:t>elles</w:t>
      </w:r>
      <w:r w:rsidRPr="00E402C8">
        <w:rPr>
          <w:lang w:val="fr-FR"/>
        </w:rPr>
        <w:t>.</w:t>
      </w:r>
    </w:p>
    <w:p w14:paraId="0CFB61C5" w14:textId="32E89788" w:rsidR="003933A1" w:rsidRDefault="003933A1" w:rsidP="00D85F19">
      <w:pPr>
        <w:pStyle w:val="SingleTxt"/>
        <w:numPr>
          <w:ilvl w:val="0"/>
          <w:numId w:val="41"/>
        </w:numPr>
        <w:spacing w:line="240" w:lineRule="exact"/>
        <w:rPr>
          <w:lang w:val="fr-FR"/>
        </w:rPr>
      </w:pPr>
      <w:r w:rsidRPr="006A04A6">
        <w:rPr>
          <w:lang w:val="fr-FR"/>
        </w:rPr>
        <w:t>La loi relative aux services de santé mentale (</w:t>
      </w:r>
      <w:r w:rsidRPr="006A04A6">
        <w:rPr>
          <w:i/>
          <w:iCs/>
          <w:lang w:val="fr-FR"/>
        </w:rPr>
        <w:t>Mental Health Care Act</w:t>
      </w:r>
      <w:r w:rsidRPr="006A04A6">
        <w:rPr>
          <w:lang w:val="fr-FR"/>
        </w:rPr>
        <w:t>) garantit l</w:t>
      </w:r>
      <w:r w:rsidR="00795C5F">
        <w:rPr>
          <w:lang w:val="fr-FR"/>
        </w:rPr>
        <w:t>’</w:t>
      </w:r>
      <w:r w:rsidRPr="006A04A6">
        <w:rPr>
          <w:lang w:val="fr-FR"/>
        </w:rPr>
        <w:t>accès aux soins à toutes les personnes souffrant d</w:t>
      </w:r>
      <w:r w:rsidR="00795C5F">
        <w:rPr>
          <w:lang w:val="fr-FR"/>
        </w:rPr>
        <w:t>’</w:t>
      </w:r>
      <w:r w:rsidRPr="006A04A6">
        <w:rPr>
          <w:lang w:val="fr-FR"/>
        </w:rPr>
        <w:t>incapacité mentale.</w:t>
      </w:r>
    </w:p>
    <w:p w14:paraId="1AB100F5" w14:textId="137E811C" w:rsidR="001962FF" w:rsidRPr="00545975" w:rsidRDefault="001962FF" w:rsidP="00545975">
      <w:pPr>
        <w:pStyle w:val="SingleTxt"/>
        <w:tabs>
          <w:tab w:val="clear" w:pos="1742"/>
        </w:tabs>
        <w:spacing w:after="0" w:line="120" w:lineRule="exact"/>
        <w:rPr>
          <w:sz w:val="10"/>
          <w:lang w:val="fr-FR"/>
        </w:rPr>
      </w:pPr>
    </w:p>
    <w:p w14:paraId="22E28D46" w14:textId="4C6B3A7F" w:rsidR="003933A1" w:rsidRDefault="003933A1" w:rsidP="00D85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04A6">
        <w:rPr>
          <w:lang w:val="fr-FR"/>
        </w:rPr>
        <w:tab/>
      </w:r>
      <w:r w:rsidRPr="006A04A6">
        <w:rPr>
          <w:lang w:val="fr-FR"/>
        </w:rPr>
        <w:tab/>
        <w:t>Enseignement</w:t>
      </w:r>
    </w:p>
    <w:p w14:paraId="48B00822" w14:textId="2434CCB5" w:rsidR="00D85F19" w:rsidRPr="00D85F19" w:rsidRDefault="00D85F19" w:rsidP="00D85F19">
      <w:pPr>
        <w:pStyle w:val="SingleTxt"/>
        <w:keepNext/>
        <w:spacing w:after="0" w:line="120" w:lineRule="exact"/>
        <w:rPr>
          <w:sz w:val="10"/>
          <w:lang w:val="fr-FR"/>
        </w:rPr>
      </w:pPr>
    </w:p>
    <w:p w14:paraId="68526D93" w14:textId="094856E8" w:rsidR="003933A1" w:rsidRPr="006A04A6" w:rsidRDefault="003933A1" w:rsidP="00D85F19">
      <w:pPr>
        <w:pStyle w:val="SingleTxt"/>
        <w:keepNext/>
        <w:numPr>
          <w:ilvl w:val="0"/>
          <w:numId w:val="41"/>
        </w:numPr>
        <w:spacing w:line="240" w:lineRule="exact"/>
        <w:rPr>
          <w:lang w:val="fr-FR"/>
        </w:rPr>
      </w:pPr>
      <w:r w:rsidRPr="006A04A6">
        <w:rPr>
          <w:lang w:val="fr-FR"/>
        </w:rPr>
        <w:t>Le Groupe de la problématique femmes-hommes du Ministère de l</w:t>
      </w:r>
      <w:r w:rsidR="00795C5F">
        <w:rPr>
          <w:lang w:val="fr-FR"/>
        </w:rPr>
        <w:t>’</w:t>
      </w:r>
      <w:r w:rsidRPr="006A04A6">
        <w:rPr>
          <w:lang w:val="fr-FR"/>
        </w:rPr>
        <w:t>égalité des genres, du développement de l</w:t>
      </w:r>
      <w:r w:rsidR="00795C5F">
        <w:rPr>
          <w:lang w:val="fr-FR"/>
        </w:rPr>
        <w:t>’</w:t>
      </w:r>
      <w:r w:rsidRPr="006A04A6">
        <w:rPr>
          <w:lang w:val="fr-FR"/>
        </w:rPr>
        <w:t>enfant et du bien-être de la famille est chargé de mettre en œuvre les politiques et les programmes relatifs à l</w:t>
      </w:r>
      <w:r w:rsidR="00795C5F">
        <w:rPr>
          <w:lang w:val="fr-FR"/>
        </w:rPr>
        <w:t>’</w:t>
      </w:r>
      <w:r w:rsidRPr="006A04A6">
        <w:rPr>
          <w:lang w:val="fr-FR"/>
        </w:rPr>
        <w:t>émancipation sociale, économique et politique des femmes par l</w:t>
      </w:r>
      <w:r w:rsidR="00795C5F">
        <w:rPr>
          <w:lang w:val="fr-FR"/>
        </w:rPr>
        <w:t>’</w:t>
      </w:r>
      <w:r w:rsidRPr="006A04A6">
        <w:rPr>
          <w:lang w:val="fr-FR"/>
        </w:rPr>
        <w:t>intermédiaire de ses 15 centres d</w:t>
      </w:r>
      <w:r w:rsidR="00795C5F">
        <w:rPr>
          <w:lang w:val="fr-FR"/>
        </w:rPr>
        <w:t>’</w:t>
      </w:r>
      <w:r w:rsidRPr="006A04A6">
        <w:rPr>
          <w:lang w:val="fr-FR"/>
        </w:rPr>
        <w:t>autonomisation des femmes répartis dans toute l</w:t>
      </w:r>
      <w:r w:rsidR="00795C5F">
        <w:rPr>
          <w:lang w:val="fr-FR"/>
        </w:rPr>
        <w:t>’</w:t>
      </w:r>
      <w:r w:rsidRPr="006A04A6">
        <w:rPr>
          <w:lang w:val="fr-FR"/>
        </w:rPr>
        <w:t>île. Au</w:t>
      </w:r>
      <w:r w:rsidRPr="00E402C8">
        <w:rPr>
          <w:lang w:val="fr-FR"/>
        </w:rPr>
        <w:t xml:space="preserve"> fil des ans, des activités allant </w:t>
      </w:r>
      <w:r>
        <w:rPr>
          <w:lang w:val="fr-FR"/>
        </w:rPr>
        <w:t>d</w:t>
      </w:r>
      <w:r w:rsidR="00795C5F">
        <w:rPr>
          <w:lang w:val="fr-FR"/>
        </w:rPr>
        <w:t>’</w:t>
      </w:r>
      <w:r>
        <w:rPr>
          <w:lang w:val="fr-FR"/>
        </w:rPr>
        <w:t>actions de</w:t>
      </w:r>
      <w:r w:rsidRPr="00E402C8">
        <w:rPr>
          <w:lang w:val="fr-FR"/>
        </w:rPr>
        <w:t xml:space="preserve"> formation à des campagnes d</w:t>
      </w:r>
      <w:r w:rsidR="00795C5F">
        <w:rPr>
          <w:lang w:val="fr-FR"/>
        </w:rPr>
        <w:t>’</w:t>
      </w:r>
      <w:r w:rsidRPr="00E402C8">
        <w:rPr>
          <w:lang w:val="fr-FR"/>
        </w:rPr>
        <w:t>information, d</w:t>
      </w:r>
      <w:r w:rsidR="00795C5F">
        <w:rPr>
          <w:lang w:val="fr-FR"/>
        </w:rPr>
        <w:t>’</w:t>
      </w:r>
      <w:r w:rsidRPr="00E402C8">
        <w:rPr>
          <w:lang w:val="fr-FR"/>
        </w:rPr>
        <w:t xml:space="preserve">éducation et de communication </w:t>
      </w:r>
      <w:r>
        <w:rPr>
          <w:lang w:val="fr-FR"/>
        </w:rPr>
        <w:t>articulées autour de conférences, de</w:t>
      </w:r>
      <w:r w:rsidRPr="00E402C8">
        <w:rPr>
          <w:lang w:val="fr-FR"/>
        </w:rPr>
        <w:t xml:space="preserve"> séminaires </w:t>
      </w:r>
      <w:r>
        <w:rPr>
          <w:lang w:val="fr-FR"/>
        </w:rPr>
        <w:t>ou de</w:t>
      </w:r>
      <w:r w:rsidRPr="00E402C8">
        <w:rPr>
          <w:lang w:val="fr-FR"/>
        </w:rPr>
        <w:t xml:space="preserve"> projections de film</w:t>
      </w:r>
      <w:r>
        <w:rPr>
          <w:lang w:val="fr-FR"/>
        </w:rPr>
        <w:t>s</w:t>
      </w:r>
      <w:r w:rsidRPr="00E402C8">
        <w:rPr>
          <w:lang w:val="fr-FR"/>
        </w:rPr>
        <w:t xml:space="preserve"> ou </w:t>
      </w:r>
      <w:r>
        <w:rPr>
          <w:lang w:val="fr-FR"/>
        </w:rPr>
        <w:t xml:space="preserve">de </w:t>
      </w:r>
      <w:r w:rsidRPr="00E402C8">
        <w:rPr>
          <w:lang w:val="fr-FR"/>
        </w:rPr>
        <w:t>documentaire</w:t>
      </w:r>
      <w:r>
        <w:rPr>
          <w:lang w:val="fr-FR"/>
        </w:rPr>
        <w:t>s</w:t>
      </w:r>
      <w:r w:rsidRPr="00E402C8">
        <w:rPr>
          <w:lang w:val="fr-FR"/>
        </w:rPr>
        <w:t xml:space="preserve"> sur diverses questions intéressant les femmes ont été organisées </w:t>
      </w:r>
      <w:r w:rsidRPr="006A04A6">
        <w:rPr>
          <w:lang w:val="fr-FR"/>
        </w:rPr>
        <w:t>aux fins de l</w:t>
      </w:r>
      <w:r w:rsidR="00795C5F">
        <w:rPr>
          <w:lang w:val="fr-FR"/>
        </w:rPr>
        <w:t>’</w:t>
      </w:r>
      <w:r w:rsidRPr="006A04A6">
        <w:rPr>
          <w:lang w:val="fr-FR"/>
        </w:rPr>
        <w:t>autonomisation des femmes.</w:t>
      </w:r>
    </w:p>
    <w:p w14:paraId="3D42949E" w14:textId="61D76B18" w:rsidR="003933A1" w:rsidRPr="00E402C8" w:rsidRDefault="003933A1" w:rsidP="00D85F19">
      <w:pPr>
        <w:pStyle w:val="SingleTxt"/>
        <w:numPr>
          <w:ilvl w:val="0"/>
          <w:numId w:val="41"/>
        </w:numPr>
        <w:spacing w:line="240" w:lineRule="exact"/>
        <w:rPr>
          <w:lang w:val="fr-FR"/>
        </w:rPr>
      </w:pPr>
      <w:r w:rsidRPr="006A04A6">
        <w:rPr>
          <w:lang w:val="fr-FR"/>
        </w:rPr>
        <w:t>Depuis 1986, le Conseil national des femmes propose un programme d</w:t>
      </w:r>
      <w:r w:rsidR="00795C5F">
        <w:rPr>
          <w:lang w:val="fr-FR"/>
        </w:rPr>
        <w:t>’</w:t>
      </w:r>
      <w:r w:rsidRPr="006A04A6">
        <w:rPr>
          <w:lang w:val="fr-FR"/>
        </w:rPr>
        <w:t>alphabétisation des adultes qui vise à doter les femmes ayant peu d</w:t>
      </w:r>
      <w:r w:rsidR="00795C5F">
        <w:rPr>
          <w:lang w:val="fr-FR"/>
        </w:rPr>
        <w:t>’</w:t>
      </w:r>
      <w:r w:rsidRPr="006A04A6">
        <w:rPr>
          <w:lang w:val="fr-FR"/>
        </w:rPr>
        <w:t>instruction, voire aucune, des notions de base en lecture, en écriture et en calcul, afin de les rendre mieux à même de faire face aux difficultés du quotidien.</w:t>
      </w:r>
    </w:p>
    <w:p w14:paraId="08ECE536" w14:textId="77777777" w:rsidR="00D85F19" w:rsidRPr="00D85F19" w:rsidRDefault="00D85F19" w:rsidP="00D85F19">
      <w:pPr>
        <w:pStyle w:val="SingleTxt"/>
        <w:spacing w:after="0" w:line="120" w:lineRule="exact"/>
        <w:rPr>
          <w:sz w:val="10"/>
          <w:lang w:val="fr-FR"/>
        </w:rPr>
      </w:pPr>
    </w:p>
    <w:p w14:paraId="3E4C40AC" w14:textId="03220B3C" w:rsidR="003933A1" w:rsidRDefault="003933A1" w:rsidP="00D85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lang w:val="fr-FR"/>
        </w:rPr>
        <w:tab/>
      </w:r>
      <w:r w:rsidRPr="00E402C8">
        <w:rPr>
          <w:lang w:val="fr-FR"/>
        </w:rPr>
        <w:tab/>
        <w:t>Services de santé</w:t>
      </w:r>
    </w:p>
    <w:p w14:paraId="4C159C44" w14:textId="7418C1A2" w:rsidR="00D85F19" w:rsidRPr="00D85F19" w:rsidRDefault="00D85F19" w:rsidP="00D85F19">
      <w:pPr>
        <w:pStyle w:val="SingleTxt"/>
        <w:spacing w:after="0" w:line="120" w:lineRule="exact"/>
        <w:rPr>
          <w:sz w:val="10"/>
          <w:lang w:val="fr-FR"/>
        </w:rPr>
      </w:pPr>
    </w:p>
    <w:p w14:paraId="0E59E712" w14:textId="65ACABE8" w:rsidR="003933A1" w:rsidRPr="00E402C8" w:rsidRDefault="003933A1" w:rsidP="00D85F19">
      <w:pPr>
        <w:pStyle w:val="SingleTxt"/>
        <w:numPr>
          <w:ilvl w:val="0"/>
          <w:numId w:val="41"/>
        </w:numPr>
        <w:spacing w:line="240" w:lineRule="exact"/>
        <w:rPr>
          <w:lang w:val="fr-FR"/>
        </w:rPr>
      </w:pPr>
      <w:r w:rsidRPr="00E402C8">
        <w:rPr>
          <w:lang w:val="fr-FR"/>
        </w:rPr>
        <w:t xml:space="preserve">Le Ministère de la santé et de la qualité de vie veille à ce que </w:t>
      </w:r>
      <w:r>
        <w:rPr>
          <w:lang w:val="fr-FR"/>
        </w:rPr>
        <w:t>chacun</w:t>
      </w:r>
      <w:r w:rsidRPr="00E402C8">
        <w:rPr>
          <w:lang w:val="fr-FR"/>
        </w:rPr>
        <w:t xml:space="preserve"> ait accès aux soins de santé </w:t>
      </w:r>
      <w:r>
        <w:rPr>
          <w:lang w:val="fr-FR"/>
        </w:rPr>
        <w:t xml:space="preserve">qui sont prodigués </w:t>
      </w:r>
      <w:r w:rsidRPr="00E402C8">
        <w:rPr>
          <w:lang w:val="fr-FR"/>
        </w:rPr>
        <w:t xml:space="preserve">dans les hôpitaux publics ou </w:t>
      </w:r>
      <w:r>
        <w:rPr>
          <w:lang w:val="fr-FR"/>
        </w:rPr>
        <w:t xml:space="preserve">dans </w:t>
      </w:r>
      <w:r w:rsidRPr="00E402C8">
        <w:rPr>
          <w:lang w:val="fr-FR"/>
        </w:rPr>
        <w:t>les centres de santé</w:t>
      </w:r>
      <w:r>
        <w:rPr>
          <w:lang w:val="fr-FR"/>
        </w:rPr>
        <w:t xml:space="preserve"> </w:t>
      </w:r>
      <w:r w:rsidRPr="00E402C8">
        <w:rPr>
          <w:lang w:val="fr-FR"/>
        </w:rPr>
        <w:t xml:space="preserve">répartis </w:t>
      </w:r>
      <w:r>
        <w:rPr>
          <w:lang w:val="fr-FR"/>
        </w:rPr>
        <w:t>dans toute</w:t>
      </w:r>
      <w:r w:rsidRPr="00E402C8">
        <w:rPr>
          <w:lang w:val="fr-FR"/>
        </w:rPr>
        <w:t xml:space="preserve"> </w:t>
      </w:r>
      <w:r w:rsidRPr="006A04A6">
        <w:rPr>
          <w:lang w:val="fr-FR"/>
        </w:rPr>
        <w:t>l</w:t>
      </w:r>
      <w:r w:rsidR="00795C5F">
        <w:rPr>
          <w:lang w:val="fr-FR"/>
        </w:rPr>
        <w:t>’</w:t>
      </w:r>
      <w:r w:rsidR="001962FF">
        <w:rPr>
          <w:lang w:val="fr-FR"/>
        </w:rPr>
        <w:t>Î</w:t>
      </w:r>
      <w:r w:rsidRPr="006A04A6">
        <w:rPr>
          <w:lang w:val="fr-FR"/>
        </w:rPr>
        <w:t>le. Maurice compte aujourd</w:t>
      </w:r>
      <w:r w:rsidR="00795C5F">
        <w:rPr>
          <w:lang w:val="fr-FR"/>
        </w:rPr>
        <w:t>’</w:t>
      </w:r>
      <w:r w:rsidRPr="006A04A6">
        <w:rPr>
          <w:lang w:val="fr-FR"/>
        </w:rPr>
        <w:t>hui 23 centres de santé régionaux et 130 centres de santé locaux qui sont chargés des activités de promotion de la santé, d</w:t>
      </w:r>
      <w:r w:rsidR="00795C5F">
        <w:rPr>
          <w:lang w:val="fr-FR"/>
        </w:rPr>
        <w:t>’</w:t>
      </w:r>
      <w:r w:rsidRPr="006A04A6">
        <w:rPr>
          <w:lang w:val="fr-FR"/>
        </w:rPr>
        <w:t>éducation sanitaire, de planification</w:t>
      </w:r>
      <w:r w:rsidRPr="00E402C8">
        <w:rPr>
          <w:lang w:val="fr-FR"/>
        </w:rPr>
        <w:t xml:space="preserve"> familiale ainsi que </w:t>
      </w:r>
      <w:r>
        <w:rPr>
          <w:lang w:val="fr-FR"/>
        </w:rPr>
        <w:t>des</w:t>
      </w:r>
      <w:r w:rsidRPr="00E402C8">
        <w:rPr>
          <w:lang w:val="fr-FR"/>
        </w:rPr>
        <w:t xml:space="preserve"> soins de santé primaires (diagnostic et traitement).</w:t>
      </w:r>
    </w:p>
    <w:p w14:paraId="2A025630" w14:textId="7606E1DB" w:rsidR="003933A1" w:rsidRPr="00E402C8" w:rsidRDefault="003933A1" w:rsidP="00D85F19">
      <w:pPr>
        <w:pStyle w:val="SingleTxt"/>
        <w:numPr>
          <w:ilvl w:val="0"/>
          <w:numId w:val="41"/>
        </w:numPr>
        <w:spacing w:line="240" w:lineRule="exact"/>
        <w:rPr>
          <w:lang w:val="fr-FR"/>
        </w:rPr>
      </w:pPr>
      <w:r w:rsidRPr="00E402C8">
        <w:rPr>
          <w:lang w:val="fr-FR"/>
        </w:rPr>
        <w:t>Les femmes défavorisées bénéficient d</w:t>
      </w:r>
      <w:r w:rsidR="00795C5F">
        <w:rPr>
          <w:lang w:val="fr-FR"/>
        </w:rPr>
        <w:t>’</w:t>
      </w:r>
      <w:r w:rsidRPr="00E402C8">
        <w:rPr>
          <w:lang w:val="fr-FR"/>
        </w:rPr>
        <w:t>autres services de santé, à savoir</w:t>
      </w:r>
      <w:r w:rsidR="00795C5F">
        <w:rPr>
          <w:lang w:val="fr-FR"/>
        </w:rPr>
        <w:t> :</w:t>
      </w:r>
    </w:p>
    <w:p w14:paraId="36B12F34" w14:textId="630B869B" w:rsidR="003933A1" w:rsidRPr="00E402C8" w:rsidRDefault="00D85F19" w:rsidP="00D85F19">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L</w:t>
      </w:r>
      <w:r w:rsidR="00795C5F">
        <w:rPr>
          <w:lang w:val="fr-FR"/>
        </w:rPr>
        <w:t>’</w:t>
      </w:r>
      <w:r w:rsidR="003933A1" w:rsidRPr="00E402C8">
        <w:rPr>
          <w:lang w:val="fr-FR"/>
        </w:rPr>
        <w:t xml:space="preserve">aide sociale </w:t>
      </w:r>
      <w:r w:rsidR="003933A1">
        <w:rPr>
          <w:lang w:val="fr-FR"/>
        </w:rPr>
        <w:t>pour les</w:t>
      </w:r>
      <w:r w:rsidR="003933A1" w:rsidRPr="00E402C8">
        <w:rPr>
          <w:lang w:val="fr-FR"/>
        </w:rPr>
        <w:t xml:space="preserve"> veuves, </w:t>
      </w:r>
      <w:r w:rsidR="003933A1">
        <w:rPr>
          <w:lang w:val="fr-FR"/>
        </w:rPr>
        <w:t xml:space="preserve">les </w:t>
      </w:r>
      <w:r w:rsidR="003933A1" w:rsidRPr="00E402C8">
        <w:rPr>
          <w:lang w:val="fr-FR"/>
        </w:rPr>
        <w:t xml:space="preserve">femmes handicapées et </w:t>
      </w:r>
      <w:r w:rsidR="003933A1">
        <w:rPr>
          <w:lang w:val="fr-FR"/>
        </w:rPr>
        <w:t xml:space="preserve">les </w:t>
      </w:r>
      <w:r w:rsidR="003933A1" w:rsidRPr="00E402C8">
        <w:rPr>
          <w:lang w:val="fr-FR"/>
        </w:rPr>
        <w:t>femmes âgées</w:t>
      </w:r>
      <w:r w:rsidR="00795C5F">
        <w:rPr>
          <w:lang w:val="fr-FR"/>
        </w:rPr>
        <w:t> ;</w:t>
      </w:r>
    </w:p>
    <w:p w14:paraId="466CA778" w14:textId="0E1D9DAF" w:rsidR="003933A1" w:rsidRPr="00E402C8" w:rsidRDefault="00D85F19" w:rsidP="00D85F19">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L</w:t>
      </w:r>
      <w:r w:rsidR="00795C5F">
        <w:rPr>
          <w:lang w:val="fr-FR"/>
        </w:rPr>
        <w:t>’</w:t>
      </w:r>
      <w:r w:rsidR="003933A1">
        <w:rPr>
          <w:lang w:val="fr-FR"/>
        </w:rPr>
        <w:t>équipement gratuit en fauteuil roulant, lunettes et appareil auditif</w:t>
      </w:r>
      <w:r w:rsidR="003933A1" w:rsidRPr="00E402C8">
        <w:rPr>
          <w:lang w:val="fr-FR"/>
        </w:rPr>
        <w:t xml:space="preserve"> (</w:t>
      </w:r>
      <w:r w:rsidR="001962FF" w:rsidRPr="00E402C8">
        <w:rPr>
          <w:lang w:val="fr-FR"/>
        </w:rPr>
        <w:t>aide</w:t>
      </w:r>
      <w:r w:rsidR="001962FF">
        <w:rPr>
          <w:lang w:val="fr-FR"/>
        </w:rPr>
        <w:t> </w:t>
      </w:r>
      <w:r w:rsidR="003933A1" w:rsidRPr="00E402C8">
        <w:rPr>
          <w:lang w:val="fr-FR"/>
        </w:rPr>
        <w:t>financière pour l</w:t>
      </w:r>
      <w:r w:rsidR="00795C5F">
        <w:rPr>
          <w:lang w:val="fr-FR"/>
        </w:rPr>
        <w:t>’</w:t>
      </w:r>
      <w:r w:rsidR="003933A1" w:rsidRPr="00E402C8">
        <w:rPr>
          <w:lang w:val="fr-FR"/>
        </w:rPr>
        <w:t>achat de prothèses)</w:t>
      </w:r>
      <w:r w:rsidR="00795C5F">
        <w:rPr>
          <w:lang w:val="fr-FR"/>
        </w:rPr>
        <w:t> ;</w:t>
      </w:r>
    </w:p>
    <w:p w14:paraId="51618EAB" w14:textId="2136EDCF" w:rsidR="003933A1" w:rsidRPr="00E402C8" w:rsidRDefault="00D85F19" w:rsidP="00D85F19">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U</w:t>
      </w:r>
      <w:r w:rsidR="003933A1" w:rsidRPr="00E402C8">
        <w:rPr>
          <w:lang w:val="fr-FR"/>
        </w:rPr>
        <w:t xml:space="preserve">n programme de visite à domicile par un médecin </w:t>
      </w:r>
      <w:r w:rsidR="003933A1">
        <w:rPr>
          <w:lang w:val="fr-FR"/>
        </w:rPr>
        <w:t xml:space="preserve">auprès </w:t>
      </w:r>
      <w:r w:rsidR="003933A1" w:rsidRPr="00E402C8">
        <w:rPr>
          <w:lang w:val="fr-FR"/>
        </w:rPr>
        <w:t xml:space="preserve">des personnes âgées de plus de 90 ans placées en foyer </w:t>
      </w:r>
      <w:r w:rsidR="003933A1">
        <w:rPr>
          <w:lang w:val="fr-FR"/>
        </w:rPr>
        <w:t>spécialisé</w:t>
      </w:r>
      <w:r w:rsidR="00795C5F">
        <w:rPr>
          <w:lang w:val="fr-FR"/>
        </w:rPr>
        <w:t> ;</w:t>
      </w:r>
    </w:p>
    <w:p w14:paraId="26AB1B6D" w14:textId="7014D61B" w:rsidR="003933A1" w:rsidRPr="00E402C8" w:rsidRDefault="00D85F19" w:rsidP="00D85F19">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L</w:t>
      </w:r>
      <w:r w:rsidR="003933A1" w:rsidRPr="00E402C8">
        <w:rPr>
          <w:lang w:val="fr-FR"/>
        </w:rPr>
        <w:t xml:space="preserve">a prestation </w:t>
      </w:r>
      <w:r w:rsidR="003933A1">
        <w:rPr>
          <w:lang w:val="fr-FR"/>
        </w:rPr>
        <w:t>aux</w:t>
      </w:r>
      <w:r w:rsidR="003933A1" w:rsidRPr="00E402C8">
        <w:rPr>
          <w:lang w:val="fr-FR"/>
        </w:rPr>
        <w:t xml:space="preserve"> personnes gravement handicapé</w:t>
      </w:r>
      <w:r w:rsidR="003933A1">
        <w:rPr>
          <w:lang w:val="fr-FR"/>
        </w:rPr>
        <w:t>e</w:t>
      </w:r>
      <w:r w:rsidR="003933A1" w:rsidRPr="00E402C8">
        <w:rPr>
          <w:lang w:val="fr-FR"/>
        </w:rPr>
        <w:t>s ou dépendantes d</w:t>
      </w:r>
      <w:r w:rsidR="00795C5F">
        <w:rPr>
          <w:lang w:val="fr-FR"/>
        </w:rPr>
        <w:t>’</w:t>
      </w:r>
      <w:r w:rsidR="003933A1" w:rsidRPr="00E402C8">
        <w:rPr>
          <w:lang w:val="fr-FR"/>
        </w:rPr>
        <w:t>une allocation pour soins donnés</w:t>
      </w:r>
      <w:r w:rsidR="00795C5F">
        <w:rPr>
          <w:lang w:val="fr-FR"/>
        </w:rPr>
        <w:t> ;</w:t>
      </w:r>
    </w:p>
    <w:p w14:paraId="0D47EE41" w14:textId="0235DFE0" w:rsidR="003933A1" w:rsidRPr="00E402C8" w:rsidRDefault="00D85F19" w:rsidP="00D85F19">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L</w:t>
      </w:r>
      <w:r w:rsidR="003933A1" w:rsidRPr="00E402C8">
        <w:rPr>
          <w:lang w:val="fr-FR"/>
        </w:rPr>
        <w:t xml:space="preserve">e programme de </w:t>
      </w:r>
      <w:r w:rsidR="003933A1">
        <w:rPr>
          <w:lang w:val="fr-FR"/>
        </w:rPr>
        <w:t xml:space="preserve">vaccination </w:t>
      </w:r>
      <w:r w:rsidR="003933A1" w:rsidRPr="00E402C8">
        <w:rPr>
          <w:lang w:val="fr-FR"/>
        </w:rPr>
        <w:t xml:space="preserve">gratuite </w:t>
      </w:r>
      <w:r w:rsidR="003933A1">
        <w:rPr>
          <w:lang w:val="fr-FR"/>
        </w:rPr>
        <w:t>des</w:t>
      </w:r>
      <w:r w:rsidR="003933A1" w:rsidRPr="00E402C8">
        <w:rPr>
          <w:lang w:val="fr-FR"/>
        </w:rPr>
        <w:t xml:space="preserve"> personnes âgées</w:t>
      </w:r>
      <w:r w:rsidR="003933A1">
        <w:rPr>
          <w:lang w:val="fr-FR"/>
        </w:rPr>
        <w:t xml:space="preserve"> contre la grippe</w:t>
      </w:r>
      <w:r w:rsidR="00795C5F">
        <w:rPr>
          <w:lang w:val="fr-FR"/>
        </w:rPr>
        <w:t> ;</w:t>
      </w:r>
    </w:p>
    <w:p w14:paraId="1B8BFC4C" w14:textId="67DA4B12" w:rsidR="003933A1" w:rsidRPr="00E402C8" w:rsidRDefault="00D85F19" w:rsidP="00D85F19">
      <w:pPr>
        <w:pStyle w:val="SingleTxt"/>
        <w:tabs>
          <w:tab w:val="right" w:pos="1685"/>
        </w:tabs>
        <w:ind w:left="1742" w:hanging="475"/>
        <w:rPr>
          <w:rFonts w:eastAsia="Calibri"/>
          <w:lang w:val="fr-FR"/>
        </w:rPr>
      </w:pPr>
      <w:r>
        <w:rPr>
          <w:rFonts w:eastAsia="Calibri"/>
          <w:lang w:val="fr-FR"/>
        </w:rPr>
        <w:tab/>
      </w:r>
      <w:r w:rsidR="003933A1" w:rsidRPr="00E402C8">
        <w:rPr>
          <w:rFonts w:eastAsia="Calibri"/>
          <w:lang w:val="fr-FR"/>
        </w:rPr>
        <w:t>•</w:t>
      </w:r>
      <w:r w:rsidR="003933A1" w:rsidRPr="00E402C8">
        <w:rPr>
          <w:lang w:val="fr-FR"/>
        </w:rPr>
        <w:tab/>
      </w:r>
      <w:r>
        <w:rPr>
          <w:lang w:val="fr-FR"/>
        </w:rPr>
        <w:t>L</w:t>
      </w:r>
      <w:r w:rsidR="00795C5F">
        <w:rPr>
          <w:lang w:val="fr-FR"/>
        </w:rPr>
        <w:t>’</w:t>
      </w:r>
      <w:r w:rsidR="003933A1" w:rsidRPr="00E402C8">
        <w:rPr>
          <w:lang w:val="fr-FR"/>
        </w:rPr>
        <w:t>organisation régulière de campagnes de sensibilisation pour informer les femmes sur les questions de santé.</w:t>
      </w:r>
    </w:p>
    <w:p w14:paraId="0858EB91" w14:textId="77777777" w:rsidR="00D85F19" w:rsidRPr="00D85F19" w:rsidRDefault="00D85F19" w:rsidP="00D85F19">
      <w:pPr>
        <w:pStyle w:val="SingleTxt"/>
        <w:spacing w:after="0" w:line="120" w:lineRule="exact"/>
        <w:rPr>
          <w:sz w:val="10"/>
          <w:lang w:val="fr-FR"/>
        </w:rPr>
      </w:pPr>
    </w:p>
    <w:p w14:paraId="645AAA6D" w14:textId="5651E01B" w:rsidR="003933A1" w:rsidRDefault="003933A1" w:rsidP="00D85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02C8">
        <w:rPr>
          <w:lang w:val="fr-FR"/>
        </w:rPr>
        <w:lastRenderedPageBreak/>
        <w:tab/>
      </w:r>
      <w:r w:rsidRPr="00E402C8">
        <w:rPr>
          <w:lang w:val="fr-FR"/>
        </w:rPr>
        <w:tab/>
        <w:t>Activités génératrices de revenus</w:t>
      </w:r>
    </w:p>
    <w:p w14:paraId="1E0F621F" w14:textId="4F3411D5" w:rsidR="00D85F19" w:rsidRPr="00D85F19" w:rsidRDefault="00D85F19" w:rsidP="00D85F19">
      <w:pPr>
        <w:pStyle w:val="SingleTxt"/>
        <w:spacing w:after="0" w:line="120" w:lineRule="exact"/>
        <w:rPr>
          <w:sz w:val="10"/>
          <w:lang w:val="fr-FR"/>
        </w:rPr>
      </w:pPr>
    </w:p>
    <w:p w14:paraId="054907FE" w14:textId="01DD3680" w:rsidR="003933A1" w:rsidRPr="00E402C8" w:rsidRDefault="003933A1" w:rsidP="00D85F19">
      <w:pPr>
        <w:pStyle w:val="SingleTxt"/>
        <w:numPr>
          <w:ilvl w:val="0"/>
          <w:numId w:val="41"/>
        </w:numPr>
        <w:spacing w:line="240" w:lineRule="exact"/>
        <w:rPr>
          <w:lang w:val="fr-FR"/>
        </w:rPr>
      </w:pPr>
      <w:r>
        <w:rPr>
          <w:lang w:val="fr-FR"/>
        </w:rPr>
        <w:t>O</w:t>
      </w:r>
      <w:r w:rsidRPr="00ED4994">
        <w:rPr>
          <w:lang w:val="fr-FR"/>
        </w:rPr>
        <w:t>rganisme semi-public relevant du Ministère de l</w:t>
      </w:r>
      <w:r w:rsidR="00795C5F">
        <w:rPr>
          <w:lang w:val="fr-FR"/>
        </w:rPr>
        <w:t>’</w:t>
      </w:r>
      <w:r w:rsidRPr="00ED4994">
        <w:rPr>
          <w:lang w:val="fr-FR"/>
        </w:rPr>
        <w:t>égalité des genres, du développement de l</w:t>
      </w:r>
      <w:r w:rsidR="00795C5F">
        <w:rPr>
          <w:lang w:val="fr-FR"/>
        </w:rPr>
        <w:t>’</w:t>
      </w:r>
      <w:r w:rsidRPr="00ED4994">
        <w:rPr>
          <w:lang w:val="fr-FR"/>
        </w:rPr>
        <w:t xml:space="preserve">enfant et du bien-être de la famille, </w:t>
      </w:r>
      <w:r>
        <w:rPr>
          <w:lang w:val="fr-FR"/>
        </w:rPr>
        <w:t>l</w:t>
      </w:r>
      <w:r w:rsidRPr="00ED4994">
        <w:rPr>
          <w:lang w:val="fr-FR"/>
        </w:rPr>
        <w:t>e Conseil national des femmes chefs d</w:t>
      </w:r>
      <w:r w:rsidR="00795C5F">
        <w:rPr>
          <w:lang w:val="fr-FR"/>
        </w:rPr>
        <w:t>’</w:t>
      </w:r>
      <w:r w:rsidRPr="00ED4994">
        <w:rPr>
          <w:lang w:val="fr-FR"/>
        </w:rPr>
        <w:t>entreprise propose aux femmes divers services afin de promouvoir leur émancipation économique et d</w:t>
      </w:r>
      <w:r w:rsidR="00795C5F">
        <w:rPr>
          <w:lang w:val="fr-FR"/>
        </w:rPr>
        <w:t>’</w:t>
      </w:r>
      <w:r w:rsidRPr="00ED4994">
        <w:rPr>
          <w:lang w:val="fr-FR"/>
        </w:rPr>
        <w:t>encourager l</w:t>
      </w:r>
      <w:r w:rsidR="00795C5F">
        <w:rPr>
          <w:lang w:val="fr-FR"/>
        </w:rPr>
        <w:t>’</w:t>
      </w:r>
      <w:r w:rsidRPr="00ED4994">
        <w:rPr>
          <w:lang w:val="fr-FR"/>
        </w:rPr>
        <w:t>émergence et la montée en puissance des femmes chefs d</w:t>
      </w:r>
      <w:r w:rsidR="00795C5F">
        <w:rPr>
          <w:lang w:val="fr-FR"/>
        </w:rPr>
        <w:t>’</w:t>
      </w:r>
      <w:r w:rsidRPr="00ED4994">
        <w:rPr>
          <w:lang w:val="fr-FR"/>
        </w:rPr>
        <w:t>entreprise. Il s</w:t>
      </w:r>
      <w:r w:rsidR="00795C5F">
        <w:rPr>
          <w:lang w:val="fr-FR"/>
        </w:rPr>
        <w:t>’</w:t>
      </w:r>
      <w:r w:rsidRPr="00ED4994">
        <w:rPr>
          <w:lang w:val="fr-FR"/>
        </w:rPr>
        <w:t>agit</w:t>
      </w:r>
      <w:r w:rsidRPr="00E402C8">
        <w:rPr>
          <w:lang w:val="fr-FR"/>
        </w:rPr>
        <w:t xml:space="preserve"> notamment de programmes d</w:t>
      </w:r>
      <w:r w:rsidR="00795C5F">
        <w:rPr>
          <w:lang w:val="fr-FR"/>
        </w:rPr>
        <w:t>’</w:t>
      </w:r>
      <w:r w:rsidRPr="00E402C8">
        <w:rPr>
          <w:lang w:val="fr-FR"/>
        </w:rPr>
        <w:t>information et de sensibilisation, de conseils, d</w:t>
      </w:r>
      <w:r w:rsidR="00795C5F">
        <w:rPr>
          <w:lang w:val="fr-FR"/>
        </w:rPr>
        <w:t>’</w:t>
      </w:r>
      <w:r w:rsidRPr="00E402C8">
        <w:rPr>
          <w:lang w:val="fr-FR"/>
        </w:rPr>
        <w:t xml:space="preserve">orientation vers les institutions </w:t>
      </w:r>
      <w:r>
        <w:rPr>
          <w:lang w:val="fr-FR"/>
        </w:rPr>
        <w:t>pertinentes</w:t>
      </w:r>
      <w:r w:rsidRPr="00E402C8">
        <w:rPr>
          <w:lang w:val="fr-FR"/>
        </w:rPr>
        <w:t xml:space="preserve">, de réseautage international (salons, ateliers), de formation, de </w:t>
      </w:r>
      <w:r>
        <w:rPr>
          <w:lang w:val="fr-FR"/>
        </w:rPr>
        <w:t>marketing, d</w:t>
      </w:r>
      <w:r w:rsidR="00795C5F">
        <w:rPr>
          <w:lang w:val="fr-FR"/>
        </w:rPr>
        <w:t>’</w:t>
      </w:r>
      <w:r w:rsidRPr="00E402C8">
        <w:rPr>
          <w:lang w:val="fr-FR"/>
        </w:rPr>
        <w:t>incubateurs d</w:t>
      </w:r>
      <w:r w:rsidR="00795C5F">
        <w:rPr>
          <w:lang w:val="fr-FR"/>
        </w:rPr>
        <w:t>’</w:t>
      </w:r>
      <w:r w:rsidRPr="00E402C8">
        <w:rPr>
          <w:lang w:val="fr-FR"/>
        </w:rPr>
        <w:t xml:space="preserve">entreprise et </w:t>
      </w:r>
      <w:r>
        <w:rPr>
          <w:lang w:val="fr-FR"/>
        </w:rPr>
        <w:t>d</w:t>
      </w:r>
      <w:r w:rsidR="00795C5F">
        <w:rPr>
          <w:lang w:val="fr-FR"/>
        </w:rPr>
        <w:t>’</w:t>
      </w:r>
      <w:r w:rsidRPr="00E402C8">
        <w:rPr>
          <w:lang w:val="fr-FR"/>
        </w:rPr>
        <w:t>événements locaux.</w:t>
      </w:r>
    </w:p>
    <w:p w14:paraId="5DC4606E" w14:textId="35BC540C" w:rsidR="003933A1" w:rsidRPr="00E402C8" w:rsidRDefault="003933A1" w:rsidP="00D85F19">
      <w:pPr>
        <w:pStyle w:val="SingleTxt"/>
        <w:numPr>
          <w:ilvl w:val="0"/>
          <w:numId w:val="41"/>
        </w:numPr>
        <w:spacing w:line="240" w:lineRule="exact"/>
        <w:rPr>
          <w:lang w:val="fr-FR"/>
        </w:rPr>
      </w:pPr>
      <w:r w:rsidRPr="00E402C8">
        <w:rPr>
          <w:lang w:val="fr-FR"/>
        </w:rPr>
        <w:t>Chaque année, les centres de protection sociale contribuent à l</w:t>
      </w:r>
      <w:r w:rsidR="00795C5F">
        <w:rPr>
          <w:lang w:val="fr-FR"/>
        </w:rPr>
        <w:t>’</w:t>
      </w:r>
      <w:r w:rsidRPr="00E402C8">
        <w:rPr>
          <w:lang w:val="fr-FR"/>
        </w:rPr>
        <w:t xml:space="preserve">autonomisation </w:t>
      </w:r>
      <w:r>
        <w:rPr>
          <w:lang w:val="fr-FR"/>
        </w:rPr>
        <w:t>d</w:t>
      </w:r>
      <w:r w:rsidR="00795C5F">
        <w:rPr>
          <w:lang w:val="fr-FR"/>
        </w:rPr>
        <w:t>’</w:t>
      </w:r>
      <w:r>
        <w:rPr>
          <w:lang w:val="fr-FR"/>
        </w:rPr>
        <w:t>environ</w:t>
      </w:r>
      <w:r w:rsidRPr="00E402C8">
        <w:rPr>
          <w:lang w:val="fr-FR"/>
        </w:rPr>
        <w:t xml:space="preserve"> 3</w:t>
      </w:r>
      <w:r>
        <w:rPr>
          <w:lang w:val="fr-FR"/>
        </w:rPr>
        <w:t> </w:t>
      </w:r>
      <w:r w:rsidRPr="00E402C8">
        <w:rPr>
          <w:lang w:val="fr-FR"/>
        </w:rPr>
        <w:t>000 femmes qui ne travaillent pas grâce à des programmes de développement des compétences, l</w:t>
      </w:r>
      <w:r w:rsidR="00795C5F">
        <w:rPr>
          <w:lang w:val="fr-FR"/>
        </w:rPr>
        <w:t>’</w:t>
      </w:r>
      <w:r w:rsidRPr="00E402C8">
        <w:rPr>
          <w:lang w:val="fr-FR"/>
        </w:rPr>
        <w:t>idée étant de les aider à devenir indépendantes économiquement.</w:t>
      </w:r>
    </w:p>
    <w:p w14:paraId="51B44EE6" w14:textId="7FF44BF6" w:rsidR="003933A1" w:rsidRPr="00E402C8" w:rsidRDefault="003933A1" w:rsidP="00D85F19">
      <w:pPr>
        <w:pStyle w:val="SingleTxt"/>
        <w:numPr>
          <w:ilvl w:val="0"/>
          <w:numId w:val="41"/>
        </w:numPr>
        <w:spacing w:line="240" w:lineRule="exact"/>
        <w:rPr>
          <w:lang w:val="fr-FR"/>
        </w:rPr>
      </w:pPr>
      <w:r w:rsidRPr="00691847">
        <w:rPr>
          <w:lang w:val="fr-FR"/>
        </w:rPr>
        <w:t>En parallèle, d</w:t>
      </w:r>
      <w:r w:rsidR="00795C5F">
        <w:rPr>
          <w:lang w:val="fr-FR"/>
        </w:rPr>
        <w:t>’</w:t>
      </w:r>
      <w:r w:rsidRPr="00691847">
        <w:rPr>
          <w:lang w:val="fr-FR"/>
        </w:rPr>
        <w:t>autres institutions, comme l</w:t>
      </w:r>
      <w:r w:rsidR="00795C5F">
        <w:rPr>
          <w:lang w:val="fr-FR"/>
        </w:rPr>
        <w:t>’</w:t>
      </w:r>
      <w:r w:rsidRPr="00691847">
        <w:rPr>
          <w:lang w:val="fr-FR"/>
        </w:rPr>
        <w:t>Autorité pour le développement des petites et moyennes entreprises (</w:t>
      </w:r>
      <w:r w:rsidRPr="00691847">
        <w:rPr>
          <w:i/>
          <w:iCs/>
          <w:lang w:val="fr-FR"/>
        </w:rPr>
        <w:t>Small and Medium Enterprise Development Authority</w:t>
      </w:r>
      <w:r w:rsidRPr="00691847">
        <w:rPr>
          <w:lang w:val="fr-FR"/>
        </w:rPr>
        <w:t>), l</w:t>
      </w:r>
      <w:r w:rsidR="00795C5F">
        <w:rPr>
          <w:lang w:val="fr-FR"/>
        </w:rPr>
        <w:t>’</w:t>
      </w:r>
      <w:r w:rsidRPr="00691847">
        <w:rPr>
          <w:lang w:val="fr-FR"/>
        </w:rPr>
        <w:t>organisme de promotion de l</w:t>
      </w:r>
      <w:r w:rsidR="00795C5F">
        <w:rPr>
          <w:lang w:val="fr-FR"/>
        </w:rPr>
        <w:t>’</w:t>
      </w:r>
      <w:r w:rsidRPr="00691847">
        <w:rPr>
          <w:lang w:val="fr-FR"/>
        </w:rPr>
        <w:t xml:space="preserve">industrie mauricienne </w:t>
      </w:r>
      <w:r w:rsidR="001962FF">
        <w:rPr>
          <w:lang w:val="fr-FR"/>
        </w:rPr>
        <w:t>(</w:t>
      </w:r>
      <w:r w:rsidRPr="00691847">
        <w:rPr>
          <w:lang w:val="fr-FR"/>
        </w:rPr>
        <w:t>Enterprise Mauritius</w:t>
      </w:r>
      <w:r w:rsidR="001962FF">
        <w:rPr>
          <w:lang w:val="fr-FR"/>
        </w:rPr>
        <w:t>)</w:t>
      </w:r>
      <w:r w:rsidRPr="00691847">
        <w:rPr>
          <w:lang w:val="fr-FR"/>
        </w:rPr>
        <w:t>, le Ministère du commerce, de l</w:t>
      </w:r>
      <w:r w:rsidR="00795C5F">
        <w:rPr>
          <w:lang w:val="fr-FR"/>
        </w:rPr>
        <w:t>’</w:t>
      </w:r>
      <w:r w:rsidRPr="00691847">
        <w:rPr>
          <w:lang w:val="fr-FR"/>
        </w:rPr>
        <w:t>entreprise et des coopératives et la Banque de développement de Maurice (</w:t>
      </w:r>
      <w:r w:rsidRPr="00691847">
        <w:rPr>
          <w:i/>
          <w:iCs/>
          <w:lang w:val="fr-FR"/>
        </w:rPr>
        <w:t>Development Bank of Mauritius</w:t>
      </w:r>
      <w:r w:rsidRPr="00691847">
        <w:rPr>
          <w:lang w:val="fr-FR"/>
        </w:rPr>
        <w:t>) offrent d</w:t>
      </w:r>
      <w:r w:rsidR="00795C5F">
        <w:rPr>
          <w:lang w:val="fr-FR"/>
        </w:rPr>
        <w:t>’</w:t>
      </w:r>
      <w:r w:rsidRPr="00691847">
        <w:rPr>
          <w:lang w:val="fr-FR"/>
        </w:rPr>
        <w:t>autres services et solutions de façon à ce que les femmes aient tout un ensemble d</w:t>
      </w:r>
      <w:r w:rsidR="00795C5F">
        <w:rPr>
          <w:lang w:val="fr-FR"/>
        </w:rPr>
        <w:t>’</w:t>
      </w:r>
      <w:r w:rsidRPr="00691847">
        <w:rPr>
          <w:lang w:val="fr-FR"/>
        </w:rPr>
        <w:t>outils à leur disposition. Les</w:t>
      </w:r>
      <w:r w:rsidRPr="00E402C8">
        <w:rPr>
          <w:lang w:val="fr-FR"/>
        </w:rPr>
        <w:t xml:space="preserve"> femmes étant encouragées à diriger leur propre entreprise, le Gouvernement les y incite et leur facilite les démarches par l</w:t>
      </w:r>
      <w:r w:rsidR="00795C5F">
        <w:rPr>
          <w:lang w:val="fr-FR"/>
        </w:rPr>
        <w:t>’</w:t>
      </w:r>
      <w:r>
        <w:rPr>
          <w:lang w:val="fr-FR"/>
        </w:rPr>
        <w:t>intermédiaire d</w:t>
      </w:r>
      <w:r w:rsidR="00795C5F">
        <w:rPr>
          <w:lang w:val="fr-FR"/>
        </w:rPr>
        <w:t>’</w:t>
      </w:r>
      <w:r w:rsidRPr="00E402C8">
        <w:rPr>
          <w:lang w:val="fr-FR"/>
        </w:rPr>
        <w:t>institutions</w:t>
      </w:r>
      <w:r>
        <w:rPr>
          <w:lang w:val="fr-FR"/>
        </w:rPr>
        <w:t xml:space="preserve"> diverses</w:t>
      </w:r>
      <w:r w:rsidRPr="00E402C8">
        <w:rPr>
          <w:lang w:val="fr-FR"/>
        </w:rPr>
        <w:t>.</w:t>
      </w:r>
    </w:p>
    <w:p w14:paraId="54863714" w14:textId="7589889C" w:rsidR="003933A1" w:rsidRPr="006E1537" w:rsidRDefault="003933A1" w:rsidP="006E1537">
      <w:pPr>
        <w:pStyle w:val="SingleTxt"/>
        <w:spacing w:after="0" w:line="120" w:lineRule="exact"/>
        <w:rPr>
          <w:sz w:val="10"/>
          <w:lang w:val="fr-FR"/>
        </w:rPr>
      </w:pPr>
    </w:p>
    <w:p w14:paraId="384AD085" w14:textId="77777777" w:rsidR="006E1537" w:rsidRPr="0099433A" w:rsidRDefault="006E1537" w:rsidP="0099433A">
      <w:pPr>
        <w:pStyle w:val="SingleTxt"/>
        <w:spacing w:after="0" w:line="120" w:lineRule="exact"/>
        <w:rPr>
          <w:sz w:val="10"/>
          <w:lang w:val="fr-FR"/>
        </w:rPr>
      </w:pPr>
    </w:p>
    <w:p w14:paraId="53B5B3A2" w14:textId="071203CE" w:rsidR="0099433A" w:rsidRDefault="0099433A" w:rsidP="006E15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9433A">
        <w:rPr>
          <w:lang w:val="fr-FR"/>
        </w:rPr>
        <w:t>Changements climatiques</w:t>
      </w:r>
    </w:p>
    <w:p w14:paraId="5928A6FD" w14:textId="292E3DEF" w:rsidR="0099433A" w:rsidRPr="006E1537" w:rsidRDefault="0099433A" w:rsidP="006E1537">
      <w:pPr>
        <w:pStyle w:val="SingleTxt"/>
        <w:spacing w:after="0" w:line="120" w:lineRule="exact"/>
        <w:rPr>
          <w:sz w:val="10"/>
          <w:lang w:val="fr-FR"/>
        </w:rPr>
      </w:pPr>
    </w:p>
    <w:p w14:paraId="6E0AB577" w14:textId="77777777" w:rsidR="006E1537" w:rsidRPr="0099433A" w:rsidRDefault="006E1537" w:rsidP="0099433A">
      <w:pPr>
        <w:pStyle w:val="SingleTxt"/>
        <w:spacing w:after="0" w:line="120" w:lineRule="exact"/>
        <w:rPr>
          <w:sz w:val="10"/>
          <w:lang w:val="fr-FR"/>
        </w:rPr>
      </w:pPr>
    </w:p>
    <w:p w14:paraId="7CB9322D" w14:textId="1DB7126B" w:rsidR="0099433A" w:rsidRPr="0099433A" w:rsidRDefault="0099433A" w:rsidP="0099433A">
      <w:pPr>
        <w:pStyle w:val="SingleTxt"/>
        <w:numPr>
          <w:ilvl w:val="0"/>
          <w:numId w:val="41"/>
        </w:numPr>
        <w:tabs>
          <w:tab w:val="left" w:pos="1742"/>
        </w:tabs>
        <w:spacing w:line="240" w:lineRule="exact"/>
        <w:rPr>
          <w:lang w:val="fr-FR"/>
        </w:rPr>
      </w:pPr>
      <w:r w:rsidRPr="0099433A">
        <w:rPr>
          <w:lang w:val="fr-FR"/>
        </w:rPr>
        <w:t>Conscientes de la nécessité de prendre en considération la problématique femmes-hommes, les autorités mauriciennes ont veillé à inclure dans la loi sur les changements climatiques</w:t>
      </w:r>
      <w:r w:rsidR="00C16302">
        <w:rPr>
          <w:lang w:val="fr-FR"/>
        </w:rPr>
        <w:t>,</w:t>
      </w:r>
      <w:r w:rsidRPr="0099433A">
        <w:rPr>
          <w:lang w:val="fr-FR"/>
        </w:rPr>
        <w:t xml:space="preserve"> qui doit entrer en vigueur prochainement</w:t>
      </w:r>
      <w:r w:rsidR="00C16302">
        <w:rPr>
          <w:lang w:val="fr-FR"/>
        </w:rPr>
        <w:t>,</w:t>
      </w:r>
      <w:r w:rsidRPr="0099433A">
        <w:rPr>
          <w:lang w:val="fr-FR"/>
        </w:rPr>
        <w:t xml:space="preserve"> des dispositions visant à faire en sorte que les études consacrées à ces changements en tiennent compte.</w:t>
      </w:r>
      <w:r w:rsidR="006E1537">
        <w:rPr>
          <w:lang w:val="fr-FR"/>
        </w:rPr>
        <w:t xml:space="preserve"> </w:t>
      </w:r>
      <w:r w:rsidRPr="0099433A">
        <w:rPr>
          <w:lang w:val="fr-FR"/>
        </w:rPr>
        <w:t>En outre, la coordination des plans, programmes et projets d</w:t>
      </w:r>
      <w:r w:rsidR="00795C5F">
        <w:rPr>
          <w:lang w:val="fr-FR"/>
        </w:rPr>
        <w:t>’</w:t>
      </w:r>
      <w:r w:rsidRPr="0099433A">
        <w:rPr>
          <w:lang w:val="fr-FR"/>
        </w:rPr>
        <w:t>adaptation aux changements climatiques et d</w:t>
      </w:r>
      <w:r w:rsidR="00795C5F">
        <w:rPr>
          <w:lang w:val="fr-FR"/>
        </w:rPr>
        <w:t>’</w:t>
      </w:r>
      <w:r w:rsidRPr="0099433A">
        <w:rPr>
          <w:lang w:val="fr-FR"/>
        </w:rPr>
        <w:t>atténuation de leurs conséquences, qui relève des contributions prévues à cet effet déterminées au niveau national, sera placée sous la responsabilité du Ministère de l</w:t>
      </w:r>
      <w:r w:rsidR="00795C5F">
        <w:rPr>
          <w:lang w:val="fr-FR"/>
        </w:rPr>
        <w:t>’</w:t>
      </w:r>
      <w:r w:rsidRPr="0099433A">
        <w:rPr>
          <w:lang w:val="fr-FR"/>
        </w:rPr>
        <w:t>environnement et du développement durable et mobilisera toutes les parties prenantes (ministères sectoriels, secteur privé, associations locales et ONG, organisations féminines, etc.). La problématique femmes-hommes a également été abordée en tant que question transversale dans la politique nationale d</w:t>
      </w:r>
      <w:r w:rsidR="00795C5F">
        <w:rPr>
          <w:lang w:val="fr-FR"/>
        </w:rPr>
        <w:t>’</w:t>
      </w:r>
      <w:r w:rsidRPr="0099433A">
        <w:rPr>
          <w:lang w:val="fr-FR"/>
        </w:rPr>
        <w:t>adaptation aux changements climatiques de la République de Maurice, élaborée dans le cadre du Programme d</w:t>
      </w:r>
      <w:r w:rsidR="00795C5F">
        <w:rPr>
          <w:lang w:val="fr-FR"/>
        </w:rPr>
        <w:t>’</w:t>
      </w:r>
      <w:r w:rsidRPr="0099433A">
        <w:rPr>
          <w:lang w:val="fr-FR"/>
        </w:rPr>
        <w:t>adaptation en Afrique. Les mesures d</w:t>
      </w:r>
      <w:r w:rsidR="00795C5F">
        <w:rPr>
          <w:lang w:val="fr-FR"/>
        </w:rPr>
        <w:t>’</w:t>
      </w:r>
      <w:r w:rsidRPr="0099433A">
        <w:rPr>
          <w:lang w:val="fr-FR"/>
        </w:rPr>
        <w:t>atténuation adaptées au contexte national envisagées aux fins de la stratégie insulaire de développement à faible intensité de carbone ménageront elles aussi une place aux différents aspects de l</w:t>
      </w:r>
      <w:r w:rsidR="00795C5F">
        <w:rPr>
          <w:lang w:val="fr-FR"/>
        </w:rPr>
        <w:t>’</w:t>
      </w:r>
      <w:r w:rsidRPr="0099433A">
        <w:rPr>
          <w:lang w:val="fr-FR"/>
        </w:rPr>
        <w:t>égalité des sexes et à leurs</w:t>
      </w:r>
      <w:r w:rsidR="006E1537">
        <w:rPr>
          <w:lang w:val="fr-FR"/>
        </w:rPr>
        <w:t xml:space="preserve"> </w:t>
      </w:r>
      <w:r w:rsidRPr="0099433A">
        <w:rPr>
          <w:lang w:val="fr-FR"/>
        </w:rPr>
        <w:t>incidences, et un spécialiste de ces questions sera recruté dans le cadre du projet. Les partenariats qui ont été noués se sont traduits par un certain nombre d</w:t>
      </w:r>
      <w:r w:rsidR="00795C5F">
        <w:rPr>
          <w:lang w:val="fr-FR"/>
        </w:rPr>
        <w:t>’</w:t>
      </w:r>
      <w:r w:rsidRPr="0099433A">
        <w:rPr>
          <w:lang w:val="fr-FR"/>
        </w:rPr>
        <w:t>avancées significatives telles que l</w:t>
      </w:r>
      <w:r w:rsidR="00795C5F">
        <w:rPr>
          <w:lang w:val="fr-FR"/>
        </w:rPr>
        <w:t>’</w:t>
      </w:r>
      <w:r w:rsidRPr="0099433A">
        <w:rPr>
          <w:lang w:val="fr-FR"/>
        </w:rPr>
        <w:t>autonomisation de groupes de femmes, l</w:t>
      </w:r>
      <w:r w:rsidR="00795C5F">
        <w:rPr>
          <w:lang w:val="fr-FR"/>
        </w:rPr>
        <w:t>’</w:t>
      </w:r>
      <w:r w:rsidRPr="0099433A">
        <w:rPr>
          <w:lang w:val="fr-FR"/>
        </w:rPr>
        <w:t>installation de systèmes de collecte des eaux de pluie dans des centres pour femmes, la sensibilisation de femmes aux bienfaits des plantes médicinales, la contribution de femmes aux campagnes nationales de plantation d</w:t>
      </w:r>
      <w:r w:rsidR="00795C5F">
        <w:rPr>
          <w:lang w:val="fr-FR"/>
        </w:rPr>
        <w:t>’</w:t>
      </w:r>
      <w:r w:rsidRPr="0099433A">
        <w:rPr>
          <w:lang w:val="fr-FR"/>
        </w:rPr>
        <w:t>arbres et l</w:t>
      </w:r>
      <w:r w:rsidR="00795C5F">
        <w:rPr>
          <w:lang w:val="fr-FR"/>
        </w:rPr>
        <w:t>’</w:t>
      </w:r>
      <w:r w:rsidRPr="0099433A">
        <w:rPr>
          <w:lang w:val="fr-FR"/>
        </w:rPr>
        <w:t>élaboration de programmes de formation de formateurs faisant appel à des femmes pour mieux attirer l</w:t>
      </w:r>
      <w:r w:rsidR="00795C5F">
        <w:rPr>
          <w:lang w:val="fr-FR"/>
        </w:rPr>
        <w:t>’</w:t>
      </w:r>
      <w:r w:rsidRPr="0099433A">
        <w:rPr>
          <w:lang w:val="fr-FR"/>
        </w:rPr>
        <w:t xml:space="preserve">attention sur les changements climatiques. </w:t>
      </w:r>
    </w:p>
    <w:p w14:paraId="67C6F0DD" w14:textId="5D295128" w:rsidR="0099433A" w:rsidRPr="0099433A" w:rsidRDefault="0099433A" w:rsidP="0099433A">
      <w:pPr>
        <w:pStyle w:val="SingleTxt"/>
        <w:numPr>
          <w:ilvl w:val="0"/>
          <w:numId w:val="41"/>
        </w:numPr>
        <w:tabs>
          <w:tab w:val="left" w:pos="1742"/>
        </w:tabs>
        <w:spacing w:line="240" w:lineRule="exact"/>
        <w:rPr>
          <w:lang w:val="fr-FR"/>
        </w:rPr>
      </w:pPr>
      <w:r w:rsidRPr="0099433A">
        <w:rPr>
          <w:lang w:val="fr-FR"/>
        </w:rPr>
        <w:t>Face à la question des incidences sexospécifiques des changements climatiques, il est stratégiquement important d</w:t>
      </w:r>
      <w:r w:rsidR="00795C5F">
        <w:rPr>
          <w:lang w:val="fr-FR"/>
        </w:rPr>
        <w:t>’</w:t>
      </w:r>
      <w:r w:rsidRPr="0099433A">
        <w:rPr>
          <w:lang w:val="fr-FR"/>
        </w:rPr>
        <w:t>établir des relations de travail avec le Ministère de l</w:t>
      </w:r>
      <w:r w:rsidR="00795C5F">
        <w:rPr>
          <w:lang w:val="fr-FR"/>
        </w:rPr>
        <w:t>’</w:t>
      </w:r>
      <w:r w:rsidRPr="0099433A">
        <w:rPr>
          <w:lang w:val="fr-FR"/>
        </w:rPr>
        <w:t>égalité des genres, du développement de l</w:t>
      </w:r>
      <w:r w:rsidR="00795C5F">
        <w:rPr>
          <w:lang w:val="fr-FR"/>
        </w:rPr>
        <w:t>’</w:t>
      </w:r>
      <w:r w:rsidRPr="0099433A">
        <w:rPr>
          <w:lang w:val="fr-FR"/>
        </w:rPr>
        <w:t xml:space="preserve">enfant et du bien-être de la famille. Le </w:t>
      </w:r>
      <w:r w:rsidRPr="0099433A">
        <w:rPr>
          <w:lang w:val="fr-FR"/>
        </w:rPr>
        <w:lastRenderedPageBreak/>
        <w:t>Ministère de la sécurité sociale, de la solidarité nationale, de l</w:t>
      </w:r>
      <w:r w:rsidR="00795C5F">
        <w:rPr>
          <w:lang w:val="fr-FR"/>
        </w:rPr>
        <w:t>’</w:t>
      </w:r>
      <w:r w:rsidRPr="0099433A">
        <w:rPr>
          <w:lang w:val="fr-FR"/>
        </w:rPr>
        <w:t>environnement et du développement durable s</w:t>
      </w:r>
      <w:r w:rsidR="00795C5F">
        <w:rPr>
          <w:lang w:val="fr-FR"/>
        </w:rPr>
        <w:t>’</w:t>
      </w:r>
      <w:r w:rsidRPr="0099433A">
        <w:rPr>
          <w:lang w:val="fr-FR"/>
        </w:rPr>
        <w:t>attache à intégrer pleinement cette problématique dans les activités de sensibilisation, ciblant et mobilisant les femmes en tant qu</w:t>
      </w:r>
      <w:r w:rsidR="00795C5F">
        <w:rPr>
          <w:lang w:val="fr-FR"/>
        </w:rPr>
        <w:t>’</w:t>
      </w:r>
      <w:r w:rsidRPr="0099433A">
        <w:rPr>
          <w:lang w:val="fr-FR"/>
        </w:rPr>
        <w:t>agents de changement dans les programmes d</w:t>
      </w:r>
      <w:r w:rsidR="00795C5F">
        <w:rPr>
          <w:lang w:val="fr-FR"/>
        </w:rPr>
        <w:t>’</w:t>
      </w:r>
      <w:r w:rsidRPr="0099433A">
        <w:rPr>
          <w:lang w:val="fr-FR"/>
        </w:rPr>
        <w:t>adaptation aux changements climatiques et d</w:t>
      </w:r>
      <w:r w:rsidR="00795C5F">
        <w:rPr>
          <w:lang w:val="fr-FR"/>
        </w:rPr>
        <w:t>’</w:t>
      </w:r>
      <w:r w:rsidRPr="0099433A">
        <w:rPr>
          <w:lang w:val="fr-FR"/>
        </w:rPr>
        <w:t>atténuation de leurs effets qui sont actuellement mis en œuvre à Maurice. En 2016</w:t>
      </w:r>
      <w:r w:rsidR="00C16302">
        <w:rPr>
          <w:lang w:val="fr-FR"/>
        </w:rPr>
        <w:noBreakHyphen/>
      </w:r>
      <w:r w:rsidRPr="0099433A">
        <w:rPr>
          <w:lang w:val="fr-FR"/>
        </w:rPr>
        <w:t>2017, six campagnes de sensibilisation ont été menées en collaboration avec le Conseil national des femmes et des associations féminines. En outre, le Ministère a entrepris de réaliser un «</w:t>
      </w:r>
      <w:r w:rsidR="006E1537">
        <w:rPr>
          <w:lang w:val="fr-FR"/>
        </w:rPr>
        <w:t> </w:t>
      </w:r>
      <w:r w:rsidRPr="0099433A">
        <w:rPr>
          <w:lang w:val="fr-FR"/>
        </w:rPr>
        <w:t>guide pour la famille</w:t>
      </w:r>
      <w:r w:rsidR="006E1537">
        <w:rPr>
          <w:lang w:val="fr-FR"/>
        </w:rPr>
        <w:t> </w:t>
      </w:r>
      <w:r w:rsidRPr="0099433A">
        <w:rPr>
          <w:lang w:val="fr-FR"/>
        </w:rPr>
        <w:t>» destiné à montrer ce que chaque foyer peut faire concrètement pour lutter contre les changements climatique, l</w:t>
      </w:r>
      <w:r w:rsidR="00795C5F">
        <w:rPr>
          <w:lang w:val="fr-FR"/>
        </w:rPr>
        <w:t>’</w:t>
      </w:r>
      <w:r w:rsidRPr="0099433A">
        <w:rPr>
          <w:lang w:val="fr-FR"/>
        </w:rPr>
        <w:t>accent étant mis sur le rôle spécifique des femmes.</w:t>
      </w:r>
    </w:p>
    <w:p w14:paraId="56134CB0" w14:textId="51D6C3F8" w:rsidR="0099433A" w:rsidRPr="0099433A" w:rsidRDefault="0099433A" w:rsidP="0099433A">
      <w:pPr>
        <w:pStyle w:val="SingleTxt"/>
        <w:numPr>
          <w:ilvl w:val="0"/>
          <w:numId w:val="41"/>
        </w:numPr>
        <w:tabs>
          <w:tab w:val="left" w:pos="1742"/>
        </w:tabs>
        <w:spacing w:line="240" w:lineRule="exact"/>
        <w:rPr>
          <w:lang w:val="fr-FR"/>
        </w:rPr>
      </w:pPr>
      <w:r w:rsidRPr="0099433A">
        <w:rPr>
          <w:lang w:val="fr-FR"/>
        </w:rPr>
        <w:t>Le Ministère de la sécurité sociale, de la solidarité nationale, de l</w:t>
      </w:r>
      <w:r w:rsidR="00795C5F">
        <w:rPr>
          <w:lang w:val="fr-FR"/>
        </w:rPr>
        <w:t>’</w:t>
      </w:r>
      <w:r w:rsidRPr="0099433A">
        <w:rPr>
          <w:lang w:val="fr-FR"/>
        </w:rPr>
        <w:t>environnement et du développement durable a également pris les mesures ci-après</w:t>
      </w:r>
      <w:r w:rsidR="00C16302">
        <w:rPr>
          <w:lang w:val="fr-FR"/>
        </w:rPr>
        <w:t> :</w:t>
      </w:r>
    </w:p>
    <w:p w14:paraId="3D71E630" w14:textId="352D36F4"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Depuis juillet 2013, un centre d</w:t>
      </w:r>
      <w:r w:rsidR="00795C5F">
        <w:rPr>
          <w:lang w:val="fr-FR"/>
        </w:rPr>
        <w:t>’</w:t>
      </w:r>
      <w:r w:rsidRPr="0099433A">
        <w:rPr>
          <w:lang w:val="fr-FR"/>
        </w:rPr>
        <w:t>information accessible au grand public, notamment aux femmes, aux étudiants et aux ONG, propose un vaste ensemble de données sur les changements climatiques</w:t>
      </w:r>
      <w:r w:rsidR="00795C5F">
        <w:rPr>
          <w:lang w:val="fr-FR"/>
        </w:rPr>
        <w:t> ;</w:t>
      </w:r>
    </w:p>
    <w:p w14:paraId="559888A4" w14:textId="22A2099B"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Ce centre possède une page Web facilement accessible depuis le site du Ministère, qui permet à tous, y compris les femmes, les étudiants, les jeunes et les personnes âgées, de consulter en ligne des informations synthétiques et actualisées sur les changements climatiques. Cette page Web comporte aussi une section plus particulièrement consacrée à la prise en compte des aspects sexospécifiques des changements climatiques. Elle a été vue par quelque 17</w:t>
      </w:r>
      <w:r w:rsidR="006E1537">
        <w:rPr>
          <w:lang w:val="fr-FR"/>
        </w:rPr>
        <w:t> </w:t>
      </w:r>
      <w:r w:rsidRPr="0099433A">
        <w:rPr>
          <w:lang w:val="fr-FR"/>
        </w:rPr>
        <w:t>200</w:t>
      </w:r>
      <w:r w:rsidR="006E1537">
        <w:rPr>
          <w:lang w:val="fr-FR"/>
        </w:rPr>
        <w:t> </w:t>
      </w:r>
      <w:r w:rsidRPr="0099433A">
        <w:rPr>
          <w:lang w:val="fr-FR"/>
        </w:rPr>
        <w:t>visiteurs</w:t>
      </w:r>
      <w:r w:rsidR="00C16302">
        <w:rPr>
          <w:lang w:val="fr-FR"/>
        </w:rPr>
        <w:t> ;</w:t>
      </w:r>
    </w:p>
    <w:p w14:paraId="57BEE72D" w14:textId="505356A6"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Une stratégie et un plan d</w:t>
      </w:r>
      <w:r w:rsidR="00795C5F">
        <w:rPr>
          <w:lang w:val="fr-FR"/>
        </w:rPr>
        <w:t>’</w:t>
      </w:r>
      <w:r w:rsidRPr="0099433A">
        <w:rPr>
          <w:lang w:val="fr-FR"/>
        </w:rPr>
        <w:t>information, d</w:t>
      </w:r>
      <w:r w:rsidR="00795C5F">
        <w:rPr>
          <w:lang w:val="fr-FR"/>
        </w:rPr>
        <w:t>’</w:t>
      </w:r>
      <w:r w:rsidRPr="0099433A">
        <w:rPr>
          <w:lang w:val="fr-FR"/>
        </w:rPr>
        <w:t>éducation et de communication ont été déployés en vue de rendre plus accessibles au public les données relatives aux changements climatiques, grâce à des activités de sensibilisation et d</w:t>
      </w:r>
      <w:r w:rsidR="00795C5F">
        <w:rPr>
          <w:lang w:val="fr-FR"/>
        </w:rPr>
        <w:t>’</w:t>
      </w:r>
      <w:r w:rsidRPr="0099433A">
        <w:rPr>
          <w:lang w:val="fr-FR"/>
        </w:rPr>
        <w:t>éducation</w:t>
      </w:r>
      <w:r w:rsidR="00C16302">
        <w:rPr>
          <w:lang w:val="fr-FR"/>
        </w:rPr>
        <w:t>.</w:t>
      </w:r>
      <w:r w:rsidRPr="0099433A">
        <w:rPr>
          <w:lang w:val="fr-FR"/>
        </w:rPr>
        <w:t xml:space="preserve"> </w:t>
      </w:r>
    </w:p>
    <w:p w14:paraId="51B77CE4" w14:textId="56A80E93" w:rsidR="0099433A" w:rsidRPr="0099433A" w:rsidRDefault="0099433A" w:rsidP="0099433A">
      <w:pPr>
        <w:pStyle w:val="SingleTxt"/>
        <w:rPr>
          <w:lang w:val="fr-FR"/>
        </w:rPr>
      </w:pPr>
      <w:r>
        <w:rPr>
          <w:lang w:val="fr-FR"/>
        </w:rPr>
        <w:tab/>
      </w:r>
      <w:r w:rsidRPr="0099433A">
        <w:rPr>
          <w:lang w:val="fr-FR"/>
        </w:rPr>
        <w:t>a)</w:t>
      </w:r>
      <w:r w:rsidRPr="0099433A">
        <w:rPr>
          <w:lang w:val="fr-FR"/>
        </w:rPr>
        <w:tab/>
        <w:t>Entre 2014 et 2017, plus de 100</w:t>
      </w:r>
      <w:r w:rsidR="006E1537">
        <w:rPr>
          <w:lang w:val="fr-FR"/>
        </w:rPr>
        <w:t> </w:t>
      </w:r>
      <w:r w:rsidRPr="0099433A">
        <w:rPr>
          <w:lang w:val="fr-FR"/>
        </w:rPr>
        <w:t>000 membres de la société civile, en particulier des jeunes, des femmes et des représentants d</w:t>
      </w:r>
      <w:r w:rsidR="00795C5F">
        <w:rPr>
          <w:lang w:val="fr-FR"/>
        </w:rPr>
        <w:t>’</w:t>
      </w:r>
      <w:r w:rsidRPr="0099433A">
        <w:rPr>
          <w:lang w:val="fr-FR"/>
        </w:rPr>
        <w:t>organisations locales, ont été visés par des actions de sensibilisation, avec une proportion de femmes supérieure à 50</w:t>
      </w:r>
      <w:r w:rsidR="00795C5F">
        <w:rPr>
          <w:lang w:val="fr-FR"/>
        </w:rPr>
        <w:t> %</w:t>
      </w:r>
      <w:r w:rsidRPr="0099433A">
        <w:rPr>
          <w:lang w:val="fr-FR"/>
        </w:rPr>
        <w:t>.</w:t>
      </w:r>
    </w:p>
    <w:p w14:paraId="073F24FA" w14:textId="324E58C0"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Un groupe de 70 femmes exerçant des fonctions dirigeantes a appris à mener des campagnes de sensibilisation aux changements climatiques et quelque 2</w:t>
      </w:r>
      <w:r w:rsidR="006E1537">
        <w:rPr>
          <w:lang w:val="fr-FR"/>
        </w:rPr>
        <w:t> </w:t>
      </w:r>
      <w:r w:rsidRPr="0099433A">
        <w:rPr>
          <w:lang w:val="fr-FR"/>
        </w:rPr>
        <w:t>600</w:t>
      </w:r>
      <w:r w:rsidR="006E1537">
        <w:rPr>
          <w:lang w:val="fr-FR"/>
        </w:rPr>
        <w:t> </w:t>
      </w:r>
      <w:r w:rsidRPr="0099433A">
        <w:rPr>
          <w:lang w:val="fr-FR"/>
        </w:rPr>
        <w:t>participants ont été rendus attentifs à ces phénomènes et à leurs répercussions sexospécifiques dans le cadre du Programme d</w:t>
      </w:r>
      <w:r w:rsidR="00795C5F">
        <w:rPr>
          <w:lang w:val="fr-FR"/>
        </w:rPr>
        <w:t>’</w:t>
      </w:r>
      <w:r w:rsidRPr="0099433A">
        <w:rPr>
          <w:lang w:val="fr-FR"/>
        </w:rPr>
        <w:t>adaptation en Afrique</w:t>
      </w:r>
      <w:r w:rsidR="00795C5F">
        <w:rPr>
          <w:lang w:val="fr-FR"/>
        </w:rPr>
        <w:t> ;</w:t>
      </w:r>
      <w:r w:rsidRPr="0099433A">
        <w:rPr>
          <w:lang w:val="fr-FR"/>
        </w:rPr>
        <w:t xml:space="preserve"> </w:t>
      </w:r>
    </w:p>
    <w:p w14:paraId="1C7A3EC0" w14:textId="478478D9"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Un forum sur les changements climatiques tenu en 2016 à l</w:t>
      </w:r>
      <w:r w:rsidR="00795C5F">
        <w:rPr>
          <w:lang w:val="fr-FR"/>
        </w:rPr>
        <w:t>’</w:t>
      </w:r>
      <w:r w:rsidRPr="0099433A">
        <w:rPr>
          <w:lang w:val="fr-FR"/>
        </w:rPr>
        <w:t>intention des femmes de la région africaine a réuni 350 participantes mauriciennes et étrangères, parmi lesquelles des scientifiques, des décideuses et des dirigeantes d</w:t>
      </w:r>
      <w:r w:rsidR="00795C5F">
        <w:rPr>
          <w:lang w:val="fr-FR"/>
        </w:rPr>
        <w:t>’</w:t>
      </w:r>
      <w:r w:rsidRPr="0099433A">
        <w:rPr>
          <w:lang w:val="fr-FR"/>
        </w:rPr>
        <w:t>entreprises d</w:t>
      </w:r>
      <w:r w:rsidR="00795C5F">
        <w:rPr>
          <w:lang w:val="fr-FR"/>
        </w:rPr>
        <w:t>’</w:t>
      </w:r>
      <w:r w:rsidRPr="0099433A">
        <w:rPr>
          <w:lang w:val="fr-FR"/>
        </w:rPr>
        <w:t>Afrique, d</w:t>
      </w:r>
      <w:r w:rsidR="00795C5F">
        <w:rPr>
          <w:lang w:val="fr-FR"/>
        </w:rPr>
        <w:t>’</w:t>
      </w:r>
      <w:r w:rsidRPr="0099433A">
        <w:rPr>
          <w:lang w:val="fr-FR"/>
        </w:rPr>
        <w:t>Europe et d</w:t>
      </w:r>
      <w:r w:rsidR="00795C5F">
        <w:rPr>
          <w:lang w:val="fr-FR"/>
        </w:rPr>
        <w:t>’</w:t>
      </w:r>
      <w:r w:rsidRPr="0099433A">
        <w:rPr>
          <w:lang w:val="fr-FR"/>
        </w:rPr>
        <w:t>Asie</w:t>
      </w:r>
      <w:r w:rsidR="00795C5F">
        <w:rPr>
          <w:lang w:val="fr-FR"/>
        </w:rPr>
        <w:t> ;</w:t>
      </w:r>
    </w:p>
    <w:p w14:paraId="18C5FA82" w14:textId="32D98E87"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Des actions de sensibilisation ont été menées pendant la Journée mondiale de l</w:t>
      </w:r>
      <w:r w:rsidR="00795C5F">
        <w:rPr>
          <w:lang w:val="fr-FR"/>
        </w:rPr>
        <w:t>’</w:t>
      </w:r>
      <w:r w:rsidRPr="0099433A">
        <w:rPr>
          <w:lang w:val="fr-FR"/>
        </w:rPr>
        <w:t>environnement</w:t>
      </w:r>
      <w:r w:rsidR="00795C5F">
        <w:rPr>
          <w:lang w:val="fr-FR"/>
        </w:rPr>
        <w:t> ;</w:t>
      </w:r>
    </w:p>
    <w:p w14:paraId="7E280DE3" w14:textId="01CC0DB9"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Un atelier de renforcement des capacités a été organisé du 27 au 30 juin 2017 pour les jeunes de Maurice, de l</w:t>
      </w:r>
      <w:r w:rsidR="00795C5F">
        <w:rPr>
          <w:lang w:val="fr-FR"/>
        </w:rPr>
        <w:t>’</w:t>
      </w:r>
      <w:r w:rsidRPr="0099433A">
        <w:rPr>
          <w:lang w:val="fr-FR"/>
        </w:rPr>
        <w:t xml:space="preserve">île Rodrigues, des Comores, de Mayotte et des Seychelles sur le thème </w:t>
      </w:r>
      <w:r w:rsidR="00C16302" w:rsidRPr="0099433A">
        <w:rPr>
          <w:lang w:val="fr-FR"/>
        </w:rPr>
        <w:t>«</w:t>
      </w:r>
      <w:r w:rsidR="00C16302">
        <w:rPr>
          <w:lang w:val="fr-FR"/>
        </w:rPr>
        <w:t> </w:t>
      </w:r>
      <w:r w:rsidRPr="0099433A">
        <w:rPr>
          <w:lang w:val="fr-FR"/>
        </w:rPr>
        <w:t>Changements climatiques et protection de l</w:t>
      </w:r>
      <w:r w:rsidR="00795C5F">
        <w:rPr>
          <w:lang w:val="fr-FR"/>
        </w:rPr>
        <w:t>’</w:t>
      </w:r>
      <w:r w:rsidRPr="0099433A">
        <w:rPr>
          <w:lang w:val="fr-FR"/>
        </w:rPr>
        <w:t>environnement</w:t>
      </w:r>
      <w:r w:rsidR="00C16302">
        <w:rPr>
          <w:lang w:val="fr-FR"/>
        </w:rPr>
        <w:t> </w:t>
      </w:r>
      <w:r w:rsidRPr="0099433A">
        <w:rPr>
          <w:lang w:val="fr-FR"/>
        </w:rPr>
        <w:t>». Il a rassemblé 60 participants, dont 35 femmes.</w:t>
      </w:r>
    </w:p>
    <w:p w14:paraId="61A9B44D" w14:textId="3B0F37DA" w:rsidR="0099433A" w:rsidRPr="0099433A" w:rsidRDefault="0099433A" w:rsidP="0099433A">
      <w:pPr>
        <w:pStyle w:val="SingleTxt"/>
        <w:rPr>
          <w:lang w:val="fr-FR"/>
        </w:rPr>
      </w:pPr>
      <w:r>
        <w:rPr>
          <w:lang w:val="fr-FR"/>
        </w:rPr>
        <w:tab/>
      </w:r>
      <w:r w:rsidRPr="0099433A">
        <w:rPr>
          <w:lang w:val="fr-FR"/>
        </w:rPr>
        <w:t>b)</w:t>
      </w:r>
      <w:r w:rsidRPr="0099433A">
        <w:rPr>
          <w:lang w:val="fr-FR"/>
        </w:rPr>
        <w:tab/>
        <w:t>Le Ministère de la sécurité sociale, de la solidarité nationale, de l</w:t>
      </w:r>
      <w:r w:rsidR="00795C5F">
        <w:rPr>
          <w:lang w:val="fr-FR"/>
        </w:rPr>
        <w:t>’</w:t>
      </w:r>
      <w:r w:rsidRPr="0099433A">
        <w:rPr>
          <w:lang w:val="fr-FR"/>
        </w:rPr>
        <w:t>environnement et du développement durable a produit</w:t>
      </w:r>
      <w:r w:rsidR="00795C5F">
        <w:rPr>
          <w:lang w:val="fr-FR"/>
        </w:rPr>
        <w:t> :</w:t>
      </w:r>
    </w:p>
    <w:p w14:paraId="4676CB1C" w14:textId="51DE7D8D"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r>
      <w:r>
        <w:rPr>
          <w:lang w:val="fr-FR"/>
        </w:rPr>
        <w:t>D</w:t>
      </w:r>
      <w:r w:rsidRPr="0099433A">
        <w:rPr>
          <w:lang w:val="fr-FR"/>
        </w:rPr>
        <w:t>es manuels de formation destinés à des groupes cibles tels que les jeunes et les femmes</w:t>
      </w:r>
      <w:r w:rsidR="00795C5F">
        <w:rPr>
          <w:lang w:val="fr-FR"/>
        </w:rPr>
        <w:t> ;</w:t>
      </w:r>
    </w:p>
    <w:p w14:paraId="565AC28B" w14:textId="2D51F8DF" w:rsidR="0099433A" w:rsidRPr="0099433A" w:rsidRDefault="0099433A" w:rsidP="0099433A">
      <w:pPr>
        <w:pStyle w:val="SingleTxt"/>
        <w:tabs>
          <w:tab w:val="right" w:pos="1685"/>
        </w:tabs>
        <w:ind w:left="1742" w:hanging="475"/>
        <w:rPr>
          <w:lang w:val="fr-FR"/>
        </w:rPr>
      </w:pPr>
      <w:r>
        <w:rPr>
          <w:lang w:val="fr-FR"/>
        </w:rPr>
        <w:lastRenderedPageBreak/>
        <w:tab/>
      </w:r>
      <w:r w:rsidRPr="0099433A">
        <w:rPr>
          <w:lang w:val="fr-FR"/>
        </w:rPr>
        <w:t>•</w:t>
      </w:r>
      <w:r w:rsidRPr="0099433A">
        <w:rPr>
          <w:lang w:val="fr-FR"/>
        </w:rPr>
        <w:tab/>
      </w:r>
      <w:r>
        <w:rPr>
          <w:lang w:val="fr-FR"/>
        </w:rPr>
        <w:t>U</w:t>
      </w:r>
      <w:r w:rsidRPr="0099433A">
        <w:rPr>
          <w:lang w:val="fr-FR"/>
        </w:rPr>
        <w:t>n dossier présentant 111 mesures susceptibles de contribuer à la lutte contre les changements climatiques à Maurice, dont l</w:t>
      </w:r>
      <w:r w:rsidR="00795C5F">
        <w:rPr>
          <w:lang w:val="fr-FR"/>
        </w:rPr>
        <w:t>’</w:t>
      </w:r>
      <w:r w:rsidRPr="0099433A">
        <w:rPr>
          <w:lang w:val="fr-FR"/>
        </w:rPr>
        <w:t>objectif est d</w:t>
      </w:r>
      <w:r w:rsidR="00795C5F">
        <w:rPr>
          <w:lang w:val="fr-FR"/>
        </w:rPr>
        <w:t>’</w:t>
      </w:r>
      <w:r w:rsidRPr="0099433A">
        <w:rPr>
          <w:lang w:val="fr-FR"/>
        </w:rPr>
        <w:t>orienter, d</w:t>
      </w:r>
      <w:r w:rsidR="00795C5F">
        <w:rPr>
          <w:lang w:val="fr-FR"/>
        </w:rPr>
        <w:t>’</w:t>
      </w:r>
      <w:r w:rsidRPr="0099433A">
        <w:rPr>
          <w:lang w:val="fr-FR"/>
        </w:rPr>
        <w:t>informer et de mobiliser les jeunes, les familles et les femmes. Environ 600 animateurs de groupes de jeunes ont reçu une formation portant sur les changements climatiques (dont 354 jeunes femmes)</w:t>
      </w:r>
      <w:r w:rsidR="00795C5F">
        <w:rPr>
          <w:lang w:val="fr-FR"/>
        </w:rPr>
        <w:t> ;</w:t>
      </w:r>
    </w:p>
    <w:p w14:paraId="72E6325F" w14:textId="7E3605E2"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r>
      <w:r>
        <w:rPr>
          <w:lang w:val="fr-FR"/>
        </w:rPr>
        <w:t>U</w:t>
      </w:r>
      <w:r w:rsidRPr="0099433A">
        <w:rPr>
          <w:lang w:val="fr-FR"/>
        </w:rPr>
        <w:t>n manuel sur les changements climatiques, établi à l</w:t>
      </w:r>
      <w:r w:rsidR="00795C5F">
        <w:rPr>
          <w:lang w:val="fr-FR"/>
        </w:rPr>
        <w:t>’</w:t>
      </w:r>
      <w:r w:rsidRPr="0099433A">
        <w:rPr>
          <w:lang w:val="fr-FR"/>
        </w:rPr>
        <w:t>intention des enseignants des écoles primaires et secondaires dans le cadre du Programme d</w:t>
      </w:r>
      <w:r w:rsidR="00795C5F">
        <w:rPr>
          <w:lang w:val="fr-FR"/>
        </w:rPr>
        <w:t>’</w:t>
      </w:r>
      <w:r w:rsidRPr="0099433A">
        <w:rPr>
          <w:lang w:val="fr-FR"/>
        </w:rPr>
        <w:t>adaptation en Afrique. Quelque 750 enseignantes et enseign</w:t>
      </w:r>
      <w:r w:rsidR="003E1795">
        <w:rPr>
          <w:lang w:val="fr-FR"/>
        </w:rPr>
        <w:t>ants ont suivi cette formation ;</w:t>
      </w:r>
    </w:p>
    <w:p w14:paraId="04276B97" w14:textId="4EFA6585"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Quatre supports de sensibilisation novateurs et adaptés au contexte mauricien ont été élaborés au titre du projet national de renforcement des capacités en matière de changements climatiques (2014-2016), avec l</w:t>
      </w:r>
      <w:r w:rsidR="00795C5F">
        <w:rPr>
          <w:lang w:val="fr-FR"/>
        </w:rPr>
        <w:t>’</w:t>
      </w:r>
      <w:r w:rsidRPr="0099433A">
        <w:rPr>
          <w:lang w:val="fr-FR"/>
        </w:rPr>
        <w:t>aide de l</w:t>
      </w:r>
      <w:r w:rsidR="00795C5F">
        <w:rPr>
          <w:lang w:val="fr-FR"/>
        </w:rPr>
        <w:t>’</w:t>
      </w:r>
      <w:r w:rsidRPr="0099433A">
        <w:rPr>
          <w:lang w:val="fr-FR"/>
        </w:rPr>
        <w:t>Agence japonaise de coopération internationale</w:t>
      </w:r>
      <w:r w:rsidR="00795C5F">
        <w:rPr>
          <w:lang w:val="fr-FR"/>
        </w:rPr>
        <w:t> :</w:t>
      </w:r>
    </w:p>
    <w:p w14:paraId="775723BE" w14:textId="77157269"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r>
      <w:r>
        <w:rPr>
          <w:lang w:val="fr-FR"/>
        </w:rPr>
        <w:t>U</w:t>
      </w:r>
      <w:r w:rsidRPr="0099433A">
        <w:rPr>
          <w:lang w:val="fr-FR"/>
        </w:rPr>
        <w:t>n clip vidéo sur les changements climatiques</w:t>
      </w:r>
      <w:r w:rsidR="00795C5F">
        <w:rPr>
          <w:lang w:val="fr-FR"/>
        </w:rPr>
        <w:t> ;</w:t>
      </w:r>
    </w:p>
    <w:p w14:paraId="65033073" w14:textId="1839FB20"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r>
      <w:r w:rsidR="00A549C7">
        <w:rPr>
          <w:lang w:val="fr-FR"/>
        </w:rPr>
        <w:t>U</w:t>
      </w:r>
      <w:r w:rsidRPr="0099433A">
        <w:rPr>
          <w:lang w:val="fr-FR"/>
        </w:rPr>
        <w:t>n modèle numérique interactif en 3D visant à expliquer aux citoyens les répercussions de l</w:t>
      </w:r>
      <w:r w:rsidR="00795C5F">
        <w:rPr>
          <w:lang w:val="fr-FR"/>
        </w:rPr>
        <w:t>’</w:t>
      </w:r>
      <w:r w:rsidRPr="0099433A">
        <w:rPr>
          <w:lang w:val="fr-FR"/>
        </w:rPr>
        <w:t>élévation du niveau de la mer et des ondes de tempête sur les zones côtières</w:t>
      </w:r>
      <w:r w:rsidR="00795C5F">
        <w:rPr>
          <w:lang w:val="fr-FR"/>
        </w:rPr>
        <w:t> ;</w:t>
      </w:r>
    </w:p>
    <w:p w14:paraId="46669281" w14:textId="210F9926"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r>
      <w:r w:rsidR="00A549C7">
        <w:rPr>
          <w:lang w:val="fr-FR"/>
        </w:rPr>
        <w:t>U</w:t>
      </w:r>
      <w:r w:rsidRPr="0099433A">
        <w:rPr>
          <w:lang w:val="fr-FR"/>
        </w:rPr>
        <w:t>n jeu de cartes sur les changements climatiques permettant d</w:t>
      </w:r>
      <w:r w:rsidR="00795C5F">
        <w:rPr>
          <w:lang w:val="fr-FR"/>
        </w:rPr>
        <w:t>’</w:t>
      </w:r>
      <w:r w:rsidRPr="0099433A">
        <w:rPr>
          <w:lang w:val="fr-FR"/>
        </w:rPr>
        <w:t>apprendre par soi-même ou à plusieurs la terminologie en la matière</w:t>
      </w:r>
      <w:r w:rsidR="00795C5F">
        <w:rPr>
          <w:lang w:val="fr-FR"/>
        </w:rPr>
        <w:t> ;</w:t>
      </w:r>
    </w:p>
    <w:p w14:paraId="680F39D3" w14:textId="6E72F974"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r>
      <w:r w:rsidR="00A549C7">
        <w:rPr>
          <w:lang w:val="fr-FR"/>
        </w:rPr>
        <w:t>N</w:t>
      </w:r>
      <w:r w:rsidRPr="0099433A">
        <w:rPr>
          <w:lang w:val="fr-FR"/>
        </w:rPr>
        <w:t>euf affiches représentant une île imaginaire et illustrant les causes et les conséquences des changements climatiques et les solutions qui pourraient être apportées à ces problèmes</w:t>
      </w:r>
      <w:r w:rsidR="00C16302">
        <w:rPr>
          <w:lang w:val="fr-FR"/>
        </w:rPr>
        <w:t> ;</w:t>
      </w:r>
    </w:p>
    <w:p w14:paraId="2B2A4120" w14:textId="6142C44F"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t>En outre, trois sessions de formation officielles qui ont rassemblé 30 enseignants et directeurs d</w:t>
      </w:r>
      <w:r w:rsidR="00795C5F">
        <w:rPr>
          <w:lang w:val="fr-FR"/>
        </w:rPr>
        <w:t>’</w:t>
      </w:r>
      <w:r w:rsidRPr="0099433A">
        <w:rPr>
          <w:lang w:val="fr-FR"/>
        </w:rPr>
        <w:t>établissements scolaires (dont 13 femmes), 25 jeunes cadres (dont 10 jeunes femmes) et 65 femmes ont été organisées, ainsi que quatre réunions de sensibilisation auxquelles ont pris part 45</w:t>
      </w:r>
      <w:r w:rsidR="006E1537">
        <w:rPr>
          <w:lang w:val="fr-FR"/>
        </w:rPr>
        <w:t> </w:t>
      </w:r>
      <w:r w:rsidRPr="0099433A">
        <w:rPr>
          <w:lang w:val="fr-FR"/>
        </w:rPr>
        <w:t>agriculteurs (</w:t>
      </w:r>
      <w:r w:rsidR="00C16302" w:rsidRPr="0099433A">
        <w:rPr>
          <w:lang w:val="fr-FR"/>
        </w:rPr>
        <w:t>dont</w:t>
      </w:r>
      <w:r w:rsidR="00C16302">
        <w:rPr>
          <w:lang w:val="fr-FR"/>
        </w:rPr>
        <w:t> </w:t>
      </w:r>
      <w:r w:rsidRPr="0099433A">
        <w:rPr>
          <w:lang w:val="fr-FR"/>
        </w:rPr>
        <w:t>30</w:t>
      </w:r>
      <w:r w:rsidR="006E1537">
        <w:rPr>
          <w:lang w:val="fr-FR"/>
        </w:rPr>
        <w:t> </w:t>
      </w:r>
      <w:r w:rsidRPr="0099433A">
        <w:rPr>
          <w:lang w:val="fr-FR"/>
        </w:rPr>
        <w:t>femmes), 40 personnes âgées (dont 32 femmes), 30</w:t>
      </w:r>
      <w:r w:rsidR="006E1537">
        <w:rPr>
          <w:lang w:val="fr-FR"/>
        </w:rPr>
        <w:t> </w:t>
      </w:r>
      <w:r w:rsidRPr="0099433A">
        <w:rPr>
          <w:lang w:val="fr-FR"/>
        </w:rPr>
        <w:t>travailleurs (</w:t>
      </w:r>
      <w:r w:rsidR="00C16302" w:rsidRPr="0099433A">
        <w:rPr>
          <w:lang w:val="fr-FR"/>
        </w:rPr>
        <w:t>dont</w:t>
      </w:r>
      <w:r w:rsidR="00C16302">
        <w:rPr>
          <w:lang w:val="fr-FR"/>
        </w:rPr>
        <w:t> </w:t>
      </w:r>
      <w:r w:rsidRPr="0099433A">
        <w:rPr>
          <w:lang w:val="fr-FR"/>
        </w:rPr>
        <w:t>10</w:t>
      </w:r>
      <w:r w:rsidR="006E1537">
        <w:rPr>
          <w:lang w:val="fr-FR"/>
        </w:rPr>
        <w:t> </w:t>
      </w:r>
      <w:r w:rsidRPr="0099433A">
        <w:rPr>
          <w:lang w:val="fr-FR"/>
        </w:rPr>
        <w:t>femmes) et auxquelles s</w:t>
      </w:r>
      <w:r w:rsidR="00795C5F">
        <w:rPr>
          <w:lang w:val="fr-FR"/>
        </w:rPr>
        <w:t>’</w:t>
      </w:r>
      <w:r w:rsidRPr="0099433A">
        <w:rPr>
          <w:lang w:val="fr-FR"/>
        </w:rPr>
        <w:t>est joint le grand public (plus de 10</w:t>
      </w:r>
      <w:r w:rsidR="006E1537">
        <w:rPr>
          <w:lang w:val="fr-FR"/>
        </w:rPr>
        <w:t> </w:t>
      </w:r>
      <w:r w:rsidRPr="0099433A">
        <w:rPr>
          <w:lang w:val="fr-FR"/>
        </w:rPr>
        <w:t>000 personnes dont environ 6</w:t>
      </w:r>
      <w:r w:rsidR="006E1537">
        <w:rPr>
          <w:lang w:val="fr-FR"/>
        </w:rPr>
        <w:t> </w:t>
      </w:r>
      <w:r w:rsidRPr="0099433A">
        <w:rPr>
          <w:lang w:val="fr-FR"/>
        </w:rPr>
        <w:t>000 femmes).</w:t>
      </w:r>
    </w:p>
    <w:p w14:paraId="0F112A91" w14:textId="5971F9E4"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Diverses mesures ont cherché à recentrer la stratégie axée sur la sensibilisation des parties prenantes au niveau des collectivités</w:t>
      </w:r>
      <w:r w:rsidR="00795C5F">
        <w:rPr>
          <w:lang w:val="fr-FR"/>
        </w:rPr>
        <w:t> :</w:t>
      </w:r>
      <w:r w:rsidRPr="0099433A">
        <w:rPr>
          <w:lang w:val="fr-FR"/>
        </w:rPr>
        <w:t xml:space="preserve"> </w:t>
      </w:r>
    </w:p>
    <w:p w14:paraId="209AAA29" w14:textId="20932D87"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r>
      <w:r w:rsidR="00A549C7">
        <w:rPr>
          <w:lang w:val="fr-FR"/>
        </w:rPr>
        <w:t>D</w:t>
      </w:r>
      <w:r w:rsidR="00795C5F">
        <w:rPr>
          <w:lang w:val="fr-FR"/>
        </w:rPr>
        <w:t>’</w:t>
      </w:r>
      <w:r w:rsidRPr="0099433A">
        <w:rPr>
          <w:lang w:val="fr-FR"/>
        </w:rPr>
        <w:t>avril à octobre 2012, un bus transportant une exposition graphique itinérante a sillonné l</w:t>
      </w:r>
      <w:r w:rsidR="00795C5F">
        <w:rPr>
          <w:lang w:val="fr-FR"/>
        </w:rPr>
        <w:t>’</w:t>
      </w:r>
      <w:r w:rsidR="005956D6">
        <w:rPr>
          <w:lang w:val="fr-FR"/>
        </w:rPr>
        <w:t>Î</w:t>
      </w:r>
      <w:r w:rsidRPr="0099433A">
        <w:rPr>
          <w:lang w:val="fr-FR"/>
        </w:rPr>
        <w:t>le et fait halte dans des établissements scolaires, des mairies, des conseils de district, des centres sociaux et des centres commerciaux</w:t>
      </w:r>
      <w:r w:rsidR="00795C5F">
        <w:rPr>
          <w:lang w:val="fr-FR"/>
        </w:rPr>
        <w:t> ;</w:t>
      </w:r>
    </w:p>
    <w:p w14:paraId="687EA42F" w14:textId="12C7824F" w:rsidR="0099433A" w:rsidRPr="0099433A" w:rsidRDefault="0099433A"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Pr="0099433A">
        <w:rPr>
          <w:lang w:val="fr-FR"/>
        </w:rPr>
        <w:t>•</w:t>
      </w:r>
      <w:r w:rsidRPr="0099433A">
        <w:rPr>
          <w:lang w:val="fr-FR"/>
        </w:rPr>
        <w:tab/>
      </w:r>
      <w:r w:rsidR="00A549C7">
        <w:rPr>
          <w:lang w:val="fr-FR"/>
        </w:rPr>
        <w:t>D</w:t>
      </w:r>
      <w:r w:rsidRPr="0099433A">
        <w:rPr>
          <w:lang w:val="fr-FR"/>
        </w:rPr>
        <w:t>epuis son lancement en 2014, un programme d</w:t>
      </w:r>
      <w:r w:rsidR="00795C5F">
        <w:rPr>
          <w:lang w:val="fr-FR"/>
        </w:rPr>
        <w:t>’</w:t>
      </w:r>
      <w:r w:rsidRPr="0099433A">
        <w:rPr>
          <w:lang w:val="fr-FR"/>
        </w:rPr>
        <w:t>éducation du public aux changements climatiques a permis de sensibiliser plus de 17 000 personnes (</w:t>
      </w:r>
      <w:r w:rsidR="005956D6" w:rsidRPr="0099433A">
        <w:rPr>
          <w:lang w:val="fr-FR"/>
        </w:rPr>
        <w:t>y</w:t>
      </w:r>
      <w:r w:rsidR="005956D6">
        <w:rPr>
          <w:lang w:val="fr-FR"/>
        </w:rPr>
        <w:t> </w:t>
      </w:r>
      <w:r w:rsidRPr="0099433A">
        <w:rPr>
          <w:lang w:val="fr-FR"/>
        </w:rPr>
        <w:t>compris des femmes) grâce à une «</w:t>
      </w:r>
      <w:r w:rsidR="006E1537">
        <w:rPr>
          <w:lang w:val="fr-FR"/>
        </w:rPr>
        <w:t> </w:t>
      </w:r>
      <w:r w:rsidRPr="0099433A">
        <w:rPr>
          <w:lang w:val="fr-FR"/>
        </w:rPr>
        <w:t>salle de classe itinérante</w:t>
      </w:r>
      <w:r w:rsidR="006E1537">
        <w:rPr>
          <w:lang w:val="fr-FR"/>
        </w:rPr>
        <w:t> </w:t>
      </w:r>
      <w:r w:rsidRPr="0099433A">
        <w:rPr>
          <w:lang w:val="fr-FR"/>
        </w:rPr>
        <w:t>», un projet novateur communément appelé Bis Lamer</w:t>
      </w:r>
      <w:r w:rsidR="003E1795">
        <w:rPr>
          <w:lang w:val="fr-FR"/>
        </w:rPr>
        <w:t>.</w:t>
      </w:r>
    </w:p>
    <w:p w14:paraId="5D6D8F3E" w14:textId="598D7F8D" w:rsidR="0099433A" w:rsidRPr="0099433A" w:rsidRDefault="0099433A" w:rsidP="0099433A">
      <w:pPr>
        <w:pStyle w:val="SingleTxt"/>
        <w:tabs>
          <w:tab w:val="right" w:pos="1685"/>
        </w:tabs>
        <w:ind w:left="1742" w:hanging="475"/>
        <w:rPr>
          <w:lang w:val="fr-FR"/>
        </w:rPr>
      </w:pPr>
      <w:r>
        <w:rPr>
          <w:lang w:val="fr-FR"/>
        </w:rPr>
        <w:tab/>
      </w:r>
      <w:r w:rsidRPr="0099433A">
        <w:rPr>
          <w:lang w:val="fr-FR"/>
        </w:rPr>
        <w:t>•</w:t>
      </w:r>
      <w:r w:rsidRPr="0099433A">
        <w:rPr>
          <w:lang w:val="fr-FR"/>
        </w:rPr>
        <w:tab/>
        <w:t>Une Foire du savoir sur les changements climatiques a été organisée dans le cadre du Programme d</w:t>
      </w:r>
      <w:r w:rsidR="00795C5F">
        <w:rPr>
          <w:lang w:val="fr-FR"/>
        </w:rPr>
        <w:t>’</w:t>
      </w:r>
      <w:r w:rsidRPr="0099433A">
        <w:rPr>
          <w:lang w:val="fr-FR"/>
        </w:rPr>
        <w:t>adaptation en Afrique</w:t>
      </w:r>
      <w:r w:rsidR="00795C5F">
        <w:rPr>
          <w:lang w:val="fr-FR"/>
        </w:rPr>
        <w:t> ;</w:t>
      </w:r>
      <w:r w:rsidRPr="0099433A">
        <w:rPr>
          <w:lang w:val="fr-FR"/>
        </w:rPr>
        <w:t xml:space="preserve"> elle a notamment attiré des associations féminines et proposé des formations dispensées par des experts.</w:t>
      </w:r>
    </w:p>
    <w:p w14:paraId="4F1D1424" w14:textId="24631C31"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Plusieurs projets portant sur l</w:t>
      </w:r>
      <w:r w:rsidR="00795C5F">
        <w:rPr>
          <w:lang w:val="fr-FR"/>
        </w:rPr>
        <w:t>’</w:t>
      </w:r>
      <w:r w:rsidRPr="0099433A">
        <w:rPr>
          <w:lang w:val="fr-FR"/>
        </w:rPr>
        <w:t>adaptation aux changements climatiques sont actuellement mis en œuvre.</w:t>
      </w:r>
    </w:p>
    <w:p w14:paraId="17D68975" w14:textId="77777777" w:rsidR="00A549C7" w:rsidRPr="00A549C7" w:rsidRDefault="00A549C7" w:rsidP="00A549C7">
      <w:pPr>
        <w:pStyle w:val="SingleTxt"/>
        <w:spacing w:after="0" w:line="120" w:lineRule="exact"/>
        <w:rPr>
          <w:sz w:val="10"/>
          <w:lang w:val="fr-FR"/>
        </w:rPr>
      </w:pPr>
    </w:p>
    <w:p w14:paraId="299A8205" w14:textId="093D40B9" w:rsidR="0099433A" w:rsidRDefault="0099433A" w:rsidP="00A549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433A">
        <w:rPr>
          <w:lang w:val="fr-FR"/>
        </w:rPr>
        <w:tab/>
      </w:r>
      <w:r w:rsidRPr="0099433A">
        <w:rPr>
          <w:lang w:val="fr-FR"/>
        </w:rPr>
        <w:tab/>
        <w:t>Activités menées sous la houlette du Conseil du Fonds pour l</w:t>
      </w:r>
      <w:r w:rsidR="00795C5F">
        <w:rPr>
          <w:lang w:val="fr-FR"/>
        </w:rPr>
        <w:t>’</w:t>
      </w:r>
      <w:r w:rsidRPr="0099433A">
        <w:rPr>
          <w:lang w:val="fr-FR"/>
        </w:rPr>
        <w:t>adaptation</w:t>
      </w:r>
    </w:p>
    <w:p w14:paraId="444FA5CD" w14:textId="3E98954B" w:rsidR="00A549C7" w:rsidRPr="00A549C7" w:rsidRDefault="00A549C7" w:rsidP="00A549C7">
      <w:pPr>
        <w:pStyle w:val="SingleTxt"/>
        <w:spacing w:after="0" w:line="120" w:lineRule="exact"/>
        <w:rPr>
          <w:sz w:val="10"/>
          <w:lang w:val="fr-FR"/>
        </w:rPr>
      </w:pPr>
    </w:p>
    <w:p w14:paraId="277AC499" w14:textId="5E4B38C6"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Conception et mise en place à Maurice, à Rodrigues et dans l</w:t>
      </w:r>
      <w:r w:rsidR="00795C5F">
        <w:rPr>
          <w:lang w:val="fr-FR"/>
        </w:rPr>
        <w:t>’</w:t>
      </w:r>
      <w:r w:rsidRPr="0099433A">
        <w:rPr>
          <w:lang w:val="fr-FR"/>
        </w:rPr>
        <w:t>archipel d</w:t>
      </w:r>
      <w:r w:rsidR="00795C5F">
        <w:rPr>
          <w:lang w:val="fr-FR"/>
        </w:rPr>
        <w:t>’</w:t>
      </w:r>
      <w:r w:rsidRPr="0099433A">
        <w:rPr>
          <w:lang w:val="fr-FR"/>
        </w:rPr>
        <w:t>Agalega d</w:t>
      </w:r>
      <w:r w:rsidR="00795C5F">
        <w:rPr>
          <w:lang w:val="fr-FR"/>
        </w:rPr>
        <w:t>’</w:t>
      </w:r>
      <w:r w:rsidRPr="0099433A">
        <w:rPr>
          <w:lang w:val="fr-FR"/>
        </w:rPr>
        <w:t>un système d</w:t>
      </w:r>
      <w:r w:rsidR="00795C5F">
        <w:rPr>
          <w:lang w:val="fr-FR"/>
        </w:rPr>
        <w:t>’</w:t>
      </w:r>
      <w:r w:rsidRPr="0099433A">
        <w:rPr>
          <w:lang w:val="fr-FR"/>
        </w:rPr>
        <w:t>alerte rapide en cas d</w:t>
      </w:r>
      <w:r w:rsidR="00795C5F">
        <w:rPr>
          <w:lang w:val="fr-FR"/>
        </w:rPr>
        <w:t>’</w:t>
      </w:r>
      <w:r w:rsidRPr="0099433A">
        <w:rPr>
          <w:lang w:val="fr-FR"/>
        </w:rPr>
        <w:t>ondes de tempête. Financé par le Fonds pour l</w:t>
      </w:r>
      <w:r w:rsidR="00795C5F">
        <w:rPr>
          <w:lang w:val="fr-FR"/>
        </w:rPr>
        <w:t>’</w:t>
      </w:r>
      <w:r w:rsidRPr="0099433A">
        <w:rPr>
          <w:lang w:val="fr-FR"/>
        </w:rPr>
        <w:t xml:space="preserve">adaptation et appuyé par le Programme des Nations Unies pour le développement </w:t>
      </w:r>
      <w:r w:rsidRPr="0099433A">
        <w:rPr>
          <w:lang w:val="fr-FR"/>
        </w:rPr>
        <w:lastRenderedPageBreak/>
        <w:t>(PNUD), ce système a été déployé sur les zones côtières mauriciennes dans le cadre du programme d</w:t>
      </w:r>
      <w:r w:rsidR="00795C5F">
        <w:rPr>
          <w:lang w:val="fr-FR"/>
        </w:rPr>
        <w:t>’</w:t>
      </w:r>
      <w:r w:rsidRPr="0099433A">
        <w:rPr>
          <w:lang w:val="fr-FR"/>
        </w:rPr>
        <w:t>adaptation aux changements climatiques et vise à accroître la résilience climatique de leurs habitants. L</w:t>
      </w:r>
      <w:r w:rsidR="00795C5F">
        <w:rPr>
          <w:lang w:val="fr-FR"/>
        </w:rPr>
        <w:t>’</w:t>
      </w:r>
      <w:r w:rsidRPr="0099433A">
        <w:rPr>
          <w:lang w:val="fr-FR"/>
        </w:rPr>
        <w:t>objectif était d</w:t>
      </w:r>
      <w:r w:rsidR="00795C5F">
        <w:rPr>
          <w:lang w:val="fr-FR"/>
        </w:rPr>
        <w:t>’</w:t>
      </w:r>
      <w:r w:rsidRPr="0099433A">
        <w:rPr>
          <w:lang w:val="fr-FR"/>
        </w:rPr>
        <w:t>installer un système d</w:t>
      </w:r>
      <w:r w:rsidR="00795C5F">
        <w:rPr>
          <w:lang w:val="fr-FR"/>
        </w:rPr>
        <w:t>’</w:t>
      </w:r>
      <w:r w:rsidRPr="0099433A">
        <w:rPr>
          <w:lang w:val="fr-FR"/>
        </w:rPr>
        <w:t>alerte rapide fonctionnant de jour comme de nuit, afin de permettre une évacuation des zones côtières de l</w:t>
      </w:r>
      <w:r w:rsidR="00795C5F">
        <w:rPr>
          <w:lang w:val="fr-FR"/>
        </w:rPr>
        <w:t>’</w:t>
      </w:r>
      <w:r w:rsidR="005956D6">
        <w:rPr>
          <w:lang w:val="fr-FR"/>
        </w:rPr>
        <w:t>Î</w:t>
      </w:r>
      <w:r w:rsidRPr="0099433A">
        <w:rPr>
          <w:lang w:val="fr-FR"/>
        </w:rPr>
        <w:t>le en toute sécurité avant l</w:t>
      </w:r>
      <w:r w:rsidR="00795C5F">
        <w:rPr>
          <w:lang w:val="fr-FR"/>
        </w:rPr>
        <w:t>’</w:t>
      </w:r>
      <w:r w:rsidRPr="0099433A">
        <w:rPr>
          <w:lang w:val="fr-FR"/>
        </w:rPr>
        <w:t>arrivée des ondes de tempête. Il a été en premier lieu dicté par la nécessité de se doter d</w:t>
      </w:r>
      <w:r w:rsidR="00795C5F">
        <w:rPr>
          <w:lang w:val="fr-FR"/>
        </w:rPr>
        <w:t>’</w:t>
      </w:r>
      <w:r w:rsidRPr="0099433A">
        <w:rPr>
          <w:lang w:val="fr-FR"/>
        </w:rPr>
        <w:t>un outil de prévision adapté et de haute qualité qui puisse rendre plus efficace</w:t>
      </w:r>
      <w:r w:rsidR="005956D6">
        <w:rPr>
          <w:lang w:val="fr-FR"/>
        </w:rPr>
        <w:t>s</w:t>
      </w:r>
      <w:r w:rsidRPr="0099433A">
        <w:rPr>
          <w:lang w:val="fr-FR"/>
        </w:rPr>
        <w:t xml:space="preserve"> la préparation des populations et la diffusion des alertes. L</w:t>
      </w:r>
      <w:r w:rsidR="00795C5F">
        <w:rPr>
          <w:lang w:val="fr-FR"/>
        </w:rPr>
        <w:t>’</w:t>
      </w:r>
      <w:r w:rsidRPr="0099433A">
        <w:rPr>
          <w:lang w:val="fr-FR"/>
        </w:rPr>
        <w:t>élévation du niveau de la mer et les effets des changements climatiques sur les régimes météorologiques risquent fort d</w:t>
      </w:r>
      <w:r w:rsidR="00795C5F">
        <w:rPr>
          <w:lang w:val="fr-FR"/>
        </w:rPr>
        <w:t>’</w:t>
      </w:r>
      <w:r w:rsidRPr="0099433A">
        <w:rPr>
          <w:lang w:val="fr-FR"/>
        </w:rPr>
        <w:t>aggraver les phénomènes d</w:t>
      </w:r>
      <w:r w:rsidR="00795C5F">
        <w:rPr>
          <w:lang w:val="fr-FR"/>
        </w:rPr>
        <w:t>’</w:t>
      </w:r>
      <w:r w:rsidRPr="0099433A">
        <w:rPr>
          <w:lang w:val="fr-FR"/>
        </w:rPr>
        <w:t>ondes de tempête, lesquelles contribueront à accroître l</w:t>
      </w:r>
      <w:r w:rsidR="00795C5F">
        <w:rPr>
          <w:lang w:val="fr-FR"/>
        </w:rPr>
        <w:t>’</w:t>
      </w:r>
      <w:r w:rsidRPr="0099433A">
        <w:rPr>
          <w:lang w:val="fr-FR"/>
        </w:rPr>
        <w:t>érosion du littoral et mettre à mal les maigres ressources agraires, accentuant plus encore la vulnérabilité physique des populations insulaires, de leurs infrastructures et de leurs moyens de subsistance. La République de Maurice est le premier petit État insulaire en développement à disposer de son propre système d</w:t>
      </w:r>
      <w:r w:rsidR="00795C5F">
        <w:rPr>
          <w:lang w:val="fr-FR"/>
        </w:rPr>
        <w:t>’</w:t>
      </w:r>
      <w:r w:rsidRPr="0099433A">
        <w:rPr>
          <w:lang w:val="fr-FR"/>
        </w:rPr>
        <w:t>alerte rapide en cas de fortes marées et d</w:t>
      </w:r>
      <w:r w:rsidR="00795C5F">
        <w:rPr>
          <w:lang w:val="fr-FR"/>
        </w:rPr>
        <w:t>’</w:t>
      </w:r>
      <w:r w:rsidRPr="0099433A">
        <w:rPr>
          <w:lang w:val="fr-FR"/>
        </w:rPr>
        <w:t>ondes de tempête permettant d</w:t>
      </w:r>
      <w:r w:rsidR="00795C5F">
        <w:rPr>
          <w:lang w:val="fr-FR"/>
        </w:rPr>
        <w:t>’</w:t>
      </w:r>
      <w:r w:rsidRPr="0099433A">
        <w:rPr>
          <w:lang w:val="fr-FR"/>
        </w:rPr>
        <w:t>améliorer la préparation et la résilience des habitants des zones côtières face à de tels phénomènes extrêmes. Les femmes, souvent cantonnées à des tâches ménagères (s</w:t>
      </w:r>
      <w:r w:rsidR="00795C5F">
        <w:rPr>
          <w:lang w:val="fr-FR"/>
        </w:rPr>
        <w:t>’</w:t>
      </w:r>
      <w:r w:rsidRPr="0099433A">
        <w:rPr>
          <w:lang w:val="fr-FR"/>
        </w:rPr>
        <w:t>occuper des enfants et des personnes âgées, par exemple) sont ici plus spécialement concernées. Le système vise aussi à éviter que des biens fonciers ne soient endommagés en cas de phénomènes météorologiques extrêmes frappant les régions côtières.</w:t>
      </w:r>
    </w:p>
    <w:p w14:paraId="2BD4DFB3" w14:textId="6FD51542"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Construction d</w:t>
      </w:r>
      <w:r w:rsidR="00795C5F">
        <w:rPr>
          <w:lang w:val="fr-FR"/>
        </w:rPr>
        <w:t>’</w:t>
      </w:r>
      <w:r w:rsidRPr="0099433A">
        <w:rPr>
          <w:lang w:val="fr-FR"/>
        </w:rPr>
        <w:t>un centre d</w:t>
      </w:r>
      <w:r w:rsidR="00795C5F">
        <w:rPr>
          <w:lang w:val="fr-FR"/>
        </w:rPr>
        <w:t>’</w:t>
      </w:r>
      <w:r w:rsidRPr="0099433A">
        <w:rPr>
          <w:lang w:val="fr-FR"/>
        </w:rPr>
        <w:t>évacuation à Quatre Sœurs. Le village côtier de Quatre Sœurs se situe dans une zone de basses terres très exposée aux risques d</w:t>
      </w:r>
      <w:r w:rsidR="00795C5F">
        <w:rPr>
          <w:lang w:val="fr-FR"/>
        </w:rPr>
        <w:t>’</w:t>
      </w:r>
      <w:r w:rsidRPr="0099433A">
        <w:rPr>
          <w:lang w:val="fr-FR"/>
        </w:rPr>
        <w:t>inondations en cas de fortes marées, d</w:t>
      </w:r>
      <w:r w:rsidR="00795C5F">
        <w:rPr>
          <w:lang w:val="fr-FR"/>
        </w:rPr>
        <w:t>’</w:t>
      </w:r>
      <w:r w:rsidRPr="0099433A">
        <w:rPr>
          <w:lang w:val="fr-FR"/>
        </w:rPr>
        <w:t>ondes de tempête et autres catastrophes naturelles. Les moyens de subsistance de sa population pâtissent en outre des effets néfastes des changements climatiques, ce qui pourrait avoir des conséquences environnementales et sociales plus complexes. Dans le cadre du projet du Fonds pour l</w:t>
      </w:r>
      <w:r w:rsidR="00795C5F">
        <w:rPr>
          <w:lang w:val="fr-FR"/>
        </w:rPr>
        <w:t>’</w:t>
      </w:r>
      <w:r w:rsidRPr="0099433A">
        <w:rPr>
          <w:lang w:val="fr-FR"/>
        </w:rPr>
        <w:t>adaptation, un centre d</w:t>
      </w:r>
      <w:r w:rsidR="00795C5F">
        <w:rPr>
          <w:lang w:val="fr-FR"/>
        </w:rPr>
        <w:t>’</w:t>
      </w:r>
      <w:r w:rsidRPr="0099433A">
        <w:rPr>
          <w:lang w:val="fr-FR"/>
        </w:rPr>
        <w:t>évacuation est en cours d</w:t>
      </w:r>
      <w:r w:rsidR="00795C5F">
        <w:rPr>
          <w:lang w:val="fr-FR"/>
        </w:rPr>
        <w:t>’</w:t>
      </w:r>
      <w:r w:rsidRPr="0099433A">
        <w:rPr>
          <w:lang w:val="fr-FR"/>
        </w:rPr>
        <w:t>édification, l</w:t>
      </w:r>
      <w:r w:rsidR="00795C5F">
        <w:rPr>
          <w:lang w:val="fr-FR"/>
        </w:rPr>
        <w:t>’</w:t>
      </w:r>
      <w:r w:rsidRPr="0099433A">
        <w:rPr>
          <w:lang w:val="fr-FR"/>
        </w:rPr>
        <w:t>idée étant de montrer quelles sont les meilleures pratiques d</w:t>
      </w:r>
      <w:r w:rsidR="00795C5F">
        <w:rPr>
          <w:lang w:val="fr-FR"/>
        </w:rPr>
        <w:t>’</w:t>
      </w:r>
      <w:r w:rsidRPr="0099433A">
        <w:rPr>
          <w:lang w:val="fr-FR"/>
        </w:rPr>
        <w:t>adaptation face aux changements climatiques. Érigé sur une surface d</w:t>
      </w:r>
      <w:r w:rsidR="00795C5F">
        <w:rPr>
          <w:lang w:val="fr-FR"/>
        </w:rPr>
        <w:t>’</w:t>
      </w:r>
      <w:r w:rsidRPr="0099433A">
        <w:rPr>
          <w:lang w:val="fr-FR"/>
        </w:rPr>
        <w:t>environ 1</w:t>
      </w:r>
      <w:r w:rsidR="005956D6">
        <w:rPr>
          <w:lang w:val="fr-FR"/>
        </w:rPr>
        <w:t> </w:t>
      </w:r>
      <w:r w:rsidRPr="0099433A">
        <w:rPr>
          <w:lang w:val="fr-FR"/>
        </w:rPr>
        <w:t>000 mètres carrés, il servira d</w:t>
      </w:r>
      <w:r w:rsidR="00795C5F">
        <w:rPr>
          <w:lang w:val="fr-FR"/>
        </w:rPr>
        <w:t>’</w:t>
      </w:r>
      <w:r w:rsidRPr="0099433A">
        <w:rPr>
          <w:lang w:val="fr-FR"/>
        </w:rPr>
        <w:t>abri en cas d</w:t>
      </w:r>
      <w:r w:rsidR="00795C5F">
        <w:rPr>
          <w:lang w:val="fr-FR"/>
        </w:rPr>
        <w:t>’</w:t>
      </w:r>
      <w:r w:rsidRPr="0099433A">
        <w:rPr>
          <w:lang w:val="fr-FR"/>
        </w:rPr>
        <w:t>évacuation d</w:t>
      </w:r>
      <w:r w:rsidR="00795C5F">
        <w:rPr>
          <w:lang w:val="fr-FR"/>
        </w:rPr>
        <w:t>’</w:t>
      </w:r>
      <w:r w:rsidRPr="0099433A">
        <w:rPr>
          <w:lang w:val="fr-FR"/>
        </w:rPr>
        <w:t>urgence nécessitée par les fréquentes inondations et illustrera les solutions alternatives qui pourraient être retenues à l</w:t>
      </w:r>
      <w:r w:rsidR="00795C5F">
        <w:rPr>
          <w:lang w:val="fr-FR"/>
        </w:rPr>
        <w:t>’</w:t>
      </w:r>
      <w:r w:rsidRPr="0099433A">
        <w:rPr>
          <w:lang w:val="fr-FR"/>
        </w:rPr>
        <w:t>avenir, en termes d</w:t>
      </w:r>
      <w:r w:rsidR="00795C5F">
        <w:rPr>
          <w:lang w:val="fr-FR"/>
        </w:rPr>
        <w:t>’</w:t>
      </w:r>
      <w:r w:rsidRPr="0099433A">
        <w:rPr>
          <w:lang w:val="fr-FR"/>
        </w:rPr>
        <w:t>infrastructures, pour réduire les risques d</w:t>
      </w:r>
      <w:r w:rsidR="00795C5F">
        <w:rPr>
          <w:lang w:val="fr-FR"/>
        </w:rPr>
        <w:t>’</w:t>
      </w:r>
      <w:r w:rsidRPr="0099433A">
        <w:rPr>
          <w:lang w:val="fr-FR"/>
        </w:rPr>
        <w:t>inondation. Maurice est le premier petit État insulaire en développement de l</w:t>
      </w:r>
      <w:r w:rsidR="00795C5F">
        <w:rPr>
          <w:lang w:val="fr-FR"/>
        </w:rPr>
        <w:t>’</w:t>
      </w:r>
      <w:r w:rsidR="005956D6">
        <w:rPr>
          <w:lang w:val="fr-FR"/>
        </w:rPr>
        <w:t>O</w:t>
      </w:r>
      <w:r w:rsidRPr="0099433A">
        <w:rPr>
          <w:lang w:val="fr-FR"/>
        </w:rPr>
        <w:t xml:space="preserve">céan </w:t>
      </w:r>
      <w:r w:rsidR="005956D6">
        <w:rPr>
          <w:lang w:val="fr-FR"/>
        </w:rPr>
        <w:t>i</w:t>
      </w:r>
      <w:r w:rsidRPr="0099433A">
        <w:rPr>
          <w:lang w:val="fr-FR"/>
        </w:rPr>
        <w:t>ndien à bâtir un tel centre. Les femmes sont particulièrement vulnérables aux catastrophes naturelles</w:t>
      </w:r>
      <w:r w:rsidR="00795C5F">
        <w:rPr>
          <w:lang w:val="fr-FR"/>
        </w:rPr>
        <w:t> ;</w:t>
      </w:r>
      <w:r w:rsidRPr="0099433A">
        <w:rPr>
          <w:lang w:val="fr-FR"/>
        </w:rPr>
        <w:t xml:space="preserve"> les hommes en revanche travaillent souvent à l</w:t>
      </w:r>
      <w:r w:rsidR="00795C5F">
        <w:rPr>
          <w:lang w:val="fr-FR"/>
        </w:rPr>
        <w:t>’</w:t>
      </w:r>
      <w:r w:rsidRPr="0099433A">
        <w:rPr>
          <w:lang w:val="fr-FR"/>
        </w:rPr>
        <w:t>extérieur et ont donc plus de chances d</w:t>
      </w:r>
      <w:r w:rsidR="00795C5F">
        <w:rPr>
          <w:lang w:val="fr-FR"/>
        </w:rPr>
        <w:t>’</w:t>
      </w:r>
      <w:r w:rsidRPr="0099433A">
        <w:rPr>
          <w:lang w:val="fr-FR"/>
        </w:rPr>
        <w:t>y échapper. Ce centre d</w:t>
      </w:r>
      <w:r w:rsidR="00795C5F">
        <w:rPr>
          <w:lang w:val="fr-FR"/>
        </w:rPr>
        <w:t>’</w:t>
      </w:r>
      <w:r w:rsidRPr="0099433A">
        <w:rPr>
          <w:lang w:val="fr-FR"/>
        </w:rPr>
        <w:t>évacuation permettra d</w:t>
      </w:r>
      <w:r w:rsidR="00795C5F">
        <w:rPr>
          <w:lang w:val="fr-FR"/>
        </w:rPr>
        <w:t>’</w:t>
      </w:r>
      <w:r w:rsidRPr="0099433A">
        <w:rPr>
          <w:lang w:val="fr-FR"/>
        </w:rPr>
        <w:t>accroître la résilience climatique des populations des zones côtières et de protéger leurs moyens de subsistance.</w:t>
      </w:r>
    </w:p>
    <w:p w14:paraId="20969FC2" w14:textId="5C9D72AC"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Campagnes de sensibilisation axées sur l</w:t>
      </w:r>
      <w:r w:rsidR="00795C5F">
        <w:rPr>
          <w:lang w:val="fr-FR"/>
        </w:rPr>
        <w:t>’</w:t>
      </w:r>
      <w:r w:rsidRPr="0099433A">
        <w:rPr>
          <w:lang w:val="fr-FR"/>
        </w:rPr>
        <w:t>adaptation aux changements climatiques.</w:t>
      </w:r>
    </w:p>
    <w:p w14:paraId="4D7BA520" w14:textId="1F450754"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Nouveaux outils interactifs pour les campagnes de sensibilisation</w:t>
      </w:r>
      <w:r w:rsidR="00795C5F">
        <w:rPr>
          <w:lang w:val="fr-FR"/>
        </w:rPr>
        <w:t> :</w:t>
      </w:r>
    </w:p>
    <w:p w14:paraId="1B7A99B0" w14:textId="0ADECA06"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S</w:t>
      </w:r>
      <w:r w:rsidR="0099433A" w:rsidRPr="0099433A">
        <w:rPr>
          <w:lang w:val="fr-FR"/>
        </w:rPr>
        <w:t>ept maquettes 3D d</w:t>
      </w:r>
      <w:r w:rsidR="00795C5F">
        <w:rPr>
          <w:lang w:val="fr-FR"/>
        </w:rPr>
        <w:t>’</w:t>
      </w:r>
      <w:r w:rsidR="0099433A" w:rsidRPr="0099433A">
        <w:rPr>
          <w:lang w:val="fr-FR"/>
        </w:rPr>
        <w:t>écosystèmes de récifs coralliens, de prairies de phanérogames, de mangroves et de zones humides et trois modèles interactifs montrant les changements climatiques dans la région de Mont Choisy, de la Rivière des Galets et du parc marin de la SEMPA</w:t>
      </w:r>
      <w:r w:rsidR="003E1795">
        <w:rPr>
          <w:lang w:val="fr-FR"/>
        </w:rPr>
        <w:t> </w:t>
      </w:r>
      <w:r w:rsidR="0099433A" w:rsidRPr="0099433A">
        <w:rPr>
          <w:lang w:val="fr-FR"/>
        </w:rPr>
        <w:t>;</w:t>
      </w:r>
    </w:p>
    <w:p w14:paraId="4966BF57" w14:textId="7395636A"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U</w:t>
      </w:r>
      <w:r w:rsidR="0099433A" w:rsidRPr="0099433A">
        <w:rPr>
          <w:lang w:val="fr-FR"/>
        </w:rPr>
        <w:t>n jeu magnétique</w:t>
      </w:r>
      <w:r w:rsidR="00795C5F">
        <w:rPr>
          <w:lang w:val="fr-FR"/>
        </w:rPr>
        <w:t> ;</w:t>
      </w:r>
      <w:r w:rsidR="0099433A" w:rsidRPr="0099433A">
        <w:rPr>
          <w:lang w:val="fr-FR"/>
        </w:rPr>
        <w:t xml:space="preserve"> </w:t>
      </w:r>
    </w:p>
    <w:p w14:paraId="05C7549C" w14:textId="4513BF1C"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U</w:t>
      </w:r>
      <w:r w:rsidR="0099433A" w:rsidRPr="0099433A">
        <w:rPr>
          <w:lang w:val="fr-FR"/>
        </w:rPr>
        <w:t>n quizz ludique</w:t>
      </w:r>
      <w:r w:rsidR="00795C5F">
        <w:rPr>
          <w:lang w:val="fr-FR"/>
        </w:rPr>
        <w:t> ;</w:t>
      </w:r>
    </w:p>
    <w:p w14:paraId="4B059CA5" w14:textId="4B4B0396"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U</w:t>
      </w:r>
      <w:r w:rsidR="006E1537">
        <w:rPr>
          <w:lang w:val="fr-FR"/>
        </w:rPr>
        <w:t>n</w:t>
      </w:r>
      <w:r w:rsidR="0099433A" w:rsidRPr="0099433A">
        <w:rPr>
          <w:lang w:val="fr-FR"/>
        </w:rPr>
        <w:t xml:space="preserve"> jeu de l</w:t>
      </w:r>
      <w:r w:rsidR="00795C5F">
        <w:rPr>
          <w:lang w:val="fr-FR"/>
        </w:rPr>
        <w:t>’</w:t>
      </w:r>
      <w:r w:rsidR="0099433A" w:rsidRPr="0099433A">
        <w:rPr>
          <w:lang w:val="fr-FR"/>
        </w:rPr>
        <w:t>oie</w:t>
      </w:r>
      <w:r w:rsidR="00795C5F">
        <w:rPr>
          <w:lang w:val="fr-FR"/>
        </w:rPr>
        <w:t> ;</w:t>
      </w:r>
    </w:p>
    <w:p w14:paraId="315733B8" w14:textId="17D5742D"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U</w:t>
      </w:r>
      <w:r w:rsidR="0099433A" w:rsidRPr="0099433A">
        <w:rPr>
          <w:lang w:val="fr-FR"/>
        </w:rPr>
        <w:t>n jeu électronique sur les changements climatiques qui peut être téléchargé depuis l</w:t>
      </w:r>
      <w:r w:rsidR="00795C5F">
        <w:rPr>
          <w:lang w:val="fr-FR"/>
        </w:rPr>
        <w:t>’</w:t>
      </w:r>
      <w:r w:rsidR="0099433A" w:rsidRPr="0099433A">
        <w:rPr>
          <w:lang w:val="fr-FR"/>
        </w:rPr>
        <w:t>Apple Store, appelé SMART Mauritius.</w:t>
      </w:r>
    </w:p>
    <w:p w14:paraId="7967E225" w14:textId="72D69E4A"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Campagnes de sensibilisation menées en collaboration avec des ONG</w:t>
      </w:r>
      <w:r w:rsidR="00795C5F">
        <w:rPr>
          <w:lang w:val="fr-FR"/>
        </w:rPr>
        <w:t> :</w:t>
      </w:r>
    </w:p>
    <w:p w14:paraId="215BB083" w14:textId="4D57FE97"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lastRenderedPageBreak/>
        <w:tab/>
      </w:r>
      <w:r w:rsidR="0099433A" w:rsidRPr="0099433A">
        <w:rPr>
          <w:lang w:val="fr-FR"/>
        </w:rPr>
        <w:t>•</w:t>
      </w:r>
      <w:r w:rsidR="0099433A" w:rsidRPr="0099433A">
        <w:rPr>
          <w:lang w:val="fr-FR"/>
        </w:rPr>
        <w:tab/>
        <w:t>Des campagnes de sensibilisation sont menées en collaboration avec l</w:t>
      </w:r>
      <w:r w:rsidR="00795C5F">
        <w:rPr>
          <w:lang w:val="fr-FR"/>
        </w:rPr>
        <w:t>’</w:t>
      </w:r>
      <w:r w:rsidR="0099433A" w:rsidRPr="0099433A">
        <w:rPr>
          <w:lang w:val="fr-FR"/>
        </w:rPr>
        <w:t xml:space="preserve">organisation non gouvernementale Reef Conservation dans le cadre du projet Bis Lamer, la </w:t>
      </w:r>
      <w:r w:rsidR="005956D6" w:rsidRPr="0099433A">
        <w:rPr>
          <w:lang w:val="fr-FR"/>
        </w:rPr>
        <w:t>«</w:t>
      </w:r>
      <w:r w:rsidR="005956D6">
        <w:rPr>
          <w:lang w:val="fr-FR"/>
        </w:rPr>
        <w:t> </w:t>
      </w:r>
      <w:r w:rsidR="0099433A" w:rsidRPr="0099433A">
        <w:rPr>
          <w:lang w:val="fr-FR"/>
        </w:rPr>
        <w:t xml:space="preserve">salle de classe </w:t>
      </w:r>
      <w:r w:rsidR="005956D6" w:rsidRPr="0099433A">
        <w:rPr>
          <w:lang w:val="fr-FR"/>
        </w:rPr>
        <w:t>itinérante</w:t>
      </w:r>
      <w:r w:rsidR="005956D6">
        <w:rPr>
          <w:lang w:val="fr-FR"/>
        </w:rPr>
        <w:t> </w:t>
      </w:r>
      <w:r w:rsidR="0099433A" w:rsidRPr="0099433A">
        <w:rPr>
          <w:lang w:val="fr-FR"/>
        </w:rPr>
        <w:t>». Elles mettent essentiellement en avant l</w:t>
      </w:r>
      <w:r w:rsidR="00795C5F">
        <w:rPr>
          <w:lang w:val="fr-FR"/>
        </w:rPr>
        <w:t>’</w:t>
      </w:r>
      <w:r w:rsidR="0099433A" w:rsidRPr="0099433A">
        <w:rPr>
          <w:lang w:val="fr-FR"/>
        </w:rPr>
        <w:t>importance des habitats naturels côtiers et marins et les effets des changements climatiques sur les zones côtières et sur l</w:t>
      </w:r>
      <w:r w:rsidR="00795C5F">
        <w:rPr>
          <w:lang w:val="fr-FR"/>
        </w:rPr>
        <w:t>’</w:t>
      </w:r>
      <w:r w:rsidR="0099433A" w:rsidRPr="0099433A">
        <w:rPr>
          <w:lang w:val="fr-FR"/>
        </w:rPr>
        <w:t>environnement en général. Le bus Bis Lamer sillonne Maurice et se rend dans les zones côtières en faisant halte dans les établissements d</w:t>
      </w:r>
      <w:r w:rsidR="00795C5F">
        <w:rPr>
          <w:lang w:val="fr-FR"/>
        </w:rPr>
        <w:t>’</w:t>
      </w:r>
      <w:r w:rsidR="0099433A" w:rsidRPr="0099433A">
        <w:rPr>
          <w:lang w:val="fr-FR"/>
        </w:rPr>
        <w:t>enseignement primaire et secondaire</w:t>
      </w:r>
      <w:r w:rsidR="00795C5F">
        <w:rPr>
          <w:lang w:val="fr-FR"/>
        </w:rPr>
        <w:t> ;</w:t>
      </w:r>
      <w:r w:rsidR="0099433A" w:rsidRPr="0099433A">
        <w:rPr>
          <w:lang w:val="fr-FR"/>
        </w:rPr>
        <w:t xml:space="preserve"> il cherche aussi à interpeller les pêcheurs, les groupes de femmes, le grand public ainsi que les organismes publics et les entreprises du secteur privé. Depuis 2014, l</w:t>
      </w:r>
      <w:r w:rsidR="00795C5F">
        <w:rPr>
          <w:lang w:val="fr-FR"/>
        </w:rPr>
        <w:t>’</w:t>
      </w:r>
      <w:r w:rsidR="0099433A" w:rsidRPr="0099433A">
        <w:rPr>
          <w:lang w:val="fr-FR"/>
        </w:rPr>
        <w:t>équipe éducative itinérante a ainsi apporté des informations à plus de 17 000 personnes concernant les changements climatiques et les mesures d</w:t>
      </w:r>
      <w:r w:rsidR="00795C5F">
        <w:rPr>
          <w:lang w:val="fr-FR"/>
        </w:rPr>
        <w:t>’</w:t>
      </w:r>
      <w:r w:rsidR="0099433A" w:rsidRPr="0099433A">
        <w:rPr>
          <w:lang w:val="fr-FR"/>
        </w:rPr>
        <w:t>adaptation dans les zones côtières.</w:t>
      </w:r>
    </w:p>
    <w:p w14:paraId="558F49DC" w14:textId="43CEC0B2"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Amélioration des conditions de vie des femmes à Grand Sable face aux effets des changements climatiques</w:t>
      </w:r>
      <w:r w:rsidR="00795C5F">
        <w:rPr>
          <w:lang w:val="fr-FR"/>
        </w:rPr>
        <w:t> :</w:t>
      </w:r>
    </w:p>
    <w:p w14:paraId="75116691" w14:textId="684C81F6"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Dans le cadre du programme d</w:t>
      </w:r>
      <w:r w:rsidR="00795C5F">
        <w:rPr>
          <w:lang w:val="fr-FR"/>
        </w:rPr>
        <w:t>’</w:t>
      </w:r>
      <w:r w:rsidR="0099433A" w:rsidRPr="0099433A">
        <w:rPr>
          <w:lang w:val="fr-FR"/>
        </w:rPr>
        <w:t>adaptation aux changements climatiques dans les zones côtières de Maurice, qui relève du Fonds pour l</w:t>
      </w:r>
      <w:r w:rsidR="00795C5F">
        <w:rPr>
          <w:lang w:val="fr-FR"/>
        </w:rPr>
        <w:t>’</w:t>
      </w:r>
      <w:r w:rsidR="0099433A" w:rsidRPr="0099433A">
        <w:rPr>
          <w:lang w:val="fr-FR"/>
        </w:rPr>
        <w:t>adaptation, un projet visant à améliorer les moyens de subsistance des femmes à Grand Sable face aux effets des changements climatiques a été mis en œuvre en collaboration avec le Programme de microfinancements du Fonds pour l</w:t>
      </w:r>
      <w:r w:rsidR="00795C5F">
        <w:rPr>
          <w:lang w:val="fr-FR"/>
        </w:rPr>
        <w:t>’</w:t>
      </w:r>
      <w:r w:rsidR="0099433A" w:rsidRPr="0099433A">
        <w:rPr>
          <w:lang w:val="fr-FR"/>
        </w:rPr>
        <w:t>environnement mondial (PNUD) et Australian Aid. L</w:t>
      </w:r>
      <w:r w:rsidR="00795C5F">
        <w:rPr>
          <w:lang w:val="fr-FR"/>
        </w:rPr>
        <w:t>’</w:t>
      </w:r>
      <w:r w:rsidR="0099433A" w:rsidRPr="0099433A">
        <w:rPr>
          <w:lang w:val="fr-FR"/>
        </w:rPr>
        <w:t>objectif était de donner aux femmes les moyens de se tourner vers d</w:t>
      </w:r>
      <w:r w:rsidR="00795C5F">
        <w:rPr>
          <w:lang w:val="fr-FR"/>
        </w:rPr>
        <w:t>’</w:t>
      </w:r>
      <w:r w:rsidR="0099433A" w:rsidRPr="0099433A">
        <w:rPr>
          <w:lang w:val="fr-FR"/>
        </w:rPr>
        <w:t>autres activités génératrices de revenus, et de mener des actions de sensibilisation axées sur la prévention de l</w:t>
      </w:r>
      <w:r w:rsidR="00795C5F">
        <w:rPr>
          <w:lang w:val="fr-FR"/>
        </w:rPr>
        <w:t>’</w:t>
      </w:r>
      <w:r w:rsidR="0099433A" w:rsidRPr="0099433A">
        <w:rPr>
          <w:lang w:val="fr-FR"/>
        </w:rPr>
        <w:t>érosion du littoral grâce à la propagation des mangroves. Il s</w:t>
      </w:r>
      <w:r w:rsidR="00795C5F">
        <w:rPr>
          <w:lang w:val="fr-FR"/>
        </w:rPr>
        <w:t>’</w:t>
      </w:r>
      <w:r w:rsidR="0099433A" w:rsidRPr="0099433A">
        <w:rPr>
          <w:lang w:val="fr-FR"/>
        </w:rPr>
        <w:t>agissait d</w:t>
      </w:r>
      <w:r w:rsidR="00795C5F">
        <w:rPr>
          <w:lang w:val="fr-FR"/>
        </w:rPr>
        <w:t>’</w:t>
      </w:r>
      <w:r w:rsidR="0099433A" w:rsidRPr="0099433A">
        <w:rPr>
          <w:lang w:val="fr-FR"/>
        </w:rPr>
        <w:t>un projet local destiné à renforcer la résilience des populations côtières de Grand Sable, à aider les habitants, en particulier les femmes, à s</w:t>
      </w:r>
      <w:r w:rsidR="00795C5F">
        <w:rPr>
          <w:lang w:val="fr-FR"/>
        </w:rPr>
        <w:t>’</w:t>
      </w:r>
      <w:r w:rsidR="0099433A" w:rsidRPr="0099433A">
        <w:rPr>
          <w:lang w:val="fr-FR"/>
        </w:rPr>
        <w:t>orienter vers de nouveaux moyens de subsistance (comme l</w:t>
      </w:r>
      <w:r w:rsidR="00795C5F">
        <w:rPr>
          <w:lang w:val="fr-FR"/>
        </w:rPr>
        <w:t>’</w:t>
      </w:r>
      <w:r w:rsidR="0099433A" w:rsidRPr="0099433A">
        <w:rPr>
          <w:lang w:val="fr-FR"/>
        </w:rPr>
        <w:t>emploi indépendant) et à promouvoir l</w:t>
      </w:r>
      <w:r w:rsidR="00795C5F">
        <w:rPr>
          <w:lang w:val="fr-FR"/>
        </w:rPr>
        <w:t>’</w:t>
      </w:r>
      <w:r w:rsidR="0099433A" w:rsidRPr="0099433A">
        <w:rPr>
          <w:lang w:val="fr-FR"/>
        </w:rPr>
        <w:t>autonomisation des femmes dans cette région. L</w:t>
      </w:r>
      <w:r w:rsidR="00795C5F">
        <w:rPr>
          <w:lang w:val="fr-FR"/>
        </w:rPr>
        <w:t>’</w:t>
      </w:r>
      <w:r w:rsidR="0099433A" w:rsidRPr="0099433A">
        <w:rPr>
          <w:lang w:val="fr-FR"/>
        </w:rPr>
        <w:t>Association des planteuses, agricultrices, et entrepreneuses de Grand Sable a été créée en vue de concrétiser ces objectifs. Elle a participé à diverses initiatives telles que</w:t>
      </w:r>
      <w:r w:rsidR="00795C5F">
        <w:rPr>
          <w:lang w:val="fr-FR"/>
        </w:rPr>
        <w:t> :</w:t>
      </w:r>
      <w:r w:rsidR="0099433A" w:rsidRPr="0099433A">
        <w:rPr>
          <w:lang w:val="fr-FR"/>
        </w:rPr>
        <w:t xml:space="preserve"> </w:t>
      </w:r>
    </w:p>
    <w:p w14:paraId="3798CD3A" w14:textId="5A22B014"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e programme local de formation de formateurs consacrée à la propagation des mangroves</w:t>
      </w:r>
      <w:r w:rsidR="00795C5F">
        <w:rPr>
          <w:lang w:val="fr-FR"/>
        </w:rPr>
        <w:t> ;</w:t>
      </w:r>
    </w:p>
    <w:p w14:paraId="7C05E9FB" w14:textId="7FC9D6D0"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es discussions sur les avantages offerts par les mangroves (campagne de sensibilisation)</w:t>
      </w:r>
      <w:r w:rsidR="00795C5F">
        <w:rPr>
          <w:lang w:val="fr-FR"/>
        </w:rPr>
        <w:t> ;</w:t>
      </w:r>
    </w:p>
    <w:p w14:paraId="09EE4011" w14:textId="5B0C762E"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a conception et la réalisation de panneaux d</w:t>
      </w:r>
      <w:r w:rsidR="00795C5F">
        <w:rPr>
          <w:lang w:val="fr-FR"/>
        </w:rPr>
        <w:t>’</w:t>
      </w:r>
      <w:r w:rsidR="0099433A" w:rsidRPr="0099433A">
        <w:rPr>
          <w:lang w:val="fr-FR"/>
        </w:rPr>
        <w:t>affichage sur les mangroves et les changements climatiques, ainsi que d</w:t>
      </w:r>
      <w:r w:rsidR="005956D6">
        <w:rPr>
          <w:lang w:val="fr-FR"/>
        </w:rPr>
        <w:t xml:space="preserve">es </w:t>
      </w:r>
      <w:r w:rsidR="0099433A" w:rsidRPr="0099433A">
        <w:rPr>
          <w:lang w:val="fr-FR"/>
        </w:rPr>
        <w:t>articles visant à assurer la promotion de la campagne</w:t>
      </w:r>
      <w:r w:rsidR="00795C5F">
        <w:rPr>
          <w:lang w:val="fr-FR"/>
        </w:rPr>
        <w:t> ;</w:t>
      </w:r>
    </w:p>
    <w:p w14:paraId="141C85A6" w14:textId="501BD085" w:rsidR="0099433A" w:rsidRPr="0099433A" w:rsidRDefault="00A549C7" w:rsidP="003E179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a production de sacs en tissu.</w:t>
      </w:r>
    </w:p>
    <w:p w14:paraId="253FF0FF" w14:textId="7248B8D2"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D</w:t>
      </w:r>
      <w:r w:rsidR="00795C5F">
        <w:rPr>
          <w:lang w:val="fr-FR"/>
        </w:rPr>
        <w:t>’</w:t>
      </w:r>
      <w:r w:rsidRPr="0099433A">
        <w:rPr>
          <w:lang w:val="fr-FR"/>
        </w:rPr>
        <w:t>autres activités sont actuellement menées avec le PNUD, le Fonds pour l</w:t>
      </w:r>
      <w:r w:rsidR="00795C5F">
        <w:rPr>
          <w:lang w:val="fr-FR"/>
        </w:rPr>
        <w:t>’</w:t>
      </w:r>
      <w:r w:rsidRPr="0099433A">
        <w:rPr>
          <w:lang w:val="fr-FR"/>
        </w:rPr>
        <w:t>environnement mondial et l</w:t>
      </w:r>
      <w:r w:rsidR="00795C5F">
        <w:rPr>
          <w:lang w:val="fr-FR"/>
        </w:rPr>
        <w:t>’</w:t>
      </w:r>
      <w:r w:rsidRPr="0099433A">
        <w:rPr>
          <w:lang w:val="fr-FR"/>
        </w:rPr>
        <w:t>association des planteuses, agricultrices et entrepreneuses de Grand Sable</w:t>
      </w:r>
      <w:r w:rsidR="00795C5F">
        <w:rPr>
          <w:lang w:val="fr-FR"/>
        </w:rPr>
        <w:t> :</w:t>
      </w:r>
    </w:p>
    <w:p w14:paraId="210D2940" w14:textId="6E749AD4"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Culture d</w:t>
      </w:r>
      <w:r w:rsidR="00795C5F">
        <w:rPr>
          <w:lang w:val="fr-FR"/>
        </w:rPr>
        <w:t>’</w:t>
      </w:r>
      <w:r w:rsidR="0099433A" w:rsidRPr="0099433A">
        <w:rPr>
          <w:lang w:val="fr-FR"/>
        </w:rPr>
        <w:t>algues et fabrication de produits dérivés (savons, pickles et confitures). Ce projet englobe des activités locales de cartographie, de développement des compétences, de culture des algues et d</w:t>
      </w:r>
      <w:r w:rsidR="00795C5F">
        <w:rPr>
          <w:lang w:val="fr-FR"/>
        </w:rPr>
        <w:t>’</w:t>
      </w:r>
      <w:r w:rsidR="0099433A" w:rsidRPr="0099433A">
        <w:rPr>
          <w:lang w:val="fr-FR"/>
        </w:rPr>
        <w:t>observation et surveillance de leur croissance, et de fabrication de leurs produits dérivés susmentionnés</w:t>
      </w:r>
      <w:r w:rsidR="00790334">
        <w:rPr>
          <w:lang w:val="fr-FR"/>
        </w:rPr>
        <w:t> ;</w:t>
      </w:r>
    </w:p>
    <w:p w14:paraId="10F44216" w14:textId="0A64A876"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Culture du vétiver, de l</w:t>
      </w:r>
      <w:r w:rsidR="00795C5F">
        <w:rPr>
          <w:lang w:val="fr-FR"/>
        </w:rPr>
        <w:t>’</w:t>
      </w:r>
      <w:r w:rsidR="0099433A" w:rsidRPr="0099433A">
        <w:rPr>
          <w:lang w:val="fr-FR"/>
        </w:rPr>
        <w:t xml:space="preserve">ayapana, de la citronnelle et du manioc. Le vétiver est cultivé autour des champs pour contrôler le ruissellement des eaux. </w:t>
      </w:r>
    </w:p>
    <w:p w14:paraId="5F0943FC" w14:textId="77777777" w:rsidR="00A549C7" w:rsidRPr="00A549C7" w:rsidRDefault="00A549C7" w:rsidP="00A549C7">
      <w:pPr>
        <w:pStyle w:val="SingleTxt"/>
        <w:spacing w:after="0" w:line="120" w:lineRule="exact"/>
        <w:rPr>
          <w:sz w:val="10"/>
          <w:lang w:val="fr-FR"/>
        </w:rPr>
      </w:pPr>
    </w:p>
    <w:p w14:paraId="05980490" w14:textId="2F43AB88" w:rsidR="0099433A" w:rsidRDefault="0099433A" w:rsidP="00A549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433A">
        <w:rPr>
          <w:lang w:val="fr-FR"/>
        </w:rPr>
        <w:lastRenderedPageBreak/>
        <w:tab/>
      </w:r>
      <w:r w:rsidRPr="0099433A">
        <w:rPr>
          <w:lang w:val="fr-FR"/>
        </w:rPr>
        <w:tab/>
        <w:t>Système national d</w:t>
      </w:r>
      <w:r w:rsidR="00795C5F">
        <w:rPr>
          <w:lang w:val="fr-FR"/>
        </w:rPr>
        <w:t>’</w:t>
      </w:r>
      <w:r w:rsidRPr="0099433A">
        <w:rPr>
          <w:lang w:val="fr-FR"/>
        </w:rPr>
        <w:t>alerte rapide et d</w:t>
      </w:r>
      <w:r w:rsidR="00795C5F">
        <w:rPr>
          <w:lang w:val="fr-FR"/>
        </w:rPr>
        <w:t>’</w:t>
      </w:r>
      <w:r w:rsidRPr="0099433A">
        <w:rPr>
          <w:lang w:val="fr-FR"/>
        </w:rPr>
        <w:t>alerte d</w:t>
      </w:r>
      <w:r w:rsidR="00795C5F">
        <w:rPr>
          <w:lang w:val="fr-FR"/>
        </w:rPr>
        <w:t>’</w:t>
      </w:r>
      <w:r w:rsidRPr="0099433A">
        <w:rPr>
          <w:lang w:val="fr-FR"/>
        </w:rPr>
        <w:t xml:space="preserve">urgence multirisques </w:t>
      </w:r>
      <w:r w:rsidR="00790334">
        <w:rPr>
          <w:lang w:val="fr-FR"/>
        </w:rPr>
        <w:br/>
      </w:r>
      <w:r w:rsidRPr="0099433A">
        <w:rPr>
          <w:lang w:val="fr-FR"/>
        </w:rPr>
        <w:t>du Centre national de réduction et de gestion des risques de catastrophe</w:t>
      </w:r>
    </w:p>
    <w:p w14:paraId="711650CF" w14:textId="233C8DB8" w:rsidR="00A549C7" w:rsidRPr="00A549C7" w:rsidRDefault="00A549C7" w:rsidP="00A549C7">
      <w:pPr>
        <w:pStyle w:val="SingleTxt"/>
        <w:spacing w:after="0" w:line="120" w:lineRule="exact"/>
        <w:rPr>
          <w:sz w:val="10"/>
          <w:lang w:val="fr-FR"/>
        </w:rPr>
      </w:pPr>
    </w:p>
    <w:p w14:paraId="33F3AF20" w14:textId="67A3F941"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système national d</w:t>
      </w:r>
      <w:r w:rsidR="00795C5F">
        <w:rPr>
          <w:lang w:val="fr-FR"/>
        </w:rPr>
        <w:t>’</w:t>
      </w:r>
      <w:r w:rsidRPr="0099433A">
        <w:rPr>
          <w:lang w:val="fr-FR"/>
        </w:rPr>
        <w:t>alerte rapide et d</w:t>
      </w:r>
      <w:r w:rsidR="00795C5F">
        <w:rPr>
          <w:lang w:val="fr-FR"/>
        </w:rPr>
        <w:t>’</w:t>
      </w:r>
      <w:r w:rsidRPr="0099433A">
        <w:rPr>
          <w:lang w:val="fr-FR"/>
        </w:rPr>
        <w:t>alerte d</w:t>
      </w:r>
      <w:r w:rsidR="00795C5F">
        <w:rPr>
          <w:lang w:val="fr-FR"/>
        </w:rPr>
        <w:t>’</w:t>
      </w:r>
      <w:r w:rsidRPr="0099433A">
        <w:rPr>
          <w:lang w:val="fr-FR"/>
        </w:rPr>
        <w:t xml:space="preserve">urgence multirisques devrait permettre de diffuser, de façon fiable et efficace, des alertes et avertissements à un maximum de personnes et de parties concernées de la République de Maurice dans un délai acceptable, et ce par différentes voies, à savoir </w:t>
      </w:r>
      <w:r w:rsidR="00790334" w:rsidRPr="0099433A">
        <w:rPr>
          <w:lang w:val="fr-FR"/>
        </w:rPr>
        <w:t>–</w:t>
      </w:r>
      <w:r w:rsidR="00790334">
        <w:rPr>
          <w:lang w:val="fr-FR"/>
        </w:rPr>
        <w:t> </w:t>
      </w:r>
      <w:r w:rsidRPr="0099433A">
        <w:rPr>
          <w:lang w:val="fr-FR"/>
        </w:rPr>
        <w:t xml:space="preserve">sans que cette liste soit </w:t>
      </w:r>
      <w:r w:rsidR="00790334" w:rsidRPr="0099433A">
        <w:rPr>
          <w:lang w:val="fr-FR"/>
        </w:rPr>
        <w:t>exhaustive</w:t>
      </w:r>
      <w:r w:rsidR="00790334">
        <w:rPr>
          <w:lang w:val="fr-FR"/>
        </w:rPr>
        <w:t xml:space="preserve"> – </w:t>
      </w:r>
      <w:r w:rsidRPr="0099433A">
        <w:rPr>
          <w:lang w:val="fr-FR"/>
        </w:rPr>
        <w:t>les réseaux de télécommunication (fixe ou mobile), la télévision, la radio, Internet (y compris les réseaux sociaux), les panneaux d</w:t>
      </w:r>
      <w:r w:rsidR="00795C5F">
        <w:rPr>
          <w:lang w:val="fr-FR"/>
        </w:rPr>
        <w:t>’</w:t>
      </w:r>
      <w:r w:rsidRPr="0099433A">
        <w:rPr>
          <w:lang w:val="fr-FR"/>
        </w:rPr>
        <w:t>affichage et les systèmes publics d</w:t>
      </w:r>
      <w:r w:rsidR="00795C5F">
        <w:rPr>
          <w:lang w:val="fr-FR"/>
        </w:rPr>
        <w:t>’</w:t>
      </w:r>
      <w:r w:rsidRPr="0099433A">
        <w:rPr>
          <w:lang w:val="fr-FR"/>
        </w:rPr>
        <w:t>alerte (par exemple les sirènes). Doté des infrastructures nécessaires (si besoin est), il couvrira Maurice, Rodrigues et les archipels d</w:t>
      </w:r>
      <w:r w:rsidR="00795C5F">
        <w:rPr>
          <w:lang w:val="fr-FR"/>
        </w:rPr>
        <w:t>’</w:t>
      </w:r>
      <w:r w:rsidRPr="0099433A">
        <w:rPr>
          <w:lang w:val="fr-FR"/>
        </w:rPr>
        <w:t>Agalega et de Saint Brandon. Un contrat a par ailleurs été conclu avec une société de consultants canadienne, Baastel Ltée. Un rapport final comprenant toutes les évaluations réalisées aux fins du projet, un ensemble de recommandations (réglementaires, juridiques et techniques), une estimation des coûts d</w:t>
      </w:r>
      <w:r w:rsidR="00795C5F">
        <w:rPr>
          <w:lang w:val="fr-FR"/>
        </w:rPr>
        <w:t>’</w:t>
      </w:r>
      <w:r w:rsidRPr="0099433A">
        <w:rPr>
          <w:lang w:val="fr-FR"/>
        </w:rPr>
        <w:t>exécution en deux temps, ainsi que les spécifications techniques, a été présenté. Le volet financier du projet doit encore être approuvé.</w:t>
      </w:r>
    </w:p>
    <w:p w14:paraId="26923BEA" w14:textId="1E4292CF"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 xml:space="preserve">Des campagnes de sensibilisation du public à la réduction des risques de catastrophe ont été menées. </w:t>
      </w:r>
    </w:p>
    <w:p w14:paraId="531138F4" w14:textId="589B004A"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Bureau météorologique mauricien</w:t>
      </w:r>
      <w:r w:rsidR="00795C5F">
        <w:rPr>
          <w:lang w:val="fr-FR"/>
        </w:rPr>
        <w:t> :</w:t>
      </w:r>
      <w:r w:rsidR="0099433A" w:rsidRPr="0099433A">
        <w:rPr>
          <w:lang w:val="fr-FR"/>
        </w:rPr>
        <w:t xml:space="preserve"> En 2017, ledit Bureau a pris une part active au projet «</w:t>
      </w:r>
      <w:r w:rsidR="006E1537">
        <w:rPr>
          <w:lang w:val="fr-FR"/>
        </w:rPr>
        <w:t> </w:t>
      </w:r>
      <w:r w:rsidR="0099433A" w:rsidRPr="0099433A">
        <w:rPr>
          <w:lang w:val="fr-FR"/>
        </w:rPr>
        <w:t>Your Safety, Our concern</w:t>
      </w:r>
      <w:r w:rsidR="006E1537">
        <w:rPr>
          <w:lang w:val="fr-FR"/>
        </w:rPr>
        <w:t> </w:t>
      </w:r>
      <w:r w:rsidR="0099433A" w:rsidRPr="0099433A">
        <w:rPr>
          <w:lang w:val="fr-FR"/>
        </w:rPr>
        <w:t>» (Votre sécurité est notre préoccupation) lancé par le Ministère de l</w:t>
      </w:r>
      <w:r w:rsidR="00795C5F">
        <w:rPr>
          <w:lang w:val="fr-FR"/>
        </w:rPr>
        <w:t>’</w:t>
      </w:r>
      <w:r w:rsidR="0099433A" w:rsidRPr="0099433A">
        <w:rPr>
          <w:lang w:val="fr-FR"/>
        </w:rPr>
        <w:t>égalité des genres, du développement de l</w:t>
      </w:r>
      <w:r w:rsidR="00795C5F">
        <w:rPr>
          <w:lang w:val="fr-FR"/>
        </w:rPr>
        <w:t>’</w:t>
      </w:r>
      <w:r w:rsidR="0099433A" w:rsidRPr="0099433A">
        <w:rPr>
          <w:lang w:val="fr-FR"/>
        </w:rPr>
        <w:t>enfant et du bien-être de la famille. Aux fins de ce projet une intense campagne de sensibilisation a été organisée à l</w:t>
      </w:r>
      <w:r w:rsidR="00795C5F">
        <w:rPr>
          <w:lang w:val="fr-FR"/>
        </w:rPr>
        <w:t>’</w:t>
      </w:r>
      <w:r w:rsidR="0099433A" w:rsidRPr="0099433A">
        <w:rPr>
          <w:lang w:val="fr-FR"/>
        </w:rPr>
        <w:t>intention des femmes des zones urbaines et rurales. Des représentants du Bureau météorologique mauricien ont donné des conférences dans tous les bureaux de conseil aux citoyens sur des sujets liés aux changements climatiques, aux catastrophes naturelles et au système d</w:t>
      </w:r>
      <w:r w:rsidR="00795C5F">
        <w:rPr>
          <w:lang w:val="fr-FR"/>
        </w:rPr>
        <w:t>’</w:t>
      </w:r>
      <w:r w:rsidR="0099433A" w:rsidRPr="0099433A">
        <w:rPr>
          <w:lang w:val="fr-FR"/>
        </w:rPr>
        <w:t>alerte rapide. En outre, le Bureau météorologique accueille environ 5</w:t>
      </w:r>
      <w:r>
        <w:rPr>
          <w:lang w:val="fr-FR"/>
        </w:rPr>
        <w:t> </w:t>
      </w:r>
      <w:r w:rsidR="0099433A" w:rsidRPr="0099433A">
        <w:rPr>
          <w:lang w:val="fr-FR"/>
        </w:rPr>
        <w:t>000 visiteurs par an, dont 80</w:t>
      </w:r>
      <w:r w:rsidR="00795C5F">
        <w:rPr>
          <w:lang w:val="fr-FR"/>
        </w:rPr>
        <w:t> %</w:t>
      </w:r>
      <w:r w:rsidR="0099433A" w:rsidRPr="0099433A">
        <w:rPr>
          <w:lang w:val="fr-FR"/>
        </w:rPr>
        <w:t xml:space="preserve"> sont des élèves du primaire. Les autres sont essentiellement des étudiants de l</w:t>
      </w:r>
      <w:r w:rsidR="00795C5F">
        <w:rPr>
          <w:lang w:val="fr-FR"/>
        </w:rPr>
        <w:t>’</w:t>
      </w:r>
      <w:r w:rsidR="0099433A" w:rsidRPr="0099433A">
        <w:rPr>
          <w:lang w:val="fr-FR"/>
        </w:rPr>
        <w:t>enseignement secondaire et du cycle supérieur.</w:t>
      </w:r>
    </w:p>
    <w:p w14:paraId="56C2C447" w14:textId="7948E56D"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t>Autorité des plages</w:t>
      </w:r>
      <w:r w:rsidR="00795C5F">
        <w:rPr>
          <w:lang w:val="fr-FR"/>
        </w:rPr>
        <w:t> :</w:t>
      </w:r>
      <w:r w:rsidR="0099433A" w:rsidRPr="0099433A">
        <w:rPr>
          <w:lang w:val="fr-FR"/>
        </w:rPr>
        <w:t xml:space="preserve"> L</w:t>
      </w:r>
      <w:r w:rsidR="00795C5F">
        <w:rPr>
          <w:lang w:val="fr-FR"/>
        </w:rPr>
        <w:t>’</w:t>
      </w:r>
      <w:r w:rsidR="0099433A" w:rsidRPr="0099433A">
        <w:rPr>
          <w:lang w:val="fr-FR"/>
        </w:rPr>
        <w:t>Autorité des plages a participé, aux côtés de diverses parties concernées, aux travaux du Comité local de réduction et de gestion des risques de catastrophe consacré à l</w:t>
      </w:r>
      <w:r w:rsidR="00795C5F">
        <w:rPr>
          <w:lang w:val="fr-FR"/>
        </w:rPr>
        <w:t>’</w:t>
      </w:r>
      <w:r w:rsidR="0099433A" w:rsidRPr="0099433A">
        <w:rPr>
          <w:lang w:val="fr-FR"/>
        </w:rPr>
        <w:t>élaboration de plans d</w:t>
      </w:r>
      <w:r w:rsidR="00795C5F">
        <w:rPr>
          <w:lang w:val="fr-FR"/>
        </w:rPr>
        <w:t>’</w:t>
      </w:r>
      <w:r w:rsidR="0099433A" w:rsidRPr="0099433A">
        <w:rPr>
          <w:lang w:val="fr-FR"/>
        </w:rPr>
        <w:t xml:space="preserve">urgence destinés aux habitants </w:t>
      </w:r>
      <w:r w:rsidR="00790334" w:rsidRPr="0099433A">
        <w:rPr>
          <w:lang w:val="fr-FR"/>
        </w:rPr>
        <w:t>–</w:t>
      </w:r>
      <w:r w:rsidR="00790334">
        <w:rPr>
          <w:lang w:val="fr-FR"/>
        </w:rPr>
        <w:t> </w:t>
      </w:r>
      <w:r w:rsidR="0099433A" w:rsidRPr="0099433A">
        <w:rPr>
          <w:lang w:val="fr-FR"/>
        </w:rPr>
        <w:t xml:space="preserve">et notamment aux </w:t>
      </w:r>
      <w:r w:rsidR="00790334" w:rsidRPr="0099433A">
        <w:rPr>
          <w:lang w:val="fr-FR"/>
        </w:rPr>
        <w:t>femmes</w:t>
      </w:r>
      <w:r w:rsidR="00790334">
        <w:rPr>
          <w:lang w:val="fr-FR"/>
        </w:rPr>
        <w:t> –</w:t>
      </w:r>
      <w:r w:rsidR="0099433A" w:rsidRPr="0099433A">
        <w:rPr>
          <w:lang w:val="fr-FR"/>
        </w:rPr>
        <w:t xml:space="preserve"> des régions touchées par les cyclones, les pluies torrentielles, les glissements de terrain, les tsunamis, les hautes vagues et les tremblements de terre.</w:t>
      </w:r>
    </w:p>
    <w:p w14:paraId="2929BA29" w14:textId="53F08CD7" w:rsidR="00A549C7" w:rsidRPr="00E37905" w:rsidRDefault="00A549C7" w:rsidP="00E37905">
      <w:pPr>
        <w:pStyle w:val="SingleTxt"/>
        <w:spacing w:after="0" w:line="120" w:lineRule="exact"/>
        <w:rPr>
          <w:sz w:val="10"/>
          <w:lang w:val="fr-FR"/>
        </w:rPr>
      </w:pPr>
    </w:p>
    <w:p w14:paraId="08F0B741" w14:textId="40D77FA6" w:rsidR="0099433A" w:rsidRDefault="0099433A" w:rsidP="00253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433A">
        <w:rPr>
          <w:lang w:val="fr-FR"/>
        </w:rPr>
        <w:tab/>
      </w:r>
      <w:r w:rsidRPr="0099433A">
        <w:rPr>
          <w:lang w:val="fr-FR"/>
        </w:rPr>
        <w:tab/>
        <w:t>Projet SWITCH Africa Green</w:t>
      </w:r>
    </w:p>
    <w:p w14:paraId="2648EB75" w14:textId="1F1F2547" w:rsidR="00A549C7" w:rsidRPr="00E37905" w:rsidRDefault="00A549C7" w:rsidP="00E37905">
      <w:pPr>
        <w:pStyle w:val="SingleTxt"/>
        <w:spacing w:after="0" w:line="120" w:lineRule="exact"/>
        <w:rPr>
          <w:sz w:val="10"/>
          <w:lang w:val="fr-FR"/>
        </w:rPr>
      </w:pPr>
    </w:p>
    <w:p w14:paraId="15B2FBD4" w14:textId="16B25A90"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projet SWITCH Africa Green a été imaginé et financé par l</w:t>
      </w:r>
      <w:r w:rsidR="00795C5F">
        <w:rPr>
          <w:lang w:val="fr-FR"/>
        </w:rPr>
        <w:t>’</w:t>
      </w:r>
      <w:r w:rsidRPr="0099433A">
        <w:rPr>
          <w:lang w:val="fr-FR"/>
        </w:rPr>
        <w:t>Union européenne en vue d</w:t>
      </w:r>
      <w:r w:rsidR="00795C5F">
        <w:rPr>
          <w:lang w:val="fr-FR"/>
        </w:rPr>
        <w:t>’</w:t>
      </w:r>
      <w:r w:rsidRPr="0099433A">
        <w:rPr>
          <w:lang w:val="fr-FR"/>
        </w:rPr>
        <w:t>aider les pays africains à évoluer vers une économie verte inclusive et à se tourner vers des modes et pratiques de consommation et de production durables. Son exécution est assurée par le Programme des Nations Unies pour l</w:t>
      </w:r>
      <w:r w:rsidR="00795C5F">
        <w:rPr>
          <w:lang w:val="fr-FR"/>
        </w:rPr>
        <w:t>’</w:t>
      </w:r>
      <w:r w:rsidRPr="0099433A">
        <w:rPr>
          <w:lang w:val="fr-FR"/>
        </w:rPr>
        <w:t>environnement, en collaboration avec le PNUD et le Bureau des Nations Unies pour les services d</w:t>
      </w:r>
      <w:r w:rsidR="00795C5F">
        <w:rPr>
          <w:lang w:val="fr-FR"/>
        </w:rPr>
        <w:t>’</w:t>
      </w:r>
      <w:r w:rsidRPr="0099433A">
        <w:rPr>
          <w:lang w:val="fr-FR"/>
        </w:rPr>
        <w:t>appui aux projets. Sept pays pilotes sont concernés</w:t>
      </w:r>
      <w:r w:rsidR="00795C5F">
        <w:rPr>
          <w:lang w:val="fr-FR"/>
        </w:rPr>
        <w:t> :</w:t>
      </w:r>
      <w:r w:rsidRPr="0099433A">
        <w:rPr>
          <w:lang w:val="fr-FR"/>
        </w:rPr>
        <w:t xml:space="preserve"> le Burkina Faso, le Ghana, le Kenya, Maurice, l</w:t>
      </w:r>
      <w:r w:rsidR="00795C5F">
        <w:rPr>
          <w:lang w:val="fr-FR"/>
        </w:rPr>
        <w:t>’</w:t>
      </w:r>
      <w:r w:rsidRPr="0099433A">
        <w:rPr>
          <w:lang w:val="fr-FR"/>
        </w:rPr>
        <w:t>Afrique du Sud, l</w:t>
      </w:r>
      <w:r w:rsidR="00795C5F">
        <w:rPr>
          <w:lang w:val="fr-FR"/>
        </w:rPr>
        <w:t>’</w:t>
      </w:r>
      <w:r w:rsidRPr="0099433A">
        <w:rPr>
          <w:lang w:val="fr-FR"/>
        </w:rPr>
        <w:t>Ouganda et l</w:t>
      </w:r>
      <w:r w:rsidR="00795C5F">
        <w:rPr>
          <w:lang w:val="fr-FR"/>
        </w:rPr>
        <w:t>’</w:t>
      </w:r>
      <w:r w:rsidRPr="0099433A">
        <w:rPr>
          <w:lang w:val="fr-FR"/>
        </w:rPr>
        <w:t>Éthiopie. Le projet comporte trois volets</w:t>
      </w:r>
      <w:r w:rsidR="00795C5F">
        <w:rPr>
          <w:lang w:val="fr-FR"/>
        </w:rPr>
        <w:t> :</w:t>
      </w:r>
      <w:r w:rsidRPr="0099433A">
        <w:rPr>
          <w:lang w:val="fr-FR"/>
        </w:rPr>
        <w:t xml:space="preserve"> appui à l</w:t>
      </w:r>
      <w:r w:rsidR="00795C5F">
        <w:rPr>
          <w:lang w:val="fr-FR"/>
        </w:rPr>
        <w:t>’</w:t>
      </w:r>
      <w:r w:rsidRPr="0099433A">
        <w:rPr>
          <w:lang w:val="fr-FR"/>
        </w:rPr>
        <w:t>élaboration des politiques, développement des entreprises vertes et mise en réseau. La République de Maurice a défini trois domaines d</w:t>
      </w:r>
      <w:r w:rsidR="00795C5F">
        <w:rPr>
          <w:lang w:val="fr-FR"/>
        </w:rPr>
        <w:t>’</w:t>
      </w:r>
      <w:r w:rsidRPr="0099433A">
        <w:rPr>
          <w:lang w:val="fr-FR"/>
        </w:rPr>
        <w:t>intervention, à savoir l</w:t>
      </w:r>
      <w:r w:rsidR="00795C5F">
        <w:rPr>
          <w:lang w:val="fr-FR"/>
        </w:rPr>
        <w:t>’</w:t>
      </w:r>
      <w:r w:rsidRPr="0099433A">
        <w:rPr>
          <w:lang w:val="fr-FR"/>
        </w:rPr>
        <w:t>agriculture, l</w:t>
      </w:r>
      <w:r w:rsidR="00795C5F">
        <w:rPr>
          <w:lang w:val="fr-FR"/>
        </w:rPr>
        <w:t>’</w:t>
      </w:r>
      <w:r w:rsidRPr="0099433A">
        <w:rPr>
          <w:lang w:val="fr-FR"/>
        </w:rPr>
        <w:t>industrie manufacturière et le tourisme, sur lesquelles viennent se greffer des questions transversales portant sur l</w:t>
      </w:r>
      <w:r w:rsidR="00795C5F">
        <w:rPr>
          <w:lang w:val="fr-FR"/>
        </w:rPr>
        <w:t>’</w:t>
      </w:r>
      <w:r w:rsidRPr="0099433A">
        <w:rPr>
          <w:lang w:val="fr-FR"/>
        </w:rPr>
        <w:t>utilisation rationnelle de l</w:t>
      </w:r>
      <w:r w:rsidR="00795C5F">
        <w:rPr>
          <w:lang w:val="fr-FR"/>
        </w:rPr>
        <w:t>’</w:t>
      </w:r>
      <w:r w:rsidRPr="0099433A">
        <w:rPr>
          <w:lang w:val="fr-FR"/>
        </w:rPr>
        <w:t>énergie et de l</w:t>
      </w:r>
      <w:r w:rsidR="00795C5F">
        <w:rPr>
          <w:lang w:val="fr-FR"/>
        </w:rPr>
        <w:t>’</w:t>
      </w:r>
      <w:r w:rsidRPr="0099433A">
        <w:rPr>
          <w:lang w:val="fr-FR"/>
        </w:rPr>
        <w:t>eau, l</w:t>
      </w:r>
      <w:r w:rsidR="00795C5F">
        <w:rPr>
          <w:lang w:val="fr-FR"/>
        </w:rPr>
        <w:t>’</w:t>
      </w:r>
      <w:r w:rsidRPr="0099433A">
        <w:rPr>
          <w:lang w:val="fr-FR"/>
        </w:rPr>
        <w:t>étiquetage et les normes, l</w:t>
      </w:r>
      <w:r w:rsidR="00795C5F">
        <w:rPr>
          <w:lang w:val="fr-FR"/>
        </w:rPr>
        <w:t>’</w:t>
      </w:r>
      <w:r w:rsidRPr="0099433A">
        <w:rPr>
          <w:lang w:val="fr-FR"/>
        </w:rPr>
        <w:t>éco-innovation et le commerce durable.</w:t>
      </w:r>
    </w:p>
    <w:p w14:paraId="3B5681D6" w14:textId="77777777" w:rsidR="00E37905" w:rsidRPr="00A549C7" w:rsidRDefault="00E37905" w:rsidP="00A549C7">
      <w:pPr>
        <w:pStyle w:val="SingleTxt"/>
        <w:spacing w:after="0" w:line="120" w:lineRule="exact"/>
        <w:rPr>
          <w:sz w:val="10"/>
          <w:lang w:val="fr-FR"/>
        </w:rPr>
      </w:pPr>
    </w:p>
    <w:p w14:paraId="0E73A4DF" w14:textId="5158CE1A" w:rsidR="0099433A" w:rsidRDefault="0099433A" w:rsidP="00253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433A">
        <w:rPr>
          <w:lang w:val="fr-FR"/>
        </w:rPr>
        <w:lastRenderedPageBreak/>
        <w:tab/>
      </w:r>
      <w:r w:rsidRPr="0099433A">
        <w:rPr>
          <w:lang w:val="fr-FR"/>
        </w:rPr>
        <w:tab/>
        <w:t>Développement des entreprises vertes</w:t>
      </w:r>
    </w:p>
    <w:p w14:paraId="5850CFDE" w14:textId="77777777" w:rsidR="00E37905" w:rsidRPr="00A549C7" w:rsidRDefault="00E37905" w:rsidP="00A549C7">
      <w:pPr>
        <w:pStyle w:val="SingleTxt"/>
        <w:spacing w:after="0" w:line="120" w:lineRule="exact"/>
        <w:rPr>
          <w:sz w:val="10"/>
          <w:lang w:val="fr-FR"/>
        </w:rPr>
      </w:pPr>
    </w:p>
    <w:p w14:paraId="0588C2FA" w14:textId="53490CF8"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Ce volet du projet vise à soutenir la transition vers une économie verte inclusive en accordant aux micro, petites et moyennes entreprises des subventions destinées à leur donner les moyens de saisir les nouvelles opportunités offertes sur le marché en ce qui concerne les biens et services économes en énergie et respectueux de l</w:t>
      </w:r>
      <w:r w:rsidR="00795C5F">
        <w:rPr>
          <w:lang w:val="fr-FR"/>
        </w:rPr>
        <w:t>’</w:t>
      </w:r>
      <w:r w:rsidRPr="0099433A">
        <w:rPr>
          <w:lang w:val="fr-FR"/>
        </w:rPr>
        <w:t xml:space="preserve">environnement, et à aider les entreprises vertes à développer leurs activités dans les trois secteurs clefs recensés. </w:t>
      </w:r>
    </w:p>
    <w:p w14:paraId="6AAC9AA1" w14:textId="23CD249C"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 xml:space="preserve">Deux projets venus de Rodrigues ciblent spécifiquement les femmes et cherchent à leur offrir la possibilité de se doter de moyens de subsistance durables grâce à des projets verts. </w:t>
      </w:r>
    </w:p>
    <w:p w14:paraId="7AB4F9F6" w14:textId="2A7FE114"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premier de ces projets consiste à renforcer les capacités des pêcheuses de l</w:t>
      </w:r>
      <w:r w:rsidR="00795C5F">
        <w:rPr>
          <w:lang w:val="fr-FR"/>
        </w:rPr>
        <w:t>’</w:t>
      </w:r>
      <w:r w:rsidRPr="0099433A">
        <w:rPr>
          <w:lang w:val="fr-FR"/>
        </w:rPr>
        <w:t>île Rodrigues en leur prodiguant une formation à la culture biologique du combava et à la production de la pâte de piment issue de cette plante. L</w:t>
      </w:r>
      <w:r w:rsidR="00795C5F">
        <w:rPr>
          <w:lang w:val="fr-FR"/>
        </w:rPr>
        <w:t>’</w:t>
      </w:r>
      <w:r w:rsidRPr="0099433A">
        <w:rPr>
          <w:lang w:val="fr-FR"/>
        </w:rPr>
        <w:t>idée est ici de former 40 pêcheuses et de développer leurs compétences pour qu</w:t>
      </w:r>
      <w:r w:rsidR="00795C5F">
        <w:rPr>
          <w:lang w:val="fr-FR"/>
        </w:rPr>
        <w:t>’</w:t>
      </w:r>
      <w:r w:rsidRPr="0099433A">
        <w:rPr>
          <w:lang w:val="fr-FR"/>
        </w:rPr>
        <w:t>elles puissent avoir des moyens de subsistance durables et écologiques. Les intéressées apprennent ainsi à cultiver de façon biologique le combava et à fabriquer ses produits agricoles dérivés, comme la pâte de piment. Ces activités leur permettent de créer des entreprises vertes durables générant un revenu fixe. La formation à l</w:t>
      </w:r>
      <w:r w:rsidR="00795C5F">
        <w:rPr>
          <w:lang w:val="fr-FR"/>
        </w:rPr>
        <w:t>’</w:t>
      </w:r>
      <w:r w:rsidRPr="0099433A">
        <w:rPr>
          <w:lang w:val="fr-FR"/>
        </w:rPr>
        <w:t>agriculture biologique a déjà été dispensée et leurs bénéficiaires acquièrent à présent les compétences nécessaires pour fabriquer, à partir du combava, des produits à valeur ajoutée, y compris la pâte de piment.</w:t>
      </w:r>
    </w:p>
    <w:p w14:paraId="0BE64CA7" w14:textId="7F0B6F64"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deuxième projet cherche à amener les Rodriguais à adopter les entreprises vertes en formant les principales parties prenantes et en leur consacrant un guide. Il s</w:t>
      </w:r>
      <w:r w:rsidR="00795C5F">
        <w:rPr>
          <w:lang w:val="fr-FR"/>
        </w:rPr>
        <w:t>’</w:t>
      </w:r>
      <w:r w:rsidRPr="0099433A">
        <w:rPr>
          <w:lang w:val="fr-FR"/>
        </w:rPr>
        <w:t>agit pour l</w:t>
      </w:r>
      <w:r w:rsidR="00795C5F">
        <w:rPr>
          <w:lang w:val="fr-FR"/>
        </w:rPr>
        <w:t>’</w:t>
      </w:r>
      <w:r w:rsidRPr="0099433A">
        <w:rPr>
          <w:lang w:val="fr-FR"/>
        </w:rPr>
        <w:t>essentiel d</w:t>
      </w:r>
      <w:r w:rsidR="00795C5F">
        <w:rPr>
          <w:lang w:val="fr-FR"/>
        </w:rPr>
        <w:t>’</w:t>
      </w:r>
      <w:r w:rsidRPr="0099433A">
        <w:rPr>
          <w:lang w:val="fr-FR"/>
        </w:rPr>
        <w:t>étudier les possibilités de développement qu</w:t>
      </w:r>
      <w:r w:rsidR="00795C5F">
        <w:rPr>
          <w:lang w:val="fr-FR"/>
        </w:rPr>
        <w:t>’</w:t>
      </w:r>
      <w:r w:rsidRPr="0099433A">
        <w:rPr>
          <w:lang w:val="fr-FR"/>
        </w:rPr>
        <w:t>offrent les entreprises vertes pour autonomiser les femmes et lutter contre la pauvreté grâce à l</w:t>
      </w:r>
      <w:r w:rsidR="00795C5F">
        <w:rPr>
          <w:lang w:val="fr-FR"/>
        </w:rPr>
        <w:t>’</w:t>
      </w:r>
      <w:r w:rsidRPr="0099433A">
        <w:rPr>
          <w:lang w:val="fr-FR"/>
        </w:rPr>
        <w:t>éco-entrepreneuriat. À cette fin, quelque 750 femmes susceptibles de créer leur entreprise participent à des activités de formation et de renforcement des capacités. Le projet tend aussi à encourager l</w:t>
      </w:r>
      <w:r w:rsidR="00795C5F">
        <w:rPr>
          <w:lang w:val="fr-FR"/>
        </w:rPr>
        <w:t>’</w:t>
      </w:r>
      <w:r w:rsidRPr="0099433A">
        <w:rPr>
          <w:lang w:val="fr-FR"/>
        </w:rPr>
        <w:t>éco-innovation grâce à l</w:t>
      </w:r>
      <w:r w:rsidR="00795C5F">
        <w:rPr>
          <w:lang w:val="fr-FR"/>
        </w:rPr>
        <w:t>’</w:t>
      </w:r>
      <w:r w:rsidRPr="0099433A">
        <w:rPr>
          <w:lang w:val="fr-FR"/>
        </w:rPr>
        <w:t>utilisation de produits naturels dans des secteurs tels que l</w:t>
      </w:r>
      <w:r w:rsidR="00795C5F">
        <w:rPr>
          <w:lang w:val="fr-FR"/>
        </w:rPr>
        <w:t>’</w:t>
      </w:r>
      <w:r w:rsidRPr="0099433A">
        <w:rPr>
          <w:lang w:val="fr-FR"/>
        </w:rPr>
        <w:t>artisanat, l</w:t>
      </w:r>
      <w:r w:rsidR="00795C5F">
        <w:rPr>
          <w:lang w:val="fr-FR"/>
        </w:rPr>
        <w:t>’</w:t>
      </w:r>
      <w:r w:rsidRPr="0099433A">
        <w:rPr>
          <w:lang w:val="fr-FR"/>
        </w:rPr>
        <w:t>emballage vert, les salons de coiffure et les spas, ou encore le recyclage des déchets en vue de produire des jouets, des articles de décoration et des peluches. Ces activités contribueront à la création d</w:t>
      </w:r>
      <w:r w:rsidR="00795C5F">
        <w:rPr>
          <w:lang w:val="fr-FR"/>
        </w:rPr>
        <w:t>’</w:t>
      </w:r>
      <w:r w:rsidRPr="0099433A">
        <w:rPr>
          <w:lang w:val="fr-FR"/>
        </w:rPr>
        <w:t>entreprises vertes et favoriseront la mise en place de moyens de subsistance durables. Une douzaine de sessions de formation regroupant plus de 600 entrepreneuses ont déjà été organisées.</w:t>
      </w:r>
    </w:p>
    <w:p w14:paraId="1D1766EE" w14:textId="0A0720FD"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Une vaste campagne de sensibilisation au développement durable a été organisée avec le concours des femmes. En 2017, les 32 conférences destinées aux associations féminines ont rassemblé 1</w:t>
      </w:r>
      <w:r w:rsidR="0009633D">
        <w:rPr>
          <w:lang w:val="fr-FR"/>
        </w:rPr>
        <w:t> </w:t>
      </w:r>
      <w:r w:rsidRPr="0099433A">
        <w:rPr>
          <w:lang w:val="fr-FR"/>
        </w:rPr>
        <w:t>720 participantes. Elles portent sur des questions environnementales telles que le développement durable, la consommation et la production durables, la plantation d</w:t>
      </w:r>
      <w:r w:rsidR="00795C5F">
        <w:rPr>
          <w:lang w:val="fr-FR"/>
        </w:rPr>
        <w:t>’</w:t>
      </w:r>
      <w:r w:rsidRPr="0099433A">
        <w:rPr>
          <w:lang w:val="fr-FR"/>
        </w:rPr>
        <w:t>arbres, les déchets solides, ou encore l</w:t>
      </w:r>
      <w:r w:rsidR="00795C5F">
        <w:rPr>
          <w:lang w:val="fr-FR"/>
        </w:rPr>
        <w:t>’</w:t>
      </w:r>
      <w:r w:rsidRPr="0099433A">
        <w:rPr>
          <w:lang w:val="fr-FR"/>
        </w:rPr>
        <w:t>interdiction des matières plastiques. Elles s</w:t>
      </w:r>
      <w:r w:rsidR="00795C5F">
        <w:rPr>
          <w:lang w:val="fr-FR"/>
        </w:rPr>
        <w:t>’</w:t>
      </w:r>
      <w:r w:rsidRPr="0099433A">
        <w:rPr>
          <w:lang w:val="fr-FR"/>
        </w:rPr>
        <w:t>efforcent de dispenser des connaissances de base sur les changements climatiques et indiquent aux femmes ce qu</w:t>
      </w:r>
      <w:r w:rsidR="00795C5F">
        <w:rPr>
          <w:lang w:val="fr-FR"/>
        </w:rPr>
        <w:t>’</w:t>
      </w:r>
      <w:r w:rsidRPr="0099433A">
        <w:rPr>
          <w:lang w:val="fr-FR"/>
        </w:rPr>
        <w:t>elles, et les membres de leur famille, pourraient faire concrètement au quotidien pour changer les choses. Plus précisément, elles leur apprennent</w:t>
      </w:r>
      <w:r w:rsidR="00795C5F">
        <w:rPr>
          <w:lang w:val="fr-FR"/>
        </w:rPr>
        <w:t> :</w:t>
      </w:r>
    </w:p>
    <w:p w14:paraId="25D47E25" w14:textId="4E893A50"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E</w:t>
      </w:r>
      <w:r w:rsidR="0099433A" w:rsidRPr="0099433A">
        <w:rPr>
          <w:lang w:val="fr-FR"/>
        </w:rPr>
        <w:t>n quoi consistent les changements climatiques</w:t>
      </w:r>
      <w:r w:rsidR="00795C5F">
        <w:rPr>
          <w:lang w:val="fr-FR"/>
        </w:rPr>
        <w:t> ;</w:t>
      </w:r>
    </w:p>
    <w:p w14:paraId="63F8286E" w14:textId="018EF5F1"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Q</w:t>
      </w:r>
      <w:r w:rsidR="0099433A" w:rsidRPr="0099433A">
        <w:rPr>
          <w:lang w:val="fr-FR"/>
        </w:rPr>
        <w:t>uelles sont les causes et les effets des changements climatiques</w:t>
      </w:r>
      <w:r w:rsidR="00795C5F">
        <w:rPr>
          <w:lang w:val="fr-FR"/>
        </w:rPr>
        <w:t> ;</w:t>
      </w:r>
    </w:p>
    <w:p w14:paraId="4233FFBE" w14:textId="4C30EE39"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Q</w:t>
      </w:r>
      <w:r w:rsidR="0099433A" w:rsidRPr="0099433A">
        <w:rPr>
          <w:lang w:val="fr-FR"/>
        </w:rPr>
        <w:t>uelles sont les principales mesures d</w:t>
      </w:r>
      <w:r w:rsidR="00795C5F">
        <w:rPr>
          <w:lang w:val="fr-FR"/>
        </w:rPr>
        <w:t>’</w:t>
      </w:r>
      <w:r w:rsidR="0099433A" w:rsidRPr="0099433A">
        <w:rPr>
          <w:lang w:val="fr-FR"/>
        </w:rPr>
        <w:t>adaptation et d</w:t>
      </w:r>
      <w:r w:rsidR="00795C5F">
        <w:rPr>
          <w:lang w:val="fr-FR"/>
        </w:rPr>
        <w:t>’</w:t>
      </w:r>
      <w:r w:rsidR="0099433A" w:rsidRPr="0099433A">
        <w:rPr>
          <w:lang w:val="fr-FR"/>
        </w:rPr>
        <w:t>atténuation à prendre pour lutter contre les changements climatiques.</w:t>
      </w:r>
    </w:p>
    <w:p w14:paraId="5FE6F88F" w14:textId="6E90C4A4"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D</w:t>
      </w:r>
      <w:r w:rsidR="00795C5F">
        <w:rPr>
          <w:lang w:val="fr-FR"/>
        </w:rPr>
        <w:t>’</w:t>
      </w:r>
      <w:r w:rsidRPr="0099433A">
        <w:rPr>
          <w:lang w:val="fr-FR"/>
        </w:rPr>
        <w:t xml:space="preserve">autres programmes de sensibilisation divers et multiples (tenue de débats dans des centres de protection sociale, des centres communautaires et des institutions privées, lors de la célébration de grandes manifestations en rapport avec </w:t>
      </w:r>
      <w:r w:rsidRPr="0099433A">
        <w:rPr>
          <w:lang w:val="fr-FR"/>
        </w:rPr>
        <w:lastRenderedPageBreak/>
        <w:t>l</w:t>
      </w:r>
      <w:r w:rsidR="00795C5F">
        <w:rPr>
          <w:lang w:val="fr-FR"/>
        </w:rPr>
        <w:t>’</w:t>
      </w:r>
      <w:r w:rsidRPr="0099433A">
        <w:rPr>
          <w:lang w:val="fr-FR"/>
        </w:rPr>
        <w:t>environnement, ou encore à l</w:t>
      </w:r>
      <w:r w:rsidR="00795C5F">
        <w:rPr>
          <w:lang w:val="fr-FR"/>
        </w:rPr>
        <w:t>’</w:t>
      </w:r>
      <w:r w:rsidRPr="0099433A">
        <w:rPr>
          <w:lang w:val="fr-FR"/>
        </w:rPr>
        <w:t>occasion d</w:t>
      </w:r>
      <w:r w:rsidR="00795C5F">
        <w:rPr>
          <w:lang w:val="fr-FR"/>
        </w:rPr>
        <w:t>’</w:t>
      </w:r>
      <w:r w:rsidRPr="0099433A">
        <w:rPr>
          <w:lang w:val="fr-FR"/>
        </w:rPr>
        <w:t>expositions) ont permis de toucher environ 204 050 femmes. Le Ministère de la sécurité sociale, de la solidarité nationale, de l</w:t>
      </w:r>
      <w:r w:rsidR="00795C5F">
        <w:rPr>
          <w:lang w:val="fr-FR"/>
        </w:rPr>
        <w:t>’</w:t>
      </w:r>
      <w:r w:rsidRPr="0099433A">
        <w:rPr>
          <w:lang w:val="fr-FR"/>
        </w:rPr>
        <w:t>environnement et du développement durable, en collaboration avec le Ministère de l</w:t>
      </w:r>
      <w:r w:rsidR="00795C5F">
        <w:rPr>
          <w:lang w:val="fr-FR"/>
        </w:rPr>
        <w:t>’</w:t>
      </w:r>
      <w:r w:rsidRPr="0099433A">
        <w:rPr>
          <w:lang w:val="fr-FR"/>
        </w:rPr>
        <w:t>égalité des genres, du développement de l</w:t>
      </w:r>
      <w:r w:rsidR="00795C5F">
        <w:rPr>
          <w:lang w:val="fr-FR"/>
        </w:rPr>
        <w:t>’</w:t>
      </w:r>
      <w:r w:rsidRPr="0099433A">
        <w:rPr>
          <w:lang w:val="fr-FR"/>
        </w:rPr>
        <w:t>enfant et du bien-être de la famille, a également mené des actions de sensibilisation auprès des femmes et un millier de plantes méd</w:t>
      </w:r>
      <w:r w:rsidR="0009633D">
        <w:rPr>
          <w:lang w:val="fr-FR"/>
        </w:rPr>
        <w:t>e</w:t>
      </w:r>
      <w:r w:rsidRPr="0099433A">
        <w:rPr>
          <w:lang w:val="fr-FR"/>
        </w:rPr>
        <w:t>cinales ont été distribuées dans 15 centres d</w:t>
      </w:r>
      <w:r w:rsidR="00795C5F">
        <w:rPr>
          <w:lang w:val="fr-FR"/>
        </w:rPr>
        <w:t>’</w:t>
      </w:r>
      <w:r w:rsidRPr="0099433A">
        <w:rPr>
          <w:lang w:val="fr-FR"/>
        </w:rPr>
        <w:t>autonomisation des femmes pour en encourager l</w:t>
      </w:r>
      <w:r w:rsidR="00795C5F">
        <w:rPr>
          <w:lang w:val="fr-FR"/>
        </w:rPr>
        <w:t>’</w:t>
      </w:r>
      <w:r w:rsidRPr="0099433A">
        <w:rPr>
          <w:lang w:val="fr-FR"/>
        </w:rPr>
        <w:t>utilisation et promouvoir une culture écologique. En 2012, l</w:t>
      </w:r>
      <w:r w:rsidR="00795C5F">
        <w:rPr>
          <w:lang w:val="fr-FR"/>
        </w:rPr>
        <w:t>’</w:t>
      </w:r>
      <w:r w:rsidRPr="0099433A">
        <w:rPr>
          <w:lang w:val="fr-FR"/>
        </w:rPr>
        <w:t>Unité en charge de l</w:t>
      </w:r>
      <w:r w:rsidR="00795C5F">
        <w:rPr>
          <w:lang w:val="fr-FR"/>
        </w:rPr>
        <w:t>’</w:t>
      </w:r>
      <w:r w:rsidRPr="0099433A">
        <w:rPr>
          <w:lang w:val="fr-FR"/>
        </w:rPr>
        <w:t>égalité des sexes a conçu et produit une brochure sur les femmes et les changements climatiques («</w:t>
      </w:r>
      <w:r w:rsidR="006E1537">
        <w:rPr>
          <w:lang w:val="fr-FR"/>
        </w:rPr>
        <w:t> </w:t>
      </w:r>
      <w:r w:rsidRPr="0099433A">
        <w:rPr>
          <w:lang w:val="fr-FR"/>
        </w:rPr>
        <w:t>Women and Climate Change</w:t>
      </w:r>
      <w:r w:rsidR="006E1537">
        <w:rPr>
          <w:lang w:val="fr-FR"/>
        </w:rPr>
        <w:t> </w:t>
      </w:r>
      <w:r w:rsidRPr="0099433A">
        <w:rPr>
          <w:lang w:val="fr-FR"/>
        </w:rPr>
        <w:t>»). En outre, avec le soutien du Commonwealth of Learning, un DVD interactif sur les incidences sexospécifiques des changements climatiques a été réalisé en 2013 et l</w:t>
      </w:r>
      <w:r w:rsidR="00795C5F">
        <w:rPr>
          <w:lang w:val="fr-FR"/>
        </w:rPr>
        <w:t>’</w:t>
      </w:r>
      <w:r w:rsidRPr="0099433A">
        <w:rPr>
          <w:lang w:val="fr-FR"/>
        </w:rPr>
        <w:t>Unité précitée a dispensé une formation de formateurs à l</w:t>
      </w:r>
      <w:r w:rsidR="00795C5F">
        <w:rPr>
          <w:lang w:val="fr-FR"/>
        </w:rPr>
        <w:t>’</w:t>
      </w:r>
      <w:r w:rsidRPr="0099433A">
        <w:rPr>
          <w:lang w:val="fr-FR"/>
        </w:rPr>
        <w:t>intention des membres du Conseil national des femmes et des agents des centres de protection sociale et des centres communautaires.</w:t>
      </w:r>
    </w:p>
    <w:p w14:paraId="3ADA6C4D" w14:textId="70F36115"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Conseil national des femmes a organisé de courts stages consacrés à la contribution que peuvent apporter les femmes à la recherche de solutions permettant de lutter contre les changements climatiques. Des programmes correspondants seront mis en œuvre par la suite. Des membres du Conseil national des femmes et d</w:t>
      </w:r>
      <w:r w:rsidR="00795C5F">
        <w:rPr>
          <w:lang w:val="fr-FR"/>
        </w:rPr>
        <w:t>’</w:t>
      </w:r>
      <w:r w:rsidRPr="0099433A">
        <w:rPr>
          <w:lang w:val="fr-FR"/>
        </w:rPr>
        <w:t>associations féminines ont suivi le programme de formation à la gestion des catastrophes organisé par le Centre national de réduction et de gestion des risques de catastrophe. L</w:t>
      </w:r>
      <w:r w:rsidR="00795C5F">
        <w:rPr>
          <w:lang w:val="fr-FR"/>
        </w:rPr>
        <w:t>’</w:t>
      </w:r>
      <w:r w:rsidRPr="0099433A">
        <w:rPr>
          <w:lang w:val="fr-FR"/>
        </w:rPr>
        <w:t>objectif était ici de former un groupe de bénévoles résidant dans des zones vulnérables aux techniques de base en matière de sécurité incendie, d</w:t>
      </w:r>
      <w:r w:rsidR="00795C5F">
        <w:rPr>
          <w:lang w:val="fr-FR"/>
        </w:rPr>
        <w:t>’</w:t>
      </w:r>
      <w:r w:rsidRPr="0099433A">
        <w:rPr>
          <w:lang w:val="fr-FR"/>
        </w:rPr>
        <w:t>encordement pratiqué à des fins de premier secours, de sauvetage nautique, de gestion de camps de base, de développement de l</w:t>
      </w:r>
      <w:r w:rsidR="00795C5F">
        <w:rPr>
          <w:lang w:val="fr-FR"/>
        </w:rPr>
        <w:t>’</w:t>
      </w:r>
      <w:r w:rsidRPr="0099433A">
        <w:rPr>
          <w:lang w:val="fr-FR"/>
        </w:rPr>
        <w:t>esprit d</w:t>
      </w:r>
      <w:r w:rsidR="00795C5F">
        <w:rPr>
          <w:lang w:val="fr-FR"/>
        </w:rPr>
        <w:t>’</w:t>
      </w:r>
      <w:r w:rsidRPr="0099433A">
        <w:rPr>
          <w:lang w:val="fr-FR"/>
        </w:rPr>
        <w:t>équipe, de construction de digues à partir de sacs de sable et autres techniques rudimentaires. Les bénévoles seraient ainsi en mesure d</w:t>
      </w:r>
      <w:r w:rsidR="00795C5F">
        <w:rPr>
          <w:lang w:val="fr-FR"/>
        </w:rPr>
        <w:t>’</w:t>
      </w:r>
      <w:r w:rsidRPr="0099433A">
        <w:rPr>
          <w:lang w:val="fr-FR"/>
        </w:rPr>
        <w:t>intervenir dans les situations d</w:t>
      </w:r>
      <w:r w:rsidR="00795C5F">
        <w:rPr>
          <w:lang w:val="fr-FR"/>
        </w:rPr>
        <w:t>’</w:t>
      </w:r>
      <w:r w:rsidRPr="0099433A">
        <w:rPr>
          <w:lang w:val="fr-FR"/>
        </w:rPr>
        <w:t>urgence, en attendant l</w:t>
      </w:r>
      <w:r w:rsidR="00795C5F">
        <w:rPr>
          <w:lang w:val="fr-FR"/>
        </w:rPr>
        <w:t>’</w:t>
      </w:r>
      <w:r w:rsidRPr="0099433A">
        <w:rPr>
          <w:lang w:val="fr-FR"/>
        </w:rPr>
        <w:t>arrivée des autorités.</w:t>
      </w:r>
    </w:p>
    <w:p w14:paraId="03D80D78" w14:textId="2F436C9D" w:rsidR="00A549C7" w:rsidRPr="00E37905" w:rsidRDefault="00A549C7" w:rsidP="00E37905">
      <w:pPr>
        <w:pStyle w:val="SingleTxt"/>
        <w:spacing w:after="0" w:line="120" w:lineRule="exact"/>
        <w:rPr>
          <w:sz w:val="10"/>
          <w:lang w:val="fr-FR"/>
        </w:rPr>
      </w:pPr>
    </w:p>
    <w:p w14:paraId="48AA96BB" w14:textId="77777777" w:rsidR="00E37905" w:rsidRPr="00A549C7" w:rsidRDefault="00E37905" w:rsidP="00A549C7">
      <w:pPr>
        <w:pStyle w:val="SingleTxt"/>
        <w:spacing w:after="0" w:line="120" w:lineRule="exact"/>
        <w:rPr>
          <w:sz w:val="10"/>
          <w:lang w:val="fr-FR"/>
        </w:rPr>
      </w:pPr>
    </w:p>
    <w:p w14:paraId="6879A475" w14:textId="12896CF1" w:rsidR="0099433A" w:rsidRDefault="0099433A" w:rsidP="00E379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433A">
        <w:rPr>
          <w:lang w:val="fr-FR"/>
        </w:rPr>
        <w:tab/>
      </w:r>
      <w:r w:rsidRPr="0099433A">
        <w:rPr>
          <w:lang w:val="fr-FR"/>
        </w:rPr>
        <w:tab/>
        <w:t>Mariage et relations familiales</w:t>
      </w:r>
    </w:p>
    <w:p w14:paraId="3D2523CE" w14:textId="536559A7" w:rsidR="00A549C7" w:rsidRPr="00E37905" w:rsidRDefault="00A549C7" w:rsidP="00E37905">
      <w:pPr>
        <w:pStyle w:val="SingleTxt"/>
        <w:spacing w:after="0" w:line="120" w:lineRule="exact"/>
        <w:rPr>
          <w:sz w:val="10"/>
          <w:lang w:val="fr-FR"/>
        </w:rPr>
      </w:pPr>
    </w:p>
    <w:p w14:paraId="722D2DB6" w14:textId="77777777" w:rsidR="00E37905" w:rsidRPr="00A549C7" w:rsidRDefault="00E37905" w:rsidP="00A549C7">
      <w:pPr>
        <w:pStyle w:val="SingleTxt"/>
        <w:spacing w:after="0" w:line="120" w:lineRule="exact"/>
        <w:rPr>
          <w:sz w:val="10"/>
          <w:lang w:val="fr-FR"/>
        </w:rPr>
      </w:pPr>
    </w:p>
    <w:p w14:paraId="1DA6F838" w14:textId="0379A9F8"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Gouvernement mauricien avait, dans le passé, chargé une commission d</w:t>
      </w:r>
      <w:r w:rsidR="00795C5F">
        <w:rPr>
          <w:lang w:val="fr-FR"/>
        </w:rPr>
        <w:t>’</w:t>
      </w:r>
      <w:r w:rsidRPr="0099433A">
        <w:rPr>
          <w:lang w:val="fr-FR"/>
        </w:rPr>
        <w:t>enquêter sur l</w:t>
      </w:r>
      <w:r w:rsidR="00795C5F">
        <w:rPr>
          <w:lang w:val="fr-FR"/>
        </w:rPr>
        <w:t>’</w:t>
      </w:r>
      <w:r w:rsidRPr="0099433A">
        <w:rPr>
          <w:lang w:val="fr-FR"/>
        </w:rPr>
        <w:t>adéquation du droit musulman (statut personnel) et son incidence sur les femmes. Toutefois, les différentes écoles de pensée de la communauté musulmane n</w:t>
      </w:r>
      <w:r w:rsidR="00795C5F">
        <w:rPr>
          <w:lang w:val="fr-FR"/>
        </w:rPr>
        <w:t>’</w:t>
      </w:r>
      <w:r w:rsidRPr="0099433A">
        <w:rPr>
          <w:lang w:val="fr-FR"/>
        </w:rPr>
        <w:t>avaient pu parvenir à un consensus. Compte tenu du tissu social mauricien et eu égard à l</w:t>
      </w:r>
      <w:r w:rsidR="00795C5F">
        <w:rPr>
          <w:lang w:val="fr-FR"/>
        </w:rPr>
        <w:t>’</w:t>
      </w:r>
      <w:r w:rsidRPr="0099433A">
        <w:rPr>
          <w:lang w:val="fr-FR"/>
        </w:rPr>
        <w:t>article 16.4 de la Constitution qui prévoit l</w:t>
      </w:r>
      <w:r w:rsidR="00795C5F">
        <w:rPr>
          <w:lang w:val="fr-FR"/>
        </w:rPr>
        <w:t>’</w:t>
      </w:r>
      <w:r w:rsidRPr="0099433A">
        <w:rPr>
          <w:lang w:val="fr-FR"/>
        </w:rPr>
        <w:t>existence de lois personnelles, cette question n</w:t>
      </w:r>
      <w:r w:rsidR="00795C5F">
        <w:rPr>
          <w:lang w:val="fr-FR"/>
        </w:rPr>
        <w:t>’</w:t>
      </w:r>
      <w:r w:rsidRPr="0099433A">
        <w:rPr>
          <w:lang w:val="fr-FR"/>
        </w:rPr>
        <w:t xml:space="preserve">est pas simple et aucune décision en la matière ne saurait être prise sans donner aux parties concernées la possibilité de se prononcer. </w:t>
      </w:r>
    </w:p>
    <w:p w14:paraId="298D3C69" w14:textId="318F6B12"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Code civil mauricien reconnaît l</w:t>
      </w:r>
      <w:r w:rsidR="00795C5F">
        <w:rPr>
          <w:lang w:val="fr-FR"/>
        </w:rPr>
        <w:t>’</w:t>
      </w:r>
      <w:r w:rsidRPr="0099433A">
        <w:rPr>
          <w:lang w:val="fr-FR"/>
        </w:rPr>
        <w:t>existence de biens immatériels. En outre, aucun texte de loi ne traite spécifiquement de la répartition de la capacité de gain futur et du capital humain. Qu</w:t>
      </w:r>
      <w:r w:rsidR="00795C5F">
        <w:rPr>
          <w:lang w:val="fr-FR"/>
        </w:rPr>
        <w:t>’</w:t>
      </w:r>
      <w:r w:rsidRPr="0099433A">
        <w:rPr>
          <w:lang w:val="fr-FR"/>
        </w:rPr>
        <w:t>il s</w:t>
      </w:r>
      <w:r w:rsidR="00795C5F">
        <w:rPr>
          <w:lang w:val="fr-FR"/>
        </w:rPr>
        <w:t>’</w:t>
      </w:r>
      <w:r w:rsidRPr="0099433A">
        <w:rPr>
          <w:lang w:val="fr-FR"/>
        </w:rPr>
        <w:t xml:space="preserve">agisse de la loi sur le divorce et la séparation judiciaire ou du </w:t>
      </w:r>
      <w:r w:rsidR="0009633D">
        <w:rPr>
          <w:lang w:val="fr-FR"/>
        </w:rPr>
        <w:t>C</w:t>
      </w:r>
      <w:r w:rsidRPr="0099433A">
        <w:rPr>
          <w:lang w:val="fr-FR"/>
        </w:rPr>
        <w:t>ode civil, le législateur ne fait pas de distinction entre les hommes et les femmes. Il n</w:t>
      </w:r>
      <w:r w:rsidR="00795C5F">
        <w:rPr>
          <w:lang w:val="fr-FR"/>
        </w:rPr>
        <w:t>’</w:t>
      </w:r>
      <w:r w:rsidRPr="0099433A">
        <w:rPr>
          <w:lang w:val="fr-FR"/>
        </w:rPr>
        <w:t>existe pas de dispositions légales particulières relatives à la dissolution des unions de fait.</w:t>
      </w:r>
    </w:p>
    <w:p w14:paraId="420BB8D7" w14:textId="4A3F9B59" w:rsidR="00A549C7" w:rsidRPr="00E37905" w:rsidRDefault="00A549C7" w:rsidP="00E37905">
      <w:pPr>
        <w:pStyle w:val="SingleTxt"/>
        <w:spacing w:after="0" w:line="120" w:lineRule="exact"/>
        <w:rPr>
          <w:sz w:val="10"/>
          <w:lang w:val="fr-FR"/>
        </w:rPr>
      </w:pPr>
    </w:p>
    <w:p w14:paraId="05378578" w14:textId="77777777" w:rsidR="00E37905" w:rsidRPr="00A549C7" w:rsidRDefault="00E37905" w:rsidP="00A549C7">
      <w:pPr>
        <w:pStyle w:val="SingleTxt"/>
        <w:spacing w:after="0" w:line="120" w:lineRule="exact"/>
        <w:rPr>
          <w:sz w:val="10"/>
          <w:lang w:val="fr-FR"/>
        </w:rPr>
      </w:pPr>
    </w:p>
    <w:p w14:paraId="2A53473C" w14:textId="56BEDDA8" w:rsidR="0099433A" w:rsidRDefault="0099433A" w:rsidP="00E379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433A">
        <w:rPr>
          <w:lang w:val="fr-FR"/>
        </w:rPr>
        <w:tab/>
      </w:r>
      <w:r w:rsidRPr="0099433A">
        <w:rPr>
          <w:lang w:val="fr-FR"/>
        </w:rPr>
        <w:tab/>
        <w:t>Renseignements supplémentaires</w:t>
      </w:r>
    </w:p>
    <w:p w14:paraId="734A4FCB" w14:textId="3E0801CB" w:rsidR="00A549C7" w:rsidRPr="00E37905" w:rsidRDefault="00A549C7" w:rsidP="00E37905">
      <w:pPr>
        <w:pStyle w:val="SingleTxt"/>
        <w:spacing w:after="0" w:line="120" w:lineRule="exact"/>
        <w:rPr>
          <w:sz w:val="10"/>
          <w:lang w:val="fr-FR"/>
        </w:rPr>
      </w:pPr>
    </w:p>
    <w:p w14:paraId="5439A13C" w14:textId="77777777" w:rsidR="00E37905" w:rsidRPr="00A549C7" w:rsidRDefault="00E37905" w:rsidP="00A549C7">
      <w:pPr>
        <w:pStyle w:val="SingleTxt"/>
        <w:spacing w:after="0" w:line="120" w:lineRule="exact"/>
        <w:rPr>
          <w:sz w:val="10"/>
          <w:lang w:val="fr-FR"/>
        </w:rPr>
      </w:pPr>
    </w:p>
    <w:p w14:paraId="57E0A063" w14:textId="73C09D09"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Les observations finales ont été communiquées à tous les coordinateurs pour les questions d</w:t>
      </w:r>
      <w:r w:rsidR="00795C5F">
        <w:rPr>
          <w:lang w:val="fr-FR"/>
        </w:rPr>
        <w:t>’</w:t>
      </w:r>
      <w:r w:rsidRPr="0099433A">
        <w:rPr>
          <w:lang w:val="fr-FR"/>
        </w:rPr>
        <w:t>égalité des sexes de tous les ministères, qui sont chargés d</w:t>
      </w:r>
      <w:r w:rsidR="00795C5F">
        <w:rPr>
          <w:lang w:val="fr-FR"/>
        </w:rPr>
        <w:t>’</w:t>
      </w:r>
      <w:r w:rsidRPr="0099433A">
        <w:rPr>
          <w:lang w:val="fr-FR"/>
        </w:rPr>
        <w:t>en diffuser le contenu et d</w:t>
      </w:r>
      <w:r w:rsidR="00795C5F">
        <w:rPr>
          <w:lang w:val="fr-FR"/>
        </w:rPr>
        <w:t>’</w:t>
      </w:r>
      <w:r w:rsidRPr="0099433A">
        <w:rPr>
          <w:lang w:val="fr-FR"/>
        </w:rPr>
        <w:t>assurer un suivi auprès des départements, unités, sections et organismes parapublics relevant de leur compétence. Le Ministère d</w:t>
      </w:r>
      <w:r w:rsidR="00795C5F">
        <w:rPr>
          <w:lang w:val="fr-FR"/>
        </w:rPr>
        <w:t>’</w:t>
      </w:r>
      <w:r w:rsidRPr="0099433A">
        <w:rPr>
          <w:lang w:val="fr-FR"/>
        </w:rPr>
        <w:t>exécution s</w:t>
      </w:r>
      <w:r w:rsidR="00795C5F">
        <w:rPr>
          <w:lang w:val="fr-FR"/>
        </w:rPr>
        <w:t>’</w:t>
      </w:r>
      <w:r w:rsidRPr="0099433A">
        <w:rPr>
          <w:lang w:val="fr-FR"/>
        </w:rPr>
        <w:t>est lui aussi efforcé, dans toute la mesure du possible, d</w:t>
      </w:r>
      <w:r w:rsidR="00795C5F">
        <w:rPr>
          <w:lang w:val="fr-FR"/>
        </w:rPr>
        <w:t>’</w:t>
      </w:r>
      <w:r w:rsidRPr="0099433A">
        <w:rPr>
          <w:lang w:val="fr-FR"/>
        </w:rPr>
        <w:t xml:space="preserve">appliquer lesdites recommandations. Le Gouvernement a également été avisé de la teneur des observations finales. </w:t>
      </w:r>
    </w:p>
    <w:p w14:paraId="5F75DCC4" w14:textId="4A32F571"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lastRenderedPageBreak/>
        <w:t>En février 2018, l</w:t>
      </w:r>
      <w:r w:rsidR="00795C5F">
        <w:rPr>
          <w:lang w:val="fr-FR"/>
        </w:rPr>
        <w:t>’</w:t>
      </w:r>
      <w:r w:rsidRPr="0099433A">
        <w:rPr>
          <w:lang w:val="fr-FR"/>
        </w:rPr>
        <w:t>Institut d</w:t>
      </w:r>
      <w:r w:rsidR="00795C5F">
        <w:rPr>
          <w:lang w:val="fr-FR"/>
        </w:rPr>
        <w:t>’</w:t>
      </w:r>
      <w:r w:rsidRPr="0099433A">
        <w:rPr>
          <w:lang w:val="fr-FR"/>
        </w:rPr>
        <w:t>études judiciaires et juridiques a dispensé une formation consacrée à la Convention sur l</w:t>
      </w:r>
      <w:r w:rsidR="00795C5F">
        <w:rPr>
          <w:lang w:val="fr-FR"/>
        </w:rPr>
        <w:t>’</w:t>
      </w:r>
      <w:r w:rsidRPr="0099433A">
        <w:rPr>
          <w:lang w:val="fr-FR"/>
        </w:rPr>
        <w:t>élimination de toutes les formes de discrimination à l</w:t>
      </w:r>
      <w:r w:rsidR="00795C5F">
        <w:rPr>
          <w:lang w:val="fr-FR"/>
        </w:rPr>
        <w:t>’</w:t>
      </w:r>
      <w:r w:rsidRPr="0099433A">
        <w:rPr>
          <w:lang w:val="fr-FR"/>
        </w:rPr>
        <w:t>égard des femmes, à l</w:t>
      </w:r>
      <w:r w:rsidR="00795C5F">
        <w:rPr>
          <w:lang w:val="fr-FR"/>
        </w:rPr>
        <w:t>’</w:t>
      </w:r>
      <w:r w:rsidRPr="0099433A">
        <w:rPr>
          <w:lang w:val="fr-FR"/>
        </w:rPr>
        <w:t>intention des juges, des magistrats et des avocats.</w:t>
      </w:r>
    </w:p>
    <w:p w14:paraId="47A32D22" w14:textId="7A4E8771"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La Constitution mauricienne, qui est la loi suprême du pays, prône l</w:t>
      </w:r>
      <w:r w:rsidR="00795C5F">
        <w:rPr>
          <w:lang w:val="fr-FR"/>
        </w:rPr>
        <w:t>’</w:t>
      </w:r>
      <w:r w:rsidRPr="0099433A">
        <w:rPr>
          <w:lang w:val="fr-FR"/>
        </w:rPr>
        <w:t>égalité des hommes et des femmes. C</w:t>
      </w:r>
      <w:r w:rsidR="00795C5F">
        <w:rPr>
          <w:lang w:val="fr-FR"/>
        </w:rPr>
        <w:t>’</w:t>
      </w:r>
      <w:r w:rsidRPr="0099433A">
        <w:rPr>
          <w:lang w:val="fr-FR"/>
        </w:rPr>
        <w:t>est là ce qui explique qu</w:t>
      </w:r>
      <w:r w:rsidR="00795C5F">
        <w:rPr>
          <w:lang w:val="fr-FR"/>
        </w:rPr>
        <w:t>’</w:t>
      </w:r>
      <w:r w:rsidRPr="0099433A">
        <w:rPr>
          <w:lang w:val="fr-FR"/>
        </w:rPr>
        <w:t>aucune mesure temporaire spéciale ne soit adoptée, le droit interne n</w:t>
      </w:r>
      <w:r w:rsidR="00795C5F">
        <w:rPr>
          <w:lang w:val="fr-FR"/>
        </w:rPr>
        <w:t>’</w:t>
      </w:r>
      <w:r w:rsidRPr="0099433A">
        <w:rPr>
          <w:lang w:val="fr-FR"/>
        </w:rPr>
        <w:t>autorisant pas la discrimination positive. Toutefois, l</w:t>
      </w:r>
      <w:r w:rsidR="00795C5F">
        <w:rPr>
          <w:lang w:val="fr-FR"/>
        </w:rPr>
        <w:t>’</w:t>
      </w:r>
      <w:r w:rsidRPr="0099433A">
        <w:rPr>
          <w:lang w:val="fr-FR"/>
        </w:rPr>
        <w:t>État fait de son mieux pour que les politiques et autres mesures qu</w:t>
      </w:r>
      <w:r w:rsidR="00795C5F">
        <w:rPr>
          <w:lang w:val="fr-FR"/>
        </w:rPr>
        <w:t>’</w:t>
      </w:r>
      <w:r w:rsidRPr="0099433A">
        <w:rPr>
          <w:lang w:val="fr-FR"/>
        </w:rPr>
        <w:t>il met en place contribuent à une réelle égalité entre les femmes et les hommes.</w:t>
      </w:r>
    </w:p>
    <w:p w14:paraId="5A075AB3" w14:textId="5B39F26F"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Maurice a déjà ratifié un certain nombre d</w:t>
      </w:r>
      <w:r w:rsidR="00795C5F">
        <w:rPr>
          <w:lang w:val="fr-FR"/>
        </w:rPr>
        <w:t>’</w:t>
      </w:r>
      <w:r w:rsidRPr="0099433A">
        <w:rPr>
          <w:lang w:val="fr-FR"/>
        </w:rPr>
        <w:t>instruments relatifs aux droits fondamentaux qui traitent des droits des femmes et des filles, ou y a adhéré. Il s</w:t>
      </w:r>
      <w:r w:rsidR="00795C5F">
        <w:rPr>
          <w:lang w:val="fr-FR"/>
        </w:rPr>
        <w:t>’</w:t>
      </w:r>
      <w:r w:rsidRPr="0099433A">
        <w:rPr>
          <w:lang w:val="fr-FR"/>
        </w:rPr>
        <w:t>agit de</w:t>
      </w:r>
      <w:r w:rsidR="00795C5F">
        <w:rPr>
          <w:lang w:val="fr-FR"/>
        </w:rPr>
        <w:t> :</w:t>
      </w:r>
    </w:p>
    <w:p w14:paraId="672F6DB3" w14:textId="2FF9EB1A"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a Convention sur l</w:t>
      </w:r>
      <w:r w:rsidR="00795C5F">
        <w:rPr>
          <w:lang w:val="fr-FR"/>
        </w:rPr>
        <w:t>’</w:t>
      </w:r>
      <w:r w:rsidR="0099433A" w:rsidRPr="0099433A">
        <w:rPr>
          <w:lang w:val="fr-FR"/>
        </w:rPr>
        <w:t>élimination de toutes les formes de discrimination à l</w:t>
      </w:r>
      <w:r w:rsidR="00795C5F">
        <w:rPr>
          <w:lang w:val="fr-FR"/>
        </w:rPr>
        <w:t>’</w:t>
      </w:r>
      <w:r w:rsidR="0099433A" w:rsidRPr="0099433A">
        <w:rPr>
          <w:lang w:val="fr-FR"/>
        </w:rPr>
        <w:t>égard des femmes (en 1984)</w:t>
      </w:r>
      <w:r w:rsidR="00795C5F">
        <w:rPr>
          <w:lang w:val="fr-FR"/>
        </w:rPr>
        <w:t> ;</w:t>
      </w:r>
      <w:r w:rsidR="0099433A" w:rsidRPr="0099433A">
        <w:rPr>
          <w:lang w:val="fr-FR"/>
        </w:rPr>
        <w:t xml:space="preserve"> </w:t>
      </w:r>
    </w:p>
    <w:p w14:paraId="219062B7" w14:textId="517ED661"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e Protocole facultatif à la Convention sur l</w:t>
      </w:r>
      <w:r w:rsidR="00795C5F">
        <w:rPr>
          <w:lang w:val="fr-FR"/>
        </w:rPr>
        <w:t>’</w:t>
      </w:r>
      <w:r w:rsidR="0099433A" w:rsidRPr="0099433A">
        <w:rPr>
          <w:lang w:val="fr-FR"/>
        </w:rPr>
        <w:t>élimination de toutes les formes de discrimination à l</w:t>
      </w:r>
      <w:r w:rsidR="00795C5F">
        <w:rPr>
          <w:lang w:val="fr-FR"/>
        </w:rPr>
        <w:t>’</w:t>
      </w:r>
      <w:r w:rsidR="0099433A" w:rsidRPr="0099433A">
        <w:rPr>
          <w:lang w:val="fr-FR"/>
        </w:rPr>
        <w:t>égard des femmes (en 2008)</w:t>
      </w:r>
      <w:r w:rsidR="00795C5F">
        <w:rPr>
          <w:lang w:val="fr-FR"/>
        </w:rPr>
        <w:t> ;</w:t>
      </w:r>
      <w:r w:rsidR="0099433A" w:rsidRPr="0099433A">
        <w:rPr>
          <w:lang w:val="fr-FR"/>
        </w:rPr>
        <w:t xml:space="preserve"> </w:t>
      </w:r>
    </w:p>
    <w:p w14:paraId="3B27D588" w14:textId="4E62D848"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a Convention relative aux droits de l</w:t>
      </w:r>
      <w:r w:rsidR="00795C5F">
        <w:rPr>
          <w:lang w:val="fr-FR"/>
        </w:rPr>
        <w:t>’</w:t>
      </w:r>
      <w:r w:rsidR="0099433A" w:rsidRPr="0099433A">
        <w:rPr>
          <w:lang w:val="fr-FR"/>
        </w:rPr>
        <w:t>enfant (en 1990)</w:t>
      </w:r>
      <w:r w:rsidR="00795C5F">
        <w:rPr>
          <w:lang w:val="fr-FR"/>
        </w:rPr>
        <w:t> ;</w:t>
      </w:r>
      <w:r w:rsidR="0099433A" w:rsidRPr="0099433A">
        <w:rPr>
          <w:lang w:val="fr-FR"/>
        </w:rPr>
        <w:t xml:space="preserve"> </w:t>
      </w:r>
    </w:p>
    <w:p w14:paraId="02378E17" w14:textId="0F5F5C02"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e Protocole facultatif à la Convention relative aux droits de l</w:t>
      </w:r>
      <w:r w:rsidR="00795C5F">
        <w:rPr>
          <w:lang w:val="fr-FR"/>
        </w:rPr>
        <w:t>’</w:t>
      </w:r>
      <w:r w:rsidR="0099433A" w:rsidRPr="0099433A">
        <w:rPr>
          <w:lang w:val="fr-FR"/>
        </w:rPr>
        <w:t>enfant, concernant l</w:t>
      </w:r>
      <w:r w:rsidR="00795C5F">
        <w:rPr>
          <w:lang w:val="fr-FR"/>
        </w:rPr>
        <w:t>’</w:t>
      </w:r>
      <w:r w:rsidR="0099433A" w:rsidRPr="0099433A">
        <w:rPr>
          <w:lang w:val="fr-FR"/>
        </w:rPr>
        <w:t>implication d</w:t>
      </w:r>
      <w:r w:rsidR="00795C5F">
        <w:rPr>
          <w:lang w:val="fr-FR"/>
        </w:rPr>
        <w:t>’</w:t>
      </w:r>
      <w:r w:rsidR="0099433A" w:rsidRPr="0099433A">
        <w:rPr>
          <w:lang w:val="fr-FR"/>
        </w:rPr>
        <w:t>enfants dans les conflits armés (en 2009)</w:t>
      </w:r>
      <w:r w:rsidR="00795C5F">
        <w:rPr>
          <w:lang w:val="fr-FR"/>
        </w:rPr>
        <w:t> ;</w:t>
      </w:r>
    </w:p>
    <w:p w14:paraId="2852A701" w14:textId="22C7A22E"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e Protocole facultatif à la Convention relative aux droits de l</w:t>
      </w:r>
      <w:r w:rsidR="00795C5F">
        <w:rPr>
          <w:lang w:val="fr-FR"/>
        </w:rPr>
        <w:t>’</w:t>
      </w:r>
      <w:r w:rsidR="0099433A" w:rsidRPr="0099433A">
        <w:rPr>
          <w:lang w:val="fr-FR"/>
        </w:rPr>
        <w:t>enfant, concernant la vente d</w:t>
      </w:r>
      <w:r w:rsidR="00795C5F">
        <w:rPr>
          <w:lang w:val="fr-FR"/>
        </w:rPr>
        <w:t>’</w:t>
      </w:r>
      <w:r w:rsidR="0099433A" w:rsidRPr="0099433A">
        <w:rPr>
          <w:lang w:val="fr-FR"/>
        </w:rPr>
        <w:t>enfants, la prostitution des enfants et la pornographie mettant en scène des enfants (en 2011)</w:t>
      </w:r>
      <w:r w:rsidR="00795C5F">
        <w:rPr>
          <w:lang w:val="fr-FR"/>
        </w:rPr>
        <w:t> ;</w:t>
      </w:r>
    </w:p>
    <w:p w14:paraId="05DD9002" w14:textId="5FA5757B"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L</w:t>
      </w:r>
      <w:r w:rsidR="0099433A" w:rsidRPr="0099433A">
        <w:rPr>
          <w:lang w:val="fr-FR"/>
        </w:rPr>
        <w:t>e Protocole à la Charte africaine des droits de l</w:t>
      </w:r>
      <w:r w:rsidR="00795C5F">
        <w:rPr>
          <w:lang w:val="fr-FR"/>
        </w:rPr>
        <w:t>’</w:t>
      </w:r>
      <w:r w:rsidR="0099433A" w:rsidRPr="0099433A">
        <w:rPr>
          <w:lang w:val="fr-FR"/>
        </w:rPr>
        <w:t>homme et des peuples relatif aux droits de la femme en Afrique (Protocole de Maputo) (en juin 2017).</w:t>
      </w:r>
    </w:p>
    <w:p w14:paraId="1FEA6183" w14:textId="29F2D7C1"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Maurice a signé le Protocole facultatif à la Convention relative aux droits de l</w:t>
      </w:r>
      <w:r w:rsidR="00795C5F">
        <w:rPr>
          <w:lang w:val="fr-FR"/>
        </w:rPr>
        <w:t>’</w:t>
      </w:r>
      <w:r w:rsidRPr="0099433A">
        <w:rPr>
          <w:lang w:val="fr-FR"/>
        </w:rPr>
        <w:t>enfant établissant une procédure de présentation de communications, mais ne l</w:t>
      </w:r>
      <w:r w:rsidR="00795C5F">
        <w:rPr>
          <w:lang w:val="fr-FR"/>
        </w:rPr>
        <w:t>’</w:t>
      </w:r>
      <w:r w:rsidRPr="0099433A">
        <w:rPr>
          <w:lang w:val="fr-FR"/>
        </w:rPr>
        <w:t xml:space="preserve">a pas encore ratifié. </w:t>
      </w:r>
    </w:p>
    <w:p w14:paraId="7DABAEAF" w14:textId="6F7113F5"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La Convention internationale sur la protection des droits de tous les travailleurs migrants et des membres de leur famille est réputée avoir à de nombreux égards une portée plus vaste que la législation mauricienne. Cette dernière ne couvre pas les membres des familles des travailleurs migrants, à l</w:t>
      </w:r>
      <w:r w:rsidR="00795C5F">
        <w:rPr>
          <w:lang w:val="fr-FR"/>
        </w:rPr>
        <w:t>’</w:t>
      </w:r>
      <w:r w:rsidRPr="0099433A">
        <w:rPr>
          <w:lang w:val="fr-FR"/>
        </w:rPr>
        <w:t>exception de ceux qui occupent des fonctions techniques ou des fonctions de supervision ou d</w:t>
      </w:r>
      <w:r w:rsidR="00795C5F">
        <w:rPr>
          <w:lang w:val="fr-FR"/>
        </w:rPr>
        <w:t>’</w:t>
      </w:r>
      <w:r w:rsidRPr="0099433A">
        <w:rPr>
          <w:lang w:val="fr-FR"/>
        </w:rPr>
        <w:t>encadrement. Les travailleurs migrants ne sont pas autorisés à être accompagnés par des membres de leur famille. Étant donné que la Convention prévoit également d</w:t>
      </w:r>
      <w:r w:rsidR="00795C5F">
        <w:rPr>
          <w:lang w:val="fr-FR"/>
        </w:rPr>
        <w:t>’</w:t>
      </w:r>
      <w:r w:rsidRPr="0099433A">
        <w:rPr>
          <w:lang w:val="fr-FR"/>
        </w:rPr>
        <w:t>accorder aux familles une protection en termes de sécurité sociale, de soins de santé et d</w:t>
      </w:r>
      <w:r w:rsidR="00795C5F">
        <w:rPr>
          <w:lang w:val="fr-FR"/>
        </w:rPr>
        <w:t>’</w:t>
      </w:r>
      <w:r w:rsidRPr="0099433A">
        <w:rPr>
          <w:lang w:val="fr-FR"/>
        </w:rPr>
        <w:t>éducation, des consultations approfondies devront être tenues avec les ministères concernés avant qu</w:t>
      </w:r>
      <w:r w:rsidR="00795C5F">
        <w:rPr>
          <w:lang w:val="fr-FR"/>
        </w:rPr>
        <w:t>’</w:t>
      </w:r>
      <w:r w:rsidRPr="0099433A">
        <w:rPr>
          <w:lang w:val="fr-FR"/>
        </w:rPr>
        <w:t xml:space="preserve">elle ne soit ratifiée, bien que cela ne soit pas envisagé pour le moment. </w:t>
      </w:r>
    </w:p>
    <w:p w14:paraId="3E597672" w14:textId="601793B7"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Une version en braille de la Constitution mauricienne est désormais disponible dans les bibliothèques publiques, les écoles pour aveugles et les établissements d</w:t>
      </w:r>
      <w:r w:rsidR="00795C5F">
        <w:rPr>
          <w:lang w:val="fr-FR"/>
        </w:rPr>
        <w:t>’</w:t>
      </w:r>
      <w:r w:rsidRPr="0099433A">
        <w:rPr>
          <w:lang w:val="fr-FR"/>
        </w:rPr>
        <w:t xml:space="preserve">enseignement supérieur. </w:t>
      </w:r>
    </w:p>
    <w:p w14:paraId="0921CB75" w14:textId="50BA5396"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La loi sur le contrôle des bâtiments a été votée en 2012. Ce texte, qui a abrogé la loi sur la construction, a notamment pour objet de veiller à ce que tous les bâtiments soient construits et entretenus de façon à garantir la sécurité des personnes, le bien</w:t>
      </w:r>
      <w:r w:rsidR="00146711">
        <w:rPr>
          <w:lang w:val="fr-FR"/>
        </w:rPr>
        <w:noBreakHyphen/>
      </w:r>
      <w:r w:rsidRPr="0099433A">
        <w:rPr>
          <w:lang w:val="fr-FR"/>
        </w:rPr>
        <w:t>être de la société et l</w:t>
      </w:r>
      <w:r w:rsidR="00795C5F">
        <w:rPr>
          <w:lang w:val="fr-FR"/>
        </w:rPr>
        <w:t>’</w:t>
      </w:r>
      <w:r w:rsidRPr="0099433A">
        <w:rPr>
          <w:lang w:val="fr-FR"/>
        </w:rPr>
        <w:t>accessibilité des structures à tous, y compris aux personnes porteuses d</w:t>
      </w:r>
      <w:r w:rsidR="00795C5F">
        <w:rPr>
          <w:lang w:val="fr-FR"/>
        </w:rPr>
        <w:t>’</w:t>
      </w:r>
      <w:r w:rsidRPr="0099433A">
        <w:rPr>
          <w:lang w:val="fr-FR"/>
        </w:rPr>
        <w:t>un handicap physique ou mental, aux personnes âgées et aux femmes enceintes. Chaque bâtiment doit également être conforme aux conditions requises en matière d</w:t>
      </w:r>
      <w:r w:rsidR="00795C5F">
        <w:rPr>
          <w:lang w:val="fr-FR"/>
        </w:rPr>
        <w:t>’</w:t>
      </w:r>
      <w:r w:rsidRPr="0099433A">
        <w:rPr>
          <w:lang w:val="fr-FR"/>
        </w:rPr>
        <w:t>égalité des sexes.</w:t>
      </w:r>
    </w:p>
    <w:p w14:paraId="70870B63" w14:textId="7F93BE81" w:rsidR="0099433A" w:rsidRPr="0099433A" w:rsidRDefault="0099433A" w:rsidP="00457EF9">
      <w:pPr>
        <w:pStyle w:val="SingleTxt"/>
        <w:numPr>
          <w:ilvl w:val="0"/>
          <w:numId w:val="41"/>
        </w:numPr>
        <w:tabs>
          <w:tab w:val="left" w:pos="1742"/>
        </w:tabs>
        <w:spacing w:line="240" w:lineRule="exact"/>
        <w:rPr>
          <w:lang w:val="fr-FR"/>
        </w:rPr>
      </w:pPr>
      <w:r w:rsidRPr="0099433A">
        <w:rPr>
          <w:lang w:val="fr-FR"/>
        </w:rPr>
        <w:lastRenderedPageBreak/>
        <w:t>En 2015, le Gouvernement a approuvé la création d</w:t>
      </w:r>
      <w:r w:rsidR="00795C5F">
        <w:rPr>
          <w:lang w:val="fr-FR"/>
        </w:rPr>
        <w:t>’</w:t>
      </w:r>
      <w:r w:rsidRPr="0099433A">
        <w:rPr>
          <w:lang w:val="fr-FR"/>
        </w:rPr>
        <w:t>un Comité ministériel chargé de formuler des recommandations en vue de procéder à des réformes électorales. Étaient notamment proposés l</w:t>
      </w:r>
      <w:r w:rsidR="00795C5F">
        <w:rPr>
          <w:lang w:val="fr-FR"/>
        </w:rPr>
        <w:t>’</w:t>
      </w:r>
      <w:r w:rsidRPr="0099433A">
        <w:rPr>
          <w:lang w:val="fr-FR"/>
        </w:rPr>
        <w:t>introduction d</w:t>
      </w:r>
      <w:r w:rsidR="00795C5F">
        <w:rPr>
          <w:lang w:val="fr-FR"/>
        </w:rPr>
        <w:t>’</w:t>
      </w:r>
      <w:r w:rsidRPr="0099433A">
        <w:rPr>
          <w:lang w:val="fr-FR"/>
        </w:rPr>
        <w:t>une dose de représentation proportionnelle à l</w:t>
      </w:r>
      <w:r w:rsidR="00795C5F">
        <w:rPr>
          <w:lang w:val="fr-FR"/>
        </w:rPr>
        <w:t>’</w:t>
      </w:r>
      <w:r w:rsidRPr="0099433A">
        <w:rPr>
          <w:lang w:val="fr-FR"/>
        </w:rPr>
        <w:t>Assemblée nationale et une meilleure représentation des femmes, une déclaration obligatoire d</w:t>
      </w:r>
      <w:r w:rsidR="00795C5F">
        <w:rPr>
          <w:lang w:val="fr-FR"/>
        </w:rPr>
        <w:t>’</w:t>
      </w:r>
      <w:r w:rsidRPr="0099433A">
        <w:rPr>
          <w:lang w:val="fr-FR"/>
        </w:rPr>
        <w:t>appartenance à une communauté, des mesures de lutte contre la défection, l</w:t>
      </w:r>
      <w:r w:rsidR="00795C5F">
        <w:rPr>
          <w:lang w:val="fr-FR"/>
        </w:rPr>
        <w:t>’</w:t>
      </w:r>
      <w:r w:rsidRPr="0099433A">
        <w:rPr>
          <w:lang w:val="fr-FR"/>
        </w:rPr>
        <w:t>élargissement des pouvoirs de la Commission électorale, un projet de loi sur le financement des partis politiques, ainsi que des modifications concernant le système électoral à Rodrigues. En 2016, un texte portant modification de la loi sur l</w:t>
      </w:r>
      <w:r w:rsidR="00795C5F">
        <w:rPr>
          <w:lang w:val="fr-FR"/>
        </w:rPr>
        <w:t>’</w:t>
      </w:r>
      <w:r w:rsidRPr="0099433A">
        <w:rPr>
          <w:lang w:val="fr-FR"/>
        </w:rPr>
        <w:t>Assemblée régionale de Rodrigues a été adopté. Un autre texte portant modification de la Constitution a également été voté dans la foulée, qui exige un nombre minimum de candidats de chaque sexe aux élections à l</w:t>
      </w:r>
      <w:r w:rsidR="00795C5F">
        <w:rPr>
          <w:lang w:val="fr-FR"/>
        </w:rPr>
        <w:t>’</w:t>
      </w:r>
      <w:r w:rsidRPr="0099433A">
        <w:rPr>
          <w:lang w:val="fr-FR"/>
        </w:rPr>
        <w:t xml:space="preserve">Assemblée régionale de Rodrigues, de façon à garantir une représentation correcte des femmes et des hommes. Par ailleurs, au début du mois de mai 2018, un </w:t>
      </w:r>
      <w:r w:rsidR="00146711">
        <w:rPr>
          <w:lang w:val="fr-FR"/>
        </w:rPr>
        <w:t>c</w:t>
      </w:r>
      <w:r w:rsidRPr="0099433A">
        <w:rPr>
          <w:lang w:val="fr-FR"/>
        </w:rPr>
        <w:t>omité ministériel présidé par le Ministre «</w:t>
      </w:r>
      <w:r w:rsidR="00457EF9">
        <w:rPr>
          <w:lang w:val="fr-FR"/>
        </w:rPr>
        <w:t> </w:t>
      </w:r>
      <w:r w:rsidRPr="0099433A">
        <w:rPr>
          <w:lang w:val="fr-FR"/>
        </w:rPr>
        <w:t>mentor</w:t>
      </w:r>
      <w:r w:rsidR="00457EF9">
        <w:rPr>
          <w:lang w:val="fr-FR"/>
        </w:rPr>
        <w:t> </w:t>
      </w:r>
      <w:r w:rsidRPr="0099433A">
        <w:rPr>
          <w:lang w:val="fr-FR"/>
        </w:rPr>
        <w:t>» a soumis son rapport, qui est actuellement examiné par le Cabinet du Premier Ministre avant d</w:t>
      </w:r>
      <w:r w:rsidR="00795C5F">
        <w:rPr>
          <w:lang w:val="fr-FR"/>
        </w:rPr>
        <w:t>’</w:t>
      </w:r>
      <w:r w:rsidRPr="0099433A">
        <w:rPr>
          <w:lang w:val="fr-FR"/>
        </w:rPr>
        <w:t>être communiqué aux autres membres du Gouvernement.</w:t>
      </w:r>
    </w:p>
    <w:p w14:paraId="07CCC489" w14:textId="493CE807"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Le projet de loi sur l</w:t>
      </w:r>
      <w:r w:rsidR="00795C5F">
        <w:rPr>
          <w:lang w:val="fr-FR"/>
        </w:rPr>
        <w:t>’</w:t>
      </w:r>
      <w:r w:rsidRPr="0099433A">
        <w:rPr>
          <w:lang w:val="fr-FR"/>
        </w:rPr>
        <w:t>intégration sociale et l</w:t>
      </w:r>
      <w:r w:rsidR="00795C5F">
        <w:rPr>
          <w:lang w:val="fr-FR"/>
        </w:rPr>
        <w:t>’</w:t>
      </w:r>
      <w:r w:rsidRPr="0099433A">
        <w:rPr>
          <w:lang w:val="fr-FR"/>
        </w:rPr>
        <w:t>autonomisation adopté en novembre 2016 vise à promouvoir l</w:t>
      </w:r>
      <w:r w:rsidR="00795C5F">
        <w:rPr>
          <w:lang w:val="fr-FR"/>
        </w:rPr>
        <w:t>’</w:t>
      </w:r>
      <w:r w:rsidRPr="0099433A">
        <w:rPr>
          <w:lang w:val="fr-FR"/>
        </w:rPr>
        <w:t>insertion et la démarginalisation des personnes vivant en situation de pauvreté absolue en vue de renforcer la justice sociale et l</w:t>
      </w:r>
      <w:r w:rsidR="00795C5F">
        <w:rPr>
          <w:lang w:val="fr-FR"/>
        </w:rPr>
        <w:t>’</w:t>
      </w:r>
      <w:r w:rsidRPr="0099433A">
        <w:rPr>
          <w:lang w:val="fr-FR"/>
        </w:rPr>
        <w:t>unité nationale. Il autorise la mise en place des programmes ou dispositifs d</w:t>
      </w:r>
      <w:r w:rsidR="00795C5F">
        <w:rPr>
          <w:lang w:val="fr-FR"/>
        </w:rPr>
        <w:t>’</w:t>
      </w:r>
      <w:r w:rsidRPr="0099433A">
        <w:rPr>
          <w:lang w:val="fr-FR"/>
        </w:rPr>
        <w:t>autonomisation requis pour</w:t>
      </w:r>
      <w:r w:rsidR="00795C5F">
        <w:rPr>
          <w:lang w:val="fr-FR"/>
        </w:rPr>
        <w:t> :</w:t>
      </w:r>
      <w:r w:rsidRPr="0099433A">
        <w:rPr>
          <w:lang w:val="fr-FR"/>
        </w:rPr>
        <w:t xml:space="preserve"> </w:t>
      </w:r>
    </w:p>
    <w:p w14:paraId="559C8114" w14:textId="409E1F52"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C</w:t>
      </w:r>
      <w:r w:rsidR="0099433A" w:rsidRPr="0099433A">
        <w:rPr>
          <w:lang w:val="fr-FR"/>
        </w:rPr>
        <w:t>ombattre la pauvreté absolue</w:t>
      </w:r>
      <w:r w:rsidR="00795C5F">
        <w:rPr>
          <w:lang w:val="fr-FR"/>
        </w:rPr>
        <w:t> ;</w:t>
      </w:r>
    </w:p>
    <w:p w14:paraId="7010B6C7" w14:textId="4A1A2DCC"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F</w:t>
      </w:r>
      <w:r w:rsidR="0099433A" w:rsidRPr="0099433A">
        <w:rPr>
          <w:lang w:val="fr-FR"/>
        </w:rPr>
        <w:t>ournir des services d</w:t>
      </w:r>
      <w:r w:rsidR="00795C5F">
        <w:rPr>
          <w:lang w:val="fr-FR"/>
        </w:rPr>
        <w:t>’</w:t>
      </w:r>
      <w:r w:rsidR="0099433A" w:rsidRPr="0099433A">
        <w:rPr>
          <w:lang w:val="fr-FR"/>
        </w:rPr>
        <w:t>appui et autres aux personnes qui vivent dans la pauvreté absolue</w:t>
      </w:r>
      <w:r w:rsidR="00795C5F">
        <w:rPr>
          <w:lang w:val="fr-FR"/>
        </w:rPr>
        <w:t> ;</w:t>
      </w:r>
    </w:p>
    <w:p w14:paraId="4C40DA51" w14:textId="695BBAC2" w:rsidR="0099433A" w:rsidRPr="0099433A" w:rsidRDefault="00A549C7" w:rsidP="00A549C7">
      <w:pPr>
        <w:pStyle w:val="SingleTxt"/>
        <w:tabs>
          <w:tab w:val="right" w:pos="1685"/>
        </w:tabs>
        <w:ind w:left="1742" w:hanging="475"/>
        <w:rPr>
          <w:lang w:val="fr-FR"/>
        </w:rPr>
      </w:pPr>
      <w:r>
        <w:rPr>
          <w:lang w:val="fr-FR"/>
        </w:rPr>
        <w:tab/>
      </w:r>
      <w:r w:rsidR="0099433A" w:rsidRPr="0099433A">
        <w:rPr>
          <w:lang w:val="fr-FR"/>
        </w:rPr>
        <w:t>•</w:t>
      </w:r>
      <w:r w:rsidR="0099433A" w:rsidRPr="0099433A">
        <w:rPr>
          <w:lang w:val="fr-FR"/>
        </w:rPr>
        <w:tab/>
      </w:r>
      <w:r>
        <w:rPr>
          <w:lang w:val="fr-FR"/>
        </w:rPr>
        <w:t>A</w:t>
      </w:r>
      <w:r w:rsidR="0099433A" w:rsidRPr="0099433A">
        <w:rPr>
          <w:lang w:val="fr-FR"/>
        </w:rPr>
        <w:t>ider les personnes vivant dans la pauvreté absolue à s</w:t>
      </w:r>
      <w:r w:rsidR="00795C5F">
        <w:rPr>
          <w:lang w:val="fr-FR"/>
        </w:rPr>
        <w:t>’</w:t>
      </w:r>
      <w:r w:rsidR="0099433A" w:rsidRPr="0099433A">
        <w:rPr>
          <w:lang w:val="fr-FR"/>
        </w:rPr>
        <w:t>intégrer dans la société.</w:t>
      </w:r>
    </w:p>
    <w:p w14:paraId="6F043029" w14:textId="1C53EF40"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En avril 2016, l</w:t>
      </w:r>
      <w:r w:rsidR="00795C5F">
        <w:rPr>
          <w:lang w:val="fr-FR"/>
        </w:rPr>
        <w:t>’</w:t>
      </w:r>
      <w:r w:rsidRPr="0099433A">
        <w:rPr>
          <w:lang w:val="fr-FR"/>
        </w:rPr>
        <w:t>Assemblée nationale a voté le projet de loi relatif au Conseil national des salaires. Ce texte prévoit la création d</w:t>
      </w:r>
      <w:r w:rsidR="00795C5F">
        <w:rPr>
          <w:lang w:val="fr-FR"/>
        </w:rPr>
        <w:t>’</w:t>
      </w:r>
      <w:r w:rsidRPr="0099433A">
        <w:rPr>
          <w:lang w:val="fr-FR"/>
        </w:rPr>
        <w:t xml:space="preserve">un </w:t>
      </w:r>
      <w:r w:rsidR="00146711">
        <w:rPr>
          <w:lang w:val="fr-FR"/>
        </w:rPr>
        <w:t>c</w:t>
      </w:r>
      <w:r w:rsidRPr="0099433A">
        <w:rPr>
          <w:lang w:val="fr-FR"/>
        </w:rPr>
        <w:t>onseil consultatif national des salaires ayant principalement pour mission d</w:t>
      </w:r>
      <w:r w:rsidR="00795C5F">
        <w:rPr>
          <w:lang w:val="fr-FR"/>
        </w:rPr>
        <w:t>’</w:t>
      </w:r>
      <w:r w:rsidRPr="0099433A">
        <w:rPr>
          <w:lang w:val="fr-FR"/>
        </w:rPr>
        <w:t>adresser des recommandations au Gouvernement concernant le salaire minimum et le versement d</w:t>
      </w:r>
      <w:r w:rsidR="00795C5F">
        <w:rPr>
          <w:lang w:val="fr-FR"/>
        </w:rPr>
        <w:t>’</w:t>
      </w:r>
      <w:r w:rsidRPr="0099433A">
        <w:rPr>
          <w:lang w:val="fr-FR"/>
        </w:rPr>
        <w:t>un complément de rémunération destiné à compenser chaque année toute augmentation du coût de la vie en vue d</w:t>
      </w:r>
      <w:r w:rsidR="00795C5F">
        <w:rPr>
          <w:lang w:val="fr-FR"/>
        </w:rPr>
        <w:t>’</w:t>
      </w:r>
      <w:r w:rsidRPr="0099433A">
        <w:rPr>
          <w:lang w:val="fr-FR"/>
        </w:rPr>
        <w:t>améliorer les conditions de vie des travailleurs.</w:t>
      </w:r>
    </w:p>
    <w:p w14:paraId="0EB893D4" w14:textId="5B0E2C09"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 xml:space="preserve">La loi de 2016 sur le sport est entrée en vigueur en janvier 2017. Elle institue une </w:t>
      </w:r>
      <w:r w:rsidR="00146711">
        <w:rPr>
          <w:lang w:val="fr-FR"/>
        </w:rPr>
        <w:t>c</w:t>
      </w:r>
      <w:r w:rsidRPr="0099433A">
        <w:rPr>
          <w:lang w:val="fr-FR"/>
        </w:rPr>
        <w:t>ommission nationale du sport féminin, qui a pour objet de promouvoir le sport auprès des femmes et des filles scolarisées.</w:t>
      </w:r>
    </w:p>
    <w:p w14:paraId="5A0BD41A" w14:textId="562B3707"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La loi de 1985 sur le Conseil national des femmes a été modifiée en avril 2016 de façon à fournir un cadre législatif plus moderne et approprié, et ce afin de favoriser plus encore l</w:t>
      </w:r>
      <w:r w:rsidR="00795C5F">
        <w:rPr>
          <w:lang w:val="fr-FR"/>
        </w:rPr>
        <w:t>’</w:t>
      </w:r>
      <w:r w:rsidRPr="0099433A">
        <w:rPr>
          <w:lang w:val="fr-FR"/>
        </w:rPr>
        <w:t>autonomisation des femmes et l</w:t>
      </w:r>
      <w:r w:rsidR="00795C5F">
        <w:rPr>
          <w:lang w:val="fr-FR"/>
        </w:rPr>
        <w:t>’</w:t>
      </w:r>
      <w:r w:rsidRPr="0099433A">
        <w:rPr>
          <w:lang w:val="fr-FR"/>
        </w:rPr>
        <w:t>égalité des sexes, en particulier grâce à une participation active des femmes dans le domaine social, en matière économique et sur le plan politique.</w:t>
      </w:r>
    </w:p>
    <w:p w14:paraId="12D4CA1B" w14:textId="7764724C"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En novembre 2016, le Ministère de l</w:t>
      </w:r>
      <w:r w:rsidR="00795C5F">
        <w:rPr>
          <w:lang w:val="fr-FR"/>
        </w:rPr>
        <w:t>’</w:t>
      </w:r>
      <w:r w:rsidRPr="0099433A">
        <w:rPr>
          <w:lang w:val="fr-FR"/>
        </w:rPr>
        <w:t>égalité des genres, du développement de l</w:t>
      </w:r>
      <w:r w:rsidR="00795C5F">
        <w:rPr>
          <w:lang w:val="fr-FR"/>
        </w:rPr>
        <w:t>’</w:t>
      </w:r>
      <w:r w:rsidRPr="0099433A">
        <w:rPr>
          <w:lang w:val="fr-FR"/>
        </w:rPr>
        <w:t>enfant et du bien-être familial a lancé un système d</w:t>
      </w:r>
      <w:r w:rsidR="00795C5F">
        <w:rPr>
          <w:lang w:val="fr-FR"/>
        </w:rPr>
        <w:t>’</w:t>
      </w:r>
      <w:r w:rsidRPr="0099433A">
        <w:rPr>
          <w:lang w:val="fr-FR"/>
        </w:rPr>
        <w:t>enregistrement en ligne des cas de violences familiales signalés. Le système est actuellement utilisé à titre expérimental dans quatre bureaux d</w:t>
      </w:r>
      <w:r w:rsidR="00795C5F">
        <w:rPr>
          <w:lang w:val="fr-FR"/>
        </w:rPr>
        <w:t>’</w:t>
      </w:r>
      <w:r w:rsidRPr="0099433A">
        <w:rPr>
          <w:lang w:val="fr-FR"/>
        </w:rPr>
        <w:t>aide à la famille opérant sous l</w:t>
      </w:r>
      <w:r w:rsidR="00795C5F">
        <w:rPr>
          <w:lang w:val="fr-FR"/>
        </w:rPr>
        <w:t>’</w:t>
      </w:r>
      <w:r w:rsidRPr="0099433A">
        <w:rPr>
          <w:lang w:val="fr-FR"/>
        </w:rPr>
        <w:t>égide du Ministère. Il permet d</w:t>
      </w:r>
      <w:r w:rsidR="00795C5F">
        <w:rPr>
          <w:lang w:val="fr-FR"/>
        </w:rPr>
        <w:t>’</w:t>
      </w:r>
      <w:r w:rsidRPr="0099433A">
        <w:rPr>
          <w:lang w:val="fr-FR"/>
        </w:rPr>
        <w:t>harmoniser les données, de faciliter la tenue des dossiers et d</w:t>
      </w:r>
      <w:r w:rsidR="00795C5F">
        <w:rPr>
          <w:lang w:val="fr-FR"/>
        </w:rPr>
        <w:t>’</w:t>
      </w:r>
      <w:r w:rsidRPr="0099433A">
        <w:rPr>
          <w:lang w:val="fr-FR"/>
        </w:rPr>
        <w:t>accélérer la recherche d</w:t>
      </w:r>
      <w:r w:rsidR="00795C5F">
        <w:rPr>
          <w:lang w:val="fr-FR"/>
        </w:rPr>
        <w:t>’</w:t>
      </w:r>
      <w:r w:rsidRPr="0099433A">
        <w:rPr>
          <w:lang w:val="fr-FR"/>
        </w:rPr>
        <w:t>informations sur les questions relatives aux violences familiales.</w:t>
      </w:r>
    </w:p>
    <w:p w14:paraId="085A2D6D" w14:textId="3A8823FB" w:rsidR="0099433A" w:rsidRPr="0099433A" w:rsidRDefault="0099433A" w:rsidP="00A549C7">
      <w:pPr>
        <w:pStyle w:val="SingleTxt"/>
        <w:numPr>
          <w:ilvl w:val="0"/>
          <w:numId w:val="41"/>
        </w:numPr>
        <w:tabs>
          <w:tab w:val="left" w:pos="1742"/>
        </w:tabs>
        <w:spacing w:line="240" w:lineRule="exact"/>
        <w:rPr>
          <w:lang w:val="fr-FR"/>
        </w:rPr>
      </w:pPr>
      <w:r w:rsidRPr="0099433A">
        <w:rPr>
          <w:lang w:val="fr-FR"/>
        </w:rPr>
        <w:t>Un registre de protection de l</w:t>
      </w:r>
      <w:r w:rsidR="00795C5F">
        <w:rPr>
          <w:lang w:val="fr-FR"/>
        </w:rPr>
        <w:t>’</w:t>
      </w:r>
      <w:r w:rsidRPr="0099433A">
        <w:rPr>
          <w:lang w:val="fr-FR"/>
        </w:rPr>
        <w:t>enfance a été mis en place afin de doter le pays d</w:t>
      </w:r>
      <w:r w:rsidR="00795C5F">
        <w:rPr>
          <w:lang w:val="fr-FR"/>
        </w:rPr>
        <w:t>’</w:t>
      </w:r>
      <w:r w:rsidRPr="0099433A">
        <w:rPr>
          <w:lang w:val="fr-FR"/>
        </w:rPr>
        <w:t>une base de données intégrée permettant d</w:t>
      </w:r>
      <w:r w:rsidR="00795C5F">
        <w:rPr>
          <w:lang w:val="fr-FR"/>
        </w:rPr>
        <w:t>’</w:t>
      </w:r>
      <w:r w:rsidRPr="0099433A">
        <w:rPr>
          <w:lang w:val="fr-FR"/>
        </w:rPr>
        <w:t>enregistrer tous les cas d</w:t>
      </w:r>
      <w:r w:rsidR="00795C5F">
        <w:rPr>
          <w:lang w:val="fr-FR"/>
        </w:rPr>
        <w:t>’</w:t>
      </w:r>
      <w:r w:rsidRPr="0099433A">
        <w:rPr>
          <w:lang w:val="fr-FR"/>
        </w:rPr>
        <w:t>enfants en détresse signalés au Groupe du développement de l</w:t>
      </w:r>
      <w:r w:rsidR="00795C5F">
        <w:rPr>
          <w:lang w:val="fr-FR"/>
        </w:rPr>
        <w:t>’</w:t>
      </w:r>
      <w:r w:rsidRPr="0099433A">
        <w:rPr>
          <w:lang w:val="fr-FR"/>
        </w:rPr>
        <w:t>enfant rattaché au Ministère de l</w:t>
      </w:r>
      <w:r w:rsidR="00795C5F">
        <w:rPr>
          <w:lang w:val="fr-FR"/>
        </w:rPr>
        <w:t>’</w:t>
      </w:r>
      <w:r w:rsidRPr="0099433A">
        <w:rPr>
          <w:lang w:val="fr-FR"/>
        </w:rPr>
        <w:t>égalité des genres, du développement de l</w:t>
      </w:r>
      <w:r w:rsidR="00795C5F">
        <w:rPr>
          <w:lang w:val="fr-FR"/>
        </w:rPr>
        <w:t>’</w:t>
      </w:r>
      <w:r w:rsidRPr="0099433A">
        <w:rPr>
          <w:lang w:val="fr-FR"/>
        </w:rPr>
        <w:t xml:space="preserve">enfant et du bien-être de la famille. Le </w:t>
      </w:r>
      <w:r w:rsidRPr="0099433A">
        <w:rPr>
          <w:lang w:val="fr-FR"/>
        </w:rPr>
        <w:lastRenderedPageBreak/>
        <w:t>registre doit principalement permettre d</w:t>
      </w:r>
      <w:r w:rsidR="00795C5F">
        <w:rPr>
          <w:lang w:val="fr-FR"/>
        </w:rPr>
        <w:t>’</w:t>
      </w:r>
      <w:r w:rsidRPr="0099433A">
        <w:rPr>
          <w:lang w:val="fr-FR"/>
        </w:rPr>
        <w:t>améliorer la tenue des dossiers et la gestion globale des situations d</w:t>
      </w:r>
      <w:r w:rsidR="00795C5F">
        <w:rPr>
          <w:lang w:val="fr-FR"/>
        </w:rPr>
        <w:t>’</w:t>
      </w:r>
      <w:r w:rsidRPr="0099433A">
        <w:rPr>
          <w:lang w:val="fr-FR"/>
        </w:rPr>
        <w:t>enfants en détresse, faciliter la production de données statistiques qui puissent contribuer à prendre des décisions éclairées, et aider à repérer et suivre les cas de récidive.</w:t>
      </w:r>
    </w:p>
    <w:p w14:paraId="068D6A3F" w14:textId="028F8802" w:rsidR="0099433A" w:rsidRDefault="0099433A" w:rsidP="00A549C7">
      <w:pPr>
        <w:pStyle w:val="SingleTxt"/>
        <w:numPr>
          <w:ilvl w:val="0"/>
          <w:numId w:val="41"/>
        </w:numPr>
        <w:tabs>
          <w:tab w:val="left" w:pos="1742"/>
        </w:tabs>
        <w:spacing w:line="240" w:lineRule="exact"/>
        <w:rPr>
          <w:lang w:val="fr-FR"/>
        </w:rPr>
      </w:pPr>
      <w:r w:rsidRPr="0099433A">
        <w:rPr>
          <w:lang w:val="fr-FR"/>
        </w:rPr>
        <w:t>En 2018, l</w:t>
      </w:r>
      <w:r w:rsidR="00795C5F">
        <w:rPr>
          <w:lang w:val="fr-FR"/>
        </w:rPr>
        <w:t>’</w:t>
      </w:r>
      <w:r w:rsidRPr="0099433A">
        <w:rPr>
          <w:lang w:val="fr-FR"/>
        </w:rPr>
        <w:t>Union européenne a aidé le Ministère de l</w:t>
      </w:r>
      <w:r w:rsidR="00795C5F">
        <w:rPr>
          <w:lang w:val="fr-FR"/>
        </w:rPr>
        <w:t>’</w:t>
      </w:r>
      <w:r w:rsidRPr="0099433A">
        <w:rPr>
          <w:lang w:val="fr-FR"/>
        </w:rPr>
        <w:t>égalité des genres, du développement de l</w:t>
      </w:r>
      <w:r w:rsidR="00795C5F">
        <w:rPr>
          <w:lang w:val="fr-FR"/>
        </w:rPr>
        <w:t>’</w:t>
      </w:r>
      <w:r w:rsidRPr="0099433A">
        <w:rPr>
          <w:lang w:val="fr-FR"/>
        </w:rPr>
        <w:t>enfant et du bien-être à élaborer un projet de loi sur l</w:t>
      </w:r>
      <w:r w:rsidR="00795C5F">
        <w:rPr>
          <w:lang w:val="fr-FR"/>
        </w:rPr>
        <w:t>’</w:t>
      </w:r>
      <w:r w:rsidRPr="0099433A">
        <w:rPr>
          <w:lang w:val="fr-FR"/>
        </w:rPr>
        <w:t>égalité des sexes, aux fins duquel des consultations ont été tenues avec les principales parties prenantes.</w:t>
      </w:r>
    </w:p>
    <w:p w14:paraId="16BAAEEE" w14:textId="28765A65" w:rsidR="00A549C7" w:rsidRPr="00A549C7" w:rsidRDefault="00A549C7" w:rsidP="00A549C7">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5F768E29" wp14:editId="0002531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6607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bookmarkStart w:id="1" w:name="_GoBack"/>
      <w:bookmarkEnd w:id="1"/>
    </w:p>
    <w:sectPr w:rsidR="00A549C7" w:rsidRPr="00A549C7" w:rsidSect="00986E3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3T18:43:00Z" w:initials="Start">
    <w:p w14:paraId="4E437717" w14:textId="77777777" w:rsidR="00ED416A" w:rsidRPr="00986E32" w:rsidRDefault="00ED416A">
      <w:pPr>
        <w:pStyle w:val="CommentText"/>
        <w:rPr>
          <w:lang w:val="en-US"/>
        </w:rPr>
      </w:pPr>
      <w:r>
        <w:fldChar w:fldCharType="begin"/>
      </w:r>
      <w:r w:rsidRPr="00986E32">
        <w:rPr>
          <w:rStyle w:val="CommentReference"/>
          <w:lang w:val="en-US"/>
        </w:rPr>
        <w:instrText xml:space="preserve"> </w:instrText>
      </w:r>
      <w:r w:rsidRPr="00986E32">
        <w:rPr>
          <w:lang w:val="en-US"/>
        </w:rPr>
        <w:instrText>PAGE \# "'Page: '#'</w:instrText>
      </w:r>
      <w:r w:rsidRPr="00986E32">
        <w:rPr>
          <w:lang w:val="en-US"/>
        </w:rPr>
        <w:br/>
        <w:instrText>'"</w:instrText>
      </w:r>
      <w:r w:rsidRPr="00986E32">
        <w:rPr>
          <w:rStyle w:val="CommentReference"/>
          <w:lang w:val="en-US"/>
        </w:rPr>
        <w:instrText xml:space="preserve"> </w:instrText>
      </w:r>
      <w:r>
        <w:fldChar w:fldCharType="end"/>
      </w:r>
      <w:r>
        <w:rPr>
          <w:rStyle w:val="CommentReference"/>
        </w:rPr>
        <w:annotationRef/>
      </w:r>
      <w:r w:rsidRPr="00986E32">
        <w:rPr>
          <w:lang w:val="en-US"/>
        </w:rPr>
        <w:t>&lt;&lt;ODS JOB NO&gt;&gt;N1819420F&lt;&lt;ODS JOB NO&gt;&gt;</w:t>
      </w:r>
    </w:p>
    <w:p w14:paraId="0D3C9955" w14:textId="77777777" w:rsidR="00ED416A" w:rsidRDefault="00ED416A">
      <w:pPr>
        <w:pStyle w:val="CommentText"/>
      </w:pPr>
      <w:r>
        <w:t>&lt;&lt;ODS DOC SYMBOL1&gt;&gt;CEDAW/C/MUS/8&lt;&lt;ODS DOC SYMBOL1&gt;&gt;</w:t>
      </w:r>
    </w:p>
    <w:p w14:paraId="68D2FB89" w14:textId="77777777" w:rsidR="00ED416A" w:rsidRDefault="00ED416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2FB8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732C" w14:textId="77777777" w:rsidR="00ED416A" w:rsidRDefault="00ED416A" w:rsidP="00101B18">
      <w:pPr>
        <w:spacing w:line="240" w:lineRule="auto"/>
      </w:pPr>
      <w:r>
        <w:separator/>
      </w:r>
    </w:p>
  </w:endnote>
  <w:endnote w:type="continuationSeparator" w:id="0">
    <w:p w14:paraId="47800A98" w14:textId="77777777" w:rsidR="00ED416A" w:rsidRDefault="00ED416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Italic">
    <w:altName w:val="Times New Roman"/>
    <w:panose1 w:val="02020503050405090304"/>
    <w:charset w:val="00"/>
    <w:family w:val="roman"/>
    <w:notTrueType/>
    <w:pitch w:val="default"/>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416A" w14:paraId="23DD57EA" w14:textId="77777777" w:rsidTr="00237300">
      <w:tc>
        <w:tcPr>
          <w:tcW w:w="4920" w:type="dxa"/>
          <w:shd w:val="clear" w:color="auto" w:fill="auto"/>
        </w:tcPr>
        <w:p w14:paraId="0783A15E" w14:textId="167F4CA8" w:rsidR="00ED416A" w:rsidRPr="00237300" w:rsidRDefault="00ED416A" w:rsidP="002373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6711">
            <w:rPr>
              <w:b w:val="0"/>
              <w:w w:val="103"/>
              <w:sz w:val="14"/>
            </w:rPr>
            <w:t>18-10300</w:t>
          </w:r>
          <w:r>
            <w:rPr>
              <w:b w:val="0"/>
              <w:w w:val="103"/>
              <w:sz w:val="14"/>
            </w:rPr>
            <w:fldChar w:fldCharType="end"/>
          </w:r>
        </w:p>
      </w:tc>
      <w:tc>
        <w:tcPr>
          <w:tcW w:w="4920" w:type="dxa"/>
          <w:shd w:val="clear" w:color="auto" w:fill="auto"/>
        </w:tcPr>
        <w:p w14:paraId="5FD25A41" w14:textId="77777777" w:rsidR="00ED416A" w:rsidRPr="00237300" w:rsidRDefault="00ED416A" w:rsidP="0023730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D827FD9" w14:textId="77777777" w:rsidR="00ED416A" w:rsidRPr="00237300" w:rsidRDefault="00ED416A" w:rsidP="00237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416A" w14:paraId="65A76A1E" w14:textId="77777777" w:rsidTr="00237300">
      <w:tc>
        <w:tcPr>
          <w:tcW w:w="4920" w:type="dxa"/>
          <w:shd w:val="clear" w:color="auto" w:fill="auto"/>
        </w:tcPr>
        <w:p w14:paraId="6206C226" w14:textId="77777777" w:rsidR="00ED416A" w:rsidRPr="00237300" w:rsidRDefault="00ED416A" w:rsidP="0023730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853105C" w14:textId="7419ABE4" w:rsidR="00ED416A" w:rsidRPr="00237300" w:rsidRDefault="00ED416A" w:rsidP="002373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6711">
            <w:rPr>
              <w:b w:val="0"/>
              <w:w w:val="103"/>
              <w:sz w:val="14"/>
            </w:rPr>
            <w:t>18-10300</w:t>
          </w:r>
          <w:r>
            <w:rPr>
              <w:b w:val="0"/>
              <w:w w:val="103"/>
              <w:sz w:val="14"/>
            </w:rPr>
            <w:fldChar w:fldCharType="end"/>
          </w:r>
        </w:p>
      </w:tc>
    </w:tr>
  </w:tbl>
  <w:p w14:paraId="629EF2CA" w14:textId="77777777" w:rsidR="00ED416A" w:rsidRPr="00237300" w:rsidRDefault="00ED416A" w:rsidP="00237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5CEE" w14:textId="77777777" w:rsidR="00ED416A" w:rsidRDefault="00ED416A">
    <w:pPr>
      <w:pStyle w:val="Footer"/>
    </w:pPr>
    <w:r>
      <w:rPr>
        <w:noProof/>
      </w:rPr>
      <w:drawing>
        <wp:anchor distT="0" distB="0" distL="114300" distR="114300" simplePos="0" relativeHeight="251658240" behindDoc="0" locked="0" layoutInCell="1" allowOverlap="1" wp14:anchorId="301F6927" wp14:editId="4011D2A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US/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D416A" w14:paraId="137BD377" w14:textId="77777777" w:rsidTr="00237300">
      <w:tc>
        <w:tcPr>
          <w:tcW w:w="3758" w:type="dxa"/>
        </w:tcPr>
        <w:p w14:paraId="4DCEE9C8" w14:textId="29B440C7" w:rsidR="00ED416A" w:rsidRDefault="00ED416A" w:rsidP="002373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A6711">
            <w:rPr>
              <w:b w:val="0"/>
              <w:sz w:val="20"/>
            </w:rPr>
            <w:t>18-10300 (F)</w:t>
          </w:r>
          <w:r>
            <w:rPr>
              <w:b w:val="0"/>
              <w:sz w:val="20"/>
            </w:rPr>
            <w:fldChar w:fldCharType="end"/>
          </w:r>
          <w:r>
            <w:rPr>
              <w:b w:val="0"/>
              <w:sz w:val="20"/>
            </w:rPr>
            <w:t xml:space="preserve">    120918    170918</w:t>
          </w:r>
        </w:p>
        <w:p w14:paraId="15EB76E6" w14:textId="60200EB0" w:rsidR="00ED416A" w:rsidRPr="00237300" w:rsidRDefault="00ED416A" w:rsidP="002373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A6711">
            <w:rPr>
              <w:rFonts w:ascii="Barcode 3 of 9 by request" w:hAnsi="Barcode 3 of 9 by request"/>
              <w:spacing w:val="0"/>
              <w:w w:val="100"/>
              <w:sz w:val="24"/>
            </w:rPr>
            <w:t>*1810300*</w:t>
          </w:r>
          <w:r>
            <w:rPr>
              <w:rFonts w:ascii="Barcode 3 of 9 by request" w:hAnsi="Barcode 3 of 9 by request"/>
              <w:spacing w:val="0"/>
              <w:w w:val="100"/>
              <w:sz w:val="24"/>
            </w:rPr>
            <w:fldChar w:fldCharType="end"/>
          </w:r>
        </w:p>
      </w:tc>
      <w:tc>
        <w:tcPr>
          <w:tcW w:w="4920" w:type="dxa"/>
        </w:tcPr>
        <w:p w14:paraId="053D15D9" w14:textId="77777777" w:rsidR="00ED416A" w:rsidRDefault="00ED416A" w:rsidP="00237300">
          <w:pPr>
            <w:pStyle w:val="Footer"/>
            <w:spacing w:line="240" w:lineRule="atLeast"/>
            <w:jc w:val="right"/>
            <w:rPr>
              <w:b w:val="0"/>
              <w:sz w:val="20"/>
            </w:rPr>
          </w:pPr>
          <w:r>
            <w:rPr>
              <w:b w:val="0"/>
              <w:noProof/>
              <w:sz w:val="20"/>
            </w:rPr>
            <w:drawing>
              <wp:inline distT="0" distB="0" distL="0" distR="0" wp14:anchorId="06CB80E7" wp14:editId="481CD9C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06C4776" w14:textId="77777777" w:rsidR="00ED416A" w:rsidRPr="00237300" w:rsidRDefault="00ED416A" w:rsidP="0023730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4C0A5" w14:textId="1C683FA8" w:rsidR="00ED416A" w:rsidRPr="007C0CFC" w:rsidRDefault="00ED416A" w:rsidP="007C0CFC">
      <w:pPr>
        <w:pStyle w:val="Footer"/>
        <w:spacing w:after="80"/>
        <w:ind w:left="792"/>
        <w:rPr>
          <w:sz w:val="16"/>
        </w:rPr>
      </w:pPr>
      <w:r w:rsidRPr="007C0CFC">
        <w:rPr>
          <w:sz w:val="16"/>
        </w:rPr>
        <w:t>__________________</w:t>
      </w:r>
    </w:p>
  </w:footnote>
  <w:footnote w:type="continuationSeparator" w:id="0">
    <w:p w14:paraId="1855211E" w14:textId="60E03176" w:rsidR="00ED416A" w:rsidRPr="007C0CFC" w:rsidRDefault="00ED416A" w:rsidP="007C0CFC">
      <w:pPr>
        <w:pStyle w:val="Footer"/>
        <w:spacing w:after="80"/>
        <w:ind w:left="792"/>
        <w:rPr>
          <w:sz w:val="16"/>
        </w:rPr>
      </w:pPr>
      <w:r w:rsidRPr="007C0CFC">
        <w:rPr>
          <w:sz w:val="16"/>
        </w:rPr>
        <w:t>__________________</w:t>
      </w:r>
    </w:p>
  </w:footnote>
  <w:footnote w:id="1">
    <w:p w14:paraId="0D43BFD3" w14:textId="5F0B6167" w:rsidR="00ED416A" w:rsidRPr="00977963" w:rsidRDefault="00ED416A" w:rsidP="007C0CFC">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Aucune précision n’est apportée sur le caractère spontané ou provoqué, ou médicalisé ou non médicalisé de ces avortements.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D416A" w14:paraId="4B134223" w14:textId="77777777" w:rsidTr="00237300">
      <w:trPr>
        <w:trHeight w:hRule="exact" w:val="864"/>
      </w:trPr>
      <w:tc>
        <w:tcPr>
          <w:tcW w:w="4920" w:type="dxa"/>
          <w:shd w:val="clear" w:color="auto" w:fill="auto"/>
          <w:vAlign w:val="bottom"/>
        </w:tcPr>
        <w:p w14:paraId="646E29FC" w14:textId="7E545121" w:rsidR="00ED416A" w:rsidRPr="00237300" w:rsidRDefault="00ED416A" w:rsidP="0023730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6711">
            <w:rPr>
              <w:b/>
              <w:color w:val="000000"/>
            </w:rPr>
            <w:t>CEDAW/C/MUS/8</w:t>
          </w:r>
          <w:r>
            <w:rPr>
              <w:b/>
              <w:color w:val="000000"/>
            </w:rPr>
            <w:fldChar w:fldCharType="end"/>
          </w:r>
        </w:p>
      </w:tc>
      <w:tc>
        <w:tcPr>
          <w:tcW w:w="4920" w:type="dxa"/>
          <w:shd w:val="clear" w:color="auto" w:fill="auto"/>
          <w:vAlign w:val="bottom"/>
        </w:tcPr>
        <w:p w14:paraId="714DA72C" w14:textId="77777777" w:rsidR="00ED416A" w:rsidRDefault="00ED416A" w:rsidP="00237300">
          <w:pPr>
            <w:pStyle w:val="Header"/>
          </w:pPr>
        </w:p>
      </w:tc>
    </w:tr>
  </w:tbl>
  <w:p w14:paraId="3CDD1BFF" w14:textId="77777777" w:rsidR="00ED416A" w:rsidRPr="00237300" w:rsidRDefault="00ED416A" w:rsidP="0023730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D416A" w14:paraId="6F31971E" w14:textId="77777777" w:rsidTr="00237300">
      <w:trPr>
        <w:trHeight w:hRule="exact" w:val="864"/>
      </w:trPr>
      <w:tc>
        <w:tcPr>
          <w:tcW w:w="4920" w:type="dxa"/>
          <w:shd w:val="clear" w:color="auto" w:fill="auto"/>
          <w:vAlign w:val="bottom"/>
        </w:tcPr>
        <w:p w14:paraId="3AB51297" w14:textId="77777777" w:rsidR="00ED416A" w:rsidRDefault="00ED416A" w:rsidP="00237300">
          <w:pPr>
            <w:pStyle w:val="Header"/>
          </w:pPr>
        </w:p>
      </w:tc>
      <w:tc>
        <w:tcPr>
          <w:tcW w:w="4920" w:type="dxa"/>
          <w:shd w:val="clear" w:color="auto" w:fill="auto"/>
          <w:vAlign w:val="bottom"/>
        </w:tcPr>
        <w:p w14:paraId="4F9701EC" w14:textId="77ED7EE9" w:rsidR="00ED416A" w:rsidRPr="00237300" w:rsidRDefault="00ED416A" w:rsidP="0023730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6711">
            <w:rPr>
              <w:b/>
              <w:color w:val="000000"/>
            </w:rPr>
            <w:t>CEDAW/C/MUS/8</w:t>
          </w:r>
          <w:r>
            <w:rPr>
              <w:b/>
              <w:color w:val="000000"/>
            </w:rPr>
            <w:fldChar w:fldCharType="end"/>
          </w:r>
        </w:p>
      </w:tc>
    </w:tr>
  </w:tbl>
  <w:p w14:paraId="5C7F58AD" w14:textId="77777777" w:rsidR="00ED416A" w:rsidRPr="00237300" w:rsidRDefault="00ED416A" w:rsidP="0023730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D416A" w14:paraId="7445E648" w14:textId="77777777" w:rsidTr="00237300">
      <w:trPr>
        <w:trHeight w:hRule="exact" w:val="864"/>
      </w:trPr>
      <w:tc>
        <w:tcPr>
          <w:tcW w:w="1267" w:type="dxa"/>
          <w:tcBorders>
            <w:bottom w:val="single" w:sz="4" w:space="0" w:color="auto"/>
          </w:tcBorders>
          <w:shd w:val="clear" w:color="auto" w:fill="auto"/>
          <w:vAlign w:val="bottom"/>
        </w:tcPr>
        <w:p w14:paraId="36599B2C" w14:textId="77777777" w:rsidR="00ED416A" w:rsidRDefault="00ED416A" w:rsidP="00237300">
          <w:pPr>
            <w:pStyle w:val="Header"/>
            <w:spacing w:after="120"/>
          </w:pPr>
        </w:p>
      </w:tc>
      <w:tc>
        <w:tcPr>
          <w:tcW w:w="2059" w:type="dxa"/>
          <w:tcBorders>
            <w:bottom w:val="single" w:sz="4" w:space="0" w:color="auto"/>
          </w:tcBorders>
          <w:shd w:val="clear" w:color="auto" w:fill="auto"/>
          <w:vAlign w:val="bottom"/>
        </w:tcPr>
        <w:p w14:paraId="26A2BA62" w14:textId="77777777" w:rsidR="00ED416A" w:rsidRPr="00237300" w:rsidRDefault="00ED416A" w:rsidP="0023730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BD4FB72" w14:textId="77777777" w:rsidR="00ED416A" w:rsidRDefault="00ED416A" w:rsidP="00237300">
          <w:pPr>
            <w:pStyle w:val="Header"/>
            <w:spacing w:after="120"/>
          </w:pPr>
        </w:p>
      </w:tc>
      <w:tc>
        <w:tcPr>
          <w:tcW w:w="6466" w:type="dxa"/>
          <w:gridSpan w:val="3"/>
          <w:tcBorders>
            <w:bottom w:val="single" w:sz="4" w:space="0" w:color="auto"/>
          </w:tcBorders>
          <w:shd w:val="clear" w:color="auto" w:fill="auto"/>
          <w:vAlign w:val="bottom"/>
        </w:tcPr>
        <w:p w14:paraId="44BF26F2" w14:textId="77777777" w:rsidR="00ED416A" w:rsidRPr="00237300" w:rsidRDefault="00ED416A" w:rsidP="00237300">
          <w:pPr>
            <w:spacing w:after="80" w:line="240" w:lineRule="auto"/>
            <w:jc w:val="right"/>
            <w:rPr>
              <w:position w:val="-4"/>
            </w:rPr>
          </w:pPr>
          <w:r>
            <w:rPr>
              <w:position w:val="-4"/>
              <w:sz w:val="40"/>
            </w:rPr>
            <w:t>CEDAW</w:t>
          </w:r>
          <w:r>
            <w:rPr>
              <w:position w:val="-4"/>
            </w:rPr>
            <w:t>/C/MUS/8</w:t>
          </w:r>
        </w:p>
      </w:tc>
    </w:tr>
    <w:tr w:rsidR="00ED416A" w:rsidRPr="00237300" w14:paraId="6AA1F996" w14:textId="77777777" w:rsidTr="00237300">
      <w:trPr>
        <w:trHeight w:hRule="exact" w:val="2880"/>
      </w:trPr>
      <w:tc>
        <w:tcPr>
          <w:tcW w:w="1267" w:type="dxa"/>
          <w:tcBorders>
            <w:top w:val="single" w:sz="4" w:space="0" w:color="auto"/>
            <w:bottom w:val="single" w:sz="12" w:space="0" w:color="auto"/>
          </w:tcBorders>
          <w:shd w:val="clear" w:color="auto" w:fill="auto"/>
        </w:tcPr>
        <w:p w14:paraId="38A0463A" w14:textId="77777777" w:rsidR="00ED416A" w:rsidRPr="00237300" w:rsidRDefault="00ED416A" w:rsidP="00237300">
          <w:pPr>
            <w:pStyle w:val="Header"/>
            <w:spacing w:before="120" w:line="240" w:lineRule="auto"/>
            <w:ind w:left="-72"/>
            <w:jc w:val="center"/>
          </w:pPr>
          <w:r>
            <w:t xml:space="preserve">  </w:t>
          </w:r>
          <w:r>
            <w:rPr>
              <w:noProof/>
            </w:rPr>
            <w:drawing>
              <wp:inline distT="0" distB="0" distL="0" distR="0" wp14:anchorId="65FE9DE5" wp14:editId="73FC463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B2F276" w14:textId="4DAE12A9" w:rsidR="00ED416A" w:rsidRPr="00237300" w:rsidRDefault="00ED416A" w:rsidP="0023730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70C9F71" w14:textId="77777777" w:rsidR="00ED416A" w:rsidRPr="00986E32" w:rsidRDefault="00ED416A" w:rsidP="00237300">
          <w:pPr>
            <w:pStyle w:val="Header"/>
            <w:spacing w:before="109"/>
            <w:rPr>
              <w:lang w:val="fr-FR"/>
            </w:rPr>
          </w:pPr>
        </w:p>
      </w:tc>
      <w:tc>
        <w:tcPr>
          <w:tcW w:w="3110" w:type="dxa"/>
          <w:tcBorders>
            <w:top w:val="single" w:sz="4" w:space="0" w:color="auto"/>
            <w:bottom w:val="single" w:sz="12" w:space="0" w:color="auto"/>
          </w:tcBorders>
          <w:shd w:val="clear" w:color="auto" w:fill="auto"/>
        </w:tcPr>
        <w:p w14:paraId="2A4D6E38" w14:textId="77777777" w:rsidR="00ED416A" w:rsidRPr="00986E32" w:rsidRDefault="00ED416A" w:rsidP="00237300">
          <w:pPr>
            <w:pStyle w:val="Distribution"/>
            <w:rPr>
              <w:color w:val="000000"/>
              <w:lang w:val="fr-FR"/>
            </w:rPr>
          </w:pPr>
          <w:r w:rsidRPr="00986E32">
            <w:rPr>
              <w:color w:val="000000"/>
              <w:lang w:val="fr-FR"/>
            </w:rPr>
            <w:t>Distr. générale</w:t>
          </w:r>
        </w:p>
        <w:p w14:paraId="778A2EB6" w14:textId="662C7EBC" w:rsidR="00ED416A" w:rsidRPr="00986E32" w:rsidRDefault="00ED416A" w:rsidP="00237300">
          <w:pPr>
            <w:pStyle w:val="Publication"/>
            <w:rPr>
              <w:color w:val="000000"/>
              <w:lang w:val="fr-FR"/>
            </w:rPr>
          </w:pPr>
          <w:r>
            <w:rPr>
              <w:color w:val="000000"/>
              <w:lang w:val="fr-FR"/>
            </w:rPr>
            <w:t xml:space="preserve">22 juin </w:t>
          </w:r>
          <w:r w:rsidRPr="00986E32">
            <w:rPr>
              <w:color w:val="000000"/>
              <w:lang w:val="fr-FR"/>
            </w:rPr>
            <w:t>2018</w:t>
          </w:r>
        </w:p>
        <w:p w14:paraId="0B2EEA31" w14:textId="77777777" w:rsidR="00ED416A" w:rsidRPr="00986E32" w:rsidRDefault="00ED416A" w:rsidP="00237300">
          <w:pPr>
            <w:rPr>
              <w:lang w:val="fr-FR"/>
            </w:rPr>
          </w:pPr>
          <w:r w:rsidRPr="00986E32">
            <w:rPr>
              <w:lang w:val="fr-FR"/>
            </w:rPr>
            <w:t>Français</w:t>
          </w:r>
        </w:p>
        <w:p w14:paraId="0DEA9564" w14:textId="143C965E" w:rsidR="00ED416A" w:rsidRDefault="00ED416A" w:rsidP="00237300">
          <w:pPr>
            <w:pStyle w:val="Original"/>
            <w:rPr>
              <w:color w:val="000000"/>
              <w:lang w:val="fr-FR"/>
            </w:rPr>
          </w:pPr>
          <w:r w:rsidRPr="00986E32">
            <w:rPr>
              <w:color w:val="000000"/>
              <w:lang w:val="fr-FR"/>
            </w:rPr>
            <w:t>Original</w:t>
          </w:r>
          <w:r>
            <w:rPr>
              <w:color w:val="000000"/>
              <w:lang w:val="fr-FR"/>
            </w:rPr>
            <w:t> :</w:t>
          </w:r>
          <w:r w:rsidRPr="00986E32">
            <w:rPr>
              <w:color w:val="000000"/>
              <w:lang w:val="fr-FR"/>
            </w:rPr>
            <w:t xml:space="preserve"> </w:t>
          </w:r>
        </w:p>
        <w:p w14:paraId="21DB06D6" w14:textId="7710EAC4" w:rsidR="00ED416A" w:rsidRPr="00986E32" w:rsidRDefault="00ED416A" w:rsidP="00986E32">
          <w:pPr>
            <w:rPr>
              <w:lang w:val="fr-FR"/>
            </w:rPr>
          </w:pPr>
          <w:r w:rsidRPr="00986E32">
            <w:rPr>
              <w:color w:val="000000"/>
              <w:lang w:val="fr-FR"/>
            </w:rPr>
            <w:t>anglais</w:t>
          </w:r>
          <w:r>
            <w:rPr>
              <w:lang w:val="fr-FR"/>
            </w:rPr>
            <w:t>, espagnol et français uniquement</w:t>
          </w:r>
        </w:p>
      </w:tc>
    </w:tr>
  </w:tbl>
  <w:p w14:paraId="62F0D205" w14:textId="77777777" w:rsidR="00ED416A" w:rsidRPr="00986E32" w:rsidRDefault="00ED416A" w:rsidP="0023730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1216370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6DD0A8D"/>
    <w:multiLevelType w:val="singleLevel"/>
    <w:tmpl w:val="9ACE75DC"/>
    <w:lvl w:ilvl="0">
      <w:start w:val="104"/>
      <w:numFmt w:val="decimal"/>
      <w:lvlRestart w:val="0"/>
      <w:lvlText w:val="%1."/>
      <w:lvlJc w:val="left"/>
      <w:pPr>
        <w:tabs>
          <w:tab w:val="num" w:pos="1742"/>
        </w:tabs>
        <w:ind w:left="1267" w:firstLine="0"/>
      </w:pPr>
      <w:rPr>
        <w:w w:val="100"/>
      </w:rPr>
    </w:lvl>
  </w:abstractNum>
  <w:abstractNum w:abstractNumId="3" w15:restartNumberingAfterBreak="0">
    <w:nsid w:val="12D06B23"/>
    <w:multiLevelType w:val="multilevel"/>
    <w:tmpl w:val="1230343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3844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81CC0"/>
    <w:multiLevelType w:val="hybridMultilevel"/>
    <w:tmpl w:val="C444D9B2"/>
    <w:lvl w:ilvl="0" w:tplc="09E4ECB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6420850"/>
    <w:multiLevelType w:val="hybridMultilevel"/>
    <w:tmpl w:val="59C67718"/>
    <w:lvl w:ilvl="0" w:tplc="8430A78A">
      <w:start w:val="116"/>
      <w:numFmt w:val="decimal"/>
      <w:lvlText w:val="%1."/>
      <w:lvlJc w:val="left"/>
      <w:pPr>
        <w:ind w:left="1353"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7B40547"/>
    <w:multiLevelType w:val="hybridMultilevel"/>
    <w:tmpl w:val="E1261AF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66336"/>
    <w:multiLevelType w:val="singleLevel"/>
    <w:tmpl w:val="0409000F"/>
    <w:lvl w:ilvl="0">
      <w:start w:val="1"/>
      <w:numFmt w:val="decimal"/>
      <w:lvlText w:val="%1."/>
      <w:lvlJc w:val="left"/>
      <w:pPr>
        <w:ind w:left="720" w:hanging="360"/>
      </w:pPr>
    </w:lvl>
  </w:abstractNum>
  <w:abstractNum w:abstractNumId="9" w15:restartNumberingAfterBreak="0">
    <w:nsid w:val="57BA4793"/>
    <w:multiLevelType w:val="singleLevel"/>
    <w:tmpl w:val="4BB4A8C4"/>
    <w:lvl w:ilvl="0">
      <w:start w:val="1"/>
      <w:numFmt w:val="decimal"/>
      <w:lvlRestart w:val="0"/>
      <w:lvlText w:val="%1."/>
      <w:lvlJc w:val="left"/>
      <w:pPr>
        <w:tabs>
          <w:tab w:val="num" w:pos="475"/>
        </w:tabs>
        <w:ind w:left="0" w:firstLine="0"/>
      </w:pPr>
      <w:rPr>
        <w:w w:val="100"/>
      </w:rPr>
    </w:lvl>
  </w:abstractNum>
  <w:abstractNum w:abstractNumId="10" w15:restartNumberingAfterBreak="0">
    <w:nsid w:val="5AD86A1C"/>
    <w:multiLevelType w:val="singleLevel"/>
    <w:tmpl w:val="0409000F"/>
    <w:lvl w:ilvl="0">
      <w:start w:val="1"/>
      <w:numFmt w:val="decimal"/>
      <w:lvlText w:val="%1."/>
      <w:lvlJc w:val="left"/>
      <w:pPr>
        <w:ind w:left="720" w:hanging="360"/>
      </w:pPr>
    </w:lvl>
  </w:abstractNum>
  <w:abstractNum w:abstractNumId="11" w15:restartNumberingAfterBreak="0">
    <w:nsid w:val="74122010"/>
    <w:multiLevelType w:val="singleLevel"/>
    <w:tmpl w:val="0409000F"/>
    <w:lvl w:ilvl="0">
      <w:start w:val="1"/>
      <w:numFmt w:val="decimal"/>
      <w:lvlText w:val="%1."/>
      <w:lvlJc w:val="left"/>
      <w:pPr>
        <w:ind w:left="720" w:hanging="360"/>
      </w:pPr>
    </w:lvl>
  </w:abstractNum>
  <w:abstractNum w:abstractNumId="12" w15:restartNumberingAfterBreak="0">
    <w:nsid w:val="76FD2B76"/>
    <w:multiLevelType w:val="singleLevel"/>
    <w:tmpl w:val="9ACE75DC"/>
    <w:lvl w:ilvl="0">
      <w:start w:val="104"/>
      <w:numFmt w:val="decimal"/>
      <w:lvlRestart w:val="0"/>
      <w:lvlText w:val="%1."/>
      <w:lvlJc w:val="left"/>
      <w:pPr>
        <w:tabs>
          <w:tab w:val="num" w:pos="1742"/>
        </w:tabs>
        <w:ind w:left="1267" w:firstLine="0"/>
      </w:pPr>
      <w:rPr>
        <w:w w:val="100"/>
      </w:rPr>
    </w:lvl>
  </w:abstractNum>
  <w:num w:numId="1">
    <w:abstractNumId w:val="4"/>
  </w:num>
  <w:num w:numId="2">
    <w:abstractNumId w:val="7"/>
  </w:num>
  <w:num w:numId="3">
    <w:abstractNumId w:val="1"/>
  </w:num>
  <w:num w:numId="4">
    <w:abstractNumId w:val="3"/>
  </w:num>
  <w:num w:numId="5">
    <w:abstractNumId w:val="4"/>
  </w:num>
  <w:num w:numId="6">
    <w:abstractNumId w:val="7"/>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9"/>
  </w:num>
  <w:num w:numId="18">
    <w:abstractNumId w:val="5"/>
  </w:num>
  <w:num w:numId="19">
    <w:abstractNumId w:val="9"/>
    <w:lvlOverride w:ilvl="0">
      <w:lvl w:ilvl="0">
        <w:start w:val="1"/>
        <w:numFmt w:val="decimal"/>
        <w:lvlRestart w:val="0"/>
        <w:lvlText w:val="%1."/>
        <w:lvlJc w:val="left"/>
        <w:pPr>
          <w:tabs>
            <w:tab w:val="num" w:pos="475"/>
          </w:tabs>
          <w:ind w:left="0" w:firstLine="0"/>
        </w:pPr>
        <w:rPr>
          <w:w w:val="100"/>
        </w:rPr>
      </w:lvl>
    </w:lvlOverride>
  </w:num>
  <w:num w:numId="20">
    <w:abstractNumId w:val="9"/>
    <w:lvlOverride w:ilvl="0">
      <w:lvl w:ilvl="0">
        <w:start w:val="1"/>
        <w:numFmt w:val="decimal"/>
        <w:lvlRestart w:val="0"/>
        <w:lvlText w:val="%1."/>
        <w:lvlJc w:val="left"/>
        <w:pPr>
          <w:tabs>
            <w:tab w:val="num" w:pos="475"/>
          </w:tabs>
          <w:ind w:left="0" w:firstLine="0"/>
        </w:pPr>
        <w:rPr>
          <w:w w:val="100"/>
        </w:rPr>
      </w:lvl>
    </w:lvlOverride>
  </w:num>
  <w:num w:numId="21">
    <w:abstractNumId w:val="9"/>
    <w:lvlOverride w:ilvl="0">
      <w:lvl w:ilvl="0">
        <w:start w:val="1"/>
        <w:numFmt w:val="decimal"/>
        <w:lvlRestart w:val="0"/>
        <w:lvlText w:val="%1."/>
        <w:lvlJc w:val="left"/>
        <w:pPr>
          <w:tabs>
            <w:tab w:val="num" w:pos="475"/>
          </w:tabs>
          <w:ind w:left="0" w:firstLine="0"/>
        </w:pPr>
        <w:rPr>
          <w:w w:val="100"/>
        </w:rPr>
      </w:lvl>
    </w:lvlOverride>
  </w:num>
  <w:num w:numId="22">
    <w:abstractNumId w:val="9"/>
    <w:lvlOverride w:ilvl="0">
      <w:lvl w:ilvl="0">
        <w:start w:val="1"/>
        <w:numFmt w:val="decimal"/>
        <w:lvlRestart w:val="0"/>
        <w:lvlText w:val="%1."/>
        <w:lvlJc w:val="left"/>
        <w:pPr>
          <w:tabs>
            <w:tab w:val="num" w:pos="475"/>
          </w:tabs>
          <w:ind w:left="0" w:firstLine="0"/>
        </w:pPr>
        <w:rPr>
          <w:w w:val="100"/>
        </w:rPr>
      </w:lvl>
    </w:lvlOverride>
  </w:num>
  <w:num w:numId="23">
    <w:abstractNumId w:val="9"/>
    <w:lvlOverride w:ilvl="0">
      <w:lvl w:ilvl="0">
        <w:start w:val="1"/>
        <w:numFmt w:val="decimal"/>
        <w:lvlRestart w:val="0"/>
        <w:lvlText w:val="%1."/>
        <w:lvlJc w:val="left"/>
        <w:pPr>
          <w:tabs>
            <w:tab w:val="num" w:pos="475"/>
          </w:tabs>
          <w:ind w:left="0" w:firstLine="0"/>
        </w:pPr>
        <w:rPr>
          <w:w w:val="100"/>
        </w:rPr>
      </w:lvl>
    </w:lvlOverride>
  </w:num>
  <w:num w:numId="24">
    <w:abstractNumId w:val="9"/>
    <w:lvlOverride w:ilvl="0">
      <w:lvl w:ilvl="0">
        <w:start w:val="1"/>
        <w:numFmt w:val="decimal"/>
        <w:lvlRestart w:val="0"/>
        <w:lvlText w:val="%1."/>
        <w:lvlJc w:val="left"/>
        <w:pPr>
          <w:tabs>
            <w:tab w:val="num" w:pos="475"/>
          </w:tabs>
          <w:ind w:left="0" w:firstLine="0"/>
        </w:pPr>
        <w:rPr>
          <w:w w:val="100"/>
        </w:rPr>
      </w:lvl>
    </w:lvlOverride>
  </w:num>
  <w:num w:numId="25">
    <w:abstractNumId w:val="0"/>
  </w:num>
  <w:num w:numId="26">
    <w:abstractNumId w:val="6"/>
  </w:num>
  <w:num w:numId="27">
    <w:abstractNumId w:val="11"/>
  </w:num>
  <w:num w:numId="28">
    <w:abstractNumId w:val="10"/>
  </w:num>
  <w:num w:numId="29">
    <w:abstractNumId w:val="9"/>
    <w:lvlOverride w:ilvl="0">
      <w:lvl w:ilvl="0">
        <w:start w:val="1"/>
        <w:numFmt w:val="decimal"/>
        <w:lvlText w:val="%1."/>
        <w:lvlJc w:val="left"/>
        <w:pPr>
          <w:ind w:left="720" w:hanging="360"/>
        </w:pPr>
      </w:lvl>
    </w:lvlOverride>
  </w:num>
  <w:num w:numId="30">
    <w:abstractNumId w:val="9"/>
    <w:lvlOverride w:ilvl="0">
      <w:lvl w:ilvl="0">
        <w:start w:val="1"/>
        <w:numFmt w:val="decimal"/>
        <w:lvlText w:val="%1."/>
        <w:lvlJc w:val="left"/>
        <w:pPr>
          <w:ind w:left="720" w:hanging="360"/>
        </w:pPr>
      </w:lvl>
    </w:lvlOverride>
  </w:num>
  <w:num w:numId="31">
    <w:abstractNumId w:val="9"/>
    <w:lvlOverride w:ilvl="0">
      <w:lvl w:ilvl="0">
        <w:start w:val="1"/>
        <w:numFmt w:val="decimal"/>
        <w:lvlText w:val="%1."/>
        <w:lvlJc w:val="left"/>
        <w:pPr>
          <w:ind w:left="720" w:hanging="360"/>
        </w:pPr>
      </w:lvl>
    </w:lvlOverride>
  </w:num>
  <w:num w:numId="32">
    <w:abstractNumId w:val="8"/>
  </w:num>
  <w:num w:numId="33">
    <w:abstractNumId w:val="12"/>
  </w:num>
  <w:num w:numId="34">
    <w:abstractNumId w:val="8"/>
    <w:lvlOverride w:ilvl="0">
      <w:lvl w:ilvl="0">
        <w:start w:val="104"/>
        <w:numFmt w:val="decimal"/>
        <w:lvlRestart w:val="0"/>
        <w:lvlText w:val="%1."/>
        <w:lvlJc w:val="left"/>
        <w:pPr>
          <w:tabs>
            <w:tab w:val="num" w:pos="1742"/>
          </w:tabs>
          <w:ind w:left="1267" w:firstLine="0"/>
        </w:pPr>
        <w:rPr>
          <w:w w:val="100"/>
        </w:rPr>
      </w:lvl>
    </w:lvlOverride>
  </w:num>
  <w:num w:numId="35">
    <w:abstractNumId w:val="2"/>
  </w:num>
  <w:num w:numId="36">
    <w:abstractNumId w:val="9"/>
    <w:lvlOverride w:ilvl="0">
      <w:lvl w:ilvl="0">
        <w:start w:val="104"/>
        <w:numFmt w:val="decimal"/>
        <w:lvlRestart w:val="0"/>
        <w:lvlText w:val="%1."/>
        <w:lvlJc w:val="left"/>
        <w:pPr>
          <w:tabs>
            <w:tab w:val="num" w:pos="1742"/>
          </w:tabs>
          <w:ind w:left="1267" w:firstLine="0"/>
        </w:pPr>
        <w:rPr>
          <w:w w:val="100"/>
        </w:rPr>
      </w:lvl>
    </w:lvlOverride>
  </w:num>
  <w:num w:numId="37">
    <w:abstractNumId w:val="2"/>
    <w:lvlOverride w:ilvl="0">
      <w:lvl w:ilvl="0">
        <w:start w:val="104"/>
        <w:numFmt w:val="decimal"/>
        <w:lvlRestart w:val="0"/>
        <w:lvlText w:val="%1."/>
        <w:lvlJc w:val="left"/>
        <w:pPr>
          <w:tabs>
            <w:tab w:val="num" w:pos="1742"/>
          </w:tabs>
          <w:ind w:left="1267" w:firstLine="0"/>
        </w:pPr>
        <w:rPr>
          <w:w w:val="100"/>
        </w:rPr>
      </w:lvl>
    </w:lvlOverride>
  </w:num>
  <w:num w:numId="38">
    <w:abstractNumId w:val="2"/>
    <w:lvlOverride w:ilvl="0">
      <w:lvl w:ilvl="0">
        <w:start w:val="104"/>
        <w:numFmt w:val="decimal"/>
        <w:lvlRestart w:val="0"/>
        <w:lvlText w:val="%1."/>
        <w:lvlJc w:val="left"/>
        <w:pPr>
          <w:tabs>
            <w:tab w:val="num" w:pos="1742"/>
          </w:tabs>
          <w:ind w:left="1267" w:firstLine="0"/>
        </w:pPr>
        <w:rPr>
          <w:w w:val="100"/>
        </w:rPr>
      </w:lvl>
    </w:lvlOverride>
  </w:num>
  <w:num w:numId="39">
    <w:abstractNumId w:val="2"/>
    <w:lvlOverride w:ilvl="0">
      <w:lvl w:ilvl="0">
        <w:start w:val="104"/>
        <w:numFmt w:val="decimal"/>
        <w:lvlRestart w:val="0"/>
        <w:lvlText w:val="%1."/>
        <w:lvlJc w:val="left"/>
        <w:pPr>
          <w:tabs>
            <w:tab w:val="num" w:pos="1742"/>
          </w:tabs>
          <w:ind w:left="1267" w:firstLine="0"/>
        </w:pPr>
        <w:rPr>
          <w:w w:val="100"/>
        </w:rPr>
      </w:lvl>
    </w:lvlOverride>
  </w:num>
  <w:num w:numId="40">
    <w:abstractNumId w:val="2"/>
    <w:lvlOverride w:ilvl="0">
      <w:lvl w:ilvl="0">
        <w:start w:val="104"/>
        <w:numFmt w:val="decimal"/>
        <w:lvlRestart w:val="0"/>
        <w:lvlText w:val="%1."/>
        <w:lvlJc w:val="left"/>
        <w:pPr>
          <w:tabs>
            <w:tab w:val="num" w:pos="1742"/>
          </w:tabs>
          <w:ind w:left="1267" w:firstLine="0"/>
        </w:pPr>
        <w:rPr>
          <w:w w:val="100"/>
        </w:rPr>
      </w:lvl>
    </w:lvlOverride>
  </w:num>
  <w:num w:numId="41">
    <w:abstractNumId w:val="2"/>
    <w:lvlOverride w:ilvl="0">
      <w:lvl w:ilvl="0">
        <w:start w:val="104"/>
        <w:numFmt w:val="decimal"/>
        <w:lvlRestart w:val="0"/>
        <w:lvlText w:val="%1."/>
        <w:lvlJc w:val="left"/>
        <w:pPr>
          <w:tabs>
            <w:tab w:val="num" w:pos="1742"/>
          </w:tabs>
          <w:ind w:left="1267" w:firstLine="0"/>
        </w:pPr>
        <w:rPr>
          <w:w w:val="100"/>
        </w:rPr>
      </w:lvl>
    </w:lvlOverride>
  </w:num>
  <w:num w:numId="42">
    <w:abstractNumId w:val="2"/>
    <w:lvlOverride w:ilvl="0">
      <w:lvl w:ilvl="0">
        <w:start w:val="104"/>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0300*"/>
    <w:docVar w:name="CreationDt" w:val="13/09/2018 18:43:28"/>
    <w:docVar w:name="DocCategory" w:val="Doc"/>
    <w:docVar w:name="DocType" w:val="Final"/>
    <w:docVar w:name="DutyStation" w:val="New York"/>
    <w:docVar w:name="FooterJN" w:val="18-10300"/>
    <w:docVar w:name="jobn" w:val="18-10300 (F)"/>
    <w:docVar w:name="jobnDT" w:val="18-10300 (F)   130918"/>
    <w:docVar w:name="jobnDTDT" w:val="18-10300 (F)   130918   130918"/>
    <w:docVar w:name="JobNo" w:val="1810300F"/>
    <w:docVar w:name="JobNo2" w:val="1819420F"/>
    <w:docVar w:name="LocalDrive" w:val="0"/>
    <w:docVar w:name="OandT" w:val="BHE"/>
    <w:docVar w:name="sss1" w:val="CEDAW/C/MUS/8"/>
    <w:docVar w:name="sss2" w:val="-"/>
    <w:docVar w:name="Symbol1" w:val="CEDAW/C/MUS/8"/>
    <w:docVar w:name="Symbol2" w:val="-"/>
  </w:docVars>
  <w:rsids>
    <w:rsidRoot w:val="00C129A4"/>
    <w:rsid w:val="00002584"/>
    <w:rsid w:val="000244CE"/>
    <w:rsid w:val="000261B9"/>
    <w:rsid w:val="0002639D"/>
    <w:rsid w:val="00046ADB"/>
    <w:rsid w:val="00046FCC"/>
    <w:rsid w:val="00064C9C"/>
    <w:rsid w:val="00070AC0"/>
    <w:rsid w:val="00071617"/>
    <w:rsid w:val="00071D43"/>
    <w:rsid w:val="000752BE"/>
    <w:rsid w:val="00082144"/>
    <w:rsid w:val="00092B14"/>
    <w:rsid w:val="0009633D"/>
    <w:rsid w:val="000B07E4"/>
    <w:rsid w:val="00101B18"/>
    <w:rsid w:val="00122A56"/>
    <w:rsid w:val="001320FB"/>
    <w:rsid w:val="00134FEE"/>
    <w:rsid w:val="00141856"/>
    <w:rsid w:val="00146711"/>
    <w:rsid w:val="00146C6A"/>
    <w:rsid w:val="00166A0D"/>
    <w:rsid w:val="001962FF"/>
    <w:rsid w:val="00196575"/>
    <w:rsid w:val="001A6711"/>
    <w:rsid w:val="001D3AA4"/>
    <w:rsid w:val="001D51D3"/>
    <w:rsid w:val="001E22E7"/>
    <w:rsid w:val="001E4B50"/>
    <w:rsid w:val="002050E5"/>
    <w:rsid w:val="00211C64"/>
    <w:rsid w:val="00234AE9"/>
    <w:rsid w:val="00237300"/>
    <w:rsid w:val="002478A0"/>
    <w:rsid w:val="002479EE"/>
    <w:rsid w:val="00253578"/>
    <w:rsid w:val="00272405"/>
    <w:rsid w:val="0027303A"/>
    <w:rsid w:val="00280EE9"/>
    <w:rsid w:val="002A5E20"/>
    <w:rsid w:val="002B7E6F"/>
    <w:rsid w:val="002C0DC1"/>
    <w:rsid w:val="002D75BB"/>
    <w:rsid w:val="00362797"/>
    <w:rsid w:val="00363CA1"/>
    <w:rsid w:val="00366D21"/>
    <w:rsid w:val="003933A1"/>
    <w:rsid w:val="003A675A"/>
    <w:rsid w:val="003A6B41"/>
    <w:rsid w:val="003C579D"/>
    <w:rsid w:val="003E1795"/>
    <w:rsid w:val="003F5536"/>
    <w:rsid w:val="003F61E1"/>
    <w:rsid w:val="00415B49"/>
    <w:rsid w:val="00415DB2"/>
    <w:rsid w:val="004168DC"/>
    <w:rsid w:val="0042389E"/>
    <w:rsid w:val="00440C93"/>
    <w:rsid w:val="00445875"/>
    <w:rsid w:val="00457EF9"/>
    <w:rsid w:val="00473F40"/>
    <w:rsid w:val="0047612C"/>
    <w:rsid w:val="00480B84"/>
    <w:rsid w:val="00491C2E"/>
    <w:rsid w:val="004932DF"/>
    <w:rsid w:val="004A7354"/>
    <w:rsid w:val="004C1A25"/>
    <w:rsid w:val="004C51F6"/>
    <w:rsid w:val="004F5092"/>
    <w:rsid w:val="00500B82"/>
    <w:rsid w:val="00503C29"/>
    <w:rsid w:val="00515991"/>
    <w:rsid w:val="005225EC"/>
    <w:rsid w:val="00525097"/>
    <w:rsid w:val="005358E2"/>
    <w:rsid w:val="00545975"/>
    <w:rsid w:val="0054702A"/>
    <w:rsid w:val="005509B6"/>
    <w:rsid w:val="00550E57"/>
    <w:rsid w:val="005525EF"/>
    <w:rsid w:val="005529B6"/>
    <w:rsid w:val="00592B48"/>
    <w:rsid w:val="005956D6"/>
    <w:rsid w:val="005A4FEA"/>
    <w:rsid w:val="005D0D7D"/>
    <w:rsid w:val="005F1F5F"/>
    <w:rsid w:val="005F2B6B"/>
    <w:rsid w:val="00630B2D"/>
    <w:rsid w:val="006413A2"/>
    <w:rsid w:val="0064205C"/>
    <w:rsid w:val="006642A5"/>
    <w:rsid w:val="00690698"/>
    <w:rsid w:val="006A2CCE"/>
    <w:rsid w:val="006C0729"/>
    <w:rsid w:val="006C0DCF"/>
    <w:rsid w:val="006C1326"/>
    <w:rsid w:val="006E1537"/>
    <w:rsid w:val="006E4A4B"/>
    <w:rsid w:val="00705260"/>
    <w:rsid w:val="0071012F"/>
    <w:rsid w:val="007209BF"/>
    <w:rsid w:val="007459AE"/>
    <w:rsid w:val="007531A5"/>
    <w:rsid w:val="00771C9E"/>
    <w:rsid w:val="0077762A"/>
    <w:rsid w:val="00790334"/>
    <w:rsid w:val="00795C5F"/>
    <w:rsid w:val="007C0CFC"/>
    <w:rsid w:val="007D711B"/>
    <w:rsid w:val="00806467"/>
    <w:rsid w:val="00812366"/>
    <w:rsid w:val="0082045E"/>
    <w:rsid w:val="008222A3"/>
    <w:rsid w:val="008947F7"/>
    <w:rsid w:val="008E26C2"/>
    <w:rsid w:val="0091034B"/>
    <w:rsid w:val="00912DAD"/>
    <w:rsid w:val="00935932"/>
    <w:rsid w:val="00952502"/>
    <w:rsid w:val="00953FF1"/>
    <w:rsid w:val="00970A00"/>
    <w:rsid w:val="00974030"/>
    <w:rsid w:val="0097662D"/>
    <w:rsid w:val="00984399"/>
    <w:rsid w:val="009869D8"/>
    <w:rsid w:val="00986E32"/>
    <w:rsid w:val="00993CB7"/>
    <w:rsid w:val="0099433A"/>
    <w:rsid w:val="009A2DF4"/>
    <w:rsid w:val="009D0EE3"/>
    <w:rsid w:val="00A03D01"/>
    <w:rsid w:val="00A05151"/>
    <w:rsid w:val="00A2494D"/>
    <w:rsid w:val="00A27CC2"/>
    <w:rsid w:val="00A54848"/>
    <w:rsid w:val="00A549C7"/>
    <w:rsid w:val="00A716C3"/>
    <w:rsid w:val="00AA48FF"/>
    <w:rsid w:val="00AB04F2"/>
    <w:rsid w:val="00AB0B7D"/>
    <w:rsid w:val="00AD5F2F"/>
    <w:rsid w:val="00B10649"/>
    <w:rsid w:val="00B51AE2"/>
    <w:rsid w:val="00B60353"/>
    <w:rsid w:val="00B606B3"/>
    <w:rsid w:val="00B639EA"/>
    <w:rsid w:val="00B65EDA"/>
    <w:rsid w:val="00B858D5"/>
    <w:rsid w:val="00BB0CA4"/>
    <w:rsid w:val="00BB2DDE"/>
    <w:rsid w:val="00BC576B"/>
    <w:rsid w:val="00C129A4"/>
    <w:rsid w:val="00C16302"/>
    <w:rsid w:val="00C62F14"/>
    <w:rsid w:val="00C64AB1"/>
    <w:rsid w:val="00C8328F"/>
    <w:rsid w:val="00C9556C"/>
    <w:rsid w:val="00CB06FB"/>
    <w:rsid w:val="00CB4C15"/>
    <w:rsid w:val="00CB63C5"/>
    <w:rsid w:val="00CF0BAD"/>
    <w:rsid w:val="00D05A66"/>
    <w:rsid w:val="00D13A9E"/>
    <w:rsid w:val="00D30EED"/>
    <w:rsid w:val="00D3638E"/>
    <w:rsid w:val="00D4105D"/>
    <w:rsid w:val="00D7554B"/>
    <w:rsid w:val="00D8162F"/>
    <w:rsid w:val="00D85F19"/>
    <w:rsid w:val="00DA3B64"/>
    <w:rsid w:val="00DC08AA"/>
    <w:rsid w:val="00E05710"/>
    <w:rsid w:val="00E12DC1"/>
    <w:rsid w:val="00E24D9D"/>
    <w:rsid w:val="00E274FE"/>
    <w:rsid w:val="00E343A6"/>
    <w:rsid w:val="00E343C8"/>
    <w:rsid w:val="00E37905"/>
    <w:rsid w:val="00E55AB5"/>
    <w:rsid w:val="00E7105F"/>
    <w:rsid w:val="00EA4BCA"/>
    <w:rsid w:val="00ED416A"/>
    <w:rsid w:val="00EE37EC"/>
    <w:rsid w:val="00EF2DFA"/>
    <w:rsid w:val="00EF4488"/>
    <w:rsid w:val="00F0127C"/>
    <w:rsid w:val="00F169A4"/>
    <w:rsid w:val="00F37A33"/>
    <w:rsid w:val="00F5012D"/>
    <w:rsid w:val="00F73093"/>
    <w:rsid w:val="00F83902"/>
    <w:rsid w:val="00F960B9"/>
    <w:rsid w:val="00FA3D05"/>
    <w:rsid w:val="00FA5593"/>
    <w:rsid w:val="00FA5CC9"/>
    <w:rsid w:val="00FB0589"/>
    <w:rsid w:val="00FB0A2C"/>
    <w:rsid w:val="00FC59F1"/>
    <w:rsid w:val="00FC794C"/>
    <w:rsid w:val="00FE12B3"/>
    <w:rsid w:val="00FE1BE3"/>
    <w:rsid w:val="00FF16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BD2E2"/>
  <w15:chartTrackingRefBased/>
  <w15:docId w15:val="{B8E86380-FDD2-4D23-86FC-502593F6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28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8328F"/>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8328F"/>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8328F"/>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8328F"/>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8328F"/>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8328F"/>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8328F"/>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8328F"/>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8328F"/>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8328F"/>
    <w:pPr>
      <w:keepNext/>
      <w:keepLines/>
      <w:suppressAutoHyphens/>
      <w:spacing w:line="270" w:lineRule="exact"/>
      <w:outlineLvl w:val="0"/>
    </w:pPr>
    <w:rPr>
      <w:b/>
      <w:sz w:val="24"/>
    </w:rPr>
  </w:style>
  <w:style w:type="paragraph" w:customStyle="1" w:styleId="HCH">
    <w:name w:val="_ H _CH"/>
    <w:basedOn w:val="H1"/>
    <w:next w:val="SingleTxt"/>
    <w:qFormat/>
    <w:rsid w:val="00C8328F"/>
    <w:pPr>
      <w:spacing w:line="300" w:lineRule="exact"/>
    </w:pPr>
    <w:rPr>
      <w:spacing w:val="-2"/>
      <w:sz w:val="28"/>
    </w:rPr>
  </w:style>
  <w:style w:type="paragraph" w:customStyle="1" w:styleId="HM">
    <w:name w:val="_ H __M"/>
    <w:basedOn w:val="HCH"/>
    <w:next w:val="Normal"/>
    <w:qFormat/>
    <w:rsid w:val="00C8328F"/>
    <w:pPr>
      <w:spacing w:line="360" w:lineRule="exact"/>
    </w:pPr>
    <w:rPr>
      <w:spacing w:val="-3"/>
      <w:w w:val="99"/>
      <w:sz w:val="34"/>
    </w:rPr>
  </w:style>
  <w:style w:type="paragraph" w:customStyle="1" w:styleId="H23">
    <w:name w:val="_ H_2/3"/>
    <w:basedOn w:val="H1"/>
    <w:next w:val="SingleTxt"/>
    <w:qFormat/>
    <w:rsid w:val="00C8328F"/>
    <w:pPr>
      <w:spacing w:line="240" w:lineRule="exact"/>
      <w:outlineLvl w:val="1"/>
    </w:pPr>
    <w:rPr>
      <w:spacing w:val="2"/>
      <w:sz w:val="20"/>
    </w:rPr>
  </w:style>
  <w:style w:type="paragraph" w:customStyle="1" w:styleId="H4">
    <w:name w:val="_ H_4"/>
    <w:basedOn w:val="Normal"/>
    <w:next w:val="SingleTxt"/>
    <w:qFormat/>
    <w:rsid w:val="00C8328F"/>
    <w:pPr>
      <w:keepNext/>
      <w:keepLines/>
      <w:tabs>
        <w:tab w:val="right" w:pos="360"/>
      </w:tabs>
      <w:suppressAutoHyphens/>
      <w:outlineLvl w:val="3"/>
    </w:pPr>
    <w:rPr>
      <w:i/>
      <w:spacing w:val="3"/>
    </w:rPr>
  </w:style>
  <w:style w:type="paragraph" w:customStyle="1" w:styleId="H56">
    <w:name w:val="_ H_5/6"/>
    <w:basedOn w:val="Normal"/>
    <w:next w:val="Normal"/>
    <w:qFormat/>
    <w:rsid w:val="00C8328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8328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8328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8328F"/>
    <w:pPr>
      <w:spacing w:line="540" w:lineRule="exact"/>
    </w:pPr>
    <w:rPr>
      <w:spacing w:val="-8"/>
      <w:w w:val="96"/>
      <w:sz w:val="57"/>
    </w:rPr>
  </w:style>
  <w:style w:type="paragraph" w:customStyle="1" w:styleId="SS">
    <w:name w:val="__S_S"/>
    <w:basedOn w:val="HCH"/>
    <w:next w:val="Normal"/>
    <w:qFormat/>
    <w:rsid w:val="00C8328F"/>
    <w:pPr>
      <w:ind w:left="1267" w:right="1267"/>
    </w:pPr>
  </w:style>
  <w:style w:type="paragraph" w:customStyle="1" w:styleId="SingleTxt">
    <w:name w:val="__Single Txt"/>
    <w:basedOn w:val="Normal"/>
    <w:qFormat/>
    <w:rsid w:val="00C832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8328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832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8328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832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328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8328F"/>
    <w:pPr>
      <w:numPr>
        <w:numId w:val="5"/>
      </w:numPr>
      <w:spacing w:after="120"/>
      <w:ind w:right="1267"/>
      <w:jc w:val="both"/>
    </w:pPr>
  </w:style>
  <w:style w:type="paragraph" w:customStyle="1" w:styleId="Bullet2">
    <w:name w:val="Bullet 2"/>
    <w:basedOn w:val="Normal"/>
    <w:qFormat/>
    <w:rsid w:val="00C8328F"/>
    <w:pPr>
      <w:numPr>
        <w:numId w:val="6"/>
      </w:numPr>
      <w:spacing w:after="120"/>
      <w:ind w:right="1264"/>
      <w:jc w:val="both"/>
    </w:pPr>
  </w:style>
  <w:style w:type="paragraph" w:customStyle="1" w:styleId="Bullet3">
    <w:name w:val="Bullet 3"/>
    <w:basedOn w:val="SingleTxt"/>
    <w:qFormat/>
    <w:rsid w:val="00C8328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8328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8328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8328F"/>
    <w:pPr>
      <w:spacing w:line="210" w:lineRule="exact"/>
    </w:pPr>
    <w:rPr>
      <w:sz w:val="17"/>
      <w:szCs w:val="20"/>
    </w:rPr>
  </w:style>
  <w:style w:type="character" w:customStyle="1" w:styleId="EndnoteTextChar">
    <w:name w:val="Endnote Text Char"/>
    <w:link w:val="EndnoteText"/>
    <w:uiPriority w:val="99"/>
    <w:semiHidden/>
    <w:rsid w:val="00C8328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8328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8328F"/>
    <w:rPr>
      <w:rFonts w:ascii="Times New Roman" w:eastAsiaTheme="minorHAnsi" w:hAnsi="Times New Roman" w:cs="Times New Roman"/>
      <w:b/>
      <w:spacing w:val="3"/>
      <w:w w:val="105"/>
      <w:sz w:val="17"/>
      <w:lang w:val="en-US" w:eastAsia="en-US"/>
    </w:rPr>
  </w:style>
  <w:style w:type="character" w:styleId="FootnoteReference">
    <w:name w:val="footnote reference"/>
    <w:aliases w:val="4_G,Signature Char1,Char Char Char Char Char Char Char Char Char Char Char Char Char Char Char Char Char Char Char,Char Char Char Char,Footnote symbol,Footnote reference number,Times 10 Point,Exposant 3 Point"/>
    <w:uiPriority w:val="99"/>
    <w:qFormat/>
    <w:rsid w:val="00C832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2 Char1,fn Char Char2,footnote text Char1 Char1,Footnote Text Char Char2 Char1,footnote text Char Char Char2,Footnote Text Char1 Char1 Char,Footnote Text Char2 Char Char,footnote text Char1 Char Char,fn"/>
    <w:basedOn w:val="Normal"/>
    <w:link w:val="FootnoteTextChar"/>
    <w:uiPriority w:val="99"/>
    <w:qFormat/>
    <w:rsid w:val="00C8328F"/>
    <w:pPr>
      <w:spacing w:line="210" w:lineRule="exact"/>
    </w:pPr>
    <w:rPr>
      <w:sz w:val="17"/>
      <w:szCs w:val="20"/>
    </w:rPr>
  </w:style>
  <w:style w:type="character" w:customStyle="1" w:styleId="FootnoteTextChar">
    <w:name w:val="Footnote Text Char"/>
    <w:aliases w:val="5_G Char,Footnote Text Char2 Char1 Char,fn Char Char2 Char,footnote text Char1 Char1 Char,Footnote Text Char Char2 Char1 Char,footnote text Char Char Char2 Char,Footnote Text Char1 Char1 Char Char,Footnote Text Char2 Char Char Char"/>
    <w:link w:val="FootnoteText"/>
    <w:uiPriority w:val="99"/>
    <w:rsid w:val="00C8328F"/>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C8328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C8328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8328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8328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8328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8328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8328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8328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8328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8328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8328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8328F"/>
    <w:rPr>
      <w:sz w:val="14"/>
    </w:rPr>
  </w:style>
  <w:style w:type="paragraph" w:styleId="ListParagraph">
    <w:name w:val="List Paragraph"/>
    <w:basedOn w:val="Normal"/>
    <w:uiPriority w:val="34"/>
    <w:qFormat/>
    <w:rsid w:val="00C8328F"/>
    <w:pPr>
      <w:ind w:left="720"/>
      <w:contextualSpacing/>
    </w:pPr>
  </w:style>
  <w:style w:type="paragraph" w:styleId="NoSpacing">
    <w:name w:val="No Spacing"/>
    <w:uiPriority w:val="1"/>
    <w:qFormat/>
    <w:rsid w:val="00C8328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8328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8328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8328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8328F"/>
    <w:pPr>
      <w:tabs>
        <w:tab w:val="right" w:pos="9965"/>
      </w:tabs>
      <w:spacing w:line="210" w:lineRule="exact"/>
    </w:pPr>
    <w:rPr>
      <w:spacing w:val="5"/>
      <w:w w:val="104"/>
      <w:sz w:val="17"/>
    </w:rPr>
  </w:style>
  <w:style w:type="paragraph" w:customStyle="1" w:styleId="SmallX">
    <w:name w:val="SmallX"/>
    <w:basedOn w:val="Small"/>
    <w:next w:val="Normal"/>
    <w:qFormat/>
    <w:rsid w:val="00C8328F"/>
    <w:pPr>
      <w:spacing w:line="180" w:lineRule="exact"/>
      <w:jc w:val="right"/>
    </w:pPr>
    <w:rPr>
      <w:spacing w:val="6"/>
      <w:w w:val="106"/>
      <w:sz w:val="14"/>
    </w:rPr>
  </w:style>
  <w:style w:type="character" w:styleId="Strong">
    <w:name w:val="Strong"/>
    <w:uiPriority w:val="22"/>
    <w:rsid w:val="00C8328F"/>
    <w:rPr>
      <w:b/>
      <w:bCs/>
    </w:rPr>
  </w:style>
  <w:style w:type="paragraph" w:customStyle="1" w:styleId="Style1">
    <w:name w:val="Style1"/>
    <w:basedOn w:val="Normal"/>
    <w:qFormat/>
    <w:rsid w:val="00C8328F"/>
  </w:style>
  <w:style w:type="paragraph" w:customStyle="1" w:styleId="Style2">
    <w:name w:val="Style2"/>
    <w:basedOn w:val="Normal"/>
    <w:autoRedefine/>
    <w:qFormat/>
    <w:rsid w:val="00C8328F"/>
  </w:style>
  <w:style w:type="paragraph" w:customStyle="1" w:styleId="TitleHCH">
    <w:name w:val="Title_H_CH"/>
    <w:basedOn w:val="H1"/>
    <w:next w:val="Normal"/>
    <w:qFormat/>
    <w:rsid w:val="00C832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832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8328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37300"/>
    <w:rPr>
      <w:sz w:val="16"/>
      <w:szCs w:val="16"/>
    </w:rPr>
  </w:style>
  <w:style w:type="paragraph" w:styleId="CommentText">
    <w:name w:val="annotation text"/>
    <w:basedOn w:val="Normal"/>
    <w:link w:val="CommentTextChar"/>
    <w:uiPriority w:val="99"/>
    <w:unhideWhenUsed/>
    <w:rsid w:val="00237300"/>
    <w:pPr>
      <w:spacing w:line="240" w:lineRule="auto"/>
    </w:pPr>
    <w:rPr>
      <w:szCs w:val="20"/>
    </w:rPr>
  </w:style>
  <w:style w:type="character" w:customStyle="1" w:styleId="CommentTextChar">
    <w:name w:val="Comment Text Char"/>
    <w:basedOn w:val="DefaultParagraphFont"/>
    <w:link w:val="CommentText"/>
    <w:uiPriority w:val="99"/>
    <w:rsid w:val="0023730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37300"/>
    <w:rPr>
      <w:b/>
      <w:bCs/>
    </w:rPr>
  </w:style>
  <w:style w:type="character" w:customStyle="1" w:styleId="CommentSubjectChar">
    <w:name w:val="Comment Subject Char"/>
    <w:basedOn w:val="CommentTextChar"/>
    <w:link w:val="CommentSubject"/>
    <w:uiPriority w:val="99"/>
    <w:semiHidden/>
    <w:rsid w:val="00237300"/>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link w:val="SingleTxtGChar"/>
    <w:qFormat/>
    <w:rsid w:val="00986E32"/>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qFormat/>
    <w:rsid w:val="00986E3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SingleTxtGChar">
    <w:name w:val="_ Single Txt_G Char"/>
    <w:link w:val="SingleTxtG"/>
    <w:locked/>
    <w:rsid w:val="00986E32"/>
    <w:rPr>
      <w:rFonts w:ascii="Times New Roman" w:eastAsia="Times New Roman" w:hAnsi="Times New Roman" w:cs="Times New Roman"/>
      <w:sz w:val="20"/>
      <w:szCs w:val="20"/>
      <w:lang w:eastAsia="en-US"/>
    </w:rPr>
  </w:style>
  <w:style w:type="table" w:styleId="TableGrid">
    <w:name w:val="Table Grid"/>
    <w:basedOn w:val="TableNormal"/>
    <w:uiPriority w:val="59"/>
    <w:rsid w:val="00705260"/>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ullet1G">
    <w:name w:val="_Bullet 1_G"/>
    <w:basedOn w:val="Normal"/>
    <w:qFormat/>
    <w:rsid w:val="003933A1"/>
    <w:pPr>
      <w:numPr>
        <w:numId w:val="2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3933A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4G">
    <w:name w:val="_ H_4_G"/>
    <w:basedOn w:val="Normal"/>
    <w:next w:val="Normal"/>
    <w:qFormat/>
    <w:rsid w:val="003933A1"/>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table" w:customStyle="1" w:styleId="TableGrid1">
    <w:name w:val="Table Grid1"/>
    <w:basedOn w:val="TableNormal"/>
    <w:next w:val="TableGrid"/>
    <w:uiPriority w:val="39"/>
    <w:rsid w:val="003933A1"/>
    <w:pPr>
      <w:spacing w:after="0" w:line="240" w:lineRule="auto"/>
    </w:pPr>
    <w:rPr>
      <w:rFonts w:eastAsiaTheme="minorHAns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933A1"/>
    <w:rPr>
      <w:color w:val="0000FF" w:themeColor="hyperlink"/>
      <w:u w:val="none"/>
    </w:rPr>
  </w:style>
  <w:style w:type="character" w:customStyle="1" w:styleId="admitted">
    <w:name w:val="admitted"/>
    <w:basedOn w:val="DefaultParagraphFont"/>
    <w:rsid w:val="003933A1"/>
  </w:style>
  <w:style w:type="character" w:customStyle="1" w:styleId="preferred">
    <w:name w:val="preferred"/>
    <w:basedOn w:val="DefaultParagraphFont"/>
    <w:rsid w:val="003933A1"/>
  </w:style>
  <w:style w:type="paragraph" w:styleId="Revision">
    <w:name w:val="Revision"/>
    <w:hidden/>
    <w:uiPriority w:val="99"/>
    <w:semiHidden/>
    <w:rsid w:val="003933A1"/>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3933A1"/>
    <w:rPr>
      <w:color w:val="0000FF"/>
      <w:u w:val="none"/>
    </w:rPr>
  </w:style>
  <w:style w:type="character" w:styleId="UnresolvedMention">
    <w:name w:val="Unresolved Mention"/>
    <w:basedOn w:val="DefaultParagraphFont"/>
    <w:uiPriority w:val="99"/>
    <w:semiHidden/>
    <w:unhideWhenUsed/>
    <w:rsid w:val="007D7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MUS/CO/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MUS/CO/6-7" TargetMode="External"/><Relationship Id="rId2" Type="http://schemas.openxmlformats.org/officeDocument/2006/relationships/numbering" Target="numbering.xml"/><Relationship Id="rId16" Type="http://schemas.openxmlformats.org/officeDocument/2006/relationships/hyperlink" Target="https://undocs.org/fr/CEDAW/C/MUS/QPR/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fr/A/RES/08/2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AC51-1176-4E2A-9527-21086DBD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23751</Words>
  <Characters>135381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French Text Processing</cp:lastModifiedBy>
  <cp:revision>3</cp:revision>
  <cp:lastPrinted>2018-09-18T03:08:00Z</cp:lastPrinted>
  <dcterms:created xsi:type="dcterms:W3CDTF">2018-09-18T03:08:00Z</dcterms:created>
  <dcterms:modified xsi:type="dcterms:W3CDTF">2018-09-18T03:08:00Z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1810300F</vt:lpwstr>
  </property>
  <property fmtid="{D5CDD505-2E9C-101B-9397-08002B2CF9AE}" pid="3" name="ODSRefJobNo">
    <vt:lpwstr>1819420F</vt:lpwstr>
  </property>
  <property fmtid="{D5CDD505-2E9C-101B-9397-08002B2CF9AE}" pid="4" name="Symbol1">
    <vt:lpwstr>CEDAW/C/MUS/8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Release Date">
    <vt:lpwstr/>
  </property>
  <property fmtid="{D5CDD505-2E9C-101B-9397-08002B2CF9AE}" pid="13" name="Title1">
    <vt:lpwstr>		Huitième rapport périodique de Maurice soumis en application de l’article 18 de la Convention, conformément à la procédure simplifiée de présentation des rapports, et attendu en 2018_x000d_</vt:lpwstr>
  </property>
</Properties>
</file>