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86B18" w14:textId="77777777" w:rsidR="006568A5" w:rsidRPr="00175743" w:rsidRDefault="006568A5" w:rsidP="006568A5">
      <w:pPr>
        <w:spacing w:line="240" w:lineRule="auto"/>
        <w:rPr>
          <w:sz w:val="2"/>
          <w:lang w:val="fr-FR"/>
        </w:rPr>
        <w:sectPr w:rsidR="006568A5" w:rsidRPr="00175743" w:rsidSect="00FA5963">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175743">
        <w:rPr>
          <w:rStyle w:val="CommentReference"/>
          <w:lang w:val="fr-FR"/>
        </w:rPr>
        <w:commentReference w:id="0"/>
      </w:r>
    </w:p>
    <w:p w14:paraId="14FADB76" w14:textId="769318E3" w:rsidR="00FA5963" w:rsidRPr="00175743" w:rsidRDefault="00FA5963" w:rsidP="00FA59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080"/>
        <w:rPr>
          <w:szCs w:val="24"/>
          <w:lang w:val="fr-FR"/>
        </w:rPr>
      </w:pPr>
      <w:r w:rsidRPr="00175743">
        <w:rPr>
          <w:lang w:val="fr-FR"/>
        </w:rPr>
        <w:t>Comité pour l</w:t>
      </w:r>
      <w:r w:rsidR="006D0FB3" w:rsidRPr="00175743">
        <w:rPr>
          <w:lang w:val="fr-FR"/>
        </w:rPr>
        <w:t>’</w:t>
      </w:r>
      <w:r w:rsidRPr="00175743">
        <w:rPr>
          <w:lang w:val="fr-FR"/>
        </w:rPr>
        <w:t>élimination de la discrimination à l</w:t>
      </w:r>
      <w:r w:rsidR="006D0FB3" w:rsidRPr="00175743">
        <w:rPr>
          <w:lang w:val="fr-FR"/>
        </w:rPr>
        <w:t>’</w:t>
      </w:r>
      <w:r w:rsidRPr="00175743">
        <w:rPr>
          <w:lang w:val="fr-FR"/>
        </w:rPr>
        <w:t>égard des femmes</w:t>
      </w:r>
    </w:p>
    <w:p w14:paraId="61D74706" w14:textId="77777777" w:rsidR="00FA5963" w:rsidRPr="00175743" w:rsidRDefault="00FA5963" w:rsidP="00FA5963">
      <w:pPr>
        <w:pStyle w:val="SingleTxt"/>
        <w:spacing w:after="0" w:line="120" w:lineRule="exact"/>
        <w:rPr>
          <w:sz w:val="10"/>
          <w:lang w:val="fr-FR"/>
        </w:rPr>
      </w:pPr>
    </w:p>
    <w:p w14:paraId="3417EF53" w14:textId="77777777" w:rsidR="00FA5963" w:rsidRPr="00175743" w:rsidRDefault="00FA5963" w:rsidP="00FA5963">
      <w:pPr>
        <w:pStyle w:val="SingleTxt"/>
        <w:spacing w:after="0" w:line="120" w:lineRule="exact"/>
        <w:rPr>
          <w:sz w:val="10"/>
          <w:lang w:val="fr-FR"/>
        </w:rPr>
      </w:pPr>
    </w:p>
    <w:p w14:paraId="1795AC87" w14:textId="77777777" w:rsidR="00FA5963" w:rsidRPr="00175743" w:rsidRDefault="00FA5963" w:rsidP="00FA5963">
      <w:pPr>
        <w:pStyle w:val="SingleTxt"/>
        <w:spacing w:after="0" w:line="120" w:lineRule="exact"/>
        <w:rPr>
          <w:sz w:val="10"/>
          <w:lang w:val="fr-FR"/>
        </w:rPr>
      </w:pPr>
    </w:p>
    <w:p w14:paraId="76C20831" w14:textId="15451DD2" w:rsidR="00FA5963" w:rsidRPr="00175743" w:rsidRDefault="00FA5963" w:rsidP="00FA5963">
      <w:pPr>
        <w:pStyle w:val="TitleHCH"/>
        <w:ind w:right="1260"/>
        <w:rPr>
          <w:lang w:val="fr-FR"/>
        </w:rPr>
      </w:pPr>
      <w:r w:rsidRPr="00175743">
        <w:rPr>
          <w:lang w:val="fr-FR"/>
        </w:rPr>
        <w:tab/>
      </w:r>
      <w:r w:rsidRPr="00175743">
        <w:rPr>
          <w:lang w:val="fr-FR"/>
        </w:rPr>
        <w:tab/>
        <w:t>Liste de points et de questions concernant le huitième rapport périodique du Malawi</w:t>
      </w:r>
      <w:r w:rsidRPr="00175743">
        <w:rPr>
          <w:rStyle w:val="FootnoteReference"/>
          <w:b w:val="0"/>
          <w:bCs/>
          <w:sz w:val="20"/>
          <w:vertAlign w:val="baseline"/>
          <w:lang w:val="fr-FR"/>
        </w:rPr>
        <w:footnoteReference w:customMarkFollows="1" w:id="1"/>
        <w:t>*</w:t>
      </w:r>
    </w:p>
    <w:p w14:paraId="30CEAECB" w14:textId="77777777" w:rsidR="00FA5963" w:rsidRPr="00175743" w:rsidRDefault="00FA5963" w:rsidP="00FA5963">
      <w:pPr>
        <w:pStyle w:val="SingleTxt"/>
        <w:spacing w:after="0" w:line="120" w:lineRule="exact"/>
        <w:rPr>
          <w:sz w:val="10"/>
          <w:lang w:val="fr-FR"/>
        </w:rPr>
      </w:pPr>
    </w:p>
    <w:p w14:paraId="1EAB3420" w14:textId="77777777" w:rsidR="00FA5963" w:rsidRPr="00175743" w:rsidRDefault="00FA5963" w:rsidP="00FA5963">
      <w:pPr>
        <w:pStyle w:val="SingleTxt"/>
        <w:spacing w:after="0" w:line="120" w:lineRule="exact"/>
        <w:rPr>
          <w:sz w:val="10"/>
          <w:lang w:val="fr-FR"/>
        </w:rPr>
      </w:pPr>
    </w:p>
    <w:p w14:paraId="6115DE94" w14:textId="7EDA320B" w:rsidR="00FA5963" w:rsidRPr="00175743" w:rsidRDefault="00FA5963" w:rsidP="00FA59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175743">
        <w:rPr>
          <w:lang w:val="fr-FR"/>
        </w:rPr>
        <w:tab/>
      </w:r>
      <w:r w:rsidRPr="00175743">
        <w:rPr>
          <w:lang w:val="fr-FR"/>
        </w:rPr>
        <w:tab/>
        <w:t xml:space="preserve">Droits </w:t>
      </w:r>
      <w:r w:rsidRPr="00175743">
        <w:rPr>
          <w:szCs w:val="20"/>
          <w:lang w:val="fr-FR"/>
        </w:rPr>
        <w:t>des</w:t>
      </w:r>
      <w:r w:rsidRPr="00175743">
        <w:rPr>
          <w:lang w:val="fr-FR"/>
        </w:rPr>
        <w:t xml:space="preserve"> femmes et égalité des genres dans le contexte de la pandémie et des mesures de relèvement</w:t>
      </w:r>
    </w:p>
    <w:p w14:paraId="2E4E9E92" w14:textId="784BAF64" w:rsidR="00FA5963" w:rsidRDefault="00FA5963" w:rsidP="00FA5963">
      <w:pPr>
        <w:pStyle w:val="SingleTxt"/>
        <w:tabs>
          <w:tab w:val="num" w:pos="2804"/>
        </w:tabs>
        <w:spacing w:after="0" w:line="120" w:lineRule="exact"/>
        <w:rPr>
          <w:sz w:val="10"/>
          <w:lang w:val="fr-FR"/>
        </w:rPr>
      </w:pPr>
    </w:p>
    <w:p w14:paraId="0A949707" w14:textId="77777777" w:rsidR="009D75A7" w:rsidRPr="00175743" w:rsidRDefault="009D75A7" w:rsidP="00FA5963">
      <w:pPr>
        <w:pStyle w:val="SingleTxt"/>
        <w:tabs>
          <w:tab w:val="num" w:pos="2804"/>
        </w:tabs>
        <w:spacing w:after="0" w:line="120" w:lineRule="exact"/>
        <w:rPr>
          <w:sz w:val="10"/>
          <w:lang w:val="fr-FR"/>
        </w:rPr>
      </w:pPr>
    </w:p>
    <w:p w14:paraId="6DD52BB1" w14:textId="1C39E747" w:rsidR="00FA5963" w:rsidRPr="00175743" w:rsidRDefault="00FA5963" w:rsidP="00FA5963">
      <w:pPr>
        <w:pStyle w:val="SingleTxt"/>
        <w:numPr>
          <w:ilvl w:val="0"/>
          <w:numId w:val="30"/>
        </w:numPr>
        <w:tabs>
          <w:tab w:val="num" w:pos="2804"/>
        </w:tabs>
        <w:spacing w:line="240" w:lineRule="exact"/>
        <w:ind w:left="1267"/>
        <w:rPr>
          <w:lang w:val="fr-FR"/>
        </w:rPr>
      </w:pPr>
      <w:r w:rsidRPr="00175743">
        <w:rPr>
          <w:lang w:val="fr-FR"/>
        </w:rPr>
        <w:t>Conformément à la note d</w:t>
      </w:r>
      <w:r w:rsidR="006D0FB3" w:rsidRPr="00175743">
        <w:rPr>
          <w:lang w:val="fr-FR"/>
        </w:rPr>
        <w:t>’</w:t>
      </w:r>
      <w:r w:rsidRPr="00175743">
        <w:rPr>
          <w:lang w:val="fr-FR"/>
        </w:rPr>
        <w:t>orientation du Comité concernant les obligations incombant aux États parties à la Convention dans le contexte de la pandémie de maladie à coronavirus (COVID-19) publiée le 22 avril 2020, veuillez indiquer les mesures mises en œuvre par l</w:t>
      </w:r>
      <w:r w:rsidR="006D0FB3" w:rsidRPr="00175743">
        <w:rPr>
          <w:lang w:val="fr-FR"/>
        </w:rPr>
        <w:t>’</w:t>
      </w:r>
      <w:r w:rsidRPr="00175743">
        <w:rPr>
          <w:lang w:val="fr-FR"/>
        </w:rPr>
        <w:t>État partie pour corriger les inégalités de longue date entre les femmes et les hommes et donner un nouvel élan à la mise en œuvre de l</w:t>
      </w:r>
      <w:r w:rsidR="006D0FB3" w:rsidRPr="00175743">
        <w:rPr>
          <w:lang w:val="fr-FR"/>
        </w:rPr>
        <w:t>’</w:t>
      </w:r>
      <w:r w:rsidRPr="00175743">
        <w:rPr>
          <w:lang w:val="fr-FR"/>
        </w:rPr>
        <w:t>égalité des genres en plaçant les femmes au centre du relèvement, ce qui constitue une priorité stratégique pour un changement durable, conformément aux objectifs de développement durable</w:t>
      </w:r>
      <w:r w:rsidR="006D0FB3" w:rsidRPr="00175743">
        <w:rPr>
          <w:lang w:val="fr-FR"/>
        </w:rPr>
        <w:t> ;</w:t>
      </w:r>
      <w:r w:rsidRPr="00175743">
        <w:rPr>
          <w:lang w:val="fr-FR"/>
        </w:rPr>
        <w:t xml:space="preserve"> pour répondre aux besoins des femmes et des filles, y</w:t>
      </w:r>
      <w:r w:rsidR="007B4D65" w:rsidRPr="00175743">
        <w:rPr>
          <w:lang w:val="fr-FR"/>
        </w:rPr>
        <w:t> </w:t>
      </w:r>
      <w:r w:rsidRPr="00175743">
        <w:rPr>
          <w:lang w:val="fr-FR"/>
        </w:rPr>
        <w:t>compris celles qui appartiennent à des groupes défavorisés et marginalisés et les femmes en situation de conflit ou dans d</w:t>
      </w:r>
      <w:r w:rsidR="006D0FB3" w:rsidRPr="00175743">
        <w:rPr>
          <w:lang w:val="fr-FR"/>
        </w:rPr>
        <w:t>’</w:t>
      </w:r>
      <w:r w:rsidRPr="00175743">
        <w:rPr>
          <w:lang w:val="fr-FR"/>
        </w:rPr>
        <w:t>autres situations d</w:t>
      </w:r>
      <w:r w:rsidR="006D0FB3" w:rsidRPr="00175743">
        <w:rPr>
          <w:lang w:val="fr-FR"/>
        </w:rPr>
        <w:t>’</w:t>
      </w:r>
      <w:r w:rsidRPr="00175743">
        <w:rPr>
          <w:lang w:val="fr-FR"/>
        </w:rPr>
        <w:t>urgence humanitaire, et faire respecter leurs droits</w:t>
      </w:r>
      <w:r w:rsidR="006D0FB3" w:rsidRPr="00175743">
        <w:rPr>
          <w:lang w:val="fr-FR"/>
        </w:rPr>
        <w:t> ;</w:t>
      </w:r>
      <w:r w:rsidRPr="00175743">
        <w:rPr>
          <w:lang w:val="fr-FR"/>
        </w:rPr>
        <w:t xml:space="preserve"> pour veiller à ce que, dans le cadre des mesures de confinement (partiel ou total) et des plans de relèvement après la crise, les femmes et les filles ne se voient pas reléguées à des rôles de genre stéréotypés. Veuillez indiquer les mesures mises en place pour que l</w:t>
      </w:r>
      <w:r w:rsidR="006D0FB3" w:rsidRPr="00175743">
        <w:rPr>
          <w:lang w:val="fr-FR"/>
        </w:rPr>
        <w:t>’</w:t>
      </w:r>
      <w:r w:rsidRPr="00175743">
        <w:rPr>
          <w:lang w:val="fr-FR"/>
        </w:rPr>
        <w:t>action de lutte et de relèvement engagée face à la pandémie de COVID-19, y compris le plan de relèvement et de résilience</w:t>
      </w:r>
      <w:r w:rsidR="006D0FB3" w:rsidRPr="00175743">
        <w:rPr>
          <w:lang w:val="fr-FR"/>
        </w:rPr>
        <w:t> :</w:t>
      </w:r>
    </w:p>
    <w:p w14:paraId="25FA2009" w14:textId="2251AFB6" w:rsidR="00FA5963" w:rsidRPr="00175743" w:rsidRDefault="00FA5963" w:rsidP="00FA5963">
      <w:pPr>
        <w:pStyle w:val="SingleTxt"/>
        <w:rPr>
          <w:lang w:val="fr-FR"/>
        </w:rPr>
      </w:pPr>
      <w:r w:rsidRPr="00175743">
        <w:rPr>
          <w:lang w:val="fr-FR"/>
        </w:rPr>
        <w:tab/>
        <w:t>a)</w:t>
      </w:r>
      <w:r w:rsidRPr="00175743">
        <w:rPr>
          <w:lang w:val="fr-FR"/>
        </w:rPr>
        <w:tab/>
        <w:t>contribue à la lutte contre la violence à l</w:t>
      </w:r>
      <w:r w:rsidR="006D0FB3" w:rsidRPr="00175743">
        <w:rPr>
          <w:lang w:val="fr-FR"/>
        </w:rPr>
        <w:t>’</w:t>
      </w:r>
      <w:r w:rsidRPr="00175743">
        <w:rPr>
          <w:lang w:val="fr-FR"/>
        </w:rPr>
        <w:t>égard des femmes et des filles fondée sur le genre et vise à la prévenir de manière efficace</w:t>
      </w:r>
      <w:r w:rsidR="006D0FB3" w:rsidRPr="00175743">
        <w:rPr>
          <w:lang w:val="fr-FR"/>
        </w:rPr>
        <w:t> ;</w:t>
      </w:r>
    </w:p>
    <w:p w14:paraId="661E0ECC" w14:textId="39E02A49" w:rsidR="00C40922" w:rsidRPr="00175743" w:rsidRDefault="00FA5963" w:rsidP="00FA5963">
      <w:pPr>
        <w:pStyle w:val="SingleTxt"/>
        <w:rPr>
          <w:lang w:val="fr-FR"/>
        </w:rPr>
      </w:pPr>
      <w:r w:rsidRPr="00175743">
        <w:rPr>
          <w:lang w:val="fr-FR"/>
        </w:rPr>
        <w:tab/>
        <w:t>b)</w:t>
      </w:r>
      <w:r w:rsidRPr="00175743">
        <w:rPr>
          <w:lang w:val="fr-FR"/>
        </w:rPr>
        <w:tab/>
        <w:t>garantisse aux femmes et aux filles une participation égalitaire à la vie politique et publique, à la prise de décisions, à l</w:t>
      </w:r>
      <w:r w:rsidR="006D0FB3" w:rsidRPr="00175743">
        <w:rPr>
          <w:lang w:val="fr-FR"/>
        </w:rPr>
        <w:t>’</w:t>
      </w:r>
      <w:r w:rsidRPr="00175743">
        <w:rPr>
          <w:lang w:val="fr-FR"/>
        </w:rPr>
        <w:t>autonomisation économique et à la prestation de services, en particulier dans le cadre de l</w:t>
      </w:r>
      <w:r w:rsidR="006D0FB3" w:rsidRPr="00175743">
        <w:rPr>
          <w:lang w:val="fr-FR"/>
        </w:rPr>
        <w:t>’</w:t>
      </w:r>
      <w:r w:rsidRPr="00175743">
        <w:rPr>
          <w:lang w:val="fr-FR"/>
        </w:rPr>
        <w:t>élaboration et de la mise en œuvre des programmes de relèvement</w:t>
      </w:r>
      <w:r w:rsidR="006D0FB3" w:rsidRPr="00175743">
        <w:rPr>
          <w:lang w:val="fr-FR"/>
        </w:rPr>
        <w:t> ;</w:t>
      </w:r>
    </w:p>
    <w:p w14:paraId="631CC9E1" w14:textId="0BF90F45" w:rsidR="00FA5963" w:rsidRPr="00175743" w:rsidRDefault="00FA5963" w:rsidP="00FA5963">
      <w:pPr>
        <w:pStyle w:val="SingleTxt"/>
        <w:rPr>
          <w:lang w:val="fr-FR"/>
        </w:rPr>
      </w:pPr>
      <w:r w:rsidRPr="00175743">
        <w:rPr>
          <w:lang w:val="fr-FR"/>
        </w:rPr>
        <w:tab/>
        <w:t>c)</w:t>
      </w:r>
      <w:r w:rsidRPr="00175743">
        <w:rPr>
          <w:lang w:val="fr-FR"/>
        </w:rPr>
        <w:tab/>
        <w:t>permette que les femmes et les filles bénéficient autant que les hommes et les garçons des mesures de relance qui visent à atténuer les conséquences socioéconomiques de la pandémie, notamment d</w:t>
      </w:r>
      <w:r w:rsidR="006D0FB3" w:rsidRPr="00175743">
        <w:rPr>
          <w:lang w:val="fr-FR"/>
        </w:rPr>
        <w:t>’</w:t>
      </w:r>
      <w:r w:rsidRPr="00175743">
        <w:rPr>
          <w:lang w:val="fr-FR"/>
        </w:rPr>
        <w:t>un appui financier aux rôles de soins non rémunérés.</w:t>
      </w:r>
    </w:p>
    <w:p w14:paraId="6279B419" w14:textId="59C257FB" w:rsidR="00FA5963" w:rsidRPr="00175743" w:rsidRDefault="00FA5963" w:rsidP="00FA5963">
      <w:pPr>
        <w:pStyle w:val="SingleTxt"/>
        <w:numPr>
          <w:ilvl w:val="0"/>
          <w:numId w:val="33"/>
        </w:numPr>
        <w:tabs>
          <w:tab w:val="num" w:pos="2804"/>
        </w:tabs>
        <w:spacing w:line="240" w:lineRule="exact"/>
        <w:rPr>
          <w:lang w:val="fr-FR"/>
        </w:rPr>
      </w:pPr>
      <w:r w:rsidRPr="00175743">
        <w:rPr>
          <w:lang w:val="fr-FR"/>
        </w:rPr>
        <w:lastRenderedPageBreak/>
        <w:t>Veuillez expliquer de quelle façon l</w:t>
      </w:r>
      <w:r w:rsidR="006D0FB3" w:rsidRPr="00175743">
        <w:rPr>
          <w:lang w:val="fr-FR"/>
        </w:rPr>
        <w:t>’</w:t>
      </w:r>
      <w:r w:rsidRPr="00175743">
        <w:rPr>
          <w:lang w:val="fr-FR"/>
        </w:rPr>
        <w:t>État partie veille à ce que les mesures prises pour endiguer la pandémie, telles que les restrictions à la liberté de circulation ou la distanciation physique, ne limitent pas l</w:t>
      </w:r>
      <w:r w:rsidR="006D0FB3" w:rsidRPr="00175743">
        <w:rPr>
          <w:lang w:val="fr-FR"/>
        </w:rPr>
        <w:t>’</w:t>
      </w:r>
      <w:r w:rsidRPr="00175743">
        <w:rPr>
          <w:lang w:val="fr-FR"/>
        </w:rPr>
        <w:t>accès des femmes et des filles, y compris celles appartenant à des groupes défavorisés et marginalisés, à la justice, aux centres d</w:t>
      </w:r>
      <w:r w:rsidR="006D0FB3" w:rsidRPr="00175743">
        <w:rPr>
          <w:lang w:val="fr-FR"/>
        </w:rPr>
        <w:t>’</w:t>
      </w:r>
      <w:r w:rsidRPr="00175743">
        <w:rPr>
          <w:lang w:val="fr-FR"/>
        </w:rPr>
        <w:t>accueil, à l</w:t>
      </w:r>
      <w:r w:rsidR="006D0FB3" w:rsidRPr="00175743">
        <w:rPr>
          <w:lang w:val="fr-FR"/>
        </w:rPr>
        <w:t>’</w:t>
      </w:r>
      <w:r w:rsidRPr="00175743">
        <w:rPr>
          <w:lang w:val="fr-FR"/>
        </w:rPr>
        <w:t>éducation, à l</w:t>
      </w:r>
      <w:r w:rsidR="006D0FB3" w:rsidRPr="00175743">
        <w:rPr>
          <w:lang w:val="fr-FR"/>
        </w:rPr>
        <w:t>’</w:t>
      </w:r>
      <w:r w:rsidRPr="00175743">
        <w:rPr>
          <w:lang w:val="fr-FR"/>
        </w:rPr>
        <w:t>emploi et aux soins de santé, notamment aux services de santé sexuelle et reproductive.</w:t>
      </w:r>
    </w:p>
    <w:p w14:paraId="41D833E9" w14:textId="77777777" w:rsidR="00FA5963" w:rsidRPr="00175743" w:rsidRDefault="00FA5963" w:rsidP="00FA5963">
      <w:pPr>
        <w:pStyle w:val="SingleTxt"/>
        <w:spacing w:after="0" w:line="120" w:lineRule="exact"/>
        <w:rPr>
          <w:sz w:val="10"/>
          <w:lang w:val="fr-FR"/>
        </w:rPr>
      </w:pPr>
    </w:p>
    <w:p w14:paraId="71FF0A7B" w14:textId="1E4C438B" w:rsidR="00FA5963" w:rsidRPr="00175743" w:rsidRDefault="00FA5963" w:rsidP="00FA59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5743">
        <w:rPr>
          <w:lang w:val="fr-FR"/>
        </w:rPr>
        <w:tab/>
      </w:r>
      <w:r w:rsidRPr="00175743">
        <w:rPr>
          <w:lang w:val="fr-FR"/>
        </w:rPr>
        <w:tab/>
        <w:t>Cadre législatif et stratégique</w:t>
      </w:r>
    </w:p>
    <w:p w14:paraId="6EC7F36D" w14:textId="07D284D4" w:rsidR="00FA5963" w:rsidRPr="00175743" w:rsidRDefault="00FA5963" w:rsidP="00FA5963">
      <w:pPr>
        <w:pStyle w:val="SingleTxt"/>
        <w:spacing w:after="0" w:line="120" w:lineRule="exact"/>
        <w:rPr>
          <w:sz w:val="10"/>
          <w:lang w:val="fr-FR"/>
        </w:rPr>
      </w:pPr>
    </w:p>
    <w:p w14:paraId="3C3B13C7" w14:textId="55A22E81" w:rsidR="00C40922" w:rsidRPr="00175743" w:rsidRDefault="00FA5963" w:rsidP="00FA5963">
      <w:pPr>
        <w:pStyle w:val="SingleTxt"/>
        <w:numPr>
          <w:ilvl w:val="0"/>
          <w:numId w:val="34"/>
        </w:numPr>
        <w:spacing w:line="240" w:lineRule="exact"/>
        <w:rPr>
          <w:spacing w:val="2"/>
          <w:lang w:val="fr-FR"/>
        </w:rPr>
      </w:pPr>
      <w:r w:rsidRPr="00175743">
        <w:rPr>
          <w:spacing w:val="2"/>
          <w:lang w:val="fr-FR"/>
        </w:rPr>
        <w:t>Veuillez communiquer des informations sur l</w:t>
      </w:r>
      <w:r w:rsidR="006D0FB3" w:rsidRPr="00175743">
        <w:rPr>
          <w:spacing w:val="2"/>
          <w:lang w:val="fr-FR"/>
        </w:rPr>
        <w:t>’</w:t>
      </w:r>
      <w:r w:rsidRPr="00175743">
        <w:rPr>
          <w:spacing w:val="2"/>
          <w:lang w:val="fr-FR"/>
        </w:rPr>
        <w:t>état d</w:t>
      </w:r>
      <w:r w:rsidR="006D0FB3" w:rsidRPr="00175743">
        <w:rPr>
          <w:spacing w:val="2"/>
          <w:lang w:val="fr-FR"/>
        </w:rPr>
        <w:t>’</w:t>
      </w:r>
      <w:r w:rsidRPr="00175743">
        <w:rPr>
          <w:spacing w:val="2"/>
          <w:lang w:val="fr-FR"/>
        </w:rPr>
        <w:t>avancement et l</w:t>
      </w:r>
      <w:r w:rsidR="006D0FB3" w:rsidRPr="00175743">
        <w:rPr>
          <w:spacing w:val="2"/>
          <w:lang w:val="fr-FR"/>
        </w:rPr>
        <w:t>’</w:t>
      </w:r>
      <w:r w:rsidRPr="00175743">
        <w:rPr>
          <w:spacing w:val="2"/>
          <w:lang w:val="fr-FR"/>
        </w:rPr>
        <w:t>adoption du nouveau Règlement intérieur de la Police (par. 12</w:t>
      </w:r>
      <w:r w:rsidRPr="00175743">
        <w:rPr>
          <w:spacing w:val="2"/>
          <w:szCs w:val="20"/>
          <w:lang w:val="fr-FR"/>
        </w:rPr>
        <w:t>)</w:t>
      </w:r>
      <w:r w:rsidRPr="00175743">
        <w:rPr>
          <w:rStyle w:val="FootnoteReference"/>
          <w:spacing w:val="2"/>
          <w:sz w:val="20"/>
          <w:szCs w:val="20"/>
          <w:lang w:val="fr-FR"/>
        </w:rPr>
        <w:footnoteReference w:id="2"/>
      </w:r>
      <w:r w:rsidRPr="00175743">
        <w:rPr>
          <w:spacing w:val="2"/>
          <w:szCs w:val="20"/>
          <w:lang w:val="fr-FR"/>
        </w:rPr>
        <w:t xml:space="preserve"> </w:t>
      </w:r>
      <w:r w:rsidRPr="00175743">
        <w:rPr>
          <w:spacing w:val="2"/>
          <w:lang w:val="fr-FR"/>
        </w:rPr>
        <w:t>qui est aligné sur la Constitution et la loi sur la police de 2010.</w:t>
      </w:r>
    </w:p>
    <w:p w14:paraId="2FA39C9C" w14:textId="2A2A84F2" w:rsidR="00FA5963" w:rsidRPr="00175743" w:rsidRDefault="00FA5963" w:rsidP="00FA5963">
      <w:pPr>
        <w:pStyle w:val="SingleTxt"/>
        <w:spacing w:after="0" w:line="120" w:lineRule="exact"/>
        <w:rPr>
          <w:sz w:val="10"/>
          <w:lang w:val="fr-FR"/>
        </w:rPr>
      </w:pPr>
    </w:p>
    <w:p w14:paraId="5FA03C74" w14:textId="32BBE730" w:rsidR="00FA5963" w:rsidRPr="00175743" w:rsidRDefault="00FA5963" w:rsidP="00FA59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5743">
        <w:rPr>
          <w:lang w:val="fr-FR"/>
        </w:rPr>
        <w:tab/>
      </w:r>
      <w:r w:rsidRPr="00175743">
        <w:rPr>
          <w:lang w:val="fr-FR"/>
        </w:rPr>
        <w:tab/>
        <w:t>Accès à la justice et mécanismes juridiques de plainte</w:t>
      </w:r>
    </w:p>
    <w:p w14:paraId="6DA0E018" w14:textId="4FC1F9BF" w:rsidR="00FA5963" w:rsidRPr="00175743" w:rsidRDefault="00FA5963" w:rsidP="00FA5963">
      <w:pPr>
        <w:pStyle w:val="SingleTxt"/>
        <w:spacing w:after="0" w:line="120" w:lineRule="exact"/>
        <w:rPr>
          <w:sz w:val="10"/>
          <w:lang w:val="fr-FR"/>
        </w:rPr>
      </w:pPr>
    </w:p>
    <w:p w14:paraId="213C20C8" w14:textId="255F6AAB" w:rsidR="00FA5963" w:rsidRPr="00175743" w:rsidRDefault="00FA5963" w:rsidP="00FA5963">
      <w:pPr>
        <w:pStyle w:val="SingleTxt"/>
        <w:numPr>
          <w:ilvl w:val="0"/>
          <w:numId w:val="35"/>
        </w:numPr>
        <w:spacing w:line="240" w:lineRule="exact"/>
        <w:rPr>
          <w:lang w:val="fr-FR"/>
        </w:rPr>
      </w:pPr>
      <w:r w:rsidRPr="00175743">
        <w:rPr>
          <w:lang w:val="fr-FR"/>
        </w:rPr>
        <w:t>Veuillez indiquer les mesures prises pour concrétiser les garanties constitutionnelles de l</w:t>
      </w:r>
      <w:r w:rsidR="006D0FB3" w:rsidRPr="00175743">
        <w:rPr>
          <w:lang w:val="fr-FR"/>
        </w:rPr>
        <w:t>’</w:t>
      </w:r>
      <w:r w:rsidRPr="00175743">
        <w:rPr>
          <w:lang w:val="fr-FR"/>
        </w:rPr>
        <w:t>égalité devant la loi (paragraphe 1 de l</w:t>
      </w:r>
      <w:r w:rsidR="006D0FB3" w:rsidRPr="00175743">
        <w:rPr>
          <w:lang w:val="fr-FR"/>
        </w:rPr>
        <w:t>’</w:t>
      </w:r>
      <w:r w:rsidRPr="00175743">
        <w:rPr>
          <w:lang w:val="fr-FR"/>
        </w:rPr>
        <w:t>article 12 et article 24), notamment</w:t>
      </w:r>
      <w:r w:rsidR="006D0FB3" w:rsidRPr="00175743">
        <w:rPr>
          <w:lang w:val="fr-FR"/>
        </w:rPr>
        <w:t> :</w:t>
      </w:r>
    </w:p>
    <w:p w14:paraId="1AC26F0D" w14:textId="41C66B32" w:rsidR="00FA5963" w:rsidRPr="00175743" w:rsidRDefault="00FA5963" w:rsidP="00FA5963">
      <w:pPr>
        <w:pStyle w:val="SingleTxt"/>
        <w:rPr>
          <w:lang w:val="fr-FR"/>
        </w:rPr>
      </w:pPr>
      <w:r w:rsidRPr="00175743">
        <w:rPr>
          <w:lang w:val="fr-FR"/>
        </w:rPr>
        <w:tab/>
        <w:t>a)</w:t>
      </w:r>
      <w:r w:rsidRPr="00175743">
        <w:rPr>
          <w:lang w:val="fr-FR"/>
        </w:rPr>
        <w:tab/>
        <w:t>en facilitant l</w:t>
      </w:r>
      <w:r w:rsidR="006D0FB3" w:rsidRPr="00175743">
        <w:rPr>
          <w:lang w:val="fr-FR"/>
        </w:rPr>
        <w:t>’</w:t>
      </w:r>
      <w:r w:rsidRPr="00175743">
        <w:rPr>
          <w:lang w:val="fr-FR"/>
        </w:rPr>
        <w:t>accès des femmes à la justice, en particulier celles appartenant à des groupes marginalisés, par exemple en donnant la priorité aux audiences foraines et aux bureaux d</w:t>
      </w:r>
      <w:r w:rsidR="006D0FB3" w:rsidRPr="00175743">
        <w:rPr>
          <w:lang w:val="fr-FR"/>
        </w:rPr>
        <w:t>’</w:t>
      </w:r>
      <w:r w:rsidRPr="00175743">
        <w:rPr>
          <w:lang w:val="fr-FR"/>
        </w:rPr>
        <w:t>aide judiciaire au niveau des districts et des conseils pour la réception et le traitement des plaintes des femmes (par. 109)</w:t>
      </w:r>
      <w:r w:rsidR="006D0FB3" w:rsidRPr="00175743">
        <w:rPr>
          <w:lang w:val="fr-FR"/>
        </w:rPr>
        <w:t> ;</w:t>
      </w:r>
    </w:p>
    <w:p w14:paraId="302B09C2" w14:textId="6DE52C0D" w:rsidR="00FA5963" w:rsidRPr="00175743" w:rsidRDefault="00FA5963" w:rsidP="00FA5963">
      <w:pPr>
        <w:pStyle w:val="SingleTxt"/>
        <w:rPr>
          <w:lang w:val="fr-FR"/>
        </w:rPr>
      </w:pPr>
      <w:r w:rsidRPr="00175743">
        <w:rPr>
          <w:lang w:val="fr-FR"/>
        </w:rPr>
        <w:tab/>
        <w:t>b)</w:t>
      </w:r>
      <w:r w:rsidRPr="00175743">
        <w:rPr>
          <w:lang w:val="fr-FR"/>
        </w:rPr>
        <w:tab/>
        <w:t>en renforçant les capacités des acteurs de la justice, notamment la Police et le système judiciaire malawiens, à adopter une approche tenant compte des questions de genre dans le traitement des plaintes déposées par les femmes et dans l</w:t>
      </w:r>
      <w:r w:rsidR="006D0FB3" w:rsidRPr="00175743">
        <w:rPr>
          <w:lang w:val="fr-FR"/>
        </w:rPr>
        <w:t>’</w:t>
      </w:r>
      <w:r w:rsidRPr="00175743">
        <w:rPr>
          <w:lang w:val="fr-FR"/>
        </w:rPr>
        <w:t>examen des affaires les concernant</w:t>
      </w:r>
      <w:r w:rsidR="006D0FB3" w:rsidRPr="00175743">
        <w:rPr>
          <w:lang w:val="fr-FR"/>
        </w:rPr>
        <w:t> ;</w:t>
      </w:r>
    </w:p>
    <w:p w14:paraId="7E222E9D" w14:textId="714A01A4" w:rsidR="00FA5963" w:rsidRPr="00175743" w:rsidRDefault="00FA5963" w:rsidP="00FA5963">
      <w:pPr>
        <w:pStyle w:val="SingleTxt"/>
        <w:rPr>
          <w:lang w:val="fr-FR"/>
        </w:rPr>
      </w:pPr>
      <w:r w:rsidRPr="00175743">
        <w:rPr>
          <w:lang w:val="fr-FR"/>
        </w:rPr>
        <w:tab/>
        <w:t>c)</w:t>
      </w:r>
      <w:r w:rsidRPr="00175743">
        <w:rPr>
          <w:lang w:val="fr-FR"/>
        </w:rPr>
        <w:tab/>
        <w:t>en réexaminant, sur le plan judiciaire ou par le mécanisme de la grâce présidentielle, les décisions de justice condamnant des femmes à la peine de mort dans l</w:t>
      </w:r>
      <w:r w:rsidR="006D0FB3" w:rsidRPr="00175743">
        <w:rPr>
          <w:lang w:val="fr-FR"/>
        </w:rPr>
        <w:t>’</w:t>
      </w:r>
      <w:r w:rsidRPr="00175743">
        <w:rPr>
          <w:lang w:val="fr-FR"/>
        </w:rPr>
        <w:t>État partie, en particulier pour prendre en compte les raisons sexospécifiques et les faits de violence fondée sur le genre, y compris la violence domestique, qui ont contribué à leurs actes</w:t>
      </w:r>
      <w:r w:rsidR="006D0FB3" w:rsidRPr="00175743">
        <w:rPr>
          <w:lang w:val="fr-FR"/>
        </w:rPr>
        <w:t> ;</w:t>
      </w:r>
    </w:p>
    <w:p w14:paraId="006346C2" w14:textId="799F5643" w:rsidR="00FA5963" w:rsidRPr="00175743" w:rsidRDefault="00FA5963" w:rsidP="00FA5963">
      <w:pPr>
        <w:pStyle w:val="SingleTxt"/>
        <w:rPr>
          <w:lang w:val="fr-FR"/>
        </w:rPr>
      </w:pPr>
      <w:r w:rsidRPr="00175743">
        <w:rPr>
          <w:lang w:val="fr-FR"/>
        </w:rPr>
        <w:tab/>
        <w:t>d)</w:t>
      </w:r>
      <w:r w:rsidRPr="00175743">
        <w:rPr>
          <w:lang w:val="fr-FR"/>
        </w:rPr>
        <w:tab/>
        <w:t>en améliorant les conditions dans les centres de détention pour femmes et dans les quartiers des condamnées à mort, en mettant ces lieux en conformité avec les normes internationales, en réglant le problème de la surpopulation et en garantissant l</w:t>
      </w:r>
      <w:r w:rsidR="006D0FB3" w:rsidRPr="00175743">
        <w:rPr>
          <w:lang w:val="fr-FR"/>
        </w:rPr>
        <w:t>’</w:t>
      </w:r>
      <w:r w:rsidRPr="00175743">
        <w:rPr>
          <w:lang w:val="fr-FR"/>
        </w:rPr>
        <w:t>accès aux soins de santé, à la nutrition et à l</w:t>
      </w:r>
      <w:r w:rsidR="006D0FB3" w:rsidRPr="00175743">
        <w:rPr>
          <w:lang w:val="fr-FR"/>
        </w:rPr>
        <w:t>’</w:t>
      </w:r>
      <w:r w:rsidRPr="00175743">
        <w:rPr>
          <w:lang w:val="fr-FR"/>
        </w:rPr>
        <w:t>hygiène.</w:t>
      </w:r>
    </w:p>
    <w:p w14:paraId="32805B61" w14:textId="77777777" w:rsidR="00FA5963" w:rsidRPr="00175743" w:rsidRDefault="00FA5963" w:rsidP="00FA5963">
      <w:pPr>
        <w:pStyle w:val="SingleTxt"/>
        <w:spacing w:after="0" w:line="120" w:lineRule="exact"/>
        <w:rPr>
          <w:sz w:val="10"/>
          <w:lang w:val="fr-FR"/>
        </w:rPr>
      </w:pPr>
    </w:p>
    <w:p w14:paraId="7B9E2E8E" w14:textId="013E6A37" w:rsidR="00FA5963" w:rsidRPr="00175743" w:rsidRDefault="00FA5963" w:rsidP="00FA59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5743">
        <w:rPr>
          <w:lang w:val="fr-FR"/>
        </w:rPr>
        <w:tab/>
      </w:r>
      <w:r w:rsidRPr="00175743">
        <w:rPr>
          <w:lang w:val="fr-FR"/>
        </w:rPr>
        <w:tab/>
        <w:t>Mécanisme national de promotion des femmes</w:t>
      </w:r>
    </w:p>
    <w:p w14:paraId="527D6884" w14:textId="301F740F" w:rsidR="00FA5963" w:rsidRPr="00175743" w:rsidRDefault="00FA5963" w:rsidP="00FA5963">
      <w:pPr>
        <w:pStyle w:val="SingleTxt"/>
        <w:spacing w:after="0" w:line="120" w:lineRule="exact"/>
        <w:rPr>
          <w:sz w:val="10"/>
          <w:lang w:val="fr-FR"/>
        </w:rPr>
      </w:pPr>
    </w:p>
    <w:p w14:paraId="7E6CF29F" w14:textId="07D31D27" w:rsidR="00FA5963" w:rsidRPr="00175743" w:rsidRDefault="00FA5963" w:rsidP="00FA5963">
      <w:pPr>
        <w:pStyle w:val="SingleTxt"/>
        <w:numPr>
          <w:ilvl w:val="0"/>
          <w:numId w:val="35"/>
        </w:numPr>
        <w:spacing w:line="240" w:lineRule="exact"/>
        <w:rPr>
          <w:lang w:val="fr-FR"/>
        </w:rPr>
      </w:pPr>
      <w:r w:rsidRPr="00175743">
        <w:rPr>
          <w:lang w:val="fr-FR"/>
        </w:rPr>
        <w:t>Veuillez donner des précisions sur</w:t>
      </w:r>
      <w:r w:rsidR="006D0FB3" w:rsidRPr="00175743">
        <w:rPr>
          <w:lang w:val="fr-FR"/>
        </w:rPr>
        <w:t> :</w:t>
      </w:r>
    </w:p>
    <w:p w14:paraId="34A4C1B6" w14:textId="5FA923EB" w:rsidR="00FA5963" w:rsidRPr="00175743" w:rsidRDefault="00FA5963" w:rsidP="00FA5963">
      <w:pPr>
        <w:pStyle w:val="SingleTxt"/>
        <w:rPr>
          <w:lang w:val="fr-FR"/>
        </w:rPr>
      </w:pPr>
      <w:r w:rsidRPr="00175743">
        <w:rPr>
          <w:lang w:val="fr-FR"/>
        </w:rPr>
        <w:tab/>
        <w:t>a)</w:t>
      </w:r>
      <w:r w:rsidRPr="00175743">
        <w:rPr>
          <w:lang w:val="fr-FR"/>
        </w:rPr>
        <w:tab/>
        <w:t>la manière dont l</w:t>
      </w:r>
      <w:r w:rsidR="006D0FB3" w:rsidRPr="00175743">
        <w:rPr>
          <w:lang w:val="fr-FR"/>
        </w:rPr>
        <w:t>’</w:t>
      </w:r>
      <w:r w:rsidRPr="00175743">
        <w:rPr>
          <w:lang w:val="fr-FR"/>
        </w:rPr>
        <w:t>égalité femmes-hommes a été intégrée à l</w:t>
      </w:r>
      <w:r w:rsidR="006D0FB3" w:rsidRPr="00175743">
        <w:rPr>
          <w:lang w:val="fr-FR"/>
        </w:rPr>
        <w:t>’</w:t>
      </w:r>
      <w:r w:rsidRPr="00175743">
        <w:rPr>
          <w:lang w:val="fr-FR"/>
        </w:rPr>
        <w:t>ensemble des domaines de résultat de la troisième Stratégie de croissance et de développement du Malawi (2017-2022) (par. 13)</w:t>
      </w:r>
      <w:r w:rsidR="006D0FB3" w:rsidRPr="00175743">
        <w:rPr>
          <w:lang w:val="fr-FR"/>
        </w:rPr>
        <w:t> ;</w:t>
      </w:r>
    </w:p>
    <w:p w14:paraId="2FA83803" w14:textId="36D1247D" w:rsidR="00FA5963" w:rsidRPr="00175743" w:rsidRDefault="00FA5963" w:rsidP="00FA5963">
      <w:pPr>
        <w:pStyle w:val="SingleTxt"/>
        <w:rPr>
          <w:lang w:val="fr-FR"/>
        </w:rPr>
      </w:pPr>
      <w:r w:rsidRPr="00175743">
        <w:rPr>
          <w:lang w:val="fr-FR"/>
        </w:rPr>
        <w:tab/>
        <w:t>b)</w:t>
      </w:r>
      <w:r w:rsidRPr="00175743">
        <w:rPr>
          <w:lang w:val="fr-FR"/>
        </w:rPr>
        <w:tab/>
        <w:t>la question de savoir si les lignes directrices sur la budgétisation tenant compte des questions de genre ont été renouvelées pour la préparation du budget national après l</w:t>
      </w:r>
      <w:r w:rsidR="006D0FB3" w:rsidRPr="00175743">
        <w:rPr>
          <w:lang w:val="fr-FR"/>
        </w:rPr>
        <w:t>’</w:t>
      </w:r>
      <w:r w:rsidRPr="00175743">
        <w:rPr>
          <w:lang w:val="fr-FR"/>
        </w:rPr>
        <w:t>exercice 2015-2016 (par. 25) et les domaines couverts par la Convention dans lesquels, en conséquence, davantage de ressources ont été investies</w:t>
      </w:r>
      <w:r w:rsidR="006D0FB3" w:rsidRPr="00175743">
        <w:rPr>
          <w:lang w:val="fr-FR"/>
        </w:rPr>
        <w:t> ;</w:t>
      </w:r>
    </w:p>
    <w:p w14:paraId="63799D36" w14:textId="6FC23899" w:rsidR="00FA5963" w:rsidRPr="00175743" w:rsidRDefault="00FA5963" w:rsidP="00FA5963">
      <w:pPr>
        <w:pStyle w:val="SingleTxt"/>
        <w:rPr>
          <w:lang w:val="fr-FR"/>
        </w:rPr>
      </w:pPr>
      <w:r w:rsidRPr="00175743">
        <w:rPr>
          <w:lang w:val="fr-FR"/>
        </w:rPr>
        <w:tab/>
        <w:t>c)</w:t>
      </w:r>
      <w:r w:rsidRPr="00175743">
        <w:rPr>
          <w:lang w:val="fr-FR"/>
        </w:rPr>
        <w:tab/>
        <w:t>le résultat de toute étude d</w:t>
      </w:r>
      <w:r w:rsidR="006D0FB3" w:rsidRPr="00175743">
        <w:rPr>
          <w:lang w:val="fr-FR"/>
        </w:rPr>
        <w:t>’</w:t>
      </w:r>
      <w:r w:rsidRPr="00175743">
        <w:rPr>
          <w:lang w:val="fr-FR"/>
        </w:rPr>
        <w:t>impact du Plan pour l</w:t>
      </w:r>
      <w:r w:rsidR="006D0FB3" w:rsidRPr="00175743">
        <w:rPr>
          <w:lang w:val="fr-FR"/>
        </w:rPr>
        <w:t>’</w:t>
      </w:r>
      <w:r w:rsidRPr="00175743">
        <w:rPr>
          <w:lang w:val="fr-FR"/>
        </w:rPr>
        <w:t>application et le suivi de la loi sur l</w:t>
      </w:r>
      <w:r w:rsidR="006D0FB3" w:rsidRPr="00175743">
        <w:rPr>
          <w:lang w:val="fr-FR"/>
        </w:rPr>
        <w:t>’</w:t>
      </w:r>
      <w:r w:rsidRPr="00175743">
        <w:rPr>
          <w:lang w:val="fr-FR"/>
        </w:rPr>
        <w:t xml:space="preserve">égalité des genres (2016-2020) (par. 14), y compris une évaluation de son </w:t>
      </w:r>
      <w:r w:rsidRPr="00175743">
        <w:rPr>
          <w:lang w:val="fr-FR"/>
        </w:rPr>
        <w:lastRenderedPageBreak/>
        <w:t>efficacité ou des ressources humaines, techniques et financières visant à assurer sa mise en œuvre</w:t>
      </w:r>
      <w:r w:rsidR="006D0FB3" w:rsidRPr="00175743">
        <w:rPr>
          <w:lang w:val="fr-FR"/>
        </w:rPr>
        <w:t> ;</w:t>
      </w:r>
    </w:p>
    <w:p w14:paraId="4B90FD74" w14:textId="34002703" w:rsidR="00FA5963" w:rsidRPr="00175743" w:rsidRDefault="00FA5963" w:rsidP="00FA5963">
      <w:pPr>
        <w:pStyle w:val="SingleTxt"/>
        <w:rPr>
          <w:lang w:val="fr-FR"/>
        </w:rPr>
      </w:pPr>
      <w:r w:rsidRPr="00175743">
        <w:rPr>
          <w:lang w:val="fr-FR"/>
        </w:rPr>
        <w:tab/>
        <w:t>d)</w:t>
      </w:r>
      <w:r w:rsidRPr="00175743">
        <w:rPr>
          <w:lang w:val="fr-FR"/>
        </w:rPr>
        <w:tab/>
        <w:t>l</w:t>
      </w:r>
      <w:r w:rsidR="006D0FB3" w:rsidRPr="00175743">
        <w:rPr>
          <w:lang w:val="fr-FR"/>
        </w:rPr>
        <w:t>’</w:t>
      </w:r>
      <w:r w:rsidRPr="00175743">
        <w:rPr>
          <w:lang w:val="fr-FR"/>
        </w:rPr>
        <w:t>état d</w:t>
      </w:r>
      <w:r w:rsidR="006D0FB3" w:rsidRPr="00175743">
        <w:rPr>
          <w:lang w:val="fr-FR"/>
        </w:rPr>
        <w:t>’</w:t>
      </w:r>
      <w:r w:rsidRPr="00175743">
        <w:rPr>
          <w:lang w:val="fr-FR"/>
        </w:rPr>
        <w:t>avancement du système de gestion de données (par. 7) en cours d</w:t>
      </w:r>
      <w:r w:rsidR="006D0FB3" w:rsidRPr="00175743">
        <w:rPr>
          <w:lang w:val="fr-FR"/>
        </w:rPr>
        <w:t>’</w:t>
      </w:r>
      <w:r w:rsidRPr="00175743">
        <w:rPr>
          <w:lang w:val="fr-FR"/>
        </w:rPr>
        <w:t>élaboration, afin d</w:t>
      </w:r>
      <w:r w:rsidR="006D0FB3" w:rsidRPr="00175743">
        <w:rPr>
          <w:lang w:val="fr-FR"/>
        </w:rPr>
        <w:t>’</w:t>
      </w:r>
      <w:r w:rsidRPr="00175743">
        <w:rPr>
          <w:lang w:val="fr-FR"/>
        </w:rPr>
        <w:t>assurer la collecte systématique de données désagrégées et complètes dans tous les domaines couverts par la Convention</w:t>
      </w:r>
      <w:r w:rsidR="006D0FB3" w:rsidRPr="00175743">
        <w:rPr>
          <w:lang w:val="fr-FR"/>
        </w:rPr>
        <w:t> ;</w:t>
      </w:r>
    </w:p>
    <w:p w14:paraId="14582701" w14:textId="313C9990" w:rsidR="00FA5963" w:rsidRPr="00175743" w:rsidRDefault="00FA5963" w:rsidP="00FA5963">
      <w:pPr>
        <w:pStyle w:val="SingleTxt"/>
        <w:rPr>
          <w:lang w:val="fr-FR"/>
        </w:rPr>
      </w:pPr>
      <w:r w:rsidRPr="00175743">
        <w:rPr>
          <w:lang w:val="fr-FR"/>
        </w:rPr>
        <w:tab/>
        <w:t>e)</w:t>
      </w:r>
      <w:r w:rsidRPr="00175743">
        <w:rPr>
          <w:lang w:val="fr-FR"/>
        </w:rPr>
        <w:tab/>
        <w:t>les méthodes employées pour consulter systématiquement les organisations de femmes, en particulier celles qui représentent les femmes marginalisées, sur la mise en œuvre des stratégies pour l</w:t>
      </w:r>
      <w:r w:rsidR="006D0FB3" w:rsidRPr="00175743">
        <w:rPr>
          <w:lang w:val="fr-FR"/>
        </w:rPr>
        <w:t>’</w:t>
      </w:r>
      <w:r w:rsidRPr="00175743">
        <w:rPr>
          <w:lang w:val="fr-FR"/>
        </w:rPr>
        <w:t>égalité des genres.</w:t>
      </w:r>
    </w:p>
    <w:p w14:paraId="75B7E8A0" w14:textId="77777777" w:rsidR="00FA5963" w:rsidRPr="00175743" w:rsidRDefault="00FA5963" w:rsidP="00FA5963">
      <w:pPr>
        <w:pStyle w:val="SingleTxt"/>
        <w:spacing w:after="0" w:line="120" w:lineRule="exact"/>
        <w:rPr>
          <w:sz w:val="10"/>
          <w:lang w:val="fr-FR"/>
        </w:rPr>
      </w:pPr>
    </w:p>
    <w:p w14:paraId="14DD1F5E" w14:textId="2B6448FF" w:rsidR="00FA5963" w:rsidRPr="00175743" w:rsidRDefault="00FA5963" w:rsidP="00FA59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5743">
        <w:rPr>
          <w:lang w:val="fr-FR"/>
        </w:rPr>
        <w:tab/>
      </w:r>
      <w:r w:rsidRPr="00175743">
        <w:rPr>
          <w:lang w:val="fr-FR"/>
        </w:rPr>
        <w:tab/>
        <w:t>Institution nationale pour la promotion et la protection des droits humains</w:t>
      </w:r>
    </w:p>
    <w:p w14:paraId="415136AD" w14:textId="63AB7518" w:rsidR="00FA5963" w:rsidRPr="00175743" w:rsidRDefault="00FA5963" w:rsidP="00FA5963">
      <w:pPr>
        <w:pStyle w:val="SingleTxt"/>
        <w:spacing w:after="0" w:line="120" w:lineRule="exact"/>
        <w:rPr>
          <w:sz w:val="10"/>
          <w:lang w:val="fr-FR"/>
        </w:rPr>
      </w:pPr>
    </w:p>
    <w:p w14:paraId="61BD2575" w14:textId="093FB39F" w:rsidR="00C40922" w:rsidRPr="00175743" w:rsidRDefault="00FA5963" w:rsidP="00FA5963">
      <w:pPr>
        <w:pStyle w:val="SingleTxt"/>
        <w:numPr>
          <w:ilvl w:val="0"/>
          <w:numId w:val="35"/>
        </w:numPr>
        <w:spacing w:line="240" w:lineRule="exact"/>
        <w:rPr>
          <w:lang w:val="fr-FR"/>
        </w:rPr>
      </w:pPr>
      <w:r w:rsidRPr="00175743">
        <w:rPr>
          <w:lang w:val="fr-FR"/>
        </w:rPr>
        <w:t>Veuillez informer le Comité du soutien apporté à la Commission malawienne des droits humains pour la supervision de l</w:t>
      </w:r>
      <w:r w:rsidR="006D0FB3" w:rsidRPr="00175743">
        <w:rPr>
          <w:lang w:val="fr-FR"/>
        </w:rPr>
        <w:t>’</w:t>
      </w:r>
      <w:r w:rsidRPr="00175743">
        <w:rPr>
          <w:lang w:val="fr-FR"/>
        </w:rPr>
        <w:t>application de la loi de 2013 sur l</w:t>
      </w:r>
      <w:r w:rsidR="006D0FB3" w:rsidRPr="00175743">
        <w:rPr>
          <w:lang w:val="fr-FR"/>
        </w:rPr>
        <w:t>’</w:t>
      </w:r>
      <w:r w:rsidRPr="00175743">
        <w:rPr>
          <w:lang w:val="fr-FR"/>
        </w:rPr>
        <w:t>égalité des genres, ainsi que des pouvoirs dont dispose la Commission pour faire respecter les dispositions de cette loi.</w:t>
      </w:r>
    </w:p>
    <w:p w14:paraId="3E884F72" w14:textId="4172874B" w:rsidR="00FA5963" w:rsidRPr="00175743" w:rsidRDefault="00FA5963" w:rsidP="00FA5963">
      <w:pPr>
        <w:pStyle w:val="SingleTxt"/>
        <w:spacing w:after="0" w:line="120" w:lineRule="exact"/>
        <w:rPr>
          <w:sz w:val="10"/>
          <w:lang w:val="fr-FR"/>
        </w:rPr>
      </w:pPr>
    </w:p>
    <w:p w14:paraId="30B781FA" w14:textId="0E5C9033" w:rsidR="00FA5963" w:rsidRPr="00175743" w:rsidRDefault="00FA5963" w:rsidP="00FA59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5743">
        <w:rPr>
          <w:lang w:val="fr-FR"/>
        </w:rPr>
        <w:tab/>
      </w:r>
      <w:r w:rsidRPr="00175743">
        <w:rPr>
          <w:lang w:val="fr-FR"/>
        </w:rPr>
        <w:tab/>
        <w:t>Mesures temporaires spéciales</w:t>
      </w:r>
    </w:p>
    <w:p w14:paraId="1014A875" w14:textId="038F3F43" w:rsidR="00FA5963" w:rsidRPr="00175743" w:rsidRDefault="00FA5963" w:rsidP="00FA5963">
      <w:pPr>
        <w:pStyle w:val="SingleTxt"/>
        <w:spacing w:after="0" w:line="120" w:lineRule="exact"/>
        <w:rPr>
          <w:sz w:val="10"/>
          <w:lang w:val="fr-FR"/>
        </w:rPr>
      </w:pPr>
    </w:p>
    <w:p w14:paraId="0B023396" w14:textId="21CEE3E4" w:rsidR="00FA5963" w:rsidRPr="00175743" w:rsidRDefault="00FA5963" w:rsidP="00FA5963">
      <w:pPr>
        <w:pStyle w:val="SingleTxt"/>
        <w:numPr>
          <w:ilvl w:val="0"/>
          <w:numId w:val="36"/>
        </w:numPr>
        <w:spacing w:line="240" w:lineRule="exact"/>
        <w:rPr>
          <w:lang w:val="fr-FR"/>
        </w:rPr>
      </w:pPr>
      <w:r w:rsidRPr="00175743">
        <w:rPr>
          <w:lang w:val="fr-FR"/>
        </w:rPr>
        <w:t>Outre les mesures temporaires spéciales visant à assurer l</w:t>
      </w:r>
      <w:r w:rsidR="006D0FB3" w:rsidRPr="00175743">
        <w:rPr>
          <w:lang w:val="fr-FR"/>
        </w:rPr>
        <w:t>’</w:t>
      </w:r>
      <w:r w:rsidRPr="00175743">
        <w:rPr>
          <w:lang w:val="fr-FR"/>
        </w:rPr>
        <w:t>égalité femmes-hommes dans l</w:t>
      </w:r>
      <w:r w:rsidR="006D0FB3" w:rsidRPr="00175743">
        <w:rPr>
          <w:lang w:val="fr-FR"/>
        </w:rPr>
        <w:t>’</w:t>
      </w:r>
      <w:r w:rsidRPr="00175743">
        <w:rPr>
          <w:lang w:val="fr-FR"/>
        </w:rPr>
        <w:t>éducation (par. 26 et 27) et celles prévues par la loi sur l</w:t>
      </w:r>
      <w:r w:rsidR="006D0FB3" w:rsidRPr="00175743">
        <w:rPr>
          <w:lang w:val="fr-FR"/>
        </w:rPr>
        <w:t>’</w:t>
      </w:r>
      <w:r w:rsidRPr="00175743">
        <w:rPr>
          <w:lang w:val="fr-FR"/>
        </w:rPr>
        <w:t>égalité des genres, qui ne concernent que la fonction publique et l</w:t>
      </w:r>
      <w:r w:rsidR="006D0FB3" w:rsidRPr="00175743">
        <w:rPr>
          <w:lang w:val="fr-FR"/>
        </w:rPr>
        <w:t>’</w:t>
      </w:r>
      <w:r w:rsidRPr="00175743">
        <w:rPr>
          <w:lang w:val="fr-FR"/>
        </w:rPr>
        <w:t>enseignement supérieur, veuillez informer le Comité des plans pour l</w:t>
      </w:r>
      <w:r w:rsidR="006D0FB3" w:rsidRPr="00175743">
        <w:rPr>
          <w:lang w:val="fr-FR"/>
        </w:rPr>
        <w:t>’</w:t>
      </w:r>
      <w:r w:rsidRPr="00175743">
        <w:rPr>
          <w:lang w:val="fr-FR"/>
        </w:rPr>
        <w:t>application des mesures temporaires spéciales dans d</w:t>
      </w:r>
      <w:r w:rsidR="006D0FB3" w:rsidRPr="00175743">
        <w:rPr>
          <w:lang w:val="fr-FR"/>
        </w:rPr>
        <w:t>’</w:t>
      </w:r>
      <w:r w:rsidRPr="00175743">
        <w:rPr>
          <w:lang w:val="fr-FR"/>
        </w:rPr>
        <w:t>autres domaines couverts par la Convention, tels que l</w:t>
      </w:r>
      <w:r w:rsidR="006D0FB3" w:rsidRPr="00175743">
        <w:rPr>
          <w:lang w:val="fr-FR"/>
        </w:rPr>
        <w:t>’</w:t>
      </w:r>
      <w:r w:rsidRPr="00175743">
        <w:rPr>
          <w:lang w:val="fr-FR"/>
        </w:rPr>
        <w:t>accès à la justice, les soins de santé, y compris la santé sexuelle et reproductive, la formation professionnelle, les possibilités d</w:t>
      </w:r>
      <w:r w:rsidR="006D0FB3" w:rsidRPr="00175743">
        <w:rPr>
          <w:lang w:val="fr-FR"/>
        </w:rPr>
        <w:t>’</w:t>
      </w:r>
      <w:r w:rsidRPr="00175743">
        <w:rPr>
          <w:lang w:val="fr-FR"/>
        </w:rPr>
        <w:t>emploi et l</w:t>
      </w:r>
      <w:r w:rsidR="006D0FB3" w:rsidRPr="00175743">
        <w:rPr>
          <w:lang w:val="fr-FR"/>
        </w:rPr>
        <w:t>’</w:t>
      </w:r>
      <w:r w:rsidRPr="00175743">
        <w:rPr>
          <w:lang w:val="fr-FR"/>
        </w:rPr>
        <w:t>acquisition de crédits financiers et de biens, y compris des terres.</w:t>
      </w:r>
    </w:p>
    <w:p w14:paraId="512EEABA" w14:textId="77777777" w:rsidR="00FA5963" w:rsidRPr="00175743" w:rsidRDefault="00FA5963" w:rsidP="00FA5963">
      <w:pPr>
        <w:pStyle w:val="SingleTxt"/>
        <w:spacing w:after="0" w:line="120" w:lineRule="exact"/>
        <w:rPr>
          <w:sz w:val="10"/>
          <w:lang w:val="fr-FR"/>
        </w:rPr>
      </w:pPr>
    </w:p>
    <w:p w14:paraId="6E81AADA" w14:textId="0FEFCB5F" w:rsidR="00FA5963" w:rsidRPr="00175743" w:rsidRDefault="00FA5963" w:rsidP="00FA59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5743">
        <w:rPr>
          <w:lang w:val="fr-FR"/>
        </w:rPr>
        <w:tab/>
      </w:r>
      <w:r w:rsidRPr="00175743">
        <w:rPr>
          <w:lang w:val="fr-FR"/>
        </w:rPr>
        <w:tab/>
        <w:t>Stéréotypes fondés sur le genre et pratiques préjudiciables</w:t>
      </w:r>
    </w:p>
    <w:p w14:paraId="7D59C144" w14:textId="77585206" w:rsidR="00FA5963" w:rsidRPr="00175743" w:rsidRDefault="00FA5963" w:rsidP="00FA5963">
      <w:pPr>
        <w:pStyle w:val="SingleTxt"/>
        <w:spacing w:after="0" w:line="120" w:lineRule="exact"/>
        <w:rPr>
          <w:sz w:val="10"/>
          <w:lang w:val="fr-FR"/>
        </w:rPr>
      </w:pPr>
    </w:p>
    <w:p w14:paraId="74492B39" w14:textId="18CF23D8" w:rsidR="00C40922" w:rsidRPr="00175743" w:rsidRDefault="00FA5963" w:rsidP="00FA5963">
      <w:pPr>
        <w:pStyle w:val="SingleTxt"/>
        <w:numPr>
          <w:ilvl w:val="0"/>
          <w:numId w:val="37"/>
        </w:numPr>
        <w:spacing w:line="240" w:lineRule="exact"/>
        <w:rPr>
          <w:lang w:val="fr-FR"/>
        </w:rPr>
      </w:pPr>
      <w:r w:rsidRPr="00175743">
        <w:rPr>
          <w:lang w:val="fr-FR"/>
        </w:rPr>
        <w:t>Veuillez informer le Comité du résultat de toute évaluation du Plan d</w:t>
      </w:r>
      <w:r w:rsidR="006D0FB3" w:rsidRPr="00175743">
        <w:rPr>
          <w:lang w:val="fr-FR"/>
        </w:rPr>
        <w:t>’</w:t>
      </w:r>
      <w:r w:rsidRPr="00175743">
        <w:rPr>
          <w:lang w:val="fr-FR"/>
        </w:rPr>
        <w:t>action national contre la violence fondée sur le genre (2014-2020), en ce qui concerne la transformation des normes sociales néfastes et la manière dont les enseignements tirés ont été intégrés dans un nouveau plan (par. 36).</w:t>
      </w:r>
    </w:p>
    <w:p w14:paraId="122CE46E" w14:textId="580A7474" w:rsidR="00FA5963" w:rsidRPr="00175743" w:rsidRDefault="00FA5963" w:rsidP="00FA5963">
      <w:pPr>
        <w:pStyle w:val="SingleTxt"/>
        <w:numPr>
          <w:ilvl w:val="0"/>
          <w:numId w:val="38"/>
        </w:numPr>
        <w:spacing w:line="240" w:lineRule="exact"/>
        <w:rPr>
          <w:lang w:val="fr-FR"/>
        </w:rPr>
      </w:pPr>
      <w:r w:rsidRPr="00175743">
        <w:rPr>
          <w:lang w:val="fr-FR"/>
        </w:rPr>
        <w:t>Veuillez informer le Comité des mesures prises pour</w:t>
      </w:r>
      <w:r w:rsidR="006D0FB3" w:rsidRPr="00175743">
        <w:rPr>
          <w:lang w:val="fr-FR"/>
        </w:rPr>
        <w:t> :</w:t>
      </w:r>
    </w:p>
    <w:p w14:paraId="0C79D858" w14:textId="72D4D004" w:rsidR="00C40922" w:rsidRPr="00175743" w:rsidRDefault="00FA5963" w:rsidP="00FA5963">
      <w:pPr>
        <w:pStyle w:val="SingleTxt"/>
        <w:rPr>
          <w:lang w:val="fr-FR"/>
        </w:rPr>
      </w:pPr>
      <w:r w:rsidRPr="00175743">
        <w:rPr>
          <w:lang w:val="fr-FR"/>
        </w:rPr>
        <w:tab/>
        <w:t>a)</w:t>
      </w:r>
      <w:r w:rsidRPr="00175743">
        <w:rPr>
          <w:lang w:val="fr-FR"/>
        </w:rPr>
        <w:tab/>
        <w:t>faire appliquer les lois interdisant les pratiques préjudiciables, notamment la loi de 2016 portant modification de la loi sur l</w:t>
      </w:r>
      <w:r w:rsidR="006D0FB3" w:rsidRPr="00175743">
        <w:rPr>
          <w:lang w:val="fr-FR"/>
        </w:rPr>
        <w:t>’</w:t>
      </w:r>
      <w:r w:rsidRPr="00175743">
        <w:rPr>
          <w:lang w:val="fr-FR"/>
        </w:rPr>
        <w:t>anatomie</w:t>
      </w:r>
      <w:r w:rsidR="006D0FB3" w:rsidRPr="00175743">
        <w:rPr>
          <w:lang w:val="fr-FR"/>
        </w:rPr>
        <w:t> ;</w:t>
      </w:r>
    </w:p>
    <w:p w14:paraId="31576D3D" w14:textId="6AE9BE66" w:rsidR="00C40922" w:rsidRPr="00175743" w:rsidRDefault="00FA5963" w:rsidP="00FA5963">
      <w:pPr>
        <w:pStyle w:val="SingleTxt"/>
        <w:rPr>
          <w:lang w:val="fr-FR"/>
        </w:rPr>
      </w:pPr>
      <w:r w:rsidRPr="00175743">
        <w:rPr>
          <w:lang w:val="fr-FR"/>
        </w:rPr>
        <w:tab/>
        <w:t>b)</w:t>
      </w:r>
      <w:r w:rsidRPr="00175743">
        <w:rPr>
          <w:lang w:val="fr-FR"/>
        </w:rPr>
        <w:tab/>
        <w:t>donner aux filles les moyens de lutter contre les stéréotypes discriminatoires et les normes préjudiciables, notamment en renforçant les comités locaux de protection de l</w:t>
      </w:r>
      <w:r w:rsidR="006D0FB3" w:rsidRPr="00175743">
        <w:rPr>
          <w:lang w:val="fr-FR"/>
        </w:rPr>
        <w:t>’</w:t>
      </w:r>
      <w:r w:rsidRPr="00175743">
        <w:rPr>
          <w:lang w:val="fr-FR"/>
        </w:rPr>
        <w:t>enfance et les programmes de mentorat « Safe Space »</w:t>
      </w:r>
      <w:r w:rsidR="006D0FB3" w:rsidRPr="00175743">
        <w:rPr>
          <w:lang w:val="fr-FR"/>
        </w:rPr>
        <w:t> ;</w:t>
      </w:r>
    </w:p>
    <w:p w14:paraId="288C1053" w14:textId="699B2458" w:rsidR="00FA5963" w:rsidRPr="00175743" w:rsidRDefault="00FA5963" w:rsidP="00FA5963">
      <w:pPr>
        <w:pStyle w:val="SingleTxt"/>
        <w:rPr>
          <w:lang w:val="fr-FR"/>
        </w:rPr>
      </w:pPr>
      <w:r w:rsidRPr="00175743">
        <w:rPr>
          <w:lang w:val="fr-FR"/>
        </w:rPr>
        <w:tab/>
        <w:t>c)</w:t>
      </w:r>
      <w:r w:rsidRPr="00175743">
        <w:rPr>
          <w:lang w:val="fr-FR"/>
        </w:rPr>
        <w:tab/>
        <w:t>sensibiliser le public au caractère délictueux des pratiques préjudiciables aux femmes, notamment en s</w:t>
      </w:r>
      <w:r w:rsidR="006D0FB3" w:rsidRPr="00175743">
        <w:rPr>
          <w:lang w:val="fr-FR"/>
        </w:rPr>
        <w:t>’</w:t>
      </w:r>
      <w:r w:rsidRPr="00175743">
        <w:rPr>
          <w:lang w:val="fr-FR"/>
        </w:rPr>
        <w:t>engageant auprès des personnes influentes au sein des collectivités, comme les chefs traditionnels et religieux</w:t>
      </w:r>
      <w:r w:rsidR="006D0FB3" w:rsidRPr="00175743">
        <w:rPr>
          <w:lang w:val="fr-FR"/>
        </w:rPr>
        <w:t> ;</w:t>
      </w:r>
    </w:p>
    <w:p w14:paraId="205B0730" w14:textId="0AA5DF17" w:rsidR="00FA5963" w:rsidRPr="00175743" w:rsidRDefault="00FA5963" w:rsidP="00FA5963">
      <w:pPr>
        <w:pStyle w:val="SingleTxt"/>
        <w:rPr>
          <w:lang w:val="fr-FR"/>
        </w:rPr>
      </w:pPr>
      <w:r w:rsidRPr="00175743">
        <w:rPr>
          <w:lang w:val="fr-FR"/>
        </w:rPr>
        <w:tab/>
        <w:t>d)</w:t>
      </w:r>
      <w:r w:rsidRPr="00175743">
        <w:rPr>
          <w:lang w:val="fr-FR"/>
        </w:rPr>
        <w:tab/>
        <w:t>abroger la loi de 1911 sur la sorcellerie (par. 113), et faire en sorte que les efforts de sensibilisation menés pour lutter contre la discrimination à l</w:t>
      </w:r>
      <w:r w:rsidR="006D0FB3" w:rsidRPr="00175743">
        <w:rPr>
          <w:lang w:val="fr-FR"/>
        </w:rPr>
        <w:t>’</w:t>
      </w:r>
      <w:r w:rsidRPr="00175743">
        <w:rPr>
          <w:lang w:val="fr-FR"/>
        </w:rPr>
        <w:t>égard des femmes âgées, notamment les accusations de sorcellerie et les agressions violentes dont elles sont victimes, touchent les populations aux quatre coins de l</w:t>
      </w:r>
      <w:r w:rsidR="006D0FB3" w:rsidRPr="00175743">
        <w:rPr>
          <w:lang w:val="fr-FR"/>
        </w:rPr>
        <w:t>’</w:t>
      </w:r>
      <w:r w:rsidRPr="00175743">
        <w:rPr>
          <w:lang w:val="fr-FR"/>
        </w:rPr>
        <w:t>État partie.</w:t>
      </w:r>
    </w:p>
    <w:p w14:paraId="5F2F7768" w14:textId="623823C1" w:rsidR="00FA5963" w:rsidRDefault="00FA5963" w:rsidP="00FA5963">
      <w:pPr>
        <w:pStyle w:val="SingleTxt"/>
        <w:numPr>
          <w:ilvl w:val="0"/>
          <w:numId w:val="42"/>
        </w:numPr>
        <w:spacing w:line="240" w:lineRule="exact"/>
        <w:rPr>
          <w:lang w:val="fr-FR"/>
        </w:rPr>
      </w:pPr>
      <w:r w:rsidRPr="00175743">
        <w:rPr>
          <w:lang w:val="fr-FR"/>
        </w:rPr>
        <w:t>Veuillez communiquer des informations sur les mesures prises pour faire appliquer l</w:t>
      </w:r>
      <w:r w:rsidR="006D0FB3" w:rsidRPr="00175743">
        <w:rPr>
          <w:lang w:val="fr-FR"/>
        </w:rPr>
        <w:t>’</w:t>
      </w:r>
      <w:r w:rsidRPr="00175743">
        <w:rPr>
          <w:lang w:val="fr-FR"/>
        </w:rPr>
        <w:t>amendement constitutionnel du 14 février 2017 portant l</w:t>
      </w:r>
      <w:r w:rsidR="006D0FB3" w:rsidRPr="00175743">
        <w:rPr>
          <w:lang w:val="fr-FR"/>
        </w:rPr>
        <w:t>’</w:t>
      </w:r>
      <w:r w:rsidRPr="00175743">
        <w:rPr>
          <w:lang w:val="fr-FR"/>
        </w:rPr>
        <w:t xml:space="preserve">âge minimum du mariage de 15 à 18 ans pour les filles et les garçons, notamment en sanctionnant les personnes </w:t>
      </w:r>
      <w:r w:rsidRPr="00175743">
        <w:rPr>
          <w:szCs w:val="20"/>
          <w:lang w:val="fr-FR"/>
        </w:rPr>
        <w:t>célébrant</w:t>
      </w:r>
      <w:r w:rsidRPr="00175743">
        <w:rPr>
          <w:lang w:val="fr-FR"/>
        </w:rPr>
        <w:t xml:space="preserve"> des mariages d</w:t>
      </w:r>
      <w:r w:rsidR="006D0FB3" w:rsidRPr="00175743">
        <w:rPr>
          <w:lang w:val="fr-FR"/>
        </w:rPr>
        <w:t>’</w:t>
      </w:r>
      <w:r w:rsidRPr="00175743">
        <w:rPr>
          <w:lang w:val="fr-FR"/>
        </w:rPr>
        <w:t xml:space="preserve">enfants et en sensibilisant le public aux effets néfastes de ces mariages sur la santé physique et mentale des filles. Veuillez par </w:t>
      </w:r>
      <w:r w:rsidRPr="00175743">
        <w:rPr>
          <w:lang w:val="fr-FR"/>
        </w:rPr>
        <w:lastRenderedPageBreak/>
        <w:t>ailleurs donner des précisions sur l</w:t>
      </w:r>
      <w:r w:rsidR="006D0FB3" w:rsidRPr="00175743">
        <w:rPr>
          <w:lang w:val="fr-FR"/>
        </w:rPr>
        <w:t>’</w:t>
      </w:r>
      <w:r w:rsidRPr="00175743">
        <w:rPr>
          <w:lang w:val="fr-FR"/>
        </w:rPr>
        <w:t>évaluation à mi-parcours de la Stratégie nationale pour l</w:t>
      </w:r>
      <w:r w:rsidR="006D0FB3" w:rsidRPr="00175743">
        <w:rPr>
          <w:lang w:val="fr-FR"/>
        </w:rPr>
        <w:t>’</w:t>
      </w:r>
      <w:r w:rsidRPr="00175743">
        <w:rPr>
          <w:lang w:val="fr-FR"/>
        </w:rPr>
        <w:t>élimination du mariage d</w:t>
      </w:r>
      <w:r w:rsidR="006D0FB3" w:rsidRPr="00175743">
        <w:rPr>
          <w:lang w:val="fr-FR"/>
        </w:rPr>
        <w:t>’</w:t>
      </w:r>
      <w:r w:rsidRPr="00175743">
        <w:rPr>
          <w:lang w:val="fr-FR"/>
        </w:rPr>
        <w:t>enfants (2018-2023).</w:t>
      </w:r>
    </w:p>
    <w:p w14:paraId="1EC08678" w14:textId="5AF37DE3" w:rsidR="00B66A06" w:rsidRPr="00B66A06" w:rsidRDefault="00B66A06" w:rsidP="00B66A06">
      <w:pPr>
        <w:pStyle w:val="SingleTxt"/>
        <w:tabs>
          <w:tab w:val="clear" w:pos="1742"/>
        </w:tabs>
        <w:spacing w:after="0" w:line="120" w:lineRule="exact"/>
        <w:rPr>
          <w:sz w:val="10"/>
          <w:lang w:val="fr-FR"/>
        </w:rPr>
      </w:pPr>
    </w:p>
    <w:p w14:paraId="3B04A8BF" w14:textId="1AA8605A" w:rsidR="00FA5963" w:rsidRPr="00175743" w:rsidRDefault="00FA5963" w:rsidP="00FA59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5743">
        <w:rPr>
          <w:lang w:val="fr-FR"/>
        </w:rPr>
        <w:tab/>
      </w:r>
      <w:r w:rsidRPr="00175743">
        <w:rPr>
          <w:lang w:val="fr-FR"/>
        </w:rPr>
        <w:tab/>
        <w:t>Violence à l</w:t>
      </w:r>
      <w:r w:rsidR="006D0FB3" w:rsidRPr="00175743">
        <w:rPr>
          <w:lang w:val="fr-FR"/>
        </w:rPr>
        <w:t>’</w:t>
      </w:r>
      <w:r w:rsidRPr="00175743">
        <w:rPr>
          <w:lang w:val="fr-FR"/>
        </w:rPr>
        <w:t>égard des femmes fondée sur le genre</w:t>
      </w:r>
    </w:p>
    <w:p w14:paraId="4C7DFD30" w14:textId="18670AC2" w:rsidR="00FA5963" w:rsidRPr="00175743" w:rsidRDefault="00FA5963" w:rsidP="00FA5963">
      <w:pPr>
        <w:pStyle w:val="SingleTxt"/>
        <w:spacing w:after="0" w:line="120" w:lineRule="exact"/>
        <w:rPr>
          <w:sz w:val="10"/>
          <w:lang w:val="fr-FR"/>
        </w:rPr>
      </w:pPr>
    </w:p>
    <w:p w14:paraId="3CCA8AAB" w14:textId="58415567" w:rsidR="00FA5963" w:rsidRPr="00175743" w:rsidRDefault="00FA5963" w:rsidP="00FA5963">
      <w:pPr>
        <w:pStyle w:val="SingleTxt"/>
        <w:numPr>
          <w:ilvl w:val="0"/>
          <w:numId w:val="44"/>
        </w:numPr>
        <w:spacing w:line="240" w:lineRule="exact"/>
        <w:rPr>
          <w:lang w:val="fr-FR"/>
        </w:rPr>
      </w:pPr>
      <w:r w:rsidRPr="00175743">
        <w:rPr>
          <w:lang w:val="fr-FR"/>
        </w:rPr>
        <w:t>Veuillez informer le Comité des mesures prises pour</w:t>
      </w:r>
      <w:r w:rsidR="006D0FB3" w:rsidRPr="00175743">
        <w:rPr>
          <w:lang w:val="fr-FR"/>
        </w:rPr>
        <w:t> :</w:t>
      </w:r>
    </w:p>
    <w:p w14:paraId="41368F73" w14:textId="22B0707C" w:rsidR="00FA5963" w:rsidRPr="00175743" w:rsidRDefault="00FA5963" w:rsidP="00FA5963">
      <w:pPr>
        <w:pStyle w:val="SingleTxt"/>
        <w:rPr>
          <w:lang w:val="fr-FR"/>
        </w:rPr>
      </w:pPr>
      <w:r w:rsidRPr="00175743">
        <w:rPr>
          <w:lang w:val="fr-FR"/>
        </w:rPr>
        <w:tab/>
        <w:t>a)</w:t>
      </w:r>
      <w:r w:rsidRPr="00175743">
        <w:rPr>
          <w:lang w:val="fr-FR"/>
        </w:rPr>
        <w:tab/>
        <w:t>élargir la définition du viol conjugal pour aller au-delà de l</w:t>
      </w:r>
      <w:r w:rsidR="006D0FB3" w:rsidRPr="00175743">
        <w:rPr>
          <w:lang w:val="fr-FR"/>
        </w:rPr>
        <w:t>’</w:t>
      </w:r>
      <w:r w:rsidRPr="00175743">
        <w:rPr>
          <w:lang w:val="fr-FR"/>
        </w:rPr>
        <w:t>interprétation étroite fournie par l</w:t>
      </w:r>
      <w:r w:rsidR="006D0FB3" w:rsidRPr="00175743">
        <w:rPr>
          <w:lang w:val="fr-FR"/>
        </w:rPr>
        <w:t>’</w:t>
      </w:r>
      <w:r w:rsidRPr="00175743">
        <w:rPr>
          <w:lang w:val="fr-FR"/>
        </w:rPr>
        <w:t>article 62 de la loi sur le mariage, le divorce et les relations familiales (2015), et veiller à ce qu</w:t>
      </w:r>
      <w:r w:rsidR="006D0FB3" w:rsidRPr="00175743">
        <w:rPr>
          <w:lang w:val="fr-FR"/>
        </w:rPr>
        <w:t>’</w:t>
      </w:r>
      <w:r w:rsidRPr="00175743">
        <w:rPr>
          <w:lang w:val="fr-FR"/>
        </w:rPr>
        <w:t>elle s</w:t>
      </w:r>
      <w:r w:rsidR="006D0FB3" w:rsidRPr="00175743">
        <w:rPr>
          <w:lang w:val="fr-FR"/>
        </w:rPr>
        <w:t>’</w:t>
      </w:r>
      <w:r w:rsidRPr="00175743">
        <w:rPr>
          <w:lang w:val="fr-FR"/>
        </w:rPr>
        <w:t>étende à tous les cas dans lesquels une épouse ne consent pas à un acte sexuel</w:t>
      </w:r>
      <w:r w:rsidR="006D0FB3" w:rsidRPr="00175743">
        <w:rPr>
          <w:lang w:val="fr-FR"/>
        </w:rPr>
        <w:t> ;</w:t>
      </w:r>
    </w:p>
    <w:p w14:paraId="6529F3A2" w14:textId="76463B4A" w:rsidR="00FA5963" w:rsidRPr="00175743" w:rsidRDefault="00FA5963" w:rsidP="00FA5963">
      <w:pPr>
        <w:pStyle w:val="SingleTxt"/>
        <w:rPr>
          <w:lang w:val="fr-FR"/>
        </w:rPr>
      </w:pPr>
      <w:r w:rsidRPr="00175743">
        <w:rPr>
          <w:lang w:val="fr-FR"/>
        </w:rPr>
        <w:tab/>
        <w:t>b)</w:t>
      </w:r>
      <w:r w:rsidRPr="00175743">
        <w:rPr>
          <w:lang w:val="fr-FR"/>
        </w:rPr>
        <w:tab/>
        <w:t>élaborer des règles de procédures juridiques conformes à la décision judiciaire rendue dans l</w:t>
      </w:r>
      <w:r w:rsidR="006D0FB3" w:rsidRPr="00175743">
        <w:rPr>
          <w:lang w:val="fr-FR"/>
        </w:rPr>
        <w:t>’</w:t>
      </w:r>
      <w:r w:rsidRPr="00175743">
        <w:rPr>
          <w:lang w:val="fr-FR"/>
        </w:rPr>
        <w:t xml:space="preserve">affaire </w:t>
      </w:r>
      <w:r w:rsidRPr="00175743">
        <w:rPr>
          <w:i/>
          <w:iCs/>
          <w:lang w:val="fr-FR"/>
        </w:rPr>
        <w:t xml:space="preserve">Steven Kaliyati </w:t>
      </w:r>
      <w:r w:rsidRPr="00175743">
        <w:rPr>
          <w:lang w:val="fr-FR"/>
        </w:rPr>
        <w:t xml:space="preserve">c. </w:t>
      </w:r>
      <w:r w:rsidRPr="00175743">
        <w:rPr>
          <w:i/>
          <w:iCs/>
          <w:lang w:val="fr-FR"/>
        </w:rPr>
        <w:t>La République</w:t>
      </w:r>
      <w:r w:rsidRPr="00175743">
        <w:rPr>
          <w:lang w:val="fr-FR"/>
        </w:rPr>
        <w:t xml:space="preserve"> (recours pénal n</w:t>
      </w:r>
      <w:r w:rsidR="00DE75DB" w:rsidRPr="00175743">
        <w:rPr>
          <w:vertAlign w:val="superscript"/>
          <w:lang w:val="fr-FR"/>
        </w:rPr>
        <w:t>o</w:t>
      </w:r>
      <w:r w:rsidR="00DE75DB" w:rsidRPr="00175743">
        <w:rPr>
          <w:lang w:val="fr-FR"/>
        </w:rPr>
        <w:t> </w:t>
      </w:r>
      <w:r w:rsidRPr="00175743">
        <w:rPr>
          <w:lang w:val="fr-FR"/>
        </w:rPr>
        <w:t>109 de 2018), en supprimant l</w:t>
      </w:r>
      <w:r w:rsidR="006D0FB3" w:rsidRPr="00175743">
        <w:rPr>
          <w:lang w:val="fr-FR"/>
        </w:rPr>
        <w:t>’</w:t>
      </w:r>
      <w:r w:rsidRPr="00175743">
        <w:rPr>
          <w:lang w:val="fr-FR"/>
        </w:rPr>
        <w:t>obligation d</w:t>
      </w:r>
      <w:r w:rsidR="006D0FB3" w:rsidRPr="00175743">
        <w:rPr>
          <w:lang w:val="fr-FR"/>
        </w:rPr>
        <w:t>’</w:t>
      </w:r>
      <w:r w:rsidRPr="00175743">
        <w:rPr>
          <w:lang w:val="fr-FR"/>
        </w:rPr>
        <w:t>apporter la preuve dans les cas présumés d</w:t>
      </w:r>
      <w:r w:rsidR="006D0FB3" w:rsidRPr="00175743">
        <w:rPr>
          <w:lang w:val="fr-FR"/>
        </w:rPr>
        <w:t>’</w:t>
      </w:r>
      <w:r w:rsidRPr="00175743">
        <w:rPr>
          <w:lang w:val="fr-FR"/>
        </w:rPr>
        <w:t>infractions sexuelles.</w:t>
      </w:r>
    </w:p>
    <w:p w14:paraId="7728A6AA" w14:textId="77777777" w:rsidR="00FA5963" w:rsidRPr="00175743" w:rsidRDefault="00FA5963" w:rsidP="00FA5963">
      <w:pPr>
        <w:pStyle w:val="SingleTxt"/>
        <w:spacing w:after="0" w:line="120" w:lineRule="exact"/>
        <w:rPr>
          <w:sz w:val="10"/>
          <w:lang w:val="fr-FR"/>
        </w:rPr>
      </w:pPr>
    </w:p>
    <w:p w14:paraId="15748B49" w14:textId="6D8EC184" w:rsidR="00FA5963" w:rsidRPr="00175743" w:rsidRDefault="00FA5963" w:rsidP="00FA59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5743">
        <w:rPr>
          <w:lang w:val="fr-FR"/>
        </w:rPr>
        <w:tab/>
      </w:r>
      <w:r w:rsidRPr="00175743">
        <w:rPr>
          <w:lang w:val="fr-FR"/>
        </w:rPr>
        <w:tab/>
        <w:t>Traite et exploitation de la prostitution</w:t>
      </w:r>
    </w:p>
    <w:p w14:paraId="18A2C53D" w14:textId="3775785F" w:rsidR="00FA5963" w:rsidRPr="00175743" w:rsidRDefault="00FA5963" w:rsidP="00FA5963">
      <w:pPr>
        <w:pStyle w:val="SingleTxt"/>
        <w:spacing w:after="0" w:line="120" w:lineRule="exact"/>
        <w:rPr>
          <w:sz w:val="10"/>
          <w:lang w:val="fr-FR"/>
        </w:rPr>
      </w:pPr>
    </w:p>
    <w:p w14:paraId="3310258B" w14:textId="1B4B201D" w:rsidR="00FA5963" w:rsidRPr="00175743" w:rsidRDefault="00FA5963" w:rsidP="00FA5963">
      <w:pPr>
        <w:pStyle w:val="SingleTxt"/>
        <w:numPr>
          <w:ilvl w:val="0"/>
          <w:numId w:val="45"/>
        </w:numPr>
        <w:spacing w:line="240" w:lineRule="exact"/>
        <w:rPr>
          <w:lang w:val="fr-FR"/>
        </w:rPr>
      </w:pPr>
      <w:r w:rsidRPr="00175743">
        <w:rPr>
          <w:lang w:val="fr-FR"/>
        </w:rPr>
        <w:t>Veuillez informer le Comité des points suivants</w:t>
      </w:r>
      <w:r w:rsidR="006D0FB3" w:rsidRPr="00175743">
        <w:rPr>
          <w:lang w:val="fr-FR"/>
        </w:rPr>
        <w:t> :</w:t>
      </w:r>
    </w:p>
    <w:p w14:paraId="0D7D1DEA" w14:textId="14EC0DCF" w:rsidR="00FA5963" w:rsidRPr="00175743" w:rsidRDefault="00FA5963" w:rsidP="00FA5963">
      <w:pPr>
        <w:pStyle w:val="SingleTxt"/>
        <w:rPr>
          <w:lang w:val="fr-FR"/>
        </w:rPr>
      </w:pPr>
      <w:r w:rsidRPr="00175743">
        <w:rPr>
          <w:lang w:val="fr-FR"/>
        </w:rPr>
        <w:tab/>
        <w:t>a)</w:t>
      </w:r>
      <w:r w:rsidRPr="00175743">
        <w:rPr>
          <w:lang w:val="fr-FR"/>
        </w:rPr>
        <w:tab/>
        <w:t>le résultat de tout examen à mi-parcours du Plan national d</w:t>
      </w:r>
      <w:r w:rsidR="006D0FB3" w:rsidRPr="00175743">
        <w:rPr>
          <w:lang w:val="fr-FR"/>
        </w:rPr>
        <w:t>’</w:t>
      </w:r>
      <w:r w:rsidRPr="00175743">
        <w:rPr>
          <w:lang w:val="fr-FR"/>
        </w:rPr>
        <w:t>action contre la traite des personnes (2017-2022), en particulier en ce qui concerne la sensibilisation du grand public, des femmes et des filles au risque d</w:t>
      </w:r>
      <w:r w:rsidR="006D0FB3" w:rsidRPr="00175743">
        <w:rPr>
          <w:lang w:val="fr-FR"/>
        </w:rPr>
        <w:t>’</w:t>
      </w:r>
      <w:r w:rsidRPr="00175743">
        <w:rPr>
          <w:lang w:val="fr-FR"/>
        </w:rPr>
        <w:t>être victimes de la traite</w:t>
      </w:r>
      <w:r w:rsidR="006D0FB3" w:rsidRPr="00175743">
        <w:rPr>
          <w:lang w:val="fr-FR"/>
        </w:rPr>
        <w:t> ;</w:t>
      </w:r>
      <w:r w:rsidRPr="00175743">
        <w:rPr>
          <w:lang w:val="fr-FR"/>
        </w:rPr>
        <w:t xml:space="preserve"> le renforcement des capacités des intervenants de première ligne à identifier les femmes et les filles victimes de la traite</w:t>
      </w:r>
      <w:r w:rsidR="006D0FB3" w:rsidRPr="00175743">
        <w:rPr>
          <w:lang w:val="fr-FR"/>
        </w:rPr>
        <w:t> ;</w:t>
      </w:r>
      <w:r w:rsidRPr="00175743">
        <w:rPr>
          <w:lang w:val="fr-FR"/>
        </w:rPr>
        <w:t xml:space="preserve"> le renforcement des capacités des inspecteurs du travail à accéder aux domiciles privés</w:t>
      </w:r>
      <w:r w:rsidR="006D0FB3" w:rsidRPr="00175743">
        <w:rPr>
          <w:lang w:val="fr-FR"/>
        </w:rPr>
        <w:t> ;</w:t>
      </w:r>
      <w:r w:rsidRPr="00175743">
        <w:rPr>
          <w:lang w:val="fr-FR"/>
        </w:rPr>
        <w:t xml:space="preserve"> l</w:t>
      </w:r>
      <w:r w:rsidR="006D0FB3" w:rsidRPr="00175743">
        <w:rPr>
          <w:lang w:val="fr-FR"/>
        </w:rPr>
        <w:t>’</w:t>
      </w:r>
      <w:r w:rsidRPr="00175743">
        <w:rPr>
          <w:lang w:val="fr-FR"/>
        </w:rPr>
        <w:t>adaptation de l</w:t>
      </w:r>
      <w:r w:rsidR="006D0FB3" w:rsidRPr="00175743">
        <w:rPr>
          <w:lang w:val="fr-FR"/>
        </w:rPr>
        <w:t>’</w:t>
      </w:r>
      <w:r w:rsidRPr="00175743">
        <w:rPr>
          <w:lang w:val="fr-FR"/>
        </w:rPr>
        <w:t>assistance et de la protection offertes aux victimes afin de faire en sorte qu</w:t>
      </w:r>
      <w:r w:rsidR="006D0FB3" w:rsidRPr="00175743">
        <w:rPr>
          <w:lang w:val="fr-FR"/>
        </w:rPr>
        <w:t>’</w:t>
      </w:r>
      <w:r w:rsidRPr="00175743">
        <w:rPr>
          <w:lang w:val="fr-FR"/>
        </w:rPr>
        <w:t>elles tiennent compte des questions de genre et qu</w:t>
      </w:r>
      <w:r w:rsidR="006D0FB3" w:rsidRPr="00175743">
        <w:rPr>
          <w:lang w:val="fr-FR"/>
        </w:rPr>
        <w:t>’</w:t>
      </w:r>
      <w:r w:rsidRPr="00175743">
        <w:rPr>
          <w:lang w:val="fr-FR"/>
        </w:rPr>
        <w:t>elles s</w:t>
      </w:r>
      <w:r w:rsidR="006D0FB3" w:rsidRPr="00175743">
        <w:rPr>
          <w:lang w:val="fr-FR"/>
        </w:rPr>
        <w:t>’</w:t>
      </w:r>
      <w:r w:rsidRPr="00175743">
        <w:rPr>
          <w:lang w:val="fr-FR"/>
        </w:rPr>
        <w:t>accompagnent d</w:t>
      </w:r>
      <w:r w:rsidR="006D0FB3" w:rsidRPr="00175743">
        <w:rPr>
          <w:lang w:val="fr-FR"/>
        </w:rPr>
        <w:t>’</w:t>
      </w:r>
      <w:r w:rsidRPr="00175743">
        <w:rPr>
          <w:lang w:val="fr-FR"/>
        </w:rPr>
        <w:t>une réparation adéquate, y</w:t>
      </w:r>
      <w:r w:rsidR="00DE75DB" w:rsidRPr="00175743">
        <w:rPr>
          <w:lang w:val="fr-FR"/>
        </w:rPr>
        <w:t> </w:t>
      </w:r>
      <w:r w:rsidRPr="00175743">
        <w:rPr>
          <w:lang w:val="fr-FR"/>
        </w:rPr>
        <w:t>compris une indemnisation pour la perte de salaire</w:t>
      </w:r>
      <w:r w:rsidR="006D0FB3" w:rsidRPr="00175743">
        <w:rPr>
          <w:lang w:val="fr-FR"/>
        </w:rPr>
        <w:t> ;</w:t>
      </w:r>
    </w:p>
    <w:p w14:paraId="13F15A60" w14:textId="748474D3" w:rsidR="00FA5963" w:rsidRPr="00175743" w:rsidRDefault="00FA5963" w:rsidP="00FA5963">
      <w:pPr>
        <w:pStyle w:val="SingleTxt"/>
        <w:rPr>
          <w:lang w:val="fr-FR"/>
        </w:rPr>
      </w:pPr>
      <w:r w:rsidRPr="00175743">
        <w:rPr>
          <w:lang w:val="fr-FR"/>
        </w:rPr>
        <w:tab/>
        <w:t>b)</w:t>
      </w:r>
      <w:r w:rsidRPr="00175743">
        <w:rPr>
          <w:lang w:val="fr-FR"/>
        </w:rPr>
        <w:tab/>
        <w:t>les mesures visant à protéger les femmes qui se prostituent, y compris la transmission à tous les agents de police de la décision de la Haute Cour concernant l</w:t>
      </w:r>
      <w:r w:rsidR="006D0FB3" w:rsidRPr="00175743">
        <w:rPr>
          <w:lang w:val="fr-FR"/>
        </w:rPr>
        <w:t>’</w:t>
      </w:r>
      <w:r w:rsidRPr="00175743">
        <w:rPr>
          <w:lang w:val="fr-FR"/>
        </w:rPr>
        <w:t>inconstitutionnalité de l</w:t>
      </w:r>
      <w:r w:rsidR="006D0FB3" w:rsidRPr="00175743">
        <w:rPr>
          <w:lang w:val="fr-FR"/>
        </w:rPr>
        <w:t>’</w:t>
      </w:r>
      <w:r w:rsidRPr="00175743">
        <w:rPr>
          <w:lang w:val="fr-FR"/>
        </w:rPr>
        <w:t>alinéa c) du paragraphe 1 de l</w:t>
      </w:r>
      <w:r w:rsidR="006D0FB3" w:rsidRPr="00175743">
        <w:rPr>
          <w:lang w:val="fr-FR"/>
        </w:rPr>
        <w:t>’</w:t>
      </w:r>
      <w:r w:rsidRPr="00175743">
        <w:rPr>
          <w:lang w:val="fr-FR"/>
        </w:rPr>
        <w:t>article 184 du Code pénal sur le vagabondage, et les instructions pour ne pas arrêter les femmes qui se prostituent en vertu de cette disposition (par. 49), conformément à la recommandation précédente du Comité (</w:t>
      </w:r>
      <w:hyperlink r:id="rId17" w:history="1">
        <w:r w:rsidRPr="00175743">
          <w:rPr>
            <w:rStyle w:val="Hyperlink"/>
            <w:lang w:val="fr-FR"/>
          </w:rPr>
          <w:t>CEDAW/C/MWI/CO/7</w:t>
        </w:r>
      </w:hyperlink>
      <w:r w:rsidRPr="00175743">
        <w:rPr>
          <w:lang w:val="fr-FR"/>
        </w:rPr>
        <w:t>, par. 25).</w:t>
      </w:r>
    </w:p>
    <w:p w14:paraId="2721F01B" w14:textId="77777777" w:rsidR="00FA5963" w:rsidRPr="00175743" w:rsidRDefault="00FA5963" w:rsidP="00FA5963">
      <w:pPr>
        <w:pStyle w:val="SingleTxt"/>
        <w:spacing w:after="0" w:line="120" w:lineRule="exact"/>
        <w:rPr>
          <w:sz w:val="10"/>
          <w:lang w:val="fr-FR"/>
        </w:rPr>
      </w:pPr>
    </w:p>
    <w:p w14:paraId="2D24C97A" w14:textId="0E033EB5" w:rsidR="00FA5963" w:rsidRPr="00175743" w:rsidRDefault="00FA5963" w:rsidP="00FA59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5743">
        <w:rPr>
          <w:lang w:val="fr-FR"/>
        </w:rPr>
        <w:tab/>
      </w:r>
      <w:r w:rsidRPr="00175743">
        <w:rPr>
          <w:lang w:val="fr-FR"/>
        </w:rPr>
        <w:tab/>
        <w:t>Participation à la vie politique et à la vie publique dans des conditions d</w:t>
      </w:r>
      <w:r w:rsidR="006D0FB3" w:rsidRPr="00175743">
        <w:rPr>
          <w:lang w:val="fr-FR"/>
        </w:rPr>
        <w:t>’</w:t>
      </w:r>
      <w:r w:rsidRPr="00175743">
        <w:rPr>
          <w:lang w:val="fr-FR"/>
        </w:rPr>
        <w:t>égalité</w:t>
      </w:r>
    </w:p>
    <w:p w14:paraId="44C41089" w14:textId="30BB3641" w:rsidR="00FA5963" w:rsidRPr="00175743" w:rsidRDefault="00FA5963" w:rsidP="00FA5963">
      <w:pPr>
        <w:pStyle w:val="SingleTxt"/>
        <w:spacing w:after="0" w:line="120" w:lineRule="exact"/>
        <w:rPr>
          <w:sz w:val="10"/>
          <w:lang w:val="fr-FR"/>
        </w:rPr>
      </w:pPr>
    </w:p>
    <w:p w14:paraId="7752146D" w14:textId="3F26A3CB" w:rsidR="00FA5963" w:rsidRPr="00175743" w:rsidRDefault="00FA5963" w:rsidP="00FA5963">
      <w:pPr>
        <w:pStyle w:val="SingleTxt"/>
        <w:numPr>
          <w:ilvl w:val="0"/>
          <w:numId w:val="46"/>
        </w:numPr>
        <w:spacing w:line="240" w:lineRule="exact"/>
        <w:rPr>
          <w:lang w:val="fr-FR"/>
        </w:rPr>
      </w:pPr>
      <w:r w:rsidRPr="00175743">
        <w:rPr>
          <w:lang w:val="fr-FR"/>
        </w:rPr>
        <w:t>Veuillez donner des informations sur le stade atteint dans</w:t>
      </w:r>
      <w:r w:rsidR="006D0FB3" w:rsidRPr="00175743">
        <w:rPr>
          <w:lang w:val="fr-FR"/>
        </w:rPr>
        <w:t> :</w:t>
      </w:r>
    </w:p>
    <w:p w14:paraId="22E681E6" w14:textId="76336E4F" w:rsidR="00FA5963" w:rsidRPr="00175743" w:rsidRDefault="00FA5963" w:rsidP="00FA5963">
      <w:pPr>
        <w:pStyle w:val="SingleTxt"/>
        <w:rPr>
          <w:lang w:val="fr-FR"/>
        </w:rPr>
      </w:pPr>
      <w:r w:rsidRPr="00175743">
        <w:rPr>
          <w:lang w:val="fr-FR"/>
        </w:rPr>
        <w:tab/>
        <w:t>a)</w:t>
      </w:r>
      <w:r w:rsidRPr="00175743">
        <w:rPr>
          <w:lang w:val="fr-FR"/>
        </w:rPr>
        <w:tab/>
        <w:t>la nouvelle présentation du projet de loi visant à introduire 28 sièges supplémentaires à l</w:t>
      </w:r>
      <w:r w:rsidR="006D0FB3" w:rsidRPr="00175743">
        <w:rPr>
          <w:lang w:val="fr-FR"/>
        </w:rPr>
        <w:t>’</w:t>
      </w:r>
      <w:r w:rsidRPr="00175743">
        <w:rPr>
          <w:lang w:val="fr-FR"/>
        </w:rPr>
        <w:t>Assemblée nationale, réservés uniquement à des candidates féminines au niveau du district, comme l</w:t>
      </w:r>
      <w:r w:rsidR="006D0FB3" w:rsidRPr="00175743">
        <w:rPr>
          <w:lang w:val="fr-FR"/>
        </w:rPr>
        <w:t>’</w:t>
      </w:r>
      <w:r w:rsidRPr="00175743">
        <w:rPr>
          <w:lang w:val="fr-FR"/>
        </w:rPr>
        <w:t>a recommandé la Commission juridique chargée de la révision du droit électoral (par. 53)</w:t>
      </w:r>
      <w:r w:rsidR="006D0FB3" w:rsidRPr="00175743">
        <w:rPr>
          <w:lang w:val="fr-FR"/>
        </w:rPr>
        <w:t> ;</w:t>
      </w:r>
    </w:p>
    <w:p w14:paraId="00122867" w14:textId="45D0F3A4" w:rsidR="00FA5963" w:rsidRPr="00175743" w:rsidRDefault="00FA5963" w:rsidP="00FA5963">
      <w:pPr>
        <w:pStyle w:val="SingleTxt"/>
        <w:rPr>
          <w:lang w:val="fr-FR"/>
        </w:rPr>
      </w:pPr>
      <w:r w:rsidRPr="00175743">
        <w:rPr>
          <w:lang w:val="fr-FR"/>
        </w:rPr>
        <w:tab/>
        <w:t>b)</w:t>
      </w:r>
      <w:r w:rsidRPr="00175743">
        <w:rPr>
          <w:lang w:val="fr-FR"/>
        </w:rPr>
        <w:tab/>
        <w:t>l</w:t>
      </w:r>
      <w:r w:rsidR="006D0FB3" w:rsidRPr="00175743">
        <w:rPr>
          <w:lang w:val="fr-FR"/>
        </w:rPr>
        <w:t>’</w:t>
      </w:r>
      <w:r w:rsidRPr="00175743">
        <w:rPr>
          <w:lang w:val="fr-FR"/>
        </w:rPr>
        <w:t>application de l</w:t>
      </w:r>
      <w:r w:rsidR="006D0FB3" w:rsidRPr="00175743">
        <w:rPr>
          <w:lang w:val="fr-FR"/>
        </w:rPr>
        <w:t>’</w:t>
      </w:r>
      <w:r w:rsidRPr="00175743">
        <w:rPr>
          <w:lang w:val="fr-FR"/>
        </w:rPr>
        <w:t>article 11 de la loi sur l</w:t>
      </w:r>
      <w:r w:rsidR="006D0FB3" w:rsidRPr="00175743">
        <w:rPr>
          <w:lang w:val="fr-FR"/>
        </w:rPr>
        <w:t>’</w:t>
      </w:r>
      <w:r w:rsidRPr="00175743">
        <w:rPr>
          <w:lang w:val="fr-FR"/>
        </w:rPr>
        <w:t>égalité des genres de 2013, qui prévoit la nomination ou le recrutement de 60</w:t>
      </w:r>
      <w:r w:rsidR="006D0FB3" w:rsidRPr="00175743">
        <w:rPr>
          <w:lang w:val="fr-FR"/>
        </w:rPr>
        <w:t> %</w:t>
      </w:r>
      <w:r w:rsidRPr="00175743">
        <w:rPr>
          <w:lang w:val="fr-FR"/>
        </w:rPr>
        <w:t xml:space="preserve"> au plus et de 40</w:t>
      </w:r>
      <w:r w:rsidR="006D0FB3" w:rsidRPr="00175743">
        <w:rPr>
          <w:lang w:val="fr-FR"/>
        </w:rPr>
        <w:t> %</w:t>
      </w:r>
      <w:r w:rsidRPr="00175743">
        <w:rPr>
          <w:lang w:val="fr-FR"/>
        </w:rPr>
        <w:t xml:space="preserve"> au moins de chaque sexe dans la fonction publique</w:t>
      </w:r>
      <w:r w:rsidR="006D0FB3" w:rsidRPr="00175743">
        <w:rPr>
          <w:lang w:val="fr-FR"/>
        </w:rPr>
        <w:t> ;</w:t>
      </w:r>
    </w:p>
    <w:p w14:paraId="53A4B4B5" w14:textId="119F0DEF" w:rsidR="00FA5963" w:rsidRPr="00175743" w:rsidRDefault="00FA5963" w:rsidP="00FA5963">
      <w:pPr>
        <w:pStyle w:val="SingleTxt"/>
        <w:rPr>
          <w:lang w:val="fr-FR"/>
        </w:rPr>
      </w:pPr>
      <w:r w:rsidRPr="00175743">
        <w:rPr>
          <w:lang w:val="fr-FR"/>
        </w:rPr>
        <w:tab/>
        <w:t>c)</w:t>
      </w:r>
      <w:r w:rsidRPr="00175743">
        <w:rPr>
          <w:lang w:val="fr-FR"/>
        </w:rPr>
        <w:tab/>
        <w:t>l</w:t>
      </w:r>
      <w:r w:rsidR="006D0FB3" w:rsidRPr="00175743">
        <w:rPr>
          <w:lang w:val="fr-FR"/>
        </w:rPr>
        <w:t>’</w:t>
      </w:r>
      <w:r w:rsidRPr="00175743">
        <w:rPr>
          <w:lang w:val="fr-FR"/>
        </w:rPr>
        <w:t>adoption de mesures visant à cultiver l</w:t>
      </w:r>
      <w:r w:rsidR="006D0FB3" w:rsidRPr="00175743">
        <w:rPr>
          <w:lang w:val="fr-FR"/>
        </w:rPr>
        <w:t>’</w:t>
      </w:r>
      <w:r w:rsidRPr="00175743">
        <w:rPr>
          <w:lang w:val="fr-FR"/>
        </w:rPr>
        <w:t>acceptation sociale du fait que les femmes occupent des postes de représentation et de responsabilité dans les secteurs public et privé, afin de renforcer leurs capacités et de les protéger des violences politiques et électorales</w:t>
      </w:r>
      <w:r w:rsidR="006D0FB3" w:rsidRPr="00175743">
        <w:rPr>
          <w:lang w:val="fr-FR"/>
        </w:rPr>
        <w:t> ;</w:t>
      </w:r>
    </w:p>
    <w:p w14:paraId="79E0C8C8" w14:textId="3E5D9D7E" w:rsidR="00FA5963" w:rsidRPr="00175743" w:rsidRDefault="00FA5963" w:rsidP="00FA5963">
      <w:pPr>
        <w:pStyle w:val="SingleTxt"/>
        <w:rPr>
          <w:lang w:val="fr-FR"/>
        </w:rPr>
      </w:pPr>
      <w:r w:rsidRPr="00175743">
        <w:rPr>
          <w:lang w:val="fr-FR"/>
        </w:rPr>
        <w:tab/>
        <w:t>d)</w:t>
      </w:r>
      <w:r w:rsidRPr="00175743">
        <w:rPr>
          <w:lang w:val="fr-FR"/>
        </w:rPr>
        <w:tab/>
        <w:t>la révision de l</w:t>
      </w:r>
      <w:r w:rsidR="006D0FB3" w:rsidRPr="00175743">
        <w:rPr>
          <w:lang w:val="fr-FR"/>
        </w:rPr>
        <w:t>’</w:t>
      </w:r>
      <w:r w:rsidRPr="00175743">
        <w:rPr>
          <w:lang w:val="fr-FR"/>
        </w:rPr>
        <w:t>alinéa a) du paragraphe 3 de l</w:t>
      </w:r>
      <w:r w:rsidR="006D0FB3" w:rsidRPr="00175743">
        <w:rPr>
          <w:lang w:val="fr-FR"/>
        </w:rPr>
        <w:t>’</w:t>
      </w:r>
      <w:r w:rsidRPr="00175743">
        <w:rPr>
          <w:lang w:val="fr-FR"/>
        </w:rPr>
        <w:t>article 77 de la Constitution, qui, en fait, prive les femmes souffrant de handicaps psychosociaux et intellectuels du droit de vote.</w:t>
      </w:r>
    </w:p>
    <w:p w14:paraId="02A1EF38" w14:textId="1962DA30" w:rsidR="00FA5963" w:rsidRPr="00175743" w:rsidRDefault="00FA5963" w:rsidP="00FA5963">
      <w:pPr>
        <w:pStyle w:val="SingleTxt"/>
        <w:spacing w:after="0" w:line="120" w:lineRule="exact"/>
        <w:rPr>
          <w:sz w:val="10"/>
          <w:lang w:val="fr-FR"/>
        </w:rPr>
      </w:pPr>
    </w:p>
    <w:p w14:paraId="7C2D08FC" w14:textId="6B7C2A0E" w:rsidR="00FA5963" w:rsidRPr="00175743" w:rsidRDefault="00FA5963" w:rsidP="00FA59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5743">
        <w:rPr>
          <w:lang w:val="fr-FR"/>
        </w:rPr>
        <w:lastRenderedPageBreak/>
        <w:tab/>
      </w:r>
      <w:r w:rsidRPr="00175743">
        <w:rPr>
          <w:lang w:val="fr-FR"/>
        </w:rPr>
        <w:tab/>
        <w:t>Nationalité</w:t>
      </w:r>
    </w:p>
    <w:p w14:paraId="15664470" w14:textId="0F5C3F27" w:rsidR="00FA5963" w:rsidRPr="00175743" w:rsidRDefault="00FA5963" w:rsidP="00FA5963">
      <w:pPr>
        <w:pStyle w:val="SingleTxt"/>
        <w:keepNext/>
        <w:spacing w:after="0" w:line="120" w:lineRule="exact"/>
        <w:rPr>
          <w:sz w:val="10"/>
          <w:lang w:val="fr-FR"/>
        </w:rPr>
      </w:pPr>
    </w:p>
    <w:p w14:paraId="4D5B0088" w14:textId="422960AF" w:rsidR="00C40922" w:rsidRPr="00175743" w:rsidRDefault="00FA5963" w:rsidP="00FA5963">
      <w:pPr>
        <w:pStyle w:val="SingleTxt"/>
        <w:numPr>
          <w:ilvl w:val="0"/>
          <w:numId w:val="46"/>
        </w:numPr>
        <w:spacing w:line="240" w:lineRule="exact"/>
        <w:rPr>
          <w:lang w:val="fr-FR"/>
        </w:rPr>
      </w:pPr>
      <w:r w:rsidRPr="00175743">
        <w:rPr>
          <w:lang w:val="fr-FR"/>
        </w:rPr>
        <w:t>Veuillez informer le Comité des mesures prises pour informer à la fois le grand public et les administrateurs concernés de la modification de la loi qui autorise désormais la double nationalité, en vertu de l</w:t>
      </w:r>
      <w:r w:rsidR="006D0FB3" w:rsidRPr="00175743">
        <w:rPr>
          <w:lang w:val="fr-FR"/>
        </w:rPr>
        <w:t>’</w:t>
      </w:r>
      <w:r w:rsidRPr="00175743">
        <w:rPr>
          <w:lang w:val="fr-FR"/>
        </w:rPr>
        <w:t>article 9 de la loi de 2019 sur la nationalité malawienne, de la suppression de toute restriction sur la capacité d</w:t>
      </w:r>
      <w:r w:rsidR="006D0FB3" w:rsidRPr="00175743">
        <w:rPr>
          <w:lang w:val="fr-FR"/>
        </w:rPr>
        <w:t>’</w:t>
      </w:r>
      <w:r w:rsidRPr="00175743">
        <w:rPr>
          <w:lang w:val="fr-FR"/>
        </w:rPr>
        <w:t>une femme malawienne à conférer la nationalité à son conjoint étranger et de la possibilité de conserver la nationalité en se mariant avec un ressortissant étranger, conformément au paragraphe 4 de l</w:t>
      </w:r>
      <w:r w:rsidR="006D0FB3" w:rsidRPr="00175743">
        <w:rPr>
          <w:lang w:val="fr-FR"/>
        </w:rPr>
        <w:t>’</w:t>
      </w:r>
      <w:r w:rsidRPr="00175743">
        <w:rPr>
          <w:lang w:val="fr-FR"/>
        </w:rPr>
        <w:t>article 48 de la loi sur le mariage, le divorce et les relations familiales.</w:t>
      </w:r>
    </w:p>
    <w:p w14:paraId="50BCA44B" w14:textId="70ADD9A1" w:rsidR="00C40922" w:rsidRPr="00175743" w:rsidRDefault="00FA5963" w:rsidP="00FA5963">
      <w:pPr>
        <w:pStyle w:val="SingleTxt"/>
        <w:numPr>
          <w:ilvl w:val="0"/>
          <w:numId w:val="47"/>
        </w:numPr>
        <w:spacing w:line="240" w:lineRule="exact"/>
        <w:rPr>
          <w:lang w:val="fr-FR"/>
        </w:rPr>
      </w:pPr>
      <w:r w:rsidRPr="00175743">
        <w:rPr>
          <w:lang w:val="fr-FR"/>
        </w:rPr>
        <w:t>Veuillez indiquer s</w:t>
      </w:r>
      <w:r w:rsidR="006D0FB3" w:rsidRPr="00175743">
        <w:rPr>
          <w:lang w:val="fr-FR"/>
        </w:rPr>
        <w:t>’</w:t>
      </w:r>
      <w:r w:rsidRPr="00175743">
        <w:rPr>
          <w:lang w:val="fr-FR"/>
        </w:rPr>
        <w:t>il est prévu de supprimer l</w:t>
      </w:r>
      <w:r w:rsidR="006D0FB3" w:rsidRPr="00175743">
        <w:rPr>
          <w:lang w:val="fr-FR"/>
        </w:rPr>
        <w:t>’</w:t>
      </w:r>
      <w:r w:rsidRPr="00175743">
        <w:rPr>
          <w:lang w:val="fr-FR"/>
        </w:rPr>
        <w:t>obligation de présenter des documents d</w:t>
      </w:r>
      <w:r w:rsidR="006D0FB3" w:rsidRPr="00175743">
        <w:rPr>
          <w:lang w:val="fr-FR"/>
        </w:rPr>
        <w:t>’</w:t>
      </w:r>
      <w:r w:rsidRPr="00175743">
        <w:rPr>
          <w:lang w:val="fr-FR"/>
        </w:rPr>
        <w:t>immigration pour permettre l</w:t>
      </w:r>
      <w:r w:rsidR="006D0FB3" w:rsidRPr="00175743">
        <w:rPr>
          <w:lang w:val="fr-FR"/>
        </w:rPr>
        <w:t>’</w:t>
      </w:r>
      <w:r w:rsidRPr="00175743">
        <w:rPr>
          <w:lang w:val="fr-FR"/>
        </w:rPr>
        <w:t>enregistrement des naissances, comme le prévoit la loi de 2010 sur l</w:t>
      </w:r>
      <w:r w:rsidR="006D0FB3" w:rsidRPr="00175743">
        <w:rPr>
          <w:lang w:val="fr-FR"/>
        </w:rPr>
        <w:t>’</w:t>
      </w:r>
      <w:r w:rsidRPr="00175743">
        <w:rPr>
          <w:lang w:val="fr-FR"/>
        </w:rPr>
        <w:t>état civil, qui rend l</w:t>
      </w:r>
      <w:r w:rsidR="006D0FB3" w:rsidRPr="00175743">
        <w:rPr>
          <w:lang w:val="fr-FR"/>
        </w:rPr>
        <w:t>’</w:t>
      </w:r>
      <w:r w:rsidRPr="00175743">
        <w:rPr>
          <w:lang w:val="fr-FR"/>
        </w:rPr>
        <w:t>enregistrement des naissances obligatoire. Veuillez également indiquer si l</w:t>
      </w:r>
      <w:r w:rsidR="006D0FB3" w:rsidRPr="00175743">
        <w:rPr>
          <w:lang w:val="fr-FR"/>
        </w:rPr>
        <w:t>’</w:t>
      </w:r>
      <w:r w:rsidRPr="00175743">
        <w:rPr>
          <w:lang w:val="fr-FR"/>
        </w:rPr>
        <w:t>État partie prévoit d</w:t>
      </w:r>
      <w:r w:rsidR="006D0FB3" w:rsidRPr="00175743">
        <w:rPr>
          <w:lang w:val="fr-FR"/>
        </w:rPr>
        <w:t>’</w:t>
      </w:r>
      <w:r w:rsidRPr="00175743">
        <w:rPr>
          <w:lang w:val="fr-FR"/>
        </w:rPr>
        <w:t>adhérer à la Convention sur la réduction des cas d</w:t>
      </w:r>
      <w:r w:rsidR="006D0FB3" w:rsidRPr="00175743">
        <w:rPr>
          <w:lang w:val="fr-FR"/>
        </w:rPr>
        <w:t>’</w:t>
      </w:r>
      <w:r w:rsidRPr="00175743">
        <w:rPr>
          <w:lang w:val="fr-FR"/>
        </w:rPr>
        <w:t>apatridie.</w:t>
      </w:r>
    </w:p>
    <w:p w14:paraId="2B82E3AC" w14:textId="37303DB9" w:rsidR="00C40922" w:rsidRPr="00175743" w:rsidRDefault="00C40922" w:rsidP="00C40922">
      <w:pPr>
        <w:pStyle w:val="SingleTxt"/>
        <w:spacing w:after="0" w:line="120" w:lineRule="exact"/>
        <w:rPr>
          <w:sz w:val="10"/>
          <w:lang w:val="fr-FR"/>
        </w:rPr>
      </w:pPr>
    </w:p>
    <w:p w14:paraId="48194C4F" w14:textId="57651526" w:rsidR="00FA5963" w:rsidRPr="00175743" w:rsidRDefault="00FA5963" w:rsidP="00C409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5743">
        <w:rPr>
          <w:lang w:val="fr-FR"/>
        </w:rPr>
        <w:tab/>
      </w:r>
      <w:r w:rsidRPr="00175743">
        <w:rPr>
          <w:lang w:val="fr-FR"/>
        </w:rPr>
        <w:tab/>
        <w:t>Éducation</w:t>
      </w:r>
    </w:p>
    <w:p w14:paraId="5BE94093" w14:textId="1E5F2537" w:rsidR="00C40922" w:rsidRPr="00175743" w:rsidRDefault="00C40922" w:rsidP="00C40922">
      <w:pPr>
        <w:pStyle w:val="SingleTxt"/>
        <w:spacing w:after="0" w:line="120" w:lineRule="exact"/>
        <w:rPr>
          <w:sz w:val="10"/>
          <w:lang w:val="fr-FR"/>
        </w:rPr>
      </w:pPr>
    </w:p>
    <w:p w14:paraId="0D91444D" w14:textId="1E591D15" w:rsidR="00FA5963" w:rsidRPr="00175743" w:rsidRDefault="00FA5963" w:rsidP="00C40922">
      <w:pPr>
        <w:pStyle w:val="SingleTxt"/>
        <w:numPr>
          <w:ilvl w:val="0"/>
          <w:numId w:val="48"/>
        </w:numPr>
        <w:spacing w:line="240" w:lineRule="exact"/>
        <w:rPr>
          <w:lang w:val="fr-FR"/>
        </w:rPr>
      </w:pPr>
      <w:r w:rsidRPr="00175743">
        <w:rPr>
          <w:lang w:val="fr-FR"/>
        </w:rPr>
        <w:t>Veuillez donner des informations sur</w:t>
      </w:r>
      <w:r w:rsidR="006D0FB3" w:rsidRPr="00175743">
        <w:rPr>
          <w:lang w:val="fr-FR"/>
        </w:rPr>
        <w:t> :</w:t>
      </w:r>
    </w:p>
    <w:p w14:paraId="18F5EA09" w14:textId="26CFED5E" w:rsidR="00FA5963" w:rsidRPr="00175743" w:rsidRDefault="00C40922" w:rsidP="00C40922">
      <w:pPr>
        <w:pStyle w:val="SingleTxt"/>
        <w:rPr>
          <w:lang w:val="fr-FR"/>
        </w:rPr>
      </w:pPr>
      <w:r w:rsidRPr="00175743">
        <w:rPr>
          <w:lang w:val="fr-FR"/>
        </w:rPr>
        <w:tab/>
      </w:r>
      <w:r w:rsidR="00FA5963" w:rsidRPr="00175743">
        <w:rPr>
          <w:lang w:val="fr-FR"/>
        </w:rPr>
        <w:t>a)</w:t>
      </w:r>
      <w:r w:rsidR="00FA5963" w:rsidRPr="00175743">
        <w:rPr>
          <w:lang w:val="fr-FR"/>
        </w:rPr>
        <w:tab/>
        <w:t>la collecte systématique de données sur le nombre de filles scolarisées qui tombent enceintes ou se marient, ou les deux, et combien d</w:t>
      </w:r>
      <w:r w:rsidR="006D0FB3" w:rsidRPr="00175743">
        <w:rPr>
          <w:lang w:val="fr-FR"/>
        </w:rPr>
        <w:t>’</w:t>
      </w:r>
      <w:r w:rsidR="00FA5963" w:rsidRPr="00175743">
        <w:rPr>
          <w:lang w:val="fr-FR"/>
        </w:rPr>
        <w:t>entre elles retournent à l</w:t>
      </w:r>
      <w:r w:rsidR="006D0FB3" w:rsidRPr="00175743">
        <w:rPr>
          <w:lang w:val="fr-FR"/>
        </w:rPr>
        <w:t>’</w:t>
      </w:r>
      <w:r w:rsidR="00FA5963" w:rsidRPr="00175743">
        <w:rPr>
          <w:lang w:val="fr-FR"/>
        </w:rPr>
        <w:t>école</w:t>
      </w:r>
      <w:r w:rsidR="006D0FB3" w:rsidRPr="00175743">
        <w:rPr>
          <w:lang w:val="fr-FR"/>
        </w:rPr>
        <w:t> ;</w:t>
      </w:r>
    </w:p>
    <w:p w14:paraId="0C9BEEF5" w14:textId="3FAFFA9A" w:rsidR="00C40922" w:rsidRPr="00175743" w:rsidRDefault="00C40922" w:rsidP="00C40922">
      <w:pPr>
        <w:pStyle w:val="SingleTxt"/>
        <w:rPr>
          <w:lang w:val="fr-FR"/>
        </w:rPr>
      </w:pPr>
      <w:r w:rsidRPr="00175743">
        <w:rPr>
          <w:lang w:val="fr-FR"/>
        </w:rPr>
        <w:tab/>
      </w:r>
      <w:r w:rsidR="00FA5963" w:rsidRPr="00175743">
        <w:rPr>
          <w:lang w:val="fr-FR"/>
        </w:rPr>
        <w:t>b)</w:t>
      </w:r>
      <w:r w:rsidR="00FA5963" w:rsidRPr="00175743">
        <w:rPr>
          <w:lang w:val="fr-FR"/>
        </w:rPr>
        <w:tab/>
        <w:t>les mesures visant à informer les enseignants, les parents et les adolescents à travers l</w:t>
      </w:r>
      <w:r w:rsidR="006D0FB3" w:rsidRPr="00175743">
        <w:rPr>
          <w:lang w:val="fr-FR"/>
        </w:rPr>
        <w:t>’</w:t>
      </w:r>
      <w:r w:rsidR="00FA5963" w:rsidRPr="00175743">
        <w:rPr>
          <w:lang w:val="fr-FR"/>
        </w:rPr>
        <w:t>État partie de la politique de réadmission (2016) (par. 73), permettant à toutes les mères adolescentes de retourner à l</w:t>
      </w:r>
      <w:r w:rsidR="006D0FB3" w:rsidRPr="00175743">
        <w:rPr>
          <w:lang w:val="fr-FR"/>
        </w:rPr>
        <w:t>’</w:t>
      </w:r>
      <w:r w:rsidR="00FA5963" w:rsidRPr="00175743">
        <w:rPr>
          <w:lang w:val="fr-FR"/>
        </w:rPr>
        <w:t>école sans être confrontées à des lourdeurs administratives et à de la discrimination, et l</w:t>
      </w:r>
      <w:r w:rsidR="006D0FB3" w:rsidRPr="00175743">
        <w:rPr>
          <w:lang w:val="fr-FR"/>
        </w:rPr>
        <w:t>’</w:t>
      </w:r>
      <w:r w:rsidR="00FA5963" w:rsidRPr="00175743">
        <w:rPr>
          <w:lang w:val="fr-FR"/>
        </w:rPr>
        <w:t>existence d</w:t>
      </w:r>
      <w:r w:rsidR="006D0FB3" w:rsidRPr="00175743">
        <w:rPr>
          <w:lang w:val="fr-FR"/>
        </w:rPr>
        <w:t>’</w:t>
      </w:r>
      <w:r w:rsidR="00FA5963" w:rsidRPr="00175743">
        <w:rPr>
          <w:lang w:val="fr-FR"/>
        </w:rPr>
        <w:t>autres mesures visant à aider les filles enceintes ou mariées à poursuivre leur études</w:t>
      </w:r>
      <w:r w:rsidR="006D0FB3" w:rsidRPr="00175743">
        <w:rPr>
          <w:lang w:val="fr-FR"/>
        </w:rPr>
        <w:t> ;</w:t>
      </w:r>
    </w:p>
    <w:p w14:paraId="40C313FE" w14:textId="3FC44C73" w:rsidR="00FA5963" w:rsidRPr="00175743" w:rsidRDefault="00C40922" w:rsidP="00C40922">
      <w:pPr>
        <w:pStyle w:val="SingleTxt"/>
        <w:rPr>
          <w:lang w:val="fr-FR"/>
        </w:rPr>
      </w:pPr>
      <w:r w:rsidRPr="00175743">
        <w:rPr>
          <w:lang w:val="fr-FR"/>
        </w:rPr>
        <w:tab/>
      </w:r>
      <w:r w:rsidR="00FA5963" w:rsidRPr="00175743">
        <w:rPr>
          <w:lang w:val="fr-FR"/>
        </w:rPr>
        <w:t>c)</w:t>
      </w:r>
      <w:r w:rsidR="00FA5963" w:rsidRPr="00175743">
        <w:rPr>
          <w:lang w:val="fr-FR"/>
        </w:rPr>
        <w:tab/>
        <w:t>l</w:t>
      </w:r>
      <w:r w:rsidR="006D0FB3" w:rsidRPr="00175743">
        <w:rPr>
          <w:lang w:val="fr-FR"/>
        </w:rPr>
        <w:t>’</w:t>
      </w:r>
      <w:r w:rsidR="00FA5963" w:rsidRPr="00175743">
        <w:rPr>
          <w:lang w:val="fr-FR"/>
        </w:rPr>
        <w:t>accès des écolières aux services de soins de santé, et en particulier aux services de santé sexuelle et reproductive, y compris la contraception gratuite, ainsi qu</w:t>
      </w:r>
      <w:r w:rsidR="006D0FB3" w:rsidRPr="00175743">
        <w:rPr>
          <w:lang w:val="fr-FR"/>
        </w:rPr>
        <w:t>’</w:t>
      </w:r>
      <w:r w:rsidR="00FA5963" w:rsidRPr="00175743">
        <w:rPr>
          <w:lang w:val="fr-FR"/>
        </w:rPr>
        <w:t>aux soins prénatals et postnatals pour celles d</w:t>
      </w:r>
      <w:r w:rsidR="006D0FB3" w:rsidRPr="00175743">
        <w:rPr>
          <w:lang w:val="fr-FR"/>
        </w:rPr>
        <w:t>’</w:t>
      </w:r>
      <w:r w:rsidR="00FA5963" w:rsidRPr="00175743">
        <w:rPr>
          <w:lang w:val="fr-FR"/>
        </w:rPr>
        <w:t>entre elles qui sont enceintes ou jeunes mères</w:t>
      </w:r>
      <w:r w:rsidR="006D0FB3" w:rsidRPr="00175743">
        <w:rPr>
          <w:lang w:val="fr-FR"/>
        </w:rPr>
        <w:t> ;</w:t>
      </w:r>
    </w:p>
    <w:p w14:paraId="16E2C6C6" w14:textId="45C48E9E" w:rsidR="00FA5963" w:rsidRPr="00175743" w:rsidRDefault="00C40922" w:rsidP="00C40922">
      <w:pPr>
        <w:pStyle w:val="SingleTxt"/>
        <w:rPr>
          <w:lang w:val="fr-FR"/>
        </w:rPr>
      </w:pPr>
      <w:r w:rsidRPr="00175743">
        <w:rPr>
          <w:lang w:val="fr-FR"/>
        </w:rPr>
        <w:tab/>
      </w:r>
      <w:r w:rsidR="00FA5963" w:rsidRPr="00175743">
        <w:rPr>
          <w:lang w:val="fr-FR"/>
        </w:rPr>
        <w:t>d)</w:t>
      </w:r>
      <w:r w:rsidR="00FA5963" w:rsidRPr="00175743">
        <w:rPr>
          <w:lang w:val="fr-FR"/>
        </w:rPr>
        <w:tab/>
        <w:t>la mise en œuvre de programmes complets d</w:t>
      </w:r>
      <w:r w:rsidR="006D0FB3" w:rsidRPr="00175743">
        <w:rPr>
          <w:lang w:val="fr-FR"/>
        </w:rPr>
        <w:t>’</w:t>
      </w:r>
      <w:r w:rsidR="00FA5963" w:rsidRPr="00175743">
        <w:rPr>
          <w:lang w:val="fr-FR"/>
        </w:rPr>
        <w:t>éducation sexuelle à toutes les étapes de la scolarité, parallèlement aux investissements réalisés au niveau local dans les bonnes compétences parentales en ce qui concerne la manière d</w:t>
      </w:r>
      <w:r w:rsidR="006D0FB3" w:rsidRPr="00175743">
        <w:rPr>
          <w:lang w:val="fr-FR"/>
        </w:rPr>
        <w:t>’</w:t>
      </w:r>
      <w:r w:rsidR="00FA5963" w:rsidRPr="00175743">
        <w:rPr>
          <w:lang w:val="fr-FR"/>
        </w:rPr>
        <w:t>aborder les questions de santé sexuelle et reproductive à la maison, dans l</w:t>
      </w:r>
      <w:r w:rsidR="006D0FB3" w:rsidRPr="00175743">
        <w:rPr>
          <w:lang w:val="fr-FR"/>
        </w:rPr>
        <w:t>’</w:t>
      </w:r>
      <w:r w:rsidR="00FA5963" w:rsidRPr="00175743">
        <w:rPr>
          <w:lang w:val="fr-FR"/>
        </w:rPr>
        <w:t>intérêt supérieur de l</w:t>
      </w:r>
      <w:r w:rsidR="006D0FB3" w:rsidRPr="00175743">
        <w:rPr>
          <w:lang w:val="fr-FR"/>
        </w:rPr>
        <w:t>’</w:t>
      </w:r>
      <w:r w:rsidR="00FA5963" w:rsidRPr="00175743">
        <w:rPr>
          <w:lang w:val="fr-FR"/>
        </w:rPr>
        <w:t>enfant.</w:t>
      </w:r>
    </w:p>
    <w:p w14:paraId="34EEC178" w14:textId="77777777" w:rsidR="00C40922" w:rsidRPr="00175743" w:rsidRDefault="00C40922" w:rsidP="00C40922">
      <w:pPr>
        <w:pStyle w:val="SingleTxt"/>
        <w:spacing w:after="0" w:line="120" w:lineRule="exact"/>
        <w:rPr>
          <w:sz w:val="10"/>
          <w:lang w:val="fr-FR"/>
        </w:rPr>
      </w:pPr>
    </w:p>
    <w:p w14:paraId="14F0690F" w14:textId="4680E16D" w:rsidR="00FA5963" w:rsidRPr="00175743" w:rsidRDefault="00C40922" w:rsidP="00C409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5743">
        <w:rPr>
          <w:lang w:val="fr-FR"/>
        </w:rPr>
        <w:tab/>
      </w:r>
      <w:r w:rsidR="00FA5963" w:rsidRPr="00175743">
        <w:rPr>
          <w:lang w:val="fr-FR"/>
        </w:rPr>
        <w:tab/>
        <w:t>Emploi</w:t>
      </w:r>
    </w:p>
    <w:p w14:paraId="5954DB5A" w14:textId="276FF3D9" w:rsidR="00C40922" w:rsidRPr="00175743" w:rsidRDefault="00C40922" w:rsidP="00C40922">
      <w:pPr>
        <w:pStyle w:val="SingleTxt"/>
        <w:spacing w:after="0" w:line="120" w:lineRule="exact"/>
        <w:rPr>
          <w:sz w:val="10"/>
          <w:lang w:val="fr-FR"/>
        </w:rPr>
      </w:pPr>
    </w:p>
    <w:p w14:paraId="65FB10BB" w14:textId="0BD0F2D4" w:rsidR="00FA5963" w:rsidRPr="00175743" w:rsidRDefault="00FA5963" w:rsidP="00C40922">
      <w:pPr>
        <w:pStyle w:val="SingleTxt"/>
        <w:numPr>
          <w:ilvl w:val="0"/>
          <w:numId w:val="49"/>
        </w:numPr>
        <w:spacing w:line="240" w:lineRule="exact"/>
        <w:rPr>
          <w:lang w:val="fr-FR"/>
        </w:rPr>
      </w:pPr>
      <w:r w:rsidRPr="00175743">
        <w:rPr>
          <w:lang w:val="fr-FR"/>
        </w:rPr>
        <w:t>Veuillez donner des précisions sur les mesures qui ont été prises pour</w:t>
      </w:r>
      <w:r w:rsidR="006D0FB3" w:rsidRPr="00175743">
        <w:rPr>
          <w:lang w:val="fr-FR"/>
        </w:rPr>
        <w:t> :</w:t>
      </w:r>
    </w:p>
    <w:p w14:paraId="6C67F885" w14:textId="1D438DE2" w:rsidR="00C40922" w:rsidRPr="00175743" w:rsidRDefault="00C40922" w:rsidP="00C40922">
      <w:pPr>
        <w:pStyle w:val="SingleTxt"/>
        <w:rPr>
          <w:lang w:val="fr-FR"/>
        </w:rPr>
      </w:pPr>
      <w:r w:rsidRPr="00175743">
        <w:rPr>
          <w:lang w:val="fr-FR"/>
        </w:rPr>
        <w:tab/>
      </w:r>
      <w:r w:rsidR="00FA5963" w:rsidRPr="00175743">
        <w:rPr>
          <w:lang w:val="fr-FR"/>
        </w:rPr>
        <w:t>a)</w:t>
      </w:r>
      <w:r w:rsidR="00FA5963" w:rsidRPr="00175743">
        <w:rPr>
          <w:lang w:val="fr-FR"/>
        </w:rPr>
        <w:tab/>
        <w:t>faire baisser le taux de chômage des femmes, qui est élevé dans l</w:t>
      </w:r>
      <w:r w:rsidR="006D0FB3" w:rsidRPr="00175743">
        <w:rPr>
          <w:lang w:val="fr-FR"/>
        </w:rPr>
        <w:t>’</w:t>
      </w:r>
      <w:r w:rsidR="00FA5963" w:rsidRPr="00175743">
        <w:rPr>
          <w:lang w:val="fr-FR"/>
        </w:rPr>
        <w:t>État partie, et trouver une solution à leur surreprésentation dans le secteur informel, notamment en fixant des objectifs pour accroître le recrutement de femmes dans les secteurs privé et public</w:t>
      </w:r>
      <w:r w:rsidR="006D0FB3" w:rsidRPr="00175743">
        <w:rPr>
          <w:lang w:val="fr-FR"/>
        </w:rPr>
        <w:t> ;</w:t>
      </w:r>
    </w:p>
    <w:p w14:paraId="40953488" w14:textId="738AC0D8" w:rsidR="00C40922" w:rsidRPr="00175743" w:rsidRDefault="00C40922" w:rsidP="00C40922">
      <w:pPr>
        <w:pStyle w:val="SingleTxt"/>
        <w:rPr>
          <w:lang w:val="fr-FR"/>
        </w:rPr>
      </w:pPr>
      <w:r w:rsidRPr="00175743">
        <w:rPr>
          <w:lang w:val="fr-FR"/>
        </w:rPr>
        <w:tab/>
      </w:r>
      <w:r w:rsidR="00FA5963" w:rsidRPr="00175743">
        <w:rPr>
          <w:lang w:val="fr-FR"/>
        </w:rPr>
        <w:t>b)</w:t>
      </w:r>
      <w:r w:rsidR="00FA5963" w:rsidRPr="00175743">
        <w:rPr>
          <w:lang w:val="fr-FR"/>
        </w:rPr>
        <w:tab/>
        <w:t>encourager le partage des responsabilités ménagères et la garde d</w:t>
      </w:r>
      <w:r w:rsidR="006D0FB3" w:rsidRPr="00175743">
        <w:rPr>
          <w:lang w:val="fr-FR"/>
        </w:rPr>
        <w:t>’</w:t>
      </w:r>
      <w:r w:rsidR="00FA5963" w:rsidRPr="00175743">
        <w:rPr>
          <w:lang w:val="fr-FR"/>
        </w:rPr>
        <w:t>enfants entre les hommes et les femmes, notamment par l</w:t>
      </w:r>
      <w:r w:rsidR="006D0FB3" w:rsidRPr="00175743">
        <w:rPr>
          <w:lang w:val="fr-FR"/>
        </w:rPr>
        <w:t>’</w:t>
      </w:r>
      <w:r w:rsidR="00FA5963" w:rsidRPr="00175743">
        <w:rPr>
          <w:lang w:val="fr-FR"/>
        </w:rPr>
        <w:t>adoption d</w:t>
      </w:r>
      <w:r w:rsidR="006D0FB3" w:rsidRPr="00175743">
        <w:rPr>
          <w:lang w:val="fr-FR"/>
        </w:rPr>
        <w:t>’</w:t>
      </w:r>
      <w:r w:rsidR="00FA5963" w:rsidRPr="00175743">
        <w:rPr>
          <w:lang w:val="fr-FR"/>
        </w:rPr>
        <w:t>une politique de congé de paternité, ce qui est un engagement pris en 2021 par l</w:t>
      </w:r>
      <w:r w:rsidR="006D0FB3" w:rsidRPr="00175743">
        <w:rPr>
          <w:lang w:val="fr-FR"/>
        </w:rPr>
        <w:t>’</w:t>
      </w:r>
      <w:r w:rsidR="00FA5963" w:rsidRPr="00175743">
        <w:rPr>
          <w:lang w:val="fr-FR"/>
        </w:rPr>
        <w:t>État partie au titre de la campagne « Génération égalité »</w:t>
      </w:r>
      <w:r w:rsidR="006D0FB3" w:rsidRPr="00175743">
        <w:rPr>
          <w:lang w:val="fr-FR"/>
        </w:rPr>
        <w:t> ;</w:t>
      </w:r>
    </w:p>
    <w:p w14:paraId="167EC7D7" w14:textId="1DCDC3AA" w:rsidR="00FA5963" w:rsidRPr="00175743" w:rsidRDefault="00C40922" w:rsidP="00C40922">
      <w:pPr>
        <w:pStyle w:val="SingleTxt"/>
        <w:rPr>
          <w:lang w:val="fr-FR"/>
        </w:rPr>
      </w:pPr>
      <w:r w:rsidRPr="00175743">
        <w:rPr>
          <w:lang w:val="fr-FR"/>
        </w:rPr>
        <w:tab/>
      </w:r>
      <w:r w:rsidR="00FA5963" w:rsidRPr="00175743">
        <w:rPr>
          <w:lang w:val="fr-FR"/>
        </w:rPr>
        <w:t>c)</w:t>
      </w:r>
      <w:r w:rsidR="00FA5963" w:rsidRPr="00175743">
        <w:rPr>
          <w:lang w:val="fr-FR"/>
        </w:rPr>
        <w:tab/>
        <w:t>faire appliquer le paragraphe 1 de l</w:t>
      </w:r>
      <w:r w:rsidR="006D0FB3" w:rsidRPr="00175743">
        <w:rPr>
          <w:lang w:val="fr-FR"/>
        </w:rPr>
        <w:t>’</w:t>
      </w:r>
      <w:r w:rsidR="00FA5963" w:rsidRPr="00175743">
        <w:rPr>
          <w:lang w:val="fr-FR"/>
        </w:rPr>
        <w:t>article 7 de la loi sur l</w:t>
      </w:r>
      <w:r w:rsidR="006D0FB3" w:rsidRPr="00175743">
        <w:rPr>
          <w:lang w:val="fr-FR"/>
        </w:rPr>
        <w:t>’</w:t>
      </w:r>
      <w:r w:rsidR="00FA5963" w:rsidRPr="00175743">
        <w:rPr>
          <w:lang w:val="fr-FR"/>
        </w:rPr>
        <w:t>égalité des genres (2013), qui interdit et criminalise le harcèlement sexuel sur le lieu de travail et exige des employeurs, tant dans la fonction publique que dans le secteur privé, qu</w:t>
      </w:r>
      <w:r w:rsidR="006D0FB3" w:rsidRPr="00175743">
        <w:rPr>
          <w:lang w:val="fr-FR"/>
        </w:rPr>
        <w:t>’</w:t>
      </w:r>
      <w:r w:rsidR="00FA5963" w:rsidRPr="00175743">
        <w:rPr>
          <w:lang w:val="fr-FR"/>
        </w:rPr>
        <w:t>ils mettent en place des politiques de lutte contre ce type de harcèlement et qu</w:t>
      </w:r>
      <w:r w:rsidR="006D0FB3" w:rsidRPr="00175743">
        <w:rPr>
          <w:lang w:val="fr-FR"/>
        </w:rPr>
        <w:t>’</w:t>
      </w:r>
      <w:r w:rsidR="00FA5963" w:rsidRPr="00175743">
        <w:rPr>
          <w:lang w:val="fr-FR"/>
        </w:rPr>
        <w:t xml:space="preserve">ils </w:t>
      </w:r>
      <w:r w:rsidR="00FA5963" w:rsidRPr="00175743">
        <w:rPr>
          <w:lang w:val="fr-FR"/>
        </w:rPr>
        <w:lastRenderedPageBreak/>
        <w:t>fassent appliquer des mécanismes transparents de signalement des violations et de protection des victimes</w:t>
      </w:r>
      <w:r w:rsidR="006D0FB3" w:rsidRPr="00175743">
        <w:rPr>
          <w:lang w:val="fr-FR"/>
        </w:rPr>
        <w:t> ;</w:t>
      </w:r>
    </w:p>
    <w:p w14:paraId="18C54EA3" w14:textId="17B348CB" w:rsidR="00FA5963" w:rsidRPr="00175743" w:rsidRDefault="00C40922" w:rsidP="00C40922">
      <w:pPr>
        <w:pStyle w:val="SingleTxt"/>
        <w:rPr>
          <w:lang w:val="fr-FR"/>
        </w:rPr>
      </w:pPr>
      <w:r w:rsidRPr="00175743">
        <w:rPr>
          <w:lang w:val="fr-FR"/>
        </w:rPr>
        <w:tab/>
      </w:r>
      <w:r w:rsidR="00FA5963" w:rsidRPr="00175743">
        <w:rPr>
          <w:lang w:val="fr-FR"/>
        </w:rPr>
        <w:t>d)</w:t>
      </w:r>
      <w:r w:rsidR="00FA5963" w:rsidRPr="00175743">
        <w:rPr>
          <w:lang w:val="fr-FR"/>
        </w:rPr>
        <w:tab/>
        <w:t>ratifier la Convention de 2019 sur la violence et le harcèlement (</w:t>
      </w:r>
      <w:r w:rsidR="006D0FB3" w:rsidRPr="00175743">
        <w:rPr>
          <w:lang w:val="fr-FR"/>
        </w:rPr>
        <w:t>n</w:t>
      </w:r>
      <w:r w:rsidR="006D0FB3" w:rsidRPr="00175743">
        <w:rPr>
          <w:vertAlign w:val="superscript"/>
          <w:lang w:val="fr-FR"/>
        </w:rPr>
        <w:t>o</w:t>
      </w:r>
      <w:r w:rsidR="00E0619A" w:rsidRPr="00175743">
        <w:rPr>
          <w:lang w:val="fr-FR"/>
        </w:rPr>
        <w:t> </w:t>
      </w:r>
      <w:r w:rsidR="00FA5963" w:rsidRPr="00175743">
        <w:rPr>
          <w:lang w:val="fr-FR"/>
        </w:rPr>
        <w:t>190) de l</w:t>
      </w:r>
      <w:r w:rsidR="006D0FB3" w:rsidRPr="00175743">
        <w:rPr>
          <w:lang w:val="fr-FR"/>
        </w:rPr>
        <w:t>’</w:t>
      </w:r>
      <w:r w:rsidR="00FA5963" w:rsidRPr="00175743">
        <w:rPr>
          <w:lang w:val="fr-FR"/>
        </w:rPr>
        <w:t>Organisation internationale du Travail.</w:t>
      </w:r>
    </w:p>
    <w:p w14:paraId="4A53983A" w14:textId="77777777" w:rsidR="00C40922" w:rsidRPr="00175743" w:rsidRDefault="00C40922" w:rsidP="00C40922">
      <w:pPr>
        <w:pStyle w:val="SingleTxt"/>
        <w:spacing w:after="0" w:line="120" w:lineRule="exact"/>
        <w:rPr>
          <w:sz w:val="10"/>
          <w:lang w:val="fr-FR"/>
        </w:rPr>
      </w:pPr>
    </w:p>
    <w:p w14:paraId="64667A49" w14:textId="0403BA5F" w:rsidR="00FA5963" w:rsidRPr="00175743" w:rsidRDefault="00FA5963" w:rsidP="00C409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5743">
        <w:rPr>
          <w:lang w:val="fr-FR"/>
        </w:rPr>
        <w:tab/>
      </w:r>
      <w:r w:rsidRPr="00175743">
        <w:rPr>
          <w:lang w:val="fr-FR"/>
        </w:rPr>
        <w:tab/>
        <w:t>Santé</w:t>
      </w:r>
    </w:p>
    <w:p w14:paraId="1E118510" w14:textId="212A7348" w:rsidR="00C40922" w:rsidRPr="00175743" w:rsidRDefault="00C40922" w:rsidP="00C40922">
      <w:pPr>
        <w:pStyle w:val="SingleTxt"/>
        <w:spacing w:after="0" w:line="120" w:lineRule="exact"/>
        <w:rPr>
          <w:sz w:val="10"/>
          <w:lang w:val="fr-FR"/>
        </w:rPr>
      </w:pPr>
    </w:p>
    <w:p w14:paraId="4A6E2FC4" w14:textId="2C81856E" w:rsidR="00FA5963" w:rsidRPr="00175743" w:rsidRDefault="00FA5963" w:rsidP="00C40922">
      <w:pPr>
        <w:pStyle w:val="SingleTxt"/>
        <w:numPr>
          <w:ilvl w:val="0"/>
          <w:numId w:val="50"/>
        </w:numPr>
        <w:spacing w:line="240" w:lineRule="exact"/>
        <w:rPr>
          <w:lang w:val="fr-FR"/>
        </w:rPr>
      </w:pPr>
      <w:r w:rsidRPr="00175743">
        <w:rPr>
          <w:lang w:val="fr-FR"/>
        </w:rPr>
        <w:t>Veuillez donner des informations sur</w:t>
      </w:r>
      <w:r w:rsidR="006D0FB3" w:rsidRPr="00175743">
        <w:rPr>
          <w:lang w:val="fr-FR"/>
        </w:rPr>
        <w:t> :</w:t>
      </w:r>
    </w:p>
    <w:p w14:paraId="002B459A" w14:textId="73127655" w:rsidR="00FA5963" w:rsidRPr="00175743" w:rsidRDefault="00C40922" w:rsidP="00C40922">
      <w:pPr>
        <w:pStyle w:val="SingleTxt"/>
        <w:rPr>
          <w:lang w:val="fr-FR"/>
        </w:rPr>
      </w:pPr>
      <w:r w:rsidRPr="00175743">
        <w:rPr>
          <w:lang w:val="fr-FR"/>
        </w:rPr>
        <w:tab/>
      </w:r>
      <w:r w:rsidR="00FA5963" w:rsidRPr="00175743">
        <w:rPr>
          <w:lang w:val="fr-FR"/>
        </w:rPr>
        <w:t>a)</w:t>
      </w:r>
      <w:r w:rsidR="00FA5963" w:rsidRPr="00175743">
        <w:rPr>
          <w:lang w:val="fr-FR"/>
        </w:rPr>
        <w:tab/>
        <w:t>l</w:t>
      </w:r>
      <w:r w:rsidR="006D0FB3" w:rsidRPr="00175743">
        <w:rPr>
          <w:lang w:val="fr-FR"/>
        </w:rPr>
        <w:t>’</w:t>
      </w:r>
      <w:r w:rsidR="00FA5963" w:rsidRPr="00175743">
        <w:rPr>
          <w:lang w:val="fr-FR"/>
        </w:rPr>
        <w:t>allocation de ressources suffisantes pour assurer la mise en œuvre d</w:t>
      </w:r>
      <w:r w:rsidR="006D0FB3" w:rsidRPr="00175743">
        <w:rPr>
          <w:lang w:val="fr-FR"/>
        </w:rPr>
        <w:t>’</w:t>
      </w:r>
      <w:r w:rsidR="00FA5963" w:rsidRPr="00175743">
        <w:rPr>
          <w:lang w:val="fr-FR"/>
        </w:rPr>
        <w:t>un programme de services de santé adaptés aux jeunes (par. 90) et pour encourager l</w:t>
      </w:r>
      <w:r w:rsidR="006D0FB3" w:rsidRPr="00175743">
        <w:rPr>
          <w:lang w:val="fr-FR"/>
        </w:rPr>
        <w:t>’</w:t>
      </w:r>
      <w:r w:rsidR="00FA5963" w:rsidRPr="00175743">
        <w:rPr>
          <w:lang w:val="fr-FR"/>
        </w:rPr>
        <w:t>acceptation sociale de l</w:t>
      </w:r>
      <w:r w:rsidR="006D0FB3" w:rsidRPr="00175743">
        <w:rPr>
          <w:lang w:val="fr-FR"/>
        </w:rPr>
        <w:t>’</w:t>
      </w:r>
      <w:r w:rsidR="00FA5963" w:rsidRPr="00175743">
        <w:rPr>
          <w:lang w:val="fr-FR"/>
        </w:rPr>
        <w:t>accès des filles aux services de santé sexuelle et reproductive, y compris la contraception</w:t>
      </w:r>
      <w:r w:rsidR="006D0FB3" w:rsidRPr="00175743">
        <w:rPr>
          <w:lang w:val="fr-FR"/>
        </w:rPr>
        <w:t> ;</w:t>
      </w:r>
    </w:p>
    <w:p w14:paraId="0AD3E3D3" w14:textId="0F37E0FF" w:rsidR="00C40922" w:rsidRPr="00175743" w:rsidRDefault="00C40922" w:rsidP="00C40922">
      <w:pPr>
        <w:pStyle w:val="SingleTxt"/>
        <w:rPr>
          <w:lang w:val="fr-FR"/>
        </w:rPr>
      </w:pPr>
      <w:r w:rsidRPr="00175743">
        <w:rPr>
          <w:lang w:val="fr-FR"/>
        </w:rPr>
        <w:tab/>
      </w:r>
      <w:r w:rsidR="00FA5963" w:rsidRPr="00175743">
        <w:rPr>
          <w:lang w:val="fr-FR"/>
        </w:rPr>
        <w:t>b)</w:t>
      </w:r>
      <w:r w:rsidR="00FA5963" w:rsidRPr="00175743">
        <w:rPr>
          <w:lang w:val="fr-FR"/>
        </w:rPr>
        <w:tab/>
        <w:t>les efforts déployés pour adopter dans la législation les recommandations de la Commission juridique spéciale sur la révision de la loi sur l</w:t>
      </w:r>
      <w:r w:rsidR="006D0FB3" w:rsidRPr="00175743">
        <w:rPr>
          <w:lang w:val="fr-FR"/>
        </w:rPr>
        <w:t>’</w:t>
      </w:r>
      <w:r w:rsidR="00FA5963" w:rsidRPr="00175743">
        <w:rPr>
          <w:lang w:val="fr-FR"/>
        </w:rPr>
        <w:t>avortement, qui a achevé ses travaux en 2016, pour légaliser l</w:t>
      </w:r>
      <w:r w:rsidR="006D0FB3" w:rsidRPr="00175743">
        <w:rPr>
          <w:lang w:val="fr-FR"/>
        </w:rPr>
        <w:t>’</w:t>
      </w:r>
      <w:r w:rsidR="00FA5963" w:rsidRPr="00175743">
        <w:rPr>
          <w:lang w:val="fr-FR"/>
        </w:rPr>
        <w:t>avortement, au moins dans les cas où la poursuite de la grossesse mettrait en danger la vie de la femme enceinte, l</w:t>
      </w:r>
      <w:r w:rsidR="006D0FB3" w:rsidRPr="00175743">
        <w:rPr>
          <w:lang w:val="fr-FR"/>
        </w:rPr>
        <w:t>’</w:t>
      </w:r>
      <w:r w:rsidR="00FA5963" w:rsidRPr="00175743">
        <w:rPr>
          <w:lang w:val="fr-FR"/>
        </w:rPr>
        <w:t>interruption de la grossesse est nécessaire pour empêcher une atteinte à la santé physique ou mentale de la femme enceinte, le fœtus est atteint d</w:t>
      </w:r>
      <w:r w:rsidR="006D0FB3" w:rsidRPr="00175743">
        <w:rPr>
          <w:lang w:val="fr-FR"/>
        </w:rPr>
        <w:t>’</w:t>
      </w:r>
      <w:r w:rsidR="00FA5963" w:rsidRPr="00175743">
        <w:rPr>
          <w:lang w:val="fr-FR"/>
        </w:rPr>
        <w:t>une malformation grave qui compromet sa viabilité ou ses chances de survie et la grossesse résulte d</w:t>
      </w:r>
      <w:r w:rsidR="006D0FB3" w:rsidRPr="00175743">
        <w:rPr>
          <w:lang w:val="fr-FR"/>
        </w:rPr>
        <w:t>’</w:t>
      </w:r>
      <w:r w:rsidR="00FA5963" w:rsidRPr="00175743">
        <w:rPr>
          <w:lang w:val="fr-FR"/>
        </w:rPr>
        <w:t>un viol, d</w:t>
      </w:r>
      <w:r w:rsidR="006D0FB3" w:rsidRPr="00175743">
        <w:rPr>
          <w:lang w:val="fr-FR"/>
        </w:rPr>
        <w:t>’</w:t>
      </w:r>
      <w:r w:rsidR="00FA5963" w:rsidRPr="00175743">
        <w:rPr>
          <w:lang w:val="fr-FR"/>
        </w:rPr>
        <w:t>un inceste ou d</w:t>
      </w:r>
      <w:r w:rsidR="006D0FB3" w:rsidRPr="00175743">
        <w:rPr>
          <w:lang w:val="fr-FR"/>
        </w:rPr>
        <w:t>’</w:t>
      </w:r>
      <w:r w:rsidR="00FA5963" w:rsidRPr="00175743">
        <w:rPr>
          <w:lang w:val="fr-FR"/>
        </w:rPr>
        <w:t>un viol sur mineure (par. 89)</w:t>
      </w:r>
      <w:r w:rsidR="006D0FB3" w:rsidRPr="00175743">
        <w:rPr>
          <w:lang w:val="fr-FR"/>
        </w:rPr>
        <w:t> ;</w:t>
      </w:r>
      <w:r w:rsidR="00FA5963" w:rsidRPr="00175743">
        <w:rPr>
          <w:lang w:val="fr-FR"/>
        </w:rPr>
        <w:t xml:space="preserve"> sans oublier les efforts menés pour dépénaliser l</w:t>
      </w:r>
      <w:r w:rsidR="006D0FB3" w:rsidRPr="00175743">
        <w:rPr>
          <w:lang w:val="fr-FR"/>
        </w:rPr>
        <w:t>’</w:t>
      </w:r>
      <w:r w:rsidR="00FA5963" w:rsidRPr="00175743">
        <w:rPr>
          <w:lang w:val="fr-FR"/>
        </w:rPr>
        <w:t>avortement dans tous les autres cas</w:t>
      </w:r>
      <w:r w:rsidR="006D0FB3" w:rsidRPr="00175743">
        <w:rPr>
          <w:lang w:val="fr-FR"/>
        </w:rPr>
        <w:t> ;</w:t>
      </w:r>
    </w:p>
    <w:p w14:paraId="5684CDEA" w14:textId="37B3C425" w:rsidR="00FA5963" w:rsidRPr="00175743" w:rsidRDefault="00C40922" w:rsidP="00C40922">
      <w:pPr>
        <w:pStyle w:val="SingleTxt"/>
        <w:rPr>
          <w:lang w:val="fr-FR"/>
        </w:rPr>
      </w:pPr>
      <w:r w:rsidRPr="00175743">
        <w:rPr>
          <w:lang w:val="fr-FR"/>
        </w:rPr>
        <w:tab/>
      </w:r>
      <w:r w:rsidR="00FA5963" w:rsidRPr="00175743">
        <w:rPr>
          <w:lang w:val="fr-FR"/>
        </w:rPr>
        <w:t>c)</w:t>
      </w:r>
      <w:r w:rsidR="00FA5963" w:rsidRPr="00175743">
        <w:rPr>
          <w:lang w:val="fr-FR"/>
        </w:rPr>
        <w:tab/>
        <w:t>les mesures prises pour sensibiliser le public en général et les prestataires de services en particulier, dans les secteurs public et privé, à l</w:t>
      </w:r>
      <w:r w:rsidR="006D0FB3" w:rsidRPr="00175743">
        <w:rPr>
          <w:lang w:val="fr-FR"/>
        </w:rPr>
        <w:t>’</w:t>
      </w:r>
      <w:r w:rsidR="00FA5963" w:rsidRPr="00175743">
        <w:rPr>
          <w:lang w:val="fr-FR"/>
        </w:rPr>
        <w:t>interdiction légale de la discrimination fondée sur le statut VIH conformément à l</w:t>
      </w:r>
      <w:r w:rsidR="006D0FB3" w:rsidRPr="00175743">
        <w:rPr>
          <w:lang w:val="fr-FR"/>
        </w:rPr>
        <w:t>’</w:t>
      </w:r>
      <w:r w:rsidR="00FA5963" w:rsidRPr="00175743">
        <w:rPr>
          <w:lang w:val="fr-FR"/>
        </w:rPr>
        <w:t>article 6 de la loi de 2018 sur le VIH/sida (prévention et gestion), et pour faire connaître les recours que les femmes peuvent exercer en cas de violation de cette disposition relative à la non-discrimination.</w:t>
      </w:r>
    </w:p>
    <w:p w14:paraId="6F45F520" w14:textId="77777777" w:rsidR="00C40922" w:rsidRPr="00175743" w:rsidRDefault="00C40922" w:rsidP="00C40922">
      <w:pPr>
        <w:pStyle w:val="SingleTxt"/>
        <w:spacing w:after="0" w:line="120" w:lineRule="exact"/>
        <w:rPr>
          <w:sz w:val="10"/>
          <w:lang w:val="fr-FR"/>
        </w:rPr>
      </w:pPr>
    </w:p>
    <w:p w14:paraId="3FDC6CBF" w14:textId="69D9C82E" w:rsidR="00FA5963" w:rsidRPr="00175743" w:rsidRDefault="00FA5963" w:rsidP="00C409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5743">
        <w:rPr>
          <w:lang w:val="fr-FR"/>
        </w:rPr>
        <w:tab/>
      </w:r>
      <w:r w:rsidRPr="00175743">
        <w:rPr>
          <w:lang w:val="fr-FR"/>
        </w:rPr>
        <w:tab/>
        <w:t>Autonomisation économique et prestations sociales</w:t>
      </w:r>
    </w:p>
    <w:p w14:paraId="62E17AC7" w14:textId="7F301DF9" w:rsidR="00C40922" w:rsidRPr="00175743" w:rsidRDefault="00C40922" w:rsidP="00C40922">
      <w:pPr>
        <w:pStyle w:val="SingleTxt"/>
        <w:spacing w:after="0" w:line="120" w:lineRule="exact"/>
        <w:rPr>
          <w:sz w:val="10"/>
          <w:lang w:val="fr-FR"/>
        </w:rPr>
      </w:pPr>
    </w:p>
    <w:p w14:paraId="5B03C062" w14:textId="177704A3" w:rsidR="00C40922" w:rsidRPr="00175743" w:rsidRDefault="00FA5963" w:rsidP="00C40922">
      <w:pPr>
        <w:pStyle w:val="SingleTxt"/>
        <w:numPr>
          <w:ilvl w:val="0"/>
          <w:numId w:val="50"/>
        </w:numPr>
        <w:spacing w:line="240" w:lineRule="exact"/>
        <w:rPr>
          <w:lang w:val="fr-FR"/>
        </w:rPr>
      </w:pPr>
      <w:r w:rsidRPr="00175743">
        <w:rPr>
          <w:lang w:val="fr-FR"/>
        </w:rPr>
        <w:t>Veuillez donner des précisions sur les mesures qui ont été prises pour</w:t>
      </w:r>
      <w:r w:rsidR="006D0FB3" w:rsidRPr="00175743">
        <w:rPr>
          <w:lang w:val="fr-FR"/>
        </w:rPr>
        <w:t> :</w:t>
      </w:r>
    </w:p>
    <w:p w14:paraId="12A77DBD" w14:textId="5F5CE2C4" w:rsidR="00FA5963" w:rsidRPr="00175743" w:rsidRDefault="00C40922" w:rsidP="00C40922">
      <w:pPr>
        <w:pStyle w:val="SingleTxt"/>
        <w:rPr>
          <w:lang w:val="fr-FR"/>
        </w:rPr>
      </w:pPr>
      <w:r w:rsidRPr="00175743">
        <w:rPr>
          <w:lang w:val="fr-FR"/>
        </w:rPr>
        <w:tab/>
      </w:r>
      <w:r w:rsidR="00FA5963" w:rsidRPr="00175743">
        <w:rPr>
          <w:lang w:val="fr-FR"/>
        </w:rPr>
        <w:t>a)</w:t>
      </w:r>
      <w:r w:rsidR="00FA5963" w:rsidRPr="00175743">
        <w:rPr>
          <w:lang w:val="fr-FR"/>
        </w:rPr>
        <w:tab/>
        <w:t>faire en sorte que la programmation des stratégies de réduction de la pauvreté tienne compte des questions de genre afin de garantir la satisfaction des besoins des femmes, notamment en recueillant des données ventilées par sexe, âge, handicap, lieu et autres indicateurs liés au genre, sur les bénéficiaires du Programme national de transferts sociaux en espèces (</w:t>
      </w:r>
      <w:r w:rsidR="00FA5963" w:rsidRPr="00175743">
        <w:rPr>
          <w:i/>
          <w:iCs/>
          <w:lang w:val="fr-FR"/>
        </w:rPr>
        <w:t>Mtukula Pakhomo</w:t>
      </w:r>
      <w:r w:rsidR="00FA5963" w:rsidRPr="00175743">
        <w:rPr>
          <w:lang w:val="fr-FR"/>
        </w:rPr>
        <w:t>) et du Fonds national d</w:t>
      </w:r>
      <w:r w:rsidR="006D0FB3" w:rsidRPr="00175743">
        <w:rPr>
          <w:lang w:val="fr-FR"/>
        </w:rPr>
        <w:t>’</w:t>
      </w:r>
      <w:r w:rsidR="00FA5963" w:rsidRPr="00175743">
        <w:rPr>
          <w:lang w:val="fr-FR"/>
        </w:rPr>
        <w:t>émancipation économique, ainsi qu</w:t>
      </w:r>
      <w:r w:rsidR="006D0FB3" w:rsidRPr="00175743">
        <w:rPr>
          <w:lang w:val="fr-FR"/>
        </w:rPr>
        <w:t>’</w:t>
      </w:r>
      <w:r w:rsidR="00FA5963" w:rsidRPr="00175743">
        <w:rPr>
          <w:lang w:val="fr-FR"/>
        </w:rPr>
        <w:t>en introduisant des quotas pour l</w:t>
      </w:r>
      <w:r w:rsidR="006D0FB3" w:rsidRPr="00175743">
        <w:rPr>
          <w:lang w:val="fr-FR"/>
        </w:rPr>
        <w:t>’</w:t>
      </w:r>
      <w:r w:rsidR="00FA5963" w:rsidRPr="00175743">
        <w:rPr>
          <w:lang w:val="fr-FR"/>
        </w:rPr>
        <w:t>accès des femmes aux programmes d</w:t>
      </w:r>
      <w:r w:rsidR="006D0FB3" w:rsidRPr="00175743">
        <w:rPr>
          <w:lang w:val="fr-FR"/>
        </w:rPr>
        <w:t>’</w:t>
      </w:r>
      <w:r w:rsidR="00FA5963" w:rsidRPr="00175743">
        <w:rPr>
          <w:lang w:val="fr-FR"/>
        </w:rPr>
        <w:t>émancipation économique</w:t>
      </w:r>
      <w:r w:rsidR="006D0FB3" w:rsidRPr="00175743">
        <w:rPr>
          <w:lang w:val="fr-FR"/>
        </w:rPr>
        <w:t> ;</w:t>
      </w:r>
    </w:p>
    <w:p w14:paraId="3E8F8564" w14:textId="7445D5E0" w:rsidR="00FA5963" w:rsidRPr="00175743" w:rsidRDefault="00C40922" w:rsidP="00C40922">
      <w:pPr>
        <w:pStyle w:val="SingleTxt"/>
        <w:rPr>
          <w:lang w:val="fr-FR"/>
        </w:rPr>
      </w:pPr>
      <w:r w:rsidRPr="00175743">
        <w:rPr>
          <w:lang w:val="fr-FR"/>
        </w:rPr>
        <w:tab/>
      </w:r>
      <w:r w:rsidR="00FA5963" w:rsidRPr="00175743">
        <w:rPr>
          <w:lang w:val="fr-FR"/>
        </w:rPr>
        <w:t>b)</w:t>
      </w:r>
      <w:r w:rsidR="00FA5963" w:rsidRPr="00175743">
        <w:rPr>
          <w:lang w:val="fr-FR"/>
        </w:rPr>
        <w:tab/>
        <w:t>mettre en place et rendre opérationnel un fonds d</w:t>
      </w:r>
      <w:r w:rsidR="006D0FB3" w:rsidRPr="00175743">
        <w:rPr>
          <w:lang w:val="fr-FR"/>
        </w:rPr>
        <w:t>’</w:t>
      </w:r>
      <w:r w:rsidR="00FA5963" w:rsidRPr="00175743">
        <w:rPr>
          <w:lang w:val="fr-FR"/>
        </w:rPr>
        <w:t>émancipation économique des femmes pour faciliter l</w:t>
      </w:r>
      <w:r w:rsidR="006D0FB3" w:rsidRPr="00175743">
        <w:rPr>
          <w:lang w:val="fr-FR"/>
        </w:rPr>
        <w:t>’</w:t>
      </w:r>
      <w:r w:rsidR="00FA5963" w:rsidRPr="00175743">
        <w:rPr>
          <w:lang w:val="fr-FR"/>
        </w:rPr>
        <w:t>accès aux prêts et à d</w:t>
      </w:r>
      <w:r w:rsidR="006D0FB3" w:rsidRPr="00175743">
        <w:rPr>
          <w:lang w:val="fr-FR"/>
        </w:rPr>
        <w:t>’</w:t>
      </w:r>
      <w:r w:rsidR="00FA5963" w:rsidRPr="00175743">
        <w:rPr>
          <w:lang w:val="fr-FR"/>
        </w:rPr>
        <w:t>autres mécanismes et services de financement, conformément à l</w:t>
      </w:r>
      <w:r w:rsidR="006D0FB3" w:rsidRPr="00175743">
        <w:rPr>
          <w:lang w:val="fr-FR"/>
        </w:rPr>
        <w:t>’</w:t>
      </w:r>
      <w:r w:rsidR="00FA5963" w:rsidRPr="00175743">
        <w:rPr>
          <w:lang w:val="fr-FR"/>
        </w:rPr>
        <w:t>engagement pris en 2021 par l</w:t>
      </w:r>
      <w:r w:rsidR="006D0FB3" w:rsidRPr="00175743">
        <w:rPr>
          <w:lang w:val="fr-FR"/>
        </w:rPr>
        <w:t>’</w:t>
      </w:r>
      <w:r w:rsidR="00FA5963" w:rsidRPr="00175743">
        <w:rPr>
          <w:lang w:val="fr-FR"/>
        </w:rPr>
        <w:t>État partie au titre de la campagne « Génération égalité ».</w:t>
      </w:r>
    </w:p>
    <w:p w14:paraId="68DC5402" w14:textId="77777777" w:rsidR="00C40922" w:rsidRPr="00175743" w:rsidRDefault="00C40922" w:rsidP="00C40922">
      <w:pPr>
        <w:pStyle w:val="SingleTxt"/>
        <w:spacing w:after="0" w:line="120" w:lineRule="exact"/>
        <w:rPr>
          <w:sz w:val="10"/>
          <w:lang w:val="fr-FR"/>
        </w:rPr>
      </w:pPr>
    </w:p>
    <w:p w14:paraId="22FD1CFB" w14:textId="678FCDEE" w:rsidR="00FA5963" w:rsidRPr="00175743" w:rsidRDefault="00C40922" w:rsidP="00C409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5743">
        <w:rPr>
          <w:lang w:val="fr-FR"/>
        </w:rPr>
        <w:tab/>
      </w:r>
      <w:r w:rsidR="00FA5963" w:rsidRPr="00175743">
        <w:rPr>
          <w:lang w:val="fr-FR"/>
        </w:rPr>
        <w:tab/>
        <w:t>Femmes rurales</w:t>
      </w:r>
    </w:p>
    <w:p w14:paraId="12DC114F" w14:textId="1F90C21E" w:rsidR="00C40922" w:rsidRPr="00175743" w:rsidRDefault="00C40922" w:rsidP="00C40922">
      <w:pPr>
        <w:pStyle w:val="SingleTxt"/>
        <w:spacing w:after="0" w:line="120" w:lineRule="exact"/>
        <w:rPr>
          <w:sz w:val="10"/>
          <w:lang w:val="fr-FR"/>
        </w:rPr>
      </w:pPr>
    </w:p>
    <w:p w14:paraId="634D7FE1" w14:textId="40799F98" w:rsidR="00FA5963" w:rsidRPr="00175743" w:rsidRDefault="00FA5963" w:rsidP="00C40922">
      <w:pPr>
        <w:pStyle w:val="SingleTxt"/>
        <w:numPr>
          <w:ilvl w:val="0"/>
          <w:numId w:val="50"/>
        </w:numPr>
        <w:spacing w:line="240" w:lineRule="exact"/>
        <w:rPr>
          <w:lang w:val="fr-FR"/>
        </w:rPr>
      </w:pPr>
      <w:r w:rsidRPr="00175743">
        <w:rPr>
          <w:lang w:val="fr-FR"/>
        </w:rPr>
        <w:t>Veuillez informer le Comité des mesures prises par l</w:t>
      </w:r>
      <w:r w:rsidR="006D0FB3" w:rsidRPr="00175743">
        <w:rPr>
          <w:lang w:val="fr-FR"/>
        </w:rPr>
        <w:t>’</w:t>
      </w:r>
      <w:r w:rsidRPr="00175743">
        <w:rPr>
          <w:lang w:val="fr-FR"/>
        </w:rPr>
        <w:t>État partie pour</w:t>
      </w:r>
      <w:r w:rsidR="006D0FB3" w:rsidRPr="00175743">
        <w:rPr>
          <w:lang w:val="fr-FR"/>
        </w:rPr>
        <w:t> :</w:t>
      </w:r>
    </w:p>
    <w:p w14:paraId="05D2BDF8" w14:textId="4F7D14D7" w:rsidR="00C40922" w:rsidRPr="00175743" w:rsidRDefault="00C40922" w:rsidP="00C40922">
      <w:pPr>
        <w:pStyle w:val="SingleTxt"/>
        <w:rPr>
          <w:lang w:val="fr-FR"/>
        </w:rPr>
      </w:pPr>
      <w:r w:rsidRPr="00175743">
        <w:rPr>
          <w:lang w:val="fr-FR"/>
        </w:rPr>
        <w:tab/>
      </w:r>
      <w:r w:rsidR="00FA5963" w:rsidRPr="00175743">
        <w:rPr>
          <w:lang w:val="fr-FR"/>
        </w:rPr>
        <w:t>a)</w:t>
      </w:r>
      <w:r w:rsidR="00FA5963" w:rsidRPr="00175743">
        <w:rPr>
          <w:lang w:val="fr-FR"/>
        </w:rPr>
        <w:tab/>
        <w:t>appliquer la loi de 2016 sur les terres coutumières, qui prévoit la parité femmes-hommes dans la gestion des terres coutumières, notamment en faisant mieux connaître cette loi et les moyens d</w:t>
      </w:r>
      <w:r w:rsidR="006D0FB3" w:rsidRPr="00175743">
        <w:rPr>
          <w:lang w:val="fr-FR"/>
        </w:rPr>
        <w:t>’</w:t>
      </w:r>
      <w:r w:rsidR="00FA5963" w:rsidRPr="00175743">
        <w:rPr>
          <w:lang w:val="fr-FR"/>
        </w:rPr>
        <w:t>accéder à des voies de recours en cas de violation de ses dispositions</w:t>
      </w:r>
      <w:r w:rsidR="006D0FB3" w:rsidRPr="00175743">
        <w:rPr>
          <w:lang w:val="fr-FR"/>
        </w:rPr>
        <w:t> ;</w:t>
      </w:r>
    </w:p>
    <w:p w14:paraId="0B6CBEFA" w14:textId="570C4239" w:rsidR="00C40922" w:rsidRPr="00175743" w:rsidRDefault="00C40922" w:rsidP="00C40922">
      <w:pPr>
        <w:pStyle w:val="SingleTxt"/>
        <w:rPr>
          <w:lang w:val="fr-FR"/>
        </w:rPr>
      </w:pPr>
      <w:r w:rsidRPr="00175743">
        <w:rPr>
          <w:lang w:val="fr-FR"/>
        </w:rPr>
        <w:lastRenderedPageBreak/>
        <w:tab/>
      </w:r>
      <w:r w:rsidR="00FA5963" w:rsidRPr="00175743">
        <w:rPr>
          <w:lang w:val="fr-FR"/>
        </w:rPr>
        <w:t>b)</w:t>
      </w:r>
      <w:r w:rsidR="00FA5963" w:rsidRPr="00175743">
        <w:rPr>
          <w:lang w:val="fr-FR"/>
        </w:rPr>
        <w:tab/>
        <w:t>faciliter la fourniture de services financiers dans les zones rurales, tout en prenant en compte les besoins des femmes rurales, notamment en se penchant sur les entraves en matière de garanties, et promouvoir une culture de l</w:t>
      </w:r>
      <w:r w:rsidR="006D0FB3" w:rsidRPr="00175743">
        <w:rPr>
          <w:lang w:val="fr-FR"/>
        </w:rPr>
        <w:t>’</w:t>
      </w:r>
      <w:r w:rsidR="00FA5963" w:rsidRPr="00175743">
        <w:rPr>
          <w:lang w:val="fr-FR"/>
        </w:rPr>
        <w:t>épargne</w:t>
      </w:r>
      <w:r w:rsidR="006D0FB3" w:rsidRPr="00175743">
        <w:rPr>
          <w:lang w:val="fr-FR"/>
        </w:rPr>
        <w:t> ;</w:t>
      </w:r>
    </w:p>
    <w:p w14:paraId="71ECA881" w14:textId="45DEC714" w:rsidR="00C40922" w:rsidRPr="00175743" w:rsidRDefault="00C40922" w:rsidP="00C40922">
      <w:pPr>
        <w:pStyle w:val="SingleTxt"/>
        <w:rPr>
          <w:lang w:val="fr-FR"/>
        </w:rPr>
      </w:pPr>
      <w:r w:rsidRPr="00175743">
        <w:rPr>
          <w:lang w:val="fr-FR"/>
        </w:rPr>
        <w:tab/>
      </w:r>
      <w:r w:rsidR="00FA5963" w:rsidRPr="00175743">
        <w:rPr>
          <w:lang w:val="fr-FR"/>
        </w:rPr>
        <w:t>c)</w:t>
      </w:r>
      <w:r w:rsidR="00FA5963" w:rsidRPr="00175743">
        <w:rPr>
          <w:lang w:val="fr-FR"/>
        </w:rPr>
        <w:tab/>
        <w:t>mettre à la disposition des femmes rurales des technologies et des services permettant de gagner du temps et d</w:t>
      </w:r>
      <w:r w:rsidR="006D0FB3" w:rsidRPr="00175743">
        <w:rPr>
          <w:lang w:val="fr-FR"/>
        </w:rPr>
        <w:t>’</w:t>
      </w:r>
      <w:r w:rsidR="00FA5963" w:rsidRPr="00175743">
        <w:rPr>
          <w:lang w:val="fr-FR"/>
        </w:rPr>
        <w:t>économiser de la main-d</w:t>
      </w:r>
      <w:r w:rsidR="006D0FB3" w:rsidRPr="00175743">
        <w:rPr>
          <w:lang w:val="fr-FR"/>
        </w:rPr>
        <w:t>’</w:t>
      </w:r>
      <w:r w:rsidR="00FA5963" w:rsidRPr="00175743">
        <w:rPr>
          <w:lang w:val="fr-FR"/>
        </w:rPr>
        <w:t>œuvre, afin de réduire leur charge de travail non rémunéré au sein du ménage et de la collectivité</w:t>
      </w:r>
      <w:r w:rsidR="006D0FB3" w:rsidRPr="00175743">
        <w:rPr>
          <w:lang w:val="fr-FR"/>
        </w:rPr>
        <w:t> ;</w:t>
      </w:r>
    </w:p>
    <w:p w14:paraId="3E63408A" w14:textId="1742B878" w:rsidR="00FA5963" w:rsidRPr="00175743" w:rsidRDefault="00C40922" w:rsidP="00C40922">
      <w:pPr>
        <w:pStyle w:val="SingleTxt"/>
        <w:rPr>
          <w:lang w:val="fr-FR"/>
        </w:rPr>
      </w:pPr>
      <w:r w:rsidRPr="00175743">
        <w:rPr>
          <w:lang w:val="fr-FR"/>
        </w:rPr>
        <w:tab/>
      </w:r>
      <w:r w:rsidR="00FA5963" w:rsidRPr="00175743">
        <w:rPr>
          <w:lang w:val="fr-FR"/>
        </w:rPr>
        <w:t>d)</w:t>
      </w:r>
      <w:r w:rsidR="00FA5963" w:rsidRPr="00175743">
        <w:rPr>
          <w:lang w:val="fr-FR"/>
        </w:rPr>
        <w:tab/>
        <w:t>améliorer l</w:t>
      </w:r>
      <w:r w:rsidR="006D0FB3" w:rsidRPr="00175743">
        <w:rPr>
          <w:lang w:val="fr-FR"/>
        </w:rPr>
        <w:t>’</w:t>
      </w:r>
      <w:r w:rsidR="00FA5963" w:rsidRPr="00175743">
        <w:rPr>
          <w:lang w:val="fr-FR"/>
        </w:rPr>
        <w:t>accès des femmes rurales aux marchés des produits et des intrants tout en tenant compte de la valeur ajoutée et des pertes après récolte pour les denrées périssables souvent vendues par les femmes</w:t>
      </w:r>
      <w:r w:rsidR="006D0FB3" w:rsidRPr="00175743">
        <w:rPr>
          <w:lang w:val="fr-FR"/>
        </w:rPr>
        <w:t> ;</w:t>
      </w:r>
    </w:p>
    <w:p w14:paraId="00AFB671" w14:textId="3B88C1CD" w:rsidR="00FA5963" w:rsidRPr="00175743" w:rsidRDefault="00C40922" w:rsidP="00C40922">
      <w:pPr>
        <w:pStyle w:val="SingleTxt"/>
        <w:rPr>
          <w:spacing w:val="2"/>
          <w:lang w:val="fr-FR"/>
        </w:rPr>
      </w:pPr>
      <w:r w:rsidRPr="00175743">
        <w:rPr>
          <w:spacing w:val="2"/>
          <w:lang w:val="fr-FR"/>
        </w:rPr>
        <w:tab/>
      </w:r>
      <w:r w:rsidR="00FA5963" w:rsidRPr="00175743">
        <w:rPr>
          <w:spacing w:val="2"/>
          <w:lang w:val="fr-FR"/>
        </w:rPr>
        <w:t>e)</w:t>
      </w:r>
      <w:r w:rsidR="00FA5963" w:rsidRPr="00175743">
        <w:rPr>
          <w:spacing w:val="2"/>
          <w:lang w:val="fr-FR"/>
        </w:rPr>
        <w:tab/>
        <w:t>consulter les femmes, en particulier les femmes rurales, et les faire participer de manière significative à l</w:t>
      </w:r>
      <w:r w:rsidR="006D0FB3" w:rsidRPr="00175743">
        <w:rPr>
          <w:spacing w:val="2"/>
          <w:lang w:val="fr-FR"/>
        </w:rPr>
        <w:t>’</w:t>
      </w:r>
      <w:r w:rsidR="00FA5963" w:rsidRPr="00175743">
        <w:rPr>
          <w:spacing w:val="2"/>
          <w:lang w:val="fr-FR"/>
        </w:rPr>
        <w:t>élaboration et à la mise en œuvre de la politique nationale de gestion des risques de catastrophe (2015), ainsi qu</w:t>
      </w:r>
      <w:r w:rsidR="006D0FB3" w:rsidRPr="00175743">
        <w:rPr>
          <w:spacing w:val="2"/>
          <w:lang w:val="fr-FR"/>
        </w:rPr>
        <w:t>’</w:t>
      </w:r>
      <w:r w:rsidR="00FA5963" w:rsidRPr="00175743">
        <w:rPr>
          <w:spacing w:val="2"/>
          <w:lang w:val="fr-FR"/>
        </w:rPr>
        <w:t>à l</w:t>
      </w:r>
      <w:r w:rsidR="006D0FB3" w:rsidRPr="00175743">
        <w:rPr>
          <w:spacing w:val="2"/>
          <w:lang w:val="fr-FR"/>
        </w:rPr>
        <w:t>’</w:t>
      </w:r>
      <w:r w:rsidR="00FA5963" w:rsidRPr="00175743">
        <w:rPr>
          <w:spacing w:val="2"/>
          <w:lang w:val="fr-FR"/>
        </w:rPr>
        <w:t>élaboration des lois, des politiques et programmes nationaux sur les changements climatiques, les interventions en cas de catastrophe et la réduction des risques catastrophe, afin de s</w:t>
      </w:r>
      <w:r w:rsidR="006D0FB3" w:rsidRPr="00175743">
        <w:rPr>
          <w:spacing w:val="2"/>
          <w:lang w:val="fr-FR"/>
        </w:rPr>
        <w:t>’</w:t>
      </w:r>
      <w:r w:rsidR="00FA5963" w:rsidRPr="00175743">
        <w:rPr>
          <w:spacing w:val="2"/>
          <w:lang w:val="fr-FR"/>
        </w:rPr>
        <w:t>assurer qu</w:t>
      </w:r>
      <w:r w:rsidR="006D0FB3" w:rsidRPr="00175743">
        <w:rPr>
          <w:spacing w:val="2"/>
          <w:lang w:val="fr-FR"/>
        </w:rPr>
        <w:t>’</w:t>
      </w:r>
      <w:r w:rsidR="00FA5963" w:rsidRPr="00175743">
        <w:rPr>
          <w:spacing w:val="2"/>
          <w:lang w:val="fr-FR"/>
        </w:rPr>
        <w:t>ils tiennent compte des besoins et des préoccupations des femmes (par. 105).</w:t>
      </w:r>
    </w:p>
    <w:p w14:paraId="1A2E00C0" w14:textId="77777777" w:rsidR="00C40922" w:rsidRPr="00175743" w:rsidRDefault="00C40922" w:rsidP="00C40922">
      <w:pPr>
        <w:pStyle w:val="SingleTxt"/>
        <w:spacing w:after="0" w:line="120" w:lineRule="exact"/>
        <w:rPr>
          <w:sz w:val="10"/>
          <w:lang w:val="fr-FR"/>
        </w:rPr>
      </w:pPr>
    </w:p>
    <w:p w14:paraId="6FF6CB63" w14:textId="71DF843D" w:rsidR="00FA5963" w:rsidRPr="00175743" w:rsidRDefault="00FA5963" w:rsidP="00C409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5743">
        <w:rPr>
          <w:lang w:val="fr-FR"/>
        </w:rPr>
        <w:tab/>
      </w:r>
      <w:r w:rsidRPr="00175743">
        <w:rPr>
          <w:lang w:val="fr-FR"/>
        </w:rPr>
        <w:tab/>
        <w:t>Femmes handicapées</w:t>
      </w:r>
    </w:p>
    <w:p w14:paraId="26E104BC" w14:textId="217F5B6B" w:rsidR="00C40922" w:rsidRPr="00175743" w:rsidRDefault="00C40922" w:rsidP="00C40922">
      <w:pPr>
        <w:pStyle w:val="SingleTxt"/>
        <w:spacing w:after="0" w:line="120" w:lineRule="exact"/>
        <w:rPr>
          <w:sz w:val="10"/>
          <w:lang w:val="fr-FR"/>
        </w:rPr>
      </w:pPr>
    </w:p>
    <w:p w14:paraId="69E599F6" w14:textId="6BB6D8CB" w:rsidR="00FA5963" w:rsidRPr="00175743" w:rsidRDefault="00FA5963" w:rsidP="00C40922">
      <w:pPr>
        <w:pStyle w:val="SingleTxt"/>
        <w:numPr>
          <w:ilvl w:val="0"/>
          <w:numId w:val="50"/>
        </w:numPr>
        <w:spacing w:line="240" w:lineRule="exact"/>
        <w:rPr>
          <w:lang w:val="fr-FR"/>
        </w:rPr>
      </w:pPr>
      <w:r w:rsidRPr="00175743">
        <w:rPr>
          <w:lang w:val="fr-FR"/>
        </w:rPr>
        <w:t>Veuillez donner des informations sur les mesures qui ont été prises pour protéger les femmes et les filles handicapées contre la violence fondée sur le genre</w:t>
      </w:r>
      <w:r w:rsidR="006D0FB3" w:rsidRPr="00175743">
        <w:rPr>
          <w:lang w:val="fr-FR"/>
        </w:rPr>
        <w:t> ;</w:t>
      </w:r>
      <w:r w:rsidRPr="00175743">
        <w:rPr>
          <w:lang w:val="fr-FR"/>
        </w:rPr>
        <w:t xml:space="preserve"> faciliter leur accès à la justice, aux soins de santé, y compris la santé sexuelle et reproductive, et à l</w:t>
      </w:r>
      <w:r w:rsidR="006D0FB3" w:rsidRPr="00175743">
        <w:rPr>
          <w:lang w:val="fr-FR"/>
        </w:rPr>
        <w:t>’</w:t>
      </w:r>
      <w:r w:rsidRPr="00175743">
        <w:rPr>
          <w:lang w:val="fr-FR"/>
        </w:rPr>
        <w:t>emploi</w:t>
      </w:r>
      <w:r w:rsidR="006D0FB3" w:rsidRPr="00175743">
        <w:rPr>
          <w:lang w:val="fr-FR"/>
        </w:rPr>
        <w:t> ;</w:t>
      </w:r>
      <w:r w:rsidRPr="00175743">
        <w:rPr>
          <w:lang w:val="fr-FR"/>
        </w:rPr>
        <w:t xml:space="preserve"> promouvoir leur autonomisation en mettant en place des établissements d</w:t>
      </w:r>
      <w:r w:rsidR="006D0FB3" w:rsidRPr="00175743">
        <w:rPr>
          <w:lang w:val="fr-FR"/>
        </w:rPr>
        <w:t>’</w:t>
      </w:r>
      <w:r w:rsidRPr="00175743">
        <w:rPr>
          <w:lang w:val="fr-FR"/>
        </w:rPr>
        <w:t>enseignement et de formation professionnelle qui leur sont accessibles. Veuillez également donner des informations sur les mesures temporaires spéciales envisagées par l</w:t>
      </w:r>
      <w:r w:rsidR="006D0FB3" w:rsidRPr="00175743">
        <w:rPr>
          <w:lang w:val="fr-FR"/>
        </w:rPr>
        <w:t>’</w:t>
      </w:r>
      <w:r w:rsidRPr="00175743">
        <w:rPr>
          <w:lang w:val="fr-FR"/>
        </w:rPr>
        <w:t>État partie, y compris les quotas, pour augmenter le nombre de femmes handicapées employées dans les secteurs public et privé, et inscrites dans les établissements d</w:t>
      </w:r>
      <w:r w:rsidR="006D0FB3" w:rsidRPr="00175743">
        <w:rPr>
          <w:lang w:val="fr-FR"/>
        </w:rPr>
        <w:t>’</w:t>
      </w:r>
      <w:r w:rsidRPr="00175743">
        <w:rPr>
          <w:lang w:val="fr-FR"/>
        </w:rPr>
        <w:t>enseignement supérieur.</w:t>
      </w:r>
    </w:p>
    <w:p w14:paraId="7F059628" w14:textId="77777777" w:rsidR="00C40922" w:rsidRPr="00175743" w:rsidRDefault="00C40922" w:rsidP="00C40922">
      <w:pPr>
        <w:pStyle w:val="SingleTxt"/>
        <w:spacing w:after="0" w:line="120" w:lineRule="exact"/>
        <w:rPr>
          <w:sz w:val="10"/>
          <w:lang w:val="fr-FR"/>
        </w:rPr>
      </w:pPr>
    </w:p>
    <w:p w14:paraId="285067A2" w14:textId="145E8A99" w:rsidR="00FA5963" w:rsidRPr="00175743" w:rsidRDefault="00FA5963" w:rsidP="00C409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5743">
        <w:rPr>
          <w:lang w:val="fr-FR"/>
        </w:rPr>
        <w:tab/>
      </w:r>
      <w:r w:rsidRPr="00175743">
        <w:rPr>
          <w:lang w:val="fr-FR"/>
        </w:rPr>
        <w:tab/>
        <w:t>Égalité dans les rapports familiaux</w:t>
      </w:r>
    </w:p>
    <w:p w14:paraId="09F7D20C" w14:textId="0341CE43" w:rsidR="00C40922" w:rsidRPr="00175743" w:rsidRDefault="00C40922" w:rsidP="00C40922">
      <w:pPr>
        <w:pStyle w:val="SingleTxt"/>
        <w:spacing w:after="0" w:line="120" w:lineRule="exact"/>
        <w:rPr>
          <w:sz w:val="10"/>
          <w:lang w:val="fr-FR"/>
        </w:rPr>
      </w:pPr>
    </w:p>
    <w:p w14:paraId="2FA46F98" w14:textId="4BC1A561" w:rsidR="00FA5963" w:rsidRPr="00175743" w:rsidRDefault="00FA5963" w:rsidP="00C40922">
      <w:pPr>
        <w:pStyle w:val="SingleTxt"/>
        <w:numPr>
          <w:ilvl w:val="0"/>
          <w:numId w:val="50"/>
        </w:numPr>
        <w:spacing w:line="240" w:lineRule="exact"/>
        <w:rPr>
          <w:lang w:val="fr-FR"/>
        </w:rPr>
      </w:pPr>
      <w:r w:rsidRPr="00175743">
        <w:rPr>
          <w:lang w:val="fr-FR"/>
        </w:rPr>
        <w:t>Veuillez informer le Comité des mesures prises pour</w:t>
      </w:r>
      <w:r w:rsidR="006D0FB3" w:rsidRPr="00175743">
        <w:rPr>
          <w:lang w:val="fr-FR"/>
        </w:rPr>
        <w:t> :</w:t>
      </w:r>
    </w:p>
    <w:p w14:paraId="5259E778" w14:textId="3C590598" w:rsidR="00FA5963" w:rsidRPr="00175743" w:rsidRDefault="00C40922" w:rsidP="00C40922">
      <w:pPr>
        <w:pStyle w:val="SingleTxt"/>
        <w:rPr>
          <w:lang w:val="fr-FR"/>
        </w:rPr>
      </w:pPr>
      <w:r w:rsidRPr="00175743">
        <w:rPr>
          <w:lang w:val="fr-FR"/>
        </w:rPr>
        <w:tab/>
      </w:r>
      <w:r w:rsidR="00FA5963" w:rsidRPr="00175743">
        <w:rPr>
          <w:lang w:val="fr-FR"/>
        </w:rPr>
        <w:t>a)</w:t>
      </w:r>
      <w:r w:rsidR="00FA5963" w:rsidRPr="00175743">
        <w:rPr>
          <w:lang w:val="fr-FR"/>
        </w:rPr>
        <w:tab/>
        <w:t>sensibiliser les femmes, le grand public et les chefs traditionnels et religieux aux lois garantissant l</w:t>
      </w:r>
      <w:r w:rsidR="006D0FB3" w:rsidRPr="00175743">
        <w:rPr>
          <w:lang w:val="fr-FR"/>
        </w:rPr>
        <w:t>’</w:t>
      </w:r>
      <w:r w:rsidR="00FA5963" w:rsidRPr="00175743">
        <w:rPr>
          <w:lang w:val="fr-FR"/>
        </w:rPr>
        <w:t>égalité dans les rapports familiaux, notamment l</w:t>
      </w:r>
      <w:r w:rsidR="006D0FB3" w:rsidRPr="00175743">
        <w:rPr>
          <w:lang w:val="fr-FR"/>
        </w:rPr>
        <w:t>’</w:t>
      </w:r>
      <w:r w:rsidR="00FA5963" w:rsidRPr="00175743">
        <w:rPr>
          <w:lang w:val="fr-FR"/>
        </w:rPr>
        <w:t>amendement constitutionnel de 2017 définissant un enfant comme étant toute personne âgée de 0 à 18 ans et la loi sur le mariage, le divorce et les relations familiales interdisant le mariage d</w:t>
      </w:r>
      <w:r w:rsidR="006D0FB3" w:rsidRPr="00175743">
        <w:rPr>
          <w:lang w:val="fr-FR"/>
        </w:rPr>
        <w:t>’</w:t>
      </w:r>
      <w:r w:rsidR="00FA5963" w:rsidRPr="00175743">
        <w:rPr>
          <w:lang w:val="fr-FR"/>
        </w:rPr>
        <w:t>enfants</w:t>
      </w:r>
      <w:r w:rsidR="006D0FB3" w:rsidRPr="00175743">
        <w:rPr>
          <w:lang w:val="fr-FR"/>
        </w:rPr>
        <w:t> ;</w:t>
      </w:r>
    </w:p>
    <w:p w14:paraId="5E11CAD9" w14:textId="153D697B" w:rsidR="00FA5963" w:rsidRPr="00175743" w:rsidRDefault="00C40922" w:rsidP="00C40922">
      <w:pPr>
        <w:pStyle w:val="SingleTxt"/>
        <w:rPr>
          <w:lang w:val="fr-FR"/>
        </w:rPr>
      </w:pPr>
      <w:r w:rsidRPr="00175743">
        <w:rPr>
          <w:lang w:val="fr-FR"/>
        </w:rPr>
        <w:tab/>
      </w:r>
      <w:r w:rsidR="00FA5963" w:rsidRPr="00175743">
        <w:rPr>
          <w:lang w:val="fr-FR"/>
        </w:rPr>
        <w:t>b)</w:t>
      </w:r>
      <w:r w:rsidR="00FA5963" w:rsidRPr="00175743">
        <w:rPr>
          <w:lang w:val="fr-FR"/>
        </w:rPr>
        <w:tab/>
        <w:t>établir dans la législation des sanctions contre les personnes célébrant des mariages d</w:t>
      </w:r>
      <w:r w:rsidR="006D0FB3" w:rsidRPr="00175743">
        <w:rPr>
          <w:lang w:val="fr-FR"/>
        </w:rPr>
        <w:t>’</w:t>
      </w:r>
      <w:r w:rsidR="00FA5963" w:rsidRPr="00175743">
        <w:rPr>
          <w:lang w:val="fr-FR"/>
        </w:rPr>
        <w:t>enfants et faire appliquer ces sanctions</w:t>
      </w:r>
      <w:r w:rsidR="006D0FB3" w:rsidRPr="00175743">
        <w:rPr>
          <w:lang w:val="fr-FR"/>
        </w:rPr>
        <w:t> ;</w:t>
      </w:r>
    </w:p>
    <w:p w14:paraId="6B9FC204" w14:textId="6EA96762" w:rsidR="00FA5963" w:rsidRPr="00175743" w:rsidRDefault="00C40922" w:rsidP="00C40922">
      <w:pPr>
        <w:pStyle w:val="SingleTxt"/>
        <w:rPr>
          <w:spacing w:val="2"/>
          <w:lang w:val="fr-FR"/>
        </w:rPr>
      </w:pPr>
      <w:r w:rsidRPr="00175743">
        <w:rPr>
          <w:spacing w:val="2"/>
          <w:lang w:val="fr-FR"/>
        </w:rPr>
        <w:tab/>
      </w:r>
      <w:r w:rsidR="00FA5963" w:rsidRPr="00175743">
        <w:rPr>
          <w:spacing w:val="2"/>
          <w:lang w:val="fr-FR"/>
        </w:rPr>
        <w:t>c)</w:t>
      </w:r>
      <w:r w:rsidR="00FA5963" w:rsidRPr="00175743">
        <w:rPr>
          <w:spacing w:val="2"/>
          <w:lang w:val="fr-FR"/>
        </w:rPr>
        <w:tab/>
        <w:t>s</w:t>
      </w:r>
      <w:r w:rsidR="006D0FB3" w:rsidRPr="00175743">
        <w:rPr>
          <w:spacing w:val="2"/>
          <w:lang w:val="fr-FR"/>
        </w:rPr>
        <w:t>’</w:t>
      </w:r>
      <w:r w:rsidR="00FA5963" w:rsidRPr="00175743">
        <w:rPr>
          <w:spacing w:val="2"/>
          <w:lang w:val="fr-FR"/>
        </w:rPr>
        <w:t>attaquer, par des campagnes de sensibilisation de masse, aux pratiques culturelles actuelles qui renforcent l</w:t>
      </w:r>
      <w:r w:rsidR="006D0FB3" w:rsidRPr="00175743">
        <w:rPr>
          <w:spacing w:val="2"/>
          <w:lang w:val="fr-FR"/>
        </w:rPr>
        <w:t>’</w:t>
      </w:r>
      <w:r w:rsidR="00FA5963" w:rsidRPr="00175743">
        <w:rPr>
          <w:spacing w:val="2"/>
          <w:lang w:val="fr-FR"/>
        </w:rPr>
        <w:t>inégalité des rapports de force entre hommes et femmes dans le mariage et à la dissolution de celui-ci, en particulier en ce qui concerne le contrôle des ressources au niveau familial et la prise en charge des enfants</w:t>
      </w:r>
      <w:r w:rsidR="006D0FB3" w:rsidRPr="00175743">
        <w:rPr>
          <w:spacing w:val="2"/>
          <w:lang w:val="fr-FR"/>
        </w:rPr>
        <w:t> ;</w:t>
      </w:r>
    </w:p>
    <w:p w14:paraId="6AE315D3" w14:textId="5E80FC89" w:rsidR="00FA5963" w:rsidRPr="00175743" w:rsidRDefault="00C40922" w:rsidP="00C40922">
      <w:pPr>
        <w:pStyle w:val="SingleTxt"/>
        <w:rPr>
          <w:lang w:val="fr-FR"/>
        </w:rPr>
      </w:pPr>
      <w:r w:rsidRPr="00175743">
        <w:rPr>
          <w:lang w:val="fr-FR"/>
        </w:rPr>
        <w:tab/>
      </w:r>
      <w:r w:rsidR="00FA5963" w:rsidRPr="00175743">
        <w:rPr>
          <w:lang w:val="fr-FR"/>
        </w:rPr>
        <w:t>d)</w:t>
      </w:r>
      <w:r w:rsidR="00FA5963" w:rsidRPr="00175743">
        <w:rPr>
          <w:lang w:val="fr-FR"/>
        </w:rPr>
        <w:tab/>
        <w:t>mettre en place des comités d</w:t>
      </w:r>
      <w:r w:rsidR="006D0FB3" w:rsidRPr="00175743">
        <w:rPr>
          <w:lang w:val="fr-FR"/>
        </w:rPr>
        <w:t>’</w:t>
      </w:r>
      <w:r w:rsidR="00FA5963" w:rsidRPr="00175743">
        <w:rPr>
          <w:lang w:val="fr-FR"/>
        </w:rPr>
        <w:t>accompagnement des familles, comme le prévoit la loi sur le mariage, le divorce et les relations familiales.</w:t>
      </w:r>
    </w:p>
    <w:p w14:paraId="02C0BC91" w14:textId="77777777" w:rsidR="00C40922" w:rsidRPr="00175743" w:rsidRDefault="00C40922" w:rsidP="00C40922">
      <w:pPr>
        <w:pStyle w:val="SingleTxt"/>
        <w:spacing w:after="0" w:line="120" w:lineRule="exact"/>
        <w:rPr>
          <w:sz w:val="10"/>
          <w:lang w:val="fr-FR"/>
        </w:rPr>
      </w:pPr>
    </w:p>
    <w:p w14:paraId="24C941F4" w14:textId="5E916D99" w:rsidR="00FA5963" w:rsidRPr="00175743" w:rsidRDefault="00FA5963" w:rsidP="00C409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5743">
        <w:rPr>
          <w:lang w:val="fr-FR"/>
        </w:rPr>
        <w:tab/>
      </w:r>
      <w:r w:rsidRPr="00175743">
        <w:rPr>
          <w:lang w:val="fr-FR"/>
        </w:rPr>
        <w:tab/>
        <w:t>Protocole facultatif et amendement au paragraphe 1 de l</w:t>
      </w:r>
      <w:r w:rsidR="006D0FB3" w:rsidRPr="00175743">
        <w:rPr>
          <w:lang w:val="fr-FR"/>
        </w:rPr>
        <w:t>’</w:t>
      </w:r>
      <w:r w:rsidRPr="00175743">
        <w:rPr>
          <w:lang w:val="fr-FR"/>
        </w:rPr>
        <w:t>article 20</w:t>
      </w:r>
      <w:r w:rsidR="00C40922" w:rsidRPr="00175743">
        <w:rPr>
          <w:lang w:val="fr-FR"/>
        </w:rPr>
        <w:br/>
      </w:r>
      <w:r w:rsidRPr="00175743">
        <w:rPr>
          <w:lang w:val="fr-FR"/>
        </w:rPr>
        <w:t>de la Convention</w:t>
      </w:r>
    </w:p>
    <w:p w14:paraId="6309152D" w14:textId="6E7E39B5" w:rsidR="00C40922" w:rsidRPr="00175743" w:rsidRDefault="00C40922" w:rsidP="00C40922">
      <w:pPr>
        <w:pStyle w:val="SingleTxt"/>
        <w:spacing w:after="0" w:line="120" w:lineRule="exact"/>
        <w:rPr>
          <w:sz w:val="10"/>
          <w:lang w:val="fr-FR"/>
        </w:rPr>
      </w:pPr>
    </w:p>
    <w:p w14:paraId="7AF49CF2" w14:textId="4EC6248F" w:rsidR="00FA5963" w:rsidRPr="00175743" w:rsidRDefault="006D0FB3" w:rsidP="00FA5963">
      <w:pPr>
        <w:pStyle w:val="SingleTxt"/>
        <w:numPr>
          <w:ilvl w:val="0"/>
          <w:numId w:val="50"/>
        </w:numPr>
        <w:spacing w:after="0" w:line="240" w:lineRule="auto"/>
        <w:rPr>
          <w:lang w:val="fr-FR"/>
        </w:rPr>
      </w:pPr>
      <w:r w:rsidRPr="00175743">
        <w:rPr>
          <w:noProof/>
          <w:w w:val="100"/>
          <w:lang w:val="fr-FR"/>
        </w:rPr>
        <mc:AlternateContent>
          <mc:Choice Requires="wps">
            <w:drawing>
              <wp:anchor distT="0" distB="0" distL="114300" distR="114300" simplePos="0" relativeHeight="251659264" behindDoc="0" locked="0" layoutInCell="1" allowOverlap="1" wp14:anchorId="18998D61" wp14:editId="35EFB9AC">
                <wp:simplePos x="0" y="0"/>
                <wp:positionH relativeFrom="page">
                  <wp:posOffset>3429000</wp:posOffset>
                </wp:positionH>
                <wp:positionV relativeFrom="paragraph">
                  <wp:posOffset>877294</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BD3573"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69.1pt" to="342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" strokecolor="#010000" strokeweight=".25pt">
                <w10:wrap anchorx="page"/>
              </v:line>
            </w:pict>
          </mc:Fallback>
        </mc:AlternateContent>
      </w:r>
      <w:r w:rsidR="00FA5963" w:rsidRPr="00175743">
        <w:rPr>
          <w:lang w:val="fr-FR"/>
        </w:rPr>
        <w:t>Veuillez faire le point des efforts déployés pour ratifier le Protocole facultatif et faire état de tout progrès accompli sur la voie de l</w:t>
      </w:r>
      <w:r w:rsidRPr="00175743">
        <w:rPr>
          <w:lang w:val="fr-FR"/>
        </w:rPr>
        <w:t>’</w:t>
      </w:r>
      <w:r w:rsidR="00FA5963" w:rsidRPr="00175743">
        <w:rPr>
          <w:lang w:val="fr-FR"/>
        </w:rPr>
        <w:t>acceptation de l</w:t>
      </w:r>
      <w:r w:rsidRPr="00175743">
        <w:rPr>
          <w:lang w:val="fr-FR"/>
        </w:rPr>
        <w:t>’</w:t>
      </w:r>
      <w:r w:rsidR="00FA5963" w:rsidRPr="00175743">
        <w:rPr>
          <w:lang w:val="fr-FR"/>
        </w:rPr>
        <w:t>amendement au paragraphe 1 de l</w:t>
      </w:r>
      <w:r w:rsidRPr="00175743">
        <w:rPr>
          <w:lang w:val="fr-FR"/>
        </w:rPr>
        <w:t>’</w:t>
      </w:r>
      <w:r w:rsidR="00FA5963" w:rsidRPr="00175743">
        <w:rPr>
          <w:lang w:val="fr-FR"/>
        </w:rPr>
        <w:t>article 20 de la Convention concernant le calendrier des réunions du Comité.</w:t>
      </w:r>
    </w:p>
    <w:sectPr w:rsidR="00FA5963" w:rsidRPr="00175743" w:rsidSect="00FA5963">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3-15T17:51:00Z" w:initials="Start">
    <w:p w14:paraId="6A4D5D5A" w14:textId="77777777" w:rsidR="006568A5" w:rsidRPr="00FA5963" w:rsidRDefault="006568A5">
      <w:pPr>
        <w:pStyle w:val="CommentText"/>
        <w:rPr>
          <w:lang w:val="en-US"/>
        </w:rPr>
      </w:pPr>
      <w:r>
        <w:rPr>
          <w:rStyle w:val="CommentReference"/>
        </w:rPr>
        <w:annotationRef/>
      </w:r>
      <w:r w:rsidRPr="00FA5963">
        <w:rPr>
          <w:lang w:val="en-US"/>
        </w:rPr>
        <w:t>&lt;&lt;ODS JOB NO&gt;&gt;N2227956F&lt;&lt;ODS JOB NO&gt;&gt;</w:t>
      </w:r>
    </w:p>
    <w:p w14:paraId="587267AD" w14:textId="77777777" w:rsidR="006568A5" w:rsidRDefault="006568A5">
      <w:pPr>
        <w:pStyle w:val="CommentText"/>
      </w:pPr>
      <w:r>
        <w:t>&lt;&lt;ODS DOC SYMBOL1&gt;&gt;CEDAW/C/MWI/Q/8&lt;&lt;ODS DOC SYMBOL1&gt;&gt;</w:t>
      </w:r>
    </w:p>
    <w:p w14:paraId="6164E77D" w14:textId="380037D5" w:rsidR="006568A5" w:rsidRDefault="006568A5">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64E77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B50CE" w16cex:dateUtc="2022-03-15T2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64E77D" w16cid:durableId="25DB50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95F14" w14:textId="77777777" w:rsidR="0096262A" w:rsidRDefault="0096262A" w:rsidP="00101B18">
      <w:pPr>
        <w:spacing w:line="240" w:lineRule="auto"/>
      </w:pPr>
      <w:r>
        <w:separator/>
      </w:r>
    </w:p>
  </w:endnote>
  <w:endnote w:type="continuationSeparator" w:id="0">
    <w:p w14:paraId="3C48FAAE" w14:textId="77777777" w:rsidR="0096262A" w:rsidRDefault="0096262A"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568A5" w14:paraId="48A72E4F" w14:textId="77777777" w:rsidTr="006568A5">
      <w:tc>
        <w:tcPr>
          <w:tcW w:w="4920" w:type="dxa"/>
          <w:shd w:val="clear" w:color="auto" w:fill="auto"/>
        </w:tcPr>
        <w:p w14:paraId="4D5EC016" w14:textId="7A2F28D7" w:rsidR="006568A5" w:rsidRPr="006568A5" w:rsidRDefault="006568A5" w:rsidP="006568A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26DBE">
            <w:rPr>
              <w:b w:val="0"/>
              <w:w w:val="103"/>
              <w:sz w:val="14"/>
            </w:rPr>
            <w:t>22-03349</w:t>
          </w:r>
          <w:r>
            <w:rPr>
              <w:b w:val="0"/>
              <w:w w:val="103"/>
              <w:sz w:val="14"/>
            </w:rPr>
            <w:fldChar w:fldCharType="end"/>
          </w:r>
        </w:p>
      </w:tc>
      <w:tc>
        <w:tcPr>
          <w:tcW w:w="4920" w:type="dxa"/>
          <w:shd w:val="clear" w:color="auto" w:fill="auto"/>
        </w:tcPr>
        <w:p w14:paraId="46FBE5AE" w14:textId="1AD96D93" w:rsidR="006568A5" w:rsidRPr="006568A5" w:rsidRDefault="006568A5" w:rsidP="006568A5">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132967D5" w14:textId="77777777" w:rsidR="006568A5" w:rsidRPr="006568A5" w:rsidRDefault="006568A5" w:rsidP="006568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568A5" w14:paraId="7AB7A60A" w14:textId="77777777" w:rsidTr="006568A5">
      <w:tc>
        <w:tcPr>
          <w:tcW w:w="4920" w:type="dxa"/>
          <w:shd w:val="clear" w:color="auto" w:fill="auto"/>
        </w:tcPr>
        <w:p w14:paraId="420427B9" w14:textId="6682756A" w:rsidR="006568A5" w:rsidRPr="006568A5" w:rsidRDefault="006568A5" w:rsidP="006568A5">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3474AA57" w14:textId="45762A46" w:rsidR="006568A5" w:rsidRPr="006568A5" w:rsidRDefault="006568A5" w:rsidP="006568A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26DBE">
            <w:rPr>
              <w:b w:val="0"/>
              <w:w w:val="103"/>
              <w:sz w:val="14"/>
            </w:rPr>
            <w:t>22-03349</w:t>
          </w:r>
          <w:r>
            <w:rPr>
              <w:b w:val="0"/>
              <w:w w:val="103"/>
              <w:sz w:val="14"/>
            </w:rPr>
            <w:fldChar w:fldCharType="end"/>
          </w:r>
        </w:p>
      </w:tc>
    </w:tr>
  </w:tbl>
  <w:p w14:paraId="13D5C590" w14:textId="77777777" w:rsidR="006568A5" w:rsidRPr="006568A5" w:rsidRDefault="006568A5" w:rsidP="006568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15E55" w14:textId="18921FF7" w:rsidR="006568A5" w:rsidRDefault="006568A5">
    <w:pPr>
      <w:pStyle w:val="Footer"/>
    </w:pPr>
    <w:r>
      <w:rPr>
        <w:noProof/>
      </w:rPr>
      <w:drawing>
        <wp:anchor distT="0" distB="0" distL="114300" distR="114300" simplePos="0" relativeHeight="251658240" behindDoc="0" locked="0" layoutInCell="1" allowOverlap="1" wp14:anchorId="39175B59" wp14:editId="41ECCD00">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6568A5" w14:paraId="1C3D6FF6" w14:textId="77777777" w:rsidTr="006568A5">
      <w:tc>
        <w:tcPr>
          <w:tcW w:w="3758" w:type="dxa"/>
        </w:tcPr>
        <w:p w14:paraId="348DDDC8" w14:textId="0883A3E0" w:rsidR="006568A5" w:rsidRDefault="006568A5" w:rsidP="006568A5">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526DBE">
            <w:rPr>
              <w:b w:val="0"/>
              <w:sz w:val="20"/>
            </w:rPr>
            <w:t>22-03349 (F)</w:t>
          </w:r>
          <w:r>
            <w:rPr>
              <w:b w:val="0"/>
              <w:sz w:val="20"/>
            </w:rPr>
            <w:fldChar w:fldCharType="end"/>
          </w:r>
          <w:r>
            <w:rPr>
              <w:b w:val="0"/>
              <w:sz w:val="20"/>
            </w:rPr>
            <w:t xml:space="preserve">    150322    </w:t>
          </w:r>
          <w:r w:rsidR="00FA5963">
            <w:rPr>
              <w:b w:val="0"/>
              <w:sz w:val="20"/>
            </w:rPr>
            <w:t>2</w:t>
          </w:r>
          <w:r>
            <w:rPr>
              <w:b w:val="0"/>
              <w:sz w:val="20"/>
            </w:rPr>
            <w:t>50322</w:t>
          </w:r>
        </w:p>
        <w:p w14:paraId="3B0B5AC3" w14:textId="57ABCA80" w:rsidR="006568A5" w:rsidRPr="006568A5" w:rsidRDefault="006568A5" w:rsidP="006568A5">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526DBE">
            <w:rPr>
              <w:rFonts w:ascii="Barcode 3 of 9 by request" w:hAnsi="Barcode 3 of 9 by request"/>
              <w:spacing w:val="0"/>
              <w:w w:val="100"/>
              <w:sz w:val="24"/>
            </w:rPr>
            <w:t>*2203349*</w:t>
          </w:r>
          <w:r>
            <w:rPr>
              <w:rFonts w:ascii="Barcode 3 of 9 by request" w:hAnsi="Barcode 3 of 9 by request"/>
              <w:spacing w:val="0"/>
              <w:w w:val="100"/>
              <w:sz w:val="24"/>
            </w:rPr>
            <w:fldChar w:fldCharType="end"/>
          </w:r>
        </w:p>
      </w:tc>
      <w:tc>
        <w:tcPr>
          <w:tcW w:w="4920" w:type="dxa"/>
        </w:tcPr>
        <w:p w14:paraId="3DA5C9D9" w14:textId="252B17D4" w:rsidR="006568A5" w:rsidRDefault="006568A5" w:rsidP="006568A5">
          <w:pPr>
            <w:pStyle w:val="Footer"/>
            <w:spacing w:line="240" w:lineRule="atLeast"/>
            <w:jc w:val="right"/>
            <w:rPr>
              <w:b w:val="0"/>
              <w:sz w:val="20"/>
            </w:rPr>
          </w:pPr>
          <w:r>
            <w:rPr>
              <w:b w:val="0"/>
              <w:noProof/>
              <w:sz w:val="20"/>
            </w:rPr>
            <w:drawing>
              <wp:inline distT="0" distB="0" distL="0" distR="0" wp14:anchorId="013DE6E7" wp14:editId="46C2C27D">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4ECECDA7" w14:textId="77777777" w:rsidR="006568A5" w:rsidRPr="006568A5" w:rsidRDefault="006568A5" w:rsidP="006568A5">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429CF" w14:textId="77777777" w:rsidR="0096262A" w:rsidRPr="00FA5963" w:rsidRDefault="0096262A" w:rsidP="00FA5963">
      <w:pPr>
        <w:pStyle w:val="Footer"/>
        <w:spacing w:after="80"/>
        <w:ind w:left="792"/>
        <w:rPr>
          <w:sz w:val="16"/>
        </w:rPr>
      </w:pPr>
      <w:r w:rsidRPr="00FA5963">
        <w:rPr>
          <w:sz w:val="16"/>
        </w:rPr>
        <w:t>__________________</w:t>
      </w:r>
    </w:p>
  </w:footnote>
  <w:footnote w:type="continuationSeparator" w:id="0">
    <w:p w14:paraId="6ED572BC" w14:textId="77777777" w:rsidR="0096262A" w:rsidRPr="00FA5963" w:rsidRDefault="0096262A" w:rsidP="00FA5963">
      <w:pPr>
        <w:pStyle w:val="Footer"/>
        <w:spacing w:after="80"/>
        <w:ind w:left="792"/>
        <w:rPr>
          <w:sz w:val="16"/>
        </w:rPr>
      </w:pPr>
      <w:r w:rsidRPr="00FA5963">
        <w:rPr>
          <w:sz w:val="16"/>
        </w:rPr>
        <w:t>__________________</w:t>
      </w:r>
    </w:p>
  </w:footnote>
  <w:footnote w:id="1">
    <w:p w14:paraId="4717D3A2" w14:textId="77777777" w:rsidR="00FA5963" w:rsidRPr="00FA5963" w:rsidRDefault="00FA5963" w:rsidP="00FA5963">
      <w:pPr>
        <w:pStyle w:val="FootnoteText"/>
        <w:tabs>
          <w:tab w:val="right" w:pos="1195"/>
          <w:tab w:val="left" w:pos="1267"/>
          <w:tab w:val="left" w:pos="1742"/>
          <w:tab w:val="left" w:pos="2218"/>
          <w:tab w:val="left" w:pos="2693"/>
        </w:tabs>
        <w:ind w:left="1267" w:right="1260" w:hanging="576"/>
        <w:rPr>
          <w:lang w:val="fr-FR"/>
        </w:rPr>
      </w:pPr>
      <w:r>
        <w:rPr>
          <w:lang w:val="fr-FR"/>
        </w:rPr>
        <w:tab/>
      </w:r>
      <w:r w:rsidRPr="00FA5963">
        <w:rPr>
          <w:lang w:val="fr-FR"/>
        </w:rPr>
        <w:t>*</w:t>
      </w:r>
      <w:r w:rsidRPr="00FA5963">
        <w:rPr>
          <w:lang w:val="fr-FR"/>
        </w:rPr>
        <w:tab/>
        <w:t xml:space="preserve">Adoptée par le groupe de travail de présession le </w:t>
      </w:r>
      <w:r w:rsidRPr="000B2550">
        <w:rPr>
          <w:lang w:val="fr-FR"/>
        </w:rPr>
        <w:t>1</w:t>
      </w:r>
      <w:r w:rsidRPr="00FA5963">
        <w:rPr>
          <w:vertAlign w:val="superscript"/>
          <w:lang w:val="fr-FR"/>
        </w:rPr>
        <w:t>er</w:t>
      </w:r>
      <w:r w:rsidRPr="00FA5963">
        <w:rPr>
          <w:lang w:val="fr-FR"/>
        </w:rPr>
        <w:t xml:space="preserve"> mars </w:t>
      </w:r>
      <w:r w:rsidRPr="000B2550">
        <w:rPr>
          <w:lang w:val="fr-FR"/>
        </w:rPr>
        <w:t>2022</w:t>
      </w:r>
      <w:r w:rsidRPr="00FA5963">
        <w:rPr>
          <w:lang w:val="fr-FR"/>
        </w:rPr>
        <w:t>.</w:t>
      </w:r>
    </w:p>
  </w:footnote>
  <w:footnote w:id="2">
    <w:p w14:paraId="781EC271" w14:textId="1882CB2D" w:rsidR="00FA5963" w:rsidRPr="00FA5963" w:rsidRDefault="00FA5963" w:rsidP="00FA5963">
      <w:pPr>
        <w:pStyle w:val="FootnoteText"/>
        <w:tabs>
          <w:tab w:val="right" w:pos="1195"/>
          <w:tab w:val="left" w:pos="1267"/>
          <w:tab w:val="left" w:pos="1742"/>
          <w:tab w:val="left" w:pos="2218"/>
          <w:tab w:val="left" w:pos="2693"/>
        </w:tabs>
        <w:ind w:left="1267" w:right="1260" w:hanging="576"/>
        <w:rPr>
          <w:lang w:val="fr-FR"/>
        </w:rPr>
      </w:pPr>
      <w:r>
        <w:rPr>
          <w:lang w:val="fr-FR"/>
        </w:rPr>
        <w:tab/>
      </w:r>
      <w:r w:rsidRPr="000B2550">
        <w:rPr>
          <w:rStyle w:val="FootnoteReference"/>
          <w:spacing w:val="4"/>
          <w:lang w:val="fr-FR"/>
        </w:rPr>
        <w:footnoteRef/>
      </w:r>
      <w:r>
        <w:rPr>
          <w:lang w:val="fr-FR"/>
        </w:rPr>
        <w:tab/>
      </w:r>
      <w:r w:rsidRPr="00FA5963">
        <w:rPr>
          <w:lang w:val="fr-FR"/>
        </w:rPr>
        <w:t>Sauf indication contraire, les numéros de paragraphe renvoient au huitième rapport périodique soumis par l’État partie (</w:t>
      </w:r>
      <w:hyperlink r:id="rId1" w:history="1">
        <w:r w:rsidRPr="000B2550">
          <w:rPr>
            <w:rStyle w:val="Hyperlink"/>
            <w:lang w:val="fr-FR"/>
          </w:rPr>
          <w:t>CEDAW/C/MWI/8</w:t>
        </w:r>
      </w:hyperlink>
      <w:r w:rsidRPr="00FA5963">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6568A5" w14:paraId="1EEA3D6F" w14:textId="77777777" w:rsidTr="006568A5">
      <w:trPr>
        <w:trHeight w:hRule="exact" w:val="864"/>
      </w:trPr>
      <w:tc>
        <w:tcPr>
          <w:tcW w:w="4920" w:type="dxa"/>
          <w:shd w:val="clear" w:color="auto" w:fill="auto"/>
          <w:vAlign w:val="bottom"/>
        </w:tcPr>
        <w:p w14:paraId="3DA79BF4" w14:textId="7355B642" w:rsidR="006568A5" w:rsidRPr="006568A5" w:rsidRDefault="006568A5" w:rsidP="006568A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26DBE">
            <w:rPr>
              <w:b/>
              <w:color w:val="000000"/>
            </w:rPr>
            <w:t>CEDAW/C/MWI/Q/8</w:t>
          </w:r>
          <w:r>
            <w:rPr>
              <w:b/>
              <w:color w:val="000000"/>
            </w:rPr>
            <w:fldChar w:fldCharType="end"/>
          </w:r>
        </w:p>
      </w:tc>
      <w:tc>
        <w:tcPr>
          <w:tcW w:w="4920" w:type="dxa"/>
          <w:shd w:val="clear" w:color="auto" w:fill="auto"/>
          <w:vAlign w:val="bottom"/>
        </w:tcPr>
        <w:p w14:paraId="6216C757" w14:textId="77777777" w:rsidR="006568A5" w:rsidRDefault="006568A5" w:rsidP="006568A5">
          <w:pPr>
            <w:pStyle w:val="Header"/>
          </w:pPr>
        </w:p>
      </w:tc>
    </w:tr>
  </w:tbl>
  <w:p w14:paraId="702847A9" w14:textId="77777777" w:rsidR="006568A5" w:rsidRPr="006568A5" w:rsidRDefault="006568A5" w:rsidP="006568A5">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6568A5" w14:paraId="32A7F2E4" w14:textId="77777777" w:rsidTr="006568A5">
      <w:trPr>
        <w:trHeight w:hRule="exact" w:val="864"/>
      </w:trPr>
      <w:tc>
        <w:tcPr>
          <w:tcW w:w="4920" w:type="dxa"/>
          <w:shd w:val="clear" w:color="auto" w:fill="auto"/>
          <w:vAlign w:val="bottom"/>
        </w:tcPr>
        <w:p w14:paraId="5A2587A2" w14:textId="77777777" w:rsidR="006568A5" w:rsidRDefault="006568A5" w:rsidP="006568A5">
          <w:pPr>
            <w:pStyle w:val="Header"/>
          </w:pPr>
        </w:p>
      </w:tc>
      <w:tc>
        <w:tcPr>
          <w:tcW w:w="4920" w:type="dxa"/>
          <w:shd w:val="clear" w:color="auto" w:fill="auto"/>
          <w:vAlign w:val="bottom"/>
        </w:tcPr>
        <w:p w14:paraId="6CD14098" w14:textId="763FE364" w:rsidR="006568A5" w:rsidRPr="006568A5" w:rsidRDefault="006568A5" w:rsidP="006568A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26DBE">
            <w:rPr>
              <w:b/>
              <w:color w:val="000000"/>
            </w:rPr>
            <w:t>CEDAW/C/MWI/Q/8</w:t>
          </w:r>
          <w:r>
            <w:rPr>
              <w:b/>
              <w:color w:val="000000"/>
            </w:rPr>
            <w:fldChar w:fldCharType="end"/>
          </w:r>
        </w:p>
      </w:tc>
    </w:tr>
  </w:tbl>
  <w:p w14:paraId="7AF61E44" w14:textId="77777777" w:rsidR="006568A5" w:rsidRPr="006568A5" w:rsidRDefault="006568A5" w:rsidP="006568A5">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6568A5" w14:paraId="49B7FAAE" w14:textId="77777777" w:rsidTr="006568A5">
      <w:trPr>
        <w:trHeight w:hRule="exact" w:val="864"/>
      </w:trPr>
      <w:tc>
        <w:tcPr>
          <w:tcW w:w="1267" w:type="dxa"/>
          <w:tcBorders>
            <w:bottom w:val="single" w:sz="4" w:space="0" w:color="auto"/>
          </w:tcBorders>
          <w:shd w:val="clear" w:color="auto" w:fill="auto"/>
          <w:vAlign w:val="bottom"/>
        </w:tcPr>
        <w:p w14:paraId="2EBA4B83" w14:textId="77777777" w:rsidR="006568A5" w:rsidRDefault="006568A5" w:rsidP="006568A5">
          <w:pPr>
            <w:pStyle w:val="Header"/>
            <w:spacing w:after="120"/>
          </w:pPr>
        </w:p>
      </w:tc>
      <w:tc>
        <w:tcPr>
          <w:tcW w:w="2059" w:type="dxa"/>
          <w:tcBorders>
            <w:bottom w:val="single" w:sz="4" w:space="0" w:color="auto"/>
          </w:tcBorders>
          <w:shd w:val="clear" w:color="auto" w:fill="auto"/>
          <w:vAlign w:val="bottom"/>
        </w:tcPr>
        <w:p w14:paraId="3BEFB88E" w14:textId="1BA0B481" w:rsidR="006568A5" w:rsidRPr="006568A5" w:rsidRDefault="006568A5" w:rsidP="006568A5">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768802DD" w14:textId="77777777" w:rsidR="006568A5" w:rsidRDefault="006568A5" w:rsidP="006568A5">
          <w:pPr>
            <w:pStyle w:val="Header"/>
            <w:spacing w:after="120"/>
          </w:pPr>
        </w:p>
      </w:tc>
      <w:tc>
        <w:tcPr>
          <w:tcW w:w="6466" w:type="dxa"/>
          <w:gridSpan w:val="3"/>
          <w:tcBorders>
            <w:bottom w:val="single" w:sz="4" w:space="0" w:color="auto"/>
          </w:tcBorders>
          <w:shd w:val="clear" w:color="auto" w:fill="auto"/>
          <w:vAlign w:val="bottom"/>
        </w:tcPr>
        <w:p w14:paraId="5AE2CBF9" w14:textId="5B28DE51" w:rsidR="006568A5" w:rsidRPr="006568A5" w:rsidRDefault="006568A5" w:rsidP="006568A5">
          <w:pPr>
            <w:spacing w:after="80" w:line="240" w:lineRule="auto"/>
            <w:jc w:val="right"/>
            <w:rPr>
              <w:position w:val="-4"/>
            </w:rPr>
          </w:pPr>
          <w:r>
            <w:rPr>
              <w:position w:val="-4"/>
              <w:sz w:val="40"/>
            </w:rPr>
            <w:t>CEDAW</w:t>
          </w:r>
          <w:r>
            <w:rPr>
              <w:position w:val="-4"/>
            </w:rPr>
            <w:t>/C/MWI/Q/8</w:t>
          </w:r>
        </w:p>
      </w:tc>
    </w:tr>
    <w:tr w:rsidR="006568A5" w:rsidRPr="006568A5" w14:paraId="264762A9" w14:textId="77777777" w:rsidTr="006568A5">
      <w:trPr>
        <w:trHeight w:hRule="exact" w:val="2880"/>
      </w:trPr>
      <w:tc>
        <w:tcPr>
          <w:tcW w:w="1267" w:type="dxa"/>
          <w:tcBorders>
            <w:top w:val="single" w:sz="4" w:space="0" w:color="auto"/>
            <w:bottom w:val="single" w:sz="12" w:space="0" w:color="auto"/>
          </w:tcBorders>
          <w:shd w:val="clear" w:color="auto" w:fill="auto"/>
        </w:tcPr>
        <w:p w14:paraId="3218BC47" w14:textId="239BE6B2" w:rsidR="006568A5" w:rsidRPr="006568A5" w:rsidRDefault="006568A5" w:rsidP="006568A5">
          <w:pPr>
            <w:pStyle w:val="Header"/>
            <w:spacing w:before="120" w:line="240" w:lineRule="auto"/>
            <w:ind w:left="-72"/>
            <w:jc w:val="center"/>
          </w:pPr>
          <w:r>
            <w:t xml:space="preserve">  </w:t>
          </w:r>
          <w:r>
            <w:rPr>
              <w:noProof/>
            </w:rPr>
            <w:drawing>
              <wp:inline distT="0" distB="0" distL="0" distR="0" wp14:anchorId="2EEE01EC" wp14:editId="6EFECBD8">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9FBCC2D" w14:textId="3EDA7234" w:rsidR="006568A5" w:rsidRPr="006568A5" w:rsidRDefault="006568A5" w:rsidP="006568A5">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des femmes</w:t>
          </w:r>
        </w:p>
      </w:tc>
      <w:tc>
        <w:tcPr>
          <w:tcW w:w="245" w:type="dxa"/>
          <w:tcBorders>
            <w:top w:val="single" w:sz="4" w:space="0" w:color="auto"/>
            <w:bottom w:val="single" w:sz="12" w:space="0" w:color="auto"/>
          </w:tcBorders>
          <w:shd w:val="clear" w:color="auto" w:fill="auto"/>
        </w:tcPr>
        <w:p w14:paraId="4BD4D920" w14:textId="77777777" w:rsidR="006568A5" w:rsidRPr="00FA5963" w:rsidRDefault="006568A5" w:rsidP="006568A5">
          <w:pPr>
            <w:pStyle w:val="Header"/>
            <w:spacing w:before="109"/>
            <w:rPr>
              <w:lang w:val="fr-FR"/>
            </w:rPr>
          </w:pPr>
        </w:p>
      </w:tc>
      <w:tc>
        <w:tcPr>
          <w:tcW w:w="3110" w:type="dxa"/>
          <w:tcBorders>
            <w:top w:val="single" w:sz="4" w:space="0" w:color="auto"/>
            <w:bottom w:val="single" w:sz="12" w:space="0" w:color="auto"/>
          </w:tcBorders>
          <w:shd w:val="clear" w:color="auto" w:fill="auto"/>
        </w:tcPr>
        <w:p w14:paraId="180BB832" w14:textId="128F5EA0" w:rsidR="006568A5" w:rsidRPr="00FA5963" w:rsidRDefault="006568A5" w:rsidP="006568A5">
          <w:pPr>
            <w:pStyle w:val="Distribution"/>
            <w:rPr>
              <w:color w:val="000000"/>
              <w:lang w:val="fr-FR"/>
            </w:rPr>
          </w:pPr>
          <w:r w:rsidRPr="00FA5963">
            <w:rPr>
              <w:color w:val="000000"/>
              <w:lang w:val="fr-FR"/>
            </w:rPr>
            <w:t xml:space="preserve">Distr. </w:t>
          </w:r>
          <w:r w:rsidR="00FA5963">
            <w:rPr>
              <w:color w:val="000000"/>
              <w:lang w:val="fr-FR"/>
            </w:rPr>
            <w:t>g</w:t>
          </w:r>
          <w:r w:rsidR="00FA5963" w:rsidRPr="00477D49">
            <w:rPr>
              <w:color w:val="000000"/>
              <w:lang w:val="fr-FR"/>
            </w:rPr>
            <w:t>énérale</w:t>
          </w:r>
        </w:p>
        <w:p w14:paraId="41EAF87B" w14:textId="77777777" w:rsidR="006568A5" w:rsidRPr="00FA5963" w:rsidRDefault="006568A5" w:rsidP="006568A5">
          <w:pPr>
            <w:pStyle w:val="Publication"/>
            <w:rPr>
              <w:color w:val="000000"/>
              <w:lang w:val="fr-FR"/>
            </w:rPr>
          </w:pPr>
          <w:r w:rsidRPr="00FA5963">
            <w:rPr>
              <w:color w:val="000000"/>
              <w:lang w:val="fr-FR"/>
            </w:rPr>
            <w:t>7 mars 2022</w:t>
          </w:r>
        </w:p>
        <w:p w14:paraId="27ABCC54" w14:textId="77777777" w:rsidR="006568A5" w:rsidRPr="00FA5963" w:rsidRDefault="006568A5" w:rsidP="006568A5">
          <w:pPr>
            <w:rPr>
              <w:lang w:val="fr-FR"/>
            </w:rPr>
          </w:pPr>
          <w:r w:rsidRPr="00FA5963">
            <w:rPr>
              <w:lang w:val="fr-FR"/>
            </w:rPr>
            <w:t>Français</w:t>
          </w:r>
        </w:p>
        <w:p w14:paraId="3078C309" w14:textId="77777777" w:rsidR="006568A5" w:rsidRDefault="006568A5" w:rsidP="006568A5">
          <w:pPr>
            <w:pStyle w:val="Original"/>
            <w:rPr>
              <w:color w:val="000000"/>
              <w:lang w:val="fr-FR"/>
            </w:rPr>
          </w:pPr>
          <w:r w:rsidRPr="00FA5963">
            <w:rPr>
              <w:color w:val="000000"/>
              <w:lang w:val="fr-FR"/>
            </w:rPr>
            <w:t>Original</w:t>
          </w:r>
          <w:r w:rsidR="00FA5963">
            <w:rPr>
              <w:color w:val="000000"/>
              <w:lang w:val="fr-FR"/>
            </w:rPr>
            <w:t> </w:t>
          </w:r>
          <w:r w:rsidRPr="00FA5963">
            <w:rPr>
              <w:color w:val="000000"/>
              <w:lang w:val="fr-FR"/>
            </w:rPr>
            <w:t>: anglais</w:t>
          </w:r>
        </w:p>
        <w:p w14:paraId="3F9A875A" w14:textId="181B4679" w:rsidR="00FA5963" w:rsidRPr="00FA5963" w:rsidRDefault="00FA5963" w:rsidP="00FA5963">
          <w:pPr>
            <w:rPr>
              <w:lang w:val="fr-FR"/>
            </w:rPr>
          </w:pPr>
          <w:r w:rsidRPr="00FA5963">
            <w:rPr>
              <w:lang w:val="fr-FR"/>
            </w:rPr>
            <w:t>Anglais, espagnol et français seulement</w:t>
          </w:r>
        </w:p>
      </w:tc>
    </w:tr>
  </w:tbl>
  <w:p w14:paraId="0EC80BAF" w14:textId="77777777" w:rsidR="006568A5" w:rsidRPr="00FA5963" w:rsidRDefault="006568A5" w:rsidP="006568A5">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290"/>
    <w:multiLevelType w:val="hybridMultilevel"/>
    <w:tmpl w:val="3FAC075E"/>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64D5B27"/>
    <w:multiLevelType w:val="hybridMultilevel"/>
    <w:tmpl w:val="DF344F58"/>
    <w:lvl w:ilvl="0" w:tplc="63729FBC">
      <w:start w:val="1"/>
      <w:numFmt w:val="decimal"/>
      <w:lvlText w:val="%1."/>
      <w:lvlJc w:val="left"/>
      <w:pPr>
        <w:ind w:left="1854" w:hanging="360"/>
      </w:pPr>
      <w:rPr>
        <w:rFonts w:ascii="Times New Roman" w:hAnsi="Times New Roman" w:cs="Times New Roman"/>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9413949"/>
    <w:multiLevelType w:val="singleLevel"/>
    <w:tmpl w:val="5C3A7BBA"/>
    <w:lvl w:ilvl="0">
      <w:start w:val="10"/>
      <w:numFmt w:val="decimal"/>
      <w:lvlRestart w:val="0"/>
      <w:lvlText w:val="%1."/>
      <w:lvlJc w:val="left"/>
      <w:pPr>
        <w:tabs>
          <w:tab w:val="num" w:pos="1742"/>
        </w:tabs>
        <w:ind w:left="1267" w:firstLine="0"/>
      </w:pPr>
      <w:rPr>
        <w:w w:val="100"/>
      </w:rPr>
    </w:lvl>
  </w:abstractNum>
  <w:abstractNum w:abstractNumId="3"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66F6F"/>
    <w:multiLevelType w:val="singleLevel"/>
    <w:tmpl w:val="75F00418"/>
    <w:lvl w:ilvl="0">
      <w:start w:val="1"/>
      <w:numFmt w:val="decimal"/>
      <w:lvlRestart w:val="0"/>
      <w:lvlText w:val="%1."/>
      <w:lvlJc w:val="left"/>
      <w:pPr>
        <w:tabs>
          <w:tab w:val="num" w:pos="475"/>
        </w:tabs>
        <w:ind w:left="0" w:firstLine="0"/>
      </w:pPr>
      <w:rPr>
        <w:rFonts w:ascii="Times New Roman" w:hAnsi="Times New Roman" w:cs="Times New Roman"/>
        <w:b w:val="0"/>
        <w:w w:val="100"/>
        <w:sz w:val="20"/>
      </w:rPr>
    </w:lvl>
  </w:abstractNum>
  <w:abstractNum w:abstractNumId="6" w15:restartNumberingAfterBreak="0">
    <w:nsid w:val="387C3B72"/>
    <w:multiLevelType w:val="singleLevel"/>
    <w:tmpl w:val="74740E1C"/>
    <w:lvl w:ilvl="0">
      <w:start w:val="2"/>
      <w:numFmt w:val="decimal"/>
      <w:lvlRestart w:val="0"/>
      <w:lvlText w:val="%1."/>
      <w:lvlJc w:val="left"/>
      <w:pPr>
        <w:tabs>
          <w:tab w:val="num" w:pos="1742"/>
        </w:tabs>
        <w:ind w:left="1267" w:firstLine="0"/>
      </w:pPr>
      <w:rPr>
        <w:w w:val="100"/>
      </w:rPr>
    </w:lvl>
  </w:abstractNum>
  <w:abstractNum w:abstractNumId="7" w15:restartNumberingAfterBreak="0">
    <w:nsid w:val="3BE802CE"/>
    <w:multiLevelType w:val="singleLevel"/>
    <w:tmpl w:val="74740E1C"/>
    <w:lvl w:ilvl="0">
      <w:start w:val="2"/>
      <w:numFmt w:val="decimal"/>
      <w:lvlRestart w:val="0"/>
      <w:lvlText w:val="%1."/>
      <w:lvlJc w:val="left"/>
      <w:pPr>
        <w:tabs>
          <w:tab w:val="num" w:pos="1742"/>
        </w:tabs>
        <w:ind w:left="1267" w:firstLine="0"/>
      </w:pPr>
      <w:rPr>
        <w:w w:val="100"/>
      </w:rPr>
    </w:lvl>
  </w:abstractNum>
  <w:abstractNum w:abstractNumId="8"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6726CA"/>
    <w:multiLevelType w:val="singleLevel"/>
    <w:tmpl w:val="4D5EA27C"/>
    <w:lvl w:ilvl="0">
      <w:start w:val="1"/>
      <w:numFmt w:val="decimal"/>
      <w:lvlRestart w:val="0"/>
      <w:lvlText w:val="%1."/>
      <w:lvlJc w:val="left"/>
      <w:pPr>
        <w:tabs>
          <w:tab w:val="num" w:pos="475"/>
        </w:tabs>
        <w:ind w:left="0" w:firstLine="0"/>
      </w:pPr>
      <w:rPr>
        <w:rFonts w:ascii="Times New Roman" w:hAnsi="Times New Roman" w:cs="Times New Roman"/>
        <w:b w:val="0"/>
        <w:w w:val="100"/>
        <w:sz w:val="20"/>
      </w:rPr>
    </w:lvl>
  </w:abstractNum>
  <w:abstractNum w:abstractNumId="10" w15:restartNumberingAfterBreak="0">
    <w:nsid w:val="645A0CAE"/>
    <w:multiLevelType w:val="singleLevel"/>
    <w:tmpl w:val="009A53E2"/>
    <w:lvl w:ilvl="0">
      <w:start w:val="2"/>
      <w:numFmt w:val="decimal"/>
      <w:lvlRestart w:val="0"/>
      <w:lvlText w:val="%1."/>
      <w:lvlJc w:val="left"/>
      <w:pPr>
        <w:tabs>
          <w:tab w:val="num" w:pos="1742"/>
        </w:tabs>
        <w:ind w:left="1267" w:firstLine="0"/>
      </w:pPr>
      <w:rPr>
        <w:w w:val="100"/>
      </w:rPr>
    </w:lvl>
  </w:abstractNum>
  <w:abstractNum w:abstractNumId="11" w15:restartNumberingAfterBreak="0">
    <w:nsid w:val="766A7F21"/>
    <w:multiLevelType w:val="singleLevel"/>
    <w:tmpl w:val="5C3A7BBA"/>
    <w:lvl w:ilvl="0">
      <w:start w:val="10"/>
      <w:numFmt w:val="decimal"/>
      <w:lvlRestart w:val="0"/>
      <w:lvlText w:val="%1."/>
      <w:lvlJc w:val="left"/>
      <w:pPr>
        <w:tabs>
          <w:tab w:val="num" w:pos="1742"/>
        </w:tabs>
        <w:ind w:left="1267" w:firstLine="0"/>
      </w:pPr>
      <w:rPr>
        <w:w w:val="100"/>
      </w:rPr>
    </w:lvl>
  </w:abstractNum>
  <w:num w:numId="1">
    <w:abstractNumId w:val="4"/>
  </w:num>
  <w:num w:numId="2">
    <w:abstractNumId w:val="8"/>
  </w:num>
  <w:num w:numId="3">
    <w:abstractNumId w:val="0"/>
  </w:num>
  <w:num w:numId="4">
    <w:abstractNumId w:val="3"/>
  </w:num>
  <w:num w:numId="5">
    <w:abstractNumId w:val="4"/>
  </w:num>
  <w:num w:numId="6">
    <w:abstractNumId w:val="8"/>
  </w:num>
  <w:num w:numId="7">
    <w:abstractNumId w:val="0"/>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8"/>
  </w:num>
  <w:num w:numId="19">
    <w:abstractNumId w:val="0"/>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1"/>
  </w:num>
  <w:num w:numId="30">
    <w:abstractNumId w:val="9"/>
  </w:num>
  <w:num w:numId="31">
    <w:abstractNumId w:val="5"/>
  </w:num>
  <w:num w:numId="32">
    <w:abstractNumId w:val="5"/>
    <w:lvlOverride w:ilvl="0">
      <w:lvl w:ilvl="0">
        <w:start w:val="1"/>
        <w:numFmt w:val="decimal"/>
        <w:lvlRestart w:val="0"/>
        <w:lvlText w:val="%1."/>
        <w:lvlJc w:val="left"/>
        <w:pPr>
          <w:tabs>
            <w:tab w:val="num" w:pos="475"/>
          </w:tabs>
          <w:ind w:left="0" w:firstLine="0"/>
        </w:pPr>
        <w:rPr>
          <w:rFonts w:ascii="Times New Roman" w:hAnsi="Times New Roman" w:cs="Times New Roman"/>
          <w:b w:val="0"/>
          <w:w w:val="100"/>
          <w:sz w:val="20"/>
        </w:rPr>
      </w:lvl>
    </w:lvlOverride>
  </w:num>
  <w:num w:numId="33">
    <w:abstractNumId w:val="10"/>
  </w:num>
  <w:num w:numId="34">
    <w:abstractNumId w:val="10"/>
    <w:lvlOverride w:ilvl="0">
      <w:lvl w:ilvl="0">
        <w:start w:val="2"/>
        <w:numFmt w:val="decimal"/>
        <w:lvlRestart w:val="0"/>
        <w:lvlText w:val="%1."/>
        <w:lvlJc w:val="left"/>
        <w:pPr>
          <w:tabs>
            <w:tab w:val="num" w:pos="1742"/>
          </w:tabs>
          <w:ind w:left="1267" w:firstLine="0"/>
        </w:pPr>
        <w:rPr>
          <w:w w:val="100"/>
        </w:rPr>
      </w:lvl>
    </w:lvlOverride>
  </w:num>
  <w:num w:numId="35">
    <w:abstractNumId w:val="10"/>
    <w:lvlOverride w:ilvl="0">
      <w:lvl w:ilvl="0">
        <w:start w:val="2"/>
        <w:numFmt w:val="decimal"/>
        <w:lvlRestart w:val="0"/>
        <w:lvlText w:val="%1."/>
        <w:lvlJc w:val="left"/>
        <w:pPr>
          <w:tabs>
            <w:tab w:val="num" w:pos="1742"/>
          </w:tabs>
          <w:ind w:left="1267" w:firstLine="0"/>
        </w:pPr>
        <w:rPr>
          <w:w w:val="100"/>
        </w:rPr>
      </w:lvl>
    </w:lvlOverride>
  </w:num>
  <w:num w:numId="36">
    <w:abstractNumId w:val="10"/>
    <w:lvlOverride w:ilvl="0">
      <w:lvl w:ilvl="0">
        <w:start w:val="2"/>
        <w:numFmt w:val="decimal"/>
        <w:lvlRestart w:val="0"/>
        <w:lvlText w:val="%1."/>
        <w:lvlJc w:val="left"/>
        <w:pPr>
          <w:tabs>
            <w:tab w:val="num" w:pos="1742"/>
          </w:tabs>
          <w:ind w:left="1267" w:firstLine="0"/>
        </w:pPr>
        <w:rPr>
          <w:w w:val="100"/>
        </w:rPr>
      </w:lvl>
    </w:lvlOverride>
  </w:num>
  <w:num w:numId="37">
    <w:abstractNumId w:val="10"/>
    <w:lvlOverride w:ilvl="0">
      <w:lvl w:ilvl="0">
        <w:start w:val="2"/>
        <w:numFmt w:val="decimal"/>
        <w:lvlRestart w:val="0"/>
        <w:lvlText w:val="%1."/>
        <w:lvlJc w:val="left"/>
        <w:pPr>
          <w:tabs>
            <w:tab w:val="num" w:pos="1742"/>
          </w:tabs>
          <w:ind w:left="1267" w:firstLine="0"/>
        </w:pPr>
        <w:rPr>
          <w:rFonts w:ascii="Times New Roman" w:hAnsi="Times New Roman" w:cs="Times New Roman"/>
          <w:b w:val="0"/>
          <w:w w:val="100"/>
          <w:sz w:val="20"/>
        </w:rPr>
      </w:lvl>
    </w:lvlOverride>
  </w:num>
  <w:num w:numId="38">
    <w:abstractNumId w:val="10"/>
    <w:lvlOverride w:ilvl="0">
      <w:lvl w:ilvl="0">
        <w:start w:val="2"/>
        <w:numFmt w:val="decimal"/>
        <w:lvlRestart w:val="0"/>
        <w:lvlText w:val="%1."/>
        <w:lvlJc w:val="left"/>
        <w:pPr>
          <w:tabs>
            <w:tab w:val="num" w:pos="1742"/>
          </w:tabs>
          <w:ind w:left="1267" w:firstLine="0"/>
        </w:pPr>
        <w:rPr>
          <w:rFonts w:ascii="Times New Roman" w:hAnsi="Times New Roman" w:cs="Times New Roman"/>
          <w:b w:val="0"/>
          <w:w w:val="100"/>
          <w:sz w:val="20"/>
        </w:rPr>
      </w:lvl>
    </w:lvlOverride>
  </w:num>
  <w:num w:numId="39">
    <w:abstractNumId w:val="7"/>
  </w:num>
  <w:num w:numId="40">
    <w:abstractNumId w:val="6"/>
  </w:num>
  <w:num w:numId="41">
    <w:abstractNumId w:val="2"/>
  </w:num>
  <w:num w:numId="42">
    <w:abstractNumId w:val="11"/>
  </w:num>
  <w:num w:numId="43">
    <w:abstractNumId w:val="11"/>
    <w:lvlOverride w:ilvl="0">
      <w:lvl w:ilvl="0">
        <w:start w:val="10"/>
        <w:numFmt w:val="decimal"/>
        <w:lvlRestart w:val="0"/>
        <w:lvlText w:val="%1."/>
        <w:lvlJc w:val="left"/>
        <w:pPr>
          <w:tabs>
            <w:tab w:val="num" w:pos="1742"/>
          </w:tabs>
          <w:ind w:left="1267" w:firstLine="0"/>
        </w:pPr>
        <w:rPr>
          <w:w w:val="100"/>
        </w:rPr>
      </w:lvl>
    </w:lvlOverride>
  </w:num>
  <w:num w:numId="44">
    <w:abstractNumId w:val="11"/>
    <w:lvlOverride w:ilvl="0">
      <w:lvl w:ilvl="0">
        <w:start w:val="10"/>
        <w:numFmt w:val="decimal"/>
        <w:lvlRestart w:val="0"/>
        <w:lvlText w:val="%1."/>
        <w:lvlJc w:val="left"/>
        <w:pPr>
          <w:tabs>
            <w:tab w:val="num" w:pos="1742"/>
          </w:tabs>
          <w:ind w:left="1267" w:firstLine="0"/>
        </w:pPr>
        <w:rPr>
          <w:w w:val="100"/>
        </w:rPr>
      </w:lvl>
    </w:lvlOverride>
  </w:num>
  <w:num w:numId="45">
    <w:abstractNumId w:val="11"/>
    <w:lvlOverride w:ilvl="0">
      <w:lvl w:ilvl="0">
        <w:start w:val="10"/>
        <w:numFmt w:val="decimal"/>
        <w:lvlRestart w:val="0"/>
        <w:lvlText w:val="%1."/>
        <w:lvlJc w:val="left"/>
        <w:pPr>
          <w:tabs>
            <w:tab w:val="num" w:pos="1742"/>
          </w:tabs>
          <w:ind w:left="1267" w:firstLine="0"/>
        </w:pPr>
        <w:rPr>
          <w:w w:val="100"/>
        </w:rPr>
      </w:lvl>
    </w:lvlOverride>
  </w:num>
  <w:num w:numId="46">
    <w:abstractNumId w:val="11"/>
    <w:lvlOverride w:ilvl="0">
      <w:lvl w:ilvl="0">
        <w:start w:val="10"/>
        <w:numFmt w:val="decimal"/>
        <w:lvlRestart w:val="0"/>
        <w:lvlText w:val="%1."/>
        <w:lvlJc w:val="left"/>
        <w:pPr>
          <w:tabs>
            <w:tab w:val="num" w:pos="1742"/>
          </w:tabs>
          <w:ind w:left="1267" w:firstLine="0"/>
        </w:pPr>
        <w:rPr>
          <w:w w:val="100"/>
        </w:rPr>
      </w:lvl>
    </w:lvlOverride>
  </w:num>
  <w:num w:numId="47">
    <w:abstractNumId w:val="11"/>
    <w:lvlOverride w:ilvl="0">
      <w:lvl w:ilvl="0">
        <w:start w:val="10"/>
        <w:numFmt w:val="decimal"/>
        <w:lvlRestart w:val="0"/>
        <w:lvlText w:val="%1."/>
        <w:lvlJc w:val="left"/>
        <w:pPr>
          <w:tabs>
            <w:tab w:val="num" w:pos="1742"/>
          </w:tabs>
          <w:ind w:left="1267" w:firstLine="0"/>
        </w:pPr>
        <w:rPr>
          <w:w w:val="100"/>
        </w:rPr>
      </w:lvl>
    </w:lvlOverride>
  </w:num>
  <w:num w:numId="48">
    <w:abstractNumId w:val="11"/>
    <w:lvlOverride w:ilvl="0">
      <w:lvl w:ilvl="0">
        <w:start w:val="10"/>
        <w:numFmt w:val="decimal"/>
        <w:lvlRestart w:val="0"/>
        <w:lvlText w:val="%1."/>
        <w:lvlJc w:val="left"/>
        <w:pPr>
          <w:tabs>
            <w:tab w:val="num" w:pos="1742"/>
          </w:tabs>
          <w:ind w:left="1267" w:firstLine="0"/>
        </w:pPr>
        <w:rPr>
          <w:w w:val="100"/>
        </w:rPr>
      </w:lvl>
    </w:lvlOverride>
  </w:num>
  <w:num w:numId="49">
    <w:abstractNumId w:val="11"/>
    <w:lvlOverride w:ilvl="0">
      <w:lvl w:ilvl="0">
        <w:start w:val="10"/>
        <w:numFmt w:val="decimal"/>
        <w:lvlRestart w:val="0"/>
        <w:lvlText w:val="%1."/>
        <w:lvlJc w:val="left"/>
        <w:pPr>
          <w:tabs>
            <w:tab w:val="num" w:pos="1742"/>
          </w:tabs>
          <w:ind w:left="1267" w:firstLine="0"/>
        </w:pPr>
        <w:rPr>
          <w:w w:val="100"/>
        </w:rPr>
      </w:lvl>
    </w:lvlOverride>
  </w:num>
  <w:num w:numId="50">
    <w:abstractNumId w:val="11"/>
    <w:lvlOverride w:ilvl="0">
      <w:lvl w:ilvl="0">
        <w:start w:val="10"/>
        <w:numFmt w:val="decimal"/>
        <w:lvlRestart w:val="0"/>
        <w:lvlText w:val="%1."/>
        <w:lvlJc w:val="left"/>
        <w:pPr>
          <w:tabs>
            <w:tab w:val="num" w:pos="1742"/>
          </w:tabs>
          <w:ind w:left="1267" w:firstLine="0"/>
        </w:pPr>
        <w:rPr>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hideSpellingErrors/>
  <w:revisionView w:markup="0"/>
  <w:defaultTabStop w:val="475"/>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03349*"/>
    <w:docVar w:name="CreationDt" w:val="15/03/2022 17:51:37"/>
    <w:docVar w:name="DocCategory" w:val="Doc"/>
    <w:docVar w:name="DocType" w:val="Final"/>
    <w:docVar w:name="DutyStation" w:val="New York"/>
    <w:docVar w:name="FooterJN" w:val="22-03349"/>
    <w:docVar w:name="jobn" w:val="22-03349 (F)"/>
    <w:docVar w:name="jobnDT" w:val="22-03349 (F)   150322"/>
    <w:docVar w:name="jobnDTDT" w:val="22-03349 (F)   150322   150322"/>
    <w:docVar w:name="JobNo" w:val="2203349F"/>
    <w:docVar w:name="JobNo2" w:val="2227956F"/>
    <w:docVar w:name="LocalDrive" w:val="0"/>
    <w:docVar w:name="OandT" w:val="LPE"/>
    <w:docVar w:name="sss1" w:val="CEDAW/C/MWI/Q/8"/>
    <w:docVar w:name="sss2" w:val="-"/>
    <w:docVar w:name="Symbol1" w:val="CEDAW/C/MWI/Q/8"/>
    <w:docVar w:name="Symbol2" w:val="-"/>
    <w:docVar w:name="Title1" w:val="_x0009__x0009_Liste de points et de questions concernant le huitième rapport périodique du Malawi*_x000d_"/>
  </w:docVars>
  <w:rsids>
    <w:rsidRoot w:val="006F5FC8"/>
    <w:rsid w:val="00002584"/>
    <w:rsid w:val="0006491F"/>
    <w:rsid w:val="00071D43"/>
    <w:rsid w:val="00082144"/>
    <w:rsid w:val="00085654"/>
    <w:rsid w:val="00091F6E"/>
    <w:rsid w:val="000B2550"/>
    <w:rsid w:val="000B479F"/>
    <w:rsid w:val="000B660D"/>
    <w:rsid w:val="000C30C6"/>
    <w:rsid w:val="000C3833"/>
    <w:rsid w:val="000C6C1A"/>
    <w:rsid w:val="000D496F"/>
    <w:rsid w:val="000E6FCE"/>
    <w:rsid w:val="00101B18"/>
    <w:rsid w:val="00122A56"/>
    <w:rsid w:val="00134FEE"/>
    <w:rsid w:val="00146C6A"/>
    <w:rsid w:val="00166A0D"/>
    <w:rsid w:val="00175743"/>
    <w:rsid w:val="001A5F0A"/>
    <w:rsid w:val="001C159C"/>
    <w:rsid w:val="001E2379"/>
    <w:rsid w:val="001E4B50"/>
    <w:rsid w:val="00240F87"/>
    <w:rsid w:val="00245107"/>
    <w:rsid w:val="00245FDC"/>
    <w:rsid w:val="002478A0"/>
    <w:rsid w:val="00252B06"/>
    <w:rsid w:val="002A25F4"/>
    <w:rsid w:val="002A5E20"/>
    <w:rsid w:val="0030765E"/>
    <w:rsid w:val="00366D21"/>
    <w:rsid w:val="003905FA"/>
    <w:rsid w:val="003A675A"/>
    <w:rsid w:val="003E5EAE"/>
    <w:rsid w:val="003F61E1"/>
    <w:rsid w:val="004036FD"/>
    <w:rsid w:val="00410BE8"/>
    <w:rsid w:val="00426D98"/>
    <w:rsid w:val="00440C93"/>
    <w:rsid w:val="00472B7F"/>
    <w:rsid w:val="00477D49"/>
    <w:rsid w:val="00480B84"/>
    <w:rsid w:val="004B64F9"/>
    <w:rsid w:val="004C1A25"/>
    <w:rsid w:val="004D45D4"/>
    <w:rsid w:val="00515991"/>
    <w:rsid w:val="005225EC"/>
    <w:rsid w:val="00525097"/>
    <w:rsid w:val="00526DBE"/>
    <w:rsid w:val="005509B6"/>
    <w:rsid w:val="00571235"/>
    <w:rsid w:val="00577A36"/>
    <w:rsid w:val="00580CF2"/>
    <w:rsid w:val="0058142A"/>
    <w:rsid w:val="005831FC"/>
    <w:rsid w:val="00597182"/>
    <w:rsid w:val="005B398E"/>
    <w:rsid w:val="005C03A7"/>
    <w:rsid w:val="005C5330"/>
    <w:rsid w:val="005C7DAF"/>
    <w:rsid w:val="005F1F5F"/>
    <w:rsid w:val="00632C10"/>
    <w:rsid w:val="006568A5"/>
    <w:rsid w:val="00690698"/>
    <w:rsid w:val="00690F5D"/>
    <w:rsid w:val="006A72AB"/>
    <w:rsid w:val="006D0FB3"/>
    <w:rsid w:val="006E4A4B"/>
    <w:rsid w:val="006E5107"/>
    <w:rsid w:val="006F5FC8"/>
    <w:rsid w:val="00703106"/>
    <w:rsid w:val="007459AE"/>
    <w:rsid w:val="007531A5"/>
    <w:rsid w:val="00754C08"/>
    <w:rsid w:val="00771C9E"/>
    <w:rsid w:val="0077532B"/>
    <w:rsid w:val="007B4D65"/>
    <w:rsid w:val="007E1619"/>
    <w:rsid w:val="00806EEE"/>
    <w:rsid w:val="0082045E"/>
    <w:rsid w:val="008222A3"/>
    <w:rsid w:val="008656B4"/>
    <w:rsid w:val="00883D3C"/>
    <w:rsid w:val="00886CF2"/>
    <w:rsid w:val="008A39A0"/>
    <w:rsid w:val="008B23DB"/>
    <w:rsid w:val="008F3462"/>
    <w:rsid w:val="0090104D"/>
    <w:rsid w:val="0090345C"/>
    <w:rsid w:val="009230A3"/>
    <w:rsid w:val="009237A6"/>
    <w:rsid w:val="00935932"/>
    <w:rsid w:val="009547DC"/>
    <w:rsid w:val="00954DCC"/>
    <w:rsid w:val="0096262A"/>
    <w:rsid w:val="0097501F"/>
    <w:rsid w:val="00993CB7"/>
    <w:rsid w:val="00994877"/>
    <w:rsid w:val="009C2BBA"/>
    <w:rsid w:val="009C3BFE"/>
    <w:rsid w:val="009D0EE3"/>
    <w:rsid w:val="009D75A7"/>
    <w:rsid w:val="009E3220"/>
    <w:rsid w:val="009F40B9"/>
    <w:rsid w:val="00A2494D"/>
    <w:rsid w:val="00A536A1"/>
    <w:rsid w:val="00A6647F"/>
    <w:rsid w:val="00A80C89"/>
    <w:rsid w:val="00AB0B7D"/>
    <w:rsid w:val="00AD5F2F"/>
    <w:rsid w:val="00AD5FE5"/>
    <w:rsid w:val="00AF2921"/>
    <w:rsid w:val="00B66A06"/>
    <w:rsid w:val="00B858D5"/>
    <w:rsid w:val="00BA0D54"/>
    <w:rsid w:val="00BB4A97"/>
    <w:rsid w:val="00BE5A5B"/>
    <w:rsid w:val="00BF215F"/>
    <w:rsid w:val="00C138C6"/>
    <w:rsid w:val="00C40922"/>
    <w:rsid w:val="00CB06FB"/>
    <w:rsid w:val="00CB63C5"/>
    <w:rsid w:val="00D30EED"/>
    <w:rsid w:val="00DC7881"/>
    <w:rsid w:val="00DD1AF3"/>
    <w:rsid w:val="00DE75DB"/>
    <w:rsid w:val="00E0619A"/>
    <w:rsid w:val="00E126C3"/>
    <w:rsid w:val="00E343A6"/>
    <w:rsid w:val="00E443AC"/>
    <w:rsid w:val="00E47A1E"/>
    <w:rsid w:val="00E7105F"/>
    <w:rsid w:val="00E7792F"/>
    <w:rsid w:val="00EA0568"/>
    <w:rsid w:val="00EE37EC"/>
    <w:rsid w:val="00EF2DFA"/>
    <w:rsid w:val="00F03B2A"/>
    <w:rsid w:val="00F313F6"/>
    <w:rsid w:val="00F5012D"/>
    <w:rsid w:val="00F61BBF"/>
    <w:rsid w:val="00F73093"/>
    <w:rsid w:val="00FA3D05"/>
    <w:rsid w:val="00FA5963"/>
    <w:rsid w:val="00FA5CC9"/>
    <w:rsid w:val="00FB0A2C"/>
    <w:rsid w:val="00FC59F1"/>
    <w:rsid w:val="00FE0BC0"/>
    <w:rsid w:val="00FF290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070501F"/>
  <w15:chartTrackingRefBased/>
  <w15:docId w15:val="{0083DF92-0F69-416A-8933-3E493841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FCE"/>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0E6FCE"/>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0E6FCE"/>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0E6FCE"/>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E6FCE"/>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E6FCE"/>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E6FCE"/>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0E6FCE"/>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0E6FCE"/>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0E6FCE"/>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E6FCE"/>
    <w:pPr>
      <w:keepNext/>
      <w:keepLines/>
      <w:suppressAutoHyphens/>
      <w:spacing w:line="270" w:lineRule="exact"/>
      <w:outlineLvl w:val="0"/>
    </w:pPr>
    <w:rPr>
      <w:b/>
      <w:sz w:val="24"/>
    </w:rPr>
  </w:style>
  <w:style w:type="paragraph" w:customStyle="1" w:styleId="HCH">
    <w:name w:val="_ H _CH"/>
    <w:basedOn w:val="H1"/>
    <w:next w:val="Normal"/>
    <w:qFormat/>
    <w:rsid w:val="000E6FCE"/>
    <w:pPr>
      <w:spacing w:line="300" w:lineRule="exact"/>
    </w:pPr>
    <w:rPr>
      <w:spacing w:val="-2"/>
      <w:sz w:val="28"/>
    </w:rPr>
  </w:style>
  <w:style w:type="paragraph" w:customStyle="1" w:styleId="HM">
    <w:name w:val="_ H __M"/>
    <w:basedOn w:val="HCH"/>
    <w:next w:val="Normal"/>
    <w:qFormat/>
    <w:rsid w:val="000E6FCE"/>
    <w:pPr>
      <w:spacing w:line="360" w:lineRule="exact"/>
    </w:pPr>
    <w:rPr>
      <w:spacing w:val="-3"/>
      <w:w w:val="99"/>
      <w:sz w:val="34"/>
    </w:rPr>
  </w:style>
  <w:style w:type="paragraph" w:customStyle="1" w:styleId="H23">
    <w:name w:val="_ H_2/3"/>
    <w:basedOn w:val="H1"/>
    <w:next w:val="SingleTxt"/>
    <w:qFormat/>
    <w:rsid w:val="000E6FCE"/>
    <w:pPr>
      <w:spacing w:line="240" w:lineRule="exact"/>
      <w:outlineLvl w:val="1"/>
    </w:pPr>
    <w:rPr>
      <w:spacing w:val="2"/>
      <w:sz w:val="20"/>
    </w:rPr>
  </w:style>
  <w:style w:type="paragraph" w:customStyle="1" w:styleId="H4">
    <w:name w:val="_ H_4"/>
    <w:basedOn w:val="Normal"/>
    <w:next w:val="Normal"/>
    <w:qFormat/>
    <w:rsid w:val="000E6FCE"/>
    <w:pPr>
      <w:keepNext/>
      <w:keepLines/>
      <w:tabs>
        <w:tab w:val="right" w:pos="360"/>
      </w:tabs>
      <w:suppressAutoHyphens/>
      <w:outlineLvl w:val="3"/>
    </w:pPr>
    <w:rPr>
      <w:i/>
      <w:spacing w:val="3"/>
    </w:rPr>
  </w:style>
  <w:style w:type="paragraph" w:customStyle="1" w:styleId="H56">
    <w:name w:val="_ H_5/6"/>
    <w:basedOn w:val="Normal"/>
    <w:next w:val="Normal"/>
    <w:qFormat/>
    <w:rsid w:val="000E6FCE"/>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0E6FCE"/>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0E6FCE"/>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0E6FCE"/>
    <w:pPr>
      <w:spacing w:line="540" w:lineRule="exact"/>
    </w:pPr>
    <w:rPr>
      <w:spacing w:val="-8"/>
      <w:w w:val="96"/>
      <w:sz w:val="57"/>
    </w:rPr>
  </w:style>
  <w:style w:type="paragraph" w:customStyle="1" w:styleId="SS">
    <w:name w:val="__S_S"/>
    <w:basedOn w:val="HCH"/>
    <w:next w:val="Normal"/>
    <w:qFormat/>
    <w:rsid w:val="000E6FCE"/>
    <w:pPr>
      <w:ind w:left="1267" w:right="1267"/>
    </w:pPr>
  </w:style>
  <w:style w:type="paragraph" w:customStyle="1" w:styleId="SingleTxt">
    <w:name w:val="__Single Txt"/>
    <w:basedOn w:val="Normal"/>
    <w:qFormat/>
    <w:rsid w:val="000E6FC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0E6FCE"/>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SingleTxt"/>
    <w:qFormat/>
    <w:rsid w:val="000E6FC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0E6FCE"/>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0E6FC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E6FCE"/>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0E6FCE"/>
    <w:pPr>
      <w:numPr>
        <w:numId w:val="17"/>
      </w:numPr>
      <w:spacing w:after="120"/>
      <w:ind w:right="1267"/>
      <w:jc w:val="both"/>
    </w:pPr>
  </w:style>
  <w:style w:type="paragraph" w:customStyle="1" w:styleId="Bullet2">
    <w:name w:val="Bullet 2"/>
    <w:basedOn w:val="Normal"/>
    <w:qFormat/>
    <w:rsid w:val="000E6FCE"/>
    <w:pPr>
      <w:numPr>
        <w:numId w:val="18"/>
      </w:numPr>
      <w:spacing w:after="120"/>
      <w:ind w:right="1264"/>
      <w:jc w:val="both"/>
    </w:pPr>
  </w:style>
  <w:style w:type="paragraph" w:customStyle="1" w:styleId="Bullet3">
    <w:name w:val="Bullet 3"/>
    <w:basedOn w:val="SingleTxt"/>
    <w:qFormat/>
    <w:rsid w:val="000E6FCE"/>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0E6FCE"/>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0E6FCE"/>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0E6FCE"/>
    <w:pPr>
      <w:spacing w:line="210" w:lineRule="exact"/>
    </w:pPr>
    <w:rPr>
      <w:sz w:val="17"/>
      <w:szCs w:val="20"/>
    </w:rPr>
  </w:style>
  <w:style w:type="character" w:customStyle="1" w:styleId="EndnoteTextChar">
    <w:name w:val="Endnote Text Char"/>
    <w:link w:val="EndnoteText"/>
    <w:uiPriority w:val="99"/>
    <w:semiHidden/>
    <w:rsid w:val="000E6FCE"/>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0E6FCE"/>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0E6FCE"/>
    <w:rPr>
      <w:rFonts w:ascii="Times New Roman" w:eastAsiaTheme="minorHAnsi" w:hAnsi="Times New Roman" w:cs="Times New Roman"/>
      <w:b/>
      <w:spacing w:val="3"/>
      <w:w w:val="105"/>
      <w:sz w:val="17"/>
      <w:lang w:val="en-US" w:eastAsia="en-US"/>
    </w:rPr>
  </w:style>
  <w:style w:type="character" w:styleId="FootnoteReference">
    <w:name w:val="footnote reference"/>
    <w:aliases w:val="4_G"/>
    <w:qFormat/>
    <w:rsid w:val="000E6FCE"/>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0E6FCE"/>
    <w:pPr>
      <w:spacing w:line="210" w:lineRule="exact"/>
    </w:pPr>
    <w:rPr>
      <w:sz w:val="17"/>
      <w:szCs w:val="20"/>
    </w:rPr>
  </w:style>
  <w:style w:type="character" w:customStyle="1" w:styleId="FootnoteTextChar">
    <w:name w:val="Footnote Text Char"/>
    <w:aliases w:val="5_G Char"/>
    <w:link w:val="FootnoteText"/>
    <w:rsid w:val="000E6FCE"/>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0E6FCE"/>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0E6FCE"/>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0E6FCE"/>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0E6FCE"/>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0E6FCE"/>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0E6FCE"/>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0E6FCE"/>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0E6FCE"/>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0E6FCE"/>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0E6FCE"/>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0E6FCE"/>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0E6FCE"/>
    <w:rPr>
      <w:sz w:val="14"/>
    </w:rPr>
  </w:style>
  <w:style w:type="paragraph" w:styleId="ListParagraph">
    <w:name w:val="List Paragraph"/>
    <w:basedOn w:val="Normal"/>
    <w:uiPriority w:val="34"/>
    <w:rsid w:val="000E6FCE"/>
    <w:pPr>
      <w:ind w:left="720"/>
      <w:contextualSpacing/>
    </w:pPr>
  </w:style>
  <w:style w:type="paragraph" w:styleId="NoSpacing">
    <w:name w:val="No Spacing"/>
    <w:uiPriority w:val="1"/>
    <w:rsid w:val="000E6FCE"/>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0E6FCE"/>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0E6FCE"/>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0E6FCE"/>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0E6FCE"/>
    <w:pPr>
      <w:tabs>
        <w:tab w:val="right" w:pos="9965"/>
      </w:tabs>
      <w:spacing w:line="210" w:lineRule="exact"/>
    </w:pPr>
    <w:rPr>
      <w:spacing w:val="5"/>
      <w:w w:val="104"/>
      <w:sz w:val="17"/>
    </w:rPr>
  </w:style>
  <w:style w:type="paragraph" w:customStyle="1" w:styleId="SmallX">
    <w:name w:val="SmallX"/>
    <w:basedOn w:val="Small"/>
    <w:next w:val="Normal"/>
    <w:qFormat/>
    <w:rsid w:val="000E6FCE"/>
    <w:pPr>
      <w:spacing w:line="180" w:lineRule="exact"/>
      <w:jc w:val="right"/>
    </w:pPr>
    <w:rPr>
      <w:spacing w:val="6"/>
      <w:w w:val="106"/>
      <w:sz w:val="14"/>
    </w:rPr>
  </w:style>
  <w:style w:type="character" w:styleId="Strong">
    <w:name w:val="Strong"/>
    <w:uiPriority w:val="22"/>
    <w:rsid w:val="000E6FCE"/>
    <w:rPr>
      <w:b/>
      <w:bCs/>
    </w:rPr>
  </w:style>
  <w:style w:type="paragraph" w:customStyle="1" w:styleId="Style1">
    <w:name w:val="Style1"/>
    <w:basedOn w:val="Normal"/>
    <w:qFormat/>
    <w:rsid w:val="000E6FCE"/>
  </w:style>
  <w:style w:type="paragraph" w:customStyle="1" w:styleId="Style2">
    <w:name w:val="Style2"/>
    <w:basedOn w:val="Normal"/>
    <w:autoRedefine/>
    <w:qFormat/>
    <w:rsid w:val="000E6FCE"/>
  </w:style>
  <w:style w:type="paragraph" w:customStyle="1" w:styleId="TitleHCH">
    <w:name w:val="Title_H_CH"/>
    <w:basedOn w:val="H1"/>
    <w:next w:val="SingleTxt"/>
    <w:qFormat/>
    <w:rsid w:val="000E6F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0E6F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0E6FCE"/>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6568A5"/>
    <w:rPr>
      <w:sz w:val="16"/>
      <w:szCs w:val="16"/>
    </w:rPr>
  </w:style>
  <w:style w:type="paragraph" w:styleId="CommentText">
    <w:name w:val="annotation text"/>
    <w:basedOn w:val="Normal"/>
    <w:link w:val="CommentTextChar"/>
    <w:uiPriority w:val="99"/>
    <w:semiHidden/>
    <w:unhideWhenUsed/>
    <w:rsid w:val="006568A5"/>
    <w:pPr>
      <w:spacing w:line="240" w:lineRule="auto"/>
    </w:pPr>
    <w:rPr>
      <w:szCs w:val="20"/>
    </w:rPr>
  </w:style>
  <w:style w:type="character" w:customStyle="1" w:styleId="CommentTextChar">
    <w:name w:val="Comment Text Char"/>
    <w:basedOn w:val="DefaultParagraphFont"/>
    <w:link w:val="CommentText"/>
    <w:uiPriority w:val="99"/>
    <w:semiHidden/>
    <w:rsid w:val="006568A5"/>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6568A5"/>
    <w:rPr>
      <w:b/>
      <w:bCs/>
    </w:rPr>
  </w:style>
  <w:style w:type="character" w:customStyle="1" w:styleId="CommentSubjectChar">
    <w:name w:val="Comment Subject Char"/>
    <w:basedOn w:val="CommentTextChar"/>
    <w:link w:val="CommentSubject"/>
    <w:uiPriority w:val="99"/>
    <w:semiHidden/>
    <w:rsid w:val="006568A5"/>
    <w:rPr>
      <w:rFonts w:ascii="Times New Roman" w:eastAsiaTheme="minorHAnsi" w:hAnsi="Times New Roman" w:cs="Times New Roman"/>
      <w:b/>
      <w:bCs/>
      <w:spacing w:val="4"/>
      <w:w w:val="103"/>
      <w:kern w:val="14"/>
      <w:sz w:val="20"/>
      <w:szCs w:val="20"/>
      <w:lang w:val="fr-CA" w:eastAsia="en-US"/>
    </w:rPr>
  </w:style>
  <w:style w:type="paragraph" w:customStyle="1" w:styleId="HChG">
    <w:name w:val="_ H _Ch_G"/>
    <w:basedOn w:val="Normal"/>
    <w:next w:val="Normal"/>
    <w:qFormat/>
    <w:rsid w:val="00FA5963"/>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outlineLvl w:val="1"/>
    </w:pPr>
    <w:rPr>
      <w:b/>
      <w:spacing w:val="0"/>
      <w:w w:val="100"/>
      <w:kern w:val="0"/>
      <w:sz w:val="28"/>
      <w:szCs w:val="20"/>
      <w:lang w:val="en-GB"/>
    </w:rPr>
  </w:style>
  <w:style w:type="paragraph" w:customStyle="1" w:styleId="H23G">
    <w:name w:val="_ H_2/3_G"/>
    <w:basedOn w:val="Normal"/>
    <w:next w:val="Normal"/>
    <w:qFormat/>
    <w:rsid w:val="00FA5963"/>
    <w:pPr>
      <w:keepNext/>
      <w:keepLines/>
      <w:tabs>
        <w:tab w:val="right" w:pos="851"/>
      </w:tabs>
      <w:suppressAutoHyphens/>
      <w:kinsoku w:val="0"/>
      <w:overflowPunct w:val="0"/>
      <w:autoSpaceDE w:val="0"/>
      <w:autoSpaceDN w:val="0"/>
      <w:adjustRightInd w:val="0"/>
      <w:snapToGrid w:val="0"/>
      <w:spacing w:before="240" w:after="120"/>
      <w:ind w:left="1134" w:right="1134" w:hanging="1134"/>
      <w:outlineLvl w:val="3"/>
    </w:pPr>
    <w:rPr>
      <w:b/>
      <w:spacing w:val="0"/>
      <w:w w:val="100"/>
      <w:kern w:val="0"/>
      <w:szCs w:val="20"/>
      <w:lang w:val="en-GB"/>
    </w:rPr>
  </w:style>
  <w:style w:type="paragraph" w:customStyle="1" w:styleId="SingleTxtG">
    <w:name w:val="_ Single Txt_G"/>
    <w:basedOn w:val="Normal"/>
    <w:link w:val="SingleTxtGChar"/>
    <w:qFormat/>
    <w:rsid w:val="00FA5963"/>
    <w:pPr>
      <w:tabs>
        <w:tab w:val="left" w:pos="1701"/>
        <w:tab w:val="left" w:pos="2268"/>
        <w:tab w:val="left" w:pos="2835"/>
      </w:tabs>
      <w:suppressAutoHyphens/>
      <w:kinsoku w:val="0"/>
      <w:overflowPunct w:val="0"/>
      <w:autoSpaceDE w:val="0"/>
      <w:autoSpaceDN w:val="0"/>
      <w:adjustRightInd w:val="0"/>
      <w:snapToGrid w:val="0"/>
      <w:spacing w:after="120" w:line="240" w:lineRule="atLeast"/>
      <w:ind w:left="1134" w:right="1134"/>
      <w:jc w:val="both"/>
    </w:pPr>
    <w:rPr>
      <w:spacing w:val="0"/>
      <w:w w:val="100"/>
      <w:kern w:val="0"/>
      <w:szCs w:val="20"/>
      <w:lang w:val="en-GB"/>
    </w:rPr>
  </w:style>
  <w:style w:type="character" w:customStyle="1" w:styleId="SingleTxtGChar">
    <w:name w:val="_ Single Txt_G Char"/>
    <w:link w:val="SingleTxtG"/>
    <w:locked/>
    <w:rsid w:val="00FA5963"/>
    <w:rPr>
      <w:rFonts w:ascii="Times New Roman" w:eastAsiaTheme="minorHAnsi" w:hAnsi="Times New Roman" w:cs="Times New Roman"/>
      <w:sz w:val="20"/>
      <w:szCs w:val="20"/>
      <w:lang w:eastAsia="en-US"/>
    </w:rPr>
  </w:style>
  <w:style w:type="character" w:styleId="Hyperlink">
    <w:name w:val="Hyperlink"/>
    <w:basedOn w:val="DefaultParagraphFont"/>
    <w:uiPriority w:val="99"/>
    <w:unhideWhenUsed/>
    <w:rsid w:val="00AF2921"/>
    <w:rPr>
      <w:color w:val="0000FF"/>
      <w:u w:val="none"/>
    </w:rPr>
  </w:style>
  <w:style w:type="character" w:styleId="FollowedHyperlink">
    <w:name w:val="FollowedHyperlink"/>
    <w:basedOn w:val="DefaultParagraphFont"/>
    <w:uiPriority w:val="99"/>
    <w:semiHidden/>
    <w:unhideWhenUsed/>
    <w:rsid w:val="00AF2921"/>
    <w:rPr>
      <w:color w:val="0000FF"/>
      <w:u w:val="none"/>
    </w:rPr>
  </w:style>
  <w:style w:type="character" w:styleId="UnresolvedMention">
    <w:name w:val="Unresolved Mention"/>
    <w:basedOn w:val="DefaultParagraphFont"/>
    <w:uiPriority w:val="99"/>
    <w:semiHidden/>
    <w:unhideWhenUsed/>
    <w:rsid w:val="00AF2921"/>
    <w:rPr>
      <w:color w:val="605E5C"/>
      <w:shd w:val="clear" w:color="auto" w:fill="E1DFDD"/>
    </w:rPr>
  </w:style>
  <w:style w:type="paragraph" w:styleId="Revision">
    <w:name w:val="Revision"/>
    <w:hidden/>
    <w:uiPriority w:val="99"/>
    <w:semiHidden/>
    <w:rsid w:val="00EA0568"/>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MWI/CO/7" TargetMode="Externa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fr/CEDAW/C/MWI/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3171</Words>
  <Characters>18077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Pena Montero</dc:creator>
  <cp:keywords/>
  <dc:description/>
  <cp:lastModifiedBy>French Text Processing</cp:lastModifiedBy>
  <cp:revision>3</cp:revision>
  <cp:lastPrinted>2022-03-24T18:48:00Z</cp:lastPrinted>
  <dcterms:created xsi:type="dcterms:W3CDTF">2022-03-24T18:48:00Z</dcterms:created>
  <dcterms:modified xsi:type="dcterms:W3CDTF">2022-03-24T18:48:00Z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2203349F</vt:lpwstr>
  </property>
  <property fmtid="{D5CDD505-2E9C-101B-9397-08002B2CF9AE}" pid="3" name="ODSRefJobNo">
    <vt:lpwstr>2227956F</vt:lpwstr>
  </property>
  <property fmtid="{D5CDD505-2E9C-101B-9397-08002B2CF9AE}" pid="4" name="Symbol1">
    <vt:lpwstr>CEDAW/C/MWI/Q/8</vt:lpwstr>
  </property>
  <property fmtid="{D5CDD505-2E9C-101B-9397-08002B2CF9AE}" pid="5" name="Symbol2">
    <vt:lpwstr/>
  </property>
  <property fmtid="{D5CDD505-2E9C-101B-9397-08002B2CF9AE}" pid="6" name="Translator">
    <vt:lpwstr/>
  </property>
  <property fmtid="{D5CDD505-2E9C-101B-9397-08002B2CF9AE}" pid="7" name="Operator">
    <vt:lpwstr>LPE</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Title1">
    <vt:lpwstr>		Liste de points et de questions concernant le huitième rapport périodique du Malawi*_x000d_</vt:lpwstr>
  </property>
</Properties>
</file>