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8BE0AA" w14:textId="77777777" w:rsidR="00EA74A9" w:rsidRDefault="00EA74A9" w:rsidP="00EA74A9">
      <w:pPr>
        <w:spacing w:line="60" w:lineRule="exact"/>
        <w:rPr>
          <w:color w:val="010000"/>
          <w:sz w:val="2"/>
        </w:rPr>
        <w:sectPr w:rsidR="00EA74A9" w:rsidSect="00E23931">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pgNumType w:start="1"/>
          <w:cols w:space="720"/>
          <w:titlePg/>
          <w:docGrid w:linePitch="360"/>
        </w:sectPr>
      </w:pPr>
      <w:r>
        <w:rPr>
          <w:rStyle w:val="CommentReference"/>
        </w:rPr>
        <w:commentReference w:id="0"/>
      </w:r>
    </w:p>
    <w:p w14:paraId="1E982AFE" w14:textId="66A7160D" w:rsidR="00EA74A9" w:rsidRDefault="00E23931" w:rsidP="00E23931">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E23931">
        <w:t>Комитет по ликвидации дискриминации</w:t>
      </w:r>
      <w:r>
        <w:br/>
      </w:r>
      <w:r w:rsidRPr="00E23931">
        <w:t>в</w:t>
      </w:r>
      <w:r w:rsidRPr="00E23931">
        <w:rPr>
          <w:lang w:val="en-US"/>
        </w:rPr>
        <w:t> </w:t>
      </w:r>
      <w:r w:rsidRPr="00E23931">
        <w:t>отношении женщин</w:t>
      </w:r>
    </w:p>
    <w:p w14:paraId="3305EBE8" w14:textId="0537EE70" w:rsidR="00E23931" w:rsidRPr="00E23931" w:rsidRDefault="00E23931" w:rsidP="00E23931">
      <w:pPr>
        <w:pStyle w:val="SingleTxt"/>
        <w:spacing w:after="0" w:line="120" w:lineRule="exact"/>
        <w:rPr>
          <w:sz w:val="10"/>
        </w:rPr>
      </w:pPr>
    </w:p>
    <w:p w14:paraId="4DC2F948" w14:textId="4BE21AA5" w:rsidR="00E23931" w:rsidRPr="00E23931" w:rsidRDefault="00E23931" w:rsidP="00E23931">
      <w:pPr>
        <w:pStyle w:val="SingleTxt"/>
        <w:spacing w:after="0" w:line="120" w:lineRule="exact"/>
        <w:rPr>
          <w:sz w:val="10"/>
        </w:rPr>
      </w:pPr>
    </w:p>
    <w:p w14:paraId="3C24FD77" w14:textId="721C89AE" w:rsidR="00E23931" w:rsidRPr="00E23931" w:rsidRDefault="00E23931" w:rsidP="00E23931">
      <w:pPr>
        <w:pStyle w:val="SingleTxt"/>
        <w:spacing w:after="0" w:line="120" w:lineRule="exact"/>
        <w:rPr>
          <w:sz w:val="10"/>
        </w:rPr>
      </w:pPr>
    </w:p>
    <w:p w14:paraId="71A48D04" w14:textId="77777777" w:rsidR="00E23931" w:rsidRPr="00E23931" w:rsidRDefault="00E23931" w:rsidP="00E23931">
      <w:pPr>
        <w:pStyle w:val="TitleHCH"/>
      </w:pPr>
      <w:r w:rsidRPr="00E23931">
        <w:tab/>
      </w:r>
      <w:r w:rsidRPr="00E23931">
        <w:tab/>
        <w:t>Закл</w:t>
      </w:r>
      <w:bookmarkStart w:id="1" w:name="_GoBack"/>
      <w:bookmarkEnd w:id="1"/>
      <w:r w:rsidRPr="00E23931">
        <w:t>ючительные замечания по девятому периодическому докладу Мексики</w:t>
      </w:r>
      <w:r w:rsidRPr="00E23931">
        <w:rPr>
          <w:b w:val="0"/>
          <w:sz w:val="20"/>
          <w:vertAlign w:val="superscript"/>
        </w:rPr>
        <w:footnoteReference w:customMarkFollows="1" w:id="1"/>
        <w:t>*</w:t>
      </w:r>
    </w:p>
    <w:p w14:paraId="50C2D9B3" w14:textId="11312033" w:rsidR="00E23931" w:rsidRPr="00E23931" w:rsidRDefault="00E23931" w:rsidP="00E23931">
      <w:pPr>
        <w:pStyle w:val="SingleTxt"/>
        <w:spacing w:after="0" w:line="120" w:lineRule="exact"/>
        <w:rPr>
          <w:sz w:val="10"/>
        </w:rPr>
      </w:pPr>
    </w:p>
    <w:p w14:paraId="24AD0365" w14:textId="1C67FC61" w:rsidR="00E23931" w:rsidRPr="00E23931" w:rsidRDefault="00E23931" w:rsidP="00E23931">
      <w:pPr>
        <w:pStyle w:val="SingleTxt"/>
        <w:spacing w:after="0" w:line="120" w:lineRule="exact"/>
        <w:rPr>
          <w:sz w:val="10"/>
        </w:rPr>
      </w:pPr>
    </w:p>
    <w:p w14:paraId="0587BC61" w14:textId="26B4D549" w:rsidR="00E23931" w:rsidRPr="00E23931" w:rsidRDefault="00E23931" w:rsidP="00E23931">
      <w:pPr>
        <w:pStyle w:val="SingleTxt"/>
      </w:pPr>
      <w:r w:rsidRPr="00E23931">
        <w:t>1.</w:t>
      </w:r>
      <w:r w:rsidRPr="00E23931">
        <w:tab/>
        <w:t>Комитет рассмотрел девятый периодический доклад Мексики (</w:t>
      </w:r>
      <w:hyperlink r:id="rId15" w:history="1">
        <w:r w:rsidRPr="00E23931">
          <w:rPr>
            <w:rStyle w:val="Hyperlink"/>
          </w:rPr>
          <w:t>CEDAW/C/MEX/9</w:t>
        </w:r>
      </w:hyperlink>
      <w:r w:rsidRPr="00E23931">
        <w:t>) на своих 1608-м и 1609-м заседаниях (см.</w:t>
      </w:r>
      <w:r>
        <w:rPr>
          <w:lang w:val="en-US"/>
        </w:rPr>
        <w:t> </w:t>
      </w:r>
      <w:hyperlink r:id="rId16" w:history="1">
        <w:r w:rsidRPr="00E23931">
          <w:rPr>
            <w:rStyle w:val="Hyperlink"/>
          </w:rPr>
          <w:t>CEDAW/C/SR.1608</w:t>
        </w:r>
      </w:hyperlink>
      <w:r w:rsidRPr="00E23931">
        <w:t xml:space="preserve"> и </w:t>
      </w:r>
      <w:hyperlink r:id="rId17" w:history="1">
        <w:r w:rsidRPr="00E23931">
          <w:rPr>
            <w:rStyle w:val="Hyperlink"/>
          </w:rPr>
          <w:t>CEDAW/C/SR.1609</w:t>
        </w:r>
      </w:hyperlink>
      <w:r w:rsidRPr="00E23931">
        <w:t>), состоявшихся 6 июля 2018 года. Подготовленный Комитетом перечень тем и вопросов содержится в документе</w:t>
      </w:r>
      <w:r w:rsidR="009F0383">
        <w:rPr>
          <w:lang w:val="en-US"/>
        </w:rPr>
        <w:t> </w:t>
      </w:r>
      <w:hyperlink r:id="rId18" w:history="1">
        <w:r w:rsidRPr="00E23931">
          <w:rPr>
            <w:rStyle w:val="Hyperlink"/>
          </w:rPr>
          <w:t>CEDAW/C/MEX/Q/9</w:t>
        </w:r>
      </w:hyperlink>
      <w:r w:rsidRPr="00E23931">
        <w:t>, а ответы Мексики представлены в документе</w:t>
      </w:r>
      <w:r w:rsidR="009F0383">
        <w:rPr>
          <w:lang w:val="en-US"/>
        </w:rPr>
        <w:t> </w:t>
      </w:r>
      <w:hyperlink r:id="rId19" w:history="1">
        <w:r w:rsidRPr="00E23931">
          <w:rPr>
            <w:rStyle w:val="Hyperlink"/>
          </w:rPr>
          <w:t>CEDAW/C/MEX/Q/9/Add.1</w:t>
        </w:r>
      </w:hyperlink>
      <w:r w:rsidRPr="00E23931">
        <w:t>.</w:t>
      </w:r>
    </w:p>
    <w:p w14:paraId="435275D5" w14:textId="0896902E" w:rsidR="00E23931" w:rsidRPr="009F0383" w:rsidRDefault="00E23931" w:rsidP="009F0383">
      <w:pPr>
        <w:pStyle w:val="SingleTxt"/>
        <w:spacing w:after="0" w:line="120" w:lineRule="exact"/>
        <w:rPr>
          <w:bCs/>
          <w:sz w:val="10"/>
        </w:rPr>
      </w:pPr>
    </w:p>
    <w:p w14:paraId="1325F8AD" w14:textId="32C1AEA9" w:rsidR="009F0383" w:rsidRPr="009F0383" w:rsidRDefault="009F0383" w:rsidP="009F0383">
      <w:pPr>
        <w:pStyle w:val="SingleTxt"/>
        <w:spacing w:after="0" w:line="120" w:lineRule="exact"/>
        <w:rPr>
          <w:bCs/>
          <w:sz w:val="10"/>
        </w:rPr>
      </w:pPr>
    </w:p>
    <w:p w14:paraId="26C9C31D" w14:textId="77777777" w:rsidR="00E23931" w:rsidRPr="00E23931" w:rsidRDefault="00E23931" w:rsidP="009F038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23931">
        <w:tab/>
        <w:t>A.</w:t>
      </w:r>
      <w:r w:rsidRPr="00E23931">
        <w:tab/>
        <w:t>Введение</w:t>
      </w:r>
    </w:p>
    <w:p w14:paraId="254EEC14" w14:textId="48753125" w:rsidR="00E23931" w:rsidRPr="009F0383" w:rsidRDefault="00E23931" w:rsidP="009F0383">
      <w:pPr>
        <w:pStyle w:val="SingleTxt"/>
        <w:spacing w:after="0" w:line="120" w:lineRule="exact"/>
        <w:rPr>
          <w:sz w:val="10"/>
        </w:rPr>
      </w:pPr>
    </w:p>
    <w:p w14:paraId="52EB4310" w14:textId="2678A8DC" w:rsidR="009F0383" w:rsidRPr="009F0383" w:rsidRDefault="009F0383" w:rsidP="009F0383">
      <w:pPr>
        <w:pStyle w:val="SingleTxt"/>
        <w:spacing w:after="0" w:line="120" w:lineRule="exact"/>
        <w:rPr>
          <w:sz w:val="10"/>
        </w:rPr>
      </w:pPr>
    </w:p>
    <w:p w14:paraId="6BE30DFF" w14:textId="026705C0" w:rsidR="00E23931" w:rsidRPr="00E23931" w:rsidRDefault="00E23931" w:rsidP="00E23931">
      <w:pPr>
        <w:pStyle w:val="SingleTxt"/>
      </w:pPr>
      <w:r w:rsidRPr="00E23931">
        <w:t>2.</w:t>
      </w:r>
      <w:r w:rsidRPr="00E23931">
        <w:tab/>
        <w:t>Комитет выражает признательность государству-участнику за представление его девятого периодического доклада. Он также выражает признательность государству-участнику за представление доклада о последующих мерах (</w:t>
      </w:r>
      <w:hyperlink r:id="rId20" w:history="1">
        <w:r w:rsidRPr="00E23931">
          <w:rPr>
            <w:rStyle w:val="Hyperlink"/>
          </w:rPr>
          <w:t>CEDAW/C/MEX/CO/7-8/Add.1</w:t>
        </w:r>
      </w:hyperlink>
      <w:r w:rsidRPr="00E23931">
        <w:t>) и письменных ответов на перечень тем и вопросов, подготовленный предсессионной рабочей группой, и приветствует устное выступление делегации и дополнительные пояснения, представленные в ответ на вопросы, которые были заданы Комитетом в ходе обсуждения. Кроме того, Комитет выражает признательность за предоставление информации в электронной фор</w:t>
      </w:r>
      <w:r w:rsidR="009F0383">
        <w:t>ме после завершения обсуждения.</w:t>
      </w:r>
    </w:p>
    <w:p w14:paraId="009CEB33" w14:textId="77777777" w:rsidR="00E23931" w:rsidRPr="00E23931" w:rsidRDefault="00E23931" w:rsidP="00E23931">
      <w:pPr>
        <w:pStyle w:val="SingleTxt"/>
      </w:pPr>
      <w:r w:rsidRPr="00E23931">
        <w:t>3.</w:t>
      </w:r>
      <w:r w:rsidRPr="00E23931">
        <w:tab/>
        <w:t>Комитет с удовлетворением отмечает направление государством-участником межведомственной делегации во главе с заместителем министра по многосторонним отношениям и правам человека Мигелем Руисом Кабаньясом, в состав которой вошли представители Министерства внутренних дел; Канцелярии Генерального прокурора Республики; Министерства труда и социального обеспечения; Верховного суда; Федерального избирательного суда; Национальной комиссии Верховных судов; Комиссии Сената по вопросам гендерного равенства; Национального института по делам женщин; Национальной комиссии по предупреждению и искоренению насилия в отношении женщин; Исполнительной комиссии по вопросам помощи жертвам; Совета федеральной судебной системы; Министерства иностранных дел; Министерства национальной обороны; Министерства государственного образования; Национального совета по предупреждению дискриминации; Национального института по вопросам выборов; Мексиканского института социального страхования; Национальной комиссии по развитию коренных народов; Исполнительного секретариата Национальной системы комплексной защиты детей и подростков; Министерства здравоохранения; Министерства сельского, территориального и городского развития; Федеральной канцелярии Специального прокурора по расследованию преступлений, связанных с актами насилия в отношении женщин; Исполнительного секретариата Национальной системы общественной безопасности; органов судебной власти штата Коауила де Сарагоса и Института по делам женщин штата Коауила; а также Постоянный представитель Мексики при Организации Объединенных Наций и других международных организациях в Женеве г-жа Сокорро Флорес Льера, заместитель Постоянного представителя Хуан Рауль Эредиа Акоста и другие сотрудники Постоянного представительства. Комитет высоко оценивает конструктивный диалог, состоявшийся между делегацией и Комитетом.</w:t>
      </w:r>
      <w:bookmarkStart w:id="2" w:name="_Hlk521921882"/>
      <w:bookmarkEnd w:id="2"/>
    </w:p>
    <w:p w14:paraId="1EF7A4DF" w14:textId="37501397" w:rsidR="00E23931" w:rsidRPr="009F0383" w:rsidRDefault="00E23931" w:rsidP="009F0383">
      <w:pPr>
        <w:pStyle w:val="SingleTxt"/>
        <w:spacing w:after="0" w:line="120" w:lineRule="exact"/>
        <w:rPr>
          <w:bCs/>
          <w:sz w:val="10"/>
        </w:rPr>
      </w:pPr>
    </w:p>
    <w:p w14:paraId="160C6AFD" w14:textId="75712B4C" w:rsidR="009F0383" w:rsidRPr="009F0383" w:rsidRDefault="009F0383" w:rsidP="009F0383">
      <w:pPr>
        <w:pStyle w:val="SingleTxt"/>
        <w:spacing w:after="0" w:line="120" w:lineRule="exact"/>
        <w:rPr>
          <w:bCs/>
          <w:sz w:val="10"/>
        </w:rPr>
      </w:pPr>
    </w:p>
    <w:p w14:paraId="589DEB9E" w14:textId="676B0D4B" w:rsidR="00E23931" w:rsidRPr="00E23931" w:rsidRDefault="00E23931" w:rsidP="009F038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23931">
        <w:tab/>
        <w:t>B.</w:t>
      </w:r>
      <w:r w:rsidRPr="00E23931">
        <w:tab/>
        <w:t>Позитивные аспекты</w:t>
      </w:r>
    </w:p>
    <w:p w14:paraId="3D6501B3" w14:textId="10E9E0A6" w:rsidR="00E23931" w:rsidRPr="009F0383" w:rsidRDefault="00E23931" w:rsidP="009F0383">
      <w:pPr>
        <w:pStyle w:val="SingleTxt"/>
        <w:spacing w:after="0" w:line="120" w:lineRule="exact"/>
        <w:rPr>
          <w:sz w:val="10"/>
        </w:rPr>
      </w:pPr>
    </w:p>
    <w:p w14:paraId="775BF114" w14:textId="1D3C95FC" w:rsidR="009F0383" w:rsidRPr="009F0383" w:rsidRDefault="009F0383" w:rsidP="009F0383">
      <w:pPr>
        <w:pStyle w:val="SingleTxt"/>
        <w:spacing w:after="0" w:line="120" w:lineRule="exact"/>
        <w:rPr>
          <w:sz w:val="10"/>
        </w:rPr>
      </w:pPr>
    </w:p>
    <w:p w14:paraId="605884C2" w14:textId="45543B04" w:rsidR="00E23931" w:rsidRPr="00E23931" w:rsidRDefault="00E23931" w:rsidP="00E23931">
      <w:pPr>
        <w:pStyle w:val="SingleTxt"/>
      </w:pPr>
      <w:r w:rsidRPr="00E23931">
        <w:t>4.</w:t>
      </w:r>
      <w:r w:rsidRPr="00E23931">
        <w:tab/>
        <w:t>Комитет приветствует прогресс в проведении законодательных реформ, достигнутый после рассмотрения в 2012 году объединенных седьмого и восьмого периодических докладов (</w:t>
      </w:r>
      <w:bookmarkStart w:id="3" w:name="_Hlk522890461"/>
      <w:r w:rsidRPr="00E23931">
        <w:fldChar w:fldCharType="begin"/>
      </w:r>
      <w:r w:rsidRPr="00E23931">
        <w:instrText>HYPERLINK "https://undocs.org/CEDAW/C/MEX/7-8"</w:instrText>
      </w:r>
      <w:r w:rsidRPr="00E23931">
        <w:fldChar w:fldCharType="separate"/>
      </w:r>
      <w:r w:rsidRPr="00E23931">
        <w:rPr>
          <w:rStyle w:val="Hyperlink"/>
        </w:rPr>
        <w:t>CEDAW/C/MEX/7-8</w:t>
      </w:r>
      <w:bookmarkEnd w:id="3"/>
      <w:r w:rsidRPr="00E23931">
        <w:fldChar w:fldCharType="end"/>
      </w:r>
      <w:r w:rsidRPr="00E23931">
        <w:t>), в частности принятие:</w:t>
      </w:r>
    </w:p>
    <w:p w14:paraId="3EEA0029" w14:textId="2B85FAAE" w:rsidR="00E23931" w:rsidRPr="00E23931" w:rsidRDefault="00E23931" w:rsidP="00E23931">
      <w:pPr>
        <w:pStyle w:val="SingleTxt"/>
      </w:pPr>
      <w:r w:rsidRPr="00E23931">
        <w:tab/>
        <w:t>a)</w:t>
      </w:r>
      <w:r w:rsidRPr="00E23931">
        <w:tab/>
        <w:t>Общего закона о насильственных исчезновениях и случаях исчезновения в результате действий отдельных лиц и Национальной системы поиска без вести пропавших (в 2017 году);</w:t>
      </w:r>
      <w:bookmarkStart w:id="4" w:name="_Hlk521920077"/>
      <w:bookmarkEnd w:id="4"/>
    </w:p>
    <w:p w14:paraId="3214FE23" w14:textId="56D4590E" w:rsidR="00E23931" w:rsidRPr="00E23931" w:rsidRDefault="00E23931" w:rsidP="00E23931">
      <w:pPr>
        <w:pStyle w:val="SingleTxt"/>
      </w:pPr>
      <w:r w:rsidRPr="00E23931">
        <w:tab/>
        <w:t>b)</w:t>
      </w:r>
      <w:r w:rsidRPr="00E23931">
        <w:tab/>
        <w:t>Национального закона о планировании с поправками, внесенными в 2018 году,</w:t>
      </w:r>
      <w:r w:rsidRPr="00E23931">
        <w:rPr>
          <w:lang w:val="en-US"/>
        </w:rPr>
        <w:t> </w:t>
      </w:r>
      <w:r w:rsidRPr="00E23931">
        <w:t>— документа, обеспечивающего равенство женщин и мужчин и запрещающего дискриминацию по признаку пола;</w:t>
      </w:r>
    </w:p>
    <w:p w14:paraId="6A664500" w14:textId="2B695111" w:rsidR="00E23931" w:rsidRPr="00E23931" w:rsidRDefault="00E23931" w:rsidP="00E23931">
      <w:pPr>
        <w:pStyle w:val="SingleTxt"/>
      </w:pPr>
      <w:r w:rsidRPr="00E23931">
        <w:tab/>
        <w:t>с)</w:t>
      </w:r>
      <w:r w:rsidRPr="00E23931">
        <w:tab/>
        <w:t>Общего закона о предотвращении пыток и других жестоких, бесчеловечных или унижающих достоинство видов обращения, расследовании соответствующих случаев и наказании виновных (в 2017 году);</w:t>
      </w:r>
    </w:p>
    <w:p w14:paraId="70720B5B" w14:textId="0257D0FF" w:rsidR="00E23931" w:rsidRPr="00E23931" w:rsidRDefault="00E23931" w:rsidP="00E23931">
      <w:pPr>
        <w:pStyle w:val="SingleTxt"/>
      </w:pPr>
      <w:r w:rsidRPr="00E23931">
        <w:tab/>
        <w:t>d)</w:t>
      </w:r>
      <w:r w:rsidRPr="00E23931">
        <w:tab/>
        <w:t>поправок к Федеральному закону о предупреждении и искоренении дискриминации, в том числе положений о запрете мизогинии, гомофобии и расовой дискриминации (в 2014 году) и человеконенавистнических высказываний, в том числе выражений сексистского характера (в 2018 году);</w:t>
      </w:r>
    </w:p>
    <w:p w14:paraId="622A93A6" w14:textId="7DF9759D" w:rsidR="00E23931" w:rsidRPr="00E23931" w:rsidRDefault="00E23931" w:rsidP="00E23931">
      <w:pPr>
        <w:pStyle w:val="SingleTxt"/>
      </w:pPr>
      <w:r w:rsidRPr="00E23931">
        <w:tab/>
        <w:t>e)</w:t>
      </w:r>
      <w:r w:rsidRPr="00E23931">
        <w:tab/>
        <w:t>поправок к Общему закону об обеспечении доступа женщин к жизни без насилия, в том числе положения о признании феминицида уголовным преступлением (в 2016 году);</w:t>
      </w:r>
      <w:bookmarkStart w:id="5" w:name="_Hlk521920119"/>
      <w:bookmarkStart w:id="6" w:name="_Hlk522547721"/>
      <w:bookmarkEnd w:id="5"/>
      <w:bookmarkEnd w:id="6"/>
    </w:p>
    <w:p w14:paraId="166F2F3C" w14:textId="662203F8" w:rsidR="00E23931" w:rsidRPr="00E23931" w:rsidRDefault="00E23931" w:rsidP="00E23931">
      <w:pPr>
        <w:pStyle w:val="SingleTxt"/>
      </w:pPr>
      <w:r w:rsidRPr="00E23931">
        <w:tab/>
        <w:t>f)</w:t>
      </w:r>
      <w:r w:rsidRPr="00E23931">
        <w:tab/>
        <w:t>поправок к Конституции (статья 41), направленных на обеспечение паритета в ходе выборов в законодательные органы на федеральном и местном уровнях (в 2014 году);</w:t>
      </w:r>
    </w:p>
    <w:p w14:paraId="4273C1CD" w14:textId="41FF1C48" w:rsidR="00E23931" w:rsidRPr="00E23931" w:rsidRDefault="00E23931" w:rsidP="00E23931">
      <w:pPr>
        <w:pStyle w:val="SingleTxt"/>
      </w:pPr>
      <w:r w:rsidRPr="00E23931">
        <w:tab/>
        <w:t>g)</w:t>
      </w:r>
      <w:r w:rsidRPr="00E23931">
        <w:tab/>
        <w:t>Общего закона о правах девочек, мальчиков и подростков, содержащего положения о равных правах девочек и мальчиков на образование, защиту здоровья и участие (в 2014 году);</w:t>
      </w:r>
    </w:p>
    <w:p w14:paraId="6DDEA75E" w14:textId="72ECD22A" w:rsidR="00E23931" w:rsidRPr="00E23931" w:rsidRDefault="00E23931" w:rsidP="00E23931">
      <w:pPr>
        <w:pStyle w:val="SingleTxt"/>
      </w:pPr>
      <w:r w:rsidRPr="00E23931">
        <w:tab/>
        <w:t>h)</w:t>
      </w:r>
      <w:r w:rsidRPr="00E23931">
        <w:tab/>
        <w:t>Закона об электросвязи и теле- и радиовещании, девять статей которого направлены на обеспечение гендерного равенства в различных сферах (в 2014 году).</w:t>
      </w:r>
    </w:p>
    <w:p w14:paraId="11C7AF72" w14:textId="77777777" w:rsidR="00E23931" w:rsidRPr="00E23931" w:rsidRDefault="00E23931" w:rsidP="00E23931">
      <w:pPr>
        <w:pStyle w:val="SingleTxt"/>
      </w:pPr>
      <w:r w:rsidRPr="00E23931">
        <w:t>5.</w:t>
      </w:r>
      <w:r w:rsidRPr="00E23931">
        <w:tab/>
        <w:t>Комитет высоко оценивает деятельность государства-участника по совершенствованию его институциональной и нормативной базы с целью активизации работы по ликвидации дискриминации в отношении женщин и обеспечения гендерного равенства, в том числе посредством принятия или утверждения:</w:t>
      </w:r>
    </w:p>
    <w:p w14:paraId="34A26A47" w14:textId="02479790" w:rsidR="00E23931" w:rsidRPr="00E23931" w:rsidRDefault="00E23931" w:rsidP="00E23931">
      <w:pPr>
        <w:pStyle w:val="SingleTxt"/>
      </w:pPr>
      <w:r w:rsidRPr="00E23931">
        <w:tab/>
        <w:t>а)</w:t>
      </w:r>
      <w:r w:rsidRPr="00E23931">
        <w:tab/>
        <w:t>национальной программы обеспечения равных возможностей и недопущения дискриминации в отношении женщин на период 2013–2018 годов;</w:t>
      </w:r>
    </w:p>
    <w:p w14:paraId="55D3F2AB" w14:textId="0F8E1DFF" w:rsidR="00E23931" w:rsidRPr="00E23931" w:rsidRDefault="00E23931" w:rsidP="00E23931">
      <w:pPr>
        <w:pStyle w:val="SingleTxt"/>
      </w:pPr>
      <w:r w:rsidRPr="00E23931">
        <w:tab/>
        <w:t>b)</w:t>
      </w:r>
      <w:r w:rsidRPr="00E23931">
        <w:tab/>
        <w:t>национальной программы обеспечения равенства и недопущения дискриминации на период 2014–2018 годов;</w:t>
      </w:r>
    </w:p>
    <w:p w14:paraId="3F1171E6" w14:textId="5A217955" w:rsidR="00E23931" w:rsidRPr="00E23931" w:rsidRDefault="00E23931" w:rsidP="00E23931">
      <w:pPr>
        <w:pStyle w:val="SingleTxt"/>
      </w:pPr>
      <w:r w:rsidRPr="00E23931">
        <w:tab/>
        <w:t>c)</w:t>
      </w:r>
      <w:r w:rsidRPr="00E23931">
        <w:tab/>
        <w:t>национальной программы по правам человека на период 2014–2018 годов;</w:t>
      </w:r>
    </w:p>
    <w:p w14:paraId="1B4B4DFD" w14:textId="51389D7A" w:rsidR="00E23931" w:rsidRPr="00E23931" w:rsidRDefault="00E23931" w:rsidP="00E23931">
      <w:pPr>
        <w:pStyle w:val="SingleTxt"/>
      </w:pPr>
      <w:r w:rsidRPr="00E23931">
        <w:tab/>
        <w:t>d)</w:t>
      </w:r>
      <w:r w:rsidRPr="00E23931">
        <w:tab/>
        <w:t>комплексной программы предупреждения насилия в отношении женщин, борьбы с этим явлением, наказания за него и его искоренения, охватывающей период с 2014 по 2018 год;</w:t>
      </w:r>
    </w:p>
    <w:p w14:paraId="32FB96B0" w14:textId="03FE24DF" w:rsidR="00E23931" w:rsidRPr="00E23931" w:rsidRDefault="00E23931" w:rsidP="00E23931">
      <w:pPr>
        <w:pStyle w:val="SingleTxt"/>
      </w:pPr>
      <w:r w:rsidRPr="00E23931">
        <w:tab/>
        <w:t>е)</w:t>
      </w:r>
      <w:r w:rsidRPr="00E23931">
        <w:tab/>
        <w:t>национальной программы улучшения положения и интеграции инвалидов на период с 2014 по 2018 год;</w:t>
      </w:r>
    </w:p>
    <w:p w14:paraId="78D0A51E" w14:textId="47D9206E" w:rsidR="00E23931" w:rsidRPr="00E23931" w:rsidRDefault="00E23931" w:rsidP="00E23931">
      <w:pPr>
        <w:pStyle w:val="SingleTxt"/>
      </w:pPr>
      <w:r w:rsidRPr="00E23931">
        <w:tab/>
        <w:t>f)</w:t>
      </w:r>
      <w:r w:rsidRPr="00E23931">
        <w:tab/>
        <w:t>соглашения об обеспечении гендерного равенства и борьбе с насилием в отношении женщин в средствах массовой информации, подписанного в 2016 году;</w:t>
      </w:r>
      <w:bookmarkStart w:id="7" w:name="_Hlk521921447"/>
      <w:bookmarkEnd w:id="7"/>
    </w:p>
    <w:p w14:paraId="775B5F2A" w14:textId="6FBDF63F" w:rsidR="00E23931" w:rsidRPr="00E23931" w:rsidRDefault="00E23931" w:rsidP="00E23931">
      <w:pPr>
        <w:pStyle w:val="SingleTxt"/>
      </w:pPr>
      <w:r w:rsidRPr="00E23931">
        <w:tab/>
        <w:t>g)</w:t>
      </w:r>
      <w:r w:rsidRPr="00E23931">
        <w:tab/>
        <w:t>национальной стратегии по предупреждению подростковой беременности, реализованной в 2015 году.</w:t>
      </w:r>
    </w:p>
    <w:p w14:paraId="075EC46C" w14:textId="77777777" w:rsidR="00E23931" w:rsidRPr="00E23931" w:rsidRDefault="00E23931" w:rsidP="00E23931">
      <w:pPr>
        <w:pStyle w:val="SingleTxt"/>
      </w:pPr>
      <w:r w:rsidRPr="00E23931">
        <w:t>6.</w:t>
      </w:r>
      <w:r w:rsidRPr="00E23931">
        <w:tab/>
        <w:t>Комитет приветствует тот факт, что в 2015 году государство-участник ратифицировало Конвенцию Международной организации труда (МОТ) 1973 года о минимальном возрасте (№ 138).</w:t>
      </w:r>
    </w:p>
    <w:p w14:paraId="59A227F1" w14:textId="659CCA5E" w:rsidR="00E23931" w:rsidRPr="009F0383" w:rsidRDefault="00E23931" w:rsidP="009F0383">
      <w:pPr>
        <w:pStyle w:val="SingleTxt"/>
        <w:spacing w:after="0" w:line="120" w:lineRule="exact"/>
        <w:rPr>
          <w:bCs/>
          <w:sz w:val="10"/>
        </w:rPr>
      </w:pPr>
      <w:bookmarkStart w:id="8" w:name="_Hlk521675430"/>
    </w:p>
    <w:p w14:paraId="3CE3380B" w14:textId="77777777" w:rsidR="00E23931" w:rsidRPr="00E23931" w:rsidRDefault="00E23931" w:rsidP="009F038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23931">
        <w:tab/>
      </w:r>
      <w:r w:rsidRPr="00E23931">
        <w:tab/>
        <w:t>Цели в области устойчивого развития</w:t>
      </w:r>
    </w:p>
    <w:p w14:paraId="73E9E29F" w14:textId="34AC11D2" w:rsidR="00E23931" w:rsidRPr="009F0383" w:rsidRDefault="00E23931" w:rsidP="009F0383">
      <w:pPr>
        <w:pStyle w:val="SingleTxt"/>
        <w:spacing w:after="0" w:line="120" w:lineRule="exact"/>
        <w:rPr>
          <w:sz w:val="10"/>
        </w:rPr>
      </w:pPr>
    </w:p>
    <w:p w14:paraId="6EA7EBCA" w14:textId="77777777" w:rsidR="00E23931" w:rsidRPr="00E23931" w:rsidRDefault="00E23931" w:rsidP="00E23931">
      <w:pPr>
        <w:pStyle w:val="SingleTxt"/>
      </w:pPr>
      <w:r w:rsidRPr="00E23931">
        <w:t>7.</w:t>
      </w:r>
      <w:r w:rsidRPr="00E23931">
        <w:tab/>
        <w:t>Комитет с удовлетворением отмечает поддержку международным сообществом целей в области устойчивого развития и призывает обеспечивать, в соответствии с положениями Конвенции, реальное гендерное равенство на законодательном уровне и на практике на протяжении всего процесса осуществления Повестки дня в области устойчивого развития на период до 2030 года. Комитет напоминает о важности цели 5 и необходимости учитывать принципы равенства и недопущения дискриминации в ходе достижения всех 17 целей. Он призывает государство-участник рассматривать женщин как движущую силу устойчивого развития своей страны и принимать для этого соответствующие стратегии и меры политического характера.</w:t>
      </w:r>
    </w:p>
    <w:bookmarkEnd w:id="8"/>
    <w:p w14:paraId="3B0D924E" w14:textId="2176A13B" w:rsidR="00E23931" w:rsidRPr="009F0383" w:rsidRDefault="00E23931" w:rsidP="009F0383">
      <w:pPr>
        <w:pStyle w:val="SingleTxt"/>
        <w:spacing w:after="0" w:line="120" w:lineRule="exact"/>
        <w:rPr>
          <w:bCs/>
          <w:sz w:val="10"/>
        </w:rPr>
      </w:pPr>
    </w:p>
    <w:p w14:paraId="5F141A31" w14:textId="213DA7C3" w:rsidR="009F0383" w:rsidRPr="009F0383" w:rsidRDefault="009F0383" w:rsidP="009F0383">
      <w:pPr>
        <w:pStyle w:val="SingleTxt"/>
        <w:spacing w:after="0" w:line="120" w:lineRule="exact"/>
        <w:rPr>
          <w:bCs/>
          <w:sz w:val="10"/>
        </w:rPr>
      </w:pPr>
    </w:p>
    <w:p w14:paraId="64DD7732" w14:textId="6D86DCA0" w:rsidR="00E23931" w:rsidRPr="00E23931" w:rsidRDefault="00E23931" w:rsidP="009F038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23931">
        <w:tab/>
        <w:t>C.</w:t>
      </w:r>
      <w:r w:rsidRPr="00E23931">
        <w:tab/>
        <w:t>Парламент</w:t>
      </w:r>
    </w:p>
    <w:p w14:paraId="1F329AF3" w14:textId="69CAC8F4" w:rsidR="00E23931" w:rsidRPr="009F0383" w:rsidRDefault="00E23931" w:rsidP="009F0383">
      <w:pPr>
        <w:pStyle w:val="SingleTxt"/>
        <w:spacing w:after="0" w:line="120" w:lineRule="exact"/>
        <w:rPr>
          <w:sz w:val="10"/>
        </w:rPr>
      </w:pPr>
    </w:p>
    <w:p w14:paraId="238C28F6" w14:textId="530C238F" w:rsidR="009F0383" w:rsidRPr="009F0383" w:rsidRDefault="009F0383" w:rsidP="009F0383">
      <w:pPr>
        <w:pStyle w:val="SingleTxt"/>
        <w:spacing w:after="0" w:line="120" w:lineRule="exact"/>
        <w:rPr>
          <w:sz w:val="10"/>
        </w:rPr>
      </w:pPr>
    </w:p>
    <w:p w14:paraId="06F88E13" w14:textId="77777777" w:rsidR="00E23931" w:rsidRPr="00E23931" w:rsidRDefault="00E23931" w:rsidP="00E23931">
      <w:pPr>
        <w:pStyle w:val="SingleTxt"/>
      </w:pPr>
      <w:r w:rsidRPr="00E23931">
        <w:t>8.</w:t>
      </w:r>
      <w:r w:rsidRPr="00E23931">
        <w:tab/>
      </w:r>
      <w:r w:rsidRPr="00E23931">
        <w:rPr>
          <w:b/>
        </w:rPr>
        <w:t>Комитет подчеркивает чрезвычайно важную роль законодательной власти в обеспечении полного осуществления Конвенции (см. заявление Комитета о его взаимоотношениях с парламентариями, принятое на сорок пятой сессии в 2010 году). Комитет предлагает Национальному конгрессу, в соответствии с его мандатом, принять необходимые меры по выполнению настоящих заключительных замечаний в период до представления следующего периодического доклада.</w:t>
      </w:r>
    </w:p>
    <w:p w14:paraId="28FFC680" w14:textId="5A7B44D0" w:rsidR="00E23931" w:rsidRPr="009F0383" w:rsidRDefault="00E23931" w:rsidP="009F0383">
      <w:pPr>
        <w:pStyle w:val="SingleTxt"/>
        <w:spacing w:after="0" w:line="120" w:lineRule="exact"/>
        <w:rPr>
          <w:bCs/>
          <w:sz w:val="10"/>
        </w:rPr>
      </w:pPr>
    </w:p>
    <w:p w14:paraId="460BCCCF" w14:textId="4DBCF498" w:rsidR="009F0383" w:rsidRPr="009F0383" w:rsidRDefault="009F0383" w:rsidP="009F0383">
      <w:pPr>
        <w:pStyle w:val="SingleTxt"/>
        <w:spacing w:after="0" w:line="120" w:lineRule="exact"/>
        <w:rPr>
          <w:bCs/>
          <w:sz w:val="10"/>
        </w:rPr>
      </w:pPr>
    </w:p>
    <w:p w14:paraId="749D13EA" w14:textId="77777777" w:rsidR="00E23931" w:rsidRPr="00E23931" w:rsidRDefault="00E23931" w:rsidP="009F038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23931">
        <w:tab/>
        <w:t>D.</w:t>
      </w:r>
      <w:r w:rsidRPr="00E23931">
        <w:tab/>
        <w:t>Основные проблемные области и рекомендации</w:t>
      </w:r>
    </w:p>
    <w:p w14:paraId="4911FCB5" w14:textId="575A7721" w:rsidR="00E23931" w:rsidRPr="009F0383" w:rsidRDefault="00E23931" w:rsidP="009F0383">
      <w:pPr>
        <w:pStyle w:val="SingleTxt"/>
        <w:spacing w:after="0" w:line="120" w:lineRule="exact"/>
        <w:rPr>
          <w:bCs/>
          <w:sz w:val="10"/>
        </w:rPr>
      </w:pPr>
    </w:p>
    <w:p w14:paraId="4499015C" w14:textId="3CD5EE21" w:rsidR="009F0383" w:rsidRPr="009F0383" w:rsidRDefault="009F0383" w:rsidP="009F0383">
      <w:pPr>
        <w:pStyle w:val="SingleTxt"/>
        <w:spacing w:after="0" w:line="120" w:lineRule="exact"/>
        <w:rPr>
          <w:bCs/>
          <w:sz w:val="10"/>
        </w:rPr>
      </w:pPr>
    </w:p>
    <w:p w14:paraId="0FFDFE96" w14:textId="77777777" w:rsidR="00E23931" w:rsidRPr="00E23931" w:rsidRDefault="00E23931" w:rsidP="009F038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23931">
        <w:tab/>
      </w:r>
      <w:r w:rsidRPr="00E23931">
        <w:tab/>
        <w:t>Общая ситуация и гендерное насилие</w:t>
      </w:r>
    </w:p>
    <w:p w14:paraId="1E1C7AB7" w14:textId="5A791EF0" w:rsidR="00E23931" w:rsidRPr="009F0383" w:rsidRDefault="00E23931" w:rsidP="009F0383">
      <w:pPr>
        <w:pStyle w:val="SingleTxt"/>
        <w:spacing w:after="0" w:line="120" w:lineRule="exact"/>
        <w:rPr>
          <w:sz w:val="10"/>
        </w:rPr>
      </w:pPr>
    </w:p>
    <w:p w14:paraId="459C7720" w14:textId="4B68DEFF" w:rsidR="00E23931" w:rsidRPr="00E23931" w:rsidRDefault="00E23931" w:rsidP="00E23931">
      <w:pPr>
        <w:pStyle w:val="SingleTxt"/>
      </w:pPr>
      <w:r w:rsidRPr="00E23931">
        <w:t>9.</w:t>
      </w:r>
      <w:r w:rsidRPr="00E23931">
        <w:tab/>
        <w:t>Комитет отмечает действия государства-участника по устранению общей атмосферы насилия и по обеспечению прав женщин. Вместе с тем он подтверждает ранее высказанную обеспокоенность (</w:t>
      </w:r>
      <w:hyperlink r:id="rId21" w:history="1">
        <w:r w:rsidRPr="00E23931">
          <w:rPr>
            <w:rStyle w:val="Hyperlink"/>
          </w:rPr>
          <w:t>CEDAW/C/MEX/CO/7-8</w:t>
        </w:r>
      </w:hyperlink>
      <w:r w:rsidRPr="00E23931">
        <w:t>, пункт 11) и выражает сожаление в связи с тем, что сохраняющиеся в государстве-участнике высокие уровни опасности, насилия и организованной преступности, а также проблемы с реализацией стратегий обеспечения общественной безопасности негативно сказываются на осуществлении женщинами и девочками их прав человека. Комитет также обеспокоен тем, что активизация в государстве-участнике пропаганды, направленной против гендерного равенства, может подорвать успехи, достигнутые в последние годы в деле достижения</w:t>
      </w:r>
      <w:r w:rsidR="009F0383">
        <w:t xml:space="preserve"> гендерного равенства.</w:t>
      </w:r>
    </w:p>
    <w:p w14:paraId="1E92ECC1" w14:textId="113FC59D" w:rsidR="00E23931" w:rsidRPr="00E23931" w:rsidRDefault="00E23931" w:rsidP="00E23931">
      <w:pPr>
        <w:pStyle w:val="SingleTxt"/>
      </w:pPr>
      <w:r w:rsidRPr="00E23931">
        <w:t>10.</w:t>
      </w:r>
      <w:r w:rsidRPr="00E23931">
        <w:tab/>
      </w:r>
      <w:r w:rsidRPr="00E23931">
        <w:rPr>
          <w:b/>
        </w:rPr>
        <w:t>Комитет подтверждает свои предыдущие рекомендации (</w:t>
      </w:r>
      <w:hyperlink r:id="rId22" w:history="1">
        <w:r w:rsidRPr="00E23931">
          <w:rPr>
            <w:rStyle w:val="Hyperlink"/>
            <w:b/>
          </w:rPr>
          <w:t>CEDAW/C/MEX/CO/7-8</w:t>
        </w:r>
      </w:hyperlink>
      <w:r w:rsidRPr="00E23931">
        <w:rPr>
          <w:b/>
        </w:rPr>
        <w:t>, пункт 12) и настоятельно призывает государство-участник:</w:t>
      </w:r>
    </w:p>
    <w:p w14:paraId="059171B2" w14:textId="3C521ECD" w:rsidR="00E23931" w:rsidRPr="00E23931" w:rsidRDefault="00E23931" w:rsidP="00E23931">
      <w:pPr>
        <w:pStyle w:val="SingleTxt"/>
        <w:rPr>
          <w:b/>
        </w:rPr>
      </w:pPr>
      <w:r w:rsidRPr="00E23931">
        <w:tab/>
        <w:t>а)</w:t>
      </w:r>
      <w:r w:rsidRPr="00E23931">
        <w:tab/>
      </w:r>
      <w:r w:rsidRPr="00E23931">
        <w:rPr>
          <w:b/>
        </w:rPr>
        <w:t>укреплять свою стратегию обеспечения общественной безопасности в контексте борьбы с организованной преступностью в соответствии со своими международными обязательствами в области прав человека, в том числе в соответствии с Конвенцией, и обеспечить снижение высоких уровней опасности и насилия в стране, которые по-прежнему затрагивают женщин и девочек;</w:t>
      </w:r>
    </w:p>
    <w:p w14:paraId="37C37B61" w14:textId="3574613C" w:rsidR="00E23931" w:rsidRPr="00E23931" w:rsidRDefault="00E23931" w:rsidP="00E23931">
      <w:pPr>
        <w:pStyle w:val="SingleTxt"/>
      </w:pPr>
      <w:r w:rsidRPr="00E23931">
        <w:tab/>
        <w:t>b)</w:t>
      </w:r>
      <w:r w:rsidRPr="00E23931">
        <w:tab/>
      </w:r>
      <w:r w:rsidRPr="00E23931">
        <w:rPr>
          <w:b/>
        </w:rPr>
        <w:t>принять надлежащие меры по повышению осведомленности о правах человека женщин посредством проведения кампаний и мероприятий по наращиванию потенциала общественности, разрабатываемых и осуществляемых при активном участии женских организаций, и вести борьбу с пропагандой идей противников гендерного равенства.</w:t>
      </w:r>
    </w:p>
    <w:p w14:paraId="6160F72D" w14:textId="4CC30E91" w:rsidR="00E23931" w:rsidRPr="009F0383" w:rsidRDefault="00E23931" w:rsidP="009F0383">
      <w:pPr>
        <w:pStyle w:val="SingleTxt"/>
        <w:spacing w:after="0" w:line="120" w:lineRule="exact"/>
        <w:rPr>
          <w:bCs/>
          <w:sz w:val="10"/>
        </w:rPr>
      </w:pPr>
    </w:p>
    <w:p w14:paraId="5FF7695D" w14:textId="519196B6" w:rsidR="00E23931" w:rsidRPr="00E23931" w:rsidRDefault="00E23931" w:rsidP="009F038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23931">
        <w:tab/>
      </w:r>
      <w:r w:rsidRPr="00E23931">
        <w:tab/>
        <w:t>Законодательная база и определение дискриминации в отношении женщин</w:t>
      </w:r>
    </w:p>
    <w:p w14:paraId="319203D5" w14:textId="594F9A5C" w:rsidR="00E23931" w:rsidRPr="009F0383" w:rsidRDefault="00E23931" w:rsidP="009F0383">
      <w:pPr>
        <w:pStyle w:val="SingleTxt"/>
        <w:spacing w:after="0" w:line="120" w:lineRule="exact"/>
        <w:rPr>
          <w:sz w:val="10"/>
        </w:rPr>
      </w:pPr>
    </w:p>
    <w:p w14:paraId="49A9BD33" w14:textId="77777777" w:rsidR="00E23931" w:rsidRPr="00E23931" w:rsidRDefault="00E23931" w:rsidP="00E23931">
      <w:pPr>
        <w:pStyle w:val="SingleTxt"/>
      </w:pPr>
      <w:r w:rsidRPr="00E23931">
        <w:t>11.</w:t>
      </w:r>
      <w:r w:rsidRPr="00E23931">
        <w:tab/>
        <w:t>Комитет приветствует усилия, направленные на дальнейшее приведение нормативно-правовой базы в соответствие с положениями Конвенции, в том числе путем внесения поправок в статью 73 Конституции, которая дает Конгрессу право ускорять принятие федеральных законов и национальной программы по обеспечению равенства и недопущению дискриминации на период 2014–2018 годов. Вместе с тем у Комитета по-прежнему вызывают обеспокоенность следующие проблемы:</w:t>
      </w:r>
    </w:p>
    <w:p w14:paraId="0FCC178F" w14:textId="328C987D" w:rsidR="00E23931" w:rsidRPr="00E23931" w:rsidRDefault="00E23931" w:rsidP="00E23931">
      <w:pPr>
        <w:pStyle w:val="SingleTxt"/>
      </w:pPr>
      <w:r w:rsidRPr="00E23931">
        <w:tab/>
        <w:t>а)</w:t>
      </w:r>
      <w:r w:rsidRPr="00E23931">
        <w:tab/>
        <w:t>сохранение в законодательстве положений, содержащих дискриминацию по признаку пола, а также несоответствие между положениями гражданского и уголовного законодательства на уровне штатов по-прежнему препятствуют действенному осуществлению Конвенции и национального законодательства о гендерном равенстве;</w:t>
      </w:r>
    </w:p>
    <w:p w14:paraId="23B08E1C" w14:textId="56C2AFA7" w:rsidR="00E23931" w:rsidRPr="00E23931" w:rsidRDefault="00E23931" w:rsidP="00E23931">
      <w:pPr>
        <w:pStyle w:val="SingleTxt"/>
      </w:pPr>
      <w:r w:rsidRPr="00E23931">
        <w:tab/>
        <w:t>b)</w:t>
      </w:r>
      <w:r w:rsidRPr="00E23931">
        <w:tab/>
        <w:t>отсутствие эффективных механизмов и недостаточные бюджетные ассигнования на уровне штатов на меры по осуществлению и контролю за осуществлением законов, касающихся гендерного равенства и права женщин на жизнь, свободную от насилия, не позволяют ликвидировать дискриминацию, и прежде всего взаимосвязанные формы дискриминации, в частности в отношении женщин из числа коренного населения, мексиканских женщин африканского происхождения, женщин-мигрантов, женщин-инвалидов, женщин — лесбиянок, бисексуалов, трансгендеров и интерсексуалов;</w:t>
      </w:r>
    </w:p>
    <w:p w14:paraId="474894C0" w14:textId="4D557DC2" w:rsidR="00E23931" w:rsidRPr="00E23931" w:rsidRDefault="00E23931" w:rsidP="00E23931">
      <w:pPr>
        <w:pStyle w:val="SingleTxt"/>
      </w:pPr>
      <w:r w:rsidRPr="00E23931">
        <w:tab/>
        <w:t>с)</w:t>
      </w:r>
      <w:r w:rsidRPr="00E23931">
        <w:tab/>
        <w:t xml:space="preserve">отсутствие единого уголовного кодекса и судебного механизма рассмотрения дел о дискриминации в отношении женщин обусловило малое количество случаев привлечения к судебной ответственности за </w:t>
      </w:r>
      <w:r w:rsidR="009F0383">
        <w:t>дискриминацию по признаку пола.</w:t>
      </w:r>
    </w:p>
    <w:p w14:paraId="4A25D437" w14:textId="77777777" w:rsidR="009F0383" w:rsidRDefault="009F0383">
      <w:pPr>
        <w:spacing w:after="200" w:line="276" w:lineRule="auto"/>
      </w:pPr>
      <w:r>
        <w:br w:type="page"/>
      </w:r>
    </w:p>
    <w:p w14:paraId="467F55A7" w14:textId="63C65132" w:rsidR="00E23931" w:rsidRPr="00E23931" w:rsidRDefault="00E23931" w:rsidP="00E23931">
      <w:pPr>
        <w:pStyle w:val="SingleTxt"/>
      </w:pPr>
      <w:r w:rsidRPr="00E23931">
        <w:t>12.</w:t>
      </w:r>
      <w:r w:rsidRPr="00E23931">
        <w:tab/>
      </w:r>
      <w:r w:rsidRPr="00E23931">
        <w:rPr>
          <w:b/>
        </w:rPr>
        <w:t>В соответствии с обязательствами государства-участника в рамках Конвенции и с задачей 5.1 в области устойчивого развития, предусматривающей ликвидацию всех форм дискриминации в отношении всех женщин и девочек, а также с учетом конструктивных усилий, выразившихся в принятии государством-участником других общих законов, Комитет рекомендует государству-участнику:</w:t>
      </w:r>
    </w:p>
    <w:p w14:paraId="1E05C196" w14:textId="284B0EC9" w:rsidR="00E23931" w:rsidRPr="00E23931" w:rsidRDefault="00E23931" w:rsidP="00E23931">
      <w:pPr>
        <w:pStyle w:val="SingleTxt"/>
      </w:pPr>
      <w:r w:rsidRPr="00E23931">
        <w:tab/>
        <w:t>a)</w:t>
      </w:r>
      <w:r w:rsidRPr="00E23931">
        <w:tab/>
      </w:r>
      <w:r w:rsidRPr="00E23931">
        <w:rPr>
          <w:b/>
        </w:rPr>
        <w:t>устранить все содержащиеся в его законодательстве положения, дискриминирующие женщин и девочек, и унифицировать юридические определения дискриминации и насилия в отношении женщин и меры наказания за эти деяния;</w:t>
      </w:r>
    </w:p>
    <w:p w14:paraId="5DE049C4" w14:textId="6282EF76" w:rsidR="00E23931" w:rsidRPr="00E23931" w:rsidRDefault="00E23931" w:rsidP="00E23931">
      <w:pPr>
        <w:pStyle w:val="SingleTxt"/>
      </w:pPr>
      <w:r w:rsidRPr="00E23931">
        <w:tab/>
        <w:t>b)</w:t>
      </w:r>
      <w:r w:rsidRPr="00E23931">
        <w:tab/>
      </w:r>
      <w:r w:rsidRPr="00E23931">
        <w:rPr>
          <w:b/>
        </w:rPr>
        <w:t>внести изменения в статью 73 Конституции, с тем чтобы дать Конгрессу возможность принять национальный уголовный кодекс, регулирующий все уголовные правоотношения, в том числе все уголовные преступления и санкции, или установить минимальные нормы, которые полностью гарантировали бы права женщин в рамках общего закона по уголовным делам;</w:t>
      </w:r>
    </w:p>
    <w:p w14:paraId="007ADFD7" w14:textId="542975C8" w:rsidR="00E23931" w:rsidRPr="00E23931" w:rsidRDefault="00E23931" w:rsidP="00E23931">
      <w:pPr>
        <w:pStyle w:val="SingleTxt"/>
      </w:pPr>
      <w:r w:rsidRPr="00E23931">
        <w:tab/>
        <w:t>с)</w:t>
      </w:r>
      <w:r w:rsidRPr="00E23931">
        <w:tab/>
      </w:r>
      <w:r w:rsidRPr="00E23931">
        <w:rPr>
          <w:b/>
        </w:rPr>
        <w:t>создать судебный механизм рассмотрения жалоб, непосредственно касающихся случаев дискриминации в отношении женщин, и обеспечить выделение кадровых, технических и финансовых ресурсов, необходимых для его эффективного функционирования, в том числе подготовки сотрудников судебных органов по вопросам применения Конвенции и других законов о борьбе с дискриминацией;</w:t>
      </w:r>
    </w:p>
    <w:p w14:paraId="04E9E359" w14:textId="5F6D64B5" w:rsidR="00E23931" w:rsidRPr="00E23931" w:rsidRDefault="00E23931" w:rsidP="00E23931">
      <w:pPr>
        <w:pStyle w:val="SingleTxt"/>
      </w:pPr>
      <w:r w:rsidRPr="00E23931">
        <w:tab/>
        <w:t>d)</w:t>
      </w:r>
      <w:r w:rsidRPr="00E23931">
        <w:tab/>
      </w:r>
      <w:r w:rsidRPr="00E23931">
        <w:rPr>
          <w:b/>
        </w:rPr>
        <w:t>принять дорожную карту с указанием в ней надлежащих ресурсов, сроков и поддающихся измерению целевых показателей, необходимых властям на федеральном уровне, уровне штатов и местном уровне для претворения в жизнь соответствующих законов о предупреждении и искоренении всех видов фактической дискриминации в отношении женщин, в частности женщин из числа коренного населения, мексиканских женщин африканского происхождения, женщин-мигрантов, женщин-инвалидов, женщин</w:t>
      </w:r>
      <w:r w:rsidR="00CB052C">
        <w:rPr>
          <w:b/>
          <w:lang w:val="en-US"/>
        </w:rPr>
        <w:t> </w:t>
      </w:r>
      <w:r w:rsidRPr="00E23931">
        <w:rPr>
          <w:b/>
        </w:rPr>
        <w:t>— лесбиянок, бисексуалов, трансгендеров и интерсексуалов.</w:t>
      </w:r>
    </w:p>
    <w:p w14:paraId="1BC36F34" w14:textId="4FC520F0" w:rsidR="00E23931" w:rsidRPr="009F0383" w:rsidRDefault="00E23931" w:rsidP="009F0383">
      <w:pPr>
        <w:pStyle w:val="SingleTxt"/>
        <w:spacing w:after="0" w:line="120" w:lineRule="exact"/>
        <w:rPr>
          <w:bCs/>
          <w:sz w:val="10"/>
        </w:rPr>
      </w:pPr>
    </w:p>
    <w:p w14:paraId="338DE0C3" w14:textId="77777777" w:rsidR="00E23931" w:rsidRPr="00E23931" w:rsidRDefault="00E23931" w:rsidP="009F038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23931">
        <w:tab/>
      </w:r>
      <w:r w:rsidRPr="00E23931">
        <w:tab/>
        <w:t>Доступ к правосудию</w:t>
      </w:r>
    </w:p>
    <w:p w14:paraId="64F45C3C" w14:textId="45C2C4E1" w:rsidR="00E23931" w:rsidRPr="009F0383" w:rsidRDefault="00E23931" w:rsidP="009F0383">
      <w:pPr>
        <w:pStyle w:val="SingleTxt"/>
        <w:spacing w:after="0" w:line="120" w:lineRule="exact"/>
        <w:rPr>
          <w:sz w:val="10"/>
        </w:rPr>
      </w:pPr>
    </w:p>
    <w:p w14:paraId="0D83659F" w14:textId="77777777" w:rsidR="00E23931" w:rsidRPr="00E23931" w:rsidRDefault="00E23931" w:rsidP="00E23931">
      <w:pPr>
        <w:pStyle w:val="SingleTxt"/>
      </w:pPr>
      <w:r w:rsidRPr="00E23931">
        <w:t>13.</w:t>
      </w:r>
      <w:r w:rsidRPr="00E23931">
        <w:tab/>
        <w:t>Комитет приветствует шаги, предпринятые государством-участником для расширения доступа женщин к правосудию, в том числе принятие протокола рассмотрения дел в суде с учетом гендерных аспектов. Вместе с тем он выражает обеспокоенность в связи с тем, что доступу женщин к правосудию по-прежнему препятствуют глубоко укоренившиеся барьеры институционального, структурного и практического характера, в том числе:</w:t>
      </w:r>
    </w:p>
    <w:p w14:paraId="04DE2B47" w14:textId="02BD6832" w:rsidR="00E23931" w:rsidRPr="00E23931" w:rsidRDefault="00E23931" w:rsidP="00E23931">
      <w:pPr>
        <w:pStyle w:val="SingleTxt"/>
      </w:pPr>
      <w:r w:rsidRPr="00E23931">
        <w:tab/>
        <w:t>а)</w:t>
      </w:r>
      <w:r w:rsidRPr="00E23931">
        <w:tab/>
        <w:t>дискриминационные стереотипы и недостаточная осведомленность работников судебных органов, юристов и сотрудников правоохранительных органов, включая сотрудников полиции, о правах женщин;</w:t>
      </w:r>
    </w:p>
    <w:p w14:paraId="5A2F0434" w14:textId="6F99CE8D" w:rsidR="00E23931" w:rsidRPr="00E23931" w:rsidRDefault="00E23931" w:rsidP="00E23931">
      <w:pPr>
        <w:pStyle w:val="SingleTxt"/>
      </w:pPr>
      <w:r w:rsidRPr="00E23931">
        <w:tab/>
        <w:t>b)</w:t>
      </w:r>
      <w:r w:rsidRPr="00E23931">
        <w:tab/>
        <w:t>основанные на стереотипах критерии толкования и предвзятость судебных органов при вынесении решений по делам, а также непривлечение к ответственности судей, не выполняющих требования об учете гендерных аспектов при рассмотрении дел, наряду с ограниченным доступом общественности к судебным решениям;</w:t>
      </w:r>
    </w:p>
    <w:p w14:paraId="58C12EAF" w14:textId="7A95F014" w:rsidR="00E23931" w:rsidRPr="00E23931" w:rsidRDefault="00E23931" w:rsidP="00E23931">
      <w:pPr>
        <w:pStyle w:val="SingleTxt"/>
      </w:pPr>
      <w:r w:rsidRPr="00E23931">
        <w:tab/>
        <w:t>c)</w:t>
      </w:r>
      <w:r w:rsidRPr="00E23931">
        <w:tab/>
        <w:t>финансовые, языковые и географические препятствия доступу к правосудию, с которыми сталкиваются женщины с низким уровнем дохода, сельские женщины, женщины из числа коренного населения и женщины-инвалиды;</w:t>
      </w:r>
    </w:p>
    <w:p w14:paraId="0628C9B8" w14:textId="65282F04" w:rsidR="00E23931" w:rsidRPr="00E23931" w:rsidRDefault="00E23931" w:rsidP="00E23931">
      <w:pPr>
        <w:pStyle w:val="SingleTxt"/>
      </w:pPr>
      <w:r w:rsidRPr="00E23931">
        <w:tab/>
        <w:t>d)</w:t>
      </w:r>
      <w:r w:rsidRPr="00E23931">
        <w:tab/>
        <w:t>ограниченность осведомленности женщин об их правах в соответствии с Конвенцией, а также средств судебной защиты, имеющихся в их распоряжении, в том числе в распоряжении жертв гендерного насилия, и низкие показатели судебного преследования по таким делам.</w:t>
      </w:r>
    </w:p>
    <w:p w14:paraId="65CF38A9" w14:textId="77777777" w:rsidR="00E23931" w:rsidRPr="00E23931" w:rsidRDefault="00E23931" w:rsidP="00E23931">
      <w:pPr>
        <w:pStyle w:val="SingleTxt"/>
      </w:pPr>
      <w:r w:rsidRPr="00E23931">
        <w:t>14.</w:t>
      </w:r>
      <w:r w:rsidRPr="00E23931">
        <w:tab/>
      </w:r>
      <w:r w:rsidRPr="00E23931">
        <w:rPr>
          <w:b/>
        </w:rPr>
        <w:t>В соответствии с Конвенцией и общей рекомендацией Комитета № 33 (2015), касающейся доступа женщин к правосудию, Комитет рекомендует государству-участнику:</w:t>
      </w:r>
    </w:p>
    <w:p w14:paraId="59BD9AA9" w14:textId="51A0A11E" w:rsidR="00E23931" w:rsidRPr="00E23931" w:rsidRDefault="00E23931" w:rsidP="00E23931">
      <w:pPr>
        <w:pStyle w:val="SingleTxt"/>
      </w:pPr>
      <w:r w:rsidRPr="00E23931">
        <w:tab/>
        <w:t>a)</w:t>
      </w:r>
      <w:r w:rsidRPr="00E23931">
        <w:tab/>
      </w:r>
      <w:r w:rsidRPr="00E23931">
        <w:rPr>
          <w:b/>
        </w:rPr>
        <w:t>обеспечить на федеральном уровне, на уровне штатов и на местном уровне систематическое и обязательное наращивание потенциала судей, прокуроров, государственных защитников, адвокатов, сотрудников полиции и других правоохранительных органов по вопросам прав женщин и гендерного равенства в целях искоренения дискриминационного обращения с женщинами и девочками;</w:t>
      </w:r>
    </w:p>
    <w:p w14:paraId="59E33B7B" w14:textId="27C39BA8" w:rsidR="00E23931" w:rsidRPr="00E23931" w:rsidRDefault="00E23931" w:rsidP="00E23931">
      <w:pPr>
        <w:pStyle w:val="SingleTxt"/>
      </w:pPr>
      <w:r w:rsidRPr="00E23931">
        <w:tab/>
        <w:t>b)</w:t>
      </w:r>
      <w:r w:rsidRPr="00E23931">
        <w:tab/>
      </w:r>
      <w:r w:rsidRPr="00E23931">
        <w:rPr>
          <w:b/>
        </w:rPr>
        <w:t>принять эффективные меры для обеспечения выполнения Протокола Верховного суда относительно учета гендерных факторов при рассмотрении дел судебными органами на федеральном уровне и на уровне штатов, обеспечить привлечение к ответственности судей, проявляющих дискриминацию в отношении женщин, и пересмотреть принятый в 2015 году Общий закон о транспарентности и доступе к публичной информации, с тем чтобы обеспечить публикацию всех судебных решений;</w:t>
      </w:r>
    </w:p>
    <w:p w14:paraId="7D6DC1B6" w14:textId="6292ECF1" w:rsidR="00E23931" w:rsidRPr="00E23931" w:rsidRDefault="00E23931" w:rsidP="00E23931">
      <w:pPr>
        <w:pStyle w:val="SingleTxt"/>
      </w:pPr>
      <w:r w:rsidRPr="00E23931">
        <w:tab/>
        <w:t>с)</w:t>
      </w:r>
      <w:r w:rsidRPr="00E23931">
        <w:tab/>
      </w:r>
      <w:r w:rsidRPr="00E23931">
        <w:rPr>
          <w:b/>
        </w:rPr>
        <w:t>обеспечить предоставление женщинам, ставшим жертвами гендерного насилия и дискриминации во всех ее формах, информации о средствах правовой защиты, в том числе на языках коренных народов и в форматах, доступных для женщин-инвалидов, и создать систему выездных судов и бесплатной юридической помощи, направленную на облегчение доступа к правосудию для женщин, проживающих в сельских и отдаленных районах;</w:t>
      </w:r>
    </w:p>
    <w:p w14:paraId="76AD4FC3" w14:textId="3998CCDE" w:rsidR="00E23931" w:rsidRPr="00E23931" w:rsidRDefault="00E23931" w:rsidP="00E23931">
      <w:pPr>
        <w:pStyle w:val="SingleTxt"/>
      </w:pPr>
      <w:r w:rsidRPr="00E23931">
        <w:tab/>
        <w:t>d)</w:t>
      </w:r>
      <w:r w:rsidRPr="00E23931">
        <w:tab/>
      </w:r>
      <w:r w:rsidRPr="00E23931">
        <w:rPr>
          <w:b/>
        </w:rPr>
        <w:t>побуждать женщин подавать заявления о случаях гендерного насилия, в том числе насилия в семье, обеспечивать женщинам — жертвам дискриминации и гендерного насилия доступ к оперативным и эффективным средствам правовой защиты и гарантировать действенное расследование всех случаев гендерного насилия в отношении женщин, а также судебное преследование и соответствующее наказание виновных.</w:t>
      </w:r>
    </w:p>
    <w:p w14:paraId="71D9D45D" w14:textId="35F82908" w:rsidR="00E23931" w:rsidRPr="00CB052C" w:rsidRDefault="00E23931" w:rsidP="00CB052C">
      <w:pPr>
        <w:pStyle w:val="SingleTxt"/>
        <w:spacing w:after="0" w:line="120" w:lineRule="exact"/>
        <w:rPr>
          <w:bCs/>
          <w:sz w:val="10"/>
        </w:rPr>
      </w:pPr>
    </w:p>
    <w:p w14:paraId="4CB4DC9C" w14:textId="77777777" w:rsidR="00E23931" w:rsidRPr="00E23931" w:rsidRDefault="00E23931" w:rsidP="00CB052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23931">
        <w:tab/>
      </w:r>
      <w:r w:rsidRPr="00E23931">
        <w:tab/>
        <w:t>Национальный механизм по улучшению положения женщин и актуализация гендерной проблематики</w:t>
      </w:r>
    </w:p>
    <w:p w14:paraId="51802B01" w14:textId="2F15617F" w:rsidR="00E23931" w:rsidRPr="00CB052C" w:rsidRDefault="00E23931" w:rsidP="00CB052C">
      <w:pPr>
        <w:pStyle w:val="SingleTxt"/>
        <w:spacing w:after="0" w:line="120" w:lineRule="exact"/>
        <w:rPr>
          <w:sz w:val="10"/>
        </w:rPr>
      </w:pPr>
    </w:p>
    <w:p w14:paraId="3CFEB981" w14:textId="4D4054C6" w:rsidR="00E23931" w:rsidRPr="00E23931" w:rsidRDefault="00E23931" w:rsidP="00E23931">
      <w:pPr>
        <w:pStyle w:val="SingleTxt"/>
      </w:pPr>
      <w:r w:rsidRPr="00E23931">
        <w:t>15.</w:t>
      </w:r>
      <w:r w:rsidRPr="00E23931">
        <w:tab/>
        <w:t>Комитет приветствует разработку национальной стратегии обеспечения гендерного равенства и создание ряда механизмов обеспечения гендерного равенства, в том числе отделов по вопросам гендерного равенства. Вместе с тем у Комитета вызывают обеспокоенность следующие проблемы:</w:t>
      </w:r>
    </w:p>
    <w:p w14:paraId="131F522C" w14:textId="38010187" w:rsidR="00E23931" w:rsidRPr="00E23931" w:rsidRDefault="00E23931" w:rsidP="00E23931">
      <w:pPr>
        <w:pStyle w:val="SingleTxt"/>
      </w:pPr>
      <w:r w:rsidRPr="00E23931">
        <w:tab/>
        <w:t>а)</w:t>
      </w:r>
      <w:r w:rsidRPr="00E23931">
        <w:tab/>
        <w:t>ограниченность кадровых, технических и финансовых ресурсов, выделяемых Национальному институту по делам женщин для обеспечения гендерного равенства и поддержки Института как основного координационного органа в национальной системе обеспечения равенства между женщинами и мужчинами;</w:t>
      </w:r>
    </w:p>
    <w:p w14:paraId="33A02053" w14:textId="19A46A77" w:rsidR="00E23931" w:rsidRPr="00E23931" w:rsidRDefault="00E23931" w:rsidP="00E23931">
      <w:pPr>
        <w:pStyle w:val="SingleTxt"/>
      </w:pPr>
      <w:r w:rsidRPr="00E23931">
        <w:tab/>
        <w:t>b)</w:t>
      </w:r>
      <w:r w:rsidRPr="00E23931">
        <w:tab/>
        <w:t>то обстоятельство, что, несмотря на предусматриваемое приложением 13 федерального бюджета увеличение ассигнований, направленных на обеспечение равенства между мужчинами и женщинами, выделенная сумма остается недостаточной;</w:t>
      </w:r>
    </w:p>
    <w:p w14:paraId="2104EECA" w14:textId="0673ECAE" w:rsidR="00E23931" w:rsidRPr="00E23931" w:rsidRDefault="00E23931" w:rsidP="00E23931">
      <w:pPr>
        <w:pStyle w:val="SingleTxt"/>
      </w:pPr>
      <w:r w:rsidRPr="00E23931">
        <w:tab/>
        <w:t>с)</w:t>
      </w:r>
      <w:r w:rsidRPr="00E23931">
        <w:tab/>
        <w:t>отсутствие систематической и официально оформленной координации на федеральном уровне и уровне штатов и муниципалитетов между сферами ответственности трех основных органов, образующих национальную систему обеспечения равенства мужчин и женщин;</w:t>
      </w:r>
    </w:p>
    <w:p w14:paraId="55497EAB" w14:textId="1C68DE25" w:rsidR="00E23931" w:rsidRPr="00E23931" w:rsidRDefault="00E23931" w:rsidP="00E23931">
      <w:pPr>
        <w:pStyle w:val="SingleTxt"/>
      </w:pPr>
      <w:r w:rsidRPr="00E23931">
        <w:tab/>
        <w:t>d)</w:t>
      </w:r>
      <w:r w:rsidRPr="00E23931">
        <w:tab/>
        <w:t>отсутствие комплексных механизмов мониторинга и оценки результативности мер по учету гендерной проблематики, в том числе ограниченные масштабы распространения и использования данных в разбивке по полу и четких целевых показателей;</w:t>
      </w:r>
    </w:p>
    <w:p w14:paraId="7F8D444D" w14:textId="284B7B7F" w:rsidR="00E23931" w:rsidRPr="00E23931" w:rsidRDefault="00E23931" w:rsidP="00E23931">
      <w:pPr>
        <w:pStyle w:val="SingleTxt"/>
      </w:pPr>
      <w:r w:rsidRPr="00E23931">
        <w:tab/>
        <w:t>е)</w:t>
      </w:r>
      <w:r w:rsidRPr="00E23931">
        <w:tab/>
        <w:t>недостаточное участие женских организаций в разработке и мониторинге государственных программ по обеспечению гендерного равенства.</w:t>
      </w:r>
    </w:p>
    <w:p w14:paraId="69824A89" w14:textId="72CD7806" w:rsidR="00E23931" w:rsidRPr="00E23931" w:rsidRDefault="00E23931" w:rsidP="00E23931">
      <w:pPr>
        <w:pStyle w:val="SingleTxt"/>
      </w:pPr>
      <w:r w:rsidRPr="00E23931">
        <w:t>16.</w:t>
      </w:r>
      <w:r w:rsidRPr="00E23931">
        <w:tab/>
      </w:r>
      <w:r w:rsidRPr="00E23931">
        <w:rPr>
          <w:b/>
        </w:rPr>
        <w:t>Комитет рекомендует государству-участнику:</w:t>
      </w:r>
    </w:p>
    <w:p w14:paraId="467260AE" w14:textId="4F82638F" w:rsidR="00E23931" w:rsidRPr="00E23931" w:rsidRDefault="00E23931" w:rsidP="00E23931">
      <w:pPr>
        <w:pStyle w:val="SingleTxt"/>
      </w:pPr>
      <w:r w:rsidRPr="00E23931">
        <w:tab/>
        <w:t>a)</w:t>
      </w:r>
      <w:r w:rsidRPr="00E23931">
        <w:tab/>
      </w:r>
      <w:r w:rsidRPr="00E23931">
        <w:rPr>
          <w:b/>
        </w:rPr>
        <w:t>наращивать кадровые, технические и финансовые ресурсы Национального института по делам женщин и расширять его потенциал в сфере поощрения и мониторинга осуществления политики по обеспечению гендерного равенства посредством повышения его роли в системе нормативного регулирования, являющейся центральным элементом обеспечения учета гендерной проблематики на федеральном уровне и уровне штатов;</w:t>
      </w:r>
    </w:p>
    <w:p w14:paraId="2CF3D72B" w14:textId="6ACA84D0" w:rsidR="00E23931" w:rsidRPr="00E23931" w:rsidRDefault="00E23931" w:rsidP="00E23931">
      <w:pPr>
        <w:pStyle w:val="SingleTxt"/>
      </w:pPr>
      <w:r w:rsidRPr="00E23931">
        <w:tab/>
        <w:t>b)</w:t>
      </w:r>
      <w:r w:rsidRPr="00E23931">
        <w:tab/>
      </w:r>
      <w:r w:rsidRPr="00E23931">
        <w:rPr>
          <w:b/>
        </w:rPr>
        <w:t>внедрять комплексную и учитывающую гендерный фактор процедуру разработки бюджета и выделять необходимые бюджетные ресурсы на осуществление прав женщин, обеспечивать внедрение действенных механизмов мониторинга и контроля во всех секторах и на всех уровнях государственного управления и совершенствовать систему контроля за выделением средств для женщин;</w:t>
      </w:r>
    </w:p>
    <w:p w14:paraId="21924BF0" w14:textId="76560CCE" w:rsidR="00E23931" w:rsidRPr="00E23931" w:rsidRDefault="00E23931" w:rsidP="00E23931">
      <w:pPr>
        <w:pStyle w:val="SingleTxt"/>
      </w:pPr>
      <w:r w:rsidRPr="00E23931">
        <w:tab/>
        <w:t>с)</w:t>
      </w:r>
      <w:r w:rsidRPr="00E23931">
        <w:tab/>
      </w:r>
      <w:r w:rsidRPr="00E23931">
        <w:rPr>
          <w:b/>
        </w:rPr>
        <w:t>активизировать усилия, направленные на обеспечение систематической и официально оформленной координации деятельности между Национальным институтом по делам женщин и органами по делам женщин на уровне штатов и муниципалитетов;</w:t>
      </w:r>
    </w:p>
    <w:p w14:paraId="0477FC53" w14:textId="675D6AC7" w:rsidR="00E23931" w:rsidRPr="00E23931" w:rsidRDefault="00E23931" w:rsidP="00E23931">
      <w:pPr>
        <w:pStyle w:val="SingleTxt"/>
      </w:pPr>
      <w:r w:rsidRPr="00E23931">
        <w:tab/>
        <w:t>d)</w:t>
      </w:r>
      <w:r w:rsidRPr="00E23931">
        <w:tab/>
      </w:r>
      <w:r w:rsidRPr="00E23931">
        <w:rPr>
          <w:b/>
        </w:rPr>
        <w:t>внедрять эффективные механизмы контроля, оценки и обеспечения подотчетности, призванные устранять факторы структурного характера, являющиеся причиной сохраняющегося неравенства, и обеспечивать применение комплексного подхода к актуализации гендерной проблематики с учетом соответствующих целей и показателей и опираясь на эффективный сбор данных;</w:t>
      </w:r>
    </w:p>
    <w:p w14:paraId="0A17B03B" w14:textId="05D64BA8" w:rsidR="00E23931" w:rsidRPr="00E23931" w:rsidRDefault="00E23931" w:rsidP="00E23931">
      <w:pPr>
        <w:pStyle w:val="SingleTxt"/>
      </w:pPr>
      <w:r w:rsidRPr="00E23931">
        <w:tab/>
        <w:t>e)</w:t>
      </w:r>
      <w:r w:rsidRPr="00E23931">
        <w:tab/>
      </w:r>
      <w:r w:rsidRPr="00E23931">
        <w:rPr>
          <w:b/>
        </w:rPr>
        <w:t>расширять участие женских и других неправительственных организаций в разработке и наблюдении за осуществлением стратегий обеспечения гендерного равенства;</w:t>
      </w:r>
    </w:p>
    <w:p w14:paraId="49D08420" w14:textId="09212D13" w:rsidR="00E23931" w:rsidRPr="00E23931" w:rsidRDefault="00E23931" w:rsidP="00E23931">
      <w:pPr>
        <w:pStyle w:val="SingleTxt"/>
      </w:pPr>
      <w:r w:rsidRPr="00E23931">
        <w:tab/>
        <w:t>f)</w:t>
      </w:r>
      <w:r w:rsidRPr="00E23931">
        <w:tab/>
      </w:r>
      <w:r w:rsidRPr="00E23931">
        <w:rPr>
          <w:b/>
        </w:rPr>
        <w:t>принять необходимые меры для учета в национальной программе по обеспечению равных возможностей и недопущению дискриминации в отношении женщин на период 2013–2024 годов достижений предыдущей программы, которая осуществлялась в 2013–2018 годах.</w:t>
      </w:r>
    </w:p>
    <w:p w14:paraId="5F699E68" w14:textId="58CAD87D" w:rsidR="00E23931" w:rsidRPr="00CB052C" w:rsidRDefault="00E23931" w:rsidP="00CB052C">
      <w:pPr>
        <w:pStyle w:val="SingleTxt"/>
        <w:spacing w:after="0" w:line="120" w:lineRule="exact"/>
        <w:rPr>
          <w:bCs/>
          <w:sz w:val="10"/>
        </w:rPr>
      </w:pPr>
    </w:p>
    <w:p w14:paraId="71EEF35D" w14:textId="77777777" w:rsidR="00E23931" w:rsidRPr="00E23931" w:rsidRDefault="00E23931" w:rsidP="00CB052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23931">
        <w:tab/>
      </w:r>
      <w:r w:rsidRPr="00E23931">
        <w:tab/>
        <w:t>Временные меры специального характера</w:t>
      </w:r>
    </w:p>
    <w:p w14:paraId="76FB3317" w14:textId="498B1DD7" w:rsidR="00E23931" w:rsidRPr="00CB052C" w:rsidRDefault="00E23931" w:rsidP="00CB052C">
      <w:pPr>
        <w:pStyle w:val="SingleTxt"/>
        <w:spacing w:after="0" w:line="120" w:lineRule="exact"/>
        <w:rPr>
          <w:sz w:val="10"/>
        </w:rPr>
      </w:pPr>
    </w:p>
    <w:p w14:paraId="1DE3E062" w14:textId="77777777" w:rsidR="00E23931" w:rsidRPr="00E23931" w:rsidRDefault="00E23931" w:rsidP="00E23931">
      <w:pPr>
        <w:pStyle w:val="SingleTxt"/>
      </w:pPr>
      <w:r w:rsidRPr="00E23931">
        <w:t>17.</w:t>
      </w:r>
      <w:r w:rsidRPr="00E23931">
        <w:tab/>
        <w:t>Комитет приветствует успехи государства-участника в деле привлечения женщин к участию в политической и общественной жизни посредством осуществления национальной программы обеспечения равных возможностей и недопущения дискриминации в отношении женщин на период 2013–2018 годов. Вместе с тем он выражает обеспокоенность по поводу ограниченного применения временных мер специального характера в целях ускорения продвижения к обеспечению реального равенства между женщинами и мужчинами во всех сферах, охватываемых Конвенцией.</w:t>
      </w:r>
    </w:p>
    <w:p w14:paraId="4A23E026" w14:textId="77777777" w:rsidR="00E23931" w:rsidRPr="00E23931" w:rsidRDefault="00E23931" w:rsidP="00E23931">
      <w:pPr>
        <w:pStyle w:val="SingleTxt"/>
      </w:pPr>
      <w:r w:rsidRPr="00E23931">
        <w:t>18.</w:t>
      </w:r>
      <w:r w:rsidRPr="00E23931">
        <w:tab/>
      </w:r>
      <w:r w:rsidRPr="00E23931">
        <w:rPr>
          <w:b/>
        </w:rPr>
        <w:t>Комитет рекомендует государству-участнику расширять применение временных мер специального характера в соответствии со статьей 4 (пункт 1) Конвенции и общей рекомендацией Комитета № 25 (2004) о временных специальных мерах и в качестве стратегии, необходимой для ускорения продвижения к обеспечению реального равенства между женщинами и мужчинами во всех областях, охватываемых Конвенцией, где женщины представлены в недостаточной степени или находятся в неблагоприятном положении.</w:t>
      </w:r>
    </w:p>
    <w:p w14:paraId="5D5AF5C2" w14:textId="40D5C64B" w:rsidR="00E23931" w:rsidRPr="00CB052C" w:rsidRDefault="00E23931" w:rsidP="00CB052C">
      <w:pPr>
        <w:pStyle w:val="SingleTxt"/>
        <w:spacing w:after="0" w:line="120" w:lineRule="exact"/>
        <w:rPr>
          <w:bCs/>
          <w:sz w:val="10"/>
        </w:rPr>
      </w:pPr>
    </w:p>
    <w:p w14:paraId="0592F928" w14:textId="7AC2745A" w:rsidR="00E23931" w:rsidRPr="00E23931" w:rsidRDefault="00E23931" w:rsidP="00CB052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23931">
        <w:tab/>
      </w:r>
      <w:r w:rsidRPr="00E23931">
        <w:tab/>
        <w:t>Стереотипы</w:t>
      </w:r>
    </w:p>
    <w:p w14:paraId="726D39A9" w14:textId="10F695F6" w:rsidR="00E23931" w:rsidRPr="00CB052C" w:rsidRDefault="00E23931" w:rsidP="00CB052C">
      <w:pPr>
        <w:pStyle w:val="SingleTxt"/>
        <w:spacing w:after="0" w:line="120" w:lineRule="exact"/>
        <w:rPr>
          <w:sz w:val="10"/>
        </w:rPr>
      </w:pPr>
    </w:p>
    <w:p w14:paraId="634A0932" w14:textId="77777777" w:rsidR="00E23931" w:rsidRPr="00E23931" w:rsidRDefault="00E23931" w:rsidP="00E23931">
      <w:pPr>
        <w:pStyle w:val="SingleTxt"/>
      </w:pPr>
      <w:r w:rsidRPr="00E23931">
        <w:t>19.</w:t>
      </w:r>
      <w:r w:rsidRPr="00E23931">
        <w:tab/>
        <w:t>Комитет приветствует законодательные и прочие меры, принятые с целью ликвидации дискриминационных стереотипов, в том числе подписание в 2016 году соглашения об обеспечении гендерного равенства и борьбе с насилием в отношении женщин в средствах массовой информации. Вместе с тем у Комитета по-прежнему вызывают обеспокоенность следующие проблемы:</w:t>
      </w:r>
    </w:p>
    <w:p w14:paraId="2A4FA64C" w14:textId="61B72B4B" w:rsidR="00E23931" w:rsidRPr="00E23931" w:rsidRDefault="00E23931" w:rsidP="00E23931">
      <w:pPr>
        <w:pStyle w:val="SingleTxt"/>
      </w:pPr>
      <w:r w:rsidRPr="00E23931">
        <w:tab/>
        <w:t>а)</w:t>
      </w:r>
      <w:r w:rsidRPr="00E23931">
        <w:tab/>
        <w:t>сохранение дискриминационных стереотипов относительно роли и обязанностей женщин и мужчин в семье и обществе, равно как и взаимосвязанных форм дискриминации и глубоко укоренившейся в государстве-участнике культуры мужского шовинизма, по-прежнему препятствующих прогрессу в деле обеспечения гендерного равенства;</w:t>
      </w:r>
    </w:p>
    <w:p w14:paraId="4CAB7100" w14:textId="4B04BC61" w:rsidR="00E23931" w:rsidRPr="00E23931" w:rsidRDefault="00E23931" w:rsidP="00E23931">
      <w:pPr>
        <w:pStyle w:val="SingleTxt"/>
      </w:pPr>
      <w:r w:rsidRPr="00E23931">
        <w:tab/>
        <w:t>b)</w:t>
      </w:r>
      <w:r w:rsidRPr="00E23931">
        <w:tab/>
        <w:t>восприятие насилия в отношении женщин как нормального явления и представление стереотипного и подчеркнуто сексуального образа женщин в ведущих средствах массовой информации;</w:t>
      </w:r>
    </w:p>
    <w:p w14:paraId="681ADA19" w14:textId="2E7A80F7" w:rsidR="00E23931" w:rsidRPr="00E23931" w:rsidRDefault="00E23931" w:rsidP="00E23931">
      <w:pPr>
        <w:pStyle w:val="SingleTxt"/>
      </w:pPr>
      <w:r w:rsidRPr="00E23931">
        <w:tab/>
      </w:r>
      <w:r w:rsidRPr="00E23931">
        <w:tab/>
        <w:t>c)</w:t>
      </w:r>
      <w:r w:rsidRPr="00E23931">
        <w:tab/>
        <w:t>распространение средствами массовой информации негативных образов и стереотипных представлений о женщинах из числа коренного населения, мексиканских женщинах африканского происхождения, женщинах-мигрантах, женщинах, являющихся беженцами и ищущих убеж</w:t>
      </w:r>
      <w:r w:rsidR="00CB052C">
        <w:t>ища.</w:t>
      </w:r>
    </w:p>
    <w:p w14:paraId="692DEDC3" w14:textId="77777777" w:rsidR="00E23931" w:rsidRPr="00E23931" w:rsidRDefault="00E23931" w:rsidP="00E23931">
      <w:pPr>
        <w:pStyle w:val="SingleTxt"/>
      </w:pPr>
      <w:r w:rsidRPr="00E23931">
        <w:t>20.</w:t>
      </w:r>
      <w:r w:rsidRPr="00E23931">
        <w:tab/>
      </w:r>
      <w:r w:rsidRPr="00E23931">
        <w:rPr>
          <w:b/>
        </w:rPr>
        <w:t>Комитет рекомендует государству-участнику:</w:t>
      </w:r>
    </w:p>
    <w:p w14:paraId="22073546" w14:textId="2CB24B10" w:rsidR="00E23931" w:rsidRPr="00E23931" w:rsidRDefault="00E23931" w:rsidP="00E23931">
      <w:pPr>
        <w:pStyle w:val="SingleTxt"/>
      </w:pPr>
      <w:r w:rsidRPr="00E23931">
        <w:tab/>
        <w:t>а)</w:t>
      </w:r>
      <w:r w:rsidRPr="00E23931">
        <w:tab/>
      </w:r>
      <w:r w:rsidRPr="00E23931">
        <w:rPr>
          <w:b/>
        </w:rPr>
        <w:t>принять всеобъемлющую стратегию, ориентированную на женщин, мужчин, девочек и мальчиков и направленную на преодоление культуры мужского шовинизма и дискриминационных стереотипов в отношении роли и обязанностей женщин и мужчин в семье и в обществе и на ликвидацию перекрестных форм дискриминации в отношении женщин;</w:t>
      </w:r>
    </w:p>
    <w:p w14:paraId="09937355" w14:textId="5777BD5E" w:rsidR="00E23931" w:rsidRPr="00E23931" w:rsidRDefault="00E23931" w:rsidP="00E23931">
      <w:pPr>
        <w:pStyle w:val="SingleTxt"/>
      </w:pPr>
      <w:r w:rsidRPr="00E23931">
        <w:tab/>
        <w:t>b)</w:t>
      </w:r>
      <w:r w:rsidRPr="00E23931">
        <w:tab/>
      </w:r>
      <w:r w:rsidRPr="00E23931">
        <w:rPr>
          <w:b/>
        </w:rPr>
        <w:t>разработать образовательную стратегию для работников средств массовой информации с включением в нее руководящих принципов и механизмов мониторинга, направленных на искоренение дискриминационных стереотипов в отношении женщин и стимулирование учета гендерного подхода в работе средств массовой информации, в частности в ходе избирательных кампаний, принять меры по обеспечению равной представленности женщин и мужчин в средствах массовой информации и в полном объеме выполнять соглашение об обеспечении гендерного равенства и борьбе с насилием в отношении женщин в средствах массовой информации в целях осуществления надлежащих полномочий по наложению взысканий и правоприменению в рамках борьбы с дискриминационными гендерными стереотипами;</w:t>
      </w:r>
    </w:p>
    <w:p w14:paraId="2919655B" w14:textId="77777777" w:rsidR="00CB052C" w:rsidRDefault="00CB052C">
      <w:pPr>
        <w:spacing w:after="200" w:line="276" w:lineRule="auto"/>
      </w:pPr>
      <w:r>
        <w:br w:type="page"/>
      </w:r>
    </w:p>
    <w:p w14:paraId="78BC407E" w14:textId="3D4B152E" w:rsidR="00E23931" w:rsidRPr="00E23931" w:rsidRDefault="00E23931" w:rsidP="00E23931">
      <w:pPr>
        <w:pStyle w:val="SingleTxt"/>
      </w:pPr>
      <w:r w:rsidRPr="00E23931">
        <w:tab/>
        <w:t>с)</w:t>
      </w:r>
      <w:r w:rsidRPr="00E23931">
        <w:tab/>
      </w:r>
      <w:r w:rsidRPr="00E23931">
        <w:rPr>
          <w:b/>
        </w:rPr>
        <w:t>принимать меры по поощрению распространения средствами массовой информации позитивных образов женщин из числа коренного населения, мексиканских женщин африканского происхождения, женщин-мигрантов, женщин, являющихся беженцами и ищущих убежища.</w:t>
      </w:r>
    </w:p>
    <w:p w14:paraId="69031FF3" w14:textId="04786B8B" w:rsidR="00E23931" w:rsidRPr="00CB052C" w:rsidRDefault="00E23931" w:rsidP="00CB052C">
      <w:pPr>
        <w:pStyle w:val="SingleTxt"/>
        <w:spacing w:after="0" w:line="120" w:lineRule="exact"/>
        <w:rPr>
          <w:bCs/>
          <w:sz w:val="10"/>
        </w:rPr>
      </w:pPr>
    </w:p>
    <w:p w14:paraId="37EDA8FC" w14:textId="77777777" w:rsidR="00E23931" w:rsidRPr="00E23931" w:rsidRDefault="00E23931" w:rsidP="00CB052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23931">
        <w:tab/>
      </w:r>
      <w:r w:rsidRPr="00E23931">
        <w:tab/>
        <w:t>Вредные виды практики</w:t>
      </w:r>
    </w:p>
    <w:p w14:paraId="3378A11E" w14:textId="2E17DA17" w:rsidR="00E23931" w:rsidRPr="00CB052C" w:rsidRDefault="00E23931" w:rsidP="00CB052C">
      <w:pPr>
        <w:pStyle w:val="SingleTxt"/>
        <w:spacing w:after="0" w:line="120" w:lineRule="exact"/>
        <w:rPr>
          <w:sz w:val="10"/>
        </w:rPr>
      </w:pPr>
    </w:p>
    <w:p w14:paraId="35C9C002" w14:textId="77777777" w:rsidR="00E23931" w:rsidRPr="00E23931" w:rsidRDefault="00E23931" w:rsidP="00E23931">
      <w:pPr>
        <w:pStyle w:val="SingleTxt"/>
      </w:pPr>
      <w:r w:rsidRPr="00E23931">
        <w:t>21.</w:t>
      </w:r>
      <w:r w:rsidRPr="00E23931">
        <w:tab/>
        <w:t>Комитет обеспокоен отсутствием четких законодательных положений, запрещающих подвергать детей-интерсексуалов ненужным медицинским процедурам, а также недостаточной степенью поддержки интерсексуалов, которые подверглись ненужным с точки зрения медицинских показаний хирургическим операциям, и отсутствием эффективных средств их правовой защиты.</w:t>
      </w:r>
    </w:p>
    <w:p w14:paraId="17D7EAD7" w14:textId="77777777" w:rsidR="00E23931" w:rsidRPr="00E23931" w:rsidRDefault="00E23931" w:rsidP="00E23931">
      <w:pPr>
        <w:pStyle w:val="SingleTxt"/>
      </w:pPr>
      <w:r w:rsidRPr="00E23931">
        <w:t>22.</w:t>
      </w:r>
      <w:r w:rsidRPr="00E23931">
        <w:tab/>
      </w:r>
      <w:r w:rsidRPr="00E23931">
        <w:rPr>
          <w:b/>
        </w:rPr>
        <w:t>В свете совместной общей рекомендации № 31 Комитета по ликвидации дискриминации в отношении женщин/замечания общего порядка Комитета по правам ребенка № 18 (2014) по вредной практике Комитет рекомендует государству-участнику принять положения, прямо запрещающие выполнение не являющегося необходимым хирургического вмешательства или других медицинских процедур в отношении детей-интерсексуалов до тех пор, пока они не достигнут возраста, когда они могут давать свободное, предварительное и осознанное согласие, и предоставлять семьям с детьми-интерсексуалами надлежащую консультативную помощь и поддержку.</w:t>
      </w:r>
    </w:p>
    <w:p w14:paraId="5158F2FA" w14:textId="49B2A6DA" w:rsidR="00E23931" w:rsidRPr="00CB052C" w:rsidRDefault="00E23931" w:rsidP="00CB052C">
      <w:pPr>
        <w:pStyle w:val="SingleTxt"/>
        <w:spacing w:after="0" w:line="120" w:lineRule="exact"/>
        <w:rPr>
          <w:bCs/>
          <w:sz w:val="10"/>
        </w:rPr>
      </w:pPr>
    </w:p>
    <w:p w14:paraId="5C6E357D" w14:textId="77777777" w:rsidR="00E23931" w:rsidRPr="00E23931" w:rsidRDefault="00E23931" w:rsidP="00CB052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23931">
        <w:tab/>
      </w:r>
      <w:r w:rsidRPr="00E23931">
        <w:tab/>
        <w:t>Гендерное насилие в отношении женщин</w:t>
      </w:r>
    </w:p>
    <w:p w14:paraId="0B06DFFE" w14:textId="567005BA" w:rsidR="00E23931" w:rsidRPr="00CB052C" w:rsidRDefault="00E23931" w:rsidP="00CB052C">
      <w:pPr>
        <w:pStyle w:val="SingleTxt"/>
        <w:spacing w:after="0" w:line="120" w:lineRule="exact"/>
        <w:rPr>
          <w:sz w:val="10"/>
        </w:rPr>
      </w:pPr>
    </w:p>
    <w:p w14:paraId="21CBD61D" w14:textId="77777777" w:rsidR="00E23931" w:rsidRPr="00E23931" w:rsidRDefault="00E23931" w:rsidP="00E23931">
      <w:pPr>
        <w:pStyle w:val="SingleTxt"/>
      </w:pPr>
      <w:r w:rsidRPr="00E23931">
        <w:t>23.</w:t>
      </w:r>
      <w:r w:rsidRPr="00E23931">
        <w:tab/>
        <w:t>Комитет приветствует важные меры в законодательной и институциональной сферах, принятые государством-участником для борьбы с высоким уровнем гендерного насилия в государстве-участнике. Вместе с тем глубокую обеспокоенность у Комитета по-прежнему вызывают следующие проблемы:</w:t>
      </w:r>
    </w:p>
    <w:p w14:paraId="23E1CAE9" w14:textId="7B84F3A6" w:rsidR="00E23931" w:rsidRPr="00E23931" w:rsidRDefault="00E23931" w:rsidP="00E23931">
      <w:pPr>
        <w:pStyle w:val="SingleTxt"/>
      </w:pPr>
      <w:r w:rsidRPr="00E23931">
        <w:tab/>
        <w:t>а)</w:t>
      </w:r>
      <w:r w:rsidRPr="00E23931">
        <w:tab/>
        <w:t>широкое распространение устойчивых форм гендерного насилия, в том числе физического, психологического, сексуального и экономического, в отношении женщин и девочек на всей территории государства-участника, а также увеличение масштабов насилия в семье, количества случаев насильственных исчезновений, пыток и убийств, прежде всего феминицида;</w:t>
      </w:r>
    </w:p>
    <w:p w14:paraId="28322536" w14:textId="0545EAEA" w:rsidR="00E23931" w:rsidRPr="00E23931" w:rsidRDefault="00E23931" w:rsidP="00E23931">
      <w:pPr>
        <w:pStyle w:val="SingleTxt"/>
      </w:pPr>
      <w:r w:rsidRPr="00E23931">
        <w:tab/>
        <w:t>b)</w:t>
      </w:r>
      <w:r w:rsidRPr="00E23931">
        <w:tab/>
        <w:t>тот факт, что вышеупомянутые преступления зачастую совершаются государственными и негосударственными субъектами, в том числе организованными преступными группировками;</w:t>
      </w:r>
    </w:p>
    <w:p w14:paraId="26CA56EB" w14:textId="6651BE04" w:rsidR="00E23931" w:rsidRPr="00E23931" w:rsidRDefault="00E23931" w:rsidP="00E23931">
      <w:pPr>
        <w:pStyle w:val="SingleTxt"/>
      </w:pPr>
      <w:r w:rsidRPr="00E23931">
        <w:tab/>
        <w:t>c)</w:t>
      </w:r>
      <w:r w:rsidRPr="00E23931">
        <w:tab/>
        <w:t>незавершенность работы по приведению законодательства на уровне штатов в соответствие с положениями Общего закона об обеспечении доступа женщин к жизни без насилия в целях установления уголовной ответственности за феминицид;</w:t>
      </w:r>
    </w:p>
    <w:p w14:paraId="3B754818" w14:textId="2C5B951C" w:rsidR="00E23931" w:rsidRPr="00E23931" w:rsidRDefault="00E23931" w:rsidP="00E23931">
      <w:pPr>
        <w:pStyle w:val="SingleTxt"/>
      </w:pPr>
      <w:r w:rsidRPr="00E23931">
        <w:tab/>
        <w:t>d)</w:t>
      </w:r>
      <w:r w:rsidRPr="00E23931">
        <w:tab/>
        <w:t>большое число случаев насильственных исчезновений, затрагивающих женщин, которые либо непосредственно являются пропавшими лицами, либо оказываются косвенно затронутыми исчезновением одного из членов семьи, поскольку в этом случае женщина часто оказывается вынужденной не только вести поиски исчезнувшего лица и добиваться возбуждения расследования, но и становиться главным кормильцем для семьи;</w:t>
      </w:r>
    </w:p>
    <w:p w14:paraId="1D5B8894" w14:textId="50742D3C" w:rsidR="00E23931" w:rsidRPr="00E23931" w:rsidRDefault="00E23931" w:rsidP="00E23931">
      <w:pPr>
        <w:pStyle w:val="SingleTxt"/>
      </w:pPr>
      <w:r w:rsidRPr="00E23931">
        <w:tab/>
        <w:t>е)</w:t>
      </w:r>
      <w:r w:rsidRPr="00E23931">
        <w:tab/>
        <w:t>наличие факторов, которые по-прежнему препятствуют эффективному осуществлению механизма предупреждения случаев гендерного насилия на федеральном уровне, на уровне штатов и на муниципальном уровне;</w:t>
      </w:r>
    </w:p>
    <w:p w14:paraId="5B9350A8" w14:textId="13F83D60" w:rsidR="00E23931" w:rsidRPr="00E23931" w:rsidRDefault="00E23931" w:rsidP="00E23931">
      <w:pPr>
        <w:pStyle w:val="SingleTxt"/>
      </w:pPr>
      <w:r w:rsidRPr="00E23931">
        <w:tab/>
        <w:t>f)</w:t>
      </w:r>
      <w:r w:rsidRPr="00E23931">
        <w:tab/>
        <w:t>наличие информации о случаях применения насилия государственными и негосударственными субъектами в отношении женщин — лесбиянок, бисексуалов и трансгендеров;</w:t>
      </w:r>
    </w:p>
    <w:p w14:paraId="3D8A3464" w14:textId="355758E7" w:rsidR="00E23931" w:rsidRPr="00E23931" w:rsidRDefault="00E23931" w:rsidP="00E23931">
      <w:pPr>
        <w:pStyle w:val="SingleTxt"/>
      </w:pPr>
      <w:r w:rsidRPr="00E23931">
        <w:tab/>
        <w:t>g)</w:t>
      </w:r>
      <w:r w:rsidRPr="00E23931">
        <w:tab/>
        <w:t>ограниченное использование статистических данных о насилии в отношении женщин в разбивке по видам насилия и характеру отношений между преступником и жертвой;</w:t>
      </w:r>
    </w:p>
    <w:p w14:paraId="7A08C7BA" w14:textId="568CDDDE" w:rsidR="00E23931" w:rsidRPr="00E23931" w:rsidRDefault="00E23931" w:rsidP="00E23931">
      <w:pPr>
        <w:pStyle w:val="SingleTxt"/>
      </w:pPr>
      <w:r w:rsidRPr="00E23931">
        <w:tab/>
        <w:t>h)</w:t>
      </w:r>
      <w:r w:rsidRPr="00E23931">
        <w:tab/>
        <w:t xml:space="preserve">слабое продвижение вперед в рассмотрении дела Пилар Аргуэльо Трухильо в соответствии с рекомендацией Комитета по делу </w:t>
      </w:r>
      <w:r w:rsidRPr="00E23931">
        <w:rPr>
          <w:i/>
        </w:rPr>
        <w:t>Трухильо Рейес и Аргуэльо Моралес</w:t>
      </w:r>
      <w:r w:rsidRPr="00E23931">
        <w:t xml:space="preserve"> </w:t>
      </w:r>
      <w:r w:rsidRPr="00E23931">
        <w:rPr>
          <w:i/>
        </w:rPr>
        <w:t>против</w:t>
      </w:r>
      <w:r w:rsidRPr="00E23931">
        <w:t xml:space="preserve"> </w:t>
      </w:r>
      <w:r w:rsidRPr="00E23931">
        <w:rPr>
          <w:i/>
        </w:rPr>
        <w:t>Мексики</w:t>
      </w:r>
      <w:r w:rsidRPr="00E23931">
        <w:t xml:space="preserve"> (</w:t>
      </w:r>
      <w:hyperlink r:id="rId23" w:history="1">
        <w:r w:rsidRPr="00E23931">
          <w:rPr>
            <w:rStyle w:val="Hyperlink"/>
          </w:rPr>
          <w:t>CEDAW/C/67/D/75/2014</w:t>
        </w:r>
      </w:hyperlink>
      <w:r w:rsidRPr="00E23931">
        <w:t>), несмотря на заверения государства-участника, что пересмотр данного дела ведется.</w:t>
      </w:r>
      <w:bookmarkStart w:id="9" w:name="_Hlk522548337"/>
      <w:bookmarkEnd w:id="9"/>
    </w:p>
    <w:p w14:paraId="3DE31DE3" w14:textId="2390DDBF" w:rsidR="00E23931" w:rsidRPr="00E23931" w:rsidRDefault="00E23931" w:rsidP="00E23931">
      <w:pPr>
        <w:pStyle w:val="SingleTxt"/>
      </w:pPr>
      <w:r w:rsidRPr="00E23931">
        <w:t>24.</w:t>
      </w:r>
      <w:r w:rsidRPr="00E23931">
        <w:tab/>
      </w:r>
      <w:r w:rsidRPr="00E23931">
        <w:rPr>
          <w:b/>
        </w:rPr>
        <w:t>Комитет, ссылаясь на свою общую рекомендацию № 35 (2017) о гендерном насилии в отношении женщин, дополняющую общую рекомендацию</w:t>
      </w:r>
      <w:r w:rsidR="00CB052C">
        <w:rPr>
          <w:b/>
          <w:lang w:val="en-US"/>
        </w:rPr>
        <w:t> </w:t>
      </w:r>
      <w:r w:rsidRPr="00E23931">
        <w:rPr>
          <w:b/>
        </w:rPr>
        <w:t>№ 19, вновь выносит государству-участнику рекомендацию:</w:t>
      </w:r>
    </w:p>
    <w:p w14:paraId="4CFE55EC" w14:textId="0B0BC942" w:rsidR="00E23931" w:rsidRPr="00E23931" w:rsidRDefault="00E23931" w:rsidP="00E23931">
      <w:pPr>
        <w:pStyle w:val="SingleTxt"/>
        <w:rPr>
          <w:b/>
        </w:rPr>
      </w:pPr>
      <w:r w:rsidRPr="00E23931">
        <w:tab/>
        <w:t>а)</w:t>
      </w:r>
      <w:r w:rsidRPr="00E23931">
        <w:tab/>
      </w:r>
      <w:r w:rsidRPr="00E23931">
        <w:rPr>
          <w:b/>
        </w:rPr>
        <w:t>принять срочные меры по предотвращению насильственных смертей, убийств и насильственных исчезновений женщин, в том числе путем устранения коренных причин такого насилия, таких как вооруженное насилие, организованная преступность, торговля наркотиками, дискриминационные стереотипы, нищета и маргинализация женщин;</w:t>
      </w:r>
    </w:p>
    <w:p w14:paraId="54330B03" w14:textId="0797A635" w:rsidR="00E23931" w:rsidRPr="00E23931" w:rsidRDefault="00E23931" w:rsidP="00E23931">
      <w:pPr>
        <w:pStyle w:val="SingleTxt"/>
      </w:pPr>
      <w:r w:rsidRPr="00E23931">
        <w:tab/>
        <w:t>b)</w:t>
      </w:r>
      <w:r w:rsidRPr="00E23931">
        <w:tab/>
      </w:r>
      <w:r w:rsidRPr="00E23931">
        <w:rPr>
          <w:b/>
        </w:rPr>
        <w:t>рассматривать в качестве приоритетной задачи проведение расследований, преследование в уголовном порядке и надлежащее наказание виновных, включая государственных и негосударственных субъектов;</w:t>
      </w:r>
    </w:p>
    <w:p w14:paraId="453A487B" w14:textId="08322AE7" w:rsidR="00E23931" w:rsidRPr="00E23931" w:rsidRDefault="00E23931" w:rsidP="00E23931">
      <w:pPr>
        <w:pStyle w:val="SingleTxt"/>
      </w:pPr>
      <w:r w:rsidRPr="00E23931">
        <w:tab/>
        <w:t>c)</w:t>
      </w:r>
      <w:r w:rsidRPr="00E23931">
        <w:tab/>
      </w:r>
      <w:r w:rsidRPr="00E23931">
        <w:rPr>
          <w:b/>
        </w:rPr>
        <w:t>обеспечить квалификацию феминицида как преступления в уголовных кодексах всех штатов в соответствии с Общим законом об обеспечении доступа женщин к жизни без насилия, стандартизировать протоколы полицейских расследований случаев феминицида на территории государства-участника и обеспечить эффективное применение положений уголовного законодательства, касающихся феминицида;</w:t>
      </w:r>
    </w:p>
    <w:p w14:paraId="67FB8114" w14:textId="07A4920C" w:rsidR="00E23931" w:rsidRPr="00E23931" w:rsidRDefault="00E23931" w:rsidP="00E23931">
      <w:pPr>
        <w:pStyle w:val="SingleTxt"/>
      </w:pPr>
      <w:r w:rsidRPr="00E23931">
        <w:tab/>
      </w:r>
      <w:r w:rsidRPr="00E23931">
        <w:rPr>
          <w:lang w:val="en-US"/>
        </w:rPr>
        <w:t>d</w:t>
      </w:r>
      <w:r w:rsidRPr="00E23931">
        <w:t>)</w:t>
      </w:r>
      <w:r w:rsidRPr="00E23931">
        <w:tab/>
      </w:r>
      <w:r w:rsidRPr="00E23931">
        <w:rPr>
          <w:b/>
        </w:rPr>
        <w:t>упростить и согласовать на уровне штатов процедуры приведения в действие программы «Эмбер алерт» и протокола «Альба» и ускорить процесс поиска пропавших без вести женщин и девочек, принять адресные стратегии и протоколы, направленные на уменьшение рисков, связанных с исчезновением женщин и девочек, таких как феминицид и торговля женщинами и девочками в целях сексуальной эксплуатации и принудительного труда, а также обеспечить более последовательный учет гендерного подхода в деятельности Исполнительной комиссии по вопросам помощи жертвам;</w:t>
      </w:r>
    </w:p>
    <w:p w14:paraId="3693D9C5" w14:textId="4F839DB1" w:rsidR="00E23931" w:rsidRPr="00E23931" w:rsidRDefault="00E23931" w:rsidP="00E23931">
      <w:pPr>
        <w:pStyle w:val="SingleTxt"/>
      </w:pPr>
      <w:r w:rsidRPr="00E23931">
        <w:tab/>
        <w:t>е)</w:t>
      </w:r>
      <w:r w:rsidRPr="00E23931">
        <w:tab/>
      </w:r>
      <w:r w:rsidRPr="00E23931">
        <w:rPr>
          <w:b/>
        </w:rPr>
        <w:t>оценить результативность работы механизма предупреждения случаев гендерного насилия, чтобы обеспечить его согласованное и широкое применение и координацию на федеральном уровне, уровне штатов и муниципалитетов, а также привлекать к его работе неправительственные организации, научных специалистов, специалистов по гендерной проблематике, правозащитников и женщин, ставших жертвами насилия;</w:t>
      </w:r>
    </w:p>
    <w:p w14:paraId="61163DEB" w14:textId="07456625" w:rsidR="00E23931" w:rsidRPr="00E23931" w:rsidRDefault="00E23931" w:rsidP="00E23931">
      <w:pPr>
        <w:pStyle w:val="SingleTxt"/>
      </w:pPr>
      <w:r w:rsidRPr="00E23931">
        <w:tab/>
        <w:t>f)</w:t>
      </w:r>
      <w:r w:rsidRPr="00E23931">
        <w:tab/>
      </w:r>
      <w:r w:rsidRPr="00E23931">
        <w:rPr>
          <w:b/>
        </w:rPr>
        <w:t>решать, в сотрудничестве с гражданским обществом, проблему отсутствия мер защиты, с тем чтобы обеспечить достоинство и физическую неприкосновенность женщин — лесбиянок, бисексуалов и трансгендеров, в том числе путем повышения осведомленности общественности об их правах;</w:t>
      </w:r>
    </w:p>
    <w:p w14:paraId="2D525B08" w14:textId="0AAAFA55" w:rsidR="00E23931" w:rsidRPr="00E23931" w:rsidRDefault="00E23931" w:rsidP="00E23931">
      <w:pPr>
        <w:pStyle w:val="SingleTxt"/>
      </w:pPr>
      <w:r w:rsidRPr="00E23931">
        <w:tab/>
        <w:t>g)</w:t>
      </w:r>
      <w:r w:rsidRPr="00E23931">
        <w:tab/>
      </w:r>
      <w:r w:rsidRPr="00E23931">
        <w:rPr>
          <w:b/>
        </w:rPr>
        <w:t>совершенствовать механизмы систематического сбора данных о насилии в отношении женщин и девочек, включая феминицид и насильственные исчезновения, в разбивке по видам насилия и взаимоотношений жертвы с виновником насилия;</w:t>
      </w:r>
    </w:p>
    <w:p w14:paraId="5B7D8695" w14:textId="77777777" w:rsidR="00CB052C" w:rsidRDefault="00CB052C">
      <w:pPr>
        <w:spacing w:after="200" w:line="276" w:lineRule="auto"/>
      </w:pPr>
      <w:r>
        <w:br w:type="page"/>
      </w:r>
    </w:p>
    <w:p w14:paraId="4B7B02A5" w14:textId="5C524713" w:rsidR="00E23931" w:rsidRPr="00E23931" w:rsidRDefault="00E23931" w:rsidP="00E23931">
      <w:pPr>
        <w:pStyle w:val="SingleTxt"/>
      </w:pPr>
      <w:r w:rsidRPr="00E23931">
        <w:tab/>
        <w:t>h)</w:t>
      </w:r>
      <w:r w:rsidRPr="00E23931">
        <w:tab/>
      </w:r>
      <w:r w:rsidRPr="00E23931">
        <w:rPr>
          <w:b/>
        </w:rPr>
        <w:t xml:space="preserve">рассматривать в качестве приоритетной задачи ускорение вынесения решения по делу, касающемуся Пилар Аргуэльо Трухильо, как это было рекомендовано Комитетом в его соображениях по поводу дела </w:t>
      </w:r>
      <w:r w:rsidRPr="00E23931">
        <w:rPr>
          <w:b/>
          <w:i/>
        </w:rPr>
        <w:t>Трухильо Рейес и Аргуэльо Моралес</w:t>
      </w:r>
      <w:r w:rsidRPr="00E23931">
        <w:rPr>
          <w:b/>
        </w:rPr>
        <w:t xml:space="preserve"> </w:t>
      </w:r>
      <w:r w:rsidRPr="00E23931">
        <w:rPr>
          <w:b/>
          <w:i/>
        </w:rPr>
        <w:t>против</w:t>
      </w:r>
      <w:r w:rsidRPr="00E23931">
        <w:rPr>
          <w:b/>
        </w:rPr>
        <w:t xml:space="preserve"> </w:t>
      </w:r>
      <w:r w:rsidRPr="00E23931">
        <w:rPr>
          <w:b/>
          <w:i/>
        </w:rPr>
        <w:t>Мексики</w:t>
      </w:r>
      <w:r w:rsidRPr="00E23931">
        <w:rPr>
          <w:b/>
        </w:rPr>
        <w:t>, создавая тем самым стимулы для вынесения решений по другим подобным делам в будущем.</w:t>
      </w:r>
    </w:p>
    <w:p w14:paraId="49214B62" w14:textId="79A0E46E" w:rsidR="00E23931" w:rsidRPr="00CB052C" w:rsidRDefault="00E23931" w:rsidP="00CB052C">
      <w:pPr>
        <w:pStyle w:val="SingleTxt"/>
        <w:spacing w:after="0" w:line="120" w:lineRule="exact"/>
        <w:rPr>
          <w:bCs/>
          <w:sz w:val="10"/>
        </w:rPr>
      </w:pPr>
    </w:p>
    <w:p w14:paraId="1D55C778" w14:textId="3AA41850" w:rsidR="00E23931" w:rsidRPr="00E23931" w:rsidRDefault="00E23931" w:rsidP="00CB052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23931">
        <w:tab/>
      </w:r>
      <w:r w:rsidRPr="00E23931">
        <w:tab/>
        <w:t>Женщины и мир и безопасность</w:t>
      </w:r>
    </w:p>
    <w:p w14:paraId="7ED20A66" w14:textId="44458E3A" w:rsidR="00E23931" w:rsidRPr="00CB052C" w:rsidRDefault="00E23931" w:rsidP="00CB052C">
      <w:pPr>
        <w:pStyle w:val="SingleTxt"/>
        <w:spacing w:after="0" w:line="120" w:lineRule="exact"/>
        <w:rPr>
          <w:sz w:val="10"/>
        </w:rPr>
      </w:pPr>
    </w:p>
    <w:p w14:paraId="5AE5FA04" w14:textId="0BD1923C" w:rsidR="00E23931" w:rsidRPr="00E23931" w:rsidRDefault="00E23931" w:rsidP="00E23931">
      <w:pPr>
        <w:pStyle w:val="SingleTxt"/>
      </w:pPr>
      <w:r w:rsidRPr="00E23931">
        <w:t>25.</w:t>
      </w:r>
      <w:r w:rsidRPr="00E23931">
        <w:tab/>
        <w:t>Комитет приветствует деятельность государства-участника по привлечению женщин на службу в вооруженные силы, особенно на руководящих должностях. Вместе с тем обеспокоенность Комитета вызывают ограниченные масштабы участия женщин и их привлечения к участию в реализации процедур и стратегий, направленных на борьбу с массовым насилием и незащищенностью населения в стране, в том числе с организованной преступностью.</w:t>
      </w:r>
    </w:p>
    <w:p w14:paraId="43B55B2C" w14:textId="165557F8" w:rsidR="00E23931" w:rsidRPr="00E23931" w:rsidRDefault="00E23931" w:rsidP="00E23931">
      <w:pPr>
        <w:pStyle w:val="SingleTxt"/>
      </w:pPr>
      <w:r w:rsidRPr="00E23931">
        <w:t>26.</w:t>
      </w:r>
      <w:r w:rsidRPr="00E23931">
        <w:tab/>
      </w:r>
      <w:r w:rsidRPr="00E23931">
        <w:rPr>
          <w:b/>
        </w:rPr>
        <w:t>Комитет, ссылаясь на Конвенцию и общую рекомендацию Комитета № 30 (2013) о положении женщин в условиях предотвращения конфликтов, в конфликтных и постконфликтных ситуациях, рекомендует государству-участнику:</w:t>
      </w:r>
    </w:p>
    <w:p w14:paraId="1F777A28" w14:textId="631C8AB4" w:rsidR="00E23931" w:rsidRPr="00E23931" w:rsidRDefault="00E23931" w:rsidP="00E23931">
      <w:pPr>
        <w:pStyle w:val="SingleTxt"/>
      </w:pPr>
      <w:r w:rsidRPr="00E23931">
        <w:tab/>
        <w:t>а)</w:t>
      </w:r>
      <w:r w:rsidRPr="00E23931">
        <w:tab/>
      </w:r>
      <w:r w:rsidRPr="00E23931">
        <w:rPr>
          <w:b/>
        </w:rPr>
        <w:t>разработать, в сотрудничестве с женскими организациями гражданского общества, национальный план действий, который обеспечивал бы привлечение женщин к участию в решении проблем отсутствия безопасности, насилия и организованной преступности в стране;</w:t>
      </w:r>
    </w:p>
    <w:p w14:paraId="45961BD6" w14:textId="5902026A" w:rsidR="00E23931" w:rsidRPr="00E23931" w:rsidRDefault="00E23931" w:rsidP="00E23931">
      <w:pPr>
        <w:pStyle w:val="SingleTxt"/>
      </w:pPr>
      <w:r w:rsidRPr="00E23931">
        <w:tab/>
        <w:t>b)</w:t>
      </w:r>
      <w:r w:rsidRPr="00E23931">
        <w:tab/>
      </w:r>
      <w:r w:rsidRPr="00E23931">
        <w:rPr>
          <w:b/>
        </w:rPr>
        <w:t>принять временные меры специального характера в целях дальнейшего привлечения женщин на службу в вооруженные силы, особенно на должностях высокого уровня;</w:t>
      </w:r>
    </w:p>
    <w:p w14:paraId="2AB6A946" w14:textId="3D239358" w:rsidR="00E23931" w:rsidRPr="00E23931" w:rsidRDefault="00E23931" w:rsidP="00E23931">
      <w:pPr>
        <w:pStyle w:val="SingleTxt"/>
      </w:pPr>
      <w:r w:rsidRPr="00E23931">
        <w:tab/>
        <w:t>с)</w:t>
      </w:r>
      <w:r w:rsidRPr="00E23931">
        <w:tab/>
      </w:r>
      <w:r w:rsidRPr="00E23931">
        <w:rPr>
          <w:b/>
        </w:rPr>
        <w:t>принять, в том числе путем привлечения к работе женских организаций гражданского общества, меры по наращиванию потенциала женщин и девочек, позволяющего им принимать участие в борьбе с незащищенностью женщин и насилием в их отношении.</w:t>
      </w:r>
    </w:p>
    <w:p w14:paraId="3C88B5AD" w14:textId="18D873F5" w:rsidR="00E23931" w:rsidRPr="00CB052C" w:rsidRDefault="00E23931" w:rsidP="00CB052C">
      <w:pPr>
        <w:pStyle w:val="SingleTxt"/>
        <w:spacing w:after="0" w:line="120" w:lineRule="exact"/>
        <w:rPr>
          <w:bCs/>
          <w:sz w:val="10"/>
        </w:rPr>
      </w:pPr>
    </w:p>
    <w:p w14:paraId="63AE801E" w14:textId="77777777" w:rsidR="00E23931" w:rsidRPr="00E23931" w:rsidRDefault="00E23931" w:rsidP="00CB052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23931">
        <w:tab/>
      </w:r>
      <w:r w:rsidRPr="00E23931">
        <w:tab/>
        <w:t>Женщины-правозащитники</w:t>
      </w:r>
    </w:p>
    <w:p w14:paraId="3875E9AC" w14:textId="700C51CE" w:rsidR="00E23931" w:rsidRPr="00CB052C" w:rsidRDefault="00E23931" w:rsidP="00CB052C">
      <w:pPr>
        <w:pStyle w:val="SingleTxt"/>
        <w:spacing w:after="0" w:line="120" w:lineRule="exact"/>
        <w:rPr>
          <w:sz w:val="10"/>
        </w:rPr>
      </w:pPr>
    </w:p>
    <w:p w14:paraId="1E923F1B" w14:textId="77777777" w:rsidR="00E23931" w:rsidRPr="00E23931" w:rsidRDefault="00E23931" w:rsidP="00E23931">
      <w:pPr>
        <w:pStyle w:val="SingleTxt"/>
      </w:pPr>
      <w:r w:rsidRPr="00E23931">
        <w:t>27.</w:t>
      </w:r>
      <w:r w:rsidRPr="00E23931">
        <w:tab/>
        <w:t>Комитет с обеспокоенностью отмечает, что женщины — правозащитники и журналисты все чаще подвергаются различным формам насилия, причем в некоторых случаях подобные акты совершаются, по некоторым данным, представителями государства. Комитет обеспокоен также сообщениями о том, что анонимные группы используют нападения на социальные сети и цифровые платформы как инструмент для подстрекательства к насилию в отношении женщин — правозащитников и журналистов.</w:t>
      </w:r>
    </w:p>
    <w:p w14:paraId="6B8BBD8E" w14:textId="6D132273" w:rsidR="00E23931" w:rsidRPr="00E23931" w:rsidRDefault="00E23931" w:rsidP="00E23931">
      <w:pPr>
        <w:pStyle w:val="SingleTxt"/>
      </w:pPr>
      <w:r w:rsidRPr="00E23931">
        <w:t>28.</w:t>
      </w:r>
      <w:r w:rsidRPr="00E23931">
        <w:tab/>
      </w:r>
      <w:r w:rsidRPr="00E23931">
        <w:rPr>
          <w:b/>
        </w:rPr>
        <w:t>Комитет рекомендует государству-участнику принять реальные и эффективные меры к полномасштабному введению в действие во всех штатах функционирующего на принципах учета гендерного подхода федерального механизма защиты правозащитников и журналистов, который позволял бы предупреждать нападения и другие посягательства на женщин — правозащитников и журналистов, расследовать такие нападения, привлекать к ответственности и наказывать виновных в их совершении, а также принять действенные меры для борьбы с безнаказанностью.</w:t>
      </w:r>
    </w:p>
    <w:p w14:paraId="6AF3ED1D" w14:textId="121D96E2" w:rsidR="00E23931" w:rsidRPr="00CB052C" w:rsidRDefault="00E23931" w:rsidP="00CB052C">
      <w:pPr>
        <w:pStyle w:val="SingleTxt"/>
        <w:spacing w:after="0" w:line="120" w:lineRule="exact"/>
        <w:rPr>
          <w:bCs/>
          <w:sz w:val="10"/>
        </w:rPr>
      </w:pPr>
    </w:p>
    <w:p w14:paraId="73EA1C9F" w14:textId="77777777" w:rsidR="00CB052C" w:rsidRDefault="00CB052C">
      <w:pPr>
        <w:spacing w:after="200" w:line="276" w:lineRule="auto"/>
        <w:rPr>
          <w:b/>
          <w:spacing w:val="2"/>
        </w:rPr>
      </w:pPr>
      <w:r>
        <w:br w:type="page"/>
      </w:r>
    </w:p>
    <w:p w14:paraId="2ADC6D8B" w14:textId="698A263F" w:rsidR="00E23931" w:rsidRPr="00E23931" w:rsidRDefault="00E23931" w:rsidP="00CB052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23931">
        <w:tab/>
      </w:r>
      <w:r w:rsidRPr="00E23931">
        <w:tab/>
        <w:t>Торговля людьми и эксплуатация проституции</w:t>
      </w:r>
    </w:p>
    <w:p w14:paraId="656338A6" w14:textId="5F5E7481" w:rsidR="00E23931" w:rsidRPr="00CB052C" w:rsidRDefault="00E23931" w:rsidP="00CB052C">
      <w:pPr>
        <w:pStyle w:val="SingleTxt"/>
        <w:spacing w:after="0" w:line="120" w:lineRule="exact"/>
        <w:rPr>
          <w:sz w:val="10"/>
        </w:rPr>
      </w:pPr>
    </w:p>
    <w:p w14:paraId="2A811943" w14:textId="27F6CB61" w:rsidR="00E23931" w:rsidRPr="00E23931" w:rsidRDefault="00E23931" w:rsidP="00E23931">
      <w:pPr>
        <w:pStyle w:val="SingleTxt"/>
      </w:pPr>
      <w:r w:rsidRPr="00E23931">
        <w:t>29.</w:t>
      </w:r>
      <w:r w:rsidRPr="00E23931">
        <w:tab/>
        <w:t>Комитет приветствует деятельность, направленную на борьбу с торговлей людьми в государстве-участнике, в том числе принятие в 2012 году Общего закона о предупреждении и искоренении преступлений, связанных с торговлей людьми, и наказании за нее и об обеспечении защиты жертв таких преступлений и оказании им помощи. Вместе с тем у Комитета вызывают обеспокоенность:</w:t>
      </w:r>
    </w:p>
    <w:p w14:paraId="35B2FAD4" w14:textId="41E51198" w:rsidR="00E23931" w:rsidRPr="00E23931" w:rsidRDefault="00E23931" w:rsidP="00E23931">
      <w:pPr>
        <w:pStyle w:val="SingleTxt"/>
      </w:pPr>
      <w:r w:rsidRPr="00E23931">
        <w:tab/>
        <w:t>a)</w:t>
      </w:r>
      <w:r w:rsidRPr="00E23931">
        <w:tab/>
        <w:t>отсутствие на уровне штатов и на муниципальном уровне согласованных и скоординированных механизмов, которые обеспечивали бы эффективное осуществление данного Закона;</w:t>
      </w:r>
    </w:p>
    <w:p w14:paraId="2E4D688A" w14:textId="0BE0C765" w:rsidR="00E23931" w:rsidRPr="00E23931" w:rsidRDefault="00E23931" w:rsidP="00E23931">
      <w:pPr>
        <w:pStyle w:val="SingleTxt"/>
      </w:pPr>
      <w:r w:rsidRPr="00E23931">
        <w:tab/>
        <w:t>b)</w:t>
      </w:r>
      <w:r w:rsidRPr="00E23931">
        <w:tab/>
        <w:t>отсутствие всеобъемлющей стратегии борьбы с торговлей людьми и ограниченные масштабы использования данных о жертвах торговли людьми и информации о степени распространенности торговли людьми в государстве-участнике в разбивке по полу и возрасту, в частности в отношении торговли людьми для целей, не связанных с сексуальной эксплуатацией;</w:t>
      </w:r>
    </w:p>
    <w:p w14:paraId="6AB04195" w14:textId="494E12A1" w:rsidR="00E23931" w:rsidRPr="00E23931" w:rsidRDefault="00E23931" w:rsidP="00E23931">
      <w:pPr>
        <w:pStyle w:val="SingleTxt"/>
      </w:pPr>
      <w:r w:rsidRPr="00E23931">
        <w:tab/>
        <w:t>с)</w:t>
      </w:r>
      <w:r w:rsidRPr="00E23931">
        <w:tab/>
        <w:t>низкие показатели судебного преследования и осуждения в случаях торговли людьми и повторная виктимизация женщин и девочек, причем некоторые из них, согласно имеющимся данным, подвергаются преследованиям, вместо того чтобы, будучи потерпевшими, получать поддержку;</w:t>
      </w:r>
    </w:p>
    <w:p w14:paraId="06D0EDF7" w14:textId="532D9962" w:rsidR="00E23931" w:rsidRPr="00E23931" w:rsidRDefault="00E23931" w:rsidP="00E23931">
      <w:pPr>
        <w:pStyle w:val="SingleTxt"/>
      </w:pPr>
      <w:r w:rsidRPr="00E23931">
        <w:tab/>
        <w:t>d)</w:t>
      </w:r>
      <w:r w:rsidRPr="00E23931">
        <w:tab/>
        <w:t>недостаточность мер помощи жертвам, их реабилитации и реинтеграции, в том числе не соответствующее потребностям количество приютов и ограниченный доступ к консультационным услугам, медицинской помощи, психологической поддержке и возмещению ущерба, например в форме компенсации жертвам торговли людьми, в частности женщинам-мигрантам;</w:t>
      </w:r>
    </w:p>
    <w:p w14:paraId="1845C160" w14:textId="176217DA" w:rsidR="00E23931" w:rsidRPr="00E23931" w:rsidRDefault="00E23931" w:rsidP="00E23931">
      <w:pPr>
        <w:pStyle w:val="SingleTxt"/>
      </w:pPr>
      <w:r w:rsidRPr="00E23931">
        <w:tab/>
        <w:t>е)</w:t>
      </w:r>
      <w:r w:rsidRPr="00E23931">
        <w:tab/>
        <w:t>имеющиеся данные о сообщничестве между государственными должностными лицами и международными преступными группировками, следствием которого являются коррупция и безнаказанность, а также недостаточная степень координации действий с соседними странами по вопросам предупреждения торговли людьми, оказания помощи жертвам и преследования виновных.</w:t>
      </w:r>
    </w:p>
    <w:p w14:paraId="47182C88" w14:textId="77777777" w:rsidR="00E23931" w:rsidRPr="00E23931" w:rsidRDefault="00E23931" w:rsidP="00E23931">
      <w:pPr>
        <w:pStyle w:val="SingleTxt"/>
      </w:pPr>
      <w:r w:rsidRPr="00E23931">
        <w:t>30.</w:t>
      </w:r>
      <w:r w:rsidRPr="00E23931">
        <w:tab/>
      </w:r>
      <w:r w:rsidRPr="00E23931">
        <w:rPr>
          <w:b/>
        </w:rPr>
        <w:t>Комитет рекомендует государству-участнику:</w:t>
      </w:r>
    </w:p>
    <w:p w14:paraId="05714124" w14:textId="2939B21B" w:rsidR="00E23931" w:rsidRPr="00E23931" w:rsidRDefault="00E23931" w:rsidP="00E23931">
      <w:pPr>
        <w:pStyle w:val="SingleTxt"/>
      </w:pPr>
      <w:r w:rsidRPr="00E23931">
        <w:tab/>
        <w:t>a)</w:t>
      </w:r>
      <w:r w:rsidRPr="00E23931">
        <w:tab/>
      </w:r>
      <w:r w:rsidRPr="00E23931">
        <w:rPr>
          <w:b/>
        </w:rPr>
        <w:t>выделять достаточные кадровые, технические и финансовые ресурсы для эффективного и согласованного осуществления всеми штатами Общего закона о предупреждении и искоренении преступлений, связанных с торговлей людьми, и наказании за нее и об обеспечении защиты жертв таких преступлений и оказании им помощи;</w:t>
      </w:r>
    </w:p>
    <w:p w14:paraId="64DCAC7C" w14:textId="25727A38" w:rsidR="00E23931" w:rsidRPr="00E23931" w:rsidRDefault="00E23931" w:rsidP="00E23931">
      <w:pPr>
        <w:pStyle w:val="SingleTxt"/>
      </w:pPr>
      <w:r w:rsidRPr="00E23931">
        <w:tab/>
        <w:t>b)</w:t>
      </w:r>
      <w:r w:rsidRPr="00E23931">
        <w:tab/>
      </w:r>
      <w:r w:rsidRPr="00E23931">
        <w:rPr>
          <w:b/>
        </w:rPr>
        <w:t>совершенствовать существующие механизмы и стратегии борьбы с торговлей людьми и обеспечивать выделение им достаточных кадровых, технических и финансовых ресурсов, в том числе для обучения сотрудников трудовой инспекции, полиции и пограничных служб, с тем чтобы они могли более эффективно выявлять случаи использования принудительного труда, торговли людьми и другие связанные с ними преступления в отношении женщин и девочек, а также систематически собирать и анализировать данные о торговле людьми в разбивке по полу и возрасту;</w:t>
      </w:r>
    </w:p>
    <w:p w14:paraId="00D209E9" w14:textId="10341FDB" w:rsidR="00E23931" w:rsidRPr="00E23931" w:rsidRDefault="00E23931" w:rsidP="00E23931">
      <w:pPr>
        <w:pStyle w:val="SingleTxt"/>
      </w:pPr>
      <w:r w:rsidRPr="00E23931">
        <w:tab/>
        <w:t>c)</w:t>
      </w:r>
      <w:r w:rsidRPr="00E23931">
        <w:tab/>
      </w:r>
      <w:r w:rsidRPr="00E23931">
        <w:rPr>
          <w:b/>
        </w:rPr>
        <w:t>проводить расследования, преследовать в уголовном порядке и надлежащим образом наказывать лиц, виновных в торговле людьми, особенно женщинами и девочками, и разработать национальные руководящие принципы в отношении раннего выявления и направления жертв торговли людьми в соответствующие социальные службы, с тем чтобы избежать повторной виктимизации;</w:t>
      </w:r>
    </w:p>
    <w:p w14:paraId="14D2E299" w14:textId="3AB6C3B0" w:rsidR="00E23931" w:rsidRPr="00E23931" w:rsidRDefault="00E23931" w:rsidP="00E23931">
      <w:pPr>
        <w:pStyle w:val="SingleTxt"/>
      </w:pPr>
      <w:r w:rsidRPr="00E23931">
        <w:tab/>
        <w:t>d)</w:t>
      </w:r>
      <w:r w:rsidRPr="00E23931">
        <w:tab/>
      </w:r>
      <w:r w:rsidRPr="00E23931">
        <w:rPr>
          <w:b/>
        </w:rPr>
        <w:t>усилить поддержку женщин, ставших жертвами торговли людьми, в частности женщин-мигрантов и женщин из числа коренного населения, обеспечивая им надлежащий доступ к медицинской помощи, консультативным услугам и средствам правовой защиты, включая возмещение ущерба и компенсацию, а также предоставление надлежащего убежища;</w:t>
      </w:r>
    </w:p>
    <w:p w14:paraId="794BCED6" w14:textId="107E1A72" w:rsidR="00E23931" w:rsidRPr="00E23931" w:rsidRDefault="00E23931" w:rsidP="00E23931">
      <w:pPr>
        <w:pStyle w:val="SingleTxt"/>
      </w:pPr>
      <w:r w:rsidRPr="00E23931">
        <w:tab/>
        <w:t>е)</w:t>
      </w:r>
      <w:r w:rsidRPr="00E23931">
        <w:tab/>
      </w:r>
      <w:r w:rsidRPr="00E23931">
        <w:rPr>
          <w:b/>
        </w:rPr>
        <w:t>развивать региональное сотрудничество со странами происхождения и назначения в целях предупреждения торговли людьми путем обмена информацией и согласования процедур; совершенствовать, особенно на местном уровне, институциональные механизмы, направленные на борьбу с коррупцией; а также систематически и надлежащим образом расследовать случаи сообщничества между государственными должностными лицами и организованными преступными группировками и обеспечить решительное судебное преследование и наказание правонарушителей на основании адекватных приговоров и дисциплинарных санкций и предоставление жертвам возмещения или компенсации.</w:t>
      </w:r>
    </w:p>
    <w:p w14:paraId="6C4AE97A" w14:textId="77777777" w:rsidR="00E23931" w:rsidRPr="00E23931" w:rsidRDefault="00E23931" w:rsidP="00E23931">
      <w:pPr>
        <w:pStyle w:val="SingleTxt"/>
      </w:pPr>
      <w:r w:rsidRPr="00E23931">
        <w:t>31.</w:t>
      </w:r>
      <w:r w:rsidRPr="00E23931">
        <w:tab/>
        <w:t>Комитет обеспокоен сообщениями о применении полицией насилия и вымогательства, совершаемых в отношении женщин, занимающихся проституцией, а также об их произвольных арестах и помещении под стражу без ордера на арест. Он также выражает обеспокоенность по поводу недостаточного количества информации об их положении, а также отсутствия специальных служб и программ для женщин, занимающихся проституцией, включая программы реабилитации и реинтеграции для женщин, желающих прекратить заниматься проституцией.</w:t>
      </w:r>
    </w:p>
    <w:p w14:paraId="10EBEDFA" w14:textId="54270004" w:rsidR="00E23931" w:rsidRPr="00E23931" w:rsidRDefault="00E23931" w:rsidP="00E23931">
      <w:pPr>
        <w:pStyle w:val="SingleTxt"/>
      </w:pPr>
      <w:r w:rsidRPr="00E23931">
        <w:t>32.</w:t>
      </w:r>
      <w:r w:rsidRPr="00E23931">
        <w:tab/>
      </w:r>
      <w:r w:rsidRPr="00E23931">
        <w:rPr>
          <w:b/>
        </w:rPr>
        <w:t>Комитет рекомендует государству-участнику принять эффективные меры для защиты женщин, занимающихся проституцией, от эксплуатации и надругательств, провести исследование корневых причин и масштабов распространенности проституции и использовать результаты этого исследования для разработки программ помощи и поддержки для женщин, занимающихся проституцией, включая программы реабилитации и реинтеграции для женщин, желающих прекратить заниматься проституцией</w:t>
      </w:r>
      <w:r w:rsidRPr="00E23931">
        <w:t>.</w:t>
      </w:r>
    </w:p>
    <w:p w14:paraId="46153EA7" w14:textId="773871A4" w:rsidR="00E23931" w:rsidRPr="00CB052C" w:rsidRDefault="00E23931" w:rsidP="00CB052C">
      <w:pPr>
        <w:pStyle w:val="SingleTxt"/>
        <w:spacing w:after="0" w:line="120" w:lineRule="exact"/>
        <w:rPr>
          <w:bCs/>
          <w:sz w:val="10"/>
        </w:rPr>
      </w:pPr>
    </w:p>
    <w:p w14:paraId="3811544D" w14:textId="30DB19D0" w:rsidR="00E23931" w:rsidRPr="00E23931" w:rsidRDefault="00E23931" w:rsidP="00CB052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23931">
        <w:tab/>
      </w:r>
      <w:r w:rsidRPr="00E23931">
        <w:tab/>
        <w:t>Участие в политической и общественной жизни</w:t>
      </w:r>
    </w:p>
    <w:p w14:paraId="0BDBDA54" w14:textId="202D582B" w:rsidR="00E23931" w:rsidRPr="00CB052C" w:rsidRDefault="00E23931" w:rsidP="00CB052C">
      <w:pPr>
        <w:pStyle w:val="SingleTxt"/>
        <w:spacing w:after="0" w:line="120" w:lineRule="exact"/>
        <w:rPr>
          <w:sz w:val="10"/>
        </w:rPr>
      </w:pPr>
    </w:p>
    <w:p w14:paraId="0C537F84" w14:textId="77777777" w:rsidR="00E23931" w:rsidRPr="00E23931" w:rsidRDefault="00E23931" w:rsidP="00E23931">
      <w:pPr>
        <w:pStyle w:val="SingleTxt"/>
      </w:pPr>
      <w:r w:rsidRPr="00E23931">
        <w:t>33.</w:t>
      </w:r>
      <w:r w:rsidRPr="00E23931">
        <w:tab/>
        <w:t>Комитет приветствует прогресс государства-участника в деле расширения участия женщин в политической и общественной жизни, в частности создание Наблюдательного совета по вопросам участия женщин в политической жизни, а также увеличение числа женщин-кандидатов, избранных на соответствующие посты в ходе недавних выборов. Вместе с тем у Комитета вызывают обеспокоенность следующие проблемы:</w:t>
      </w:r>
    </w:p>
    <w:p w14:paraId="7A4FAADD" w14:textId="607A057F" w:rsidR="00E23931" w:rsidRPr="00E23931" w:rsidRDefault="00E23931" w:rsidP="00E23931">
      <w:pPr>
        <w:pStyle w:val="SingleTxt"/>
      </w:pPr>
      <w:r w:rsidRPr="00E23931">
        <w:tab/>
        <w:t>a)</w:t>
      </w:r>
      <w:r w:rsidRPr="00E23931">
        <w:tab/>
        <w:t>структурные барьеры, препятствующие доступу женщин к участию в политической и общественной жизни, в частности их выдвижению на ответственные должности по назначению и посты в политических партиях;</w:t>
      </w:r>
    </w:p>
    <w:p w14:paraId="5D5ADE2A" w14:textId="4431B72C" w:rsidR="00E23931" w:rsidRPr="00E23931" w:rsidRDefault="00E23931" w:rsidP="00E23931">
      <w:pPr>
        <w:pStyle w:val="SingleTxt"/>
      </w:pPr>
      <w:r w:rsidRPr="00E23931">
        <w:tab/>
        <w:t>b)</w:t>
      </w:r>
      <w:r w:rsidRPr="00E23931">
        <w:tab/>
        <w:t>дискриминация по признаку пола и расы в политических партиях, которая по-прежнему не позволяет женщинам выдвигать свои кандидатуры на выборах на уровне штатов и муниципалитетов;</w:t>
      </w:r>
    </w:p>
    <w:p w14:paraId="0209D118" w14:textId="424CEB40" w:rsidR="00E23931" w:rsidRPr="00E23931" w:rsidRDefault="00E23931" w:rsidP="00E23931">
      <w:pPr>
        <w:pStyle w:val="SingleTxt"/>
      </w:pPr>
      <w:r w:rsidRPr="00E23931">
        <w:tab/>
        <w:t>c)</w:t>
      </w:r>
      <w:r w:rsidRPr="00E23931">
        <w:tab/>
        <w:t>увеличение масштабов политического насилия в отношении женщин, отсутствие согласованной нормативно-правовой базы, квалифицирующей политическое насилие как преступление, и низкие показатели судебного преследования виновных в актах насилия, что может препятствовать выдвижению кандидатур женщин на выборах всех уровней, но прежде всего на уровне муниципалитетов.</w:t>
      </w:r>
    </w:p>
    <w:p w14:paraId="4DA74568" w14:textId="77777777" w:rsidR="00E23931" w:rsidRPr="00E23931" w:rsidRDefault="00E23931" w:rsidP="00E23931">
      <w:pPr>
        <w:pStyle w:val="SingleTxt"/>
      </w:pPr>
      <w:r w:rsidRPr="00E23931">
        <w:t>34.</w:t>
      </w:r>
      <w:r w:rsidRPr="00E23931">
        <w:tab/>
      </w:r>
      <w:r w:rsidRPr="00E23931">
        <w:rPr>
          <w:b/>
        </w:rPr>
        <w:t>Комитет подтверждает свою рекомендацию государству-участнику в полной мере использовать общую рекомендацию 23 (1997) об участии женщин в политической и общественной жизни, с тем чтобы ускорить обеспечение всестороннего и равноправного участия женщин в работе органов исполнительной власти и судебных органов, особенно на местном уровне. Он призывает государство-участник:</w:t>
      </w:r>
    </w:p>
    <w:p w14:paraId="251E8FC3" w14:textId="1BE9CF0B" w:rsidR="00E23931" w:rsidRPr="00E23931" w:rsidRDefault="00E23931" w:rsidP="00E23931">
      <w:pPr>
        <w:pStyle w:val="SingleTxt"/>
      </w:pPr>
      <w:r w:rsidRPr="00E23931">
        <w:tab/>
        <w:t>а)</w:t>
      </w:r>
      <w:r w:rsidRPr="00E23931">
        <w:tab/>
      </w:r>
      <w:r w:rsidRPr="00E23931">
        <w:rPr>
          <w:b/>
        </w:rPr>
        <w:t>определить точные цели и сроки расширения равноправного участия женщин в общественной и политической жизни на всех уровнях и создавать необходимые условия для достижения этих целей;</w:t>
      </w:r>
    </w:p>
    <w:p w14:paraId="207DE251" w14:textId="73B895D6" w:rsidR="00E23931" w:rsidRPr="00E23931" w:rsidRDefault="00E23931" w:rsidP="00E23931">
      <w:pPr>
        <w:pStyle w:val="SingleTxt"/>
      </w:pPr>
      <w:r w:rsidRPr="00E23931">
        <w:tab/>
        <w:t>b)</w:t>
      </w:r>
      <w:r w:rsidRPr="00E23931">
        <w:tab/>
      </w:r>
      <w:r w:rsidRPr="00E23931">
        <w:rPr>
          <w:b/>
        </w:rPr>
        <w:t>принимать меры де-юре и де-факто по борьбе с практикой дискриминации в политических партиях, которая препятствует женщинам, в том числе представительницам коренных народов и мексиканкам африканского происхождения, выдвигать свои кандидатуры на выборах на федеральном уровне, уровне штатов и муниципалитетов;</w:t>
      </w:r>
    </w:p>
    <w:p w14:paraId="185FF2ED" w14:textId="0B591F77" w:rsidR="00E23931" w:rsidRPr="00E23931" w:rsidRDefault="00E23931" w:rsidP="00E23931">
      <w:pPr>
        <w:pStyle w:val="SingleTxt"/>
      </w:pPr>
      <w:r w:rsidRPr="00E23931">
        <w:tab/>
        <w:t>с)</w:t>
      </w:r>
      <w:r w:rsidRPr="00E23931">
        <w:tab/>
      </w:r>
      <w:r w:rsidRPr="00E23931">
        <w:rPr>
          <w:b/>
        </w:rPr>
        <w:t>в соответствии с общей рекомендацией № 35 принять меры по гармонизации законодательства штатов, с тем чтобы квалифицировать политическое насилие в отношении женщин как преступление, четко определив обязанности федеральных, государственных и муниципальных органов власти в отношении предупреждения, оказания поддержки, судебного преследования и наказания.</w:t>
      </w:r>
    </w:p>
    <w:p w14:paraId="33F73C19" w14:textId="7518E148" w:rsidR="00E23931" w:rsidRPr="00CB052C" w:rsidRDefault="00E23931" w:rsidP="00CB052C">
      <w:pPr>
        <w:pStyle w:val="SingleTxt"/>
        <w:spacing w:after="0" w:line="120" w:lineRule="exact"/>
        <w:rPr>
          <w:bCs/>
          <w:sz w:val="10"/>
        </w:rPr>
      </w:pPr>
    </w:p>
    <w:p w14:paraId="2EC9684B" w14:textId="77777777" w:rsidR="00E23931" w:rsidRPr="00E23931" w:rsidRDefault="00E23931" w:rsidP="00CB052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23931">
        <w:tab/>
      </w:r>
      <w:r w:rsidRPr="00E23931">
        <w:tab/>
        <w:t>Гражданство</w:t>
      </w:r>
    </w:p>
    <w:p w14:paraId="7FB2DD95" w14:textId="28F33FA6" w:rsidR="00E23931" w:rsidRPr="00CB052C" w:rsidRDefault="00E23931" w:rsidP="00CB052C">
      <w:pPr>
        <w:pStyle w:val="SingleTxt"/>
        <w:spacing w:after="0" w:line="120" w:lineRule="exact"/>
        <w:rPr>
          <w:sz w:val="10"/>
        </w:rPr>
      </w:pPr>
    </w:p>
    <w:p w14:paraId="0BEBA341" w14:textId="77777777" w:rsidR="00E23931" w:rsidRPr="00E23931" w:rsidRDefault="00E23931" w:rsidP="00E23931">
      <w:pPr>
        <w:pStyle w:val="SingleTxt"/>
      </w:pPr>
      <w:r w:rsidRPr="00E23931">
        <w:t>35.</w:t>
      </w:r>
      <w:r w:rsidRPr="00E23931">
        <w:tab/>
        <w:t>Приветствуя конституционную реформу 2014 года, в рамках которой было признано право на регистрацию рождения, а также недавнее упрощение процедуры обязательной регистрации в консульстве Мексики детей, родившихся в Соединенных Штатах Америки у родителей-мексиканцев, Комитет выражает обеспокоенность в связи с остающимися низкими показателями регистрации новорожденных детей из числа коренных народов, мексиканских детей африканского происхождения и детей мигрантов, проживающих в отдаленных районах.</w:t>
      </w:r>
    </w:p>
    <w:p w14:paraId="69E2AD7B" w14:textId="77777777" w:rsidR="00E23931" w:rsidRPr="00E23931" w:rsidRDefault="00E23931" w:rsidP="00E23931">
      <w:pPr>
        <w:pStyle w:val="SingleTxt"/>
      </w:pPr>
      <w:r w:rsidRPr="00E23931">
        <w:t>36.</w:t>
      </w:r>
      <w:r w:rsidRPr="00E23931">
        <w:tab/>
      </w:r>
      <w:r w:rsidRPr="00E23931">
        <w:rPr>
          <w:b/>
        </w:rPr>
        <w:t>Комитет рекомендует государству-участнику обеспечить всеобщую регистрацию рождений, в том числе путем создания отделов или мобильных групп по регистрации во всех родильных отделениях, в основных пунктах транзита или назначения мигрантов и в общинах, в которых дети рождаются, а также путем совершенствования этой процедуры, с тем чтобы ускорить регистрацию детей, родившихся в Соединенных Штатах Америки у мексиканских родителей, возвратившихся в государство-участник.</w:t>
      </w:r>
    </w:p>
    <w:p w14:paraId="382642B7" w14:textId="4E278E85" w:rsidR="00E23931" w:rsidRPr="00CB052C" w:rsidRDefault="00E23931" w:rsidP="00CB052C">
      <w:pPr>
        <w:pStyle w:val="SingleTxt"/>
        <w:spacing w:after="0" w:line="120" w:lineRule="exact"/>
        <w:rPr>
          <w:bCs/>
          <w:sz w:val="10"/>
        </w:rPr>
      </w:pPr>
    </w:p>
    <w:p w14:paraId="2EDA4A10" w14:textId="77777777" w:rsidR="00E23931" w:rsidRPr="00E23931" w:rsidRDefault="00E23931" w:rsidP="00CB052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23931">
        <w:tab/>
      </w:r>
      <w:r w:rsidRPr="00E23931">
        <w:tab/>
        <w:t>Образование</w:t>
      </w:r>
    </w:p>
    <w:p w14:paraId="07580AA7" w14:textId="5664D824" w:rsidR="00E23931" w:rsidRPr="00CB052C" w:rsidRDefault="00E23931" w:rsidP="00CB052C">
      <w:pPr>
        <w:pStyle w:val="SingleTxt"/>
        <w:spacing w:after="0" w:line="120" w:lineRule="exact"/>
        <w:rPr>
          <w:sz w:val="10"/>
        </w:rPr>
      </w:pPr>
    </w:p>
    <w:p w14:paraId="579D5D0B" w14:textId="77777777" w:rsidR="00E23931" w:rsidRPr="00E23931" w:rsidRDefault="00E23931" w:rsidP="00E23931">
      <w:pPr>
        <w:pStyle w:val="SingleTxt"/>
      </w:pPr>
      <w:r w:rsidRPr="00E23931">
        <w:t>37.</w:t>
      </w:r>
      <w:r w:rsidRPr="00E23931">
        <w:tab/>
        <w:t>Комитет приветствует деятельность государства-участника по увеличению числа женщин и девочек, изучающих такие нетрадиционные предметы, как естественные науки, техника и инженерно-математические науки, а также проходящих профессионально-техническую подготовку. Вместе с тем у Комитета вызывают обеспокоенность следующие проблемы:</w:t>
      </w:r>
    </w:p>
    <w:p w14:paraId="4B074790" w14:textId="1A1C9F58" w:rsidR="00E23931" w:rsidRPr="00E23931" w:rsidRDefault="00E23931" w:rsidP="00E23931">
      <w:pPr>
        <w:pStyle w:val="SingleTxt"/>
      </w:pPr>
      <w:r w:rsidRPr="00E23931">
        <w:tab/>
        <w:t>a)</w:t>
      </w:r>
      <w:r w:rsidRPr="00E23931">
        <w:tab/>
        <w:t>сохранение структурных барьеров, препятствующих женщинам и девочкам в получении качественного образования, в частности на уровне средней и высшей школы, и связанных с недостаточными бюджетными ассигнованиями в некоторых штатах, слаборазвитой школьной инфраструктурой, недостатком учебных материалов и нехваткой квалифицированных учителей, особенно в общинах коренного населения и в сельских районах;</w:t>
      </w:r>
    </w:p>
    <w:p w14:paraId="71512D9C" w14:textId="5719A6E5" w:rsidR="00E23931" w:rsidRPr="00E23931" w:rsidRDefault="00E23931" w:rsidP="00E23931">
      <w:pPr>
        <w:pStyle w:val="SingleTxt"/>
      </w:pPr>
      <w:r w:rsidRPr="00E23931">
        <w:tab/>
        <w:t>b)</w:t>
      </w:r>
      <w:r w:rsidRPr="00E23931">
        <w:tab/>
        <w:t>выделяемые во всех штатах финансовые и кадровые ресурсы недостаточны для полного осуществления национальной стратегии предупреждения подростковой беременности, что может помешать беременным девушкам и молодым матерям возобновить обучение;</w:t>
      </w:r>
    </w:p>
    <w:p w14:paraId="524FB2C1" w14:textId="0E247450" w:rsidR="00E23931" w:rsidRPr="00E23931" w:rsidRDefault="00E23931" w:rsidP="00E23931">
      <w:pPr>
        <w:pStyle w:val="SingleTxt"/>
      </w:pPr>
      <w:r w:rsidRPr="00E23931">
        <w:tab/>
        <w:t>c)</w:t>
      </w:r>
      <w:r w:rsidRPr="00E23931">
        <w:tab/>
        <w:t>по-прежнему непропорционально низкая доля женщин и девочек в традиционно мужских областях образования, таких как естественные науки, техника и инженерно-математические науки;</w:t>
      </w:r>
    </w:p>
    <w:p w14:paraId="56898455" w14:textId="6D421BFB" w:rsidR="00E23931" w:rsidRPr="00E23931" w:rsidRDefault="00E23931" w:rsidP="00E23931">
      <w:pPr>
        <w:pStyle w:val="SingleTxt"/>
      </w:pPr>
      <w:r w:rsidRPr="00E23931">
        <w:tab/>
        <w:t>d)</w:t>
      </w:r>
      <w:r w:rsidRPr="00E23931">
        <w:tab/>
        <w:t>недостаточность и непоследовательность в осуществлении во всех штатах учебных программ по вопросам сексуального и репродуктивного здоровья и прав;</w:t>
      </w:r>
    </w:p>
    <w:p w14:paraId="74A69222" w14:textId="1C3855FC" w:rsidR="00E23931" w:rsidRPr="00E23931" w:rsidRDefault="00E23931" w:rsidP="00E23931">
      <w:pPr>
        <w:pStyle w:val="SingleTxt"/>
      </w:pPr>
      <w:r w:rsidRPr="00E23931">
        <w:tab/>
        <w:t>e)</w:t>
      </w:r>
      <w:r w:rsidRPr="00E23931">
        <w:tab/>
        <w:t>отсутствие эффективных механизмов предупреждения и искоренения сексуального насилия и домогательств, а также других форм насилия в школах и наказания за них.</w:t>
      </w:r>
    </w:p>
    <w:p w14:paraId="354119B7" w14:textId="26C6104C" w:rsidR="00E23931" w:rsidRPr="00E23931" w:rsidRDefault="00E23931" w:rsidP="00E23931">
      <w:pPr>
        <w:pStyle w:val="SingleTxt"/>
      </w:pPr>
      <w:r w:rsidRPr="00E23931">
        <w:t>38.</w:t>
      </w:r>
      <w:r w:rsidRPr="00E23931">
        <w:tab/>
      </w:r>
      <w:r w:rsidRPr="00E23931">
        <w:rPr>
          <w:b/>
        </w:rPr>
        <w:t>Ссылаясь на статью 10 Конвенции и свою общую рекомендацию № 36 (2017) о праве женщин и девочек на образование, Комитет рекомендует государству-участнику:</w:t>
      </w:r>
    </w:p>
    <w:p w14:paraId="1D844298" w14:textId="176C04E9" w:rsidR="00E23931" w:rsidRPr="00E23931" w:rsidRDefault="00E23931" w:rsidP="00E23931">
      <w:pPr>
        <w:pStyle w:val="SingleTxt"/>
      </w:pPr>
      <w:r w:rsidRPr="00E23931">
        <w:tab/>
        <w:t>а)</w:t>
      </w:r>
      <w:r w:rsidRPr="00E23931">
        <w:tab/>
      </w:r>
      <w:r w:rsidRPr="00E23931">
        <w:rPr>
          <w:b/>
        </w:rPr>
        <w:t>увеличить бюджетные ассигнования на обеспечение внедрения во всех штатах и в полном объеме новой образовательной модели 2017 года, на модернизацию школьной инфраструктуры, прежде всего в общинах коренного населения и в сельских районах, а также на организацию поставок необходимых и доступных методических и учебных материалов;</w:t>
      </w:r>
    </w:p>
    <w:p w14:paraId="75FB9523" w14:textId="37989FBB" w:rsidR="00E23931" w:rsidRPr="00E23931" w:rsidRDefault="00E23931" w:rsidP="00E23931">
      <w:pPr>
        <w:pStyle w:val="SingleTxt"/>
      </w:pPr>
      <w:r w:rsidRPr="00E23931">
        <w:tab/>
        <w:t>b)</w:t>
      </w:r>
      <w:r w:rsidRPr="00E23931">
        <w:tab/>
      </w:r>
      <w:r w:rsidRPr="00E23931">
        <w:rPr>
          <w:b/>
        </w:rPr>
        <w:t>обеспечить достаточную кадровую и финансовую поддержку мер по полной реализации национальной стратегии предупреждения подростковой беременности и повышению эффективности механизмов поддержки, стимулирующих беременных девушек и молодых матерей продолжать обучение во время беременности и после родов, в том числе путем создания доступных учреждений по уходу за детьми, информирования беременных девушек об их правах и наложения штрафов на образовательные учреждения, которые отчисляют беременных девушек и/или отказывают молодым матерям в возможности возобновить обучение;</w:t>
      </w:r>
    </w:p>
    <w:p w14:paraId="4F954A56" w14:textId="7534A684" w:rsidR="00E23931" w:rsidRPr="00E23931" w:rsidRDefault="00E23931" w:rsidP="00E23931">
      <w:pPr>
        <w:pStyle w:val="SingleTxt"/>
      </w:pPr>
      <w:r w:rsidRPr="00E23931">
        <w:tab/>
        <w:t>c)</w:t>
      </w:r>
      <w:r w:rsidRPr="00E23931">
        <w:tab/>
      </w:r>
      <w:r w:rsidRPr="00E23931">
        <w:rPr>
          <w:b/>
        </w:rPr>
        <w:t>вести борьбу с дискриминационными стереотипами и структурными барьерами, которые могут препятствовать девочкам в продолжении образования по окончании средней школы, и активнее проводить работу по привлечению девочек к обучению в традиционно мужских областях образования, таких как естественные науки, техника и инженерно-математические науки;</w:t>
      </w:r>
    </w:p>
    <w:p w14:paraId="2D51B15D" w14:textId="7FE51122" w:rsidR="00E23931" w:rsidRPr="00E23931" w:rsidRDefault="00E23931" w:rsidP="00E23931">
      <w:pPr>
        <w:pStyle w:val="SingleTxt"/>
      </w:pPr>
      <w:r w:rsidRPr="00E23931">
        <w:tab/>
        <w:t>d)</w:t>
      </w:r>
      <w:r w:rsidRPr="00E23931">
        <w:tab/>
      </w:r>
      <w:r w:rsidRPr="00E23931">
        <w:rPr>
          <w:b/>
        </w:rPr>
        <w:t>обеспечить соответствующее возрастным критериям, основанное на фактах и научно достоверное всестороннее сексуальное просвещение для девочек и мальчиков;</w:t>
      </w:r>
    </w:p>
    <w:p w14:paraId="320E1ABF" w14:textId="5578C3AE" w:rsidR="00E23931" w:rsidRPr="00E23931" w:rsidRDefault="00E23931" w:rsidP="00E23931">
      <w:pPr>
        <w:pStyle w:val="SingleTxt"/>
      </w:pPr>
      <w:r w:rsidRPr="00E23931">
        <w:tab/>
        <w:t>е)</w:t>
      </w:r>
      <w:r w:rsidRPr="00E23931">
        <w:tab/>
      </w:r>
      <w:r w:rsidRPr="00E23931">
        <w:rPr>
          <w:b/>
        </w:rPr>
        <w:t>принять меры по предупреждению и искоренению всех форм насилия в отношении женщин и девочек в государственных учебных заведениях и наказанию виновных.</w:t>
      </w:r>
    </w:p>
    <w:p w14:paraId="6224E2AF" w14:textId="14F7CCAB" w:rsidR="00E23931" w:rsidRPr="00CB052C" w:rsidRDefault="00E23931" w:rsidP="00CB052C">
      <w:pPr>
        <w:pStyle w:val="SingleTxt"/>
        <w:spacing w:after="0" w:line="120" w:lineRule="exact"/>
        <w:rPr>
          <w:bCs/>
          <w:sz w:val="10"/>
        </w:rPr>
      </w:pPr>
    </w:p>
    <w:p w14:paraId="3C19307C" w14:textId="77777777" w:rsidR="00E23931" w:rsidRPr="00E23931" w:rsidRDefault="00E23931" w:rsidP="00CB052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23931">
        <w:tab/>
      </w:r>
      <w:r w:rsidRPr="00E23931">
        <w:tab/>
        <w:t>Занятость</w:t>
      </w:r>
    </w:p>
    <w:p w14:paraId="2D65E7E1" w14:textId="486FA582" w:rsidR="00E23931" w:rsidRPr="00CB052C" w:rsidRDefault="00E23931" w:rsidP="00CB052C">
      <w:pPr>
        <w:pStyle w:val="SingleTxt"/>
        <w:spacing w:after="0" w:line="120" w:lineRule="exact"/>
        <w:rPr>
          <w:sz w:val="10"/>
        </w:rPr>
      </w:pPr>
    </w:p>
    <w:p w14:paraId="397D6C9E" w14:textId="77777777" w:rsidR="00E23931" w:rsidRPr="00E23931" w:rsidRDefault="00E23931" w:rsidP="00E23931">
      <w:pPr>
        <w:pStyle w:val="SingleTxt"/>
      </w:pPr>
      <w:r w:rsidRPr="00E23931">
        <w:t>39.</w:t>
      </w:r>
      <w:r w:rsidRPr="00E23931">
        <w:tab/>
        <w:t>Комитет приветствует продолжение работы по содействию выходу женщин на рынок труда, в том числе путем внесения поправок в Федеральный закон о труде. Вместе с тем у Комитета вызывают обеспокоенность следующие проблемы:</w:t>
      </w:r>
    </w:p>
    <w:p w14:paraId="1BBCC6FD" w14:textId="28DD6336" w:rsidR="00E23931" w:rsidRPr="00E23931" w:rsidRDefault="00E23931" w:rsidP="00E23931">
      <w:pPr>
        <w:pStyle w:val="SingleTxt"/>
      </w:pPr>
      <w:r w:rsidRPr="00E23931">
        <w:tab/>
        <w:t>a)</w:t>
      </w:r>
      <w:r w:rsidRPr="00E23931">
        <w:tab/>
        <w:t>низкий уровень экономической активности среди женщин в государстве-участнике (44 процента, тогда как для мужчин этот показатель составляет 78 процентов);</w:t>
      </w:r>
    </w:p>
    <w:p w14:paraId="342A865E" w14:textId="5033DB91" w:rsidR="00E23931" w:rsidRPr="00E23931" w:rsidRDefault="00E23931" w:rsidP="00E23931">
      <w:pPr>
        <w:pStyle w:val="SingleTxt"/>
      </w:pPr>
      <w:r w:rsidRPr="00E23931">
        <w:tab/>
        <w:t>b)</w:t>
      </w:r>
      <w:r w:rsidRPr="00E23931">
        <w:tab/>
        <w:t>сохранение разрыва в уровнях оплаты труда мужчин и женщин (в 2017 году — 5,8 процента) как в государственном, так и в частном секторе;</w:t>
      </w:r>
    </w:p>
    <w:p w14:paraId="5E718F4D" w14:textId="707B386B" w:rsidR="00E23931" w:rsidRPr="00E23931" w:rsidRDefault="00E23931" w:rsidP="00E23931">
      <w:pPr>
        <w:pStyle w:val="SingleTxt"/>
      </w:pPr>
      <w:r w:rsidRPr="00E23931">
        <w:tab/>
        <w:t>c)</w:t>
      </w:r>
      <w:r w:rsidRPr="00E23931">
        <w:tab/>
        <w:t>неравномерное распределение между женщинами и мужчинами работы по дому и по уходу за членами семьи и малая продолжительность отпуска по уходу за ребенком, вынуждающая многих женщин заниматься низкооплачиваемым трудом и трудом на условиях неполной занятости в неформальном секторе;</w:t>
      </w:r>
    </w:p>
    <w:p w14:paraId="45935DEE" w14:textId="4A4E559F" w:rsidR="00E23931" w:rsidRPr="00E23931" w:rsidRDefault="00E23931" w:rsidP="00E23931">
      <w:pPr>
        <w:pStyle w:val="SingleTxt"/>
      </w:pPr>
      <w:r w:rsidRPr="00E23931">
        <w:tab/>
        <w:t>d)</w:t>
      </w:r>
      <w:r w:rsidRPr="00E23931">
        <w:tab/>
        <w:t>тяжелое положение женщин, работающих в качестве домашней прислуги, которые получают в среднем менее половины ставки минимальной заработной платы, не могут получить доступ к социальному обеспечению или медицинскому страхованию, и на них не распространяются  предусмотренные законодательством меры правовой защиты;</w:t>
      </w:r>
    </w:p>
    <w:p w14:paraId="41874EF3" w14:textId="3A378B4E" w:rsidR="00E23931" w:rsidRPr="00E23931" w:rsidRDefault="00E23931" w:rsidP="00E23931">
      <w:pPr>
        <w:pStyle w:val="SingleTxt"/>
      </w:pPr>
      <w:r w:rsidRPr="00E23931">
        <w:tab/>
        <w:t>е)</w:t>
      </w:r>
      <w:r w:rsidRPr="00E23931">
        <w:tab/>
        <w:t>ограниченность доступа мигрантов, женщин из числа коренного населения, мексиканских женщин африканского происхождения и женщин-инвалидов на официальный рынок труда.</w:t>
      </w:r>
    </w:p>
    <w:p w14:paraId="7EEC91CC" w14:textId="75287293" w:rsidR="00E23931" w:rsidRPr="00E23931" w:rsidRDefault="00E23931" w:rsidP="00E23931">
      <w:pPr>
        <w:pStyle w:val="SingleTxt"/>
      </w:pPr>
      <w:r w:rsidRPr="00E23931">
        <w:t>40.</w:t>
      </w:r>
      <w:r w:rsidRPr="00E23931">
        <w:tab/>
      </w:r>
      <w:r w:rsidRPr="00E23931">
        <w:rPr>
          <w:b/>
        </w:rPr>
        <w:t>Комитет повторяет свои предыдущие рекомендации (</w:t>
      </w:r>
      <w:hyperlink r:id="rId24" w:history="1">
        <w:r w:rsidRPr="00E23931">
          <w:rPr>
            <w:rStyle w:val="Hyperlink"/>
            <w:b/>
            <w:bCs/>
          </w:rPr>
          <w:t>CEDAW/C/MEX/CO/7-8</w:t>
        </w:r>
      </w:hyperlink>
      <w:r w:rsidRPr="00E23931">
        <w:rPr>
          <w:b/>
        </w:rPr>
        <w:t>, пункт 29) и рекомендует государству-участнику:</w:t>
      </w:r>
    </w:p>
    <w:p w14:paraId="54A230ED" w14:textId="0287029A" w:rsidR="00E23931" w:rsidRPr="00E23931" w:rsidRDefault="00E23931" w:rsidP="00E23931">
      <w:pPr>
        <w:pStyle w:val="SingleTxt"/>
      </w:pPr>
      <w:r w:rsidRPr="00E23931">
        <w:tab/>
        <w:t>а)</w:t>
      </w:r>
      <w:r w:rsidRPr="00E23931">
        <w:tab/>
      </w:r>
      <w:r w:rsidRPr="00E23931">
        <w:rPr>
          <w:b/>
        </w:rPr>
        <w:t>принять меры по расширению доступа женщин к официальному рынку труда и поощрению занятости женщин в нетрадиционных и более высокооплачиваемых секторах, а также по обеспечению возможностей трудоустройства для групп женщин, находящихся в неблагоприятном положении, путем использования временных специальных мер в соответствии со статьей 4 (пункт 1) Конвенции и общей рекомендацией Комитета № 25;</w:t>
      </w:r>
    </w:p>
    <w:p w14:paraId="6D3BCAA3" w14:textId="107B8BC4" w:rsidR="00E23931" w:rsidRPr="00E23931" w:rsidRDefault="00E23931" w:rsidP="00E23931">
      <w:pPr>
        <w:pStyle w:val="SingleTxt"/>
      </w:pPr>
      <w:r w:rsidRPr="00E23931">
        <w:tab/>
        <w:t>b)</w:t>
      </w:r>
      <w:r w:rsidRPr="00E23931">
        <w:tab/>
      </w:r>
      <w:r w:rsidRPr="00E23931">
        <w:rPr>
          <w:b/>
        </w:rPr>
        <w:t>обеспечить соблюдение принципа равной оплаты за труд равной ценности в соответствии с Конвенцией МОТ 1951 года о равном вознаграждении (№ 100) и активизировать принятие мер по сокращению и устранению разрыва в оплате труда мужчин и женщин, в том числе посредством принятия дополнительных мер, таких как нейтральные в гендерном отношении аналитические методы классификации и оценки профессий и регулярное проведение обследований уровней заработной платы;</w:t>
      </w:r>
    </w:p>
    <w:p w14:paraId="29D9C78D" w14:textId="6EAD8C0F" w:rsidR="00E23931" w:rsidRPr="00E23931" w:rsidRDefault="00E23931" w:rsidP="00E23931">
      <w:pPr>
        <w:pStyle w:val="SingleTxt"/>
      </w:pPr>
      <w:r w:rsidRPr="00E23931">
        <w:tab/>
        <w:t>c)</w:t>
      </w:r>
      <w:r w:rsidRPr="00E23931">
        <w:tab/>
      </w:r>
      <w:r w:rsidRPr="00E23931">
        <w:rPr>
          <w:b/>
        </w:rPr>
        <w:t>осуществлять контроль и обеспечивать соблюдение законодательства, устанавливающего отпуск по беременности и родам и защищающего право на такой отпуск, использовать более действенные меры с целью стимулирования мужчин к использованию их права на отпуск по уходу за ребенком и ускорить принятие национальной политики в области ухода за членами семьи, обеспечив тем самым создание достаточного количества надлежащих учреждений по уходу за детьми;</w:t>
      </w:r>
    </w:p>
    <w:p w14:paraId="22C93B46" w14:textId="12E31297" w:rsidR="00E23931" w:rsidRPr="00E23931" w:rsidRDefault="00E23931" w:rsidP="00E23931">
      <w:pPr>
        <w:pStyle w:val="SingleTxt"/>
      </w:pPr>
      <w:r w:rsidRPr="00E23931">
        <w:tab/>
        <w:t>d)</w:t>
      </w:r>
      <w:r w:rsidRPr="00E23931">
        <w:tab/>
      </w:r>
      <w:r w:rsidRPr="00E23931">
        <w:rPr>
          <w:b/>
        </w:rPr>
        <w:t xml:space="preserve">внести поправки в Федеральный закон о труде, с тем чтобы обеспечить его применение в отношении лиц, работающих в качестве домашней прислуги, проводить регулярные трудовые инспекции частных домохозяйств и рассматривать ратификацию Конвенции МОТ </w:t>
      </w:r>
      <w:r w:rsidRPr="00E23931">
        <w:rPr>
          <w:b/>
          <w:bCs/>
        </w:rPr>
        <w:t xml:space="preserve">2011 года </w:t>
      </w:r>
      <w:r w:rsidRPr="00E23931">
        <w:rPr>
          <w:b/>
        </w:rPr>
        <w:t xml:space="preserve">о домашних работниках </w:t>
      </w:r>
      <w:r w:rsidRPr="00E23931">
        <w:rPr>
          <w:b/>
          <w:bCs/>
        </w:rPr>
        <w:t>(№ 189)</w:t>
      </w:r>
      <w:r w:rsidRPr="00E23931">
        <w:rPr>
          <w:b/>
        </w:rPr>
        <w:t xml:space="preserve"> как первоочередную задачу.</w:t>
      </w:r>
    </w:p>
    <w:p w14:paraId="1CF3B81C" w14:textId="2C4CD724" w:rsidR="00E23931" w:rsidRPr="00CB052C" w:rsidRDefault="00E23931" w:rsidP="00CB052C">
      <w:pPr>
        <w:pStyle w:val="SingleTxt"/>
        <w:spacing w:after="0" w:line="120" w:lineRule="exact"/>
        <w:rPr>
          <w:bCs/>
          <w:sz w:val="10"/>
        </w:rPr>
      </w:pPr>
    </w:p>
    <w:p w14:paraId="60391EAD" w14:textId="77777777" w:rsidR="00CB052C" w:rsidRDefault="00CB052C">
      <w:pPr>
        <w:spacing w:after="200" w:line="276" w:lineRule="auto"/>
        <w:rPr>
          <w:b/>
          <w:spacing w:val="2"/>
        </w:rPr>
      </w:pPr>
      <w:r>
        <w:br w:type="page"/>
      </w:r>
    </w:p>
    <w:p w14:paraId="4CEACF2E" w14:textId="295941AC" w:rsidR="00E23931" w:rsidRPr="00E23931" w:rsidRDefault="00E23931" w:rsidP="00CB052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23931">
        <w:tab/>
      </w:r>
      <w:r w:rsidRPr="00E23931">
        <w:tab/>
        <w:t>Здравоохранение</w:t>
      </w:r>
    </w:p>
    <w:p w14:paraId="671AFCB6" w14:textId="0E57291D" w:rsidR="00E23931" w:rsidRPr="00CB052C" w:rsidRDefault="00E23931" w:rsidP="00CB052C">
      <w:pPr>
        <w:pStyle w:val="SingleTxt"/>
        <w:spacing w:after="0" w:line="120" w:lineRule="exact"/>
        <w:rPr>
          <w:sz w:val="10"/>
        </w:rPr>
      </w:pPr>
    </w:p>
    <w:p w14:paraId="115DCCA1" w14:textId="2BC064F1" w:rsidR="00E23931" w:rsidRPr="00E23931" w:rsidRDefault="00E23931" w:rsidP="00E23931">
      <w:pPr>
        <w:pStyle w:val="SingleTxt"/>
      </w:pPr>
      <w:r w:rsidRPr="00E23931">
        <w:t>41.</w:t>
      </w:r>
      <w:r w:rsidRPr="00E23931">
        <w:tab/>
        <w:t>Комитет подтверждает свою ранее выраженную обеспокоенность (</w:t>
      </w:r>
      <w:hyperlink r:id="rId25" w:history="1">
        <w:r w:rsidRPr="00E23931">
          <w:rPr>
            <w:rStyle w:val="Hyperlink"/>
          </w:rPr>
          <w:t>CEDAW/C/MEX/CO/7</w:t>
        </w:r>
        <w:r w:rsidRPr="00E23931">
          <w:rPr>
            <w:rStyle w:val="Hyperlink"/>
          </w:rPr>
          <w:noBreakHyphen/>
          <w:t>8</w:t>
        </w:r>
      </w:hyperlink>
      <w:r w:rsidRPr="00E23931">
        <w:t>, пункт 30) и отмечает деятельность, предпринятую государством-участником для повышения эффективности и гармонизации на федеральном уровне и уровне штатов Общего закона о потерпевших в той его части, где речь идет об абортах в случае изнасилования, а также о разработке национальной стратегии предупреждения подростковой беременности. Вместе с тем у Комитета вызывают обеспокоенность следующие проблемы:</w:t>
      </w:r>
    </w:p>
    <w:p w14:paraId="567FEF4A" w14:textId="5679CCC2" w:rsidR="00E23931" w:rsidRPr="00E23931" w:rsidRDefault="00E23931" w:rsidP="00E23931">
      <w:pPr>
        <w:pStyle w:val="SingleTxt"/>
      </w:pPr>
      <w:r w:rsidRPr="00E23931">
        <w:tab/>
        <w:t>а)</w:t>
      </w:r>
      <w:r w:rsidRPr="00E23931">
        <w:tab/>
        <w:t>положения, содержащиеся в законодательстве штатов и ограничивающие доступ к легальным абортам, что по-прежнему вынуждает женщин и девочек совершать небезопасные аборты с риском для своего здоровья и жизни;</w:t>
      </w:r>
    </w:p>
    <w:p w14:paraId="050BC992" w14:textId="116BCA1D" w:rsidR="00E23931" w:rsidRPr="00E23931" w:rsidRDefault="00E23931" w:rsidP="00E23931">
      <w:pPr>
        <w:pStyle w:val="SingleTxt"/>
      </w:pPr>
      <w:r w:rsidRPr="00E23931">
        <w:tab/>
        <w:t>b)</w:t>
      </w:r>
      <w:r w:rsidRPr="00E23931">
        <w:tab/>
        <w:t>несоответствие между уголовными кодексами штатов, препятствующими эффективному осуществлению статьи 35 Общего закона о потерпевших и Мексиканского официального стандарта NOM-046-SSA2-2005 по вопросам бытового и сексуального насилия и насилия в отношении женщин, который узаконивает аборт в случае изнасилования;</w:t>
      </w:r>
    </w:p>
    <w:p w14:paraId="304097CB" w14:textId="34DB5121" w:rsidR="00E23931" w:rsidRPr="00E23931" w:rsidRDefault="00E23931" w:rsidP="00E23931">
      <w:pPr>
        <w:pStyle w:val="SingleTxt"/>
      </w:pPr>
      <w:r w:rsidRPr="00E23931">
        <w:tab/>
        <w:t>с)</w:t>
      </w:r>
      <w:r w:rsidRPr="00E23931">
        <w:tab/>
        <w:t>поправки, внесенные в 2018 году в Общий закон о потерпевших, которые предусматривают возможность отказа медицинских работников проводить аборт по соображениям совести и могут препятствовать женщинам, прежде всего в сельских и отдаленных районах, в доступе к безопасным абортам и средствам экстренной контрацепции;</w:t>
      </w:r>
    </w:p>
    <w:p w14:paraId="390C119A" w14:textId="71038CAA" w:rsidR="00E23931" w:rsidRPr="00E23931" w:rsidRDefault="00E23931" w:rsidP="00E23931">
      <w:pPr>
        <w:pStyle w:val="SingleTxt"/>
      </w:pPr>
      <w:r w:rsidRPr="00E23931">
        <w:tab/>
        <w:t>d)</w:t>
      </w:r>
      <w:r w:rsidRPr="00E23931">
        <w:tab/>
        <w:t>зарегистрированные случаи акушерского насилия со стороны медицинского персонала во время родов;</w:t>
      </w:r>
    </w:p>
    <w:p w14:paraId="1F0C0608" w14:textId="6EC4EEAF" w:rsidR="00E23931" w:rsidRPr="00E23931" w:rsidRDefault="00E23931" w:rsidP="00E23931">
      <w:pPr>
        <w:pStyle w:val="SingleTxt"/>
      </w:pPr>
      <w:r w:rsidRPr="00E23931">
        <w:tab/>
        <w:t>е)</w:t>
      </w:r>
      <w:r w:rsidRPr="00E23931">
        <w:tab/>
        <w:t>непропорционально высокие показатели материнской смертности среди женщин из числа коренного населения;</w:t>
      </w:r>
    </w:p>
    <w:p w14:paraId="2B502684" w14:textId="1405AF54" w:rsidR="00E23931" w:rsidRPr="00E23931" w:rsidRDefault="00E23931" w:rsidP="00E23931">
      <w:pPr>
        <w:pStyle w:val="SingleTxt"/>
      </w:pPr>
      <w:r w:rsidRPr="00E23931">
        <w:tab/>
        <w:t>f)</w:t>
      </w:r>
      <w:r w:rsidRPr="00E23931">
        <w:tab/>
        <w:t>сообщения о принудительной стерилизации женщин и девочек и ограничении доступа к услугам в области репродуктивного здоровья, в частности для женщин и девочек с психическими и другими заболеваниями.</w:t>
      </w:r>
    </w:p>
    <w:p w14:paraId="3CE265FA" w14:textId="77777777" w:rsidR="00E23931" w:rsidRPr="00E23931" w:rsidRDefault="00E23931" w:rsidP="00E23931">
      <w:pPr>
        <w:pStyle w:val="SingleTxt"/>
      </w:pPr>
      <w:r w:rsidRPr="00E23931">
        <w:t>42.</w:t>
      </w:r>
      <w:r w:rsidRPr="00E23931">
        <w:tab/>
      </w:r>
      <w:r w:rsidRPr="00E23931">
        <w:rPr>
          <w:b/>
        </w:rPr>
        <w:t>В соответствии со своей общей рекомендацией № 24 (1999), касающейся женщин и охраны здоровья, Комитет рекомендует государству-участнику:</w:t>
      </w:r>
    </w:p>
    <w:p w14:paraId="546F015C" w14:textId="3B1EAB29" w:rsidR="00E23931" w:rsidRPr="00E23931" w:rsidRDefault="00E23931" w:rsidP="00E23931">
      <w:pPr>
        <w:pStyle w:val="SingleTxt"/>
      </w:pPr>
      <w:r w:rsidRPr="00E23931">
        <w:tab/>
        <w:t>a)</w:t>
      </w:r>
      <w:r w:rsidRPr="00E23931">
        <w:tab/>
      </w:r>
      <w:r w:rsidRPr="00E23931">
        <w:rPr>
          <w:b/>
        </w:rPr>
        <w:t>наращивать принятие мер по ускорению процесса гармонизации федеральных законов и законов штатов и протоколов проведения абортов с целью гарантировать доступ к безопасным абортным и послеабортным медицинским услугам вне зависимости от того, является ли аборт законным сам по себе;</w:t>
      </w:r>
    </w:p>
    <w:p w14:paraId="41940295" w14:textId="22992527" w:rsidR="00E23931" w:rsidRPr="00E23931" w:rsidRDefault="00E23931" w:rsidP="00E23931">
      <w:pPr>
        <w:pStyle w:val="SingleTxt"/>
      </w:pPr>
      <w:r w:rsidRPr="00E23931">
        <w:tab/>
        <w:t>b)</w:t>
      </w:r>
      <w:r w:rsidRPr="00E23931">
        <w:tab/>
      </w:r>
      <w:r w:rsidRPr="00E23931">
        <w:rPr>
          <w:b/>
        </w:rPr>
        <w:t>привести соответствующие федеральные законы и законы штатов в соответствие с Общим законом о потерпевших и Мексиканским официальным стандартом NOM-046-SSA2-2005 по вопросам насилия в семье, сексуального насилия и насилия в отношении женщин и надлежащим образом информировать и обучать медицинский персонал, а также обеспечить особое внимание к женщинам и девочкам, ставшим жертвами сексуального насилия, включая предоставление основных услуг по экстренной контрацепции и проведению абортов;</w:t>
      </w:r>
    </w:p>
    <w:p w14:paraId="6633F800" w14:textId="3ADCB459" w:rsidR="00E23931" w:rsidRPr="00E23931" w:rsidRDefault="00E23931" w:rsidP="00E23931">
      <w:pPr>
        <w:pStyle w:val="SingleTxt"/>
      </w:pPr>
      <w:r w:rsidRPr="00E23931">
        <w:tab/>
        <w:t>с)</w:t>
      </w:r>
      <w:r w:rsidRPr="00E23931">
        <w:tab/>
      </w:r>
      <w:r w:rsidRPr="00E23931">
        <w:rPr>
          <w:b/>
        </w:rPr>
        <w:t>разработать протоколы, необходимые для реализации поправок к Общему закону о здравоохранении, которые разрешают отказываться от проведения аборта по соображениям совести, если это не ставят под угрозу жизнь матери и не препятствует женщинам и девочкам в получении доступа к легальным абортам, и обеспечить направление женщин и девочек в таких случаях к другому соответствующему специалисту;</w:t>
      </w:r>
    </w:p>
    <w:p w14:paraId="72BE0B16" w14:textId="3FFF82B7" w:rsidR="00E23931" w:rsidRPr="00E23931" w:rsidRDefault="00E23931" w:rsidP="00E23931">
      <w:pPr>
        <w:pStyle w:val="SingleTxt"/>
      </w:pPr>
      <w:r w:rsidRPr="00E23931">
        <w:tab/>
        <w:t>d)</w:t>
      </w:r>
      <w:r w:rsidRPr="00E23931">
        <w:tab/>
      </w:r>
      <w:r w:rsidRPr="00E23931">
        <w:rPr>
          <w:b/>
        </w:rPr>
        <w:t>согласовать федеральные законы и законы штатов с целью определения акушерского насилия как одной из форм институционального насилия и гендерного насилия в соответствии с Общим законом об обеспечении доступа женщин к жизни без насилия и обеспечить эффективный доступ к правосудию и всеобъемлющему возмещению ущерба всем женщинам, ставшим жертвами акушерского насилия;</w:t>
      </w:r>
    </w:p>
    <w:p w14:paraId="7FBC4B31" w14:textId="50A1FEE5" w:rsidR="00E23931" w:rsidRPr="00E23931" w:rsidRDefault="00E23931" w:rsidP="00E23931">
      <w:pPr>
        <w:pStyle w:val="SingleTxt"/>
      </w:pPr>
      <w:r w:rsidRPr="00E23931">
        <w:tab/>
        <w:t>е)</w:t>
      </w:r>
      <w:r w:rsidRPr="00E23931">
        <w:tab/>
      </w:r>
      <w:r w:rsidRPr="00E23931">
        <w:rPr>
          <w:b/>
        </w:rPr>
        <w:t>снижать показатель материнской смертности, в том числе путем сотрудничества с традиционными акушерками и подготовки медицинского персонала, особенно в сельских районах, с целью добиться того, чтобы все роды принимались квалифицированным медицинским персоналом в соответствии с задачами 3.1 и 3.7 целей в области устойчивого развития;</w:t>
      </w:r>
    </w:p>
    <w:p w14:paraId="759D8EE8" w14:textId="71BC8136" w:rsidR="00E23931" w:rsidRPr="00E23931" w:rsidRDefault="00E23931" w:rsidP="00E23931">
      <w:pPr>
        <w:pStyle w:val="SingleTxt"/>
      </w:pPr>
      <w:r w:rsidRPr="00E23931">
        <w:tab/>
        <w:t>f)</w:t>
      </w:r>
      <w:r w:rsidRPr="00E23931">
        <w:tab/>
      </w:r>
      <w:r w:rsidRPr="00E23931">
        <w:rPr>
          <w:b/>
        </w:rPr>
        <w:t>обеспечить со стороны медицинского персонала обязательное получение полностью информированного согласия до проведения стерилизации, чтобы в отношении врачей, проводящих стерилизацию без такого согласия, применялись соответствующие санкции и чтобы женщинам — жертвам стерилизации, проводившейся без получения их согласия, предоставлялись возмещение и финансовая компенсация.</w:t>
      </w:r>
    </w:p>
    <w:p w14:paraId="38806114" w14:textId="67B5F5A4" w:rsidR="00E23931" w:rsidRPr="00CB052C" w:rsidRDefault="00E23931" w:rsidP="00CB052C">
      <w:pPr>
        <w:pStyle w:val="SingleTxt"/>
        <w:spacing w:after="0" w:line="120" w:lineRule="exact"/>
        <w:rPr>
          <w:bCs/>
          <w:sz w:val="10"/>
        </w:rPr>
      </w:pPr>
    </w:p>
    <w:p w14:paraId="30190D6A" w14:textId="77777777" w:rsidR="00E23931" w:rsidRPr="00E23931" w:rsidRDefault="00E23931" w:rsidP="00CB052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23931">
        <w:tab/>
      </w:r>
      <w:r w:rsidRPr="00E23931">
        <w:tab/>
        <w:t>Расширение экономических прав и возможностей и социальные пособия</w:t>
      </w:r>
    </w:p>
    <w:p w14:paraId="4C246A7B" w14:textId="192B1C4C" w:rsidR="00E23931" w:rsidRPr="00CB052C" w:rsidRDefault="00E23931" w:rsidP="00CB052C">
      <w:pPr>
        <w:pStyle w:val="SingleTxt"/>
        <w:spacing w:after="0" w:line="120" w:lineRule="exact"/>
        <w:rPr>
          <w:sz w:val="10"/>
        </w:rPr>
      </w:pPr>
    </w:p>
    <w:p w14:paraId="2C15DBC2" w14:textId="77777777" w:rsidR="00E23931" w:rsidRPr="00E23931" w:rsidRDefault="00E23931" w:rsidP="00E23931">
      <w:pPr>
        <w:pStyle w:val="SingleTxt"/>
      </w:pPr>
      <w:r w:rsidRPr="00E23931">
        <w:t>43.</w:t>
      </w:r>
      <w:r w:rsidRPr="00E23931">
        <w:tab/>
        <w:t>Комитет приветствует постоянную деятельность государства-участника по сокращению масштабов нищеты. Вместе с тем у Комитета вызывают обеспокоенность следующие проблемы:</w:t>
      </w:r>
    </w:p>
    <w:p w14:paraId="5D9C6A9B" w14:textId="04238D9D" w:rsidR="00E23931" w:rsidRPr="00E23931" w:rsidRDefault="00E23931" w:rsidP="00E23931">
      <w:pPr>
        <w:pStyle w:val="SingleTxt"/>
      </w:pPr>
      <w:r w:rsidRPr="00E23931">
        <w:tab/>
        <w:t>а)</w:t>
      </w:r>
      <w:r w:rsidRPr="00E23931">
        <w:tab/>
        <w:t>высокий уровень нищеты и неравенства, с которым сталкиваются находящиеся в неблагоприятном положении и маргинализованные группы женщин, особенно женщины из числа коренного населения, мексиканские женщины африканского происхождения и женщины — главы домохозяйств;</w:t>
      </w:r>
      <w:bookmarkStart w:id="10" w:name="_Hlk522026394"/>
      <w:bookmarkEnd w:id="10"/>
    </w:p>
    <w:p w14:paraId="54B2A0F0" w14:textId="074D5845" w:rsidR="00E23931" w:rsidRPr="00E23931" w:rsidRDefault="00E23931" w:rsidP="00E23931">
      <w:pPr>
        <w:pStyle w:val="SingleTxt"/>
      </w:pPr>
      <w:r w:rsidRPr="00E23931">
        <w:tab/>
        <w:t>b)</w:t>
      </w:r>
      <w:r w:rsidRPr="00E23931">
        <w:tab/>
        <w:t>тот факт, что система социального страхования не обеспечивает надлежащей защиты женщин, поскольку они выполняют неоплачиваемую работу по уходу за членами семьи и многие из них работают в неформальном секторе;</w:t>
      </w:r>
    </w:p>
    <w:p w14:paraId="63D4EEDA" w14:textId="3D3FFF19" w:rsidR="00E23931" w:rsidRPr="00E23931" w:rsidRDefault="00E23931" w:rsidP="00E23931">
      <w:pPr>
        <w:pStyle w:val="SingleTxt"/>
      </w:pPr>
      <w:r w:rsidRPr="00E23931">
        <w:tab/>
        <w:t>с)</w:t>
      </w:r>
      <w:r w:rsidRPr="00E23931">
        <w:tab/>
        <w:t>ограниченный доступ женщин к микрокредитам и займам;</w:t>
      </w:r>
    </w:p>
    <w:p w14:paraId="7ADC0EF6" w14:textId="0F4476FE" w:rsidR="00E23931" w:rsidRPr="00E23931" w:rsidRDefault="00E23931" w:rsidP="00E23931">
      <w:pPr>
        <w:pStyle w:val="SingleTxt"/>
      </w:pPr>
      <w:r w:rsidRPr="00E23931">
        <w:tab/>
        <w:t>d)</w:t>
      </w:r>
      <w:r w:rsidRPr="00E23931">
        <w:tab/>
        <w:t>низкая доля женщин на уровне принятия решений по проблемам уменьшения опасности бедствий и ликвидации их последствий, в частности на местном уровне, несмотря на применение гендерного подхода в принятой в 2012 году национальной политике в области борьбы с п</w:t>
      </w:r>
      <w:r w:rsidR="00CB052C">
        <w:t>оследствиями изменения климата.</w:t>
      </w:r>
    </w:p>
    <w:p w14:paraId="6736F78A" w14:textId="77777777" w:rsidR="00E23931" w:rsidRPr="00E23931" w:rsidRDefault="00E23931" w:rsidP="00E23931">
      <w:pPr>
        <w:pStyle w:val="SingleTxt"/>
      </w:pPr>
      <w:r w:rsidRPr="00E23931">
        <w:t>44.</w:t>
      </w:r>
      <w:r w:rsidRPr="00E23931">
        <w:tab/>
      </w:r>
      <w:r w:rsidRPr="00E23931">
        <w:rPr>
          <w:b/>
        </w:rPr>
        <w:t>Комитет рекомендует государству-участнику:</w:t>
      </w:r>
    </w:p>
    <w:p w14:paraId="42C352DB" w14:textId="50959C5B" w:rsidR="00E23931" w:rsidRPr="00E23931" w:rsidRDefault="00E23931" w:rsidP="00E23931">
      <w:pPr>
        <w:pStyle w:val="SingleTxt"/>
      </w:pPr>
      <w:r w:rsidRPr="00E23931">
        <w:tab/>
        <w:t>а)</w:t>
      </w:r>
      <w:r w:rsidRPr="00E23931">
        <w:tab/>
      </w:r>
      <w:r w:rsidRPr="00E23931">
        <w:rPr>
          <w:b/>
        </w:rPr>
        <w:t>повышать эффективность национальной стратегии сокращения масштабов нищеты, уделяя при этом особое внимание наиболее неблагополучным и маргинализованным группам женщин, в частности женщинам из числа коренного населения, мексиканским женщинам африканского происхождения и женщинам из сельских районов, и обеспечивая в полной мере инклюзивный характер разработки и осуществления целей в области устойчивого развития, а также поощрять активное участие женщин в разработке и осуществлении стратегий сокращения масштабов нищеты;</w:t>
      </w:r>
    </w:p>
    <w:p w14:paraId="5A4E80B6" w14:textId="3340D5C1" w:rsidR="00E23931" w:rsidRPr="00E23931" w:rsidRDefault="00E23931" w:rsidP="00E23931">
      <w:pPr>
        <w:pStyle w:val="SingleTxt"/>
      </w:pPr>
      <w:r w:rsidRPr="00E23931">
        <w:tab/>
        <w:t>b)</w:t>
      </w:r>
      <w:r w:rsidRPr="00E23931">
        <w:tab/>
      </w:r>
      <w:r w:rsidRPr="00E23931">
        <w:rPr>
          <w:b/>
        </w:rPr>
        <w:t>расширять доступ женщин к национальной системе социального обеспечения и разрабатывать скоординированные программы социальной защиты женщин и обеспечения их социальными пособиями;</w:t>
      </w:r>
    </w:p>
    <w:p w14:paraId="10ACA834" w14:textId="08C5C8E1" w:rsidR="00E23931" w:rsidRPr="00E23931" w:rsidRDefault="00E23931" w:rsidP="00E23931">
      <w:pPr>
        <w:pStyle w:val="SingleTxt"/>
      </w:pPr>
      <w:r w:rsidRPr="00E23931">
        <w:tab/>
        <w:t>с)</w:t>
      </w:r>
      <w:r w:rsidRPr="00E23931">
        <w:tab/>
      </w:r>
      <w:r w:rsidRPr="00E23931">
        <w:rPr>
          <w:b/>
        </w:rPr>
        <w:t>выделять дополнительные целевые финансовые ресурсы для расширения доступа женщин к микрокредитам, займам и другим формам финансового кредитования в целях поощрения предпринимательства среди женщин и расширения их экономических прав и возможностей, уделяя при этом приоритетное внимание женщинам из числа коренного населения, мексиканским женщинам африканского происхождения и женщинам-инвалидам</w:t>
      </w:r>
      <w:r w:rsidRPr="00E23931">
        <w:t>;</w:t>
      </w:r>
    </w:p>
    <w:p w14:paraId="4ABD7D73" w14:textId="26B80FB2" w:rsidR="00E23931" w:rsidRPr="00E23931" w:rsidRDefault="00E23931" w:rsidP="00E23931">
      <w:pPr>
        <w:pStyle w:val="SingleTxt"/>
      </w:pPr>
      <w:r w:rsidRPr="00E23931">
        <w:tab/>
        <w:t>d)</w:t>
      </w:r>
      <w:r w:rsidRPr="00E23931">
        <w:tab/>
      </w:r>
      <w:r w:rsidRPr="00E23931">
        <w:rPr>
          <w:b/>
        </w:rPr>
        <w:t>в соответствии с общей рекомендацией Комитета № 37 (2018) о гендерных аспектах снижения риска бедствий в условиях изменения климата ускорить привлечение женщин к процессам принятия решений и восстановления в связи со стихийными бедствиями на всех уровнях, в частности на местном уровне, и продолжить работу по обеспечению учета гендерной проблематики во всех стратегиях в области устойчивого развития, а также в деятельности по уменьшению опасности бедствий и ликвидации последствий стихийных бедствий.</w:t>
      </w:r>
    </w:p>
    <w:p w14:paraId="62828535" w14:textId="7E3EDCBA" w:rsidR="00E23931" w:rsidRPr="00CB052C" w:rsidRDefault="00E23931" w:rsidP="00CB052C">
      <w:pPr>
        <w:pStyle w:val="SingleTxt"/>
        <w:spacing w:after="0" w:line="120" w:lineRule="exact"/>
        <w:rPr>
          <w:bCs/>
          <w:sz w:val="10"/>
        </w:rPr>
      </w:pPr>
    </w:p>
    <w:p w14:paraId="443D39B1" w14:textId="77777777" w:rsidR="00E23931" w:rsidRPr="00E23931" w:rsidRDefault="00E23931" w:rsidP="00CB052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23931">
        <w:tab/>
      </w:r>
      <w:r w:rsidRPr="00E23931">
        <w:tab/>
        <w:t>Сельские женщины и женщины из числа коренного населения</w:t>
      </w:r>
      <w:bookmarkStart w:id="11" w:name="_Hlk522014123"/>
      <w:bookmarkEnd w:id="11"/>
    </w:p>
    <w:p w14:paraId="7BDB034E" w14:textId="40C5F1C3" w:rsidR="00E23931" w:rsidRPr="00CB052C" w:rsidRDefault="00E23931" w:rsidP="00CB052C">
      <w:pPr>
        <w:pStyle w:val="SingleTxt"/>
        <w:spacing w:after="0" w:line="120" w:lineRule="exact"/>
        <w:rPr>
          <w:sz w:val="10"/>
        </w:rPr>
      </w:pPr>
    </w:p>
    <w:p w14:paraId="1C1AB688" w14:textId="3DD4547F" w:rsidR="00E23931" w:rsidRPr="00E23931" w:rsidRDefault="00E23931" w:rsidP="00E23931">
      <w:pPr>
        <w:pStyle w:val="SingleTxt"/>
      </w:pPr>
      <w:r w:rsidRPr="00E23931">
        <w:t>45.</w:t>
      </w:r>
      <w:r w:rsidRPr="00E23931">
        <w:tab/>
        <w:t>Комитет приветствует введение системы обусловленных денежных пособий и стратегии «национальной кампании по борьбе с голодом», а также национальной программы финансирования микропредпринимателей и сельских женщин. Вместе с тем он обеспокоен тем, что сельские женщины, в частности проживающие в изолированных общинах, женщины из числа коренного населения и мексиканские женщины африканского происхождения, по-прежнему сталкиваются с пересекающимися формами дискриминации. Особую обеспокоенность у Комитета вызывают:</w:t>
      </w:r>
    </w:p>
    <w:p w14:paraId="47D94829" w14:textId="15BA63F5" w:rsidR="00E23931" w:rsidRPr="00E23931" w:rsidRDefault="00E23931" w:rsidP="00E23931">
      <w:pPr>
        <w:pStyle w:val="SingleTxt"/>
      </w:pPr>
      <w:r w:rsidRPr="00E23931">
        <w:tab/>
        <w:t>a)</w:t>
      </w:r>
      <w:r w:rsidRPr="00E23931">
        <w:tab/>
        <w:t>тот факт, что они в чрезмерно большей степени страдают от нищеты и сталкиваются с препятствиями в доступе к медицинскому обслуживанию, образованию и возможностям занятости в формальном секторе;</w:t>
      </w:r>
    </w:p>
    <w:p w14:paraId="75B2350B" w14:textId="2A995CFC" w:rsidR="00E23931" w:rsidRPr="00E23931" w:rsidRDefault="00E23931" w:rsidP="00E23931">
      <w:pPr>
        <w:pStyle w:val="SingleTxt"/>
      </w:pPr>
      <w:r w:rsidRPr="00E23931">
        <w:tab/>
        <w:t>b)</w:t>
      </w:r>
      <w:r w:rsidRPr="00E23931">
        <w:tab/>
        <w:t>то, что, несмотря на недавние меры по улучшению ситуации с доступом к земле, сельские женщины и женщины из числа коренного населения по-прежнему ограничены в правах собственности на землю и в недостаточной степени представлены на руководящих должностях в связи с доступом к «эхидос» (земельным участкам, находящимся в собственности общин) и другим видам общинных земель;</w:t>
      </w:r>
    </w:p>
    <w:p w14:paraId="50A9D344" w14:textId="5891051D" w:rsidR="00E23931" w:rsidRPr="00E23931" w:rsidRDefault="00E23931" w:rsidP="00E23931">
      <w:pPr>
        <w:pStyle w:val="SingleTxt"/>
      </w:pPr>
      <w:r w:rsidRPr="00E23931">
        <w:tab/>
        <w:t>c)</w:t>
      </w:r>
      <w:r w:rsidRPr="00E23931">
        <w:tab/>
        <w:t>ограниченный характер осуществления принципа получения свободного, предварительного и информированного согласия и отсутствие консультаций с женщинами из числа коренного населения и мексиканскими женщинами африканского происхождения в связи с проектами развития, затрагивающими их коллективные права на владение землей, а также последствия принудительного изъятия у женщин из числа коренного населения и мексиканских женщин африканского происхождения земель, традиционно занимаемых или используемых ими, и отчуждения у них этих земель в рамках осуществления проектов развития сельских районов без обеспечения альтернативных средств существования;</w:t>
      </w:r>
    </w:p>
    <w:p w14:paraId="1E1AC3AD" w14:textId="04F2E6FB" w:rsidR="00E23931" w:rsidRPr="00E23931" w:rsidRDefault="00E23931" w:rsidP="00E23931">
      <w:pPr>
        <w:pStyle w:val="SingleTxt"/>
      </w:pPr>
      <w:r w:rsidRPr="00E23931">
        <w:tab/>
        <w:t>d)</w:t>
      </w:r>
      <w:r w:rsidRPr="00E23931">
        <w:tab/>
        <w:t>отсутствие достаточной институциональной поддержки, позволяющей обеспечить женщинам из числа коренного населения доступ к здравоохранению, образованию и занятости, а также возможность сохранять и передавать</w:t>
      </w:r>
      <w:r w:rsidR="00CB052C">
        <w:t xml:space="preserve"> свой традиционный образ жизни.</w:t>
      </w:r>
    </w:p>
    <w:p w14:paraId="03D193E0" w14:textId="77777777" w:rsidR="00E23931" w:rsidRPr="00E23931" w:rsidRDefault="00E23931" w:rsidP="00E23931">
      <w:pPr>
        <w:pStyle w:val="SingleTxt"/>
      </w:pPr>
      <w:r w:rsidRPr="00E23931">
        <w:t>46.</w:t>
      </w:r>
      <w:r w:rsidRPr="00E23931">
        <w:tab/>
      </w:r>
      <w:r w:rsidRPr="00E23931">
        <w:rPr>
          <w:b/>
        </w:rPr>
        <w:t>В соответствии с Конвенцией и общей рекомендацией № 34 (2016), касающейся прав сельских женщин, Комитет рекомендует государству-участнику:</w:t>
      </w:r>
    </w:p>
    <w:p w14:paraId="1A22AB8E" w14:textId="7593D97D" w:rsidR="00E23931" w:rsidRPr="00E23931" w:rsidRDefault="00E23931" w:rsidP="00E23931">
      <w:pPr>
        <w:pStyle w:val="SingleTxt"/>
      </w:pPr>
      <w:r w:rsidRPr="00E23931">
        <w:tab/>
        <w:t>a)</w:t>
      </w:r>
      <w:r w:rsidRPr="00E23931">
        <w:tab/>
      </w:r>
      <w:r w:rsidRPr="00E23931">
        <w:rPr>
          <w:b/>
        </w:rPr>
        <w:t>увеличить объем финансовых, кадровых и технических ресурсов, выделяемых на образование и защиту здоровья сельских женщин и женщин из числа коренного населения, и принимать целенаправленные меры по обеспечению на практике равных возможностей на рынке труда для женщин из числа коренного населения, мексиканских женщин африканского происхождения и женщин из сельских районов;</w:t>
      </w:r>
    </w:p>
    <w:p w14:paraId="3F1C1C63" w14:textId="066D9A30" w:rsidR="00E23931" w:rsidRPr="00E23931" w:rsidRDefault="00E23931" w:rsidP="00E23931">
      <w:pPr>
        <w:pStyle w:val="SingleTxt"/>
      </w:pPr>
      <w:r w:rsidRPr="00E23931">
        <w:tab/>
        <w:t>b)</w:t>
      </w:r>
      <w:r w:rsidRPr="00E23931">
        <w:tab/>
      </w:r>
      <w:r w:rsidRPr="00E23931">
        <w:rPr>
          <w:b/>
        </w:rPr>
        <w:t>расширять доступ женщин из числа коренного населения и сельских женщин к правам собственности на землю и землевладения, в том числе обеспечивая их надлежащую представленность на уровне принятия решений в отношении доступа к «эхидос» и другим видам общинных земель;</w:t>
      </w:r>
    </w:p>
    <w:p w14:paraId="3479C57A" w14:textId="35C0DEC8" w:rsidR="00E23931" w:rsidRPr="00E23931" w:rsidRDefault="00E23931" w:rsidP="00E23931">
      <w:pPr>
        <w:pStyle w:val="SingleTxt"/>
      </w:pPr>
      <w:r w:rsidRPr="00E23931">
        <w:tab/>
        <w:t>с)</w:t>
      </w:r>
      <w:r w:rsidRPr="00E23931">
        <w:tab/>
      </w:r>
      <w:r w:rsidRPr="00E23931">
        <w:rPr>
          <w:b/>
        </w:rPr>
        <w:t>определить правовые нормы, регулирующие и обеспечивающие разработку агропромышленных и других коммерческих проектов только при наличии свободного, предварительного и информированного согласия затрагиваемых женщин из числа коренного населения, мексиканских женщин африканского происхождения и женщин из сельских районов и включение в эти проекты положений о создании альтернативных возможностей получения средств существования и соглашений о совместном использовании выгод от использования их природных ресурсов и земель в соответствии с Конвенцией МОТ 1989 года о коренных народах и народах, ведущих племенной образ жизни (№ 169);</w:t>
      </w:r>
    </w:p>
    <w:p w14:paraId="3E99A60C" w14:textId="432F731A" w:rsidR="00E23931" w:rsidRPr="00E23931" w:rsidRDefault="00E23931" w:rsidP="00E23931">
      <w:pPr>
        <w:pStyle w:val="SingleTxt"/>
      </w:pPr>
      <w:r w:rsidRPr="00E23931">
        <w:tab/>
        <w:t>d)</w:t>
      </w:r>
      <w:r w:rsidRPr="00E23931">
        <w:tab/>
      </w:r>
      <w:r w:rsidRPr="00E23931">
        <w:rPr>
          <w:b/>
        </w:rPr>
        <w:t>усиливать меры институционального содействия обеспечению доступа женщин из числа коренного населения к основным услугам, в том числе водоснабжения и санитарии, и возможностям трудоустройства, а также расширять масштабы признания и сохранения традиционных для них видов культурной практики.</w:t>
      </w:r>
    </w:p>
    <w:p w14:paraId="2783F433" w14:textId="0E5F7B20" w:rsidR="00E23931" w:rsidRPr="00CB052C" w:rsidRDefault="00E23931" w:rsidP="00CB052C">
      <w:pPr>
        <w:pStyle w:val="SingleTxt"/>
        <w:spacing w:after="0" w:line="120" w:lineRule="exact"/>
        <w:rPr>
          <w:bCs/>
          <w:sz w:val="10"/>
        </w:rPr>
      </w:pPr>
    </w:p>
    <w:p w14:paraId="0C3C1A34" w14:textId="77777777" w:rsidR="00E23931" w:rsidRPr="00E23931" w:rsidRDefault="00E23931" w:rsidP="00CB052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iCs/>
        </w:rPr>
      </w:pPr>
      <w:r w:rsidRPr="00E23931">
        <w:tab/>
      </w:r>
      <w:r w:rsidRPr="00E23931">
        <w:tab/>
        <w:t>Женщины из числа мигрантов, беженцев и лиц, ищущих убежища</w:t>
      </w:r>
    </w:p>
    <w:p w14:paraId="78C5EFEA" w14:textId="13743F7C" w:rsidR="00E23931" w:rsidRPr="00CB052C" w:rsidRDefault="00E23931" w:rsidP="00CB052C">
      <w:pPr>
        <w:pStyle w:val="SingleTxt"/>
        <w:spacing w:after="0" w:line="120" w:lineRule="exact"/>
        <w:rPr>
          <w:sz w:val="10"/>
        </w:rPr>
      </w:pPr>
    </w:p>
    <w:p w14:paraId="5C91D898" w14:textId="7598C06A" w:rsidR="00E23931" w:rsidRPr="00E23931" w:rsidRDefault="00E23931" w:rsidP="00E23931">
      <w:pPr>
        <w:pStyle w:val="SingleTxt"/>
      </w:pPr>
      <w:r w:rsidRPr="00E23931">
        <w:t>47.</w:t>
      </w:r>
      <w:r w:rsidRPr="00E23931">
        <w:tab/>
        <w:t>Комитет приветствует создание Отдела по расследованию преступлений в отношении мигрантов, а также проводимую им кампанию под лозунгом «Миграция — это не преступление». Вместе с тем Комитет с обеспокоенностью отмечает, что женщин-мигрантов по-прежнему автоматически задерживают на основании Закона о миграции, что экспериментальные программы освобождения из-под стражи действуют не во всех штатах и что многие женщины и девочки, ищущие убежища, не имеют реального доступа к процедурам его получения. Он обеспокоен также тем, что права мигрантов, беженцев и лиц, ищущих убежища, на труд, на доступ к медицинской помощи  и к получению жилья обеспечиваются не во всех штатах. Кроме того, Комитет выражает обеспокоенность по поводу последствий насильственных исчезновений для мигрантов и высокого уровня гендерного насилия, в частности в районах страны, граничащих с Соединенными Штатами Америки.</w:t>
      </w:r>
      <w:bookmarkStart w:id="12" w:name="_Hlk522549703"/>
      <w:bookmarkEnd w:id="12"/>
    </w:p>
    <w:p w14:paraId="622F3155" w14:textId="77777777" w:rsidR="00E23931" w:rsidRPr="00E23931" w:rsidRDefault="00E23931" w:rsidP="00E23931">
      <w:pPr>
        <w:pStyle w:val="SingleTxt"/>
      </w:pPr>
      <w:r w:rsidRPr="00E23931">
        <w:t>48.</w:t>
      </w:r>
      <w:r w:rsidRPr="00E23931">
        <w:tab/>
      </w:r>
      <w:r w:rsidRPr="00E23931">
        <w:rPr>
          <w:b/>
        </w:rPr>
        <w:t>Комитет рекомендует государству-участнику:</w:t>
      </w:r>
    </w:p>
    <w:p w14:paraId="47847C38" w14:textId="001A96BA" w:rsidR="00E23931" w:rsidRPr="00E23931" w:rsidRDefault="00E23931" w:rsidP="00E23931">
      <w:pPr>
        <w:pStyle w:val="SingleTxt"/>
      </w:pPr>
      <w:r w:rsidRPr="00E23931">
        <w:tab/>
        <w:t>а)</w:t>
      </w:r>
      <w:r w:rsidRPr="00E23931">
        <w:tab/>
      </w:r>
      <w:r w:rsidRPr="00E23931">
        <w:rPr>
          <w:b/>
        </w:rPr>
        <w:t>пересмотреть Закон о миграции с целью отмены положения об автоматическом задержании и, пока будет проводиться соответствующая работа, обеспечить осуществление программ освобождения во всех штатах;</w:t>
      </w:r>
    </w:p>
    <w:p w14:paraId="409E513A" w14:textId="1715068F" w:rsidR="00E23931" w:rsidRPr="00E23931" w:rsidRDefault="00E23931" w:rsidP="00E23931">
      <w:pPr>
        <w:pStyle w:val="SingleTxt"/>
      </w:pPr>
      <w:r w:rsidRPr="00E23931">
        <w:tab/>
        <w:t>b)</w:t>
      </w:r>
      <w:r w:rsidRPr="00E23931">
        <w:tab/>
      </w:r>
      <w:r w:rsidRPr="00E23931">
        <w:rPr>
          <w:b/>
        </w:rPr>
        <w:t>обеспечить реальный доступ к справедливой, эффективной и учитывающей гендерную проблематику процедуре определения статуса беженцев;</w:t>
      </w:r>
    </w:p>
    <w:p w14:paraId="149EF298" w14:textId="1CA95D24" w:rsidR="00E23931" w:rsidRPr="00E23931" w:rsidRDefault="00E23931" w:rsidP="00E23931">
      <w:pPr>
        <w:pStyle w:val="SingleTxt"/>
      </w:pPr>
      <w:r w:rsidRPr="00E23931">
        <w:tab/>
        <w:t>с)</w:t>
      </w:r>
      <w:r w:rsidRPr="00E23931">
        <w:tab/>
      </w:r>
      <w:r w:rsidRPr="00E23931">
        <w:rPr>
          <w:b/>
        </w:rPr>
        <w:t>обеспечить осуществление во всех штатах прав женщин и девочек из числа мигрантов, беженцев и лиц, ищущих убежища, на получение медицинской помощи, на жилье и на трудоустройство;</w:t>
      </w:r>
      <w:bookmarkStart w:id="13" w:name="_Hlk522546954"/>
      <w:bookmarkEnd w:id="13"/>
    </w:p>
    <w:p w14:paraId="30CD6080" w14:textId="332BCE57" w:rsidR="00E23931" w:rsidRPr="00E23931" w:rsidRDefault="00E23931" w:rsidP="00E23931">
      <w:pPr>
        <w:pStyle w:val="SingleTxt"/>
      </w:pPr>
      <w:r w:rsidRPr="00E23931">
        <w:tab/>
        <w:t>d)</w:t>
      </w:r>
      <w:r w:rsidRPr="00E23931">
        <w:tab/>
      </w:r>
      <w:r w:rsidRPr="00E23931">
        <w:rPr>
          <w:b/>
        </w:rPr>
        <w:t>обеспечить доступность для женщин из числа мигрантов, беженцев и лиц, ищущих убежища, всех необходимых услуг в сфере трудоустройства, медицинского обслуживания, психологической помощи, образования и участия в общественной жизни;</w:t>
      </w:r>
    </w:p>
    <w:p w14:paraId="51FBD994" w14:textId="3297A391" w:rsidR="00E23931" w:rsidRPr="00E23931" w:rsidRDefault="00E23931" w:rsidP="00E23931">
      <w:pPr>
        <w:pStyle w:val="SingleTxt"/>
      </w:pPr>
      <w:r w:rsidRPr="00E23931">
        <w:tab/>
        <w:t>е)</w:t>
      </w:r>
      <w:r w:rsidRPr="00E23931">
        <w:tab/>
      </w:r>
      <w:r w:rsidRPr="00E23931">
        <w:rPr>
          <w:b/>
        </w:rPr>
        <w:t>обеспечить эффективное расследование всех случаев насильственных исчезновений женщин-мигрантов, привлечение виновных к ответственности и их наказание, соразмерное тяжести совершенного преступления.</w:t>
      </w:r>
    </w:p>
    <w:p w14:paraId="45D6DCC1" w14:textId="7E6AC1D8" w:rsidR="00E23931" w:rsidRPr="00CB052C" w:rsidRDefault="00E23931" w:rsidP="00CB052C">
      <w:pPr>
        <w:pStyle w:val="SingleTxt"/>
        <w:spacing w:after="0" w:line="120" w:lineRule="exact"/>
        <w:rPr>
          <w:bCs/>
          <w:sz w:val="10"/>
        </w:rPr>
      </w:pPr>
    </w:p>
    <w:p w14:paraId="5EDFB7B8" w14:textId="77777777" w:rsidR="00E23931" w:rsidRPr="00E23931" w:rsidRDefault="00E23931" w:rsidP="00CB052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23931">
        <w:tab/>
      </w:r>
      <w:r w:rsidRPr="00E23931">
        <w:tab/>
        <w:t>Женщины, находящиеся в заключении</w:t>
      </w:r>
    </w:p>
    <w:p w14:paraId="4798055B" w14:textId="49EF6FB2" w:rsidR="00E23931" w:rsidRPr="00CB052C" w:rsidRDefault="00E23931" w:rsidP="00CB052C">
      <w:pPr>
        <w:pStyle w:val="SingleTxt"/>
        <w:spacing w:after="0" w:line="120" w:lineRule="exact"/>
        <w:rPr>
          <w:sz w:val="10"/>
        </w:rPr>
      </w:pPr>
    </w:p>
    <w:p w14:paraId="2E124309" w14:textId="332BE77B" w:rsidR="00E23931" w:rsidRPr="00E23931" w:rsidRDefault="00E23931" w:rsidP="00E23931">
      <w:pPr>
        <w:pStyle w:val="SingleTxt"/>
      </w:pPr>
      <w:r w:rsidRPr="00E23931">
        <w:t>49.</w:t>
      </w:r>
      <w:r w:rsidRPr="00E23931">
        <w:tab/>
        <w:t>Комитет приветствует инициативы, предпринятые в целях сокращения масштабов применения практики досудебного содержания под стражей и применения мер, не связанных с лишением свободы. Однако он по-прежнему обеспокоен условиями содержания во многих местах заключения, особенно в расположенных в отдаленных районах, поскольку содержащиеся в них женщины ограничены в доступе к медицинским услугам, в том числе акушерско-гинекологической помощи, юридическим услугам, возможностям реабилитации и реинтеграции и в контактах с членами семь</w:t>
      </w:r>
      <w:r w:rsidR="00CB052C">
        <w:t>и.</w:t>
      </w:r>
    </w:p>
    <w:p w14:paraId="0DA274FB" w14:textId="77777777" w:rsidR="00E23931" w:rsidRPr="00E23931" w:rsidRDefault="00E23931" w:rsidP="00E23931">
      <w:pPr>
        <w:pStyle w:val="SingleTxt"/>
      </w:pPr>
      <w:r w:rsidRPr="00E23931">
        <w:t>50.</w:t>
      </w:r>
      <w:r w:rsidRPr="00E23931">
        <w:tab/>
      </w:r>
      <w:r w:rsidRPr="00E23931">
        <w:rPr>
          <w:b/>
        </w:rPr>
        <w:t>Комитет рекомендует государству-участнику продолжать реформирование пенитенциарной системы и обеспечить единообразное применение во всех штатах мер и санкций, не предусматривающих лишения свободы. Кроме того, Комитет рекомендует государству-участнику улучшать условия содержания в местах заключения, в частности обеспечить доступ к надлежащим медицинским услугам, в том числе акушерско-гинекологической помощи, и юридическим услугам в соответствии с Правилами Организации Объединенных Наций, касающимися обращения с женщинами-заключенными и мер наказания для женщин-правонарушителей, не связанных с лишением свободы.</w:t>
      </w:r>
    </w:p>
    <w:p w14:paraId="2C6E8A51" w14:textId="365C371F" w:rsidR="00E23931" w:rsidRPr="00CB052C" w:rsidRDefault="00E23931" w:rsidP="00CB052C">
      <w:pPr>
        <w:pStyle w:val="SingleTxt"/>
        <w:spacing w:after="0" w:line="120" w:lineRule="exact"/>
        <w:rPr>
          <w:bCs/>
          <w:sz w:val="10"/>
        </w:rPr>
      </w:pPr>
    </w:p>
    <w:p w14:paraId="27BD03B1" w14:textId="5270C9D6" w:rsidR="00E23931" w:rsidRPr="00E23931" w:rsidRDefault="00E23931" w:rsidP="00CB052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23931">
        <w:tab/>
      </w:r>
      <w:r w:rsidRPr="00E23931">
        <w:tab/>
        <w:t>Брак и семейные отношения</w:t>
      </w:r>
    </w:p>
    <w:p w14:paraId="194374F8" w14:textId="4BFBF6F3" w:rsidR="00E23931" w:rsidRPr="00CB052C" w:rsidRDefault="00E23931" w:rsidP="00CB052C">
      <w:pPr>
        <w:pStyle w:val="SingleTxt"/>
        <w:spacing w:after="0" w:line="120" w:lineRule="exact"/>
        <w:rPr>
          <w:sz w:val="10"/>
        </w:rPr>
      </w:pPr>
    </w:p>
    <w:p w14:paraId="4BEB1580" w14:textId="77777777" w:rsidR="00E23931" w:rsidRPr="00E23931" w:rsidRDefault="00E23931" w:rsidP="00E23931">
      <w:pPr>
        <w:pStyle w:val="SingleTxt"/>
      </w:pPr>
      <w:r w:rsidRPr="00E23931">
        <w:t>51.</w:t>
      </w:r>
      <w:r w:rsidRPr="00E23931">
        <w:tab/>
        <w:t>Комитет приветствует положения статьи 45 Общего закона о правах девочек, мальчиков и подростков, повышающие минимальный возраст вступления в брак до 18 лет как для девочек, так и для мальчиков. Вместе с тем он выражает обеспокоенность по поводу эффективности применения этого положения на уровне штатов. Кроме того, он обеспокоен сообщениями о случаях принудительных браков, особенно в общинах коренного населения.</w:t>
      </w:r>
    </w:p>
    <w:p w14:paraId="14A4AD50" w14:textId="0532F7C0" w:rsidR="00E23931" w:rsidRPr="00E23931" w:rsidRDefault="00E23931" w:rsidP="00E23931">
      <w:pPr>
        <w:pStyle w:val="SingleTxt"/>
      </w:pPr>
      <w:r w:rsidRPr="00E23931">
        <w:t>52.</w:t>
      </w:r>
      <w:r w:rsidRPr="00E23931">
        <w:tab/>
      </w:r>
      <w:r w:rsidRPr="00E23931">
        <w:rPr>
          <w:b/>
        </w:rPr>
        <w:t>В соответствии с совместной общей рекомендацией № 31 Комитет рекомендует государству-участнику обеспечить эффективное осуществление статьи 45 Общего закона о правах девочек, мальчиков и подростков, включив в законодательство всех штатов норму, согласно которой минимальный возраст вступления в брак составляет 18 лет как для мальчиков, так и для девочек, и обеспечив реальное соблюдение этой нормы по всей территории государства-участника. Он также рекомендует государству-участнику проводить комплексные информационно-просветительские кампании в целях борьбы с культурными установками, признающими допустимость вступления в брак в раннем возрасте, и внедрять механизмы регистрации всех браков, особенно в сельских и отдаленных районах и среди коренного населения.</w:t>
      </w:r>
    </w:p>
    <w:p w14:paraId="0C99996D" w14:textId="102016F3" w:rsidR="00E23931" w:rsidRPr="0032688C" w:rsidRDefault="00E23931" w:rsidP="0032688C">
      <w:pPr>
        <w:pStyle w:val="SingleTxt"/>
        <w:spacing w:after="0" w:line="120" w:lineRule="exact"/>
        <w:rPr>
          <w:bCs/>
          <w:sz w:val="10"/>
          <w:lang w:val="en-US"/>
        </w:rPr>
      </w:pPr>
    </w:p>
    <w:p w14:paraId="7B9FA962" w14:textId="0BDAF47A" w:rsidR="00E23931" w:rsidRPr="00E23931" w:rsidRDefault="00E23931" w:rsidP="0032688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23931">
        <w:tab/>
      </w:r>
      <w:r w:rsidRPr="00E23931">
        <w:tab/>
        <w:t>Пекинскaя декларация и Платформa действий</w:t>
      </w:r>
    </w:p>
    <w:p w14:paraId="37321D0C" w14:textId="69E197DA" w:rsidR="00E23931" w:rsidRPr="0032688C" w:rsidRDefault="00E23931" w:rsidP="0032688C">
      <w:pPr>
        <w:pStyle w:val="SingleTxt"/>
        <w:spacing w:after="0" w:line="120" w:lineRule="exact"/>
        <w:rPr>
          <w:sz w:val="10"/>
        </w:rPr>
      </w:pPr>
    </w:p>
    <w:p w14:paraId="1891265C" w14:textId="77777777" w:rsidR="00E23931" w:rsidRPr="00E23931" w:rsidRDefault="00E23931" w:rsidP="00E23931">
      <w:pPr>
        <w:pStyle w:val="SingleTxt"/>
      </w:pPr>
      <w:r w:rsidRPr="00E23931">
        <w:t>53.</w:t>
      </w:r>
      <w:r w:rsidRPr="00E23931">
        <w:tab/>
      </w:r>
      <w:r w:rsidRPr="00E23931">
        <w:rPr>
          <w:b/>
        </w:rPr>
        <w:t>Комитет призывает государство-участник применять Пекинскую декларацию и Платформу действий в своей деятельности по осуществлению положений Конвенции.</w:t>
      </w:r>
    </w:p>
    <w:p w14:paraId="13795876" w14:textId="1700C7A3" w:rsidR="00E23931" w:rsidRPr="0032688C" w:rsidRDefault="00E23931" w:rsidP="0032688C">
      <w:pPr>
        <w:pStyle w:val="SingleTxt"/>
        <w:spacing w:after="0" w:line="120" w:lineRule="exact"/>
        <w:rPr>
          <w:bCs/>
          <w:sz w:val="10"/>
        </w:rPr>
      </w:pPr>
    </w:p>
    <w:p w14:paraId="314373D2" w14:textId="77777777" w:rsidR="00E23931" w:rsidRPr="00E23931" w:rsidRDefault="00E23931" w:rsidP="0032688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23931">
        <w:tab/>
      </w:r>
      <w:r w:rsidRPr="00E23931">
        <w:tab/>
        <w:t>Распространение информации</w:t>
      </w:r>
    </w:p>
    <w:p w14:paraId="03BF07AC" w14:textId="19B9AB22" w:rsidR="00E23931" w:rsidRPr="0032688C" w:rsidRDefault="00E23931" w:rsidP="0032688C">
      <w:pPr>
        <w:pStyle w:val="SingleTxt"/>
        <w:spacing w:after="0" w:line="120" w:lineRule="exact"/>
        <w:rPr>
          <w:sz w:val="10"/>
        </w:rPr>
      </w:pPr>
    </w:p>
    <w:p w14:paraId="529616CB" w14:textId="77777777" w:rsidR="00E23931" w:rsidRPr="00E23931" w:rsidRDefault="00E23931" w:rsidP="00E23931">
      <w:pPr>
        <w:pStyle w:val="SingleTxt"/>
      </w:pPr>
      <w:r w:rsidRPr="00E23931">
        <w:t>54.</w:t>
      </w:r>
      <w:r w:rsidRPr="00E23931">
        <w:tab/>
      </w:r>
      <w:r w:rsidRPr="00E23931">
        <w:rPr>
          <w:b/>
        </w:rPr>
        <w:t>Комитет просит государство-участник обеспечить своевременное распространение настоящих заключительных замечаний на официальном языке государства-участника среди соответствующих государственных учреждений всех уровней (национального, регионального и местного), в частности правительству, министерствам, Конгрессу и органам судебной системы, в целях обеспечения их полного осуществления.</w:t>
      </w:r>
    </w:p>
    <w:p w14:paraId="62F54442" w14:textId="7315D2CB" w:rsidR="00E23931" w:rsidRPr="0032688C" w:rsidRDefault="00E23931" w:rsidP="0032688C">
      <w:pPr>
        <w:pStyle w:val="SingleTxt"/>
        <w:spacing w:after="0" w:line="120" w:lineRule="exact"/>
        <w:rPr>
          <w:bCs/>
          <w:sz w:val="10"/>
        </w:rPr>
      </w:pPr>
    </w:p>
    <w:p w14:paraId="764881FF" w14:textId="77777777" w:rsidR="00E23931" w:rsidRPr="00E23931" w:rsidRDefault="00E23931" w:rsidP="0032688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23931">
        <w:tab/>
      </w:r>
      <w:r w:rsidRPr="00E23931">
        <w:tab/>
        <w:t>Последующая деятельность в связи с заключительными замечаниями</w:t>
      </w:r>
    </w:p>
    <w:p w14:paraId="56B014AA" w14:textId="0F39543C" w:rsidR="00E23931" w:rsidRPr="0032688C" w:rsidRDefault="00E23931" w:rsidP="0032688C">
      <w:pPr>
        <w:pStyle w:val="SingleTxt"/>
        <w:spacing w:after="0" w:line="120" w:lineRule="exact"/>
        <w:rPr>
          <w:sz w:val="10"/>
        </w:rPr>
      </w:pPr>
    </w:p>
    <w:p w14:paraId="3C158F81" w14:textId="77777777" w:rsidR="00E23931" w:rsidRPr="00E23931" w:rsidRDefault="00E23931" w:rsidP="00E23931">
      <w:pPr>
        <w:pStyle w:val="SingleTxt"/>
      </w:pPr>
      <w:r w:rsidRPr="00E23931">
        <w:t>55.</w:t>
      </w:r>
      <w:r w:rsidRPr="00E23931">
        <w:tab/>
      </w:r>
      <w:r w:rsidRPr="00E23931">
        <w:rPr>
          <w:b/>
        </w:rPr>
        <w:t>Комитет просит государство-участник представить в течение двух лет письменную информацию о мерах, принятых во исполнение рекомендаций, которые содержатся в пунктах 24 c), d), е) и h) выше.</w:t>
      </w:r>
    </w:p>
    <w:p w14:paraId="222F2839" w14:textId="1B71052F" w:rsidR="00E23931" w:rsidRPr="0032688C" w:rsidRDefault="00E23931" w:rsidP="0032688C">
      <w:pPr>
        <w:pStyle w:val="SingleTxt"/>
        <w:spacing w:after="0" w:line="120" w:lineRule="exact"/>
        <w:rPr>
          <w:bCs/>
          <w:sz w:val="10"/>
        </w:rPr>
      </w:pPr>
    </w:p>
    <w:p w14:paraId="0626DCD1" w14:textId="6476D5B3" w:rsidR="00E23931" w:rsidRPr="00E23931" w:rsidRDefault="00E23931" w:rsidP="0032688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23931">
        <w:tab/>
      </w:r>
      <w:r w:rsidRPr="00E23931">
        <w:tab/>
      </w:r>
      <w:r w:rsidR="0032688C">
        <w:t>Подготовка следующего доклада</w:t>
      </w:r>
    </w:p>
    <w:p w14:paraId="1BF1E3B1" w14:textId="3DF1150F" w:rsidR="00E23931" w:rsidRPr="0032688C" w:rsidRDefault="00E23931" w:rsidP="0032688C">
      <w:pPr>
        <w:pStyle w:val="SingleTxt"/>
        <w:spacing w:after="0" w:line="120" w:lineRule="exact"/>
        <w:rPr>
          <w:sz w:val="10"/>
        </w:rPr>
      </w:pPr>
    </w:p>
    <w:p w14:paraId="29B8C5C2" w14:textId="77777777" w:rsidR="00E23931" w:rsidRPr="00E23931" w:rsidRDefault="00E23931" w:rsidP="00E23931">
      <w:pPr>
        <w:pStyle w:val="SingleTxt"/>
      </w:pPr>
      <w:r w:rsidRPr="00E23931">
        <w:t>56.</w:t>
      </w:r>
      <w:r w:rsidRPr="00E23931">
        <w:tab/>
      </w:r>
      <w:r w:rsidRPr="00E23931">
        <w:rPr>
          <w:b/>
        </w:rPr>
        <w:t>Комитет предлагает государству-участнику представить свой десятый периодический доклад в июле 2022 года. Доклад должен быть представлен в срок и охватывать весь период до момента его представления.</w:t>
      </w:r>
    </w:p>
    <w:p w14:paraId="30876FC1" w14:textId="0EED4EFD" w:rsidR="00E23931" w:rsidRPr="00E23931" w:rsidRDefault="00E23931" w:rsidP="00E23931">
      <w:pPr>
        <w:pStyle w:val="SingleTxt"/>
      </w:pPr>
      <w:r w:rsidRPr="00E23931">
        <w:t>57.</w:t>
      </w:r>
      <w:r w:rsidRPr="00E23931">
        <w:tab/>
      </w:r>
      <w:r w:rsidRPr="00E23931">
        <w:rPr>
          <w:b/>
        </w:rPr>
        <w:t>Комитет просит государство-участник следовать согласованным руководящим принципам представления докладов согласно международным договорам по правам человека, включая руководящие принципы подготовки общего базового документа и документов по конкретным договорам (</w:t>
      </w:r>
      <w:hyperlink r:id="rId26" w:history="1">
        <w:r w:rsidRPr="00E23931">
          <w:rPr>
            <w:rStyle w:val="Hyperlink"/>
            <w:b/>
          </w:rPr>
          <w:t>HRI/GEN/2/Rev.6</w:t>
        </w:r>
      </w:hyperlink>
      <w:r w:rsidRPr="00E23931">
        <w:rPr>
          <w:b/>
        </w:rPr>
        <w:t>, глава I).</w:t>
      </w:r>
    </w:p>
    <w:p w14:paraId="4BDAD50B" w14:textId="71500466" w:rsidR="00E23931" w:rsidRPr="0032688C" w:rsidRDefault="0032688C" w:rsidP="0032688C">
      <w:pPr>
        <w:pStyle w:val="SingleTxt"/>
        <w:spacing w:after="0" w:line="240" w:lineRule="auto"/>
        <w:rPr>
          <w:lang w:val="en-US"/>
        </w:rPr>
      </w:pPr>
      <w:r>
        <w:rPr>
          <w:noProof/>
          <w:w w:val="100"/>
          <w:lang w:val="en-US"/>
        </w:rPr>
        <mc:AlternateContent>
          <mc:Choice Requires="wps">
            <w:drawing>
              <wp:anchor distT="0" distB="0" distL="114300" distR="114300" simplePos="0" relativeHeight="251659264" behindDoc="0" locked="0" layoutInCell="1" allowOverlap="1" wp14:anchorId="25C5B65E" wp14:editId="2D02AD33">
                <wp:simplePos x="0" y="0"/>
                <wp:positionH relativeFrom="column">
                  <wp:posOffset>2669540</wp:posOffset>
                </wp:positionH>
                <wp:positionV relativeFrom="paragraph">
                  <wp:posOffset>381000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8B9C3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30pt" to="282.2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" strokecolor="#010000" strokeweight=".25pt"/>
            </w:pict>
          </mc:Fallback>
        </mc:AlternateContent>
      </w:r>
    </w:p>
    <w:sectPr w:rsidR="00E23931" w:rsidRPr="0032688C" w:rsidSect="00E23931">
      <w:type w:val="continuous"/>
      <w:pgSz w:w="12240" w:h="15840"/>
      <w:pgMar w:top="1440" w:right="1200" w:bottom="1152" w:left="1200" w:header="432" w:footer="504" w:gutter="0"/>
      <w:pgNumType w:start="1"/>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8-09-21T09:49:00Z" w:initials="Start">
    <w:p w14:paraId="4653D46B" w14:textId="77777777" w:rsidR="00EA74A9" w:rsidRPr="00E23931" w:rsidRDefault="00EA74A9">
      <w:pPr>
        <w:pStyle w:val="CommentText"/>
        <w:rPr>
          <w:lang w:val="en-US"/>
        </w:rPr>
      </w:pPr>
      <w:r>
        <w:fldChar w:fldCharType="begin"/>
      </w:r>
      <w:r w:rsidRPr="00E23931">
        <w:rPr>
          <w:rStyle w:val="CommentReference"/>
          <w:lang w:val="en-US"/>
        </w:rPr>
        <w:instrText xml:space="preserve"> </w:instrText>
      </w:r>
      <w:r w:rsidRPr="00E23931">
        <w:rPr>
          <w:lang w:val="en-US"/>
        </w:rPr>
        <w:instrText>PAGE \# "'Page: '#'</w:instrText>
      </w:r>
      <w:r w:rsidRPr="00E23931">
        <w:rPr>
          <w:lang w:val="en-US"/>
        </w:rPr>
        <w:br/>
        <w:instrText>'"</w:instrText>
      </w:r>
      <w:r w:rsidRPr="00E23931">
        <w:rPr>
          <w:rStyle w:val="CommentReference"/>
          <w:lang w:val="en-US"/>
        </w:rPr>
        <w:instrText xml:space="preserve"> </w:instrText>
      </w:r>
      <w:r>
        <w:fldChar w:fldCharType="end"/>
      </w:r>
      <w:r>
        <w:rPr>
          <w:rStyle w:val="CommentReference"/>
        </w:rPr>
        <w:annotationRef/>
      </w:r>
      <w:r w:rsidRPr="00E23931">
        <w:rPr>
          <w:lang w:val="en-US"/>
        </w:rPr>
        <w:t>&lt;&lt;ODS JOB NO&gt;&gt;N1823802R&lt;&lt;ODS JOB NO&gt;&gt;</w:t>
      </w:r>
    </w:p>
    <w:p w14:paraId="1908D94D" w14:textId="77777777" w:rsidR="00EA74A9" w:rsidRDefault="00EA74A9">
      <w:pPr>
        <w:pStyle w:val="CommentText"/>
      </w:pPr>
      <w:r>
        <w:t>&lt;&lt;ODS DOC SYMBOL1&gt;&gt;CEDAW/C/MEX/CO/9&lt;&lt;ODS DOC SYMBOL1&gt;&gt;</w:t>
      </w:r>
    </w:p>
    <w:p w14:paraId="03851CF1" w14:textId="77777777" w:rsidR="00EA74A9" w:rsidRDefault="00EA74A9">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3851CF1"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E75B40" w14:textId="77777777" w:rsidR="00015C43" w:rsidRDefault="00015C43" w:rsidP="001824A1">
      <w:pPr>
        <w:spacing w:line="240" w:lineRule="auto"/>
      </w:pPr>
      <w:r>
        <w:separator/>
      </w:r>
    </w:p>
  </w:endnote>
  <w:endnote w:type="continuationSeparator" w:id="0">
    <w:p w14:paraId="72A1E639" w14:textId="77777777" w:rsidR="00015C43" w:rsidRDefault="00015C43" w:rsidP="001824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2AFF" w:usb1="4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4920"/>
      <w:gridCol w:w="4920"/>
    </w:tblGrid>
    <w:tr w:rsidR="00EA74A9" w14:paraId="6329CBBC" w14:textId="77777777" w:rsidTr="00EA74A9">
      <w:tblPrEx>
        <w:tblCellMar>
          <w:top w:w="0" w:type="dxa"/>
          <w:bottom w:w="0" w:type="dxa"/>
        </w:tblCellMar>
      </w:tblPrEx>
      <w:tc>
        <w:tcPr>
          <w:tcW w:w="4920" w:type="dxa"/>
          <w:shd w:val="clear" w:color="auto" w:fill="auto"/>
          <w:vAlign w:val="bottom"/>
        </w:tcPr>
        <w:p w14:paraId="016A7DCC" w14:textId="77777777" w:rsidR="00EA74A9" w:rsidRPr="00EA74A9" w:rsidRDefault="00EA74A9" w:rsidP="00EA74A9">
          <w:pPr>
            <w:pStyle w:val="Footer"/>
            <w:rPr>
              <w:color w:val="000000"/>
            </w:rPr>
          </w:pPr>
          <w:r>
            <w:fldChar w:fldCharType="begin"/>
          </w:r>
          <w:r>
            <w:instrText xml:space="preserve"> PAGE  \* Arabic  \* MERGEFORMAT </w:instrText>
          </w:r>
          <w:r>
            <w:fldChar w:fldCharType="separate"/>
          </w:r>
          <w:r>
            <w:rPr>
              <w:noProof/>
            </w:rPr>
            <w:t>3</w:t>
          </w:r>
          <w:r>
            <w:fldChar w:fldCharType="end"/>
          </w:r>
          <w:r>
            <w:t>/</w:t>
          </w:r>
          <w:fldSimple w:instr=" NUMPAGES  \* Arabic  \* MERGEFORMAT ">
            <w:r>
              <w:rPr>
                <w:noProof/>
              </w:rPr>
              <w:t>4</w:t>
            </w:r>
          </w:fldSimple>
        </w:p>
      </w:tc>
      <w:tc>
        <w:tcPr>
          <w:tcW w:w="4920" w:type="dxa"/>
          <w:shd w:val="clear" w:color="auto" w:fill="auto"/>
          <w:vAlign w:val="bottom"/>
        </w:tcPr>
        <w:p w14:paraId="6D68A90A" w14:textId="54441E0C" w:rsidR="00EA74A9" w:rsidRPr="009F0383" w:rsidRDefault="00EA74A9" w:rsidP="00EA74A9">
          <w:pPr>
            <w:pStyle w:val="Footer"/>
            <w:jc w:val="right"/>
            <w:rPr>
              <w:b w:val="0"/>
              <w:color w:val="000000"/>
              <w:sz w:val="14"/>
              <w:lang w:val="en-US"/>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C622FF">
            <w:rPr>
              <w:b w:val="0"/>
              <w:color w:val="000000"/>
              <w:sz w:val="14"/>
            </w:rPr>
            <w:t>18-12325</w:t>
          </w:r>
          <w:r>
            <w:rPr>
              <w:b w:val="0"/>
              <w:color w:val="000000"/>
              <w:sz w:val="14"/>
            </w:rPr>
            <w:fldChar w:fldCharType="end"/>
          </w:r>
          <w:r w:rsidR="009F0383">
            <w:rPr>
              <w:b w:val="0"/>
              <w:color w:val="000000"/>
              <w:sz w:val="14"/>
              <w:lang w:val="en-US"/>
            </w:rPr>
            <w:t>X</w:t>
          </w:r>
        </w:p>
      </w:tc>
    </w:tr>
  </w:tbl>
  <w:p w14:paraId="5579CE47" w14:textId="77777777" w:rsidR="00EA74A9" w:rsidRPr="00EA74A9" w:rsidRDefault="00EA74A9" w:rsidP="00EA74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4920"/>
      <w:gridCol w:w="4920"/>
    </w:tblGrid>
    <w:tr w:rsidR="00EA74A9" w14:paraId="0D95F84B" w14:textId="77777777" w:rsidTr="00EA74A9">
      <w:tblPrEx>
        <w:tblCellMar>
          <w:top w:w="0" w:type="dxa"/>
          <w:bottom w:w="0" w:type="dxa"/>
        </w:tblCellMar>
      </w:tblPrEx>
      <w:tc>
        <w:tcPr>
          <w:tcW w:w="4920" w:type="dxa"/>
          <w:shd w:val="clear" w:color="auto" w:fill="auto"/>
          <w:vAlign w:val="bottom"/>
        </w:tcPr>
        <w:p w14:paraId="2AA6A304" w14:textId="73B77AA9" w:rsidR="00EA74A9" w:rsidRPr="009F0383" w:rsidRDefault="00EA74A9" w:rsidP="00EA74A9">
          <w:pPr>
            <w:pStyle w:val="Footer"/>
            <w:rPr>
              <w:b w:val="0"/>
              <w:color w:val="000000"/>
              <w:sz w:val="14"/>
              <w:lang w:val="en-US"/>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C622FF">
            <w:rPr>
              <w:b w:val="0"/>
              <w:color w:val="000000"/>
              <w:sz w:val="14"/>
            </w:rPr>
            <w:t>18-12325</w:t>
          </w:r>
          <w:r>
            <w:rPr>
              <w:b w:val="0"/>
              <w:color w:val="000000"/>
              <w:sz w:val="14"/>
            </w:rPr>
            <w:fldChar w:fldCharType="end"/>
          </w:r>
          <w:r w:rsidR="009F0383">
            <w:rPr>
              <w:b w:val="0"/>
              <w:color w:val="000000"/>
              <w:sz w:val="14"/>
              <w:lang w:val="en-US"/>
            </w:rPr>
            <w:t>X</w:t>
          </w:r>
        </w:p>
      </w:tc>
      <w:tc>
        <w:tcPr>
          <w:tcW w:w="4920" w:type="dxa"/>
          <w:shd w:val="clear" w:color="auto" w:fill="auto"/>
          <w:vAlign w:val="bottom"/>
        </w:tcPr>
        <w:p w14:paraId="55C8A605" w14:textId="77777777" w:rsidR="00EA74A9" w:rsidRPr="00EA74A9" w:rsidRDefault="00EA74A9" w:rsidP="00EA74A9">
          <w:pPr>
            <w:pStyle w:val="Footer"/>
            <w:jc w:val="right"/>
          </w:pPr>
          <w:r>
            <w:fldChar w:fldCharType="begin"/>
          </w:r>
          <w:r>
            <w:instrText xml:space="preserve"> PAGE  \* Arabic  \* MERGEFORMAT </w:instrText>
          </w:r>
          <w:r>
            <w:fldChar w:fldCharType="separate"/>
          </w:r>
          <w:r>
            <w:rPr>
              <w:noProof/>
            </w:rPr>
            <w:t>2</w:t>
          </w:r>
          <w:r>
            <w:fldChar w:fldCharType="end"/>
          </w:r>
          <w:r>
            <w:t>/</w:t>
          </w:r>
          <w:fldSimple w:instr=" NUMPAGES  \* Arabic  \* MERGEFORMAT ">
            <w:r>
              <w:rPr>
                <w:noProof/>
              </w:rPr>
              <w:t>4</w:t>
            </w:r>
          </w:fldSimple>
        </w:p>
      </w:tc>
    </w:tr>
  </w:tbl>
  <w:p w14:paraId="4D630CFE" w14:textId="77777777" w:rsidR="00EA74A9" w:rsidRPr="00EA74A9" w:rsidRDefault="00EA74A9" w:rsidP="00EA74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30"/>
      <w:gridCol w:w="4920"/>
    </w:tblGrid>
    <w:tr w:rsidR="00EA74A9" w14:paraId="4A3EF66F" w14:textId="77777777" w:rsidTr="00EA74A9">
      <w:tblPrEx>
        <w:tblCellMar>
          <w:top w:w="0" w:type="dxa"/>
          <w:bottom w:w="0" w:type="dxa"/>
        </w:tblCellMar>
      </w:tblPrEx>
      <w:tc>
        <w:tcPr>
          <w:tcW w:w="3830" w:type="dxa"/>
        </w:tcPr>
        <w:p w14:paraId="38391D2F" w14:textId="35CB9CA4" w:rsidR="00EA74A9" w:rsidRDefault="00EA74A9" w:rsidP="00EA74A9">
          <w:pPr>
            <w:pStyle w:val="ReleaseDate"/>
            <w:rPr>
              <w:color w:val="010000"/>
            </w:rPr>
          </w:pPr>
          <w:r>
            <w:rPr>
              <w:noProof/>
            </w:rPr>
            <w:drawing>
              <wp:anchor distT="0" distB="0" distL="114300" distR="114300" simplePos="0" relativeHeight="251658240" behindDoc="0" locked="0" layoutInCell="1" allowOverlap="1" wp14:anchorId="677FC93D" wp14:editId="2C5819A1">
                <wp:simplePos x="0" y="0"/>
                <wp:positionH relativeFrom="column">
                  <wp:posOffset>5504180</wp:posOffset>
                </wp:positionH>
                <wp:positionV relativeFrom="paragraph">
                  <wp:posOffset>-356235</wp:posOffset>
                </wp:positionV>
                <wp:extent cx="694690" cy="694690"/>
                <wp:effectExtent l="0" t="0" r="0" b="0"/>
                <wp:wrapNone/>
                <wp:docPr id="3" name="Picture 3" descr="https://undocs.org/m2/QRCode2.ashx?DS=CEDAW/C/MEX/CO/9&amp;Size =1&amp;Lang = 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MEX/CO/9&amp;Size =1&amp;Lang = 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noFill/>
                        <a:ln>
                          <a:noFill/>
                        </a:ln>
                      </pic:spPr>
                    </pic:pic>
                  </a:graphicData>
                </a:graphic>
                <wp14:sizeRelH relativeFrom="margin">
                  <wp14:pctWidth>0</wp14:pctWidth>
                </wp14:sizeRelH>
                <wp14:sizeRelV relativeFrom="margin">
                  <wp14:pctHeight>0</wp14:pctHeight>
                </wp14:sizeRelV>
              </wp:anchor>
            </w:drawing>
          </w:r>
          <w:r>
            <w:t>18-12325</w:t>
          </w:r>
          <w:r w:rsidR="009F0383">
            <w:rPr>
              <w:lang w:val="en-US"/>
            </w:rPr>
            <w:t>X</w:t>
          </w:r>
          <w:r>
            <w:t xml:space="preserve"> (R)</w:t>
          </w:r>
          <w:r>
            <w:rPr>
              <w:color w:val="010000"/>
            </w:rPr>
            <w:t xml:space="preserve">    2</w:t>
          </w:r>
          <w:r w:rsidR="009F0383">
            <w:rPr>
              <w:color w:val="010000"/>
              <w:lang w:val="en-US"/>
            </w:rPr>
            <w:t>0</w:t>
          </w:r>
          <w:r>
            <w:rPr>
              <w:color w:val="010000"/>
            </w:rPr>
            <w:t>0918    210918</w:t>
          </w:r>
        </w:p>
        <w:p w14:paraId="022158CA" w14:textId="77777777" w:rsidR="00EA74A9" w:rsidRPr="00EA74A9" w:rsidRDefault="00EA74A9" w:rsidP="00EA74A9">
          <w:pPr>
            <w:spacing w:before="80" w:line="210" w:lineRule="exact"/>
            <w:rPr>
              <w:rFonts w:ascii="Barcode 3 of 9 by request" w:hAnsi="Barcode 3 of 9 by request"/>
              <w:w w:val="100"/>
              <w:sz w:val="24"/>
            </w:rPr>
          </w:pPr>
          <w:r>
            <w:rPr>
              <w:rFonts w:ascii="Barcode 3 of 9 by request" w:hAnsi="Barcode 3 of 9 by request"/>
              <w:w w:val="100"/>
              <w:sz w:val="24"/>
            </w:rPr>
            <w:t>*1812325*</w:t>
          </w:r>
        </w:p>
      </w:tc>
      <w:tc>
        <w:tcPr>
          <w:tcW w:w="4920" w:type="dxa"/>
        </w:tcPr>
        <w:p w14:paraId="5457E026" w14:textId="77777777" w:rsidR="00EA74A9" w:rsidRDefault="00EA74A9" w:rsidP="00EA74A9">
          <w:pPr>
            <w:pStyle w:val="Footer"/>
            <w:spacing w:line="240" w:lineRule="atLeast"/>
            <w:jc w:val="right"/>
            <w:rPr>
              <w:b w:val="0"/>
              <w:sz w:val="20"/>
            </w:rPr>
          </w:pPr>
          <w:r>
            <w:rPr>
              <w:b w:val="0"/>
              <w:noProof/>
              <w:sz w:val="20"/>
            </w:rPr>
            <w:drawing>
              <wp:inline distT="0" distB="0" distL="0" distR="0" wp14:anchorId="4ADC019D" wp14:editId="7536D2DA">
                <wp:extent cx="2703582" cy="231648"/>
                <wp:effectExtent l="0" t="0" r="1905"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2703582" cy="231648"/>
                        </a:xfrm>
                        <a:prstGeom prst="rect">
                          <a:avLst/>
                        </a:prstGeom>
                      </pic:spPr>
                    </pic:pic>
                  </a:graphicData>
                </a:graphic>
              </wp:inline>
            </w:drawing>
          </w:r>
        </w:p>
      </w:tc>
    </w:tr>
  </w:tbl>
  <w:p w14:paraId="6C80EEFE" w14:textId="77777777" w:rsidR="00EA74A9" w:rsidRPr="00EA74A9" w:rsidRDefault="00EA74A9" w:rsidP="00EA74A9">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3DD8DD" w14:textId="31730E9A" w:rsidR="00015C43" w:rsidRPr="00E23931" w:rsidRDefault="00E23931" w:rsidP="00E23931">
      <w:pPr>
        <w:pStyle w:val="Footer"/>
        <w:spacing w:after="80"/>
        <w:ind w:left="792"/>
      </w:pPr>
      <w:r w:rsidRPr="00E23931">
        <w:t>__________________</w:t>
      </w:r>
    </w:p>
  </w:footnote>
  <w:footnote w:type="continuationSeparator" w:id="0">
    <w:p w14:paraId="7A3A6B3E" w14:textId="030F27D3" w:rsidR="00015C43" w:rsidRPr="00E23931" w:rsidRDefault="00E23931" w:rsidP="00E23931">
      <w:pPr>
        <w:pStyle w:val="Footer"/>
        <w:spacing w:after="80"/>
        <w:ind w:left="792"/>
      </w:pPr>
      <w:r w:rsidRPr="00E23931">
        <w:t>__________________</w:t>
      </w:r>
    </w:p>
  </w:footnote>
  <w:footnote w:id="1">
    <w:p w14:paraId="56D71581" w14:textId="77777777" w:rsidR="00E23931" w:rsidRPr="00F25255" w:rsidRDefault="00E23931" w:rsidP="00E23931">
      <w:pPr>
        <w:pStyle w:val="FootnoteText"/>
        <w:tabs>
          <w:tab w:val="right" w:pos="1195"/>
          <w:tab w:val="left" w:pos="1267"/>
          <w:tab w:val="left" w:pos="1742"/>
          <w:tab w:val="left" w:pos="2218"/>
          <w:tab w:val="left" w:pos="2693"/>
        </w:tabs>
        <w:ind w:left="1267" w:right="1260" w:hanging="432"/>
      </w:pPr>
      <w:r>
        <w:rPr>
          <w:lang w:val="en-US"/>
        </w:rPr>
        <w:tab/>
      </w:r>
      <w:r w:rsidRPr="0071314F">
        <w:rPr>
          <w:vertAlign w:val="superscript"/>
        </w:rPr>
        <w:t>*</w:t>
      </w:r>
      <w:r w:rsidRPr="0071314F">
        <w:tab/>
      </w:r>
      <w:r>
        <w:t>Приняты Комитетом на его семидесятой сессии (2</w:t>
      </w:r>
      <w:r w:rsidRPr="0071314F">
        <w:t>–</w:t>
      </w:r>
      <w:r>
        <w:t>20 июля 2018 года).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EA74A9" w14:paraId="5C8EFCE3" w14:textId="77777777" w:rsidTr="00EA74A9">
      <w:tblPrEx>
        <w:tblCellMar>
          <w:top w:w="0" w:type="dxa"/>
          <w:bottom w:w="0" w:type="dxa"/>
        </w:tblCellMar>
      </w:tblPrEx>
      <w:trPr>
        <w:trHeight w:hRule="exact" w:val="864"/>
      </w:trPr>
      <w:tc>
        <w:tcPr>
          <w:tcW w:w="4920" w:type="dxa"/>
          <w:shd w:val="clear" w:color="auto" w:fill="auto"/>
          <w:vAlign w:val="bottom"/>
        </w:tcPr>
        <w:p w14:paraId="4559609A" w14:textId="24C6B9BC" w:rsidR="00EA74A9" w:rsidRPr="00EA74A9" w:rsidRDefault="00EA74A9" w:rsidP="00EA74A9">
          <w:pPr>
            <w:pStyle w:val="Header"/>
            <w:spacing w:after="80"/>
            <w:rPr>
              <w:b/>
            </w:rPr>
          </w:pPr>
          <w:r>
            <w:rPr>
              <w:b/>
            </w:rPr>
            <w:fldChar w:fldCharType="begin"/>
          </w:r>
          <w:r>
            <w:rPr>
              <w:b/>
            </w:rPr>
            <w:instrText xml:space="preserve"> DOCVARIABLE "sss1" \* MERGEFORMAT </w:instrText>
          </w:r>
          <w:r>
            <w:rPr>
              <w:b/>
            </w:rPr>
            <w:fldChar w:fldCharType="separate"/>
          </w:r>
          <w:r w:rsidR="00C622FF">
            <w:rPr>
              <w:b/>
            </w:rPr>
            <w:t>CEDAW/C/MEX/CO/9</w:t>
          </w:r>
          <w:r>
            <w:rPr>
              <w:b/>
            </w:rPr>
            <w:fldChar w:fldCharType="end"/>
          </w:r>
        </w:p>
      </w:tc>
      <w:tc>
        <w:tcPr>
          <w:tcW w:w="4920" w:type="dxa"/>
          <w:shd w:val="clear" w:color="auto" w:fill="auto"/>
          <w:vAlign w:val="bottom"/>
        </w:tcPr>
        <w:p w14:paraId="10DBD535" w14:textId="77777777" w:rsidR="00EA74A9" w:rsidRDefault="00EA74A9" w:rsidP="00EA74A9">
          <w:pPr>
            <w:pStyle w:val="Header"/>
          </w:pPr>
        </w:p>
      </w:tc>
    </w:tr>
  </w:tbl>
  <w:p w14:paraId="748877DD" w14:textId="77777777" w:rsidR="00EA74A9" w:rsidRPr="00EA74A9" w:rsidRDefault="00EA74A9" w:rsidP="00EA74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EA74A9" w14:paraId="05372A0F" w14:textId="77777777" w:rsidTr="00EA74A9">
      <w:tblPrEx>
        <w:tblCellMar>
          <w:top w:w="0" w:type="dxa"/>
          <w:bottom w:w="0" w:type="dxa"/>
        </w:tblCellMar>
      </w:tblPrEx>
      <w:trPr>
        <w:trHeight w:hRule="exact" w:val="864"/>
      </w:trPr>
      <w:tc>
        <w:tcPr>
          <w:tcW w:w="4920" w:type="dxa"/>
          <w:shd w:val="clear" w:color="auto" w:fill="auto"/>
          <w:vAlign w:val="bottom"/>
        </w:tcPr>
        <w:p w14:paraId="59667866" w14:textId="77777777" w:rsidR="00EA74A9" w:rsidRDefault="00EA74A9" w:rsidP="00EA74A9">
          <w:pPr>
            <w:pStyle w:val="Header"/>
          </w:pPr>
        </w:p>
      </w:tc>
      <w:tc>
        <w:tcPr>
          <w:tcW w:w="4920" w:type="dxa"/>
          <w:shd w:val="clear" w:color="auto" w:fill="auto"/>
          <w:vAlign w:val="bottom"/>
        </w:tcPr>
        <w:p w14:paraId="4B25D3B2" w14:textId="2A156672" w:rsidR="00EA74A9" w:rsidRPr="00EA74A9" w:rsidRDefault="00EA74A9" w:rsidP="00EA74A9">
          <w:pPr>
            <w:pStyle w:val="Header"/>
            <w:spacing w:after="80"/>
            <w:jc w:val="right"/>
            <w:rPr>
              <w:b/>
            </w:rPr>
          </w:pPr>
          <w:r>
            <w:rPr>
              <w:b/>
            </w:rPr>
            <w:fldChar w:fldCharType="begin"/>
          </w:r>
          <w:r>
            <w:rPr>
              <w:b/>
            </w:rPr>
            <w:instrText xml:space="preserve"> DOCVARIABLE "sss1" \* MERGEFORMAT </w:instrText>
          </w:r>
          <w:r>
            <w:rPr>
              <w:b/>
            </w:rPr>
            <w:fldChar w:fldCharType="separate"/>
          </w:r>
          <w:r w:rsidR="00C622FF">
            <w:rPr>
              <w:b/>
            </w:rPr>
            <w:t>CEDAW/C/MEX/CO/9</w:t>
          </w:r>
          <w:r>
            <w:rPr>
              <w:b/>
            </w:rPr>
            <w:fldChar w:fldCharType="end"/>
          </w:r>
        </w:p>
      </w:tc>
    </w:tr>
  </w:tbl>
  <w:p w14:paraId="3055457C" w14:textId="77777777" w:rsidR="00EA74A9" w:rsidRPr="00EA74A9" w:rsidRDefault="00EA74A9" w:rsidP="00EA74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64" w:type="dxa"/>
      <w:tblLayout w:type="fixed"/>
      <w:tblCellMar>
        <w:left w:w="0" w:type="dxa"/>
        <w:right w:w="0" w:type="dxa"/>
      </w:tblCellMar>
      <w:tblLook w:val="0000" w:firstRow="0" w:lastRow="0" w:firstColumn="0" w:lastColumn="0" w:noHBand="0" w:noVBand="0"/>
    </w:tblPr>
    <w:tblGrid>
      <w:gridCol w:w="1267"/>
      <w:gridCol w:w="3154"/>
      <w:gridCol w:w="245"/>
      <w:gridCol w:w="1828"/>
      <w:gridCol w:w="245"/>
      <w:gridCol w:w="3110"/>
      <w:gridCol w:w="15"/>
    </w:tblGrid>
    <w:tr w:rsidR="00EA74A9" w14:paraId="1E829DBA" w14:textId="77777777" w:rsidTr="00EA74A9">
      <w:tblPrEx>
        <w:tblCellMar>
          <w:top w:w="0" w:type="dxa"/>
          <w:bottom w:w="0" w:type="dxa"/>
        </w:tblCellMar>
      </w:tblPrEx>
      <w:trPr>
        <w:trHeight w:hRule="exact" w:val="864"/>
      </w:trPr>
      <w:tc>
        <w:tcPr>
          <w:tcW w:w="4421" w:type="dxa"/>
          <w:gridSpan w:val="2"/>
          <w:tcBorders>
            <w:bottom w:val="single" w:sz="4" w:space="0" w:color="auto"/>
          </w:tcBorders>
          <w:shd w:val="clear" w:color="auto" w:fill="auto"/>
          <w:vAlign w:val="bottom"/>
        </w:tcPr>
        <w:p w14:paraId="62BB8EE5" w14:textId="77777777" w:rsidR="00EA74A9" w:rsidRPr="00EA74A9" w:rsidRDefault="00EA74A9" w:rsidP="00EA74A9">
          <w:pPr>
            <w:pStyle w:val="HCh"/>
            <w:spacing w:after="80"/>
            <w:rPr>
              <w:b w:val="0"/>
              <w:spacing w:val="2"/>
              <w:w w:val="96"/>
            </w:rPr>
          </w:pPr>
          <w:r>
            <w:rPr>
              <w:b w:val="0"/>
              <w:spacing w:val="2"/>
              <w:w w:val="96"/>
            </w:rPr>
            <w:t>Организация Объединенных Наций</w:t>
          </w:r>
        </w:p>
      </w:tc>
      <w:tc>
        <w:tcPr>
          <w:tcW w:w="245" w:type="dxa"/>
          <w:tcBorders>
            <w:bottom w:val="single" w:sz="4" w:space="0" w:color="auto"/>
          </w:tcBorders>
          <w:shd w:val="clear" w:color="auto" w:fill="auto"/>
          <w:vAlign w:val="bottom"/>
        </w:tcPr>
        <w:p w14:paraId="5065CAEC" w14:textId="77777777" w:rsidR="00EA74A9" w:rsidRDefault="00EA74A9" w:rsidP="00EA74A9">
          <w:pPr>
            <w:pStyle w:val="Header"/>
            <w:spacing w:after="120"/>
          </w:pPr>
        </w:p>
      </w:tc>
      <w:tc>
        <w:tcPr>
          <w:tcW w:w="5198" w:type="dxa"/>
          <w:gridSpan w:val="4"/>
          <w:tcBorders>
            <w:bottom w:val="single" w:sz="4" w:space="0" w:color="auto"/>
          </w:tcBorders>
          <w:shd w:val="clear" w:color="auto" w:fill="auto"/>
          <w:vAlign w:val="bottom"/>
        </w:tcPr>
        <w:p w14:paraId="6C269081" w14:textId="77777777" w:rsidR="00EA74A9" w:rsidRPr="00EA74A9" w:rsidRDefault="00EA74A9" w:rsidP="00EA74A9">
          <w:pPr>
            <w:pStyle w:val="Header"/>
            <w:spacing w:after="20"/>
            <w:jc w:val="right"/>
            <w:rPr>
              <w:sz w:val="20"/>
            </w:rPr>
          </w:pPr>
          <w:r>
            <w:rPr>
              <w:sz w:val="40"/>
            </w:rPr>
            <w:t>CEDAW</w:t>
          </w:r>
          <w:r>
            <w:rPr>
              <w:sz w:val="20"/>
            </w:rPr>
            <w:t>/C/MEX/CO/9</w:t>
          </w:r>
        </w:p>
      </w:tc>
    </w:tr>
    <w:tr w:rsidR="00EA74A9" w:rsidRPr="00E23931" w14:paraId="319EA52F" w14:textId="77777777" w:rsidTr="00EA74A9">
      <w:tblPrEx>
        <w:tblCellMar>
          <w:top w:w="0" w:type="dxa"/>
          <w:bottom w:w="0" w:type="dxa"/>
        </w:tblCellMar>
      </w:tblPrEx>
      <w:trPr>
        <w:gridAfter w:val="1"/>
        <w:wAfter w:w="15" w:type="dxa"/>
        <w:trHeight w:hRule="exact" w:val="2880"/>
      </w:trPr>
      <w:tc>
        <w:tcPr>
          <w:tcW w:w="1267" w:type="dxa"/>
          <w:tcBorders>
            <w:top w:val="single" w:sz="4" w:space="0" w:color="auto"/>
            <w:bottom w:val="single" w:sz="12" w:space="0" w:color="auto"/>
          </w:tcBorders>
          <w:shd w:val="clear" w:color="auto" w:fill="auto"/>
        </w:tcPr>
        <w:p w14:paraId="13E99B99" w14:textId="77777777" w:rsidR="00EA74A9" w:rsidRPr="00EA74A9" w:rsidRDefault="00EA74A9" w:rsidP="00EA74A9">
          <w:pPr>
            <w:pStyle w:val="Header"/>
            <w:spacing w:before="120"/>
            <w:jc w:val="center"/>
          </w:pPr>
          <w:r>
            <w:t xml:space="preserve"> </w:t>
          </w:r>
          <w:r>
            <w:rPr>
              <w:noProof/>
            </w:rPr>
            <w:drawing>
              <wp:inline distT="0" distB="0" distL="0" distR="0" wp14:anchorId="2BBECC07" wp14:editId="51A5FA4A">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04030AD0" w14:textId="77777777" w:rsidR="00EA74A9" w:rsidRPr="00EA74A9" w:rsidRDefault="00EA74A9" w:rsidP="00EA74A9">
          <w:pPr>
            <w:pStyle w:val="XLarge"/>
            <w:spacing w:before="109" w:line="330" w:lineRule="exact"/>
            <w:rPr>
              <w:sz w:val="34"/>
            </w:rPr>
          </w:pPr>
          <w:r>
            <w:rPr>
              <w:sz w:val="34"/>
            </w:rPr>
            <w:t>Конвенция о ликвидации</w:t>
          </w:r>
          <w:r>
            <w:rPr>
              <w:sz w:val="34"/>
            </w:rPr>
            <w:br/>
            <w:t>всех форм дискриминации</w:t>
          </w:r>
          <w:r>
            <w:rPr>
              <w:sz w:val="34"/>
            </w:rPr>
            <w:br/>
            <w:t>в отношении женщин</w:t>
          </w:r>
        </w:p>
      </w:tc>
      <w:tc>
        <w:tcPr>
          <w:tcW w:w="245" w:type="dxa"/>
          <w:tcBorders>
            <w:top w:val="single" w:sz="4" w:space="0" w:color="auto"/>
            <w:bottom w:val="single" w:sz="12" w:space="0" w:color="auto"/>
          </w:tcBorders>
          <w:shd w:val="clear" w:color="auto" w:fill="auto"/>
        </w:tcPr>
        <w:p w14:paraId="03C272F5" w14:textId="77777777" w:rsidR="00EA74A9" w:rsidRPr="00EA74A9" w:rsidRDefault="00EA74A9" w:rsidP="00EA74A9">
          <w:pPr>
            <w:pStyle w:val="Header"/>
            <w:spacing w:before="109"/>
          </w:pPr>
        </w:p>
      </w:tc>
      <w:tc>
        <w:tcPr>
          <w:tcW w:w="3110" w:type="dxa"/>
          <w:tcBorders>
            <w:top w:val="single" w:sz="4" w:space="0" w:color="auto"/>
            <w:bottom w:val="single" w:sz="12" w:space="0" w:color="auto"/>
          </w:tcBorders>
          <w:shd w:val="clear" w:color="auto" w:fill="auto"/>
        </w:tcPr>
        <w:p w14:paraId="55C0C69E" w14:textId="77777777" w:rsidR="00EA74A9" w:rsidRPr="00E23931" w:rsidRDefault="00EA74A9" w:rsidP="00EA74A9">
          <w:pPr>
            <w:pStyle w:val="Distribution"/>
            <w:rPr>
              <w:color w:val="000000"/>
              <w:lang w:val="en-US"/>
            </w:rPr>
          </w:pPr>
          <w:r w:rsidRPr="00E23931">
            <w:rPr>
              <w:color w:val="000000"/>
              <w:lang w:val="en-US"/>
            </w:rPr>
            <w:t>Distr.: General</w:t>
          </w:r>
        </w:p>
        <w:p w14:paraId="5F907C47" w14:textId="77777777" w:rsidR="00EA74A9" w:rsidRPr="00E23931" w:rsidRDefault="00EA74A9" w:rsidP="00EA74A9">
          <w:pPr>
            <w:pStyle w:val="Publication"/>
            <w:rPr>
              <w:color w:val="000000"/>
              <w:lang w:val="en-US"/>
            </w:rPr>
          </w:pPr>
          <w:r w:rsidRPr="00E23931">
            <w:rPr>
              <w:color w:val="000000"/>
              <w:lang w:val="en-US"/>
            </w:rPr>
            <w:t>25 July 2018</w:t>
          </w:r>
        </w:p>
        <w:p w14:paraId="44FCAAAD" w14:textId="77777777" w:rsidR="00EA74A9" w:rsidRPr="00E23931" w:rsidRDefault="00EA74A9" w:rsidP="00EA74A9">
          <w:pPr>
            <w:rPr>
              <w:color w:val="000000"/>
              <w:lang w:val="en-US"/>
            </w:rPr>
          </w:pPr>
          <w:r w:rsidRPr="00E23931">
            <w:rPr>
              <w:color w:val="000000"/>
              <w:lang w:val="en-US"/>
            </w:rPr>
            <w:t>Russian</w:t>
          </w:r>
        </w:p>
        <w:p w14:paraId="2C2C847E" w14:textId="77777777" w:rsidR="00EA74A9" w:rsidRPr="00E23931" w:rsidRDefault="00EA74A9" w:rsidP="00EA74A9">
          <w:pPr>
            <w:pStyle w:val="Original"/>
            <w:rPr>
              <w:color w:val="000000"/>
              <w:lang w:val="en-US"/>
            </w:rPr>
          </w:pPr>
          <w:r w:rsidRPr="00E23931">
            <w:rPr>
              <w:color w:val="000000"/>
              <w:lang w:val="en-US"/>
            </w:rPr>
            <w:t>Original: English</w:t>
          </w:r>
        </w:p>
        <w:p w14:paraId="42E3A0DA" w14:textId="77777777" w:rsidR="00EA74A9" w:rsidRPr="00E23931" w:rsidRDefault="00EA74A9" w:rsidP="00EA74A9">
          <w:pPr>
            <w:rPr>
              <w:lang w:val="en-US"/>
            </w:rPr>
          </w:pPr>
        </w:p>
      </w:tc>
    </w:tr>
  </w:tbl>
  <w:p w14:paraId="2E33DBAF" w14:textId="77777777" w:rsidR="00EA74A9" w:rsidRPr="00E23931" w:rsidRDefault="00EA74A9" w:rsidP="00EA74A9">
    <w:pPr>
      <w:pStyle w:val="Header"/>
      <w:spacing w:line="20" w:lineRule="exact"/>
      <w:rPr>
        <w:sz w:val="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E0274C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D1A045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7822B9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686A6CC"/>
    <w:lvl w:ilvl="0">
      <w:start w:val="1"/>
      <w:numFmt w:val="decimal"/>
      <w:pStyle w:val="ListNumber2"/>
      <w:lvlText w:val="%1."/>
      <w:lvlJc w:val="left"/>
      <w:pPr>
        <w:tabs>
          <w:tab w:val="num" w:pos="720"/>
        </w:tabs>
        <w:ind w:left="720" w:hanging="360"/>
      </w:pPr>
    </w:lvl>
  </w:abstractNum>
  <w:abstractNum w:abstractNumId="4" w15:restartNumberingAfterBreak="0">
    <w:nsid w:val="FFFFFF88"/>
    <w:multiLevelType w:val="singleLevel"/>
    <w:tmpl w:val="9B06E02E"/>
    <w:lvl w:ilvl="0">
      <w:start w:val="1"/>
      <w:numFmt w:val="decimal"/>
      <w:pStyle w:val="ListNumber"/>
      <w:lvlText w:val="%1."/>
      <w:lvlJc w:val="left"/>
      <w:pPr>
        <w:tabs>
          <w:tab w:val="num" w:pos="360"/>
        </w:tabs>
        <w:ind w:left="360" w:hanging="360"/>
      </w:pPr>
    </w:lvl>
  </w:abstractNum>
  <w:abstractNum w:abstractNumId="5" w15:restartNumberingAfterBreak="0">
    <w:nsid w:val="0AA332A2"/>
    <w:multiLevelType w:val="hybridMultilevel"/>
    <w:tmpl w:val="8D3E18F8"/>
    <w:lvl w:ilvl="0" w:tplc="981625E8">
      <w:start w:val="1"/>
      <w:numFmt w:val="bullet"/>
      <w:pStyle w:val="Bullet1"/>
      <w:lvlText w:val=""/>
      <w:lvlJc w:val="left"/>
      <w:pPr>
        <w:ind w:left="1976"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E42048"/>
    <w:multiLevelType w:val="hybridMultilevel"/>
    <w:tmpl w:val="ADB480F6"/>
    <w:lvl w:ilvl="0" w:tplc="9432CEA0">
      <w:start w:val="1"/>
      <w:numFmt w:val="decimal"/>
      <w:pStyle w:val="ListContinue2"/>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103B57"/>
    <w:multiLevelType w:val="hybridMultilevel"/>
    <w:tmpl w:val="CBA6398A"/>
    <w:lvl w:ilvl="0" w:tplc="EF8680E4">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8" w15:restartNumberingAfterBreak="0">
    <w:nsid w:val="676B2E12"/>
    <w:multiLevelType w:val="hybridMultilevel"/>
    <w:tmpl w:val="48CAC7C0"/>
    <w:lvl w:ilvl="0" w:tplc="6A0EF176">
      <w:start w:val="1"/>
      <w:numFmt w:val="bullet"/>
      <w:pStyle w:val="Bullet2"/>
      <w:lvlText w:val=""/>
      <w:lvlJc w:val="left"/>
      <w:pPr>
        <w:ind w:left="72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7"/>
  </w:num>
  <w:num w:numId="4">
    <w:abstractNumId w:val="6"/>
  </w:num>
  <w:num w:numId="5">
    <w:abstractNumId w:val="4"/>
  </w:num>
  <w:num w:numId="6">
    <w:abstractNumId w:val="3"/>
  </w:num>
  <w:num w:numId="7">
    <w:abstractNumId w:val="2"/>
  </w:num>
  <w:num w:numId="8">
    <w:abstractNumId w:val="1"/>
  </w:num>
  <w:num w:numId="9">
    <w:abstractNumId w:val="0"/>
  </w:num>
  <w:num w:numId="10">
    <w:abstractNumId w:val="5"/>
  </w:num>
  <w:num w:numId="11">
    <w:abstractNumId w:val="8"/>
  </w:num>
  <w:num w:numId="12">
    <w:abstractNumId w:val="7"/>
  </w:num>
  <w:num w:numId="13">
    <w:abstractNumId w:val="6"/>
  </w:num>
  <w:num w:numId="14">
    <w:abstractNumId w:val="4"/>
  </w:num>
  <w:num w:numId="15">
    <w:abstractNumId w:val="3"/>
  </w:num>
  <w:num w:numId="16">
    <w:abstractNumId w:val="2"/>
  </w:num>
  <w:num w:numId="17">
    <w:abstractNumId w:val="1"/>
  </w:num>
  <w:num w:numId="18">
    <w:abstractNumId w:val="0"/>
  </w:num>
  <w:num w:numId="19">
    <w:abstractNumId w:val="5"/>
  </w:num>
  <w:num w:numId="20">
    <w:abstractNumId w:val="8"/>
  </w:num>
  <w:num w:numId="21">
    <w:abstractNumId w:val="7"/>
  </w:num>
  <w:num w:numId="22">
    <w:abstractNumId w:val="6"/>
  </w:num>
  <w:num w:numId="23">
    <w:abstractNumId w:val="4"/>
  </w:num>
  <w:num w:numId="24">
    <w:abstractNumId w:val="3"/>
  </w:num>
  <w:num w:numId="25">
    <w:abstractNumId w:val="2"/>
  </w:num>
  <w:num w:numId="26">
    <w:abstractNumId w:val="1"/>
  </w:num>
  <w:num w:numId="27">
    <w:abstractNumId w:val="0"/>
  </w:num>
  <w:num w:numId="28">
    <w:abstractNumId w:val="5"/>
  </w:num>
  <w:num w:numId="29">
    <w:abstractNumId w:val="8"/>
  </w:num>
  <w:num w:numId="30">
    <w:abstractNumId w:val="7"/>
  </w:num>
  <w:num w:numId="31">
    <w:abstractNumId w:val="6"/>
  </w:num>
  <w:num w:numId="32">
    <w:abstractNumId w:val="4"/>
  </w:num>
  <w:num w:numId="33">
    <w:abstractNumId w:val="3"/>
  </w:num>
  <w:num w:numId="34">
    <w:abstractNumId w:val="2"/>
  </w:num>
  <w:num w:numId="35">
    <w:abstractNumId w:val="1"/>
  </w:num>
  <w:num w:numId="36">
    <w:abstractNumId w:val="0"/>
  </w:num>
  <w:num w:numId="37">
    <w:abstractNumId w:val="5"/>
  </w:num>
  <w:num w:numId="38">
    <w:abstractNumId w:val="8"/>
  </w:num>
  <w:num w:numId="39">
    <w:abstractNumId w:val="7"/>
  </w:num>
  <w:num w:numId="40">
    <w:abstractNumId w:val="6"/>
  </w:num>
  <w:num w:numId="41">
    <w:abstractNumId w:val="4"/>
  </w:num>
  <w:num w:numId="42">
    <w:abstractNumId w:val="3"/>
  </w:num>
  <w:num w:numId="43">
    <w:abstractNumId w:val="2"/>
  </w:num>
  <w:num w:numId="44">
    <w:abstractNumId w:val="1"/>
  </w:num>
  <w:num w:numId="45">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hideGrammaticalErrors/>
  <w:revisionView w:markup="0"/>
  <w:defaultTabStop w:val="475"/>
  <w:autoHyphenation/>
  <w:doNotHyphenateCaps/>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812325*"/>
    <w:docVar w:name="CreationDt" w:val="21/09/2018 9:49: AM"/>
    <w:docVar w:name="DocCategory" w:val="Doc"/>
    <w:docVar w:name="DocType" w:val="Final"/>
    <w:docVar w:name="DutyStation" w:val="New York"/>
    <w:docVar w:name="FooterJN" w:val="18-12325"/>
    <w:docVar w:name="jobn" w:val="18-12325 (R)"/>
    <w:docVar w:name="jobnDT" w:val="18-12325 (R)   210918"/>
    <w:docVar w:name="jobnDTDT" w:val="18-12325 (R)   210918   210918"/>
    <w:docVar w:name="JobNo" w:val="1812325R"/>
    <w:docVar w:name="JobNo2" w:val="1823802R"/>
    <w:docVar w:name="LocalDrive" w:val="0"/>
    <w:docVar w:name="OandT" w:val=" "/>
    <w:docVar w:name="sss1" w:val="CEDAW/C/MEX/CO/9"/>
    <w:docVar w:name="sss2" w:val="-"/>
    <w:docVar w:name="Symbol1" w:val="CEDAW/C/MEX/CO/9"/>
    <w:docVar w:name="Symbol2" w:val="-"/>
  </w:docVars>
  <w:rsids>
    <w:rsidRoot w:val="00015C43"/>
    <w:rsid w:val="00003F8A"/>
    <w:rsid w:val="00015C43"/>
    <w:rsid w:val="0003673B"/>
    <w:rsid w:val="00053EC1"/>
    <w:rsid w:val="00057473"/>
    <w:rsid w:val="000A1A1B"/>
    <w:rsid w:val="000A36A0"/>
    <w:rsid w:val="00106720"/>
    <w:rsid w:val="00122192"/>
    <w:rsid w:val="001337EF"/>
    <w:rsid w:val="00157853"/>
    <w:rsid w:val="001642FD"/>
    <w:rsid w:val="001824A1"/>
    <w:rsid w:val="00185797"/>
    <w:rsid w:val="00193759"/>
    <w:rsid w:val="001B0786"/>
    <w:rsid w:val="001E3E4B"/>
    <w:rsid w:val="001F427A"/>
    <w:rsid w:val="001F5AFF"/>
    <w:rsid w:val="00210AF4"/>
    <w:rsid w:val="00215A7D"/>
    <w:rsid w:val="002833B4"/>
    <w:rsid w:val="00293F01"/>
    <w:rsid w:val="002C25EA"/>
    <w:rsid w:val="002D3F55"/>
    <w:rsid w:val="002E1E69"/>
    <w:rsid w:val="00301656"/>
    <w:rsid w:val="00305C8D"/>
    <w:rsid w:val="003218EF"/>
    <w:rsid w:val="0032688C"/>
    <w:rsid w:val="003368B4"/>
    <w:rsid w:val="003807EF"/>
    <w:rsid w:val="00381E2D"/>
    <w:rsid w:val="0038495D"/>
    <w:rsid w:val="00397BAE"/>
    <w:rsid w:val="003B189B"/>
    <w:rsid w:val="003B643E"/>
    <w:rsid w:val="003C0852"/>
    <w:rsid w:val="003C5286"/>
    <w:rsid w:val="003F7347"/>
    <w:rsid w:val="00402B26"/>
    <w:rsid w:val="004240B1"/>
    <w:rsid w:val="004275D7"/>
    <w:rsid w:val="004279A5"/>
    <w:rsid w:val="00431502"/>
    <w:rsid w:val="00433CBC"/>
    <w:rsid w:val="00437431"/>
    <w:rsid w:val="004543B5"/>
    <w:rsid w:val="004731F9"/>
    <w:rsid w:val="00474CFE"/>
    <w:rsid w:val="004E507B"/>
    <w:rsid w:val="00511978"/>
    <w:rsid w:val="00525FB2"/>
    <w:rsid w:val="00542D6F"/>
    <w:rsid w:val="0055148A"/>
    <w:rsid w:val="005644C2"/>
    <w:rsid w:val="00571999"/>
    <w:rsid w:val="005745F1"/>
    <w:rsid w:val="0058329D"/>
    <w:rsid w:val="00591904"/>
    <w:rsid w:val="005A2266"/>
    <w:rsid w:val="005A3E49"/>
    <w:rsid w:val="005A5124"/>
    <w:rsid w:val="005A609E"/>
    <w:rsid w:val="005B58D8"/>
    <w:rsid w:val="005C2F22"/>
    <w:rsid w:val="005D11E0"/>
    <w:rsid w:val="005D4758"/>
    <w:rsid w:val="00607F5E"/>
    <w:rsid w:val="006219B0"/>
    <w:rsid w:val="00630004"/>
    <w:rsid w:val="00643F79"/>
    <w:rsid w:val="006604CA"/>
    <w:rsid w:val="006934A6"/>
    <w:rsid w:val="006B0972"/>
    <w:rsid w:val="006D4969"/>
    <w:rsid w:val="006E5CA5"/>
    <w:rsid w:val="006E5D02"/>
    <w:rsid w:val="006F4D28"/>
    <w:rsid w:val="00705A84"/>
    <w:rsid w:val="00712861"/>
    <w:rsid w:val="007340C0"/>
    <w:rsid w:val="00754ACB"/>
    <w:rsid w:val="0076034A"/>
    <w:rsid w:val="007860FE"/>
    <w:rsid w:val="00793E16"/>
    <w:rsid w:val="007964F3"/>
    <w:rsid w:val="007A0365"/>
    <w:rsid w:val="007B3589"/>
    <w:rsid w:val="007B6E24"/>
    <w:rsid w:val="007D2E54"/>
    <w:rsid w:val="007E13C5"/>
    <w:rsid w:val="00813A2A"/>
    <w:rsid w:val="008174B2"/>
    <w:rsid w:val="008178CC"/>
    <w:rsid w:val="00822226"/>
    <w:rsid w:val="00840363"/>
    <w:rsid w:val="00841298"/>
    <w:rsid w:val="00843551"/>
    <w:rsid w:val="00854D39"/>
    <w:rsid w:val="00866DC8"/>
    <w:rsid w:val="00887FF5"/>
    <w:rsid w:val="00891C70"/>
    <w:rsid w:val="00896AEB"/>
    <w:rsid w:val="008C6000"/>
    <w:rsid w:val="008E0493"/>
    <w:rsid w:val="008E3D70"/>
    <w:rsid w:val="00905550"/>
    <w:rsid w:val="00923216"/>
    <w:rsid w:val="009270FB"/>
    <w:rsid w:val="00942760"/>
    <w:rsid w:val="0096420F"/>
    <w:rsid w:val="00971245"/>
    <w:rsid w:val="00992256"/>
    <w:rsid w:val="009B1C8E"/>
    <w:rsid w:val="009D6D56"/>
    <w:rsid w:val="009F0383"/>
    <w:rsid w:val="009F077A"/>
    <w:rsid w:val="00A13250"/>
    <w:rsid w:val="00A161B2"/>
    <w:rsid w:val="00A40164"/>
    <w:rsid w:val="00A5356B"/>
    <w:rsid w:val="00A56F72"/>
    <w:rsid w:val="00A57ABA"/>
    <w:rsid w:val="00A6786C"/>
    <w:rsid w:val="00A72FF5"/>
    <w:rsid w:val="00A80897"/>
    <w:rsid w:val="00A83117"/>
    <w:rsid w:val="00A9010C"/>
    <w:rsid w:val="00AB0DE3"/>
    <w:rsid w:val="00AC25D4"/>
    <w:rsid w:val="00AE5FC5"/>
    <w:rsid w:val="00B147D7"/>
    <w:rsid w:val="00B23887"/>
    <w:rsid w:val="00B31AD6"/>
    <w:rsid w:val="00B32615"/>
    <w:rsid w:val="00B3281A"/>
    <w:rsid w:val="00B535EE"/>
    <w:rsid w:val="00B63A65"/>
    <w:rsid w:val="00B63E58"/>
    <w:rsid w:val="00B745E4"/>
    <w:rsid w:val="00BA2257"/>
    <w:rsid w:val="00C26FCC"/>
    <w:rsid w:val="00C41769"/>
    <w:rsid w:val="00C4288C"/>
    <w:rsid w:val="00C45C26"/>
    <w:rsid w:val="00C622FF"/>
    <w:rsid w:val="00CA4BB0"/>
    <w:rsid w:val="00CB052C"/>
    <w:rsid w:val="00CD66E1"/>
    <w:rsid w:val="00CD67D5"/>
    <w:rsid w:val="00CE2DCA"/>
    <w:rsid w:val="00CF248F"/>
    <w:rsid w:val="00D30B53"/>
    <w:rsid w:val="00D67EB4"/>
    <w:rsid w:val="00D760D3"/>
    <w:rsid w:val="00D775DE"/>
    <w:rsid w:val="00D82BC5"/>
    <w:rsid w:val="00D851E9"/>
    <w:rsid w:val="00D96F14"/>
    <w:rsid w:val="00DC09BC"/>
    <w:rsid w:val="00DD1B49"/>
    <w:rsid w:val="00DF6993"/>
    <w:rsid w:val="00E02317"/>
    <w:rsid w:val="00E07196"/>
    <w:rsid w:val="00E23931"/>
    <w:rsid w:val="00E24972"/>
    <w:rsid w:val="00E25037"/>
    <w:rsid w:val="00E44426"/>
    <w:rsid w:val="00E5109E"/>
    <w:rsid w:val="00E534EB"/>
    <w:rsid w:val="00E63217"/>
    <w:rsid w:val="00E720E8"/>
    <w:rsid w:val="00E87340"/>
    <w:rsid w:val="00E939CA"/>
    <w:rsid w:val="00EA74A9"/>
    <w:rsid w:val="00EA75F0"/>
    <w:rsid w:val="00EB1BE8"/>
    <w:rsid w:val="00EC2A36"/>
    <w:rsid w:val="00ED31CE"/>
    <w:rsid w:val="00EF58F4"/>
    <w:rsid w:val="00F23EAD"/>
    <w:rsid w:val="00F2422B"/>
    <w:rsid w:val="00F24A56"/>
    <w:rsid w:val="00F25DE4"/>
    <w:rsid w:val="00F47477"/>
    <w:rsid w:val="00F53024"/>
    <w:rsid w:val="00F54B95"/>
    <w:rsid w:val="00F5618F"/>
    <w:rsid w:val="00F63321"/>
    <w:rsid w:val="00F64D4C"/>
    <w:rsid w:val="00F652DC"/>
    <w:rsid w:val="00F77F4F"/>
    <w:rsid w:val="00F81CC1"/>
    <w:rsid w:val="00FA0DEE"/>
    <w:rsid w:val="00FB731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43E7D6"/>
  <w15:chartTrackingRefBased/>
  <w15:docId w15:val="{8CE9A40E-CC53-48C6-8B07-E58636AA3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2" w:unhideWhenUsed="1"/>
    <w:lsdException w:name="footer" w:semiHidden="1" w:uiPriority="2"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1" w:unhideWhenUsed="1"/>
    <w:lsdException w:name="endnote text" w:semiHidden="1" w:uiPriority="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nhideWhenUsed/>
    <w:qFormat/>
    <w:rsid w:val="006F4D28"/>
    <w:pPr>
      <w:spacing w:after="0" w:line="240" w:lineRule="exact"/>
    </w:pPr>
    <w:rPr>
      <w:rFonts w:ascii="Times New Roman" w:eastAsiaTheme="minorHAnsi" w:hAnsi="Times New Roman" w:cs="Times New Roman"/>
      <w:spacing w:val="4"/>
      <w:w w:val="103"/>
      <w:kern w:val="14"/>
      <w:sz w:val="20"/>
      <w:lang w:val="ru-RU" w:eastAsia="en-US"/>
    </w:rPr>
  </w:style>
  <w:style w:type="paragraph" w:styleId="Heading1">
    <w:name w:val="heading 1"/>
    <w:basedOn w:val="Normal"/>
    <w:next w:val="Normal"/>
    <w:link w:val="Heading1Char"/>
    <w:uiPriority w:val="9"/>
    <w:rsid w:val="006F4D28"/>
    <w:pPr>
      <w:keepNext/>
      <w:spacing w:before="240" w:after="60"/>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rsid w:val="006F4D28"/>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qFormat/>
    <w:rsid w:val="006F4D28"/>
    <w:pPr>
      <w:keepNext/>
      <w:spacing w:before="240" w:after="60"/>
      <w:outlineLvl w:val="2"/>
    </w:pPr>
    <w:rPr>
      <w:rFonts w:ascii="Arial" w:eastAsiaTheme="majorEastAsia" w:hAnsi="Arial" w:cstheme="majorBidi"/>
      <w:b/>
      <w:bCs/>
      <w:sz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
    <w:name w:val="_ H __M"/>
    <w:basedOn w:val="Normal"/>
    <w:next w:val="Normal"/>
    <w:qFormat/>
    <w:rsid w:val="006F4D28"/>
    <w:pPr>
      <w:keepNext/>
      <w:keepLines/>
      <w:suppressAutoHyphens/>
      <w:spacing w:line="360" w:lineRule="exact"/>
      <w:outlineLvl w:val="0"/>
    </w:pPr>
    <w:rPr>
      <w:b/>
      <w:spacing w:val="-3"/>
      <w:w w:val="99"/>
      <w:sz w:val="34"/>
    </w:rPr>
  </w:style>
  <w:style w:type="paragraph" w:customStyle="1" w:styleId="H1">
    <w:name w:val="_ H_1"/>
    <w:basedOn w:val="Normal"/>
    <w:next w:val="SingleTxt"/>
    <w:qFormat/>
    <w:rsid w:val="006F4D28"/>
    <w:pPr>
      <w:suppressAutoHyphens/>
      <w:spacing w:line="270" w:lineRule="exact"/>
      <w:outlineLvl w:val="0"/>
    </w:pPr>
    <w:rPr>
      <w:b/>
      <w:sz w:val="24"/>
    </w:rPr>
  </w:style>
  <w:style w:type="paragraph" w:customStyle="1" w:styleId="HCh">
    <w:name w:val="_ H _Ch"/>
    <w:basedOn w:val="H1"/>
    <w:next w:val="Normal"/>
    <w:qFormat/>
    <w:rsid w:val="006F4D28"/>
    <w:pPr>
      <w:keepNext/>
      <w:keepLines/>
      <w:spacing w:line="300" w:lineRule="exact"/>
    </w:pPr>
    <w:rPr>
      <w:spacing w:val="-2"/>
      <w:sz w:val="28"/>
    </w:rPr>
  </w:style>
  <w:style w:type="paragraph" w:customStyle="1" w:styleId="H23">
    <w:name w:val="_ H_2/3"/>
    <w:basedOn w:val="H1"/>
    <w:next w:val="SingleTxt"/>
    <w:qFormat/>
    <w:rsid w:val="006F4D28"/>
    <w:pPr>
      <w:keepNext/>
      <w:keepLines/>
      <w:spacing w:line="240" w:lineRule="exact"/>
      <w:outlineLvl w:val="1"/>
    </w:pPr>
    <w:rPr>
      <w:spacing w:val="2"/>
      <w:sz w:val="20"/>
    </w:rPr>
  </w:style>
  <w:style w:type="paragraph" w:customStyle="1" w:styleId="H4">
    <w:name w:val="_ H_4"/>
    <w:basedOn w:val="Normal"/>
    <w:next w:val="Normal"/>
    <w:qFormat/>
    <w:rsid w:val="006F4D28"/>
    <w:pPr>
      <w:keepNext/>
      <w:keepLines/>
      <w:tabs>
        <w:tab w:val="right" w:pos="360"/>
      </w:tabs>
      <w:suppressAutoHyphens/>
      <w:outlineLvl w:val="3"/>
    </w:pPr>
    <w:rPr>
      <w:i/>
      <w:spacing w:val="3"/>
    </w:rPr>
  </w:style>
  <w:style w:type="paragraph" w:customStyle="1" w:styleId="H56">
    <w:name w:val="_ H_5/6"/>
    <w:basedOn w:val="Normal"/>
    <w:next w:val="Normal"/>
    <w:qFormat/>
    <w:rsid w:val="006F4D28"/>
    <w:pPr>
      <w:keepNext/>
      <w:keepLines/>
      <w:tabs>
        <w:tab w:val="right" w:pos="360"/>
      </w:tabs>
      <w:suppressAutoHyphens/>
      <w:ind w:left="1267" w:right="1267" w:hanging="1267"/>
      <w:outlineLvl w:val="4"/>
    </w:pPr>
  </w:style>
  <w:style w:type="paragraph" w:customStyle="1" w:styleId="DualTxt">
    <w:name w:val="__Dual Txt"/>
    <w:basedOn w:val="Normal"/>
    <w:qFormat/>
    <w:rsid w:val="006F4D28"/>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6F4D28"/>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6F4D28"/>
    <w:pPr>
      <w:spacing w:line="540" w:lineRule="exact"/>
    </w:pPr>
    <w:rPr>
      <w:spacing w:val="-8"/>
      <w:w w:val="96"/>
      <w:sz w:val="57"/>
    </w:rPr>
  </w:style>
  <w:style w:type="paragraph" w:customStyle="1" w:styleId="SS">
    <w:name w:val="__S_S"/>
    <w:basedOn w:val="SM"/>
    <w:next w:val="Normal"/>
    <w:qFormat/>
    <w:rsid w:val="006F4D28"/>
    <w:pPr>
      <w:spacing w:line="300" w:lineRule="exact"/>
      <w:ind w:left="1264" w:right="1264"/>
    </w:pPr>
    <w:rPr>
      <w:sz w:val="28"/>
    </w:rPr>
  </w:style>
  <w:style w:type="paragraph" w:customStyle="1" w:styleId="SingleTxt">
    <w:name w:val="__Single Txt"/>
    <w:basedOn w:val="Normal"/>
    <w:qFormat/>
    <w:rsid w:val="006F4D28"/>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line="240" w:lineRule="atLeast"/>
      <w:ind w:left="1267" w:right="1267"/>
      <w:jc w:val="both"/>
    </w:pPr>
  </w:style>
  <w:style w:type="paragraph" w:customStyle="1" w:styleId="AgendaItemNormal">
    <w:name w:val="Agenda_Item_Normal"/>
    <w:next w:val="Normal"/>
    <w:qFormat/>
    <w:rsid w:val="006F4D28"/>
    <w:pPr>
      <w:spacing w:after="0" w:line="240" w:lineRule="exact"/>
    </w:pPr>
    <w:rPr>
      <w:rFonts w:ascii="Times New Roman" w:eastAsiaTheme="minorHAnsi" w:hAnsi="Times New Roman"/>
      <w:spacing w:val="4"/>
      <w:w w:val="103"/>
      <w:kern w:val="14"/>
      <w:sz w:val="20"/>
      <w:lang w:val="ru-RU" w:eastAsia="en-US"/>
    </w:rPr>
  </w:style>
  <w:style w:type="paragraph" w:customStyle="1" w:styleId="TitleH1">
    <w:name w:val="Title_H1"/>
    <w:basedOn w:val="Normal"/>
    <w:next w:val="Normal"/>
    <w:qFormat/>
    <w:rsid w:val="006F4D2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b/>
      <w:sz w:val="24"/>
    </w:rPr>
  </w:style>
  <w:style w:type="paragraph" w:customStyle="1" w:styleId="AgendaTitleH2">
    <w:name w:val="Agenda_Title_H2"/>
    <w:basedOn w:val="H1"/>
    <w:next w:val="Normal"/>
    <w:qFormat/>
    <w:rsid w:val="006F4D28"/>
    <w:pPr>
      <w:keepNext/>
      <w:keepLines/>
      <w:spacing w:line="240" w:lineRule="exact"/>
      <w:ind w:right="5040"/>
      <w:outlineLvl w:val="1"/>
    </w:pPr>
    <w:rPr>
      <w:spacing w:val="2"/>
      <w:sz w:val="20"/>
    </w:rPr>
  </w:style>
  <w:style w:type="paragraph" w:customStyle="1" w:styleId="Bullet1">
    <w:name w:val="Bullet 1"/>
    <w:basedOn w:val="Normal"/>
    <w:qFormat/>
    <w:rsid w:val="006F4D28"/>
    <w:pPr>
      <w:numPr>
        <w:numId w:val="37"/>
      </w:numPr>
      <w:spacing w:after="120"/>
      <w:ind w:right="1267"/>
      <w:jc w:val="both"/>
    </w:pPr>
  </w:style>
  <w:style w:type="paragraph" w:customStyle="1" w:styleId="Bullet2">
    <w:name w:val="Bullet 2"/>
    <w:basedOn w:val="Normal"/>
    <w:qFormat/>
    <w:rsid w:val="006F4D28"/>
    <w:pPr>
      <w:numPr>
        <w:numId w:val="38"/>
      </w:numPr>
      <w:spacing w:after="120"/>
      <w:ind w:right="1267"/>
      <w:jc w:val="both"/>
    </w:pPr>
  </w:style>
  <w:style w:type="paragraph" w:customStyle="1" w:styleId="Bullet3">
    <w:name w:val="Bullet 3"/>
    <w:basedOn w:val="SingleTxt"/>
    <w:qFormat/>
    <w:rsid w:val="006F4D28"/>
    <w:pPr>
      <w:numPr>
        <w:numId w:val="39"/>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pPr>
  </w:style>
  <w:style w:type="paragraph" w:customStyle="1" w:styleId="Distribution">
    <w:name w:val="Distribution"/>
    <w:basedOn w:val="Normal"/>
    <w:next w:val="Normal"/>
    <w:autoRedefine/>
    <w:qFormat/>
    <w:rsid w:val="006F4D28"/>
    <w:pPr>
      <w:spacing w:before="240"/>
    </w:pPr>
    <w:rPr>
      <w:szCs w:val="20"/>
    </w:rPr>
  </w:style>
  <w:style w:type="character" w:styleId="EndnoteReference">
    <w:name w:val="endnote reference"/>
    <w:basedOn w:val="DefaultParagraphFont"/>
    <w:uiPriority w:val="1"/>
    <w:semiHidden/>
    <w:rsid w:val="006F4D28"/>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1"/>
    <w:semiHidden/>
    <w:rsid w:val="006F4D28"/>
    <w:pPr>
      <w:suppressAutoHyphens/>
      <w:spacing w:line="210" w:lineRule="exact"/>
      <w:contextualSpacing/>
    </w:pPr>
    <w:rPr>
      <w:spacing w:val="5"/>
      <w:w w:val="104"/>
      <w:sz w:val="17"/>
      <w:szCs w:val="20"/>
    </w:rPr>
  </w:style>
  <w:style w:type="character" w:customStyle="1" w:styleId="EndnoteTextChar">
    <w:name w:val="Endnote Text Char"/>
    <w:basedOn w:val="DefaultParagraphFont"/>
    <w:link w:val="EndnoteText"/>
    <w:uiPriority w:val="1"/>
    <w:semiHidden/>
    <w:rsid w:val="006F4D28"/>
    <w:rPr>
      <w:rFonts w:ascii="Times New Roman" w:eastAsiaTheme="minorHAnsi" w:hAnsi="Times New Roman"/>
      <w:spacing w:val="5"/>
      <w:w w:val="104"/>
      <w:kern w:val="14"/>
      <w:sz w:val="17"/>
      <w:szCs w:val="20"/>
      <w:lang w:val="ru-RU" w:eastAsia="en-US"/>
    </w:rPr>
  </w:style>
  <w:style w:type="paragraph" w:styleId="Footer">
    <w:name w:val="footer"/>
    <w:basedOn w:val="Normal"/>
    <w:link w:val="FooterChar"/>
    <w:uiPriority w:val="2"/>
    <w:unhideWhenUsed/>
    <w:rsid w:val="006F4D28"/>
    <w:pPr>
      <w:tabs>
        <w:tab w:val="center" w:pos="4320"/>
        <w:tab w:val="right" w:pos="8640"/>
      </w:tabs>
      <w:spacing w:line="240" w:lineRule="auto"/>
    </w:pPr>
    <w:rPr>
      <w:b/>
      <w:spacing w:val="0"/>
      <w:w w:val="100"/>
      <w:kern w:val="0"/>
      <w:sz w:val="17"/>
    </w:rPr>
  </w:style>
  <w:style w:type="character" w:customStyle="1" w:styleId="FooterChar">
    <w:name w:val="Footer Char"/>
    <w:basedOn w:val="DefaultParagraphFont"/>
    <w:link w:val="Footer"/>
    <w:uiPriority w:val="2"/>
    <w:rsid w:val="006F4D28"/>
    <w:rPr>
      <w:rFonts w:ascii="Times New Roman" w:eastAsiaTheme="minorHAnsi" w:hAnsi="Times New Roman"/>
      <w:b/>
      <w:sz w:val="17"/>
      <w:lang w:val="ru-RU" w:eastAsia="en-US"/>
    </w:rPr>
  </w:style>
  <w:style w:type="character" w:styleId="FootnoteReference">
    <w:name w:val="footnote reference"/>
    <w:aliases w:val="4_G,Ref,de nota al pie,Footnote Reference Number,Footnotes refss,Appel note de bas de page,Texto de nota al pie,Footnote number,referencia nota al pie,BVI fnr,f,16 Point,Superscript 6 Point,Texto nota al pie,Ref. de nota al pie 2"/>
    <w:basedOn w:val="DefaultParagraphFont"/>
    <w:link w:val="Refdenotaalpie1"/>
    <w:uiPriority w:val="99"/>
    <w:qFormat/>
    <w:rsid w:val="006F4D28"/>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Footnote Text Char Char Char,single space,footnote text,Текст сноски Знак,Footnote reference,FA Fu,Footnote Text Char Char Char Char Char,Footnote Text Char Char Char Car,Footnote Text Char Char Char Car Car Car Car Car Car,Podrozdział"/>
    <w:basedOn w:val="Normal"/>
    <w:link w:val="FootnoteTextChar"/>
    <w:uiPriority w:val="99"/>
    <w:unhideWhenUsed/>
    <w:qFormat/>
    <w:rsid w:val="006F4D28"/>
    <w:pPr>
      <w:suppressAutoHyphens/>
      <w:spacing w:line="210" w:lineRule="exact"/>
      <w:ind w:left="475" w:hanging="475"/>
    </w:pPr>
    <w:rPr>
      <w:spacing w:val="5"/>
      <w:w w:val="104"/>
      <w:sz w:val="17"/>
      <w:szCs w:val="20"/>
    </w:rPr>
  </w:style>
  <w:style w:type="character" w:customStyle="1" w:styleId="FootnoteTextChar">
    <w:name w:val="Footnote Text Char"/>
    <w:aliases w:val="5_G Char,Footnote Text Char Char Char Char,single space Char,footnote text Char,Текст сноски Знак Char,Footnote reference Char,FA Fu Char,Footnote Text Char Char Char Char Char Char,Footnote Text Char Char Char Car Char"/>
    <w:basedOn w:val="DefaultParagraphFont"/>
    <w:link w:val="FootnoteText"/>
    <w:uiPriority w:val="99"/>
    <w:rsid w:val="006F4D28"/>
    <w:rPr>
      <w:rFonts w:ascii="Times New Roman" w:eastAsiaTheme="minorHAnsi" w:hAnsi="Times New Roman"/>
      <w:spacing w:val="5"/>
      <w:w w:val="104"/>
      <w:kern w:val="14"/>
      <w:sz w:val="17"/>
      <w:szCs w:val="20"/>
      <w:lang w:val="ru-RU" w:eastAsia="en-US"/>
    </w:rPr>
  </w:style>
  <w:style w:type="paragraph" w:styleId="Header">
    <w:name w:val="header"/>
    <w:basedOn w:val="Normal"/>
    <w:link w:val="HeaderChar"/>
    <w:uiPriority w:val="2"/>
    <w:rsid w:val="006F4D28"/>
    <w:pPr>
      <w:tabs>
        <w:tab w:val="center" w:pos="4320"/>
        <w:tab w:val="right" w:pos="8640"/>
      </w:tabs>
      <w:spacing w:line="240" w:lineRule="auto"/>
    </w:pPr>
    <w:rPr>
      <w:spacing w:val="0"/>
      <w:w w:val="100"/>
      <w:kern w:val="0"/>
      <w:sz w:val="17"/>
    </w:rPr>
  </w:style>
  <w:style w:type="character" w:customStyle="1" w:styleId="HeaderChar">
    <w:name w:val="Header Char"/>
    <w:basedOn w:val="DefaultParagraphFont"/>
    <w:link w:val="Header"/>
    <w:uiPriority w:val="2"/>
    <w:rsid w:val="006F4D28"/>
    <w:rPr>
      <w:rFonts w:ascii="Times New Roman" w:eastAsiaTheme="minorHAnsi" w:hAnsi="Times New Roman"/>
      <w:sz w:val="17"/>
      <w:lang w:val="ru-RU" w:eastAsia="en-US"/>
    </w:rPr>
  </w:style>
  <w:style w:type="character" w:customStyle="1" w:styleId="Heading1Char">
    <w:name w:val="Heading 1 Char"/>
    <w:basedOn w:val="DefaultParagraphFont"/>
    <w:link w:val="Heading1"/>
    <w:uiPriority w:val="9"/>
    <w:rsid w:val="006F4D28"/>
    <w:rPr>
      <w:rFonts w:ascii="Arial" w:eastAsiaTheme="majorEastAsia" w:hAnsi="Arial" w:cstheme="majorBidi"/>
      <w:b/>
      <w:bCs/>
      <w:spacing w:val="4"/>
      <w:w w:val="103"/>
      <w:kern w:val="14"/>
      <w:sz w:val="32"/>
      <w:szCs w:val="28"/>
      <w:lang w:val="ru-RU" w:eastAsia="en-US"/>
    </w:rPr>
  </w:style>
  <w:style w:type="character" w:customStyle="1" w:styleId="Heading2Char">
    <w:name w:val="Heading 2 Char"/>
    <w:basedOn w:val="DefaultParagraphFont"/>
    <w:link w:val="Heading2"/>
    <w:uiPriority w:val="9"/>
    <w:rsid w:val="006F4D28"/>
    <w:rPr>
      <w:rFonts w:ascii="Arial" w:eastAsiaTheme="majorEastAsia" w:hAnsi="Arial" w:cstheme="majorBidi"/>
      <w:b/>
      <w:bCs/>
      <w:i/>
      <w:spacing w:val="4"/>
      <w:w w:val="103"/>
      <w:kern w:val="14"/>
      <w:sz w:val="28"/>
      <w:szCs w:val="26"/>
      <w:lang w:val="ru-RU" w:eastAsia="en-US"/>
    </w:rPr>
  </w:style>
  <w:style w:type="character" w:customStyle="1" w:styleId="Heading3Char">
    <w:name w:val="Heading 3 Char"/>
    <w:basedOn w:val="DefaultParagraphFont"/>
    <w:link w:val="Heading3"/>
    <w:uiPriority w:val="9"/>
    <w:rsid w:val="006F4D28"/>
    <w:rPr>
      <w:rFonts w:ascii="Arial" w:eastAsiaTheme="majorEastAsia" w:hAnsi="Arial" w:cstheme="majorBidi"/>
      <w:b/>
      <w:bCs/>
      <w:spacing w:val="4"/>
      <w:w w:val="103"/>
      <w:kern w:val="14"/>
      <w:sz w:val="26"/>
      <w:lang w:val="ru-RU" w:eastAsia="en-US"/>
    </w:rPr>
  </w:style>
  <w:style w:type="paragraph" w:styleId="ListContinue">
    <w:name w:val="List Continue"/>
    <w:basedOn w:val="Normal"/>
    <w:uiPriority w:val="99"/>
    <w:semiHidden/>
    <w:rsid w:val="006F4D28"/>
    <w:pPr>
      <w:spacing w:after="120"/>
      <w:ind w:left="360"/>
      <w:contextualSpacing/>
    </w:pPr>
  </w:style>
  <w:style w:type="paragraph" w:styleId="ListContinue2">
    <w:name w:val="List Continue 2"/>
    <w:basedOn w:val="Normal"/>
    <w:next w:val="Normal"/>
    <w:uiPriority w:val="99"/>
    <w:rsid w:val="006F4D28"/>
    <w:pPr>
      <w:numPr>
        <w:numId w:val="40"/>
      </w:numPr>
      <w:tabs>
        <w:tab w:val="left" w:pos="792"/>
      </w:tabs>
      <w:spacing w:after="120"/>
    </w:pPr>
  </w:style>
  <w:style w:type="paragraph" w:styleId="ListNumber">
    <w:name w:val="List Number"/>
    <w:basedOn w:val="H1"/>
    <w:next w:val="Normal"/>
    <w:uiPriority w:val="99"/>
    <w:rsid w:val="006F4D28"/>
    <w:pPr>
      <w:numPr>
        <w:numId w:val="41"/>
      </w:numPr>
      <w:contextualSpacing/>
    </w:pPr>
  </w:style>
  <w:style w:type="paragraph" w:styleId="ListNumber2">
    <w:name w:val="List Number 2"/>
    <w:basedOn w:val="H23"/>
    <w:next w:val="Normal"/>
    <w:uiPriority w:val="99"/>
    <w:rsid w:val="006F4D28"/>
    <w:pPr>
      <w:numPr>
        <w:numId w:val="42"/>
      </w:numPr>
      <w:tabs>
        <w:tab w:val="left" w:pos="648"/>
      </w:tabs>
      <w:contextualSpacing/>
    </w:pPr>
  </w:style>
  <w:style w:type="paragraph" w:styleId="ListNumber3">
    <w:name w:val="List Number 3"/>
    <w:basedOn w:val="H23"/>
    <w:next w:val="Normal"/>
    <w:uiPriority w:val="99"/>
    <w:rsid w:val="006F4D28"/>
    <w:pPr>
      <w:numPr>
        <w:numId w:val="43"/>
      </w:numPr>
      <w:tabs>
        <w:tab w:val="left" w:pos="922"/>
      </w:tabs>
      <w:contextualSpacing/>
    </w:pPr>
  </w:style>
  <w:style w:type="paragraph" w:styleId="ListNumber4">
    <w:name w:val="List Number 4"/>
    <w:basedOn w:val="Normal"/>
    <w:rsid w:val="006F4D28"/>
    <w:pPr>
      <w:keepNext/>
      <w:keepLines/>
      <w:numPr>
        <w:numId w:val="44"/>
      </w:numPr>
      <w:tabs>
        <w:tab w:val="left" w:pos="1210"/>
      </w:tabs>
      <w:suppressAutoHyphens/>
      <w:contextualSpacing/>
      <w:outlineLvl w:val="3"/>
    </w:pPr>
    <w:rPr>
      <w:i/>
      <w:spacing w:val="3"/>
    </w:rPr>
  </w:style>
  <w:style w:type="paragraph" w:styleId="ListNumber5">
    <w:name w:val="List Number 5"/>
    <w:basedOn w:val="Normal"/>
    <w:next w:val="Normal"/>
    <w:uiPriority w:val="99"/>
    <w:rsid w:val="006F4D28"/>
    <w:pPr>
      <w:numPr>
        <w:numId w:val="45"/>
      </w:numPr>
      <w:tabs>
        <w:tab w:val="left" w:pos="1498"/>
      </w:tabs>
      <w:contextualSpacing/>
    </w:pPr>
  </w:style>
  <w:style w:type="paragraph" w:styleId="NoSpacing">
    <w:name w:val="No Spacing"/>
    <w:uiPriority w:val="1"/>
    <w:rsid w:val="006F4D28"/>
    <w:pPr>
      <w:spacing w:after="0" w:line="240" w:lineRule="auto"/>
    </w:pPr>
    <w:rPr>
      <w:rFonts w:ascii="Times New Roman" w:eastAsiaTheme="minorHAnsi" w:hAnsi="Times New Roman"/>
      <w:spacing w:val="4"/>
      <w:w w:val="103"/>
      <w:kern w:val="14"/>
      <w:sz w:val="20"/>
      <w:lang w:val="en-US" w:eastAsia="en-US"/>
    </w:rPr>
  </w:style>
  <w:style w:type="paragraph" w:customStyle="1" w:styleId="Original">
    <w:name w:val="Original"/>
    <w:basedOn w:val="Normal"/>
    <w:next w:val="Normal"/>
    <w:qFormat/>
    <w:rsid w:val="006F4D28"/>
    <w:rPr>
      <w:szCs w:val="20"/>
    </w:rPr>
  </w:style>
  <w:style w:type="paragraph" w:customStyle="1" w:styleId="Publication">
    <w:name w:val="Publication"/>
    <w:basedOn w:val="Normal"/>
    <w:next w:val="Normal"/>
    <w:qFormat/>
    <w:rsid w:val="006F4D28"/>
  </w:style>
  <w:style w:type="paragraph" w:customStyle="1" w:styleId="ReleaseDate">
    <w:name w:val="ReleaseDate"/>
    <w:basedOn w:val="Normal"/>
    <w:next w:val="Normal"/>
    <w:qFormat/>
    <w:rsid w:val="006F4D28"/>
    <w:rPr>
      <w:szCs w:val="20"/>
    </w:rPr>
  </w:style>
  <w:style w:type="paragraph" w:customStyle="1" w:styleId="Small">
    <w:name w:val="Small"/>
    <w:basedOn w:val="Normal"/>
    <w:next w:val="Normal"/>
    <w:qFormat/>
    <w:rsid w:val="006F4D28"/>
    <w:pPr>
      <w:tabs>
        <w:tab w:val="right" w:pos="9965"/>
      </w:tabs>
      <w:spacing w:line="210" w:lineRule="exact"/>
    </w:pPr>
    <w:rPr>
      <w:spacing w:val="5"/>
      <w:w w:val="104"/>
      <w:sz w:val="17"/>
    </w:rPr>
  </w:style>
  <w:style w:type="paragraph" w:customStyle="1" w:styleId="SmallX">
    <w:name w:val="SmallX"/>
    <w:basedOn w:val="Small"/>
    <w:next w:val="Normal"/>
    <w:qFormat/>
    <w:rsid w:val="006F4D28"/>
    <w:pPr>
      <w:spacing w:line="180" w:lineRule="exact"/>
      <w:jc w:val="right"/>
    </w:pPr>
    <w:rPr>
      <w:spacing w:val="6"/>
      <w:w w:val="106"/>
      <w:sz w:val="14"/>
    </w:rPr>
  </w:style>
  <w:style w:type="paragraph" w:customStyle="1" w:styleId="TitleHCH">
    <w:name w:val="Title_H_CH"/>
    <w:basedOn w:val="H1"/>
    <w:next w:val="Normal"/>
    <w:qFormat/>
    <w:rsid w:val="006F4D2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6F4D2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6F4D28"/>
    <w:pPr>
      <w:tabs>
        <w:tab w:val="right" w:leader="dot" w:pos="360"/>
      </w:tabs>
      <w:spacing w:line="390" w:lineRule="exact"/>
    </w:pPr>
    <w:rPr>
      <w:spacing w:val="-4"/>
      <w:w w:val="98"/>
      <w:sz w:val="40"/>
    </w:rPr>
  </w:style>
  <w:style w:type="paragraph" w:styleId="Revision">
    <w:name w:val="Revision"/>
    <w:hidden/>
    <w:uiPriority w:val="99"/>
    <w:semiHidden/>
    <w:rsid w:val="005A2266"/>
    <w:pPr>
      <w:spacing w:after="0" w:line="240" w:lineRule="auto"/>
    </w:pPr>
    <w:rPr>
      <w:rFonts w:ascii="Times New Roman" w:hAnsi="Times New Roman"/>
      <w:spacing w:val="4"/>
      <w:w w:val="103"/>
      <w:kern w:val="14"/>
      <w:sz w:val="20"/>
      <w:lang w:val="ru-RU"/>
    </w:rPr>
  </w:style>
  <w:style w:type="paragraph" w:styleId="BalloonText">
    <w:name w:val="Balloon Text"/>
    <w:basedOn w:val="Normal"/>
    <w:link w:val="BalloonTextChar"/>
    <w:uiPriority w:val="99"/>
    <w:semiHidden/>
    <w:unhideWhenUsed/>
    <w:rsid w:val="005A2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2266"/>
    <w:rPr>
      <w:rFonts w:ascii="Tahoma" w:hAnsi="Tahoma" w:cs="Tahoma"/>
      <w:spacing w:val="4"/>
      <w:w w:val="103"/>
      <w:kern w:val="14"/>
      <w:sz w:val="16"/>
      <w:szCs w:val="16"/>
      <w:lang w:val="ru-RU"/>
    </w:rPr>
  </w:style>
  <w:style w:type="paragraph" w:customStyle="1" w:styleId="Session">
    <w:name w:val="Session"/>
    <w:basedOn w:val="H23"/>
    <w:qFormat/>
    <w:rsid w:val="004275D7"/>
    <w:rPr>
      <w:szCs w:val="20"/>
      <w:lang w:val="en-US"/>
    </w:rPr>
  </w:style>
  <w:style w:type="paragraph" w:customStyle="1" w:styleId="Sponsors">
    <w:name w:val="Sponsors"/>
    <w:basedOn w:val="H1"/>
    <w:next w:val="Normal"/>
    <w:qFormat/>
    <w:rsid w:val="00D96F14"/>
    <w:pPr>
      <w:spacing w:line="240" w:lineRule="exact"/>
    </w:pPr>
    <w:rPr>
      <w:sz w:val="20"/>
    </w:rPr>
  </w:style>
  <w:style w:type="paragraph" w:customStyle="1" w:styleId="STitleM">
    <w:name w:val="S_Title_M"/>
    <w:basedOn w:val="Normal"/>
    <w:next w:val="Normal"/>
    <w:qFormat/>
    <w:rsid w:val="007D2E54"/>
    <w:pPr>
      <w:keepNext/>
      <w:keepLines/>
      <w:tabs>
        <w:tab w:val="right" w:leader="dot" w:pos="357"/>
      </w:tabs>
      <w:suppressAutoHyphens/>
      <w:spacing w:line="390" w:lineRule="exact"/>
      <w:ind w:left="1264" w:right="1264"/>
      <w:outlineLvl w:val="0"/>
    </w:pPr>
    <w:rPr>
      <w:b/>
      <w:spacing w:val="-4"/>
      <w:w w:val="98"/>
      <w:sz w:val="40"/>
      <w:lang w:val="en-US"/>
    </w:rPr>
  </w:style>
  <w:style w:type="paragraph" w:customStyle="1" w:styleId="STitleS">
    <w:name w:val="S_Title_S"/>
    <w:basedOn w:val="SM"/>
    <w:next w:val="Normal"/>
    <w:qFormat/>
    <w:rsid w:val="007D2E54"/>
    <w:pPr>
      <w:spacing w:line="300" w:lineRule="exact"/>
      <w:ind w:left="1264" w:right="1264"/>
    </w:pPr>
    <w:rPr>
      <w:sz w:val="28"/>
    </w:rPr>
  </w:style>
  <w:style w:type="paragraph" w:customStyle="1" w:styleId="STitleL">
    <w:name w:val="S_Title_L"/>
    <w:basedOn w:val="SM"/>
    <w:next w:val="Normal"/>
    <w:qFormat/>
    <w:rsid w:val="00ED31CE"/>
    <w:pPr>
      <w:spacing w:line="540" w:lineRule="exact"/>
    </w:pPr>
    <w:rPr>
      <w:spacing w:val="-8"/>
      <w:w w:val="96"/>
      <w:sz w:val="57"/>
    </w:rPr>
  </w:style>
  <w:style w:type="character" w:styleId="CommentReference">
    <w:name w:val="annotation reference"/>
    <w:basedOn w:val="DefaultParagraphFont"/>
    <w:uiPriority w:val="99"/>
    <w:semiHidden/>
    <w:unhideWhenUsed/>
    <w:rsid w:val="00EA74A9"/>
    <w:rPr>
      <w:sz w:val="16"/>
      <w:szCs w:val="16"/>
    </w:rPr>
  </w:style>
  <w:style w:type="paragraph" w:styleId="CommentText">
    <w:name w:val="annotation text"/>
    <w:basedOn w:val="Normal"/>
    <w:link w:val="CommentTextChar"/>
    <w:uiPriority w:val="99"/>
    <w:semiHidden/>
    <w:unhideWhenUsed/>
    <w:rsid w:val="00EA74A9"/>
    <w:pPr>
      <w:spacing w:line="240" w:lineRule="auto"/>
    </w:pPr>
    <w:rPr>
      <w:szCs w:val="20"/>
    </w:rPr>
  </w:style>
  <w:style w:type="character" w:customStyle="1" w:styleId="CommentTextChar">
    <w:name w:val="Comment Text Char"/>
    <w:basedOn w:val="DefaultParagraphFont"/>
    <w:link w:val="CommentText"/>
    <w:uiPriority w:val="99"/>
    <w:semiHidden/>
    <w:rsid w:val="00EA74A9"/>
    <w:rPr>
      <w:rFonts w:ascii="Times New Roman" w:eastAsiaTheme="minorHAnsi" w:hAnsi="Times New Roman" w:cs="Times New Roman"/>
      <w:spacing w:val="4"/>
      <w:w w:val="103"/>
      <w:kern w:val="14"/>
      <w:sz w:val="20"/>
      <w:szCs w:val="20"/>
      <w:lang w:val="ru-RU" w:eastAsia="en-US"/>
    </w:rPr>
  </w:style>
  <w:style w:type="paragraph" w:styleId="CommentSubject">
    <w:name w:val="annotation subject"/>
    <w:basedOn w:val="CommentText"/>
    <w:next w:val="CommentText"/>
    <w:link w:val="CommentSubjectChar"/>
    <w:uiPriority w:val="99"/>
    <w:semiHidden/>
    <w:unhideWhenUsed/>
    <w:rsid w:val="00EA74A9"/>
    <w:rPr>
      <w:b/>
      <w:bCs/>
    </w:rPr>
  </w:style>
  <w:style w:type="character" w:customStyle="1" w:styleId="CommentSubjectChar">
    <w:name w:val="Comment Subject Char"/>
    <w:basedOn w:val="CommentTextChar"/>
    <w:link w:val="CommentSubject"/>
    <w:uiPriority w:val="99"/>
    <w:semiHidden/>
    <w:rsid w:val="00EA74A9"/>
    <w:rPr>
      <w:rFonts w:ascii="Times New Roman" w:eastAsiaTheme="minorHAnsi" w:hAnsi="Times New Roman" w:cs="Times New Roman"/>
      <w:b/>
      <w:bCs/>
      <w:spacing w:val="4"/>
      <w:w w:val="103"/>
      <w:kern w:val="14"/>
      <w:sz w:val="20"/>
      <w:szCs w:val="20"/>
      <w:lang w:val="ru-RU" w:eastAsia="en-US"/>
    </w:rPr>
  </w:style>
  <w:style w:type="paragraph" w:customStyle="1" w:styleId="HChG">
    <w:name w:val="_ H _Ch_G"/>
    <w:basedOn w:val="Normal"/>
    <w:next w:val="Normal"/>
    <w:qFormat/>
    <w:rsid w:val="00E23931"/>
    <w:pPr>
      <w:keepNext/>
      <w:keepLines/>
      <w:tabs>
        <w:tab w:val="right" w:pos="851"/>
      </w:tabs>
      <w:suppressAutoHyphens/>
      <w:spacing w:before="360" w:after="240" w:line="300" w:lineRule="exact"/>
      <w:ind w:left="1134" w:right="1134" w:hanging="1134"/>
    </w:pPr>
    <w:rPr>
      <w:rFonts w:eastAsia="Times New Roman"/>
      <w:b/>
      <w:spacing w:val="0"/>
      <w:w w:val="100"/>
      <w:kern w:val="0"/>
      <w:sz w:val="28"/>
      <w:szCs w:val="20"/>
      <w:lang w:val="en-GB"/>
    </w:rPr>
  </w:style>
  <w:style w:type="paragraph" w:customStyle="1" w:styleId="SingleTxtG">
    <w:name w:val="_ Single Txt_G"/>
    <w:basedOn w:val="Normal"/>
    <w:link w:val="SingleTxtGChar"/>
    <w:qFormat/>
    <w:rsid w:val="00E23931"/>
    <w:pPr>
      <w:suppressAutoHyphens/>
      <w:spacing w:after="120" w:line="240" w:lineRule="atLeast"/>
      <w:ind w:left="1134" w:right="1134"/>
      <w:jc w:val="both"/>
    </w:pPr>
    <w:rPr>
      <w:rFonts w:eastAsia="Times New Roman"/>
      <w:spacing w:val="0"/>
      <w:w w:val="100"/>
      <w:kern w:val="0"/>
      <w:szCs w:val="20"/>
      <w:lang w:val="en-GB"/>
    </w:rPr>
  </w:style>
  <w:style w:type="paragraph" w:customStyle="1" w:styleId="SLG">
    <w:name w:val="__S_L_G"/>
    <w:basedOn w:val="Normal"/>
    <w:next w:val="Normal"/>
    <w:rsid w:val="00E23931"/>
    <w:pPr>
      <w:keepNext/>
      <w:keepLines/>
      <w:suppressAutoHyphens/>
      <w:spacing w:before="240" w:after="240" w:line="580" w:lineRule="exact"/>
      <w:ind w:left="1134" w:right="1134"/>
    </w:pPr>
    <w:rPr>
      <w:rFonts w:eastAsia="Times New Roman"/>
      <w:b/>
      <w:spacing w:val="0"/>
      <w:w w:val="100"/>
      <w:kern w:val="0"/>
      <w:sz w:val="56"/>
      <w:szCs w:val="20"/>
      <w:lang w:val="en-GB"/>
    </w:rPr>
  </w:style>
  <w:style w:type="paragraph" w:customStyle="1" w:styleId="H1G">
    <w:name w:val="_ H_1_G"/>
    <w:basedOn w:val="Normal"/>
    <w:next w:val="Normal"/>
    <w:qFormat/>
    <w:rsid w:val="00E23931"/>
    <w:pPr>
      <w:keepNext/>
      <w:keepLines/>
      <w:tabs>
        <w:tab w:val="right" w:pos="851"/>
      </w:tabs>
      <w:suppressAutoHyphens/>
      <w:spacing w:before="360" w:after="240" w:line="270" w:lineRule="exact"/>
      <w:ind w:left="1134" w:right="1134" w:hanging="1134"/>
    </w:pPr>
    <w:rPr>
      <w:rFonts w:eastAsia="Times New Roman"/>
      <w:b/>
      <w:spacing w:val="0"/>
      <w:w w:val="100"/>
      <w:kern w:val="0"/>
      <w:sz w:val="24"/>
      <w:szCs w:val="20"/>
      <w:lang w:val="en-GB"/>
    </w:rPr>
  </w:style>
  <w:style w:type="paragraph" w:customStyle="1" w:styleId="H23G">
    <w:name w:val="_ H_2/3_G"/>
    <w:basedOn w:val="Normal"/>
    <w:next w:val="Normal"/>
    <w:qFormat/>
    <w:rsid w:val="00E23931"/>
    <w:pPr>
      <w:keepNext/>
      <w:keepLines/>
      <w:tabs>
        <w:tab w:val="right" w:pos="851"/>
      </w:tabs>
      <w:suppressAutoHyphens/>
      <w:spacing w:before="240" w:after="120"/>
      <w:ind w:left="1134" w:right="1134" w:hanging="1134"/>
    </w:pPr>
    <w:rPr>
      <w:rFonts w:eastAsia="Times New Roman"/>
      <w:b/>
      <w:spacing w:val="0"/>
      <w:w w:val="100"/>
      <w:kern w:val="0"/>
      <w:szCs w:val="20"/>
      <w:lang w:val="en-GB"/>
    </w:rPr>
  </w:style>
  <w:style w:type="paragraph" w:customStyle="1" w:styleId="H4G">
    <w:name w:val="_ H_4_G"/>
    <w:basedOn w:val="Normal"/>
    <w:next w:val="Normal"/>
    <w:qFormat/>
    <w:rsid w:val="00E23931"/>
    <w:pPr>
      <w:keepNext/>
      <w:keepLines/>
      <w:tabs>
        <w:tab w:val="right" w:pos="851"/>
      </w:tabs>
      <w:suppressAutoHyphens/>
      <w:spacing w:before="240" w:after="120"/>
      <w:ind w:left="1134" w:right="1134" w:hanging="1134"/>
    </w:pPr>
    <w:rPr>
      <w:rFonts w:eastAsia="Times New Roman"/>
      <w:i/>
      <w:spacing w:val="0"/>
      <w:w w:val="100"/>
      <w:kern w:val="0"/>
      <w:szCs w:val="20"/>
      <w:lang w:val="en-GB"/>
    </w:rPr>
  </w:style>
  <w:style w:type="paragraph" w:customStyle="1" w:styleId="Refdenotaalpie1">
    <w:name w:val="Ref. de nota al pie1"/>
    <w:aliases w:val=" BVI fnr Car Car Car Car,BVI fnr Car Car Car Car"/>
    <w:basedOn w:val="Normal"/>
    <w:link w:val="FootnoteReference"/>
    <w:uiPriority w:val="99"/>
    <w:rsid w:val="00E23931"/>
    <w:pPr>
      <w:spacing w:after="160"/>
    </w:pPr>
    <w:rPr>
      <w:rFonts w:asciiTheme="minorHAnsi" w:eastAsiaTheme="minorEastAsia" w:hAnsiTheme="minorHAnsi" w:cstheme="minorBidi"/>
      <w:spacing w:val="5"/>
      <w:sz w:val="22"/>
      <w:vertAlign w:val="superscript"/>
      <w:lang w:val="en-GB" w:eastAsia="zh-CN"/>
    </w:rPr>
  </w:style>
  <w:style w:type="character" w:customStyle="1" w:styleId="SingleTxtGChar">
    <w:name w:val="_ Single Txt_G Char"/>
    <w:link w:val="SingleTxtG"/>
    <w:locked/>
    <w:rsid w:val="00E23931"/>
    <w:rPr>
      <w:rFonts w:ascii="Times New Roman" w:eastAsia="Times New Roman" w:hAnsi="Times New Roman" w:cs="Times New Roman"/>
      <w:sz w:val="20"/>
      <w:szCs w:val="20"/>
      <w:lang w:eastAsia="en-US"/>
    </w:rPr>
  </w:style>
  <w:style w:type="character" w:styleId="Hyperlink">
    <w:name w:val="Hyperlink"/>
    <w:basedOn w:val="DefaultParagraphFont"/>
    <w:uiPriority w:val="99"/>
    <w:unhideWhenUsed/>
    <w:rsid w:val="00E23931"/>
    <w:rPr>
      <w:color w:val="0000FF" w:themeColor="hyperlink"/>
      <w:u w:val="none"/>
    </w:rPr>
  </w:style>
  <w:style w:type="character" w:styleId="FollowedHyperlink">
    <w:name w:val="FollowedHyperlink"/>
    <w:basedOn w:val="DefaultParagraphFont"/>
    <w:uiPriority w:val="99"/>
    <w:semiHidden/>
    <w:unhideWhenUsed/>
    <w:rsid w:val="00E23931"/>
    <w:rPr>
      <w:color w:val="0000FF"/>
      <w:u w:val="none"/>
    </w:rPr>
  </w:style>
  <w:style w:type="character" w:styleId="UnresolvedMention">
    <w:name w:val="Unresolved Mention"/>
    <w:basedOn w:val="DefaultParagraphFont"/>
    <w:uiPriority w:val="99"/>
    <w:semiHidden/>
    <w:unhideWhenUsed/>
    <w:rsid w:val="00E2393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CEDAW/C/MEX/Q/9" TargetMode="External"/><Relationship Id="rId26" Type="http://schemas.openxmlformats.org/officeDocument/2006/relationships/hyperlink" Target="http://undocs.org/ru/HRI/GEN/2/Rev.6" TargetMode="External"/><Relationship Id="rId3" Type="http://schemas.openxmlformats.org/officeDocument/2006/relationships/settings" Target="settings.xml"/><Relationship Id="rId21" Type="http://schemas.openxmlformats.org/officeDocument/2006/relationships/hyperlink" Target="https://undocs.org/CEDAW/C/MEX/CO/7-8"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CEDAW/C/SR.1609" TargetMode="External"/><Relationship Id="rId25" Type="http://schemas.openxmlformats.org/officeDocument/2006/relationships/hyperlink" Target="https://undocs.org/CEDAW/C/MEX/CO/7-8" TargetMode="External"/><Relationship Id="rId2" Type="http://schemas.openxmlformats.org/officeDocument/2006/relationships/styles" Target="styles.xml"/><Relationship Id="rId16" Type="http://schemas.openxmlformats.org/officeDocument/2006/relationships/hyperlink" Target="https://undocs.org/CEDAW/C/SR.1608" TargetMode="External"/><Relationship Id="rId20" Type="http://schemas.openxmlformats.org/officeDocument/2006/relationships/hyperlink" Target="https://undocs.org/CEDAW/C/MEX/CO/7-8/Add.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undocs.org/CEDAW/C/MEX/CO/7-8" TargetMode="External"/><Relationship Id="rId5" Type="http://schemas.openxmlformats.org/officeDocument/2006/relationships/footnotes" Target="footnotes.xml"/><Relationship Id="rId15" Type="http://schemas.openxmlformats.org/officeDocument/2006/relationships/hyperlink" Target="https://undocs.org/CEDAW/C/MEX/9" TargetMode="External"/><Relationship Id="rId23" Type="http://schemas.openxmlformats.org/officeDocument/2006/relationships/hyperlink" Target="http://undocs.org/ru/CEDAW/C/67/D/75/2014" TargetMode="Externa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s://undocs.org/CEDAW/C/MEX/Q/9/Add.1"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hyperlink" Target="https://undocs.org/CEDAW/C/MEX/CO/7-8" TargetMode="Externa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7636</Words>
  <Characters>53855</Characters>
  <Application>Microsoft Office Word</Application>
  <DocSecurity>0</DocSecurity>
  <Lines>1079</Lines>
  <Paragraphs>225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Fedorova</dc:creator>
  <cp:keywords/>
  <dc:description/>
  <cp:lastModifiedBy>Olga Fedorova</cp:lastModifiedBy>
  <cp:revision>5</cp:revision>
  <cp:lastPrinted>2018-09-21T14:25:00Z</cp:lastPrinted>
  <dcterms:created xsi:type="dcterms:W3CDTF">2018-09-21T14:25:00Z</dcterms:created>
  <dcterms:modified xsi:type="dcterms:W3CDTF">2018-09-21T14:25:00Z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1812325R</vt:lpwstr>
  </property>
  <property fmtid="{D5CDD505-2E9C-101B-9397-08002B2CF9AE}" pid="3" name="ODSRefJobNo">
    <vt:lpwstr>1823802R</vt:lpwstr>
  </property>
  <property fmtid="{D5CDD505-2E9C-101B-9397-08002B2CF9AE}" pid="4" name="Symbol1">
    <vt:lpwstr>CEDAW/C/MEX/CO/9</vt:lpwstr>
  </property>
  <property fmtid="{D5CDD505-2E9C-101B-9397-08002B2CF9AE}" pid="5" name="Symbol2">
    <vt:lpwstr/>
  </property>
  <property fmtid="{D5CDD505-2E9C-101B-9397-08002B2CF9AE}" pid="6" name="Translator">
    <vt:lpwstr/>
  </property>
  <property fmtid="{D5CDD505-2E9C-101B-9397-08002B2CF9AE}" pid="7" name="Category">
    <vt:lpwstr>Document</vt:lpwstr>
  </property>
  <property fmtid="{D5CDD505-2E9C-101B-9397-08002B2CF9AE}" pid="8" name="Language">
    <vt:lpwstr>Russian</vt:lpwstr>
  </property>
  <property fmtid="{D5CDD505-2E9C-101B-9397-08002B2CF9AE}" pid="9" name="Distribution">
    <vt:lpwstr>General</vt:lpwstr>
  </property>
  <property fmtid="{D5CDD505-2E9C-101B-9397-08002B2CF9AE}" pid="10" name="Publication Date">
    <vt:lpwstr>25 July 2018</vt:lpwstr>
  </property>
  <property fmtid="{D5CDD505-2E9C-101B-9397-08002B2CF9AE}" pid="11" name="Original">
    <vt:lpwstr>English</vt:lpwstr>
  </property>
  <property fmtid="{D5CDD505-2E9C-101B-9397-08002B2CF9AE}" pid="12" name="Release Date">
    <vt:lpwstr>210918</vt:lpwstr>
  </property>
  <property fmtid="{D5CDD505-2E9C-101B-9397-08002B2CF9AE}" pid="13" name="Title1">
    <vt:lpwstr>		Заключительные замечания по девятому периодическому докладу Мексики*_x000d_</vt:lpwstr>
  </property>
  <property fmtid="{D5CDD505-2E9C-101B-9397-08002B2CF9AE}" pid="14" name="Comment">
    <vt:lpwstr/>
  </property>
  <property fmtid="{D5CDD505-2E9C-101B-9397-08002B2CF9AE}" pid="15" name="DraftPages">
    <vt:lpwstr> 22</vt:lpwstr>
  </property>
  <property fmtid="{D5CDD505-2E9C-101B-9397-08002B2CF9AE}" pid="16" name="Operator">
    <vt:lpwstr>Fedorova</vt:lpwstr>
  </property>
</Properties>
</file>