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sz w:val="6"/>
          <w:lang w:val="en-US"/>
        </w:rPr>
        <w:t>s</w:t>
      </w:r>
      <w:r>
        <w:rPr>
          <w:rStyle w:val="CommentReference"/>
          <w:vanish/>
        </w:rPr>
        <w:commentReference w:id="0"/>
      </w:r>
    </w:p>
    <w:p w:rsidR="00000000" w:rsidRDefault="00000000">
      <w:pPr>
        <w:pStyle w:val="H1"/>
        <w:ind w:hanging="2058"/>
      </w:pPr>
      <w:bookmarkStart w:id="1" w:name="_Toc83977399"/>
      <w:bookmarkStart w:id="2" w:name="_Toc83977518"/>
      <w:r>
        <w:t>Комитет по ликвидации дискриминации</w:t>
      </w:r>
      <w:bookmarkEnd w:id="1"/>
      <w:bookmarkEnd w:id="2"/>
    </w:p>
    <w:p w:rsidR="00000000" w:rsidRDefault="00000000">
      <w:pPr>
        <w:pStyle w:val="H1"/>
        <w:ind w:hanging="2058"/>
      </w:pPr>
      <w:bookmarkStart w:id="3" w:name="_Toc83977400"/>
      <w:bookmarkStart w:id="4" w:name="_Toc83977519"/>
      <w:r>
        <w:t>в отношении женщин</w:t>
      </w:r>
      <w:bookmarkEnd w:id="3"/>
      <w:bookmarkEnd w:id="4"/>
      <w:r>
        <w:t xml:space="preserv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clear" w:pos="126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5" w:name="_Toc83977401"/>
      <w:bookmarkStart w:id="6" w:name="_Toc83977520"/>
      <w:r>
        <w:t>Рассмотрение докладов, представленных государствами-участниками в соответствии со статьей 18 Конвенции о ликвидации всех форм дискриминации в отношении женщин</w:t>
      </w:r>
      <w:bookmarkEnd w:id="5"/>
      <w:bookmarkEnd w:id="6"/>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left" w:pos="1276"/>
        </w:tabs>
        <w:ind w:left="794" w:firstLine="0"/>
      </w:pPr>
      <w:r>
        <w:tab/>
      </w:r>
      <w:bookmarkStart w:id="7" w:name="_Toc83977402"/>
      <w:bookmarkStart w:id="8" w:name="_Toc83977521"/>
      <w:r>
        <w:t>Объединенные второй, третий, четвертый и пятый</w:t>
      </w:r>
      <w:r>
        <w:br/>
      </w:r>
      <w:r>
        <w:tab/>
        <w:t>периодические доклады государств-участников</w:t>
      </w:r>
      <w:bookmarkEnd w:id="7"/>
      <w:bookmarkEnd w:id="8"/>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clear" w:pos="126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pacing w:val="4"/>
          <w:sz w:val="24"/>
        </w:rPr>
        <w:tab/>
      </w:r>
      <w:r>
        <w:rPr>
          <w:spacing w:val="4"/>
          <w:sz w:val="24"/>
        </w:rPr>
        <w:tab/>
      </w:r>
      <w:bookmarkStart w:id="9" w:name="_Toc83977403"/>
      <w:bookmarkStart w:id="10" w:name="_Toc83977522"/>
      <w:r>
        <w:t>Малави</w:t>
      </w:r>
      <w:r>
        <w:rPr>
          <w:rStyle w:val="FootnoteReference"/>
          <w:b w:val="0"/>
          <w:sz w:val="20"/>
        </w:rPr>
        <w:footnoteReference w:customMarkFollows="1" w:id="1"/>
        <w:sym w:font="Symbol" w:char="F02A"/>
      </w:r>
      <w:bookmarkEnd w:id="9"/>
      <w:bookmarkEnd w:id="10"/>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jc w:val="center"/>
      </w:pPr>
      <w:r>
        <w:br w:type="page"/>
      </w:r>
    </w:p>
    <w:bookmarkStart w:id="11" w:name="_MON_1157983341"/>
    <w:bookmarkStart w:id="12" w:name="_MON_1157983680"/>
    <w:bookmarkEnd w:id="11"/>
    <w:bookmarkEnd w:id="12"/>
    <w:p w:rsidR="00000000" w:rsidRDefault="00000000">
      <w:pPr>
        <w:pStyle w:val="BankNormal"/>
        <w:spacing w:after="0"/>
        <w:jc w:val="center"/>
      </w:pPr>
      <w:r>
        <w:rPr>
          <w:noProof/>
        </w:rPr>
        <w:object w:dxaOrig="1771" w:dyaOrig="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1.5pt" o:ole="" fillcolor="window">
            <v:imagedata r:id="rId14" o:title=""/>
          </v:shape>
          <o:OLEObject Type="Embed" ProgID="Word.Picture.8" ShapeID="_x0000_i1025" DrawAspect="Content" ObjectID="_1395246296" r:id="rId15"/>
        </w:object>
      </w:r>
    </w:p>
    <w:p w:rsidR="00000000" w:rsidRDefault="00000000">
      <w:pPr>
        <w:pStyle w:val="BankNormal"/>
        <w:spacing w:after="0"/>
        <w:jc w:val="center"/>
        <w:rPr>
          <w:lang w:val="ru-RU"/>
        </w:rPr>
      </w:pPr>
      <w:r>
        <w:rPr>
          <w:lang w:val="ru-RU"/>
        </w:rPr>
        <w:t>Республика Малави</w:t>
      </w:r>
    </w:p>
    <w:p w:rsidR="00000000" w:rsidRDefault="00000000">
      <w:pPr>
        <w:spacing w:line="240" w:lineRule="auto"/>
        <w:jc w:val="center"/>
        <w:rPr>
          <w:b/>
          <w:sz w:val="28"/>
        </w:rPr>
      </w:pPr>
    </w:p>
    <w:p w:rsidR="00000000" w:rsidRDefault="00000000">
      <w:pPr>
        <w:spacing w:line="240" w:lineRule="auto"/>
        <w:jc w:val="center"/>
        <w:rPr>
          <w:b/>
          <w:sz w:val="28"/>
        </w:rPr>
      </w:pPr>
    </w:p>
    <w:p w:rsidR="00000000" w:rsidRDefault="00000000">
      <w:pPr>
        <w:spacing w:line="240" w:lineRule="auto"/>
        <w:jc w:val="center"/>
        <w:rPr>
          <w:b/>
          <w:sz w:val="28"/>
        </w:rPr>
      </w:pPr>
    </w:p>
    <w:p w:rsidR="00000000" w:rsidRDefault="00000000">
      <w:pPr>
        <w:spacing w:line="240" w:lineRule="auto"/>
        <w:jc w:val="center"/>
        <w:rPr>
          <w:b/>
          <w:sz w:val="28"/>
        </w:rPr>
      </w:pPr>
    </w:p>
    <w:p w:rsidR="00000000" w:rsidRDefault="00000000">
      <w:pPr>
        <w:spacing w:line="240" w:lineRule="auto"/>
        <w:jc w:val="center"/>
        <w:rPr>
          <w:b/>
          <w:sz w:val="28"/>
        </w:rPr>
      </w:pPr>
    </w:p>
    <w:p w:rsidR="00000000" w:rsidRDefault="00000000">
      <w:pPr>
        <w:spacing w:line="240" w:lineRule="auto"/>
        <w:jc w:val="center"/>
        <w:rPr>
          <w:b/>
          <w:sz w:val="28"/>
        </w:rPr>
      </w:pPr>
    </w:p>
    <w:p w:rsidR="00000000" w:rsidRDefault="00000000">
      <w:pPr>
        <w:spacing w:line="240" w:lineRule="auto"/>
        <w:jc w:val="center"/>
        <w:rPr>
          <w:b/>
          <w:sz w:val="28"/>
        </w:rPr>
      </w:pPr>
    </w:p>
    <w:p w:rsidR="00000000" w:rsidRDefault="00000000">
      <w:pPr>
        <w:pStyle w:val="BlockText"/>
      </w:pPr>
      <w:r>
        <w:t>ДОКЛАД ДЛЯ КОМИТЕТА ПО ЛИКВИДАЦИИ ВСЕХ ФОРМ ДИСКРИМИНАЦИИ В ОТНОШЕНИИ ЖЕНЩИН, ОХВАТЫВАЮЩИЙ ВТОРОЙ, ТРЕТИЙ, ЧЕТВЕРТЫЙ И ПЯТЫЙ ДОКЛАДЫ</w:t>
      </w: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rPr>
          <w:sz w:val="24"/>
        </w:rPr>
      </w:pPr>
    </w:p>
    <w:p w:rsidR="00000000" w:rsidRDefault="00000000">
      <w:pPr>
        <w:pStyle w:val="BankNormal"/>
        <w:spacing w:after="0" w:line="240" w:lineRule="exact"/>
        <w:rPr>
          <w:spacing w:val="4"/>
          <w:w w:val="103"/>
          <w:kern w:val="14"/>
          <w:lang w:val="ru-RU" w:eastAsia="ru-RU"/>
        </w:rPr>
      </w:pPr>
    </w:p>
    <w:p w:rsidR="00000000" w:rsidRDefault="00000000">
      <w:pPr>
        <w:pStyle w:val="SingleTxt"/>
        <w:spacing w:after="0"/>
      </w:pPr>
      <w:r>
        <w:t xml:space="preserve">Министерство по делам женщин и общественных служб </w:t>
      </w:r>
    </w:p>
    <w:p w:rsidR="00000000" w:rsidRDefault="00000000">
      <w:pPr>
        <w:pStyle w:val="SingleTxt"/>
        <w:spacing w:after="0"/>
        <w:rPr>
          <w:lang w:val="en-US"/>
        </w:rPr>
      </w:pPr>
      <w:r>
        <w:rPr>
          <w:lang w:val="en-US"/>
        </w:rPr>
        <w:t>Ministry of Gender and Community Services,</w:t>
      </w:r>
    </w:p>
    <w:p w:rsidR="00000000" w:rsidRDefault="00000000">
      <w:pPr>
        <w:pStyle w:val="SingleTxt"/>
        <w:spacing w:after="0"/>
        <w:rPr>
          <w:lang w:val="en-US"/>
        </w:rPr>
      </w:pPr>
      <w:r>
        <w:rPr>
          <w:lang w:val="en-US"/>
        </w:rPr>
        <w:t>Private Bag 330,</w:t>
      </w:r>
    </w:p>
    <w:p w:rsidR="00000000" w:rsidRDefault="00000000">
      <w:pPr>
        <w:pStyle w:val="SingleTxt"/>
        <w:spacing w:after="0"/>
        <w:rPr>
          <w:lang w:val="en-US"/>
        </w:rPr>
      </w:pPr>
      <w:r>
        <w:rPr>
          <w:lang w:val="en-US"/>
        </w:rPr>
        <w:t>Lilongwe 3,</w:t>
      </w:r>
    </w:p>
    <w:p w:rsidR="00000000" w:rsidRDefault="00000000">
      <w:pPr>
        <w:pStyle w:val="SingleTxt"/>
        <w:spacing w:after="0"/>
        <w:rPr>
          <w:lang w:val="en-US"/>
        </w:rPr>
      </w:pPr>
      <w:r>
        <w:rPr>
          <w:lang w:val="en-US"/>
        </w:rPr>
        <w:t>Malawi.</w:t>
      </w:r>
    </w:p>
    <w:p w:rsidR="00000000" w:rsidRDefault="00000000">
      <w:pPr>
        <w:pStyle w:val="SingleTxt"/>
        <w:spacing w:after="0"/>
        <w:rPr>
          <w:lang w:val="en-US"/>
        </w:rPr>
      </w:pPr>
    </w:p>
    <w:p w:rsidR="00000000" w:rsidRDefault="00000000">
      <w:pPr>
        <w:pStyle w:val="SingleTxt"/>
        <w:spacing w:after="0"/>
        <w:rPr>
          <w:lang w:val="en-US"/>
        </w:rPr>
      </w:pPr>
      <w:r>
        <w:t>Тел</w:t>
      </w:r>
      <w:r>
        <w:rPr>
          <w:lang w:val="en-US"/>
        </w:rPr>
        <w:t>.:</w:t>
      </w:r>
      <w:r>
        <w:rPr>
          <w:lang w:val="en-US"/>
        </w:rPr>
        <w:tab/>
      </w:r>
      <w:r>
        <w:rPr>
          <w:lang w:val="en-US"/>
        </w:rPr>
        <w:tab/>
        <w:t>265 1 770411/772334/774105</w:t>
      </w:r>
    </w:p>
    <w:p w:rsidR="00000000" w:rsidRDefault="00000000">
      <w:pPr>
        <w:pStyle w:val="SingleTxt"/>
        <w:spacing w:after="0"/>
      </w:pPr>
      <w:r>
        <w:t>Факс:</w:t>
      </w:r>
      <w:r>
        <w:tab/>
        <w:t>265 1 770826/774105</w:t>
      </w:r>
    </w:p>
    <w:p w:rsidR="00000000" w:rsidRDefault="00000000">
      <w:pPr>
        <w:pStyle w:val="SingleTxt"/>
        <w:spacing w:after="0" w:line="240" w:lineRule="auto"/>
        <w:ind w:left="709" w:right="0" w:hanging="709"/>
        <w:jc w:val="left"/>
        <w:rPr>
          <w:sz w:val="10"/>
        </w:rPr>
      </w:pPr>
      <w:r>
        <w:br w:type="page"/>
      </w:r>
    </w:p>
    <w:p w:rsidR="00000000" w:rsidRDefault="00000000">
      <w:pPr>
        <w:pStyle w:val="HCh"/>
        <w:tabs>
          <w:tab w:val="clear" w:pos="126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pPr>
      <w:bookmarkStart w:id="13" w:name="_Toc83977523"/>
      <w:r>
        <w:t>Содержание</w:t>
      </w:r>
      <w:bookmarkEnd w:id="13"/>
    </w:p>
    <w:p w:rsidR="00000000" w:rsidRDefault="00000000">
      <w:pPr>
        <w:pStyle w:val="SingleTxt"/>
        <w:spacing w:after="0" w:line="120" w:lineRule="exact"/>
        <w:rPr>
          <w:sz w:val="10"/>
        </w:rPr>
      </w:pPr>
    </w:p>
    <w:p w:rsidR="00000000" w:rsidRDefault="00000000">
      <w:pPr>
        <w:pStyle w:val="TOC2"/>
        <w:rPr>
          <w:b/>
          <w:caps/>
          <w:sz w:val="24"/>
        </w:rPr>
      </w:pPr>
      <w:r>
        <w:fldChar w:fldCharType="begin"/>
      </w:r>
      <w:r>
        <w:instrText xml:space="preserve"> TOC \h \z \t "_ H_1;2;_ H _Ch;1" </w:instrText>
      </w:r>
      <w:r>
        <w:fldChar w:fldCharType="separate"/>
      </w:r>
    </w:p>
    <w:p w:rsidR="00000000" w:rsidRDefault="00000000">
      <w:pPr>
        <w:pStyle w:val="TOC1"/>
        <w:tabs>
          <w:tab w:val="right" w:leader="dot" w:pos="9838"/>
        </w:tabs>
        <w:rPr>
          <w:b w:val="0"/>
          <w:caps w:val="0"/>
          <w:noProof/>
          <w:sz w:val="24"/>
        </w:rPr>
      </w:pPr>
      <w:hyperlink w:anchor="_Toc83977523" w:history="1">
        <w:r>
          <w:rPr>
            <w:rStyle w:val="Hyperlink"/>
            <w:noProof/>
          </w:rPr>
          <w:t>Содержание</w:t>
        </w:r>
        <w:r>
          <w:rPr>
            <w:noProof/>
          </w:rPr>
          <w:tab/>
        </w:r>
        <w:r>
          <w:rPr>
            <w:noProof/>
          </w:rPr>
          <w:fldChar w:fldCharType="begin"/>
        </w:r>
        <w:r>
          <w:rPr>
            <w:noProof/>
          </w:rPr>
          <w:instrText xml:space="preserve"> PAGEREF _Toc83977523 \h </w:instrText>
        </w:r>
        <w:r>
          <w:rPr>
            <w:noProof/>
          </w:rPr>
        </w:r>
        <w:r>
          <w:rPr>
            <w:noProof/>
          </w:rPr>
          <w:fldChar w:fldCharType="separate"/>
        </w:r>
        <w:r>
          <w:rPr>
            <w:noProof/>
          </w:rPr>
          <w:t>3</w:t>
        </w:r>
        <w:r>
          <w:rPr>
            <w:noProof/>
          </w:rPr>
          <w:fldChar w:fldCharType="end"/>
        </w:r>
      </w:hyperlink>
    </w:p>
    <w:p w:rsidR="00000000" w:rsidRDefault="00000000">
      <w:pPr>
        <w:pStyle w:val="TOC1"/>
        <w:tabs>
          <w:tab w:val="right" w:leader="dot" w:pos="9838"/>
        </w:tabs>
        <w:rPr>
          <w:b w:val="0"/>
          <w:caps w:val="0"/>
          <w:noProof/>
          <w:sz w:val="24"/>
        </w:rPr>
      </w:pPr>
      <w:hyperlink w:anchor="_Toc83977524" w:history="1">
        <w:r>
          <w:rPr>
            <w:rStyle w:val="Hyperlink"/>
            <w:noProof/>
          </w:rPr>
          <w:t>Введение</w:t>
        </w:r>
        <w:r>
          <w:rPr>
            <w:noProof/>
          </w:rPr>
          <w:tab/>
        </w:r>
        <w:r>
          <w:rPr>
            <w:noProof/>
          </w:rPr>
          <w:fldChar w:fldCharType="begin"/>
        </w:r>
        <w:r>
          <w:rPr>
            <w:noProof/>
          </w:rPr>
          <w:instrText xml:space="preserve"> PAGEREF _Toc83977524 \h </w:instrText>
        </w:r>
        <w:r>
          <w:rPr>
            <w:noProof/>
          </w:rPr>
        </w:r>
        <w:r>
          <w:rPr>
            <w:noProof/>
          </w:rPr>
          <w:fldChar w:fldCharType="separate"/>
        </w:r>
        <w:r>
          <w:rPr>
            <w:noProof/>
          </w:rPr>
          <w:t>3</w:t>
        </w:r>
        <w:r>
          <w:rPr>
            <w:noProof/>
          </w:rPr>
          <w:fldChar w:fldCharType="end"/>
        </w:r>
      </w:hyperlink>
    </w:p>
    <w:p w:rsidR="00000000" w:rsidRDefault="00000000">
      <w:pPr>
        <w:pStyle w:val="TOC1"/>
        <w:tabs>
          <w:tab w:val="right" w:leader="dot" w:pos="9838"/>
        </w:tabs>
        <w:rPr>
          <w:b w:val="0"/>
          <w:caps w:val="0"/>
          <w:noProof/>
          <w:sz w:val="24"/>
        </w:rPr>
      </w:pPr>
      <w:hyperlink w:anchor="_Toc83977525" w:history="1">
        <w:r>
          <w:rPr>
            <w:rStyle w:val="Hyperlink"/>
            <w:noProof/>
          </w:rPr>
          <w:t>Часть I: Справочная информация по стране</w:t>
        </w:r>
        <w:r>
          <w:rPr>
            <w:noProof/>
          </w:rPr>
          <w:tab/>
        </w:r>
        <w:r>
          <w:rPr>
            <w:noProof/>
          </w:rPr>
          <w:fldChar w:fldCharType="begin"/>
        </w:r>
        <w:r>
          <w:rPr>
            <w:noProof/>
          </w:rPr>
          <w:instrText xml:space="preserve"> PAGEREF _Toc83977525 \h </w:instrText>
        </w:r>
        <w:r>
          <w:rPr>
            <w:noProof/>
          </w:rPr>
        </w:r>
        <w:r>
          <w:rPr>
            <w:noProof/>
          </w:rPr>
          <w:fldChar w:fldCharType="separate"/>
        </w:r>
        <w:r>
          <w:rPr>
            <w:noProof/>
          </w:rPr>
          <w:t>3</w:t>
        </w:r>
        <w:r>
          <w:rPr>
            <w:noProof/>
          </w:rPr>
          <w:fldChar w:fldCharType="end"/>
        </w:r>
      </w:hyperlink>
    </w:p>
    <w:p w:rsidR="00000000" w:rsidRDefault="00000000">
      <w:pPr>
        <w:pStyle w:val="TOC1"/>
        <w:tabs>
          <w:tab w:val="right" w:leader="dot" w:pos="9838"/>
        </w:tabs>
        <w:rPr>
          <w:b w:val="0"/>
          <w:caps w:val="0"/>
          <w:noProof/>
          <w:sz w:val="24"/>
        </w:rPr>
      </w:pPr>
      <w:hyperlink w:anchor="_Toc83977533" w:history="1">
        <w:r>
          <w:rPr>
            <w:rStyle w:val="Hyperlink"/>
            <w:noProof/>
          </w:rPr>
          <w:t>Часть 2: Достижения, проблемы и реальное положение дел  по статьям</w:t>
        </w:r>
        <w:r>
          <w:rPr>
            <w:noProof/>
          </w:rPr>
          <w:tab/>
        </w:r>
        <w:r>
          <w:rPr>
            <w:noProof/>
          </w:rPr>
          <w:fldChar w:fldCharType="begin"/>
        </w:r>
        <w:r>
          <w:rPr>
            <w:noProof/>
          </w:rPr>
          <w:instrText xml:space="preserve"> PAGEREF _Toc83977533 \h </w:instrText>
        </w:r>
        <w:r>
          <w:rPr>
            <w:noProof/>
          </w:rPr>
        </w:r>
        <w:r>
          <w:rPr>
            <w:noProof/>
          </w:rPr>
          <w:fldChar w:fldCharType="separate"/>
        </w:r>
        <w:r>
          <w:rPr>
            <w:noProof/>
          </w:rPr>
          <w:t>3</w:t>
        </w:r>
        <w:r>
          <w:rPr>
            <w:noProof/>
          </w:rPr>
          <w:fldChar w:fldCharType="end"/>
        </w:r>
      </w:hyperlink>
    </w:p>
    <w:p w:rsidR="00000000" w:rsidRDefault="00000000">
      <w:pPr>
        <w:pStyle w:val="TOC2"/>
        <w:rPr>
          <w:smallCaps w:val="0"/>
          <w:sz w:val="24"/>
        </w:rPr>
      </w:pPr>
      <w:hyperlink w:anchor="_Toc83977534" w:history="1">
        <w:r>
          <w:rPr>
            <w:rStyle w:val="Hyperlink"/>
          </w:rPr>
          <w:t>Статья 1:</w:t>
        </w:r>
        <w:r>
          <w:rPr>
            <w:smallCaps w:val="0"/>
            <w:sz w:val="24"/>
          </w:rPr>
          <w:tab/>
        </w:r>
        <w:r>
          <w:rPr>
            <w:rStyle w:val="Hyperlink"/>
          </w:rPr>
          <w:t>Определение понятия «ди</w:t>
        </w:r>
        <w:bookmarkStart w:id="14" w:name="_Hlt84747073"/>
        <w:r>
          <w:rPr>
            <w:rStyle w:val="Hyperlink"/>
          </w:rPr>
          <w:t>с</w:t>
        </w:r>
        <w:bookmarkEnd w:id="14"/>
        <w:r>
          <w:rPr>
            <w:rStyle w:val="Hyperlink"/>
          </w:rPr>
          <w:t>криминация в отношении женщин»</w:t>
        </w:r>
        <w:r>
          <w:tab/>
        </w:r>
        <w:r>
          <w:fldChar w:fldCharType="begin"/>
        </w:r>
        <w:r>
          <w:instrText xml:space="preserve"> PAGEREF _Toc83977534 \h </w:instrText>
        </w:r>
        <w:r>
          <w:fldChar w:fldCharType="separate"/>
        </w:r>
        <w:r>
          <w:t>3</w:t>
        </w:r>
        <w:r>
          <w:fldChar w:fldCharType="end"/>
        </w:r>
      </w:hyperlink>
    </w:p>
    <w:p w:rsidR="00000000" w:rsidRDefault="00000000">
      <w:pPr>
        <w:pStyle w:val="TOC2"/>
        <w:rPr>
          <w:smallCaps w:val="0"/>
          <w:sz w:val="24"/>
        </w:rPr>
      </w:pPr>
      <w:hyperlink w:anchor="_Toc83977535" w:history="1">
        <w:r>
          <w:rPr>
            <w:rStyle w:val="Hyperlink"/>
          </w:rPr>
          <w:t>Статья 2:</w:t>
        </w:r>
        <w:r>
          <w:rPr>
            <w:smallCaps w:val="0"/>
            <w:sz w:val="24"/>
          </w:rPr>
          <w:tab/>
        </w:r>
        <w:r>
          <w:rPr>
            <w:rStyle w:val="Hyperlink"/>
          </w:rPr>
          <w:t>Обязательства ликвидировать дискриминацию</w:t>
        </w:r>
        <w:r>
          <w:tab/>
        </w:r>
        <w:r>
          <w:fldChar w:fldCharType="begin"/>
        </w:r>
        <w:r>
          <w:instrText xml:space="preserve"> PAGEREF _Toc83977535 \h </w:instrText>
        </w:r>
        <w:r>
          <w:fldChar w:fldCharType="separate"/>
        </w:r>
        <w:r>
          <w:t>3</w:t>
        </w:r>
        <w:r>
          <w:fldChar w:fldCharType="end"/>
        </w:r>
      </w:hyperlink>
    </w:p>
    <w:p w:rsidR="00000000" w:rsidRDefault="00000000">
      <w:pPr>
        <w:pStyle w:val="TOC2"/>
        <w:rPr>
          <w:smallCaps w:val="0"/>
          <w:sz w:val="24"/>
        </w:rPr>
      </w:pPr>
      <w:hyperlink w:anchor="_Toc83977536" w:history="1">
        <w:r>
          <w:rPr>
            <w:rStyle w:val="Hyperlink"/>
          </w:rPr>
          <w:t>Статья 3:</w:t>
        </w:r>
        <w:r>
          <w:rPr>
            <w:smallCaps w:val="0"/>
            <w:sz w:val="24"/>
          </w:rPr>
          <w:tab/>
        </w:r>
        <w:r>
          <w:rPr>
            <w:rStyle w:val="Hyperlink"/>
          </w:rPr>
          <w:t>Соответствующие меры по обеспечению развития и прогресса женщин</w:t>
        </w:r>
        <w:r>
          <w:tab/>
        </w:r>
        <w:r>
          <w:fldChar w:fldCharType="begin"/>
        </w:r>
        <w:r>
          <w:instrText xml:space="preserve"> PAGEREF _Toc83977536 \h </w:instrText>
        </w:r>
        <w:r>
          <w:fldChar w:fldCharType="separate"/>
        </w:r>
        <w:r>
          <w:t>3</w:t>
        </w:r>
        <w:r>
          <w:fldChar w:fldCharType="end"/>
        </w:r>
      </w:hyperlink>
    </w:p>
    <w:p w:rsidR="00000000" w:rsidRDefault="00000000">
      <w:pPr>
        <w:pStyle w:val="TOC2"/>
        <w:rPr>
          <w:smallCaps w:val="0"/>
          <w:sz w:val="24"/>
        </w:rPr>
      </w:pPr>
      <w:hyperlink w:anchor="_Toc83977537" w:history="1">
        <w:r>
          <w:rPr>
            <w:rStyle w:val="Hyperlink"/>
          </w:rPr>
          <w:t>Статья 4:</w:t>
        </w:r>
        <w:r>
          <w:rPr>
            <w:smallCaps w:val="0"/>
            <w:sz w:val="24"/>
          </w:rPr>
          <w:tab/>
        </w:r>
        <w:r>
          <w:rPr>
            <w:rStyle w:val="Hyperlink"/>
          </w:rPr>
          <w:t>Ускорение установления равенства между мужчинами и женщинами</w:t>
        </w:r>
        <w:r>
          <w:tab/>
        </w:r>
        <w:r>
          <w:fldChar w:fldCharType="begin"/>
        </w:r>
        <w:r>
          <w:instrText xml:space="preserve"> PAGEREF _Toc83977537 \h </w:instrText>
        </w:r>
        <w:r>
          <w:fldChar w:fldCharType="separate"/>
        </w:r>
        <w:r>
          <w:t>3</w:t>
        </w:r>
        <w:r>
          <w:fldChar w:fldCharType="end"/>
        </w:r>
      </w:hyperlink>
    </w:p>
    <w:p w:rsidR="00000000" w:rsidRDefault="00000000">
      <w:pPr>
        <w:pStyle w:val="TOC2"/>
        <w:rPr>
          <w:smallCaps w:val="0"/>
          <w:sz w:val="24"/>
        </w:rPr>
      </w:pPr>
      <w:hyperlink w:anchor="_Toc83977538" w:history="1">
        <w:r>
          <w:rPr>
            <w:rStyle w:val="Hyperlink"/>
          </w:rPr>
          <w:t>Статья 5:</w:t>
        </w:r>
        <w:r>
          <w:rPr>
            <w:smallCaps w:val="0"/>
            <w:sz w:val="24"/>
          </w:rPr>
          <w:tab/>
        </w:r>
        <w:r>
          <w:rPr>
            <w:rStyle w:val="Hyperlink"/>
          </w:rPr>
          <w:t>Роль мужчин и женщин и стереотипы</w:t>
        </w:r>
        <w:r>
          <w:tab/>
        </w:r>
        <w:r>
          <w:fldChar w:fldCharType="begin"/>
        </w:r>
        <w:r>
          <w:instrText xml:space="preserve"> PAGEREF _Toc83977538 \h </w:instrText>
        </w:r>
        <w:r>
          <w:fldChar w:fldCharType="separate"/>
        </w:r>
        <w:r>
          <w:t>3</w:t>
        </w:r>
        <w:r>
          <w:fldChar w:fldCharType="end"/>
        </w:r>
      </w:hyperlink>
    </w:p>
    <w:p w:rsidR="00000000" w:rsidRDefault="00000000">
      <w:pPr>
        <w:pStyle w:val="TOC2"/>
        <w:rPr>
          <w:smallCaps w:val="0"/>
          <w:sz w:val="24"/>
        </w:rPr>
      </w:pPr>
      <w:hyperlink w:anchor="_Toc83977539" w:history="1">
        <w:r>
          <w:rPr>
            <w:rStyle w:val="Hyperlink"/>
          </w:rPr>
          <w:t>Статья 6:</w:t>
        </w:r>
        <w:r>
          <w:rPr>
            <w:rStyle w:val="Hyperlink"/>
          </w:rPr>
          <w:tab/>
          <w:t>Эксплуатация женщин</w:t>
        </w:r>
        <w:r>
          <w:tab/>
        </w:r>
        <w:r>
          <w:fldChar w:fldCharType="begin"/>
        </w:r>
        <w:r>
          <w:instrText xml:space="preserve"> PAGEREF _Toc83977539 \h </w:instrText>
        </w:r>
        <w:r>
          <w:fldChar w:fldCharType="separate"/>
        </w:r>
        <w:r>
          <w:t>3</w:t>
        </w:r>
        <w:r>
          <w:fldChar w:fldCharType="end"/>
        </w:r>
      </w:hyperlink>
    </w:p>
    <w:p w:rsidR="00000000" w:rsidRDefault="00000000">
      <w:pPr>
        <w:pStyle w:val="TOC2"/>
        <w:rPr>
          <w:smallCaps w:val="0"/>
          <w:sz w:val="24"/>
        </w:rPr>
      </w:pPr>
      <w:hyperlink w:anchor="_Toc83977540" w:history="1">
        <w:r>
          <w:rPr>
            <w:rStyle w:val="Hyperlink"/>
          </w:rPr>
          <w:t>Статья 7:</w:t>
        </w:r>
        <w:r>
          <w:rPr>
            <w:smallCaps w:val="0"/>
            <w:sz w:val="24"/>
          </w:rPr>
          <w:tab/>
        </w:r>
        <w:r>
          <w:rPr>
            <w:rStyle w:val="Hyperlink"/>
          </w:rPr>
          <w:t>Политическая и общественная жизнь</w:t>
        </w:r>
        <w:r>
          <w:tab/>
        </w:r>
        <w:r>
          <w:fldChar w:fldCharType="begin"/>
        </w:r>
        <w:r>
          <w:instrText xml:space="preserve"> PAGEREF _Toc83977540 \h </w:instrText>
        </w:r>
        <w:r>
          <w:fldChar w:fldCharType="separate"/>
        </w:r>
        <w:r>
          <w:t>3</w:t>
        </w:r>
        <w:r>
          <w:fldChar w:fldCharType="end"/>
        </w:r>
      </w:hyperlink>
    </w:p>
    <w:p w:rsidR="00000000" w:rsidRDefault="00000000">
      <w:pPr>
        <w:pStyle w:val="TOC2"/>
        <w:rPr>
          <w:smallCaps w:val="0"/>
          <w:sz w:val="24"/>
        </w:rPr>
      </w:pPr>
      <w:hyperlink w:anchor="_Toc83977541" w:history="1">
        <w:r>
          <w:rPr>
            <w:rStyle w:val="Hyperlink"/>
          </w:rPr>
          <w:t>Статья 8:</w:t>
        </w:r>
        <w:r>
          <w:rPr>
            <w:smallCaps w:val="0"/>
            <w:sz w:val="24"/>
          </w:rPr>
          <w:tab/>
        </w:r>
        <w:r>
          <w:rPr>
            <w:rStyle w:val="Hyperlink"/>
          </w:rPr>
          <w:t>Представленность и участие на международном уровне</w:t>
        </w:r>
        <w:r>
          <w:tab/>
        </w:r>
        <w:r>
          <w:fldChar w:fldCharType="begin"/>
        </w:r>
        <w:r>
          <w:instrText xml:space="preserve"> PAGEREF _Toc83977541 \h </w:instrText>
        </w:r>
        <w:r>
          <w:fldChar w:fldCharType="separate"/>
        </w:r>
        <w:r>
          <w:t>3</w:t>
        </w:r>
        <w:r>
          <w:fldChar w:fldCharType="end"/>
        </w:r>
      </w:hyperlink>
    </w:p>
    <w:p w:rsidR="00000000" w:rsidRDefault="00000000">
      <w:pPr>
        <w:pStyle w:val="TOC2"/>
        <w:rPr>
          <w:smallCaps w:val="0"/>
          <w:sz w:val="24"/>
        </w:rPr>
      </w:pPr>
      <w:hyperlink w:anchor="_Toc83977542" w:history="1">
        <w:r>
          <w:rPr>
            <w:rStyle w:val="Hyperlink"/>
          </w:rPr>
          <w:t>Статья 9:</w:t>
        </w:r>
        <w:r>
          <w:rPr>
            <w:smallCaps w:val="0"/>
            <w:sz w:val="24"/>
          </w:rPr>
          <w:tab/>
        </w:r>
        <w:r>
          <w:rPr>
            <w:rStyle w:val="Hyperlink"/>
          </w:rPr>
          <w:t>Гражданство</w:t>
        </w:r>
        <w:r>
          <w:tab/>
        </w:r>
        <w:r>
          <w:fldChar w:fldCharType="begin"/>
        </w:r>
        <w:r>
          <w:instrText xml:space="preserve"> PAGEREF _Toc83977542 \h </w:instrText>
        </w:r>
        <w:r>
          <w:fldChar w:fldCharType="separate"/>
        </w:r>
        <w:r>
          <w:t>3</w:t>
        </w:r>
        <w:r>
          <w:fldChar w:fldCharType="end"/>
        </w:r>
      </w:hyperlink>
    </w:p>
    <w:p w:rsidR="00000000" w:rsidRDefault="00000000">
      <w:pPr>
        <w:pStyle w:val="TOC2"/>
        <w:rPr>
          <w:smallCaps w:val="0"/>
          <w:sz w:val="24"/>
        </w:rPr>
      </w:pPr>
      <w:hyperlink w:anchor="_Toc83977543" w:history="1">
        <w:r>
          <w:rPr>
            <w:rStyle w:val="Hyperlink"/>
          </w:rPr>
          <w:t>Статья 10:</w:t>
        </w:r>
        <w:r>
          <w:rPr>
            <w:smallCaps w:val="0"/>
            <w:sz w:val="24"/>
          </w:rPr>
          <w:tab/>
        </w:r>
        <w:r>
          <w:rPr>
            <w:rStyle w:val="Hyperlink"/>
          </w:rPr>
          <w:t>Образование и профессиональная подготовка</w:t>
        </w:r>
        <w:r>
          <w:tab/>
        </w:r>
        <w:r>
          <w:fldChar w:fldCharType="begin"/>
        </w:r>
        <w:r>
          <w:instrText xml:space="preserve"> PAGEREF _Toc83977543 \h </w:instrText>
        </w:r>
        <w:r>
          <w:fldChar w:fldCharType="separate"/>
        </w:r>
        <w:r>
          <w:t>3</w:t>
        </w:r>
        <w:r>
          <w:fldChar w:fldCharType="end"/>
        </w:r>
      </w:hyperlink>
    </w:p>
    <w:p w:rsidR="00000000" w:rsidRDefault="00000000">
      <w:pPr>
        <w:pStyle w:val="TOC2"/>
        <w:rPr>
          <w:smallCaps w:val="0"/>
          <w:sz w:val="24"/>
        </w:rPr>
      </w:pPr>
      <w:hyperlink w:anchor="_Toc83977544" w:history="1">
        <w:r>
          <w:rPr>
            <w:rStyle w:val="Hyperlink"/>
          </w:rPr>
          <w:t>Статья 11:</w:t>
        </w:r>
        <w:r>
          <w:rPr>
            <w:smallCaps w:val="0"/>
            <w:sz w:val="24"/>
          </w:rPr>
          <w:tab/>
        </w:r>
        <w:r>
          <w:rPr>
            <w:rStyle w:val="Hyperlink"/>
          </w:rPr>
          <w:t>Занятость</w:t>
        </w:r>
        <w:r>
          <w:tab/>
        </w:r>
        <w:r>
          <w:fldChar w:fldCharType="begin"/>
        </w:r>
        <w:r>
          <w:instrText xml:space="preserve"> PAGEREF _Toc83977544 \h </w:instrText>
        </w:r>
        <w:r>
          <w:fldChar w:fldCharType="separate"/>
        </w:r>
        <w:r>
          <w:t>3</w:t>
        </w:r>
        <w:r>
          <w:fldChar w:fldCharType="end"/>
        </w:r>
      </w:hyperlink>
    </w:p>
    <w:p w:rsidR="00000000" w:rsidRDefault="00000000">
      <w:pPr>
        <w:pStyle w:val="TOC2"/>
        <w:rPr>
          <w:smallCaps w:val="0"/>
          <w:sz w:val="24"/>
        </w:rPr>
      </w:pPr>
      <w:hyperlink w:anchor="_Toc83977545" w:history="1">
        <w:r>
          <w:rPr>
            <w:rStyle w:val="Hyperlink"/>
          </w:rPr>
          <w:t>Статья 12:</w:t>
        </w:r>
        <w:r>
          <w:rPr>
            <w:smallCaps w:val="0"/>
            <w:sz w:val="24"/>
          </w:rPr>
          <w:tab/>
        </w:r>
        <w:r>
          <w:rPr>
            <w:rStyle w:val="Hyperlink"/>
          </w:rPr>
          <w:t>Здравоохранение и медицинское обслуживание</w:t>
        </w:r>
        <w:r>
          <w:tab/>
        </w:r>
        <w:r>
          <w:fldChar w:fldCharType="begin"/>
        </w:r>
        <w:r>
          <w:instrText xml:space="preserve"> PAGEREF _Toc83977545 \h </w:instrText>
        </w:r>
        <w:r>
          <w:fldChar w:fldCharType="separate"/>
        </w:r>
        <w:r>
          <w:t>3</w:t>
        </w:r>
        <w:r>
          <w:fldChar w:fldCharType="end"/>
        </w:r>
      </w:hyperlink>
    </w:p>
    <w:p w:rsidR="00000000" w:rsidRDefault="00000000">
      <w:pPr>
        <w:pStyle w:val="TOC2"/>
        <w:rPr>
          <w:smallCaps w:val="0"/>
          <w:sz w:val="24"/>
        </w:rPr>
      </w:pPr>
      <w:hyperlink w:anchor="_Toc83977546" w:history="1">
        <w:r>
          <w:rPr>
            <w:rStyle w:val="Hyperlink"/>
          </w:rPr>
          <w:t>Статья 13:</w:t>
        </w:r>
        <w:r>
          <w:rPr>
            <w:smallCaps w:val="0"/>
            <w:sz w:val="24"/>
          </w:rPr>
          <w:tab/>
        </w:r>
        <w:r>
          <w:rPr>
            <w:rStyle w:val="Hyperlink"/>
          </w:rPr>
          <w:t>Социальные и экономические льготы</w:t>
        </w:r>
        <w:r>
          <w:tab/>
        </w:r>
        <w:r>
          <w:fldChar w:fldCharType="begin"/>
        </w:r>
        <w:r>
          <w:instrText xml:space="preserve"> PAGEREF _Toc83977546 \h </w:instrText>
        </w:r>
        <w:r>
          <w:fldChar w:fldCharType="separate"/>
        </w:r>
        <w:r>
          <w:t>3</w:t>
        </w:r>
        <w:r>
          <w:fldChar w:fldCharType="end"/>
        </w:r>
      </w:hyperlink>
    </w:p>
    <w:p w:rsidR="00000000" w:rsidRDefault="00000000">
      <w:pPr>
        <w:pStyle w:val="TOC2"/>
        <w:rPr>
          <w:smallCaps w:val="0"/>
          <w:sz w:val="24"/>
        </w:rPr>
      </w:pPr>
      <w:hyperlink w:anchor="_Toc83977547" w:history="1">
        <w:r>
          <w:rPr>
            <w:rStyle w:val="Hyperlink"/>
          </w:rPr>
          <w:t>Статья 14:</w:t>
        </w:r>
        <w:r>
          <w:rPr>
            <w:smallCaps w:val="0"/>
            <w:sz w:val="24"/>
          </w:rPr>
          <w:tab/>
        </w:r>
        <w:r>
          <w:rPr>
            <w:rStyle w:val="Hyperlink"/>
          </w:rPr>
          <w:t>Сельские женщины</w:t>
        </w:r>
        <w:r>
          <w:tab/>
        </w:r>
        <w:r>
          <w:fldChar w:fldCharType="begin"/>
        </w:r>
        <w:r>
          <w:instrText xml:space="preserve"> PAGEREF _Toc83977547 \h </w:instrText>
        </w:r>
        <w:r>
          <w:fldChar w:fldCharType="separate"/>
        </w:r>
        <w:r>
          <w:t>3</w:t>
        </w:r>
        <w:r>
          <w:fldChar w:fldCharType="end"/>
        </w:r>
      </w:hyperlink>
    </w:p>
    <w:p w:rsidR="00000000" w:rsidRDefault="00000000">
      <w:pPr>
        <w:pStyle w:val="TOC2"/>
        <w:rPr>
          <w:smallCaps w:val="0"/>
          <w:sz w:val="24"/>
        </w:rPr>
      </w:pPr>
      <w:hyperlink w:anchor="_Toc83977548" w:history="1">
        <w:r>
          <w:rPr>
            <w:rStyle w:val="Hyperlink"/>
          </w:rPr>
          <w:t>Статья 15.</w:t>
        </w:r>
        <w:r>
          <w:rPr>
            <w:rStyle w:val="Hyperlink"/>
          </w:rPr>
          <w:tab/>
          <w:t>Равенство перед законом</w:t>
        </w:r>
        <w:r>
          <w:tab/>
        </w:r>
        <w:r>
          <w:fldChar w:fldCharType="begin"/>
        </w:r>
        <w:r>
          <w:instrText xml:space="preserve"> PAGEREF _Toc83977548 \h </w:instrText>
        </w:r>
        <w:r>
          <w:fldChar w:fldCharType="separate"/>
        </w:r>
        <w:r>
          <w:t>3</w:t>
        </w:r>
        <w:r>
          <w:fldChar w:fldCharType="end"/>
        </w:r>
      </w:hyperlink>
    </w:p>
    <w:p w:rsidR="00000000" w:rsidRDefault="00000000">
      <w:pPr>
        <w:pStyle w:val="TOC2"/>
        <w:rPr>
          <w:smallCaps w:val="0"/>
          <w:sz w:val="24"/>
        </w:rPr>
      </w:pPr>
      <w:hyperlink w:anchor="_Toc83977549" w:history="1">
        <w:r>
          <w:rPr>
            <w:rStyle w:val="Hyperlink"/>
          </w:rPr>
          <w:t>Статья 16:</w:t>
        </w:r>
        <w:r>
          <w:rPr>
            <w:rStyle w:val="Hyperlink"/>
          </w:rPr>
          <w:tab/>
          <w:t>Равенство в брачном и семейном праве</w:t>
        </w:r>
        <w:r>
          <w:tab/>
        </w:r>
        <w:r>
          <w:fldChar w:fldCharType="begin"/>
        </w:r>
        <w:r>
          <w:instrText xml:space="preserve"> PAGEREF _Toc83977549 \h </w:instrText>
        </w:r>
        <w:r>
          <w:fldChar w:fldCharType="separate"/>
        </w:r>
        <w:r>
          <w:t>3</w:t>
        </w:r>
        <w:r>
          <w:fldChar w:fldCharType="end"/>
        </w:r>
      </w:hyperlink>
    </w:p>
    <w:p w:rsidR="00000000" w:rsidRDefault="00000000">
      <w:pPr>
        <w:pStyle w:val="TOC2"/>
        <w:spacing w:before="120"/>
        <w:ind w:left="0"/>
        <w:rPr>
          <w:smallCaps w:val="0"/>
          <w:sz w:val="24"/>
        </w:rPr>
      </w:pPr>
      <w:hyperlink w:anchor="_Toc83977550" w:history="1">
        <w:r>
          <w:rPr>
            <w:rStyle w:val="Hyperlink"/>
            <w:b/>
          </w:rPr>
          <w:t>ИСТОЧНИКИ ИНФОРМАЦИИ ДЛЯ ДОКЛАДА</w:t>
        </w:r>
        <w:r>
          <w:tab/>
        </w:r>
        <w:r>
          <w:fldChar w:fldCharType="begin"/>
        </w:r>
        <w:r>
          <w:instrText xml:space="preserve"> PAGEREF _Toc83977550 \h </w:instrText>
        </w:r>
        <w:r>
          <w:fldChar w:fldCharType="separate"/>
        </w:r>
        <w:r>
          <w:t>3</w:t>
        </w:r>
        <w:r>
          <w:fldChar w:fldCharType="end"/>
        </w:r>
      </w:hyperlink>
    </w:p>
    <w:p w:rsidR="00000000" w:rsidRDefault="00000000">
      <w:pPr>
        <w:pStyle w:val="HCh"/>
      </w:pPr>
      <w:r>
        <w:fldChar w:fldCharType="end"/>
      </w:r>
    </w:p>
    <w:p w:rsidR="00000000" w:rsidRDefault="00000000">
      <w:pPr>
        <w:pStyle w:val="HCh"/>
      </w:pPr>
      <w:r>
        <w:br w:type="page"/>
      </w:r>
      <w:bookmarkStart w:id="15" w:name="_Toc83977524"/>
      <w:r>
        <w:t>Введение</w:t>
      </w:r>
      <w:bookmarkEnd w:id="15"/>
    </w:p>
    <w:p w:rsidR="00000000" w:rsidRDefault="00000000">
      <w:pPr>
        <w:pStyle w:val="SingleTxt"/>
      </w:pPr>
      <w:r>
        <w:t>Малави представила свой первоначальный доклад Комитету по ликвидации всех форм расовой дискриминации в отношении женщин в 1988 году. Комитет рассмотрел этот доклад и поправки к нему на своих 154-ом и 158-ом заседан</w:t>
      </w:r>
      <w:r>
        <w:t>и</w:t>
      </w:r>
      <w:r>
        <w:t>ях 23 и 25 января 1990 года.</w:t>
      </w:r>
      <w:r>
        <w:rPr>
          <w:rStyle w:val="FootnoteReference"/>
          <w:sz w:val="20"/>
        </w:rPr>
        <w:footnoteReference w:id="2"/>
      </w:r>
    </w:p>
    <w:p w:rsidR="00000000" w:rsidRDefault="00000000">
      <w:pPr>
        <w:pStyle w:val="SingleTxt"/>
      </w:pPr>
      <w:r>
        <w:t>Последующие второй, третий, четвертый и пятый доклады должны были быть представлены 11 апреля 1992, 1996, 2000 и 2004 годов. По независящим от правительства обстоятельствам три доклада не были представлены в вышеук</w:t>
      </w:r>
      <w:r>
        <w:t>а</w:t>
      </w:r>
      <w:r>
        <w:t>занный срок. Поэтому настоящий доклад охватывает эти три доклада и отче</w:t>
      </w:r>
      <w:r>
        <w:t>т</w:t>
      </w:r>
      <w:r>
        <w:t>ный период 2004 года. Для обеспечения подготовки этого доклада в 2001 году правительство Малави и заинтересованные стороны создали Национальный рабочий комитет по КЛДЖ. В состав этого Комитета вошли десять человек, представляющие различные организации, включая правительство, неправ</w:t>
      </w:r>
      <w:r>
        <w:t>и</w:t>
      </w:r>
      <w:r>
        <w:t>тельственные организации, гражданское общество и частный сектор.</w:t>
      </w:r>
      <w:r>
        <w:rPr>
          <w:rStyle w:val="FootnoteReference"/>
          <w:sz w:val="20"/>
        </w:rPr>
        <w:footnoteReference w:id="3"/>
      </w:r>
      <w:r>
        <w:t xml:space="preserve"> В круг ведения этого комитета входила подготовка национального доклада по КЛДЖ.</w:t>
      </w:r>
    </w:p>
    <w:p w:rsidR="00000000" w:rsidRDefault="00000000">
      <w:pPr>
        <w:pStyle w:val="SingleTxt"/>
      </w:pPr>
      <w:r>
        <w:t>В ходе сбора информации были проведены целенаправленные групповые о</w:t>
      </w:r>
      <w:r>
        <w:t>б</w:t>
      </w:r>
      <w:r>
        <w:t>суждения с отдельными представителями общества, включая 30 групп, в кот</w:t>
      </w:r>
      <w:r>
        <w:t>о</w:t>
      </w:r>
      <w:r>
        <w:t>рые входило по 10 человек, т.е. женщины, мужчины, девушки и юноши, пре</w:t>
      </w:r>
      <w:r>
        <w:t>д</w:t>
      </w:r>
      <w:r>
        <w:t>ставляющие женскую и мужскую часть населения как сельских так и горо</w:t>
      </w:r>
      <w:r>
        <w:t>д</w:t>
      </w:r>
      <w:r>
        <w:t>ских районов. Первый проект доклада был представлен на рабочем совещании заинтересованных сторон, и все сделанные на нем замечания были включены в окончательный вариант доклада.</w:t>
      </w:r>
    </w:p>
    <w:p w:rsidR="00000000" w:rsidRDefault="00000000">
      <w:pPr>
        <w:pStyle w:val="SingleTxt"/>
      </w:pPr>
      <w:r>
        <w:t>При подготовке доклада были учтены установленные КЛДЖ принципы отче</w:t>
      </w:r>
      <w:r>
        <w:t>т</w:t>
      </w:r>
      <w:r>
        <w:t>ности, а также приняты во внимание замечания, сделанные Комитетом по ли</w:t>
      </w:r>
      <w:r>
        <w:t>к</w:t>
      </w:r>
      <w:r>
        <w:t>видации всех форм дискриминации в отношении женщин после рассмотрения первоначального доклада этой страны.</w:t>
      </w:r>
    </w:p>
    <w:p w:rsidR="00000000" w:rsidRDefault="00000000">
      <w:pPr>
        <w:pStyle w:val="SingleTxt"/>
      </w:pPr>
      <w:r>
        <w:t xml:space="preserve">Настоящий доклад состоит из двух частей. В части </w:t>
      </w:r>
      <w:r>
        <w:rPr>
          <w:lang w:val="en-US"/>
        </w:rPr>
        <w:t>I</w:t>
      </w:r>
      <w:r>
        <w:t xml:space="preserve"> представлена справочная информация по Малави, при этом основное внимание уделяется положению женщин в стране. Эта часть была включена в доклад с целью обновления имеющейся информации с учетом того прогресса, которого Малави добилась в области развития и улучшения положения женщин.</w:t>
      </w:r>
    </w:p>
    <w:p w:rsidR="00000000" w:rsidRDefault="00000000">
      <w:pPr>
        <w:pStyle w:val="SingleTxt"/>
      </w:pPr>
      <w:r>
        <w:t xml:space="preserve">Часть </w:t>
      </w:r>
      <w:r>
        <w:rPr>
          <w:lang w:val="en-US"/>
        </w:rPr>
        <w:t>II</w:t>
      </w:r>
      <w:r>
        <w:t xml:space="preserve"> доклада охватывает прогресс, достигнутый в деле осуществления КЛДЖ. В докладе перечислены те правовые, политические и программные м</w:t>
      </w:r>
      <w:r>
        <w:t>е</w:t>
      </w:r>
      <w:r>
        <w:t>ры, которые были приняты страной. Далее в нем рассказывается о реальном положении дел в общинах Малави. Правительство Малави полагает, что пра</w:t>
      </w:r>
      <w:r>
        <w:t>к</w:t>
      </w:r>
      <w:r>
        <w:t>тические знания мужчин, женщин, девушек и юношей в общинах и сделанные ими фактические замечания имеют большое значение для оценки положения в области осуществления женщинами и народом своих прав.</w:t>
      </w:r>
    </w:p>
    <w:p w:rsidR="00000000" w:rsidRDefault="00000000">
      <w:pPr>
        <w:pStyle w:val="HCh"/>
      </w:pPr>
      <w:bookmarkStart w:id="16" w:name="_Toc377350745"/>
      <w:bookmarkStart w:id="17" w:name="_Toc83977525"/>
      <w:r>
        <w:t xml:space="preserve">Часть I: </w:t>
      </w:r>
      <w:bookmarkEnd w:id="16"/>
      <w:r>
        <w:t>Справочная информация по стране</w:t>
      </w:r>
      <w:bookmarkEnd w:id="17"/>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SingleTxt"/>
      </w:pPr>
      <w:r>
        <w:t>В этой части вкратце описывается общая социальная, экономическая, полит</w:t>
      </w:r>
      <w:r>
        <w:t>и</w:t>
      </w:r>
      <w:r>
        <w:t>ческая и правовая основа Малави. Это – те рамки, в которых Малави осущес</w:t>
      </w:r>
      <w:r>
        <w:t>т</w:t>
      </w:r>
      <w:r>
        <w:t>вляет положение Конвенции о ликвидации всех форм дискриминации в отн</w:t>
      </w:r>
      <w:r>
        <w:t>о</w:t>
      </w:r>
      <w:r>
        <w:t>шении женщин. В этой части доклада показано, что данная страна является о</w:t>
      </w:r>
      <w:r>
        <w:t>д</w:t>
      </w:r>
      <w:r>
        <w:t>ной из самых бедных в мире. Представленная информация говорит также о том, что в стране существует определенное неравенство между мужчинами и женщинами, что не позволяет женщинам наравне с мужчинами в полной мере польз</w:t>
      </w:r>
      <w:r>
        <w:t>о</w:t>
      </w:r>
      <w:r>
        <w:t>ваться своими правами человека.</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Ch"/>
      </w:pPr>
      <w:bookmarkStart w:id="18" w:name="_Toc83977407"/>
      <w:bookmarkStart w:id="19" w:name="_Toc83977526"/>
      <w:r>
        <w:t>1.</w:t>
      </w:r>
      <w:r>
        <w:tab/>
        <w:t>Введение</w:t>
      </w:r>
      <w:bookmarkEnd w:id="18"/>
      <w:bookmarkEnd w:id="19"/>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SingleTxt"/>
      </w:pPr>
      <w:r>
        <w:t>Согласно данным переписи населения 1998 года, население Малави составляет 9,9 млн. человек, из которых 51</w:t>
      </w:r>
      <w:r>
        <w:rPr>
          <w:sz w:val="18"/>
        </w:rPr>
        <w:t> процент </w:t>
      </w:r>
      <w:r>
        <w:t>– женщины, а прирост населения ме</w:t>
      </w:r>
      <w:r>
        <w:t>ж</w:t>
      </w:r>
      <w:r>
        <w:t>ду двумя последними переписями населения достиг 2 процентов.</w:t>
      </w:r>
      <w:r>
        <w:rPr>
          <w:rStyle w:val="FootnoteReference"/>
          <w:sz w:val="20"/>
        </w:rPr>
        <w:footnoteReference w:id="4"/>
      </w:r>
      <w:r>
        <w:t xml:space="preserve"> Это означ</w:t>
      </w:r>
      <w:r>
        <w:t>а</w:t>
      </w:r>
      <w:r>
        <w:t>ет, что на каждые 96 мужчин приходится 100 женщин. По оценкам, плотность населения в 2000 году составляла 105 человек по сравнению с 85 человеками на кв. кил</w:t>
      </w:r>
      <w:r>
        <w:t>о</w:t>
      </w:r>
      <w:r>
        <w:t xml:space="preserve">метр в 1987 году. </w:t>
      </w:r>
    </w:p>
    <w:p w:rsidR="00000000" w:rsidRDefault="00000000">
      <w:pPr>
        <w:pStyle w:val="SingleTxt"/>
      </w:pPr>
      <w:r>
        <w:t>Малави является одной из самых бедных стран в мире и из 173</w:t>
      </w:r>
      <w:r>
        <w:rPr>
          <w:rStyle w:val="FootnoteReference"/>
          <w:sz w:val="20"/>
        </w:rPr>
        <w:footnoteReference w:id="5"/>
      </w:r>
      <w:r>
        <w:t xml:space="preserve"> стран занимает 163 место с индексом развития в 0,400, согласно данным доклада об индексе развития людских ресурсов за 2002 год</w:t>
      </w:r>
      <w:r>
        <w:rPr>
          <w:rStyle w:val="FootnoteReference"/>
          <w:sz w:val="20"/>
        </w:rPr>
        <w:footnoteReference w:id="6"/>
      </w:r>
      <w:r>
        <w:t>, что ниже чем в 1995 году, когда Мал</w:t>
      </w:r>
      <w:r>
        <w:t>а</w:t>
      </w:r>
      <w:r>
        <w:t>ви занимала 90-е место, а ее индекс составлял 0,62. Эта страна в основном с</w:t>
      </w:r>
      <w:r>
        <w:t>о</w:t>
      </w:r>
      <w:r>
        <w:t>стоит из сельских районов и зависит от сельского хозяйства. В сельских ра</w:t>
      </w:r>
      <w:r>
        <w:t>й</w:t>
      </w:r>
      <w:r>
        <w:t>онах, где из каждых 10 человек проживает 9, практически повсеместно царит нищета; 22 из 100 человек не имеют доступа к санитарно-гигиеническим усл</w:t>
      </w:r>
      <w:r>
        <w:t>о</w:t>
      </w:r>
      <w:r>
        <w:t>виям. По разнице в положении богатых и бедных эта страна занимает третье место в мире, при этом коэффициент Джини составляет 0,88. Примерно 3 из каждых 5 человек не могут расходовать в месяц более 600 квач.</w:t>
      </w:r>
      <w:r>
        <w:rPr>
          <w:rStyle w:val="FootnoteReference"/>
          <w:sz w:val="20"/>
        </w:rPr>
        <w:footnoteReference w:id="7"/>
      </w:r>
      <w:r>
        <w:t xml:space="preserve"> Инфляция по прежнему остается высокой, ее уровень колебался от 9,1</w:t>
      </w:r>
      <w:r>
        <w:rPr>
          <w:sz w:val="18"/>
        </w:rPr>
        <w:t xml:space="preserve"> процента </w:t>
      </w:r>
      <w:r>
        <w:t>в 1997 до 83,1</w:t>
      </w:r>
      <w:r>
        <w:rPr>
          <w:lang w:val="en-US"/>
        </w:rPr>
        <w:t> </w:t>
      </w:r>
      <w:r>
        <w:t>процента, 44,8 процента и 29,6 процента в 1995, 1999 и 2000 годах соо</w:t>
      </w:r>
      <w:r>
        <w:t>т</w:t>
      </w:r>
      <w:r>
        <w:t>ветстве</w:t>
      </w:r>
      <w:r>
        <w:t>н</w:t>
      </w:r>
      <w:r>
        <w:t>но.</w:t>
      </w:r>
      <w:r>
        <w:rPr>
          <w:rStyle w:val="FootnoteReference"/>
          <w:sz w:val="20"/>
        </w:rPr>
        <w:footnoteReference w:id="8"/>
      </w:r>
      <w:r>
        <w:t xml:space="preserve"> См. разделы ниже.</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Ch"/>
        <w:tabs>
          <w:tab w:val="clear" w:pos="126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0" w:name="_Toc83977408"/>
      <w:bookmarkStart w:id="21" w:name="_Toc83977527"/>
      <w:r>
        <w:tab/>
        <w:t>2.</w:t>
      </w:r>
      <w:r>
        <w:tab/>
        <w:t>Земля и население</w:t>
      </w:r>
      <w:bookmarkEnd w:id="20"/>
      <w:bookmarkEnd w:id="21"/>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Сведения об истории, физических характеристиках, размере, а также системе управления, существовавшей до демократического режима, можно найти в первоначальном до</w:t>
      </w:r>
      <w:r>
        <w:t>к</w:t>
      </w:r>
      <w:r>
        <w:t>ладе, представленном в 1988 году.</w:t>
      </w:r>
    </w:p>
    <w:tbl>
      <w:tblPr>
        <w:tblW w:w="0" w:type="auto"/>
        <w:tblInd w:w="1238" w:type="dxa"/>
        <w:tblLayout w:type="fixed"/>
        <w:tblCellMar>
          <w:left w:w="28" w:type="dxa"/>
          <w:right w:w="28" w:type="dxa"/>
        </w:tblCellMar>
        <w:tblLook w:val="0000" w:firstRow="0" w:lastRow="0" w:firstColumn="0" w:lastColumn="0" w:noHBand="0" w:noVBand="0"/>
      </w:tblPr>
      <w:tblGrid>
        <w:gridCol w:w="3148"/>
        <w:gridCol w:w="16"/>
        <w:gridCol w:w="1049"/>
        <w:gridCol w:w="12"/>
        <w:gridCol w:w="1054"/>
        <w:gridCol w:w="8"/>
        <w:gridCol w:w="1062"/>
        <w:gridCol w:w="1066"/>
      </w:tblGrid>
      <w:tr w:rsidR="00000000">
        <w:tblPrEx>
          <w:tblCellMar>
            <w:top w:w="0" w:type="dxa"/>
            <w:bottom w:w="0" w:type="dxa"/>
          </w:tblCellMar>
        </w:tblPrEx>
        <w:trPr>
          <w:cantSplit/>
        </w:trPr>
        <w:tc>
          <w:tcPr>
            <w:tcW w:w="3164" w:type="dxa"/>
            <w:gridSpan w:val="2"/>
            <w:vMerge w:val="restart"/>
            <w:tcBorders>
              <w:top w:val="single" w:sz="4" w:space="0" w:color="auto"/>
            </w:tcBorders>
            <w:vAlign w:val="center"/>
          </w:tcPr>
          <w:p w:rsidR="00000000" w:rsidRDefault="00000000">
            <w:pPr>
              <w:pStyle w:val="Footer"/>
              <w:keepNext/>
              <w:spacing w:before="10"/>
              <w:jc w:val="center"/>
              <w:rPr>
                <w:rFonts w:eastAsia="Arial Unicode MS"/>
                <w:b w:val="0"/>
                <w:i/>
              </w:rPr>
            </w:pPr>
            <w:r>
              <w:rPr>
                <w:rFonts w:eastAsia="Arial Unicode MS"/>
                <w:b w:val="0"/>
                <w:i/>
              </w:rPr>
              <w:t>Показатель</w:t>
            </w:r>
          </w:p>
        </w:tc>
        <w:tc>
          <w:tcPr>
            <w:tcW w:w="4251" w:type="dxa"/>
            <w:gridSpan w:val="6"/>
            <w:tcBorders>
              <w:top w:val="single" w:sz="4" w:space="0" w:color="auto"/>
              <w:bottom w:val="single" w:sz="4" w:space="0" w:color="auto"/>
            </w:tcBorders>
            <w:vAlign w:val="center"/>
          </w:tcPr>
          <w:p w:rsidR="00000000" w:rsidRDefault="00000000">
            <w:pPr>
              <w:keepNext/>
              <w:spacing w:before="10" w:line="240" w:lineRule="auto"/>
              <w:jc w:val="center"/>
              <w:rPr>
                <w:rFonts w:eastAsia="Arial Unicode MS"/>
                <w:i/>
                <w:sz w:val="17"/>
              </w:rPr>
            </w:pPr>
            <w:r>
              <w:rPr>
                <w:rFonts w:eastAsia="Arial Unicode MS"/>
                <w:i/>
                <w:sz w:val="17"/>
              </w:rPr>
              <w:t>Распределение</w:t>
            </w:r>
          </w:p>
        </w:tc>
      </w:tr>
      <w:tr w:rsidR="00000000">
        <w:tblPrEx>
          <w:tblCellMar>
            <w:top w:w="0" w:type="dxa"/>
            <w:bottom w:w="0" w:type="dxa"/>
          </w:tblCellMar>
        </w:tblPrEx>
        <w:trPr>
          <w:cantSplit/>
        </w:trPr>
        <w:tc>
          <w:tcPr>
            <w:tcW w:w="3164" w:type="dxa"/>
            <w:gridSpan w:val="2"/>
            <w:vMerge/>
            <w:tcBorders>
              <w:bottom w:val="single" w:sz="12" w:space="0" w:color="auto"/>
            </w:tcBorders>
            <w:vAlign w:val="center"/>
          </w:tcPr>
          <w:p w:rsidR="00000000" w:rsidRDefault="00000000">
            <w:pPr>
              <w:pStyle w:val="Footer"/>
              <w:keepNext/>
              <w:tabs>
                <w:tab w:val="clear" w:pos="4320"/>
                <w:tab w:val="clear" w:pos="8640"/>
              </w:tabs>
              <w:spacing w:before="10"/>
              <w:rPr>
                <w:rFonts w:eastAsia="Arial Unicode MS"/>
                <w:smallCaps/>
                <w:noProof w:val="0"/>
                <w:snapToGrid w:val="0"/>
                <w:spacing w:val="4"/>
                <w:w w:val="103"/>
                <w:kern w:val="14"/>
              </w:rPr>
            </w:pPr>
          </w:p>
        </w:tc>
        <w:tc>
          <w:tcPr>
            <w:tcW w:w="1061" w:type="dxa"/>
            <w:gridSpan w:val="2"/>
            <w:tcBorders>
              <w:top w:val="single" w:sz="4" w:space="0" w:color="auto"/>
              <w:bottom w:val="single" w:sz="12" w:space="0" w:color="auto"/>
            </w:tcBorders>
            <w:vAlign w:val="center"/>
          </w:tcPr>
          <w:p w:rsidR="00000000" w:rsidRDefault="00000000">
            <w:pPr>
              <w:keepNext/>
              <w:spacing w:before="10" w:line="240" w:lineRule="auto"/>
              <w:jc w:val="center"/>
              <w:rPr>
                <w:rFonts w:eastAsia="Arial Unicode MS"/>
                <w:i/>
                <w:sz w:val="17"/>
              </w:rPr>
            </w:pPr>
            <w:r>
              <w:rPr>
                <w:rFonts w:eastAsia="Arial Unicode MS"/>
                <w:i/>
                <w:sz w:val="17"/>
              </w:rPr>
              <w:t>Женщ</w:t>
            </w:r>
            <w:r>
              <w:rPr>
                <w:rFonts w:eastAsia="Arial Unicode MS"/>
                <w:i/>
                <w:sz w:val="17"/>
              </w:rPr>
              <w:t>и</w:t>
            </w:r>
            <w:r>
              <w:rPr>
                <w:rFonts w:eastAsia="Arial Unicode MS"/>
                <w:i/>
                <w:sz w:val="17"/>
              </w:rPr>
              <w:t>ны</w:t>
            </w:r>
          </w:p>
        </w:tc>
        <w:tc>
          <w:tcPr>
            <w:tcW w:w="1062" w:type="dxa"/>
            <w:gridSpan w:val="2"/>
            <w:tcBorders>
              <w:top w:val="single" w:sz="4" w:space="0" w:color="auto"/>
              <w:bottom w:val="single" w:sz="12" w:space="0" w:color="auto"/>
            </w:tcBorders>
            <w:vAlign w:val="center"/>
          </w:tcPr>
          <w:p w:rsidR="00000000" w:rsidRDefault="00000000">
            <w:pPr>
              <w:keepNext/>
              <w:spacing w:before="10" w:line="240" w:lineRule="auto"/>
              <w:jc w:val="center"/>
              <w:rPr>
                <w:rFonts w:eastAsia="Arial Unicode MS"/>
                <w:i/>
                <w:sz w:val="17"/>
              </w:rPr>
            </w:pPr>
            <w:r>
              <w:rPr>
                <w:rFonts w:eastAsia="Arial Unicode MS"/>
                <w:i/>
                <w:sz w:val="17"/>
              </w:rPr>
              <w:t>Год</w:t>
            </w:r>
          </w:p>
        </w:tc>
        <w:tc>
          <w:tcPr>
            <w:tcW w:w="1062" w:type="dxa"/>
            <w:tcBorders>
              <w:top w:val="single" w:sz="4" w:space="0" w:color="auto"/>
              <w:bottom w:val="single" w:sz="12" w:space="0" w:color="auto"/>
            </w:tcBorders>
            <w:vAlign w:val="center"/>
          </w:tcPr>
          <w:p w:rsidR="00000000" w:rsidRDefault="00000000">
            <w:pPr>
              <w:keepNext/>
              <w:spacing w:before="10" w:line="240" w:lineRule="auto"/>
              <w:jc w:val="center"/>
              <w:rPr>
                <w:rFonts w:eastAsia="Arial Unicode MS"/>
                <w:i/>
                <w:sz w:val="17"/>
              </w:rPr>
            </w:pPr>
            <w:r>
              <w:rPr>
                <w:rFonts w:eastAsia="Arial Unicode MS"/>
                <w:i/>
                <w:sz w:val="17"/>
              </w:rPr>
              <w:t>Мужч</w:t>
            </w:r>
            <w:r>
              <w:rPr>
                <w:rFonts w:eastAsia="Arial Unicode MS"/>
                <w:i/>
                <w:sz w:val="17"/>
              </w:rPr>
              <w:t>и</w:t>
            </w:r>
            <w:r>
              <w:rPr>
                <w:rFonts w:eastAsia="Arial Unicode MS"/>
                <w:i/>
                <w:sz w:val="17"/>
              </w:rPr>
              <w:t>ны</w:t>
            </w:r>
          </w:p>
        </w:tc>
        <w:tc>
          <w:tcPr>
            <w:tcW w:w="1066" w:type="dxa"/>
            <w:tcBorders>
              <w:top w:val="single" w:sz="4" w:space="0" w:color="auto"/>
              <w:bottom w:val="single" w:sz="12" w:space="0" w:color="auto"/>
            </w:tcBorders>
            <w:vAlign w:val="center"/>
          </w:tcPr>
          <w:p w:rsidR="00000000" w:rsidRDefault="00000000">
            <w:pPr>
              <w:keepNext/>
              <w:spacing w:before="10" w:line="240" w:lineRule="auto"/>
              <w:jc w:val="center"/>
              <w:rPr>
                <w:rFonts w:eastAsia="Arial Unicode MS"/>
                <w:i/>
                <w:sz w:val="17"/>
              </w:rPr>
            </w:pPr>
            <w:r>
              <w:rPr>
                <w:rFonts w:eastAsia="Arial Unicode MS"/>
                <w:i/>
                <w:sz w:val="17"/>
              </w:rPr>
              <w:t>Год</w:t>
            </w:r>
          </w:p>
        </w:tc>
      </w:tr>
      <w:tr w:rsidR="00000000">
        <w:tblPrEx>
          <w:tblCellMar>
            <w:top w:w="0" w:type="dxa"/>
            <w:bottom w:w="0" w:type="dxa"/>
          </w:tblCellMar>
        </w:tblPrEx>
        <w:trPr>
          <w:cantSplit/>
        </w:trPr>
        <w:tc>
          <w:tcPr>
            <w:tcW w:w="3164" w:type="dxa"/>
            <w:gridSpan w:val="2"/>
            <w:tcBorders>
              <w:top w:val="single" w:sz="12" w:space="0" w:color="auto"/>
            </w:tcBorders>
          </w:tcPr>
          <w:p w:rsidR="00000000" w:rsidRDefault="00000000">
            <w:pPr>
              <w:pStyle w:val="Heading5"/>
              <w:spacing w:before="10" w:line="240" w:lineRule="auto"/>
              <w:rPr>
                <w:snapToGrid/>
              </w:rPr>
            </w:pPr>
            <w:r>
              <w:rPr>
                <w:snapToGrid/>
              </w:rPr>
              <w:t>Здравоохранение</w:t>
            </w:r>
          </w:p>
        </w:tc>
        <w:tc>
          <w:tcPr>
            <w:tcW w:w="1061" w:type="dxa"/>
            <w:gridSpan w:val="2"/>
            <w:tcBorders>
              <w:top w:val="single" w:sz="12" w:space="0" w:color="auto"/>
            </w:tcBorders>
          </w:tcPr>
          <w:p w:rsidR="00000000" w:rsidRDefault="00000000">
            <w:pPr>
              <w:keepNext/>
              <w:spacing w:before="10" w:line="240" w:lineRule="auto"/>
              <w:jc w:val="center"/>
              <w:rPr>
                <w:rFonts w:eastAsia="Arial Unicode MS"/>
                <w:sz w:val="17"/>
              </w:rPr>
            </w:pPr>
          </w:p>
        </w:tc>
        <w:tc>
          <w:tcPr>
            <w:tcW w:w="1062" w:type="dxa"/>
            <w:gridSpan w:val="2"/>
            <w:tcBorders>
              <w:top w:val="single" w:sz="12" w:space="0" w:color="auto"/>
            </w:tcBorders>
          </w:tcPr>
          <w:p w:rsidR="00000000" w:rsidRDefault="00000000">
            <w:pPr>
              <w:keepNext/>
              <w:spacing w:before="10" w:line="240" w:lineRule="auto"/>
              <w:jc w:val="center"/>
              <w:rPr>
                <w:rFonts w:eastAsia="Arial Unicode MS"/>
                <w:snapToGrid w:val="0"/>
                <w:sz w:val="17"/>
              </w:rPr>
            </w:pPr>
          </w:p>
        </w:tc>
        <w:tc>
          <w:tcPr>
            <w:tcW w:w="1062" w:type="dxa"/>
            <w:tcBorders>
              <w:top w:val="single" w:sz="12" w:space="0" w:color="auto"/>
            </w:tcBorders>
          </w:tcPr>
          <w:p w:rsidR="00000000" w:rsidRDefault="00000000">
            <w:pPr>
              <w:keepNext/>
              <w:spacing w:before="10" w:line="240" w:lineRule="auto"/>
              <w:jc w:val="center"/>
              <w:rPr>
                <w:rFonts w:eastAsia="Arial Unicode MS"/>
                <w:snapToGrid w:val="0"/>
                <w:sz w:val="17"/>
              </w:rPr>
            </w:pPr>
          </w:p>
        </w:tc>
        <w:tc>
          <w:tcPr>
            <w:tcW w:w="1066" w:type="dxa"/>
            <w:tcBorders>
              <w:top w:val="single" w:sz="12" w:space="0" w:color="auto"/>
            </w:tcBorders>
          </w:tcPr>
          <w:p w:rsidR="00000000" w:rsidRDefault="00000000">
            <w:pPr>
              <w:keepNext/>
              <w:spacing w:before="10" w:line="240" w:lineRule="auto"/>
              <w:jc w:val="center"/>
              <w:rPr>
                <w:rFonts w:eastAsia="Arial Unicode MS"/>
                <w:snapToGrid w:val="0"/>
                <w:sz w:val="17"/>
              </w:rPr>
            </w:pP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b/>
                <w:sz w:val="17"/>
              </w:rPr>
            </w:pPr>
            <w:r>
              <w:rPr>
                <w:rFonts w:eastAsia="Arial Unicode MS"/>
                <w:snapToGrid w:val="0"/>
                <w:sz w:val="17"/>
              </w:rPr>
              <w:t>Средняя продолжительность жизни при рождении</w:t>
            </w:r>
          </w:p>
        </w:tc>
        <w:tc>
          <w:tcPr>
            <w:tcW w:w="1061" w:type="dxa"/>
            <w:gridSpan w:val="2"/>
            <w:vAlign w:val="bottom"/>
          </w:tcPr>
          <w:p w:rsidR="00000000" w:rsidRDefault="00000000">
            <w:pPr>
              <w:keepNext/>
              <w:spacing w:before="10" w:line="240" w:lineRule="auto"/>
              <w:ind w:right="185"/>
              <w:jc w:val="right"/>
              <w:rPr>
                <w:rFonts w:eastAsia="Arial Unicode MS"/>
                <w:sz w:val="17"/>
              </w:rPr>
            </w:pPr>
            <w:r>
              <w:rPr>
                <w:rFonts w:eastAsia="Arial Unicode MS"/>
                <w:sz w:val="17"/>
              </w:rPr>
              <w:t>44</w:t>
            </w:r>
          </w:p>
        </w:tc>
        <w:tc>
          <w:tcPr>
            <w:tcW w:w="1062" w:type="dxa"/>
            <w:gridSpan w:val="2"/>
            <w:vAlign w:val="bottom"/>
          </w:tcPr>
          <w:p w:rsidR="00000000" w:rsidRDefault="00000000">
            <w:pPr>
              <w:keepNext/>
              <w:spacing w:before="10" w:line="240" w:lineRule="auto"/>
              <w:ind w:right="185"/>
              <w:jc w:val="right"/>
              <w:rPr>
                <w:rFonts w:eastAsia="Arial Unicode MS"/>
                <w:snapToGrid w:val="0"/>
                <w:sz w:val="17"/>
              </w:rPr>
            </w:pPr>
            <w:r>
              <w:rPr>
                <w:rFonts w:eastAsia="Arial Unicode MS"/>
                <w:snapToGrid w:val="0"/>
                <w:sz w:val="17"/>
              </w:rPr>
              <w:t>1988</w:t>
            </w:r>
          </w:p>
        </w:tc>
        <w:tc>
          <w:tcPr>
            <w:tcW w:w="1062" w:type="dxa"/>
            <w:vAlign w:val="bottom"/>
          </w:tcPr>
          <w:p w:rsidR="00000000" w:rsidRDefault="00000000">
            <w:pPr>
              <w:keepNext/>
              <w:spacing w:before="10" w:line="240" w:lineRule="auto"/>
              <w:ind w:right="185"/>
              <w:jc w:val="right"/>
              <w:rPr>
                <w:rFonts w:eastAsia="Arial Unicode MS"/>
                <w:snapToGrid w:val="0"/>
                <w:sz w:val="17"/>
              </w:rPr>
            </w:pPr>
            <w:r>
              <w:rPr>
                <w:rFonts w:eastAsia="Arial Unicode MS"/>
                <w:snapToGrid w:val="0"/>
                <w:sz w:val="17"/>
              </w:rPr>
              <w:t>40</w:t>
            </w:r>
          </w:p>
        </w:tc>
        <w:tc>
          <w:tcPr>
            <w:tcW w:w="1066" w:type="dxa"/>
            <w:vAlign w:val="bottom"/>
          </w:tcPr>
          <w:p w:rsidR="00000000" w:rsidRDefault="00000000">
            <w:pPr>
              <w:keepNext/>
              <w:spacing w:before="10" w:line="240" w:lineRule="auto"/>
              <w:ind w:right="185"/>
              <w:jc w:val="right"/>
              <w:rPr>
                <w:rFonts w:eastAsia="Arial Unicode MS"/>
                <w:snapToGrid w:val="0"/>
                <w:sz w:val="17"/>
              </w:rPr>
            </w:pPr>
            <w:r>
              <w:rPr>
                <w:rFonts w:eastAsia="Arial Unicode MS"/>
                <w:snapToGrid w:val="0"/>
                <w:sz w:val="17"/>
              </w:rPr>
              <w:t>2000</w:t>
            </w: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snapToGrid w:val="0"/>
                <w:sz w:val="17"/>
              </w:rPr>
            </w:pPr>
            <w:r>
              <w:rPr>
                <w:rFonts w:eastAsia="Arial Unicode MS"/>
                <w:sz w:val="17"/>
              </w:rPr>
              <w:t>Общий коэффициент рождаемости (на 1 000 чел</w:t>
            </w:r>
            <w:r>
              <w:rPr>
                <w:rFonts w:eastAsia="Arial Unicode MS"/>
                <w:sz w:val="17"/>
              </w:rPr>
              <w:t>о</w:t>
            </w:r>
            <w:r>
              <w:rPr>
                <w:rFonts w:eastAsia="Arial Unicode MS"/>
                <w:sz w:val="17"/>
              </w:rPr>
              <w:t>век)</w:t>
            </w:r>
          </w:p>
        </w:tc>
        <w:tc>
          <w:tcPr>
            <w:tcW w:w="4251" w:type="dxa"/>
            <w:gridSpan w:val="6"/>
            <w:vAlign w:val="bottom"/>
          </w:tcPr>
          <w:p w:rsidR="00000000" w:rsidRDefault="00000000">
            <w:pPr>
              <w:keepNext/>
              <w:spacing w:before="10" w:line="240" w:lineRule="auto"/>
              <w:ind w:right="1815"/>
              <w:jc w:val="right"/>
              <w:rPr>
                <w:rFonts w:eastAsia="Arial Unicode MS"/>
                <w:snapToGrid w:val="0"/>
                <w:sz w:val="17"/>
              </w:rPr>
            </w:pPr>
            <w:r>
              <w:rPr>
                <w:rFonts w:eastAsia="Arial Unicode MS"/>
                <w:sz w:val="17"/>
              </w:rPr>
              <w:t>37,9 (</w:t>
            </w:r>
            <w:r>
              <w:rPr>
                <w:rFonts w:eastAsia="Arial Unicode MS"/>
                <w:snapToGrid w:val="0"/>
                <w:sz w:val="17"/>
              </w:rPr>
              <w:t>1999)</w:t>
            </w: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Процент детей с недостаточным в</w:t>
            </w:r>
            <w:r>
              <w:rPr>
                <w:rFonts w:eastAsia="Arial Unicode MS"/>
                <w:sz w:val="17"/>
              </w:rPr>
              <w:t>е</w:t>
            </w:r>
            <w:r>
              <w:rPr>
                <w:rFonts w:eastAsia="Arial Unicode MS"/>
                <w:sz w:val="17"/>
              </w:rPr>
              <w:t>сом в возрасте до 5 лет (с ярко выр</w:t>
            </w:r>
            <w:r>
              <w:rPr>
                <w:rFonts w:eastAsia="Arial Unicode MS"/>
                <w:sz w:val="17"/>
              </w:rPr>
              <w:t>а</w:t>
            </w:r>
            <w:r>
              <w:rPr>
                <w:rFonts w:eastAsia="Arial Unicode MS"/>
                <w:sz w:val="17"/>
              </w:rPr>
              <w:t>женной дистрофией)</w:t>
            </w:r>
          </w:p>
        </w:tc>
        <w:tc>
          <w:tcPr>
            <w:tcW w:w="4251" w:type="dxa"/>
            <w:gridSpan w:val="6"/>
            <w:vAlign w:val="bottom"/>
          </w:tcPr>
          <w:p w:rsidR="00000000" w:rsidRDefault="00000000">
            <w:pPr>
              <w:keepNext/>
              <w:spacing w:before="10" w:line="240" w:lineRule="auto"/>
              <w:ind w:right="1815"/>
              <w:jc w:val="right"/>
              <w:rPr>
                <w:rFonts w:eastAsia="Arial Unicode MS"/>
                <w:snapToGrid w:val="0"/>
                <w:sz w:val="17"/>
              </w:rPr>
            </w:pPr>
            <w:r>
              <w:rPr>
                <w:rFonts w:eastAsia="Arial Unicode MS"/>
                <w:snapToGrid w:val="0"/>
                <w:sz w:val="17"/>
              </w:rPr>
              <w:t>5,9 (2000)</w:t>
            </w: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Процент детей с явно приостано</w:t>
            </w:r>
            <w:r>
              <w:rPr>
                <w:rFonts w:eastAsia="Arial Unicode MS"/>
                <w:sz w:val="17"/>
              </w:rPr>
              <w:t>в</w:t>
            </w:r>
            <w:r>
              <w:rPr>
                <w:rFonts w:eastAsia="Arial Unicode MS"/>
                <w:sz w:val="17"/>
              </w:rPr>
              <w:t>ленным ростом в возрасте до 5 лет</w:t>
            </w:r>
          </w:p>
        </w:tc>
        <w:tc>
          <w:tcPr>
            <w:tcW w:w="4251" w:type="dxa"/>
            <w:gridSpan w:val="6"/>
            <w:vAlign w:val="bottom"/>
          </w:tcPr>
          <w:p w:rsidR="00000000" w:rsidRDefault="00000000">
            <w:pPr>
              <w:keepNext/>
              <w:spacing w:before="10" w:line="240" w:lineRule="auto"/>
              <w:ind w:right="1815"/>
              <w:jc w:val="right"/>
              <w:rPr>
                <w:rFonts w:eastAsia="Arial Unicode MS"/>
                <w:snapToGrid w:val="0"/>
                <w:sz w:val="17"/>
              </w:rPr>
            </w:pPr>
            <w:r>
              <w:rPr>
                <w:rFonts w:eastAsia="Arial Unicode MS"/>
                <w:snapToGrid w:val="0"/>
                <w:sz w:val="17"/>
              </w:rPr>
              <w:t>24,4 (2000)</w:t>
            </w: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Процент рождений с медицинским дородовым ух</w:t>
            </w:r>
            <w:r>
              <w:rPr>
                <w:rFonts w:eastAsia="Arial Unicode MS"/>
                <w:sz w:val="17"/>
              </w:rPr>
              <w:t>о</w:t>
            </w:r>
            <w:r>
              <w:rPr>
                <w:rFonts w:eastAsia="Arial Unicode MS"/>
                <w:sz w:val="17"/>
              </w:rPr>
              <w:t>дом</w:t>
            </w:r>
          </w:p>
        </w:tc>
        <w:tc>
          <w:tcPr>
            <w:tcW w:w="4251" w:type="dxa"/>
            <w:gridSpan w:val="6"/>
            <w:vAlign w:val="bottom"/>
          </w:tcPr>
          <w:p w:rsidR="00000000" w:rsidRDefault="00000000">
            <w:pPr>
              <w:keepNext/>
              <w:spacing w:before="10" w:line="240" w:lineRule="auto"/>
              <w:ind w:right="1815"/>
              <w:jc w:val="right"/>
              <w:rPr>
                <w:rFonts w:eastAsia="Arial Unicode MS"/>
                <w:snapToGrid w:val="0"/>
                <w:sz w:val="17"/>
              </w:rPr>
            </w:pPr>
            <w:r>
              <w:rPr>
                <w:rFonts w:eastAsia="Arial Unicode MS"/>
                <w:snapToGrid w:val="0"/>
                <w:sz w:val="17"/>
              </w:rPr>
              <w:t>91,4 (2000)</w:t>
            </w: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Процент рождений с оказанием м</w:t>
            </w:r>
            <w:r>
              <w:rPr>
                <w:rFonts w:eastAsia="Arial Unicode MS"/>
                <w:sz w:val="17"/>
              </w:rPr>
              <w:t>е</w:t>
            </w:r>
            <w:r>
              <w:rPr>
                <w:rFonts w:eastAsia="Arial Unicode MS"/>
                <w:sz w:val="17"/>
              </w:rPr>
              <w:t>дицинской пом</w:t>
            </w:r>
            <w:r>
              <w:rPr>
                <w:rFonts w:eastAsia="Arial Unicode MS"/>
                <w:sz w:val="17"/>
              </w:rPr>
              <w:t>о</w:t>
            </w:r>
            <w:r>
              <w:rPr>
                <w:rFonts w:eastAsia="Arial Unicode MS"/>
                <w:sz w:val="17"/>
              </w:rPr>
              <w:t>щи при родах</w:t>
            </w:r>
          </w:p>
        </w:tc>
        <w:tc>
          <w:tcPr>
            <w:tcW w:w="4251" w:type="dxa"/>
            <w:gridSpan w:val="6"/>
            <w:vAlign w:val="bottom"/>
          </w:tcPr>
          <w:p w:rsidR="00000000" w:rsidRDefault="00000000">
            <w:pPr>
              <w:keepNext/>
              <w:spacing w:before="10" w:line="240" w:lineRule="auto"/>
              <w:ind w:right="1815"/>
              <w:jc w:val="right"/>
              <w:rPr>
                <w:rFonts w:eastAsia="Arial Unicode MS"/>
                <w:snapToGrid w:val="0"/>
                <w:sz w:val="17"/>
              </w:rPr>
            </w:pPr>
            <w:r>
              <w:rPr>
                <w:rFonts w:eastAsia="Arial Unicode MS"/>
                <w:snapToGrid w:val="0"/>
                <w:sz w:val="17"/>
              </w:rPr>
              <w:t>55,6 (2000)</w:t>
            </w: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Процент младенческой смертности (на 1 000 жив</w:t>
            </w:r>
            <w:r>
              <w:rPr>
                <w:rFonts w:eastAsia="Arial Unicode MS"/>
                <w:sz w:val="17"/>
              </w:rPr>
              <w:t>о</w:t>
            </w:r>
            <w:r>
              <w:rPr>
                <w:rFonts w:eastAsia="Arial Unicode MS"/>
                <w:sz w:val="17"/>
              </w:rPr>
              <w:t>рождений)</w:t>
            </w:r>
          </w:p>
        </w:tc>
        <w:tc>
          <w:tcPr>
            <w:tcW w:w="4251" w:type="dxa"/>
            <w:gridSpan w:val="6"/>
            <w:vAlign w:val="bottom"/>
          </w:tcPr>
          <w:p w:rsidR="00000000" w:rsidRDefault="00000000">
            <w:pPr>
              <w:keepNext/>
              <w:spacing w:before="10" w:line="240" w:lineRule="auto"/>
              <w:ind w:right="1815"/>
              <w:jc w:val="right"/>
              <w:rPr>
                <w:snapToGrid w:val="0"/>
                <w:sz w:val="17"/>
              </w:rPr>
            </w:pPr>
            <w:r>
              <w:rPr>
                <w:rFonts w:eastAsia="Arial Unicode MS"/>
                <w:snapToGrid w:val="0"/>
                <w:sz w:val="17"/>
              </w:rPr>
              <w:t>103,8 (2000)</w:t>
            </w: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Процент смертности детей в возрасте до 5 лет (%)</w:t>
            </w:r>
          </w:p>
        </w:tc>
        <w:tc>
          <w:tcPr>
            <w:tcW w:w="4251" w:type="dxa"/>
            <w:gridSpan w:val="6"/>
            <w:vAlign w:val="bottom"/>
          </w:tcPr>
          <w:p w:rsidR="00000000" w:rsidRDefault="00000000">
            <w:pPr>
              <w:keepNext/>
              <w:spacing w:before="10" w:line="240" w:lineRule="auto"/>
              <w:ind w:right="1815"/>
              <w:jc w:val="right"/>
              <w:rPr>
                <w:sz w:val="17"/>
              </w:rPr>
            </w:pPr>
            <w:r>
              <w:rPr>
                <w:rFonts w:eastAsia="Arial Unicode MS"/>
                <w:sz w:val="17"/>
              </w:rPr>
              <w:t>188,6 (</w:t>
            </w:r>
            <w:r>
              <w:rPr>
                <w:rFonts w:eastAsia="Arial Unicode MS"/>
                <w:snapToGrid w:val="0"/>
                <w:sz w:val="17"/>
              </w:rPr>
              <w:t>2000)</w:t>
            </w: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Общий коэффициент фертильности (число рожд</w:t>
            </w:r>
            <w:r>
              <w:rPr>
                <w:rFonts w:eastAsia="Arial Unicode MS"/>
                <w:sz w:val="17"/>
              </w:rPr>
              <w:t>е</w:t>
            </w:r>
            <w:r>
              <w:rPr>
                <w:rFonts w:eastAsia="Arial Unicode MS"/>
                <w:sz w:val="17"/>
              </w:rPr>
              <w:t xml:space="preserve">ний на одну женщину) </w:t>
            </w:r>
          </w:p>
        </w:tc>
        <w:tc>
          <w:tcPr>
            <w:tcW w:w="1061"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6,3</w:t>
            </w:r>
          </w:p>
        </w:tc>
        <w:tc>
          <w:tcPr>
            <w:tcW w:w="1062"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1998</w:t>
            </w:r>
          </w:p>
        </w:tc>
        <w:tc>
          <w:tcPr>
            <w:tcW w:w="1062" w:type="dxa"/>
            <w:vAlign w:val="bottom"/>
          </w:tcPr>
          <w:p w:rsidR="00000000" w:rsidRDefault="00000000">
            <w:pPr>
              <w:keepNext/>
              <w:spacing w:before="10" w:line="240" w:lineRule="auto"/>
              <w:ind w:right="176"/>
              <w:jc w:val="right"/>
              <w:rPr>
                <w:snapToGrid w:val="0"/>
                <w:sz w:val="17"/>
              </w:rPr>
            </w:pPr>
          </w:p>
        </w:tc>
        <w:tc>
          <w:tcPr>
            <w:tcW w:w="1066" w:type="dxa"/>
            <w:vAlign w:val="bottom"/>
          </w:tcPr>
          <w:p w:rsidR="00000000" w:rsidRDefault="00000000">
            <w:pPr>
              <w:keepNext/>
              <w:spacing w:before="10" w:line="240" w:lineRule="auto"/>
              <w:ind w:right="176"/>
              <w:jc w:val="right"/>
              <w:rPr>
                <w:sz w:val="17"/>
              </w:rPr>
            </w:pP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Коэффициент фертильности среди подростков (число рождений на 1 000 женщин в возрасте 15-19 лет)</w:t>
            </w:r>
          </w:p>
        </w:tc>
        <w:tc>
          <w:tcPr>
            <w:tcW w:w="1061" w:type="dxa"/>
            <w:gridSpan w:val="2"/>
            <w:vAlign w:val="bottom"/>
          </w:tcPr>
          <w:p w:rsidR="00000000" w:rsidRDefault="00000000">
            <w:pPr>
              <w:keepNext/>
              <w:tabs>
                <w:tab w:val="decimal" w:pos="567"/>
              </w:tabs>
              <w:spacing w:before="10" w:line="240" w:lineRule="auto"/>
              <w:ind w:right="176"/>
              <w:rPr>
                <w:sz w:val="17"/>
              </w:rPr>
            </w:pPr>
            <w:r>
              <w:rPr>
                <w:rFonts w:eastAsia="Arial Unicode MS"/>
                <w:sz w:val="17"/>
              </w:rPr>
              <w:t>151</w:t>
            </w:r>
          </w:p>
        </w:tc>
        <w:tc>
          <w:tcPr>
            <w:tcW w:w="1062"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1999</w:t>
            </w:r>
          </w:p>
        </w:tc>
        <w:tc>
          <w:tcPr>
            <w:tcW w:w="1062" w:type="dxa"/>
            <w:vAlign w:val="bottom"/>
          </w:tcPr>
          <w:p w:rsidR="00000000" w:rsidRDefault="00000000">
            <w:pPr>
              <w:keepNext/>
              <w:spacing w:before="10" w:line="240" w:lineRule="auto"/>
              <w:ind w:right="176"/>
              <w:jc w:val="right"/>
              <w:rPr>
                <w:snapToGrid w:val="0"/>
                <w:sz w:val="17"/>
              </w:rPr>
            </w:pPr>
          </w:p>
        </w:tc>
        <w:tc>
          <w:tcPr>
            <w:tcW w:w="1066" w:type="dxa"/>
            <w:vAlign w:val="bottom"/>
          </w:tcPr>
          <w:p w:rsidR="00000000" w:rsidRDefault="00000000">
            <w:pPr>
              <w:keepNext/>
              <w:spacing w:before="10" w:line="240" w:lineRule="auto"/>
              <w:ind w:right="176"/>
              <w:jc w:val="right"/>
              <w:rPr>
                <w:sz w:val="17"/>
              </w:rPr>
            </w:pP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Процент</w:t>
            </w:r>
            <w:r>
              <w:rPr>
                <w:rFonts w:eastAsia="Arial Unicode MS"/>
                <w:sz w:val="17"/>
                <w:lang w:val="en-US"/>
              </w:rPr>
              <w:t> </w:t>
            </w:r>
            <w:r>
              <w:rPr>
                <w:rFonts w:eastAsia="Arial Unicode MS"/>
                <w:sz w:val="17"/>
              </w:rPr>
              <w:t>состоящих в браке д</w:t>
            </w:r>
            <w:r>
              <w:rPr>
                <w:rFonts w:eastAsia="Arial Unicode MS"/>
                <w:sz w:val="17"/>
              </w:rPr>
              <w:t>е</w:t>
            </w:r>
            <w:r>
              <w:rPr>
                <w:rFonts w:eastAsia="Arial Unicode MS"/>
                <w:sz w:val="17"/>
              </w:rPr>
              <w:t>тей/подростков (в возрасте 10-14 лет)</w:t>
            </w:r>
          </w:p>
        </w:tc>
        <w:tc>
          <w:tcPr>
            <w:tcW w:w="1061"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2,3</w:t>
            </w:r>
          </w:p>
        </w:tc>
        <w:tc>
          <w:tcPr>
            <w:tcW w:w="1062"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2000</w:t>
            </w:r>
          </w:p>
        </w:tc>
        <w:tc>
          <w:tcPr>
            <w:tcW w:w="1062" w:type="dxa"/>
            <w:vAlign w:val="bottom"/>
          </w:tcPr>
          <w:p w:rsidR="00000000" w:rsidRDefault="00000000">
            <w:pPr>
              <w:keepNext/>
              <w:tabs>
                <w:tab w:val="decimal" w:pos="567"/>
              </w:tabs>
              <w:spacing w:before="10" w:line="240" w:lineRule="auto"/>
              <w:ind w:right="176"/>
              <w:rPr>
                <w:rFonts w:eastAsia="Arial Unicode MS"/>
                <w:snapToGrid w:val="0"/>
                <w:sz w:val="17"/>
              </w:rPr>
            </w:pPr>
            <w:r>
              <w:rPr>
                <w:rFonts w:eastAsia="Arial Unicode MS"/>
                <w:snapToGrid w:val="0"/>
                <w:sz w:val="17"/>
              </w:rPr>
              <w:t>2</w:t>
            </w:r>
          </w:p>
        </w:tc>
        <w:tc>
          <w:tcPr>
            <w:tcW w:w="1066" w:type="dxa"/>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2000</w:t>
            </w: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Процент</w:t>
            </w:r>
            <w:r>
              <w:rPr>
                <w:rFonts w:eastAsia="Arial Unicode MS"/>
                <w:sz w:val="17"/>
                <w:lang w:val="en-US"/>
              </w:rPr>
              <w:t> </w:t>
            </w:r>
            <w:r>
              <w:rPr>
                <w:rFonts w:eastAsia="Arial Unicode MS"/>
                <w:sz w:val="17"/>
              </w:rPr>
              <w:t>состоящих в браке детей или подростков (в во</w:t>
            </w:r>
            <w:r>
              <w:rPr>
                <w:rFonts w:eastAsia="Arial Unicode MS"/>
                <w:sz w:val="17"/>
              </w:rPr>
              <w:t>з</w:t>
            </w:r>
            <w:r>
              <w:rPr>
                <w:rFonts w:eastAsia="Arial Unicode MS"/>
                <w:sz w:val="17"/>
              </w:rPr>
              <w:t>расте 15-19 лет)</w:t>
            </w:r>
          </w:p>
        </w:tc>
        <w:tc>
          <w:tcPr>
            <w:tcW w:w="1061"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38,2</w:t>
            </w:r>
          </w:p>
        </w:tc>
        <w:tc>
          <w:tcPr>
            <w:tcW w:w="1062"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2000</w:t>
            </w:r>
          </w:p>
        </w:tc>
        <w:tc>
          <w:tcPr>
            <w:tcW w:w="1062" w:type="dxa"/>
            <w:vAlign w:val="bottom"/>
          </w:tcPr>
          <w:p w:rsidR="00000000" w:rsidRDefault="00000000">
            <w:pPr>
              <w:keepNext/>
              <w:tabs>
                <w:tab w:val="decimal" w:pos="567"/>
              </w:tabs>
              <w:spacing w:before="10" w:line="240" w:lineRule="auto"/>
              <w:ind w:right="176"/>
              <w:rPr>
                <w:rFonts w:eastAsia="Arial Unicode MS"/>
                <w:snapToGrid w:val="0"/>
                <w:sz w:val="17"/>
              </w:rPr>
            </w:pPr>
            <w:r>
              <w:rPr>
                <w:rFonts w:eastAsia="Arial Unicode MS"/>
                <w:snapToGrid w:val="0"/>
                <w:sz w:val="17"/>
              </w:rPr>
              <w:t>8,3</w:t>
            </w:r>
          </w:p>
        </w:tc>
        <w:tc>
          <w:tcPr>
            <w:tcW w:w="1066" w:type="dxa"/>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2000</w:t>
            </w: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Неудовлетворенные потребности в области план</w:t>
            </w:r>
            <w:r>
              <w:rPr>
                <w:rFonts w:eastAsia="Arial Unicode MS"/>
                <w:sz w:val="17"/>
              </w:rPr>
              <w:t>и</w:t>
            </w:r>
            <w:r>
              <w:rPr>
                <w:rFonts w:eastAsia="Arial Unicode MS"/>
                <w:sz w:val="17"/>
              </w:rPr>
              <w:t>рования семьи</w:t>
            </w:r>
          </w:p>
        </w:tc>
        <w:tc>
          <w:tcPr>
            <w:tcW w:w="1061"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30%</w:t>
            </w:r>
          </w:p>
        </w:tc>
        <w:tc>
          <w:tcPr>
            <w:tcW w:w="1062"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1998</w:t>
            </w:r>
          </w:p>
        </w:tc>
        <w:tc>
          <w:tcPr>
            <w:tcW w:w="1062" w:type="dxa"/>
            <w:vAlign w:val="bottom"/>
          </w:tcPr>
          <w:p w:rsidR="00000000" w:rsidRDefault="00000000">
            <w:pPr>
              <w:keepNext/>
              <w:spacing w:before="10" w:line="240" w:lineRule="auto"/>
              <w:ind w:right="176"/>
              <w:jc w:val="right"/>
              <w:rPr>
                <w:snapToGrid w:val="0"/>
                <w:sz w:val="17"/>
              </w:rPr>
            </w:pPr>
          </w:p>
        </w:tc>
        <w:tc>
          <w:tcPr>
            <w:tcW w:w="1066" w:type="dxa"/>
            <w:vAlign w:val="bottom"/>
          </w:tcPr>
          <w:p w:rsidR="00000000" w:rsidRDefault="00000000">
            <w:pPr>
              <w:keepNext/>
              <w:spacing w:before="10" w:line="240" w:lineRule="auto"/>
              <w:ind w:right="176"/>
              <w:jc w:val="right"/>
              <w:rPr>
                <w:snapToGrid w:val="0"/>
                <w:sz w:val="17"/>
              </w:rPr>
            </w:pP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Коэффициент материнской смертн</w:t>
            </w:r>
            <w:r>
              <w:rPr>
                <w:rFonts w:eastAsia="Arial Unicode MS"/>
                <w:sz w:val="17"/>
              </w:rPr>
              <w:t>о</w:t>
            </w:r>
            <w:r>
              <w:rPr>
                <w:rFonts w:eastAsia="Arial Unicode MS"/>
                <w:sz w:val="17"/>
              </w:rPr>
              <w:t>сти (на 100 000 живорождений)</w:t>
            </w:r>
          </w:p>
        </w:tc>
        <w:tc>
          <w:tcPr>
            <w:tcW w:w="1061"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1120</w:t>
            </w:r>
          </w:p>
        </w:tc>
        <w:tc>
          <w:tcPr>
            <w:tcW w:w="1062" w:type="dxa"/>
            <w:gridSpan w:val="2"/>
            <w:vAlign w:val="bottom"/>
          </w:tcPr>
          <w:p w:rsidR="00000000" w:rsidRDefault="00000000">
            <w:pPr>
              <w:keepNext/>
              <w:spacing w:before="10" w:line="240" w:lineRule="auto"/>
              <w:ind w:right="176"/>
              <w:jc w:val="right"/>
              <w:rPr>
                <w:snapToGrid w:val="0"/>
                <w:sz w:val="17"/>
              </w:rPr>
            </w:pPr>
            <w:r>
              <w:rPr>
                <w:rFonts w:eastAsia="Arial Unicode MS"/>
                <w:snapToGrid w:val="0"/>
                <w:sz w:val="17"/>
              </w:rPr>
              <w:t>1998</w:t>
            </w:r>
          </w:p>
        </w:tc>
        <w:tc>
          <w:tcPr>
            <w:tcW w:w="1062" w:type="dxa"/>
            <w:vAlign w:val="bottom"/>
          </w:tcPr>
          <w:p w:rsidR="00000000" w:rsidRDefault="00000000">
            <w:pPr>
              <w:keepNext/>
              <w:spacing w:before="10" w:line="240" w:lineRule="auto"/>
              <w:ind w:right="176"/>
              <w:jc w:val="right"/>
              <w:rPr>
                <w:snapToGrid w:val="0"/>
                <w:sz w:val="17"/>
              </w:rPr>
            </w:pPr>
          </w:p>
        </w:tc>
        <w:tc>
          <w:tcPr>
            <w:tcW w:w="1066" w:type="dxa"/>
            <w:vAlign w:val="bottom"/>
          </w:tcPr>
          <w:p w:rsidR="00000000" w:rsidRDefault="00000000">
            <w:pPr>
              <w:keepNext/>
              <w:spacing w:before="10" w:line="240" w:lineRule="auto"/>
              <w:ind w:right="176"/>
              <w:jc w:val="right"/>
              <w:rPr>
                <w:snapToGrid w:val="0"/>
                <w:sz w:val="17"/>
              </w:rPr>
            </w:pPr>
          </w:p>
        </w:tc>
      </w:tr>
      <w:tr w:rsidR="00000000">
        <w:tblPrEx>
          <w:tblCellMar>
            <w:top w:w="0" w:type="dxa"/>
            <w:bottom w:w="0" w:type="dxa"/>
          </w:tblCellMar>
        </w:tblPrEx>
        <w:trPr>
          <w:cantSplit/>
        </w:trPr>
        <w:tc>
          <w:tcPr>
            <w:tcW w:w="3164" w:type="dxa"/>
            <w:gridSpan w:val="2"/>
          </w:tcPr>
          <w:p w:rsidR="00000000" w:rsidRDefault="00000000">
            <w:pPr>
              <w:keepNext/>
              <w:spacing w:before="10" w:line="240" w:lineRule="auto"/>
              <w:ind w:left="144"/>
              <w:rPr>
                <w:rFonts w:eastAsia="Arial Unicode MS"/>
                <w:sz w:val="17"/>
              </w:rPr>
            </w:pPr>
            <w:r>
              <w:rPr>
                <w:rFonts w:eastAsia="Arial Unicode MS"/>
                <w:sz w:val="17"/>
              </w:rPr>
              <w:t>Риск незапланированной беременн</w:t>
            </w:r>
            <w:r>
              <w:rPr>
                <w:rFonts w:eastAsia="Arial Unicode MS"/>
                <w:sz w:val="17"/>
              </w:rPr>
              <w:t>о</w:t>
            </w:r>
            <w:r>
              <w:rPr>
                <w:rFonts w:eastAsia="Arial Unicode MS"/>
                <w:sz w:val="17"/>
              </w:rPr>
              <w:t>сти (процентная доля замужних женщин в возрасте 15–19 лет)</w:t>
            </w:r>
          </w:p>
        </w:tc>
        <w:tc>
          <w:tcPr>
            <w:tcW w:w="1061"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36</w:t>
            </w:r>
          </w:p>
        </w:tc>
        <w:tc>
          <w:tcPr>
            <w:tcW w:w="1062"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1999</w:t>
            </w:r>
          </w:p>
        </w:tc>
        <w:tc>
          <w:tcPr>
            <w:tcW w:w="1062" w:type="dxa"/>
            <w:vAlign w:val="bottom"/>
          </w:tcPr>
          <w:p w:rsidR="00000000" w:rsidRDefault="00000000">
            <w:pPr>
              <w:keepNext/>
              <w:spacing w:before="10" w:line="240" w:lineRule="auto"/>
              <w:ind w:right="176"/>
              <w:jc w:val="right"/>
              <w:rPr>
                <w:snapToGrid w:val="0"/>
                <w:sz w:val="17"/>
              </w:rPr>
            </w:pPr>
          </w:p>
        </w:tc>
        <w:tc>
          <w:tcPr>
            <w:tcW w:w="1066" w:type="dxa"/>
            <w:vAlign w:val="bottom"/>
          </w:tcPr>
          <w:p w:rsidR="00000000" w:rsidRDefault="00000000">
            <w:pPr>
              <w:keepNext/>
              <w:spacing w:before="10" w:line="240" w:lineRule="auto"/>
              <w:ind w:right="176"/>
              <w:jc w:val="right"/>
              <w:rPr>
                <w:snapToGrid w:val="0"/>
                <w:sz w:val="17"/>
              </w:rPr>
            </w:pPr>
          </w:p>
        </w:tc>
      </w:tr>
      <w:tr w:rsidR="00000000">
        <w:tblPrEx>
          <w:tblCellMar>
            <w:top w:w="0" w:type="dxa"/>
            <w:bottom w:w="0" w:type="dxa"/>
          </w:tblCellMar>
        </w:tblPrEx>
        <w:trPr>
          <w:cantSplit/>
        </w:trPr>
        <w:tc>
          <w:tcPr>
            <w:tcW w:w="3164" w:type="dxa"/>
            <w:gridSpan w:val="2"/>
          </w:tcPr>
          <w:p w:rsidR="00000000" w:rsidRDefault="00000000">
            <w:pPr>
              <w:pStyle w:val="Header"/>
              <w:keepNext/>
              <w:tabs>
                <w:tab w:val="clear" w:pos="4320"/>
                <w:tab w:val="clear" w:pos="8640"/>
              </w:tabs>
              <w:spacing w:before="10"/>
              <w:ind w:left="144"/>
              <w:rPr>
                <w:rFonts w:eastAsia="Arial Unicode MS"/>
                <w:noProof w:val="0"/>
                <w:spacing w:val="4"/>
                <w:w w:val="103"/>
                <w:kern w:val="14"/>
              </w:rPr>
            </w:pPr>
            <w:r>
              <w:rPr>
                <w:rFonts w:eastAsia="Arial Unicode MS"/>
                <w:noProof w:val="0"/>
                <w:spacing w:val="4"/>
                <w:w w:val="103"/>
                <w:kern w:val="14"/>
              </w:rPr>
              <w:t>Степень применения контрацепти</w:t>
            </w:r>
            <w:r>
              <w:rPr>
                <w:rFonts w:eastAsia="Arial Unicode MS"/>
                <w:noProof w:val="0"/>
                <w:spacing w:val="4"/>
                <w:w w:val="103"/>
                <w:kern w:val="14"/>
              </w:rPr>
              <w:t>в</w:t>
            </w:r>
            <w:r>
              <w:rPr>
                <w:rFonts w:eastAsia="Arial Unicode MS"/>
                <w:noProof w:val="0"/>
                <w:spacing w:val="4"/>
                <w:w w:val="103"/>
                <w:kern w:val="14"/>
              </w:rPr>
              <w:t>ных средств (для всех же</w:t>
            </w:r>
            <w:r>
              <w:rPr>
                <w:rFonts w:eastAsia="Arial Unicode MS"/>
                <w:noProof w:val="0"/>
                <w:spacing w:val="4"/>
                <w:w w:val="103"/>
                <w:kern w:val="14"/>
              </w:rPr>
              <w:t>н</w:t>
            </w:r>
            <w:r>
              <w:rPr>
                <w:rFonts w:eastAsia="Arial Unicode MS"/>
                <w:noProof w:val="0"/>
                <w:spacing w:val="4"/>
                <w:w w:val="103"/>
                <w:kern w:val="14"/>
              </w:rPr>
              <w:t>щин)</w:t>
            </w:r>
          </w:p>
        </w:tc>
        <w:tc>
          <w:tcPr>
            <w:tcW w:w="1061"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25,0</w:t>
            </w:r>
          </w:p>
        </w:tc>
        <w:tc>
          <w:tcPr>
            <w:tcW w:w="1062"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200</w:t>
            </w:r>
          </w:p>
        </w:tc>
        <w:tc>
          <w:tcPr>
            <w:tcW w:w="1062" w:type="dxa"/>
            <w:vAlign w:val="bottom"/>
          </w:tcPr>
          <w:p w:rsidR="00000000" w:rsidRDefault="00000000">
            <w:pPr>
              <w:keepNext/>
              <w:spacing w:before="10" w:line="240" w:lineRule="auto"/>
              <w:ind w:right="176"/>
              <w:jc w:val="right"/>
              <w:rPr>
                <w:sz w:val="17"/>
              </w:rPr>
            </w:pPr>
          </w:p>
        </w:tc>
        <w:tc>
          <w:tcPr>
            <w:tcW w:w="1066" w:type="dxa"/>
            <w:vAlign w:val="bottom"/>
          </w:tcPr>
          <w:p w:rsidR="00000000" w:rsidRDefault="00000000">
            <w:pPr>
              <w:keepNext/>
              <w:spacing w:before="10" w:line="240" w:lineRule="auto"/>
              <w:ind w:right="176"/>
              <w:jc w:val="right"/>
              <w:rPr>
                <w:sz w:val="17"/>
              </w:rPr>
            </w:pPr>
          </w:p>
        </w:tc>
      </w:tr>
      <w:tr w:rsidR="00000000">
        <w:tblPrEx>
          <w:tblCellMar>
            <w:top w:w="0" w:type="dxa"/>
            <w:bottom w:w="0" w:type="dxa"/>
          </w:tblCellMar>
        </w:tblPrEx>
        <w:trPr>
          <w:cantSplit/>
        </w:trPr>
        <w:tc>
          <w:tcPr>
            <w:tcW w:w="3164" w:type="dxa"/>
            <w:gridSpan w:val="2"/>
          </w:tcPr>
          <w:p w:rsidR="00000000" w:rsidRDefault="00000000">
            <w:pPr>
              <w:pStyle w:val="Header"/>
              <w:keepNext/>
              <w:tabs>
                <w:tab w:val="clear" w:pos="4320"/>
                <w:tab w:val="clear" w:pos="8640"/>
              </w:tabs>
              <w:spacing w:before="10"/>
              <w:ind w:left="144"/>
              <w:rPr>
                <w:rFonts w:eastAsia="Arial Unicode MS"/>
                <w:noProof w:val="0"/>
                <w:spacing w:val="4"/>
                <w:w w:val="103"/>
                <w:kern w:val="14"/>
              </w:rPr>
            </w:pPr>
            <w:r>
              <w:rPr>
                <w:rFonts w:eastAsia="Arial Unicode MS"/>
                <w:noProof w:val="0"/>
                <w:spacing w:val="4"/>
                <w:w w:val="103"/>
                <w:kern w:val="14"/>
              </w:rPr>
              <w:t>Степень применения контрацепти</w:t>
            </w:r>
            <w:r>
              <w:rPr>
                <w:rFonts w:eastAsia="Arial Unicode MS"/>
                <w:noProof w:val="0"/>
                <w:spacing w:val="4"/>
                <w:w w:val="103"/>
                <w:kern w:val="14"/>
              </w:rPr>
              <w:t>в</w:t>
            </w:r>
            <w:r>
              <w:rPr>
                <w:rFonts w:eastAsia="Arial Unicode MS"/>
                <w:noProof w:val="0"/>
                <w:spacing w:val="4"/>
                <w:w w:val="103"/>
                <w:kern w:val="14"/>
              </w:rPr>
              <w:t>ных средств (процентная доля з</w:t>
            </w:r>
            <w:r>
              <w:rPr>
                <w:rFonts w:eastAsia="Arial Unicode MS"/>
                <w:noProof w:val="0"/>
                <w:spacing w:val="4"/>
                <w:w w:val="103"/>
                <w:kern w:val="14"/>
              </w:rPr>
              <w:t>а</w:t>
            </w:r>
            <w:r>
              <w:rPr>
                <w:rFonts w:eastAsia="Arial Unicode MS"/>
                <w:noProof w:val="0"/>
                <w:spacing w:val="4"/>
                <w:w w:val="103"/>
                <w:kern w:val="14"/>
              </w:rPr>
              <w:t>мужних женщин)</w:t>
            </w:r>
          </w:p>
        </w:tc>
        <w:tc>
          <w:tcPr>
            <w:tcW w:w="1061"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30,6</w:t>
            </w:r>
          </w:p>
        </w:tc>
        <w:tc>
          <w:tcPr>
            <w:tcW w:w="1062"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2000</w:t>
            </w:r>
          </w:p>
        </w:tc>
        <w:tc>
          <w:tcPr>
            <w:tcW w:w="1062" w:type="dxa"/>
            <w:vAlign w:val="bottom"/>
          </w:tcPr>
          <w:p w:rsidR="00000000" w:rsidRDefault="00000000">
            <w:pPr>
              <w:keepNext/>
              <w:spacing w:before="10" w:line="240" w:lineRule="auto"/>
              <w:ind w:right="176"/>
              <w:jc w:val="right"/>
              <w:rPr>
                <w:sz w:val="17"/>
              </w:rPr>
            </w:pPr>
          </w:p>
        </w:tc>
        <w:tc>
          <w:tcPr>
            <w:tcW w:w="1066" w:type="dxa"/>
            <w:vAlign w:val="bottom"/>
          </w:tcPr>
          <w:p w:rsidR="00000000" w:rsidRDefault="00000000">
            <w:pPr>
              <w:keepNext/>
              <w:spacing w:before="10" w:line="240" w:lineRule="auto"/>
              <w:ind w:right="176"/>
              <w:jc w:val="right"/>
              <w:rPr>
                <w:sz w:val="17"/>
              </w:rPr>
            </w:pPr>
          </w:p>
        </w:tc>
      </w:tr>
      <w:tr w:rsidR="00000000">
        <w:tblPrEx>
          <w:tblCellMar>
            <w:top w:w="0" w:type="dxa"/>
            <w:bottom w:w="0" w:type="dxa"/>
          </w:tblCellMar>
        </w:tblPrEx>
        <w:trPr>
          <w:cantSplit/>
        </w:trPr>
        <w:tc>
          <w:tcPr>
            <w:tcW w:w="3148" w:type="dxa"/>
          </w:tcPr>
          <w:p w:rsidR="00000000" w:rsidRDefault="00000000">
            <w:pPr>
              <w:pStyle w:val="Footer"/>
              <w:keepNext/>
              <w:tabs>
                <w:tab w:val="clear" w:pos="4320"/>
                <w:tab w:val="clear" w:pos="8640"/>
              </w:tabs>
              <w:rPr>
                <w:rFonts w:eastAsia="Arial Unicode MS"/>
                <w:noProof w:val="0"/>
                <w:spacing w:val="4"/>
                <w:w w:val="103"/>
                <w:kern w:val="14"/>
              </w:rPr>
            </w:pPr>
            <w:r>
              <w:rPr>
                <w:rFonts w:eastAsia="Arial Unicode MS"/>
                <w:noProof w:val="0"/>
                <w:spacing w:val="4"/>
                <w:w w:val="103"/>
                <w:kern w:val="14"/>
              </w:rPr>
              <w:t>Экономические средства и возмо</w:t>
            </w:r>
            <w:r>
              <w:rPr>
                <w:rFonts w:eastAsia="Arial Unicode MS"/>
                <w:noProof w:val="0"/>
                <w:spacing w:val="4"/>
                <w:w w:val="103"/>
                <w:kern w:val="14"/>
              </w:rPr>
              <w:t>ж</w:t>
            </w:r>
            <w:r>
              <w:rPr>
                <w:rFonts w:eastAsia="Arial Unicode MS"/>
                <w:noProof w:val="0"/>
                <w:spacing w:val="4"/>
                <w:w w:val="103"/>
                <w:kern w:val="14"/>
              </w:rPr>
              <w:t>ности</w:t>
            </w:r>
          </w:p>
        </w:tc>
        <w:tc>
          <w:tcPr>
            <w:tcW w:w="1065" w:type="dxa"/>
            <w:gridSpan w:val="2"/>
            <w:vAlign w:val="bottom"/>
          </w:tcPr>
          <w:p w:rsidR="00000000" w:rsidRDefault="00000000">
            <w:pPr>
              <w:keepNext/>
              <w:spacing w:line="240" w:lineRule="auto"/>
              <w:ind w:right="176"/>
              <w:jc w:val="right"/>
              <w:rPr>
                <w:rFonts w:eastAsia="Arial Unicode MS"/>
                <w:snapToGrid w:val="0"/>
                <w:sz w:val="17"/>
              </w:rPr>
            </w:pPr>
          </w:p>
        </w:tc>
        <w:tc>
          <w:tcPr>
            <w:tcW w:w="1066" w:type="dxa"/>
            <w:gridSpan w:val="2"/>
            <w:vAlign w:val="bottom"/>
          </w:tcPr>
          <w:p w:rsidR="00000000" w:rsidRDefault="00000000">
            <w:pPr>
              <w:keepNext/>
              <w:spacing w:line="240" w:lineRule="auto"/>
              <w:ind w:right="176"/>
              <w:jc w:val="right"/>
              <w:rPr>
                <w:rFonts w:eastAsia="Arial Unicode MS"/>
                <w:snapToGrid w:val="0"/>
                <w:sz w:val="17"/>
              </w:rPr>
            </w:pPr>
          </w:p>
        </w:tc>
        <w:tc>
          <w:tcPr>
            <w:tcW w:w="1070" w:type="dxa"/>
            <w:gridSpan w:val="2"/>
            <w:vAlign w:val="bottom"/>
          </w:tcPr>
          <w:p w:rsidR="00000000" w:rsidRDefault="00000000">
            <w:pPr>
              <w:keepNext/>
              <w:spacing w:line="240" w:lineRule="auto"/>
              <w:ind w:right="176"/>
              <w:jc w:val="right"/>
              <w:rPr>
                <w:rFonts w:eastAsia="Arial Unicode MS"/>
                <w:sz w:val="17"/>
              </w:rPr>
            </w:pPr>
          </w:p>
        </w:tc>
        <w:tc>
          <w:tcPr>
            <w:tcW w:w="1066" w:type="dxa"/>
            <w:vAlign w:val="bottom"/>
          </w:tcPr>
          <w:p w:rsidR="00000000" w:rsidRDefault="00000000">
            <w:pPr>
              <w:keepNext/>
              <w:spacing w:line="240" w:lineRule="auto"/>
              <w:ind w:right="176"/>
              <w:jc w:val="right"/>
              <w:rPr>
                <w:rFonts w:eastAsia="Arial Unicode MS"/>
                <w:sz w:val="17"/>
              </w:rPr>
            </w:pPr>
          </w:p>
        </w:tc>
      </w:tr>
      <w:tr w:rsidR="00000000">
        <w:tblPrEx>
          <w:tblCellMar>
            <w:top w:w="0" w:type="dxa"/>
            <w:bottom w:w="0" w:type="dxa"/>
          </w:tblCellMar>
        </w:tblPrEx>
        <w:trPr>
          <w:cantSplit/>
        </w:trPr>
        <w:tc>
          <w:tcPr>
            <w:tcW w:w="3148" w:type="dxa"/>
          </w:tcPr>
          <w:p w:rsidR="00000000" w:rsidRDefault="00000000">
            <w:pPr>
              <w:keepNext/>
              <w:spacing w:line="240" w:lineRule="auto"/>
              <w:ind w:left="154"/>
              <w:rPr>
                <w:rFonts w:eastAsia="Arial Unicode MS"/>
                <w:sz w:val="17"/>
              </w:rPr>
            </w:pPr>
            <w:r>
              <w:rPr>
                <w:rFonts w:eastAsia="Arial Unicode MS"/>
                <w:sz w:val="17"/>
              </w:rPr>
              <w:t>Крестьяне или фермеры в %</w:t>
            </w:r>
          </w:p>
        </w:tc>
        <w:tc>
          <w:tcPr>
            <w:tcW w:w="1065" w:type="dxa"/>
            <w:gridSpan w:val="2"/>
            <w:vAlign w:val="bottom"/>
          </w:tcPr>
          <w:p w:rsidR="00000000" w:rsidRDefault="00000000">
            <w:pPr>
              <w:keepNext/>
              <w:tabs>
                <w:tab w:val="decimal" w:pos="567"/>
              </w:tabs>
              <w:spacing w:before="10" w:line="240" w:lineRule="auto"/>
              <w:ind w:right="176"/>
              <w:rPr>
                <w:rFonts w:eastAsia="Arial Unicode MS"/>
                <w:snapToGrid w:val="0"/>
                <w:sz w:val="17"/>
              </w:rPr>
            </w:pPr>
            <w:r>
              <w:rPr>
                <w:rFonts w:eastAsia="Arial Unicode MS"/>
                <w:snapToGrid w:val="0"/>
                <w:sz w:val="17"/>
              </w:rPr>
              <w:t>90,2</w:t>
            </w:r>
          </w:p>
        </w:tc>
        <w:tc>
          <w:tcPr>
            <w:tcW w:w="1066"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1998</w:t>
            </w:r>
          </w:p>
        </w:tc>
        <w:tc>
          <w:tcPr>
            <w:tcW w:w="1070"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66,8</w:t>
            </w:r>
          </w:p>
        </w:tc>
        <w:tc>
          <w:tcPr>
            <w:tcW w:w="1066" w:type="dxa"/>
            <w:vAlign w:val="bottom"/>
          </w:tcPr>
          <w:p w:rsidR="00000000" w:rsidRDefault="00000000">
            <w:pPr>
              <w:keepNext/>
              <w:spacing w:before="10" w:line="240" w:lineRule="auto"/>
              <w:ind w:right="176"/>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3148" w:type="dxa"/>
          </w:tcPr>
          <w:p w:rsidR="00000000" w:rsidRDefault="00000000">
            <w:pPr>
              <w:keepNext/>
              <w:spacing w:line="240" w:lineRule="auto"/>
              <w:ind w:left="154"/>
              <w:rPr>
                <w:rFonts w:eastAsia="Arial Unicode MS"/>
                <w:sz w:val="17"/>
              </w:rPr>
            </w:pPr>
            <w:r>
              <w:rPr>
                <w:rFonts w:eastAsia="Arial Unicode MS"/>
                <w:sz w:val="17"/>
              </w:rPr>
              <w:t>Служащие</w:t>
            </w:r>
          </w:p>
        </w:tc>
        <w:tc>
          <w:tcPr>
            <w:tcW w:w="1065" w:type="dxa"/>
            <w:gridSpan w:val="2"/>
            <w:vAlign w:val="bottom"/>
          </w:tcPr>
          <w:p w:rsidR="00000000" w:rsidRDefault="00000000">
            <w:pPr>
              <w:keepNext/>
              <w:tabs>
                <w:tab w:val="decimal" w:pos="567"/>
              </w:tabs>
              <w:spacing w:before="10" w:line="240" w:lineRule="auto"/>
              <w:ind w:right="176"/>
              <w:rPr>
                <w:rFonts w:eastAsia="Arial Unicode MS"/>
                <w:snapToGrid w:val="0"/>
                <w:sz w:val="17"/>
              </w:rPr>
            </w:pPr>
            <w:r>
              <w:rPr>
                <w:rFonts w:eastAsia="Arial Unicode MS"/>
                <w:snapToGrid w:val="0"/>
                <w:sz w:val="17"/>
              </w:rPr>
              <w:t>4,8</w:t>
            </w:r>
          </w:p>
        </w:tc>
        <w:tc>
          <w:tcPr>
            <w:tcW w:w="1066"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1998</w:t>
            </w:r>
          </w:p>
        </w:tc>
        <w:tc>
          <w:tcPr>
            <w:tcW w:w="1070"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21,2</w:t>
            </w:r>
          </w:p>
        </w:tc>
        <w:tc>
          <w:tcPr>
            <w:tcW w:w="1066" w:type="dxa"/>
            <w:vAlign w:val="bottom"/>
          </w:tcPr>
          <w:p w:rsidR="00000000" w:rsidRDefault="00000000">
            <w:pPr>
              <w:keepNext/>
              <w:spacing w:before="10" w:line="240" w:lineRule="auto"/>
              <w:ind w:right="176"/>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3148" w:type="dxa"/>
          </w:tcPr>
          <w:p w:rsidR="00000000" w:rsidRDefault="00000000">
            <w:pPr>
              <w:keepNext/>
              <w:spacing w:line="240" w:lineRule="auto"/>
              <w:ind w:left="154"/>
              <w:rPr>
                <w:rFonts w:eastAsia="Arial Unicode MS"/>
                <w:sz w:val="17"/>
              </w:rPr>
            </w:pPr>
            <w:r>
              <w:rPr>
                <w:rFonts w:eastAsia="Arial Unicode MS"/>
                <w:sz w:val="17"/>
              </w:rPr>
              <w:t>Семейный бизнес</w:t>
            </w:r>
          </w:p>
        </w:tc>
        <w:tc>
          <w:tcPr>
            <w:tcW w:w="1065" w:type="dxa"/>
            <w:gridSpan w:val="2"/>
            <w:vAlign w:val="bottom"/>
          </w:tcPr>
          <w:p w:rsidR="00000000" w:rsidRDefault="00000000">
            <w:pPr>
              <w:keepNext/>
              <w:tabs>
                <w:tab w:val="decimal" w:pos="567"/>
              </w:tabs>
              <w:spacing w:before="10" w:line="240" w:lineRule="auto"/>
              <w:ind w:right="176"/>
              <w:rPr>
                <w:rFonts w:eastAsia="Arial Unicode MS"/>
                <w:snapToGrid w:val="0"/>
                <w:sz w:val="17"/>
              </w:rPr>
            </w:pPr>
            <w:r>
              <w:rPr>
                <w:rFonts w:eastAsia="Arial Unicode MS"/>
                <w:snapToGrid w:val="0"/>
                <w:sz w:val="17"/>
              </w:rPr>
              <w:t>2,1</w:t>
            </w:r>
          </w:p>
        </w:tc>
        <w:tc>
          <w:tcPr>
            <w:tcW w:w="1066"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1998</w:t>
            </w:r>
          </w:p>
        </w:tc>
        <w:tc>
          <w:tcPr>
            <w:tcW w:w="1070"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2,8</w:t>
            </w:r>
          </w:p>
        </w:tc>
        <w:tc>
          <w:tcPr>
            <w:tcW w:w="1066" w:type="dxa"/>
            <w:vAlign w:val="bottom"/>
          </w:tcPr>
          <w:p w:rsidR="00000000" w:rsidRDefault="00000000">
            <w:pPr>
              <w:keepNext/>
              <w:spacing w:before="10" w:line="240" w:lineRule="auto"/>
              <w:ind w:right="176"/>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3148" w:type="dxa"/>
          </w:tcPr>
          <w:p w:rsidR="00000000" w:rsidRDefault="00000000">
            <w:pPr>
              <w:keepNext/>
              <w:spacing w:line="240" w:lineRule="auto"/>
              <w:ind w:left="154"/>
              <w:rPr>
                <w:rFonts w:eastAsia="Arial Unicode MS"/>
                <w:sz w:val="17"/>
              </w:rPr>
            </w:pPr>
            <w:r>
              <w:rPr>
                <w:rFonts w:eastAsia="Arial Unicode MS"/>
                <w:sz w:val="17"/>
              </w:rPr>
              <w:t>Самостоятельно занятые</w:t>
            </w:r>
          </w:p>
        </w:tc>
        <w:tc>
          <w:tcPr>
            <w:tcW w:w="1065" w:type="dxa"/>
            <w:gridSpan w:val="2"/>
            <w:vAlign w:val="bottom"/>
          </w:tcPr>
          <w:p w:rsidR="00000000" w:rsidRDefault="00000000">
            <w:pPr>
              <w:keepNext/>
              <w:tabs>
                <w:tab w:val="decimal" w:pos="567"/>
              </w:tabs>
              <w:spacing w:before="10" w:line="240" w:lineRule="auto"/>
              <w:ind w:right="176"/>
              <w:rPr>
                <w:rFonts w:eastAsia="Arial Unicode MS"/>
                <w:snapToGrid w:val="0"/>
                <w:sz w:val="17"/>
              </w:rPr>
            </w:pPr>
            <w:r>
              <w:rPr>
                <w:rFonts w:eastAsia="Arial Unicode MS"/>
                <w:snapToGrid w:val="0"/>
                <w:sz w:val="17"/>
              </w:rPr>
              <w:t>2,8</w:t>
            </w:r>
          </w:p>
        </w:tc>
        <w:tc>
          <w:tcPr>
            <w:tcW w:w="1066" w:type="dxa"/>
            <w:gridSpan w:val="2"/>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1998</w:t>
            </w:r>
          </w:p>
        </w:tc>
        <w:tc>
          <w:tcPr>
            <w:tcW w:w="1070" w:type="dxa"/>
            <w:gridSpan w:val="2"/>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8,8</w:t>
            </w:r>
          </w:p>
        </w:tc>
        <w:tc>
          <w:tcPr>
            <w:tcW w:w="1066" w:type="dxa"/>
            <w:vAlign w:val="bottom"/>
          </w:tcPr>
          <w:p w:rsidR="00000000" w:rsidRDefault="00000000">
            <w:pPr>
              <w:keepNext/>
              <w:spacing w:before="10" w:line="240" w:lineRule="auto"/>
              <w:ind w:right="176"/>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3148" w:type="dxa"/>
            <w:tcBorders>
              <w:bottom w:val="single" w:sz="12" w:space="0" w:color="auto"/>
            </w:tcBorders>
          </w:tcPr>
          <w:p w:rsidR="00000000" w:rsidRDefault="00000000">
            <w:pPr>
              <w:keepNext/>
              <w:spacing w:line="240" w:lineRule="auto"/>
              <w:ind w:left="154"/>
              <w:rPr>
                <w:rFonts w:eastAsia="Arial Unicode MS"/>
                <w:sz w:val="17"/>
              </w:rPr>
            </w:pPr>
            <w:r>
              <w:rPr>
                <w:rFonts w:eastAsia="Arial Unicode MS"/>
                <w:sz w:val="17"/>
              </w:rPr>
              <w:t>Работодатели</w:t>
            </w:r>
          </w:p>
        </w:tc>
        <w:tc>
          <w:tcPr>
            <w:tcW w:w="1065" w:type="dxa"/>
            <w:gridSpan w:val="2"/>
            <w:tcBorders>
              <w:bottom w:val="single" w:sz="12" w:space="0" w:color="auto"/>
            </w:tcBorders>
            <w:vAlign w:val="bottom"/>
          </w:tcPr>
          <w:p w:rsidR="00000000" w:rsidRDefault="00000000">
            <w:pPr>
              <w:keepNext/>
              <w:tabs>
                <w:tab w:val="decimal" w:pos="567"/>
              </w:tabs>
              <w:spacing w:before="10" w:line="240" w:lineRule="auto"/>
              <w:ind w:right="176"/>
              <w:rPr>
                <w:rFonts w:eastAsia="Arial Unicode MS"/>
                <w:snapToGrid w:val="0"/>
                <w:sz w:val="17"/>
              </w:rPr>
            </w:pPr>
            <w:r>
              <w:rPr>
                <w:rFonts w:eastAsia="Arial Unicode MS"/>
                <w:snapToGrid w:val="0"/>
                <w:sz w:val="17"/>
              </w:rPr>
              <w:t>0,1</w:t>
            </w:r>
          </w:p>
        </w:tc>
        <w:tc>
          <w:tcPr>
            <w:tcW w:w="1066" w:type="dxa"/>
            <w:gridSpan w:val="2"/>
            <w:tcBorders>
              <w:bottom w:val="single" w:sz="12" w:space="0" w:color="auto"/>
            </w:tcBorders>
            <w:vAlign w:val="bottom"/>
          </w:tcPr>
          <w:p w:rsidR="00000000" w:rsidRDefault="00000000">
            <w:pPr>
              <w:keepNext/>
              <w:spacing w:before="10" w:line="240" w:lineRule="auto"/>
              <w:ind w:right="176"/>
              <w:jc w:val="right"/>
              <w:rPr>
                <w:rFonts w:eastAsia="Arial Unicode MS"/>
                <w:snapToGrid w:val="0"/>
                <w:sz w:val="17"/>
              </w:rPr>
            </w:pPr>
            <w:r>
              <w:rPr>
                <w:rFonts w:eastAsia="Arial Unicode MS"/>
                <w:snapToGrid w:val="0"/>
                <w:sz w:val="17"/>
              </w:rPr>
              <w:t>1998</w:t>
            </w:r>
          </w:p>
        </w:tc>
        <w:tc>
          <w:tcPr>
            <w:tcW w:w="1070" w:type="dxa"/>
            <w:gridSpan w:val="2"/>
            <w:tcBorders>
              <w:bottom w:val="single" w:sz="12" w:space="0" w:color="auto"/>
            </w:tcBorders>
            <w:vAlign w:val="bottom"/>
          </w:tcPr>
          <w:p w:rsidR="00000000" w:rsidRDefault="00000000">
            <w:pPr>
              <w:keepNext/>
              <w:tabs>
                <w:tab w:val="decimal" w:pos="567"/>
              </w:tabs>
              <w:spacing w:before="10" w:line="240" w:lineRule="auto"/>
              <w:ind w:right="176"/>
              <w:rPr>
                <w:rFonts w:eastAsia="Arial Unicode MS"/>
                <w:sz w:val="17"/>
              </w:rPr>
            </w:pPr>
            <w:r>
              <w:rPr>
                <w:rFonts w:eastAsia="Arial Unicode MS"/>
                <w:sz w:val="17"/>
              </w:rPr>
              <w:t>0,3</w:t>
            </w:r>
          </w:p>
        </w:tc>
        <w:tc>
          <w:tcPr>
            <w:tcW w:w="1066" w:type="dxa"/>
            <w:tcBorders>
              <w:bottom w:val="single" w:sz="12" w:space="0" w:color="auto"/>
            </w:tcBorders>
            <w:vAlign w:val="bottom"/>
          </w:tcPr>
          <w:p w:rsidR="00000000" w:rsidRDefault="00000000">
            <w:pPr>
              <w:keepNext/>
              <w:spacing w:before="10" w:line="240" w:lineRule="auto"/>
              <w:ind w:right="176"/>
              <w:jc w:val="right"/>
              <w:rPr>
                <w:rFonts w:eastAsia="Arial Unicode MS"/>
                <w:sz w:val="17"/>
              </w:rPr>
            </w:pPr>
            <w:r>
              <w:rPr>
                <w:rFonts w:eastAsia="Arial Unicode MS"/>
                <w:sz w:val="17"/>
              </w:rPr>
              <w:t>1998</w:t>
            </w:r>
          </w:p>
        </w:tc>
      </w:tr>
    </w:tbl>
    <w:p w:rsidR="00000000" w:rsidRDefault="00000000">
      <w:pPr>
        <w:pStyle w:val="SingleTxt"/>
        <w:spacing w:before="120"/>
      </w:pPr>
      <w:r>
        <w:t>2.1.</w:t>
      </w:r>
      <w:r>
        <w:tab/>
        <w:t>Население Малави в целом по-прежнему является молодым, и при этом средний возраст составляет 18 лет. Такая структура отражает ту, которая была отмечена во время проведения в 1992 году обследования в области народон</w:t>
      </w:r>
      <w:r>
        <w:t>а</w:t>
      </w:r>
      <w:r>
        <w:t>селения и здравоохранения в Малави и в 1998 году переписи населения и ж</w:t>
      </w:r>
      <w:r>
        <w:t>и</w:t>
      </w:r>
      <w:r>
        <w:t xml:space="preserve">лого фонда. Каждый шестой — это ребенок в возрасте до 5 лет. Из 9,9 миллиона человек 1,2, 3,1 и 4,1 живут в </w:t>
      </w:r>
      <w:r>
        <w:rPr>
          <w:caps/>
        </w:rPr>
        <w:t>с</w:t>
      </w:r>
      <w:r>
        <w:t xml:space="preserve">еверной, </w:t>
      </w:r>
      <w:r>
        <w:rPr>
          <w:caps/>
        </w:rPr>
        <w:t>ц</w:t>
      </w:r>
      <w:r>
        <w:t xml:space="preserve">ентральной и </w:t>
      </w:r>
      <w:r>
        <w:rPr>
          <w:caps/>
        </w:rPr>
        <w:t>ю</w:t>
      </w:r>
      <w:r>
        <w:t>жной провинциях с</w:t>
      </w:r>
      <w:r>
        <w:t>о</w:t>
      </w:r>
      <w:r>
        <w:t>ответственно.</w:t>
      </w:r>
    </w:p>
    <w:p w:rsidR="00000000" w:rsidRDefault="00000000">
      <w:pPr>
        <w:pStyle w:val="SingleTxt"/>
        <w:spacing w:before="120"/>
      </w:pPr>
      <w:r>
        <w:t>2.2.</w:t>
      </w:r>
      <w:r>
        <w:tab/>
        <w:t xml:space="preserve">В настоящее время Малави разделена на 28 районов: 6, 9 и 13 в </w:t>
      </w:r>
      <w:r>
        <w:rPr>
          <w:caps/>
        </w:rPr>
        <w:t>с</w:t>
      </w:r>
      <w:r>
        <w:t xml:space="preserve">еверной, </w:t>
      </w:r>
      <w:r>
        <w:rPr>
          <w:caps/>
        </w:rPr>
        <w:t>ц</w:t>
      </w:r>
      <w:r>
        <w:t xml:space="preserve">ентральной и Южной провинциях соответственно. Во всех районах в </w:t>
      </w:r>
      <w:r>
        <w:rPr>
          <w:caps/>
        </w:rPr>
        <w:t>с</w:t>
      </w:r>
      <w:r>
        <w:t>еве</w:t>
      </w:r>
      <w:r>
        <w:t>р</w:t>
      </w:r>
      <w:r>
        <w:t xml:space="preserve">ной провинции и в двух районах в </w:t>
      </w:r>
      <w:r>
        <w:rPr>
          <w:caps/>
        </w:rPr>
        <w:t>ю</w:t>
      </w:r>
      <w:r>
        <w:t xml:space="preserve">жной и </w:t>
      </w:r>
      <w:r>
        <w:rPr>
          <w:caps/>
        </w:rPr>
        <w:t>ц</w:t>
      </w:r>
      <w:r>
        <w:t>ентральной провинциях сущес</w:t>
      </w:r>
      <w:r>
        <w:t>т</w:t>
      </w:r>
      <w:r>
        <w:t>вует патрилинейная общественная структура. В остальных районах такая структура отношений определяется по женской линии. При той и другой структуре общественных отношений главенствующее положение занимают мужчины, и поэтому все права в семье и политической жизни принадлежат в осно</w:t>
      </w:r>
      <w:r>
        <w:t>в</w:t>
      </w:r>
      <w:r>
        <w:t xml:space="preserve">ном им. </w:t>
      </w:r>
    </w:p>
    <w:p w:rsidR="00000000" w:rsidRDefault="00000000">
      <w:pPr>
        <w:pStyle w:val="SingleTxt"/>
      </w:pPr>
      <w:r>
        <w:t>2.3.</w:t>
      </w:r>
      <w:r>
        <w:tab/>
        <w:t>Главенство мужчин на основных руководящих позициях свидетельствует о неравенстве отношений и бесправии женщин в Малави. Нижеприводимые данные говорят о том, что в Малави между женщинами и мужчинами нет р</w:t>
      </w:r>
      <w:r>
        <w:t>а</w:t>
      </w:r>
      <w:r>
        <w:t>венс</w:t>
      </w:r>
      <w:r>
        <w:t>т</w:t>
      </w:r>
      <w:r>
        <w:t>ва в осуществлении их прав человека.</w:t>
      </w:r>
    </w:p>
    <w:tbl>
      <w:tblPr>
        <w:tblW w:w="0" w:type="auto"/>
        <w:tblInd w:w="1278" w:type="dxa"/>
        <w:tblLayout w:type="fixed"/>
        <w:tblCellMar>
          <w:left w:w="28" w:type="dxa"/>
          <w:right w:w="28" w:type="dxa"/>
        </w:tblCellMar>
        <w:tblLook w:val="0000" w:firstRow="0" w:lastRow="0" w:firstColumn="0" w:lastColumn="0" w:noHBand="0" w:noVBand="0"/>
      </w:tblPr>
      <w:tblGrid>
        <w:gridCol w:w="2552"/>
        <w:gridCol w:w="1169"/>
        <w:gridCol w:w="1169"/>
        <w:gridCol w:w="1169"/>
        <w:gridCol w:w="1170"/>
      </w:tblGrid>
      <w:tr w:rsidR="00000000">
        <w:tblPrEx>
          <w:tblCellMar>
            <w:top w:w="0" w:type="dxa"/>
            <w:bottom w:w="0" w:type="dxa"/>
          </w:tblCellMar>
        </w:tblPrEx>
        <w:trPr>
          <w:cantSplit/>
          <w:tblHeader/>
        </w:trPr>
        <w:tc>
          <w:tcPr>
            <w:tcW w:w="2552" w:type="dxa"/>
            <w:tcBorders>
              <w:top w:val="single" w:sz="4" w:space="0" w:color="auto"/>
              <w:bottom w:val="single" w:sz="12" w:space="0" w:color="auto"/>
            </w:tcBorders>
          </w:tcPr>
          <w:p w:rsidR="00000000" w:rsidRDefault="00000000">
            <w:pPr>
              <w:pStyle w:val="Header"/>
              <w:tabs>
                <w:tab w:val="clear" w:pos="4320"/>
                <w:tab w:val="clear" w:pos="8640"/>
              </w:tabs>
              <w:spacing w:line="240" w:lineRule="exact"/>
              <w:rPr>
                <w:noProof w:val="0"/>
                <w:snapToGrid w:val="0"/>
                <w:spacing w:val="4"/>
                <w:w w:val="103"/>
                <w:kern w:val="14"/>
              </w:rPr>
            </w:pPr>
          </w:p>
        </w:tc>
        <w:tc>
          <w:tcPr>
            <w:tcW w:w="1169" w:type="dxa"/>
            <w:tcBorders>
              <w:top w:val="single" w:sz="4" w:space="0" w:color="auto"/>
              <w:bottom w:val="single" w:sz="12" w:space="0" w:color="auto"/>
            </w:tcBorders>
          </w:tcPr>
          <w:p w:rsidR="00000000" w:rsidRDefault="00000000">
            <w:pPr>
              <w:jc w:val="center"/>
              <w:rPr>
                <w:rFonts w:eastAsia="Arial Unicode MS"/>
                <w:i/>
                <w:snapToGrid w:val="0"/>
                <w:sz w:val="17"/>
              </w:rPr>
            </w:pPr>
            <w:r>
              <w:rPr>
                <w:rFonts w:eastAsia="Arial Unicode MS"/>
                <w:i/>
                <w:snapToGrid w:val="0"/>
                <w:sz w:val="17"/>
              </w:rPr>
              <w:t>Женщ</w:t>
            </w:r>
            <w:r>
              <w:rPr>
                <w:rFonts w:eastAsia="Arial Unicode MS"/>
                <w:i/>
                <w:snapToGrid w:val="0"/>
                <w:sz w:val="17"/>
              </w:rPr>
              <w:t>и</w:t>
            </w:r>
            <w:r>
              <w:rPr>
                <w:rFonts w:eastAsia="Arial Unicode MS"/>
                <w:i/>
                <w:snapToGrid w:val="0"/>
                <w:sz w:val="17"/>
              </w:rPr>
              <w:t>ны</w:t>
            </w:r>
          </w:p>
        </w:tc>
        <w:tc>
          <w:tcPr>
            <w:tcW w:w="1169" w:type="dxa"/>
            <w:tcBorders>
              <w:top w:val="single" w:sz="4" w:space="0" w:color="auto"/>
              <w:bottom w:val="single" w:sz="12" w:space="0" w:color="auto"/>
            </w:tcBorders>
          </w:tcPr>
          <w:p w:rsidR="00000000" w:rsidRDefault="00000000">
            <w:pPr>
              <w:jc w:val="center"/>
              <w:rPr>
                <w:rFonts w:eastAsia="Arial Unicode MS"/>
                <w:i/>
                <w:snapToGrid w:val="0"/>
                <w:sz w:val="17"/>
              </w:rPr>
            </w:pPr>
            <w:r>
              <w:rPr>
                <w:rFonts w:eastAsia="Arial Unicode MS"/>
                <w:i/>
                <w:snapToGrid w:val="0"/>
                <w:sz w:val="17"/>
              </w:rPr>
              <w:t>Год</w:t>
            </w:r>
          </w:p>
        </w:tc>
        <w:tc>
          <w:tcPr>
            <w:tcW w:w="1169" w:type="dxa"/>
            <w:tcBorders>
              <w:top w:val="single" w:sz="4" w:space="0" w:color="auto"/>
              <w:bottom w:val="single" w:sz="12" w:space="0" w:color="auto"/>
            </w:tcBorders>
          </w:tcPr>
          <w:p w:rsidR="00000000" w:rsidRDefault="00000000">
            <w:pPr>
              <w:jc w:val="center"/>
              <w:rPr>
                <w:rFonts w:eastAsia="Arial Unicode MS"/>
                <w:i/>
                <w:sz w:val="17"/>
              </w:rPr>
            </w:pPr>
            <w:r>
              <w:rPr>
                <w:rFonts w:eastAsia="Arial Unicode MS"/>
                <w:i/>
                <w:sz w:val="17"/>
              </w:rPr>
              <w:t>Мужч</w:t>
            </w:r>
            <w:r>
              <w:rPr>
                <w:rFonts w:eastAsia="Arial Unicode MS"/>
                <w:i/>
                <w:sz w:val="17"/>
              </w:rPr>
              <w:t>и</w:t>
            </w:r>
            <w:r>
              <w:rPr>
                <w:rFonts w:eastAsia="Arial Unicode MS"/>
                <w:i/>
                <w:sz w:val="17"/>
              </w:rPr>
              <w:t>ны</w:t>
            </w:r>
          </w:p>
        </w:tc>
        <w:tc>
          <w:tcPr>
            <w:tcW w:w="1170" w:type="dxa"/>
            <w:tcBorders>
              <w:top w:val="single" w:sz="4" w:space="0" w:color="auto"/>
              <w:bottom w:val="single" w:sz="12" w:space="0" w:color="auto"/>
            </w:tcBorders>
          </w:tcPr>
          <w:p w:rsidR="00000000" w:rsidRDefault="00000000">
            <w:pPr>
              <w:jc w:val="center"/>
              <w:rPr>
                <w:rFonts w:eastAsia="Arial Unicode MS"/>
                <w:i/>
                <w:sz w:val="17"/>
              </w:rPr>
            </w:pPr>
            <w:r>
              <w:rPr>
                <w:rFonts w:eastAsia="Arial Unicode MS"/>
                <w:i/>
                <w:sz w:val="17"/>
              </w:rPr>
              <w:t>Год</w:t>
            </w:r>
          </w:p>
        </w:tc>
      </w:tr>
      <w:tr w:rsidR="00000000">
        <w:tblPrEx>
          <w:tblCellMar>
            <w:top w:w="0" w:type="dxa"/>
            <w:bottom w:w="0" w:type="dxa"/>
          </w:tblCellMar>
        </w:tblPrEx>
        <w:trPr>
          <w:cantSplit/>
        </w:trPr>
        <w:tc>
          <w:tcPr>
            <w:tcW w:w="2552" w:type="dxa"/>
            <w:tcBorders>
              <w:top w:val="single" w:sz="12" w:space="0" w:color="auto"/>
            </w:tcBorders>
          </w:tcPr>
          <w:p w:rsidR="00000000" w:rsidRDefault="00000000">
            <w:pPr>
              <w:pStyle w:val="Heading5"/>
            </w:pPr>
            <w:r>
              <w:t>Экономические пок</w:t>
            </w:r>
            <w:r>
              <w:t>а</w:t>
            </w:r>
            <w:r>
              <w:t>затели</w:t>
            </w:r>
          </w:p>
        </w:tc>
        <w:tc>
          <w:tcPr>
            <w:tcW w:w="1169" w:type="dxa"/>
            <w:tcBorders>
              <w:top w:val="single" w:sz="12" w:space="0" w:color="auto"/>
            </w:tcBorders>
          </w:tcPr>
          <w:p w:rsidR="00000000" w:rsidRDefault="00000000">
            <w:pPr>
              <w:pStyle w:val="Header"/>
              <w:tabs>
                <w:tab w:val="clear" w:pos="4320"/>
                <w:tab w:val="clear" w:pos="8640"/>
                <w:tab w:val="decimal" w:pos="567"/>
              </w:tabs>
              <w:spacing w:line="240" w:lineRule="exact"/>
              <w:rPr>
                <w:rFonts w:eastAsia="Arial Unicode MS"/>
                <w:noProof w:val="0"/>
                <w:snapToGrid w:val="0"/>
                <w:spacing w:val="4"/>
                <w:w w:val="103"/>
                <w:kern w:val="14"/>
              </w:rPr>
            </w:pPr>
          </w:p>
        </w:tc>
        <w:tc>
          <w:tcPr>
            <w:tcW w:w="1169" w:type="dxa"/>
            <w:tcBorders>
              <w:top w:val="single" w:sz="12" w:space="0" w:color="auto"/>
            </w:tcBorders>
          </w:tcPr>
          <w:p w:rsidR="00000000" w:rsidRDefault="00000000">
            <w:pPr>
              <w:jc w:val="center"/>
              <w:rPr>
                <w:rFonts w:eastAsia="Arial Unicode MS"/>
                <w:snapToGrid w:val="0"/>
                <w:sz w:val="17"/>
              </w:rPr>
            </w:pPr>
          </w:p>
        </w:tc>
        <w:tc>
          <w:tcPr>
            <w:tcW w:w="1169" w:type="dxa"/>
            <w:tcBorders>
              <w:top w:val="single" w:sz="12" w:space="0" w:color="auto"/>
            </w:tcBorders>
          </w:tcPr>
          <w:p w:rsidR="00000000" w:rsidRDefault="00000000">
            <w:pPr>
              <w:pStyle w:val="Header"/>
              <w:tabs>
                <w:tab w:val="clear" w:pos="4320"/>
                <w:tab w:val="clear" w:pos="8640"/>
                <w:tab w:val="decimal" w:pos="610"/>
              </w:tabs>
              <w:spacing w:line="240" w:lineRule="exact"/>
              <w:rPr>
                <w:noProof w:val="0"/>
                <w:spacing w:val="4"/>
                <w:w w:val="103"/>
                <w:kern w:val="14"/>
              </w:rPr>
            </w:pPr>
          </w:p>
        </w:tc>
        <w:tc>
          <w:tcPr>
            <w:tcW w:w="1170" w:type="dxa"/>
            <w:tcBorders>
              <w:top w:val="single" w:sz="12" w:space="0" w:color="auto"/>
            </w:tcBorders>
          </w:tcPr>
          <w:p w:rsidR="00000000" w:rsidRDefault="00000000">
            <w:pPr>
              <w:jc w:val="center"/>
              <w:rPr>
                <w:sz w:val="17"/>
              </w:rPr>
            </w:pPr>
          </w:p>
        </w:tc>
      </w:tr>
      <w:tr w:rsidR="00000000">
        <w:tblPrEx>
          <w:tblCellMar>
            <w:top w:w="0" w:type="dxa"/>
            <w:bottom w:w="0" w:type="dxa"/>
          </w:tblCellMar>
        </w:tblPrEx>
        <w:trPr>
          <w:cantSplit/>
        </w:trPr>
        <w:tc>
          <w:tcPr>
            <w:tcW w:w="2552" w:type="dxa"/>
          </w:tcPr>
          <w:p w:rsidR="00000000" w:rsidRDefault="00000000">
            <w:pPr>
              <w:ind w:left="199"/>
              <w:rPr>
                <w:snapToGrid w:val="0"/>
                <w:sz w:val="17"/>
              </w:rPr>
            </w:pPr>
            <w:r>
              <w:rPr>
                <w:rFonts w:eastAsia="Arial Unicode MS"/>
                <w:snapToGrid w:val="0"/>
                <w:sz w:val="17"/>
              </w:rPr>
              <w:t>Национальная черта бедн</w:t>
            </w:r>
            <w:r>
              <w:rPr>
                <w:rFonts w:eastAsia="Arial Unicode MS"/>
                <w:snapToGrid w:val="0"/>
                <w:sz w:val="17"/>
              </w:rPr>
              <w:t>о</w:t>
            </w:r>
            <w:r>
              <w:rPr>
                <w:rFonts w:eastAsia="Arial Unicode MS"/>
                <w:snapToGrid w:val="0"/>
                <w:sz w:val="17"/>
              </w:rPr>
              <w:t>сти</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54,0</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2000</w:t>
            </w:r>
          </w:p>
        </w:tc>
        <w:tc>
          <w:tcPr>
            <w:tcW w:w="1169" w:type="dxa"/>
            <w:vAlign w:val="bottom"/>
          </w:tcPr>
          <w:p w:rsidR="00000000" w:rsidRDefault="00000000">
            <w:pPr>
              <w:tabs>
                <w:tab w:val="decimal" w:pos="610"/>
              </w:tabs>
              <w:ind w:right="291"/>
              <w:rPr>
                <w:sz w:val="17"/>
              </w:rPr>
            </w:pPr>
          </w:p>
        </w:tc>
        <w:tc>
          <w:tcPr>
            <w:tcW w:w="1170" w:type="dxa"/>
            <w:vAlign w:val="bottom"/>
          </w:tcPr>
          <w:p w:rsidR="00000000" w:rsidRDefault="00000000">
            <w:pPr>
              <w:ind w:right="291"/>
              <w:jc w:val="right"/>
              <w:rPr>
                <w:sz w:val="17"/>
              </w:rPr>
            </w:pPr>
          </w:p>
        </w:tc>
      </w:tr>
      <w:tr w:rsidR="00000000">
        <w:tblPrEx>
          <w:tblCellMar>
            <w:top w:w="0" w:type="dxa"/>
            <w:bottom w:w="0" w:type="dxa"/>
          </w:tblCellMar>
        </w:tblPrEx>
        <w:trPr>
          <w:cantSplit/>
        </w:trPr>
        <w:tc>
          <w:tcPr>
            <w:tcW w:w="2552" w:type="dxa"/>
          </w:tcPr>
          <w:p w:rsidR="00000000" w:rsidRDefault="00000000">
            <w:pPr>
              <w:ind w:left="199"/>
              <w:rPr>
                <w:rFonts w:eastAsia="Arial Unicode MS"/>
                <w:snapToGrid w:val="0"/>
                <w:sz w:val="17"/>
              </w:rPr>
            </w:pPr>
            <w:r>
              <w:rPr>
                <w:rFonts w:eastAsia="Arial Unicode MS"/>
                <w:snapToGrid w:val="0"/>
                <w:sz w:val="17"/>
              </w:rPr>
              <w:t>Коэффициент Дж</w:t>
            </w:r>
            <w:r>
              <w:rPr>
                <w:rFonts w:eastAsia="Arial Unicode MS"/>
                <w:snapToGrid w:val="0"/>
                <w:sz w:val="17"/>
              </w:rPr>
              <w:t>и</w:t>
            </w:r>
            <w:r>
              <w:rPr>
                <w:rFonts w:eastAsia="Arial Unicode MS"/>
                <w:snapToGrid w:val="0"/>
                <w:sz w:val="17"/>
              </w:rPr>
              <w:t>ни</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0,88</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w:t>
            </w:r>
          </w:p>
        </w:tc>
        <w:tc>
          <w:tcPr>
            <w:tcW w:w="1169" w:type="dxa"/>
            <w:vAlign w:val="bottom"/>
          </w:tcPr>
          <w:p w:rsidR="00000000" w:rsidRDefault="00000000">
            <w:pPr>
              <w:tabs>
                <w:tab w:val="decimal" w:pos="610"/>
              </w:tabs>
              <w:ind w:right="291"/>
              <w:rPr>
                <w:sz w:val="17"/>
              </w:rPr>
            </w:pPr>
          </w:p>
        </w:tc>
        <w:tc>
          <w:tcPr>
            <w:tcW w:w="1170" w:type="dxa"/>
            <w:vAlign w:val="bottom"/>
          </w:tcPr>
          <w:p w:rsidR="00000000" w:rsidRDefault="00000000">
            <w:pPr>
              <w:ind w:right="291"/>
              <w:jc w:val="right"/>
              <w:rPr>
                <w:sz w:val="17"/>
              </w:rPr>
            </w:pPr>
          </w:p>
        </w:tc>
      </w:tr>
      <w:tr w:rsidR="00000000">
        <w:tblPrEx>
          <w:tblCellMar>
            <w:top w:w="0" w:type="dxa"/>
            <w:bottom w:w="0" w:type="dxa"/>
          </w:tblCellMar>
        </w:tblPrEx>
        <w:trPr>
          <w:cantSplit/>
        </w:trPr>
        <w:tc>
          <w:tcPr>
            <w:tcW w:w="2552" w:type="dxa"/>
          </w:tcPr>
          <w:p w:rsidR="00000000" w:rsidRDefault="00000000">
            <w:pPr>
              <w:ind w:left="199"/>
              <w:rPr>
                <w:sz w:val="17"/>
              </w:rPr>
            </w:pPr>
            <w:r>
              <w:rPr>
                <w:rFonts w:eastAsia="Arial Unicode MS"/>
                <w:snapToGrid w:val="0"/>
                <w:sz w:val="17"/>
              </w:rPr>
              <w:t>Среднегодовые темпы и</w:t>
            </w:r>
            <w:r>
              <w:rPr>
                <w:rFonts w:eastAsia="Arial Unicode MS"/>
                <w:snapToGrid w:val="0"/>
                <w:sz w:val="17"/>
              </w:rPr>
              <w:t>н</w:t>
            </w:r>
            <w:r>
              <w:rPr>
                <w:rFonts w:eastAsia="Arial Unicode MS"/>
                <w:snapToGrid w:val="0"/>
                <w:sz w:val="17"/>
              </w:rPr>
              <w:t>фляции</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29,6</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2000</w:t>
            </w:r>
          </w:p>
        </w:tc>
        <w:tc>
          <w:tcPr>
            <w:tcW w:w="1169" w:type="dxa"/>
            <w:vAlign w:val="bottom"/>
          </w:tcPr>
          <w:p w:rsidR="00000000" w:rsidRDefault="00000000">
            <w:pPr>
              <w:tabs>
                <w:tab w:val="decimal" w:pos="610"/>
              </w:tabs>
              <w:ind w:right="291"/>
              <w:rPr>
                <w:sz w:val="17"/>
              </w:rPr>
            </w:pPr>
          </w:p>
        </w:tc>
        <w:tc>
          <w:tcPr>
            <w:tcW w:w="1170" w:type="dxa"/>
            <w:vAlign w:val="bottom"/>
          </w:tcPr>
          <w:p w:rsidR="00000000" w:rsidRDefault="00000000">
            <w:pPr>
              <w:ind w:right="291"/>
              <w:jc w:val="right"/>
              <w:rPr>
                <w:sz w:val="17"/>
              </w:rPr>
            </w:pPr>
          </w:p>
        </w:tc>
      </w:tr>
      <w:tr w:rsidR="00000000">
        <w:tblPrEx>
          <w:tblCellMar>
            <w:top w:w="0" w:type="dxa"/>
            <w:bottom w:w="0" w:type="dxa"/>
          </w:tblCellMar>
        </w:tblPrEx>
        <w:trPr>
          <w:cantSplit/>
        </w:trPr>
        <w:tc>
          <w:tcPr>
            <w:tcW w:w="2552" w:type="dxa"/>
          </w:tcPr>
          <w:p w:rsidR="00000000" w:rsidRDefault="00000000">
            <w:pPr>
              <w:ind w:left="199"/>
              <w:rPr>
                <w:sz w:val="17"/>
              </w:rPr>
            </w:pPr>
            <w:r>
              <w:rPr>
                <w:rFonts w:eastAsia="Arial Unicode MS"/>
                <w:snapToGrid w:val="0"/>
                <w:sz w:val="17"/>
              </w:rPr>
              <w:t>ВВП на душу населения (в долл. США)</w:t>
            </w:r>
          </w:p>
        </w:tc>
        <w:tc>
          <w:tcPr>
            <w:tcW w:w="1169" w:type="dxa"/>
            <w:vAlign w:val="bottom"/>
          </w:tcPr>
          <w:p w:rsidR="00000000" w:rsidRDefault="00000000">
            <w:pPr>
              <w:tabs>
                <w:tab w:val="decimal" w:pos="567"/>
              </w:tabs>
              <w:ind w:right="291"/>
              <w:rPr>
                <w:sz w:val="17"/>
              </w:rPr>
            </w:pPr>
            <w:r>
              <w:rPr>
                <w:rFonts w:eastAsia="Arial Unicode MS"/>
                <w:snapToGrid w:val="0"/>
                <w:sz w:val="17"/>
              </w:rPr>
              <w:t>615</w:t>
            </w:r>
          </w:p>
        </w:tc>
        <w:tc>
          <w:tcPr>
            <w:tcW w:w="1169" w:type="dxa"/>
            <w:vAlign w:val="bottom"/>
          </w:tcPr>
          <w:p w:rsidR="00000000" w:rsidRDefault="00000000">
            <w:pPr>
              <w:ind w:right="291"/>
              <w:jc w:val="right"/>
              <w:rPr>
                <w:sz w:val="17"/>
              </w:rPr>
            </w:pPr>
            <w:r>
              <w:rPr>
                <w:rFonts w:eastAsia="Arial Unicode MS"/>
                <w:snapToGrid w:val="0"/>
                <w:sz w:val="17"/>
              </w:rPr>
              <w:t>2000</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64,5</w:t>
            </w:r>
          </w:p>
        </w:tc>
        <w:tc>
          <w:tcPr>
            <w:tcW w:w="1170" w:type="dxa"/>
            <w:vAlign w:val="bottom"/>
          </w:tcPr>
          <w:p w:rsidR="00000000" w:rsidRDefault="00000000">
            <w:pPr>
              <w:ind w:right="291"/>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2552" w:type="dxa"/>
          </w:tcPr>
          <w:p w:rsidR="00000000" w:rsidRDefault="00000000">
            <w:pPr>
              <w:ind w:left="199"/>
              <w:rPr>
                <w:rFonts w:eastAsia="Arial Unicode MS"/>
                <w:snapToGrid w:val="0"/>
                <w:sz w:val="17"/>
              </w:rPr>
            </w:pPr>
            <w:r>
              <w:rPr>
                <w:rFonts w:eastAsia="Arial Unicode MS"/>
                <w:snapToGrid w:val="0"/>
                <w:sz w:val="17"/>
              </w:rPr>
              <w:t xml:space="preserve">Темпы роста </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1,7</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2000</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77,0</w:t>
            </w:r>
          </w:p>
        </w:tc>
        <w:tc>
          <w:tcPr>
            <w:tcW w:w="1170" w:type="dxa"/>
            <w:vAlign w:val="bottom"/>
          </w:tcPr>
          <w:p w:rsidR="00000000" w:rsidRDefault="00000000">
            <w:pPr>
              <w:ind w:right="291"/>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2552" w:type="dxa"/>
          </w:tcPr>
          <w:p w:rsidR="00000000" w:rsidRDefault="00000000">
            <w:pPr>
              <w:ind w:left="199"/>
              <w:rPr>
                <w:sz w:val="17"/>
              </w:rPr>
            </w:pPr>
            <w:r>
              <w:rPr>
                <w:rFonts w:eastAsia="Arial Unicode MS"/>
                <w:snapToGrid w:val="0"/>
                <w:sz w:val="17"/>
              </w:rPr>
              <w:t>Доля внешней задолженн</w:t>
            </w:r>
            <w:r>
              <w:rPr>
                <w:rFonts w:eastAsia="Arial Unicode MS"/>
                <w:snapToGrid w:val="0"/>
                <w:sz w:val="17"/>
              </w:rPr>
              <w:t>о</w:t>
            </w:r>
            <w:r>
              <w:rPr>
                <w:rFonts w:eastAsia="Arial Unicode MS"/>
                <w:snapToGrid w:val="0"/>
                <w:sz w:val="17"/>
              </w:rPr>
              <w:t>сти в ВВП</w:t>
            </w:r>
          </w:p>
        </w:tc>
        <w:tc>
          <w:tcPr>
            <w:tcW w:w="1169" w:type="dxa"/>
            <w:vAlign w:val="bottom"/>
          </w:tcPr>
          <w:p w:rsidR="00000000" w:rsidRDefault="00000000">
            <w:pPr>
              <w:tabs>
                <w:tab w:val="decimal" w:pos="567"/>
              </w:tabs>
              <w:ind w:right="291"/>
              <w:rPr>
                <w:snapToGrid w:val="0"/>
                <w:sz w:val="17"/>
              </w:rPr>
            </w:pPr>
            <w:r>
              <w:rPr>
                <w:rFonts w:eastAsia="Arial Unicode MS"/>
                <w:snapToGrid w:val="0"/>
                <w:sz w:val="17"/>
              </w:rPr>
              <w:t>150,3</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2000</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74,4</w:t>
            </w:r>
          </w:p>
        </w:tc>
        <w:tc>
          <w:tcPr>
            <w:tcW w:w="1170" w:type="dxa"/>
            <w:vAlign w:val="bottom"/>
          </w:tcPr>
          <w:p w:rsidR="00000000" w:rsidRDefault="00000000">
            <w:pPr>
              <w:ind w:right="291"/>
              <w:jc w:val="right"/>
              <w:rPr>
                <w:rFonts w:eastAsia="Arial Unicode MS"/>
                <w:sz w:val="17"/>
              </w:rPr>
            </w:pPr>
            <w:r>
              <w:rPr>
                <w:rFonts w:eastAsia="Arial Unicode MS"/>
                <w:sz w:val="17"/>
              </w:rPr>
              <w:t>1999</w:t>
            </w:r>
          </w:p>
        </w:tc>
      </w:tr>
      <w:tr w:rsidR="00000000">
        <w:tblPrEx>
          <w:tblCellMar>
            <w:top w:w="0" w:type="dxa"/>
            <w:bottom w:w="0" w:type="dxa"/>
          </w:tblCellMar>
        </w:tblPrEx>
        <w:trPr>
          <w:cantSplit/>
        </w:trPr>
        <w:tc>
          <w:tcPr>
            <w:tcW w:w="2552" w:type="dxa"/>
          </w:tcPr>
          <w:p w:rsidR="00000000" w:rsidRDefault="00000000">
            <w:pPr>
              <w:ind w:left="199"/>
              <w:rPr>
                <w:rFonts w:eastAsia="Arial Unicode MS"/>
                <w:snapToGrid w:val="0"/>
                <w:sz w:val="17"/>
              </w:rPr>
            </w:pPr>
            <w:r>
              <w:rPr>
                <w:rFonts w:eastAsia="Arial Unicode MS"/>
                <w:snapToGrid w:val="0"/>
                <w:sz w:val="17"/>
              </w:rPr>
              <w:t>Общие расходы на погаш</w:t>
            </w:r>
            <w:r>
              <w:rPr>
                <w:rFonts w:eastAsia="Arial Unicode MS"/>
                <w:snapToGrid w:val="0"/>
                <w:sz w:val="17"/>
              </w:rPr>
              <w:t>е</w:t>
            </w:r>
            <w:r>
              <w:rPr>
                <w:rFonts w:eastAsia="Arial Unicode MS"/>
                <w:snapToGrid w:val="0"/>
                <w:sz w:val="17"/>
              </w:rPr>
              <w:t>ние задолженности в  %от ВВП</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3,5</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2000</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36,7</w:t>
            </w:r>
          </w:p>
        </w:tc>
        <w:tc>
          <w:tcPr>
            <w:tcW w:w="1170" w:type="dxa"/>
            <w:vAlign w:val="bottom"/>
          </w:tcPr>
          <w:p w:rsidR="00000000" w:rsidRDefault="00000000">
            <w:pPr>
              <w:ind w:right="291"/>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2552" w:type="dxa"/>
          </w:tcPr>
          <w:p w:rsidR="00000000" w:rsidRDefault="00000000">
            <w:pPr>
              <w:pStyle w:val="Heading5"/>
              <w:rPr>
                <w:snapToGrid/>
              </w:rPr>
            </w:pPr>
            <w:r>
              <w:rPr>
                <w:snapToGrid/>
              </w:rPr>
              <w:t>Уровень бедности</w:t>
            </w:r>
          </w:p>
        </w:tc>
        <w:tc>
          <w:tcPr>
            <w:tcW w:w="1169" w:type="dxa"/>
            <w:vAlign w:val="bottom"/>
          </w:tcPr>
          <w:p w:rsidR="00000000" w:rsidRDefault="00000000">
            <w:pPr>
              <w:tabs>
                <w:tab w:val="decimal" w:pos="567"/>
              </w:tabs>
              <w:ind w:right="291"/>
              <w:rPr>
                <w:rFonts w:eastAsia="Arial Unicode MS"/>
                <w:snapToGrid w:val="0"/>
                <w:sz w:val="17"/>
              </w:rPr>
            </w:pPr>
          </w:p>
        </w:tc>
        <w:tc>
          <w:tcPr>
            <w:tcW w:w="1169" w:type="dxa"/>
            <w:vAlign w:val="bottom"/>
          </w:tcPr>
          <w:p w:rsidR="00000000" w:rsidRDefault="00000000">
            <w:pPr>
              <w:ind w:right="291"/>
              <w:jc w:val="right"/>
              <w:rPr>
                <w:rFonts w:eastAsia="Arial Unicode MS"/>
                <w:snapToGrid w:val="0"/>
                <w:sz w:val="17"/>
              </w:rPr>
            </w:pPr>
          </w:p>
        </w:tc>
        <w:tc>
          <w:tcPr>
            <w:tcW w:w="1169" w:type="dxa"/>
            <w:vAlign w:val="bottom"/>
          </w:tcPr>
          <w:p w:rsidR="00000000" w:rsidRDefault="00000000">
            <w:pPr>
              <w:tabs>
                <w:tab w:val="decimal" w:pos="610"/>
              </w:tabs>
              <w:ind w:right="291"/>
              <w:rPr>
                <w:rFonts w:eastAsia="Arial Unicode MS"/>
                <w:sz w:val="17"/>
              </w:rPr>
            </w:pPr>
          </w:p>
        </w:tc>
        <w:tc>
          <w:tcPr>
            <w:tcW w:w="1170" w:type="dxa"/>
            <w:vAlign w:val="bottom"/>
          </w:tcPr>
          <w:p w:rsidR="00000000" w:rsidRDefault="00000000">
            <w:pPr>
              <w:ind w:right="291"/>
              <w:jc w:val="right"/>
              <w:rPr>
                <w:rFonts w:eastAsia="Arial Unicode MS"/>
                <w:sz w:val="17"/>
              </w:rPr>
            </w:pP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Бедные</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63,3</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1998</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64,7</w:t>
            </w:r>
          </w:p>
        </w:tc>
        <w:tc>
          <w:tcPr>
            <w:tcW w:w="1170" w:type="dxa"/>
            <w:vAlign w:val="bottom"/>
          </w:tcPr>
          <w:p w:rsidR="00000000" w:rsidRDefault="00000000">
            <w:pPr>
              <w:ind w:right="291"/>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Нищие</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28,0</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1998</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27,6</w:t>
            </w:r>
          </w:p>
        </w:tc>
        <w:tc>
          <w:tcPr>
            <w:tcW w:w="1170" w:type="dxa"/>
            <w:vAlign w:val="bottom"/>
          </w:tcPr>
          <w:p w:rsidR="00000000" w:rsidRDefault="00000000">
            <w:pPr>
              <w:ind w:right="291"/>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Доход на душу н</w:t>
            </w:r>
            <w:r>
              <w:rPr>
                <w:rFonts w:eastAsia="Arial Unicode MS"/>
                <w:sz w:val="17"/>
              </w:rPr>
              <w:t>а</w:t>
            </w:r>
            <w:r>
              <w:rPr>
                <w:rFonts w:eastAsia="Arial Unicode MS"/>
                <w:sz w:val="17"/>
              </w:rPr>
              <w:t>селения</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0,377</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1998</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0,623</w:t>
            </w:r>
          </w:p>
        </w:tc>
        <w:tc>
          <w:tcPr>
            <w:tcW w:w="1170" w:type="dxa"/>
            <w:vAlign w:val="bottom"/>
          </w:tcPr>
          <w:p w:rsidR="00000000" w:rsidRDefault="00000000">
            <w:pPr>
              <w:ind w:right="291"/>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Процент мужчин и женщин как глав домашнего хозяйс</w:t>
            </w:r>
            <w:r>
              <w:rPr>
                <w:rFonts w:eastAsia="Arial Unicode MS"/>
                <w:sz w:val="17"/>
              </w:rPr>
              <w:t>т</w:t>
            </w:r>
            <w:r>
              <w:rPr>
                <w:rFonts w:eastAsia="Arial Unicode MS"/>
                <w:sz w:val="17"/>
              </w:rPr>
              <w:t>ва</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26,6</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2000</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73,4</w:t>
            </w:r>
          </w:p>
        </w:tc>
        <w:tc>
          <w:tcPr>
            <w:tcW w:w="1170" w:type="dxa"/>
            <w:vAlign w:val="bottom"/>
          </w:tcPr>
          <w:p w:rsidR="00000000" w:rsidRDefault="00000000">
            <w:pPr>
              <w:ind w:right="291"/>
              <w:jc w:val="right"/>
              <w:rPr>
                <w:rFonts w:eastAsia="Arial Unicode MS"/>
                <w:sz w:val="17"/>
              </w:rPr>
            </w:pPr>
            <w:r>
              <w:rPr>
                <w:rFonts w:eastAsia="Arial Unicode MS"/>
                <w:sz w:val="17"/>
              </w:rPr>
              <w:t>2000</w:t>
            </w:r>
          </w:p>
        </w:tc>
      </w:tr>
      <w:tr w:rsidR="00000000">
        <w:tblPrEx>
          <w:tblCellMar>
            <w:top w:w="0" w:type="dxa"/>
            <w:bottom w:w="0" w:type="dxa"/>
          </w:tblCellMar>
        </w:tblPrEx>
        <w:trPr>
          <w:cantSplit/>
        </w:trPr>
        <w:tc>
          <w:tcPr>
            <w:tcW w:w="2552" w:type="dxa"/>
          </w:tcPr>
          <w:p w:rsidR="00000000" w:rsidRDefault="00000000">
            <w:pPr>
              <w:pStyle w:val="Heading5"/>
              <w:rPr>
                <w:snapToGrid/>
              </w:rPr>
            </w:pPr>
            <w:r>
              <w:rPr>
                <w:snapToGrid/>
              </w:rPr>
              <w:t>Семейные отношения</w:t>
            </w:r>
          </w:p>
        </w:tc>
        <w:tc>
          <w:tcPr>
            <w:tcW w:w="1169" w:type="dxa"/>
            <w:vAlign w:val="bottom"/>
          </w:tcPr>
          <w:p w:rsidR="00000000" w:rsidRDefault="00000000">
            <w:pPr>
              <w:tabs>
                <w:tab w:val="decimal" w:pos="567"/>
              </w:tabs>
              <w:ind w:right="291"/>
              <w:rPr>
                <w:rFonts w:eastAsia="Arial Unicode MS"/>
                <w:snapToGrid w:val="0"/>
                <w:sz w:val="17"/>
              </w:rPr>
            </w:pPr>
          </w:p>
        </w:tc>
        <w:tc>
          <w:tcPr>
            <w:tcW w:w="1169" w:type="dxa"/>
            <w:vAlign w:val="bottom"/>
          </w:tcPr>
          <w:p w:rsidR="00000000" w:rsidRDefault="00000000">
            <w:pPr>
              <w:ind w:right="291"/>
              <w:jc w:val="right"/>
              <w:rPr>
                <w:rFonts w:eastAsia="Arial Unicode MS"/>
                <w:snapToGrid w:val="0"/>
                <w:sz w:val="17"/>
              </w:rPr>
            </w:pPr>
          </w:p>
        </w:tc>
        <w:tc>
          <w:tcPr>
            <w:tcW w:w="1169" w:type="dxa"/>
            <w:vAlign w:val="bottom"/>
          </w:tcPr>
          <w:p w:rsidR="00000000" w:rsidRDefault="00000000">
            <w:pPr>
              <w:tabs>
                <w:tab w:val="decimal" w:pos="610"/>
              </w:tabs>
              <w:ind w:right="291"/>
              <w:rPr>
                <w:rFonts w:eastAsia="Arial Unicode MS"/>
                <w:sz w:val="17"/>
              </w:rPr>
            </w:pPr>
          </w:p>
        </w:tc>
        <w:tc>
          <w:tcPr>
            <w:tcW w:w="1170" w:type="dxa"/>
            <w:vAlign w:val="bottom"/>
          </w:tcPr>
          <w:p w:rsidR="00000000" w:rsidRDefault="00000000">
            <w:pPr>
              <w:ind w:right="291"/>
              <w:jc w:val="right"/>
              <w:rPr>
                <w:rFonts w:eastAsia="Arial Unicode MS"/>
                <w:sz w:val="17"/>
              </w:rPr>
            </w:pP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Процент детей в возрасте до 15 лет, не имеющих родит</w:t>
            </w:r>
            <w:r>
              <w:rPr>
                <w:rFonts w:eastAsia="Arial Unicode MS"/>
                <w:sz w:val="17"/>
              </w:rPr>
              <w:t>е</w:t>
            </w:r>
            <w:r>
              <w:rPr>
                <w:rFonts w:eastAsia="Arial Unicode MS"/>
                <w:sz w:val="17"/>
              </w:rPr>
              <w:t>лей</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0,8</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1998</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0,8</w:t>
            </w:r>
          </w:p>
        </w:tc>
        <w:tc>
          <w:tcPr>
            <w:tcW w:w="1170" w:type="dxa"/>
            <w:vAlign w:val="bottom"/>
          </w:tcPr>
          <w:p w:rsidR="00000000" w:rsidRDefault="00000000">
            <w:pPr>
              <w:ind w:right="291"/>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Процент находящихся в бр</w:t>
            </w:r>
            <w:r>
              <w:rPr>
                <w:rFonts w:eastAsia="Arial Unicode MS"/>
                <w:sz w:val="17"/>
              </w:rPr>
              <w:t>а</w:t>
            </w:r>
            <w:r>
              <w:rPr>
                <w:rFonts w:eastAsia="Arial Unicode MS"/>
                <w:sz w:val="17"/>
              </w:rPr>
              <w:t>ке детей/подростков в во</w:t>
            </w:r>
            <w:r>
              <w:rPr>
                <w:rFonts w:eastAsia="Arial Unicode MS"/>
                <w:sz w:val="17"/>
              </w:rPr>
              <w:t>з</w:t>
            </w:r>
            <w:r>
              <w:rPr>
                <w:rFonts w:eastAsia="Arial Unicode MS"/>
                <w:sz w:val="17"/>
              </w:rPr>
              <w:t>расте 10-14 лет</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2,3</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2002</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2,0</w:t>
            </w:r>
          </w:p>
        </w:tc>
        <w:tc>
          <w:tcPr>
            <w:tcW w:w="1170" w:type="dxa"/>
            <w:vAlign w:val="bottom"/>
          </w:tcPr>
          <w:p w:rsidR="00000000" w:rsidRDefault="00000000">
            <w:pPr>
              <w:ind w:right="291"/>
              <w:jc w:val="right"/>
              <w:rPr>
                <w:rFonts w:eastAsia="Arial Unicode MS"/>
                <w:sz w:val="17"/>
              </w:rPr>
            </w:pPr>
            <w:r>
              <w:rPr>
                <w:rFonts w:eastAsia="Arial Unicode MS"/>
                <w:sz w:val="17"/>
              </w:rPr>
              <w:t>1998</w:t>
            </w: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Процент находящихся в бр</w:t>
            </w:r>
            <w:r>
              <w:rPr>
                <w:rFonts w:eastAsia="Arial Unicode MS"/>
                <w:sz w:val="17"/>
              </w:rPr>
              <w:t>а</w:t>
            </w:r>
            <w:r>
              <w:rPr>
                <w:rFonts w:eastAsia="Arial Unicode MS"/>
                <w:sz w:val="17"/>
              </w:rPr>
              <w:t>ке детей/подростков в во</w:t>
            </w:r>
            <w:r>
              <w:rPr>
                <w:rFonts w:eastAsia="Arial Unicode MS"/>
                <w:sz w:val="17"/>
              </w:rPr>
              <w:t>з</w:t>
            </w:r>
            <w:r>
              <w:rPr>
                <w:rFonts w:eastAsia="Arial Unicode MS"/>
                <w:sz w:val="17"/>
              </w:rPr>
              <w:t>расте 15-19 лет</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38,2</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2002</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8,3</w:t>
            </w:r>
          </w:p>
        </w:tc>
        <w:tc>
          <w:tcPr>
            <w:tcW w:w="1170" w:type="dxa"/>
            <w:vAlign w:val="bottom"/>
          </w:tcPr>
          <w:p w:rsidR="00000000" w:rsidRDefault="00000000">
            <w:pPr>
              <w:ind w:right="291"/>
              <w:jc w:val="right"/>
              <w:rPr>
                <w:rFonts w:eastAsia="Arial Unicode MS"/>
                <w:sz w:val="17"/>
              </w:rPr>
            </w:pPr>
            <w:r>
              <w:rPr>
                <w:rFonts w:eastAsia="Arial Unicode MS"/>
                <w:sz w:val="17"/>
              </w:rPr>
              <w:t>2002</w:t>
            </w:r>
          </w:p>
        </w:tc>
      </w:tr>
      <w:tr w:rsidR="00000000">
        <w:tblPrEx>
          <w:tblCellMar>
            <w:top w:w="0" w:type="dxa"/>
            <w:bottom w:w="0" w:type="dxa"/>
          </w:tblCellMar>
        </w:tblPrEx>
        <w:trPr>
          <w:cantSplit/>
        </w:trPr>
        <w:tc>
          <w:tcPr>
            <w:tcW w:w="2552" w:type="dxa"/>
          </w:tcPr>
          <w:p w:rsidR="00000000" w:rsidRDefault="00000000">
            <w:pPr>
              <w:pStyle w:val="Footer"/>
              <w:keepNext/>
              <w:tabs>
                <w:tab w:val="clear" w:pos="4320"/>
                <w:tab w:val="clear" w:pos="8640"/>
              </w:tabs>
              <w:spacing w:line="240" w:lineRule="exact"/>
              <w:rPr>
                <w:rFonts w:eastAsia="Arial Unicode MS"/>
                <w:noProof w:val="0"/>
                <w:spacing w:val="4"/>
                <w:w w:val="103"/>
                <w:kern w:val="14"/>
              </w:rPr>
            </w:pPr>
            <w:r>
              <w:rPr>
                <w:rFonts w:eastAsia="Arial Unicode MS"/>
                <w:noProof w:val="0"/>
                <w:spacing w:val="4"/>
                <w:w w:val="103"/>
                <w:kern w:val="14"/>
              </w:rPr>
              <w:t>Ключевые руководящие должности</w:t>
            </w:r>
          </w:p>
        </w:tc>
        <w:tc>
          <w:tcPr>
            <w:tcW w:w="1169" w:type="dxa"/>
            <w:vAlign w:val="bottom"/>
          </w:tcPr>
          <w:p w:rsidR="00000000" w:rsidRDefault="00000000">
            <w:pPr>
              <w:keepNext/>
              <w:tabs>
                <w:tab w:val="decimal" w:pos="567"/>
              </w:tabs>
              <w:ind w:right="291"/>
              <w:rPr>
                <w:snapToGrid w:val="0"/>
                <w:sz w:val="17"/>
              </w:rPr>
            </w:pPr>
          </w:p>
        </w:tc>
        <w:tc>
          <w:tcPr>
            <w:tcW w:w="1169" w:type="dxa"/>
            <w:vAlign w:val="bottom"/>
          </w:tcPr>
          <w:p w:rsidR="00000000" w:rsidRDefault="00000000">
            <w:pPr>
              <w:keepNext/>
              <w:ind w:right="291"/>
              <w:jc w:val="right"/>
              <w:rPr>
                <w:snapToGrid w:val="0"/>
                <w:sz w:val="17"/>
              </w:rPr>
            </w:pPr>
          </w:p>
        </w:tc>
        <w:tc>
          <w:tcPr>
            <w:tcW w:w="1169" w:type="dxa"/>
            <w:vAlign w:val="bottom"/>
          </w:tcPr>
          <w:p w:rsidR="00000000" w:rsidRDefault="00000000">
            <w:pPr>
              <w:keepNext/>
              <w:tabs>
                <w:tab w:val="decimal" w:pos="610"/>
              </w:tabs>
              <w:ind w:right="291"/>
              <w:rPr>
                <w:sz w:val="17"/>
              </w:rPr>
            </w:pPr>
          </w:p>
        </w:tc>
        <w:tc>
          <w:tcPr>
            <w:tcW w:w="1170" w:type="dxa"/>
            <w:vAlign w:val="bottom"/>
          </w:tcPr>
          <w:p w:rsidR="00000000" w:rsidRDefault="00000000">
            <w:pPr>
              <w:keepNext/>
              <w:ind w:right="291"/>
              <w:jc w:val="right"/>
              <w:rPr>
                <w:sz w:val="17"/>
              </w:rPr>
            </w:pP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Члены кабинета министров</w:t>
            </w:r>
          </w:p>
        </w:tc>
        <w:tc>
          <w:tcPr>
            <w:tcW w:w="1169" w:type="dxa"/>
            <w:vAlign w:val="bottom"/>
          </w:tcPr>
          <w:p w:rsidR="00000000" w:rsidRDefault="00000000">
            <w:pPr>
              <w:tabs>
                <w:tab w:val="decimal" w:pos="567"/>
              </w:tabs>
              <w:ind w:right="291"/>
              <w:rPr>
                <w:snapToGrid w:val="0"/>
                <w:sz w:val="17"/>
              </w:rPr>
            </w:pPr>
          </w:p>
        </w:tc>
        <w:tc>
          <w:tcPr>
            <w:tcW w:w="1169" w:type="dxa"/>
            <w:vAlign w:val="bottom"/>
          </w:tcPr>
          <w:p w:rsidR="00000000" w:rsidRDefault="00000000">
            <w:pPr>
              <w:ind w:right="291"/>
              <w:jc w:val="right"/>
              <w:rPr>
                <w:snapToGrid w:val="0"/>
                <w:sz w:val="17"/>
              </w:rPr>
            </w:pPr>
          </w:p>
        </w:tc>
        <w:tc>
          <w:tcPr>
            <w:tcW w:w="1169" w:type="dxa"/>
            <w:vAlign w:val="bottom"/>
          </w:tcPr>
          <w:p w:rsidR="00000000" w:rsidRDefault="00000000">
            <w:pPr>
              <w:tabs>
                <w:tab w:val="decimal" w:pos="610"/>
              </w:tabs>
              <w:ind w:right="291"/>
              <w:rPr>
                <w:sz w:val="17"/>
              </w:rPr>
            </w:pPr>
          </w:p>
        </w:tc>
        <w:tc>
          <w:tcPr>
            <w:tcW w:w="1170" w:type="dxa"/>
            <w:vAlign w:val="bottom"/>
          </w:tcPr>
          <w:p w:rsidR="00000000" w:rsidRDefault="00000000">
            <w:pPr>
              <w:ind w:right="291"/>
              <w:jc w:val="right"/>
              <w:rPr>
                <w:sz w:val="17"/>
              </w:rPr>
            </w:pP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Члены парламента</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17</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2001</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176</w:t>
            </w:r>
          </w:p>
        </w:tc>
        <w:tc>
          <w:tcPr>
            <w:tcW w:w="1170" w:type="dxa"/>
            <w:vAlign w:val="bottom"/>
          </w:tcPr>
          <w:p w:rsidR="00000000" w:rsidRDefault="00000000">
            <w:pPr>
              <w:ind w:right="291"/>
              <w:jc w:val="right"/>
              <w:rPr>
                <w:rFonts w:eastAsia="Arial Unicode MS"/>
                <w:sz w:val="17"/>
              </w:rPr>
            </w:pPr>
            <w:r>
              <w:rPr>
                <w:rFonts w:eastAsia="Arial Unicode MS"/>
                <w:sz w:val="17"/>
              </w:rPr>
              <w:t>2001</w:t>
            </w: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Спикеры и заместители сп</w:t>
            </w:r>
            <w:r>
              <w:rPr>
                <w:rFonts w:eastAsia="Arial Unicode MS"/>
                <w:sz w:val="17"/>
              </w:rPr>
              <w:t>и</w:t>
            </w:r>
            <w:r>
              <w:rPr>
                <w:rFonts w:eastAsia="Arial Unicode MS"/>
                <w:sz w:val="17"/>
              </w:rPr>
              <w:t>керов па</w:t>
            </w:r>
            <w:r>
              <w:rPr>
                <w:rFonts w:eastAsia="Arial Unicode MS"/>
                <w:sz w:val="17"/>
              </w:rPr>
              <w:t>р</w:t>
            </w:r>
            <w:r>
              <w:rPr>
                <w:rFonts w:eastAsia="Arial Unicode MS"/>
                <w:sz w:val="17"/>
              </w:rPr>
              <w:t>ламента</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1</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2003</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3</w:t>
            </w:r>
          </w:p>
        </w:tc>
        <w:tc>
          <w:tcPr>
            <w:tcW w:w="1170" w:type="dxa"/>
            <w:vAlign w:val="bottom"/>
          </w:tcPr>
          <w:p w:rsidR="00000000" w:rsidRDefault="00000000">
            <w:pPr>
              <w:ind w:right="291"/>
              <w:jc w:val="right"/>
              <w:rPr>
                <w:rFonts w:eastAsia="Arial Unicode MS"/>
                <w:sz w:val="17"/>
              </w:rPr>
            </w:pPr>
            <w:r>
              <w:rPr>
                <w:rFonts w:eastAsia="Arial Unicode MS"/>
                <w:sz w:val="17"/>
              </w:rPr>
              <w:t>2001</w:t>
            </w: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Послы</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4</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2001</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17</w:t>
            </w:r>
          </w:p>
        </w:tc>
        <w:tc>
          <w:tcPr>
            <w:tcW w:w="1170" w:type="dxa"/>
            <w:vAlign w:val="bottom"/>
          </w:tcPr>
          <w:p w:rsidR="00000000" w:rsidRDefault="00000000">
            <w:pPr>
              <w:ind w:right="291"/>
              <w:jc w:val="right"/>
              <w:rPr>
                <w:rFonts w:eastAsia="Arial Unicode MS"/>
                <w:sz w:val="17"/>
              </w:rPr>
            </w:pPr>
            <w:r>
              <w:rPr>
                <w:rFonts w:eastAsia="Arial Unicode MS"/>
                <w:sz w:val="17"/>
              </w:rPr>
              <w:t>2001</w:t>
            </w: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Уполномоченные провинций</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2</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2001</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25</w:t>
            </w:r>
          </w:p>
        </w:tc>
        <w:tc>
          <w:tcPr>
            <w:tcW w:w="1170" w:type="dxa"/>
            <w:vAlign w:val="bottom"/>
          </w:tcPr>
          <w:p w:rsidR="00000000" w:rsidRDefault="00000000">
            <w:pPr>
              <w:ind w:right="291"/>
              <w:jc w:val="right"/>
              <w:rPr>
                <w:rFonts w:eastAsia="Arial Unicode MS"/>
                <w:sz w:val="17"/>
              </w:rPr>
            </w:pPr>
            <w:r>
              <w:rPr>
                <w:rFonts w:eastAsia="Arial Unicode MS"/>
                <w:sz w:val="17"/>
              </w:rPr>
              <w:t>2001</w:t>
            </w: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Руководители ун</w:t>
            </w:r>
            <w:r>
              <w:rPr>
                <w:rFonts w:eastAsia="Arial Unicode MS"/>
                <w:sz w:val="17"/>
              </w:rPr>
              <w:t>и</w:t>
            </w:r>
            <w:r>
              <w:rPr>
                <w:rFonts w:eastAsia="Arial Unicode MS"/>
                <w:sz w:val="17"/>
              </w:rPr>
              <w:t>верситетов</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1</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2003</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5</w:t>
            </w:r>
          </w:p>
        </w:tc>
        <w:tc>
          <w:tcPr>
            <w:tcW w:w="1170" w:type="dxa"/>
            <w:vAlign w:val="bottom"/>
          </w:tcPr>
          <w:p w:rsidR="00000000" w:rsidRDefault="00000000">
            <w:pPr>
              <w:ind w:right="291"/>
              <w:jc w:val="right"/>
              <w:rPr>
                <w:rFonts w:eastAsia="Arial Unicode MS"/>
                <w:sz w:val="17"/>
              </w:rPr>
            </w:pPr>
            <w:r>
              <w:rPr>
                <w:rFonts w:eastAsia="Arial Unicode MS"/>
                <w:sz w:val="17"/>
              </w:rPr>
              <w:t>2002</w:t>
            </w:r>
          </w:p>
        </w:tc>
      </w:tr>
      <w:tr w:rsidR="00000000">
        <w:tblPrEx>
          <w:tblCellMar>
            <w:top w:w="0" w:type="dxa"/>
            <w:bottom w:w="0" w:type="dxa"/>
          </w:tblCellMar>
        </w:tblPrEx>
        <w:trPr>
          <w:cantSplit/>
        </w:trPr>
        <w:tc>
          <w:tcPr>
            <w:tcW w:w="2552" w:type="dxa"/>
          </w:tcPr>
          <w:p w:rsidR="00000000" w:rsidRDefault="00000000">
            <w:pPr>
              <w:ind w:left="199"/>
              <w:rPr>
                <w:rFonts w:eastAsia="Arial Unicode MS"/>
                <w:sz w:val="17"/>
              </w:rPr>
            </w:pPr>
            <w:r>
              <w:rPr>
                <w:rFonts w:eastAsia="Arial Unicode MS"/>
                <w:sz w:val="17"/>
              </w:rPr>
              <w:t>Судьи</w:t>
            </w:r>
          </w:p>
        </w:tc>
        <w:tc>
          <w:tcPr>
            <w:tcW w:w="1169" w:type="dxa"/>
            <w:vAlign w:val="bottom"/>
          </w:tcPr>
          <w:p w:rsidR="00000000" w:rsidRDefault="00000000">
            <w:pPr>
              <w:tabs>
                <w:tab w:val="decimal" w:pos="567"/>
              </w:tabs>
              <w:ind w:right="291"/>
              <w:rPr>
                <w:rFonts w:eastAsia="Arial Unicode MS"/>
                <w:snapToGrid w:val="0"/>
                <w:sz w:val="17"/>
              </w:rPr>
            </w:pPr>
            <w:r>
              <w:rPr>
                <w:rFonts w:eastAsia="Arial Unicode MS"/>
                <w:snapToGrid w:val="0"/>
                <w:sz w:val="17"/>
              </w:rPr>
              <w:t>4</w:t>
            </w:r>
          </w:p>
        </w:tc>
        <w:tc>
          <w:tcPr>
            <w:tcW w:w="1169" w:type="dxa"/>
            <w:vAlign w:val="bottom"/>
          </w:tcPr>
          <w:p w:rsidR="00000000" w:rsidRDefault="00000000">
            <w:pPr>
              <w:ind w:right="291"/>
              <w:jc w:val="right"/>
              <w:rPr>
                <w:rFonts w:eastAsia="Arial Unicode MS"/>
                <w:snapToGrid w:val="0"/>
                <w:sz w:val="17"/>
              </w:rPr>
            </w:pPr>
            <w:r>
              <w:rPr>
                <w:rFonts w:eastAsia="Arial Unicode MS"/>
                <w:snapToGrid w:val="0"/>
                <w:sz w:val="17"/>
              </w:rPr>
              <w:t>2003</w:t>
            </w:r>
          </w:p>
        </w:tc>
        <w:tc>
          <w:tcPr>
            <w:tcW w:w="1169" w:type="dxa"/>
            <w:vAlign w:val="bottom"/>
          </w:tcPr>
          <w:p w:rsidR="00000000" w:rsidRDefault="00000000">
            <w:pPr>
              <w:tabs>
                <w:tab w:val="decimal" w:pos="610"/>
              </w:tabs>
              <w:ind w:right="291"/>
              <w:rPr>
                <w:rFonts w:eastAsia="Arial Unicode MS"/>
                <w:sz w:val="17"/>
              </w:rPr>
            </w:pPr>
            <w:r>
              <w:rPr>
                <w:rFonts w:eastAsia="Arial Unicode MS"/>
                <w:sz w:val="17"/>
              </w:rPr>
              <w:t>20</w:t>
            </w:r>
          </w:p>
        </w:tc>
        <w:tc>
          <w:tcPr>
            <w:tcW w:w="1170" w:type="dxa"/>
            <w:vAlign w:val="bottom"/>
          </w:tcPr>
          <w:p w:rsidR="00000000" w:rsidRDefault="00000000">
            <w:pPr>
              <w:ind w:right="291"/>
              <w:jc w:val="right"/>
              <w:rPr>
                <w:rFonts w:eastAsia="Arial Unicode MS"/>
                <w:sz w:val="17"/>
              </w:rPr>
            </w:pPr>
            <w:r>
              <w:rPr>
                <w:rFonts w:eastAsia="Arial Unicode MS"/>
                <w:sz w:val="17"/>
              </w:rPr>
              <w:t>2002</w:t>
            </w:r>
          </w:p>
        </w:tc>
      </w:tr>
      <w:tr w:rsidR="00000000">
        <w:tblPrEx>
          <w:tblCellMar>
            <w:top w:w="0" w:type="dxa"/>
            <w:bottom w:w="0" w:type="dxa"/>
          </w:tblCellMar>
        </w:tblPrEx>
        <w:trPr>
          <w:cantSplit/>
        </w:trPr>
        <w:tc>
          <w:tcPr>
            <w:tcW w:w="2552" w:type="dxa"/>
            <w:tcBorders>
              <w:bottom w:val="single" w:sz="12" w:space="0" w:color="auto"/>
            </w:tcBorders>
          </w:tcPr>
          <w:p w:rsidR="00000000" w:rsidRDefault="00000000">
            <w:pPr>
              <w:ind w:left="199"/>
              <w:rPr>
                <w:rFonts w:eastAsia="Arial Unicode MS"/>
                <w:sz w:val="17"/>
              </w:rPr>
            </w:pPr>
            <w:r>
              <w:rPr>
                <w:rFonts w:eastAsia="Arial Unicode MS"/>
                <w:sz w:val="17"/>
              </w:rPr>
              <w:t>Вожди</w:t>
            </w:r>
          </w:p>
        </w:tc>
        <w:tc>
          <w:tcPr>
            <w:tcW w:w="1169" w:type="dxa"/>
            <w:tcBorders>
              <w:bottom w:val="single" w:sz="12" w:space="0" w:color="auto"/>
            </w:tcBorders>
            <w:vAlign w:val="bottom"/>
          </w:tcPr>
          <w:p w:rsidR="00000000" w:rsidRDefault="00000000">
            <w:pPr>
              <w:tabs>
                <w:tab w:val="decimal" w:pos="567"/>
              </w:tabs>
              <w:ind w:right="291"/>
              <w:rPr>
                <w:rFonts w:eastAsia="Arial Unicode MS"/>
                <w:snapToGrid w:val="0"/>
                <w:sz w:val="17"/>
              </w:rPr>
            </w:pPr>
            <w:r>
              <w:rPr>
                <w:rFonts w:eastAsia="Arial Unicode MS"/>
                <w:snapToGrid w:val="0"/>
                <w:sz w:val="17"/>
              </w:rPr>
              <w:t>13</w:t>
            </w:r>
          </w:p>
        </w:tc>
        <w:tc>
          <w:tcPr>
            <w:tcW w:w="1169" w:type="dxa"/>
            <w:tcBorders>
              <w:bottom w:val="single" w:sz="12" w:space="0" w:color="auto"/>
            </w:tcBorders>
            <w:vAlign w:val="bottom"/>
          </w:tcPr>
          <w:p w:rsidR="00000000" w:rsidRDefault="00000000">
            <w:pPr>
              <w:ind w:right="291"/>
              <w:jc w:val="right"/>
              <w:rPr>
                <w:rFonts w:eastAsia="Arial Unicode MS"/>
                <w:snapToGrid w:val="0"/>
                <w:sz w:val="17"/>
              </w:rPr>
            </w:pPr>
            <w:r>
              <w:rPr>
                <w:rFonts w:eastAsia="Arial Unicode MS"/>
                <w:snapToGrid w:val="0"/>
                <w:sz w:val="17"/>
              </w:rPr>
              <w:t>2002</w:t>
            </w:r>
          </w:p>
        </w:tc>
        <w:tc>
          <w:tcPr>
            <w:tcW w:w="1169" w:type="dxa"/>
            <w:tcBorders>
              <w:bottom w:val="single" w:sz="12" w:space="0" w:color="auto"/>
            </w:tcBorders>
            <w:vAlign w:val="bottom"/>
          </w:tcPr>
          <w:p w:rsidR="00000000" w:rsidRDefault="00000000">
            <w:pPr>
              <w:tabs>
                <w:tab w:val="decimal" w:pos="610"/>
              </w:tabs>
              <w:ind w:right="291"/>
              <w:rPr>
                <w:rFonts w:eastAsia="Arial Unicode MS"/>
                <w:sz w:val="17"/>
              </w:rPr>
            </w:pPr>
            <w:r>
              <w:rPr>
                <w:rFonts w:eastAsia="Arial Unicode MS"/>
                <w:sz w:val="17"/>
              </w:rPr>
              <w:t>192</w:t>
            </w:r>
          </w:p>
        </w:tc>
        <w:tc>
          <w:tcPr>
            <w:tcW w:w="1170" w:type="dxa"/>
            <w:tcBorders>
              <w:bottom w:val="single" w:sz="12" w:space="0" w:color="auto"/>
            </w:tcBorders>
            <w:vAlign w:val="bottom"/>
          </w:tcPr>
          <w:p w:rsidR="00000000" w:rsidRDefault="00000000">
            <w:pPr>
              <w:ind w:right="291"/>
              <w:jc w:val="right"/>
              <w:rPr>
                <w:rFonts w:eastAsia="Arial Unicode MS"/>
                <w:sz w:val="17"/>
              </w:rPr>
            </w:pPr>
            <w:r>
              <w:rPr>
                <w:rFonts w:eastAsia="Arial Unicode MS"/>
                <w:sz w:val="17"/>
              </w:rPr>
              <w:t>2002</w:t>
            </w:r>
          </w:p>
        </w:tc>
      </w:tr>
    </w:tbl>
    <w:p w:rsidR="00000000" w:rsidRDefault="00000000">
      <w:pPr>
        <w:pStyle w:val="SingleTxt"/>
        <w:spacing w:before="120"/>
      </w:pPr>
      <w:r>
        <w:t>2.4.</w:t>
      </w:r>
      <w:r>
        <w:tab/>
        <w:t>Макроэкономические показатели свидетельствуют о спаде в экономике. Национальная валюта квача обесценилась за время однопартийного правления, когда она колебалась от 8,7 квач за 1 доллар США до 15,00 за 1 доллар США. Эта тенденция не прекращается, и сегодня 1 доллар США составляет 109 квач. Соответственно, процентные ставки также выросли с 31,0 до 52 в 2001 году. Валовый внутренний продукт в свою очередь сократился с 9,6 процента в 1995 году до 2,0 процента в 1998 году, а затем вырос до 4,0 процента в 1999 году. В течение этого же периода времени оставался высоким и уровень внешней задолженности. Он повысился с 1996 года, когда он составлял 88,6 процента. Впоследствии его уровень достигал 90,8 процента, 142,7 пр</w:t>
      </w:r>
      <w:r>
        <w:t>о</w:t>
      </w:r>
      <w:r>
        <w:t>цента, 144,0 процента и 150,3 процента в 1997, 1998, 1999 и 2000 годах соо</w:t>
      </w:r>
      <w:r>
        <w:t>т</w:t>
      </w:r>
      <w:r>
        <w:t>ветственно. Ввиду такого объема займов темпы роста валового внутреннего продукта не могли соответствовать требованиям обеспечения экономической стабильности. А повысившись в 1999 году до 4,0 процента, в 2000 году они снизились до 1,7 процента.</w:t>
      </w:r>
    </w:p>
    <w:p w:rsidR="00000000" w:rsidRDefault="00000000">
      <w:pPr>
        <w:pStyle w:val="SingleTxt"/>
      </w:pPr>
      <w:r>
        <w:t>2.5.</w:t>
      </w:r>
      <w:r>
        <w:tab/>
        <w:t>Малави, как и большинство африканских стран, расположенных к югу от Сахары, проводит политику структурной перестройки, которая охватывает ч</w:t>
      </w:r>
      <w:r>
        <w:t>е</w:t>
      </w:r>
      <w:r>
        <w:t>тыре стратегические задачи, ориентированные на построение рыночной экон</w:t>
      </w:r>
      <w:r>
        <w:t>о</w:t>
      </w:r>
      <w:r>
        <w:t>мики. Первая задача заключается в обуздании инфляции путем сокращения г</w:t>
      </w:r>
      <w:r>
        <w:t>о</w:t>
      </w:r>
      <w:r>
        <w:t>сударственных расходов, повышения налогов, установления контроля за зар</w:t>
      </w:r>
      <w:r>
        <w:t>а</w:t>
      </w:r>
      <w:r>
        <w:t>ботной платой и отмене контроля за ценами и соответствующих субсидий. Вторая конкретная задача состоит в восстановлении финансово-налогового б</w:t>
      </w:r>
      <w:r>
        <w:t>а</w:t>
      </w:r>
      <w:r>
        <w:t>ланса путем сокращения правительственных расходов, расширения источников дохода и проведения реформы финансовых учреждений. Третья задача пред</w:t>
      </w:r>
      <w:r>
        <w:t>у</w:t>
      </w:r>
      <w:r>
        <w:t>сматривает устранение существующего дефицита счетов путем выпуска новых денежных знаков и девальвации. Четвертая задача заключается в ослаблении роли государства на внутреннем рынке путем дерегулирования, либерализации и прив</w:t>
      </w:r>
      <w:r>
        <w:t>а</w:t>
      </w:r>
      <w:r>
        <w:t>тизации.</w:t>
      </w:r>
    </w:p>
    <w:p w:rsidR="00000000" w:rsidRDefault="00000000">
      <w:pPr>
        <w:pStyle w:val="SingleTxt"/>
      </w:pPr>
      <w:r>
        <w:t>2.6.</w:t>
      </w:r>
      <w:r>
        <w:tab/>
        <w:t>В адрес программ структурной перестройки высказывается некоторая критика в том плане, что они пагубно отражаются на положении бедных слоев населения, особенно женщин. Осуществление различных программ структу</w:t>
      </w:r>
      <w:r>
        <w:t>р</w:t>
      </w:r>
      <w:r>
        <w:t>ной перестройки не привело к снижению уровня бедности.</w:t>
      </w:r>
      <w:r>
        <w:rPr>
          <w:rStyle w:val="FootnoteReference"/>
          <w:sz w:val="20"/>
        </w:rPr>
        <w:footnoteReference w:id="9"/>
      </w:r>
      <w:r>
        <w:t xml:space="preserve"> Поэтому ныне</w:t>
      </w:r>
      <w:r>
        <w:t>ш</w:t>
      </w:r>
      <w:r>
        <w:t>нее правительство разработало документ «Видение до 2020 года» и приняло программу борьбы с бедностью (ПББ), которая частично нацелена на устран</w:t>
      </w:r>
      <w:r>
        <w:t>е</w:t>
      </w:r>
      <w:r>
        <w:t>ние пагубных последствий программ структурной перестройки для благосо</w:t>
      </w:r>
      <w:r>
        <w:t>с</w:t>
      </w:r>
      <w:r>
        <w:t>тояния населения. Эта программа включает несколько направлений деятельн</w:t>
      </w:r>
      <w:r>
        <w:t>о</w:t>
      </w:r>
      <w:r>
        <w:t>сти: введение бесплатного начального образования, принятие гендерного по</w:t>
      </w:r>
      <w:r>
        <w:t>д</w:t>
      </w:r>
      <w:r>
        <w:t>хода к проблемам развития и создание Малавийского фонда социальной по</w:t>
      </w:r>
      <w:r>
        <w:t>д</w:t>
      </w:r>
      <w:r>
        <w:t>держки, который финансируется Всемирным банком в целях оказания содейс</w:t>
      </w:r>
      <w:r>
        <w:t>т</w:t>
      </w:r>
      <w:r>
        <w:t xml:space="preserve">вия развитию сельских районов. Принятие всех этих инициатив завершилось разработкой Малавийского документа по стратегии сокращения масштабов нищеты. </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Ch"/>
      </w:pPr>
      <w:bookmarkStart w:id="22" w:name="_Toc83977409"/>
      <w:bookmarkStart w:id="23" w:name="_Toc83977528"/>
      <w:r>
        <w:t>3.</w:t>
      </w:r>
      <w:r>
        <w:tab/>
        <w:t>Общая политическая структура</w:t>
      </w:r>
      <w:bookmarkEnd w:id="22"/>
      <w:bookmarkEnd w:id="23"/>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pPr>
      <w:r>
        <w:t>3.1.</w:t>
      </w:r>
      <w:r>
        <w:tab/>
        <w:t>Нынешняя конституция Малави сначала вступила в силу в предварител</w:t>
      </w:r>
      <w:r>
        <w:t>ь</w:t>
      </w:r>
      <w:r>
        <w:t>ном порядке в 1994 году. В 1995 году она вступила в силу окончательно. В ней четко закреплена доктрина разделения власти между исполнительными, зак</w:t>
      </w:r>
      <w:r>
        <w:t>о</w:t>
      </w:r>
      <w:r>
        <w:t>нодательными и судебными органами.</w:t>
      </w:r>
      <w:r>
        <w:rPr>
          <w:rStyle w:val="FootnoteReference"/>
          <w:sz w:val="20"/>
        </w:rPr>
        <w:footnoteReference w:id="10"/>
      </w:r>
      <w:r>
        <w:t xml:space="preserve"> Исполнительная власть состоит из пр</w:t>
      </w:r>
      <w:r>
        <w:t>е</w:t>
      </w:r>
      <w:r>
        <w:t>зидента, одного или двух вице-президентов, правительственных ведомств, к</w:t>
      </w:r>
      <w:r>
        <w:t>а</w:t>
      </w:r>
      <w:r>
        <w:t>бинета министров, министра юстиции и генерального прокурора.</w:t>
      </w:r>
      <w:r>
        <w:rPr>
          <w:rStyle w:val="FootnoteReference"/>
          <w:sz w:val="20"/>
        </w:rPr>
        <w:footnoteReference w:id="11"/>
      </w:r>
      <w:r>
        <w:t xml:space="preserve"> По Конст</w:t>
      </w:r>
      <w:r>
        <w:t>и</w:t>
      </w:r>
      <w:r>
        <w:t>туции в задачу исполнительной власти входит разработка политики и законод</w:t>
      </w:r>
      <w:r>
        <w:t>а</w:t>
      </w:r>
      <w:r>
        <w:t>тельства и осуществление законов.</w:t>
      </w:r>
      <w:r>
        <w:rPr>
          <w:rStyle w:val="FootnoteReference"/>
          <w:sz w:val="20"/>
        </w:rPr>
        <w:footnoteReference w:id="12"/>
      </w:r>
      <w:r>
        <w:t xml:space="preserve"> </w:t>
      </w:r>
    </w:p>
    <w:p w:rsidR="00000000" w:rsidRDefault="00000000">
      <w:pPr>
        <w:pStyle w:val="SingleTxt"/>
      </w:pPr>
      <w:r>
        <w:t>3.2.</w:t>
      </w:r>
      <w:r>
        <w:tab/>
        <w:t>Законодательная власть состоит из парламента, спикера, секретаря парл</w:t>
      </w:r>
      <w:r>
        <w:t>а</w:t>
      </w:r>
      <w:r>
        <w:t>мента и избранных членов парламента.</w:t>
      </w:r>
      <w:r>
        <w:rPr>
          <w:rStyle w:val="FootnoteReference"/>
          <w:sz w:val="20"/>
        </w:rPr>
        <w:footnoteReference w:id="13"/>
      </w:r>
      <w:r>
        <w:t xml:space="preserve"> В функции законодательной власти входит принятие законов, отражающих интересы народа Малави и конституц</w:t>
      </w:r>
      <w:r>
        <w:t>и</w:t>
      </w:r>
      <w:r>
        <w:t>онные ценности.</w:t>
      </w:r>
      <w:r>
        <w:rPr>
          <w:rStyle w:val="FootnoteReference"/>
          <w:sz w:val="20"/>
        </w:rPr>
        <w:footnoteReference w:id="14"/>
      </w:r>
      <w:r>
        <w:t xml:space="preserve"> Третья ветвь власти правительства, т.е. судебная власть, я</w:t>
      </w:r>
      <w:r>
        <w:t>в</w:t>
      </w:r>
      <w:r>
        <w:t>ляется независимой как от законодательной, так и исполнительной власти.</w:t>
      </w:r>
      <w:r>
        <w:rPr>
          <w:rStyle w:val="FootnoteReference"/>
          <w:sz w:val="20"/>
        </w:rPr>
        <w:footnoteReference w:id="15"/>
      </w:r>
      <w:r>
        <w:t xml:space="preserve"> Она состоит из управления председателя </w:t>
      </w:r>
      <w:r>
        <w:rPr>
          <w:caps/>
        </w:rPr>
        <w:t>в</w:t>
      </w:r>
      <w:r>
        <w:t xml:space="preserve">ерховного суда, </w:t>
      </w:r>
      <w:r>
        <w:rPr>
          <w:caps/>
        </w:rPr>
        <w:t>а</w:t>
      </w:r>
      <w:r>
        <w:t>пелляционного верховного суда и апелляционных судей, Высокого суда и судей и судов, по</w:t>
      </w:r>
      <w:r>
        <w:t>д</w:t>
      </w:r>
      <w:r>
        <w:t>чиненных Высокому суду, а также профессиональных и мировых судей. Роль судебной системы заключается в толковании и защите положений Конституции «независимым и беспристрастным образом в отношении только юридически адекватных фактов и указаний».</w:t>
      </w:r>
      <w:r>
        <w:rPr>
          <w:rStyle w:val="FootnoteReference"/>
          <w:sz w:val="20"/>
        </w:rPr>
        <w:footnoteReference w:id="16"/>
      </w:r>
    </w:p>
    <w:p w:rsidR="00000000" w:rsidRDefault="00000000">
      <w:pPr>
        <w:pStyle w:val="SingleTxt"/>
      </w:pPr>
      <w:r>
        <w:t>3.3.</w:t>
      </w:r>
      <w:r>
        <w:tab/>
        <w:t>Судоустройство требует принятия трехстороннего подхода к толкованию законов.</w:t>
      </w:r>
      <w:r>
        <w:rPr>
          <w:rStyle w:val="FootnoteReference"/>
          <w:sz w:val="20"/>
        </w:rPr>
        <w:footnoteReference w:id="17"/>
      </w:r>
      <w:r>
        <w:t xml:space="preserve"> Во-первых, Конституция требует, чтобы суды «защищали идеалы, лежащие в основе открытого и демократического общества».</w:t>
      </w:r>
      <w:r>
        <w:rPr>
          <w:rStyle w:val="FootnoteReference"/>
          <w:sz w:val="20"/>
        </w:rPr>
        <w:footnoteReference w:id="18"/>
      </w:r>
      <w:r>
        <w:t xml:space="preserve"> Во-вторых, л</w:t>
      </w:r>
      <w:r>
        <w:t>ю</w:t>
      </w:r>
      <w:r>
        <w:t>бой суд при вынесении своего решения должен учитывать права человека, з</w:t>
      </w:r>
      <w:r>
        <w:t>а</w:t>
      </w:r>
      <w:r>
        <w:t>крепленные в Конституции.</w:t>
      </w:r>
      <w:r>
        <w:rPr>
          <w:rStyle w:val="FootnoteReference"/>
          <w:sz w:val="20"/>
        </w:rPr>
        <w:footnoteReference w:id="19"/>
      </w:r>
      <w:r>
        <w:t xml:space="preserve"> В третьих, когда это необходимо, суды должны «учитывать существующие нормы публичного международного права и сопо</w:t>
      </w:r>
      <w:r>
        <w:t>с</w:t>
      </w:r>
      <w:r>
        <w:t>тавимого прецедентного права».</w:t>
      </w:r>
      <w:r>
        <w:rPr>
          <w:rStyle w:val="FootnoteReference"/>
          <w:sz w:val="20"/>
        </w:rPr>
        <w:footnoteReference w:id="20"/>
      </w:r>
    </w:p>
    <w:p w:rsidR="00000000" w:rsidRDefault="00000000">
      <w:pPr>
        <w:pStyle w:val="SingleTxt"/>
      </w:pPr>
      <w:r>
        <w:t>3.4.</w:t>
      </w:r>
      <w:r>
        <w:tab/>
        <w:t>Страна вернулась к принципу дуализма в отношении соблюдения в ней международных стандартов в области прав человека. В Конституции 1994 года предусматривается как дуализм, так и монизм.</w:t>
      </w:r>
      <w:r>
        <w:rPr>
          <w:rStyle w:val="FootnoteReference"/>
          <w:sz w:val="20"/>
        </w:rPr>
        <w:footnoteReference w:id="21"/>
      </w:r>
      <w:r>
        <w:t xml:space="preserve"> В целом, любое междунаро</w:t>
      </w:r>
      <w:r>
        <w:t>д</w:t>
      </w:r>
      <w:r>
        <w:t>ное соглашение может стать частью законодательства Малави, если оно было ратифицировано указом парламента или же имеется законодательный акт о его ратификации. Однако, в соответствии со всеми международными соглашени</w:t>
      </w:r>
      <w:r>
        <w:t>я</w:t>
      </w:r>
      <w:r>
        <w:t>ми, заключенными Малави до принятия новой Конституции, страна обязуется выполнять их и приводить свои собственные законы в соответствии с этими международными соглашениями. Однако парламент исключил это положение и предусмотрел, что все международные стандарты должны быть непосредс</w:t>
      </w:r>
      <w:r>
        <w:t>т</w:t>
      </w:r>
      <w:r>
        <w:t>венно включены в законодательство Малави после их ратификации. Это озн</w:t>
      </w:r>
      <w:r>
        <w:t>а</w:t>
      </w:r>
      <w:r>
        <w:t>чает, что жители Малави могут прямым образом ссылаться на положения как</w:t>
      </w:r>
      <w:r>
        <w:t>о</w:t>
      </w:r>
      <w:r>
        <w:t>го-либо международного соглашения, к которому она присоединилась, если оно включено в правовую систему Малави. Тем не менее, это ограничение б</w:t>
      </w:r>
      <w:r>
        <w:t>ы</w:t>
      </w:r>
      <w:r>
        <w:t>ло смягчено принятием положения, разрешающего судам при толковании Ко</w:t>
      </w:r>
      <w:r>
        <w:t>н</w:t>
      </w:r>
      <w:r>
        <w:t>ституции «учитывать существующие нормы публичного международного и с</w:t>
      </w:r>
      <w:r>
        <w:t>о</w:t>
      </w:r>
      <w:r>
        <w:t>поставимого прецедентного права».</w:t>
      </w:r>
      <w:r>
        <w:rPr>
          <w:rStyle w:val="FootnoteReference"/>
          <w:sz w:val="20"/>
        </w:rPr>
        <w:footnoteReference w:id="22"/>
      </w:r>
    </w:p>
    <w:p w:rsidR="00000000" w:rsidRDefault="00000000">
      <w:pPr>
        <w:pStyle w:val="SingleTxt"/>
      </w:pPr>
      <w:r>
        <w:t>3.5.</w:t>
      </w:r>
      <w:r>
        <w:tab/>
        <w:t>Члены исполнительной, законодательной и судебной власти, все те, кто осуществляет государственные полномочия, и каждый житель Малави юрид</w:t>
      </w:r>
      <w:r>
        <w:t>и</w:t>
      </w:r>
      <w:r>
        <w:t>чески обязаны подчиняться положениям Конституции, которая является на</w:t>
      </w:r>
      <w:r>
        <w:t>и</w:t>
      </w:r>
      <w:r>
        <w:t>высшим законом. В статье 12 Конституции подчеркивается, что вся «юридич</w:t>
      </w:r>
      <w:r>
        <w:t>е</w:t>
      </w:r>
      <w:r>
        <w:t>ская и политическая государственная власть исходит от народа Малави» и «должна осуществляться в соответствии с» положениями Конституции искл</w:t>
      </w:r>
      <w:r>
        <w:t>ю</w:t>
      </w:r>
      <w:r>
        <w:t>чительно для того, чтобы служить его интересам и защищать их.</w:t>
      </w:r>
      <w:r>
        <w:rPr>
          <w:rStyle w:val="FootnoteReference"/>
          <w:sz w:val="20"/>
        </w:rPr>
        <w:footnoteReference w:id="23"/>
      </w:r>
      <w:r>
        <w:t xml:space="preserve"> Этот при</w:t>
      </w:r>
      <w:r>
        <w:t>н</w:t>
      </w:r>
      <w:r>
        <w:t>цип подкрепляется двумя постулатами, четко связанными с понятием доверия. Один из них требует, чтобы все «лица, ответственные за выполнение госуда</w:t>
      </w:r>
      <w:r>
        <w:t>р</w:t>
      </w:r>
      <w:r>
        <w:t>ственных полномочий», делали это «на веру» «в рамках их законных полном</w:t>
      </w:r>
      <w:r>
        <w:t>о</w:t>
      </w:r>
      <w:r>
        <w:t>чий в соо</w:t>
      </w:r>
      <w:r>
        <w:t>т</w:t>
      </w:r>
      <w:r>
        <w:t>ветствии с их ответственностью перед народом Малави».</w:t>
      </w:r>
      <w:r>
        <w:rPr>
          <w:rStyle w:val="FootnoteReference"/>
          <w:sz w:val="20"/>
        </w:rPr>
        <w:footnoteReference w:id="24"/>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Ch"/>
      </w:pPr>
      <w:bookmarkStart w:id="24" w:name="_Toc83977410"/>
      <w:bookmarkStart w:id="25" w:name="_Toc83977529"/>
      <w:r>
        <w:t>4.</w:t>
      </w:r>
      <w:r>
        <w:tab/>
        <w:t>Общая правовая основа и осуществление прав женщин</w:t>
      </w:r>
      <w:bookmarkEnd w:id="24"/>
      <w:bookmarkEnd w:id="25"/>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SingleTxt"/>
      </w:pPr>
      <w:r>
        <w:t>4.1.</w:t>
      </w:r>
      <w:r>
        <w:tab/>
        <w:t>В нынешней Конституции Малави имеются четкие положения, каса</w:t>
      </w:r>
      <w:r>
        <w:t>ю</w:t>
      </w:r>
      <w:r>
        <w:t>щиеся защиты прав человека. Судебные органы власти обладают юрисдикцией в отношении «всех вопросов судебного характера».</w:t>
      </w:r>
      <w:r>
        <w:rPr>
          <w:rStyle w:val="FootnoteReference"/>
          <w:sz w:val="20"/>
        </w:rPr>
        <w:footnoteReference w:id="25"/>
      </w:r>
      <w:r>
        <w:t xml:space="preserve"> Кроме того, любой суд вправе решать, является ли тот или иной вопрос предметом, входящим в его комп</w:t>
      </w:r>
      <w:r>
        <w:t>е</w:t>
      </w:r>
      <w:r>
        <w:t>тенцию.</w:t>
      </w:r>
      <w:r>
        <w:rPr>
          <w:rStyle w:val="FootnoteReference"/>
          <w:sz w:val="20"/>
        </w:rPr>
        <w:footnoteReference w:id="26"/>
      </w:r>
    </w:p>
    <w:p w:rsidR="00000000" w:rsidRDefault="00000000">
      <w:pPr>
        <w:pStyle w:val="SingleTxt"/>
      </w:pPr>
      <w:r>
        <w:t>4.2.</w:t>
      </w:r>
      <w:r>
        <w:tab/>
        <w:t>Помимо судебной власти, в Конституции предусматриваются три учре</w:t>
      </w:r>
      <w:r>
        <w:t>ж</w:t>
      </w:r>
      <w:r>
        <w:t>дения, независимые от судебной, исполнительной и законодательной власти. Ими являются Управление омбудсмена,</w:t>
      </w:r>
      <w:r>
        <w:rPr>
          <w:rStyle w:val="FootnoteReference"/>
          <w:sz w:val="20"/>
        </w:rPr>
        <w:footnoteReference w:id="27"/>
      </w:r>
      <w:r>
        <w:t xml:space="preserve"> Комиссия по правам человека</w:t>
      </w:r>
      <w:r>
        <w:rPr>
          <w:rStyle w:val="FootnoteReference"/>
          <w:sz w:val="20"/>
        </w:rPr>
        <w:footnoteReference w:id="28"/>
      </w:r>
      <w:r>
        <w:t xml:space="preserve"> и Правовая комиссия.</w:t>
      </w:r>
      <w:r>
        <w:rPr>
          <w:rStyle w:val="FootnoteReference"/>
          <w:sz w:val="20"/>
        </w:rPr>
        <w:footnoteReference w:id="29"/>
      </w:r>
      <w:r>
        <w:t xml:space="preserve"> Управление омбудсмена занимается расследованием и урегулированием дел, отвечающих двум условиям.</w:t>
      </w:r>
      <w:r>
        <w:rPr>
          <w:rStyle w:val="FootnoteReference"/>
          <w:sz w:val="20"/>
        </w:rPr>
        <w:footnoteReference w:id="30"/>
      </w:r>
      <w:r>
        <w:t xml:space="preserve"> Первое условие заключ</w:t>
      </w:r>
      <w:r>
        <w:t>а</w:t>
      </w:r>
      <w:r>
        <w:t>ется в том, что соответствующее лицо должно стать жертвой несправедлив</w:t>
      </w:r>
      <w:r>
        <w:t>о</w:t>
      </w:r>
      <w:r>
        <w:t>сти. Второе условие предусматривает явное отсутствие разумно имеющихся средств судебной защиты или же каких-либо других реальных мер защиты. Парламент своими законодательными актами попытался ограничить юрисди</w:t>
      </w:r>
      <w:r>
        <w:t>к</w:t>
      </w:r>
      <w:r>
        <w:t>цию омбудсмена жалобами в отношении государственных учреждений. Осно</w:t>
      </w:r>
      <w:r>
        <w:t>в</w:t>
      </w:r>
      <w:r>
        <w:t>ное внимание деятельности Комиссии по правам человека нацелено на защиту и расследование случаев нарушений закрепленных в Конституции прав чел</w:t>
      </w:r>
      <w:r>
        <w:t>о</w:t>
      </w:r>
      <w:r>
        <w:t>века,</w:t>
      </w:r>
      <w:r>
        <w:rPr>
          <w:rStyle w:val="FootnoteReference"/>
          <w:sz w:val="20"/>
        </w:rPr>
        <w:footnoteReference w:id="31"/>
      </w:r>
      <w:r>
        <w:t xml:space="preserve"> и ее фун</w:t>
      </w:r>
      <w:r>
        <w:t>к</w:t>
      </w:r>
      <w:r>
        <w:t>ции включают в себя проведение информационно-разъяснительных кампаний среди населения. Правовая комиссия имеет право заниматься пересмотром соответствующих дел и выносить рекомендации о</w:t>
      </w:r>
      <w:r>
        <w:t>т</w:t>
      </w:r>
      <w:r>
        <w:t>носительно отмены законов или внесения в них поправок.</w:t>
      </w:r>
      <w:r>
        <w:rPr>
          <w:rStyle w:val="FootnoteReference"/>
          <w:sz w:val="20"/>
        </w:rPr>
        <w:footnoteReference w:id="32"/>
      </w:r>
      <w:r>
        <w:t xml:space="preserve"> Такие полномочия распространяются и на подготовку законов, и гражданское воспитание.</w:t>
      </w:r>
    </w:p>
    <w:p w:rsidR="00000000" w:rsidRDefault="00000000">
      <w:pPr>
        <w:pStyle w:val="SingleTxt"/>
      </w:pPr>
      <w:r>
        <w:t>4.3.</w:t>
      </w:r>
      <w:r>
        <w:tab/>
        <w:t>Конституцией запрещается Национальному собранию или любому подч</w:t>
      </w:r>
      <w:r>
        <w:t>и</w:t>
      </w:r>
      <w:r>
        <w:t>ненному ему законодательному органу, а также органам исполнительной вл</w:t>
      </w:r>
      <w:r>
        <w:t>а</w:t>
      </w:r>
      <w:r>
        <w:t>сти принимать какие-либо законы или меры, которые отменяли бы или уще</w:t>
      </w:r>
      <w:r>
        <w:t>м</w:t>
      </w:r>
      <w:r>
        <w:t>ляли закрепленные в Конституции права.</w:t>
      </w:r>
      <w:r>
        <w:rPr>
          <w:rStyle w:val="FootnoteReference"/>
          <w:sz w:val="20"/>
        </w:rPr>
        <w:footnoteReference w:id="33"/>
      </w:r>
      <w:r>
        <w:t xml:space="preserve"> К числу таких прав относятся нек</w:t>
      </w:r>
      <w:r>
        <w:t>о</w:t>
      </w:r>
      <w:r>
        <w:t>торые права женщин, указанные в статье 24. Конституция четко предусматр</w:t>
      </w:r>
      <w:r>
        <w:t>и</w:t>
      </w:r>
      <w:r>
        <w:t>вает, что любое лицо, «которое утверждает, что основополагающее право или свобода, гарантированные» Конституцией, были ущемлены, может возбудить дело о возмещении. По предыдущим делам Высокий суд постановил, что тол</w:t>
      </w:r>
      <w:r>
        <w:t>ь</w:t>
      </w:r>
      <w:r>
        <w:t>ко те, чьи права человека были ущемлены, могут обращаться в суд. Все шире начинает получать признание то, что «любое лицо», включая правозащитные организации, которое может доказать, что права какого-либо человека были ущемл</w:t>
      </w:r>
      <w:r>
        <w:t>е</w:t>
      </w:r>
      <w:r>
        <w:t>ны, может добиваться проведения публичного разбирательства.</w:t>
      </w:r>
    </w:p>
    <w:p w:rsidR="00000000" w:rsidRDefault="00000000">
      <w:pPr>
        <w:pStyle w:val="SingleTxt"/>
      </w:pPr>
      <w:r>
        <w:t>4.4.</w:t>
      </w:r>
      <w:r>
        <w:tab/>
        <w:t>Лицо, утверждающее, что его право человека было ущемлено, имеет в с</w:t>
      </w:r>
      <w:r>
        <w:t>о</w:t>
      </w:r>
      <w:r>
        <w:t>ответствии с Конституцией два возможных варианта защиты.</w:t>
      </w:r>
      <w:r>
        <w:rPr>
          <w:rStyle w:val="FootnoteReference"/>
          <w:sz w:val="20"/>
        </w:rPr>
        <w:footnoteReference w:id="34"/>
      </w:r>
      <w:r>
        <w:t xml:space="preserve"> Во-первых, т</w:t>
      </w:r>
      <w:r>
        <w:t>а</w:t>
      </w:r>
      <w:r>
        <w:t>кое лицо может подать заявление в суд для защиты такого права или принятия мер для его осуществления. Суд может вынести любое постановление для обеспечения осуществления этого права, включая выплату компенсации.</w:t>
      </w:r>
      <w:r>
        <w:rPr>
          <w:rStyle w:val="FootnoteReference"/>
          <w:sz w:val="20"/>
        </w:rPr>
        <w:footnoteReference w:id="35"/>
      </w:r>
      <w:r>
        <w:rPr>
          <w:rStyle w:val="FootnoteReference"/>
        </w:rPr>
        <w:t xml:space="preserve"> </w:t>
      </w:r>
      <w:r>
        <w:t>Вторым возможным средством защиты является подача заявления омбудсмену или Комиссии по правам человека для вынесения ими консультативного з</w:t>
      </w:r>
      <w:r>
        <w:t>а</w:t>
      </w:r>
      <w:r>
        <w:t>ключения или ок</w:t>
      </w:r>
      <w:r>
        <w:t>а</w:t>
      </w:r>
      <w:r>
        <w:t>зания какой-либо помощи.</w:t>
      </w:r>
      <w:r>
        <w:rPr>
          <w:rStyle w:val="FootnoteReference"/>
          <w:sz w:val="20"/>
        </w:rPr>
        <w:footnoteReference w:id="36"/>
      </w:r>
    </w:p>
    <w:p w:rsidR="00000000" w:rsidRDefault="00000000">
      <w:pPr>
        <w:pStyle w:val="SingleTxt"/>
      </w:pPr>
      <w:r>
        <w:t>4.5.</w:t>
      </w:r>
      <w:r>
        <w:tab/>
        <w:t>Однако большинство жителей Малави больше доверяют традиционным или первичным видам правосудия. Оно, как правило, отправляется старостой деревни или вождем. Председатель назначает вождей с учетом их известной родословной. Народ больше полагается на такие виды отправления правос</w:t>
      </w:r>
      <w:r>
        <w:t>у</w:t>
      </w:r>
      <w:r>
        <w:t>дия, чем на централизованно созданные органы, предусмотренные Констит</w:t>
      </w:r>
      <w:r>
        <w:t>у</w:t>
      </w:r>
      <w:r>
        <w:t>цией, поскольку они в географическом и финансовом отношении более до</w:t>
      </w:r>
      <w:r>
        <w:t>с</w:t>
      </w:r>
      <w:r>
        <w:t>тупны, по-прежнему носят партисипативный характер, предусматривают о</w:t>
      </w:r>
      <w:r>
        <w:t>т</w:t>
      </w:r>
      <w:r>
        <w:t>правление правосудия в короткие сроки, а также допускают более гибкие фо</w:t>
      </w:r>
      <w:r>
        <w:t>р</w:t>
      </w:r>
      <w:r>
        <w:t>мы разрешения проблемы. Тем не менее, признается, что некоторые традиц</w:t>
      </w:r>
      <w:r>
        <w:t>и</w:t>
      </w:r>
      <w:r>
        <w:t>онные законы, процедуры и виды практики ущемляют принципы прав челов</w:t>
      </w:r>
      <w:r>
        <w:t>е</w:t>
      </w:r>
      <w:r>
        <w:t>ка, ос</w:t>
      </w:r>
      <w:r>
        <w:t>о</w:t>
      </w:r>
      <w:r>
        <w:t>бенно в том, что касается женщин.</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Ch"/>
      </w:pPr>
      <w:bookmarkStart w:id="26" w:name="_Toc83977411"/>
      <w:bookmarkStart w:id="27" w:name="_Toc83977530"/>
      <w:r>
        <w:t>5.</w:t>
      </w:r>
      <w:r>
        <w:tab/>
        <w:t>Информация и пропаганда</w:t>
      </w:r>
      <w:bookmarkEnd w:id="26"/>
      <w:bookmarkEnd w:id="27"/>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SingleTxt"/>
      </w:pPr>
      <w:r>
        <w:t>5.1.</w:t>
      </w:r>
      <w:r>
        <w:tab/>
        <w:t>Одним из важных результатов развития демократии явилась открытая з</w:t>
      </w:r>
      <w:r>
        <w:t>а</w:t>
      </w:r>
      <w:r>
        <w:t>щита прав человека. Международные организации, неправительственные орг</w:t>
      </w:r>
      <w:r>
        <w:t>а</w:t>
      </w:r>
      <w:r>
        <w:t>низации и правительство принимают совместные меры для распространения информации о важности соблюдения прав человека. Правительство Малави ч</w:t>
      </w:r>
      <w:r>
        <w:t>е</w:t>
      </w:r>
      <w:r>
        <w:t>рез свое министерство по делам женщин и общественных служб и Комиссию по правам человека, неправительственные организации и международные о</w:t>
      </w:r>
      <w:r>
        <w:t>р</w:t>
      </w:r>
      <w:r>
        <w:t>ганизации проводят информационно-разъяснительные кампании по вопросам упорядочения отношений между мужчинами и женщинами и защите прав ч</w:t>
      </w:r>
      <w:r>
        <w:t>е</w:t>
      </w:r>
      <w:r>
        <w:t>ловека, уделяя особое внимание ответственности и обязанности женщин, му</w:t>
      </w:r>
      <w:r>
        <w:t>ж</w:t>
      </w:r>
      <w:r>
        <w:t>чин, д</w:t>
      </w:r>
      <w:r>
        <w:t>е</w:t>
      </w:r>
      <w:r>
        <w:t xml:space="preserve">вушек и юношей. </w:t>
      </w:r>
    </w:p>
    <w:p w:rsidR="00000000" w:rsidRDefault="00000000">
      <w:pPr>
        <w:pStyle w:val="SingleTxt"/>
      </w:pPr>
      <w:r>
        <w:t>5.2.</w:t>
      </w:r>
      <w:r>
        <w:tab/>
        <w:t>Эффективности ведения в Малави воспитательной работы по правам ч</w:t>
      </w:r>
      <w:r>
        <w:t>е</w:t>
      </w:r>
      <w:r>
        <w:t>ловека препятствует низкий уровень грамотности среди женщин и мужчин. Кроме того, некоторые из тех, кто считается грамотным, но не может читать по-английски и не понимает этот язык, а он является основным средством о</w:t>
      </w:r>
      <w:r>
        <w:t>б</w:t>
      </w:r>
      <w:r>
        <w:t>щения, используемым большинством правозащитников в стране, не могут п</w:t>
      </w:r>
      <w:r>
        <w:t>о</w:t>
      </w:r>
      <w:r>
        <w:t>лучить полное представление о правах человека. Важной вехой в решении этих проблем стал выпуск упрощенного варианта КЛДЖ в виде буклета, озагла</w:t>
      </w:r>
      <w:r>
        <w:t>в</w:t>
      </w:r>
      <w:r>
        <w:t>ленного «Женщины и законы в Малави», а также подготовка в 1993 году 120 инструкторов по распространению содержания этого буклета. Помимо эт</w:t>
      </w:r>
      <w:r>
        <w:t>о</w:t>
      </w:r>
      <w:r>
        <w:t>го, на два местных языка была переведена и распространена Конвенция о пр</w:t>
      </w:r>
      <w:r>
        <w:t>а</w:t>
      </w:r>
      <w:r>
        <w:t xml:space="preserve">вах ребенка. </w:t>
      </w:r>
    </w:p>
    <w:p w:rsidR="00000000" w:rsidRDefault="00000000">
      <w:pPr>
        <w:pStyle w:val="SingleTxt"/>
        <w:rPr>
          <w:b/>
        </w:rPr>
      </w:pPr>
      <w:r>
        <w:t>5.3</w:t>
      </w:r>
      <w:r>
        <w:tab/>
        <w:t>Правительство Малави через министерство по делам женщин и общес</w:t>
      </w:r>
      <w:r>
        <w:t>т</w:t>
      </w:r>
      <w:r>
        <w:t>венных служб и Малавийский информационный центр по правам человека п</w:t>
      </w:r>
      <w:r>
        <w:t>е</w:t>
      </w:r>
      <w:r>
        <w:t>ревели текст Конвенции о ликвидации всех форм дискриминации в отношении женщин на один из языков. Основная задача всех правозащитников в Малави заключается в том, чтобы использовать тот язык и ту методологию, которые могли бы позволить большинству местного населения понять, что права чел</w:t>
      </w:r>
      <w:r>
        <w:t>о</w:t>
      </w:r>
      <w:r>
        <w:t>века являются неотъемлемой частью каждого индивидуума и что их можно требовать.</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Ch"/>
      </w:pPr>
      <w:bookmarkStart w:id="28" w:name="_Toc83977412"/>
      <w:bookmarkStart w:id="29" w:name="_Toc83977531"/>
      <w:r>
        <w:t>6.</w:t>
      </w:r>
      <w:r>
        <w:tab/>
        <w:t>Программы борьбы с неравенством полов</w:t>
      </w:r>
      <w:bookmarkEnd w:id="28"/>
      <w:bookmarkEnd w:id="29"/>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SingleTxt"/>
      </w:pPr>
      <w:r>
        <w:t>6.1.</w:t>
      </w:r>
      <w:r>
        <w:tab/>
        <w:t>Существовавшее в свое время министерство общественных служб, кот</w:t>
      </w:r>
      <w:r>
        <w:t>о</w:t>
      </w:r>
      <w:r>
        <w:t>рое отвечало за вопросы женщин и детей, было в 1992 году реорганизовано и переименовано в министерство по делам женщин и детей, общинного развития и социального обеспечения. Цель этого заключалась в том, чтобы включить в сферу внимания такие вопросы, как женщины и развитие и Конвенция о правах ребенка, к которой Малави присоединилась в 1991 году. В 1993 году были ра</w:t>
      </w:r>
      <w:r>
        <w:t>з</w:t>
      </w:r>
      <w:r>
        <w:t xml:space="preserve">работаны и приняты политика и план действий, касающиеся участия женщин в процессе развития. Затем последовали пересмотр закона о </w:t>
      </w:r>
      <w:r>
        <w:rPr>
          <w:caps/>
        </w:rPr>
        <w:t>н</w:t>
      </w:r>
      <w:r>
        <w:t>ациональной к</w:t>
      </w:r>
      <w:r>
        <w:t>о</w:t>
      </w:r>
      <w:r>
        <w:t>миссии по вовлечению женщин в процесс развития; проведение информацио</w:t>
      </w:r>
      <w:r>
        <w:t>н</w:t>
      </w:r>
      <w:r>
        <w:t>но-разъяснительной работы среди министров по вопросам улучшения полож</w:t>
      </w:r>
      <w:r>
        <w:t>е</w:t>
      </w:r>
      <w:r>
        <w:t>ния женщин, народонаселения и развития; и изучение вопросов, касающихся прав женщин. В этот период была отмечена активизация осуществления о</w:t>
      </w:r>
      <w:r>
        <w:t>б</w:t>
      </w:r>
      <w:r>
        <w:t>щинной программы общественно-просветительской работы, которая охватила всю страну и в которой участие приняло в общей сложности 3,7 млн. человек, (1,5 млн. женщин, 1 млн. мужчин, 500 000 девушек и 700 000 юношей), при этом основными темами этой программы были репродуктивное здоровье и роль мужчин и женщин. Кроме того, Национальная комиссия по вовлечению женщин в процесс развития оказала содействие в создании Малавийского н</w:t>
      </w:r>
      <w:r>
        <w:t>а</w:t>
      </w:r>
      <w:r>
        <w:t>ционального совета по благосостоянию семьи – женской полугосударственной организации, занимающейся координацией деятельности в области народон</w:t>
      </w:r>
      <w:r>
        <w:t>а</w:t>
      </w:r>
      <w:r>
        <w:t>селения и развития, включая планирование размеров семьи и вопросы безопа</w:t>
      </w:r>
      <w:r>
        <w:t>с</w:t>
      </w:r>
      <w:r>
        <w:t>ного материнства, под эгидой министерства по делам женщин и общественных служб. Этот совет функционировал до 1999 года, когда он был передан мин</w:t>
      </w:r>
      <w:r>
        <w:t>и</w:t>
      </w:r>
      <w:r>
        <w:t>стерству здравоохранения и народонаселения, а затем, в 2000 году, он был ра</w:t>
      </w:r>
      <w:r>
        <w:t>с</w:t>
      </w:r>
      <w:r>
        <w:t>пущен.</w:t>
      </w:r>
    </w:p>
    <w:p w:rsidR="00000000" w:rsidRDefault="00000000">
      <w:pPr>
        <w:pStyle w:val="SingleTxt"/>
      </w:pPr>
      <w:r>
        <w:t>6.2.</w:t>
      </w:r>
      <w:r>
        <w:tab/>
        <w:t>После проведения Международной конференции по народонаселению и развитию в 1994 году, Всемирной встречи на высшем уровне в интересах соц</w:t>
      </w:r>
      <w:r>
        <w:t>и</w:t>
      </w:r>
      <w:r>
        <w:t xml:space="preserve">ального развития и четвертой Всемирной конференции по проблемам женщин в Пекине в 1995 году Малави разработала </w:t>
      </w:r>
      <w:r>
        <w:rPr>
          <w:caps/>
        </w:rPr>
        <w:t>н</w:t>
      </w:r>
      <w:r>
        <w:t>ациональную платформу действий. Эта платформа включает четыре основных имеющих для Малави большое зн</w:t>
      </w:r>
      <w:r>
        <w:t>а</w:t>
      </w:r>
      <w:r>
        <w:t xml:space="preserve">чение направления деятельности, а именно: </w:t>
      </w:r>
      <w:r>
        <w:rPr>
          <w:i/>
        </w:rPr>
        <w:t>борьбу с бедностью и расширение полномочий; положение девочек; насилие в отношении женщин и мир.</w:t>
      </w:r>
      <w:r>
        <w:t xml:space="preserve"> Осущ</w:t>
      </w:r>
      <w:r>
        <w:t>е</w:t>
      </w:r>
      <w:r>
        <w:t>ствление этой платформы было начато 8 марта 1997 года, и оно совпало с по</w:t>
      </w:r>
      <w:r>
        <w:t>д</w:t>
      </w:r>
      <w:r>
        <w:t>писанием главами государств и правительств 8 сентября этого же года в Бла</w:t>
      </w:r>
      <w:r>
        <w:t>н</w:t>
      </w:r>
      <w:r>
        <w:t>тайре, Малави, Декларации Южно-Африканского сообщества развития о р</w:t>
      </w:r>
      <w:r>
        <w:t>а</w:t>
      </w:r>
      <w:r>
        <w:t>венстве полов и развитии.</w:t>
      </w:r>
    </w:p>
    <w:p w:rsidR="00000000" w:rsidRDefault="00000000">
      <w:pPr>
        <w:pStyle w:val="SingleTxt"/>
      </w:pPr>
      <w:r>
        <w:t>6.3.</w:t>
      </w:r>
      <w:r>
        <w:tab/>
        <w:t>В этой Декларации главы государств и правительств и их страны обяз</w:t>
      </w:r>
      <w:r>
        <w:t>а</w:t>
      </w:r>
      <w:r>
        <w:t>лись постоянно включать в свои повестки развития вопросы равенства полов; обеспечить равную представленность женщин и мужчин на руководящих должностях; обеспечить женщинам полный доступ к производственным ресу</w:t>
      </w:r>
      <w:r>
        <w:t>р</w:t>
      </w:r>
      <w:r>
        <w:t>сам и контроль за ними; отменить и изменить все законы, вносящие поправки в конституции, и изменить общественный уклад, все еще допускающий дискр</w:t>
      </w:r>
      <w:r>
        <w:t>и</w:t>
      </w:r>
      <w:r>
        <w:t>минацию в отношении женщин; облегчить доступ женщин и мужчин к качес</w:t>
      </w:r>
      <w:r>
        <w:t>т</w:t>
      </w:r>
      <w:r>
        <w:t>венному образованию при устранении бытующих стереотипных представл</w:t>
      </w:r>
      <w:r>
        <w:t>е</w:t>
      </w:r>
      <w:r>
        <w:t>ний; улучшить доступ женщин и мужчин к качественным службам охраны р</w:t>
      </w:r>
      <w:r>
        <w:t>е</w:t>
      </w:r>
      <w:r>
        <w:t>продуктивного здоровья и другим службам здравоохранения; укреплять и з</w:t>
      </w:r>
      <w:r>
        <w:t>а</w:t>
      </w:r>
      <w:r>
        <w:t>щищать права человека, женщин и детей; признавать, защищать и оказывать содействие осуществлению репродуктивных прав женщин и девушек; принять неотложные меры для предотвращения усиления насилия и борьбы с ним; и способствовать широкому распространению средствами информации сведений, касающихся прав человека, женщин и детей.</w:t>
      </w:r>
    </w:p>
    <w:p w:rsidR="00000000" w:rsidRDefault="00000000">
      <w:pPr>
        <w:pStyle w:val="SingleTxt"/>
      </w:pPr>
      <w:r>
        <w:t>6.4</w:t>
      </w:r>
      <w:r>
        <w:tab/>
        <w:t>Кроме того, Малави разработала национальную гендерную политику, в которую были включены те основные направления деятельности, которые были намечены в Платформе. Осуществление этой политики было начато 8 марта 2000 года, и она охватывает шесть следующих тематических областей: образ</w:t>
      </w:r>
      <w:r>
        <w:t>о</w:t>
      </w:r>
      <w:r>
        <w:t>вание и профессиональная подготовка; репродуктивное здоровье; продовольс</w:t>
      </w:r>
      <w:r>
        <w:t>т</w:t>
      </w:r>
      <w:r>
        <w:t>вие и безопасное питание; природные ресурсы и экологическое управление; руководство и права человека; и борьба с бедностью и расширение экономич</w:t>
      </w:r>
      <w:r>
        <w:t>е</w:t>
      </w:r>
      <w:r>
        <w:t>ских возможностей. Это, соответственно, потребовало дальнейшего пересмо</w:t>
      </w:r>
      <w:r>
        <w:t>т</w:t>
      </w:r>
      <w:r>
        <w:t>ра деятельности министерства и его переименования в 1999 году в министе</w:t>
      </w:r>
      <w:r>
        <w:t>р</w:t>
      </w:r>
      <w:r>
        <w:t>ство по делам женщин и общественных служб, при этом в нем было создано специальное управление по гендерным вопросам. Кроме того, был назначен Малавийский национальный фонд по гендерным вопросам. Его основная зад</w:t>
      </w:r>
      <w:r>
        <w:t>а</w:t>
      </w:r>
      <w:r>
        <w:t>ча – инициировать разработку, осуществление, координацию, сотрудничество, контроль и оценку на всех уровнях политики, программ, проектов и меропри</w:t>
      </w:r>
      <w:r>
        <w:t>я</w:t>
      </w:r>
      <w:r>
        <w:t>тий в области обеспечения равенства полов. Цель этого заключается в том, чтобы охватить гендерные вопросы национальным процессом развития в инт</w:t>
      </w:r>
      <w:r>
        <w:t>е</w:t>
      </w:r>
      <w:r>
        <w:t>ресах расширения участия мужчин, женщин, юношей и девушек в обеспечении устойчивого и справедливого развития, нацеленного на искоренение бедности. Для этого управление по гендерным вопросам разработало четыре ключевые программы: упорядочение гендерных отношений; расширение экономических возможностей; продовольствие и диверсификация рациона питания; и общи</w:t>
      </w:r>
      <w:r>
        <w:t>н</w:t>
      </w:r>
      <w:r>
        <w:t>ное воспитание с уделением особого внимания вопросам репродуктивного зд</w:t>
      </w:r>
      <w:r>
        <w:t>о</w:t>
      </w:r>
      <w:r>
        <w:t>ровья и ВИЧ/СПИДа.</w:t>
      </w:r>
    </w:p>
    <w:p w:rsidR="00000000" w:rsidRDefault="00000000">
      <w:pPr>
        <w:pStyle w:val="SingleTxt"/>
      </w:pPr>
      <w:r>
        <w:t>6.5.</w:t>
      </w:r>
      <w:r>
        <w:tab/>
        <w:t>В целях практической реализации своего мандата министерство, в качес</w:t>
      </w:r>
      <w:r>
        <w:t>т</w:t>
      </w:r>
      <w:r>
        <w:t>ве национальной структуры обеспечения равенства полов, определило осно</w:t>
      </w:r>
      <w:r>
        <w:t>в</w:t>
      </w:r>
      <w:r>
        <w:t>ные координационные центры во всех секторах: государственном секторе, ч</w:t>
      </w:r>
      <w:r>
        <w:t>а</w:t>
      </w:r>
      <w:r>
        <w:t>стном, полугосударственном и неправительственных организациях, – роль к</w:t>
      </w:r>
      <w:r>
        <w:t>о</w:t>
      </w:r>
      <w:r>
        <w:t>торых должна заключаться в том, чтобы гендерные вопросы стали неотъемл</w:t>
      </w:r>
      <w:r>
        <w:t>е</w:t>
      </w:r>
      <w:r>
        <w:t>мой частью деятельности заинтересованных сторон. В настоящее время дор</w:t>
      </w:r>
      <w:r>
        <w:t>а</w:t>
      </w:r>
      <w:r>
        <w:t>батывается гендерная программа по претворению в жизнь этой политики, а также предпринимаются усилия по разработке Закона о равенстве мужчин и женщин. Кроме того, в период с 1997 по 1999 годы этот национальный мех</w:t>
      </w:r>
      <w:r>
        <w:t>а</w:t>
      </w:r>
      <w:r>
        <w:t>низм активизировал свою работу по проведению информационных и разъясн</w:t>
      </w:r>
      <w:r>
        <w:t>и</w:t>
      </w:r>
      <w:r>
        <w:t>тельных компаний по гендерным вопросам. Были проведены семинары для т</w:t>
      </w:r>
      <w:r>
        <w:t>а</w:t>
      </w:r>
      <w:r>
        <w:t>ких влиятельных лиц в Малави как: 48 главных секретарей, которые подгот</w:t>
      </w:r>
      <w:r>
        <w:t>о</w:t>
      </w:r>
      <w:r>
        <w:t>вили и подписали собственную Декларацию по вопросам равенства мужчин и женщин и развития, известную как Декларация Макокола, 60 старших должн</w:t>
      </w:r>
      <w:r>
        <w:t>о</w:t>
      </w:r>
      <w:r>
        <w:t>стных лиц, 33 членов кабинета министров, 177 членов парламента и 140 вождей. Это способствовало утверждению различных политических док</w:t>
      </w:r>
      <w:r>
        <w:t>у</w:t>
      </w:r>
      <w:r>
        <w:t>ментов по гендерным вопросам. Помимо этого, были организованы общие н</w:t>
      </w:r>
      <w:r>
        <w:t>а</w:t>
      </w:r>
      <w:r>
        <w:t>циональные мероприятия по гендерным вопросам и правам человека, и в о</w:t>
      </w:r>
      <w:r>
        <w:t>б</w:t>
      </w:r>
      <w:r>
        <w:t>щей сложности 100 инструкторов провели соответствующую работу среди 1500 человек каждый, тем самым охватив 150 000 жителей страны, в то время как средствами информации было охвачено 75 процентов всего населения. П</w:t>
      </w:r>
      <w:r>
        <w:t>о</w:t>
      </w:r>
      <w:r>
        <w:t>мимо этого, для обеспечения того, чтобы вопросы, касающиеся прав женщин и отмены дискриминационной практики, постоянно находились в центре вним</w:t>
      </w:r>
      <w:r>
        <w:t>а</w:t>
      </w:r>
      <w:r>
        <w:t xml:space="preserve">ния, была создана парламентская </w:t>
      </w:r>
      <w:r>
        <w:rPr>
          <w:caps/>
        </w:rPr>
        <w:t>м</w:t>
      </w:r>
      <w:r>
        <w:t>ежпартийная женская группа. Социальн</w:t>
      </w:r>
      <w:r>
        <w:t>ы</w:t>
      </w:r>
      <w:r>
        <w:t>ми вопросами, затрагивающими женщин и детей, занимается Парламентский комитет по общим и социальным делам, который был преобразован из Комит</w:t>
      </w:r>
      <w:r>
        <w:t>е</w:t>
      </w:r>
      <w:r>
        <w:t>та по делам женщин и детей. На уровне кабинета министров был создан Ком</w:t>
      </w:r>
      <w:r>
        <w:t>и</w:t>
      </w:r>
      <w:r>
        <w:t>тет по вопросам равенства мужчин и женщин, молодежи и инвалидов, котор</w:t>
      </w:r>
      <w:r>
        <w:t>о</w:t>
      </w:r>
      <w:r>
        <w:t>му поручено утверждать и представлять такие вопросы на рассмотрение каб</w:t>
      </w:r>
      <w:r>
        <w:t>и</w:t>
      </w:r>
      <w:r>
        <w:t>нета.</w:t>
      </w:r>
    </w:p>
    <w:p w:rsidR="00000000" w:rsidRDefault="00000000">
      <w:pPr>
        <w:pStyle w:val="SingleTxt"/>
      </w:pPr>
      <w:r>
        <w:t>6.6.</w:t>
      </w:r>
      <w:r>
        <w:tab/>
        <w:t>Для обеспечения того, чтобы все заинтересованные стороны включали в повестку дня своей деятельности гендерные вопросы, неправительственные организации в 1998 году создали соответствующую координационную сеть. Роль этой сети заключается в координации всех гендерных мероприятий в ра</w:t>
      </w:r>
      <w:r>
        <w:t>м</w:t>
      </w:r>
      <w:r>
        <w:t>ках неправительственных организаций/гражданского сектора. Эта сеть являе</w:t>
      </w:r>
      <w:r>
        <w:t>т</w:t>
      </w:r>
      <w:r>
        <w:t>ся членом различных правительственных комитетов, и она следит за тем, чт</w:t>
      </w:r>
      <w:r>
        <w:t>о</w:t>
      </w:r>
      <w:r>
        <w:t>бы интересы неправительственных организаций учит</w:t>
      </w:r>
      <w:r>
        <w:t>ы</w:t>
      </w:r>
      <w:r>
        <w:t>вались в их работе.</w:t>
      </w:r>
    </w:p>
    <w:p w:rsidR="00000000" w:rsidRDefault="00000000">
      <w:pPr>
        <w:pStyle w:val="SingleTxt"/>
      </w:pPr>
      <w:r>
        <w:t>6.7.</w:t>
      </w:r>
      <w:r>
        <w:tab/>
        <w:t>В частном секторе была пересмотрена разработанная министерством о</w:t>
      </w:r>
      <w:r>
        <w:t>б</w:t>
      </w:r>
      <w:r>
        <w:t>разования учебная программа с целью более полного отражения в ней генде</w:t>
      </w:r>
      <w:r>
        <w:t>р</w:t>
      </w:r>
      <w:r>
        <w:t>ных вопросов. Специалистами по гендерным вопросам были разработаны для преподавателей соответствующие перечни тем. Для обеспечения того, чтобы девочки поступали в школу, учились в ней и заканчивали ее, в период с 1996 по 2002 год была организована программа обеспечения посещаемости девочками основных курсов грамотности и базовых школ, и в настоящее время ведется соответствующая социальная информационно-мобилизационная компания. Этой программой предусматривается оплата учебы девочек, сдавших экзам</w:t>
      </w:r>
      <w:r>
        <w:t>е</w:t>
      </w:r>
      <w:r>
        <w:t>ны, и предоставление учебных материалов всем учащимся начальных школ.</w:t>
      </w:r>
    </w:p>
    <w:p w:rsidR="00000000" w:rsidRDefault="00000000">
      <w:pPr>
        <w:pStyle w:val="SingleTxt"/>
      </w:pPr>
      <w:r>
        <w:t>6.8.</w:t>
      </w:r>
      <w:r>
        <w:tab/>
        <w:t>Политика министерства обороны заключается в том, чтобы не призывать на службу женщин. В 1999 году эта политика была пересмотрена, и к 2000 году военную школу окончили первые женщины-курсанты. К настоящему моменту 130 женщин обучаются военному делу и служат в армии, причем 11 из них имеют звания младших офицеров.</w:t>
      </w:r>
    </w:p>
    <w:p w:rsidR="00000000" w:rsidRDefault="00000000">
      <w:pPr>
        <w:pStyle w:val="SingleTxt"/>
      </w:pPr>
      <w:r>
        <w:t>6.9.</w:t>
      </w:r>
      <w:r>
        <w:tab/>
        <w:t>Министерство сельского хозяйства пересмотрело свои учебные пособия и учебную программу с целью привлечения в эту среду больше девушек и созд</w:t>
      </w:r>
      <w:r>
        <w:t>а</w:t>
      </w:r>
      <w:r>
        <w:t>ло гендерно-ролевую группу по сельскому хозяйству. Эта группа занимается учетом гендерных аспе</w:t>
      </w:r>
      <w:r>
        <w:t>к</w:t>
      </w:r>
      <w:r>
        <w:t>тов в сельском хозяйстве.</w:t>
      </w:r>
    </w:p>
    <w:p w:rsidR="00000000" w:rsidRDefault="00000000">
      <w:pPr>
        <w:pStyle w:val="SingleTxt"/>
      </w:pPr>
      <w:r>
        <w:t>6.10.</w:t>
      </w:r>
      <w:r>
        <w:tab/>
        <w:t xml:space="preserve">Министерство внутренних дел продвинуло по службе нескольких женщин на различных уровнях и расширило прием женщин в малавийскую полицию. В настоящее время в полиции работает 1269 женщин, что представляет собой увеличение по сравнению с 272 в 1995 году. </w:t>
      </w:r>
    </w:p>
    <w:p w:rsidR="00000000" w:rsidRDefault="00000000">
      <w:pPr>
        <w:pStyle w:val="SingleTxt"/>
      </w:pPr>
      <w:r>
        <w:t>6.11.</w:t>
      </w:r>
      <w:r>
        <w:tab/>
        <w:t>Министерство лесного хозяйства, рыбного хозяйства, окружающей среды, энергии и дикой природы пересмотрело свою учебную программу и создало соответствующие условия для девушек в своем профессионально-техническом училище с тем, чтобы привлечь их к изучению лесного дела. В его программы, касающиеся дикой природы, обезлесенья, окружающей среды и энергии были включены гендерные аспекты. Малави играет ведущую роль в упорядочении гендерных аспектов в рамках лесохозяйственного сектора, деятельность кот</w:t>
      </w:r>
      <w:r>
        <w:t>о</w:t>
      </w:r>
      <w:r>
        <w:t>рого она координирует по линии Южно-африканского сообщества развития.</w:t>
      </w:r>
    </w:p>
    <w:p w:rsidR="00000000" w:rsidRDefault="00000000">
      <w:pPr>
        <w:pStyle w:val="SingleTxt"/>
      </w:pPr>
      <w:r>
        <w:t>6.12.</w:t>
      </w:r>
      <w:r>
        <w:tab/>
        <w:t>В Университете в 1998 году увеличилось соотношение между учащимися девушками и юношами с 10 девушек на 100 юношей до 30 на 100, и он в н</w:t>
      </w:r>
      <w:r>
        <w:t>а</w:t>
      </w:r>
      <w:r>
        <w:t>стоящее время добивается роста этого показателя до 40 на 100.</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Ch"/>
      </w:pPr>
      <w:bookmarkStart w:id="30" w:name="_Toc83977413"/>
      <w:bookmarkStart w:id="31" w:name="_Toc83977532"/>
      <w:r>
        <w:t>7.</w:t>
      </w:r>
      <w:r>
        <w:tab/>
        <w:t>Вывод</w:t>
      </w:r>
      <w:bookmarkEnd w:id="30"/>
      <w:bookmarkEnd w:id="31"/>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SingleTxt"/>
      </w:pPr>
      <w:r>
        <w:t>Принятие в 1995 году новой Конституции и выработка гендерного подхода к развитию позволили создать благоприятную обстановку для устранения сущ</w:t>
      </w:r>
      <w:r>
        <w:t>е</w:t>
      </w:r>
      <w:r>
        <w:t>ствующего неравенства между мужчинами и женщинами. Была создана благ</w:t>
      </w:r>
      <w:r>
        <w:t>о</w:t>
      </w:r>
      <w:r>
        <w:t>приятная правовая основа для осуществления женщинами их прав и для бор</w:t>
      </w:r>
      <w:r>
        <w:t>ь</w:t>
      </w:r>
      <w:r>
        <w:t>бы с неравенством между мужчинами и женщинами, однако прогресс здесь все еще медленен ввиду тех существующих общественных процессов, которые з</w:t>
      </w:r>
      <w:r>
        <w:t>а</w:t>
      </w:r>
      <w:r>
        <w:t>крепляют главенствующую роль мужчин.</w:t>
      </w:r>
    </w:p>
    <w:p w:rsidR="00000000" w:rsidRDefault="00000000">
      <w:pPr>
        <w:pStyle w:val="HCh"/>
        <w:pageBreakBefore/>
      </w:pPr>
      <w:bookmarkStart w:id="32" w:name="_Toc33784407"/>
      <w:bookmarkStart w:id="33" w:name="_Toc377350746"/>
      <w:bookmarkStart w:id="34" w:name="_Toc83977533"/>
      <w:r>
        <w:t>Часть 2:</w:t>
      </w:r>
      <w:r>
        <w:tab/>
        <w:t>Достижения, проблемы и реальное положение дел</w:t>
      </w:r>
      <w:bookmarkEnd w:id="32"/>
      <w:bookmarkEnd w:id="33"/>
      <w:r>
        <w:t xml:space="preserve"> </w:t>
      </w:r>
      <w:r>
        <w:br/>
        <w:t>по статьям</w:t>
      </w:r>
      <w:bookmarkEnd w:id="34"/>
    </w:p>
    <w:p w:rsidR="00000000" w:rsidRDefault="00000000">
      <w:pPr>
        <w:pStyle w:val="SingleTxt"/>
      </w:pPr>
      <w:r>
        <w:t>В этой части доклада говорится об осуществлении КЛДЖ в Малави. Эта стр</w:t>
      </w:r>
      <w:r>
        <w:t>а</w:t>
      </w:r>
      <w:r>
        <w:t>на признает стандарты КЛДЖ и использует их при изучении своей констит</w:t>
      </w:r>
      <w:r>
        <w:t>у</w:t>
      </w:r>
      <w:r>
        <w:t>ции, политики, основных законов и программ. В докладе изложено реальное положение женщин в отношении каждого из комп</w:t>
      </w:r>
      <w:r>
        <w:t>о</w:t>
      </w:r>
      <w:r>
        <w:t>нентов статей КЛДЖ.</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bookmarkStart w:id="35" w:name="_Toc33784408"/>
      <w:bookmarkStart w:id="36" w:name="_Toc377350747"/>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37" w:name="_Toc83977534"/>
      <w:r>
        <w:t>Статья 1:</w:t>
      </w:r>
      <w:bookmarkEnd w:id="35"/>
      <w:bookmarkEnd w:id="36"/>
      <w:r>
        <w:tab/>
        <w:t>Определение понятия «дискриминация в отношении женщин»</w:t>
      </w:r>
      <w:bookmarkEnd w:id="37"/>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rPr>
          <w:lang w:val="en-US"/>
        </w:rPr>
      </w:pPr>
      <w:r>
        <w:t>1.1</w:t>
      </w:r>
      <w:r>
        <w:rPr>
          <w:lang w:val="en-US"/>
        </w:rPr>
        <w:tab/>
      </w:r>
      <w:r>
        <w:t>Стандарт</w:t>
      </w:r>
      <w:r>
        <w:rPr>
          <w:lang w:val="en-US"/>
        </w:rPr>
        <w:t xml:space="preserve"> </w:t>
      </w:r>
      <w:r>
        <w:t>КЛДЖ</w:t>
      </w:r>
    </w:p>
    <w:p w:rsidR="00000000" w:rsidRDefault="00000000">
      <w:pPr>
        <w:pStyle w:val="SingleTxt"/>
        <w:rPr>
          <w:rFonts w:eastAsia="MS Mincho"/>
          <w:i/>
        </w:rPr>
      </w:pPr>
      <w:r>
        <w:rPr>
          <w:rFonts w:eastAsia="MS Mincho"/>
          <w:i/>
        </w:rPr>
        <w:t>Статья 1: Для целей настоящей Конвенции понятие «дискриминация в отн</w:t>
      </w:r>
      <w:r>
        <w:rPr>
          <w:rFonts w:eastAsia="MS Mincho"/>
          <w:i/>
        </w:rPr>
        <w:t>о</w:t>
      </w:r>
      <w:r>
        <w:rPr>
          <w:rFonts w:eastAsia="MS Mincho"/>
          <w:i/>
        </w:rPr>
        <w:t>шении женщин» означает любое различие, исключение или ограничение по пр</w:t>
      </w:r>
      <w:r>
        <w:rPr>
          <w:rFonts w:eastAsia="MS Mincho"/>
          <w:i/>
        </w:rPr>
        <w:t>и</w:t>
      </w:r>
      <w:r>
        <w:rPr>
          <w:rFonts w:eastAsia="MS Mincho"/>
          <w:i/>
        </w:rPr>
        <w:t>знаку пола, которое направлено на ослабление и сводит на нет признание, пользование или осуществление женщинами, независимо от их семейного п</w:t>
      </w:r>
      <w:r>
        <w:rPr>
          <w:rFonts w:eastAsia="MS Mincho"/>
          <w:i/>
        </w:rPr>
        <w:t>о</w:t>
      </w:r>
      <w:r>
        <w:rPr>
          <w:rFonts w:eastAsia="MS Mincho"/>
          <w:i/>
        </w:rPr>
        <w:t>ложения, на основе равноправия мужчин и женщин, прав человека и основных свобод в политической, экономической, социальной, культурной, гражданской и любой другой области.</w:t>
      </w:r>
    </w:p>
    <w:p w:rsidR="00000000" w:rsidRDefault="00000000">
      <w:pPr>
        <w:pStyle w:val="H23"/>
      </w:pPr>
      <w:r>
        <w:t>1.2.</w:t>
      </w:r>
      <w:r>
        <w:tab/>
        <w:t>Описание понятия «дискриминация» в Конституции Малави</w:t>
      </w:r>
    </w:p>
    <w:p w:rsidR="00000000" w:rsidRDefault="00000000">
      <w:pPr>
        <w:pStyle w:val="SingleTxt"/>
      </w:pPr>
      <w:r>
        <w:t>1.2.1.</w:t>
      </w:r>
      <w:r>
        <w:tab/>
        <w:t>Конституция Малави, принятая в 1995 году, является прогрессивной, поскольку в ее главе 4 закрепляется Билль о правах, хотя и не дается никакого юридического определения дискриминации. В существовавшей до 1994 года Конституции ничего не говорилось о дискриминации, хотя Малави была ст</w:t>
      </w:r>
      <w:r>
        <w:t>о</w:t>
      </w:r>
      <w:r>
        <w:t>роной Всеобщей декларации прав челов</w:t>
      </w:r>
      <w:r>
        <w:t>е</w:t>
      </w:r>
      <w:r>
        <w:t>ка.</w:t>
      </w:r>
      <w:r>
        <w:rPr>
          <w:rStyle w:val="FootnoteReference"/>
          <w:sz w:val="20"/>
        </w:rPr>
        <w:footnoteReference w:id="37"/>
      </w:r>
      <w:r>
        <w:t xml:space="preserve"> </w:t>
      </w:r>
    </w:p>
    <w:p w:rsidR="00000000" w:rsidRDefault="00000000">
      <w:pPr>
        <w:pStyle w:val="SingleTxt"/>
      </w:pPr>
      <w:r>
        <w:t>1.2.2.</w:t>
      </w:r>
      <w:r>
        <w:tab/>
        <w:t>В Конституции 1995 года права человека закрепляются более четким и ясным образом. Один из таких закрепленных в нынешней Конституции принципов предусматривает, что все равны перед законом.</w:t>
      </w:r>
      <w:r>
        <w:rPr>
          <w:rStyle w:val="FootnoteReference"/>
          <w:sz w:val="20"/>
        </w:rPr>
        <w:footnoteReference w:id="38"/>
      </w:r>
      <w:r>
        <w:t xml:space="preserve"> Единственным ограничением для осуществления законных прав является отсутствие соотве</w:t>
      </w:r>
      <w:r>
        <w:t>т</w:t>
      </w:r>
      <w:r>
        <w:t>ствующего имплементационного закона и его невыполнение. Кроме того, в Конституции содержится одно положение недискриминационного характера, которое запрещает дискриминацию в отношении женщин по признаку пола, расы, цвета лица, языка, вероисповедания, политических или иных убеждений, гражданства, этнического или общественного происхождения, инвалидности, имущес</w:t>
      </w:r>
      <w:r>
        <w:t>т</w:t>
      </w:r>
      <w:r>
        <w:t>венного статуса, месторождения или иного статуса.</w:t>
      </w:r>
      <w:r>
        <w:rPr>
          <w:rStyle w:val="FootnoteReference"/>
          <w:sz w:val="20"/>
        </w:rPr>
        <w:footnoteReference w:id="39"/>
      </w:r>
      <w:r>
        <w:t>.</w:t>
      </w:r>
    </w:p>
    <w:p w:rsidR="00000000" w:rsidRDefault="00000000">
      <w:pPr>
        <w:pStyle w:val="SingleTxt"/>
      </w:pPr>
      <w:r>
        <w:t>В Малави правовая грамотность очень низка, особенно среди женщин. Поэт</w:t>
      </w:r>
      <w:r>
        <w:t>о</w:t>
      </w:r>
      <w:r>
        <w:t>му судебные органы при рассмотрении дел, касающихся возможных случаев нарушения прав женщин, не рассматривают никакие положения о запрещении дискриминации. Хотя, в порядке исключения, можно отметить, что Управлен</w:t>
      </w:r>
      <w:r>
        <w:t>и</w:t>
      </w:r>
      <w:r>
        <w:t>ем омбудсмена зарегистрировано достаточно большое число жалоб на проя</w:t>
      </w:r>
      <w:r>
        <w:t>в</w:t>
      </w:r>
      <w:r>
        <w:t>ление дискриминации, которое только в 2000 году составляло 200.</w:t>
      </w:r>
      <w:r>
        <w:rPr>
          <w:rStyle w:val="FootnoteReference"/>
          <w:sz w:val="20"/>
        </w:rPr>
        <w:footnoteReference w:id="40"/>
      </w:r>
      <w:r>
        <w:t xml:space="preserve"> Управл</w:t>
      </w:r>
      <w:r>
        <w:t>е</w:t>
      </w:r>
      <w:r>
        <w:t>ние омбудсмена более доступно и более дружелюбно относится к посетителям, чем большинство существующих в Малави государственных судебных орг</w:t>
      </w:r>
      <w:r>
        <w:t>а</w:t>
      </w:r>
      <w:r>
        <w:t>нов.</w:t>
      </w:r>
    </w:p>
    <w:p w:rsidR="00000000" w:rsidRDefault="00000000">
      <w:pPr>
        <w:pStyle w:val="H23"/>
      </w:pPr>
      <w:r>
        <w:t>1.3</w:t>
      </w:r>
      <w:r>
        <w:tab/>
        <w:t>Описание понятия «дискриминация в отношении женщин» в отраслевых зак</w:t>
      </w:r>
      <w:r>
        <w:t>о</w:t>
      </w:r>
      <w:r>
        <w:t>нах Малави</w:t>
      </w:r>
    </w:p>
    <w:p w:rsidR="00000000" w:rsidRDefault="00000000">
      <w:pPr>
        <w:pStyle w:val="SingleTxt"/>
      </w:pPr>
      <w:r>
        <w:t>1.3.1.</w:t>
      </w:r>
      <w:r>
        <w:tab/>
        <w:t>После принятия новой Конституции государством был утвержден только один закон, касающийся дискриминации. Закон о занятости 2000 года к числу запрещенных факторов обращения со служащими добавляет «семейные обязанности».</w:t>
      </w:r>
      <w:r>
        <w:rPr>
          <w:rStyle w:val="FootnoteReference"/>
          <w:sz w:val="20"/>
        </w:rPr>
        <w:footnoteReference w:id="41"/>
      </w:r>
      <w:r>
        <w:t xml:space="preserve"> Суды, со своей стороны, заявили о готовности практически осуществлять положения, касающиеся з</w:t>
      </w:r>
      <w:r>
        <w:t>а</w:t>
      </w:r>
      <w:r>
        <w:t>прещения дискриминации.</w:t>
      </w:r>
      <w:r>
        <w:rPr>
          <w:rStyle w:val="FootnoteReference"/>
          <w:sz w:val="20"/>
        </w:rPr>
        <w:footnoteReference w:id="42"/>
      </w:r>
      <w:r>
        <w:rPr>
          <w:rStyle w:val="FootnoteReference"/>
        </w:rPr>
        <w:t xml:space="preserve"> </w:t>
      </w:r>
    </w:p>
    <w:p w:rsidR="00000000" w:rsidRDefault="00000000">
      <w:pPr>
        <w:pStyle w:val="SingleTxt"/>
      </w:pPr>
      <w:r>
        <w:t>1.3.2.</w:t>
      </w:r>
      <w:r>
        <w:tab/>
        <w:t>Проводимая в настоящее время реформа законов гендерного хара</w:t>
      </w:r>
      <w:r>
        <w:t>к</w:t>
      </w:r>
      <w:r>
        <w:t>тера может привести к уделению повышенного внимания необходимости ли</w:t>
      </w:r>
      <w:r>
        <w:t>к</w:t>
      </w:r>
      <w:r>
        <w:t>видации дискриминации по признаку пола и принятию соответствующих зак</w:t>
      </w:r>
      <w:r>
        <w:t>о</w:t>
      </w:r>
      <w:r>
        <w:t>нов. Специальной комиссией по вопросам равенства мужчин и женщин и праву был в качестве основного элемента ее работы принят принцип недискримин</w:t>
      </w:r>
      <w:r>
        <w:t>а</w:t>
      </w:r>
      <w:r>
        <w:t>ции между мужчинами и женщинами. Эта комиссия наметила три основных направления своей работы: закон о наследовании, семейные отношения и во</w:t>
      </w:r>
      <w:r>
        <w:t>з</w:t>
      </w:r>
      <w:r>
        <w:t>можность принятия закона о равенстве мужчин и женщин, который мог бы с</w:t>
      </w:r>
      <w:r>
        <w:t>о</w:t>
      </w:r>
      <w:r>
        <w:t>держать четкие оперативные определения понятия «дискриминации в отнош</w:t>
      </w:r>
      <w:r>
        <w:t>е</w:t>
      </w:r>
      <w:r>
        <w:t>нии же</w:t>
      </w:r>
      <w:r>
        <w:t>н</w:t>
      </w:r>
      <w:r>
        <w:t>щин».</w:t>
      </w:r>
    </w:p>
    <w:p w:rsidR="00000000" w:rsidRDefault="00000000">
      <w:pPr>
        <w:pStyle w:val="H23"/>
      </w:pPr>
      <w:r>
        <w:t>1.4</w:t>
      </w:r>
      <w:r>
        <w:tab/>
        <w:t>Определение понятия «дискриминация» и реальное положение дел в Малави</w:t>
      </w:r>
    </w:p>
    <w:p w:rsidR="00000000" w:rsidRDefault="00000000">
      <w:pPr>
        <w:pStyle w:val="SingleTxt"/>
      </w:pPr>
      <w:r>
        <w:t>1.4.1.</w:t>
      </w:r>
      <w:r>
        <w:tab/>
        <w:t>Основными факторами, способствующими существованию нераве</w:t>
      </w:r>
      <w:r>
        <w:t>н</w:t>
      </w:r>
      <w:r>
        <w:t>ства, являются обычное право и культурные обычаи. Между конституционн</w:t>
      </w:r>
      <w:r>
        <w:t>ы</w:t>
      </w:r>
      <w:r>
        <w:t>ми положениями декларативного характера и действующим законом, опред</w:t>
      </w:r>
      <w:r>
        <w:t>е</w:t>
      </w:r>
      <w:r>
        <w:t>ляющим роль мужчин и женщин и отношения между ними, существует бол</w:t>
      </w:r>
      <w:r>
        <w:t>ь</w:t>
      </w:r>
      <w:r>
        <w:t>шая пропасть. Положения обычного права используются в качестве нормы в процессе развития общества, а женщина рассматривается как хранительница культуры, что говорит о неравноправии мужчин и женщин в том, что касается распределения полномочий, и в какой-то степени обеспечивает подчиненное положение же</w:t>
      </w:r>
      <w:r>
        <w:t>н</w:t>
      </w:r>
      <w:r>
        <w:t>щин.</w:t>
      </w:r>
    </w:p>
    <w:p w:rsidR="00000000" w:rsidRDefault="00000000">
      <w:pPr>
        <w:pStyle w:val="SingleTxt"/>
      </w:pPr>
      <w:r>
        <w:t>1.4.2.</w:t>
      </w:r>
      <w:r>
        <w:tab/>
        <w:t>Кроме того, обычным правом допускается полигамия. В некоторых случаях нормами обычного права разрешается насилие в семье в отношении жены, и это предполагает, что муж должен заниматься воспитательной работой со св</w:t>
      </w:r>
      <w:r>
        <w:t>о</w:t>
      </w:r>
      <w:r>
        <w:t>ей женой.</w:t>
      </w:r>
    </w:p>
    <w:p w:rsidR="00000000" w:rsidRDefault="00000000">
      <w:pPr>
        <w:pStyle w:val="H23"/>
      </w:pPr>
      <w:r>
        <w:t>1.5.</w:t>
      </w:r>
      <w:r>
        <w:tab/>
        <w:t>Вывод</w:t>
      </w:r>
    </w:p>
    <w:p w:rsidR="00000000" w:rsidRDefault="00000000">
      <w:pPr>
        <w:pStyle w:val="SingleTxt"/>
      </w:pPr>
      <w:r>
        <w:t>В конституции Малави не допускается дискриминация, однако это понятие не имеет ни законодательного, ни судебного определения. Проводимая правовая реформа может привести к принятию более четких и строгих норм, касающи</w:t>
      </w:r>
      <w:r>
        <w:t>х</w:t>
      </w:r>
      <w:r>
        <w:t>ся ликвидации всех форм дискриминации в отношении женщин. В настоящее время обычное право допускает существование гендерных стереотипов и н</w:t>
      </w:r>
      <w:r>
        <w:t>е</w:t>
      </w:r>
      <w:r>
        <w:t>равноправное распределение роли мужчин и женщин, равно как и создание о</w:t>
      </w:r>
      <w:r>
        <w:t>п</w:t>
      </w:r>
      <w:r>
        <w:t>ределенного образа мужчин и женщин.</w:t>
      </w:r>
    </w:p>
    <w:p w:rsidR="00000000" w:rsidRDefault="00000000">
      <w:pPr>
        <w:pStyle w:val="H1"/>
      </w:pPr>
      <w:bookmarkStart w:id="38" w:name="_Toc33784409"/>
      <w:bookmarkStart w:id="39" w:name="_Toc377350748"/>
      <w:bookmarkStart w:id="40" w:name="_Toc83977535"/>
      <w:r>
        <w:t>Статья 2:</w:t>
      </w:r>
      <w:r>
        <w:tab/>
        <w:t>Обязательства ликвидировать дискриминацию</w:t>
      </w:r>
      <w:bookmarkEnd w:id="38"/>
      <w:bookmarkEnd w:id="39"/>
      <w:bookmarkEnd w:id="40"/>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2.1</w:t>
      </w:r>
      <w:r>
        <w:tab/>
        <w:t>Стандарты КЛДЖ</w:t>
      </w:r>
    </w:p>
    <w:p w:rsidR="00000000" w:rsidRDefault="00000000">
      <w:pPr>
        <w:pStyle w:val="SingleTxt"/>
        <w:rPr>
          <w:rFonts w:eastAsia="MS Mincho"/>
          <w:i/>
        </w:rPr>
      </w:pPr>
      <w:r>
        <w:rPr>
          <w:rFonts w:eastAsia="MS Mincho"/>
          <w:i/>
        </w:rPr>
        <w:t>Статья 1: Государства-участники осуждают дискриминацию в отношении женщин во всех ее формах, соглашаются безотлагательно всеми соответс</w:t>
      </w:r>
      <w:r>
        <w:rPr>
          <w:rFonts w:eastAsia="MS Mincho"/>
          <w:i/>
        </w:rPr>
        <w:t>т</w:t>
      </w:r>
      <w:r>
        <w:rPr>
          <w:rFonts w:eastAsia="MS Mincho"/>
          <w:i/>
        </w:rPr>
        <w:t>вующими способами проводить политику ликвидации дискриминации в отн</w:t>
      </w:r>
      <w:r>
        <w:rPr>
          <w:rFonts w:eastAsia="MS Mincho"/>
          <w:i/>
        </w:rPr>
        <w:t>о</w:t>
      </w:r>
      <w:r>
        <w:rPr>
          <w:rFonts w:eastAsia="MS Mincho"/>
          <w:i/>
        </w:rPr>
        <w:t>шении женщин и с этой целью об</w:t>
      </w:r>
      <w:r>
        <w:rPr>
          <w:rFonts w:eastAsia="MS Mincho"/>
          <w:i/>
        </w:rPr>
        <w:t>я</w:t>
      </w:r>
      <w:r>
        <w:rPr>
          <w:rFonts w:eastAsia="MS Mincho"/>
          <w:i/>
        </w:rPr>
        <w:t xml:space="preserve">зуются: </w:t>
      </w:r>
    </w:p>
    <w:p w:rsidR="00000000" w:rsidRDefault="00000000">
      <w:pPr>
        <w:pStyle w:val="SingleTxt"/>
        <w:ind w:left="1740" w:hanging="476"/>
        <w:rPr>
          <w:rFonts w:eastAsia="MS Mincho"/>
          <w:i/>
        </w:rPr>
      </w:pPr>
      <w:r>
        <w:rPr>
          <w:rFonts w:eastAsia="MS Mincho"/>
          <w:i/>
        </w:rPr>
        <w:t>(a)</w:t>
      </w:r>
      <w:r>
        <w:rPr>
          <w:rFonts w:eastAsia="MS Mincho"/>
          <w:i/>
        </w:rPr>
        <w:tab/>
        <w:t>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w:t>
      </w:r>
      <w:r>
        <w:rPr>
          <w:rFonts w:eastAsia="MS Mincho"/>
          <w:i/>
        </w:rPr>
        <w:t>т</w:t>
      </w:r>
      <w:r>
        <w:rPr>
          <w:rFonts w:eastAsia="MS Mincho"/>
          <w:i/>
        </w:rPr>
        <w:t>ствующих средств практическое осущес</w:t>
      </w:r>
      <w:r>
        <w:rPr>
          <w:rFonts w:eastAsia="MS Mincho"/>
          <w:i/>
        </w:rPr>
        <w:t>т</w:t>
      </w:r>
      <w:r>
        <w:rPr>
          <w:rFonts w:eastAsia="MS Mincho"/>
          <w:i/>
        </w:rPr>
        <w:t xml:space="preserve">вление этого принципа; </w:t>
      </w:r>
    </w:p>
    <w:p w:rsidR="00000000" w:rsidRDefault="00000000">
      <w:pPr>
        <w:pStyle w:val="SingleTxt"/>
        <w:ind w:left="1740" w:hanging="476"/>
        <w:rPr>
          <w:rFonts w:eastAsia="MS Mincho"/>
          <w:i/>
        </w:rPr>
      </w:pPr>
      <w:r>
        <w:rPr>
          <w:rFonts w:eastAsia="MS Mincho"/>
          <w:i/>
        </w:rPr>
        <w:t>(b)</w:t>
      </w:r>
      <w:r>
        <w:rPr>
          <w:rFonts w:eastAsia="MS Mincho"/>
          <w:i/>
        </w:rPr>
        <w:tab/>
        <w:t xml:space="preserve">принимать соответствующие другие меры, включая санкции, там где это необходимо, запрещающие всякую дискриминацию в отношении женщин; </w:t>
      </w:r>
    </w:p>
    <w:p w:rsidR="00000000" w:rsidRDefault="00000000">
      <w:pPr>
        <w:pStyle w:val="SingleTxt"/>
        <w:ind w:left="1740" w:hanging="476"/>
        <w:rPr>
          <w:rFonts w:eastAsia="MS Mincho"/>
          <w:i/>
        </w:rPr>
      </w:pPr>
      <w:r>
        <w:rPr>
          <w:rFonts w:eastAsia="MS Mincho"/>
          <w:i/>
        </w:rPr>
        <w:t>(c)</w:t>
      </w:r>
      <w:r>
        <w:rPr>
          <w:rFonts w:eastAsia="MS Mincho"/>
          <w:i/>
        </w:rPr>
        <w:tab/>
        <w:t>установить юридическую защиту прав женщин на равной основе с му</w:t>
      </w:r>
      <w:r>
        <w:rPr>
          <w:rFonts w:eastAsia="MS Mincho"/>
          <w:i/>
        </w:rPr>
        <w:t>ж</w:t>
      </w:r>
      <w:r>
        <w:rPr>
          <w:rFonts w:eastAsia="MS Mincho"/>
          <w:i/>
        </w:rPr>
        <w:t xml:space="preserve">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w:t>
      </w:r>
    </w:p>
    <w:p w:rsidR="00000000" w:rsidRDefault="00000000">
      <w:pPr>
        <w:pStyle w:val="SingleTxt"/>
        <w:ind w:left="1740" w:hanging="476"/>
        <w:rPr>
          <w:rFonts w:eastAsia="MS Mincho"/>
          <w:i/>
        </w:rPr>
      </w:pPr>
      <w:r>
        <w:rPr>
          <w:rFonts w:eastAsia="MS Mincho"/>
          <w:i/>
        </w:rPr>
        <w:t>(d)</w:t>
      </w:r>
      <w:r>
        <w:rPr>
          <w:rFonts w:eastAsia="MS Mincho"/>
          <w:i/>
        </w:rPr>
        <w:tab/>
        <w:t>воздерживаться от совершения каких-либо дискриминационных актов или действий в отношении женщин и гарантировать, что государстве</w:t>
      </w:r>
      <w:r>
        <w:rPr>
          <w:rFonts w:eastAsia="MS Mincho"/>
          <w:i/>
        </w:rPr>
        <w:t>н</w:t>
      </w:r>
      <w:r>
        <w:rPr>
          <w:rFonts w:eastAsia="MS Mincho"/>
          <w:i/>
        </w:rPr>
        <w:t>ные органы и учреждения будут действовать в соответствии с этим обязательс</w:t>
      </w:r>
      <w:r>
        <w:rPr>
          <w:rFonts w:eastAsia="MS Mincho"/>
          <w:i/>
        </w:rPr>
        <w:t>т</w:t>
      </w:r>
      <w:r>
        <w:rPr>
          <w:rFonts w:eastAsia="MS Mincho"/>
          <w:i/>
        </w:rPr>
        <w:t xml:space="preserve">вом; </w:t>
      </w:r>
    </w:p>
    <w:p w:rsidR="00000000" w:rsidRDefault="00000000">
      <w:pPr>
        <w:pStyle w:val="SingleTxt"/>
        <w:ind w:left="1740" w:hanging="476"/>
        <w:rPr>
          <w:rFonts w:eastAsia="MS Mincho"/>
          <w:i/>
        </w:rPr>
      </w:pPr>
      <w:r>
        <w:rPr>
          <w:rFonts w:eastAsia="MS Mincho"/>
          <w:i/>
        </w:rPr>
        <w:t>(e)</w:t>
      </w:r>
      <w:r>
        <w:rPr>
          <w:rFonts w:eastAsia="MS Mincho"/>
          <w:i/>
        </w:rPr>
        <w:tab/>
        <w:t>принимать все соответствующие меры для ликвидации дискриминации в отношении женщин со стороны какого-либо лица, организации или пре</w:t>
      </w:r>
      <w:r>
        <w:rPr>
          <w:rFonts w:eastAsia="MS Mincho"/>
          <w:i/>
        </w:rPr>
        <w:t>д</w:t>
      </w:r>
      <w:r>
        <w:rPr>
          <w:rFonts w:eastAsia="MS Mincho"/>
          <w:i/>
        </w:rPr>
        <w:t xml:space="preserve">приятия; </w:t>
      </w:r>
    </w:p>
    <w:p w:rsidR="00000000" w:rsidRDefault="00000000">
      <w:pPr>
        <w:pStyle w:val="SingleTxt"/>
        <w:ind w:left="1740" w:hanging="476"/>
        <w:rPr>
          <w:rFonts w:eastAsia="MS Mincho"/>
          <w:i/>
        </w:rPr>
      </w:pPr>
      <w:r>
        <w:rPr>
          <w:rFonts w:eastAsia="MS Mincho"/>
          <w:i/>
        </w:rPr>
        <w:t>(f)</w:t>
      </w:r>
      <w:r>
        <w:rPr>
          <w:rFonts w:eastAsia="MS Mincho"/>
          <w:i/>
        </w:rPr>
        <w:tab/>
        <w:t xml:space="preserve">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 </w:t>
      </w:r>
    </w:p>
    <w:p w:rsidR="00000000" w:rsidRDefault="00000000">
      <w:pPr>
        <w:pStyle w:val="SingleTxt"/>
        <w:ind w:left="1740" w:hanging="476"/>
        <w:rPr>
          <w:rFonts w:eastAsia="MS Mincho"/>
          <w:i/>
        </w:rPr>
      </w:pPr>
      <w:r>
        <w:rPr>
          <w:rFonts w:eastAsia="MS Mincho"/>
          <w:i/>
        </w:rPr>
        <w:t>(g)</w:t>
      </w:r>
      <w:r>
        <w:rPr>
          <w:rFonts w:eastAsia="MS Mincho"/>
          <w:i/>
        </w:rPr>
        <w:tab/>
        <w:t>отменить все положения своего уголовного законодательства, которые представляют собой дискриминацию в отношении женщин.</w:t>
      </w:r>
    </w:p>
    <w:p w:rsidR="00000000" w:rsidRDefault="00000000">
      <w:pPr>
        <w:pStyle w:val="H23"/>
      </w:pPr>
      <w:r>
        <w:t>2.2</w:t>
      </w:r>
      <w:r>
        <w:tab/>
        <w:t>Введение</w:t>
      </w:r>
    </w:p>
    <w:p w:rsidR="00000000" w:rsidRDefault="00000000">
      <w:pPr>
        <w:pStyle w:val="SingleTxt"/>
      </w:pPr>
      <w:r>
        <w:t>2.2.1.</w:t>
      </w:r>
      <w:r>
        <w:tab/>
        <w:t>Конституция представляет собой надежную основу для принятия мер по ликвидации дискриминации в отношении женщин в Малави. Наци</w:t>
      </w:r>
      <w:r>
        <w:t>о</w:t>
      </w:r>
      <w:r>
        <w:t>нальная политика обеспечения равенства полов, которая была разработана п</w:t>
      </w:r>
      <w:r>
        <w:t>о</w:t>
      </w:r>
      <w:r>
        <w:t>сле принятия Конституции, находится в полном соответствии с положениями этой Конституции, которая требует, чтобы правительство проводило политику, сп</w:t>
      </w:r>
      <w:r>
        <w:t>о</w:t>
      </w:r>
      <w:r>
        <w:t>собствующую обеспечению равенства мужчин и женщин в стране.</w:t>
      </w:r>
      <w:r>
        <w:rPr>
          <w:rStyle w:val="FootnoteReference"/>
          <w:sz w:val="20"/>
        </w:rPr>
        <w:footnoteReference w:id="43"/>
      </w:r>
    </w:p>
    <w:p w:rsidR="00000000" w:rsidRDefault="00000000">
      <w:pPr>
        <w:pStyle w:val="SingleTxt"/>
      </w:pPr>
      <w:r>
        <w:t>2.2.2.</w:t>
      </w:r>
      <w:r>
        <w:tab/>
        <w:t>Неравенство мужчин и женщин, культурные традиции, патриархал</w:t>
      </w:r>
      <w:r>
        <w:t>ь</w:t>
      </w:r>
      <w:r>
        <w:t>ный капитализм и бесправие женщин в целом означает, что необходимо немало сделать для того, чтобы нормы, закрепленные в Конвенции, и сама Констит</w:t>
      </w:r>
      <w:r>
        <w:t>у</w:t>
      </w:r>
      <w:r>
        <w:t>ция практически позволили обеспечить равенство, справедливость и развитие.</w:t>
      </w:r>
    </w:p>
    <w:p w:rsidR="00000000" w:rsidRDefault="00000000">
      <w:pPr>
        <w:pStyle w:val="H23"/>
      </w:pPr>
      <w:r>
        <w:t>2.3.</w:t>
      </w:r>
      <w:r>
        <w:tab/>
        <w:t>Правовое закрепление принципа равенства женщин и мужчин</w:t>
      </w:r>
    </w:p>
    <w:p w:rsidR="00000000" w:rsidRDefault="00000000">
      <w:pPr>
        <w:pStyle w:val="SingleTxt"/>
      </w:pPr>
      <w:r>
        <w:t>2.3.1.</w:t>
      </w:r>
      <w:r>
        <w:tab/>
        <w:t>В отличие от предыдущей конституции, Конституция 1994 года г</w:t>
      </w:r>
      <w:r>
        <w:t>а</w:t>
      </w:r>
      <w:r>
        <w:t>рантирует принятие и осуществление такой цели, как обеспечение равенства полов, и таких основных принципов, как запрещение дискриминации. Помимо положения о запрещении дискриминации,</w:t>
      </w:r>
      <w:r>
        <w:rPr>
          <w:rStyle w:val="FootnoteReference"/>
          <w:sz w:val="20"/>
        </w:rPr>
        <w:footnoteReference w:id="44"/>
      </w:r>
      <w:r>
        <w:t xml:space="preserve"> в Конституции подчеркивается важность обеспечения равенства мужчин и женщин.</w:t>
      </w:r>
      <w:r>
        <w:rPr>
          <w:rStyle w:val="FootnoteReference"/>
          <w:sz w:val="20"/>
        </w:rPr>
        <w:footnoteReference w:id="45"/>
      </w:r>
      <w:r>
        <w:t xml:space="preserve"> Государство должно способствовать улучшению благосостояния и развитию народа Малави путем постепенного принятия политики и законов, способствующих соблюдению «принципов недискриминации».</w:t>
      </w:r>
      <w:r>
        <w:rPr>
          <w:rStyle w:val="FootnoteReference"/>
          <w:sz w:val="20"/>
        </w:rPr>
        <w:footnoteReference w:id="46"/>
      </w:r>
      <w:r>
        <w:t xml:space="preserve"> Кроме того, оно должно проводить в жизнь политику, нацеленную на решение «таких социальных вопросов, как насилие в семье» с целью, в частности, обеспечения равенства мужчин и женщин.</w:t>
      </w:r>
      <w:r>
        <w:rPr>
          <w:rStyle w:val="FootnoteReference"/>
          <w:sz w:val="20"/>
        </w:rPr>
        <w:footnoteReference w:id="47"/>
      </w:r>
      <w:r>
        <w:t xml:space="preserve"> Ко</w:t>
      </w:r>
      <w:r>
        <w:t>н</w:t>
      </w:r>
      <w:r>
        <w:t>ституция также разрешает государству принимать законы, направленные на ликвидацию неравенства в обществе и запрещение дискриминационной пра</w:t>
      </w:r>
      <w:r>
        <w:t>к</w:t>
      </w:r>
      <w:r>
        <w:t>тики. Такие меры, согласно положениям Конституции, могли бы включать уг</w:t>
      </w:r>
      <w:r>
        <w:t>о</w:t>
      </w:r>
      <w:r>
        <w:t>ловное наказание.</w:t>
      </w:r>
      <w:r>
        <w:rPr>
          <w:rStyle w:val="FootnoteReference"/>
          <w:sz w:val="20"/>
        </w:rPr>
        <w:footnoteReference w:id="48"/>
      </w:r>
    </w:p>
    <w:p w:rsidR="00000000" w:rsidRDefault="00000000">
      <w:pPr>
        <w:pStyle w:val="SingleTxt"/>
      </w:pPr>
      <w:r>
        <w:t>2.3.2.</w:t>
      </w:r>
      <w:r>
        <w:tab/>
        <w:t>В этой связи, в статье 13 Конституции государству поручается пр</w:t>
      </w:r>
      <w:r>
        <w:t>и</w:t>
      </w:r>
      <w:r>
        <w:t>нимать такую политику и законы, которые постепенно способствовали бы улучшению благосостояния народа Малави, путем принятия следующих мер:</w:t>
      </w:r>
    </w:p>
    <w:p w:rsidR="00000000" w:rsidRDefault="00000000">
      <w:pPr>
        <w:pStyle w:val="SingleTxt"/>
        <w:numPr>
          <w:ilvl w:val="0"/>
          <w:numId w:val="11"/>
        </w:numPr>
        <w:tabs>
          <w:tab w:val="clear" w:pos="1627"/>
        </w:tabs>
        <w:ind w:left="1740" w:hanging="476"/>
      </w:pPr>
      <w:r>
        <w:t xml:space="preserve">«обеспечение всестороннего участия женщин во всех сферах общества Малави на равноправной с мужчинами основе»; </w:t>
      </w:r>
    </w:p>
    <w:p w:rsidR="00000000" w:rsidRDefault="00000000">
      <w:pPr>
        <w:pStyle w:val="SingleTxt"/>
        <w:numPr>
          <w:ilvl w:val="0"/>
          <w:numId w:val="11"/>
        </w:numPr>
        <w:tabs>
          <w:tab w:val="clear" w:pos="1627"/>
        </w:tabs>
        <w:ind w:left="1740" w:hanging="476"/>
      </w:pPr>
      <w:r>
        <w:t>осуществление принципов недискриминации и любых других необход</w:t>
      </w:r>
      <w:r>
        <w:t>и</w:t>
      </w:r>
      <w:r>
        <w:t>мых мер; и</w:t>
      </w:r>
    </w:p>
    <w:p w:rsidR="00000000" w:rsidRDefault="00000000">
      <w:pPr>
        <w:pStyle w:val="SingleTxt"/>
        <w:numPr>
          <w:ilvl w:val="0"/>
          <w:numId w:val="11"/>
        </w:numPr>
        <w:tabs>
          <w:tab w:val="clear" w:pos="1627"/>
        </w:tabs>
        <w:ind w:left="1740" w:hanging="476"/>
      </w:pPr>
      <w:r>
        <w:t>осуществление политики, нацеленной на решение таких социальных в</w:t>
      </w:r>
      <w:r>
        <w:t>о</w:t>
      </w:r>
      <w:r>
        <w:t>просов, как насилие в семье, безопасность личности, отсутствие пособий по беременности, экономическая эксплуатация и права на собстве</w:t>
      </w:r>
      <w:r>
        <w:t>н</w:t>
      </w:r>
      <w:r>
        <w:t>ность.</w:t>
      </w:r>
      <w:r>
        <w:rPr>
          <w:rStyle w:val="FootnoteReference"/>
          <w:sz w:val="20"/>
        </w:rPr>
        <w:footnoteReference w:id="49"/>
      </w:r>
    </w:p>
    <w:p w:rsidR="00000000" w:rsidRDefault="00000000">
      <w:pPr>
        <w:pStyle w:val="SingleTxt"/>
      </w:pPr>
      <w:r>
        <w:t>2.3.3.</w:t>
      </w:r>
      <w:r>
        <w:tab/>
        <w:t>В юридическом плане каждая женщина может ссылаться на полож</w:t>
      </w:r>
      <w:r>
        <w:t>е</w:t>
      </w:r>
      <w:r>
        <w:t>ния статьи 24(1) Конституции для обеспечения соблюдения ее права «не по</w:t>
      </w:r>
      <w:r>
        <w:t>д</w:t>
      </w:r>
      <w:r>
        <w:t>вергаться дискриминации» на основе «пола или семейного положения».</w:t>
      </w:r>
      <w:r>
        <w:rPr>
          <w:rStyle w:val="FootnoteReference"/>
          <w:sz w:val="20"/>
        </w:rPr>
        <w:footnoteReference w:id="50"/>
      </w:r>
      <w:r>
        <w:t xml:space="preserve"> Др</w:t>
      </w:r>
      <w:r>
        <w:t>у</w:t>
      </w:r>
      <w:r>
        <w:t>гое положение, на которое женщины могут ссылаться в Малави, содержится в статье 30 Конституции. Эти положения закрепляют право на развитие, в час</w:t>
      </w:r>
      <w:r>
        <w:t>т</w:t>
      </w:r>
      <w:r>
        <w:t>ности для «женщин, детей и [инвалидов]». Меры, необходимые для осущест</w:t>
      </w:r>
      <w:r>
        <w:t>в</w:t>
      </w:r>
      <w:r>
        <w:t>ления права на развитие, должны включать «обеспечение равных возможн</w:t>
      </w:r>
      <w:r>
        <w:t>о</w:t>
      </w:r>
      <w:r>
        <w:t>стей для всех в плане их доступа к основным ресурсам, образованию, здрав</w:t>
      </w:r>
      <w:r>
        <w:t>о</w:t>
      </w:r>
      <w:r>
        <w:t>охранению, продовольствию, жилью, работе и инфраструктуре».</w:t>
      </w:r>
      <w:r>
        <w:rPr>
          <w:rStyle w:val="FootnoteReference"/>
          <w:sz w:val="20"/>
        </w:rPr>
        <w:footnoteReference w:id="51"/>
      </w:r>
      <w:r>
        <w:t xml:space="preserve"> Аналоги</w:t>
      </w:r>
      <w:r>
        <w:t>ч</w:t>
      </w:r>
      <w:r>
        <w:t>ным образом, но более конкретно в статье 30 говорится о том, что государство несет «ответственность за принятие мер по проведению реформ, нацеленных на устранение социальной н</w:t>
      </w:r>
      <w:r>
        <w:t>е</w:t>
      </w:r>
      <w:r>
        <w:t>справедливости и неравенства».</w:t>
      </w:r>
      <w:r>
        <w:rPr>
          <w:rStyle w:val="FootnoteReference"/>
          <w:sz w:val="20"/>
        </w:rPr>
        <w:footnoteReference w:id="52"/>
      </w:r>
    </w:p>
    <w:p w:rsidR="00000000" w:rsidRDefault="00000000">
      <w:pPr>
        <w:pStyle w:val="H23"/>
      </w:pPr>
      <w:r>
        <w:t>2.4.</w:t>
      </w:r>
      <w:r>
        <w:tab/>
        <w:t>Принятие соответствующих антидискриминационных законодательных мер</w:t>
      </w:r>
    </w:p>
    <w:p w:rsidR="00000000" w:rsidRDefault="00000000">
      <w:pPr>
        <w:pStyle w:val="SingleTxt"/>
      </w:pPr>
      <w:r>
        <w:t>2.4.1.</w:t>
      </w:r>
      <w:r>
        <w:tab/>
        <w:t>В законодательном плане создание Правовой комиссии в соответс</w:t>
      </w:r>
      <w:r>
        <w:t>т</w:t>
      </w:r>
      <w:r>
        <w:t>вии с Конституцией представляет собой стратегическую меру, способству</w:t>
      </w:r>
      <w:r>
        <w:t>ю</w:t>
      </w:r>
      <w:r>
        <w:t>щую ведению борьбы с дискриминацией по признаку пола. Эта Правовая к</w:t>
      </w:r>
      <w:r>
        <w:t>о</w:t>
      </w:r>
      <w:r>
        <w:t>миссия пересмотрела целый ряд законов и вынесла соответствующие предл</w:t>
      </w:r>
      <w:r>
        <w:t>о</w:t>
      </w:r>
      <w:r>
        <w:t>жения для Кабинета министров. У комиссии до сих пор нет какой-либо логич</w:t>
      </w:r>
      <w:r>
        <w:t>е</w:t>
      </w:r>
      <w:r>
        <w:t>ски построенной программы, основанной на требованиях и недостатках Ко</w:t>
      </w:r>
      <w:r>
        <w:t>н</w:t>
      </w:r>
      <w:r>
        <w:t xml:space="preserve">ституции. Вследствие этого, Правовая комиссия занимается рассмотрением просьб и предложений от правительственных ведомств и доноров. В 2001 году была учреждена </w:t>
      </w:r>
      <w:r>
        <w:rPr>
          <w:caps/>
        </w:rPr>
        <w:t>п</w:t>
      </w:r>
      <w:r>
        <w:t>равовая комиссия по вопросам равенства мужчин и женщин и праву.</w:t>
      </w:r>
    </w:p>
    <w:p w:rsidR="00000000" w:rsidRDefault="00000000">
      <w:pPr>
        <w:pStyle w:val="SingleTxt"/>
      </w:pPr>
      <w:r>
        <w:t>В своем первом докладе в 1996 году Правовая комиссия вынесла ряд рекоме</w:t>
      </w:r>
      <w:r>
        <w:t>н</w:t>
      </w:r>
      <w:r>
        <w:t>даций, касающихся улучшения благосостояния женщин. Она рекомендовала лишение вдов права владения имуществом, что является предметом серьезной обеспокоенности в стране, ввести в разряд уголовных правонарушений. К</w:t>
      </w:r>
      <w:r>
        <w:t>о</w:t>
      </w:r>
      <w:r>
        <w:t>миссия также рекомендовала увеличить алименты на детей с 24 квачей (12 долларов по существовавшему тогда курсу 1 доллар к 2 квачам) до 500 квачей (33,33 доллара по курсу 1 доллар к 15 квачам) в месяц. Помимо эт</w:t>
      </w:r>
      <w:r>
        <w:t>о</w:t>
      </w:r>
      <w:r>
        <w:t>го, Правовая комиссия рекомендовала отменить Закон о гражданстве, который предполагает неравное обращение с мужчинами и женщинами. Также, Закон о гражданстве увязывает гражданство с фактом замужества женщины, т.е. мал</w:t>
      </w:r>
      <w:r>
        <w:t>а</w:t>
      </w:r>
      <w:r>
        <w:t>вийская женщина, вступающая в брак с иностранцем, теряет свое малавийское гражданство и не может передать свое полученное при рождении гражданство своим детям. Наконец, Правовая комиссия рекомендовала за совращение пр</w:t>
      </w:r>
      <w:r>
        <w:t>е</w:t>
      </w:r>
      <w:r>
        <w:t>дусматривать строгое уголовное нак</w:t>
      </w:r>
      <w:r>
        <w:t>а</w:t>
      </w:r>
      <w:r>
        <w:t>зание.</w:t>
      </w:r>
    </w:p>
    <w:p w:rsidR="00000000" w:rsidRDefault="00000000">
      <w:pPr>
        <w:pStyle w:val="SingleTxt"/>
      </w:pPr>
      <w:r>
        <w:t>2.4.2.</w:t>
      </w:r>
      <w:r>
        <w:tab/>
        <w:t>По результатам первого доклада Комиссии не было принято никак</w:t>
      </w:r>
      <w:r>
        <w:t>о</w:t>
      </w:r>
      <w:r>
        <w:t>го закона. Однако в 1998 году предложение о борьбе с практикой лишения вдов и детей права владения имуществом было включено в законодательство. Т</w:t>
      </w:r>
      <w:r>
        <w:t>е</w:t>
      </w:r>
      <w:r>
        <w:t>перь законом предусматривается, что лишение переживших супругов и детей права владения имуществом является преступлением, и соответствующие п</w:t>
      </w:r>
      <w:r>
        <w:t>о</w:t>
      </w:r>
      <w:r>
        <w:t>правки были внесены в Закон о завещании и наследстве.</w:t>
      </w:r>
      <w:r>
        <w:rPr>
          <w:rStyle w:val="FootnoteReference"/>
          <w:sz w:val="20"/>
        </w:rPr>
        <w:footnoteReference w:id="53"/>
      </w:r>
      <w:r>
        <w:t xml:space="preserve"> Кроме того, в соо</w:t>
      </w:r>
      <w:r>
        <w:t>т</w:t>
      </w:r>
      <w:r>
        <w:t>ветствии с внесенной поправкой для рассмотрения такого рода правонаруш</w:t>
      </w:r>
      <w:r>
        <w:t>е</w:t>
      </w:r>
      <w:r>
        <w:t>ния должны быть назначены специальные обвинители. Этой же поправкой предусматривается также разработка и подготовка программы гражданского воспитания, нацеленной на борьбу с практикой лишения переживших супруг и детей права владения имуществом. Однако, каких-либо специальных обвин</w:t>
      </w:r>
      <w:r>
        <w:t>и</w:t>
      </w:r>
      <w:r>
        <w:t>телей назначено не было, хотя несколько подобных дел было рассмотрено в управлении генерального прокурора. Предусмотренная в пересмотренном з</w:t>
      </w:r>
      <w:r>
        <w:t>а</w:t>
      </w:r>
      <w:r>
        <w:t>коне программа гражданского воспитания, также не была разработана. Тем не менее, специалистами по общинному развитию из министерства по делам женщин и общественных служб и правозащитными неправительственными о</w:t>
      </w:r>
      <w:r>
        <w:t>р</w:t>
      </w:r>
      <w:r>
        <w:t>ганизациями были организованы информационно-разъяснительные кампании по вопросу о лишении права владения собственностью. Эти кампании пров</w:t>
      </w:r>
      <w:r>
        <w:t>о</w:t>
      </w:r>
      <w:r>
        <w:t>дились во время ежегодных шестнадцатидневных митингов против насилия по признаку пола, которые были организованы правительством. Лишение права владения имуществом по-прежнему является серьезной проблемой в Малави, и специальная Правовая комиссия по вопросам равенства мужчин и женщин и праву уделяет первоочередное внимание необходимости изучения Закона о з</w:t>
      </w:r>
      <w:r>
        <w:t>а</w:t>
      </w:r>
      <w:r>
        <w:t>вещании и наследстве. Ею был подготовлен проект доклада по этому в</w:t>
      </w:r>
      <w:r>
        <w:t>о</w:t>
      </w:r>
      <w:r>
        <w:t>просу.</w:t>
      </w:r>
    </w:p>
    <w:p w:rsidR="00000000" w:rsidRDefault="00000000">
      <w:pPr>
        <w:pStyle w:val="SingleTxt"/>
      </w:pPr>
      <w:r>
        <w:t>2.4.3.</w:t>
      </w:r>
      <w:r>
        <w:tab/>
        <w:t>Поскольку предыдущие специальные правовые комиссии не заним</w:t>
      </w:r>
      <w:r>
        <w:t>а</w:t>
      </w:r>
      <w:r>
        <w:t>лись упорядочением гендерных вопросов, их рекомендации зачастую не уч</w:t>
      </w:r>
      <w:r>
        <w:t>и</w:t>
      </w:r>
      <w:r>
        <w:t>тывали эти вопросы. Например, в том, что касается изнасилования, Комиссия отказалась признать это преступлением гендерно-нейтральным, заявляя, что важное значение здесь имеет элемент пенетрации, а акт пенетрации может с</w:t>
      </w:r>
      <w:r>
        <w:t>о</w:t>
      </w:r>
      <w:r>
        <w:t>вершить только мужчина. Данная комиссия отказалась признать преступлением изнасилование жены, утверждая, что в противном случае частная жизнь в с</w:t>
      </w:r>
      <w:r>
        <w:t>е</w:t>
      </w:r>
      <w:r>
        <w:t>мье станет открытой для широкой общественности.</w:t>
      </w:r>
      <w:r>
        <w:rPr>
          <w:rStyle w:val="FootnoteReference"/>
          <w:sz w:val="20"/>
        </w:rPr>
        <w:footnoteReference w:id="54"/>
      </w:r>
    </w:p>
    <w:p w:rsidR="00000000" w:rsidRDefault="00000000">
      <w:pPr>
        <w:pStyle w:val="SingleTxt"/>
      </w:pPr>
      <w:r>
        <w:t>2.4.2.</w:t>
      </w:r>
      <w:r>
        <w:tab/>
        <w:t>Одним конкретным законом допускается наказание за дискримин</w:t>
      </w:r>
      <w:r>
        <w:t>а</w:t>
      </w:r>
      <w:r>
        <w:t>цию в отношении женщин. Законом о занятости 2000 года предусматривается штраф в размере 10 000 малавийских квач за нарушение общих антидискрим</w:t>
      </w:r>
      <w:r>
        <w:t>и</w:t>
      </w:r>
      <w:r>
        <w:t>национых положений, закрепленных в статьях 5 и 6, которые запрещают ди</w:t>
      </w:r>
      <w:r>
        <w:t>с</w:t>
      </w:r>
      <w:r>
        <w:t>криминацию в отношении служащих на каком бы то ни было основании, вкл</w:t>
      </w:r>
      <w:r>
        <w:t>ю</w:t>
      </w:r>
      <w:r>
        <w:t>чая пол, и обязывает работодателей выплачивать равное вознаграждение за р</w:t>
      </w:r>
      <w:r>
        <w:t>а</w:t>
      </w:r>
      <w:r>
        <w:t>боту равного объема независимо от каких-либо соображений, включая пол. В этом законе далее предусматривается право на отпуск по беременности, право на возвращение на работу по окончании такого отпуска, а также запрещается прекращение трудовых связей на основании беременности или по каким-либо другим причинам.</w:t>
      </w:r>
      <w:r>
        <w:rPr>
          <w:rStyle w:val="FootnoteReference"/>
          <w:sz w:val="20"/>
        </w:rPr>
        <w:footnoteReference w:id="55"/>
      </w:r>
      <w:r>
        <w:t xml:space="preserve"> На любого работодателя, нарушающего это положение, накладывается штраф в 20 000 малавийских квач. </w:t>
      </w:r>
    </w:p>
    <w:p w:rsidR="00000000" w:rsidRDefault="00000000">
      <w:pPr>
        <w:pStyle w:val="H23"/>
      </w:pPr>
      <w:r>
        <w:t>2.5</w:t>
      </w:r>
      <w:r>
        <w:tab/>
        <w:t xml:space="preserve">Ограничение государством дискриминационной практики </w:t>
      </w:r>
    </w:p>
    <w:p w:rsidR="00000000" w:rsidRDefault="00000000">
      <w:pPr>
        <w:pStyle w:val="SingleTxt"/>
      </w:pPr>
      <w:r>
        <w:t>2.5.1.</w:t>
      </w:r>
      <w:r>
        <w:tab/>
        <w:t>После 1994 года в Малави были приняты четыре политические ин</w:t>
      </w:r>
      <w:r>
        <w:t>и</w:t>
      </w:r>
      <w:r>
        <w:t>циативы, которые могли бы помочь добиться равенства мужчин и женщин п</w:t>
      </w:r>
      <w:r>
        <w:t>у</w:t>
      </w:r>
      <w:r>
        <w:t>тем осуществления соответствующих государственных мер. Первой инициат</w:t>
      </w:r>
      <w:r>
        <w:t>и</w:t>
      </w:r>
      <w:r>
        <w:t>вой явилось принятие в 1993 году Плана действий по вовлечению женщин в процесс развития, за которым последовало принятие 8 марта 1997 года Наци</w:t>
      </w:r>
      <w:r>
        <w:t>о</w:t>
      </w:r>
      <w:r>
        <w:t>нальной платформы действий в поддержку женщин,</w:t>
      </w:r>
      <w:r>
        <w:rPr>
          <w:rStyle w:val="FootnoteReference"/>
          <w:sz w:val="20"/>
        </w:rPr>
        <w:footnoteReference w:id="56"/>
      </w:r>
      <w:r>
        <w:t xml:space="preserve"> результаты осуществл</w:t>
      </w:r>
      <w:r>
        <w:t>е</w:t>
      </w:r>
      <w:r>
        <w:t>ния которой были рассмотрены на Пекинской конференции. Данная Платформа включает в себя следующие четыре основные направления деятельности:</w:t>
      </w:r>
    </w:p>
    <w:p w:rsidR="00000000" w:rsidRDefault="00000000">
      <w:pPr>
        <w:pStyle w:val="SingleTxt"/>
        <w:numPr>
          <w:ilvl w:val="0"/>
          <w:numId w:val="12"/>
        </w:numPr>
        <w:tabs>
          <w:tab w:val="clear" w:pos="1627"/>
        </w:tabs>
      </w:pPr>
      <w:r>
        <w:t>сокращение масштабов нищеты и расширение возможностей женщин;</w:t>
      </w:r>
    </w:p>
    <w:p w:rsidR="00000000" w:rsidRDefault="00000000">
      <w:pPr>
        <w:pStyle w:val="SingleTxt"/>
        <w:numPr>
          <w:ilvl w:val="0"/>
          <w:numId w:val="12"/>
        </w:numPr>
        <w:tabs>
          <w:tab w:val="clear" w:pos="1627"/>
        </w:tabs>
      </w:pPr>
      <w:r>
        <w:t>малолетние девочки;</w:t>
      </w:r>
    </w:p>
    <w:p w:rsidR="00000000" w:rsidRDefault="00000000">
      <w:pPr>
        <w:pStyle w:val="SingleTxt"/>
        <w:numPr>
          <w:ilvl w:val="0"/>
          <w:numId w:val="12"/>
        </w:numPr>
        <w:tabs>
          <w:tab w:val="clear" w:pos="1627"/>
        </w:tabs>
      </w:pPr>
      <w:r>
        <w:t>насилие в отношении женщин; и</w:t>
      </w:r>
    </w:p>
    <w:p w:rsidR="00000000" w:rsidRDefault="00000000">
      <w:pPr>
        <w:pStyle w:val="SingleTxt"/>
        <w:numPr>
          <w:ilvl w:val="0"/>
          <w:numId w:val="12"/>
        </w:numPr>
        <w:tabs>
          <w:tab w:val="clear" w:pos="1627"/>
        </w:tabs>
      </w:pPr>
      <w:r>
        <w:t>мир.</w:t>
      </w:r>
    </w:p>
    <w:p w:rsidR="00000000" w:rsidRDefault="00000000">
      <w:pPr>
        <w:pStyle w:val="SingleTxt"/>
      </w:pPr>
      <w:r>
        <w:t>В этом же 1997 году 8 сентября Малави подписала Декларацию Сообщества по вопросам развития юга Африки по проблемам положения женщин и развития, в соответствии с которой Малави обязуется добиться равенства и равноправия мужчин и женщин на всех уровнях.</w:t>
      </w:r>
    </w:p>
    <w:p w:rsidR="00000000" w:rsidRDefault="00000000">
      <w:pPr>
        <w:pStyle w:val="SingleTxt"/>
      </w:pPr>
      <w:r>
        <w:t>2.5.2.</w:t>
      </w:r>
      <w:r>
        <w:tab/>
        <w:t>Второй инициативой является правительственная Программа сокр</w:t>
      </w:r>
      <w:r>
        <w:t>а</w:t>
      </w:r>
      <w:r>
        <w:t>щения масштабов нищеты, которая призвана обеспечить борьбу с бедностью. В Малави от бедности чаще и серьезнее всего страдают женщины, и данная п</w:t>
      </w:r>
      <w:r>
        <w:t>о</w:t>
      </w:r>
      <w:r>
        <w:t>литика призвана устранить такое неравенство между мужчинами и женщин</w:t>
      </w:r>
      <w:r>
        <w:t>а</w:t>
      </w:r>
      <w:r>
        <w:t>ми, однако для решения этой проблемы не хватает соответствующих планов действий. Однако спустя восемь лет после принятия этой Программы уровень бедности в Малави несколько снизился с 66 процентов в 1993 году до 63 процентов в 2000 году. Несмотря на это, какой-либо всеобъемлющей оценки хода осуществления программы на предмет определения ее эффективности в устранении неравенства между мужчинами и женщинами не проводилось. Ра</w:t>
      </w:r>
      <w:r>
        <w:t>з</w:t>
      </w:r>
      <w:r>
        <w:t>работка Малавийского документа по стратегии сокращения масштабов нищеты требует установления контроля за уровнем бедности с точки зрения обеспеч</w:t>
      </w:r>
      <w:r>
        <w:t>е</w:t>
      </w:r>
      <w:r>
        <w:t>ния равенства мужчин и женщин, поскольку это – один из основных вопросов, характерных для кажд</w:t>
      </w:r>
      <w:r>
        <w:t>о</w:t>
      </w:r>
      <w:r>
        <w:t>го направления деятельности.</w:t>
      </w:r>
    </w:p>
    <w:p w:rsidR="00000000" w:rsidRDefault="00000000">
      <w:pPr>
        <w:pStyle w:val="SingleTxt"/>
      </w:pPr>
      <w:r>
        <w:t>2.5.3.</w:t>
      </w:r>
      <w:r>
        <w:tab/>
        <w:t>Третьей инициативой стало проведение долгосрочного перспекти</w:t>
      </w:r>
      <w:r>
        <w:t>в</w:t>
      </w:r>
      <w:r>
        <w:t>ного исследования, призванного оценить ход осуществления национальной стратегии «Видение до 2020 года» и выработать соответствующие руковод</w:t>
      </w:r>
      <w:r>
        <w:t>я</w:t>
      </w:r>
      <w:r>
        <w:t xml:space="preserve">щие указания. Исследование </w:t>
      </w:r>
      <w:r>
        <w:rPr>
          <w:i/>
        </w:rPr>
        <w:t>«Видение до</w:t>
      </w:r>
      <w:r>
        <w:t xml:space="preserve"> </w:t>
      </w:r>
      <w:r>
        <w:rPr>
          <w:i/>
        </w:rPr>
        <w:t>2020 года»</w:t>
      </w:r>
      <w:r>
        <w:rPr>
          <w:rStyle w:val="FootnoteReference"/>
          <w:sz w:val="20"/>
        </w:rPr>
        <w:footnoteReference w:id="57"/>
      </w:r>
      <w:r>
        <w:t xml:space="preserve"> было финансировано Программой развития Организации Объединенных Наций, а меры по его ос</w:t>
      </w:r>
      <w:r>
        <w:t>у</w:t>
      </w:r>
      <w:r>
        <w:t>ществлению были включены в Документ по стратегии сокращения масштабов нищеты в качестве оперативных средств. Третьим политическим документом является Национальная политика обеспечения равенства мужчин и женщин, осуществление которой было начато в 2000 году.</w:t>
      </w:r>
      <w:r>
        <w:rPr>
          <w:rStyle w:val="FootnoteReference"/>
          <w:sz w:val="20"/>
        </w:rPr>
        <w:footnoteReference w:id="58"/>
      </w:r>
      <w:r>
        <w:t xml:space="preserve"> Эта политика в том, что к</w:t>
      </w:r>
      <w:r>
        <w:t>а</w:t>
      </w:r>
      <w:r>
        <w:t>сается благого руководства и прав человека, предусматривает, что «политика должна обеспечивать демократическое руководство и равенство и равноправие мужчин и женщин перед законом Малави».</w:t>
      </w:r>
      <w:r>
        <w:rPr>
          <w:rStyle w:val="FootnoteReference"/>
          <w:sz w:val="20"/>
        </w:rPr>
        <w:footnoteReference w:id="59"/>
      </w:r>
      <w:r>
        <w:t xml:space="preserve"> Была разработана программа по осуществлению этой политики, и в настоящее время она находится на этапе окончательной доработки. Однако претворение в жизнь этой политики все еще требует привлечения возросшего объема людских, экономических и организ</w:t>
      </w:r>
      <w:r>
        <w:t>а</w:t>
      </w:r>
      <w:r>
        <w:t>ционных ресурсов, поскольку многие правительственные ведомства и заинт</w:t>
      </w:r>
      <w:r>
        <w:t>е</w:t>
      </w:r>
      <w:r>
        <w:t xml:space="preserve">ресованные стороны практически не могут заняться упорядочением гендерных вопросов. </w:t>
      </w:r>
    </w:p>
    <w:p w:rsidR="00000000" w:rsidRDefault="00000000">
      <w:pPr>
        <w:pStyle w:val="SingleTxt"/>
        <w:ind w:left="1741" w:right="1741"/>
      </w:pPr>
      <w:r>
        <w:t>Заявление «Видение до 2020 года» гласит, что:</w:t>
      </w:r>
    </w:p>
    <w:p w:rsidR="00000000" w:rsidRDefault="00000000">
      <w:pPr>
        <w:pStyle w:val="SingleTxt"/>
        <w:ind w:left="1741" w:right="1741"/>
      </w:pPr>
      <w:r>
        <w:t>«К 2020 году Малави станет богобоязненной нацией, демократич</w:t>
      </w:r>
      <w:r>
        <w:t>е</w:t>
      </w:r>
      <w:r>
        <w:t>ски развитой и экологически устойчивой страной, самообеспеченной при равенстве возможностей для всех и при активном участии всех, имеющей развитую систему социального обеспечения, обладающей культурными и религиозными идеалами, а также технологически развитой страной со средним уровнем доходов».</w:t>
      </w:r>
    </w:p>
    <w:p w:rsidR="00000000" w:rsidRDefault="00000000">
      <w:pPr>
        <w:pStyle w:val="SingleTxt"/>
        <w:keepNext/>
        <w:keepLines/>
        <w:ind w:left="1267" w:right="1267"/>
      </w:pPr>
      <w:r>
        <w:t>2.5.4.</w:t>
      </w:r>
      <w:r>
        <w:tab/>
        <w:t>Четвертым инструментом, являющимся более перспективным в пл</w:t>
      </w:r>
      <w:r>
        <w:t>а</w:t>
      </w:r>
      <w:r>
        <w:t>не возможностей его осуществления, является Документ по стратегии сокр</w:t>
      </w:r>
      <w:r>
        <w:t>а</w:t>
      </w:r>
      <w:r>
        <w:t>щения масштабов нищеты.</w:t>
      </w:r>
      <w:r>
        <w:rPr>
          <w:rStyle w:val="FootnoteReference"/>
          <w:sz w:val="20"/>
        </w:rPr>
        <w:footnoteReference w:id="60"/>
      </w:r>
      <w:r>
        <w:t xml:space="preserve"> Эта стратегия, разработанная при поддержке Всемирного банка и Международного валютного фонда, рассматривает ге</w:t>
      </w:r>
      <w:r>
        <w:t>н</w:t>
      </w:r>
      <w:r>
        <w:t>дерные вопросы как вопросы, характерные для всех направлений деятельн</w:t>
      </w:r>
      <w:r>
        <w:t>о</w:t>
      </w:r>
      <w:r>
        <w:t>сти, и требует принятия соответствующих мер для устранения неравенства м</w:t>
      </w:r>
      <w:r>
        <w:t>е</w:t>
      </w:r>
      <w:r>
        <w:t>жду мужчинами и женщинами. В рамках этого документа были выработаны следующие страт</w:t>
      </w:r>
      <w:r>
        <w:t>е</w:t>
      </w:r>
      <w:r>
        <w:t>гии обеспечения равенства мужчин и женщин:</w:t>
      </w:r>
    </w:p>
    <w:p w:rsidR="00000000" w:rsidRDefault="00000000">
      <w:pPr>
        <w:pStyle w:val="SingleTxt"/>
        <w:numPr>
          <w:ilvl w:val="0"/>
          <w:numId w:val="13"/>
        </w:numPr>
        <w:tabs>
          <w:tab w:val="clear" w:pos="1627"/>
        </w:tabs>
        <w:ind w:left="1740" w:hanging="476"/>
      </w:pPr>
      <w:r>
        <w:t>укрепление организационного потенциала для претворения в жизнь Н</w:t>
      </w:r>
      <w:r>
        <w:t>а</w:t>
      </w:r>
      <w:r>
        <w:t>циональной п</w:t>
      </w:r>
      <w:r>
        <w:t>о</w:t>
      </w:r>
      <w:r>
        <w:t>литики обеспечения равенства мужчин и женщин;</w:t>
      </w:r>
    </w:p>
    <w:p w:rsidR="00000000" w:rsidRDefault="00000000">
      <w:pPr>
        <w:pStyle w:val="SingleTxt"/>
        <w:numPr>
          <w:ilvl w:val="0"/>
          <w:numId w:val="13"/>
        </w:numPr>
        <w:tabs>
          <w:tab w:val="clear" w:pos="1627"/>
        </w:tabs>
        <w:ind w:left="1740" w:hanging="476"/>
      </w:pPr>
      <w:r>
        <w:t>разработка бюджета;</w:t>
      </w:r>
    </w:p>
    <w:p w:rsidR="00000000" w:rsidRDefault="00000000">
      <w:pPr>
        <w:pStyle w:val="SingleTxt"/>
        <w:numPr>
          <w:ilvl w:val="0"/>
          <w:numId w:val="13"/>
        </w:numPr>
        <w:tabs>
          <w:tab w:val="clear" w:pos="1627"/>
        </w:tabs>
        <w:ind w:left="1740" w:hanging="476"/>
      </w:pPr>
      <w:r>
        <w:t>улучшение формальной и неформальной правовой окружающей среды, учитывающей гендерные вопросы;</w:t>
      </w:r>
    </w:p>
    <w:p w:rsidR="00000000" w:rsidRDefault="00000000">
      <w:pPr>
        <w:pStyle w:val="SingleTxt"/>
        <w:numPr>
          <w:ilvl w:val="0"/>
          <w:numId w:val="13"/>
        </w:numPr>
        <w:tabs>
          <w:tab w:val="clear" w:pos="1627"/>
        </w:tabs>
        <w:ind w:left="1740" w:hanging="476"/>
      </w:pPr>
      <w:r>
        <w:t>борьба с насилием в отношении женщин; и</w:t>
      </w:r>
    </w:p>
    <w:p w:rsidR="00000000" w:rsidRDefault="00000000">
      <w:pPr>
        <w:pStyle w:val="SingleTxt"/>
        <w:numPr>
          <w:ilvl w:val="0"/>
          <w:numId w:val="13"/>
        </w:numPr>
        <w:tabs>
          <w:tab w:val="clear" w:pos="1627"/>
        </w:tabs>
        <w:ind w:left="1740" w:hanging="476"/>
      </w:pPr>
      <w:r>
        <w:t>расширение участия женщин на руководящих должностях.</w:t>
      </w:r>
    </w:p>
    <w:p w:rsidR="00000000" w:rsidRDefault="00000000">
      <w:pPr>
        <w:pStyle w:val="SingleTxt"/>
      </w:pPr>
      <w:r>
        <w:t>2.5.6.</w:t>
      </w:r>
      <w:r>
        <w:tab/>
        <w:t>Как показывают имеющиеся данные об уровне бедности и нераве</w:t>
      </w:r>
      <w:r>
        <w:t>н</w:t>
      </w:r>
      <w:r>
        <w:t>стве мужчин и женщин, практическая реализация принятой в Малави политики все еще сопряжена с большими трудностями.</w:t>
      </w:r>
      <w:r>
        <w:rPr>
          <w:rStyle w:val="FootnoteReference"/>
          <w:sz w:val="20"/>
        </w:rPr>
        <w:footnoteReference w:id="61"/>
      </w:r>
      <w:r>
        <w:t xml:space="preserve"> Основные направления де</w:t>
      </w:r>
      <w:r>
        <w:t>я</w:t>
      </w:r>
      <w:r>
        <w:t>тельности, указанные в Малавийской платформе действий, были включены в Национальную политику обеспечения равенства мужчин и женщин, и в 2002 году была разработана и претворена в жизнь Стратегия борьбы с насил</w:t>
      </w:r>
      <w:r>
        <w:t>и</w:t>
      </w:r>
      <w:r>
        <w:t>ем в отношении женщин. Начиная с 2000 года, Малави присоединилась к ме</w:t>
      </w:r>
      <w:r>
        <w:t>ж</w:t>
      </w:r>
      <w:r>
        <w:t>дународному сообществу в проведении 16-дневных компаний борьбы с нас</w:t>
      </w:r>
      <w:r>
        <w:t>и</w:t>
      </w:r>
      <w:r>
        <w:t>лием в отношении женщин. С вопросами насилия в отношении женщин были ознакомлены в общей сложности 840 общинных общественных групп с общим членским составом в 8400 человек; разъяснительная работа по вопросам нас</w:t>
      </w:r>
      <w:r>
        <w:t>и</w:t>
      </w:r>
      <w:r>
        <w:t>лия была проведена среди более чем 1,5 млн. женщин и девушек и одного ми</w:t>
      </w:r>
      <w:r>
        <w:t>л</w:t>
      </w:r>
      <w:r>
        <w:t>лиона мужчин и юношей. В 1998 году 8 марта малавийские женщины подали Президенту Малави петицию относительно запрещения насилия в отношении женщин. В этом же 1998 году Малави подписала дополнение к Декларации С</w:t>
      </w:r>
      <w:r>
        <w:t>о</w:t>
      </w:r>
      <w:r>
        <w:t>общества по вопросам развития юга Африки по проблемам положения женщин и развития, касающееся борьбы с насилием в отношении женщин и детей и его запрещения. Несколько организаций провели соответствующую исследов</w:t>
      </w:r>
      <w:r>
        <w:t>а</w:t>
      </w:r>
      <w:r>
        <w:t>тельскую и пропагандистскую работу по вопросам насилия в отношении же</w:t>
      </w:r>
      <w:r>
        <w:t>н</w:t>
      </w:r>
      <w:r>
        <w:t xml:space="preserve">щин, и были выпущены такие публикации, как </w:t>
      </w:r>
      <w:r>
        <w:rPr>
          <w:i/>
        </w:rPr>
        <w:t>«В поисках справедливости»</w:t>
      </w:r>
      <w:r>
        <w:rPr>
          <w:rStyle w:val="FootnoteReference"/>
          <w:sz w:val="20"/>
        </w:rPr>
        <w:footnoteReference w:id="62"/>
      </w:r>
      <w:r>
        <w:t xml:space="preserve"> и </w:t>
      </w:r>
      <w:r>
        <w:rPr>
          <w:i/>
        </w:rPr>
        <w:t>«Лишение вдов их имущества».</w:t>
      </w:r>
      <w:r>
        <w:rPr>
          <w:rStyle w:val="FootnoteReference"/>
          <w:sz w:val="20"/>
        </w:rPr>
        <w:footnoteReference w:id="63"/>
      </w:r>
      <w:r>
        <w:t>. Эти публикации пролили некоторый свет на судьбу женщин, высветив такие проблемы, как бюрократическая волокита, св</w:t>
      </w:r>
      <w:r>
        <w:t>я</w:t>
      </w:r>
      <w:r>
        <w:t>занная с работой управляющих имуществом умершего по управлению им без завещания, исполнителей или личных представителей</w:t>
      </w:r>
      <w:r>
        <w:rPr>
          <w:rStyle w:val="FootnoteReference"/>
          <w:sz w:val="20"/>
        </w:rPr>
        <w:footnoteReference w:id="64"/>
      </w:r>
      <w:r>
        <w:t xml:space="preserve"> в силу неэффективн</w:t>
      </w:r>
      <w:r>
        <w:t>о</w:t>
      </w:r>
      <w:r>
        <w:t>сти, чрезмерной централизации существующих систем и плохого управления. В результате всего этого многие из вдов и переживших своих родителей детей теряют часть своего наследства, и миллионы квач оседают во владениях, за к</w:t>
      </w:r>
      <w:r>
        <w:t>о</w:t>
      </w:r>
      <w:r>
        <w:t>торыми не устанавливается никакого контроля. Для того, чтобы ознакомить широкие массы населения с такими вопросами, как завещание и наследство, министерство по делам женщин и общественных служб проводит разъясн</w:t>
      </w:r>
      <w:r>
        <w:t>и</w:t>
      </w:r>
      <w:r>
        <w:t>тельные кампании, касающиеся порядка составления завещания и распоряж</w:t>
      </w:r>
      <w:r>
        <w:t>е</w:t>
      </w:r>
      <w:r>
        <w:t>ния собственностью. К настоящему моменту такими кампаниями были охвач</w:t>
      </w:r>
      <w:r>
        <w:t>е</w:t>
      </w:r>
      <w:r>
        <w:t>ны пять районов. Кроме того, был завершен перевод КЛДЖ на один из мес</w:t>
      </w:r>
      <w:r>
        <w:t>т</w:t>
      </w:r>
      <w:r>
        <w:t>ных языков, и текст этого перевода в ближайшее время будет распространен среди мес</w:t>
      </w:r>
      <w:r>
        <w:t>т</w:t>
      </w:r>
      <w:r>
        <w:t xml:space="preserve">ного населения. </w:t>
      </w:r>
    </w:p>
    <w:p w:rsidR="00000000" w:rsidRDefault="00000000">
      <w:pPr>
        <w:pStyle w:val="SingleTxt"/>
      </w:pPr>
      <w:r>
        <w:t>2.5.7.</w:t>
      </w:r>
      <w:r>
        <w:tab/>
        <w:t>Принятие Национальной политики обеспечения равенства мужчин и женщин способствовало укреплению положений Конституции, касающихся ликвидации дискриминации в отношении женщин. Эта политика предусматр</w:t>
      </w:r>
      <w:r>
        <w:t>и</w:t>
      </w:r>
      <w:r>
        <w:t>вает, что другие правительственные министерства, ведомства и органы гос</w:t>
      </w:r>
      <w:r>
        <w:t>у</w:t>
      </w:r>
      <w:r>
        <w:t>дарственной власти должны включить в свои программы гендерные вопросы, в том числе обеспечение особых прав, предоставленных женщинам в соответс</w:t>
      </w:r>
      <w:r>
        <w:t>т</w:t>
      </w:r>
      <w:r>
        <w:t>вии с Конституцией. Однако министерство по делам женщин и общественных служб является своего рода линейным министерством, которое не может пр</w:t>
      </w:r>
      <w:r>
        <w:t>и</w:t>
      </w:r>
      <w:r>
        <w:t>нимать какие-либо меры принуждения. Поэтому необходимо включить это м</w:t>
      </w:r>
      <w:r>
        <w:t>и</w:t>
      </w:r>
      <w:r>
        <w:t>нистерство в состав центральных министерств. В качестве отправного момента могло бы служить соответствующее положение Документа по стратегии с</w:t>
      </w:r>
      <w:r>
        <w:t>о</w:t>
      </w:r>
      <w:r>
        <w:t>кращения масштабов нищеты, поскольку им же предусматривается стратегия укрепления потенциала для претворения в жизнь национальной политики обеспечения равенства мужчин и женщин.</w:t>
      </w:r>
    </w:p>
    <w:p w:rsidR="00000000" w:rsidRDefault="00000000">
      <w:pPr>
        <w:pStyle w:val="SingleTxt"/>
      </w:pPr>
      <w:r>
        <w:t>2.5.8.</w:t>
      </w:r>
      <w:r>
        <w:tab/>
        <w:t>Совместные общественные мероприятия, проведенные в рамках сбора информации, показывают, что, несмотря на активизацию кампании пол</w:t>
      </w:r>
      <w:r>
        <w:t>и</w:t>
      </w:r>
      <w:r>
        <w:t>тики обеспечения равенства полов, начавшуюся после конца 90-х годов, же</w:t>
      </w:r>
      <w:r>
        <w:t>н</w:t>
      </w:r>
      <w:r>
        <w:t>щины по-прежнему сталкиваются с серьезными проблемами в плане осущес</w:t>
      </w:r>
      <w:r>
        <w:t>т</w:t>
      </w:r>
      <w:r>
        <w:t>вления своих прав. Основными причинами медленного расширения возможн</w:t>
      </w:r>
      <w:r>
        <w:t>о</w:t>
      </w:r>
      <w:r>
        <w:t>стей женщин в Малави является низкий уровень их участия в разработке и м</w:t>
      </w:r>
      <w:r>
        <w:t>о</w:t>
      </w:r>
      <w:r>
        <w:t>ниторинге программ, традиции и культурные стереотипы, а также патриа</w:t>
      </w:r>
      <w:r>
        <w:t>р</w:t>
      </w:r>
      <w:r>
        <w:t xml:space="preserve">хальная система. </w:t>
      </w:r>
    </w:p>
    <w:p w:rsidR="00000000" w:rsidRDefault="00000000">
      <w:pPr>
        <w:pStyle w:val="H23"/>
      </w:pPr>
      <w:r>
        <w:t>2.6</w:t>
      </w:r>
      <w:r>
        <w:tab/>
        <w:t>Ограничения и сдерживающие факторы</w:t>
      </w:r>
    </w:p>
    <w:p w:rsidR="00000000" w:rsidRDefault="00000000">
      <w:pPr>
        <w:pStyle w:val="SingleTxt"/>
      </w:pPr>
      <w:r>
        <w:t>2.6.1.</w:t>
      </w:r>
      <w:r>
        <w:tab/>
        <w:t>Осуществление женщинами своих прав, предусмотренных в статьях 24(1) и 24(2) Конституции, требует принятия законов, обеспечивающих для этого более практическую и оперативную основу. Этот недостаток может св</w:t>
      </w:r>
      <w:r>
        <w:t>е</w:t>
      </w:r>
      <w:r>
        <w:t>сти на нет основную суть того или иного предусмотренного права или своб</w:t>
      </w:r>
      <w:r>
        <w:t>о</w:t>
      </w:r>
      <w:r>
        <w:t>ды, и это надо всем признать. Нельзя переоценивать необходимость согласов</w:t>
      </w:r>
      <w:r>
        <w:t>а</w:t>
      </w:r>
      <w:r>
        <w:t>ния положений национальных законов и международных договорных докуме</w:t>
      </w:r>
      <w:r>
        <w:t>н</w:t>
      </w:r>
      <w:r>
        <w:t>тов, поскольку это является единственным путем, позволяющим обеспечить соответствие международным стандартам в открытом демократическом общ</w:t>
      </w:r>
      <w:r>
        <w:t>е</w:t>
      </w:r>
      <w:r>
        <w:t>стве.</w:t>
      </w:r>
      <w:r>
        <w:rPr>
          <w:rStyle w:val="FootnoteReference"/>
          <w:sz w:val="20"/>
        </w:rPr>
        <w:footnoteReference w:id="65"/>
      </w:r>
      <w:r>
        <w:rPr>
          <w:b/>
        </w:rPr>
        <w:t xml:space="preserve"> </w:t>
      </w:r>
      <w:r>
        <w:t>Кроме того, общее право на равенство не может отменяться в период чрезв</w:t>
      </w:r>
      <w:r>
        <w:t>ы</w:t>
      </w:r>
      <w:r>
        <w:t>чайных ситуаций.</w:t>
      </w:r>
    </w:p>
    <w:p w:rsidR="00000000" w:rsidRDefault="00000000">
      <w:pPr>
        <w:pStyle w:val="SingleTxt"/>
      </w:pPr>
      <w:r>
        <w:t>2.6.2.</w:t>
      </w:r>
      <w:r>
        <w:tab/>
        <w:t>Однако имеется немало ограничений в отношении права не подве</w:t>
      </w:r>
      <w:r>
        <w:t>р</w:t>
      </w:r>
      <w:r>
        <w:t>гаться дискриминации. Обычным правом предусматриваются такие дискрим</w:t>
      </w:r>
      <w:r>
        <w:t>и</w:t>
      </w:r>
      <w:r>
        <w:t>национные виды практики как полигамия, вступление в брак в раннем возра</w:t>
      </w:r>
      <w:r>
        <w:t>с</w:t>
      </w:r>
      <w:r>
        <w:t>те, наследство жены и выплата приданого или погашение иных расходов в о</w:t>
      </w:r>
      <w:r>
        <w:t>б</w:t>
      </w:r>
      <w:r>
        <w:t>щинах как по женской, так и по мужской линии. Такие предусматриваемые обычным правом ограничения подкрепляются стереотипным отношением к мужчинам и женщинам, которое закрепляет за мужчинами и женщинами опр</w:t>
      </w:r>
      <w:r>
        <w:t>е</w:t>
      </w:r>
      <w:r>
        <w:t>деленные виды деятельности и позволяет рассматривать женщин как наход</w:t>
      </w:r>
      <w:r>
        <w:t>я</w:t>
      </w:r>
      <w:r>
        <w:t>щихся на ступеньку ниже мужчин.</w:t>
      </w:r>
    </w:p>
    <w:p w:rsidR="00000000" w:rsidRDefault="00000000">
      <w:pPr>
        <w:pStyle w:val="SingleTxt"/>
        <w:rPr>
          <w:b/>
        </w:rPr>
      </w:pPr>
      <w:r>
        <w:t>2.6.3.</w:t>
      </w:r>
      <w:r>
        <w:tab/>
      </w:r>
      <w:r>
        <w:rPr>
          <w:b/>
        </w:rPr>
        <w:t>Обеспечение институционной защиты женщин и мужчин</w:t>
      </w:r>
    </w:p>
    <w:p w:rsidR="00000000" w:rsidRDefault="00000000">
      <w:pPr>
        <w:pStyle w:val="SingleTxt"/>
      </w:pPr>
      <w:r>
        <w:t>В Конституции 1994 года предусматриваются институционные основы защиты прав человека в целом. Однако не имеется никакой специальной институцио</w:t>
      </w:r>
      <w:r>
        <w:t>н</w:t>
      </w:r>
      <w:r>
        <w:t>ной основы для защиты конкретно прав женщин. Такие учреждения, как Пр</w:t>
      </w:r>
      <w:r>
        <w:t>а</w:t>
      </w:r>
      <w:r>
        <w:t>вовая комиссия, Управление омбудсмена, Комиссия по правам человека, Упра</w:t>
      </w:r>
      <w:r>
        <w:t>в</w:t>
      </w:r>
      <w:r>
        <w:t xml:space="preserve">ление генерального прокурора и судебная система не имеют соответствующих возможностей для решения соответствующих вопросов, касающихся общей защиты прав человека. </w:t>
      </w:r>
    </w:p>
    <w:p w:rsidR="00000000" w:rsidRDefault="00000000">
      <w:pPr>
        <w:pStyle w:val="SingleTxt"/>
      </w:pPr>
      <w:r>
        <w:t>2.6.4.</w:t>
      </w:r>
      <w:r>
        <w:tab/>
        <w:t>Некоторые из этих учреждений создали комитеты для рассмотрения вопросов, касающихся осуществления прав женщин. В Комиссии по правам человека был создан Комитет по правам женщин, однако работа этого Комит</w:t>
      </w:r>
      <w:r>
        <w:t>е</w:t>
      </w:r>
      <w:r>
        <w:t>та по линии Комиссии еще не была профинансирована. План действий Коми</w:t>
      </w:r>
      <w:r>
        <w:t>с</w:t>
      </w:r>
      <w:r>
        <w:t>сии по правам человека на 2001 год не предусматривает конкретного осущес</w:t>
      </w:r>
      <w:r>
        <w:t>т</w:t>
      </w:r>
      <w:r>
        <w:t>вления международных стандартов, касающихся равноправия женщин. Кроме того, хотя в квартал проводится по два открытых слушания, они все еще не к</w:t>
      </w:r>
      <w:r>
        <w:t>а</w:t>
      </w:r>
      <w:r>
        <w:t>саются вопросов дискриминации в отношении женщин. В ежегодном докладе Комиссии ничего не говорится о деятельности, связанной с осуществлением КЛДЖ за период 1999 и 2000 годов, а также о мерах, принятых для борьбы с дискриминацией в о</w:t>
      </w:r>
      <w:r>
        <w:t>т</w:t>
      </w:r>
      <w:r>
        <w:t>ношении женщин.</w:t>
      </w:r>
      <w:r>
        <w:rPr>
          <w:rStyle w:val="FootnoteReference"/>
          <w:sz w:val="20"/>
        </w:rPr>
        <w:footnoteReference w:id="66"/>
      </w:r>
    </w:p>
    <w:p w:rsidR="00000000" w:rsidRDefault="00000000">
      <w:pPr>
        <w:pStyle w:val="SingleTxt"/>
      </w:pPr>
      <w:r>
        <w:t>2.6.5.</w:t>
      </w:r>
      <w:r>
        <w:tab/>
        <w:t>Специальная правовая комиссия по вопросам равенства мужчин и женщин и праву является примером специального комитета, занимающегося гендерной реформой законодательства, и эта структура возможно будет расп</w:t>
      </w:r>
      <w:r>
        <w:t>у</w:t>
      </w:r>
      <w:r>
        <w:t>щена после выполнения ею своей задачи. В своем докладе за 1996-2002 годы Правовая комиссия не указала, что какая-либо работа по обеспечению осущ</w:t>
      </w:r>
      <w:r>
        <w:t>е</w:t>
      </w:r>
      <w:r>
        <w:t>ствления прав женщин была проведена. Однако сегодня разрабатываются пл</w:t>
      </w:r>
      <w:r>
        <w:t>а</w:t>
      </w:r>
      <w:r>
        <w:t>ны по инструктированию всех специальных уполномоченных для обеспечения того, чтобы они учитывали гендерные вопросы в деятельности комиссии, что тем самым может обеспечить последовательность работы Правовой комиссии.</w:t>
      </w:r>
    </w:p>
    <w:p w:rsidR="00000000" w:rsidRDefault="00000000">
      <w:pPr>
        <w:pStyle w:val="SingleTxt"/>
      </w:pPr>
      <w:r>
        <w:t>2.6.5.</w:t>
      </w:r>
      <w:r>
        <w:tab/>
        <w:t>Вклад Управления государственного прокурора в дело искоренения дискриминации в отношении женщин заключался в обеспечении осуществл</w:t>
      </w:r>
      <w:r>
        <w:t>е</w:t>
      </w:r>
      <w:r>
        <w:t>ния статьи 84A Закона о завещании и наследстве, которая предусматривает, что лишение переживших супругов и детей их имущества является уголовно нак</w:t>
      </w:r>
      <w:r>
        <w:t>а</w:t>
      </w:r>
      <w:r>
        <w:t xml:space="preserve">зуемым преступлением. Хотя каких-либо статистических данных на этот счет не имеется, сотрудники </w:t>
      </w:r>
      <w:r>
        <w:rPr>
          <w:caps/>
        </w:rPr>
        <w:t>у</w:t>
      </w:r>
      <w:r>
        <w:t>правления заявили, что они оказали помощь целому ряду вдов, чья собственность была арестована. Со своей стороны министерство по делам женщин и общественных служб получает еженедельно примерно по три жалобы относительно вопросов управления собственностью. Эти жалобы документально оформляются и переправляются в Управление государственн</w:t>
      </w:r>
      <w:r>
        <w:t>о</w:t>
      </w:r>
      <w:r>
        <w:t>го прокурора и/или другие судебные инстанции. Однако, в стране сложилось такое общее мнение, что закон 1998 года не работает, поскольку не было н</w:t>
      </w:r>
      <w:r>
        <w:t>а</w:t>
      </w:r>
      <w:r>
        <w:t>значено специальных прокуроров, а в Управлении государственного прокурора не хватает для этого сотрудников. Идеальным вариантом было бы усилить с</w:t>
      </w:r>
      <w:r>
        <w:t>у</w:t>
      </w:r>
      <w:r>
        <w:t>ществующие программы министерства по делам женщин и общественных служб в области работы с общественностью вместе с заинтересованными ст</w:t>
      </w:r>
      <w:r>
        <w:t>о</w:t>
      </w:r>
      <w:r>
        <w:t>ронами для обеспечения рассмотрения всех дел и на всех уровнях. Специал</w:t>
      </w:r>
      <w:r>
        <w:t>ь</w:t>
      </w:r>
      <w:r>
        <w:t>ная правовая комиссия по вопросам равенства мужчин и женщин решила пер</w:t>
      </w:r>
      <w:r>
        <w:t>е</w:t>
      </w:r>
      <w:r>
        <w:t>смотреть этот вопрос, уделив свое основное внимание тем проблемам, с кот</w:t>
      </w:r>
      <w:r>
        <w:t>о</w:t>
      </w:r>
      <w:r>
        <w:t>рыми связано принятие н</w:t>
      </w:r>
      <w:r>
        <w:t>о</w:t>
      </w:r>
      <w:r>
        <w:t>вого закона.</w:t>
      </w:r>
    </w:p>
    <w:p w:rsidR="00000000" w:rsidRDefault="00000000">
      <w:pPr>
        <w:pStyle w:val="SingleTxt"/>
      </w:pPr>
      <w:r>
        <w:t>2.6.6.</w:t>
      </w:r>
      <w:r>
        <w:tab/>
        <w:t>Судебная система играет важную роль в том, что касается толков</w:t>
      </w:r>
      <w:r>
        <w:t>а</w:t>
      </w:r>
      <w:r>
        <w:t>ния положений Конституции и подзаконных актов. Практика показывает, что иногда решения по таким правонарушениям, как изнасилование, судьями и д</w:t>
      </w:r>
      <w:r>
        <w:t>а</w:t>
      </w:r>
      <w:r>
        <w:t>же членами Высокого суда принимаются не в пользу женщин, ибо они руков</w:t>
      </w:r>
      <w:r>
        <w:t>о</w:t>
      </w:r>
      <w:r>
        <w:t>дствуются скорее традициями, чем международной правозащитной практикой. Один член Высокого суда оправдал одного жестокого насильника, заявив, что хотя женщина сопротивлялась при изнасиловании, всем известно, что женщ</w:t>
      </w:r>
      <w:r>
        <w:t>и</w:t>
      </w:r>
      <w:r>
        <w:t>ны якобы всегда сопротивляются половому акту.</w:t>
      </w:r>
      <w:r>
        <w:rPr>
          <w:rStyle w:val="FootnoteReference"/>
          <w:sz w:val="20"/>
        </w:rPr>
        <w:footnoteReference w:id="67"/>
      </w:r>
    </w:p>
    <w:p w:rsidR="00000000" w:rsidRDefault="00000000">
      <w:pPr>
        <w:pStyle w:val="H23"/>
      </w:pPr>
      <w:r>
        <w:t>2.8</w:t>
      </w:r>
      <w:r>
        <w:tab/>
        <w:t>Меры по борьбе с дискриминацией со стороны отдельных лиц, организаций и пре</w:t>
      </w:r>
      <w:r>
        <w:t>д</w:t>
      </w:r>
      <w:r>
        <w:t xml:space="preserve">приятий в отношении женщин </w:t>
      </w:r>
    </w:p>
    <w:p w:rsidR="00000000" w:rsidRDefault="00000000">
      <w:pPr>
        <w:pStyle w:val="SingleTxt"/>
      </w:pPr>
      <w:r>
        <w:t>2.8.1.</w:t>
      </w:r>
      <w:r>
        <w:tab/>
        <w:t>Правовая и организационная основа в Малави показывает, что в г</w:t>
      </w:r>
      <w:r>
        <w:t>о</w:t>
      </w:r>
      <w:r>
        <w:t>сударственной сфере легче контролировать соблюдение принципов прав чел</w:t>
      </w:r>
      <w:r>
        <w:t>о</w:t>
      </w:r>
      <w:r>
        <w:t>века. Однако никаких подобных мер относительно деятельности частного се</w:t>
      </w:r>
      <w:r>
        <w:t>к</w:t>
      </w:r>
      <w:r>
        <w:t>тора, особенно в рамках свободного рынка, нет. До настоящего времени самым серьезным шагом, предпринятым правительством, было принятие Закона о з</w:t>
      </w:r>
      <w:r>
        <w:t>а</w:t>
      </w:r>
      <w:r>
        <w:t>нятости. Есть надежда на то, что меры по осуществлению этого нового закона помогут решить данный вопрос.</w:t>
      </w:r>
    </w:p>
    <w:p w:rsidR="00000000" w:rsidRDefault="00000000">
      <w:pPr>
        <w:pStyle w:val="H23"/>
      </w:pPr>
      <w:r>
        <w:t>2.9</w:t>
      </w:r>
      <w:r>
        <w:tab/>
        <w:t>Отмена дискриминационных законов</w:t>
      </w:r>
    </w:p>
    <w:p w:rsidR="00000000" w:rsidRDefault="00000000">
      <w:pPr>
        <w:pStyle w:val="SingleTxt"/>
      </w:pPr>
      <w:r>
        <w:t>2.9.1.</w:t>
      </w:r>
      <w:r>
        <w:tab/>
        <w:t>В период перехода к многопартийной политической системе были отменены многие дискриминационные законы, в частности, закон о скромн</w:t>
      </w:r>
      <w:r>
        <w:t>о</w:t>
      </w:r>
      <w:r>
        <w:t>сти в одежде, который запрещал женщинам носить брюки и мини-юбки. Сег</w:t>
      </w:r>
      <w:r>
        <w:t>о</w:t>
      </w:r>
      <w:r>
        <w:t>дня некоторые женщины уже носят брюки. Однако, в большинстве сельских и полусельских районах ношение женщинами брюк все еще считается недопу</w:t>
      </w:r>
      <w:r>
        <w:t>с</w:t>
      </w:r>
      <w:r>
        <w:t>тимым. Во время общественных совместных мероприятий мужчины заявляли, что женщина, носящая брюки, бросает вызов роли и положению мужчин.</w:t>
      </w:r>
    </w:p>
    <w:p w:rsidR="00000000" w:rsidRDefault="00000000">
      <w:pPr>
        <w:pStyle w:val="SingleTxt"/>
        <w:ind w:left="1741" w:right="1741"/>
        <w:rPr>
          <w:b/>
        </w:rPr>
      </w:pPr>
      <w:r>
        <w:rPr>
          <w:b/>
        </w:rPr>
        <w:t>Брюки как символ мужской власти</w:t>
      </w:r>
    </w:p>
    <w:p w:rsidR="00000000" w:rsidRDefault="00000000">
      <w:pPr>
        <w:pStyle w:val="SingleTxt"/>
        <w:ind w:left="1741" w:right="1741"/>
      </w:pPr>
      <w:r>
        <w:t>В ходе сбора информации в одном из сельских районов было отм</w:t>
      </w:r>
      <w:r>
        <w:t>е</w:t>
      </w:r>
      <w:r>
        <w:t>чено, что одна молодая девушка, отправившаяся в родную деревню, чтобы навестить своих родителей и одевшая для этого брюки, не б</w:t>
      </w:r>
      <w:r>
        <w:t>ы</w:t>
      </w:r>
      <w:r>
        <w:t>ла там радушно встречена. Жители деревни, включая ее родителей, были оскорблены тем, как она была одета. Ее отец не поприветств</w:t>
      </w:r>
      <w:r>
        <w:t>о</w:t>
      </w:r>
      <w:r>
        <w:t>вал ее. Вместо этого он вернулся в свой дом, собрал свою одежду и отдал ее ей. Она поняла этот намек и поэтому заняла платье у своей ровесницы, одела его, а затем извинилась перед жителями деревни и перед своим отцом.</w:t>
      </w:r>
    </w:p>
    <w:p w:rsidR="00000000" w:rsidRDefault="00000000">
      <w:pPr>
        <w:pStyle w:val="SingleTxt"/>
      </w:pPr>
      <w:r>
        <w:t>2.9.2.</w:t>
      </w:r>
      <w:r>
        <w:tab/>
        <w:t>Помимо норм обычного права и гендерных стереотипов все еще имеется немало писаных законов дискриминационного характера. Например, в статье 9 Закона о гражданстве имеется положение, касающееся приобретения гражданства иностранцами, вступающими в брак с гражданами Малави. Тол</w:t>
      </w:r>
      <w:r>
        <w:t>ь</w:t>
      </w:r>
      <w:r>
        <w:t>ко малавийские мужчины, вступающие в брак с иностранками, могут перед</w:t>
      </w:r>
      <w:r>
        <w:t>а</w:t>
      </w:r>
      <w:r>
        <w:t>вать свое гражданство своим супругам. Малавийки же, вступающие в брак с иностранцами, не могут передавать им свое гражданство. Такая женщина должна либо отказаться от своего малавийского гражданства, либо от того гр</w:t>
      </w:r>
      <w:r>
        <w:t>а</w:t>
      </w:r>
      <w:r>
        <w:t>жданства, которое она могла бы приобрести через своего мужа. Такое решение должно приниматься в течение первого года брака. В нескольких судах был п</w:t>
      </w:r>
      <w:r>
        <w:t>о</w:t>
      </w:r>
      <w:r>
        <w:t>ставлен вопрос о неконституционности этих положений. Многие судьи не с</w:t>
      </w:r>
      <w:r>
        <w:t>о</w:t>
      </w:r>
      <w:r>
        <w:t>чли необходимым выносить свое решение по вопросу об их дискриминацио</w:t>
      </w:r>
      <w:r>
        <w:t>н</w:t>
      </w:r>
      <w:r>
        <w:t>ном характере. Поэтому необходимо, чтобы Правовая комиссия отменила это пол</w:t>
      </w:r>
      <w:r>
        <w:t>о</w:t>
      </w:r>
      <w:r>
        <w:t>жение.</w:t>
      </w:r>
    </w:p>
    <w:p w:rsidR="00000000" w:rsidRDefault="00000000">
      <w:pPr>
        <w:pStyle w:val="H23"/>
      </w:pPr>
      <w:r>
        <w:t>2.10.</w:t>
      </w:r>
      <w:r>
        <w:tab/>
        <w:t>Вывод</w:t>
      </w:r>
    </w:p>
    <w:p w:rsidR="00000000" w:rsidRDefault="00000000">
      <w:pPr>
        <w:pStyle w:val="SingleTxt"/>
      </w:pPr>
      <w:r>
        <w:t>В Малави в целом создана благоприятная конституционная основа для реш</w:t>
      </w:r>
      <w:r>
        <w:t>е</w:t>
      </w:r>
      <w:r>
        <w:t>ния вопросов дискриминации в отношении женщин. Принята также и полит</w:t>
      </w:r>
      <w:r>
        <w:t>и</w:t>
      </w:r>
      <w:r>
        <w:t>ка, способствующая тому, чтобы государственные и частные учреждения могли бороться за осуществление прав женщин в Малави и защищать эти права. О</w:t>
      </w:r>
      <w:r>
        <w:t>д</w:t>
      </w:r>
      <w:r>
        <w:t>нако еще предстоит немало сделать для устранения все еще существующего неравенства между мужчинами и женщинами и для обеспечения их равными возможностями. Хотя нехватка финансовых и людских ресурсов на всех уро</w:t>
      </w:r>
      <w:r>
        <w:t>в</w:t>
      </w:r>
      <w:r>
        <w:t>нях ввиду их истощения является основной причиной явного отсутствия пр</w:t>
      </w:r>
      <w:r>
        <w:t>о</w:t>
      </w:r>
      <w:r>
        <w:t>гресса в этой области, необходимо укрепить организационные ресурсы и в</w:t>
      </w:r>
      <w:r>
        <w:t>о</w:t>
      </w:r>
      <w:r>
        <w:t>просам осуществления женщинами своих прав уделить первоочередное вним</w:t>
      </w:r>
      <w:r>
        <w:t>а</w:t>
      </w:r>
      <w:r>
        <w:t>ние в программе правительства, ибо правительство несет основную ответс</w:t>
      </w:r>
      <w:r>
        <w:t>т</w:t>
      </w:r>
      <w:r>
        <w:t>венность за решение этих вопросов. Кроме того, необходимо усилить роль о</w:t>
      </w:r>
      <w:r>
        <w:t>б</w:t>
      </w:r>
      <w:r>
        <w:t>щинных и других партнеров по развитию в определении тех мер, которые они должны принимать для борьбы с дискримин</w:t>
      </w:r>
      <w:r>
        <w:t>а</w:t>
      </w:r>
      <w:r>
        <w:t>цией в отношении женщин.</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bookmarkStart w:id="41" w:name="_Toc33784410"/>
      <w:bookmarkStart w:id="42" w:name="_Toc377350749"/>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43" w:name="_Toc83977536"/>
      <w:r>
        <w:t>Статья 3:</w:t>
      </w:r>
      <w:bookmarkEnd w:id="41"/>
      <w:bookmarkEnd w:id="42"/>
      <w:r>
        <w:tab/>
        <w:t>Соответствующие меры по обеспечению развития и прогре</w:t>
      </w:r>
      <w:r>
        <w:t>с</w:t>
      </w:r>
      <w:r>
        <w:t>са женщин</w:t>
      </w:r>
      <w:bookmarkEnd w:id="43"/>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3.1</w:t>
      </w:r>
      <w:r>
        <w:tab/>
        <w:t>Стандарты КЛДЖ</w:t>
      </w:r>
    </w:p>
    <w:p w:rsidR="00000000" w:rsidRDefault="00000000">
      <w:pPr>
        <w:pStyle w:val="SingleTxt"/>
        <w:rPr>
          <w:i/>
        </w:rPr>
      </w:pPr>
      <w:r>
        <w:rPr>
          <w:rFonts w:eastAsia="MS Mincho"/>
          <w:i/>
        </w:rPr>
        <w:t>Статья 3: Государства-участники принимают во всех областях, и в частн</w:t>
      </w:r>
      <w:r>
        <w:rPr>
          <w:rFonts w:eastAsia="MS Mincho"/>
          <w:i/>
        </w:rPr>
        <w:t>о</w:t>
      </w:r>
      <w:r>
        <w:rPr>
          <w:rFonts w:eastAsia="MS Mincho"/>
          <w:i/>
        </w:rPr>
        <w:t>сти в политической, социальной, экономической и культурной областях, все соответствующие меры, включая законодательные, для обеспечения всест</w:t>
      </w:r>
      <w:r>
        <w:rPr>
          <w:rFonts w:eastAsia="MS Mincho"/>
          <w:i/>
        </w:rPr>
        <w:t>о</w:t>
      </w:r>
      <w:r>
        <w:rPr>
          <w:rFonts w:eastAsia="MS Mincho"/>
          <w:i/>
        </w:rPr>
        <w:t>роннего развития и прогресса женщин с тем, чтобы гарантировать им ос</w:t>
      </w:r>
      <w:r>
        <w:rPr>
          <w:rFonts w:eastAsia="MS Mincho"/>
          <w:i/>
        </w:rPr>
        <w:t>у</w:t>
      </w:r>
      <w:r>
        <w:rPr>
          <w:rFonts w:eastAsia="MS Mincho"/>
          <w:i/>
        </w:rPr>
        <w:t>ществление и пользование правами человека и основными свободами на основе равенства с мужчинами.</w:t>
      </w:r>
    </w:p>
    <w:p w:rsidR="00000000" w:rsidRDefault="00000000">
      <w:pPr>
        <w:pStyle w:val="H23"/>
      </w:pPr>
      <w:r>
        <w:t>3.2.</w:t>
      </w:r>
      <w:r>
        <w:tab/>
        <w:t>Введение</w:t>
      </w:r>
    </w:p>
    <w:p w:rsidR="00000000" w:rsidRDefault="00000000">
      <w:pPr>
        <w:pStyle w:val="SingleTxt"/>
      </w:pPr>
      <w:r>
        <w:t>3.2.1.</w:t>
      </w:r>
      <w:r>
        <w:tab/>
        <w:t>Правительство Малави, являясь, помимо КЛДЖ, стороной разли</w:t>
      </w:r>
      <w:r>
        <w:t>ч</w:t>
      </w:r>
      <w:r>
        <w:t>ных международных договоров и планов действий, касающихся прав женщин, обязуется улучшать положение с осуществлением женщинами этой страны своих прав.</w:t>
      </w:r>
      <w:r>
        <w:rPr>
          <w:rStyle w:val="FootnoteReference"/>
          <w:sz w:val="20"/>
        </w:rPr>
        <w:footnoteReference w:id="68"/>
      </w:r>
      <w:r>
        <w:t xml:space="preserve"> </w:t>
      </w:r>
    </w:p>
    <w:p w:rsidR="00000000" w:rsidRDefault="00000000">
      <w:pPr>
        <w:pStyle w:val="H23"/>
      </w:pPr>
      <w:r>
        <w:t>3.3</w:t>
      </w:r>
      <w:r>
        <w:tab/>
        <w:t>Меры общего характера</w:t>
      </w:r>
    </w:p>
    <w:p w:rsidR="00000000" w:rsidRDefault="00000000">
      <w:pPr>
        <w:pStyle w:val="SingleTxt"/>
      </w:pPr>
      <w:r>
        <w:t>3.3.1.</w:t>
      </w:r>
      <w:r>
        <w:tab/>
        <w:t>Правительством были предприняты существенные меры для улу</w:t>
      </w:r>
      <w:r>
        <w:t>ч</w:t>
      </w:r>
      <w:r>
        <w:t>шения положения женщин. Оно в 1995 году приняло подход «Равенство му</w:t>
      </w:r>
      <w:r>
        <w:t>ж</w:t>
      </w:r>
      <w:r>
        <w:t>чин и женщин и развитие», тем самым сместив свои акценты с ранее принятого подхода «Участие женщин в развитии». Ранее существовавший подход предп</w:t>
      </w:r>
      <w:r>
        <w:t>о</w:t>
      </w:r>
      <w:r>
        <w:t>лагал, что женщины испытывают определенные трудности, и они нуждаются в помощи. Им также не учитывались стратегические интересы женщин в упор</w:t>
      </w:r>
      <w:r>
        <w:t>я</w:t>
      </w:r>
      <w:r>
        <w:t>доч</w:t>
      </w:r>
      <w:r>
        <w:t>е</w:t>
      </w:r>
      <w:r>
        <w:t>нии повестки дня в области развития.</w:t>
      </w:r>
    </w:p>
    <w:p w:rsidR="00000000" w:rsidRDefault="00000000">
      <w:pPr>
        <w:pStyle w:val="SingleTxt"/>
      </w:pPr>
      <w:r>
        <w:t>3.3.2.</w:t>
      </w:r>
      <w:r>
        <w:tab/>
        <w:t>После перехода к многопартийной государственной системе одной из важных организационных мер стало переименование Национальной коми</w:t>
      </w:r>
      <w:r>
        <w:t>с</w:t>
      </w:r>
      <w:r>
        <w:t>сии по вовлечению женщин в процесс развития в Национальную комиссию по гендерным вопросам. Новая роль этого органа теперь заключается в провед</w:t>
      </w:r>
      <w:r>
        <w:t>е</w:t>
      </w:r>
      <w:r>
        <w:t>нии пропагандистско-разъяснительной работы и лоббировании вопросов, к</w:t>
      </w:r>
      <w:r>
        <w:t>а</w:t>
      </w:r>
      <w:r>
        <w:t>сающихся равенства полов. После такого преобразования данный орган стал главным образом сталкиваться с проблемами программного характера, что в значительной степени объясняется отсутствием организационной поддержки. Однако сегодня предпринимаются меры для активизации его деятельности п</w:t>
      </w:r>
      <w:r>
        <w:t>у</w:t>
      </w:r>
      <w:r>
        <w:t>тем создания с</w:t>
      </w:r>
      <w:r>
        <w:t>о</w:t>
      </w:r>
      <w:r>
        <w:t>ответствующего секретариата.</w:t>
      </w:r>
    </w:p>
    <w:p w:rsidR="00000000" w:rsidRDefault="00000000">
      <w:pPr>
        <w:pStyle w:val="SingleTxt"/>
      </w:pPr>
      <w:r>
        <w:t>3.3.3.</w:t>
      </w:r>
      <w:r>
        <w:tab/>
        <w:t>После 1994 года было принято по крайней мере пять важных мер. Первой из них явилось провозглашение в 1994 году новой Конституции. В ней закрепляются положения Билля о правах и предусматривается то требование, что осуществление прав женщин должно быть закреплено в законодательстве, полит</w:t>
      </w:r>
      <w:r>
        <w:t>и</w:t>
      </w:r>
      <w:r>
        <w:t>ке и программах.</w:t>
      </w:r>
      <w:r>
        <w:rPr>
          <w:rStyle w:val="FootnoteReference"/>
          <w:sz w:val="20"/>
        </w:rPr>
        <w:footnoteReference w:id="69"/>
      </w:r>
      <w:r>
        <w:t xml:space="preserve"> </w:t>
      </w:r>
    </w:p>
    <w:p w:rsidR="00000000" w:rsidRDefault="00000000">
      <w:pPr>
        <w:pStyle w:val="SingleTxt"/>
      </w:pPr>
      <w:r>
        <w:t>3.3.4.</w:t>
      </w:r>
      <w:r>
        <w:tab/>
        <w:t>Второй мерой стало то, что правительство разрешило неправител</w:t>
      </w:r>
      <w:r>
        <w:t>ь</w:t>
      </w:r>
      <w:r>
        <w:t>ственным организациям осуществлять программы в области расширения во</w:t>
      </w:r>
      <w:r>
        <w:t>з</w:t>
      </w:r>
      <w:r>
        <w:t>можностей женщин в области изучения прав человека и прав женщин; прав</w:t>
      </w:r>
      <w:r>
        <w:t>о</w:t>
      </w:r>
      <w:r>
        <w:t xml:space="preserve">вого образования; программ расширения возможностей женщин и освоения руководящих навыков; проведения лоббистских и пропагандистско-разъяснительных кампаний по обеспечению более широкого участия женщин в процессе принятия решений, включая политическую жизнь. </w:t>
      </w:r>
    </w:p>
    <w:p w:rsidR="00000000" w:rsidRDefault="00000000">
      <w:pPr>
        <w:pStyle w:val="SingleTxt"/>
      </w:pPr>
      <w:r>
        <w:t>3.3.5.</w:t>
      </w:r>
      <w:r>
        <w:tab/>
        <w:t>Третья мера – принятие в 2000 году национальной политики обесп</w:t>
      </w:r>
      <w:r>
        <w:t>е</w:t>
      </w:r>
      <w:r>
        <w:t>чения равенства мужчин и женщин. Одной из основных целей этой политики является ускорение темпов улучшения положения женщин в Малави.</w:t>
      </w:r>
    </w:p>
    <w:p w:rsidR="00000000" w:rsidRDefault="00000000">
      <w:pPr>
        <w:pStyle w:val="SingleTxt"/>
      </w:pPr>
      <w:r>
        <w:t>3.3.6.</w:t>
      </w:r>
      <w:r>
        <w:tab/>
        <w:t>Четвертой мерой явилось включение вопроса об осуществлении Н</w:t>
      </w:r>
      <w:r>
        <w:t>а</w:t>
      </w:r>
      <w:r>
        <w:t>циональной политики обеспечения равенства мужчин и женщин в Документ по стратегии сокращения масштабов нищеты. Пятой мерой стала разработка Н</w:t>
      </w:r>
      <w:r>
        <w:t>а</w:t>
      </w:r>
      <w:r>
        <w:t>циональной программы обеспечения равенства мужчин и женщин, основное внимание которой нацелено на принятие мер по реализации шести основных направлений деятельности Национальной политики обеспечения равенства мужчин и женщин. В этом программном документе указаны соответствующие координационные механизмы, и в нем основное внимание уделяется широкому участию заинтересованных сторон, определению стратегических задач, мер</w:t>
      </w:r>
      <w:r>
        <w:t>о</w:t>
      </w:r>
      <w:r>
        <w:t>при</w:t>
      </w:r>
      <w:r>
        <w:t>я</w:t>
      </w:r>
      <w:r>
        <w:t>тий, их результатов и бюджетных средств.</w:t>
      </w:r>
    </w:p>
    <w:p w:rsidR="00000000" w:rsidRDefault="00000000">
      <w:pPr>
        <w:pStyle w:val="H23"/>
      </w:pPr>
      <w:r>
        <w:t>3.4</w:t>
      </w:r>
      <w:r>
        <w:tab/>
        <w:t>Меры, принимаемые в гражданской и политической области</w:t>
      </w:r>
    </w:p>
    <w:p w:rsidR="00000000" w:rsidRDefault="00000000">
      <w:pPr>
        <w:pStyle w:val="SingleTxt"/>
      </w:pPr>
      <w:r>
        <w:t>3.4.1.</w:t>
      </w:r>
      <w:r>
        <w:tab/>
        <w:t>В Конституции 1994 года закрепляются гражданские и политические права. В ней предусматривается свобода ассоциации, совести, убеждений, в</w:t>
      </w:r>
      <w:r>
        <w:t>ы</w:t>
      </w:r>
      <w:r>
        <w:t>ражения своего мнения, прессы, собрания, создания движений и местожител</w:t>
      </w:r>
      <w:r>
        <w:t>ь</w:t>
      </w:r>
      <w:r>
        <w:t>ства. В ней предусматривается также такое требование, как доступ к госуда</w:t>
      </w:r>
      <w:r>
        <w:t>р</w:t>
      </w:r>
      <w:r>
        <w:t>ственной информации, необходимой для осуществления прав. Положения ст</w:t>
      </w:r>
      <w:r>
        <w:t>а</w:t>
      </w:r>
      <w:r>
        <w:t xml:space="preserve">тьи 40 (1) и (3) </w:t>
      </w:r>
      <w:r>
        <w:rPr>
          <w:caps/>
        </w:rPr>
        <w:t>к</w:t>
      </w:r>
      <w:r>
        <w:t>онституции Малави разрешают каждому гражданину созд</w:t>
      </w:r>
      <w:r>
        <w:t>а</w:t>
      </w:r>
      <w:r>
        <w:t>вать свое политическое движение, присоединяться к политическим движениям и принимать в них свое участие. Они разрешают гражданам проводить комп</w:t>
      </w:r>
      <w:r>
        <w:t>а</w:t>
      </w:r>
      <w:r>
        <w:t>нии и участвовать в мирной и политической деятельности, а также участвовать в тайном голосовании или же выдвигать свои кандидатуры на замещение гос</w:t>
      </w:r>
      <w:r>
        <w:t>у</w:t>
      </w:r>
      <w:r>
        <w:t>дарственных должностей. В отношении всех этих прав применяется содерж</w:t>
      </w:r>
      <w:r>
        <w:t>а</w:t>
      </w:r>
      <w:r>
        <w:t>щийся в статье 20 при</w:t>
      </w:r>
      <w:r>
        <w:t>н</w:t>
      </w:r>
      <w:r>
        <w:t>цип о недискриминации.</w:t>
      </w:r>
    </w:p>
    <w:p w:rsidR="00000000" w:rsidRDefault="00000000">
      <w:pPr>
        <w:pStyle w:val="SingleTxt"/>
      </w:pPr>
      <w:r>
        <w:t>3.4.2.</w:t>
      </w:r>
      <w:r>
        <w:tab/>
        <w:t>В целях практического претворения в жизнь положений Констит</w:t>
      </w:r>
      <w:r>
        <w:t>у</w:t>
      </w:r>
      <w:r>
        <w:t>ции, закрепляющих равенство мужчин и женщин в осуществлении гражда</w:t>
      </w:r>
      <w:r>
        <w:t>н</w:t>
      </w:r>
      <w:r>
        <w:t xml:space="preserve">ских и политических прав в Малави и пользовании ими, была разработана </w:t>
      </w:r>
      <w:r>
        <w:rPr>
          <w:caps/>
        </w:rPr>
        <w:t>н</w:t>
      </w:r>
      <w:r>
        <w:t>а</w:t>
      </w:r>
      <w:r>
        <w:t xml:space="preserve">циональная политика обеспечения равенства мужчин и женщин. Программа осуществления такой политики имеет огромное значение для обеспечения пользования мужчинами и женщинами своими гражданскими и политическими правами на равной основе. Основная цель </w:t>
      </w:r>
      <w:r>
        <w:rPr>
          <w:caps/>
        </w:rPr>
        <w:t>н</w:t>
      </w:r>
      <w:r>
        <w:t>ациональной политики обеспеч</w:t>
      </w:r>
      <w:r>
        <w:t>е</w:t>
      </w:r>
      <w:r>
        <w:t>ния равенства мужчин и женщин заключается во включении гендерных вопр</w:t>
      </w:r>
      <w:r>
        <w:t>о</w:t>
      </w:r>
      <w:r>
        <w:t>сов во все процессы развития с целью расширения участия женщин, мужчин, юношей и девушек в справедливом развитии и борьбе с бедностью. Одной из областей, требующих в соответствии с этой политикой уделения особого вн</w:t>
      </w:r>
      <w:r>
        <w:t>и</w:t>
      </w:r>
      <w:r>
        <w:t>мания, является представленность женщин на политических и руководящих должностях.</w:t>
      </w:r>
      <w:r>
        <w:rPr>
          <w:rStyle w:val="FootnoteReference"/>
          <w:sz w:val="20"/>
        </w:rPr>
        <w:footnoteReference w:id="70"/>
      </w:r>
      <w:r>
        <w:t xml:space="preserve"> </w:t>
      </w:r>
    </w:p>
    <w:p w:rsidR="00000000" w:rsidRDefault="00000000">
      <w:pPr>
        <w:pStyle w:val="SingleTxt"/>
      </w:pPr>
      <w:r>
        <w:t>3.4.3.</w:t>
      </w:r>
      <w:r>
        <w:tab/>
        <w:t>Хотя и были созданы благоприятные условия для борьбы с дискр</w:t>
      </w:r>
      <w:r>
        <w:t>и</w:t>
      </w:r>
      <w:r>
        <w:t>минацией при осуществлении гражданских и политических прав человека, все еще не хватает механизмов, необходимых для устранения препятствий, затру</w:t>
      </w:r>
      <w:r>
        <w:t>д</w:t>
      </w:r>
      <w:r>
        <w:t>няющих осуществление женщинами этих прав в Малави. Во-первых, в гра</w:t>
      </w:r>
      <w:r>
        <w:t>ж</w:t>
      </w:r>
      <w:r>
        <w:t>данской и политической деятельности участвует меньше женщин, чем мужчин, ввиду отсутствия или низкого уровня их образования. Уровень грамотности среди женщин составляет 49 процентов по сравнению с 72 процентами у му</w:t>
      </w:r>
      <w:r>
        <w:t>ж</w:t>
      </w:r>
      <w:r>
        <w:t>чин. На это накладывается и бытующее среди большинства малавийцев стере</w:t>
      </w:r>
      <w:r>
        <w:t>о</w:t>
      </w:r>
      <w:r>
        <w:t>типное представление о том, что некоторые виды гражданской и политической деятельности являются мужскими. Например, согласно обычному праву, в сл</w:t>
      </w:r>
      <w:r>
        <w:t>у</w:t>
      </w:r>
      <w:r>
        <w:t>чае смены главы или старосты деревни предпочтение отдается мужчине. Же</w:t>
      </w:r>
      <w:r>
        <w:t>н</w:t>
      </w:r>
      <w:r>
        <w:t>щины на такие должности назначаются только тогда, когда нет мужчин. Кроме того, бытует и такое мнение, что руководящие должности в целом и высокие политические должности в частности являются уделом мужчин, а не женщин. Помимо этого, если мужчины и женщины занимаются одним и тем же видом деятельности, то их роли распределяются в зависимости от их пола, при этом женщины занимаю</w:t>
      </w:r>
      <w:r>
        <w:t>т</w:t>
      </w:r>
      <w:r>
        <w:t xml:space="preserve">ся оформительской работой и обеспечивают питание. </w:t>
      </w:r>
    </w:p>
    <w:p w:rsidR="00000000" w:rsidRDefault="00000000">
      <w:pPr>
        <w:pStyle w:val="SingleTxt"/>
      </w:pPr>
      <w:r>
        <w:t>3.4.4.</w:t>
      </w:r>
      <w:r>
        <w:tab/>
        <w:t>Существующее законодательство, регулирующее участие в гражда</w:t>
      </w:r>
      <w:r>
        <w:t>н</w:t>
      </w:r>
      <w:r>
        <w:t>ской и политической жизни страны, не рассматривает участие женщин с ге</w:t>
      </w:r>
      <w:r>
        <w:t>н</w:t>
      </w:r>
      <w:r>
        <w:t>дерной точки зрения.</w:t>
      </w:r>
      <w:r>
        <w:rPr>
          <w:rStyle w:val="FootnoteReference"/>
          <w:sz w:val="20"/>
        </w:rPr>
        <w:footnoteReference w:id="71"/>
      </w:r>
      <w:r>
        <w:t xml:space="preserve"> В свою очередь все три политические партии, пре</w:t>
      </w:r>
      <w:r>
        <w:t>д</w:t>
      </w:r>
      <w:r>
        <w:t>ставленные в парламенте, не имеют на этот счет какой-либо четкой политич</w:t>
      </w:r>
      <w:r>
        <w:t>е</w:t>
      </w:r>
      <w:r>
        <w:t xml:space="preserve">ской позиции. </w:t>
      </w:r>
    </w:p>
    <w:p w:rsidR="00000000" w:rsidRDefault="00000000">
      <w:pPr>
        <w:pStyle w:val="H23"/>
      </w:pPr>
      <w:r>
        <w:t>3.3</w:t>
      </w:r>
      <w:r>
        <w:tab/>
        <w:t>Меры, принимаемые в экономической области</w:t>
      </w:r>
    </w:p>
    <w:p w:rsidR="00000000" w:rsidRDefault="00000000">
      <w:pPr>
        <w:pStyle w:val="SingleTxt"/>
      </w:pPr>
      <w:r>
        <w:t>3.3.1.</w:t>
      </w:r>
      <w:r>
        <w:tab/>
        <w:t>Положения статьи 29 Конституции разрешают женщинам и мужч</w:t>
      </w:r>
      <w:r>
        <w:t>и</w:t>
      </w:r>
      <w:r>
        <w:t>нам «свободно заниматься экономической деятельностью, работать и обесп</w:t>
      </w:r>
      <w:r>
        <w:t>е</w:t>
      </w:r>
      <w:r>
        <w:t>чивать свое существование в любой части Малави». Кроме того, Конституция предоставляет всем гражданам право пользоваться процессом развития и тр</w:t>
      </w:r>
      <w:r>
        <w:t>е</w:t>
      </w:r>
      <w:r>
        <w:t>бует обеспечения равных возможностей для всех в плане доступа к основным ресурсам, продовольствию, жилью, работе, инфраструктуре, образованию и медицинским услугам.</w:t>
      </w:r>
      <w:r>
        <w:rPr>
          <w:rStyle w:val="FootnoteReference"/>
          <w:sz w:val="20"/>
        </w:rPr>
        <w:footnoteReference w:id="72"/>
      </w:r>
    </w:p>
    <w:p w:rsidR="00000000" w:rsidRDefault="00000000">
      <w:pPr>
        <w:pStyle w:val="SingleTxt"/>
      </w:pPr>
      <w:r>
        <w:t>3.3.2.</w:t>
      </w:r>
      <w:r>
        <w:tab/>
        <w:t>Правительство либерализировало экономику, и это привело к увел</w:t>
      </w:r>
      <w:r>
        <w:t>и</w:t>
      </w:r>
      <w:r>
        <w:t>чению числа малых предприятий, включая предприятия, полностью или на п</w:t>
      </w:r>
      <w:r>
        <w:t>а</w:t>
      </w:r>
      <w:r>
        <w:t>ях принадлежащие женщинам.</w:t>
      </w:r>
      <w:r>
        <w:rPr>
          <w:rStyle w:val="FootnoteReference"/>
          <w:sz w:val="20"/>
        </w:rPr>
        <w:footnoteReference w:id="73"/>
      </w:r>
      <w:r>
        <w:t xml:space="preserve"> Национальной политикой обеспечения раве</w:t>
      </w:r>
      <w:r>
        <w:t>н</w:t>
      </w:r>
      <w:r>
        <w:t>ства мужчин и женщин предусматривается расширение экономических во</w:t>
      </w:r>
      <w:r>
        <w:t>з</w:t>
      </w:r>
      <w:r>
        <w:t>можностей женщин в одной из ее шести тематических областей. В соответс</w:t>
      </w:r>
      <w:r>
        <w:t>т</w:t>
      </w:r>
      <w:r>
        <w:t>вии с этим правительство создало и стимулирует создание систем микрокред</w:t>
      </w:r>
      <w:r>
        <w:t>и</w:t>
      </w:r>
      <w:r>
        <w:t>тования и организаций для бедных слоев населения. Совместно с заинтерес</w:t>
      </w:r>
      <w:r>
        <w:t>о</w:t>
      </w:r>
      <w:r>
        <w:t>ванными сторонами правительство в 2003 году выделило кредит 44 773 же</w:t>
      </w:r>
      <w:r>
        <w:t>н</w:t>
      </w:r>
      <w:r>
        <w:t>щинам по сравнению с 22 469 в 1995 году и организовало в 2003 году курсы профессиональной подготовки для 53 085 женщин по сравнению с 27 790 в 1995 году. Количество лиц, получивших кредиты, меньше чем количество тех, кто прошел курсы профессиональной подготовки, и работа с населением в</w:t>
      </w:r>
      <w:r>
        <w:t>е</w:t>
      </w:r>
      <w:r>
        <w:t>дется медленными темпами ввиду отсутствия надлежащих пор</w:t>
      </w:r>
      <w:r>
        <w:t>т</w:t>
      </w:r>
      <w:r>
        <w:t>фелей займов.</w:t>
      </w:r>
    </w:p>
    <w:p w:rsidR="00000000" w:rsidRDefault="00000000">
      <w:pPr>
        <w:pStyle w:val="SingleTxt"/>
      </w:pPr>
      <w:r>
        <w:t>3.3.3.</w:t>
      </w:r>
      <w:r>
        <w:tab/>
        <w:t>Кроме того, правительство разработало политику поддержки малого и среднего предпринимательства. Наряду с этим министерство по делам же</w:t>
      </w:r>
      <w:r>
        <w:t>н</w:t>
      </w:r>
      <w:r>
        <w:t>щин и общественных служб и его партнеры разработали соответствующую технологию для производственных предприятий, которая включает как прои</w:t>
      </w:r>
      <w:r>
        <w:t>з</w:t>
      </w:r>
      <w:r>
        <w:t>водство мебели из бамбука, пчеловодство, выращивание грибов и хлебопеч</w:t>
      </w:r>
      <w:r>
        <w:t>е</w:t>
      </w:r>
      <w:r>
        <w:t>ние, так и качество и изготовление батика. На настоящий момент этой деятел</w:t>
      </w:r>
      <w:r>
        <w:t>ь</w:t>
      </w:r>
      <w:r>
        <w:t>ностью охвачено 10 000 женщин по сравнению с 600 в 1995 году. Женщины в Малави успешно занимаются коммерческой деятельностью, о чем свидетельс</w:t>
      </w:r>
      <w:r>
        <w:t>т</w:t>
      </w:r>
      <w:r>
        <w:t>вует присуждение первой премии «Женщины-бизнесмены» на ярмарке, орган</w:t>
      </w:r>
      <w:r>
        <w:t>и</w:t>
      </w:r>
      <w:r>
        <w:t>зованной Сообществом по вопросам развития юга Африки в Намибии в 2000 году, а также 2002 г</w:t>
      </w:r>
      <w:r>
        <w:t>о</w:t>
      </w:r>
      <w:r>
        <w:t>ду в Блантайре, Малави.</w:t>
      </w:r>
    </w:p>
    <w:p w:rsidR="00000000" w:rsidRDefault="00000000">
      <w:pPr>
        <w:pStyle w:val="SingleTxt"/>
      </w:pPr>
      <w:r>
        <w:t>3.3.4.</w:t>
      </w:r>
      <w:r>
        <w:tab/>
        <w:t>Репродуктивная функция и общественная работа женщин не оплач</w:t>
      </w:r>
      <w:r>
        <w:t>и</w:t>
      </w:r>
      <w:r>
        <w:t>вается и не включается в ВВП. Многие работающие женщины занимают ни</w:t>
      </w:r>
      <w:r>
        <w:t>з</w:t>
      </w:r>
      <w:r>
        <w:t>кооплачиваемые должности и находятся на низшей иерархической ступени ввиду недостаточно высокого уровня их образования. Например, проведенное в 1995 году обследование гражданской службы показало, что из 112 275 гра</w:t>
      </w:r>
      <w:r>
        <w:t>ж</w:t>
      </w:r>
      <w:r>
        <w:t>данских служащих женщин только 28 269. В 2003 году данные по старшим р</w:t>
      </w:r>
      <w:r>
        <w:t>у</w:t>
      </w:r>
      <w:r>
        <w:t>ководящим должностям в гражданской службе показывают, что из 698 старших руководящих сотрудников женщин было только 68 (10</w:t>
      </w:r>
      <w:r>
        <w:rPr>
          <w:lang w:val="en-US"/>
        </w:rPr>
        <w:t xml:space="preserve"> </w:t>
      </w:r>
      <w:r>
        <w:t>процентов). Это означ</w:t>
      </w:r>
      <w:r>
        <w:t>а</w:t>
      </w:r>
      <w:r>
        <w:t>ет, что участие женщин в принятии решений ограничено. Соответственно, женщины и здесь зависят от мужчин.</w:t>
      </w:r>
    </w:p>
    <w:p w:rsidR="00000000" w:rsidRDefault="00000000">
      <w:pPr>
        <w:pStyle w:val="SingleTxt"/>
      </w:pPr>
      <w:r>
        <w:t>3.3.5.</w:t>
      </w:r>
      <w:r>
        <w:tab/>
        <w:t>Сельское хозяйство в Малави по-прежнему является основой экон</w:t>
      </w:r>
      <w:r>
        <w:t>о</w:t>
      </w:r>
      <w:r>
        <w:t>мики страны, и 90 процентов женщин занимаются фермерским хозяйством полный рабочий день: доля их участия на сельскохозяйственном рынке труда составляет 79 процентов по сравнению с 21 процентом. Тридцать два процента женщин получают свои доходы за счет растениеводства.</w:t>
      </w:r>
      <w:r>
        <w:rPr>
          <w:rStyle w:val="FootnoteReference"/>
          <w:sz w:val="20"/>
        </w:rPr>
        <w:footnoteReference w:id="74"/>
      </w:r>
      <w:r>
        <w:t xml:space="preserve"> Однако, женщины все еще имеют ограниченный доступ к таким производственным факторам, как земля, вводимые ресурсы; рабочая сила и реклама; и они больше занимаются производством продуктов питания, чем выращиванием товарных культур. У них также не всегда имеется достаточно времени для занятия производством.</w:t>
      </w:r>
    </w:p>
    <w:p w:rsidR="00000000" w:rsidRDefault="00000000">
      <w:pPr>
        <w:pStyle w:val="SingleTxt"/>
      </w:pPr>
      <w:r>
        <w:t>3.3.6.</w:t>
      </w:r>
      <w:r>
        <w:tab/>
        <w:t>Кроме того, из-за эпидемии ВИЧ/СПИДа женщины и престарелые лишаются многих своих экономических возможностей, поскольку им в осно</w:t>
      </w:r>
      <w:r>
        <w:t>в</w:t>
      </w:r>
      <w:r>
        <w:t>ном приходится ухаживать за больными. Это объясняется политикой распред</w:t>
      </w:r>
      <w:r>
        <w:t>е</w:t>
      </w:r>
      <w:r>
        <w:t>ления расходов, которая пагубно сказывается на возможностях женщин, п</w:t>
      </w:r>
      <w:r>
        <w:t>о</w:t>
      </w:r>
      <w:r>
        <w:t>скольку уход за больными осуществляется в д</w:t>
      </w:r>
      <w:r>
        <w:t>о</w:t>
      </w:r>
      <w:r>
        <w:t>машних условиях.</w:t>
      </w:r>
    </w:p>
    <w:p w:rsidR="00000000" w:rsidRDefault="00000000">
      <w:pPr>
        <w:pStyle w:val="H23"/>
      </w:pPr>
      <w:r>
        <w:t>3.4</w:t>
      </w:r>
      <w:r>
        <w:tab/>
        <w:t>Меры, принимаемые в социальной и культурной области</w:t>
      </w:r>
    </w:p>
    <w:p w:rsidR="00000000" w:rsidRDefault="00000000">
      <w:pPr>
        <w:pStyle w:val="SingleTxt"/>
      </w:pPr>
      <w:r>
        <w:t>3.4.1.</w:t>
      </w:r>
      <w:r>
        <w:tab/>
        <w:t>Конституцией предусматривается, что все культурные традиции, к</w:t>
      </w:r>
      <w:r>
        <w:t>о</w:t>
      </w:r>
      <w:r>
        <w:t>торые пагубно влияют на положение женщин, подлежат отмене.</w:t>
      </w:r>
      <w:r>
        <w:rPr>
          <w:rStyle w:val="FootnoteReference"/>
          <w:sz w:val="20"/>
        </w:rPr>
        <w:footnoteReference w:id="75"/>
      </w:r>
      <w:r>
        <w:t xml:space="preserve"> Конституция далее обязывает правительство провести реформы с целью искоренения соц</w:t>
      </w:r>
      <w:r>
        <w:t>и</w:t>
      </w:r>
      <w:r>
        <w:t>альной несправедливости и неравенства, особенно в том, что касается женщин, детей и инвалидов.</w:t>
      </w:r>
      <w:r>
        <w:rPr>
          <w:rStyle w:val="FootnoteReference"/>
          <w:sz w:val="20"/>
        </w:rPr>
        <w:footnoteReference w:id="76"/>
      </w:r>
      <w:r>
        <w:t xml:space="preserve"> </w:t>
      </w:r>
    </w:p>
    <w:p w:rsidR="00000000" w:rsidRDefault="00000000">
      <w:pPr>
        <w:pStyle w:val="SingleTxt"/>
      </w:pPr>
      <w:r>
        <w:t>3.4.2.</w:t>
      </w:r>
      <w:r>
        <w:tab/>
        <w:t>Правительство по линии министерства по делам женщин и общес</w:t>
      </w:r>
      <w:r>
        <w:t>т</w:t>
      </w:r>
      <w:r>
        <w:t>венных служб совместно с общественностью ведет борьбу с насилием по пр</w:t>
      </w:r>
      <w:r>
        <w:t>и</w:t>
      </w:r>
      <w:r>
        <w:t xml:space="preserve">знаку пола, которое все еще сохраняется ввиду существующих традиций и культурных обычаев. </w:t>
      </w:r>
    </w:p>
    <w:p w:rsidR="00000000" w:rsidRDefault="00000000">
      <w:pPr>
        <w:pStyle w:val="SingleTxt"/>
      </w:pPr>
      <w:r>
        <w:t>3.4.3.</w:t>
      </w:r>
      <w:r>
        <w:tab/>
        <w:t>Вопросами развития культуры занимаются, в частности, многие м</w:t>
      </w:r>
      <w:r>
        <w:t>и</w:t>
      </w:r>
      <w:r>
        <w:t>нистерства. Министерство по делам молодежи, спорта и культуры следит за сохранением позитивных достижений в культуре Малави, поощряя развитие традиционных танцев и охраняя памятники культуры. Министерство образов</w:t>
      </w:r>
      <w:r>
        <w:t>а</w:t>
      </w:r>
      <w:r>
        <w:t>ния, науки и техники также способствует тому, чтобы в школах учащиеся пр</w:t>
      </w:r>
      <w:r>
        <w:t>и</w:t>
      </w:r>
      <w:r>
        <w:t>держивались своей культуры и знали ее, при этом не забывая о существующих гендерных аспектах.</w:t>
      </w:r>
    </w:p>
    <w:p w:rsidR="00000000" w:rsidRDefault="00000000">
      <w:pPr>
        <w:pStyle w:val="SingleTxt"/>
      </w:pPr>
      <w:r>
        <w:t>3.4.4.</w:t>
      </w:r>
      <w:r>
        <w:tab/>
        <w:t>Кроме того, правительство проводит среди вождей, общественных и религиозных деятелей и в обществе в целом разъяснительную работу, каса</w:t>
      </w:r>
      <w:r>
        <w:t>ю</w:t>
      </w:r>
      <w:r>
        <w:t>щуюся пагубных последствий некоторых вредных традиций и культурных обычаев, используя для этого личные контакты, радио и телевидение, а также средства массовой информации и различные пропагандистские компании. В этом плане сократились масштабы некоторых пагубных культурных обычаев, таких как наследование жены.</w:t>
      </w:r>
    </w:p>
    <w:p w:rsidR="00000000" w:rsidRDefault="00000000">
      <w:pPr>
        <w:pStyle w:val="SingleTxt"/>
      </w:pPr>
      <w:r>
        <w:t>3.4.4.</w:t>
      </w:r>
      <w:r>
        <w:tab/>
        <w:t>Успешному принятию соответствующих мер по улучшению полож</w:t>
      </w:r>
      <w:r>
        <w:t>е</w:t>
      </w:r>
      <w:r>
        <w:t>ния женщин препятствует ограниченность средств, низкий уровень грамотн</w:t>
      </w:r>
      <w:r>
        <w:t>о</w:t>
      </w:r>
      <w:r>
        <w:t>сти среди женщин и нежелание менять существующие культурные обычаи, к</w:t>
      </w:r>
      <w:r>
        <w:t>о</w:t>
      </w:r>
      <w:r>
        <w:t>торые пагубно сказываются на правах женщин. В ходе сбора информации н</w:t>
      </w:r>
      <w:r>
        <w:t>е</w:t>
      </w:r>
      <w:r>
        <w:t>которые общины указали, что из-за женщин, которые знают свои права и тр</w:t>
      </w:r>
      <w:r>
        <w:t>е</w:t>
      </w:r>
      <w:r>
        <w:t>буют их осуществления, традиционный уклад, предусматривающий госпо</w:t>
      </w:r>
      <w:r>
        <w:t>д</w:t>
      </w:r>
      <w:r>
        <w:t>ству</w:t>
      </w:r>
      <w:r>
        <w:t>ю</w:t>
      </w:r>
      <w:r>
        <w:t>щую роль мужчины, стал находится под угрозой.</w:t>
      </w:r>
    </w:p>
    <w:p w:rsidR="00000000" w:rsidRDefault="00000000">
      <w:pPr>
        <w:pStyle w:val="SingleTxt"/>
      </w:pPr>
      <w:r>
        <w:t>3.4.5.</w:t>
      </w:r>
      <w:r>
        <w:tab/>
        <w:t>Однако, культура по-прежнему является важным источником сопр</w:t>
      </w:r>
      <w:r>
        <w:t>о</w:t>
      </w:r>
      <w:r>
        <w:t>тивления и существования вредных традиций, пагубно сказывающихся на п</w:t>
      </w:r>
      <w:r>
        <w:t>о</w:t>
      </w:r>
      <w:r>
        <w:t>ложении женщин. Например, сообщалось о том, что из-за некоторых культу</w:t>
      </w:r>
      <w:r>
        <w:t>р</w:t>
      </w:r>
      <w:r>
        <w:t>ных традиций женщины становятся жертвами ВИЧ/СПИДа ввиду существов</w:t>
      </w:r>
      <w:r>
        <w:t>а</w:t>
      </w:r>
      <w:r>
        <w:t>ния таких обычаев, как «очищение» жены (</w:t>
      </w:r>
      <w:r>
        <w:rPr>
          <w:i/>
        </w:rPr>
        <w:t>кулова куфа</w:t>
      </w:r>
      <w:r>
        <w:t>), организованное ма</w:t>
      </w:r>
      <w:r>
        <w:t>с</w:t>
      </w:r>
      <w:r>
        <w:t>совое изнасилование (</w:t>
      </w:r>
      <w:r>
        <w:rPr>
          <w:i/>
        </w:rPr>
        <w:t>гвамула</w:t>
      </w:r>
      <w:r>
        <w:t>) и наследование жены (</w:t>
      </w:r>
      <w:r>
        <w:rPr>
          <w:i/>
        </w:rPr>
        <w:t>ч</w:t>
      </w:r>
      <w:r>
        <w:rPr>
          <w:i/>
        </w:rPr>
        <w:t>о</w:t>
      </w:r>
      <w:r>
        <w:rPr>
          <w:i/>
        </w:rPr>
        <w:t>коло</w:t>
      </w:r>
      <w:r>
        <w:t>).</w:t>
      </w:r>
    </w:p>
    <w:p w:rsidR="00000000" w:rsidRDefault="00000000">
      <w:pPr>
        <w:pStyle w:val="H23"/>
      </w:pPr>
      <w:r>
        <w:t>3.5.</w:t>
      </w:r>
      <w:r>
        <w:tab/>
        <w:t>Вывод</w:t>
      </w:r>
    </w:p>
    <w:p w:rsidR="00000000" w:rsidRDefault="00000000">
      <w:pPr>
        <w:pStyle w:val="SingleTxt"/>
      </w:pPr>
      <w:r>
        <w:t xml:space="preserve">Положения, предусмотренные в различных видах политики, включая </w:t>
      </w:r>
      <w:r>
        <w:rPr>
          <w:caps/>
        </w:rPr>
        <w:t>н</w:t>
      </w:r>
      <w:r>
        <w:t>аци</w:t>
      </w:r>
      <w:r>
        <w:t>о</w:t>
      </w:r>
      <w:r>
        <w:t xml:space="preserve">нальную политику обеспечения равенства мужчин и женщин, Документ по стратегии сокращения масштабов нищеты и </w:t>
      </w:r>
      <w:r>
        <w:rPr>
          <w:caps/>
        </w:rPr>
        <w:t>н</w:t>
      </w:r>
      <w:r>
        <w:t>ациональную программу обесп</w:t>
      </w:r>
      <w:r>
        <w:t>е</w:t>
      </w:r>
      <w:r>
        <w:t>чения равенства мужчин и женщин, служат хорошей основой для осуществл</w:t>
      </w:r>
      <w:r>
        <w:t>е</w:t>
      </w:r>
      <w:r>
        <w:t>ния прав женщин и реализации соответс</w:t>
      </w:r>
      <w:r>
        <w:t>т</w:t>
      </w:r>
      <w:r>
        <w:t>вующих программ в этой области.</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bookmarkStart w:id="44" w:name="_Toc33784411"/>
      <w:bookmarkStart w:id="45" w:name="_Toc377350750"/>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46" w:name="_Toc83977537"/>
      <w:r>
        <w:t>Статья 4:</w:t>
      </w:r>
      <w:bookmarkEnd w:id="44"/>
      <w:bookmarkEnd w:id="45"/>
      <w:r>
        <w:tab/>
        <w:t>Ускорение установления равенства между мужчинами и же</w:t>
      </w:r>
      <w:r>
        <w:t>н</w:t>
      </w:r>
      <w:r>
        <w:t>щинами</w:t>
      </w:r>
      <w:bookmarkEnd w:id="46"/>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rPr>
          <w:lang w:val="en-US"/>
        </w:rPr>
      </w:pPr>
      <w:r>
        <w:t>4.1</w:t>
      </w:r>
      <w:r>
        <w:tab/>
        <w:t>Стандарты</w:t>
      </w:r>
      <w:r>
        <w:rPr>
          <w:lang w:val="en-US"/>
        </w:rPr>
        <w:t xml:space="preserve"> </w:t>
      </w:r>
      <w:r>
        <w:t>КЛДЖ</w:t>
      </w:r>
    </w:p>
    <w:p w:rsidR="00000000" w:rsidRDefault="00000000">
      <w:pPr>
        <w:pStyle w:val="SingleTxt"/>
        <w:rPr>
          <w:rFonts w:eastAsia="MS Mincho"/>
          <w:i/>
        </w:rPr>
      </w:pPr>
      <w:r>
        <w:rPr>
          <w:rFonts w:eastAsia="MS Mincho"/>
          <w:i/>
        </w:rPr>
        <w:t>Статья 4: 1.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будет достигнута цель равенства возможностей и равноправного отношения.</w:t>
      </w:r>
    </w:p>
    <w:p w:rsidR="00000000" w:rsidRDefault="00000000">
      <w:pPr>
        <w:pStyle w:val="SingleTxt"/>
        <w:rPr>
          <w:rFonts w:eastAsia="MS Mincho"/>
          <w:i/>
        </w:rPr>
      </w:pPr>
      <w:r>
        <w:rPr>
          <w:rFonts w:eastAsia="MS Mincho"/>
          <w:i/>
        </w:rPr>
        <w:t>2. 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w:t>
      </w:r>
      <w:r>
        <w:rPr>
          <w:rFonts w:eastAsia="MS Mincho"/>
          <w:i/>
        </w:rPr>
        <w:t>и</w:t>
      </w:r>
      <w:r>
        <w:rPr>
          <w:rFonts w:eastAsia="MS Mincho"/>
          <w:i/>
        </w:rPr>
        <w:t>минационным.</w:t>
      </w:r>
    </w:p>
    <w:p w:rsidR="00000000" w:rsidRDefault="00000000">
      <w:pPr>
        <w:pStyle w:val="H23"/>
      </w:pPr>
      <w:r>
        <w:t>4.2.</w:t>
      </w:r>
      <w:r>
        <w:tab/>
        <w:t xml:space="preserve">Национальные стандарты </w:t>
      </w:r>
    </w:p>
    <w:p w:rsidR="00000000" w:rsidRDefault="00000000">
      <w:pPr>
        <w:pStyle w:val="SingleTxt"/>
      </w:pPr>
      <w:r>
        <w:t>4.2.1.</w:t>
      </w:r>
      <w:r>
        <w:tab/>
        <w:t>Конституция Малави четко предусматривает, что «женщины имеют право на всестороннюю и равную защиту по закону и имеют право не подве</w:t>
      </w:r>
      <w:r>
        <w:t>р</w:t>
      </w:r>
      <w:r>
        <w:t>гаться дискриминации по признаку пола или семейного положения». Призн</w:t>
      </w:r>
      <w:r>
        <w:t>а</w:t>
      </w:r>
      <w:r>
        <w:t>ние необходимости обеспечения равенства мужчин и женщин так же четко в</w:t>
      </w:r>
      <w:r>
        <w:t>ы</w:t>
      </w:r>
      <w:r>
        <w:t xml:space="preserve">текает из Национальной политики обеспечения равенства мужчин и женщин в Малави на период с 2000 по 2005 годы. </w:t>
      </w:r>
    </w:p>
    <w:p w:rsidR="00000000" w:rsidRDefault="00000000">
      <w:pPr>
        <w:pStyle w:val="SingleTxt"/>
      </w:pPr>
      <w:r>
        <w:t>4.2.2.</w:t>
      </w:r>
      <w:r>
        <w:tab/>
        <w:t>Несмотря на такое признание, ни в Конституции Малави, ни в Н</w:t>
      </w:r>
      <w:r>
        <w:t>а</w:t>
      </w:r>
      <w:r>
        <w:t>циональной политике обеспечения равенства мужчин и женщин ничего не г</w:t>
      </w:r>
      <w:r>
        <w:t>о</w:t>
      </w:r>
      <w:r>
        <w:t>ворится о принятии временных мер, нацеленных на фактическое ускорение р</w:t>
      </w:r>
      <w:r>
        <w:t>а</w:t>
      </w:r>
      <w:r>
        <w:t>венства женщин и мужчин. Как и в этих документах, в других политических документах, таких, как Документ по стратегии сокращения масштабов нищеты и национальный бюджет, также не предусматривается никаких конкретных п</w:t>
      </w:r>
      <w:r>
        <w:t>о</w:t>
      </w:r>
      <w:r>
        <w:t>зитивных правительственных мер для ускорения обеспечения равенства в ва</w:t>
      </w:r>
      <w:r>
        <w:t>ж</w:t>
      </w:r>
      <w:r>
        <w:t>ных социально-экономических областях жизни женщин.</w:t>
      </w:r>
    </w:p>
    <w:p w:rsidR="00000000" w:rsidRDefault="00000000">
      <w:pPr>
        <w:pStyle w:val="H23"/>
      </w:pPr>
      <w:r>
        <w:t>4.3</w:t>
      </w:r>
      <w:r>
        <w:tab/>
        <w:t>Неравенство полов в Малави</w:t>
      </w:r>
    </w:p>
    <w:p w:rsidR="00000000" w:rsidRDefault="00000000">
      <w:pPr>
        <w:pStyle w:val="SingleTxt"/>
      </w:pPr>
      <w:r>
        <w:t>4.3.1.</w:t>
      </w:r>
      <w:r>
        <w:tab/>
        <w:t>Согласно докладам об индексе развития людских ресурсов, все соо</w:t>
      </w:r>
      <w:r>
        <w:t>т</w:t>
      </w:r>
      <w:r>
        <w:t>ветствующие показатели у женщин самые низкие, за исключением показателя средней продолжительности жизни при рождении. Этот показатель может быть обманчивым, поскольку вероятность сокращения средней продолжительности жизни для женщин выше, чем для мужчин. Показатели здравоохранения ни</w:t>
      </w:r>
      <w:r>
        <w:t>з</w:t>
      </w:r>
      <w:r>
        <w:t>кие как для мужчин, так и женщин, однако на женщинах лежит неизмеримо более тяжелое бремя ухода за больными, а их потребности и права не удовл</w:t>
      </w:r>
      <w:r>
        <w:t>е</w:t>
      </w:r>
      <w:r>
        <w:t>творяются общественными службами. Коэффициент материнской смертности для женщин вырос с 620 смертей на 100 000 живорождений в 1987 году до 1120 в 2000 году. Коэффициент поступления детей в первые классы составляет 50:50 для девочек и мальчиков. К пятому классу резко усиливается отсев дев</w:t>
      </w:r>
      <w:r>
        <w:t>о</w:t>
      </w:r>
      <w:r>
        <w:t>чек, а их успеваемость в школе ниже, чем у мальчиков, поскольку им прих</w:t>
      </w:r>
      <w:r>
        <w:t>о</w:t>
      </w:r>
      <w:r>
        <w:t>дится выполнять различные обязанности, т.е. работать по дому до начала школьных занятий, а в школе заниматься сбором древесного топлива и воды для учителей. В плане доходов женщины находятся в более неблагоприятном положении, чем мужчины.</w:t>
      </w:r>
      <w:r>
        <w:rPr>
          <w:rStyle w:val="FootnoteReference"/>
          <w:sz w:val="20"/>
        </w:rPr>
        <w:footnoteReference w:id="77"/>
      </w:r>
      <w:r>
        <w:t xml:space="preserve">. В то же время введение программы образования девочек и освоения ими основ грамотности (ГАВЛЕ) позволило увеличить процент девочек, продолжающих свое образование, с 5 процентов до 12 процентов в начальной школе и с 4 процентов до 11 процентов в средней школе, а доля девушек, поступающих в высшие учебные заведения, за период с 1995 по 2002 годы выросла с 4 процентов до 25 процентов, а затем до 30 процентов. </w:t>
      </w:r>
    </w:p>
    <w:p w:rsidR="00000000" w:rsidRDefault="00000000">
      <w:pPr>
        <w:pStyle w:val="SingleTxt"/>
      </w:pPr>
      <w:r>
        <w:t>4.3.2.</w:t>
      </w:r>
      <w:r>
        <w:tab/>
        <w:t>Неравенство и различного рода лишения проявляются и в других о</w:t>
      </w:r>
      <w:r>
        <w:t>б</w:t>
      </w:r>
      <w:r>
        <w:t>ластях, прямым или косвенным образом связанных с индексом развития лю</w:t>
      </w:r>
      <w:r>
        <w:t>д</w:t>
      </w:r>
      <w:r>
        <w:t>ских ресурсов. Число сообщенных случаев сексуального надругательства над женщинами после 1995 года резко выросло. То же самое касается и насилия в семье, случаи которого выросли за период с 1995 по 1999 годы более чем в два раза: с 3 900 до 8 000. Хотя проводится пропагандистско-разъяснительная р</w:t>
      </w:r>
      <w:r>
        <w:t>а</w:t>
      </w:r>
      <w:r>
        <w:t>бота по вопросам, касающимся насилия в отношении женщин и свободы пре</w:t>
      </w:r>
      <w:r>
        <w:t>с</w:t>
      </w:r>
      <w:r>
        <w:t>сы, о многих таких случаях не сообщается, поскольку в культурном отношении семьи полагают, что если они сообщат о таких случаях, то это опозорит их.</w:t>
      </w:r>
    </w:p>
    <w:p w:rsidR="00000000" w:rsidRDefault="00000000">
      <w:pPr>
        <w:pStyle w:val="SingleTxt"/>
      </w:pPr>
      <w:r>
        <w:t>4.3.3.</w:t>
      </w:r>
      <w:r>
        <w:tab/>
        <w:t>Неравенство широко проявляется и на директивном уровне. Доля женщин в парламенте после представления последнего доклада выросла с 5,6 процента до 8,8 процента, в Кабинете министров в настоящее время она с</w:t>
      </w:r>
      <w:r>
        <w:t>о</w:t>
      </w:r>
      <w:r>
        <w:t>ставляет 18 процентов по сравнению с 9 процентами в 1995 году. Однако, к</w:t>
      </w:r>
      <w:r>
        <w:t>о</w:t>
      </w:r>
      <w:r>
        <w:t>личество женщин на старших руководящих должностях за период между пр</w:t>
      </w:r>
      <w:r>
        <w:t>о</w:t>
      </w:r>
      <w:r>
        <w:t>ведением выборов в 1994 и 2002 годах выросло соответственно с 5 процентов до 13 процентов. Отмечается также некоторое увеличение числа женщин в традиционных органах правления, которое выросло с 2 процентов в 1995 году до 6,2 процента в 2003 году. Такой прогресс можно расценивать как ухудшение положения, поскольку после 1999 года было создано больше новых мужских традиционных органов правления, чем женских. Доля женщин-судей низших судебных инстанций в настоящее время составляет 9,8 процента, то есть в</w:t>
      </w:r>
      <w:r>
        <w:t>ы</w:t>
      </w:r>
      <w:r>
        <w:t>росла с 2 процентов в 1995 году, а доля судей высших судебных органов — 9,1 процента, то есть она увеличилась с 4 процентов в 1995 году, в то время как на время представления первого доклада она с</w:t>
      </w:r>
      <w:r>
        <w:t>о</w:t>
      </w:r>
      <w:r>
        <w:t>ставляла 0</w:t>
      </w:r>
      <w:r>
        <w:rPr>
          <w:lang w:val="en-US"/>
        </w:rPr>
        <w:t> </w:t>
      </w:r>
      <w:r>
        <w:t xml:space="preserve">процентов. </w:t>
      </w:r>
    </w:p>
    <w:p w:rsidR="00000000" w:rsidRDefault="00000000">
      <w:pPr>
        <w:pStyle w:val="SingleTxt"/>
      </w:pPr>
      <w:r>
        <w:t>4.3.4.</w:t>
      </w:r>
      <w:r>
        <w:tab/>
        <w:t>До этого в малавийскую армию не призывались женщины. В мал</w:t>
      </w:r>
      <w:r>
        <w:t>а</w:t>
      </w:r>
      <w:r>
        <w:t>вийской армии гендерные вопросы были урегулированы в период между 1997 и 2000 годами, что привело к изменению политики набора военнослужащих. Первые женщины-офицеры были выпущены из военных училищ в 2000 году, а к концу 2003 года на должность были назначены 11 женщин-выпускников в</w:t>
      </w:r>
      <w:r>
        <w:t>о</w:t>
      </w:r>
      <w:r>
        <w:t>енных училищ. В полиции число работающих женщин выросло с 272 в 1995 году до 1269 в 2003 году.</w:t>
      </w:r>
    </w:p>
    <w:p w:rsidR="00000000" w:rsidRDefault="00000000">
      <w:pPr>
        <w:pStyle w:val="SingleTxt"/>
      </w:pPr>
      <w:r>
        <w:t>4.3.5.</w:t>
      </w:r>
      <w:r>
        <w:tab/>
        <w:t xml:space="preserve">Кроме того, отмечается неравномерное распределение мужчин и женщин на рынке труда в формальном и неформальном секторе занятости. В формальном секторе наемного труда доля женщин составляет 29 процентов, а в секторе натурального фермерского хозяйства – 96 процентов. </w:t>
      </w:r>
    </w:p>
    <w:p w:rsidR="00000000" w:rsidRDefault="00000000">
      <w:pPr>
        <w:pStyle w:val="H23"/>
      </w:pPr>
      <w:r>
        <w:t>4.4.</w:t>
      </w:r>
      <w:r>
        <w:tab/>
        <w:t>Позитивные действия и неравенство</w:t>
      </w:r>
    </w:p>
    <w:p w:rsidR="00000000" w:rsidRDefault="00000000">
      <w:pPr>
        <w:pStyle w:val="SingleTxt"/>
      </w:pPr>
      <w:r>
        <w:t>4.4.1.</w:t>
      </w:r>
      <w:r>
        <w:tab/>
        <w:t>Той областью, в которой государство приняло программу позити</w:t>
      </w:r>
      <w:r>
        <w:t>в</w:t>
      </w:r>
      <w:r>
        <w:t>ных мер, является финансируемый Агентством Соединенных Штатов по ме</w:t>
      </w:r>
      <w:r>
        <w:t>ж</w:t>
      </w:r>
      <w:r>
        <w:t>дународному развитию (ЮСАИД) проект по образованию девочек. Этим пр</w:t>
      </w:r>
      <w:r>
        <w:t>о</w:t>
      </w:r>
      <w:r>
        <w:t>ектом предусматривается оплата обучения девочек, поступивших в начальные школы. После того, как начальное образование стало бесплатным, оплачиват</w:t>
      </w:r>
      <w:r>
        <w:t>ь</w:t>
      </w:r>
      <w:r>
        <w:t>ся стала учеба в средних школьных заведениях. Одновременно с этим пров</w:t>
      </w:r>
      <w:r>
        <w:t>о</w:t>
      </w:r>
      <w:r>
        <w:t>дилась общественная пропагандистская кампания по вопросам образования девочек. Это способствовало тому, что девочки стали реже бросать учебу и с</w:t>
      </w:r>
      <w:r>
        <w:t>о</w:t>
      </w:r>
      <w:r>
        <w:t>ответствующие показатели здесь выросли с 5 процентов до 12 процентов и с 4 процентов до 11 процентов в средних и начальных школах, соответственно. Хотя такие позитивные меры в плане оплаты учебы были отменены, их вклад в обеспечение посещаемости девочками школ неизмерим. Однако, следует отм</w:t>
      </w:r>
      <w:r>
        <w:t>е</w:t>
      </w:r>
      <w:r>
        <w:t>тить, что после введения платного среднего образования 4 000 мальчиков бр</w:t>
      </w:r>
      <w:r>
        <w:t>о</w:t>
      </w:r>
      <w:r>
        <w:t>сили школу. Другим аспектом здесь является то, что 80 процентов учителей не имеют достаточной подготовки в том, что касается гендерных вопросов, и они отдают предпочтение мальчикам при распределении учебников и продовольс</w:t>
      </w:r>
      <w:r>
        <w:t>т</w:t>
      </w:r>
      <w:r>
        <w:t>вия, поскольку они оплачивают свою учебу, а девочки остаются на втором пл</w:t>
      </w:r>
      <w:r>
        <w:t>а</w:t>
      </w:r>
      <w:r>
        <w:t>не. Для изменения такого отношения учителей в учебную программу начал</w:t>
      </w:r>
      <w:r>
        <w:t>ь</w:t>
      </w:r>
      <w:r>
        <w:t>ных школ были внесены соответствующие коррективы, а сами учителя в пер</w:t>
      </w:r>
      <w:r>
        <w:t>и</w:t>
      </w:r>
      <w:r>
        <w:t>од с 1994 по 2000 годы прошли подготовку по гендерным вопросам. В классах был проведен учет учащихся девочек и мальчиков, а в средних школах и вы</w:t>
      </w:r>
      <w:r>
        <w:t>с</w:t>
      </w:r>
      <w:r>
        <w:t>ших учебных заведениях соотношение между поступающими девушками и юношами стало выравниваться с 1:3 до 1:2 и в настоящее время приближается к 1:1. В школы стали приниматься и те девочки, которые бросили ее из-за б</w:t>
      </w:r>
      <w:r>
        <w:t>е</w:t>
      </w:r>
      <w:r>
        <w:t>ременности.</w:t>
      </w:r>
    </w:p>
    <w:p w:rsidR="00000000" w:rsidRDefault="00000000">
      <w:pPr>
        <w:pStyle w:val="SingleTxt"/>
      </w:pPr>
      <w:r>
        <w:t>4.4.2.</w:t>
      </w:r>
      <w:r>
        <w:tab/>
        <w:t>Другим комплексом принятия позитивных мер по смыслу КЛДЖ стала разработка проектов по обеспечению безопасного материнства. Прав</w:t>
      </w:r>
      <w:r>
        <w:t>и</w:t>
      </w:r>
      <w:r>
        <w:t>тельство в сотрудничестве с Организацией Объединенных Наций и другими международными агентствами, занимающимися вопросами развития, прист</w:t>
      </w:r>
      <w:r>
        <w:t>у</w:t>
      </w:r>
      <w:r>
        <w:t>пило к реализации проекта по обеспечению условий для безопасного матери</w:t>
      </w:r>
      <w:r>
        <w:t>н</w:t>
      </w:r>
      <w:r>
        <w:t>ства. После 1998 года в 14 больницах были открыты педиатрические отдел</w:t>
      </w:r>
      <w:r>
        <w:t>е</w:t>
      </w:r>
      <w:r>
        <w:t>ния, а оказанию услуг по уходу за беременными женщинами стало уделяться повышенное вн</w:t>
      </w:r>
      <w:r>
        <w:t>и</w:t>
      </w:r>
      <w:r>
        <w:t xml:space="preserve">мание. </w:t>
      </w:r>
    </w:p>
    <w:p w:rsidR="00000000" w:rsidRDefault="00000000">
      <w:pPr>
        <w:pStyle w:val="SingleTxt"/>
      </w:pPr>
      <w:r>
        <w:t>4.4.3.</w:t>
      </w:r>
      <w:r>
        <w:tab/>
        <w:t>Третий комплекс позитивных мер принимается Малавийским ун</w:t>
      </w:r>
      <w:r>
        <w:t>и</w:t>
      </w:r>
      <w:r>
        <w:t>верситетом, который специально 30 процентов мест отводит для женщин. Для этого Малавийский университет устанавливает для женщин более низкие тр</w:t>
      </w:r>
      <w:r>
        <w:t>е</w:t>
      </w:r>
      <w:r>
        <w:t>бования для поступления. Однако этих 30 процентов вполне достаточно, п</w:t>
      </w:r>
      <w:r>
        <w:t>о</w:t>
      </w:r>
      <w:r>
        <w:t>скольку очень много девушек поступает в Университетский медицинский ко</w:t>
      </w:r>
      <w:r>
        <w:t>л</w:t>
      </w:r>
      <w:r>
        <w:t>ледж, где их доля составляет более 80 процентов. Кроме того, программами лесного хозяйства предусматривается, что женщины должны составлять 50 процентов членов общи</w:t>
      </w:r>
      <w:r>
        <w:t>н</w:t>
      </w:r>
      <w:r>
        <w:t>ных комитетов.</w:t>
      </w:r>
    </w:p>
    <w:p w:rsidR="00000000" w:rsidRDefault="00000000">
      <w:pPr>
        <w:pStyle w:val="SingleTxt"/>
      </w:pPr>
      <w:r>
        <w:t>4.4.4.</w:t>
      </w:r>
      <w:r>
        <w:tab/>
        <w:t>В экономической области министерством по делам женщин были разработаны общенациональные программы по расширению экономических возможностей, которые, согласно результатам оценки уровня бедности в этой стране, охватывают 70 процентов женщин и 30 процентов мужчин. Соответс</w:t>
      </w:r>
      <w:r>
        <w:t>т</w:t>
      </w:r>
      <w:r>
        <w:t>венно, за период с 1995 по 2003 годы в общей сложности 37 160 женщин и 15 925 мужчин прошли подготовку по вопросам управления коммерческой де</w:t>
      </w:r>
      <w:r>
        <w:t>я</w:t>
      </w:r>
      <w:r>
        <w:t>тельностью, системой кредитования и технологией, а 19 453 женщин и 8 337 мужчин получили доступ к кредитам. Принятие таких мер не огранич</w:t>
      </w:r>
      <w:r>
        <w:t>и</w:t>
      </w:r>
      <w:r>
        <w:t>вается лишь признанием того, что нищета в Малави является общенационал</w:t>
      </w:r>
      <w:r>
        <w:t>ь</w:t>
      </w:r>
      <w:r>
        <w:t>ным бедствием.</w:t>
      </w:r>
    </w:p>
    <w:p w:rsidR="00000000" w:rsidRDefault="00000000">
      <w:pPr>
        <w:pStyle w:val="SingleTxt"/>
      </w:pPr>
      <w:r>
        <w:t>4.4.5.</w:t>
      </w:r>
      <w:r>
        <w:tab/>
        <w:t>В плане борьбы с бедностью и в программе «Видение до 2020 года» отмечается существование огромного разрыва в уровне доходов женщин и мужчин. Несмотря на подписание Декларации Сообщества по вопросам разв</w:t>
      </w:r>
      <w:r>
        <w:t>и</w:t>
      </w:r>
      <w:r>
        <w:t>тия юга Африки по проблемам положения женщин и развития, которая пред</w:t>
      </w:r>
      <w:r>
        <w:t>у</w:t>
      </w:r>
      <w:r>
        <w:t>сматривает, что женщины должны занимать 30 процентов руководящих дол</w:t>
      </w:r>
      <w:r>
        <w:t>ж</w:t>
      </w:r>
      <w:r>
        <w:t>ностей, правительством не было установлено каких-либо квот для ускорения достижения этой цели. В 2000 году правительство разработало политический план в области инвестиций. Этот план предусматривает расширение не менее чем на 50 процентов участия женской части населения в начальных, средних и высших учебных заведениях на всех уровнях общеобразовательной системы. Принятие национального плана в области здравоохранения на 1999-2004 годы способствовало выравниванию положения с оказанием медицинских услуг с учетом интересов уязвимых групп населения, в частности женщин и малообе</w:t>
      </w:r>
      <w:r>
        <w:t>с</w:t>
      </w:r>
      <w:r>
        <w:t>печенной молодежи. Этим планом было предусмотрено расширение и улучш</w:t>
      </w:r>
      <w:r>
        <w:t>е</w:t>
      </w:r>
      <w:r>
        <w:t>ние услуг по охране репродуктивного здоровья. В Малавийском документе по стратегии сокращения масштабов нищеты улучшение доступа к микрофина</w:t>
      </w:r>
      <w:r>
        <w:t>н</w:t>
      </w:r>
      <w:r>
        <w:t>сированию определяется как одно из важнейших средств обеспечения справе</w:t>
      </w:r>
      <w:r>
        <w:t>д</w:t>
      </w:r>
      <w:r>
        <w:t>ливого распределения д</w:t>
      </w:r>
      <w:r>
        <w:t>о</w:t>
      </w:r>
      <w:r>
        <w:t xml:space="preserve">ходов. </w:t>
      </w:r>
    </w:p>
    <w:p w:rsidR="00000000" w:rsidRDefault="00000000">
      <w:pPr>
        <w:pStyle w:val="SingleTxt"/>
      </w:pPr>
      <w:r>
        <w:t>4.4.6.</w:t>
      </w:r>
      <w:r>
        <w:tab/>
        <w:t>Малавийским фондом социальной поддержки было установлено требование, касающееся обеспечения для женщин 30–50 процентов мест в к</w:t>
      </w:r>
      <w:r>
        <w:t>о</w:t>
      </w:r>
      <w:r>
        <w:t>митетах по реализации различных проектов на общинном уровне, что спосо</w:t>
      </w:r>
      <w:r>
        <w:t>б</w:t>
      </w:r>
      <w:r>
        <w:t>ствует активизации участия женщин в процессе принятия решений, касающи</w:t>
      </w:r>
      <w:r>
        <w:t>х</w:t>
      </w:r>
      <w:r>
        <w:t>ся о</w:t>
      </w:r>
      <w:r>
        <w:t>б</w:t>
      </w:r>
      <w:r>
        <w:t xml:space="preserve">щинной деятельности. </w:t>
      </w:r>
    </w:p>
    <w:p w:rsidR="00000000" w:rsidRDefault="00000000">
      <w:pPr>
        <w:pStyle w:val="SingleTxt"/>
      </w:pPr>
      <w:r>
        <w:t>4.4.7.</w:t>
      </w:r>
      <w:r>
        <w:tab/>
        <w:t>Различными организациями было разработано несколько программ микрофинансирования для наиболее бедных слоев населения, не могущих обеспечить гарантии под взятые кредиты, например, женщин. Однако, эти у</w:t>
      </w:r>
      <w:r>
        <w:t>с</w:t>
      </w:r>
      <w:r>
        <w:t>луги были ограничены по своему охвату, что объяснялось нехваткой ресурсов для займов и тем, что некоторые мужчины не могут понять, почему такие усл</w:t>
      </w:r>
      <w:r>
        <w:t>у</w:t>
      </w:r>
      <w:r>
        <w:t>ги оказыв</w:t>
      </w:r>
      <w:r>
        <w:t>а</w:t>
      </w:r>
      <w:r>
        <w:t xml:space="preserve">ются женщинам. </w:t>
      </w:r>
    </w:p>
    <w:p w:rsidR="00000000" w:rsidRDefault="00000000">
      <w:pPr>
        <w:pStyle w:val="SingleTxt"/>
      </w:pPr>
      <w:r>
        <w:t>4.4.8.</w:t>
      </w:r>
      <w:r>
        <w:tab/>
        <w:t>В ходе сбора информации было отмечено, что, как заявляли некот</w:t>
      </w:r>
      <w:r>
        <w:t>о</w:t>
      </w:r>
      <w:r>
        <w:t>рые мужчины, они не понимают, почему в рамках некоторых программ пре</w:t>
      </w:r>
      <w:r>
        <w:t>д</w:t>
      </w:r>
      <w:r>
        <w:t>почтение отдается женщинам. Проведенные с представителями общин встречи далее подтвердили, что женщины по-прежнему подвергаются угнетению в ра</w:t>
      </w:r>
      <w:r>
        <w:t>з</w:t>
      </w:r>
      <w:r>
        <w:t>личных областях жизни. В некоторых районах, где как правило принята пол</w:t>
      </w:r>
      <w:r>
        <w:t>и</w:t>
      </w:r>
      <w:r>
        <w:t>гамная система брака, то есть в общинах нгони и чева, женщины и дети ра</w:t>
      </w:r>
      <w:r>
        <w:t>с</w:t>
      </w:r>
      <w:r>
        <w:t>сматриваются как источник дешевой рабочей силы и как прислуга, занима</w:t>
      </w:r>
      <w:r>
        <w:t>ю</w:t>
      </w:r>
      <w:r>
        <w:t>щаяся во</w:t>
      </w:r>
      <w:r>
        <w:t>с</w:t>
      </w:r>
      <w:r>
        <w:t xml:space="preserve">питанием детей. </w:t>
      </w:r>
    </w:p>
    <w:p w:rsidR="00000000" w:rsidRDefault="00000000">
      <w:pPr>
        <w:pStyle w:val="SingleTxt"/>
      </w:pPr>
      <w:r>
        <w:t>4.4.9.</w:t>
      </w:r>
      <w:r>
        <w:tab/>
        <w:t>Поставленные перед министерством по делам женщин и обществе</w:t>
      </w:r>
      <w:r>
        <w:t>н</w:t>
      </w:r>
      <w:r>
        <w:t>ных служб задачи предусматривают, что оно должно следить за результатами осуществления позитивных мер. К сожалению, министерство сталкивается с многочисленными организационными проблемами, включая низкий уровень финансирования и сокращение численности персонала (из-за эпидемии ВИЧ/СПИДа), что наряду с другими факторами не позволяет ему эффективно контролировать ход осуществления таких мер.</w:t>
      </w:r>
    </w:p>
    <w:p w:rsidR="00000000" w:rsidRDefault="00000000">
      <w:pPr>
        <w:pStyle w:val="H23"/>
      </w:pPr>
      <w:r>
        <w:t>Вывод</w:t>
      </w:r>
    </w:p>
    <w:p w:rsidR="00000000" w:rsidRDefault="00000000">
      <w:pPr>
        <w:pStyle w:val="SingleTxt"/>
      </w:pPr>
      <w:r>
        <w:t>4.4.10.</w:t>
      </w:r>
      <w:r>
        <w:tab/>
        <w:t>Для выравнивания сложившегося здесь положения и ускорения обеспечения равенства женщин и мужчин необходимы такие позитивные меры, которые уже были приняты в рамках проекта ГАБЛЕ, равно как и Малавийским университетом, а также, в частности, в области микрокредитования. В остал</w:t>
      </w:r>
      <w:r>
        <w:t>ь</w:t>
      </w:r>
      <w:r>
        <w:t>ных же случаях многие принятые директивные и законодательные меры, н</w:t>
      </w:r>
      <w:r>
        <w:t>а</w:t>
      </w:r>
      <w:r>
        <w:t>правленные на обеспечение равенства полов, не предусматривают принятия конкретных временных мер, могущих ускорить этот процесс. Положение ухудшается тем, что в малавийских общинах широко распространены патриа</w:t>
      </w:r>
      <w:r>
        <w:t>р</w:t>
      </w:r>
      <w:r>
        <w:t>хальные обычаи и взгляды и не хватает проектов в области развития, которые предусматривали бы привлечение сельских общин к разработке и осуществл</w:t>
      </w:r>
      <w:r>
        <w:t>е</w:t>
      </w:r>
      <w:r>
        <w:t>нию проектов и контролю за результатами их реализации.</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bookmarkStart w:id="47" w:name="_Toc33784412"/>
      <w:bookmarkStart w:id="48" w:name="_Toc377350751"/>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49" w:name="_Toc83977538"/>
      <w:r>
        <w:t>Статья 5:</w:t>
      </w:r>
      <w:bookmarkEnd w:id="47"/>
      <w:bookmarkEnd w:id="48"/>
      <w:r>
        <w:tab/>
        <w:t>Роль мужчин и женщин и стереотипы</w:t>
      </w:r>
      <w:bookmarkEnd w:id="49"/>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5.1.</w:t>
      </w:r>
      <w:r>
        <w:tab/>
        <w:t>Стандарты</w:t>
      </w:r>
      <w:r>
        <w:rPr>
          <w:lang w:val="en-US"/>
        </w:rPr>
        <w:t xml:space="preserve"> </w:t>
      </w:r>
      <w:r>
        <w:t>КЛДЖ</w:t>
      </w:r>
    </w:p>
    <w:p w:rsidR="00000000" w:rsidRDefault="00000000">
      <w:pPr>
        <w:pStyle w:val="SingleTxt"/>
        <w:rPr>
          <w:rFonts w:eastAsia="MS Mincho"/>
          <w:i/>
        </w:rPr>
      </w:pPr>
      <w:r>
        <w:rPr>
          <w:rFonts w:eastAsia="MS Mincho"/>
          <w:i/>
        </w:rPr>
        <w:t>Статья 5: Государства-участники принимают все соответствующие меры с ц</w:t>
      </w:r>
      <w:r>
        <w:rPr>
          <w:rFonts w:eastAsia="MS Mincho"/>
          <w:i/>
        </w:rPr>
        <w:t>е</w:t>
      </w:r>
      <w:r>
        <w:rPr>
          <w:rFonts w:eastAsia="MS Mincho"/>
          <w:i/>
        </w:rPr>
        <w:t>лью:</w:t>
      </w:r>
    </w:p>
    <w:p w:rsidR="00000000" w:rsidRDefault="00000000">
      <w:pPr>
        <w:pStyle w:val="SingleTxt"/>
        <w:rPr>
          <w:rFonts w:eastAsia="MS Mincho"/>
          <w:i/>
        </w:rPr>
      </w:pPr>
      <w:r>
        <w:rPr>
          <w:rFonts w:eastAsia="MS Mincho"/>
          <w:i/>
        </w:rPr>
        <w:t>a)</w:t>
      </w:r>
      <w:r>
        <w:rPr>
          <w:rFonts w:eastAsia="MS Mincho"/>
          <w:i/>
        </w:rPr>
        <w:tab/>
        <w:t>изменить социальную и культурную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w:t>
      </w:r>
      <w:r>
        <w:rPr>
          <w:rFonts w:eastAsia="MS Mincho"/>
          <w:i/>
        </w:rPr>
        <w:t>д</w:t>
      </w:r>
      <w:r>
        <w:rPr>
          <w:rFonts w:eastAsia="MS Mincho"/>
          <w:i/>
        </w:rPr>
        <w:t>ства одного из полов или ст</w:t>
      </w:r>
      <w:r>
        <w:rPr>
          <w:rFonts w:eastAsia="MS Mincho"/>
          <w:i/>
        </w:rPr>
        <w:t>е</w:t>
      </w:r>
      <w:r>
        <w:rPr>
          <w:rFonts w:eastAsia="MS Mincho"/>
          <w:i/>
        </w:rPr>
        <w:t xml:space="preserve">реотипности роли мужчин и женщин; </w:t>
      </w:r>
    </w:p>
    <w:p w:rsidR="00000000" w:rsidRDefault="00000000">
      <w:pPr>
        <w:pStyle w:val="SingleTxt"/>
        <w:rPr>
          <w:rFonts w:eastAsia="MS Mincho"/>
          <w:i/>
        </w:rPr>
      </w:pPr>
      <w:r>
        <w:rPr>
          <w:rFonts w:eastAsia="MS Mincho"/>
          <w:i/>
        </w:rPr>
        <w:t>b)</w:t>
      </w:r>
      <w:r>
        <w:rPr>
          <w:rFonts w:eastAsia="MS Mincho"/>
          <w:i/>
        </w:rPr>
        <w:tab/>
        <w:t>обеспечить, чтобы семейное воспитание включало в себя правильное п</w:t>
      </w:r>
      <w:r>
        <w:rPr>
          <w:rFonts w:eastAsia="MS Mincho"/>
          <w:i/>
        </w:rPr>
        <w:t>о</w:t>
      </w:r>
      <w:r>
        <w:rPr>
          <w:rFonts w:eastAsia="MS Mincho"/>
          <w:i/>
        </w:rPr>
        <w:t>нимание материнства как социальной функции и признание общей ответс</w:t>
      </w:r>
      <w:r>
        <w:rPr>
          <w:rFonts w:eastAsia="MS Mincho"/>
          <w:i/>
        </w:rPr>
        <w:t>т</w:t>
      </w:r>
      <w:r>
        <w:rPr>
          <w:rFonts w:eastAsia="MS Mincho"/>
          <w:i/>
        </w:rPr>
        <w:t>венности мужчин и женщин за воспитание и развитие своих детей при усл</w:t>
      </w:r>
      <w:r>
        <w:rPr>
          <w:rFonts w:eastAsia="MS Mincho"/>
          <w:i/>
        </w:rPr>
        <w:t>о</w:t>
      </w:r>
      <w:r>
        <w:rPr>
          <w:rFonts w:eastAsia="MS Mincho"/>
          <w:i/>
        </w:rPr>
        <w:t>вии, что во всех случаях интересы детей являются преобладающими.</w:t>
      </w:r>
    </w:p>
    <w:p w:rsidR="00000000" w:rsidRDefault="00000000">
      <w:pPr>
        <w:pStyle w:val="H23"/>
      </w:pPr>
      <w:r>
        <w:t>5.2.</w:t>
      </w:r>
      <w:r>
        <w:tab/>
        <w:t>Введение</w:t>
      </w:r>
    </w:p>
    <w:p w:rsidR="00000000" w:rsidRDefault="00000000">
      <w:pPr>
        <w:pStyle w:val="SingleTxt"/>
      </w:pPr>
      <w:r>
        <w:t>5.2.1.</w:t>
      </w:r>
      <w:r>
        <w:tab/>
        <w:t xml:space="preserve">Отношения между </w:t>
      </w:r>
      <w:r>
        <w:rPr>
          <w:rFonts w:eastAsia="MS Mincho"/>
        </w:rPr>
        <w:t xml:space="preserve">мужчинами и женщинами и их роль в Малави в целом определяются существующими культурными обычаями и убеждениями. Многие виды практики, основанные на идее превосходства мужчин, насилии в отношении женщин, </w:t>
      </w:r>
      <w:r>
        <w:t xml:space="preserve">предопределенности ролей </w:t>
      </w:r>
      <w:r>
        <w:rPr>
          <w:rFonts w:eastAsia="MS Mincho"/>
        </w:rPr>
        <w:t>мужчин и женщин и взаим</w:t>
      </w:r>
      <w:r>
        <w:rPr>
          <w:rFonts w:eastAsia="MS Mincho"/>
        </w:rPr>
        <w:t>о</w:t>
      </w:r>
      <w:r>
        <w:rPr>
          <w:rFonts w:eastAsia="MS Mincho"/>
        </w:rPr>
        <w:t>отношений между мужчинами и женщинами, продолжают применяться на пр</w:t>
      </w:r>
      <w:r>
        <w:rPr>
          <w:rFonts w:eastAsia="MS Mincho"/>
        </w:rPr>
        <w:t>о</w:t>
      </w:r>
      <w:r>
        <w:rPr>
          <w:rFonts w:eastAsia="MS Mincho"/>
        </w:rPr>
        <w:t>тяжении всей жизни женщины вплоть до ее смерти. Принятые процессы пр</w:t>
      </w:r>
      <w:r>
        <w:rPr>
          <w:rFonts w:eastAsia="MS Mincho"/>
        </w:rPr>
        <w:t>е</w:t>
      </w:r>
      <w:r>
        <w:rPr>
          <w:rFonts w:eastAsia="MS Mincho"/>
        </w:rPr>
        <w:t>дусматривают социализацию и соблюдение обычаев и других традиций, пер</w:t>
      </w:r>
      <w:r>
        <w:rPr>
          <w:rFonts w:eastAsia="MS Mincho"/>
        </w:rPr>
        <w:t>е</w:t>
      </w:r>
      <w:r>
        <w:rPr>
          <w:rFonts w:eastAsia="MS Mincho"/>
        </w:rPr>
        <w:t>даваемых от одного поколения другому</w:t>
      </w:r>
      <w:r>
        <w:t>.</w:t>
      </w:r>
    </w:p>
    <w:p w:rsidR="00000000" w:rsidRDefault="00000000">
      <w:pPr>
        <w:pStyle w:val="SingleTxt"/>
      </w:pPr>
      <w:r>
        <w:t>5.2.2.</w:t>
      </w:r>
      <w:r>
        <w:tab/>
        <w:t>В Конституции Малави предусматривается цель обеспечения раве</w:t>
      </w:r>
      <w:r>
        <w:t>н</w:t>
      </w:r>
      <w:r>
        <w:t xml:space="preserve">ства </w:t>
      </w:r>
      <w:r>
        <w:rPr>
          <w:rFonts w:eastAsia="MS Mincho"/>
        </w:rPr>
        <w:t>мужчин и женщин, однако в ней ничего не говорится о важности решения такого вопроса, как существование традиционного представления о роли му</w:t>
      </w:r>
      <w:r>
        <w:rPr>
          <w:rFonts w:eastAsia="MS Mincho"/>
        </w:rPr>
        <w:t>ж</w:t>
      </w:r>
      <w:r>
        <w:rPr>
          <w:rFonts w:eastAsia="MS Mincho"/>
        </w:rPr>
        <w:t>чин и женщин и их взаимоотношениях и соответствующих стереотипов. Из з</w:t>
      </w:r>
      <w:r>
        <w:rPr>
          <w:rFonts w:eastAsia="MS Mincho"/>
        </w:rPr>
        <w:t>а</w:t>
      </w:r>
      <w:r>
        <w:rPr>
          <w:rFonts w:eastAsia="MS Mincho"/>
        </w:rPr>
        <w:t>мечаний, сделанных Национальной рабочей группой по КЛДЖ</w:t>
      </w:r>
      <w:r>
        <w:t xml:space="preserve"> во время встр</w:t>
      </w:r>
      <w:r>
        <w:t>е</w:t>
      </w:r>
      <w:r>
        <w:t>чи с представителями общественности, следует, что в малавийском обществе все еще сильны стереотипные представления о женщинах. Однако в Малави ввиду высокого уровня бедности, нехватки основных предметов потребления и проводимой работы в поддержку обеспечения равенства полов в настоящее время происходят соответствующие социальные преобразования, благодаря к</w:t>
      </w:r>
      <w:r>
        <w:t>о</w:t>
      </w:r>
      <w:r>
        <w:t>торым стало меняться отношение к женщинам и их роли в обществе на фоне все еще серьезного сопр</w:t>
      </w:r>
      <w:r>
        <w:t>о</w:t>
      </w:r>
      <w:r>
        <w:t>тивления со стороны патриархальной системы.</w:t>
      </w:r>
    </w:p>
    <w:p w:rsidR="00000000" w:rsidRDefault="00000000">
      <w:pPr>
        <w:pStyle w:val="H23"/>
      </w:pPr>
      <w:r>
        <w:t>5.3.</w:t>
      </w:r>
      <w:r>
        <w:tab/>
        <w:t xml:space="preserve">Определение роли </w:t>
      </w:r>
      <w:r>
        <w:rPr>
          <w:rFonts w:eastAsia="MS Mincho"/>
        </w:rPr>
        <w:t>мужчин и женщин и стереотипы в Малави</w:t>
      </w:r>
    </w:p>
    <w:p w:rsidR="00000000" w:rsidRDefault="00000000">
      <w:pPr>
        <w:pStyle w:val="SingleTxt"/>
      </w:pPr>
      <w:r>
        <w:t>5.3.1.</w:t>
      </w:r>
      <w:r>
        <w:tab/>
        <w:t xml:space="preserve">Предопределенность в отношении роли </w:t>
      </w:r>
      <w:r>
        <w:rPr>
          <w:rFonts w:eastAsia="MS Mincho"/>
        </w:rPr>
        <w:t>мужчин и женщин и взаим</w:t>
      </w:r>
      <w:r>
        <w:rPr>
          <w:rFonts w:eastAsia="MS Mincho"/>
        </w:rPr>
        <w:t>о</w:t>
      </w:r>
      <w:r>
        <w:rPr>
          <w:rFonts w:eastAsia="MS Mincho"/>
        </w:rPr>
        <w:t>отношений между ними, а также стереотипное отношение к ним начинает пр</w:t>
      </w:r>
      <w:r>
        <w:rPr>
          <w:rFonts w:eastAsia="MS Mincho"/>
        </w:rPr>
        <w:t>о</w:t>
      </w:r>
      <w:r>
        <w:rPr>
          <w:rFonts w:eastAsia="MS Mincho"/>
        </w:rPr>
        <w:t>являться еще в момент рождения. П</w:t>
      </w:r>
      <w:r>
        <w:t>ри рождении ребенка в Малави ему, в зав</w:t>
      </w:r>
      <w:r>
        <w:t>и</w:t>
      </w:r>
      <w:r>
        <w:t>симости от пола, дается соответствующее имя. Хотя какого-либо предпочтения мальчикам не отдается, многие родители хотят, чтобы первым ребенком в их семье был мальчик. Мальчик рассматривается в физическом, социальном и экономическом отношении как более перспективный, чем девочка, как защи</w:t>
      </w:r>
      <w:r>
        <w:t>т</w:t>
      </w:r>
      <w:r>
        <w:t xml:space="preserve">ник, кормилец и глава своей семьи, который будет пользоваться уважением со стороны других челнов семьи. </w:t>
      </w:r>
    </w:p>
    <w:p w:rsidR="00000000" w:rsidRDefault="00000000">
      <w:pPr>
        <w:pStyle w:val="SingleTxt"/>
      </w:pPr>
      <w:r>
        <w:t>5.3.2.</w:t>
      </w:r>
      <w:r>
        <w:tab/>
        <w:t>Воспитание мальчиков и девочек зависит от их пола и родителей. Как показывают итоги встреч Национального рабочего комитета по КЛДЖ с представителями общин, за маленькими детьми, как правило, ухаживают мат</w:t>
      </w:r>
      <w:r>
        <w:t>е</w:t>
      </w:r>
      <w:r>
        <w:t>ри, которые считаются их кормилицами. После того, как ребенок начинает х</w:t>
      </w:r>
      <w:r>
        <w:t>о</w:t>
      </w:r>
      <w:r>
        <w:t>дить, за его подготовкой к взрослой жизни начинают следить оба родителя. К моменту наступления совершеннолетия за воспитание девочек отвечают мат</w:t>
      </w:r>
      <w:r>
        <w:t>е</w:t>
      </w:r>
      <w:r>
        <w:t>ри и другие женщины, а обучением мальчиков занимаются их отцы и другие мужчины. Многие малавийцы в сельских районах считают, что в этот период мальчики и девочки должны как можно реже встречаться друг с другом.</w:t>
      </w:r>
    </w:p>
    <w:p w:rsidR="00000000" w:rsidRDefault="00000000">
      <w:pPr>
        <w:pStyle w:val="SingleTxt"/>
      </w:pPr>
      <w:r>
        <w:t>5.3.3.</w:t>
      </w:r>
      <w:r>
        <w:tab/>
        <w:t>Роль мальчиков и девочек в семье также определяется их полом. Считается, что девочки должны вместе с матерями кормить отца и своих братьев и меньше времени тратить на игры или учебу. Девочки в малавийских семьях готовят еду, приносят воду, убирают дом или толкут маис для изгото</w:t>
      </w:r>
      <w:r>
        <w:t>в</w:t>
      </w:r>
      <w:r>
        <w:t>ления муки, а также выполняют и другие домашние обязанности. Мальчики же должны учиться у своих отцов тому, как выполнять некоторые виды работы и защищать своих сестер от нежелательного знакомства с другими мальчиками и мужчинами и от насилия. В целом, девочки работают как подмастерье, сопр</w:t>
      </w:r>
      <w:r>
        <w:t>о</w:t>
      </w:r>
      <w:r>
        <w:t>вождая своего отца в его работе, а также следят за престарелыми мужчинами и ухаживают за ними. Поскольку обязанности отца уже, чем у матери, у мальч</w:t>
      </w:r>
      <w:r>
        <w:t>и</w:t>
      </w:r>
      <w:r>
        <w:t>ков остается больше времени для игр и занятий. Однако в тех семьях, где нет девочек, мальчики выполняют ту работу, которая считается женской, не опас</w:t>
      </w:r>
      <w:r>
        <w:t>а</w:t>
      </w:r>
      <w:r>
        <w:t>ясь подвергнуться осмеянию. В сельских общинах девочек учат разговаривать со старшими мужчинами, стоя на коленях, в то время как мальчики при этом должны сидеть на корточках.</w:t>
      </w:r>
    </w:p>
    <w:p w:rsidR="00000000" w:rsidRDefault="00000000">
      <w:pPr>
        <w:pStyle w:val="SingleTxt"/>
      </w:pPr>
      <w:r>
        <w:t>5.3.4.</w:t>
      </w:r>
      <w:r>
        <w:tab/>
        <w:t>Социализация в семье дополняется участием общины в воспитании мальчиков или девочек. Это делается в рамках так называемой церемонии «п</w:t>
      </w:r>
      <w:r>
        <w:t>е</w:t>
      </w:r>
      <w:r>
        <w:t>рехода», обычаев, советов, касающихся подготовки мальчиков к тому, чтобы стать мужчинами, а девочек – женщинами. Такая практика обычно носит скр</w:t>
      </w:r>
      <w:r>
        <w:t>ы</w:t>
      </w:r>
      <w:r>
        <w:t xml:space="preserve">тый характер и связана с использованием паролей и тайного языка. Примером такой практики может служить </w:t>
      </w:r>
      <w:r>
        <w:rPr>
          <w:i/>
        </w:rPr>
        <w:t>«кумета»,</w:t>
      </w:r>
      <w:r>
        <w:t xml:space="preserve"> и этот обычай соблюдается в тайных обществах </w:t>
      </w:r>
      <w:r>
        <w:rPr>
          <w:i/>
        </w:rPr>
        <w:t>ньяу</w:t>
      </w:r>
      <w:r>
        <w:t xml:space="preserve"> среди племен </w:t>
      </w:r>
      <w:r>
        <w:rPr>
          <w:i/>
        </w:rPr>
        <w:t>чева</w:t>
      </w:r>
      <w:r>
        <w:t xml:space="preserve"> и </w:t>
      </w:r>
      <w:r>
        <w:rPr>
          <w:i/>
        </w:rPr>
        <w:t>яндо.</w:t>
      </w:r>
      <w:r>
        <w:t xml:space="preserve"> Этот ритуал связан с обрезанием у мальчиков в племени </w:t>
      </w:r>
      <w:r>
        <w:rPr>
          <w:i/>
        </w:rPr>
        <w:t>яо</w:t>
      </w:r>
      <w:r>
        <w:t>. Использованные педагогические методы не носят партисипативный характер и зачастую сопровождаются поркой. Наказание предусматривается также и за другие формы насилия и грубого обращения, особенно с мальчиками и девочками, которые в своем поведении и обращении со старшими не соблюдают или могут не соблюдать установленные нормы, к</w:t>
      </w:r>
      <w:r>
        <w:t>а</w:t>
      </w:r>
      <w:r>
        <w:t>са</w:t>
      </w:r>
      <w:r>
        <w:t>ю</w:t>
      </w:r>
      <w:r>
        <w:t>щиеся их роли в обществе как мужчин и женщин.</w:t>
      </w:r>
    </w:p>
    <w:p w:rsidR="00000000" w:rsidRDefault="00000000">
      <w:pPr>
        <w:pStyle w:val="SingleTxt"/>
      </w:pPr>
      <w:r>
        <w:t>5.3.5.</w:t>
      </w:r>
      <w:r>
        <w:tab/>
        <w:t>Хотя такого рода обряды редко когда соблюдаются среди городского населения или образованных людей, подобного рода советы являются весьма распространенными. Для верующих такие услуги иногда оказываются их рел</w:t>
      </w:r>
      <w:r>
        <w:t>и</w:t>
      </w:r>
      <w:r>
        <w:t>гиозными организациями, и это касается как городского, так и сельского нас</w:t>
      </w:r>
      <w:r>
        <w:t>е</w:t>
      </w:r>
      <w:r>
        <w:t>ления. Помимо ритуалов и услуг, считается, что мальчики и девочки в сельской местности не могут ложиться спать там, где спят их родители. Вместо этого девочки ночуют в специальной женской комнате, отдельно от мальчиков. Такая практика постепенно отмирает по различным другим причинам, связанным с соц</w:t>
      </w:r>
      <w:r>
        <w:t>и</w:t>
      </w:r>
      <w:r>
        <w:t>альными преобразованиями в стране.</w:t>
      </w:r>
    </w:p>
    <w:p w:rsidR="00000000" w:rsidRDefault="00000000">
      <w:pPr>
        <w:pStyle w:val="SingleTxt"/>
      </w:pPr>
      <w:r>
        <w:t>5.3.6.</w:t>
      </w:r>
      <w:r>
        <w:tab/>
        <w:t xml:space="preserve">Традиционные ритуальные обряды, обычно называемые </w:t>
      </w:r>
      <w:r>
        <w:rPr>
          <w:i/>
        </w:rPr>
        <w:t>«кумета»,</w:t>
      </w:r>
      <w:r>
        <w:t xml:space="preserve"> проводятся в зависимости от пола. Мужчины организуют ритуалы по подг</w:t>
      </w:r>
      <w:r>
        <w:t>о</w:t>
      </w:r>
      <w:r>
        <w:t>товке мальчиков к тому, чтоб стать мужчинами, а женщины работают с дево</w:t>
      </w:r>
      <w:r>
        <w:t>ч</w:t>
      </w:r>
      <w:r>
        <w:t>ками для того, чтобы научить их тому, как стать примерной женой и приме</w:t>
      </w:r>
      <w:r>
        <w:t>р</w:t>
      </w:r>
      <w:r>
        <w:t>ным членом общества. Во время проведения таких ритуалов и обрядов форм</w:t>
      </w:r>
      <w:r>
        <w:t>и</w:t>
      </w:r>
      <w:r>
        <w:t>руется образ женщины как обслуги, стоящей на ступень ниже мужчины, и как рабыни, готовой профессионально оказывать своему мужу сексуальные услуги и услуги по уходу за домашним хозяйством, а также как примерная мать. Дев</w:t>
      </w:r>
      <w:r>
        <w:t>о</w:t>
      </w:r>
      <w:r>
        <w:t>чек обучают также тому, как пользоваться средствами гигиены, ухаживать за собой и за своей будущей семьей. С другой стороны, во время таких традиц</w:t>
      </w:r>
      <w:r>
        <w:t>и</w:t>
      </w:r>
      <w:r>
        <w:t>онно мужских ритуалов культивируется представление о мужчине как о чел</w:t>
      </w:r>
      <w:r>
        <w:t>о</w:t>
      </w:r>
      <w:r>
        <w:t>веке, способном регулировать сексуальные, бытовые и другие аспекты жизни своей жены, и как строгого наставника своей жены и своих детей. В ходе этих обрядов четко определяются те задачи и функции, которые должны выполнять мужчины и же</w:t>
      </w:r>
      <w:r>
        <w:t>н</w:t>
      </w:r>
      <w:r>
        <w:t>щины.</w:t>
      </w:r>
    </w:p>
    <w:p w:rsidR="00000000" w:rsidRDefault="00000000">
      <w:pPr>
        <w:pStyle w:val="SingleTxt"/>
      </w:pPr>
      <w:r>
        <w:t>5.3.7.</w:t>
      </w:r>
      <w:r>
        <w:tab/>
        <w:t>Закрепление стереотипного представления о роли мужчин и женщин в обществе и их неравных взаимоотношений частично является результатом той роли, которую играют песни и пляски в малавийском обществе. Песни, о</w:t>
      </w:r>
      <w:r>
        <w:t>т</w:t>
      </w:r>
      <w:r>
        <w:t>ражающие роль полов и соответствующее стереотипное представление о ней, переходят из одной общины в другую, от одного поколения к другому во время различных проводимых церемоний, танцевальных вечеринок и просто разли</w:t>
      </w:r>
      <w:r>
        <w:t>ч</w:t>
      </w:r>
      <w:r>
        <w:t>ных других развлекательных мероприятий. Такие песни можно также часто у</w:t>
      </w:r>
      <w:r>
        <w:t>с</w:t>
      </w:r>
      <w:r>
        <w:t>лышать и по малавийскому радио. В некоторых общинах песни и пляски явл</w:t>
      </w:r>
      <w:r>
        <w:t>я</w:t>
      </w:r>
      <w:r>
        <w:t>ются мощным коммуникационным средством, используемым для изменения поведения целых общин или отдельных лиц с тем, чтобы достичь общие цели или обеспечить какие-либо общественные интересы.</w:t>
      </w:r>
    </w:p>
    <w:p w:rsidR="00000000" w:rsidRDefault="00000000">
      <w:pPr>
        <w:pStyle w:val="SingleTxt"/>
      </w:pPr>
      <w:r>
        <w:t>5.3.8.</w:t>
      </w:r>
      <w:r>
        <w:tab/>
        <w:t>По обычаям малавийских общин в брак вступить можно после до</w:t>
      </w:r>
      <w:r>
        <w:t>с</w:t>
      </w:r>
      <w:r>
        <w:t>тижения половой зрелости. Это особенно касается девочек, которые, как сч</w:t>
      </w:r>
      <w:r>
        <w:t>и</w:t>
      </w:r>
      <w:r>
        <w:t>тается, созревают быстрее, чем мальчики и являются потенциальными женами, которые могут начать рожать детей при поддержке мужа. До вступления в брак «посиделки» устраиваются для девочек, но не для мальчиков. Женщины ста</w:t>
      </w:r>
      <w:r>
        <w:t>р</w:t>
      </w:r>
      <w:r>
        <w:t xml:space="preserve">шего поколения и инструкторы, которых обычно называют </w:t>
      </w:r>
      <w:r>
        <w:rPr>
          <w:i/>
        </w:rPr>
        <w:t>«анамкунгви»</w:t>
      </w:r>
      <w:r>
        <w:t>, пр</w:t>
      </w:r>
      <w:r>
        <w:t>о</w:t>
      </w:r>
      <w:r>
        <w:t>водят определенное время с будущей женой, обучая ее тому, как стать хорошей женой. В городских районах и сельских общинах такие посиделки, как прав</w:t>
      </w:r>
      <w:r>
        <w:t>и</w:t>
      </w:r>
      <w:r>
        <w:t>ло, называют «беседы на кухне» или «девичники», на которых, как правило, присутствуют женщины, советующие будущей жене то, как сохранить брак, удовлетворяя своего мужа и выполняя все домашние обязанности. Во время таких вечеринок девушка, как это предусматривается традиционными обряд</w:t>
      </w:r>
      <w:r>
        <w:t>а</w:t>
      </w:r>
      <w:r>
        <w:t>ми, не должна задавать вопросы, она может только выслушивать советы.</w:t>
      </w:r>
    </w:p>
    <w:p w:rsidR="00000000" w:rsidRDefault="00000000">
      <w:pPr>
        <w:pStyle w:val="SingleTxt"/>
      </w:pPr>
      <w:r>
        <w:t>5.3.9.</w:t>
      </w:r>
      <w:r>
        <w:tab/>
        <w:t>В браке обязанности мужчин и женщин, как правило, соответствуют той роли, которая им предписана. Такая роль касается как жизни в семье, так и жизни в обществе. На уровне как семьи, так и общины мужчины должны рук</w:t>
      </w:r>
      <w:r>
        <w:t>о</w:t>
      </w:r>
      <w:r>
        <w:t>водить, а женщины должны помогать им и обеспечивать уход за домом. Поэт</w:t>
      </w:r>
      <w:r>
        <w:t>о</w:t>
      </w:r>
      <w:r>
        <w:t>му в Малави вождями как правило явл</w:t>
      </w:r>
      <w:r>
        <w:t>я</w:t>
      </w:r>
      <w:r>
        <w:t xml:space="preserve">ются мужчины. </w:t>
      </w:r>
    </w:p>
    <w:p w:rsidR="00000000" w:rsidRDefault="00000000">
      <w:pPr>
        <w:pStyle w:val="SingleTxt"/>
      </w:pPr>
      <w:r>
        <w:t>5.3.10.</w:t>
      </w:r>
      <w:r>
        <w:tab/>
        <w:t>Что касается заключения браков по обычному праву, то должны быть юрисконсульты или советники по вопросам брака, которые бы консультировали мужей и жен. Такую роль стали все чаще выполнять религиозные организации, друзья и родственники. Другие формы консультирования включают в себя же</w:t>
      </w:r>
      <w:r>
        <w:t>н</w:t>
      </w:r>
      <w:r>
        <w:t xml:space="preserve">ские советы, например, </w:t>
      </w:r>
      <w:r>
        <w:rPr>
          <w:i/>
        </w:rPr>
        <w:t>«нтембере илала»</w:t>
      </w:r>
      <w:r>
        <w:t xml:space="preserve"> в </w:t>
      </w:r>
      <w:r>
        <w:rPr>
          <w:caps/>
        </w:rPr>
        <w:t>с</w:t>
      </w:r>
      <w:r>
        <w:t xml:space="preserve">еверной провинции. </w:t>
      </w:r>
      <w:r>
        <w:rPr>
          <w:i/>
        </w:rPr>
        <w:t xml:space="preserve">“Нтембере илала» </w:t>
      </w:r>
      <w:r>
        <w:t>имеет право вызывать мужа для дачи показаний в случае поступления ж</w:t>
      </w:r>
      <w:r>
        <w:t>а</w:t>
      </w:r>
      <w:r>
        <w:t xml:space="preserve">лобы со стороны его жены. </w:t>
      </w:r>
    </w:p>
    <w:p w:rsidR="00000000" w:rsidRDefault="00000000">
      <w:pPr>
        <w:pStyle w:val="H23"/>
      </w:pPr>
      <w:r>
        <w:t>5.4.</w:t>
      </w:r>
      <w:r>
        <w:tab/>
        <w:t>Меры, принятые для изменения социально-культурной структуры, и достигнутый прогресс</w:t>
      </w:r>
    </w:p>
    <w:p w:rsidR="00000000" w:rsidRDefault="00000000">
      <w:pPr>
        <w:pStyle w:val="SingleTxt"/>
      </w:pPr>
      <w:r>
        <w:t>5.4.1.</w:t>
      </w:r>
      <w:r>
        <w:tab/>
        <w:t>Значительная часть работы по изменению социальной структуры в Малави связана с проведением пропагандистско-разъяснительной и учебной работы. Например, после 2000 года правительство и неправительственные о</w:t>
      </w:r>
      <w:r>
        <w:t>р</w:t>
      </w:r>
      <w:r>
        <w:t>ганизации совместно принимают участие в проведении 16-дневной кампании демонстраций, которая представляет собой инициативу, нацеленную на борьбу с насил</w:t>
      </w:r>
      <w:r>
        <w:t>и</w:t>
      </w:r>
      <w:r>
        <w:t xml:space="preserve">ем в отношении женщин. </w:t>
      </w:r>
    </w:p>
    <w:p w:rsidR="00000000" w:rsidRDefault="00000000">
      <w:pPr>
        <w:pStyle w:val="SingleTxt"/>
      </w:pPr>
      <w:r>
        <w:t>5.4.2.</w:t>
      </w:r>
      <w:r>
        <w:tab/>
        <w:t>Малавийские средства информации служат полезным каналом для распространения сообщений, касающихся равенства мужчин и женщин. В г</w:t>
      </w:r>
      <w:r>
        <w:t>а</w:t>
      </w:r>
      <w:r>
        <w:t>зетах имеются колонки, посвященные, в частности, обсуждению вопросов, к</w:t>
      </w:r>
      <w:r>
        <w:t>а</w:t>
      </w:r>
      <w:r>
        <w:t>сающихся прав человека и вредных культурных традиций. По радио трансл</w:t>
      </w:r>
      <w:r>
        <w:t>и</w:t>
      </w:r>
      <w:r>
        <w:t>руются программы, касающиеся насилия в отношении женщин, включая нас</w:t>
      </w:r>
      <w:r>
        <w:t>и</w:t>
      </w:r>
      <w:r>
        <w:t>лие в семье. Политические деятели, в том числе президент, также выступают в защиту обеспечения равенства мужчин и женщин и за отмену вредных трад</w:t>
      </w:r>
      <w:r>
        <w:t>и</w:t>
      </w:r>
      <w:r>
        <w:t xml:space="preserve">ционных видов практики. </w:t>
      </w:r>
    </w:p>
    <w:p w:rsidR="00000000" w:rsidRDefault="00000000">
      <w:pPr>
        <w:pStyle w:val="SingleTxt"/>
      </w:pPr>
      <w:r>
        <w:t>5.4.3.</w:t>
      </w:r>
      <w:r>
        <w:tab/>
        <w:t>Была пересмотрена учебная программа начальных школ на предмет включения в нее гендерных вопросов. Во время встречи с преподавателями и учениками члены Национального рабочего комитета по КЛДЖ установили, что действительно в школах пр</w:t>
      </w:r>
      <w:r>
        <w:t>о</w:t>
      </w:r>
      <w:r>
        <w:t xml:space="preserve">водятся занятия по гендерным вопросам. </w:t>
      </w:r>
    </w:p>
    <w:p w:rsidR="00000000" w:rsidRDefault="00000000">
      <w:pPr>
        <w:pStyle w:val="SingleTxt"/>
      </w:pPr>
      <w:r>
        <w:t>5.4.4.</w:t>
      </w:r>
      <w:r>
        <w:tab/>
        <w:t>Пропагандистско-разъяснительная и учебная работа уже приносит положительные результаты. Как отметил Национальный рабочий комитет по КЛДЖ, молодежь лучше взрослых разбирается в гендерных вопросах, части</w:t>
      </w:r>
      <w:r>
        <w:t>ч</w:t>
      </w:r>
      <w:r>
        <w:t>но потому что они изучали их в школе. В свою очередь молодежью создаются определенные клубы, выступающие за обеспечение равенства мужчин и же</w:t>
      </w:r>
      <w:r>
        <w:t>н</w:t>
      </w:r>
      <w:r>
        <w:t>щин. Что интересно – не вызывает никакого удивления то, что в этих организ</w:t>
      </w:r>
      <w:r>
        <w:t>а</w:t>
      </w:r>
      <w:r>
        <w:t>циях рук</w:t>
      </w:r>
      <w:r>
        <w:t>о</w:t>
      </w:r>
      <w:r>
        <w:t>водителями, как правило, являются девушки.</w:t>
      </w:r>
    </w:p>
    <w:p w:rsidR="00000000" w:rsidRDefault="00000000">
      <w:pPr>
        <w:pStyle w:val="SingleTxt"/>
      </w:pPr>
      <w:r>
        <w:t>5.4.5.</w:t>
      </w:r>
      <w:r>
        <w:tab/>
        <w:t>Другим существенным достижением явилось то, что в некоторых в</w:t>
      </w:r>
      <w:r>
        <w:t>е</w:t>
      </w:r>
      <w:r>
        <w:t>домствах, которые традиционно считались мужскими, начали принимать на р</w:t>
      </w:r>
      <w:r>
        <w:t>а</w:t>
      </w:r>
      <w:r>
        <w:t>боту женщин. Одним из примеров может служить армия, где после 1999 года на службу начали принимать женщин, предоставляя им те же самые возможн</w:t>
      </w:r>
      <w:r>
        <w:t>о</w:t>
      </w:r>
      <w:r>
        <w:t>сти подготовки, что и для мужчин. Кроме того, в армии в последнее время б</w:t>
      </w:r>
      <w:r>
        <w:t>ы</w:t>
      </w:r>
      <w:r>
        <w:t>ла разраб</w:t>
      </w:r>
      <w:r>
        <w:t>о</w:t>
      </w:r>
      <w:r>
        <w:t xml:space="preserve">тана программа подготовки персонала по гендерным вопросам. </w:t>
      </w:r>
    </w:p>
    <w:p w:rsidR="00000000" w:rsidRDefault="00000000">
      <w:pPr>
        <w:pStyle w:val="SingleTxt"/>
      </w:pPr>
      <w:r>
        <w:t>5.4.6.</w:t>
      </w:r>
      <w:r>
        <w:tab/>
        <w:t>Самое главное то, что, как выявил Национальный рабочий комитет по КЛДЖ, в отношении роли мужчин и женщин в обществе начали происх</w:t>
      </w:r>
      <w:r>
        <w:t>о</w:t>
      </w:r>
      <w:r>
        <w:t>дить определенные изменения. Некоторые мужчины сообщили о том, что они вместе со своими женами выполняют те обязанности, которые традиционно считались женскими. Женщины говорят о том, что некоторые мужчины теперь занимаются приготовлением пищи, приносят воду в дом и обеспечивают семью продовольствием. Такая практика наиболее широко распространена в полуг</w:t>
      </w:r>
      <w:r>
        <w:t>о</w:t>
      </w:r>
      <w:r>
        <w:t>родских и других районах, в которых проводится соответствующая работа по гендерным вопросам. Однако, в примыкающих к городам районах и в сельской местности такие изменения в роли мужчин и женщин можно объяснить лиш</w:t>
      </w:r>
      <w:r>
        <w:t>е</w:t>
      </w:r>
      <w:r>
        <w:t>ниями и необходимостью бороться с бедностью и голодом. Многие члены ра</w:t>
      </w:r>
      <w:r>
        <w:t>з</w:t>
      </w:r>
      <w:r>
        <w:t>личных общин сегодня считают, что нельзя продолжать придерживаться тр</w:t>
      </w:r>
      <w:r>
        <w:t>а</w:t>
      </w:r>
      <w:r>
        <w:t>диционной роли мужчин и женщин и соответствующих взглядов, если семья находится на грани вымирания. Во всех областях, а это следует отметить, функции мужчин и женщин все еще не были изменены. Проблемы той или иной семьи возникают в том случае, когда в этой семье нет трудоспособных мужчин и также нет тех мужчин, которые могли бы оказать посильную помощь по вед</w:t>
      </w:r>
      <w:r>
        <w:t>е</w:t>
      </w:r>
      <w:r>
        <w:t>нию домашнего хозяйства, не афишируя этого.</w:t>
      </w:r>
    </w:p>
    <w:p w:rsidR="00000000" w:rsidRDefault="00000000">
      <w:pPr>
        <w:pStyle w:val="SingleTxt"/>
      </w:pPr>
      <w:r>
        <w:t>5.4.7.</w:t>
      </w:r>
      <w:r>
        <w:tab/>
        <w:t>Однако, все еще существуют факторы, которые способствуют изм</w:t>
      </w:r>
      <w:r>
        <w:t>е</w:t>
      </w:r>
      <w:r>
        <w:t>нению социально-культурной модели поведения, закрепляющей стереотипное представление о роли женщин в обществе. Отношение между мужчинами и женщинами, их роль в обществе и их взгляды в Малави имеют глубокие корни, и поэтому они находят свое проявление и в таких других областях, как учеба в школе и работа. Например, если женщины начинают поступать на чисто му</w:t>
      </w:r>
      <w:r>
        <w:t>ж</w:t>
      </w:r>
      <w:r>
        <w:t>ские учебные курсы по техническим специальностям и механике, их зачастую не принимают на них и предлагают им более «нейтральные» курсы, такие как плотничье дело, которое не считается чисто мужским занятием. Руководство таких учебных заведений, в которых можно выучиться на такие специальности, как правило, состоит из мужчин, и поэтому необходимо принять целенапра</w:t>
      </w:r>
      <w:r>
        <w:t>в</w:t>
      </w:r>
      <w:r>
        <w:t>ленные меры для изменения такого объясняющегося культурными традициями подхода к женщинам. До сих пор считается, что некоторые виды профессий или специальностей являются чисто женскими, например, работа медсестрой и секретаршей. Кроме того, такая общераспространенная работа, как работа ш</w:t>
      </w:r>
      <w:r>
        <w:t>о</w:t>
      </w:r>
      <w:r>
        <w:t>фером, считается традиционно мужским уделом, и только в последние четыре года в государственном секторе выросло количество водителей-женщин. И о</w:t>
      </w:r>
      <w:r>
        <w:t>д</w:t>
      </w:r>
      <w:r>
        <w:t>новременно с этим в последние годы все больше и больше мужчин стали раб</w:t>
      </w:r>
      <w:r>
        <w:t>о</w:t>
      </w:r>
      <w:r>
        <w:t>тать медбратьями, а в этой области до этого в основном доминировали женщ</w:t>
      </w:r>
      <w:r>
        <w:t>и</w:t>
      </w:r>
      <w:r>
        <w:t xml:space="preserve">ны. </w:t>
      </w:r>
    </w:p>
    <w:p w:rsidR="00000000" w:rsidRDefault="00000000">
      <w:pPr>
        <w:pStyle w:val="H23"/>
      </w:pPr>
      <w:r>
        <w:t>5.5.</w:t>
      </w:r>
      <w:r>
        <w:tab/>
        <w:t>Вывод</w:t>
      </w:r>
    </w:p>
    <w:p w:rsidR="00000000" w:rsidRDefault="00000000">
      <w:pPr>
        <w:pStyle w:val="SingleTxt"/>
      </w:pPr>
      <w:r>
        <w:t>5.5.1.</w:t>
      </w:r>
      <w:r>
        <w:tab/>
        <w:t>Несмотря на целенаправленные усилия правительства и его партн</w:t>
      </w:r>
      <w:r>
        <w:t>е</w:t>
      </w:r>
      <w:r>
        <w:t>ров по изменению предвзятого социально-культурного отношения к женщинам, женщины по-прежнему играют в обществе менее привилегированную роль и фактически рассматриваются как граждане второго сорта. Все еще отмечается стереотипное представление о роли мужчин и женщин, и иногда это объясн</w:t>
      </w:r>
      <w:r>
        <w:t>я</w:t>
      </w:r>
      <w:r>
        <w:t>ется отношением самих женщин к себе, ибо они считают, что они должны н</w:t>
      </w:r>
      <w:r>
        <w:t>а</w:t>
      </w:r>
      <w:r>
        <w:t>ходиться в зависимом положении.</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bookmarkStart w:id="50" w:name="_Toc33784413"/>
      <w:bookmarkStart w:id="51" w:name="_Toc377350752"/>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52" w:name="_Toc83977539"/>
      <w:r>
        <w:t>Статья 6:</w:t>
      </w:r>
      <w:bookmarkEnd w:id="50"/>
      <w:bookmarkEnd w:id="51"/>
      <w:r>
        <w:tab/>
        <w:t>Эксплуатация женщин</w:t>
      </w:r>
      <w:bookmarkEnd w:id="52"/>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6.1.</w:t>
      </w:r>
      <w:r>
        <w:tab/>
        <w:t>Стандарты КЛДЖ</w:t>
      </w:r>
    </w:p>
    <w:p w:rsidR="00000000" w:rsidRDefault="00000000">
      <w:pPr>
        <w:pStyle w:val="SingleTxt"/>
        <w:rPr>
          <w:rFonts w:eastAsia="MS Mincho"/>
          <w:i/>
        </w:rPr>
      </w:pPr>
      <w:r>
        <w:rPr>
          <w:rFonts w:eastAsia="MS Mincho"/>
          <w:i/>
        </w:rPr>
        <w:t>Статья 6. Государства-участники принимают все соответствующие меры, включая законодательные, для пресечения всех видов торговли женщинами и эксплуатации простит</w:t>
      </w:r>
      <w:r>
        <w:rPr>
          <w:rFonts w:eastAsia="MS Mincho"/>
          <w:i/>
        </w:rPr>
        <w:t>у</w:t>
      </w:r>
      <w:r>
        <w:rPr>
          <w:rFonts w:eastAsia="MS Mincho"/>
          <w:i/>
        </w:rPr>
        <w:t>ции женщин.</w:t>
      </w:r>
    </w:p>
    <w:p w:rsidR="00000000" w:rsidRDefault="00000000">
      <w:pPr>
        <w:pStyle w:val="H23"/>
      </w:pPr>
      <w:r>
        <w:t>6.2.</w:t>
      </w:r>
      <w:r>
        <w:tab/>
        <w:t>Введение</w:t>
      </w:r>
    </w:p>
    <w:p w:rsidR="00000000" w:rsidRDefault="00000000">
      <w:pPr>
        <w:pStyle w:val="SingleTxt"/>
      </w:pPr>
      <w:r>
        <w:t>6.2.1.</w:t>
      </w:r>
      <w:r>
        <w:tab/>
        <w:t>Право не подвергаться сексуальной эксплуатации в Малави наруш</w:t>
      </w:r>
      <w:r>
        <w:t>а</w:t>
      </w:r>
      <w:r>
        <w:t>ется для многих женщин. Это находит свое проявление в виде проституции, торговли женщинами и вредных культурных традиций. В связи с ухудшением экономического положения сексуальная эксплуатация женщин стала приобр</w:t>
      </w:r>
      <w:r>
        <w:t>е</w:t>
      </w:r>
      <w:r>
        <w:t>тать в сельских районах угрожающие масштабы. В сельских районах половая активность явно становится источником утешения бедных слоев населения, несмотря на то, что подобного рода практика строго осуждается местным н</w:t>
      </w:r>
      <w:r>
        <w:t>а</w:t>
      </w:r>
      <w:r>
        <w:t>сел</w:t>
      </w:r>
      <w:r>
        <w:t>е</w:t>
      </w:r>
      <w:r>
        <w:t>нием.</w:t>
      </w:r>
    </w:p>
    <w:p w:rsidR="00000000" w:rsidRDefault="00000000">
      <w:pPr>
        <w:pStyle w:val="SingleTxt"/>
      </w:pPr>
      <w:r>
        <w:t>6.2.2.</w:t>
      </w:r>
      <w:r>
        <w:tab/>
        <w:t>Полиция и средства информации часто стали получать сообщения о случаях раннего вступления в брак, беременности несовершеннолетних, со</w:t>
      </w:r>
      <w:r>
        <w:t>в</w:t>
      </w:r>
      <w:r>
        <w:t>ращения и изнасилов</w:t>
      </w:r>
      <w:r>
        <w:t>а</w:t>
      </w:r>
      <w:r>
        <w:t xml:space="preserve">ния женщин. </w:t>
      </w:r>
    </w:p>
    <w:p w:rsidR="00000000" w:rsidRDefault="00000000">
      <w:pPr>
        <w:pStyle w:val="SingleTxt"/>
      </w:pPr>
      <w:r>
        <w:t>6.2.3.</w:t>
      </w:r>
      <w:r>
        <w:tab/>
        <w:t>Сообщения, поступающие из лагеря беженцев в стране, показывают, что многие девушки не задерживаются в нем надолго. Вместо этого они пер</w:t>
      </w:r>
      <w:r>
        <w:t>е</w:t>
      </w:r>
      <w:r>
        <w:t>бираются в городские центры, где, как можно полагать, они занимаются пр</w:t>
      </w:r>
      <w:r>
        <w:t>о</w:t>
      </w:r>
      <w:r>
        <w:t>ституцией.</w:t>
      </w:r>
    </w:p>
    <w:p w:rsidR="00000000" w:rsidRDefault="00000000">
      <w:pPr>
        <w:pStyle w:val="SingleTxt"/>
      </w:pPr>
      <w:r>
        <w:t>6.2.4.</w:t>
      </w:r>
      <w:r>
        <w:tab/>
        <w:t>В настоящее время нет какого-либо закона, касающегося торговли женщинами и эксплуатации проституции женщин. В тех случаях, когда можно было бы сослаться на положения какого-либо закона, наказание не являлось суровым. Однако существуют определенные механизмы реабилитации жертв и перевоспитания преступников, но их н</w:t>
      </w:r>
      <w:r>
        <w:t>е</w:t>
      </w:r>
      <w:r>
        <w:t>достаточно.</w:t>
      </w:r>
    </w:p>
    <w:p w:rsidR="00000000" w:rsidRDefault="00000000">
      <w:pPr>
        <w:pStyle w:val="H23"/>
      </w:pPr>
      <w:r>
        <w:t>6.3</w:t>
      </w:r>
      <w:r>
        <w:tab/>
        <w:t>Торговля женщинами</w:t>
      </w:r>
    </w:p>
    <w:p w:rsidR="00000000" w:rsidRDefault="00000000">
      <w:pPr>
        <w:pStyle w:val="SingleTxt"/>
      </w:pPr>
      <w:r>
        <w:t>6.3.1.</w:t>
      </w:r>
      <w:r>
        <w:tab/>
        <w:t>В Малави стали учащаться случаи торговли женщинами. Например, в 1998/99 году из Брюсселя были депортированы 14 малавийских девушек, к</w:t>
      </w:r>
      <w:r>
        <w:t>о</w:t>
      </w:r>
      <w:r>
        <w:t>торые были проданы туда для того, чтобы заниматься проституцией. Доклад Джонатана Мартинса из Международной организации по миграции (МОМ) п</w:t>
      </w:r>
      <w:r>
        <w:t>о</w:t>
      </w:r>
      <w:r>
        <w:t>казывает, что Малави является источником поставки девушек, Южная Афр</w:t>
      </w:r>
      <w:r>
        <w:t>и</w:t>
      </w:r>
      <w:r>
        <w:t>ка – страной транзита, а Европа – конечным местом назначения. Жертвами то</w:t>
      </w:r>
      <w:r>
        <w:t>р</w:t>
      </w:r>
      <w:r>
        <w:t>говли в Малави могут стать как девушки, так и юноши. Мальчики из района Лейкшор вывозятся в Европу для того, чтобы заниматься порнографией, а д</w:t>
      </w:r>
      <w:r>
        <w:t>е</w:t>
      </w:r>
      <w:r>
        <w:t>во</w:t>
      </w:r>
      <w:r>
        <w:t>ч</w:t>
      </w:r>
      <w:r>
        <w:t>ки из различных районов страны – чтобы заниматься проституцией.</w:t>
      </w:r>
    </w:p>
    <w:p w:rsidR="00000000" w:rsidRDefault="00000000">
      <w:pPr>
        <w:pStyle w:val="SingleTxt"/>
      </w:pPr>
      <w:r>
        <w:t>6.3.2.</w:t>
      </w:r>
      <w:r>
        <w:tab/>
        <w:t>Сексуальной и экономической эксплуатации подвергаются те же</w:t>
      </w:r>
      <w:r>
        <w:t>н</w:t>
      </w:r>
      <w:r>
        <w:t>щины и девушки, которые выезжают в зарубежные страны для учебы или для того, чтобы найти работу. Некоторые родители поощряют, если их дети вые</w:t>
      </w:r>
      <w:r>
        <w:t>з</w:t>
      </w:r>
      <w:r>
        <w:t>жают за рубеж для учебы в надежде на то, что они найдут лучшую работу и смогут оплачивать свое проживание и учебу. Некоторые другие девушки уе</w:t>
      </w:r>
      <w:r>
        <w:t>з</w:t>
      </w:r>
      <w:r>
        <w:t>жают в Европу в поисках лучшей жизни. Однако, есть свидетельства того, что некоторые из этих девушек и женщин заканчивают тем, что начинают зан</w:t>
      </w:r>
      <w:r>
        <w:t>и</w:t>
      </w:r>
      <w:r>
        <w:t>маться простит</w:t>
      </w:r>
      <w:r>
        <w:t>у</w:t>
      </w:r>
      <w:r>
        <w:t>цией.</w:t>
      </w:r>
    </w:p>
    <w:p w:rsidR="00000000" w:rsidRDefault="00000000">
      <w:pPr>
        <w:pStyle w:val="SingleTxt"/>
      </w:pPr>
      <w:r>
        <w:t>6.3.3.</w:t>
      </w:r>
      <w:r>
        <w:tab/>
        <w:t>Правительство Малави в курсе существования этой проблемы и в настоящее время занимается разработкой механизмов решения этого вопроса. Например, было захвачено три синдиката по торговле женщинами, и в отнош</w:t>
      </w:r>
      <w:r>
        <w:t>е</w:t>
      </w:r>
      <w:r>
        <w:t>нии их в суде были возбуждены соответствующие дела. Однако завершить ра</w:t>
      </w:r>
      <w:r>
        <w:t>с</w:t>
      </w:r>
      <w:r>
        <w:t>смотрение этих дел не удалось ввиду отсутствия правовой основы для вынес</w:t>
      </w:r>
      <w:r>
        <w:t>е</w:t>
      </w:r>
      <w:r>
        <w:t>ния наказания. Специальная правовая комиссия по уголовному кодексу отм</w:t>
      </w:r>
      <w:r>
        <w:t>е</w:t>
      </w:r>
      <w:r>
        <w:t>тила, что в Малави нет какого-либо закона, который непосредственно пред</w:t>
      </w:r>
      <w:r>
        <w:t>у</w:t>
      </w:r>
      <w:r>
        <w:t>сматривал бы наказание лиц, торгующих женщинами. Соответственно, эта К</w:t>
      </w:r>
      <w:r>
        <w:t>о</w:t>
      </w:r>
      <w:r>
        <w:t>миссия предложила включить в уголовный кодекс новое положение, пред</w:t>
      </w:r>
      <w:r>
        <w:t>у</w:t>
      </w:r>
      <w:r>
        <w:t>сматривающее наказание за такое преступление. В парламент было предста</w:t>
      </w:r>
      <w:r>
        <w:t>в</w:t>
      </w:r>
      <w:r>
        <w:t>лено предложение о принятии закона о торговле людьми, в частности женщ</w:t>
      </w:r>
      <w:r>
        <w:t>и</w:t>
      </w:r>
      <w:r>
        <w:t>нами и детьми, и он все еще н</w:t>
      </w:r>
      <w:r>
        <w:t>а</w:t>
      </w:r>
      <w:r>
        <w:t>ходится на рассмотрении.</w:t>
      </w:r>
    </w:p>
    <w:p w:rsidR="00000000" w:rsidRDefault="00000000">
      <w:pPr>
        <w:pStyle w:val="H23"/>
      </w:pPr>
      <w:r>
        <w:t>6.4.</w:t>
      </w:r>
      <w:r>
        <w:tab/>
        <w:t>Проституция</w:t>
      </w:r>
    </w:p>
    <w:p w:rsidR="00000000" w:rsidRDefault="00000000">
      <w:pPr>
        <w:pStyle w:val="SingleTxt"/>
      </w:pPr>
      <w:r>
        <w:t>6.4.1.</w:t>
      </w:r>
      <w:r>
        <w:tab/>
        <w:t>Проституция и секс-туризм широко распространены в городских районах Малави и на ее курортах. В городских районах женщины торгуют се</w:t>
      </w:r>
      <w:r>
        <w:t>к</w:t>
      </w:r>
      <w:r>
        <w:t>сом за деньги и ради развлечений на некоторых улицах и в некоторых общес</w:t>
      </w:r>
      <w:r>
        <w:t>т</w:t>
      </w:r>
      <w:r>
        <w:t>венных увеселительных заведениях. На курортах широкому распространению проституции и секс-туризма вопреки интересам девушек, желающих зараб</w:t>
      </w:r>
      <w:r>
        <w:t>о</w:t>
      </w:r>
      <w:r>
        <w:t>тать деньги, способствует увеличение числа возводимых гостиниц и других мест отдыха.</w:t>
      </w:r>
    </w:p>
    <w:p w:rsidR="00000000" w:rsidRDefault="00000000">
      <w:pPr>
        <w:pStyle w:val="SingleTxt"/>
      </w:pPr>
      <w:r>
        <w:t>6.4.2.</w:t>
      </w:r>
      <w:r>
        <w:tab/>
        <w:t>Пожилые мужчины и женщины, секс-туристы, а также педофилы все чаще стали обращаться к услугам уличных детей. В средствах массовой и</w:t>
      </w:r>
      <w:r>
        <w:t>н</w:t>
      </w:r>
      <w:r>
        <w:t>формации приводилось немало случаев сексуальной эксплуатации детей, ж</w:t>
      </w:r>
      <w:r>
        <w:t>и</w:t>
      </w:r>
      <w:r>
        <w:t>вущих и работающих на улице. Эти дети «подвергаются опасности заразиться ВИЧ/СПИДом, оказывая неофициальные секс-услуги для того, чтобы зараб</w:t>
      </w:r>
      <w:r>
        <w:t>о</w:t>
      </w:r>
      <w:r>
        <w:t xml:space="preserve">тать деньги и получить защиту, еду и место, где они могли бы переночевать». Правительством в 1995 году было проведено исследование </w:t>
      </w:r>
      <w:r>
        <w:rPr>
          <w:i/>
        </w:rPr>
        <w:t>«Количества ули</w:t>
      </w:r>
      <w:r>
        <w:rPr>
          <w:i/>
        </w:rPr>
        <w:t>ч</w:t>
      </w:r>
      <w:r>
        <w:rPr>
          <w:i/>
        </w:rPr>
        <w:t>ных детей в городах Лилонгве и Блантайре».</w:t>
      </w:r>
      <w:r>
        <w:t xml:space="preserve"> В результате проведения такого исследования некоторые неправительственные организации решили заняться решением вопроса уличных детей, а также обеспечением, защитой и расшир</w:t>
      </w:r>
      <w:r>
        <w:t>е</w:t>
      </w:r>
      <w:r>
        <w:t>нием их прав, обучая их при этом жизненным навыкам и жизненному опыту. Таким образом, сексуальная эксплуатация детей стала в Малави одной из сер</w:t>
      </w:r>
      <w:r>
        <w:t>ь</w:t>
      </w:r>
      <w:r>
        <w:t>езнейших проблем.</w:t>
      </w:r>
    </w:p>
    <w:p w:rsidR="00000000" w:rsidRDefault="00000000">
      <w:pPr>
        <w:pStyle w:val="SingleTxt"/>
      </w:pPr>
      <w:r>
        <w:t>6.4.3.</w:t>
      </w:r>
      <w:r>
        <w:tab/>
        <w:t>В уголовном кодексе наказание предусматривается не за простит</w:t>
      </w:r>
      <w:r>
        <w:t>у</w:t>
      </w:r>
      <w:r>
        <w:t>цию, а за эксплуатацию проституции</w:t>
      </w:r>
      <w:r>
        <w:rPr>
          <w:rStyle w:val="FootnoteReference"/>
          <w:sz w:val="20"/>
        </w:rPr>
        <w:footnoteReference w:id="78"/>
      </w:r>
      <w:r>
        <w:t>. Таким образом, предложение услуг д</w:t>
      </w:r>
      <w:r>
        <w:t>е</w:t>
      </w:r>
      <w:r>
        <w:t>тей и женщин, приставание к ним, проживание за счет доходов от проституции и содержание публичных домов считается уголовным преступлением, прира</w:t>
      </w:r>
      <w:r>
        <w:t>в</w:t>
      </w:r>
      <w:r>
        <w:t>ниваемым к мелким правонарушениям.</w:t>
      </w:r>
      <w:r>
        <w:rPr>
          <w:rStyle w:val="FootnoteReference"/>
          <w:sz w:val="20"/>
        </w:rPr>
        <w:footnoteReference w:id="79"/>
      </w:r>
    </w:p>
    <w:p w:rsidR="00000000" w:rsidRDefault="00000000">
      <w:pPr>
        <w:pStyle w:val="SingleTxt"/>
      </w:pPr>
      <w:r>
        <w:t>6.4.4.</w:t>
      </w:r>
      <w:r>
        <w:tab/>
        <w:t>Хотя проституция не считается уголовным правонарушением, пол</w:t>
      </w:r>
      <w:r>
        <w:t>и</w:t>
      </w:r>
      <w:r>
        <w:t>ция относится к проституткам как к уголовному элементу. Таких женщин, как правило, подвергают аресту за то, что они накрашены или же бесцельно бр</w:t>
      </w:r>
      <w:r>
        <w:t>о</w:t>
      </w:r>
      <w:r>
        <w:t>дяжничают ночью. Если проститутку обнаруживают вместе с мужчиной, то ее арестов</w:t>
      </w:r>
      <w:r>
        <w:t>ы</w:t>
      </w:r>
      <w:r>
        <w:t>вают, а мужчину, как правило, отпускают.</w:t>
      </w:r>
    </w:p>
    <w:p w:rsidR="00000000" w:rsidRDefault="00000000">
      <w:pPr>
        <w:pStyle w:val="SingleTxt"/>
      </w:pPr>
      <w:r>
        <w:t>6.4.5.</w:t>
      </w:r>
      <w:r>
        <w:tab/>
        <w:t>Кроме того, работницы секс-индустрии могут подвергнуться и по</w:t>
      </w:r>
      <w:r>
        <w:t>д</w:t>
      </w:r>
      <w:r>
        <w:t>вергаются различного рода злоупотреблениям, включая изнасилование. К с</w:t>
      </w:r>
      <w:r>
        <w:t>о</w:t>
      </w:r>
      <w:r>
        <w:t>жалению, они не пользуются всесторонней и равной защитой со стороны зак</w:t>
      </w:r>
      <w:r>
        <w:t>о</w:t>
      </w:r>
      <w:r>
        <w:t>на, как и другие женщины, поскольку считается, что они занимаются прост</w:t>
      </w:r>
      <w:r>
        <w:t>и</w:t>
      </w:r>
      <w:r>
        <w:t>туцией со своего согласия и фактически ввиду своего рода занятия требуют к себе унизительн</w:t>
      </w:r>
      <w:r>
        <w:t>о</w:t>
      </w:r>
      <w:r>
        <w:t>го отношения.</w:t>
      </w:r>
    </w:p>
    <w:p w:rsidR="00000000" w:rsidRDefault="00000000">
      <w:pPr>
        <w:pStyle w:val="H23"/>
      </w:pPr>
      <w:r>
        <w:t>6.5.</w:t>
      </w:r>
      <w:r>
        <w:tab/>
        <w:t>Сексуальная эксплуатация в семье и на работе</w:t>
      </w:r>
    </w:p>
    <w:p w:rsidR="00000000" w:rsidRDefault="00000000">
      <w:pPr>
        <w:pStyle w:val="SingleTxt"/>
      </w:pPr>
      <w:r>
        <w:t>6.5.1.</w:t>
      </w:r>
      <w:r>
        <w:tab/>
        <w:t>В Малави женщины подвергаются также эксплуатации и в некот</w:t>
      </w:r>
      <w:r>
        <w:t>о</w:t>
      </w:r>
      <w:r>
        <w:t>рых семьях. Мужчины часто совершают сексуальные надругательства над го</w:t>
      </w:r>
      <w:r>
        <w:t>р</w:t>
      </w:r>
      <w:r>
        <w:t>ничными и детьми, работающими в домашнем хозяйстве. О подобных случаях сообщается в газетах. Такие женщины являются беспомощными, поскольку они редко когда сообщают о сексуальном приставании к ним и из-за боязни п</w:t>
      </w:r>
      <w:r>
        <w:t>о</w:t>
      </w:r>
      <w:r>
        <w:t>терять свой единственный источник дохода. Что касается супружеских пар, то многие мужья считают, что жены не могут отказать им во вступлении в пол</w:t>
      </w:r>
      <w:r>
        <w:t>о</w:t>
      </w:r>
      <w:r>
        <w:t>вой контакт. Это нарушает их права как жен и подвергает их возможности з</w:t>
      </w:r>
      <w:r>
        <w:t>а</w:t>
      </w:r>
      <w:r>
        <w:t xml:space="preserve">разиться венерическими заболеваниями и ВИЧ/СПИДом. </w:t>
      </w:r>
    </w:p>
    <w:p w:rsidR="00000000" w:rsidRDefault="00000000">
      <w:pPr>
        <w:pStyle w:val="SingleTxt"/>
      </w:pPr>
      <w:r>
        <w:t>6.5.2.</w:t>
      </w:r>
      <w:r>
        <w:tab/>
        <w:t>Как показывает увеличение числа дисциплинарных дел, рассматр</w:t>
      </w:r>
      <w:r>
        <w:t>и</w:t>
      </w:r>
      <w:r>
        <w:t>ваемых в министерстве образования, науки и техники, увеличилось также и число случаев сексуальной эксплуатации девочек, как в начальных, так и сре</w:t>
      </w:r>
      <w:r>
        <w:t>д</w:t>
      </w:r>
      <w:r>
        <w:t>них школах со стороны их учителей. Правительством принимаются соответс</w:t>
      </w:r>
      <w:r>
        <w:t>т</w:t>
      </w:r>
      <w:r>
        <w:t>вующие административные меры в виде запрещения или перевода в другие школы. Однако, практически никакой уголовной ответственности не пред</w:t>
      </w:r>
      <w:r>
        <w:t>у</w:t>
      </w:r>
      <w:r>
        <w:t>сматривается в отношении лиц, виновных в совершении таких актов, особенно в том, что касается совращения. Многие родители не знают, куда обращаться за помощью. А в то же время некоторые родители поощряют своих девочек к т</w:t>
      </w:r>
      <w:r>
        <w:t>о</w:t>
      </w:r>
      <w:r>
        <w:t xml:space="preserve">му, чтобы они вступали в половую связь со своими учителями для того, чтобы либо выйти за них замуж, либо способствовать благополучию семьи. </w:t>
      </w:r>
    </w:p>
    <w:p w:rsidR="00000000" w:rsidRDefault="00000000">
      <w:pPr>
        <w:pStyle w:val="SingleTxt"/>
      </w:pPr>
      <w:r>
        <w:t>6.5.3.</w:t>
      </w:r>
      <w:r>
        <w:tab/>
        <w:t>В настоящее время правительство совместно со своими заинтерес</w:t>
      </w:r>
      <w:r>
        <w:t>о</w:t>
      </w:r>
      <w:r>
        <w:t>ванными сторонами работает над подготовкой закона о насилии в семье, в к</w:t>
      </w:r>
      <w:r>
        <w:t>о</w:t>
      </w:r>
      <w:r>
        <w:t>тором предусматривается уголовное наказание за изнасилование жены и за другие преступления сексуального характера. Специальная правовая комиссия отказалась включить изнасилование жены в качестве уголовного правонаруш</w:t>
      </w:r>
      <w:r>
        <w:t>е</w:t>
      </w:r>
      <w:r>
        <w:t>ния, утверждая, что это станет оглашением тайны семе</w:t>
      </w:r>
      <w:r>
        <w:t>й</w:t>
      </w:r>
      <w:r>
        <w:t>ной жизни.</w:t>
      </w:r>
      <w:r>
        <w:rPr>
          <w:rStyle w:val="FootnoteReference"/>
          <w:sz w:val="20"/>
        </w:rPr>
        <w:footnoteReference w:id="80"/>
      </w:r>
    </w:p>
    <w:p w:rsidR="00000000" w:rsidRDefault="00000000">
      <w:pPr>
        <w:pStyle w:val="H23"/>
      </w:pPr>
      <w:r>
        <w:t>6.6.</w:t>
      </w:r>
      <w:r>
        <w:tab/>
        <w:t>Сексуальная эксплуатация и обычное право и культурные традиции</w:t>
      </w:r>
    </w:p>
    <w:p w:rsidR="00000000" w:rsidRDefault="00000000">
      <w:pPr>
        <w:pStyle w:val="SingleTxt"/>
        <w:rPr>
          <w:i/>
        </w:rPr>
      </w:pPr>
      <w:r>
        <w:t>6.6.1.</w:t>
      </w:r>
      <w:r>
        <w:tab/>
        <w:t>После снятия оговорок в отношении присоединения к КЛДЖ, Мал</w:t>
      </w:r>
      <w:r>
        <w:t>а</w:t>
      </w:r>
      <w:r>
        <w:t>ви в 1995 году пересмотрела свою Конституцию</w:t>
      </w:r>
      <w:r>
        <w:rPr>
          <w:lang w:val="en-US"/>
        </w:rPr>
        <w:t xml:space="preserve">. </w:t>
      </w:r>
      <w:r>
        <w:t xml:space="preserve">Статья 24.2 (a) Конституции гласит, что </w:t>
      </w:r>
      <w:r>
        <w:rPr>
          <w:b/>
          <w:i/>
        </w:rPr>
        <w:t>«необходимо принять закон об отмене обычаев и практики, ди</w:t>
      </w:r>
      <w:r>
        <w:rPr>
          <w:b/>
          <w:i/>
        </w:rPr>
        <w:t>с</w:t>
      </w:r>
      <w:r>
        <w:rPr>
          <w:b/>
          <w:i/>
        </w:rPr>
        <w:t>криминирующих женщин, особенно такой практики, как сексуальное на</w:t>
      </w:r>
      <w:r>
        <w:rPr>
          <w:b/>
          <w:i/>
        </w:rPr>
        <w:t>д</w:t>
      </w:r>
      <w:r>
        <w:rPr>
          <w:b/>
          <w:i/>
        </w:rPr>
        <w:t>ругательство, запугивание и насилие»</w:t>
      </w:r>
      <w:r>
        <w:rPr>
          <w:b/>
        </w:rPr>
        <w:t>.</w:t>
      </w:r>
      <w:r>
        <w:t xml:space="preserve"> Несмотря на такое положение, ник</w:t>
      </w:r>
      <w:r>
        <w:t>а</w:t>
      </w:r>
      <w:r>
        <w:t xml:space="preserve">кого закона об отмене подобной культурной практики принято не было. До сих пор существуют такие культурные виды практики, как </w:t>
      </w:r>
      <w:r>
        <w:rPr>
          <w:i/>
        </w:rPr>
        <w:t>«кучотса фумби»</w:t>
      </w:r>
      <w:r>
        <w:t xml:space="preserve"> (оч</w:t>
      </w:r>
      <w:r>
        <w:t>и</w:t>
      </w:r>
      <w:r>
        <w:t xml:space="preserve">щение), то есть приобщение к половому акту; </w:t>
      </w:r>
      <w:r>
        <w:rPr>
          <w:i/>
        </w:rPr>
        <w:t>«гвамула»</w:t>
      </w:r>
      <w:r>
        <w:t xml:space="preserve"> (допускаемое общес</w:t>
      </w:r>
      <w:r>
        <w:t>т</w:t>
      </w:r>
      <w:r>
        <w:t>вом изнасилование), как обряд перехода юношей в категорию мужчин, совок</w:t>
      </w:r>
      <w:r>
        <w:t>у</w:t>
      </w:r>
      <w:r>
        <w:t>пление отца с его дочерью до определения приданого невесты (</w:t>
      </w:r>
      <w:r>
        <w:rPr>
          <w:i/>
        </w:rPr>
        <w:t>«лобола»</w:t>
      </w:r>
      <w:r>
        <w:t xml:space="preserve">); </w:t>
      </w:r>
      <w:r>
        <w:rPr>
          <w:i/>
        </w:rPr>
        <w:t>«к</w:t>
      </w:r>
      <w:r>
        <w:rPr>
          <w:i/>
        </w:rPr>
        <w:t>у</w:t>
      </w:r>
      <w:r>
        <w:rPr>
          <w:i/>
        </w:rPr>
        <w:t>лова куфа»</w:t>
      </w:r>
      <w:r>
        <w:t xml:space="preserve"> (очищение после смерти), когда другого мужчину просят вступить в половую связь с вдовой для того, чтобы очистить ее и клан от смерти после гибели мужа; </w:t>
      </w:r>
      <w:r>
        <w:rPr>
          <w:i/>
        </w:rPr>
        <w:t>«чоколо»</w:t>
      </w:r>
      <w:r>
        <w:t xml:space="preserve"> или наследование жены, когда родственники умершего мужчины наследуют его вдову в качестве жены; </w:t>
      </w:r>
      <w:r>
        <w:rPr>
          <w:i/>
        </w:rPr>
        <w:t>«фиси»</w:t>
      </w:r>
      <w:r>
        <w:t xml:space="preserve">, когда мужчина тайно поддерживает половую связь с женщиной во время инициации ее к половой жизни или же когда муж отказывается завести детей; </w:t>
      </w:r>
      <w:r>
        <w:rPr>
          <w:i/>
        </w:rPr>
        <w:t xml:space="preserve">“кусунга мвамуна» </w:t>
      </w:r>
      <w:r>
        <w:t>или поддержание нормального настроения мужа во время временного отсутствия жены, когда выбирается женщина (как правило, младшая сестра жены) для т</w:t>
      </w:r>
      <w:r>
        <w:t>о</w:t>
      </w:r>
      <w:r>
        <w:t>го, чтобы она жила с этим мужем и ухаживала за ним, а он не ходил по другим женщинам; «</w:t>
      </w:r>
      <w:r>
        <w:rPr>
          <w:i/>
        </w:rPr>
        <w:t xml:space="preserve">кухаха», </w:t>
      </w:r>
      <w:r>
        <w:t>то есть обручение с маленькими девочками из бедных семей;</w:t>
      </w:r>
      <w:r>
        <w:rPr>
          <w:i/>
        </w:rPr>
        <w:t xml:space="preserve"> «кухахаза», </w:t>
      </w:r>
      <w:r>
        <w:t>тенденция мужчин к тому, чтобы вступать в половую связь с женщинами в том положении, которое свидетельствует о его господстве,</w:t>
      </w:r>
      <w:r>
        <w:rPr>
          <w:i/>
        </w:rPr>
        <w:t xml:space="preserve"> </w:t>
      </w:r>
      <w:r>
        <w:t xml:space="preserve">и под предлогом получения удовольствия; </w:t>
      </w:r>
      <w:r>
        <w:rPr>
          <w:i/>
        </w:rPr>
        <w:t>«кутенга мвана»</w:t>
      </w:r>
      <w:r>
        <w:t xml:space="preserve">, передача ребенка во время процесса очищения на попечение мужа или другого мужчины во время его отсутствия после первого вступления жены в половую связь спустя 3 месяца после рождения ребенка; </w:t>
      </w:r>
      <w:r>
        <w:rPr>
          <w:i/>
        </w:rPr>
        <w:t>«чимвамае»</w:t>
      </w:r>
      <w:r>
        <w:t>, то есть обмен женами и муж</w:t>
      </w:r>
      <w:r>
        <w:t>ь</w:t>
      </w:r>
      <w:r>
        <w:t>ями.</w:t>
      </w:r>
    </w:p>
    <w:p w:rsidR="00000000" w:rsidRDefault="00000000">
      <w:pPr>
        <w:pStyle w:val="SingleTxt"/>
      </w:pPr>
      <w:r>
        <w:t>6.6.2.</w:t>
      </w:r>
      <w:r>
        <w:tab/>
        <w:t>Правительству хорошо известны все пагубные последствия таких обычаев, и Специальной правовой комиссией по вопросам равенства мужчин и женщин было рекомендовано пересмотреть их. Кроме того, правительство и</w:t>
      </w:r>
      <w:r>
        <w:t>с</w:t>
      </w:r>
      <w:r>
        <w:t>пользует возможности средств массовой информации для ознакомления общ</w:t>
      </w:r>
      <w:r>
        <w:t>е</w:t>
      </w:r>
      <w:r>
        <w:t>ственности с последствиями такой практики и ее влиянием на распространение эпидемии ВИЧ/СПИДа. Представляется, что ввиду расширения масштабов бедности некоторые женщины стали реже заниматься проституцией за деньги в качестве дохода, необходимого для борьбы с голодом и бедностью. Теперь они занимаются проституцией в кредит. В некоторых случаях из-за бедности и л</w:t>
      </w:r>
      <w:r>
        <w:t>и</w:t>
      </w:r>
      <w:r>
        <w:t>шений мужчины вынуждены опрометчиво оплачивать свои сексуальные ко</w:t>
      </w:r>
      <w:r>
        <w:t>н</w:t>
      </w:r>
      <w:r>
        <w:t>такты. То, что некоторые мужья не могут поддерживать свою семью, заставл</w:t>
      </w:r>
      <w:r>
        <w:t>я</w:t>
      </w:r>
      <w:r>
        <w:t xml:space="preserve">ет их жен вступать в половую связь с другими мужчинами. </w:t>
      </w:r>
    </w:p>
    <w:p w:rsidR="00000000" w:rsidRDefault="00000000">
      <w:pPr>
        <w:pStyle w:val="H23"/>
      </w:pPr>
      <w:r>
        <w:t>6.7</w:t>
      </w:r>
      <w:r>
        <w:tab/>
        <w:t>Вывод</w:t>
      </w:r>
    </w:p>
    <w:p w:rsidR="00000000" w:rsidRDefault="00000000">
      <w:pPr>
        <w:pStyle w:val="SingleTxt"/>
      </w:pPr>
      <w:r>
        <w:t>Сексуальная эксплуатация в Малави по-прежнему существует и главным обр</w:t>
      </w:r>
      <w:r>
        <w:t>а</w:t>
      </w:r>
      <w:r>
        <w:t>зом объясняется культурными традициями и экономической беспомощностью женщин. В законодательстве не содержится каких-либо четких положений н</w:t>
      </w:r>
      <w:r>
        <w:t>а</w:t>
      </w:r>
      <w:r>
        <w:t>счет решения этой проблемы, а как в городских, так и сельских общинах стали появляться новые формы эксплуатации. Хотя некоторые традиции были отм</w:t>
      </w:r>
      <w:r>
        <w:t>е</w:t>
      </w:r>
      <w:r>
        <w:t>нены, в ряде районов страны все еще существуют традиции, в соответствии с которыми женщины рассматриваются как предмет сексуального удовлетвор</w:t>
      </w:r>
      <w:r>
        <w:t>е</w:t>
      </w:r>
      <w:r>
        <w:t>ния мужчин. Тем не менее некоторыми неправительственными организациями стали приниматься инициативы по решению этих проблем, особенно в том, что касается ВИЧ/СПИДа. Среди таких инициатив можно отметить проводимую сегодня Специальной правовой комиссией по вопросам равенства мужчин и женщин работу по пересмотру и принятию новых законов.</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bookmarkStart w:id="53" w:name="_Toc33784414"/>
      <w:bookmarkStart w:id="54" w:name="_Toc377350753"/>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55" w:name="_Toc83977540"/>
      <w:r>
        <w:t>Статья 7:</w:t>
      </w:r>
      <w:r>
        <w:tab/>
      </w:r>
      <w:bookmarkEnd w:id="53"/>
      <w:bookmarkEnd w:id="54"/>
      <w:r>
        <w:t>Политическая и общественная жизнь</w:t>
      </w:r>
      <w:bookmarkEnd w:id="55"/>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7.1.</w:t>
      </w:r>
      <w:r>
        <w:tab/>
        <w:t>Стандарты КЛДЖ</w:t>
      </w:r>
    </w:p>
    <w:p w:rsidR="00000000" w:rsidRDefault="00000000">
      <w:pPr>
        <w:pStyle w:val="SingleTxt"/>
        <w:rPr>
          <w:rFonts w:eastAsia="MS Mincho"/>
          <w:i/>
        </w:rPr>
      </w:pPr>
      <w:r>
        <w:rPr>
          <w:rFonts w:eastAsia="MS Mincho"/>
          <w:i/>
        </w:rPr>
        <w:t>Статья 7. Государства-участники принимают все соответствующие меры по ликвидации дискриминации в отношении женщин в политической и общ</w:t>
      </w:r>
      <w:r>
        <w:rPr>
          <w:rFonts w:eastAsia="MS Mincho"/>
          <w:i/>
        </w:rPr>
        <w:t>е</w:t>
      </w:r>
      <w:r>
        <w:rPr>
          <w:rFonts w:eastAsia="MS Mincho"/>
          <w:i/>
        </w:rPr>
        <w:t>ственной жизни страны и, в частности, обеспечивают женщинам на равных у</w:t>
      </w:r>
      <w:r>
        <w:rPr>
          <w:rFonts w:eastAsia="MS Mincho"/>
          <w:i/>
        </w:rPr>
        <w:t>с</w:t>
      </w:r>
      <w:r>
        <w:rPr>
          <w:rFonts w:eastAsia="MS Mincho"/>
          <w:i/>
        </w:rPr>
        <w:t>ловиях с мужчинами право:</w:t>
      </w:r>
    </w:p>
    <w:p w:rsidR="00000000" w:rsidRDefault="00000000">
      <w:pPr>
        <w:pStyle w:val="SingleTxt"/>
        <w:rPr>
          <w:rFonts w:eastAsia="MS Mincho"/>
          <w:i/>
        </w:rPr>
      </w:pPr>
      <w:r>
        <w:rPr>
          <w:rFonts w:eastAsia="MS Mincho"/>
          <w:i/>
        </w:rPr>
        <w:t>(a)</w:t>
      </w:r>
      <w:r>
        <w:rPr>
          <w:rFonts w:eastAsia="MS Mincho"/>
          <w:i/>
        </w:rPr>
        <w:tab/>
        <w:t>голосовать на всех выборах и публичных референдумах и избираться во все публи</w:t>
      </w:r>
      <w:r>
        <w:rPr>
          <w:rFonts w:eastAsia="MS Mincho"/>
          <w:i/>
        </w:rPr>
        <w:t>ч</w:t>
      </w:r>
      <w:r>
        <w:rPr>
          <w:rFonts w:eastAsia="MS Mincho"/>
          <w:i/>
        </w:rPr>
        <w:t xml:space="preserve">но избираемые органы; </w:t>
      </w:r>
    </w:p>
    <w:p w:rsidR="00000000" w:rsidRDefault="00000000">
      <w:pPr>
        <w:pStyle w:val="SingleTxt"/>
        <w:rPr>
          <w:rFonts w:eastAsia="MS Mincho"/>
          <w:i/>
        </w:rPr>
      </w:pPr>
      <w:r>
        <w:rPr>
          <w:rFonts w:eastAsia="MS Mincho"/>
          <w:i/>
        </w:rPr>
        <w:t>(b)</w:t>
      </w:r>
      <w:r>
        <w:rPr>
          <w:rFonts w:eastAsia="MS Mincho"/>
          <w:i/>
        </w:rPr>
        <w:tab/>
        <w:t>участвовать в формулировании и осуществлении политики правительс</w:t>
      </w:r>
      <w:r>
        <w:rPr>
          <w:rFonts w:eastAsia="MS Mincho"/>
          <w:i/>
        </w:rPr>
        <w:t>т</w:t>
      </w:r>
      <w:r>
        <w:rPr>
          <w:rFonts w:eastAsia="MS Mincho"/>
          <w:i/>
        </w:rPr>
        <w:t>ва и занимать государственные посты, а также осуществлять все госуда</w:t>
      </w:r>
      <w:r>
        <w:rPr>
          <w:rFonts w:eastAsia="MS Mincho"/>
          <w:i/>
        </w:rPr>
        <w:t>р</w:t>
      </w:r>
      <w:r>
        <w:rPr>
          <w:rFonts w:eastAsia="MS Mincho"/>
          <w:i/>
        </w:rPr>
        <w:t>ственные функции на всех уровнях государственного управления;</w:t>
      </w:r>
    </w:p>
    <w:p w:rsidR="00000000" w:rsidRDefault="00000000">
      <w:pPr>
        <w:pStyle w:val="SingleTxt"/>
        <w:rPr>
          <w:b/>
          <w:i/>
        </w:rPr>
      </w:pPr>
      <w:r>
        <w:rPr>
          <w:rFonts w:eastAsia="MS Mincho"/>
          <w:i/>
        </w:rPr>
        <w:t>(c)</w:t>
      </w:r>
      <w:r>
        <w:rPr>
          <w:rFonts w:eastAsia="MS Mincho"/>
          <w:i/>
        </w:rPr>
        <w:tab/>
        <w:t>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000000" w:rsidRDefault="00000000">
      <w:pPr>
        <w:pStyle w:val="H23"/>
      </w:pPr>
      <w:r>
        <w:t>7.2.</w:t>
      </w:r>
      <w:r>
        <w:tab/>
        <w:t>Введение</w:t>
      </w:r>
    </w:p>
    <w:p w:rsidR="00000000" w:rsidRDefault="00000000">
      <w:pPr>
        <w:pStyle w:val="SingleTxt"/>
      </w:pPr>
      <w:r>
        <w:t>7.2.1.</w:t>
      </w:r>
      <w:r>
        <w:tab/>
        <w:t>Неравенство между мужчинами и женщинами проявляется также и в политической и общественной жизни населения страны. Женщины слабо пре</w:t>
      </w:r>
      <w:r>
        <w:t>д</w:t>
      </w:r>
      <w:r>
        <w:t>ставлены на всех уровнях руководящих должностей. Даже там, где они есть, они играют вспомогательную роль, и редко, когда они признаются в качестве тех, кто занимается разработкой и осуществлением мероприятий по развитию страны.</w:t>
      </w:r>
    </w:p>
    <w:p w:rsidR="00000000" w:rsidRDefault="00000000">
      <w:pPr>
        <w:pStyle w:val="SingleTxt"/>
      </w:pPr>
      <w:r>
        <w:t>7.2.2.</w:t>
      </w:r>
      <w:r>
        <w:tab/>
        <w:t>Конституция в Малави носит очень прогрессивный характер, и она требует, чтобы были приняты меры по устранению неравенства мужчин и женщин в политической и общественной жизни. К сожалению, большинство законов не было переработано с учетом различных международных договоров, участником которых является Малави, с тем, чтобы расширить участие же</w:t>
      </w:r>
      <w:r>
        <w:t>н</w:t>
      </w:r>
      <w:r>
        <w:t>щин на уровне ведущих руководящих должностей. Это не согласуется с теми различными инициативами, которые направлены на расширение представле</w:t>
      </w:r>
      <w:r>
        <w:t>н</w:t>
      </w:r>
      <w:r>
        <w:t>ности женщин на руководящем уровне.</w:t>
      </w:r>
    </w:p>
    <w:p w:rsidR="00000000" w:rsidRDefault="00000000">
      <w:pPr>
        <w:pStyle w:val="H23"/>
      </w:pPr>
      <w:r>
        <w:t>7.3.</w:t>
      </w:r>
      <w:r>
        <w:tab/>
        <w:t>Голосование и право быть избранным</w:t>
      </w:r>
    </w:p>
    <w:p w:rsidR="00000000" w:rsidRDefault="00000000">
      <w:pPr>
        <w:pStyle w:val="SingleTxt"/>
      </w:pPr>
      <w:r>
        <w:t>7.3.1.</w:t>
      </w:r>
      <w:r>
        <w:tab/>
        <w:t>Женщины в Малави имеют право участвовать в голосовании и в</w:t>
      </w:r>
      <w:r>
        <w:t>ы</w:t>
      </w:r>
      <w:r>
        <w:t>двигать свои кандидатуры. «Каждый гражданин имеет право создавать полит</w:t>
      </w:r>
      <w:r>
        <w:t>и</w:t>
      </w:r>
      <w:r>
        <w:t>ческую партию, присоединяться к ней и набирать в нее новых членов. Каждый может проводить компании в поддержку какой-либо политической партии или политического дела».</w:t>
      </w:r>
      <w:r>
        <w:rPr>
          <w:rStyle w:val="FootnoteReference"/>
          <w:sz w:val="20"/>
        </w:rPr>
        <w:footnoteReference w:id="81"/>
      </w:r>
      <w:r>
        <w:t xml:space="preserve"> Кроме того, каждый имеет официальное право учас</w:t>
      </w:r>
      <w:r>
        <w:t>т</w:t>
      </w:r>
      <w:r>
        <w:t>вовать в мирной политической деятельности, направленной на оказание вли</w:t>
      </w:r>
      <w:r>
        <w:t>я</w:t>
      </w:r>
      <w:r>
        <w:t>ния на формирование правительства и его политику, а также свободно делать свой политический выбор.</w:t>
      </w:r>
      <w:r>
        <w:rPr>
          <w:rStyle w:val="FootnoteReference"/>
          <w:sz w:val="20"/>
        </w:rPr>
        <w:footnoteReference w:id="82"/>
      </w:r>
      <w:r>
        <w:t xml:space="preserve"> Помимо этого, каждый имеет право на участие в тайном голосовании и на выдвижение своей кандидатуры на замещение гос</w:t>
      </w:r>
      <w:r>
        <w:t>у</w:t>
      </w:r>
      <w:r>
        <w:t>дарстве</w:t>
      </w:r>
      <w:r>
        <w:t>н</w:t>
      </w:r>
      <w:r>
        <w:t>ных должностей.</w:t>
      </w:r>
      <w:r>
        <w:rPr>
          <w:rStyle w:val="FootnoteReference"/>
          <w:sz w:val="20"/>
        </w:rPr>
        <w:footnoteReference w:id="83"/>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left"/>
        <w:rPr>
          <w:b/>
        </w:rPr>
      </w:pPr>
      <w:r>
        <w:rPr>
          <w:b/>
        </w:rPr>
        <w:t>Представленность женщин в политических партиях по состоянию на 1994 и 1999 годы</w:t>
      </w:r>
    </w:p>
    <w:tbl>
      <w:tblPr>
        <w:tblW w:w="0" w:type="auto"/>
        <w:tblInd w:w="1278" w:type="dxa"/>
        <w:tblLayout w:type="fixed"/>
        <w:tblLook w:val="0000" w:firstRow="0" w:lastRow="0" w:firstColumn="0" w:lastColumn="0" w:noHBand="0" w:noVBand="0"/>
      </w:tblPr>
      <w:tblGrid>
        <w:gridCol w:w="1402"/>
        <w:gridCol w:w="746"/>
        <w:gridCol w:w="746"/>
        <w:gridCol w:w="746"/>
        <w:gridCol w:w="746"/>
        <w:gridCol w:w="746"/>
        <w:gridCol w:w="746"/>
        <w:gridCol w:w="746"/>
        <w:gridCol w:w="747"/>
      </w:tblGrid>
      <w:tr w:rsidR="00000000">
        <w:tblPrEx>
          <w:tblCellMar>
            <w:top w:w="0" w:type="dxa"/>
            <w:bottom w:w="0" w:type="dxa"/>
          </w:tblCellMar>
        </w:tblPrEx>
        <w:tc>
          <w:tcPr>
            <w:tcW w:w="1402" w:type="dxa"/>
            <w:tcBorders>
              <w:top w:val="single" w:sz="4" w:space="0" w:color="auto"/>
              <w:bottom w:val="single" w:sz="12" w:space="0" w:color="auto"/>
            </w:tcBorders>
            <w:vAlign w:val="bottom"/>
          </w:tcPr>
          <w:p w:rsidR="00000000" w:rsidRDefault="00000000">
            <w:pPr>
              <w:spacing w:line="240" w:lineRule="auto"/>
              <w:jc w:val="center"/>
              <w:rPr>
                <w:b/>
                <w:i/>
                <w:sz w:val="17"/>
              </w:rPr>
            </w:pPr>
            <w:r>
              <w:rPr>
                <w:b/>
                <w:i/>
                <w:sz w:val="17"/>
              </w:rPr>
              <w:t>Политич</w:t>
            </w:r>
            <w:r>
              <w:rPr>
                <w:b/>
                <w:i/>
                <w:sz w:val="17"/>
              </w:rPr>
              <w:t>е</w:t>
            </w:r>
            <w:r>
              <w:rPr>
                <w:b/>
                <w:i/>
                <w:sz w:val="17"/>
              </w:rPr>
              <w:t>ская па</w:t>
            </w:r>
            <w:r>
              <w:rPr>
                <w:b/>
                <w:i/>
                <w:sz w:val="17"/>
              </w:rPr>
              <w:t>р</w:t>
            </w:r>
            <w:r>
              <w:rPr>
                <w:b/>
                <w:i/>
                <w:sz w:val="17"/>
              </w:rPr>
              <w:t>тия</w:t>
            </w:r>
          </w:p>
        </w:tc>
        <w:tc>
          <w:tcPr>
            <w:tcW w:w="746" w:type="dxa"/>
            <w:tcBorders>
              <w:top w:val="single" w:sz="4" w:space="0" w:color="auto"/>
              <w:bottom w:val="single" w:sz="12" w:space="0" w:color="auto"/>
            </w:tcBorders>
            <w:vAlign w:val="bottom"/>
          </w:tcPr>
          <w:p w:rsidR="00000000" w:rsidRDefault="00000000">
            <w:pPr>
              <w:spacing w:line="240" w:lineRule="auto"/>
              <w:jc w:val="center"/>
              <w:rPr>
                <w:b/>
                <w:i/>
                <w:sz w:val="17"/>
              </w:rPr>
            </w:pPr>
            <w:r>
              <w:rPr>
                <w:b/>
                <w:i/>
                <w:sz w:val="17"/>
              </w:rPr>
              <w:t>Му</w:t>
            </w:r>
            <w:r>
              <w:rPr>
                <w:b/>
                <w:i/>
                <w:sz w:val="17"/>
              </w:rPr>
              <w:t>ж</w:t>
            </w:r>
            <w:r>
              <w:rPr>
                <w:b/>
                <w:i/>
                <w:sz w:val="17"/>
              </w:rPr>
              <w:t>чины, 1994 г.</w:t>
            </w:r>
          </w:p>
        </w:tc>
        <w:tc>
          <w:tcPr>
            <w:tcW w:w="746" w:type="dxa"/>
            <w:tcBorders>
              <w:top w:val="single" w:sz="4" w:space="0" w:color="auto"/>
              <w:bottom w:val="single" w:sz="12" w:space="0" w:color="auto"/>
            </w:tcBorders>
            <w:vAlign w:val="bottom"/>
          </w:tcPr>
          <w:p w:rsidR="00000000" w:rsidRDefault="00000000">
            <w:pPr>
              <w:spacing w:line="240" w:lineRule="auto"/>
              <w:jc w:val="center"/>
              <w:rPr>
                <w:b/>
                <w:i/>
                <w:sz w:val="17"/>
              </w:rPr>
            </w:pPr>
            <w:r>
              <w:rPr>
                <w:b/>
                <w:i/>
                <w:sz w:val="17"/>
              </w:rPr>
              <w:t>Же</w:t>
            </w:r>
            <w:r>
              <w:rPr>
                <w:b/>
                <w:i/>
                <w:sz w:val="17"/>
              </w:rPr>
              <w:t>н</w:t>
            </w:r>
            <w:r>
              <w:rPr>
                <w:b/>
                <w:i/>
                <w:sz w:val="17"/>
              </w:rPr>
              <w:t>щины, 1994 г.</w:t>
            </w:r>
          </w:p>
        </w:tc>
        <w:tc>
          <w:tcPr>
            <w:tcW w:w="746" w:type="dxa"/>
            <w:tcBorders>
              <w:top w:val="single" w:sz="4" w:space="0" w:color="auto"/>
              <w:bottom w:val="single" w:sz="12" w:space="0" w:color="auto"/>
            </w:tcBorders>
            <w:vAlign w:val="bottom"/>
          </w:tcPr>
          <w:p w:rsidR="00000000" w:rsidRDefault="00000000">
            <w:pPr>
              <w:spacing w:line="240" w:lineRule="auto"/>
              <w:jc w:val="center"/>
              <w:rPr>
                <w:b/>
                <w:i/>
                <w:sz w:val="17"/>
              </w:rPr>
            </w:pPr>
            <w:r>
              <w:rPr>
                <w:b/>
                <w:i/>
                <w:sz w:val="17"/>
              </w:rPr>
              <w:t>Всего, 1994 г.</w:t>
            </w:r>
          </w:p>
        </w:tc>
        <w:tc>
          <w:tcPr>
            <w:tcW w:w="746" w:type="dxa"/>
            <w:tcBorders>
              <w:top w:val="single" w:sz="4" w:space="0" w:color="auto"/>
              <w:bottom w:val="single" w:sz="12" w:space="0" w:color="auto"/>
            </w:tcBorders>
            <w:vAlign w:val="bottom"/>
          </w:tcPr>
          <w:p w:rsidR="00000000" w:rsidRDefault="00000000">
            <w:pPr>
              <w:spacing w:line="240" w:lineRule="auto"/>
              <w:jc w:val="center"/>
              <w:rPr>
                <w:b/>
                <w:i/>
                <w:sz w:val="17"/>
              </w:rPr>
            </w:pPr>
            <w:r>
              <w:rPr>
                <w:b/>
                <w:i/>
                <w:sz w:val="17"/>
              </w:rPr>
              <w:t>%</w:t>
            </w:r>
            <w:r>
              <w:rPr>
                <w:b/>
                <w:i/>
                <w:sz w:val="17"/>
                <w:lang w:val="en-US"/>
              </w:rPr>
              <w:t xml:space="preserve"> </w:t>
            </w:r>
            <w:r>
              <w:rPr>
                <w:b/>
                <w:i/>
                <w:sz w:val="17"/>
              </w:rPr>
              <w:t>же</w:t>
            </w:r>
            <w:r>
              <w:rPr>
                <w:b/>
                <w:i/>
                <w:sz w:val="17"/>
              </w:rPr>
              <w:t>н</w:t>
            </w:r>
            <w:r>
              <w:rPr>
                <w:b/>
                <w:i/>
                <w:sz w:val="17"/>
              </w:rPr>
              <w:t>щин</w:t>
            </w:r>
          </w:p>
        </w:tc>
        <w:tc>
          <w:tcPr>
            <w:tcW w:w="746" w:type="dxa"/>
            <w:tcBorders>
              <w:top w:val="single" w:sz="4" w:space="0" w:color="auto"/>
              <w:bottom w:val="single" w:sz="12" w:space="0" w:color="auto"/>
            </w:tcBorders>
            <w:vAlign w:val="bottom"/>
          </w:tcPr>
          <w:p w:rsidR="00000000" w:rsidRDefault="00000000">
            <w:pPr>
              <w:spacing w:line="240" w:lineRule="auto"/>
              <w:jc w:val="center"/>
              <w:rPr>
                <w:b/>
                <w:i/>
                <w:sz w:val="17"/>
              </w:rPr>
            </w:pPr>
            <w:r>
              <w:rPr>
                <w:b/>
                <w:i/>
                <w:sz w:val="17"/>
              </w:rPr>
              <w:t>Му</w:t>
            </w:r>
            <w:r>
              <w:rPr>
                <w:b/>
                <w:i/>
                <w:sz w:val="17"/>
              </w:rPr>
              <w:t>ж</w:t>
            </w:r>
            <w:r>
              <w:rPr>
                <w:b/>
                <w:i/>
                <w:sz w:val="17"/>
              </w:rPr>
              <w:t>чины, 1999 г.</w:t>
            </w:r>
          </w:p>
        </w:tc>
        <w:tc>
          <w:tcPr>
            <w:tcW w:w="746" w:type="dxa"/>
            <w:tcBorders>
              <w:top w:val="single" w:sz="4" w:space="0" w:color="auto"/>
              <w:bottom w:val="single" w:sz="12" w:space="0" w:color="auto"/>
            </w:tcBorders>
            <w:vAlign w:val="bottom"/>
          </w:tcPr>
          <w:p w:rsidR="00000000" w:rsidRDefault="00000000">
            <w:pPr>
              <w:spacing w:line="240" w:lineRule="auto"/>
              <w:jc w:val="center"/>
              <w:rPr>
                <w:b/>
                <w:i/>
                <w:sz w:val="17"/>
              </w:rPr>
            </w:pPr>
            <w:r>
              <w:rPr>
                <w:b/>
                <w:i/>
                <w:sz w:val="17"/>
              </w:rPr>
              <w:t>Же</w:t>
            </w:r>
            <w:r>
              <w:rPr>
                <w:b/>
                <w:i/>
                <w:sz w:val="17"/>
              </w:rPr>
              <w:t>н</w:t>
            </w:r>
            <w:r>
              <w:rPr>
                <w:b/>
                <w:i/>
                <w:sz w:val="17"/>
              </w:rPr>
              <w:t>щины, 1999 г.</w:t>
            </w:r>
          </w:p>
        </w:tc>
        <w:tc>
          <w:tcPr>
            <w:tcW w:w="746" w:type="dxa"/>
            <w:tcBorders>
              <w:top w:val="single" w:sz="4" w:space="0" w:color="auto"/>
              <w:bottom w:val="single" w:sz="12" w:space="0" w:color="auto"/>
            </w:tcBorders>
            <w:vAlign w:val="bottom"/>
          </w:tcPr>
          <w:p w:rsidR="00000000" w:rsidRDefault="00000000">
            <w:pPr>
              <w:spacing w:line="240" w:lineRule="auto"/>
              <w:jc w:val="center"/>
              <w:rPr>
                <w:b/>
                <w:i/>
                <w:sz w:val="17"/>
              </w:rPr>
            </w:pPr>
            <w:r>
              <w:rPr>
                <w:b/>
                <w:i/>
                <w:sz w:val="17"/>
              </w:rPr>
              <w:t>Всего, 1999 г.</w:t>
            </w:r>
          </w:p>
        </w:tc>
        <w:tc>
          <w:tcPr>
            <w:tcW w:w="747" w:type="dxa"/>
            <w:tcBorders>
              <w:top w:val="single" w:sz="4" w:space="0" w:color="auto"/>
              <w:bottom w:val="single" w:sz="12" w:space="0" w:color="auto"/>
            </w:tcBorders>
            <w:vAlign w:val="bottom"/>
          </w:tcPr>
          <w:p w:rsidR="00000000" w:rsidRDefault="00000000">
            <w:pPr>
              <w:spacing w:line="240" w:lineRule="auto"/>
              <w:jc w:val="center"/>
              <w:rPr>
                <w:b/>
                <w:i/>
                <w:sz w:val="17"/>
              </w:rPr>
            </w:pPr>
            <w:r>
              <w:rPr>
                <w:b/>
                <w:i/>
                <w:sz w:val="17"/>
              </w:rPr>
              <w:t>%</w:t>
            </w:r>
            <w:r>
              <w:rPr>
                <w:b/>
                <w:i/>
                <w:sz w:val="17"/>
                <w:lang w:val="en-US"/>
              </w:rPr>
              <w:t xml:space="preserve"> </w:t>
            </w:r>
            <w:r>
              <w:rPr>
                <w:b/>
                <w:i/>
                <w:sz w:val="17"/>
              </w:rPr>
              <w:t>же</w:t>
            </w:r>
            <w:r>
              <w:rPr>
                <w:b/>
                <w:i/>
                <w:sz w:val="17"/>
              </w:rPr>
              <w:t>н</w:t>
            </w:r>
            <w:r>
              <w:rPr>
                <w:b/>
                <w:i/>
                <w:sz w:val="17"/>
              </w:rPr>
              <w:t>щин</w:t>
            </w:r>
          </w:p>
        </w:tc>
      </w:tr>
      <w:tr w:rsidR="00000000">
        <w:tblPrEx>
          <w:tblCellMar>
            <w:top w:w="0" w:type="dxa"/>
            <w:bottom w:w="0" w:type="dxa"/>
          </w:tblCellMar>
        </w:tblPrEx>
        <w:tc>
          <w:tcPr>
            <w:tcW w:w="1402" w:type="dxa"/>
            <w:tcBorders>
              <w:top w:val="single" w:sz="12" w:space="0" w:color="auto"/>
            </w:tcBorders>
          </w:tcPr>
          <w:p w:rsidR="00000000" w:rsidRDefault="00000000">
            <w:pPr>
              <w:spacing w:line="240" w:lineRule="auto"/>
              <w:rPr>
                <w:sz w:val="17"/>
              </w:rPr>
            </w:pPr>
            <w:r>
              <w:rPr>
                <w:sz w:val="17"/>
              </w:rPr>
              <w:t>Альянс за д</w:t>
            </w:r>
            <w:r>
              <w:rPr>
                <w:sz w:val="17"/>
              </w:rPr>
              <w:t>е</w:t>
            </w:r>
            <w:r>
              <w:rPr>
                <w:sz w:val="17"/>
              </w:rPr>
              <w:t>мокр</w:t>
            </w:r>
            <w:r>
              <w:rPr>
                <w:sz w:val="17"/>
              </w:rPr>
              <w:t>а</w:t>
            </w:r>
            <w:r>
              <w:rPr>
                <w:sz w:val="17"/>
              </w:rPr>
              <w:t>тию</w:t>
            </w:r>
          </w:p>
        </w:tc>
        <w:tc>
          <w:tcPr>
            <w:tcW w:w="746" w:type="dxa"/>
            <w:tcBorders>
              <w:top w:val="single" w:sz="12" w:space="0" w:color="auto"/>
            </w:tcBorders>
            <w:vAlign w:val="bottom"/>
          </w:tcPr>
          <w:p w:rsidR="00000000" w:rsidRDefault="00000000">
            <w:pPr>
              <w:tabs>
                <w:tab w:val="decimal" w:pos="333"/>
              </w:tabs>
              <w:spacing w:line="240" w:lineRule="auto"/>
              <w:rPr>
                <w:sz w:val="17"/>
              </w:rPr>
            </w:pPr>
            <w:r>
              <w:rPr>
                <w:sz w:val="17"/>
              </w:rPr>
              <w:t>32</w:t>
            </w:r>
          </w:p>
        </w:tc>
        <w:tc>
          <w:tcPr>
            <w:tcW w:w="746" w:type="dxa"/>
            <w:tcBorders>
              <w:top w:val="single" w:sz="12" w:space="0" w:color="auto"/>
            </w:tcBorders>
            <w:vAlign w:val="bottom"/>
          </w:tcPr>
          <w:p w:rsidR="00000000" w:rsidRDefault="00000000">
            <w:pPr>
              <w:tabs>
                <w:tab w:val="decimal" w:pos="333"/>
              </w:tabs>
              <w:spacing w:line="240" w:lineRule="auto"/>
              <w:rPr>
                <w:sz w:val="17"/>
              </w:rPr>
            </w:pPr>
            <w:r>
              <w:rPr>
                <w:sz w:val="17"/>
              </w:rPr>
              <w:t>1</w:t>
            </w:r>
          </w:p>
        </w:tc>
        <w:tc>
          <w:tcPr>
            <w:tcW w:w="746" w:type="dxa"/>
            <w:tcBorders>
              <w:top w:val="single" w:sz="12" w:space="0" w:color="auto"/>
            </w:tcBorders>
            <w:vAlign w:val="bottom"/>
          </w:tcPr>
          <w:p w:rsidR="00000000" w:rsidRDefault="00000000">
            <w:pPr>
              <w:tabs>
                <w:tab w:val="decimal" w:pos="333"/>
              </w:tabs>
              <w:spacing w:line="240" w:lineRule="auto"/>
              <w:rPr>
                <w:sz w:val="17"/>
              </w:rPr>
            </w:pPr>
            <w:r>
              <w:rPr>
                <w:sz w:val="17"/>
              </w:rPr>
              <w:t>33</w:t>
            </w:r>
          </w:p>
        </w:tc>
        <w:tc>
          <w:tcPr>
            <w:tcW w:w="746" w:type="dxa"/>
            <w:tcBorders>
              <w:top w:val="single" w:sz="12" w:space="0" w:color="auto"/>
            </w:tcBorders>
            <w:vAlign w:val="bottom"/>
          </w:tcPr>
          <w:p w:rsidR="00000000" w:rsidRDefault="00000000">
            <w:pPr>
              <w:tabs>
                <w:tab w:val="decimal" w:pos="333"/>
              </w:tabs>
              <w:spacing w:line="240" w:lineRule="auto"/>
              <w:rPr>
                <w:sz w:val="17"/>
              </w:rPr>
            </w:pPr>
            <w:r>
              <w:rPr>
                <w:sz w:val="17"/>
              </w:rPr>
              <w:t>3</w:t>
            </w:r>
          </w:p>
        </w:tc>
        <w:tc>
          <w:tcPr>
            <w:tcW w:w="746" w:type="dxa"/>
            <w:tcBorders>
              <w:top w:val="single" w:sz="12" w:space="0" w:color="auto"/>
            </w:tcBorders>
            <w:vAlign w:val="bottom"/>
          </w:tcPr>
          <w:p w:rsidR="00000000" w:rsidRDefault="00000000">
            <w:pPr>
              <w:tabs>
                <w:tab w:val="decimal" w:pos="333"/>
              </w:tabs>
              <w:spacing w:line="240" w:lineRule="auto"/>
              <w:rPr>
                <w:sz w:val="17"/>
              </w:rPr>
            </w:pPr>
            <w:r>
              <w:rPr>
                <w:sz w:val="17"/>
              </w:rPr>
              <w:t>29</w:t>
            </w:r>
          </w:p>
        </w:tc>
        <w:tc>
          <w:tcPr>
            <w:tcW w:w="746" w:type="dxa"/>
            <w:tcBorders>
              <w:top w:val="single" w:sz="12" w:space="0" w:color="auto"/>
            </w:tcBorders>
            <w:vAlign w:val="bottom"/>
          </w:tcPr>
          <w:p w:rsidR="00000000" w:rsidRDefault="00000000">
            <w:pPr>
              <w:tabs>
                <w:tab w:val="decimal" w:pos="333"/>
              </w:tabs>
              <w:spacing w:line="240" w:lineRule="auto"/>
              <w:rPr>
                <w:sz w:val="17"/>
              </w:rPr>
            </w:pPr>
            <w:r>
              <w:rPr>
                <w:sz w:val="17"/>
              </w:rPr>
              <w:t>1</w:t>
            </w:r>
          </w:p>
        </w:tc>
        <w:tc>
          <w:tcPr>
            <w:tcW w:w="746" w:type="dxa"/>
            <w:tcBorders>
              <w:top w:val="single" w:sz="12" w:space="0" w:color="auto"/>
            </w:tcBorders>
            <w:vAlign w:val="bottom"/>
          </w:tcPr>
          <w:p w:rsidR="00000000" w:rsidRDefault="00000000">
            <w:pPr>
              <w:tabs>
                <w:tab w:val="decimal" w:pos="333"/>
              </w:tabs>
              <w:spacing w:line="240" w:lineRule="auto"/>
              <w:rPr>
                <w:sz w:val="17"/>
              </w:rPr>
            </w:pPr>
            <w:r>
              <w:rPr>
                <w:sz w:val="17"/>
              </w:rPr>
              <w:t>30</w:t>
            </w:r>
          </w:p>
        </w:tc>
        <w:tc>
          <w:tcPr>
            <w:tcW w:w="747" w:type="dxa"/>
            <w:tcBorders>
              <w:top w:val="single" w:sz="12" w:space="0" w:color="auto"/>
            </w:tcBorders>
            <w:vAlign w:val="bottom"/>
          </w:tcPr>
          <w:p w:rsidR="00000000" w:rsidRDefault="00000000">
            <w:pPr>
              <w:tabs>
                <w:tab w:val="decimal" w:pos="333"/>
              </w:tabs>
              <w:spacing w:line="240" w:lineRule="auto"/>
              <w:rPr>
                <w:sz w:val="17"/>
              </w:rPr>
            </w:pPr>
            <w:r>
              <w:rPr>
                <w:sz w:val="17"/>
              </w:rPr>
              <w:t>3</w:t>
            </w:r>
          </w:p>
        </w:tc>
      </w:tr>
      <w:tr w:rsidR="00000000">
        <w:tblPrEx>
          <w:tblCellMar>
            <w:top w:w="0" w:type="dxa"/>
            <w:bottom w:w="0" w:type="dxa"/>
          </w:tblCellMar>
        </w:tblPrEx>
        <w:tc>
          <w:tcPr>
            <w:tcW w:w="1402" w:type="dxa"/>
          </w:tcPr>
          <w:p w:rsidR="00000000" w:rsidRDefault="00000000">
            <w:pPr>
              <w:spacing w:line="240" w:lineRule="auto"/>
              <w:rPr>
                <w:sz w:val="17"/>
              </w:rPr>
            </w:pPr>
            <w:r>
              <w:rPr>
                <w:sz w:val="17"/>
              </w:rPr>
              <w:t>Единый дем</w:t>
            </w:r>
            <w:r>
              <w:rPr>
                <w:sz w:val="17"/>
              </w:rPr>
              <w:t>о</w:t>
            </w:r>
            <w:r>
              <w:rPr>
                <w:sz w:val="17"/>
              </w:rPr>
              <w:t>кратический фронт</w:t>
            </w:r>
          </w:p>
        </w:tc>
        <w:tc>
          <w:tcPr>
            <w:tcW w:w="746" w:type="dxa"/>
            <w:vAlign w:val="bottom"/>
          </w:tcPr>
          <w:p w:rsidR="00000000" w:rsidRDefault="00000000">
            <w:pPr>
              <w:tabs>
                <w:tab w:val="decimal" w:pos="333"/>
              </w:tabs>
              <w:spacing w:line="240" w:lineRule="auto"/>
              <w:rPr>
                <w:sz w:val="17"/>
              </w:rPr>
            </w:pPr>
            <w:r>
              <w:rPr>
                <w:sz w:val="17"/>
              </w:rPr>
              <w:t>79</w:t>
            </w:r>
          </w:p>
        </w:tc>
        <w:tc>
          <w:tcPr>
            <w:tcW w:w="746" w:type="dxa"/>
            <w:vAlign w:val="bottom"/>
          </w:tcPr>
          <w:p w:rsidR="00000000" w:rsidRDefault="00000000">
            <w:pPr>
              <w:tabs>
                <w:tab w:val="decimal" w:pos="333"/>
              </w:tabs>
              <w:spacing w:line="240" w:lineRule="auto"/>
              <w:rPr>
                <w:sz w:val="17"/>
              </w:rPr>
            </w:pPr>
            <w:r>
              <w:rPr>
                <w:sz w:val="17"/>
              </w:rPr>
              <w:t>5</w:t>
            </w:r>
          </w:p>
        </w:tc>
        <w:tc>
          <w:tcPr>
            <w:tcW w:w="746" w:type="dxa"/>
            <w:vAlign w:val="bottom"/>
          </w:tcPr>
          <w:p w:rsidR="00000000" w:rsidRDefault="00000000">
            <w:pPr>
              <w:tabs>
                <w:tab w:val="decimal" w:pos="333"/>
              </w:tabs>
              <w:spacing w:line="240" w:lineRule="auto"/>
              <w:rPr>
                <w:sz w:val="17"/>
              </w:rPr>
            </w:pPr>
            <w:r>
              <w:rPr>
                <w:sz w:val="17"/>
              </w:rPr>
              <w:t>84</w:t>
            </w:r>
          </w:p>
        </w:tc>
        <w:tc>
          <w:tcPr>
            <w:tcW w:w="746" w:type="dxa"/>
            <w:vAlign w:val="bottom"/>
          </w:tcPr>
          <w:p w:rsidR="00000000" w:rsidRDefault="00000000">
            <w:pPr>
              <w:tabs>
                <w:tab w:val="decimal" w:pos="333"/>
              </w:tabs>
              <w:spacing w:line="240" w:lineRule="auto"/>
              <w:rPr>
                <w:sz w:val="17"/>
              </w:rPr>
            </w:pPr>
            <w:r>
              <w:rPr>
                <w:sz w:val="17"/>
              </w:rPr>
              <w:t>5,9</w:t>
            </w:r>
          </w:p>
        </w:tc>
        <w:tc>
          <w:tcPr>
            <w:tcW w:w="746" w:type="dxa"/>
            <w:vAlign w:val="bottom"/>
          </w:tcPr>
          <w:p w:rsidR="00000000" w:rsidRDefault="00000000">
            <w:pPr>
              <w:tabs>
                <w:tab w:val="decimal" w:pos="333"/>
              </w:tabs>
              <w:spacing w:line="240" w:lineRule="auto"/>
              <w:rPr>
                <w:sz w:val="17"/>
              </w:rPr>
            </w:pPr>
            <w:r>
              <w:rPr>
                <w:sz w:val="17"/>
              </w:rPr>
              <w:t>83</w:t>
            </w:r>
          </w:p>
        </w:tc>
        <w:tc>
          <w:tcPr>
            <w:tcW w:w="746" w:type="dxa"/>
            <w:vAlign w:val="bottom"/>
          </w:tcPr>
          <w:p w:rsidR="00000000" w:rsidRDefault="00000000">
            <w:pPr>
              <w:tabs>
                <w:tab w:val="decimal" w:pos="333"/>
              </w:tabs>
              <w:spacing w:line="240" w:lineRule="auto"/>
              <w:rPr>
                <w:sz w:val="17"/>
              </w:rPr>
            </w:pPr>
            <w:r>
              <w:rPr>
                <w:sz w:val="17"/>
              </w:rPr>
              <w:t>12</w:t>
            </w:r>
          </w:p>
        </w:tc>
        <w:tc>
          <w:tcPr>
            <w:tcW w:w="746" w:type="dxa"/>
            <w:vAlign w:val="bottom"/>
          </w:tcPr>
          <w:p w:rsidR="00000000" w:rsidRDefault="00000000">
            <w:pPr>
              <w:tabs>
                <w:tab w:val="decimal" w:pos="333"/>
              </w:tabs>
              <w:spacing w:line="240" w:lineRule="auto"/>
              <w:rPr>
                <w:sz w:val="17"/>
              </w:rPr>
            </w:pPr>
            <w:r>
              <w:rPr>
                <w:sz w:val="17"/>
              </w:rPr>
              <w:t>95</w:t>
            </w:r>
          </w:p>
        </w:tc>
        <w:tc>
          <w:tcPr>
            <w:tcW w:w="747" w:type="dxa"/>
            <w:vAlign w:val="bottom"/>
          </w:tcPr>
          <w:p w:rsidR="00000000" w:rsidRDefault="00000000">
            <w:pPr>
              <w:tabs>
                <w:tab w:val="decimal" w:pos="333"/>
              </w:tabs>
              <w:spacing w:line="240" w:lineRule="auto"/>
              <w:rPr>
                <w:sz w:val="17"/>
              </w:rPr>
            </w:pPr>
            <w:r>
              <w:rPr>
                <w:sz w:val="17"/>
              </w:rPr>
              <w:t>1,6</w:t>
            </w:r>
          </w:p>
        </w:tc>
      </w:tr>
      <w:tr w:rsidR="00000000">
        <w:tblPrEx>
          <w:tblCellMar>
            <w:top w:w="0" w:type="dxa"/>
            <w:bottom w:w="0" w:type="dxa"/>
          </w:tblCellMar>
        </w:tblPrEx>
        <w:tc>
          <w:tcPr>
            <w:tcW w:w="1402" w:type="dxa"/>
          </w:tcPr>
          <w:p w:rsidR="00000000" w:rsidRDefault="00000000">
            <w:pPr>
              <w:spacing w:line="240" w:lineRule="auto"/>
              <w:rPr>
                <w:sz w:val="17"/>
              </w:rPr>
            </w:pPr>
            <w:r>
              <w:rPr>
                <w:sz w:val="17"/>
              </w:rPr>
              <w:t>Партия ко</w:t>
            </w:r>
            <w:r>
              <w:rPr>
                <w:sz w:val="17"/>
              </w:rPr>
              <w:t>н</w:t>
            </w:r>
            <w:r>
              <w:rPr>
                <w:sz w:val="17"/>
              </w:rPr>
              <w:t>гресса Мал</w:t>
            </w:r>
            <w:r>
              <w:rPr>
                <w:sz w:val="17"/>
              </w:rPr>
              <w:t>а</w:t>
            </w:r>
            <w:r>
              <w:rPr>
                <w:sz w:val="17"/>
              </w:rPr>
              <w:t>ви</w:t>
            </w:r>
          </w:p>
        </w:tc>
        <w:tc>
          <w:tcPr>
            <w:tcW w:w="746" w:type="dxa"/>
            <w:vAlign w:val="bottom"/>
          </w:tcPr>
          <w:p w:rsidR="00000000" w:rsidRDefault="00000000">
            <w:pPr>
              <w:tabs>
                <w:tab w:val="decimal" w:pos="333"/>
              </w:tabs>
              <w:spacing w:line="240" w:lineRule="auto"/>
              <w:rPr>
                <w:sz w:val="17"/>
              </w:rPr>
            </w:pPr>
            <w:r>
              <w:rPr>
                <w:sz w:val="17"/>
              </w:rPr>
              <w:t>50</w:t>
            </w:r>
          </w:p>
        </w:tc>
        <w:tc>
          <w:tcPr>
            <w:tcW w:w="746" w:type="dxa"/>
            <w:vAlign w:val="bottom"/>
          </w:tcPr>
          <w:p w:rsidR="00000000" w:rsidRDefault="00000000">
            <w:pPr>
              <w:tabs>
                <w:tab w:val="decimal" w:pos="333"/>
              </w:tabs>
              <w:spacing w:line="240" w:lineRule="auto"/>
              <w:rPr>
                <w:sz w:val="17"/>
              </w:rPr>
            </w:pPr>
            <w:r>
              <w:rPr>
                <w:sz w:val="17"/>
              </w:rPr>
              <w:t>4</w:t>
            </w:r>
          </w:p>
        </w:tc>
        <w:tc>
          <w:tcPr>
            <w:tcW w:w="746" w:type="dxa"/>
            <w:vAlign w:val="bottom"/>
          </w:tcPr>
          <w:p w:rsidR="00000000" w:rsidRDefault="00000000">
            <w:pPr>
              <w:tabs>
                <w:tab w:val="decimal" w:pos="333"/>
              </w:tabs>
              <w:spacing w:line="240" w:lineRule="auto"/>
              <w:rPr>
                <w:sz w:val="17"/>
              </w:rPr>
            </w:pPr>
            <w:r>
              <w:rPr>
                <w:sz w:val="17"/>
              </w:rPr>
              <w:t>54</w:t>
            </w:r>
          </w:p>
        </w:tc>
        <w:tc>
          <w:tcPr>
            <w:tcW w:w="746" w:type="dxa"/>
            <w:vAlign w:val="bottom"/>
          </w:tcPr>
          <w:p w:rsidR="00000000" w:rsidRDefault="00000000">
            <w:pPr>
              <w:tabs>
                <w:tab w:val="decimal" w:pos="333"/>
              </w:tabs>
              <w:spacing w:line="240" w:lineRule="auto"/>
              <w:rPr>
                <w:sz w:val="17"/>
              </w:rPr>
            </w:pPr>
            <w:r>
              <w:rPr>
                <w:sz w:val="17"/>
              </w:rPr>
              <w:t>7,4</w:t>
            </w:r>
          </w:p>
        </w:tc>
        <w:tc>
          <w:tcPr>
            <w:tcW w:w="746" w:type="dxa"/>
            <w:vAlign w:val="bottom"/>
          </w:tcPr>
          <w:p w:rsidR="00000000" w:rsidRDefault="00000000">
            <w:pPr>
              <w:tabs>
                <w:tab w:val="decimal" w:pos="333"/>
              </w:tabs>
              <w:spacing w:line="240" w:lineRule="auto"/>
              <w:rPr>
                <w:sz w:val="17"/>
              </w:rPr>
            </w:pPr>
            <w:r>
              <w:rPr>
                <w:sz w:val="17"/>
              </w:rPr>
              <w:t>58</w:t>
            </w:r>
          </w:p>
        </w:tc>
        <w:tc>
          <w:tcPr>
            <w:tcW w:w="746" w:type="dxa"/>
            <w:vAlign w:val="bottom"/>
          </w:tcPr>
          <w:p w:rsidR="00000000" w:rsidRDefault="00000000">
            <w:pPr>
              <w:tabs>
                <w:tab w:val="decimal" w:pos="333"/>
              </w:tabs>
              <w:spacing w:line="240" w:lineRule="auto"/>
              <w:rPr>
                <w:sz w:val="17"/>
              </w:rPr>
            </w:pPr>
            <w:r>
              <w:rPr>
                <w:sz w:val="17"/>
              </w:rPr>
              <w:t>3</w:t>
            </w:r>
          </w:p>
        </w:tc>
        <w:tc>
          <w:tcPr>
            <w:tcW w:w="746" w:type="dxa"/>
            <w:vAlign w:val="bottom"/>
          </w:tcPr>
          <w:p w:rsidR="00000000" w:rsidRDefault="00000000">
            <w:pPr>
              <w:tabs>
                <w:tab w:val="decimal" w:pos="333"/>
              </w:tabs>
              <w:spacing w:line="240" w:lineRule="auto"/>
              <w:rPr>
                <w:sz w:val="17"/>
              </w:rPr>
            </w:pPr>
            <w:r>
              <w:rPr>
                <w:sz w:val="17"/>
              </w:rPr>
              <w:t>61</w:t>
            </w:r>
          </w:p>
        </w:tc>
        <w:tc>
          <w:tcPr>
            <w:tcW w:w="747" w:type="dxa"/>
            <w:vAlign w:val="bottom"/>
          </w:tcPr>
          <w:p w:rsidR="00000000" w:rsidRDefault="00000000">
            <w:pPr>
              <w:tabs>
                <w:tab w:val="decimal" w:pos="333"/>
              </w:tabs>
              <w:spacing w:line="240" w:lineRule="auto"/>
              <w:rPr>
                <w:sz w:val="17"/>
              </w:rPr>
            </w:pPr>
            <w:r>
              <w:rPr>
                <w:sz w:val="17"/>
              </w:rPr>
              <w:t>4,9</w:t>
            </w:r>
          </w:p>
        </w:tc>
      </w:tr>
      <w:tr w:rsidR="00000000">
        <w:tblPrEx>
          <w:tblCellMar>
            <w:top w:w="0" w:type="dxa"/>
            <w:bottom w:w="0" w:type="dxa"/>
          </w:tblCellMar>
        </w:tblPrEx>
        <w:trPr>
          <w:trHeight w:val="285"/>
        </w:trPr>
        <w:tc>
          <w:tcPr>
            <w:tcW w:w="1402" w:type="dxa"/>
            <w:vAlign w:val="center"/>
          </w:tcPr>
          <w:p w:rsidR="00000000" w:rsidRDefault="00000000">
            <w:pPr>
              <w:spacing w:line="240" w:lineRule="auto"/>
              <w:rPr>
                <w:sz w:val="17"/>
              </w:rPr>
            </w:pPr>
            <w:r>
              <w:rPr>
                <w:sz w:val="17"/>
              </w:rPr>
              <w:t>Независ</w:t>
            </w:r>
            <w:r>
              <w:rPr>
                <w:sz w:val="17"/>
              </w:rPr>
              <w:t>и</w:t>
            </w:r>
            <w:r>
              <w:rPr>
                <w:sz w:val="17"/>
              </w:rPr>
              <w:t>мые</w:t>
            </w:r>
          </w:p>
        </w:tc>
        <w:tc>
          <w:tcPr>
            <w:tcW w:w="746" w:type="dxa"/>
            <w:vAlign w:val="bottom"/>
          </w:tcPr>
          <w:p w:rsidR="00000000" w:rsidRDefault="00000000">
            <w:pPr>
              <w:tabs>
                <w:tab w:val="decimal" w:pos="333"/>
              </w:tabs>
              <w:spacing w:line="240" w:lineRule="auto"/>
              <w:rPr>
                <w:sz w:val="17"/>
              </w:rPr>
            </w:pPr>
            <w:r>
              <w:rPr>
                <w:sz w:val="17"/>
              </w:rPr>
              <w:t>-</w:t>
            </w:r>
          </w:p>
        </w:tc>
        <w:tc>
          <w:tcPr>
            <w:tcW w:w="746" w:type="dxa"/>
            <w:vAlign w:val="bottom"/>
          </w:tcPr>
          <w:p w:rsidR="00000000" w:rsidRDefault="00000000">
            <w:pPr>
              <w:tabs>
                <w:tab w:val="decimal" w:pos="333"/>
              </w:tabs>
              <w:spacing w:line="240" w:lineRule="auto"/>
              <w:rPr>
                <w:sz w:val="17"/>
              </w:rPr>
            </w:pPr>
            <w:r>
              <w:rPr>
                <w:sz w:val="17"/>
              </w:rPr>
              <w:t>-</w:t>
            </w:r>
          </w:p>
        </w:tc>
        <w:tc>
          <w:tcPr>
            <w:tcW w:w="746" w:type="dxa"/>
            <w:vAlign w:val="bottom"/>
          </w:tcPr>
          <w:p w:rsidR="00000000" w:rsidRDefault="00000000">
            <w:pPr>
              <w:tabs>
                <w:tab w:val="decimal" w:pos="333"/>
              </w:tabs>
              <w:spacing w:line="240" w:lineRule="auto"/>
              <w:rPr>
                <w:sz w:val="17"/>
              </w:rPr>
            </w:pPr>
            <w:r>
              <w:rPr>
                <w:sz w:val="17"/>
              </w:rPr>
              <w:t>-</w:t>
            </w:r>
          </w:p>
        </w:tc>
        <w:tc>
          <w:tcPr>
            <w:tcW w:w="746" w:type="dxa"/>
            <w:vAlign w:val="bottom"/>
          </w:tcPr>
          <w:p w:rsidR="00000000" w:rsidRDefault="00000000">
            <w:pPr>
              <w:tabs>
                <w:tab w:val="decimal" w:pos="333"/>
              </w:tabs>
              <w:spacing w:line="240" w:lineRule="auto"/>
              <w:rPr>
                <w:sz w:val="17"/>
              </w:rPr>
            </w:pPr>
            <w:r>
              <w:rPr>
                <w:sz w:val="17"/>
              </w:rPr>
              <w:t>-</w:t>
            </w:r>
          </w:p>
        </w:tc>
        <w:tc>
          <w:tcPr>
            <w:tcW w:w="746" w:type="dxa"/>
            <w:vAlign w:val="bottom"/>
          </w:tcPr>
          <w:p w:rsidR="00000000" w:rsidRDefault="00000000">
            <w:pPr>
              <w:tabs>
                <w:tab w:val="decimal" w:pos="333"/>
              </w:tabs>
              <w:spacing w:line="240" w:lineRule="auto"/>
              <w:rPr>
                <w:sz w:val="17"/>
              </w:rPr>
            </w:pPr>
            <w:r>
              <w:rPr>
                <w:sz w:val="17"/>
              </w:rPr>
              <w:t>5</w:t>
            </w:r>
          </w:p>
        </w:tc>
        <w:tc>
          <w:tcPr>
            <w:tcW w:w="746" w:type="dxa"/>
            <w:vAlign w:val="bottom"/>
          </w:tcPr>
          <w:p w:rsidR="00000000" w:rsidRDefault="00000000">
            <w:pPr>
              <w:tabs>
                <w:tab w:val="decimal" w:pos="333"/>
              </w:tabs>
              <w:spacing w:line="240" w:lineRule="auto"/>
              <w:rPr>
                <w:sz w:val="17"/>
              </w:rPr>
            </w:pPr>
            <w:r>
              <w:rPr>
                <w:sz w:val="17"/>
              </w:rPr>
              <w:t>1</w:t>
            </w:r>
          </w:p>
        </w:tc>
        <w:tc>
          <w:tcPr>
            <w:tcW w:w="746" w:type="dxa"/>
            <w:vAlign w:val="bottom"/>
          </w:tcPr>
          <w:p w:rsidR="00000000" w:rsidRDefault="00000000">
            <w:pPr>
              <w:tabs>
                <w:tab w:val="decimal" w:pos="333"/>
              </w:tabs>
              <w:spacing w:line="240" w:lineRule="auto"/>
              <w:rPr>
                <w:sz w:val="17"/>
              </w:rPr>
            </w:pPr>
            <w:r>
              <w:rPr>
                <w:sz w:val="17"/>
              </w:rPr>
              <w:t>6</w:t>
            </w:r>
          </w:p>
        </w:tc>
        <w:tc>
          <w:tcPr>
            <w:tcW w:w="747" w:type="dxa"/>
            <w:vAlign w:val="bottom"/>
          </w:tcPr>
          <w:p w:rsidR="00000000" w:rsidRDefault="00000000">
            <w:pPr>
              <w:tabs>
                <w:tab w:val="decimal" w:pos="333"/>
              </w:tabs>
              <w:spacing w:line="240" w:lineRule="auto"/>
              <w:rPr>
                <w:sz w:val="17"/>
              </w:rPr>
            </w:pPr>
            <w:r>
              <w:rPr>
                <w:sz w:val="17"/>
              </w:rPr>
              <w:t>16,7</w:t>
            </w:r>
          </w:p>
        </w:tc>
      </w:tr>
      <w:tr w:rsidR="00000000">
        <w:tblPrEx>
          <w:tblCellMar>
            <w:top w:w="0" w:type="dxa"/>
            <w:bottom w:w="0" w:type="dxa"/>
          </w:tblCellMar>
        </w:tblPrEx>
        <w:trPr>
          <w:trHeight w:val="285"/>
        </w:trPr>
        <w:tc>
          <w:tcPr>
            <w:tcW w:w="1402" w:type="dxa"/>
            <w:tcBorders>
              <w:bottom w:val="single" w:sz="12" w:space="0" w:color="auto"/>
            </w:tcBorders>
            <w:vAlign w:val="center"/>
          </w:tcPr>
          <w:p w:rsidR="00000000" w:rsidRDefault="00000000">
            <w:pPr>
              <w:pStyle w:val="Header"/>
              <w:tabs>
                <w:tab w:val="clear" w:pos="4320"/>
                <w:tab w:val="clear" w:pos="8640"/>
              </w:tabs>
              <w:rPr>
                <w:noProof w:val="0"/>
                <w:spacing w:val="4"/>
                <w:w w:val="103"/>
                <w:kern w:val="14"/>
              </w:rPr>
            </w:pPr>
            <w:r>
              <w:rPr>
                <w:noProof w:val="0"/>
                <w:spacing w:val="4"/>
                <w:w w:val="103"/>
                <w:kern w:val="14"/>
              </w:rPr>
              <w:t>Всего</w:t>
            </w:r>
          </w:p>
        </w:tc>
        <w:tc>
          <w:tcPr>
            <w:tcW w:w="746" w:type="dxa"/>
            <w:tcBorders>
              <w:bottom w:val="single" w:sz="12" w:space="0" w:color="auto"/>
            </w:tcBorders>
            <w:vAlign w:val="bottom"/>
          </w:tcPr>
          <w:p w:rsidR="00000000" w:rsidRDefault="00000000">
            <w:pPr>
              <w:tabs>
                <w:tab w:val="decimal" w:pos="333"/>
              </w:tabs>
              <w:spacing w:line="240" w:lineRule="auto"/>
              <w:rPr>
                <w:sz w:val="17"/>
              </w:rPr>
            </w:pPr>
            <w:r>
              <w:rPr>
                <w:sz w:val="17"/>
              </w:rPr>
              <w:t>167</w:t>
            </w:r>
          </w:p>
        </w:tc>
        <w:tc>
          <w:tcPr>
            <w:tcW w:w="746" w:type="dxa"/>
            <w:tcBorders>
              <w:bottom w:val="single" w:sz="12" w:space="0" w:color="auto"/>
            </w:tcBorders>
            <w:vAlign w:val="bottom"/>
          </w:tcPr>
          <w:p w:rsidR="00000000" w:rsidRDefault="00000000">
            <w:pPr>
              <w:tabs>
                <w:tab w:val="decimal" w:pos="333"/>
              </w:tabs>
              <w:spacing w:line="240" w:lineRule="auto"/>
              <w:rPr>
                <w:sz w:val="17"/>
              </w:rPr>
            </w:pPr>
            <w:r>
              <w:rPr>
                <w:sz w:val="17"/>
              </w:rPr>
              <w:t>10</w:t>
            </w:r>
          </w:p>
        </w:tc>
        <w:tc>
          <w:tcPr>
            <w:tcW w:w="746" w:type="dxa"/>
            <w:tcBorders>
              <w:bottom w:val="single" w:sz="12" w:space="0" w:color="auto"/>
            </w:tcBorders>
            <w:vAlign w:val="bottom"/>
          </w:tcPr>
          <w:p w:rsidR="00000000" w:rsidRDefault="00000000">
            <w:pPr>
              <w:tabs>
                <w:tab w:val="decimal" w:pos="333"/>
              </w:tabs>
              <w:spacing w:line="240" w:lineRule="auto"/>
              <w:rPr>
                <w:sz w:val="17"/>
              </w:rPr>
            </w:pPr>
            <w:r>
              <w:rPr>
                <w:sz w:val="17"/>
              </w:rPr>
              <w:t>177</w:t>
            </w:r>
          </w:p>
        </w:tc>
        <w:tc>
          <w:tcPr>
            <w:tcW w:w="746" w:type="dxa"/>
            <w:tcBorders>
              <w:bottom w:val="single" w:sz="12" w:space="0" w:color="auto"/>
            </w:tcBorders>
            <w:vAlign w:val="bottom"/>
          </w:tcPr>
          <w:p w:rsidR="00000000" w:rsidRDefault="00000000">
            <w:pPr>
              <w:tabs>
                <w:tab w:val="decimal" w:pos="333"/>
              </w:tabs>
              <w:spacing w:line="240" w:lineRule="auto"/>
              <w:rPr>
                <w:sz w:val="17"/>
              </w:rPr>
            </w:pPr>
            <w:r>
              <w:rPr>
                <w:sz w:val="17"/>
              </w:rPr>
              <w:t>5,6</w:t>
            </w:r>
          </w:p>
        </w:tc>
        <w:tc>
          <w:tcPr>
            <w:tcW w:w="746" w:type="dxa"/>
            <w:tcBorders>
              <w:bottom w:val="single" w:sz="12" w:space="0" w:color="auto"/>
            </w:tcBorders>
            <w:vAlign w:val="bottom"/>
          </w:tcPr>
          <w:p w:rsidR="00000000" w:rsidRDefault="00000000">
            <w:pPr>
              <w:tabs>
                <w:tab w:val="decimal" w:pos="333"/>
              </w:tabs>
              <w:spacing w:line="240" w:lineRule="auto"/>
              <w:rPr>
                <w:sz w:val="17"/>
              </w:rPr>
            </w:pPr>
            <w:r>
              <w:rPr>
                <w:sz w:val="17"/>
              </w:rPr>
              <w:t>176</w:t>
            </w:r>
          </w:p>
        </w:tc>
        <w:tc>
          <w:tcPr>
            <w:tcW w:w="746" w:type="dxa"/>
            <w:tcBorders>
              <w:bottom w:val="single" w:sz="12" w:space="0" w:color="auto"/>
            </w:tcBorders>
            <w:vAlign w:val="bottom"/>
          </w:tcPr>
          <w:p w:rsidR="00000000" w:rsidRDefault="00000000">
            <w:pPr>
              <w:tabs>
                <w:tab w:val="decimal" w:pos="333"/>
              </w:tabs>
              <w:spacing w:line="240" w:lineRule="auto"/>
              <w:rPr>
                <w:sz w:val="17"/>
              </w:rPr>
            </w:pPr>
            <w:r>
              <w:rPr>
                <w:sz w:val="17"/>
              </w:rPr>
              <w:t>17</w:t>
            </w:r>
          </w:p>
        </w:tc>
        <w:tc>
          <w:tcPr>
            <w:tcW w:w="746" w:type="dxa"/>
            <w:tcBorders>
              <w:bottom w:val="single" w:sz="12" w:space="0" w:color="auto"/>
            </w:tcBorders>
            <w:vAlign w:val="bottom"/>
          </w:tcPr>
          <w:p w:rsidR="00000000" w:rsidRDefault="00000000">
            <w:pPr>
              <w:tabs>
                <w:tab w:val="decimal" w:pos="333"/>
              </w:tabs>
              <w:spacing w:line="240" w:lineRule="auto"/>
              <w:rPr>
                <w:sz w:val="17"/>
              </w:rPr>
            </w:pPr>
            <w:r>
              <w:rPr>
                <w:sz w:val="17"/>
              </w:rPr>
              <w:t>193</w:t>
            </w:r>
          </w:p>
        </w:tc>
        <w:tc>
          <w:tcPr>
            <w:tcW w:w="747" w:type="dxa"/>
            <w:tcBorders>
              <w:bottom w:val="single" w:sz="12" w:space="0" w:color="auto"/>
            </w:tcBorders>
            <w:vAlign w:val="bottom"/>
          </w:tcPr>
          <w:p w:rsidR="00000000" w:rsidRDefault="00000000">
            <w:pPr>
              <w:tabs>
                <w:tab w:val="decimal" w:pos="333"/>
              </w:tabs>
              <w:spacing w:line="240" w:lineRule="auto"/>
              <w:rPr>
                <w:sz w:val="17"/>
              </w:rPr>
            </w:pPr>
            <w:r>
              <w:rPr>
                <w:sz w:val="17"/>
              </w:rPr>
              <w:t>8,8</w:t>
            </w:r>
          </w:p>
        </w:tc>
      </w:tr>
    </w:tbl>
    <w:p w:rsidR="00000000" w:rsidRDefault="00000000">
      <w:pPr>
        <w:pStyle w:val="SingleTxt"/>
        <w:spacing w:after="0" w:line="120" w:lineRule="exact"/>
        <w:rPr>
          <w:sz w:val="10"/>
        </w:rPr>
      </w:pPr>
    </w:p>
    <w:p w:rsidR="00000000" w:rsidRDefault="00000000">
      <w:pPr>
        <w:pStyle w:val="SingleTxt"/>
        <w:spacing w:before="120"/>
      </w:pPr>
      <w:r>
        <w:t>7.3.2.</w:t>
      </w:r>
      <w:r>
        <w:tab/>
        <w:t>Хотя в голосовании участвует больше женщин, чем мужчин, многие из них не готовы к тому, чтобы заниматься политической деятельностью ввиду их культурных традиций, предусматривающих, что женщины не могут зан</w:t>
      </w:r>
      <w:r>
        <w:t>и</w:t>
      </w:r>
      <w:r>
        <w:t>маться о</w:t>
      </w:r>
      <w:r>
        <w:t>б</w:t>
      </w:r>
      <w:r>
        <w:t xml:space="preserve">щественной работой. </w:t>
      </w:r>
    </w:p>
    <w:p w:rsidR="00000000" w:rsidRDefault="00000000">
      <w:pPr>
        <w:pStyle w:val="SingleTxt"/>
        <w:spacing w:after="0" w:line="120" w:lineRule="exact"/>
        <w:rPr>
          <w:sz w:val="10"/>
        </w:rPr>
      </w:pPr>
    </w:p>
    <w:p w:rsidR="00000000" w:rsidRDefault="00000000">
      <w:pPr>
        <w:pStyle w:val="H23"/>
      </w:pPr>
      <w:r>
        <w:t>7.4.</w:t>
      </w:r>
      <w:r>
        <w:tab/>
        <w:t>Представленность в парламенте</w:t>
      </w:r>
    </w:p>
    <w:p w:rsidR="00000000" w:rsidRDefault="00000000">
      <w:pPr>
        <w:pStyle w:val="SingleTxt"/>
      </w:pPr>
      <w:r>
        <w:t>7.4.1.</w:t>
      </w:r>
      <w:r>
        <w:tab/>
        <w:t>В Малави после провозглашения независимости было установлено такое требование как использование английского языка в работе парламента. Требование относительно хорошего знания английского языка ставит в небл</w:t>
      </w:r>
      <w:r>
        <w:t>а</w:t>
      </w:r>
      <w:r>
        <w:t>гоприятное положение тех, кто не может общаться на этом языке, а в парл</w:t>
      </w:r>
      <w:r>
        <w:t>а</w:t>
      </w:r>
      <w:r>
        <w:t>менте нет оборудования для перевода. Кроме того, участие в высоких сферах политической деятельности рассматривается как мужская работа, а больши</w:t>
      </w:r>
      <w:r>
        <w:t>н</w:t>
      </w:r>
      <w:r>
        <w:t>ство женщин должны играть здесь вспомогательную роль. Помимо этого, у многих женщин нет финансовых средств для того, чтобы организовать полит</w:t>
      </w:r>
      <w:r>
        <w:t>и</w:t>
      </w:r>
      <w:r>
        <w:t>ческую кампанию, а политические партии, как правило, предпочтение отдают кандид</w:t>
      </w:r>
      <w:r>
        <w:t>а</w:t>
      </w:r>
      <w:r>
        <w:t xml:space="preserve">там из числа мужчин. </w:t>
      </w:r>
    </w:p>
    <w:p w:rsidR="00000000" w:rsidRDefault="00000000">
      <w:pPr>
        <w:pStyle w:val="SingleTxt"/>
      </w:pPr>
      <w:r>
        <w:t>7.4.2.</w:t>
      </w:r>
      <w:r>
        <w:tab/>
        <w:t>Закон о политических партиях (о регистрации и регулировании их деятельности), Закон о выборах в парламент и в других избирательных законах не содержится требования, касающегося выделения определенных квот для женщин, хотя Малави подписала Декларацию Сообщества по вопросам разв</w:t>
      </w:r>
      <w:r>
        <w:t>и</w:t>
      </w:r>
      <w:r>
        <w:t>тия юга Африки по проблемам положения женщин и развития, которая пред</w:t>
      </w:r>
      <w:r>
        <w:t>у</w:t>
      </w:r>
      <w:r>
        <w:t>сматривает выделение не менее 30 процентов мест для женщин на всех ключ</w:t>
      </w:r>
      <w:r>
        <w:t>е</w:t>
      </w:r>
      <w:r>
        <w:t>вых поз</w:t>
      </w:r>
      <w:r>
        <w:t>и</w:t>
      </w:r>
      <w:r>
        <w:t>циях.</w:t>
      </w:r>
    </w:p>
    <w:p w:rsidR="00000000" w:rsidRDefault="00000000">
      <w:pPr>
        <w:pStyle w:val="SingleTxt"/>
      </w:pPr>
      <w:r>
        <w:t>7.4.3.</w:t>
      </w:r>
      <w:r>
        <w:tab/>
        <w:t>Во время однопартийного правления бывший президент впервые н</w:t>
      </w:r>
      <w:r>
        <w:t>а</w:t>
      </w:r>
      <w:r>
        <w:t>значил женщину членом парламента в 1977 году. В 1966 и 1992 годах в общей сложности в парламент было выбрано 363 члена, из которых 23 были женщ</w:t>
      </w:r>
      <w:r>
        <w:t>и</w:t>
      </w:r>
      <w:r>
        <w:t>нами. Помимо этого, из общей сложности 92 назначенных членов парламента 40 были женщинами. Благодаря такому назначению, некоторые женщины смо</w:t>
      </w:r>
      <w:r>
        <w:t>г</w:t>
      </w:r>
      <w:r>
        <w:t>ли принять участие в политической деятельности страны.</w:t>
      </w:r>
    </w:p>
    <w:p w:rsidR="00000000" w:rsidRDefault="00000000">
      <w:pPr>
        <w:pStyle w:val="SingleTxt"/>
      </w:pPr>
      <w:r>
        <w:t>7.4.4.</w:t>
      </w:r>
      <w:r>
        <w:tab/>
        <w:t xml:space="preserve">В ходе всеобщих выборов 1994 и 1999 годов правительство вместе с гражданским обществом организовало кампанию по разъяснению важности избрания женщин в парламент. Впервые в истории Малави в ходе выборов 1999 года было заявлено 62 кандидатуры женщин по сравнению с 606 мужчинами. Из них 59 женщин прошли первичные выборы и были готовы дальше выдвигать свою кандидатуру в парламент. Из них официально было выбрано 17 женщин. </w:t>
      </w:r>
    </w:p>
    <w:p w:rsidR="00000000" w:rsidRDefault="00000000">
      <w:pPr>
        <w:pStyle w:val="SingleTxt"/>
      </w:pPr>
      <w:r>
        <w:t>7.4.5.</w:t>
      </w:r>
      <w:r>
        <w:tab/>
        <w:t>Женщины, избранные членами парламента, прошли курс подготовки по вопросам равенства мужчин и женщин, развития, а также лоббирования, общения и самоутверждения, что позволило им принять эффективное участие в р</w:t>
      </w:r>
      <w:r>
        <w:t>а</w:t>
      </w:r>
      <w:r>
        <w:t xml:space="preserve">боте парламента. </w:t>
      </w:r>
    </w:p>
    <w:p w:rsidR="00000000" w:rsidRDefault="00000000">
      <w:pPr>
        <w:pStyle w:val="H23"/>
      </w:pPr>
      <w:r>
        <w:t>7.5.</w:t>
      </w:r>
      <w:r>
        <w:tab/>
        <w:t>Представленность в кабинете министров и других высоких руководящих орг</w:t>
      </w:r>
      <w:r>
        <w:t>а</w:t>
      </w:r>
      <w:r>
        <w:t>нах</w:t>
      </w:r>
    </w:p>
    <w:p w:rsidR="00000000" w:rsidRDefault="00000000">
      <w:pPr>
        <w:pStyle w:val="SingleTxt"/>
      </w:pPr>
      <w:r>
        <w:t>7.5.1.</w:t>
      </w:r>
      <w:r>
        <w:tab/>
        <w:t>В кабинете министров и других руководящих органах высокого уровня женщины по-прежнему представлены слабо. В настоящее время доля их участия в кабинете министров составляет 13,8 процента, а среди заместит</w:t>
      </w:r>
      <w:r>
        <w:t>е</w:t>
      </w:r>
      <w:r>
        <w:t>лей м</w:t>
      </w:r>
      <w:r>
        <w:t>и</w:t>
      </w:r>
      <w:r>
        <w:t>нистров их 21 процент.</w:t>
      </w:r>
    </w:p>
    <w:p w:rsidR="00000000" w:rsidRDefault="00000000">
      <w:pPr>
        <w:pStyle w:val="H23"/>
      </w:pPr>
      <w:r>
        <w:t>7.6.</w:t>
      </w:r>
      <w:r>
        <w:tab/>
        <w:t>Участие в местных органах самоуправления</w:t>
      </w:r>
    </w:p>
    <w:p w:rsidR="00000000" w:rsidRDefault="00000000">
      <w:pPr>
        <w:pStyle w:val="SingleTxt"/>
      </w:pPr>
      <w:r>
        <w:t>7.6.1.</w:t>
      </w:r>
      <w:r>
        <w:tab/>
        <w:t>В 2000 году во время проведения выборов в местные органы сам</w:t>
      </w:r>
      <w:r>
        <w:t>о</w:t>
      </w:r>
      <w:r>
        <w:t>управления было избрано 76 женщин, что составляет 10,7 процента всех с</w:t>
      </w:r>
      <w:r>
        <w:t>о</w:t>
      </w:r>
      <w:r>
        <w:t>ветников в стране. Однако, из четырех заместителей мэров три являются же</w:t>
      </w:r>
      <w:r>
        <w:t>н</w:t>
      </w:r>
      <w:r>
        <w:t>щинами, что составляет 75 процентов. Среди районных управляющих доля женщин достигает 3,7 процента. Из 205 представителей традиционных органов власти женщин только 13. При выборе членов традиционных органов власти так называемый институт вождей стоит на защите патриархальных отношений в силу доминирующего полож</w:t>
      </w:r>
      <w:r>
        <w:t>е</w:t>
      </w:r>
      <w:r>
        <w:t>ния мужчин.</w:t>
      </w:r>
    </w:p>
    <w:p w:rsidR="00000000" w:rsidRDefault="00000000">
      <w:pPr>
        <w:pStyle w:val="H23"/>
      </w:pPr>
      <w:r>
        <w:t>7.7.</w:t>
      </w:r>
      <w:r>
        <w:tab/>
        <w:t xml:space="preserve">Представленность женщин на уровне руководителей в гражданской и государственной службе </w:t>
      </w:r>
    </w:p>
    <w:p w:rsidR="00000000" w:rsidRDefault="00000000">
      <w:pPr>
        <w:pStyle w:val="SingleTxt"/>
        <w:keepNext/>
        <w:rPr>
          <w:b/>
          <w:sz w:val="24"/>
        </w:rPr>
      </w:pPr>
      <w:r>
        <w:rPr>
          <w:b/>
        </w:rPr>
        <w:t>Руководители в гражданской службе Малави</w:t>
      </w:r>
    </w:p>
    <w:tbl>
      <w:tblPr>
        <w:tblW w:w="0" w:type="auto"/>
        <w:tblInd w:w="1278" w:type="dxa"/>
        <w:tblLayout w:type="fixed"/>
        <w:tblLook w:val="0000" w:firstRow="0" w:lastRow="0" w:firstColumn="0" w:lastColumn="0" w:noHBand="0" w:noVBand="0"/>
      </w:tblPr>
      <w:tblGrid>
        <w:gridCol w:w="2410"/>
        <w:gridCol w:w="1559"/>
        <w:gridCol w:w="1701"/>
        <w:gridCol w:w="1701"/>
      </w:tblGrid>
      <w:tr w:rsidR="00000000">
        <w:tblPrEx>
          <w:tblCellMar>
            <w:top w:w="0" w:type="dxa"/>
            <w:bottom w:w="0" w:type="dxa"/>
          </w:tblCellMar>
        </w:tblPrEx>
        <w:trPr>
          <w:tblHeader/>
        </w:trPr>
        <w:tc>
          <w:tcPr>
            <w:tcW w:w="2410" w:type="dxa"/>
            <w:tcBorders>
              <w:top w:val="single" w:sz="4" w:space="0" w:color="auto"/>
              <w:bottom w:val="single" w:sz="12" w:space="0" w:color="auto"/>
            </w:tcBorders>
            <w:vAlign w:val="center"/>
          </w:tcPr>
          <w:p w:rsidR="00000000" w:rsidRDefault="00000000">
            <w:pPr>
              <w:pStyle w:val="Heading6"/>
              <w:spacing w:line="240" w:lineRule="auto"/>
            </w:pPr>
            <w:r>
              <w:t>Уровень</w:t>
            </w:r>
          </w:p>
        </w:tc>
        <w:tc>
          <w:tcPr>
            <w:tcW w:w="1559" w:type="dxa"/>
            <w:tcBorders>
              <w:top w:val="single" w:sz="4" w:space="0" w:color="auto"/>
              <w:bottom w:val="single" w:sz="12" w:space="0" w:color="auto"/>
            </w:tcBorders>
            <w:vAlign w:val="center"/>
          </w:tcPr>
          <w:p w:rsidR="00000000" w:rsidRDefault="00000000">
            <w:pPr>
              <w:keepNext/>
              <w:spacing w:line="240" w:lineRule="auto"/>
              <w:ind w:left="-14" w:right="-95"/>
              <w:jc w:val="center"/>
              <w:rPr>
                <w:i/>
                <w:sz w:val="17"/>
              </w:rPr>
            </w:pPr>
            <w:r>
              <w:rPr>
                <w:i/>
                <w:sz w:val="17"/>
              </w:rPr>
              <w:t>Кол-во сотрудн</w:t>
            </w:r>
            <w:r>
              <w:rPr>
                <w:i/>
                <w:sz w:val="17"/>
              </w:rPr>
              <w:t>и</w:t>
            </w:r>
            <w:r>
              <w:rPr>
                <w:i/>
                <w:sz w:val="17"/>
              </w:rPr>
              <w:t>ков на данной должности</w:t>
            </w:r>
          </w:p>
        </w:tc>
        <w:tc>
          <w:tcPr>
            <w:tcW w:w="1701" w:type="dxa"/>
            <w:tcBorders>
              <w:top w:val="single" w:sz="4" w:space="0" w:color="auto"/>
              <w:bottom w:val="single" w:sz="12" w:space="0" w:color="auto"/>
            </w:tcBorders>
            <w:vAlign w:val="center"/>
          </w:tcPr>
          <w:p w:rsidR="00000000" w:rsidRDefault="00000000">
            <w:pPr>
              <w:keepNext/>
              <w:spacing w:line="240" w:lineRule="auto"/>
              <w:ind w:left="-14" w:right="-137"/>
              <w:jc w:val="center"/>
              <w:rPr>
                <w:i/>
                <w:sz w:val="17"/>
              </w:rPr>
            </w:pPr>
            <w:r>
              <w:rPr>
                <w:i/>
                <w:sz w:val="17"/>
              </w:rPr>
              <w:t>Число работающих женщин</w:t>
            </w:r>
          </w:p>
        </w:tc>
        <w:tc>
          <w:tcPr>
            <w:tcW w:w="1701" w:type="dxa"/>
            <w:tcBorders>
              <w:top w:val="single" w:sz="4" w:space="0" w:color="auto"/>
              <w:bottom w:val="single" w:sz="12" w:space="0" w:color="auto"/>
            </w:tcBorders>
            <w:vAlign w:val="center"/>
          </w:tcPr>
          <w:p w:rsidR="00000000" w:rsidRDefault="00000000">
            <w:pPr>
              <w:keepNext/>
              <w:spacing w:line="240" w:lineRule="auto"/>
              <w:ind w:left="-14" w:right="-95"/>
              <w:jc w:val="center"/>
              <w:rPr>
                <w:i/>
                <w:sz w:val="17"/>
              </w:rPr>
            </w:pPr>
            <w:r>
              <w:rPr>
                <w:i/>
                <w:sz w:val="17"/>
              </w:rPr>
              <w:t>%</w:t>
            </w:r>
            <w:r>
              <w:rPr>
                <w:i/>
                <w:sz w:val="17"/>
                <w:lang w:val="en-US"/>
              </w:rPr>
              <w:t xml:space="preserve"> </w:t>
            </w:r>
            <w:r>
              <w:rPr>
                <w:i/>
                <w:sz w:val="17"/>
              </w:rPr>
              <w:t>женщин на ка</w:t>
            </w:r>
            <w:r>
              <w:rPr>
                <w:i/>
                <w:sz w:val="17"/>
              </w:rPr>
              <w:t>ж</w:t>
            </w:r>
            <w:r>
              <w:rPr>
                <w:i/>
                <w:sz w:val="17"/>
              </w:rPr>
              <w:t>дом уровне</w:t>
            </w:r>
          </w:p>
        </w:tc>
      </w:tr>
      <w:tr w:rsidR="00000000">
        <w:tblPrEx>
          <w:tblCellMar>
            <w:top w:w="0" w:type="dxa"/>
            <w:bottom w:w="0" w:type="dxa"/>
          </w:tblCellMar>
        </w:tblPrEx>
        <w:tc>
          <w:tcPr>
            <w:tcW w:w="2410" w:type="dxa"/>
            <w:tcBorders>
              <w:top w:val="single" w:sz="12" w:space="0" w:color="auto"/>
            </w:tcBorders>
          </w:tcPr>
          <w:p w:rsidR="00000000" w:rsidRDefault="00000000">
            <w:pPr>
              <w:pStyle w:val="Header"/>
              <w:keepNext/>
              <w:tabs>
                <w:tab w:val="clear" w:pos="4320"/>
                <w:tab w:val="clear" w:pos="8640"/>
              </w:tabs>
              <w:rPr>
                <w:noProof w:val="0"/>
                <w:spacing w:val="4"/>
                <w:w w:val="103"/>
                <w:kern w:val="14"/>
              </w:rPr>
            </w:pPr>
            <w:r>
              <w:rPr>
                <w:noProof w:val="0"/>
                <w:spacing w:val="4"/>
                <w:w w:val="103"/>
                <w:kern w:val="14"/>
              </w:rPr>
              <w:t>Помощники президента и членов кабинета министров (P1)</w:t>
            </w:r>
          </w:p>
        </w:tc>
        <w:tc>
          <w:tcPr>
            <w:tcW w:w="1559" w:type="dxa"/>
            <w:tcBorders>
              <w:top w:val="single" w:sz="12" w:space="0" w:color="auto"/>
            </w:tcBorders>
            <w:vAlign w:val="bottom"/>
          </w:tcPr>
          <w:p w:rsidR="00000000" w:rsidRDefault="00000000">
            <w:pPr>
              <w:keepNext/>
              <w:tabs>
                <w:tab w:val="decimal" w:pos="742"/>
              </w:tabs>
              <w:spacing w:line="240" w:lineRule="auto"/>
              <w:ind w:right="-95"/>
              <w:rPr>
                <w:sz w:val="17"/>
              </w:rPr>
            </w:pPr>
            <w:r>
              <w:rPr>
                <w:sz w:val="17"/>
              </w:rPr>
              <w:t>1</w:t>
            </w:r>
          </w:p>
        </w:tc>
        <w:tc>
          <w:tcPr>
            <w:tcW w:w="1701" w:type="dxa"/>
            <w:tcBorders>
              <w:top w:val="single" w:sz="12" w:space="0" w:color="auto"/>
            </w:tcBorders>
            <w:vAlign w:val="bottom"/>
          </w:tcPr>
          <w:p w:rsidR="00000000" w:rsidRDefault="00000000">
            <w:pPr>
              <w:keepNext/>
              <w:tabs>
                <w:tab w:val="decimal" w:pos="742"/>
              </w:tabs>
              <w:spacing w:line="240" w:lineRule="auto"/>
              <w:ind w:right="-95"/>
              <w:rPr>
                <w:sz w:val="17"/>
              </w:rPr>
            </w:pPr>
            <w:r>
              <w:rPr>
                <w:sz w:val="17"/>
              </w:rPr>
              <w:t>0</w:t>
            </w:r>
          </w:p>
        </w:tc>
        <w:tc>
          <w:tcPr>
            <w:tcW w:w="1701" w:type="dxa"/>
            <w:tcBorders>
              <w:top w:val="single" w:sz="12" w:space="0" w:color="auto"/>
            </w:tcBorders>
            <w:vAlign w:val="bottom"/>
          </w:tcPr>
          <w:p w:rsidR="00000000" w:rsidRDefault="00000000">
            <w:pPr>
              <w:keepNext/>
              <w:tabs>
                <w:tab w:val="decimal" w:pos="742"/>
              </w:tabs>
              <w:spacing w:line="240" w:lineRule="auto"/>
              <w:ind w:right="-95"/>
              <w:rPr>
                <w:sz w:val="17"/>
              </w:rPr>
            </w:pPr>
            <w:r>
              <w:rPr>
                <w:sz w:val="17"/>
              </w:rPr>
              <w:t>0</w:t>
            </w:r>
          </w:p>
        </w:tc>
      </w:tr>
      <w:tr w:rsidR="00000000">
        <w:tblPrEx>
          <w:tblCellMar>
            <w:top w:w="0" w:type="dxa"/>
            <w:bottom w:w="0" w:type="dxa"/>
          </w:tblCellMar>
        </w:tblPrEx>
        <w:tc>
          <w:tcPr>
            <w:tcW w:w="2410" w:type="dxa"/>
          </w:tcPr>
          <w:p w:rsidR="00000000" w:rsidRDefault="00000000">
            <w:pPr>
              <w:spacing w:line="240" w:lineRule="auto"/>
              <w:rPr>
                <w:sz w:val="17"/>
              </w:rPr>
            </w:pPr>
            <w:r>
              <w:rPr>
                <w:sz w:val="17"/>
              </w:rPr>
              <w:t>Заместители помощников президента и членов каб</w:t>
            </w:r>
            <w:r>
              <w:rPr>
                <w:sz w:val="17"/>
              </w:rPr>
              <w:t>и</w:t>
            </w:r>
            <w:r>
              <w:rPr>
                <w:sz w:val="17"/>
              </w:rPr>
              <w:t>нета министров (S2)</w:t>
            </w:r>
          </w:p>
        </w:tc>
        <w:tc>
          <w:tcPr>
            <w:tcW w:w="1559" w:type="dxa"/>
            <w:vAlign w:val="bottom"/>
          </w:tcPr>
          <w:p w:rsidR="00000000" w:rsidRDefault="00000000">
            <w:pPr>
              <w:tabs>
                <w:tab w:val="decimal" w:pos="742"/>
              </w:tabs>
              <w:spacing w:line="240" w:lineRule="auto"/>
              <w:ind w:right="-95"/>
              <w:rPr>
                <w:sz w:val="17"/>
              </w:rPr>
            </w:pPr>
            <w:r>
              <w:rPr>
                <w:sz w:val="17"/>
              </w:rPr>
              <w:t>1</w:t>
            </w:r>
          </w:p>
        </w:tc>
        <w:tc>
          <w:tcPr>
            <w:tcW w:w="1701" w:type="dxa"/>
            <w:vAlign w:val="bottom"/>
          </w:tcPr>
          <w:p w:rsidR="00000000" w:rsidRDefault="00000000">
            <w:pPr>
              <w:tabs>
                <w:tab w:val="decimal" w:pos="742"/>
              </w:tabs>
              <w:spacing w:line="240" w:lineRule="auto"/>
              <w:ind w:right="-95"/>
              <w:rPr>
                <w:sz w:val="17"/>
              </w:rPr>
            </w:pPr>
            <w:r>
              <w:rPr>
                <w:sz w:val="17"/>
              </w:rPr>
              <w:t>0</w:t>
            </w:r>
          </w:p>
        </w:tc>
        <w:tc>
          <w:tcPr>
            <w:tcW w:w="1701" w:type="dxa"/>
            <w:vAlign w:val="bottom"/>
          </w:tcPr>
          <w:p w:rsidR="00000000" w:rsidRDefault="00000000">
            <w:pPr>
              <w:tabs>
                <w:tab w:val="decimal" w:pos="742"/>
              </w:tabs>
              <w:spacing w:line="240" w:lineRule="auto"/>
              <w:ind w:right="-95"/>
              <w:rPr>
                <w:sz w:val="17"/>
              </w:rPr>
            </w:pPr>
            <w:r>
              <w:rPr>
                <w:sz w:val="17"/>
              </w:rPr>
              <w:t>0</w:t>
            </w:r>
          </w:p>
        </w:tc>
      </w:tr>
      <w:tr w:rsidR="00000000">
        <w:tblPrEx>
          <w:tblCellMar>
            <w:top w:w="0" w:type="dxa"/>
            <w:bottom w:w="0" w:type="dxa"/>
          </w:tblCellMar>
        </w:tblPrEx>
        <w:tc>
          <w:tcPr>
            <w:tcW w:w="2410" w:type="dxa"/>
          </w:tcPr>
          <w:p w:rsidR="00000000" w:rsidRDefault="00000000">
            <w:pPr>
              <w:spacing w:line="240" w:lineRule="auto"/>
              <w:rPr>
                <w:sz w:val="17"/>
              </w:rPr>
            </w:pPr>
            <w:r>
              <w:rPr>
                <w:sz w:val="17"/>
              </w:rPr>
              <w:t>Главные секр</w:t>
            </w:r>
            <w:r>
              <w:rPr>
                <w:sz w:val="17"/>
              </w:rPr>
              <w:t>е</w:t>
            </w:r>
            <w:r>
              <w:rPr>
                <w:sz w:val="17"/>
              </w:rPr>
              <w:t>тари (S2)</w:t>
            </w:r>
          </w:p>
        </w:tc>
        <w:tc>
          <w:tcPr>
            <w:tcW w:w="1559" w:type="dxa"/>
            <w:vAlign w:val="bottom"/>
          </w:tcPr>
          <w:p w:rsidR="00000000" w:rsidRDefault="00000000">
            <w:pPr>
              <w:tabs>
                <w:tab w:val="decimal" w:pos="742"/>
              </w:tabs>
              <w:spacing w:line="240" w:lineRule="auto"/>
              <w:ind w:right="-95"/>
              <w:rPr>
                <w:sz w:val="17"/>
              </w:rPr>
            </w:pPr>
            <w:r>
              <w:rPr>
                <w:sz w:val="17"/>
              </w:rPr>
              <w:t>48</w:t>
            </w:r>
          </w:p>
        </w:tc>
        <w:tc>
          <w:tcPr>
            <w:tcW w:w="1701" w:type="dxa"/>
            <w:vAlign w:val="bottom"/>
          </w:tcPr>
          <w:p w:rsidR="00000000" w:rsidRDefault="00000000">
            <w:pPr>
              <w:tabs>
                <w:tab w:val="decimal" w:pos="742"/>
              </w:tabs>
              <w:spacing w:line="240" w:lineRule="auto"/>
              <w:ind w:right="-95"/>
              <w:rPr>
                <w:sz w:val="17"/>
              </w:rPr>
            </w:pPr>
            <w:r>
              <w:rPr>
                <w:sz w:val="17"/>
              </w:rPr>
              <w:t>11</w:t>
            </w:r>
          </w:p>
        </w:tc>
        <w:tc>
          <w:tcPr>
            <w:tcW w:w="1701" w:type="dxa"/>
            <w:vAlign w:val="bottom"/>
          </w:tcPr>
          <w:p w:rsidR="00000000" w:rsidRDefault="00000000">
            <w:pPr>
              <w:tabs>
                <w:tab w:val="decimal" w:pos="742"/>
              </w:tabs>
              <w:spacing w:line="240" w:lineRule="auto"/>
              <w:ind w:right="-95"/>
              <w:rPr>
                <w:sz w:val="17"/>
              </w:rPr>
            </w:pPr>
            <w:r>
              <w:rPr>
                <w:sz w:val="17"/>
              </w:rPr>
              <w:t>22,9</w:t>
            </w:r>
          </w:p>
        </w:tc>
      </w:tr>
      <w:tr w:rsidR="00000000">
        <w:tblPrEx>
          <w:tblCellMar>
            <w:top w:w="0" w:type="dxa"/>
            <w:bottom w:w="0" w:type="dxa"/>
          </w:tblCellMar>
        </w:tblPrEx>
        <w:tc>
          <w:tcPr>
            <w:tcW w:w="2410" w:type="dxa"/>
          </w:tcPr>
          <w:p w:rsidR="00000000" w:rsidRDefault="00000000">
            <w:pPr>
              <w:spacing w:line="240" w:lineRule="auto"/>
              <w:rPr>
                <w:sz w:val="17"/>
              </w:rPr>
            </w:pPr>
            <w:r>
              <w:rPr>
                <w:sz w:val="17"/>
              </w:rPr>
              <w:t>Главы ведомств</w:t>
            </w:r>
          </w:p>
        </w:tc>
        <w:tc>
          <w:tcPr>
            <w:tcW w:w="1559" w:type="dxa"/>
            <w:vAlign w:val="bottom"/>
          </w:tcPr>
          <w:p w:rsidR="00000000" w:rsidRDefault="00000000">
            <w:pPr>
              <w:tabs>
                <w:tab w:val="decimal" w:pos="742"/>
              </w:tabs>
              <w:spacing w:line="240" w:lineRule="auto"/>
              <w:ind w:right="-95"/>
              <w:rPr>
                <w:sz w:val="17"/>
              </w:rPr>
            </w:pPr>
            <w:r>
              <w:rPr>
                <w:sz w:val="17"/>
              </w:rPr>
              <w:t>52</w:t>
            </w:r>
          </w:p>
        </w:tc>
        <w:tc>
          <w:tcPr>
            <w:tcW w:w="1701" w:type="dxa"/>
            <w:vAlign w:val="bottom"/>
          </w:tcPr>
          <w:p w:rsidR="00000000" w:rsidRDefault="00000000">
            <w:pPr>
              <w:tabs>
                <w:tab w:val="decimal" w:pos="742"/>
              </w:tabs>
              <w:spacing w:line="240" w:lineRule="auto"/>
              <w:ind w:right="-95"/>
              <w:rPr>
                <w:sz w:val="17"/>
              </w:rPr>
            </w:pPr>
            <w:r>
              <w:rPr>
                <w:sz w:val="17"/>
              </w:rPr>
              <w:t>5</w:t>
            </w:r>
          </w:p>
        </w:tc>
        <w:tc>
          <w:tcPr>
            <w:tcW w:w="1701" w:type="dxa"/>
            <w:vAlign w:val="bottom"/>
          </w:tcPr>
          <w:p w:rsidR="00000000" w:rsidRDefault="00000000">
            <w:pPr>
              <w:tabs>
                <w:tab w:val="decimal" w:pos="742"/>
              </w:tabs>
              <w:spacing w:line="240" w:lineRule="auto"/>
              <w:ind w:right="-95"/>
              <w:rPr>
                <w:sz w:val="17"/>
              </w:rPr>
            </w:pPr>
            <w:r>
              <w:rPr>
                <w:sz w:val="17"/>
              </w:rPr>
              <w:t>9,62</w:t>
            </w:r>
          </w:p>
        </w:tc>
      </w:tr>
      <w:tr w:rsidR="00000000">
        <w:tblPrEx>
          <w:tblCellMar>
            <w:top w:w="0" w:type="dxa"/>
            <w:bottom w:w="0" w:type="dxa"/>
          </w:tblCellMar>
        </w:tblPrEx>
        <w:tc>
          <w:tcPr>
            <w:tcW w:w="2410" w:type="dxa"/>
          </w:tcPr>
          <w:p w:rsidR="00000000" w:rsidRDefault="00000000">
            <w:pPr>
              <w:spacing w:line="240" w:lineRule="auto"/>
              <w:rPr>
                <w:sz w:val="17"/>
              </w:rPr>
            </w:pPr>
            <w:r>
              <w:rPr>
                <w:sz w:val="17"/>
              </w:rPr>
              <w:t>Старшие заместители д</w:t>
            </w:r>
            <w:r>
              <w:rPr>
                <w:sz w:val="17"/>
              </w:rPr>
              <w:t>и</w:t>
            </w:r>
            <w:r>
              <w:rPr>
                <w:sz w:val="17"/>
              </w:rPr>
              <w:t>ректоров-исполнителей (S3)</w:t>
            </w:r>
          </w:p>
        </w:tc>
        <w:tc>
          <w:tcPr>
            <w:tcW w:w="1559" w:type="dxa"/>
            <w:vAlign w:val="bottom"/>
          </w:tcPr>
          <w:p w:rsidR="00000000" w:rsidRDefault="00000000">
            <w:pPr>
              <w:tabs>
                <w:tab w:val="decimal" w:pos="742"/>
              </w:tabs>
              <w:spacing w:line="240" w:lineRule="auto"/>
              <w:ind w:right="-95"/>
              <w:rPr>
                <w:sz w:val="17"/>
              </w:rPr>
            </w:pPr>
            <w:r>
              <w:rPr>
                <w:sz w:val="17"/>
              </w:rPr>
              <w:t>26</w:t>
            </w:r>
          </w:p>
        </w:tc>
        <w:tc>
          <w:tcPr>
            <w:tcW w:w="1701" w:type="dxa"/>
            <w:vAlign w:val="bottom"/>
          </w:tcPr>
          <w:p w:rsidR="00000000" w:rsidRDefault="00000000">
            <w:pPr>
              <w:tabs>
                <w:tab w:val="decimal" w:pos="742"/>
              </w:tabs>
              <w:spacing w:line="240" w:lineRule="auto"/>
              <w:ind w:right="-95"/>
              <w:rPr>
                <w:sz w:val="17"/>
              </w:rPr>
            </w:pPr>
            <w:r>
              <w:rPr>
                <w:sz w:val="17"/>
              </w:rPr>
              <w:t>3</w:t>
            </w:r>
          </w:p>
        </w:tc>
        <w:tc>
          <w:tcPr>
            <w:tcW w:w="1701" w:type="dxa"/>
            <w:vAlign w:val="bottom"/>
          </w:tcPr>
          <w:p w:rsidR="00000000" w:rsidRDefault="00000000">
            <w:pPr>
              <w:tabs>
                <w:tab w:val="decimal" w:pos="742"/>
              </w:tabs>
              <w:spacing w:line="240" w:lineRule="auto"/>
              <w:ind w:right="-95"/>
              <w:rPr>
                <w:sz w:val="17"/>
              </w:rPr>
            </w:pPr>
            <w:r>
              <w:rPr>
                <w:sz w:val="17"/>
              </w:rPr>
              <w:t>11,54</w:t>
            </w:r>
          </w:p>
        </w:tc>
      </w:tr>
      <w:tr w:rsidR="00000000">
        <w:tblPrEx>
          <w:tblCellMar>
            <w:top w:w="0" w:type="dxa"/>
            <w:bottom w:w="0" w:type="dxa"/>
          </w:tblCellMar>
        </w:tblPrEx>
        <w:tc>
          <w:tcPr>
            <w:tcW w:w="2410" w:type="dxa"/>
          </w:tcPr>
          <w:p w:rsidR="00000000" w:rsidRDefault="00000000">
            <w:pPr>
              <w:spacing w:line="240" w:lineRule="auto"/>
              <w:rPr>
                <w:sz w:val="17"/>
              </w:rPr>
            </w:pPr>
            <w:r>
              <w:rPr>
                <w:sz w:val="17"/>
              </w:rPr>
              <w:t>Старшие заместители глав в</w:t>
            </w:r>
            <w:r>
              <w:rPr>
                <w:sz w:val="17"/>
              </w:rPr>
              <w:t>е</w:t>
            </w:r>
            <w:r>
              <w:rPr>
                <w:sz w:val="17"/>
              </w:rPr>
              <w:t>домств</w:t>
            </w:r>
          </w:p>
        </w:tc>
        <w:tc>
          <w:tcPr>
            <w:tcW w:w="1559" w:type="dxa"/>
            <w:vAlign w:val="bottom"/>
          </w:tcPr>
          <w:p w:rsidR="00000000" w:rsidRDefault="00000000">
            <w:pPr>
              <w:tabs>
                <w:tab w:val="decimal" w:pos="742"/>
              </w:tabs>
              <w:spacing w:line="240" w:lineRule="auto"/>
              <w:ind w:right="-95"/>
              <w:rPr>
                <w:sz w:val="17"/>
              </w:rPr>
            </w:pPr>
            <w:r>
              <w:rPr>
                <w:sz w:val="17"/>
              </w:rPr>
              <w:t>54</w:t>
            </w:r>
          </w:p>
        </w:tc>
        <w:tc>
          <w:tcPr>
            <w:tcW w:w="1701" w:type="dxa"/>
            <w:vAlign w:val="bottom"/>
          </w:tcPr>
          <w:p w:rsidR="00000000" w:rsidRDefault="00000000">
            <w:pPr>
              <w:tabs>
                <w:tab w:val="decimal" w:pos="742"/>
              </w:tabs>
              <w:spacing w:line="240" w:lineRule="auto"/>
              <w:ind w:right="-95"/>
              <w:rPr>
                <w:sz w:val="17"/>
              </w:rPr>
            </w:pPr>
            <w:r>
              <w:rPr>
                <w:sz w:val="17"/>
              </w:rPr>
              <w:t>6</w:t>
            </w:r>
          </w:p>
        </w:tc>
        <w:tc>
          <w:tcPr>
            <w:tcW w:w="1701" w:type="dxa"/>
            <w:vAlign w:val="bottom"/>
          </w:tcPr>
          <w:p w:rsidR="00000000" w:rsidRDefault="00000000">
            <w:pPr>
              <w:tabs>
                <w:tab w:val="decimal" w:pos="742"/>
              </w:tabs>
              <w:spacing w:line="240" w:lineRule="auto"/>
              <w:ind w:right="-95"/>
              <w:rPr>
                <w:sz w:val="17"/>
              </w:rPr>
            </w:pPr>
            <w:r>
              <w:rPr>
                <w:sz w:val="17"/>
              </w:rPr>
              <w:t>11,11</w:t>
            </w:r>
          </w:p>
        </w:tc>
      </w:tr>
      <w:tr w:rsidR="00000000">
        <w:tblPrEx>
          <w:tblCellMar>
            <w:top w:w="0" w:type="dxa"/>
            <w:bottom w:w="0" w:type="dxa"/>
          </w:tblCellMar>
        </w:tblPrEx>
        <w:tc>
          <w:tcPr>
            <w:tcW w:w="2410" w:type="dxa"/>
            <w:tcBorders>
              <w:bottom w:val="single" w:sz="12" w:space="0" w:color="auto"/>
            </w:tcBorders>
          </w:tcPr>
          <w:p w:rsidR="00000000" w:rsidRDefault="00000000">
            <w:pPr>
              <w:spacing w:line="240" w:lineRule="auto"/>
              <w:rPr>
                <w:sz w:val="17"/>
              </w:rPr>
            </w:pPr>
            <w:r>
              <w:rPr>
                <w:sz w:val="17"/>
              </w:rPr>
              <w:t>Помощники секретарей</w:t>
            </w:r>
          </w:p>
        </w:tc>
        <w:tc>
          <w:tcPr>
            <w:tcW w:w="1559" w:type="dxa"/>
            <w:tcBorders>
              <w:bottom w:val="single" w:sz="12" w:space="0" w:color="auto"/>
            </w:tcBorders>
            <w:vAlign w:val="bottom"/>
          </w:tcPr>
          <w:p w:rsidR="00000000" w:rsidRDefault="00000000">
            <w:pPr>
              <w:tabs>
                <w:tab w:val="decimal" w:pos="742"/>
              </w:tabs>
              <w:spacing w:line="240" w:lineRule="auto"/>
              <w:ind w:right="-95"/>
              <w:rPr>
                <w:sz w:val="17"/>
              </w:rPr>
            </w:pPr>
            <w:r>
              <w:rPr>
                <w:sz w:val="17"/>
              </w:rPr>
              <w:t>86</w:t>
            </w:r>
          </w:p>
        </w:tc>
        <w:tc>
          <w:tcPr>
            <w:tcW w:w="1701" w:type="dxa"/>
            <w:tcBorders>
              <w:bottom w:val="single" w:sz="12" w:space="0" w:color="auto"/>
            </w:tcBorders>
            <w:vAlign w:val="bottom"/>
          </w:tcPr>
          <w:p w:rsidR="00000000" w:rsidRDefault="00000000">
            <w:pPr>
              <w:tabs>
                <w:tab w:val="decimal" w:pos="742"/>
              </w:tabs>
              <w:spacing w:line="240" w:lineRule="auto"/>
              <w:ind w:right="-95"/>
              <w:rPr>
                <w:sz w:val="17"/>
              </w:rPr>
            </w:pPr>
            <w:r>
              <w:rPr>
                <w:sz w:val="17"/>
              </w:rPr>
              <w:t>16</w:t>
            </w:r>
          </w:p>
        </w:tc>
        <w:tc>
          <w:tcPr>
            <w:tcW w:w="1701" w:type="dxa"/>
            <w:tcBorders>
              <w:bottom w:val="single" w:sz="12" w:space="0" w:color="auto"/>
            </w:tcBorders>
            <w:vAlign w:val="bottom"/>
          </w:tcPr>
          <w:p w:rsidR="00000000" w:rsidRDefault="00000000">
            <w:pPr>
              <w:tabs>
                <w:tab w:val="decimal" w:pos="742"/>
              </w:tabs>
              <w:spacing w:line="240" w:lineRule="auto"/>
              <w:ind w:right="-95"/>
              <w:rPr>
                <w:sz w:val="17"/>
              </w:rPr>
            </w:pPr>
            <w:r>
              <w:rPr>
                <w:sz w:val="17"/>
              </w:rPr>
              <w:t>18,6</w:t>
            </w:r>
          </w:p>
        </w:tc>
      </w:tr>
    </w:tbl>
    <w:p w:rsidR="00000000" w:rsidRDefault="00000000">
      <w:pPr>
        <w:pStyle w:val="SingleTxt"/>
        <w:spacing w:before="120"/>
      </w:pPr>
      <w:r>
        <w:t>7.7.1.</w:t>
      </w:r>
      <w:r>
        <w:tab/>
        <w:t>Мужчины также занимают главенствующее положение на высоких руководящих должностях в гражданской службе. Среди главных администр</w:t>
      </w:r>
      <w:r>
        <w:t>а</w:t>
      </w:r>
      <w:r>
        <w:t>тивных сотрудников государственных органов сотрудничества женщины с</w:t>
      </w:r>
      <w:r>
        <w:t>о</w:t>
      </w:r>
      <w:r>
        <w:t>ставляют только 25 процентов. В гражданской службе доля женщин среди главных секретарей или технических руководителей отделов министерств с</w:t>
      </w:r>
      <w:r>
        <w:t>о</w:t>
      </w:r>
      <w:r>
        <w:t>ставляет 22,9 процента. Из 22 судей 3 – женщины, то есть 13,6 процента. Из 19 послов женщин только 3, то есть их доля составляет 15,8 процента. Однако, после представления последнего доклада Малави произошли определенные улучшения, особенно это касается числа женщин на должности главных секр</w:t>
      </w:r>
      <w:r>
        <w:t>е</w:t>
      </w:r>
      <w:r>
        <w:t>тарей, которое ув</w:t>
      </w:r>
      <w:r>
        <w:t>е</w:t>
      </w:r>
      <w:r>
        <w:t>личилось с 2 в 1992 году до 11 в настоящее время.</w:t>
      </w:r>
    </w:p>
    <w:p w:rsidR="00000000" w:rsidRDefault="00000000">
      <w:pPr>
        <w:pStyle w:val="SingleTxt"/>
      </w:pPr>
      <w:r>
        <w:t>7.7.2</w:t>
      </w:r>
      <w:r>
        <w:tab/>
        <w:t>В Малави гражданская служба является самым крупным работодателем, и в этой сфере занято 128 000 человек. Возглавляет гражданскую службу секр</w:t>
      </w:r>
      <w:r>
        <w:t>е</w:t>
      </w:r>
      <w:r>
        <w:t>тарь президента и кабинета министров, которому помогает его помощник. П</w:t>
      </w:r>
      <w:r>
        <w:t>о</w:t>
      </w:r>
      <w:r>
        <w:t>сле получения независимости в 1964 году правительство впервые в 2003 году назначило женщину заместителем управляющего резервного банка в Малави; а в 2000 году оно назначило первую женщину-заместителя генерального инспе</w:t>
      </w:r>
      <w:r>
        <w:t>к</w:t>
      </w:r>
      <w:r>
        <w:t>тора полиции.</w:t>
      </w:r>
    </w:p>
    <w:p w:rsidR="00000000" w:rsidRDefault="00000000">
      <w:pPr>
        <w:pStyle w:val="H23"/>
      </w:pPr>
      <w:r>
        <w:t>7.8.</w:t>
      </w:r>
      <w:r>
        <w:tab/>
        <w:t>Участие в разработке и осуществлении правительственной политики</w:t>
      </w:r>
    </w:p>
    <w:p w:rsidR="00000000" w:rsidRDefault="00000000">
      <w:pPr>
        <w:pStyle w:val="SingleTxt"/>
      </w:pPr>
      <w:r>
        <w:t>7.8.1.</w:t>
      </w:r>
      <w:r>
        <w:tab/>
        <w:t>До 1995 при разработке и осуществлении всех принимаемых прав</w:t>
      </w:r>
      <w:r>
        <w:t>и</w:t>
      </w:r>
      <w:r>
        <w:t>тельством политических мер не учитывался партисипативный подход. В н</w:t>
      </w:r>
      <w:r>
        <w:t>а</w:t>
      </w:r>
      <w:r>
        <w:t>стоящее время при формулировании основных направлений политической де</w:t>
      </w:r>
      <w:r>
        <w:t>я</w:t>
      </w:r>
      <w:r>
        <w:t xml:space="preserve">тельности, таких, как «Видение до 2020 года», </w:t>
      </w:r>
      <w:r>
        <w:rPr>
          <w:caps/>
        </w:rPr>
        <w:t>м</w:t>
      </w:r>
      <w:r>
        <w:t>алавийский документ по стр</w:t>
      </w:r>
      <w:r>
        <w:t>а</w:t>
      </w:r>
      <w:r>
        <w:t xml:space="preserve">тегии сокращения масштабов нищеты, </w:t>
      </w:r>
      <w:r>
        <w:rPr>
          <w:caps/>
        </w:rPr>
        <w:t>н</w:t>
      </w:r>
      <w:r>
        <w:t>ациональная политика обеспечения равенства мужчин и женщин и земельная политика, в частности, такой парт</w:t>
      </w:r>
      <w:r>
        <w:t>и</w:t>
      </w:r>
      <w:r>
        <w:t>сипативный подход учитывается, и проводятся соответствующие консультации как с же</w:t>
      </w:r>
      <w:r>
        <w:t>н</w:t>
      </w:r>
      <w:r>
        <w:t>щинами, так и мужчинами.</w:t>
      </w:r>
    </w:p>
    <w:p w:rsidR="00000000" w:rsidRDefault="00000000">
      <w:pPr>
        <w:pStyle w:val="SingleTxt"/>
      </w:pPr>
      <w:r>
        <w:t>7.8.2.</w:t>
      </w:r>
      <w:r>
        <w:tab/>
        <w:t>Как правило, политика вырабатывается на высоком правительстве</w:t>
      </w:r>
      <w:r>
        <w:t>н</w:t>
      </w:r>
      <w:r>
        <w:t>ном уровне, где ключевые позиции занимает не так много женщин. Во многих случаях при разработке политики основное участие принимают такие руков</w:t>
      </w:r>
      <w:r>
        <w:t>о</w:t>
      </w:r>
      <w:r>
        <w:t>дители, как вожди, которыми являются в основном мужчины. Это явно говорит о том, что при окончательной разработке какой-либо политики или каких-либо программ мнение женщин может не учитываться надлежащим образом. На данном уровне высокого руководства все должности в основном занимают мужчины.</w:t>
      </w:r>
    </w:p>
    <w:p w:rsidR="00000000" w:rsidRDefault="00000000">
      <w:pPr>
        <w:pStyle w:val="H23"/>
      </w:pPr>
      <w:r>
        <w:t>7.9.</w:t>
      </w:r>
      <w:r>
        <w:tab/>
        <w:t>Участие в гражданском обществе</w:t>
      </w:r>
    </w:p>
    <w:p w:rsidR="00000000" w:rsidRDefault="00000000">
      <w:pPr>
        <w:pStyle w:val="SingleTxt"/>
      </w:pPr>
      <w:r>
        <w:t>7.9.1</w:t>
      </w:r>
      <w:r>
        <w:rPr>
          <w:lang w:val="en-US"/>
        </w:rPr>
        <w:t>.</w:t>
      </w:r>
      <w:r>
        <w:tab/>
        <w:t>Конституция Малави гласит, что «каждый гражданин имеет право на свободу ассоциации, которая предусматривает свободу создания ассоциации. Никого нельзя заста</w:t>
      </w:r>
      <w:r>
        <w:t>в</w:t>
      </w:r>
      <w:r>
        <w:t>лять становиться членом какой-либо ассоциации».</w:t>
      </w:r>
      <w:r>
        <w:rPr>
          <w:rStyle w:val="FootnoteReference"/>
          <w:sz w:val="20"/>
        </w:rPr>
        <w:footnoteReference w:id="84"/>
      </w:r>
    </w:p>
    <w:p w:rsidR="00000000" w:rsidRDefault="00000000">
      <w:pPr>
        <w:pStyle w:val="SingleTxt"/>
      </w:pPr>
      <w:r>
        <w:t>7.9.2.</w:t>
      </w:r>
      <w:r>
        <w:tab/>
        <w:t>К сожалению, мужчины не считают для себя подходящим занятием возглавлять какие-либо неправительственные организации, занимающиеся з</w:t>
      </w:r>
      <w:r>
        <w:t>а</w:t>
      </w:r>
      <w:r>
        <w:t>щитой прав женщин. В сфере религии, как и в политике, женщинами руководят и над ними господствуют мужчины. Практически во всех религиозных напра</w:t>
      </w:r>
      <w:r>
        <w:t>в</w:t>
      </w:r>
      <w:r>
        <w:t>лениях в Малави существует так называемое женское крыло, которым неп</w:t>
      </w:r>
      <w:r>
        <w:t>о</w:t>
      </w:r>
      <w:r>
        <w:t>средственно руководят женщины, подчиняясь общему лидерству мужчин. О</w:t>
      </w:r>
      <w:r>
        <w:t>д</w:t>
      </w:r>
      <w:r>
        <w:t>нако, в последнее время в Малави женщин стали посвящать в духовный сан служителей протестантской церкви. Хотя их и посвящают в духовный сан, н</w:t>
      </w:r>
      <w:r>
        <w:t>и</w:t>
      </w:r>
      <w:r>
        <w:t>кто из них не занимает в церкви руководящего положения.</w:t>
      </w:r>
    </w:p>
    <w:p w:rsidR="00000000" w:rsidRDefault="00000000">
      <w:pPr>
        <w:pStyle w:val="H23"/>
      </w:pPr>
      <w:r>
        <w:t>7.10.</w:t>
      </w:r>
      <w:r>
        <w:tab/>
        <w:t>Вывод</w:t>
      </w:r>
    </w:p>
    <w:p w:rsidR="00000000" w:rsidRDefault="00000000">
      <w:pPr>
        <w:pStyle w:val="SingleTxt"/>
      </w:pPr>
      <w:r>
        <w:t>Женщины недопредставлены во всех сферах политической, экономической и общественной жизни, и главенствующее положение здесь занимают мужчины. Существует некоторая предопределенность в отношении роли мужчин и же</w:t>
      </w:r>
      <w:r>
        <w:t>н</w:t>
      </w:r>
      <w:r>
        <w:t>щин, и большинство женщин должны подчиняться мужчинам или поддерж</w:t>
      </w:r>
      <w:r>
        <w:t>и</w:t>
      </w:r>
      <w:r>
        <w:t>вать их. Правовая неграмотность и существование традиций, которые пред</w:t>
      </w:r>
      <w:r>
        <w:t>у</w:t>
      </w:r>
      <w:r>
        <w:t>сматривают, что женщины не должны быть руководителями, иногда являются причинами того, что женщины не могут занять какие-либо руководящие дол</w:t>
      </w:r>
      <w:r>
        <w:t>ж</w:t>
      </w:r>
      <w:r>
        <w:t>ности. Существование определенных культурных традиций и игнорирование интересов бедных слоев населения способствуют ухудшению положения же</w:t>
      </w:r>
      <w:r>
        <w:t>н</w:t>
      </w:r>
      <w:r>
        <w:t>щин в том, что касается их представленности и участия в политической и о</w:t>
      </w:r>
      <w:r>
        <w:t>б</w:t>
      </w:r>
      <w:r>
        <w:t>щественной жизни.</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bookmarkStart w:id="56" w:name="_Toc33784415"/>
      <w:bookmarkStart w:id="57" w:name="_Toc377350754"/>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58" w:name="_Toc83977541"/>
      <w:r>
        <w:t>Статья 8:</w:t>
      </w:r>
      <w:bookmarkEnd w:id="56"/>
      <w:bookmarkEnd w:id="57"/>
      <w:r>
        <w:tab/>
        <w:t>Представленность и участие на международном уровне</w:t>
      </w:r>
      <w:bookmarkEnd w:id="58"/>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numPr>
          <w:ilvl w:val="1"/>
          <w:numId w:val="14"/>
        </w:numPr>
      </w:pPr>
      <w:r>
        <w:t>Стандарт КЛДЖ</w:t>
      </w:r>
    </w:p>
    <w:p w:rsidR="00000000" w:rsidRDefault="00000000">
      <w:pPr>
        <w:pStyle w:val="SingleTxt"/>
        <w:rPr>
          <w:rFonts w:eastAsia="MS Mincho"/>
          <w:i/>
        </w:rPr>
      </w:pPr>
      <w:r>
        <w:rPr>
          <w:rFonts w:eastAsia="MS Mincho"/>
          <w:i/>
        </w:rPr>
        <w:t>Статья 8: 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w:t>
      </w:r>
      <w:r>
        <w:rPr>
          <w:rFonts w:eastAsia="MS Mincho"/>
          <w:i/>
        </w:rPr>
        <w:t>у</w:t>
      </w:r>
      <w:r>
        <w:rPr>
          <w:rFonts w:eastAsia="MS Mincho"/>
          <w:i/>
        </w:rPr>
        <w:t>народном уровне и участвовать в р</w:t>
      </w:r>
      <w:r>
        <w:rPr>
          <w:rFonts w:eastAsia="MS Mincho"/>
          <w:i/>
        </w:rPr>
        <w:t>а</w:t>
      </w:r>
      <w:r>
        <w:rPr>
          <w:rFonts w:eastAsia="MS Mincho"/>
          <w:i/>
        </w:rPr>
        <w:t>боте международных организаций.</w:t>
      </w:r>
    </w:p>
    <w:p w:rsidR="00000000" w:rsidRDefault="00000000">
      <w:pPr>
        <w:pStyle w:val="H23"/>
      </w:pPr>
      <w:r>
        <w:t>8.2.</w:t>
      </w:r>
      <w:r>
        <w:tab/>
        <w:t>Введение</w:t>
      </w:r>
    </w:p>
    <w:p w:rsidR="00000000" w:rsidRDefault="00000000">
      <w:pPr>
        <w:pStyle w:val="SingleTxt"/>
      </w:pPr>
      <w:r>
        <w:t>8.2.1.</w:t>
      </w:r>
      <w:r>
        <w:tab/>
        <w:t>Неравенство мужчин и женщин в Малави проявляется также в их представленности на международном уровне. Хотя женщин часто включают в состав национальных делегаций для работы на международных и других ф</w:t>
      </w:r>
      <w:r>
        <w:t>о</w:t>
      </w:r>
      <w:r>
        <w:t>румах, на</w:t>
      </w:r>
      <w:r>
        <w:t>и</w:t>
      </w:r>
      <w:r>
        <w:t>более влиятельные позиции в этих делегациях занимают мужчины.</w:t>
      </w:r>
    </w:p>
    <w:p w:rsidR="00000000" w:rsidRDefault="00000000">
      <w:pPr>
        <w:pStyle w:val="SingleTxt"/>
      </w:pPr>
      <w:r>
        <w:t>8.2.2.</w:t>
      </w:r>
      <w:r>
        <w:tab/>
        <w:t>Малавийские женщины принимают незначительное участие в работе на международном уровне, несмотря на соответствующие требования, соде</w:t>
      </w:r>
      <w:r>
        <w:t>р</w:t>
      </w:r>
      <w:r>
        <w:t xml:space="preserve">жащиеся в </w:t>
      </w:r>
      <w:r>
        <w:rPr>
          <w:caps/>
        </w:rPr>
        <w:t>к</w:t>
      </w:r>
      <w:r>
        <w:t>онституции страны. Конституцией предусматривается, что «сл</w:t>
      </w:r>
      <w:r>
        <w:t>е</w:t>
      </w:r>
      <w:r>
        <w:t>дует обеспечить всестороннее участие женщин во всех сферах малавийского общества на основе равенства с мужчинами».</w:t>
      </w:r>
      <w:r>
        <w:rPr>
          <w:rStyle w:val="FootnoteReference"/>
          <w:sz w:val="20"/>
        </w:rPr>
        <w:footnoteReference w:id="85"/>
      </w:r>
    </w:p>
    <w:p w:rsidR="00000000" w:rsidRDefault="00000000">
      <w:pPr>
        <w:pStyle w:val="H23"/>
      </w:pPr>
      <w:r>
        <w:t>8.3.</w:t>
      </w:r>
      <w:r>
        <w:tab/>
        <w:t>Возможность представлять правительство на международном уровне</w:t>
      </w:r>
    </w:p>
    <w:p w:rsidR="00000000" w:rsidRDefault="00000000">
      <w:pPr>
        <w:pStyle w:val="SingleTxt"/>
      </w:pPr>
      <w:r>
        <w:t>8.3.1.</w:t>
      </w:r>
      <w:r>
        <w:tab/>
        <w:t xml:space="preserve">После представления первоначального доклада женщины стали все чаще участвовать в решении международных дел. В настоящее время имеется девятнадцать послов и один высокий представитель Малави, из которых три – женщины, назначенные на эту должность президентом страны с утверждения Парламентского комитета по назначению государственных служащих. </w:t>
      </w:r>
    </w:p>
    <w:p w:rsidR="00000000" w:rsidRDefault="00000000">
      <w:pPr>
        <w:pStyle w:val="SingleTxt"/>
      </w:pPr>
      <w:r>
        <w:t>8.3.2.</w:t>
      </w:r>
      <w:r>
        <w:tab/>
        <w:t>Например, в кабинете министров министром иностранных дел и м</w:t>
      </w:r>
      <w:r>
        <w:t>е</w:t>
      </w:r>
      <w:r>
        <w:t>ждународного сотрудничества является женщина, которая впервые заняла эту должность после получ</w:t>
      </w:r>
      <w:r>
        <w:t>е</w:t>
      </w:r>
      <w:r>
        <w:t xml:space="preserve">ния Малави своей независимости в 1964 году. </w:t>
      </w:r>
    </w:p>
    <w:p w:rsidR="00000000" w:rsidRDefault="00000000">
      <w:pPr>
        <w:pStyle w:val="SingleTxt"/>
      </w:pPr>
      <w:r>
        <w:t>8.3.3.</w:t>
      </w:r>
      <w:r>
        <w:tab/>
        <w:t>Однако, многие женщины, работающие в зарубежных представ</w:t>
      </w:r>
      <w:r>
        <w:t>и</w:t>
      </w:r>
      <w:r>
        <w:t>тельствах страны, занимают вспомогательные или обслуживающие должности. Такая тенденция прослеживается в министерстве иностранных дел, где из 44 руководящих сотрудников и специал</w:t>
      </w:r>
      <w:r>
        <w:t>и</w:t>
      </w:r>
      <w:r>
        <w:t>стов, женщин только девять.</w:t>
      </w:r>
    </w:p>
    <w:p w:rsidR="00000000" w:rsidRDefault="00000000">
      <w:pPr>
        <w:pStyle w:val="H23"/>
      </w:pPr>
      <w:r>
        <w:t>8.4.</w:t>
      </w:r>
      <w:r>
        <w:tab/>
        <w:t>Участие в работе международных организаций</w:t>
      </w:r>
    </w:p>
    <w:p w:rsidR="00000000" w:rsidRDefault="00000000">
      <w:pPr>
        <w:pStyle w:val="SingleTxt"/>
      </w:pPr>
      <w:r>
        <w:t>8.4.1.</w:t>
      </w:r>
      <w:r>
        <w:tab/>
        <w:t>Международные организации, которые функционируют в Малави, набирают малавийцев с учетом своей политики и своих потребностей. Однако, большинство малавийских женщин, принятых на работу в эти организации, з</w:t>
      </w:r>
      <w:r>
        <w:t>а</w:t>
      </w:r>
      <w:r>
        <w:t>нимают должности вспомогательного персонала, что является отражением о</w:t>
      </w:r>
      <w:r>
        <w:t>б</w:t>
      </w:r>
      <w:r>
        <w:t>щего положения, существующего в стране.</w:t>
      </w:r>
    </w:p>
    <w:p w:rsidR="00000000" w:rsidRDefault="00000000">
      <w:pPr>
        <w:pStyle w:val="H23"/>
      </w:pPr>
      <w:r>
        <w:t>8.5.</w:t>
      </w:r>
      <w:r>
        <w:tab/>
        <w:t>Вывод</w:t>
      </w:r>
    </w:p>
    <w:p w:rsidR="00000000" w:rsidRDefault="00000000">
      <w:pPr>
        <w:pStyle w:val="SingleTxt"/>
      </w:pPr>
      <w:r>
        <w:t>Несмотря на существующее неравноправие между мужчинами и женщинами, Малави за отчетный период приняла некоторые меры по назначению женщин на руководящие должности на международном уровне, такие как министров иностранных дел и международного сотрудничества и три посла. В Малави, для того, чтобы выдвинуть женщин на более влиятельные посты, необходимо еще предпринять немало дополнительных усилий.</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bookmarkStart w:id="59" w:name="_Toc33784416"/>
      <w:bookmarkStart w:id="60" w:name="_Toc377350755"/>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61" w:name="_Toc83977542"/>
      <w:r>
        <w:t>Статья 9</w:t>
      </w:r>
      <w:bookmarkEnd w:id="59"/>
      <w:bookmarkEnd w:id="60"/>
      <w:r>
        <w:t>:</w:t>
      </w:r>
      <w:r>
        <w:tab/>
        <w:t>Гражданство</w:t>
      </w:r>
      <w:bookmarkEnd w:id="61"/>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9.1.</w:t>
      </w:r>
      <w:r>
        <w:tab/>
        <w:t>Стандарты КЛДЖ</w:t>
      </w:r>
    </w:p>
    <w:p w:rsidR="00000000" w:rsidRDefault="00000000">
      <w:pPr>
        <w:pStyle w:val="SingleTxt"/>
        <w:rPr>
          <w:rFonts w:eastAsia="MS Mincho"/>
          <w:i/>
        </w:rPr>
      </w:pPr>
      <w:r>
        <w:rPr>
          <w:rFonts w:eastAsia="MS Mincho"/>
          <w:i/>
        </w:rPr>
        <w:t>Статья 9: Государства-участники предоставляют женщинам равные с му</w:t>
      </w:r>
      <w:r>
        <w:rPr>
          <w:rFonts w:eastAsia="MS Mincho"/>
          <w:i/>
        </w:rPr>
        <w:t>ж</w:t>
      </w:r>
      <w:r>
        <w:rPr>
          <w:rFonts w:eastAsia="MS Mincho"/>
          <w:i/>
        </w:rPr>
        <w:t>чинами права в отношении приобретения, изменения или сохранения их гра</w:t>
      </w:r>
      <w:r>
        <w:rPr>
          <w:rFonts w:eastAsia="MS Mincho"/>
          <w:i/>
        </w:rPr>
        <w:t>ж</w:t>
      </w:r>
      <w:r>
        <w:rPr>
          <w:rFonts w:eastAsia="MS Mincho"/>
          <w:i/>
        </w:rPr>
        <w:t>данства. Они, в частности, обеспечивают, что ни вступление в брак с ин</w:t>
      </w:r>
      <w:r>
        <w:rPr>
          <w:rFonts w:eastAsia="MS Mincho"/>
          <w:i/>
        </w:rPr>
        <w:t>о</w:t>
      </w:r>
      <w:r>
        <w:rPr>
          <w:rFonts w:eastAsia="MS Mincho"/>
          <w:i/>
        </w:rPr>
        <w:t>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w:t>
      </w:r>
      <w:r>
        <w:rPr>
          <w:rFonts w:eastAsia="MS Mincho"/>
          <w:i/>
        </w:rPr>
        <w:t>ж</w:t>
      </w:r>
      <w:r>
        <w:rPr>
          <w:rFonts w:eastAsia="MS Mincho"/>
          <w:i/>
        </w:rPr>
        <w:t>данство мужа.</w:t>
      </w:r>
    </w:p>
    <w:p w:rsidR="00000000" w:rsidRDefault="00000000">
      <w:pPr>
        <w:pStyle w:val="SingleTxt"/>
        <w:rPr>
          <w:rFonts w:eastAsia="MS Mincho"/>
          <w:i/>
        </w:rPr>
      </w:pPr>
      <w:r>
        <w:rPr>
          <w:rFonts w:eastAsia="MS Mincho"/>
          <w:i/>
        </w:rPr>
        <w:t>2. Государства-участники предоставляют женщинам равные с мужчинами права в отн</w:t>
      </w:r>
      <w:r>
        <w:rPr>
          <w:rFonts w:eastAsia="MS Mincho"/>
          <w:i/>
        </w:rPr>
        <w:t>о</w:t>
      </w:r>
      <w:r>
        <w:rPr>
          <w:rFonts w:eastAsia="MS Mincho"/>
          <w:i/>
        </w:rPr>
        <w:t>шении гражданства их детей.</w:t>
      </w:r>
    </w:p>
    <w:p w:rsidR="00000000" w:rsidRDefault="00000000">
      <w:pPr>
        <w:pStyle w:val="H23"/>
      </w:pPr>
      <w:r>
        <w:t>9.2.</w:t>
      </w:r>
      <w:r>
        <w:tab/>
        <w:t>Введение</w:t>
      </w:r>
    </w:p>
    <w:p w:rsidR="00000000" w:rsidRDefault="00000000">
      <w:pPr>
        <w:pStyle w:val="SingleTxt"/>
      </w:pPr>
      <w:r>
        <w:t>9.2.1.</w:t>
      </w:r>
      <w:r>
        <w:tab/>
        <w:t>Конституция предоставляет женщинам право приобретать и сохр</w:t>
      </w:r>
      <w:r>
        <w:t>а</w:t>
      </w:r>
      <w:r>
        <w:t>нять гражданство и национальность на равной с мужчинами основе.</w:t>
      </w:r>
      <w:r>
        <w:rPr>
          <w:rStyle w:val="FootnoteReference"/>
          <w:sz w:val="20"/>
        </w:rPr>
        <w:footnoteReference w:id="86"/>
      </w:r>
      <w:r>
        <w:t xml:space="preserve"> В отл</w:t>
      </w:r>
      <w:r>
        <w:t>и</w:t>
      </w:r>
      <w:r>
        <w:t>чии от положений Конституции, нормы закона, регулирующие приобретение и утрату малавийского гражданства, по-прежнему допускают дискриминацию в отношении тех женщин, которые выходят з</w:t>
      </w:r>
      <w:r>
        <w:t>а</w:t>
      </w:r>
      <w:r>
        <w:t xml:space="preserve">муж за немалавийцев. </w:t>
      </w:r>
    </w:p>
    <w:p w:rsidR="00000000" w:rsidRDefault="00000000">
      <w:pPr>
        <w:pStyle w:val="SingleTxt"/>
      </w:pPr>
      <w:r>
        <w:t>9.2.2.</w:t>
      </w:r>
      <w:r>
        <w:tab/>
        <w:t>В статье 47(1) Конституции предусматривается, что мужчины и женщины имеют право на гражданство и национальность. В Конституции д</w:t>
      </w:r>
      <w:r>
        <w:t>а</w:t>
      </w:r>
      <w:r>
        <w:t>лее содержится положение, касающееся приобретения или утраты гражданс</w:t>
      </w:r>
      <w:r>
        <w:t>т</w:t>
      </w:r>
      <w:r>
        <w:t>ва, однако в нем отмечается, что в гражданстве нельзя отказать или лишить гра</w:t>
      </w:r>
      <w:r>
        <w:t>ж</w:t>
      </w:r>
      <w:r>
        <w:t>данства произвольным образом.</w:t>
      </w:r>
      <w:r>
        <w:rPr>
          <w:rStyle w:val="FootnoteReference"/>
          <w:sz w:val="20"/>
        </w:rPr>
        <w:footnoteReference w:id="87"/>
      </w:r>
    </w:p>
    <w:p w:rsidR="00000000" w:rsidRDefault="00000000">
      <w:pPr>
        <w:pStyle w:val="H23"/>
      </w:pPr>
      <w:r>
        <w:t>9.3.</w:t>
      </w:r>
      <w:r>
        <w:tab/>
        <w:t>Приобретение или изменение гражданства</w:t>
      </w:r>
    </w:p>
    <w:p w:rsidR="00000000" w:rsidRDefault="00000000">
      <w:pPr>
        <w:pStyle w:val="SingleTxt"/>
      </w:pPr>
      <w:r>
        <w:t>9.3.1.</w:t>
      </w:r>
      <w:r>
        <w:tab/>
        <w:t>Законом о гражданстве предусматривается приобретение гражданс</w:t>
      </w:r>
      <w:r>
        <w:t>т</w:t>
      </w:r>
      <w:r>
        <w:t>ва по факту рождения, наследования от родителей или же путем регистрации. Этим законом допускается приобретение гражданства другой страны в виду вступления в брак, однако это требование ограничивается только женщин</w:t>
      </w:r>
      <w:r>
        <w:t>а</w:t>
      </w:r>
      <w:r>
        <w:t>ми.</w:t>
      </w:r>
      <w:r>
        <w:rPr>
          <w:rStyle w:val="FootnoteReference"/>
          <w:sz w:val="20"/>
        </w:rPr>
        <w:footnoteReference w:id="88"/>
      </w:r>
      <w:r>
        <w:t xml:space="preserve"> Однако, иностранки-жены малавийских мужчин могут приобрести гра</w:t>
      </w:r>
      <w:r>
        <w:t>ж</w:t>
      </w:r>
      <w:r>
        <w:t>данс</w:t>
      </w:r>
      <w:r>
        <w:t>т</w:t>
      </w:r>
      <w:r>
        <w:t>во не по факту вступления в брак, а путем регистрации.</w:t>
      </w:r>
    </w:p>
    <w:p w:rsidR="00000000" w:rsidRDefault="00000000">
      <w:pPr>
        <w:pStyle w:val="SingleTxt"/>
      </w:pPr>
      <w:r>
        <w:t>9.3.2.</w:t>
      </w:r>
      <w:r>
        <w:tab/>
        <w:t>Малавийская женщина, вступившая в брак с иностранцем, может быть лишена своего гражданства, если она не сообщает о гражданстве своего мужа по истечении первого года их брака. В то же время немалавийские же</w:t>
      </w:r>
      <w:r>
        <w:t>н</w:t>
      </w:r>
      <w:r>
        <w:t>щины, состоящие в браке с малавийцами, также должны делать подобный в</w:t>
      </w:r>
      <w:r>
        <w:t>ы</w:t>
      </w:r>
      <w:r>
        <w:t>бор по истечении первого года их совместной жизни. В отличии от всего этого малавийские и немалавийские мужчины не обязаны каким-либо образом делать свой выбор. Все это означает, что законом закрепляется неравенство женщин, что объясняется широко распространенным мнением о том, что женщина в в</w:t>
      </w:r>
      <w:r>
        <w:t>о</w:t>
      </w:r>
      <w:r>
        <w:t>просах брака всегда должна следовать за своим мужем.</w:t>
      </w:r>
    </w:p>
    <w:p w:rsidR="00000000" w:rsidRDefault="00000000">
      <w:pPr>
        <w:pStyle w:val="H23"/>
      </w:pPr>
      <w:r>
        <w:t>9.4.</w:t>
      </w:r>
      <w:r>
        <w:tab/>
        <w:t>Иммиграция и право на национальность</w:t>
      </w:r>
    </w:p>
    <w:p w:rsidR="00000000" w:rsidRDefault="00000000">
      <w:pPr>
        <w:pStyle w:val="SingleTxt"/>
      </w:pPr>
      <w:r>
        <w:t>9.4.1.</w:t>
      </w:r>
      <w:r>
        <w:tab/>
        <w:t>В соответствии с положениями закона об иммиграции женщины н</w:t>
      </w:r>
      <w:r>
        <w:t>а</w:t>
      </w:r>
      <w:r>
        <w:t>ходятся в зависимости от мужчины, будь то от отца, мужа или дяди. Замужним женщинам запрещается мигрировать, пока они находятся под опекой мужа. Х</w:t>
      </w:r>
      <w:r>
        <w:t>о</w:t>
      </w:r>
      <w:r>
        <w:t>тя дети в возрасте до 18 лет могут получить собственные паспорта и путешес</w:t>
      </w:r>
      <w:r>
        <w:t>т</w:t>
      </w:r>
      <w:r>
        <w:t>вовать, будучи вписанными в паспорта их матерей, они не могут иммигрир</w:t>
      </w:r>
      <w:r>
        <w:t>о</w:t>
      </w:r>
      <w:r>
        <w:t>вать без согласия отца или другого опекуна мужского пола. Кроме того, дети, рожденные в смешанном браке, имеют право на двойное гражданство до и</w:t>
      </w:r>
      <w:r>
        <w:t>с</w:t>
      </w:r>
      <w:r>
        <w:t xml:space="preserve">полнения им 18 лет, когда они должны сделать выбор между гражданством своего отца или матери. </w:t>
      </w:r>
    </w:p>
    <w:p w:rsidR="00000000" w:rsidRDefault="00000000">
      <w:pPr>
        <w:pStyle w:val="SingleTxt"/>
      </w:pPr>
      <w:r>
        <w:t>9.4.2.</w:t>
      </w:r>
      <w:r>
        <w:tab/>
        <w:t>Министерство внутренних дел приступило к реализации соответс</w:t>
      </w:r>
      <w:r>
        <w:t>т</w:t>
      </w:r>
      <w:r>
        <w:t>вующих программ улучшения положения в этой области. Оно назначило с</w:t>
      </w:r>
      <w:r>
        <w:t>о</w:t>
      </w:r>
      <w:r>
        <w:t>трудников для расследования случаев незаконной иммиграции. Последствия данной проблемы для женщин еще неизвестны, однако вполне возможно, что это пагубно повлияет на женщин, находящихся в браке с незаконными имм</w:t>
      </w:r>
      <w:r>
        <w:t>и</w:t>
      </w:r>
      <w:r>
        <w:t xml:space="preserve">грантами. </w:t>
      </w:r>
    </w:p>
    <w:p w:rsidR="00000000" w:rsidRDefault="00000000">
      <w:pPr>
        <w:pStyle w:val="SingleTxt"/>
      </w:pPr>
      <w:r>
        <w:t>9.4.3.</w:t>
      </w:r>
      <w:r>
        <w:tab/>
        <w:t>Был принят новый образец паспорта малавийского гражданина, и этот паспорт теперь трудно подделать путем его перфорирования или сканир</w:t>
      </w:r>
      <w:r>
        <w:t>о</w:t>
      </w:r>
      <w:r>
        <w:t>вания фотографии его вл</w:t>
      </w:r>
      <w:r>
        <w:t>а</w:t>
      </w:r>
      <w:r>
        <w:t xml:space="preserve">дельца. </w:t>
      </w:r>
    </w:p>
    <w:p w:rsidR="00000000" w:rsidRDefault="00000000">
      <w:pPr>
        <w:pStyle w:val="H23"/>
      </w:pPr>
      <w:r>
        <w:t>9.5.</w:t>
      </w:r>
      <w:r>
        <w:tab/>
        <w:t>Осуществление права на национальность</w:t>
      </w:r>
    </w:p>
    <w:p w:rsidR="00000000" w:rsidRDefault="00000000">
      <w:pPr>
        <w:pStyle w:val="SingleTxt"/>
      </w:pPr>
      <w:r>
        <w:t>9.5.1.</w:t>
      </w:r>
      <w:r>
        <w:tab/>
        <w:t xml:space="preserve">Хотя женщины могут в соответствии с положениями как </w:t>
      </w:r>
      <w:r>
        <w:rPr>
          <w:caps/>
        </w:rPr>
        <w:t>к</w:t>
      </w:r>
      <w:r>
        <w:t>онстит</w:t>
      </w:r>
      <w:r>
        <w:t>у</w:t>
      </w:r>
      <w:r>
        <w:t>ции, так и закона о гражданстве пользоваться своим правом на национал</w:t>
      </w:r>
      <w:r>
        <w:t>ь</w:t>
      </w:r>
      <w:r>
        <w:t>ность, осуществление такого права зачастую определяется фактом их вступл</w:t>
      </w:r>
      <w:r>
        <w:t>е</w:t>
      </w:r>
      <w:r>
        <w:t>ния в брак. В культурном отношении женщина в Малави, как правило, должна находиться вместе с мужем, который считается главой семьи. Поэтому бол</w:t>
      </w:r>
      <w:r>
        <w:t>ь</w:t>
      </w:r>
      <w:r>
        <w:t>шинство женщин не могут приобрести или изменить свою национальность без согласия мужа.</w:t>
      </w:r>
    </w:p>
    <w:p w:rsidR="00000000" w:rsidRDefault="00000000">
      <w:pPr>
        <w:pStyle w:val="SingleTxt"/>
      </w:pPr>
      <w:r>
        <w:t>9.5.2.</w:t>
      </w:r>
      <w:r>
        <w:tab/>
        <w:t>Требование о том, что иностранные женщины должны отказываться от своей национальности, предполагает, что они не могут занимать некоторые должности в государственной службе, пока они не примут национальность мужа. В противном случае они не могут стать президентом страны, членами парламе</w:t>
      </w:r>
      <w:r>
        <w:t>н</w:t>
      </w:r>
      <w:r>
        <w:t>та и различных советов.</w:t>
      </w:r>
    </w:p>
    <w:p w:rsidR="00000000" w:rsidRDefault="00000000">
      <w:pPr>
        <w:pStyle w:val="H23"/>
      </w:pPr>
      <w:r>
        <w:t>9.6.</w:t>
      </w:r>
      <w:r>
        <w:tab/>
        <w:t xml:space="preserve">Вывод </w:t>
      </w:r>
    </w:p>
    <w:p w:rsidR="00000000" w:rsidRDefault="00000000">
      <w:pPr>
        <w:pStyle w:val="SingleTxt"/>
      </w:pPr>
      <w:r>
        <w:t>Конституцией Малави предусматривается необходимость изменения некоторых законов в плане обеспечения равенства мужчин и женщин. Примерами таких законов могут служить законы о пользовании правом на национальность. Как в законе о гражданстве, так и в законе о миграции содержатся положения, прот</w:t>
      </w:r>
      <w:r>
        <w:t>и</w:t>
      </w:r>
      <w:r>
        <w:t>воречащие Конституции Малави и КЛДЖ. Пока положения, закрепляющие н</w:t>
      </w:r>
      <w:r>
        <w:t>е</w:t>
      </w:r>
      <w:r>
        <w:t>равенство мужчин, и женщин и предусматривающие дискриминацию в отн</w:t>
      </w:r>
      <w:r>
        <w:t>о</w:t>
      </w:r>
      <w:r>
        <w:t>шении женщин не будут объявлены Высоким судом недействительными или отменены Парламентом, они будут составлять часть законодател</w:t>
      </w:r>
      <w:r>
        <w:t>ь</w:t>
      </w:r>
      <w:r>
        <w:t>ства Малави.</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62" w:name="_Toc83977543"/>
      <w:r>
        <w:t>Статья 10:</w:t>
      </w:r>
      <w:r>
        <w:tab/>
        <w:t>Образование и профессиональная подготовка</w:t>
      </w:r>
      <w:bookmarkEnd w:id="62"/>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10.1.</w:t>
      </w:r>
      <w:r>
        <w:tab/>
        <w:t>Стандарты КЛДЖ</w:t>
      </w:r>
    </w:p>
    <w:p w:rsidR="00000000" w:rsidRDefault="00000000">
      <w:pPr>
        <w:pStyle w:val="SingleTxt"/>
        <w:rPr>
          <w:i/>
        </w:rPr>
      </w:pPr>
      <w:r>
        <w:t>Статья</w:t>
      </w:r>
      <w:r>
        <w:rPr>
          <w:i/>
        </w:rPr>
        <w:t xml:space="preserve"> 10. 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w:t>
      </w:r>
      <w:r>
        <w:rPr>
          <w:i/>
        </w:rPr>
        <w:t>о</w:t>
      </w:r>
      <w:r>
        <w:rPr>
          <w:i/>
        </w:rPr>
        <w:t xml:space="preserve">сти, обеспечить на основе равенства мужчин и женщин: </w:t>
      </w:r>
    </w:p>
    <w:p w:rsidR="00000000" w:rsidRDefault="00000000">
      <w:pPr>
        <w:pStyle w:val="SingleTxt"/>
        <w:rPr>
          <w:i/>
        </w:rPr>
      </w:pPr>
      <w:r>
        <w:rPr>
          <w:i/>
        </w:rPr>
        <w:t>а)</w:t>
      </w:r>
      <w:r>
        <w:rPr>
          <w:i/>
        </w:rPr>
        <w:tab/>
        <w:t>одинаковые условия для ориентации в выборе профессии или специальн</w:t>
      </w:r>
      <w:r>
        <w:rPr>
          <w:i/>
        </w:rPr>
        <w:t>о</w:t>
      </w:r>
      <w:r>
        <w:rPr>
          <w:i/>
        </w:rPr>
        <w:t>сти, для доступа к образованию и получению дипломов в учебных заведениях всех категорий как в сельских, так и в городских районах; это равенство обе</w:t>
      </w:r>
      <w:r>
        <w:rPr>
          <w:i/>
        </w:rPr>
        <w:t>с</w:t>
      </w:r>
      <w:r>
        <w:rPr>
          <w:i/>
        </w:rPr>
        <w:t>печивается в дошкольном, общем, специальном и высшем техническом образ</w:t>
      </w:r>
      <w:r>
        <w:rPr>
          <w:i/>
        </w:rPr>
        <w:t>о</w:t>
      </w:r>
      <w:r>
        <w:rPr>
          <w:i/>
        </w:rPr>
        <w:t xml:space="preserve">вании, а также во всех видах профессиональной подготовки; </w:t>
      </w:r>
    </w:p>
    <w:p w:rsidR="00000000" w:rsidRDefault="00000000">
      <w:pPr>
        <w:pStyle w:val="SingleTxt"/>
        <w:rPr>
          <w:i/>
        </w:rPr>
      </w:pPr>
      <w:r>
        <w:rPr>
          <w:i/>
        </w:rPr>
        <w:t>b)</w:t>
      </w:r>
      <w:r>
        <w:rPr>
          <w:i/>
        </w:rPr>
        <w:tab/>
        <w:t>доступ к одинаковым программам обучения, одинаковым экзаменам, пр</w:t>
      </w:r>
      <w:r>
        <w:rPr>
          <w:i/>
        </w:rPr>
        <w:t>е</w:t>
      </w:r>
      <w:r>
        <w:rPr>
          <w:i/>
        </w:rPr>
        <w:t xml:space="preserve">подавательскому составу одинаковой квалификации, школьным помещениям и оборудованию равного качества; </w:t>
      </w:r>
    </w:p>
    <w:p w:rsidR="00000000" w:rsidRDefault="00000000">
      <w:pPr>
        <w:pStyle w:val="SingleTxt"/>
        <w:rPr>
          <w:i/>
        </w:rPr>
      </w:pPr>
      <w:r>
        <w:rPr>
          <w:i/>
        </w:rPr>
        <w:t>с)</w:t>
      </w:r>
      <w:r>
        <w:rPr>
          <w:i/>
        </w:rPr>
        <w:tab/>
        <w:t>устранение любой стереотипной концепции роли мужчин и женщин на всех уровнях и во всех формах обучения путем поощрения совместного обуч</w:t>
      </w:r>
      <w:r>
        <w:rPr>
          <w:i/>
        </w:rPr>
        <w:t>е</w:t>
      </w:r>
      <w:r>
        <w:rPr>
          <w:i/>
        </w:rPr>
        <w:t>ния и других видов обучения, которые будут содействовать достижению этой цели, и, в частности, путем пересмотра учебных пособий и школьных программ и ада</w:t>
      </w:r>
      <w:r>
        <w:rPr>
          <w:i/>
        </w:rPr>
        <w:t>п</w:t>
      </w:r>
      <w:r>
        <w:rPr>
          <w:i/>
        </w:rPr>
        <w:t xml:space="preserve">тации методов обучения; </w:t>
      </w:r>
    </w:p>
    <w:p w:rsidR="00000000" w:rsidRDefault="00000000">
      <w:pPr>
        <w:pStyle w:val="SingleTxt"/>
        <w:rPr>
          <w:i/>
        </w:rPr>
      </w:pPr>
      <w:r>
        <w:rPr>
          <w:i/>
        </w:rPr>
        <w:t>d)</w:t>
      </w:r>
      <w:r>
        <w:rPr>
          <w:i/>
        </w:rPr>
        <w:tab/>
        <w:t>одинаковые возможности получения стипендий и других пособий на обр</w:t>
      </w:r>
      <w:r>
        <w:rPr>
          <w:i/>
        </w:rPr>
        <w:t>а</w:t>
      </w:r>
      <w:r>
        <w:rPr>
          <w:i/>
        </w:rPr>
        <w:t>з</w:t>
      </w:r>
      <w:r>
        <w:rPr>
          <w:i/>
        </w:rPr>
        <w:t>о</w:t>
      </w:r>
      <w:r>
        <w:rPr>
          <w:i/>
        </w:rPr>
        <w:t xml:space="preserve">вание; </w:t>
      </w:r>
    </w:p>
    <w:p w:rsidR="00000000" w:rsidRDefault="00000000">
      <w:pPr>
        <w:pStyle w:val="SingleTxt"/>
        <w:rPr>
          <w:i/>
        </w:rPr>
      </w:pPr>
      <w:r>
        <w:rPr>
          <w:i/>
        </w:rPr>
        <w:t>е)</w:t>
      </w:r>
      <w:r>
        <w:rPr>
          <w:i/>
        </w:rPr>
        <w:tab/>
        <w:t>одинаковые возможности доступа к программам продолжения образов</w:t>
      </w:r>
      <w:r>
        <w:rPr>
          <w:i/>
        </w:rPr>
        <w:t>а</w:t>
      </w:r>
      <w:r>
        <w:rPr>
          <w:i/>
        </w:rPr>
        <w:t>ния, включая программы распространения грамотности среди взрослых и пр</w:t>
      </w:r>
      <w:r>
        <w:rPr>
          <w:i/>
        </w:rPr>
        <w:t>о</w:t>
      </w:r>
      <w:r>
        <w:rPr>
          <w:i/>
        </w:rPr>
        <w:t>граммы функциональной грамотности, направленные, в частности, на сокр</w:t>
      </w:r>
      <w:r>
        <w:rPr>
          <w:i/>
        </w:rPr>
        <w:t>а</w:t>
      </w:r>
      <w:r>
        <w:rPr>
          <w:i/>
        </w:rPr>
        <w:t xml:space="preserve">щение как можно скорее любого разрыва в знаниях мужчин и женщин; </w:t>
      </w:r>
    </w:p>
    <w:p w:rsidR="00000000" w:rsidRDefault="00000000">
      <w:pPr>
        <w:pStyle w:val="SingleTxt"/>
        <w:rPr>
          <w:i/>
        </w:rPr>
      </w:pPr>
      <w:r>
        <w:rPr>
          <w:i/>
        </w:rPr>
        <w:t>f)</w:t>
      </w:r>
      <w:r>
        <w:rPr>
          <w:i/>
        </w:rPr>
        <w:tab/>
        <w:t>сокращение числа девушек, не заканчивающих школу, и разработку пр</w:t>
      </w:r>
      <w:r>
        <w:rPr>
          <w:i/>
        </w:rPr>
        <w:t>о</w:t>
      </w:r>
      <w:r>
        <w:rPr>
          <w:i/>
        </w:rPr>
        <w:t xml:space="preserve">грамм для девушек и женщин, преждевременно покинувших школу; </w:t>
      </w:r>
    </w:p>
    <w:p w:rsidR="00000000" w:rsidRDefault="00000000">
      <w:pPr>
        <w:pStyle w:val="SingleTxt"/>
        <w:rPr>
          <w:i/>
        </w:rPr>
      </w:pPr>
      <w:r>
        <w:rPr>
          <w:i/>
        </w:rPr>
        <w:t>g)</w:t>
      </w:r>
      <w:r>
        <w:rPr>
          <w:i/>
        </w:rPr>
        <w:tab/>
        <w:t>одинаковые возможности активно участвовать в занятиях спортом и физич</w:t>
      </w:r>
      <w:r>
        <w:rPr>
          <w:i/>
        </w:rPr>
        <w:t>е</w:t>
      </w:r>
      <w:r>
        <w:rPr>
          <w:i/>
        </w:rPr>
        <w:t xml:space="preserve">ской подготовкой; </w:t>
      </w:r>
    </w:p>
    <w:p w:rsidR="00000000" w:rsidRDefault="00000000">
      <w:pPr>
        <w:pStyle w:val="SingleTxt"/>
        <w:rPr>
          <w:i/>
        </w:rPr>
      </w:pPr>
      <w:r>
        <w:rPr>
          <w:i/>
        </w:rPr>
        <w:t>h)</w:t>
      </w:r>
      <w:r>
        <w:rPr>
          <w:i/>
        </w:rPr>
        <w:tab/>
        <w:t>доступ к специальной информации образовательного характера в целях содействия обеспечению здоровья и благосостояния семей, включая информ</w:t>
      </w:r>
      <w:r>
        <w:rPr>
          <w:i/>
        </w:rPr>
        <w:t>а</w:t>
      </w:r>
      <w:r>
        <w:rPr>
          <w:i/>
        </w:rPr>
        <w:t>цию и консультации о планировании размера семьи.</w:t>
      </w:r>
    </w:p>
    <w:p w:rsidR="00000000" w:rsidRDefault="00000000">
      <w:pPr>
        <w:pStyle w:val="H23"/>
      </w:pPr>
      <w:r>
        <w:t>10.2.</w:t>
      </w:r>
      <w:r>
        <w:tab/>
        <w:t>Введение</w:t>
      </w:r>
    </w:p>
    <w:p w:rsidR="00000000" w:rsidRDefault="00000000">
      <w:pPr>
        <w:pStyle w:val="SingleTxt"/>
      </w:pPr>
      <w:r>
        <w:t>10.2.1.</w:t>
      </w:r>
      <w:r>
        <w:tab/>
        <w:t>Показатели образовательного уровня населения Малави низки и х</w:t>
      </w:r>
      <w:r>
        <w:t>а</w:t>
      </w:r>
      <w:r>
        <w:t>рактеризуются межполовыми диспропорциями. Доступ к образованию, проф</w:t>
      </w:r>
      <w:r>
        <w:t>и</w:t>
      </w:r>
      <w:r>
        <w:t>лактика отсева учащихся и студентов, содержание и предоставление образов</w:t>
      </w:r>
      <w:r>
        <w:t>а</w:t>
      </w:r>
      <w:r>
        <w:t>ния, а также успеваемость учащихся и студентов, были низкими. Возможн</w:t>
      </w:r>
      <w:r>
        <w:t>о</w:t>
      </w:r>
      <w:r>
        <w:t>стей профессиональной подготовки и образования не хватает, особенно для женщин. Образование для взрослых и непрерывное образование пользуются выс</w:t>
      </w:r>
      <w:r>
        <w:t>о</w:t>
      </w:r>
      <w:r>
        <w:t>ким спросом, особенно среди сельских женщин.</w:t>
      </w:r>
    </w:p>
    <w:p w:rsidR="00000000" w:rsidRDefault="00000000">
      <w:pPr>
        <w:pStyle w:val="SingleTxt"/>
      </w:pPr>
      <w:r>
        <w:t>10.2.2.</w:t>
      </w:r>
      <w:r>
        <w:tab/>
        <w:t>Конституция 1994 года предусматривает предоставление бесплатн</w:t>
      </w:r>
      <w:r>
        <w:t>о</w:t>
      </w:r>
      <w:r>
        <w:t>го и обязательного образования и гласит, что «каждый имеет право на образ</w:t>
      </w:r>
      <w:r>
        <w:t>о</w:t>
      </w:r>
      <w:r>
        <w:t>вание», а также требует от государства выделения соответствующих средств на повышение уровня образования в Малави</w:t>
      </w:r>
      <w:r>
        <w:rPr>
          <w:rStyle w:val="FootnoteReference"/>
          <w:sz w:val="20"/>
        </w:rPr>
        <w:footnoteReference w:id="89"/>
      </w:r>
      <w:r>
        <w:t>. Правительство взяло курс на пр</w:t>
      </w:r>
      <w:r>
        <w:t>е</w:t>
      </w:r>
      <w:r>
        <w:t>доставление бесплатного начального образования с 1994 года, однако образ</w:t>
      </w:r>
      <w:r>
        <w:t>о</w:t>
      </w:r>
      <w:r>
        <w:t>вание все еще не является обязател</w:t>
      </w:r>
      <w:r>
        <w:t>ь</w:t>
      </w:r>
      <w:r>
        <w:t>ным.</w:t>
      </w:r>
    </w:p>
    <w:p w:rsidR="00000000" w:rsidRDefault="00000000">
      <w:pPr>
        <w:pStyle w:val="SingleTxt"/>
      </w:pPr>
      <w:r>
        <w:t>10.2.3.</w:t>
      </w:r>
      <w:r>
        <w:tab/>
        <w:t>Программа позитивных действий «Успеваемость среди девочек при обучении элементарной грамотности и получении образования» осуществл</w:t>
      </w:r>
      <w:r>
        <w:t>я</w:t>
      </w:r>
      <w:r>
        <w:t>лась с 1993 по 1998 годы с целью расширения охвата девочек школьным обр</w:t>
      </w:r>
      <w:r>
        <w:t>а</w:t>
      </w:r>
      <w:r>
        <w:t>зованием и профилактики их отсева. Программа предусматривала оплату об</w:t>
      </w:r>
      <w:r>
        <w:t>у</w:t>
      </w:r>
      <w:r>
        <w:t>чения всех учениц начальной школы, сдавших экзамен и перешедших в сл</w:t>
      </w:r>
      <w:r>
        <w:t>е</w:t>
      </w:r>
      <w:r>
        <w:t>дующий класс, предоставление учебных пособий каждому ученику и ввела п</w:t>
      </w:r>
      <w:r>
        <w:t>о</w:t>
      </w:r>
      <w:r>
        <w:t>этапную оплату школьных сборов за каждого ребенка с разбивкой по станда</w:t>
      </w:r>
      <w:r>
        <w:t>р</w:t>
      </w:r>
      <w:r>
        <w:t>там 1-4. Около полумиллиона учениц воспользовались преимуществами этой программы. Когда в 1994 году было введено бесплатное начальное образов</w:t>
      </w:r>
      <w:r>
        <w:t>а</w:t>
      </w:r>
      <w:r>
        <w:t>ние,  практика оплаты обучения учениц была пер</w:t>
      </w:r>
      <w:r>
        <w:t>е</w:t>
      </w:r>
      <w:r>
        <w:t>несена в среднюю школу.</w:t>
      </w:r>
    </w:p>
    <w:p w:rsidR="00000000" w:rsidRDefault="00000000">
      <w:pPr>
        <w:pStyle w:val="H23"/>
      </w:pPr>
      <w:r>
        <w:t>10.3.</w:t>
      </w:r>
      <w:r>
        <w:tab/>
        <w:t>Доступ к образованию и профилактика отсева</w:t>
      </w:r>
    </w:p>
    <w:p w:rsidR="00000000" w:rsidRDefault="00000000">
      <w:pPr>
        <w:pStyle w:val="SingleTxt"/>
      </w:pPr>
      <w:r>
        <w:t>10.3.1.</w:t>
      </w:r>
      <w:r>
        <w:tab/>
        <w:t>До и после 1994 года дошкольному обучению в Малави не уделялось должного внимания. В 1994 году им было охвачен только 1 процент детей д</w:t>
      </w:r>
      <w:r>
        <w:t>о</w:t>
      </w:r>
      <w:r>
        <w:t>школьного возраста. К 1999 году охват увеличился до 26,6 процента. Это об</w:t>
      </w:r>
      <w:r>
        <w:t>у</w:t>
      </w:r>
      <w:r>
        <w:t>словлено, главным образом, ростом числа дошкольных учреждений, создава</w:t>
      </w:r>
      <w:r>
        <w:t>е</w:t>
      </w:r>
      <w:r>
        <w:t>мых общинами под руководством министерства по делам женщин и общес</w:t>
      </w:r>
      <w:r>
        <w:t>т</w:t>
      </w:r>
      <w:r>
        <w:t>венных служб, и частных служб. В июне 2003 года правительство Малави у</w:t>
      </w:r>
      <w:r>
        <w:t>т</w:t>
      </w:r>
      <w:r>
        <w:t>вердило Программу развития детей в раннем возрасте, охватывающую область дошкольного обуч</w:t>
      </w:r>
      <w:r>
        <w:t>е</w:t>
      </w:r>
      <w:r>
        <w:t>ния.</w:t>
      </w:r>
    </w:p>
    <w:p w:rsidR="00000000" w:rsidRDefault="00000000">
      <w:pPr>
        <w:pStyle w:val="SingleTxt"/>
      </w:pPr>
      <w:r>
        <w:t>10.3.2.</w:t>
      </w:r>
      <w:r>
        <w:tab/>
        <w:t>Уровень доступа к образованию оставался в Малави низким до 1994 года, когда правительство приступило к поэтапному осуществлению пр</w:t>
      </w:r>
      <w:r>
        <w:t>о</w:t>
      </w:r>
      <w:r>
        <w:t>граммы бесплатного начального образования и сделало единую программу гибкой. Охват сразу же возрос с 1 млн. учащихся в 1993 году до 3,2 млн. уч</w:t>
      </w:r>
      <w:r>
        <w:t>а</w:t>
      </w:r>
      <w:r>
        <w:t>щихся в 1994 году. В 1993 году правительство изменило политику, позволив девочкам, бросавшим школу из-за беременности, позже возвращаться в нее. После введения бесплатного начального образования в 1994 году правительс</w:t>
      </w:r>
      <w:r>
        <w:t>т</w:t>
      </w:r>
      <w:r>
        <w:t>во отказалось также от требования обязательного ношения учащимися школ</w:t>
      </w:r>
      <w:r>
        <w:t>ь</w:t>
      </w:r>
      <w:r>
        <w:t>ной формы. Эти политические меры отчасти обусловили сокращение разрыва ме</w:t>
      </w:r>
      <w:r>
        <w:t>ж</w:t>
      </w:r>
      <w:r>
        <w:t>ду охватом обучением мальчиков и девочек.</w:t>
      </w:r>
    </w:p>
    <w:p w:rsidR="00000000" w:rsidRDefault="00000000">
      <w:pPr>
        <w:pStyle w:val="SingleTxt"/>
        <w:spacing w:line="240" w:lineRule="auto"/>
        <w:rPr>
          <w:b/>
        </w:rPr>
      </w:pPr>
      <w:r>
        <w:rPr>
          <w:b/>
        </w:rPr>
        <w:t>Показатели охвата образованием в разбивке по полу и году обучения</w:t>
      </w:r>
    </w:p>
    <w:p w:rsidR="00000000" w:rsidRDefault="00000000">
      <w:pPr>
        <w:pStyle w:val="SingleTxt"/>
        <w:spacing w:line="240" w:lineRule="auto"/>
      </w:pPr>
      <w:r>
        <w:object w:dxaOrig="7339" w:dyaOrig="2880">
          <v:shape id="_x0000_i1026" type="#_x0000_t75" style="width:366.75pt;height:2in" o:ole="" fillcolor="window">
            <v:imagedata r:id="rId16" o:title=""/>
          </v:shape>
          <o:OLEObject Type="Embed" ProgID="MSGraph.Chart.8" ShapeID="_x0000_i1026" DrawAspect="Content" ObjectID="_1395246297" r:id="rId17">
            <o:FieldCodes>\s</o:FieldCodes>
          </o:OLEObject>
        </w:object>
      </w:r>
      <w:r>
        <w:t>10.3.3.</w:t>
      </w:r>
      <w:r>
        <w:tab/>
        <w:t>По всей видимости, показатели охвата образованием стали стабил</w:t>
      </w:r>
      <w:r>
        <w:t>и</w:t>
      </w:r>
      <w:r>
        <w:t>зироваться, особенно начиная с 1999 года. Это происходит в основном из-за т</w:t>
      </w:r>
      <w:r>
        <w:t>о</w:t>
      </w:r>
      <w:r>
        <w:t>го, что родители осознают, что проводимая политика бесплатного начального образования все еще остается недоступной, так как из-за недостаточного гос</w:t>
      </w:r>
      <w:r>
        <w:t>у</w:t>
      </w:r>
      <w:r>
        <w:t>дарственного финансирования в школах с родителей требуют взносы на соде</w:t>
      </w:r>
      <w:r>
        <w:t>р</w:t>
      </w:r>
      <w:r>
        <w:t>жание и развитие школ. Кроме того, снизилось качество образования, а бол</w:t>
      </w:r>
      <w:r>
        <w:t>ь</w:t>
      </w:r>
      <w:r>
        <w:t>шинство школьных зданий не обустроено с учетом нужд девочек.</w:t>
      </w:r>
    </w:p>
    <w:p w:rsidR="00000000" w:rsidRDefault="00000000">
      <w:pPr>
        <w:pStyle w:val="SingleTxt"/>
      </w:pPr>
      <w:r>
        <w:t>10.3.4.</w:t>
      </w:r>
      <w:r>
        <w:tab/>
        <w:t>Хотя различие между мальчиками и девочками с точки зрения охвата образованием уменьшилось, существует разница в показателях школьного о</w:t>
      </w:r>
      <w:r>
        <w:t>т</w:t>
      </w:r>
      <w:r>
        <w:t>сева. С первого по четвертый класс из школы чаще отчисляют мальчиков, чем девочек. Однако, начиная с пятого класса, когда девочки все чаще привлекаю</w:t>
      </w:r>
      <w:r>
        <w:t>т</w:t>
      </w:r>
      <w:r>
        <w:t>ся к работе по дому и достигают половой зрелости, показатель отсева среди девочек выше, чем среди мальчиков, в результате чего начальное образование получает значительно меньшее число девочек. Необходимость помогать по д</w:t>
      </w:r>
      <w:r>
        <w:t>о</w:t>
      </w:r>
      <w:r>
        <w:t>му – неединственная причина, по которой девочки-подростки бросают школу, в основном это происходит из-за того, что родители отдают предпочтение обр</w:t>
      </w:r>
      <w:r>
        <w:t>а</w:t>
      </w:r>
      <w:r>
        <w:t>зованию сыновей. Среди других причин можно указать ранние браки, береме</w:t>
      </w:r>
      <w:r>
        <w:t>н</w:t>
      </w:r>
      <w:r>
        <w:t>ность в подростковом возрасте и быстрое распространение ВИЧ/СПИДа, в р</w:t>
      </w:r>
      <w:r>
        <w:t>е</w:t>
      </w:r>
      <w:r>
        <w:t>зультате чего сами девочки оказываются в роле попечителей. Ситуация осло</w:t>
      </w:r>
      <w:r>
        <w:t>ж</w:t>
      </w:r>
      <w:r>
        <w:t>няется неравным обращением учителей по отношению к девочкам и мальчикам в классе.</w:t>
      </w:r>
    </w:p>
    <w:p w:rsidR="00000000" w:rsidRDefault="00000000">
      <w:pPr>
        <w:pStyle w:val="SingleTxt"/>
        <w:keepNext/>
        <w:rPr>
          <w:b/>
        </w:rPr>
      </w:pPr>
      <w:r>
        <w:rPr>
          <w:b/>
        </w:rPr>
        <w:t>Число учеников, отчисленных из школы, в разбивке по классам и полу</w:t>
      </w:r>
    </w:p>
    <w:p w:rsidR="00000000" w:rsidRDefault="00000000">
      <w:pPr>
        <w:spacing w:line="240" w:lineRule="auto"/>
        <w:jc w:val="center"/>
        <w:rPr>
          <w:lang w:val="en-US"/>
        </w:rPr>
      </w:pPr>
      <w:r>
        <w:object w:dxaOrig="7335" w:dyaOrig="3360">
          <v:shape id="_x0000_i1027" type="#_x0000_t75" style="width:366.75pt;height:168pt" o:ole="" fillcolor="window">
            <v:imagedata r:id="rId18" o:title=""/>
          </v:shape>
          <o:OLEObject Type="Embed" ProgID="MSGraph.Chart.8" ShapeID="_x0000_i1027" DrawAspect="Content" ObjectID="_1395246298" r:id="rId19">
            <o:FieldCodes>\s</o:FieldCodes>
          </o:OLEObject>
        </w:object>
      </w:r>
    </w:p>
    <w:p w:rsidR="00000000" w:rsidRDefault="00000000">
      <w:pPr>
        <w:pStyle w:val="SingleTxt"/>
      </w:pPr>
      <w:r>
        <w:t>10.3.5.</w:t>
      </w:r>
      <w:r>
        <w:tab/>
        <w:t>Правительство и его партнеры по развитию также приняли меры для облегчения доступа девочек к среднему и профессионально-техническому о</w:t>
      </w:r>
      <w:r>
        <w:t>б</w:t>
      </w:r>
      <w:r>
        <w:t>разованию. Самыми значимыми проектами в этой области стали программа обеспечения посещаемости девочками основных курсов грамотности и баз</w:t>
      </w:r>
      <w:r>
        <w:t>о</w:t>
      </w:r>
      <w:r>
        <w:t>вых школ – социальная информационно-мобилизационная кампания, проше</w:t>
      </w:r>
      <w:r>
        <w:t>д</w:t>
      </w:r>
      <w:r>
        <w:t>шая в два этапа в 1994 году, и социальная информационно-мобилизационная кампания в целях повышения качества образования, финансируемая ЮСАИД. Главной задачей программы обеспечения посещаемости девочками основных курсов грамотности и базовых школ было изменить отношение общества к о</w:t>
      </w:r>
      <w:r>
        <w:t>б</w:t>
      </w:r>
      <w:r>
        <w:t>разованию девочек и заручиться его поддержкой.</w:t>
      </w:r>
    </w:p>
    <w:p w:rsidR="00000000" w:rsidRDefault="00000000">
      <w:pPr>
        <w:pStyle w:val="SingleTxt"/>
      </w:pPr>
      <w:r>
        <w:t>10.3.6.</w:t>
      </w:r>
      <w:r>
        <w:tab/>
        <w:t>Второй мерой стало превращение Центров заочного образования в государственные дневные средние школы. Это позволило повысить охват обр</w:t>
      </w:r>
      <w:r>
        <w:t>а</w:t>
      </w:r>
      <w:r>
        <w:t>зованием большего числа девочек, которых не приняли в обычные средние школы. К сожалению, нехватка учебных пособий и квалифицированных преп</w:t>
      </w:r>
      <w:r>
        <w:t>о</w:t>
      </w:r>
      <w:r>
        <w:t>давателей, а также неэффективная работа школ привели к большему отсеву среди девочек, столкнувшихся с проблемами проживания (школы находились вдали от дома), ощущением неуверенности и беременностью. Так, из 3380 случаев отсева, связанных с беременностью, на государственные дневные сре</w:t>
      </w:r>
      <w:r>
        <w:t>д</w:t>
      </w:r>
      <w:r>
        <w:t>ние школы приходилось 2704 случая, или 80 процентов</w:t>
      </w:r>
      <w:r>
        <w:rPr>
          <w:rStyle w:val="FootnoteReference"/>
          <w:sz w:val="20"/>
        </w:rPr>
        <w:footnoteReference w:id="90"/>
      </w:r>
      <w:r>
        <w:t>.</w:t>
      </w:r>
    </w:p>
    <w:p w:rsidR="00000000" w:rsidRDefault="00000000">
      <w:pPr>
        <w:pStyle w:val="SingleTxt"/>
      </w:pPr>
      <w:r>
        <w:t>10.3.7.</w:t>
      </w:r>
      <w:r>
        <w:tab/>
        <w:t>Третьей мерой в этой области явилось осуществление в 1997 году программы технического и профессионально-технического образования и об</w:t>
      </w:r>
      <w:r>
        <w:t>у</w:t>
      </w:r>
      <w:r>
        <w:t>чения предпринимательству. В ходе этой программы учащиеся овладевали н</w:t>
      </w:r>
      <w:r>
        <w:t>е</w:t>
      </w:r>
      <w:r>
        <w:t>обходимыми для работы знаниями и навыками в области технического и пр</w:t>
      </w:r>
      <w:r>
        <w:t>о</w:t>
      </w:r>
      <w:r>
        <w:t>фессионально-технического образования и предпринимательской деятельн</w:t>
      </w:r>
      <w:r>
        <w:t>о</w:t>
      </w:r>
      <w:r>
        <w:t>сти. Для привлечения девочек к участию в проекте была разработана система ст</w:t>
      </w:r>
      <w:r>
        <w:t>и</w:t>
      </w:r>
      <w:r>
        <w:t>пендий.</w:t>
      </w:r>
    </w:p>
    <w:p w:rsidR="00000000" w:rsidRDefault="00000000">
      <w:pPr>
        <w:pStyle w:val="SingleTxt"/>
      </w:pPr>
      <w:r>
        <w:t>10.3.8.</w:t>
      </w:r>
      <w:r>
        <w:tab/>
        <w:t>В системе среднего образования число девочек, охваченных образ</w:t>
      </w:r>
      <w:r>
        <w:t>о</w:t>
      </w:r>
      <w:r>
        <w:t>ванием</w:t>
      </w:r>
      <w:r>
        <w:rPr>
          <w:rStyle w:val="FootnoteReference"/>
          <w:sz w:val="20"/>
        </w:rPr>
        <w:footnoteReference w:id="91"/>
      </w:r>
      <w:r>
        <w:t>, возросло в связи с изменениями правил приема в школу, согласно к</w:t>
      </w:r>
      <w:r>
        <w:t>о</w:t>
      </w:r>
      <w:r>
        <w:t>торым соотношение учащихся девочек и мальчиков должно быть равным. В 1997 году в школы было принято 68 689 девочек и 106 798 мальчиков. В 1998 году число мальчиков в системе среднего образования равнялось 120 446, а число девочек – 71 826. Рост общего числа учащихся девочек продолжился и в 1999 году и составил 91 524 по сравнению с 151 216 мальчиками. Агентство Соединенных Штатов по международному развитию сократило финансиров</w:t>
      </w:r>
      <w:r>
        <w:t>а</w:t>
      </w:r>
      <w:r>
        <w:t>ние обучения девочек в системе среднего образование в рамках предоставля</w:t>
      </w:r>
      <w:r>
        <w:t>е</w:t>
      </w:r>
      <w:r>
        <w:t>мых программой обеспечения посещаемости квот, и число учащихся девочек резко снизилось до 66 205, что ниже показателей 1997 года.</w:t>
      </w:r>
    </w:p>
    <w:p w:rsidR="00000000" w:rsidRDefault="00000000">
      <w:pPr>
        <w:pStyle w:val="SingleTxt"/>
        <w:spacing w:line="240" w:lineRule="auto"/>
      </w:pPr>
      <w:r>
        <w:object w:dxaOrig="4320" w:dyaOrig="3379">
          <v:shape id="_x0000_i1028" type="#_x0000_t75" style="width:3in;height:168.75pt" o:ole="" fillcolor="window">
            <v:imagedata r:id="rId20" o:title=""/>
          </v:shape>
          <o:OLEObject Type="Embed" ProgID="MSGraph.Chart.8" ShapeID="_x0000_i1028" DrawAspect="Content" ObjectID="_1395246299" r:id="rId21">
            <o:FieldCodes>\s</o:FieldCodes>
          </o:OLEObject>
        </w:object>
      </w:r>
    </w:p>
    <w:p w:rsidR="00000000" w:rsidRDefault="00000000">
      <w:pPr>
        <w:pStyle w:val="SingleTxt"/>
      </w:pPr>
      <w:r>
        <w:t>10.3.9.</w:t>
      </w:r>
      <w:r>
        <w:tab/>
        <w:t>Коэффициент отсева в системе среднего образования у мальчиков выше, чем у девочек, так как мальчиков чаще отчисляют из школы из-за пр</w:t>
      </w:r>
      <w:r>
        <w:t>о</w:t>
      </w:r>
      <w:r>
        <w:t>блем с дисциплиной. Основной причиной отсева девочек из средней школы о</w:t>
      </w:r>
      <w:r>
        <w:t>с</w:t>
      </w:r>
      <w:r>
        <w:t>тается беременность.</w:t>
      </w:r>
    </w:p>
    <w:p w:rsidR="00000000" w:rsidRDefault="00000000">
      <w:pPr>
        <w:pStyle w:val="SingleTxt"/>
        <w:spacing w:line="240" w:lineRule="auto"/>
      </w:pPr>
      <w:r>
        <w:object w:dxaOrig="4065" w:dyaOrig="4200">
          <v:shape id="_x0000_i1029" type="#_x0000_t75" style="width:203.25pt;height:210pt" o:ole="" fillcolor="window">
            <v:imagedata r:id="rId22" o:title=""/>
          </v:shape>
          <o:OLEObject Type="Embed" ProgID="MSGraph.Chart.8" ShapeID="_x0000_i1029" DrawAspect="Content" ObjectID="_1395246300" r:id="rId23">
            <o:FieldCodes>\s</o:FieldCodes>
          </o:OLEObject>
        </w:object>
      </w:r>
    </w:p>
    <w:p w:rsidR="00000000" w:rsidRDefault="00000000">
      <w:pPr>
        <w:pStyle w:val="SingleTxt"/>
      </w:pPr>
      <w:r>
        <w:t>10.3.10.</w:t>
      </w:r>
      <w:r>
        <w:tab/>
        <w:t>Что касается системы высшего образования, общие показатели охв</w:t>
      </w:r>
      <w:r>
        <w:t>а</w:t>
      </w:r>
      <w:r>
        <w:t>та образованием в шести малавийских педагогических колледжах у женщин были ниже, чем у мужчин. Согласно последним данным, среди 12 129 поступивших студентов женщин было 4248, что составляет 35 процентов. Так, в 1997 году число поступивших женщин равнялось 1290; в 1998 году оно слегка повысилось до 1308, снизилось до 1305 учащихся в 1999 году, а в 2000 году снова возросло до 1504 человек. В целом, начиная с 1994 года, число охваченных образованием женщин и девочек в системе вы</w:t>
      </w:r>
      <w:r>
        <w:t>с</w:t>
      </w:r>
      <w:r>
        <w:t>шего образования возросло.</w:t>
      </w:r>
    </w:p>
    <w:p w:rsidR="00000000" w:rsidRDefault="00000000">
      <w:pPr>
        <w:pStyle w:val="SingleTxt"/>
      </w:pPr>
      <w:r>
        <w:t>10.3.11.</w:t>
      </w:r>
      <w:r>
        <w:tab/>
        <w:t>В Малави сильно заметны различия в уровнях грамотности. В 1998 году уровень грамотности среди сельских женщин и мужчин составлял 47 и 61 процент соответственно, в то время как среди городского населения эти показатели равнялись 75 процентам у женщин и 83 процентам у мужчин.</w:t>
      </w:r>
    </w:p>
    <w:p w:rsidR="00000000" w:rsidRDefault="00000000">
      <w:pPr>
        <w:pStyle w:val="SingleTxt"/>
      </w:pPr>
      <w:r>
        <w:t>10.3.12.</w:t>
      </w:r>
      <w:r>
        <w:tab/>
        <w:t>До 1994 года правительство проводило обширную кампанию по ра</w:t>
      </w:r>
      <w:r>
        <w:t>с</w:t>
      </w:r>
      <w:r>
        <w:t>пространению грамотности среди взрослого населения, в ходе которой было охвачено больше женщин, чем мужчин. Существенным недостатком этой пр</w:t>
      </w:r>
      <w:r>
        <w:t>о</w:t>
      </w:r>
      <w:r>
        <w:t>граммы явилось то, что на учебном плане отразились гендерные стереотипы и политическая идеология и пропаганда тогдашнего правительства. Кроме этого, бюджетных ассигнований на обучение взрослых выделялось недостаточно, в результате чего большинство классов было закрыто.</w:t>
      </w:r>
    </w:p>
    <w:p w:rsidR="00000000" w:rsidRDefault="00000000">
      <w:pPr>
        <w:pStyle w:val="SingleTxt"/>
      </w:pPr>
      <w:r>
        <w:t>10.3.13.</w:t>
      </w:r>
      <w:r>
        <w:tab/>
        <w:t>Во время составления отчета была выявлена острая необходимость обучения взрослых в общинах. В 1999-2000 годах правительство (в лице мин</w:t>
      </w:r>
      <w:r>
        <w:t>и</w:t>
      </w:r>
      <w:r>
        <w:t>стерства коммунальных услуг и по проблеме равенства пола) и заинтересова</w:t>
      </w:r>
      <w:r>
        <w:t>н</w:t>
      </w:r>
      <w:r>
        <w:t>ные стороны активизировали проведение программ распространения грамо</w:t>
      </w:r>
      <w:r>
        <w:t>т</w:t>
      </w:r>
      <w:r>
        <w:t>ности среди взрослого населения, как один из способов сокращения бедности в Малави. С этой целью были разработаны и распространены новые материалы, вместе с возросшими потребностями число преподавателей увеличилось с 1500 до 4500 человек, их ежемесячная зарплата повысилась с 200.00 до 500.00 квач, были открыты новые классы. Кроме того, в настоящее время ра</w:t>
      </w:r>
      <w:r>
        <w:t>з</w:t>
      </w:r>
      <w:r>
        <w:t>рабатывается стратегия в области распространения грамотности среди взро</w:t>
      </w:r>
      <w:r>
        <w:t>с</w:t>
      </w:r>
      <w:r>
        <w:t>лого населения.</w:t>
      </w:r>
    </w:p>
    <w:p w:rsidR="00000000" w:rsidRDefault="00000000">
      <w:pPr>
        <w:pStyle w:val="SingleTxt"/>
      </w:pPr>
      <w:r>
        <w:t>10.3.14.</w:t>
      </w:r>
      <w:r>
        <w:tab/>
        <w:t>В Малави в классы повышения грамотности чаще записываются женщины, чем мужчины. Это происходит из-за того, что мужчины не хотят в присутствии женщин демонстрировать свое невежество. Мужчины стесняются обучаться в одном группе с женщинами. Правительство в данный момент из</w:t>
      </w:r>
      <w:r>
        <w:t>у</w:t>
      </w:r>
      <w:r>
        <w:t>чает возможные способы решения этой проблемы.</w:t>
      </w:r>
    </w:p>
    <w:p w:rsidR="00000000" w:rsidRDefault="00000000">
      <w:pPr>
        <w:pStyle w:val="SingleTxt"/>
      </w:pPr>
      <w:r>
        <w:t>10.3.15.</w:t>
      </w:r>
      <w:r>
        <w:tab/>
        <w:t>На уровне университетского образования Университет Малави пр</w:t>
      </w:r>
      <w:r>
        <w:t>и</w:t>
      </w:r>
      <w:r>
        <w:t>держивается политики преференциального отбора при приеме девочек и же</w:t>
      </w:r>
      <w:r>
        <w:t>н</w:t>
      </w:r>
      <w:r>
        <w:t>щин. В соответствии с политикой Университета, поддерживаемой правительс</w:t>
      </w:r>
      <w:r>
        <w:t>т</w:t>
      </w:r>
      <w:r>
        <w:t>вом, девушки и женщины принимаются в Университет с более низкими вст</w:t>
      </w:r>
      <w:r>
        <w:t>у</w:t>
      </w:r>
      <w:r>
        <w:t>пительными баллами, чем юноши и мужчины, а в общежитиях Университета за женщинами закрепляется как минимум 30 процентов мест. При том, что доля в 30 процентов мест, отводящаяся женщинам, возросла, 75 процентов студенток поступает в Колледж медицинских сестер им. Камузу.</w:t>
      </w:r>
    </w:p>
    <w:p w:rsidR="00000000" w:rsidRDefault="00000000">
      <w:pPr>
        <w:pStyle w:val="SingleTxt"/>
      </w:pPr>
      <w:r>
        <w:t>10.3.16.</w:t>
      </w:r>
      <w:r>
        <w:tab/>
        <w:t>В стране существует два университета. Университет Малави, с</w:t>
      </w:r>
      <w:r>
        <w:t>о</w:t>
      </w:r>
      <w:r>
        <w:t>стоящий из пяти колледжей: Сельскохозяйственный колледж Бунда, Канцле</w:t>
      </w:r>
      <w:r>
        <w:t>р</w:t>
      </w:r>
      <w:r>
        <w:t>ский колледж, Колледж медицинских сестер им. Камузу, Медицинский и Пол</w:t>
      </w:r>
      <w:r>
        <w:t>и</w:t>
      </w:r>
      <w:r>
        <w:t>технический колледжи Малави. Кроме того, Совет управляющих создал на базе Университета центр общей технической подготовки, который разместился в здании Политехнического колледжа Малави. В Политехническом колледже преподают проектирование, бухгалтерское дело, менеджмент, коммерческие и инженерные дисциплины. Медицинский колледж специализируется на подг</w:t>
      </w:r>
      <w:r>
        <w:t>о</w:t>
      </w:r>
      <w:r>
        <w:t>товке врачей, это самый новый среди колледжей Университета Малави. Мед</w:t>
      </w:r>
      <w:r>
        <w:t>и</w:t>
      </w:r>
      <w:r>
        <w:t>цинские работники проходят подготовку в двух студенческих городках Ко</w:t>
      </w:r>
      <w:r>
        <w:t>л</w:t>
      </w:r>
      <w:r>
        <w:t>леджа медицинских сестер им. Камузу. Колледж Бунда выпускает специал</w:t>
      </w:r>
      <w:r>
        <w:t>и</w:t>
      </w:r>
      <w:r>
        <w:t>стов в области сельского хозяйства, а в Канцлерском колледже изучают педаг</w:t>
      </w:r>
      <w:r>
        <w:t>о</w:t>
      </w:r>
      <w:r>
        <w:t>гику, гуманитарные и общественные науки, науку и право. Второй университет Малави называется Мзузу, он был открыт в 2001 году как педагогический ун</w:t>
      </w:r>
      <w:r>
        <w:t>и</w:t>
      </w:r>
      <w:r>
        <w:t>верситет. В настоящее время идет работа над законом о высшем образовании, к</w:t>
      </w:r>
      <w:r>
        <w:t>о</w:t>
      </w:r>
      <w:r>
        <w:t>торый сделает возможным открытие новых университетов.</w:t>
      </w:r>
    </w:p>
    <w:p w:rsidR="00000000" w:rsidRDefault="00000000">
      <w:pPr>
        <w:pStyle w:val="SingleTxt"/>
        <w:rPr>
          <w:b/>
        </w:rPr>
      </w:pPr>
      <w:r>
        <w:rPr>
          <w:b/>
        </w:rPr>
        <w:t>Охват образованием в университетских колледжах в период с 1997 по 1999 год в разбивке по полу</w:t>
      </w:r>
    </w:p>
    <w:p w:rsidR="00000000" w:rsidRDefault="00000000">
      <w:pPr>
        <w:pStyle w:val="SingleTxt"/>
        <w:rPr>
          <w:i/>
          <w:sz w:val="17"/>
        </w:rPr>
      </w:pPr>
      <w:r>
        <w:rPr>
          <w:sz w:val="17"/>
        </w:rPr>
        <w:t>(</w:t>
      </w:r>
      <w:r>
        <w:rPr>
          <w:i/>
          <w:sz w:val="17"/>
        </w:rPr>
        <w:t>Источник</w:t>
      </w:r>
      <w:r>
        <w:rPr>
          <w:sz w:val="17"/>
        </w:rPr>
        <w:t>: Правительство Малави, "Основная статистика по образованию в Малави на 2000 год" (Л</w:t>
      </w:r>
      <w:r>
        <w:rPr>
          <w:sz w:val="17"/>
        </w:rPr>
        <w:t>и</w:t>
      </w:r>
      <w:r>
        <w:rPr>
          <w:sz w:val="17"/>
        </w:rPr>
        <w:t>лонгве, Министерство образован</w:t>
      </w:r>
      <w:r>
        <w:rPr>
          <w:i/>
          <w:sz w:val="17"/>
        </w:rPr>
        <w:t>ия, 2000 год)</w:t>
      </w:r>
    </w:p>
    <w:tbl>
      <w:tblPr>
        <w:tblW w:w="0" w:type="auto"/>
        <w:tblInd w:w="1276" w:type="dxa"/>
        <w:tblLayout w:type="fixed"/>
        <w:tblCellMar>
          <w:left w:w="6" w:type="dxa"/>
          <w:right w:w="6" w:type="dxa"/>
        </w:tblCellMar>
        <w:tblLook w:val="0000" w:firstRow="0" w:lastRow="0" w:firstColumn="0" w:lastColumn="0" w:noHBand="0" w:noVBand="0"/>
      </w:tblPr>
      <w:tblGrid>
        <w:gridCol w:w="1985"/>
        <w:gridCol w:w="567"/>
        <w:gridCol w:w="354"/>
        <w:gridCol w:w="213"/>
        <w:gridCol w:w="354"/>
        <w:gridCol w:w="354"/>
        <w:gridCol w:w="426"/>
        <w:gridCol w:w="354"/>
        <w:gridCol w:w="354"/>
        <w:gridCol w:w="354"/>
        <w:gridCol w:w="355"/>
        <w:gridCol w:w="425"/>
        <w:gridCol w:w="354"/>
        <w:gridCol w:w="355"/>
        <w:gridCol w:w="283"/>
        <w:gridCol w:w="284"/>
      </w:tblGrid>
      <w:tr w:rsidR="00000000">
        <w:tblPrEx>
          <w:tblCellMar>
            <w:top w:w="0" w:type="dxa"/>
            <w:bottom w:w="0" w:type="dxa"/>
          </w:tblCellMar>
        </w:tblPrEx>
        <w:trPr>
          <w:cantSplit/>
          <w:tblHeader/>
        </w:trPr>
        <w:tc>
          <w:tcPr>
            <w:tcW w:w="1985" w:type="dxa"/>
            <w:vMerge w:val="restart"/>
            <w:tcBorders>
              <w:top w:val="single" w:sz="4" w:space="0" w:color="auto"/>
            </w:tcBorders>
            <w:vAlign w:val="bottom"/>
          </w:tcPr>
          <w:p w:rsidR="00000000" w:rsidRDefault="00000000">
            <w:pPr>
              <w:pStyle w:val="Heading7"/>
              <w:rPr>
                <w:sz w:val="12"/>
              </w:rPr>
            </w:pPr>
            <w:r>
              <w:rPr>
                <w:sz w:val="12"/>
              </w:rPr>
              <w:t>Название ко</w:t>
            </w:r>
            <w:r>
              <w:rPr>
                <w:sz w:val="12"/>
              </w:rPr>
              <w:t>л</w:t>
            </w:r>
            <w:r>
              <w:rPr>
                <w:sz w:val="12"/>
              </w:rPr>
              <w:t>леджа</w:t>
            </w:r>
          </w:p>
        </w:tc>
        <w:tc>
          <w:tcPr>
            <w:tcW w:w="1842" w:type="dxa"/>
            <w:gridSpan w:val="5"/>
            <w:tcBorders>
              <w:top w:val="single" w:sz="4" w:space="0" w:color="auto"/>
              <w:bottom w:val="single" w:sz="4" w:space="0" w:color="auto"/>
            </w:tcBorders>
          </w:tcPr>
          <w:p w:rsidR="00000000" w:rsidRDefault="00000000">
            <w:pPr>
              <w:spacing w:line="240" w:lineRule="auto"/>
              <w:jc w:val="center"/>
              <w:rPr>
                <w:i/>
                <w:sz w:val="12"/>
              </w:rPr>
            </w:pPr>
            <w:r>
              <w:rPr>
                <w:i/>
                <w:sz w:val="12"/>
              </w:rPr>
              <w:t>1997 год</w:t>
            </w:r>
          </w:p>
        </w:tc>
        <w:tc>
          <w:tcPr>
            <w:tcW w:w="1843" w:type="dxa"/>
            <w:gridSpan w:val="5"/>
            <w:tcBorders>
              <w:top w:val="single" w:sz="4" w:space="0" w:color="auto"/>
              <w:bottom w:val="single" w:sz="4" w:space="0" w:color="auto"/>
            </w:tcBorders>
          </w:tcPr>
          <w:p w:rsidR="00000000" w:rsidRDefault="00000000">
            <w:pPr>
              <w:spacing w:line="240" w:lineRule="auto"/>
              <w:jc w:val="center"/>
              <w:rPr>
                <w:i/>
                <w:sz w:val="12"/>
              </w:rPr>
            </w:pPr>
            <w:r>
              <w:rPr>
                <w:i/>
                <w:sz w:val="12"/>
              </w:rPr>
              <w:t>1998 год</w:t>
            </w:r>
          </w:p>
        </w:tc>
        <w:tc>
          <w:tcPr>
            <w:tcW w:w="1701" w:type="dxa"/>
            <w:gridSpan w:val="5"/>
            <w:tcBorders>
              <w:top w:val="single" w:sz="4" w:space="0" w:color="auto"/>
              <w:bottom w:val="single" w:sz="4" w:space="0" w:color="auto"/>
            </w:tcBorders>
          </w:tcPr>
          <w:p w:rsidR="00000000" w:rsidRDefault="00000000">
            <w:pPr>
              <w:spacing w:line="240" w:lineRule="auto"/>
              <w:jc w:val="center"/>
              <w:rPr>
                <w:i/>
                <w:sz w:val="12"/>
              </w:rPr>
            </w:pPr>
            <w:r>
              <w:rPr>
                <w:i/>
                <w:sz w:val="12"/>
              </w:rPr>
              <w:t>1999 год</w:t>
            </w:r>
          </w:p>
        </w:tc>
      </w:tr>
      <w:tr w:rsidR="00000000">
        <w:tblPrEx>
          <w:tblCellMar>
            <w:top w:w="0" w:type="dxa"/>
            <w:bottom w:w="0" w:type="dxa"/>
          </w:tblCellMar>
        </w:tblPrEx>
        <w:trPr>
          <w:cantSplit/>
          <w:trHeight w:val="1134"/>
          <w:tblHeader/>
        </w:trPr>
        <w:tc>
          <w:tcPr>
            <w:tcW w:w="1985" w:type="dxa"/>
            <w:vMerge/>
            <w:tcBorders>
              <w:bottom w:val="single" w:sz="12" w:space="0" w:color="auto"/>
            </w:tcBorders>
          </w:tcPr>
          <w:p w:rsidR="00000000" w:rsidRDefault="00000000">
            <w:pPr>
              <w:spacing w:line="240" w:lineRule="auto"/>
              <w:rPr>
                <w:sz w:val="12"/>
              </w:rPr>
            </w:pPr>
          </w:p>
        </w:tc>
        <w:tc>
          <w:tcPr>
            <w:tcW w:w="567" w:type="dxa"/>
            <w:tcBorders>
              <w:top w:val="single" w:sz="4" w:space="0" w:color="auto"/>
              <w:bottom w:val="single" w:sz="12" w:space="0" w:color="auto"/>
            </w:tcBorders>
            <w:textDirection w:val="btLr"/>
            <w:vAlign w:val="center"/>
          </w:tcPr>
          <w:p w:rsidR="00000000" w:rsidRDefault="00000000">
            <w:pPr>
              <w:spacing w:line="240" w:lineRule="auto"/>
              <w:ind w:left="113" w:right="113"/>
              <w:rPr>
                <w:i/>
                <w:sz w:val="12"/>
              </w:rPr>
            </w:pPr>
            <w:r>
              <w:rPr>
                <w:i/>
                <w:sz w:val="12"/>
              </w:rPr>
              <w:t>Число студе</w:t>
            </w:r>
            <w:r>
              <w:rPr>
                <w:i/>
                <w:sz w:val="12"/>
              </w:rPr>
              <w:t>н</w:t>
            </w:r>
            <w:r>
              <w:rPr>
                <w:i/>
                <w:sz w:val="12"/>
              </w:rPr>
              <w:t>тов</w:t>
            </w:r>
          </w:p>
        </w:tc>
        <w:tc>
          <w:tcPr>
            <w:tcW w:w="567" w:type="dxa"/>
            <w:gridSpan w:val="2"/>
            <w:tcBorders>
              <w:top w:val="single" w:sz="4" w:space="0" w:color="auto"/>
              <w:bottom w:val="single" w:sz="12" w:space="0" w:color="auto"/>
            </w:tcBorders>
            <w:textDirection w:val="btLr"/>
            <w:vAlign w:val="center"/>
          </w:tcPr>
          <w:p w:rsidR="00000000" w:rsidRDefault="00000000">
            <w:pPr>
              <w:spacing w:line="240" w:lineRule="auto"/>
              <w:ind w:left="113" w:right="113"/>
              <w:rPr>
                <w:i/>
                <w:sz w:val="12"/>
              </w:rPr>
            </w:pPr>
            <w:r>
              <w:rPr>
                <w:i/>
                <w:sz w:val="12"/>
              </w:rPr>
              <w:t>Му</w:t>
            </w:r>
            <w:r>
              <w:rPr>
                <w:i/>
                <w:sz w:val="12"/>
              </w:rPr>
              <w:t>ж</w:t>
            </w:r>
            <w:r>
              <w:rPr>
                <w:i/>
                <w:sz w:val="12"/>
              </w:rPr>
              <w:t>чины</w:t>
            </w:r>
            <w:r>
              <w:rPr>
                <w:i/>
                <w:sz w:val="12"/>
              </w:rPr>
              <w:br/>
              <w:t>%</w:t>
            </w:r>
          </w:p>
        </w:tc>
        <w:tc>
          <w:tcPr>
            <w:tcW w:w="708" w:type="dxa"/>
            <w:gridSpan w:val="2"/>
            <w:tcBorders>
              <w:top w:val="single" w:sz="4" w:space="0" w:color="auto"/>
              <w:bottom w:val="single" w:sz="12" w:space="0" w:color="auto"/>
            </w:tcBorders>
            <w:textDirection w:val="btLr"/>
            <w:vAlign w:val="center"/>
          </w:tcPr>
          <w:p w:rsidR="00000000" w:rsidRDefault="00000000">
            <w:pPr>
              <w:spacing w:line="240" w:lineRule="auto"/>
              <w:ind w:left="113" w:right="113"/>
              <w:rPr>
                <w:i/>
                <w:sz w:val="12"/>
              </w:rPr>
            </w:pPr>
            <w:r>
              <w:rPr>
                <w:i/>
                <w:sz w:val="12"/>
              </w:rPr>
              <w:t>Же</w:t>
            </w:r>
            <w:r>
              <w:rPr>
                <w:i/>
                <w:sz w:val="12"/>
              </w:rPr>
              <w:t>н</w:t>
            </w:r>
            <w:r>
              <w:rPr>
                <w:i/>
                <w:sz w:val="12"/>
              </w:rPr>
              <w:t xml:space="preserve">щины </w:t>
            </w:r>
            <w:r>
              <w:rPr>
                <w:i/>
                <w:sz w:val="12"/>
              </w:rPr>
              <w:br/>
              <w:t>%</w:t>
            </w:r>
          </w:p>
        </w:tc>
        <w:tc>
          <w:tcPr>
            <w:tcW w:w="426" w:type="dxa"/>
            <w:tcBorders>
              <w:top w:val="single" w:sz="4" w:space="0" w:color="auto"/>
              <w:bottom w:val="single" w:sz="12" w:space="0" w:color="auto"/>
            </w:tcBorders>
            <w:textDirection w:val="btLr"/>
            <w:vAlign w:val="center"/>
          </w:tcPr>
          <w:p w:rsidR="00000000" w:rsidRDefault="00000000">
            <w:pPr>
              <w:spacing w:line="240" w:lineRule="auto"/>
              <w:ind w:left="113" w:right="113"/>
              <w:rPr>
                <w:i/>
                <w:sz w:val="12"/>
              </w:rPr>
            </w:pPr>
            <w:r>
              <w:rPr>
                <w:i/>
                <w:sz w:val="12"/>
              </w:rPr>
              <w:t>Число студе</w:t>
            </w:r>
            <w:r>
              <w:rPr>
                <w:i/>
                <w:sz w:val="12"/>
              </w:rPr>
              <w:t>н</w:t>
            </w:r>
            <w:r>
              <w:rPr>
                <w:i/>
                <w:sz w:val="12"/>
              </w:rPr>
              <w:t>тов</w:t>
            </w:r>
          </w:p>
        </w:tc>
        <w:tc>
          <w:tcPr>
            <w:tcW w:w="708" w:type="dxa"/>
            <w:gridSpan w:val="2"/>
            <w:tcBorders>
              <w:top w:val="single" w:sz="4" w:space="0" w:color="auto"/>
              <w:bottom w:val="single" w:sz="12" w:space="0" w:color="auto"/>
            </w:tcBorders>
            <w:textDirection w:val="btLr"/>
            <w:vAlign w:val="center"/>
          </w:tcPr>
          <w:p w:rsidR="00000000" w:rsidRDefault="00000000">
            <w:pPr>
              <w:spacing w:line="240" w:lineRule="auto"/>
              <w:ind w:left="113" w:right="113"/>
              <w:rPr>
                <w:i/>
                <w:sz w:val="12"/>
              </w:rPr>
            </w:pPr>
            <w:r>
              <w:rPr>
                <w:i/>
                <w:sz w:val="12"/>
              </w:rPr>
              <w:t>Му</w:t>
            </w:r>
            <w:r>
              <w:rPr>
                <w:i/>
                <w:sz w:val="12"/>
              </w:rPr>
              <w:t>ж</w:t>
            </w:r>
            <w:r>
              <w:rPr>
                <w:i/>
                <w:sz w:val="12"/>
              </w:rPr>
              <w:t>чины</w:t>
            </w:r>
            <w:r>
              <w:rPr>
                <w:i/>
                <w:sz w:val="12"/>
              </w:rPr>
              <w:br/>
              <w:t>%</w:t>
            </w:r>
          </w:p>
        </w:tc>
        <w:tc>
          <w:tcPr>
            <w:tcW w:w="709" w:type="dxa"/>
            <w:gridSpan w:val="2"/>
            <w:tcBorders>
              <w:top w:val="single" w:sz="4" w:space="0" w:color="auto"/>
              <w:bottom w:val="single" w:sz="12" w:space="0" w:color="auto"/>
            </w:tcBorders>
            <w:textDirection w:val="btLr"/>
            <w:vAlign w:val="center"/>
          </w:tcPr>
          <w:p w:rsidR="00000000" w:rsidRDefault="00000000">
            <w:pPr>
              <w:spacing w:line="240" w:lineRule="auto"/>
              <w:ind w:left="113" w:right="113"/>
              <w:rPr>
                <w:i/>
                <w:sz w:val="12"/>
              </w:rPr>
            </w:pPr>
            <w:r>
              <w:rPr>
                <w:i/>
                <w:sz w:val="12"/>
              </w:rPr>
              <w:t>Же</w:t>
            </w:r>
            <w:r>
              <w:rPr>
                <w:i/>
                <w:sz w:val="12"/>
              </w:rPr>
              <w:t>н</w:t>
            </w:r>
            <w:r>
              <w:rPr>
                <w:i/>
                <w:sz w:val="12"/>
              </w:rPr>
              <w:t xml:space="preserve">щины </w:t>
            </w:r>
            <w:r>
              <w:rPr>
                <w:i/>
                <w:sz w:val="12"/>
              </w:rPr>
              <w:br/>
              <w:t>%</w:t>
            </w:r>
          </w:p>
        </w:tc>
        <w:tc>
          <w:tcPr>
            <w:tcW w:w="425" w:type="dxa"/>
            <w:tcBorders>
              <w:top w:val="single" w:sz="4" w:space="0" w:color="auto"/>
              <w:bottom w:val="single" w:sz="12" w:space="0" w:color="auto"/>
            </w:tcBorders>
            <w:textDirection w:val="btLr"/>
            <w:vAlign w:val="center"/>
          </w:tcPr>
          <w:p w:rsidR="00000000" w:rsidRDefault="00000000">
            <w:pPr>
              <w:spacing w:line="240" w:lineRule="auto"/>
              <w:ind w:left="113" w:right="113"/>
              <w:rPr>
                <w:i/>
                <w:sz w:val="12"/>
              </w:rPr>
            </w:pPr>
            <w:r>
              <w:rPr>
                <w:i/>
                <w:sz w:val="12"/>
              </w:rPr>
              <w:t>Число студе</w:t>
            </w:r>
            <w:r>
              <w:rPr>
                <w:i/>
                <w:sz w:val="12"/>
              </w:rPr>
              <w:t>н</w:t>
            </w:r>
            <w:r>
              <w:rPr>
                <w:i/>
                <w:sz w:val="12"/>
              </w:rPr>
              <w:t>тов</w:t>
            </w:r>
          </w:p>
        </w:tc>
        <w:tc>
          <w:tcPr>
            <w:tcW w:w="709" w:type="dxa"/>
            <w:gridSpan w:val="2"/>
            <w:tcBorders>
              <w:top w:val="single" w:sz="4" w:space="0" w:color="auto"/>
              <w:bottom w:val="single" w:sz="12" w:space="0" w:color="auto"/>
            </w:tcBorders>
            <w:textDirection w:val="btLr"/>
            <w:vAlign w:val="center"/>
          </w:tcPr>
          <w:p w:rsidR="00000000" w:rsidRDefault="00000000">
            <w:pPr>
              <w:spacing w:line="240" w:lineRule="auto"/>
              <w:ind w:left="113" w:right="113"/>
              <w:rPr>
                <w:i/>
                <w:sz w:val="12"/>
              </w:rPr>
            </w:pPr>
            <w:r>
              <w:rPr>
                <w:i/>
                <w:sz w:val="12"/>
              </w:rPr>
              <w:t>Му</w:t>
            </w:r>
            <w:r>
              <w:rPr>
                <w:i/>
                <w:sz w:val="12"/>
              </w:rPr>
              <w:t>ж</w:t>
            </w:r>
            <w:r>
              <w:rPr>
                <w:i/>
                <w:sz w:val="12"/>
              </w:rPr>
              <w:t>чины</w:t>
            </w:r>
            <w:r>
              <w:rPr>
                <w:i/>
                <w:sz w:val="12"/>
              </w:rPr>
              <w:br/>
              <w:t>%</w:t>
            </w:r>
          </w:p>
        </w:tc>
        <w:tc>
          <w:tcPr>
            <w:tcW w:w="567" w:type="dxa"/>
            <w:gridSpan w:val="2"/>
            <w:tcBorders>
              <w:top w:val="single" w:sz="4" w:space="0" w:color="auto"/>
              <w:bottom w:val="single" w:sz="12" w:space="0" w:color="auto"/>
            </w:tcBorders>
            <w:textDirection w:val="btLr"/>
            <w:vAlign w:val="center"/>
          </w:tcPr>
          <w:p w:rsidR="00000000" w:rsidRDefault="00000000">
            <w:pPr>
              <w:spacing w:line="240" w:lineRule="auto"/>
              <w:ind w:left="113" w:right="113"/>
              <w:rPr>
                <w:i/>
                <w:sz w:val="12"/>
              </w:rPr>
            </w:pPr>
            <w:r>
              <w:rPr>
                <w:i/>
                <w:sz w:val="12"/>
              </w:rPr>
              <w:t>Же</w:t>
            </w:r>
            <w:r>
              <w:rPr>
                <w:i/>
                <w:sz w:val="12"/>
              </w:rPr>
              <w:t>н</w:t>
            </w:r>
            <w:r>
              <w:rPr>
                <w:i/>
                <w:sz w:val="12"/>
              </w:rPr>
              <w:t xml:space="preserve">щины </w:t>
            </w:r>
            <w:r>
              <w:rPr>
                <w:i/>
                <w:sz w:val="12"/>
              </w:rPr>
              <w:br/>
              <w:t>%</w:t>
            </w:r>
          </w:p>
        </w:tc>
      </w:tr>
      <w:tr w:rsidR="00000000">
        <w:tblPrEx>
          <w:tblCellMar>
            <w:top w:w="0" w:type="dxa"/>
            <w:bottom w:w="0" w:type="dxa"/>
          </w:tblCellMar>
        </w:tblPrEx>
        <w:trPr>
          <w:cantSplit/>
        </w:trPr>
        <w:tc>
          <w:tcPr>
            <w:tcW w:w="1985" w:type="dxa"/>
            <w:tcBorders>
              <w:top w:val="single" w:sz="12" w:space="0" w:color="auto"/>
            </w:tcBorders>
          </w:tcPr>
          <w:p w:rsidR="00000000" w:rsidRDefault="00000000">
            <w:pPr>
              <w:spacing w:before="40" w:after="40" w:line="240" w:lineRule="auto"/>
              <w:rPr>
                <w:sz w:val="12"/>
              </w:rPr>
            </w:pPr>
            <w:r>
              <w:rPr>
                <w:sz w:val="12"/>
              </w:rPr>
              <w:t>Бунда</w:t>
            </w:r>
          </w:p>
        </w:tc>
        <w:tc>
          <w:tcPr>
            <w:tcW w:w="567" w:type="dxa"/>
            <w:tcBorders>
              <w:top w:val="single" w:sz="12" w:space="0" w:color="auto"/>
            </w:tcBorders>
          </w:tcPr>
          <w:p w:rsidR="00000000" w:rsidRDefault="00000000">
            <w:pPr>
              <w:tabs>
                <w:tab w:val="decimal" w:pos="419"/>
              </w:tabs>
              <w:spacing w:before="40" w:after="40" w:line="240" w:lineRule="auto"/>
              <w:rPr>
                <w:sz w:val="12"/>
              </w:rPr>
            </w:pPr>
            <w:r>
              <w:rPr>
                <w:sz w:val="12"/>
              </w:rPr>
              <w:t>616</w:t>
            </w:r>
          </w:p>
        </w:tc>
        <w:tc>
          <w:tcPr>
            <w:tcW w:w="354" w:type="dxa"/>
            <w:tcBorders>
              <w:top w:val="single" w:sz="12" w:space="0" w:color="auto"/>
            </w:tcBorders>
          </w:tcPr>
          <w:p w:rsidR="00000000" w:rsidRDefault="00000000">
            <w:pPr>
              <w:tabs>
                <w:tab w:val="decimal" w:pos="419"/>
              </w:tabs>
              <w:spacing w:before="40" w:after="40" w:line="240" w:lineRule="auto"/>
              <w:rPr>
                <w:sz w:val="12"/>
              </w:rPr>
            </w:pPr>
            <w:r>
              <w:rPr>
                <w:sz w:val="12"/>
              </w:rPr>
              <w:t>423</w:t>
            </w:r>
          </w:p>
        </w:tc>
        <w:tc>
          <w:tcPr>
            <w:tcW w:w="213" w:type="dxa"/>
            <w:tcBorders>
              <w:top w:val="single" w:sz="12" w:space="0" w:color="auto"/>
            </w:tcBorders>
          </w:tcPr>
          <w:p w:rsidR="00000000" w:rsidRDefault="00000000">
            <w:pPr>
              <w:tabs>
                <w:tab w:val="decimal" w:pos="419"/>
              </w:tabs>
              <w:spacing w:before="40" w:after="40" w:line="240" w:lineRule="auto"/>
              <w:rPr>
                <w:sz w:val="12"/>
              </w:rPr>
            </w:pPr>
            <w:r>
              <w:rPr>
                <w:sz w:val="12"/>
              </w:rPr>
              <w:t>69</w:t>
            </w:r>
          </w:p>
        </w:tc>
        <w:tc>
          <w:tcPr>
            <w:tcW w:w="354" w:type="dxa"/>
            <w:tcBorders>
              <w:top w:val="single" w:sz="12" w:space="0" w:color="auto"/>
            </w:tcBorders>
          </w:tcPr>
          <w:p w:rsidR="00000000" w:rsidRDefault="00000000">
            <w:pPr>
              <w:tabs>
                <w:tab w:val="decimal" w:pos="419"/>
              </w:tabs>
              <w:spacing w:before="40" w:after="40" w:line="240" w:lineRule="auto"/>
              <w:rPr>
                <w:sz w:val="12"/>
              </w:rPr>
            </w:pPr>
            <w:r>
              <w:rPr>
                <w:sz w:val="12"/>
              </w:rPr>
              <w:t>193</w:t>
            </w:r>
          </w:p>
        </w:tc>
        <w:tc>
          <w:tcPr>
            <w:tcW w:w="354" w:type="dxa"/>
            <w:tcBorders>
              <w:top w:val="single" w:sz="12" w:space="0" w:color="auto"/>
            </w:tcBorders>
          </w:tcPr>
          <w:p w:rsidR="00000000" w:rsidRDefault="00000000">
            <w:pPr>
              <w:tabs>
                <w:tab w:val="decimal" w:pos="419"/>
              </w:tabs>
              <w:spacing w:before="40" w:after="40" w:line="240" w:lineRule="auto"/>
              <w:rPr>
                <w:sz w:val="12"/>
              </w:rPr>
            </w:pPr>
            <w:r>
              <w:rPr>
                <w:sz w:val="12"/>
              </w:rPr>
              <w:t>31</w:t>
            </w:r>
          </w:p>
        </w:tc>
        <w:tc>
          <w:tcPr>
            <w:tcW w:w="426" w:type="dxa"/>
            <w:tcBorders>
              <w:top w:val="single" w:sz="12" w:space="0" w:color="auto"/>
            </w:tcBorders>
          </w:tcPr>
          <w:p w:rsidR="00000000" w:rsidRDefault="00000000">
            <w:pPr>
              <w:tabs>
                <w:tab w:val="decimal" w:pos="419"/>
              </w:tabs>
              <w:spacing w:before="40" w:after="40" w:line="240" w:lineRule="auto"/>
              <w:rPr>
                <w:sz w:val="12"/>
              </w:rPr>
            </w:pPr>
            <w:r>
              <w:rPr>
                <w:sz w:val="12"/>
              </w:rPr>
              <w:t>490</w:t>
            </w:r>
          </w:p>
        </w:tc>
        <w:tc>
          <w:tcPr>
            <w:tcW w:w="354" w:type="dxa"/>
            <w:tcBorders>
              <w:top w:val="single" w:sz="12" w:space="0" w:color="auto"/>
            </w:tcBorders>
          </w:tcPr>
          <w:p w:rsidR="00000000" w:rsidRDefault="00000000">
            <w:pPr>
              <w:tabs>
                <w:tab w:val="decimal" w:pos="419"/>
              </w:tabs>
              <w:spacing w:before="40" w:after="40" w:line="240" w:lineRule="auto"/>
              <w:rPr>
                <w:sz w:val="12"/>
              </w:rPr>
            </w:pPr>
            <w:r>
              <w:rPr>
                <w:sz w:val="12"/>
              </w:rPr>
              <w:t>370</w:t>
            </w:r>
          </w:p>
        </w:tc>
        <w:tc>
          <w:tcPr>
            <w:tcW w:w="354" w:type="dxa"/>
            <w:tcBorders>
              <w:top w:val="single" w:sz="12" w:space="0" w:color="auto"/>
            </w:tcBorders>
          </w:tcPr>
          <w:p w:rsidR="00000000" w:rsidRDefault="00000000">
            <w:pPr>
              <w:tabs>
                <w:tab w:val="decimal" w:pos="419"/>
              </w:tabs>
              <w:spacing w:before="40" w:after="40" w:line="240" w:lineRule="auto"/>
              <w:rPr>
                <w:sz w:val="12"/>
              </w:rPr>
            </w:pPr>
            <w:r>
              <w:rPr>
                <w:sz w:val="12"/>
              </w:rPr>
              <w:t>76</w:t>
            </w:r>
          </w:p>
        </w:tc>
        <w:tc>
          <w:tcPr>
            <w:tcW w:w="354" w:type="dxa"/>
            <w:tcBorders>
              <w:top w:val="single" w:sz="12" w:space="0" w:color="auto"/>
            </w:tcBorders>
          </w:tcPr>
          <w:p w:rsidR="00000000" w:rsidRDefault="00000000">
            <w:pPr>
              <w:tabs>
                <w:tab w:val="decimal" w:pos="419"/>
              </w:tabs>
              <w:spacing w:before="40" w:after="40" w:line="240" w:lineRule="auto"/>
              <w:rPr>
                <w:sz w:val="12"/>
              </w:rPr>
            </w:pPr>
            <w:r>
              <w:rPr>
                <w:sz w:val="12"/>
              </w:rPr>
              <w:t>120</w:t>
            </w:r>
          </w:p>
        </w:tc>
        <w:tc>
          <w:tcPr>
            <w:tcW w:w="355" w:type="dxa"/>
            <w:tcBorders>
              <w:top w:val="single" w:sz="12" w:space="0" w:color="auto"/>
            </w:tcBorders>
          </w:tcPr>
          <w:p w:rsidR="00000000" w:rsidRDefault="00000000">
            <w:pPr>
              <w:tabs>
                <w:tab w:val="decimal" w:pos="419"/>
              </w:tabs>
              <w:spacing w:before="40" w:after="40" w:line="240" w:lineRule="auto"/>
              <w:rPr>
                <w:sz w:val="12"/>
              </w:rPr>
            </w:pPr>
            <w:r>
              <w:rPr>
                <w:sz w:val="12"/>
              </w:rPr>
              <w:t>24</w:t>
            </w:r>
          </w:p>
        </w:tc>
        <w:tc>
          <w:tcPr>
            <w:tcW w:w="425" w:type="dxa"/>
            <w:tcBorders>
              <w:top w:val="single" w:sz="12" w:space="0" w:color="auto"/>
            </w:tcBorders>
          </w:tcPr>
          <w:p w:rsidR="00000000" w:rsidRDefault="00000000">
            <w:pPr>
              <w:tabs>
                <w:tab w:val="decimal" w:pos="419"/>
              </w:tabs>
              <w:spacing w:before="40" w:after="40" w:line="240" w:lineRule="auto"/>
              <w:rPr>
                <w:sz w:val="12"/>
              </w:rPr>
            </w:pPr>
            <w:r>
              <w:rPr>
                <w:sz w:val="12"/>
              </w:rPr>
              <w:t>509</w:t>
            </w:r>
          </w:p>
        </w:tc>
        <w:tc>
          <w:tcPr>
            <w:tcW w:w="354" w:type="dxa"/>
            <w:tcBorders>
              <w:top w:val="single" w:sz="12" w:space="0" w:color="auto"/>
            </w:tcBorders>
          </w:tcPr>
          <w:p w:rsidR="00000000" w:rsidRDefault="00000000">
            <w:pPr>
              <w:pStyle w:val="Header"/>
              <w:tabs>
                <w:tab w:val="clear" w:pos="4320"/>
                <w:tab w:val="clear" w:pos="8640"/>
                <w:tab w:val="decimal" w:pos="419"/>
              </w:tabs>
              <w:spacing w:before="40" w:after="40"/>
              <w:rPr>
                <w:noProof w:val="0"/>
                <w:spacing w:val="4"/>
                <w:w w:val="103"/>
                <w:kern w:val="14"/>
                <w:sz w:val="12"/>
              </w:rPr>
            </w:pPr>
            <w:r>
              <w:rPr>
                <w:noProof w:val="0"/>
                <w:spacing w:val="4"/>
                <w:w w:val="103"/>
                <w:kern w:val="14"/>
                <w:sz w:val="12"/>
              </w:rPr>
              <w:t>400</w:t>
            </w:r>
          </w:p>
        </w:tc>
        <w:tc>
          <w:tcPr>
            <w:tcW w:w="355" w:type="dxa"/>
            <w:tcBorders>
              <w:top w:val="single" w:sz="12" w:space="0" w:color="auto"/>
            </w:tcBorders>
          </w:tcPr>
          <w:p w:rsidR="00000000" w:rsidRDefault="00000000">
            <w:pPr>
              <w:tabs>
                <w:tab w:val="decimal" w:pos="419"/>
              </w:tabs>
              <w:spacing w:before="40" w:after="40" w:line="240" w:lineRule="auto"/>
              <w:rPr>
                <w:sz w:val="12"/>
              </w:rPr>
            </w:pPr>
            <w:r>
              <w:rPr>
                <w:sz w:val="12"/>
              </w:rPr>
              <w:t>79</w:t>
            </w:r>
          </w:p>
        </w:tc>
        <w:tc>
          <w:tcPr>
            <w:tcW w:w="283" w:type="dxa"/>
            <w:tcBorders>
              <w:top w:val="single" w:sz="12" w:space="0" w:color="auto"/>
            </w:tcBorders>
          </w:tcPr>
          <w:p w:rsidR="00000000" w:rsidRDefault="00000000">
            <w:pPr>
              <w:tabs>
                <w:tab w:val="decimal" w:pos="419"/>
              </w:tabs>
              <w:spacing w:before="40" w:after="40" w:line="240" w:lineRule="auto"/>
              <w:rPr>
                <w:sz w:val="12"/>
              </w:rPr>
            </w:pPr>
            <w:r>
              <w:rPr>
                <w:sz w:val="12"/>
              </w:rPr>
              <w:t>109</w:t>
            </w:r>
          </w:p>
        </w:tc>
        <w:tc>
          <w:tcPr>
            <w:tcW w:w="284" w:type="dxa"/>
            <w:tcBorders>
              <w:top w:val="single" w:sz="12" w:space="0" w:color="auto"/>
            </w:tcBorders>
          </w:tcPr>
          <w:p w:rsidR="00000000" w:rsidRDefault="00000000">
            <w:pPr>
              <w:tabs>
                <w:tab w:val="decimal" w:pos="419"/>
              </w:tabs>
              <w:spacing w:before="40" w:after="40" w:line="240" w:lineRule="auto"/>
              <w:rPr>
                <w:sz w:val="12"/>
              </w:rPr>
            </w:pPr>
            <w:r>
              <w:rPr>
                <w:sz w:val="12"/>
              </w:rPr>
              <w:t>21</w:t>
            </w:r>
          </w:p>
        </w:tc>
      </w:tr>
      <w:tr w:rsidR="00000000">
        <w:tblPrEx>
          <w:tblCellMar>
            <w:top w:w="0" w:type="dxa"/>
            <w:bottom w:w="0" w:type="dxa"/>
          </w:tblCellMar>
        </w:tblPrEx>
        <w:trPr>
          <w:cantSplit/>
        </w:trPr>
        <w:tc>
          <w:tcPr>
            <w:tcW w:w="1985" w:type="dxa"/>
          </w:tcPr>
          <w:p w:rsidR="00000000" w:rsidRDefault="00000000">
            <w:pPr>
              <w:spacing w:before="40" w:after="40" w:line="240" w:lineRule="auto"/>
              <w:rPr>
                <w:sz w:val="12"/>
              </w:rPr>
            </w:pPr>
            <w:r>
              <w:rPr>
                <w:sz w:val="12"/>
              </w:rPr>
              <w:t>Канцле</w:t>
            </w:r>
            <w:r>
              <w:rPr>
                <w:sz w:val="12"/>
              </w:rPr>
              <w:t>р</w:t>
            </w:r>
            <w:r>
              <w:rPr>
                <w:sz w:val="12"/>
              </w:rPr>
              <w:t>ский</w:t>
            </w:r>
          </w:p>
        </w:tc>
        <w:tc>
          <w:tcPr>
            <w:tcW w:w="567" w:type="dxa"/>
          </w:tcPr>
          <w:p w:rsidR="00000000" w:rsidRDefault="00000000">
            <w:pPr>
              <w:tabs>
                <w:tab w:val="decimal" w:pos="419"/>
              </w:tabs>
              <w:spacing w:before="40" w:after="40" w:line="240" w:lineRule="auto"/>
              <w:rPr>
                <w:sz w:val="12"/>
              </w:rPr>
            </w:pPr>
            <w:r>
              <w:rPr>
                <w:sz w:val="12"/>
              </w:rPr>
              <w:t>1</w:t>
            </w:r>
            <w:r>
              <w:rPr>
                <w:sz w:val="12"/>
                <w:lang w:val="en-US"/>
              </w:rPr>
              <w:t> </w:t>
            </w:r>
            <w:r>
              <w:rPr>
                <w:sz w:val="12"/>
              </w:rPr>
              <w:t>596</w:t>
            </w:r>
          </w:p>
        </w:tc>
        <w:tc>
          <w:tcPr>
            <w:tcW w:w="354" w:type="dxa"/>
          </w:tcPr>
          <w:p w:rsidR="00000000" w:rsidRDefault="00000000">
            <w:pPr>
              <w:tabs>
                <w:tab w:val="decimal" w:pos="419"/>
              </w:tabs>
              <w:spacing w:before="40" w:after="40" w:line="240" w:lineRule="auto"/>
              <w:rPr>
                <w:sz w:val="12"/>
              </w:rPr>
            </w:pPr>
            <w:r>
              <w:rPr>
                <w:sz w:val="12"/>
              </w:rPr>
              <w:t>1</w:t>
            </w:r>
            <w:r>
              <w:rPr>
                <w:sz w:val="12"/>
                <w:lang w:val="en-US"/>
              </w:rPr>
              <w:t> </w:t>
            </w:r>
            <w:r>
              <w:rPr>
                <w:sz w:val="12"/>
              </w:rPr>
              <w:t>129</w:t>
            </w:r>
          </w:p>
        </w:tc>
        <w:tc>
          <w:tcPr>
            <w:tcW w:w="213" w:type="dxa"/>
          </w:tcPr>
          <w:p w:rsidR="00000000" w:rsidRDefault="00000000">
            <w:pPr>
              <w:tabs>
                <w:tab w:val="decimal" w:pos="419"/>
              </w:tabs>
              <w:spacing w:before="40" w:after="40" w:line="240" w:lineRule="auto"/>
              <w:rPr>
                <w:sz w:val="12"/>
              </w:rPr>
            </w:pPr>
            <w:r>
              <w:rPr>
                <w:sz w:val="12"/>
              </w:rPr>
              <w:t>71</w:t>
            </w:r>
          </w:p>
        </w:tc>
        <w:tc>
          <w:tcPr>
            <w:tcW w:w="354" w:type="dxa"/>
          </w:tcPr>
          <w:p w:rsidR="00000000" w:rsidRDefault="00000000">
            <w:pPr>
              <w:tabs>
                <w:tab w:val="decimal" w:pos="419"/>
              </w:tabs>
              <w:spacing w:before="40" w:after="40" w:line="240" w:lineRule="auto"/>
              <w:rPr>
                <w:sz w:val="12"/>
              </w:rPr>
            </w:pPr>
            <w:r>
              <w:rPr>
                <w:sz w:val="12"/>
              </w:rPr>
              <w:t>467</w:t>
            </w:r>
          </w:p>
        </w:tc>
        <w:tc>
          <w:tcPr>
            <w:tcW w:w="354" w:type="dxa"/>
          </w:tcPr>
          <w:p w:rsidR="00000000" w:rsidRDefault="00000000">
            <w:pPr>
              <w:tabs>
                <w:tab w:val="decimal" w:pos="419"/>
              </w:tabs>
              <w:spacing w:before="40" w:after="40" w:line="240" w:lineRule="auto"/>
              <w:rPr>
                <w:sz w:val="12"/>
              </w:rPr>
            </w:pPr>
            <w:r>
              <w:rPr>
                <w:sz w:val="12"/>
              </w:rPr>
              <w:t>29</w:t>
            </w:r>
          </w:p>
        </w:tc>
        <w:tc>
          <w:tcPr>
            <w:tcW w:w="426" w:type="dxa"/>
          </w:tcPr>
          <w:p w:rsidR="00000000" w:rsidRDefault="00000000">
            <w:pPr>
              <w:tabs>
                <w:tab w:val="decimal" w:pos="419"/>
              </w:tabs>
              <w:spacing w:before="40" w:after="40" w:line="240" w:lineRule="auto"/>
              <w:rPr>
                <w:sz w:val="12"/>
              </w:rPr>
            </w:pPr>
            <w:r>
              <w:rPr>
                <w:sz w:val="12"/>
              </w:rPr>
              <w:t>1</w:t>
            </w:r>
            <w:r>
              <w:rPr>
                <w:sz w:val="12"/>
                <w:lang w:val="en-US"/>
              </w:rPr>
              <w:t> </w:t>
            </w:r>
            <w:r>
              <w:rPr>
                <w:sz w:val="12"/>
              </w:rPr>
              <w:t>292</w:t>
            </w:r>
          </w:p>
        </w:tc>
        <w:tc>
          <w:tcPr>
            <w:tcW w:w="354" w:type="dxa"/>
          </w:tcPr>
          <w:p w:rsidR="00000000" w:rsidRDefault="00000000">
            <w:pPr>
              <w:tabs>
                <w:tab w:val="decimal" w:pos="419"/>
              </w:tabs>
              <w:spacing w:before="40" w:after="40" w:line="240" w:lineRule="auto"/>
              <w:rPr>
                <w:sz w:val="12"/>
              </w:rPr>
            </w:pPr>
            <w:r>
              <w:rPr>
                <w:sz w:val="12"/>
              </w:rPr>
              <w:t>931</w:t>
            </w:r>
          </w:p>
        </w:tc>
        <w:tc>
          <w:tcPr>
            <w:tcW w:w="354" w:type="dxa"/>
          </w:tcPr>
          <w:p w:rsidR="00000000" w:rsidRDefault="00000000">
            <w:pPr>
              <w:tabs>
                <w:tab w:val="decimal" w:pos="419"/>
              </w:tabs>
              <w:spacing w:before="40" w:after="40" w:line="240" w:lineRule="auto"/>
              <w:rPr>
                <w:sz w:val="12"/>
              </w:rPr>
            </w:pPr>
            <w:r>
              <w:rPr>
                <w:sz w:val="12"/>
              </w:rPr>
              <w:t>72</w:t>
            </w:r>
          </w:p>
        </w:tc>
        <w:tc>
          <w:tcPr>
            <w:tcW w:w="354" w:type="dxa"/>
          </w:tcPr>
          <w:p w:rsidR="00000000" w:rsidRDefault="00000000">
            <w:pPr>
              <w:tabs>
                <w:tab w:val="decimal" w:pos="419"/>
              </w:tabs>
              <w:spacing w:before="40" w:after="40" w:line="240" w:lineRule="auto"/>
              <w:rPr>
                <w:sz w:val="12"/>
              </w:rPr>
            </w:pPr>
            <w:r>
              <w:rPr>
                <w:sz w:val="12"/>
              </w:rPr>
              <w:t>361</w:t>
            </w:r>
          </w:p>
        </w:tc>
        <w:tc>
          <w:tcPr>
            <w:tcW w:w="355" w:type="dxa"/>
          </w:tcPr>
          <w:p w:rsidR="00000000" w:rsidRDefault="00000000">
            <w:pPr>
              <w:tabs>
                <w:tab w:val="decimal" w:pos="419"/>
              </w:tabs>
              <w:spacing w:before="40" w:after="40" w:line="240" w:lineRule="auto"/>
              <w:rPr>
                <w:sz w:val="12"/>
              </w:rPr>
            </w:pPr>
            <w:r>
              <w:rPr>
                <w:sz w:val="12"/>
              </w:rPr>
              <w:t>28</w:t>
            </w:r>
          </w:p>
        </w:tc>
        <w:tc>
          <w:tcPr>
            <w:tcW w:w="425" w:type="dxa"/>
          </w:tcPr>
          <w:p w:rsidR="00000000" w:rsidRDefault="00000000">
            <w:pPr>
              <w:tabs>
                <w:tab w:val="decimal" w:pos="419"/>
              </w:tabs>
              <w:spacing w:before="40" w:after="40" w:line="240" w:lineRule="auto"/>
              <w:rPr>
                <w:sz w:val="12"/>
              </w:rPr>
            </w:pPr>
            <w:r>
              <w:rPr>
                <w:sz w:val="12"/>
              </w:rPr>
              <w:t>1</w:t>
            </w:r>
            <w:r>
              <w:rPr>
                <w:sz w:val="12"/>
                <w:lang w:val="en-US"/>
              </w:rPr>
              <w:t> </w:t>
            </w:r>
            <w:r>
              <w:rPr>
                <w:sz w:val="12"/>
              </w:rPr>
              <w:t>448</w:t>
            </w:r>
          </w:p>
        </w:tc>
        <w:tc>
          <w:tcPr>
            <w:tcW w:w="354" w:type="dxa"/>
          </w:tcPr>
          <w:p w:rsidR="00000000" w:rsidRDefault="00000000">
            <w:pPr>
              <w:tabs>
                <w:tab w:val="decimal" w:pos="419"/>
              </w:tabs>
              <w:spacing w:before="40" w:after="40" w:line="240" w:lineRule="auto"/>
              <w:rPr>
                <w:sz w:val="12"/>
              </w:rPr>
            </w:pPr>
            <w:r>
              <w:rPr>
                <w:sz w:val="12"/>
              </w:rPr>
              <w:t>1</w:t>
            </w:r>
            <w:r>
              <w:rPr>
                <w:sz w:val="12"/>
                <w:lang w:val="en-US"/>
              </w:rPr>
              <w:t> </w:t>
            </w:r>
            <w:r>
              <w:rPr>
                <w:sz w:val="12"/>
              </w:rPr>
              <w:t>078</w:t>
            </w:r>
          </w:p>
        </w:tc>
        <w:tc>
          <w:tcPr>
            <w:tcW w:w="355" w:type="dxa"/>
          </w:tcPr>
          <w:p w:rsidR="00000000" w:rsidRDefault="00000000">
            <w:pPr>
              <w:tabs>
                <w:tab w:val="decimal" w:pos="419"/>
              </w:tabs>
              <w:spacing w:before="40" w:after="40" w:line="240" w:lineRule="auto"/>
              <w:rPr>
                <w:sz w:val="12"/>
              </w:rPr>
            </w:pPr>
            <w:r>
              <w:rPr>
                <w:sz w:val="12"/>
              </w:rPr>
              <w:t>74</w:t>
            </w:r>
          </w:p>
        </w:tc>
        <w:tc>
          <w:tcPr>
            <w:tcW w:w="283" w:type="dxa"/>
          </w:tcPr>
          <w:p w:rsidR="00000000" w:rsidRDefault="00000000">
            <w:pPr>
              <w:tabs>
                <w:tab w:val="decimal" w:pos="419"/>
              </w:tabs>
              <w:spacing w:before="40" w:after="40" w:line="240" w:lineRule="auto"/>
              <w:rPr>
                <w:sz w:val="12"/>
              </w:rPr>
            </w:pPr>
            <w:r>
              <w:rPr>
                <w:sz w:val="12"/>
              </w:rPr>
              <w:t>370</w:t>
            </w:r>
          </w:p>
        </w:tc>
        <w:tc>
          <w:tcPr>
            <w:tcW w:w="284" w:type="dxa"/>
          </w:tcPr>
          <w:p w:rsidR="00000000" w:rsidRDefault="00000000">
            <w:pPr>
              <w:tabs>
                <w:tab w:val="decimal" w:pos="419"/>
              </w:tabs>
              <w:spacing w:before="40" w:after="40" w:line="240" w:lineRule="auto"/>
              <w:rPr>
                <w:sz w:val="12"/>
              </w:rPr>
            </w:pPr>
            <w:r>
              <w:rPr>
                <w:sz w:val="12"/>
              </w:rPr>
              <w:t>26</w:t>
            </w:r>
          </w:p>
        </w:tc>
      </w:tr>
      <w:tr w:rsidR="00000000">
        <w:tblPrEx>
          <w:tblCellMar>
            <w:top w:w="0" w:type="dxa"/>
            <w:bottom w:w="0" w:type="dxa"/>
          </w:tblCellMar>
        </w:tblPrEx>
        <w:trPr>
          <w:cantSplit/>
        </w:trPr>
        <w:tc>
          <w:tcPr>
            <w:tcW w:w="1985" w:type="dxa"/>
          </w:tcPr>
          <w:p w:rsidR="00000000" w:rsidRDefault="00000000">
            <w:pPr>
              <w:spacing w:before="40" w:after="40" w:line="240" w:lineRule="auto"/>
              <w:rPr>
                <w:sz w:val="12"/>
              </w:rPr>
            </w:pPr>
            <w:r>
              <w:rPr>
                <w:sz w:val="12"/>
              </w:rPr>
              <w:t>Камузу</w:t>
            </w:r>
          </w:p>
        </w:tc>
        <w:tc>
          <w:tcPr>
            <w:tcW w:w="567" w:type="dxa"/>
          </w:tcPr>
          <w:p w:rsidR="00000000" w:rsidRDefault="00000000">
            <w:pPr>
              <w:tabs>
                <w:tab w:val="decimal" w:pos="419"/>
              </w:tabs>
              <w:spacing w:before="40" w:after="40" w:line="240" w:lineRule="auto"/>
              <w:rPr>
                <w:sz w:val="12"/>
              </w:rPr>
            </w:pPr>
            <w:r>
              <w:rPr>
                <w:sz w:val="12"/>
              </w:rPr>
              <w:t>325</w:t>
            </w:r>
          </w:p>
        </w:tc>
        <w:tc>
          <w:tcPr>
            <w:tcW w:w="354" w:type="dxa"/>
          </w:tcPr>
          <w:p w:rsidR="00000000" w:rsidRDefault="00000000">
            <w:pPr>
              <w:tabs>
                <w:tab w:val="decimal" w:pos="419"/>
              </w:tabs>
              <w:spacing w:before="40" w:after="40" w:line="240" w:lineRule="auto"/>
              <w:rPr>
                <w:sz w:val="12"/>
                <w:lang w:val="en-US"/>
              </w:rPr>
            </w:pPr>
            <w:r>
              <w:rPr>
                <w:sz w:val="12"/>
                <w:lang w:val="en-US"/>
              </w:rPr>
              <w:t>46</w:t>
            </w:r>
          </w:p>
        </w:tc>
        <w:tc>
          <w:tcPr>
            <w:tcW w:w="213" w:type="dxa"/>
          </w:tcPr>
          <w:p w:rsidR="00000000" w:rsidRDefault="00000000">
            <w:pPr>
              <w:tabs>
                <w:tab w:val="decimal" w:pos="419"/>
              </w:tabs>
              <w:spacing w:before="40" w:after="40" w:line="240" w:lineRule="auto"/>
              <w:rPr>
                <w:sz w:val="12"/>
                <w:lang w:val="en-US"/>
              </w:rPr>
            </w:pPr>
            <w:r>
              <w:rPr>
                <w:sz w:val="12"/>
                <w:lang w:val="en-US"/>
              </w:rPr>
              <w:t>14</w:t>
            </w:r>
          </w:p>
        </w:tc>
        <w:tc>
          <w:tcPr>
            <w:tcW w:w="354" w:type="dxa"/>
          </w:tcPr>
          <w:p w:rsidR="00000000" w:rsidRDefault="00000000">
            <w:pPr>
              <w:tabs>
                <w:tab w:val="decimal" w:pos="419"/>
              </w:tabs>
              <w:spacing w:before="40" w:after="40" w:line="240" w:lineRule="auto"/>
              <w:rPr>
                <w:sz w:val="12"/>
                <w:lang w:val="en-US"/>
              </w:rPr>
            </w:pPr>
            <w:r>
              <w:rPr>
                <w:sz w:val="12"/>
                <w:lang w:val="en-US"/>
              </w:rPr>
              <w:t>279</w:t>
            </w:r>
          </w:p>
        </w:tc>
        <w:tc>
          <w:tcPr>
            <w:tcW w:w="354" w:type="dxa"/>
          </w:tcPr>
          <w:p w:rsidR="00000000" w:rsidRDefault="00000000">
            <w:pPr>
              <w:tabs>
                <w:tab w:val="decimal" w:pos="419"/>
              </w:tabs>
              <w:spacing w:before="40" w:after="40" w:line="240" w:lineRule="auto"/>
              <w:rPr>
                <w:sz w:val="12"/>
                <w:lang w:val="en-US"/>
              </w:rPr>
            </w:pPr>
            <w:r>
              <w:rPr>
                <w:sz w:val="12"/>
                <w:lang w:val="en-US"/>
              </w:rPr>
              <w:t>86</w:t>
            </w:r>
          </w:p>
        </w:tc>
        <w:tc>
          <w:tcPr>
            <w:tcW w:w="426" w:type="dxa"/>
          </w:tcPr>
          <w:p w:rsidR="00000000" w:rsidRDefault="00000000">
            <w:pPr>
              <w:tabs>
                <w:tab w:val="decimal" w:pos="419"/>
              </w:tabs>
              <w:spacing w:before="40" w:after="40" w:line="240" w:lineRule="auto"/>
              <w:rPr>
                <w:sz w:val="12"/>
                <w:lang w:val="en-US"/>
              </w:rPr>
            </w:pPr>
            <w:r>
              <w:rPr>
                <w:sz w:val="12"/>
                <w:lang w:val="en-US"/>
              </w:rPr>
              <w:t>263</w:t>
            </w:r>
          </w:p>
        </w:tc>
        <w:tc>
          <w:tcPr>
            <w:tcW w:w="354" w:type="dxa"/>
          </w:tcPr>
          <w:p w:rsidR="00000000" w:rsidRDefault="00000000">
            <w:pPr>
              <w:tabs>
                <w:tab w:val="decimal" w:pos="419"/>
              </w:tabs>
              <w:spacing w:before="40" w:after="40" w:line="240" w:lineRule="auto"/>
              <w:rPr>
                <w:sz w:val="12"/>
                <w:lang w:val="en-US"/>
              </w:rPr>
            </w:pPr>
            <w:r>
              <w:rPr>
                <w:sz w:val="12"/>
                <w:lang w:val="en-US"/>
              </w:rPr>
              <w:t>65</w:t>
            </w:r>
          </w:p>
        </w:tc>
        <w:tc>
          <w:tcPr>
            <w:tcW w:w="354" w:type="dxa"/>
          </w:tcPr>
          <w:p w:rsidR="00000000" w:rsidRDefault="00000000">
            <w:pPr>
              <w:tabs>
                <w:tab w:val="decimal" w:pos="419"/>
              </w:tabs>
              <w:spacing w:before="40" w:after="40" w:line="240" w:lineRule="auto"/>
              <w:rPr>
                <w:sz w:val="12"/>
                <w:lang w:val="en-US"/>
              </w:rPr>
            </w:pPr>
            <w:r>
              <w:rPr>
                <w:sz w:val="12"/>
                <w:lang w:val="en-US"/>
              </w:rPr>
              <w:t>25</w:t>
            </w:r>
          </w:p>
        </w:tc>
        <w:tc>
          <w:tcPr>
            <w:tcW w:w="354" w:type="dxa"/>
          </w:tcPr>
          <w:p w:rsidR="00000000" w:rsidRDefault="00000000">
            <w:pPr>
              <w:tabs>
                <w:tab w:val="decimal" w:pos="419"/>
              </w:tabs>
              <w:spacing w:before="40" w:after="40" w:line="240" w:lineRule="auto"/>
              <w:rPr>
                <w:sz w:val="12"/>
                <w:lang w:val="en-US"/>
              </w:rPr>
            </w:pPr>
            <w:r>
              <w:rPr>
                <w:sz w:val="12"/>
                <w:lang w:val="en-US"/>
              </w:rPr>
              <w:t>198</w:t>
            </w:r>
          </w:p>
        </w:tc>
        <w:tc>
          <w:tcPr>
            <w:tcW w:w="355" w:type="dxa"/>
          </w:tcPr>
          <w:p w:rsidR="00000000" w:rsidRDefault="00000000">
            <w:pPr>
              <w:tabs>
                <w:tab w:val="decimal" w:pos="419"/>
              </w:tabs>
              <w:spacing w:before="40" w:after="40" w:line="240" w:lineRule="auto"/>
              <w:rPr>
                <w:sz w:val="12"/>
                <w:lang w:val="en-US"/>
              </w:rPr>
            </w:pPr>
            <w:r>
              <w:rPr>
                <w:sz w:val="12"/>
                <w:lang w:val="en-US"/>
              </w:rPr>
              <w:t>75</w:t>
            </w:r>
          </w:p>
        </w:tc>
        <w:tc>
          <w:tcPr>
            <w:tcW w:w="425" w:type="dxa"/>
          </w:tcPr>
          <w:p w:rsidR="00000000" w:rsidRDefault="00000000">
            <w:pPr>
              <w:tabs>
                <w:tab w:val="decimal" w:pos="419"/>
              </w:tabs>
              <w:spacing w:before="40" w:after="40" w:line="240" w:lineRule="auto"/>
              <w:rPr>
                <w:sz w:val="12"/>
                <w:lang w:val="en-US"/>
              </w:rPr>
            </w:pPr>
            <w:r>
              <w:rPr>
                <w:sz w:val="12"/>
                <w:lang w:val="en-US"/>
              </w:rPr>
              <w:t>231</w:t>
            </w:r>
          </w:p>
        </w:tc>
        <w:tc>
          <w:tcPr>
            <w:tcW w:w="354" w:type="dxa"/>
          </w:tcPr>
          <w:p w:rsidR="00000000" w:rsidRDefault="00000000">
            <w:pPr>
              <w:tabs>
                <w:tab w:val="decimal" w:pos="419"/>
              </w:tabs>
              <w:spacing w:before="40" w:after="40" w:line="240" w:lineRule="auto"/>
              <w:rPr>
                <w:sz w:val="12"/>
                <w:lang w:val="en-US"/>
              </w:rPr>
            </w:pPr>
            <w:r>
              <w:rPr>
                <w:sz w:val="12"/>
                <w:lang w:val="en-US"/>
              </w:rPr>
              <w:t>67</w:t>
            </w:r>
          </w:p>
        </w:tc>
        <w:tc>
          <w:tcPr>
            <w:tcW w:w="355" w:type="dxa"/>
          </w:tcPr>
          <w:p w:rsidR="00000000" w:rsidRDefault="00000000">
            <w:pPr>
              <w:tabs>
                <w:tab w:val="decimal" w:pos="419"/>
              </w:tabs>
              <w:spacing w:before="40" w:after="40" w:line="240" w:lineRule="auto"/>
              <w:rPr>
                <w:sz w:val="12"/>
                <w:lang w:val="en-US"/>
              </w:rPr>
            </w:pPr>
            <w:r>
              <w:rPr>
                <w:sz w:val="12"/>
                <w:lang w:val="en-US"/>
              </w:rPr>
              <w:t>29</w:t>
            </w:r>
          </w:p>
        </w:tc>
        <w:tc>
          <w:tcPr>
            <w:tcW w:w="283" w:type="dxa"/>
          </w:tcPr>
          <w:p w:rsidR="00000000" w:rsidRDefault="00000000">
            <w:pPr>
              <w:tabs>
                <w:tab w:val="decimal" w:pos="419"/>
              </w:tabs>
              <w:spacing w:before="40" w:after="40" w:line="240" w:lineRule="auto"/>
              <w:rPr>
                <w:sz w:val="12"/>
                <w:lang w:val="en-US"/>
              </w:rPr>
            </w:pPr>
            <w:r>
              <w:rPr>
                <w:sz w:val="12"/>
                <w:lang w:val="en-US"/>
              </w:rPr>
              <w:t>164</w:t>
            </w:r>
          </w:p>
        </w:tc>
        <w:tc>
          <w:tcPr>
            <w:tcW w:w="284" w:type="dxa"/>
          </w:tcPr>
          <w:p w:rsidR="00000000" w:rsidRDefault="00000000">
            <w:pPr>
              <w:tabs>
                <w:tab w:val="decimal" w:pos="419"/>
              </w:tabs>
              <w:spacing w:before="40" w:after="40" w:line="240" w:lineRule="auto"/>
              <w:rPr>
                <w:sz w:val="12"/>
                <w:lang w:val="en-US"/>
              </w:rPr>
            </w:pPr>
            <w:r>
              <w:rPr>
                <w:sz w:val="12"/>
                <w:lang w:val="en-US"/>
              </w:rPr>
              <w:t>71</w:t>
            </w:r>
          </w:p>
        </w:tc>
      </w:tr>
      <w:tr w:rsidR="00000000">
        <w:tblPrEx>
          <w:tblCellMar>
            <w:top w:w="0" w:type="dxa"/>
            <w:bottom w:w="0" w:type="dxa"/>
          </w:tblCellMar>
        </w:tblPrEx>
        <w:trPr>
          <w:cantSplit/>
        </w:trPr>
        <w:tc>
          <w:tcPr>
            <w:tcW w:w="1985" w:type="dxa"/>
          </w:tcPr>
          <w:p w:rsidR="00000000" w:rsidRDefault="00000000">
            <w:pPr>
              <w:spacing w:before="40" w:after="40" w:line="240" w:lineRule="auto"/>
              <w:rPr>
                <w:sz w:val="12"/>
                <w:lang w:val="en-US"/>
              </w:rPr>
            </w:pPr>
            <w:r>
              <w:rPr>
                <w:sz w:val="12"/>
              </w:rPr>
              <w:t>Полите</w:t>
            </w:r>
            <w:r>
              <w:rPr>
                <w:sz w:val="12"/>
              </w:rPr>
              <w:t>х</w:t>
            </w:r>
            <w:r>
              <w:rPr>
                <w:sz w:val="12"/>
              </w:rPr>
              <w:t>нический</w:t>
            </w:r>
          </w:p>
        </w:tc>
        <w:tc>
          <w:tcPr>
            <w:tcW w:w="567" w:type="dxa"/>
          </w:tcPr>
          <w:p w:rsidR="00000000" w:rsidRDefault="00000000">
            <w:pPr>
              <w:tabs>
                <w:tab w:val="decimal" w:pos="419"/>
              </w:tabs>
              <w:spacing w:before="40" w:after="40" w:line="240" w:lineRule="auto"/>
              <w:rPr>
                <w:sz w:val="12"/>
                <w:lang w:val="en-US"/>
              </w:rPr>
            </w:pPr>
            <w:r>
              <w:rPr>
                <w:sz w:val="12"/>
                <w:lang w:val="en-US"/>
              </w:rPr>
              <w:t>1 089</w:t>
            </w:r>
          </w:p>
        </w:tc>
        <w:tc>
          <w:tcPr>
            <w:tcW w:w="354" w:type="dxa"/>
          </w:tcPr>
          <w:p w:rsidR="00000000" w:rsidRDefault="00000000">
            <w:pPr>
              <w:tabs>
                <w:tab w:val="decimal" w:pos="419"/>
              </w:tabs>
              <w:spacing w:before="40" w:after="40" w:line="240" w:lineRule="auto"/>
              <w:rPr>
                <w:sz w:val="12"/>
                <w:lang w:val="en-US"/>
              </w:rPr>
            </w:pPr>
            <w:r>
              <w:rPr>
                <w:sz w:val="12"/>
                <w:lang w:val="en-US"/>
              </w:rPr>
              <w:t>901</w:t>
            </w:r>
          </w:p>
        </w:tc>
        <w:tc>
          <w:tcPr>
            <w:tcW w:w="213" w:type="dxa"/>
          </w:tcPr>
          <w:p w:rsidR="00000000" w:rsidRDefault="00000000">
            <w:pPr>
              <w:tabs>
                <w:tab w:val="decimal" w:pos="419"/>
              </w:tabs>
              <w:spacing w:before="40" w:after="40" w:line="240" w:lineRule="auto"/>
              <w:rPr>
                <w:sz w:val="12"/>
                <w:lang w:val="en-US"/>
              </w:rPr>
            </w:pPr>
            <w:r>
              <w:rPr>
                <w:sz w:val="12"/>
                <w:lang w:val="en-US"/>
              </w:rPr>
              <w:t>83</w:t>
            </w:r>
          </w:p>
        </w:tc>
        <w:tc>
          <w:tcPr>
            <w:tcW w:w="354" w:type="dxa"/>
          </w:tcPr>
          <w:p w:rsidR="00000000" w:rsidRDefault="00000000">
            <w:pPr>
              <w:tabs>
                <w:tab w:val="decimal" w:pos="419"/>
              </w:tabs>
              <w:spacing w:before="40" w:after="40" w:line="240" w:lineRule="auto"/>
              <w:rPr>
                <w:sz w:val="12"/>
                <w:lang w:val="en-US"/>
              </w:rPr>
            </w:pPr>
            <w:r>
              <w:rPr>
                <w:sz w:val="12"/>
                <w:lang w:val="en-US"/>
              </w:rPr>
              <w:t>188</w:t>
            </w:r>
          </w:p>
        </w:tc>
        <w:tc>
          <w:tcPr>
            <w:tcW w:w="354" w:type="dxa"/>
          </w:tcPr>
          <w:p w:rsidR="00000000" w:rsidRDefault="00000000">
            <w:pPr>
              <w:tabs>
                <w:tab w:val="decimal" w:pos="419"/>
              </w:tabs>
              <w:spacing w:before="40" w:after="40" w:line="240" w:lineRule="auto"/>
              <w:rPr>
                <w:sz w:val="12"/>
                <w:lang w:val="en-US"/>
              </w:rPr>
            </w:pPr>
            <w:r>
              <w:rPr>
                <w:sz w:val="12"/>
                <w:lang w:val="en-US"/>
              </w:rPr>
              <w:t>17</w:t>
            </w:r>
          </w:p>
        </w:tc>
        <w:tc>
          <w:tcPr>
            <w:tcW w:w="426" w:type="dxa"/>
          </w:tcPr>
          <w:p w:rsidR="00000000" w:rsidRDefault="00000000">
            <w:pPr>
              <w:tabs>
                <w:tab w:val="decimal" w:pos="419"/>
              </w:tabs>
              <w:spacing w:before="40" w:after="40" w:line="240" w:lineRule="auto"/>
              <w:rPr>
                <w:sz w:val="12"/>
                <w:lang w:val="en-US"/>
              </w:rPr>
            </w:pPr>
            <w:r>
              <w:rPr>
                <w:sz w:val="12"/>
                <w:lang w:val="en-US"/>
              </w:rPr>
              <w:t>1 031</w:t>
            </w:r>
          </w:p>
        </w:tc>
        <w:tc>
          <w:tcPr>
            <w:tcW w:w="354" w:type="dxa"/>
          </w:tcPr>
          <w:p w:rsidR="00000000" w:rsidRDefault="00000000">
            <w:pPr>
              <w:tabs>
                <w:tab w:val="decimal" w:pos="419"/>
              </w:tabs>
              <w:spacing w:before="40" w:after="40" w:line="240" w:lineRule="auto"/>
              <w:rPr>
                <w:sz w:val="12"/>
                <w:lang w:val="en-US"/>
              </w:rPr>
            </w:pPr>
            <w:r>
              <w:rPr>
                <w:sz w:val="12"/>
                <w:lang w:val="en-US"/>
              </w:rPr>
              <w:t>856</w:t>
            </w:r>
          </w:p>
        </w:tc>
        <w:tc>
          <w:tcPr>
            <w:tcW w:w="354" w:type="dxa"/>
          </w:tcPr>
          <w:p w:rsidR="00000000" w:rsidRDefault="00000000">
            <w:pPr>
              <w:tabs>
                <w:tab w:val="decimal" w:pos="419"/>
              </w:tabs>
              <w:spacing w:before="40" w:after="40" w:line="240" w:lineRule="auto"/>
              <w:rPr>
                <w:sz w:val="12"/>
                <w:lang w:val="en-US"/>
              </w:rPr>
            </w:pPr>
            <w:r>
              <w:rPr>
                <w:sz w:val="12"/>
                <w:lang w:val="en-US"/>
              </w:rPr>
              <w:t>83</w:t>
            </w:r>
          </w:p>
        </w:tc>
        <w:tc>
          <w:tcPr>
            <w:tcW w:w="354" w:type="dxa"/>
          </w:tcPr>
          <w:p w:rsidR="00000000" w:rsidRDefault="00000000">
            <w:pPr>
              <w:tabs>
                <w:tab w:val="decimal" w:pos="419"/>
              </w:tabs>
              <w:spacing w:before="40" w:after="40" w:line="240" w:lineRule="auto"/>
              <w:rPr>
                <w:sz w:val="12"/>
                <w:lang w:val="en-US"/>
              </w:rPr>
            </w:pPr>
            <w:r>
              <w:rPr>
                <w:sz w:val="12"/>
                <w:lang w:val="en-US"/>
              </w:rPr>
              <w:t>175</w:t>
            </w:r>
          </w:p>
        </w:tc>
        <w:tc>
          <w:tcPr>
            <w:tcW w:w="355" w:type="dxa"/>
          </w:tcPr>
          <w:p w:rsidR="00000000" w:rsidRDefault="00000000">
            <w:pPr>
              <w:tabs>
                <w:tab w:val="decimal" w:pos="419"/>
              </w:tabs>
              <w:spacing w:before="40" w:after="40" w:line="240" w:lineRule="auto"/>
              <w:rPr>
                <w:sz w:val="12"/>
                <w:lang w:val="en-US"/>
              </w:rPr>
            </w:pPr>
            <w:r>
              <w:rPr>
                <w:sz w:val="12"/>
                <w:lang w:val="en-US"/>
              </w:rPr>
              <w:t>17</w:t>
            </w:r>
          </w:p>
        </w:tc>
        <w:tc>
          <w:tcPr>
            <w:tcW w:w="425" w:type="dxa"/>
          </w:tcPr>
          <w:p w:rsidR="00000000" w:rsidRDefault="00000000">
            <w:pPr>
              <w:tabs>
                <w:tab w:val="decimal" w:pos="419"/>
              </w:tabs>
              <w:spacing w:before="40" w:after="40" w:line="240" w:lineRule="auto"/>
              <w:rPr>
                <w:sz w:val="12"/>
                <w:lang w:val="en-US"/>
              </w:rPr>
            </w:pPr>
            <w:r>
              <w:rPr>
                <w:sz w:val="12"/>
                <w:lang w:val="en-US"/>
              </w:rPr>
              <w:t>1 088</w:t>
            </w:r>
          </w:p>
        </w:tc>
        <w:tc>
          <w:tcPr>
            <w:tcW w:w="354" w:type="dxa"/>
          </w:tcPr>
          <w:p w:rsidR="00000000" w:rsidRDefault="00000000">
            <w:pPr>
              <w:tabs>
                <w:tab w:val="decimal" w:pos="419"/>
              </w:tabs>
              <w:spacing w:before="40" w:after="40" w:line="240" w:lineRule="auto"/>
              <w:rPr>
                <w:sz w:val="12"/>
                <w:lang w:val="en-US"/>
              </w:rPr>
            </w:pPr>
            <w:r>
              <w:rPr>
                <w:sz w:val="12"/>
                <w:lang w:val="en-US"/>
              </w:rPr>
              <w:t>892</w:t>
            </w:r>
          </w:p>
        </w:tc>
        <w:tc>
          <w:tcPr>
            <w:tcW w:w="355" w:type="dxa"/>
          </w:tcPr>
          <w:p w:rsidR="00000000" w:rsidRDefault="00000000">
            <w:pPr>
              <w:tabs>
                <w:tab w:val="decimal" w:pos="419"/>
              </w:tabs>
              <w:spacing w:before="40" w:after="40" w:line="240" w:lineRule="auto"/>
              <w:rPr>
                <w:sz w:val="12"/>
                <w:lang w:val="en-US"/>
              </w:rPr>
            </w:pPr>
            <w:r>
              <w:rPr>
                <w:sz w:val="12"/>
                <w:lang w:val="en-US"/>
              </w:rPr>
              <w:t>82</w:t>
            </w:r>
          </w:p>
        </w:tc>
        <w:tc>
          <w:tcPr>
            <w:tcW w:w="283" w:type="dxa"/>
          </w:tcPr>
          <w:p w:rsidR="00000000" w:rsidRDefault="00000000">
            <w:pPr>
              <w:tabs>
                <w:tab w:val="decimal" w:pos="419"/>
              </w:tabs>
              <w:spacing w:before="40" w:after="40" w:line="240" w:lineRule="auto"/>
              <w:rPr>
                <w:sz w:val="12"/>
                <w:lang w:val="en-US"/>
              </w:rPr>
            </w:pPr>
            <w:r>
              <w:rPr>
                <w:sz w:val="12"/>
                <w:lang w:val="en-US"/>
              </w:rPr>
              <w:t>196</w:t>
            </w:r>
          </w:p>
        </w:tc>
        <w:tc>
          <w:tcPr>
            <w:tcW w:w="284" w:type="dxa"/>
          </w:tcPr>
          <w:p w:rsidR="00000000" w:rsidRDefault="00000000">
            <w:pPr>
              <w:tabs>
                <w:tab w:val="decimal" w:pos="419"/>
              </w:tabs>
              <w:spacing w:before="40" w:after="40" w:line="240" w:lineRule="auto"/>
              <w:rPr>
                <w:sz w:val="12"/>
                <w:lang w:val="en-US"/>
              </w:rPr>
            </w:pPr>
            <w:r>
              <w:rPr>
                <w:sz w:val="12"/>
                <w:lang w:val="en-US"/>
              </w:rPr>
              <w:t>18</w:t>
            </w:r>
          </w:p>
        </w:tc>
      </w:tr>
      <w:tr w:rsidR="00000000">
        <w:tblPrEx>
          <w:tblCellMar>
            <w:top w:w="0" w:type="dxa"/>
            <w:bottom w:w="0" w:type="dxa"/>
          </w:tblCellMar>
        </w:tblPrEx>
        <w:trPr>
          <w:cantSplit/>
        </w:trPr>
        <w:tc>
          <w:tcPr>
            <w:tcW w:w="1985" w:type="dxa"/>
          </w:tcPr>
          <w:p w:rsidR="00000000" w:rsidRDefault="00000000">
            <w:pPr>
              <w:spacing w:before="40" w:after="40" w:line="240" w:lineRule="auto"/>
              <w:rPr>
                <w:sz w:val="12"/>
                <w:lang w:val="en-US"/>
              </w:rPr>
            </w:pPr>
            <w:r>
              <w:rPr>
                <w:sz w:val="12"/>
              </w:rPr>
              <w:t>Медици</w:t>
            </w:r>
            <w:r>
              <w:rPr>
                <w:sz w:val="12"/>
              </w:rPr>
              <w:t>н</w:t>
            </w:r>
            <w:r>
              <w:rPr>
                <w:sz w:val="12"/>
              </w:rPr>
              <w:t>ский</w:t>
            </w:r>
          </w:p>
        </w:tc>
        <w:tc>
          <w:tcPr>
            <w:tcW w:w="567" w:type="dxa"/>
          </w:tcPr>
          <w:p w:rsidR="00000000" w:rsidRDefault="00000000">
            <w:pPr>
              <w:tabs>
                <w:tab w:val="decimal" w:pos="419"/>
              </w:tabs>
              <w:spacing w:before="40" w:after="40" w:line="240" w:lineRule="auto"/>
              <w:rPr>
                <w:sz w:val="12"/>
                <w:lang w:val="en-US"/>
              </w:rPr>
            </w:pPr>
            <w:r>
              <w:rPr>
                <w:sz w:val="12"/>
                <w:lang w:val="en-US"/>
              </w:rPr>
              <w:t>90</w:t>
            </w:r>
          </w:p>
        </w:tc>
        <w:tc>
          <w:tcPr>
            <w:tcW w:w="354" w:type="dxa"/>
          </w:tcPr>
          <w:p w:rsidR="00000000" w:rsidRDefault="00000000">
            <w:pPr>
              <w:tabs>
                <w:tab w:val="decimal" w:pos="419"/>
              </w:tabs>
              <w:spacing w:before="40" w:after="40" w:line="240" w:lineRule="auto"/>
              <w:rPr>
                <w:sz w:val="12"/>
                <w:lang w:val="en-US"/>
              </w:rPr>
            </w:pPr>
            <w:r>
              <w:rPr>
                <w:sz w:val="12"/>
                <w:lang w:val="en-US"/>
              </w:rPr>
              <w:t>68</w:t>
            </w:r>
          </w:p>
        </w:tc>
        <w:tc>
          <w:tcPr>
            <w:tcW w:w="213" w:type="dxa"/>
          </w:tcPr>
          <w:p w:rsidR="00000000" w:rsidRDefault="00000000">
            <w:pPr>
              <w:tabs>
                <w:tab w:val="decimal" w:pos="419"/>
              </w:tabs>
              <w:spacing w:before="40" w:after="40" w:line="240" w:lineRule="auto"/>
              <w:rPr>
                <w:sz w:val="12"/>
                <w:lang w:val="en-US"/>
              </w:rPr>
            </w:pPr>
            <w:r>
              <w:rPr>
                <w:sz w:val="12"/>
                <w:lang w:val="en-US"/>
              </w:rPr>
              <w:t>75</w:t>
            </w:r>
          </w:p>
        </w:tc>
        <w:tc>
          <w:tcPr>
            <w:tcW w:w="354" w:type="dxa"/>
          </w:tcPr>
          <w:p w:rsidR="00000000" w:rsidRDefault="00000000">
            <w:pPr>
              <w:tabs>
                <w:tab w:val="decimal" w:pos="419"/>
              </w:tabs>
              <w:spacing w:before="40" w:after="40" w:line="240" w:lineRule="auto"/>
              <w:rPr>
                <w:sz w:val="12"/>
                <w:lang w:val="en-US"/>
              </w:rPr>
            </w:pPr>
            <w:r>
              <w:rPr>
                <w:sz w:val="12"/>
                <w:lang w:val="en-US"/>
              </w:rPr>
              <w:t>22</w:t>
            </w:r>
          </w:p>
        </w:tc>
        <w:tc>
          <w:tcPr>
            <w:tcW w:w="354" w:type="dxa"/>
          </w:tcPr>
          <w:p w:rsidR="00000000" w:rsidRDefault="00000000">
            <w:pPr>
              <w:tabs>
                <w:tab w:val="decimal" w:pos="419"/>
              </w:tabs>
              <w:spacing w:before="40" w:after="40" w:line="240" w:lineRule="auto"/>
              <w:rPr>
                <w:sz w:val="12"/>
                <w:lang w:val="en-US"/>
              </w:rPr>
            </w:pPr>
            <w:r>
              <w:rPr>
                <w:sz w:val="12"/>
                <w:lang w:val="en-US"/>
              </w:rPr>
              <w:t>24</w:t>
            </w:r>
          </w:p>
        </w:tc>
        <w:tc>
          <w:tcPr>
            <w:tcW w:w="426" w:type="dxa"/>
          </w:tcPr>
          <w:p w:rsidR="00000000" w:rsidRDefault="00000000">
            <w:pPr>
              <w:tabs>
                <w:tab w:val="decimal" w:pos="419"/>
              </w:tabs>
              <w:spacing w:before="40" w:after="40" w:line="240" w:lineRule="auto"/>
              <w:rPr>
                <w:sz w:val="12"/>
                <w:lang w:val="en-US"/>
              </w:rPr>
            </w:pPr>
            <w:r>
              <w:rPr>
                <w:sz w:val="12"/>
                <w:lang w:val="en-US"/>
              </w:rPr>
              <w:t>93</w:t>
            </w:r>
          </w:p>
        </w:tc>
        <w:tc>
          <w:tcPr>
            <w:tcW w:w="354" w:type="dxa"/>
          </w:tcPr>
          <w:p w:rsidR="00000000" w:rsidRDefault="00000000">
            <w:pPr>
              <w:tabs>
                <w:tab w:val="decimal" w:pos="419"/>
              </w:tabs>
              <w:spacing w:before="40" w:after="40" w:line="240" w:lineRule="auto"/>
              <w:rPr>
                <w:sz w:val="12"/>
                <w:lang w:val="en-US"/>
              </w:rPr>
            </w:pPr>
            <w:r>
              <w:rPr>
                <w:sz w:val="12"/>
                <w:lang w:val="en-US"/>
              </w:rPr>
              <w:t>70</w:t>
            </w:r>
          </w:p>
        </w:tc>
        <w:tc>
          <w:tcPr>
            <w:tcW w:w="354" w:type="dxa"/>
          </w:tcPr>
          <w:p w:rsidR="00000000" w:rsidRDefault="00000000">
            <w:pPr>
              <w:tabs>
                <w:tab w:val="decimal" w:pos="419"/>
              </w:tabs>
              <w:spacing w:before="40" w:after="40" w:line="240" w:lineRule="auto"/>
              <w:rPr>
                <w:sz w:val="12"/>
                <w:lang w:val="en-US"/>
              </w:rPr>
            </w:pPr>
            <w:r>
              <w:rPr>
                <w:sz w:val="12"/>
                <w:lang w:val="en-US"/>
              </w:rPr>
              <w:t>75</w:t>
            </w:r>
          </w:p>
        </w:tc>
        <w:tc>
          <w:tcPr>
            <w:tcW w:w="354" w:type="dxa"/>
          </w:tcPr>
          <w:p w:rsidR="00000000" w:rsidRDefault="00000000">
            <w:pPr>
              <w:tabs>
                <w:tab w:val="decimal" w:pos="419"/>
              </w:tabs>
              <w:spacing w:before="40" w:after="40" w:line="240" w:lineRule="auto"/>
              <w:rPr>
                <w:sz w:val="12"/>
                <w:lang w:val="en-US"/>
              </w:rPr>
            </w:pPr>
            <w:r>
              <w:rPr>
                <w:sz w:val="12"/>
                <w:lang w:val="en-US"/>
              </w:rPr>
              <w:t>23</w:t>
            </w:r>
          </w:p>
        </w:tc>
        <w:tc>
          <w:tcPr>
            <w:tcW w:w="355" w:type="dxa"/>
          </w:tcPr>
          <w:p w:rsidR="00000000" w:rsidRDefault="00000000">
            <w:pPr>
              <w:tabs>
                <w:tab w:val="decimal" w:pos="419"/>
              </w:tabs>
              <w:spacing w:before="40" w:after="40" w:line="240" w:lineRule="auto"/>
              <w:rPr>
                <w:sz w:val="12"/>
                <w:lang w:val="en-US"/>
              </w:rPr>
            </w:pPr>
            <w:r>
              <w:rPr>
                <w:sz w:val="12"/>
                <w:lang w:val="en-US"/>
              </w:rPr>
              <w:t>25</w:t>
            </w:r>
          </w:p>
        </w:tc>
        <w:tc>
          <w:tcPr>
            <w:tcW w:w="425" w:type="dxa"/>
          </w:tcPr>
          <w:p w:rsidR="00000000" w:rsidRDefault="00000000">
            <w:pPr>
              <w:tabs>
                <w:tab w:val="decimal" w:pos="419"/>
              </w:tabs>
              <w:spacing w:before="40" w:after="40" w:line="240" w:lineRule="auto"/>
              <w:rPr>
                <w:sz w:val="12"/>
                <w:lang w:val="en-US"/>
              </w:rPr>
            </w:pPr>
            <w:r>
              <w:rPr>
                <w:sz w:val="12"/>
                <w:lang w:val="en-US"/>
              </w:rPr>
              <w:t>95</w:t>
            </w:r>
          </w:p>
        </w:tc>
        <w:tc>
          <w:tcPr>
            <w:tcW w:w="354" w:type="dxa"/>
          </w:tcPr>
          <w:p w:rsidR="00000000" w:rsidRDefault="00000000">
            <w:pPr>
              <w:tabs>
                <w:tab w:val="decimal" w:pos="419"/>
              </w:tabs>
              <w:spacing w:before="40" w:after="40" w:line="240" w:lineRule="auto"/>
              <w:rPr>
                <w:sz w:val="12"/>
                <w:lang w:val="en-US"/>
              </w:rPr>
            </w:pPr>
            <w:r>
              <w:rPr>
                <w:sz w:val="12"/>
                <w:lang w:val="en-US"/>
              </w:rPr>
              <w:t>73</w:t>
            </w:r>
          </w:p>
        </w:tc>
        <w:tc>
          <w:tcPr>
            <w:tcW w:w="355" w:type="dxa"/>
          </w:tcPr>
          <w:p w:rsidR="00000000" w:rsidRDefault="00000000">
            <w:pPr>
              <w:tabs>
                <w:tab w:val="decimal" w:pos="419"/>
              </w:tabs>
              <w:spacing w:before="40" w:after="40" w:line="240" w:lineRule="auto"/>
              <w:rPr>
                <w:sz w:val="12"/>
                <w:lang w:val="en-US"/>
              </w:rPr>
            </w:pPr>
            <w:r>
              <w:rPr>
                <w:sz w:val="12"/>
                <w:lang w:val="en-US"/>
              </w:rPr>
              <w:t>77</w:t>
            </w:r>
          </w:p>
        </w:tc>
        <w:tc>
          <w:tcPr>
            <w:tcW w:w="283" w:type="dxa"/>
          </w:tcPr>
          <w:p w:rsidR="00000000" w:rsidRDefault="00000000">
            <w:pPr>
              <w:tabs>
                <w:tab w:val="decimal" w:pos="419"/>
              </w:tabs>
              <w:spacing w:before="40" w:after="40" w:line="240" w:lineRule="auto"/>
              <w:rPr>
                <w:sz w:val="12"/>
                <w:lang w:val="en-US"/>
              </w:rPr>
            </w:pPr>
            <w:r>
              <w:rPr>
                <w:sz w:val="12"/>
                <w:lang w:val="en-US"/>
              </w:rPr>
              <w:t>22</w:t>
            </w:r>
          </w:p>
        </w:tc>
        <w:tc>
          <w:tcPr>
            <w:tcW w:w="284" w:type="dxa"/>
          </w:tcPr>
          <w:p w:rsidR="00000000" w:rsidRDefault="00000000">
            <w:pPr>
              <w:tabs>
                <w:tab w:val="decimal" w:pos="419"/>
              </w:tabs>
              <w:spacing w:before="40" w:after="40" w:line="240" w:lineRule="auto"/>
              <w:rPr>
                <w:sz w:val="12"/>
                <w:lang w:val="en-US"/>
              </w:rPr>
            </w:pPr>
            <w:r>
              <w:rPr>
                <w:sz w:val="12"/>
                <w:lang w:val="en-US"/>
              </w:rPr>
              <w:t>23</w:t>
            </w:r>
          </w:p>
        </w:tc>
      </w:tr>
      <w:tr w:rsidR="00000000">
        <w:tblPrEx>
          <w:tblCellMar>
            <w:top w:w="0" w:type="dxa"/>
            <w:bottom w:w="0" w:type="dxa"/>
          </w:tblCellMar>
        </w:tblPrEx>
        <w:trPr>
          <w:cantSplit/>
        </w:trPr>
        <w:tc>
          <w:tcPr>
            <w:tcW w:w="1985" w:type="dxa"/>
          </w:tcPr>
          <w:p w:rsidR="00000000" w:rsidRDefault="00000000">
            <w:pPr>
              <w:spacing w:before="40" w:after="40" w:line="240" w:lineRule="auto"/>
              <w:rPr>
                <w:sz w:val="12"/>
                <w:lang w:val="en-US"/>
              </w:rPr>
            </w:pPr>
            <w:r>
              <w:rPr>
                <w:sz w:val="12"/>
              </w:rPr>
              <w:t>Мзузу</w:t>
            </w:r>
          </w:p>
        </w:tc>
        <w:tc>
          <w:tcPr>
            <w:tcW w:w="567" w:type="dxa"/>
          </w:tcPr>
          <w:p w:rsidR="00000000" w:rsidRDefault="00000000">
            <w:pPr>
              <w:tabs>
                <w:tab w:val="decimal" w:pos="419"/>
              </w:tabs>
              <w:spacing w:before="40" w:after="40" w:line="240" w:lineRule="auto"/>
              <w:rPr>
                <w:sz w:val="12"/>
                <w:lang w:val="en-US"/>
              </w:rPr>
            </w:pPr>
            <w:r>
              <w:rPr>
                <w:sz w:val="12"/>
                <w:lang w:val="en-US"/>
              </w:rPr>
              <w:t>0</w:t>
            </w:r>
          </w:p>
        </w:tc>
        <w:tc>
          <w:tcPr>
            <w:tcW w:w="354" w:type="dxa"/>
          </w:tcPr>
          <w:p w:rsidR="00000000" w:rsidRDefault="00000000">
            <w:pPr>
              <w:tabs>
                <w:tab w:val="decimal" w:pos="419"/>
              </w:tabs>
              <w:spacing w:before="40" w:after="40" w:line="240" w:lineRule="auto"/>
              <w:rPr>
                <w:sz w:val="12"/>
                <w:lang w:val="en-US"/>
              </w:rPr>
            </w:pPr>
            <w:r>
              <w:rPr>
                <w:sz w:val="12"/>
                <w:lang w:val="en-US"/>
              </w:rPr>
              <w:t>0</w:t>
            </w:r>
          </w:p>
        </w:tc>
        <w:tc>
          <w:tcPr>
            <w:tcW w:w="213" w:type="dxa"/>
          </w:tcPr>
          <w:p w:rsidR="00000000" w:rsidRDefault="00000000">
            <w:pPr>
              <w:tabs>
                <w:tab w:val="decimal" w:pos="419"/>
              </w:tabs>
              <w:spacing w:before="40" w:after="40" w:line="240" w:lineRule="auto"/>
              <w:rPr>
                <w:sz w:val="12"/>
                <w:lang w:val="en-US"/>
              </w:rPr>
            </w:pPr>
            <w:r>
              <w:rPr>
                <w:sz w:val="12"/>
                <w:lang w:val="en-US"/>
              </w:rPr>
              <w:t>0</w:t>
            </w:r>
          </w:p>
        </w:tc>
        <w:tc>
          <w:tcPr>
            <w:tcW w:w="354" w:type="dxa"/>
          </w:tcPr>
          <w:p w:rsidR="00000000" w:rsidRDefault="00000000">
            <w:pPr>
              <w:tabs>
                <w:tab w:val="decimal" w:pos="419"/>
              </w:tabs>
              <w:spacing w:before="40" w:after="40" w:line="240" w:lineRule="auto"/>
              <w:rPr>
                <w:sz w:val="12"/>
                <w:lang w:val="en-US"/>
              </w:rPr>
            </w:pPr>
            <w:r>
              <w:rPr>
                <w:sz w:val="12"/>
                <w:lang w:val="en-US"/>
              </w:rPr>
              <w:t>0</w:t>
            </w:r>
          </w:p>
        </w:tc>
        <w:tc>
          <w:tcPr>
            <w:tcW w:w="354" w:type="dxa"/>
          </w:tcPr>
          <w:p w:rsidR="00000000" w:rsidRDefault="00000000">
            <w:pPr>
              <w:tabs>
                <w:tab w:val="decimal" w:pos="419"/>
              </w:tabs>
              <w:spacing w:before="40" w:after="40" w:line="240" w:lineRule="auto"/>
              <w:rPr>
                <w:sz w:val="12"/>
                <w:lang w:val="en-US"/>
              </w:rPr>
            </w:pPr>
            <w:r>
              <w:rPr>
                <w:sz w:val="12"/>
                <w:lang w:val="en-US"/>
              </w:rPr>
              <w:t>0</w:t>
            </w:r>
          </w:p>
        </w:tc>
        <w:tc>
          <w:tcPr>
            <w:tcW w:w="426" w:type="dxa"/>
          </w:tcPr>
          <w:p w:rsidR="00000000" w:rsidRDefault="00000000">
            <w:pPr>
              <w:tabs>
                <w:tab w:val="decimal" w:pos="419"/>
              </w:tabs>
              <w:spacing w:before="40" w:after="40" w:line="240" w:lineRule="auto"/>
              <w:rPr>
                <w:sz w:val="12"/>
                <w:lang w:val="en-US"/>
              </w:rPr>
            </w:pPr>
            <w:r>
              <w:rPr>
                <w:sz w:val="12"/>
                <w:lang w:val="en-US"/>
              </w:rPr>
              <w:t>0</w:t>
            </w:r>
          </w:p>
        </w:tc>
        <w:tc>
          <w:tcPr>
            <w:tcW w:w="354" w:type="dxa"/>
          </w:tcPr>
          <w:p w:rsidR="00000000" w:rsidRDefault="00000000">
            <w:pPr>
              <w:tabs>
                <w:tab w:val="decimal" w:pos="419"/>
              </w:tabs>
              <w:spacing w:before="40" w:after="40" w:line="240" w:lineRule="auto"/>
              <w:rPr>
                <w:sz w:val="12"/>
                <w:lang w:val="en-US"/>
              </w:rPr>
            </w:pPr>
            <w:r>
              <w:rPr>
                <w:sz w:val="12"/>
                <w:lang w:val="en-US"/>
              </w:rPr>
              <w:t>0</w:t>
            </w:r>
          </w:p>
        </w:tc>
        <w:tc>
          <w:tcPr>
            <w:tcW w:w="354" w:type="dxa"/>
          </w:tcPr>
          <w:p w:rsidR="00000000" w:rsidRDefault="00000000">
            <w:pPr>
              <w:tabs>
                <w:tab w:val="decimal" w:pos="419"/>
              </w:tabs>
              <w:spacing w:before="40" w:after="40" w:line="240" w:lineRule="auto"/>
              <w:rPr>
                <w:sz w:val="12"/>
                <w:lang w:val="en-US"/>
              </w:rPr>
            </w:pPr>
            <w:r>
              <w:rPr>
                <w:sz w:val="12"/>
                <w:lang w:val="en-US"/>
              </w:rPr>
              <w:t>0</w:t>
            </w:r>
          </w:p>
        </w:tc>
        <w:tc>
          <w:tcPr>
            <w:tcW w:w="354" w:type="dxa"/>
          </w:tcPr>
          <w:p w:rsidR="00000000" w:rsidRDefault="00000000">
            <w:pPr>
              <w:tabs>
                <w:tab w:val="decimal" w:pos="419"/>
              </w:tabs>
              <w:spacing w:before="40" w:after="40" w:line="240" w:lineRule="auto"/>
              <w:rPr>
                <w:sz w:val="12"/>
                <w:lang w:val="en-US"/>
              </w:rPr>
            </w:pPr>
            <w:r>
              <w:rPr>
                <w:sz w:val="12"/>
                <w:lang w:val="en-US"/>
              </w:rPr>
              <w:t>0</w:t>
            </w:r>
          </w:p>
        </w:tc>
        <w:tc>
          <w:tcPr>
            <w:tcW w:w="355" w:type="dxa"/>
          </w:tcPr>
          <w:p w:rsidR="00000000" w:rsidRDefault="00000000">
            <w:pPr>
              <w:tabs>
                <w:tab w:val="decimal" w:pos="419"/>
              </w:tabs>
              <w:spacing w:before="40" w:after="40" w:line="240" w:lineRule="auto"/>
              <w:rPr>
                <w:sz w:val="12"/>
                <w:lang w:val="en-US"/>
              </w:rPr>
            </w:pPr>
            <w:r>
              <w:rPr>
                <w:sz w:val="12"/>
                <w:lang w:val="en-US"/>
              </w:rPr>
              <w:t>0</w:t>
            </w:r>
          </w:p>
        </w:tc>
        <w:tc>
          <w:tcPr>
            <w:tcW w:w="425" w:type="dxa"/>
          </w:tcPr>
          <w:p w:rsidR="00000000" w:rsidRDefault="00000000">
            <w:pPr>
              <w:tabs>
                <w:tab w:val="decimal" w:pos="419"/>
              </w:tabs>
              <w:spacing w:before="40" w:after="40" w:line="240" w:lineRule="auto"/>
              <w:rPr>
                <w:sz w:val="12"/>
                <w:lang w:val="en-US"/>
              </w:rPr>
            </w:pPr>
            <w:r>
              <w:rPr>
                <w:sz w:val="12"/>
                <w:lang w:val="en-US"/>
              </w:rPr>
              <w:t>194</w:t>
            </w:r>
          </w:p>
        </w:tc>
        <w:tc>
          <w:tcPr>
            <w:tcW w:w="354" w:type="dxa"/>
          </w:tcPr>
          <w:p w:rsidR="00000000" w:rsidRDefault="00000000">
            <w:pPr>
              <w:tabs>
                <w:tab w:val="decimal" w:pos="419"/>
              </w:tabs>
              <w:spacing w:before="40" w:after="40" w:line="240" w:lineRule="auto"/>
              <w:rPr>
                <w:sz w:val="12"/>
                <w:lang w:val="en-US"/>
              </w:rPr>
            </w:pPr>
            <w:r>
              <w:rPr>
                <w:sz w:val="12"/>
                <w:lang w:val="en-US"/>
              </w:rPr>
              <w:t>152</w:t>
            </w:r>
          </w:p>
        </w:tc>
        <w:tc>
          <w:tcPr>
            <w:tcW w:w="355" w:type="dxa"/>
          </w:tcPr>
          <w:p w:rsidR="00000000" w:rsidRDefault="00000000">
            <w:pPr>
              <w:tabs>
                <w:tab w:val="decimal" w:pos="419"/>
              </w:tabs>
              <w:spacing w:before="40" w:after="40" w:line="240" w:lineRule="auto"/>
              <w:rPr>
                <w:sz w:val="12"/>
                <w:lang w:val="en-US"/>
              </w:rPr>
            </w:pPr>
            <w:r>
              <w:rPr>
                <w:sz w:val="12"/>
                <w:lang w:val="en-US"/>
              </w:rPr>
              <w:t>78</w:t>
            </w:r>
          </w:p>
        </w:tc>
        <w:tc>
          <w:tcPr>
            <w:tcW w:w="283" w:type="dxa"/>
          </w:tcPr>
          <w:p w:rsidR="00000000" w:rsidRDefault="00000000">
            <w:pPr>
              <w:tabs>
                <w:tab w:val="decimal" w:pos="419"/>
              </w:tabs>
              <w:spacing w:before="40" w:after="40" w:line="240" w:lineRule="auto"/>
              <w:rPr>
                <w:sz w:val="12"/>
                <w:lang w:val="en-US"/>
              </w:rPr>
            </w:pPr>
            <w:r>
              <w:rPr>
                <w:sz w:val="12"/>
                <w:lang w:val="en-US"/>
              </w:rPr>
              <w:t>42</w:t>
            </w:r>
          </w:p>
        </w:tc>
        <w:tc>
          <w:tcPr>
            <w:tcW w:w="284" w:type="dxa"/>
          </w:tcPr>
          <w:p w:rsidR="00000000" w:rsidRDefault="00000000">
            <w:pPr>
              <w:tabs>
                <w:tab w:val="decimal" w:pos="419"/>
              </w:tabs>
              <w:spacing w:before="40" w:after="40" w:line="240" w:lineRule="auto"/>
              <w:rPr>
                <w:sz w:val="12"/>
                <w:lang w:val="en-US"/>
              </w:rPr>
            </w:pPr>
            <w:r>
              <w:rPr>
                <w:sz w:val="12"/>
                <w:lang w:val="en-US"/>
              </w:rPr>
              <w:t>22</w:t>
            </w:r>
          </w:p>
        </w:tc>
      </w:tr>
      <w:tr w:rsidR="00000000">
        <w:tblPrEx>
          <w:tblCellMar>
            <w:top w:w="0" w:type="dxa"/>
            <w:bottom w:w="0" w:type="dxa"/>
          </w:tblCellMar>
        </w:tblPrEx>
        <w:trPr>
          <w:cantSplit/>
        </w:trPr>
        <w:tc>
          <w:tcPr>
            <w:tcW w:w="1985" w:type="dxa"/>
          </w:tcPr>
          <w:p w:rsidR="00000000" w:rsidRDefault="00000000">
            <w:pPr>
              <w:spacing w:before="40" w:after="40" w:line="240" w:lineRule="auto"/>
              <w:rPr>
                <w:sz w:val="12"/>
                <w:lang w:val="en-US"/>
              </w:rPr>
            </w:pPr>
            <w:r>
              <w:rPr>
                <w:sz w:val="12"/>
              </w:rPr>
              <w:t>Совет управля</w:t>
            </w:r>
            <w:r>
              <w:rPr>
                <w:sz w:val="12"/>
              </w:rPr>
              <w:t>ю</w:t>
            </w:r>
            <w:r>
              <w:rPr>
                <w:sz w:val="12"/>
              </w:rPr>
              <w:t>щих</w:t>
            </w:r>
          </w:p>
        </w:tc>
        <w:tc>
          <w:tcPr>
            <w:tcW w:w="567" w:type="dxa"/>
          </w:tcPr>
          <w:p w:rsidR="00000000" w:rsidRDefault="00000000">
            <w:pPr>
              <w:tabs>
                <w:tab w:val="decimal" w:pos="419"/>
              </w:tabs>
              <w:spacing w:before="40" w:after="40" w:line="240" w:lineRule="auto"/>
              <w:rPr>
                <w:sz w:val="12"/>
              </w:rPr>
            </w:pPr>
            <w:r>
              <w:rPr>
                <w:sz w:val="12"/>
              </w:rPr>
              <w:t>477</w:t>
            </w:r>
          </w:p>
        </w:tc>
        <w:tc>
          <w:tcPr>
            <w:tcW w:w="354" w:type="dxa"/>
          </w:tcPr>
          <w:p w:rsidR="00000000" w:rsidRDefault="00000000">
            <w:pPr>
              <w:tabs>
                <w:tab w:val="decimal" w:pos="419"/>
              </w:tabs>
              <w:spacing w:before="40" w:after="40" w:line="240" w:lineRule="auto"/>
              <w:rPr>
                <w:sz w:val="12"/>
              </w:rPr>
            </w:pPr>
            <w:r>
              <w:rPr>
                <w:sz w:val="12"/>
              </w:rPr>
              <w:t>378</w:t>
            </w:r>
          </w:p>
        </w:tc>
        <w:tc>
          <w:tcPr>
            <w:tcW w:w="213" w:type="dxa"/>
          </w:tcPr>
          <w:p w:rsidR="00000000" w:rsidRDefault="00000000">
            <w:pPr>
              <w:tabs>
                <w:tab w:val="decimal" w:pos="419"/>
              </w:tabs>
              <w:spacing w:before="40" w:after="40" w:line="240" w:lineRule="auto"/>
              <w:rPr>
                <w:sz w:val="12"/>
              </w:rPr>
            </w:pPr>
            <w:r>
              <w:rPr>
                <w:sz w:val="12"/>
              </w:rPr>
              <w:t>79</w:t>
            </w:r>
          </w:p>
        </w:tc>
        <w:tc>
          <w:tcPr>
            <w:tcW w:w="354" w:type="dxa"/>
          </w:tcPr>
          <w:p w:rsidR="00000000" w:rsidRDefault="00000000">
            <w:pPr>
              <w:tabs>
                <w:tab w:val="decimal" w:pos="419"/>
              </w:tabs>
              <w:spacing w:before="40" w:after="40" w:line="240" w:lineRule="auto"/>
              <w:rPr>
                <w:sz w:val="12"/>
              </w:rPr>
            </w:pPr>
            <w:r>
              <w:rPr>
                <w:sz w:val="12"/>
              </w:rPr>
              <w:t>99</w:t>
            </w:r>
          </w:p>
        </w:tc>
        <w:tc>
          <w:tcPr>
            <w:tcW w:w="354" w:type="dxa"/>
          </w:tcPr>
          <w:p w:rsidR="00000000" w:rsidRDefault="00000000">
            <w:pPr>
              <w:tabs>
                <w:tab w:val="decimal" w:pos="419"/>
              </w:tabs>
              <w:spacing w:before="40" w:after="40" w:line="240" w:lineRule="auto"/>
              <w:rPr>
                <w:sz w:val="12"/>
              </w:rPr>
            </w:pPr>
            <w:r>
              <w:rPr>
                <w:sz w:val="12"/>
              </w:rPr>
              <w:t>21</w:t>
            </w:r>
          </w:p>
        </w:tc>
        <w:tc>
          <w:tcPr>
            <w:tcW w:w="426" w:type="dxa"/>
          </w:tcPr>
          <w:p w:rsidR="00000000" w:rsidRDefault="00000000">
            <w:pPr>
              <w:tabs>
                <w:tab w:val="decimal" w:pos="419"/>
              </w:tabs>
              <w:spacing w:before="40" w:after="40" w:line="240" w:lineRule="auto"/>
              <w:rPr>
                <w:sz w:val="12"/>
              </w:rPr>
            </w:pPr>
            <w:r>
              <w:rPr>
                <w:sz w:val="12"/>
              </w:rPr>
              <w:t>216</w:t>
            </w:r>
          </w:p>
        </w:tc>
        <w:tc>
          <w:tcPr>
            <w:tcW w:w="354" w:type="dxa"/>
          </w:tcPr>
          <w:p w:rsidR="00000000" w:rsidRDefault="00000000">
            <w:pPr>
              <w:tabs>
                <w:tab w:val="decimal" w:pos="419"/>
              </w:tabs>
              <w:spacing w:before="40" w:after="40" w:line="240" w:lineRule="auto"/>
              <w:rPr>
                <w:sz w:val="12"/>
              </w:rPr>
            </w:pPr>
            <w:r>
              <w:rPr>
                <w:sz w:val="12"/>
              </w:rPr>
              <w:t>161</w:t>
            </w:r>
          </w:p>
        </w:tc>
        <w:tc>
          <w:tcPr>
            <w:tcW w:w="354" w:type="dxa"/>
          </w:tcPr>
          <w:p w:rsidR="00000000" w:rsidRDefault="00000000">
            <w:pPr>
              <w:tabs>
                <w:tab w:val="decimal" w:pos="419"/>
              </w:tabs>
              <w:spacing w:before="40" w:after="40" w:line="240" w:lineRule="auto"/>
              <w:rPr>
                <w:sz w:val="12"/>
              </w:rPr>
            </w:pPr>
            <w:r>
              <w:rPr>
                <w:sz w:val="12"/>
              </w:rPr>
              <w:t>75</w:t>
            </w:r>
          </w:p>
        </w:tc>
        <w:tc>
          <w:tcPr>
            <w:tcW w:w="354" w:type="dxa"/>
          </w:tcPr>
          <w:p w:rsidR="00000000" w:rsidRDefault="00000000">
            <w:pPr>
              <w:tabs>
                <w:tab w:val="decimal" w:pos="419"/>
              </w:tabs>
              <w:spacing w:before="40" w:after="40" w:line="240" w:lineRule="auto"/>
              <w:rPr>
                <w:sz w:val="12"/>
              </w:rPr>
            </w:pPr>
            <w:r>
              <w:rPr>
                <w:sz w:val="12"/>
              </w:rPr>
              <w:t>55</w:t>
            </w:r>
          </w:p>
        </w:tc>
        <w:tc>
          <w:tcPr>
            <w:tcW w:w="355" w:type="dxa"/>
          </w:tcPr>
          <w:p w:rsidR="00000000" w:rsidRDefault="00000000">
            <w:pPr>
              <w:tabs>
                <w:tab w:val="decimal" w:pos="419"/>
              </w:tabs>
              <w:spacing w:before="40" w:after="40" w:line="240" w:lineRule="auto"/>
              <w:rPr>
                <w:sz w:val="12"/>
              </w:rPr>
            </w:pPr>
            <w:r>
              <w:rPr>
                <w:sz w:val="12"/>
              </w:rPr>
              <w:t>25</w:t>
            </w:r>
          </w:p>
        </w:tc>
        <w:tc>
          <w:tcPr>
            <w:tcW w:w="425" w:type="dxa"/>
          </w:tcPr>
          <w:p w:rsidR="00000000" w:rsidRDefault="00000000">
            <w:pPr>
              <w:tabs>
                <w:tab w:val="decimal" w:pos="419"/>
              </w:tabs>
              <w:spacing w:before="40" w:after="40" w:line="240" w:lineRule="auto"/>
              <w:rPr>
                <w:sz w:val="12"/>
              </w:rPr>
            </w:pPr>
            <w:r>
              <w:rPr>
                <w:sz w:val="12"/>
              </w:rPr>
              <w:t>390</w:t>
            </w:r>
          </w:p>
        </w:tc>
        <w:tc>
          <w:tcPr>
            <w:tcW w:w="354" w:type="dxa"/>
          </w:tcPr>
          <w:p w:rsidR="00000000" w:rsidRDefault="00000000">
            <w:pPr>
              <w:tabs>
                <w:tab w:val="decimal" w:pos="419"/>
              </w:tabs>
              <w:spacing w:before="40" w:after="40" w:line="240" w:lineRule="auto"/>
              <w:rPr>
                <w:sz w:val="12"/>
              </w:rPr>
            </w:pPr>
            <w:r>
              <w:rPr>
                <w:sz w:val="12"/>
              </w:rPr>
              <w:t>274</w:t>
            </w:r>
          </w:p>
        </w:tc>
        <w:tc>
          <w:tcPr>
            <w:tcW w:w="355" w:type="dxa"/>
          </w:tcPr>
          <w:p w:rsidR="00000000" w:rsidRDefault="00000000">
            <w:pPr>
              <w:tabs>
                <w:tab w:val="decimal" w:pos="419"/>
              </w:tabs>
              <w:spacing w:before="40" w:after="40" w:line="240" w:lineRule="auto"/>
              <w:rPr>
                <w:sz w:val="12"/>
              </w:rPr>
            </w:pPr>
            <w:r>
              <w:rPr>
                <w:sz w:val="12"/>
              </w:rPr>
              <w:t>70</w:t>
            </w:r>
          </w:p>
        </w:tc>
        <w:tc>
          <w:tcPr>
            <w:tcW w:w="283" w:type="dxa"/>
          </w:tcPr>
          <w:p w:rsidR="00000000" w:rsidRDefault="00000000">
            <w:pPr>
              <w:tabs>
                <w:tab w:val="decimal" w:pos="419"/>
              </w:tabs>
              <w:spacing w:before="40" w:after="40" w:line="240" w:lineRule="auto"/>
              <w:rPr>
                <w:sz w:val="12"/>
              </w:rPr>
            </w:pPr>
            <w:r>
              <w:rPr>
                <w:sz w:val="12"/>
              </w:rPr>
              <w:t>116</w:t>
            </w:r>
          </w:p>
        </w:tc>
        <w:tc>
          <w:tcPr>
            <w:tcW w:w="284" w:type="dxa"/>
          </w:tcPr>
          <w:p w:rsidR="00000000" w:rsidRDefault="00000000">
            <w:pPr>
              <w:tabs>
                <w:tab w:val="decimal" w:pos="419"/>
              </w:tabs>
              <w:spacing w:before="40" w:after="40" w:line="240" w:lineRule="auto"/>
              <w:rPr>
                <w:sz w:val="12"/>
              </w:rPr>
            </w:pPr>
            <w:r>
              <w:rPr>
                <w:sz w:val="12"/>
              </w:rPr>
              <w:t>30</w:t>
            </w:r>
          </w:p>
        </w:tc>
      </w:tr>
      <w:tr w:rsidR="00000000">
        <w:tblPrEx>
          <w:tblCellMar>
            <w:top w:w="0" w:type="dxa"/>
            <w:bottom w:w="0" w:type="dxa"/>
          </w:tblCellMar>
        </w:tblPrEx>
        <w:trPr>
          <w:cantSplit/>
        </w:trPr>
        <w:tc>
          <w:tcPr>
            <w:tcW w:w="1985" w:type="dxa"/>
            <w:tcBorders>
              <w:bottom w:val="single" w:sz="12" w:space="0" w:color="auto"/>
            </w:tcBorders>
          </w:tcPr>
          <w:p w:rsidR="00000000" w:rsidRDefault="00000000">
            <w:pPr>
              <w:spacing w:before="40" w:after="40" w:line="240" w:lineRule="auto"/>
              <w:rPr>
                <w:sz w:val="12"/>
              </w:rPr>
            </w:pPr>
            <w:r>
              <w:rPr>
                <w:sz w:val="12"/>
              </w:rPr>
              <w:t>Всего</w:t>
            </w:r>
          </w:p>
        </w:tc>
        <w:tc>
          <w:tcPr>
            <w:tcW w:w="567" w:type="dxa"/>
            <w:tcBorders>
              <w:bottom w:val="single" w:sz="12" w:space="0" w:color="auto"/>
            </w:tcBorders>
          </w:tcPr>
          <w:p w:rsidR="00000000" w:rsidRDefault="00000000">
            <w:pPr>
              <w:tabs>
                <w:tab w:val="decimal" w:pos="419"/>
              </w:tabs>
              <w:spacing w:before="40" w:after="40" w:line="240" w:lineRule="auto"/>
              <w:rPr>
                <w:sz w:val="12"/>
              </w:rPr>
            </w:pPr>
            <w:r>
              <w:rPr>
                <w:sz w:val="12"/>
              </w:rPr>
              <w:t>4 124</w:t>
            </w:r>
          </w:p>
        </w:tc>
        <w:tc>
          <w:tcPr>
            <w:tcW w:w="354" w:type="dxa"/>
            <w:tcBorders>
              <w:bottom w:val="single" w:sz="12" w:space="0" w:color="auto"/>
            </w:tcBorders>
          </w:tcPr>
          <w:p w:rsidR="00000000" w:rsidRDefault="00000000">
            <w:pPr>
              <w:tabs>
                <w:tab w:val="decimal" w:pos="419"/>
              </w:tabs>
              <w:spacing w:before="40" w:after="40" w:line="240" w:lineRule="auto"/>
              <w:rPr>
                <w:sz w:val="12"/>
              </w:rPr>
            </w:pPr>
            <w:r>
              <w:rPr>
                <w:sz w:val="12"/>
              </w:rPr>
              <w:t>2 960</w:t>
            </w:r>
          </w:p>
        </w:tc>
        <w:tc>
          <w:tcPr>
            <w:tcW w:w="213" w:type="dxa"/>
            <w:tcBorders>
              <w:bottom w:val="single" w:sz="12" w:space="0" w:color="auto"/>
            </w:tcBorders>
          </w:tcPr>
          <w:p w:rsidR="00000000" w:rsidRDefault="00000000">
            <w:pPr>
              <w:tabs>
                <w:tab w:val="decimal" w:pos="419"/>
              </w:tabs>
              <w:spacing w:before="40" w:after="40" w:line="240" w:lineRule="auto"/>
              <w:rPr>
                <w:sz w:val="12"/>
              </w:rPr>
            </w:pPr>
            <w:r>
              <w:rPr>
                <w:sz w:val="12"/>
              </w:rPr>
              <w:t>72</w:t>
            </w:r>
          </w:p>
        </w:tc>
        <w:tc>
          <w:tcPr>
            <w:tcW w:w="354" w:type="dxa"/>
            <w:tcBorders>
              <w:bottom w:val="single" w:sz="12" w:space="0" w:color="auto"/>
            </w:tcBorders>
          </w:tcPr>
          <w:p w:rsidR="00000000" w:rsidRDefault="00000000">
            <w:pPr>
              <w:tabs>
                <w:tab w:val="decimal" w:pos="419"/>
              </w:tabs>
              <w:spacing w:before="40" w:after="40" w:line="240" w:lineRule="auto"/>
              <w:rPr>
                <w:sz w:val="12"/>
              </w:rPr>
            </w:pPr>
            <w:r>
              <w:rPr>
                <w:sz w:val="12"/>
              </w:rPr>
              <w:t>1 164</w:t>
            </w:r>
          </w:p>
        </w:tc>
        <w:tc>
          <w:tcPr>
            <w:tcW w:w="354" w:type="dxa"/>
            <w:tcBorders>
              <w:bottom w:val="single" w:sz="12" w:space="0" w:color="auto"/>
            </w:tcBorders>
          </w:tcPr>
          <w:p w:rsidR="00000000" w:rsidRDefault="00000000">
            <w:pPr>
              <w:tabs>
                <w:tab w:val="decimal" w:pos="419"/>
              </w:tabs>
              <w:spacing w:before="40" w:after="40" w:line="240" w:lineRule="auto"/>
              <w:rPr>
                <w:sz w:val="12"/>
              </w:rPr>
            </w:pPr>
            <w:r>
              <w:rPr>
                <w:sz w:val="12"/>
              </w:rPr>
              <w:t>28</w:t>
            </w:r>
          </w:p>
        </w:tc>
        <w:tc>
          <w:tcPr>
            <w:tcW w:w="426" w:type="dxa"/>
            <w:tcBorders>
              <w:bottom w:val="single" w:sz="12" w:space="0" w:color="auto"/>
            </w:tcBorders>
          </w:tcPr>
          <w:p w:rsidR="00000000" w:rsidRDefault="00000000">
            <w:pPr>
              <w:tabs>
                <w:tab w:val="decimal" w:pos="419"/>
              </w:tabs>
              <w:spacing w:before="40" w:after="40" w:line="240" w:lineRule="auto"/>
              <w:rPr>
                <w:sz w:val="12"/>
              </w:rPr>
            </w:pPr>
            <w:r>
              <w:rPr>
                <w:sz w:val="12"/>
              </w:rPr>
              <w:t>3 179</w:t>
            </w:r>
          </w:p>
        </w:tc>
        <w:tc>
          <w:tcPr>
            <w:tcW w:w="354" w:type="dxa"/>
            <w:tcBorders>
              <w:bottom w:val="single" w:sz="12" w:space="0" w:color="auto"/>
            </w:tcBorders>
          </w:tcPr>
          <w:p w:rsidR="00000000" w:rsidRDefault="00000000">
            <w:pPr>
              <w:tabs>
                <w:tab w:val="decimal" w:pos="419"/>
              </w:tabs>
              <w:spacing w:before="40" w:after="40" w:line="240" w:lineRule="auto"/>
              <w:rPr>
                <w:sz w:val="12"/>
              </w:rPr>
            </w:pPr>
            <w:r>
              <w:rPr>
                <w:sz w:val="12"/>
              </w:rPr>
              <w:t>2 303</w:t>
            </w:r>
          </w:p>
        </w:tc>
        <w:tc>
          <w:tcPr>
            <w:tcW w:w="354" w:type="dxa"/>
            <w:tcBorders>
              <w:bottom w:val="single" w:sz="12" w:space="0" w:color="auto"/>
            </w:tcBorders>
          </w:tcPr>
          <w:p w:rsidR="00000000" w:rsidRDefault="00000000">
            <w:pPr>
              <w:tabs>
                <w:tab w:val="decimal" w:pos="419"/>
              </w:tabs>
              <w:spacing w:before="40" w:after="40" w:line="240" w:lineRule="auto"/>
              <w:rPr>
                <w:sz w:val="12"/>
              </w:rPr>
            </w:pPr>
            <w:r>
              <w:rPr>
                <w:sz w:val="12"/>
              </w:rPr>
              <w:t>72</w:t>
            </w:r>
          </w:p>
        </w:tc>
        <w:tc>
          <w:tcPr>
            <w:tcW w:w="354" w:type="dxa"/>
            <w:tcBorders>
              <w:bottom w:val="single" w:sz="12" w:space="0" w:color="auto"/>
            </w:tcBorders>
          </w:tcPr>
          <w:p w:rsidR="00000000" w:rsidRDefault="00000000">
            <w:pPr>
              <w:tabs>
                <w:tab w:val="decimal" w:pos="419"/>
              </w:tabs>
              <w:spacing w:before="40" w:after="40" w:line="240" w:lineRule="auto"/>
              <w:rPr>
                <w:sz w:val="12"/>
              </w:rPr>
            </w:pPr>
            <w:r>
              <w:rPr>
                <w:sz w:val="12"/>
              </w:rPr>
              <w:t>876</w:t>
            </w:r>
          </w:p>
        </w:tc>
        <w:tc>
          <w:tcPr>
            <w:tcW w:w="355" w:type="dxa"/>
            <w:tcBorders>
              <w:bottom w:val="single" w:sz="12" w:space="0" w:color="auto"/>
            </w:tcBorders>
          </w:tcPr>
          <w:p w:rsidR="00000000" w:rsidRDefault="00000000">
            <w:pPr>
              <w:tabs>
                <w:tab w:val="decimal" w:pos="419"/>
              </w:tabs>
              <w:spacing w:before="40" w:after="40" w:line="240" w:lineRule="auto"/>
              <w:rPr>
                <w:sz w:val="12"/>
              </w:rPr>
            </w:pPr>
            <w:r>
              <w:rPr>
                <w:sz w:val="12"/>
              </w:rPr>
              <w:t>28</w:t>
            </w:r>
          </w:p>
        </w:tc>
        <w:tc>
          <w:tcPr>
            <w:tcW w:w="425" w:type="dxa"/>
            <w:tcBorders>
              <w:bottom w:val="single" w:sz="12" w:space="0" w:color="auto"/>
            </w:tcBorders>
          </w:tcPr>
          <w:p w:rsidR="00000000" w:rsidRDefault="00000000">
            <w:pPr>
              <w:tabs>
                <w:tab w:val="decimal" w:pos="419"/>
              </w:tabs>
              <w:spacing w:before="40" w:after="40" w:line="240" w:lineRule="auto"/>
              <w:rPr>
                <w:sz w:val="12"/>
              </w:rPr>
            </w:pPr>
            <w:r>
              <w:rPr>
                <w:sz w:val="12"/>
              </w:rPr>
              <w:t>3 527</w:t>
            </w:r>
          </w:p>
        </w:tc>
        <w:tc>
          <w:tcPr>
            <w:tcW w:w="354" w:type="dxa"/>
            <w:tcBorders>
              <w:bottom w:val="single" w:sz="12" w:space="0" w:color="auto"/>
            </w:tcBorders>
          </w:tcPr>
          <w:p w:rsidR="00000000" w:rsidRDefault="00000000">
            <w:pPr>
              <w:tabs>
                <w:tab w:val="decimal" w:pos="419"/>
              </w:tabs>
              <w:spacing w:before="40" w:after="40" w:line="240" w:lineRule="auto"/>
              <w:rPr>
                <w:sz w:val="12"/>
              </w:rPr>
            </w:pPr>
            <w:r>
              <w:rPr>
                <w:sz w:val="12"/>
              </w:rPr>
              <w:t>2 632</w:t>
            </w:r>
          </w:p>
        </w:tc>
        <w:tc>
          <w:tcPr>
            <w:tcW w:w="355" w:type="dxa"/>
            <w:tcBorders>
              <w:bottom w:val="single" w:sz="12" w:space="0" w:color="auto"/>
            </w:tcBorders>
          </w:tcPr>
          <w:p w:rsidR="00000000" w:rsidRDefault="00000000">
            <w:pPr>
              <w:tabs>
                <w:tab w:val="decimal" w:pos="419"/>
              </w:tabs>
              <w:spacing w:before="40" w:after="40" w:line="240" w:lineRule="auto"/>
              <w:rPr>
                <w:sz w:val="12"/>
              </w:rPr>
            </w:pPr>
            <w:r>
              <w:rPr>
                <w:sz w:val="12"/>
              </w:rPr>
              <w:t>75</w:t>
            </w:r>
          </w:p>
        </w:tc>
        <w:tc>
          <w:tcPr>
            <w:tcW w:w="283" w:type="dxa"/>
            <w:tcBorders>
              <w:bottom w:val="single" w:sz="12" w:space="0" w:color="auto"/>
            </w:tcBorders>
          </w:tcPr>
          <w:p w:rsidR="00000000" w:rsidRDefault="00000000">
            <w:pPr>
              <w:tabs>
                <w:tab w:val="decimal" w:pos="419"/>
              </w:tabs>
              <w:spacing w:before="40" w:after="40" w:line="240" w:lineRule="auto"/>
              <w:rPr>
                <w:sz w:val="12"/>
              </w:rPr>
            </w:pPr>
            <w:r>
              <w:rPr>
                <w:sz w:val="12"/>
              </w:rPr>
              <w:t>895</w:t>
            </w:r>
          </w:p>
        </w:tc>
        <w:tc>
          <w:tcPr>
            <w:tcW w:w="284" w:type="dxa"/>
            <w:tcBorders>
              <w:bottom w:val="single" w:sz="12" w:space="0" w:color="auto"/>
            </w:tcBorders>
          </w:tcPr>
          <w:p w:rsidR="00000000" w:rsidRDefault="00000000">
            <w:pPr>
              <w:tabs>
                <w:tab w:val="decimal" w:pos="419"/>
              </w:tabs>
              <w:spacing w:before="40" w:after="40" w:line="240" w:lineRule="auto"/>
              <w:rPr>
                <w:sz w:val="12"/>
              </w:rPr>
            </w:pPr>
            <w:r>
              <w:rPr>
                <w:sz w:val="12"/>
              </w:rPr>
              <w:t>25</w:t>
            </w:r>
          </w:p>
        </w:tc>
      </w:tr>
    </w:tbl>
    <w:p w:rsidR="00000000" w:rsidRDefault="00000000">
      <w:pPr>
        <w:pStyle w:val="H23"/>
      </w:pPr>
      <w:r>
        <w:t>10.4.</w:t>
      </w:r>
      <w:r>
        <w:tab/>
        <w:t>Содержание учебной программы и избавление от гендерных стереотипов</w:t>
      </w:r>
    </w:p>
    <w:p w:rsidR="00000000" w:rsidRDefault="00000000">
      <w:pPr>
        <w:pStyle w:val="SingleTxt"/>
      </w:pPr>
      <w:r>
        <w:t>10.4.1.</w:t>
      </w:r>
      <w:r>
        <w:tab/>
        <w:t>Правительство пытается с помощью учебной программы изменить ситуацию с гендерными стереотипами. В 1992 году правительством была у</w:t>
      </w:r>
      <w:r>
        <w:t>т</w:t>
      </w:r>
      <w:r>
        <w:t>верждена инициатива "Учебная программа с гендерной точки зрения", в соо</w:t>
      </w:r>
      <w:r>
        <w:t>т</w:t>
      </w:r>
      <w:r>
        <w:t>ветствии с которой в программе начального образования и при подготовке пр</w:t>
      </w:r>
      <w:r>
        <w:t>е</w:t>
      </w:r>
      <w:r>
        <w:t>подавателей учитывались гендерные аспекты. С позиций гендерной проблем</w:t>
      </w:r>
      <w:r>
        <w:t>а</w:t>
      </w:r>
      <w:r>
        <w:t>тики были пересмотрены учебные пособия преподавателей начальных классов. В учебную программу начальной и средней школы включены не только ге</w:t>
      </w:r>
      <w:r>
        <w:t>н</w:t>
      </w:r>
      <w:r>
        <w:t>дерные вопросы, в ней отведены часы для рассказа о ВИЧ и СПИДе и дем</w:t>
      </w:r>
      <w:r>
        <w:t>о</w:t>
      </w:r>
      <w:r>
        <w:t>графическом положении. Кроме того, в учебную программу вошли предметы, связанные с планированием семьи и охраной здоровья. В последнее время в</w:t>
      </w:r>
      <w:r>
        <w:t>е</w:t>
      </w:r>
      <w:r>
        <w:t>дутся разговоры о включении курса по правам человека в программу общес</w:t>
      </w:r>
      <w:r>
        <w:t>т</w:t>
      </w:r>
      <w:r>
        <w:t>венных наук.</w:t>
      </w:r>
    </w:p>
    <w:p w:rsidR="00000000" w:rsidRDefault="00000000">
      <w:pPr>
        <w:pStyle w:val="SingleTxt"/>
      </w:pPr>
      <w:r>
        <w:t>10.4.2.</w:t>
      </w:r>
      <w:r>
        <w:tab/>
        <w:t>Девочки и мальчики подтверждают, что на уроках затрагиваются гендерные вопросы. Большинство учителей не проходили специальной подг</w:t>
      </w:r>
      <w:r>
        <w:t>о</w:t>
      </w:r>
      <w:r>
        <w:t>товки по вопросам гендерной проблематики и не ориентируются в новой уче</w:t>
      </w:r>
      <w:r>
        <w:t>б</w:t>
      </w:r>
      <w:r>
        <w:t>ной программе, однако уже сейчас готовятся планы проведения углубленных курсов для будущих и уже работающих преподавателей.</w:t>
      </w:r>
    </w:p>
    <w:p w:rsidR="00000000" w:rsidRDefault="00000000">
      <w:pPr>
        <w:pStyle w:val="SingleTxt"/>
      </w:pPr>
      <w:r>
        <w:t>10.4.3.</w:t>
      </w:r>
      <w:r>
        <w:tab/>
        <w:t>Гендерные аспекты не обошли стороной и спортивные занятия, пр</w:t>
      </w:r>
      <w:r>
        <w:t>о</w:t>
      </w:r>
      <w:r>
        <w:t>водимые в школах. Все больше девушек и женщин участвуют в таких спорти</w:t>
      </w:r>
      <w:r>
        <w:t>в</w:t>
      </w:r>
      <w:r>
        <w:t>ных играх, как футбол, который всегда считался исключительно мужским в</w:t>
      </w:r>
      <w:r>
        <w:t>и</w:t>
      </w:r>
      <w:r>
        <w:t>дом спорта. Однако из-за недостаточного финансирования этой сферы физич</w:t>
      </w:r>
      <w:r>
        <w:t>е</w:t>
      </w:r>
      <w:r>
        <w:t>ская подготовка ухудшилась, спортивные сооружения и снаряжение устар</w:t>
      </w:r>
      <w:r>
        <w:t>е</w:t>
      </w:r>
      <w:r>
        <w:t>ли.</w:t>
      </w:r>
    </w:p>
    <w:p w:rsidR="00000000" w:rsidRDefault="00000000">
      <w:pPr>
        <w:pStyle w:val="SingleTxt"/>
      </w:pPr>
      <w:r>
        <w:t>10.4.4.</w:t>
      </w:r>
      <w:r>
        <w:tab/>
        <w:t>Кроме того, правительство отказалось от политики ограничений при выборе предметов, существовавшей в начале 90-х годов. Девочкам предлагае</w:t>
      </w:r>
      <w:r>
        <w:t>т</w:t>
      </w:r>
      <w:r>
        <w:t>ся самим выбирать интересные им предметы. Несмотря на это, у некоторых учеников и учителей, не привыкших к гендерной политике, все еще сохраняе</w:t>
      </w:r>
      <w:r>
        <w:t>т</w:t>
      </w:r>
      <w:r>
        <w:t>ся стереотипное мышление, и они рассматривают отдельные предметы, напр</w:t>
      </w:r>
      <w:r>
        <w:t>и</w:t>
      </w:r>
      <w:r>
        <w:t>мер, науку или инженерное дело, как исключительно мужские. Однако все больше мальчиков посещают занятия, традиционно считавшиеся женскими, такие как домоводство и уход за больными, в то же время приветствуется ж</w:t>
      </w:r>
      <w:r>
        <w:t>е</w:t>
      </w:r>
      <w:r>
        <w:t>лание девочек изучать науку и другие предметы, которые раньше ассоцииров</w:t>
      </w:r>
      <w:r>
        <w:t>а</w:t>
      </w:r>
      <w:r>
        <w:t>лись только с мальчиками и му</w:t>
      </w:r>
      <w:r>
        <w:t>ж</w:t>
      </w:r>
      <w:r>
        <w:t>чинами.</w:t>
      </w:r>
    </w:p>
    <w:p w:rsidR="00000000" w:rsidRDefault="00000000">
      <w:pPr>
        <w:pStyle w:val="H23"/>
      </w:pPr>
      <w:r>
        <w:t>10.5.</w:t>
      </w:r>
      <w:r>
        <w:tab/>
        <w:t>Преподавание</w:t>
      </w:r>
    </w:p>
    <w:p w:rsidR="00000000" w:rsidRDefault="00000000">
      <w:pPr>
        <w:pStyle w:val="SingleTxt"/>
      </w:pPr>
      <w:r>
        <w:t>10.5.1.</w:t>
      </w:r>
      <w:r>
        <w:tab/>
        <w:t>Хотя при составлении учебной программы уделяется внимание ге</w:t>
      </w:r>
      <w:r>
        <w:t>н</w:t>
      </w:r>
      <w:r>
        <w:t>дерным аспектам и вопросам прав человека, озабоченность вызывают пробл</w:t>
      </w:r>
      <w:r>
        <w:t>е</w:t>
      </w:r>
      <w:r>
        <w:t>мы с преподаванием, которые неблагоприятно сказываются на качестве образ</w:t>
      </w:r>
      <w:r>
        <w:t>о</w:t>
      </w:r>
      <w:r>
        <w:t>вания. Многие учителя придерживаются жесткой автократической политики в отношении детей. Как показывают исследования, многие из них считают, что соблюдение прав детей приводит к недисциплинированности. В школе часто применяются жестокие наказания, несоразмерные предполагаемым просту</w:t>
      </w:r>
      <w:r>
        <w:t>п</w:t>
      </w:r>
      <w:r>
        <w:t>кам, при этом детей могут наказать несправедливо.</w:t>
      </w:r>
    </w:p>
    <w:p w:rsidR="00000000" w:rsidRDefault="00000000">
      <w:pPr>
        <w:pStyle w:val="SingleTxt"/>
      </w:pPr>
      <w:r>
        <w:t>10.5.2.</w:t>
      </w:r>
      <w:r>
        <w:tab/>
        <w:t>Немногие учителя прошли соответствующую подготовку и могут работать с учебным материалом, знакомящим детей с понятиями и принципами прав человека. У многих учителей нет навыков преподавания новых методик, разработанных с учетом прав человека и гендерной проблематики. Так, напр</w:t>
      </w:r>
      <w:r>
        <w:t>и</w:t>
      </w:r>
      <w:r>
        <w:t>мер, учителя чаще вызывают к доске мальчиков, а не девочек, объясняя это тем, что девочки якобы тратят слишком много времени на то, чтобы встать из-за парты. В большинстве случаев в начальных и средних классах школы дев</w:t>
      </w:r>
      <w:r>
        <w:t>о</w:t>
      </w:r>
      <w:r>
        <w:t>чек реже привлекают к учебному процессу. Помимо этого, из 29 687  препод</w:t>
      </w:r>
      <w:r>
        <w:t>а</w:t>
      </w:r>
      <w:r>
        <w:t>вателей-мужчин, работавших в начальной школе в 2000 году, 14 092, то есть около половины, не имели соответствующей квалификации. Что касается же</w:t>
      </w:r>
      <w:r>
        <w:t>н</w:t>
      </w:r>
      <w:r>
        <w:t>щин, то среди них недипломированных преподавателей было больше, чем д</w:t>
      </w:r>
      <w:r>
        <w:t>и</w:t>
      </w:r>
      <w:r>
        <w:t>пломированных: 9182 и 8971 соответственно.</w:t>
      </w:r>
    </w:p>
    <w:p w:rsidR="00000000" w:rsidRDefault="00000000">
      <w:pPr>
        <w:pStyle w:val="SingleTxt"/>
      </w:pPr>
      <w:r>
        <w:t>10.5.3.</w:t>
      </w:r>
      <w:r>
        <w:tab/>
        <w:t>В 2000 году из 47 840 преподавателей начальной школы 40 процентов были женщины. В средней школе женщины составляли 20,4 процента преподавательского состава, насчитывавшего всего 5905 человек. В профессионально-технических учебных заведениях препод</w:t>
      </w:r>
      <w:r>
        <w:t>а</w:t>
      </w:r>
      <w:r>
        <w:t>вало 113 человек, из них 95 процентов мужчины и лишь 5 процентов женщины.</w:t>
      </w:r>
    </w:p>
    <w:p w:rsidR="00000000" w:rsidRDefault="00000000">
      <w:pPr>
        <w:pStyle w:val="SingleTxt"/>
      </w:pPr>
      <w:r>
        <w:t>10.5.4.</w:t>
      </w:r>
      <w:r>
        <w:tab/>
        <w:t>В образовательных учреждениях Малави работает значительно меньше женщин, особенно в системе университетского образования. Препод</w:t>
      </w:r>
      <w:r>
        <w:t>а</w:t>
      </w:r>
      <w:r>
        <w:t>вательский состав университетов насчитывает 560 человек, из них женщин лишь 22,5 процента. Только на двух факультетах действуют механизмы, сп</w:t>
      </w:r>
      <w:r>
        <w:t>о</w:t>
      </w:r>
      <w:r>
        <w:t>собные восстановить гендерный баланс преподавательского состава.</w:t>
      </w:r>
    </w:p>
    <w:p w:rsidR="00000000" w:rsidRDefault="00000000">
      <w:pPr>
        <w:pStyle w:val="SingleTxt"/>
      </w:pPr>
      <w:r>
        <w:t>10.5.5.</w:t>
      </w:r>
      <w:r>
        <w:tab/>
        <w:t>Для повышения качества преподавания правительство решительно приступило к выполнению программы подготовки большего числа учителей, в 1996 году в этих целях был запущен проект "Комплексная подготовка препод</w:t>
      </w:r>
      <w:r>
        <w:t>а</w:t>
      </w:r>
      <w:r>
        <w:t>вателей Малави на рабочем месте", а затем "Программа поддержки системы образования Малави". Обе программы были разработаны для того, чтобы по</w:t>
      </w:r>
      <w:r>
        <w:t>д</w:t>
      </w:r>
      <w:r>
        <w:t>готовить достаточное количество учителей, так как в системе бесплатного н</w:t>
      </w:r>
      <w:r>
        <w:t>а</w:t>
      </w:r>
      <w:r>
        <w:t>чального образования существует острая нехватка пр</w:t>
      </w:r>
      <w:r>
        <w:t>е</w:t>
      </w:r>
      <w:r>
        <w:t xml:space="preserve">подавателей. </w:t>
      </w:r>
    </w:p>
    <w:p w:rsidR="00000000" w:rsidRDefault="00000000">
      <w:pPr>
        <w:pStyle w:val="H23"/>
      </w:pPr>
      <w:r>
        <w:t>10.6.</w:t>
      </w:r>
      <w:r>
        <w:tab/>
        <w:t>Достижения в сфере образования</w:t>
      </w:r>
    </w:p>
    <w:p w:rsidR="00000000" w:rsidRDefault="00000000">
      <w:pPr>
        <w:pStyle w:val="SingleTxt"/>
      </w:pPr>
      <w:r>
        <w:t>10.6.1.</w:t>
      </w:r>
      <w:r>
        <w:tab/>
        <w:t>В течение долгого времени девочки и женщины в Малави добив</w:t>
      </w:r>
      <w:r>
        <w:t>а</w:t>
      </w:r>
      <w:r>
        <w:t>лись меньших успехов в сфере образования, чем мужчины. Начиная с пятого класса, девочки чаще мальчиков остаются на второй год. В 2000 году процент успешно сдавших экзамены на получение Сертификата об окончании начал</w:t>
      </w:r>
      <w:r>
        <w:t>ь</w:t>
      </w:r>
      <w:r>
        <w:t>ной школы составил 79,3 и 71,1 среди мальчиков и девочек соответственно. При получении Сертификата о неполном среднем образовании (выдается после двух лет учебы в средней школе) среди девочек экзамен сдали успешно 61 процент, а среди мальчиков – 31 процент, что свидетельствует о том, что инициативы по расширению охвата девочек образованием начинают приносить плоды. Однако как девочки, так и мальчики могли показать на экзаменах лу</w:t>
      </w:r>
      <w:r>
        <w:t>ч</w:t>
      </w:r>
      <w:r>
        <w:t>шие результаты, особенно учитывая их несложный уровень. Среднюю школу успешно заканчивают только 14,3 процента девочек и 23,4 процента мальчиков. Что же касается учебы в высшем учебном заведении, то есть основания пол</w:t>
      </w:r>
      <w:r>
        <w:t>а</w:t>
      </w:r>
      <w:r>
        <w:t>гать, что еще будут отмечены успехи значительного числа женщин и девушек в таких нетрадиционных областях знаний, как естественные науки, проектир</w:t>
      </w:r>
      <w:r>
        <w:t>о</w:t>
      </w:r>
      <w:r>
        <w:t xml:space="preserve">вание и право (см. таблицу ниже). </w:t>
      </w:r>
    </w:p>
    <w:p w:rsidR="00000000" w:rsidRDefault="00000000">
      <w:pPr>
        <w:pStyle w:val="SingleTxt"/>
      </w:pPr>
      <w:r>
        <w:t>10.6.2.</w:t>
      </w:r>
      <w:r>
        <w:tab/>
        <w:t>Вот некоторые из причин, по которым девочки достигают меньших успехов, чем мальчики. Во-первых, девочки вынуждены много времени тратить на работу по дому и не могут уделять занятиям дома столько же времени, сколько мальчики. Во-вторых, почти все преподавательские методики, дейс</w:t>
      </w:r>
      <w:r>
        <w:t>т</w:t>
      </w:r>
      <w:r>
        <w:t>вующие в малавийских школах, в большей степени рассчитаны на мальчиков. В-третьих, многие девочки терпят со стороны мальчиков и учителей физич</w:t>
      </w:r>
      <w:r>
        <w:t>е</w:t>
      </w:r>
      <w:r>
        <w:t>ское насилие, сексуальные домогательства и устные оскорбления, что делает девочек боязливыми и подобострастными. В-четвертых, родители и старшие люди, как правило, чаще хвалят мальчиков, побуждая их лучше учиться. В-пятых, преподавание некоторых предметов, например естественных наук, ра</w:t>
      </w:r>
      <w:r>
        <w:t>с</w:t>
      </w:r>
      <w:r>
        <w:t>считано на мальчиков, девочки исключаются из процесса обучения и не могут добиться в этой области хороших результатов.</w:t>
      </w:r>
    </w:p>
    <w:p w:rsidR="00000000" w:rsidRDefault="00000000">
      <w:pPr>
        <w:pStyle w:val="SingleTxt"/>
        <w:rPr>
          <w:b/>
        </w:rPr>
      </w:pPr>
      <w:r>
        <w:rPr>
          <w:b/>
        </w:rPr>
        <w:t>Количество наград в разбивке по учебным курсам, полу и году обучения</w:t>
      </w:r>
    </w:p>
    <w:tbl>
      <w:tblPr>
        <w:tblW w:w="0" w:type="auto"/>
        <w:tblInd w:w="1278" w:type="dxa"/>
        <w:tblLayout w:type="fixed"/>
        <w:tblLook w:val="0000" w:firstRow="0" w:lastRow="0" w:firstColumn="0" w:lastColumn="0" w:noHBand="0" w:noVBand="0"/>
      </w:tblPr>
      <w:tblGrid>
        <w:gridCol w:w="1985"/>
        <w:gridCol w:w="598"/>
        <w:gridCol w:w="598"/>
        <w:gridCol w:w="599"/>
        <w:gridCol w:w="598"/>
        <w:gridCol w:w="599"/>
        <w:gridCol w:w="598"/>
        <w:gridCol w:w="599"/>
        <w:gridCol w:w="598"/>
        <w:gridCol w:w="599"/>
      </w:tblGrid>
      <w:tr w:rsidR="00000000">
        <w:tblPrEx>
          <w:tblCellMar>
            <w:top w:w="0" w:type="dxa"/>
            <w:bottom w:w="0" w:type="dxa"/>
          </w:tblCellMar>
        </w:tblPrEx>
        <w:trPr>
          <w:cantSplit/>
          <w:trHeight w:val="103"/>
        </w:trPr>
        <w:tc>
          <w:tcPr>
            <w:tcW w:w="1985" w:type="dxa"/>
            <w:vMerge w:val="restart"/>
            <w:tcBorders>
              <w:top w:val="single" w:sz="4" w:space="0" w:color="auto"/>
            </w:tcBorders>
            <w:vAlign w:val="bottom"/>
          </w:tcPr>
          <w:p w:rsidR="00000000" w:rsidRDefault="00000000">
            <w:pPr>
              <w:pStyle w:val="Heading4"/>
              <w:keepNext w:val="0"/>
              <w:jc w:val="center"/>
              <w:rPr>
                <w:rFonts w:ascii="Times New Roman" w:hAnsi="Times New Roman"/>
                <w:b w:val="0"/>
                <w:i/>
                <w:sz w:val="17"/>
                <w:lang w:val="ru-RU"/>
              </w:rPr>
            </w:pPr>
            <w:r>
              <w:rPr>
                <w:rFonts w:ascii="Times New Roman" w:hAnsi="Times New Roman"/>
                <w:b w:val="0"/>
                <w:i/>
                <w:sz w:val="17"/>
                <w:lang w:val="ru-RU"/>
              </w:rPr>
              <w:t>Награды</w:t>
            </w:r>
          </w:p>
        </w:tc>
        <w:tc>
          <w:tcPr>
            <w:tcW w:w="1795" w:type="dxa"/>
            <w:gridSpan w:val="3"/>
            <w:tcBorders>
              <w:top w:val="single" w:sz="4" w:space="0" w:color="auto"/>
              <w:bottom w:val="single" w:sz="4" w:space="0" w:color="auto"/>
            </w:tcBorders>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jc w:val="center"/>
              <w:rPr>
                <w:i/>
                <w:sz w:val="17"/>
              </w:rPr>
            </w:pPr>
            <w:r>
              <w:rPr>
                <w:i/>
                <w:sz w:val="17"/>
              </w:rPr>
              <w:t>1998 год</w:t>
            </w:r>
          </w:p>
        </w:tc>
        <w:tc>
          <w:tcPr>
            <w:tcW w:w="1795" w:type="dxa"/>
            <w:gridSpan w:val="3"/>
            <w:tcBorders>
              <w:top w:val="single" w:sz="4" w:space="0" w:color="auto"/>
              <w:bottom w:val="single" w:sz="4" w:space="0" w:color="auto"/>
            </w:tcBorders>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jc w:val="center"/>
              <w:rPr>
                <w:i/>
                <w:sz w:val="17"/>
              </w:rPr>
            </w:pPr>
            <w:r>
              <w:rPr>
                <w:i/>
                <w:sz w:val="17"/>
              </w:rPr>
              <w:t>1999 год</w:t>
            </w:r>
          </w:p>
        </w:tc>
        <w:tc>
          <w:tcPr>
            <w:tcW w:w="1796" w:type="dxa"/>
            <w:gridSpan w:val="3"/>
            <w:tcBorders>
              <w:top w:val="single" w:sz="4" w:space="0" w:color="auto"/>
              <w:bottom w:val="single" w:sz="4" w:space="0" w:color="auto"/>
            </w:tcBorders>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jc w:val="center"/>
              <w:rPr>
                <w:i/>
                <w:sz w:val="17"/>
              </w:rPr>
            </w:pPr>
            <w:r>
              <w:rPr>
                <w:i/>
                <w:sz w:val="17"/>
                <w:lang w:val="en-US"/>
              </w:rPr>
              <w:t>2000</w:t>
            </w:r>
            <w:r>
              <w:rPr>
                <w:i/>
                <w:sz w:val="17"/>
              </w:rPr>
              <w:t xml:space="preserve"> год</w:t>
            </w:r>
          </w:p>
        </w:tc>
      </w:tr>
      <w:tr w:rsidR="00000000">
        <w:tblPrEx>
          <w:tblCellMar>
            <w:top w:w="0" w:type="dxa"/>
            <w:bottom w:w="0" w:type="dxa"/>
          </w:tblCellMar>
        </w:tblPrEx>
        <w:trPr>
          <w:cantSplit/>
          <w:trHeight w:val="1134"/>
        </w:trPr>
        <w:tc>
          <w:tcPr>
            <w:tcW w:w="1985" w:type="dxa"/>
            <w:vMerge/>
            <w:tcBorders>
              <w:bottom w:val="single" w:sz="12" w:space="0" w:color="auto"/>
            </w:tcBorders>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jc w:val="center"/>
              <w:rPr>
                <w:i/>
                <w:sz w:val="17"/>
                <w:lang w:val="en-US"/>
              </w:rPr>
            </w:pPr>
          </w:p>
        </w:tc>
        <w:tc>
          <w:tcPr>
            <w:tcW w:w="598" w:type="dxa"/>
            <w:tcBorders>
              <w:top w:val="single" w:sz="4" w:space="0" w:color="auto"/>
              <w:bottom w:val="single" w:sz="12" w:space="0" w:color="auto"/>
            </w:tcBorders>
            <w:textDirection w:val="btLr"/>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ind w:left="113" w:right="113"/>
              <w:jc w:val="center"/>
              <w:rPr>
                <w:i/>
                <w:sz w:val="17"/>
              </w:rPr>
            </w:pPr>
            <w:r>
              <w:rPr>
                <w:i/>
                <w:sz w:val="17"/>
              </w:rPr>
              <w:t>Общее чи</w:t>
            </w:r>
            <w:r>
              <w:rPr>
                <w:i/>
                <w:sz w:val="17"/>
              </w:rPr>
              <w:t>с</w:t>
            </w:r>
            <w:r>
              <w:rPr>
                <w:i/>
                <w:sz w:val="17"/>
              </w:rPr>
              <w:t>ло</w:t>
            </w:r>
          </w:p>
        </w:tc>
        <w:tc>
          <w:tcPr>
            <w:tcW w:w="598" w:type="dxa"/>
            <w:tcBorders>
              <w:top w:val="single" w:sz="4" w:space="0" w:color="auto"/>
              <w:bottom w:val="single" w:sz="12" w:space="0" w:color="auto"/>
            </w:tcBorders>
            <w:textDirection w:val="btLr"/>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ind w:left="113" w:right="113"/>
              <w:jc w:val="center"/>
              <w:rPr>
                <w:i/>
                <w:sz w:val="17"/>
              </w:rPr>
            </w:pPr>
            <w:r>
              <w:rPr>
                <w:i/>
                <w:sz w:val="17"/>
              </w:rPr>
              <w:t>Мужчины</w:t>
            </w:r>
          </w:p>
        </w:tc>
        <w:tc>
          <w:tcPr>
            <w:tcW w:w="599" w:type="dxa"/>
            <w:tcBorders>
              <w:top w:val="single" w:sz="4" w:space="0" w:color="auto"/>
              <w:bottom w:val="single" w:sz="12" w:space="0" w:color="auto"/>
            </w:tcBorders>
            <w:textDirection w:val="btLr"/>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ind w:left="113" w:right="113"/>
              <w:jc w:val="center"/>
              <w:rPr>
                <w:i/>
                <w:sz w:val="17"/>
              </w:rPr>
            </w:pPr>
            <w:r>
              <w:rPr>
                <w:i/>
                <w:sz w:val="17"/>
              </w:rPr>
              <w:t>Женщины</w:t>
            </w:r>
          </w:p>
        </w:tc>
        <w:tc>
          <w:tcPr>
            <w:tcW w:w="598" w:type="dxa"/>
            <w:tcBorders>
              <w:top w:val="single" w:sz="4" w:space="0" w:color="auto"/>
              <w:bottom w:val="single" w:sz="12" w:space="0" w:color="auto"/>
            </w:tcBorders>
            <w:textDirection w:val="btLr"/>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ind w:left="113" w:right="113"/>
              <w:jc w:val="center"/>
              <w:rPr>
                <w:i/>
                <w:sz w:val="17"/>
              </w:rPr>
            </w:pPr>
            <w:r>
              <w:rPr>
                <w:i/>
                <w:sz w:val="17"/>
              </w:rPr>
              <w:t>Общее чи</w:t>
            </w:r>
            <w:r>
              <w:rPr>
                <w:i/>
                <w:sz w:val="17"/>
              </w:rPr>
              <w:t>с</w:t>
            </w:r>
            <w:r>
              <w:rPr>
                <w:i/>
                <w:sz w:val="17"/>
              </w:rPr>
              <w:t>ло</w:t>
            </w:r>
          </w:p>
        </w:tc>
        <w:tc>
          <w:tcPr>
            <w:tcW w:w="599" w:type="dxa"/>
            <w:tcBorders>
              <w:top w:val="single" w:sz="4" w:space="0" w:color="auto"/>
              <w:bottom w:val="single" w:sz="12" w:space="0" w:color="auto"/>
            </w:tcBorders>
            <w:textDirection w:val="btLr"/>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ind w:left="113" w:right="113"/>
              <w:jc w:val="center"/>
              <w:rPr>
                <w:i/>
                <w:sz w:val="17"/>
              </w:rPr>
            </w:pPr>
            <w:r>
              <w:rPr>
                <w:i/>
                <w:sz w:val="17"/>
              </w:rPr>
              <w:t>Мужчины</w:t>
            </w:r>
          </w:p>
        </w:tc>
        <w:tc>
          <w:tcPr>
            <w:tcW w:w="598" w:type="dxa"/>
            <w:tcBorders>
              <w:top w:val="single" w:sz="4" w:space="0" w:color="auto"/>
              <w:bottom w:val="single" w:sz="12" w:space="0" w:color="auto"/>
            </w:tcBorders>
            <w:textDirection w:val="btLr"/>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ind w:left="113" w:right="113"/>
              <w:jc w:val="center"/>
              <w:rPr>
                <w:i/>
                <w:sz w:val="17"/>
              </w:rPr>
            </w:pPr>
            <w:r>
              <w:rPr>
                <w:i/>
                <w:sz w:val="17"/>
              </w:rPr>
              <w:t>Женщины</w:t>
            </w:r>
          </w:p>
        </w:tc>
        <w:tc>
          <w:tcPr>
            <w:tcW w:w="599" w:type="dxa"/>
            <w:tcBorders>
              <w:top w:val="single" w:sz="4" w:space="0" w:color="auto"/>
              <w:bottom w:val="single" w:sz="12" w:space="0" w:color="auto"/>
            </w:tcBorders>
            <w:textDirection w:val="btLr"/>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ind w:left="113" w:right="113"/>
              <w:jc w:val="center"/>
              <w:rPr>
                <w:i/>
                <w:sz w:val="17"/>
              </w:rPr>
            </w:pPr>
            <w:r>
              <w:rPr>
                <w:i/>
                <w:sz w:val="17"/>
              </w:rPr>
              <w:t>Общее чи</w:t>
            </w:r>
            <w:r>
              <w:rPr>
                <w:i/>
                <w:sz w:val="17"/>
              </w:rPr>
              <w:t>с</w:t>
            </w:r>
            <w:r>
              <w:rPr>
                <w:i/>
                <w:sz w:val="17"/>
              </w:rPr>
              <w:t>ло</w:t>
            </w:r>
          </w:p>
        </w:tc>
        <w:tc>
          <w:tcPr>
            <w:tcW w:w="598" w:type="dxa"/>
            <w:tcBorders>
              <w:top w:val="single" w:sz="4" w:space="0" w:color="auto"/>
              <w:bottom w:val="single" w:sz="12" w:space="0" w:color="auto"/>
            </w:tcBorders>
            <w:textDirection w:val="btLr"/>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ind w:left="113" w:right="113"/>
              <w:jc w:val="center"/>
              <w:rPr>
                <w:i/>
                <w:sz w:val="17"/>
              </w:rPr>
            </w:pPr>
            <w:r>
              <w:rPr>
                <w:i/>
                <w:sz w:val="17"/>
              </w:rPr>
              <w:t>Мужчины</w:t>
            </w:r>
          </w:p>
        </w:tc>
        <w:tc>
          <w:tcPr>
            <w:tcW w:w="599" w:type="dxa"/>
            <w:tcBorders>
              <w:top w:val="single" w:sz="4" w:space="0" w:color="auto"/>
              <w:bottom w:val="single" w:sz="12" w:space="0" w:color="auto"/>
            </w:tcBorders>
            <w:textDirection w:val="btLr"/>
            <w:vAlign w:val="bottom"/>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ind w:left="113" w:right="113"/>
              <w:jc w:val="center"/>
              <w:rPr>
                <w:i/>
                <w:sz w:val="17"/>
              </w:rPr>
            </w:pPr>
            <w:r>
              <w:rPr>
                <w:i/>
                <w:sz w:val="17"/>
              </w:rPr>
              <w:t>Женщины</w:t>
            </w:r>
          </w:p>
        </w:tc>
      </w:tr>
      <w:tr w:rsidR="00000000">
        <w:tblPrEx>
          <w:tblCellMar>
            <w:top w:w="0" w:type="dxa"/>
            <w:bottom w:w="0" w:type="dxa"/>
          </w:tblCellMar>
        </w:tblPrEx>
        <w:tc>
          <w:tcPr>
            <w:tcW w:w="1985" w:type="dxa"/>
            <w:tcBorders>
              <w:top w:val="single" w:sz="12" w:space="0" w:color="auto"/>
            </w:tcBorders>
          </w:tcPr>
          <w:p w:rsidR="00000000" w:rsidRDefault="00000000">
            <w:pPr>
              <w:pStyle w:val="Header"/>
              <w:tabs>
                <w:tab w:val="clear" w:pos="4320"/>
                <w:tab w:val="clear" w:pos="8640"/>
                <w:tab w:val="left" w:pos="-252"/>
                <w:tab w:val="left" w:pos="288"/>
                <w:tab w:val="left" w:pos="2358"/>
                <w:tab w:val="left" w:pos="4878"/>
                <w:tab w:val="left" w:pos="7218"/>
                <w:tab w:val="left" w:pos="9288"/>
                <w:tab w:val="left" w:pos="11784"/>
                <w:tab w:val="left" w:pos="13748"/>
              </w:tabs>
              <w:rPr>
                <w:noProof w:val="0"/>
                <w:spacing w:val="4"/>
                <w:w w:val="103"/>
                <w:kern w:val="14"/>
              </w:rPr>
            </w:pPr>
            <w:r>
              <w:rPr>
                <w:noProof w:val="0"/>
                <w:spacing w:val="4"/>
                <w:w w:val="103"/>
                <w:kern w:val="14"/>
              </w:rPr>
              <w:t>Бакалавр искусств</w:t>
            </w:r>
          </w:p>
        </w:tc>
        <w:tc>
          <w:tcPr>
            <w:tcW w:w="598" w:type="dxa"/>
            <w:tcBorders>
              <w:top w:val="single" w:sz="12" w:space="0" w:color="auto"/>
            </w:tcBorders>
            <w:vAlign w:val="bottom"/>
          </w:tcPr>
          <w:p w:rsidR="00000000" w:rsidRDefault="00000000">
            <w:pPr>
              <w:pStyle w:val="Header"/>
              <w:tabs>
                <w:tab w:val="clear" w:pos="4320"/>
                <w:tab w:val="clear" w:pos="8640"/>
                <w:tab w:val="decimal" w:pos="567"/>
              </w:tabs>
              <w:rPr>
                <w:noProof w:val="0"/>
                <w:spacing w:val="4"/>
                <w:w w:val="103"/>
                <w:kern w:val="14"/>
              </w:rPr>
            </w:pPr>
            <w:r>
              <w:rPr>
                <w:noProof w:val="0"/>
                <w:spacing w:val="4"/>
                <w:w w:val="103"/>
                <w:kern w:val="14"/>
              </w:rPr>
              <w:t>46</w:t>
            </w:r>
          </w:p>
        </w:tc>
        <w:tc>
          <w:tcPr>
            <w:tcW w:w="598" w:type="dxa"/>
            <w:tcBorders>
              <w:top w:val="single" w:sz="12" w:space="0" w:color="auto"/>
            </w:tcBorders>
            <w:vAlign w:val="bottom"/>
          </w:tcPr>
          <w:p w:rsidR="00000000" w:rsidRDefault="00000000">
            <w:pPr>
              <w:tabs>
                <w:tab w:val="decimal" w:pos="567"/>
              </w:tabs>
              <w:spacing w:line="240" w:lineRule="auto"/>
              <w:rPr>
                <w:sz w:val="17"/>
              </w:rPr>
            </w:pPr>
            <w:r>
              <w:rPr>
                <w:sz w:val="17"/>
              </w:rPr>
              <w:t>27</w:t>
            </w:r>
          </w:p>
        </w:tc>
        <w:tc>
          <w:tcPr>
            <w:tcW w:w="599" w:type="dxa"/>
            <w:tcBorders>
              <w:top w:val="single" w:sz="12" w:space="0" w:color="auto"/>
            </w:tcBorders>
            <w:vAlign w:val="bottom"/>
          </w:tcPr>
          <w:p w:rsidR="00000000" w:rsidRDefault="00000000">
            <w:pPr>
              <w:tabs>
                <w:tab w:val="decimal" w:pos="567"/>
              </w:tabs>
              <w:spacing w:line="240" w:lineRule="auto"/>
              <w:rPr>
                <w:sz w:val="17"/>
              </w:rPr>
            </w:pPr>
            <w:r>
              <w:rPr>
                <w:sz w:val="17"/>
              </w:rPr>
              <w:t>19</w:t>
            </w:r>
          </w:p>
        </w:tc>
        <w:tc>
          <w:tcPr>
            <w:tcW w:w="598" w:type="dxa"/>
            <w:tcBorders>
              <w:top w:val="single" w:sz="12" w:space="0" w:color="auto"/>
            </w:tcBorders>
            <w:vAlign w:val="bottom"/>
          </w:tcPr>
          <w:p w:rsidR="00000000" w:rsidRDefault="00000000">
            <w:pPr>
              <w:tabs>
                <w:tab w:val="decimal" w:pos="567"/>
              </w:tabs>
              <w:spacing w:line="240" w:lineRule="auto"/>
              <w:rPr>
                <w:sz w:val="17"/>
              </w:rPr>
            </w:pPr>
            <w:r>
              <w:rPr>
                <w:sz w:val="17"/>
              </w:rPr>
              <w:t>30</w:t>
            </w:r>
          </w:p>
        </w:tc>
        <w:tc>
          <w:tcPr>
            <w:tcW w:w="599" w:type="dxa"/>
            <w:tcBorders>
              <w:top w:val="single" w:sz="12" w:space="0" w:color="auto"/>
            </w:tcBorders>
            <w:vAlign w:val="bottom"/>
          </w:tcPr>
          <w:p w:rsidR="00000000" w:rsidRDefault="00000000">
            <w:pPr>
              <w:tabs>
                <w:tab w:val="decimal" w:pos="567"/>
              </w:tabs>
              <w:spacing w:line="240" w:lineRule="auto"/>
              <w:rPr>
                <w:sz w:val="17"/>
              </w:rPr>
            </w:pPr>
            <w:r>
              <w:rPr>
                <w:sz w:val="17"/>
              </w:rPr>
              <w:t>20</w:t>
            </w:r>
          </w:p>
        </w:tc>
        <w:tc>
          <w:tcPr>
            <w:tcW w:w="598" w:type="dxa"/>
            <w:tcBorders>
              <w:top w:val="single" w:sz="12" w:space="0" w:color="auto"/>
            </w:tcBorders>
            <w:vAlign w:val="bottom"/>
          </w:tcPr>
          <w:p w:rsidR="00000000" w:rsidRDefault="00000000">
            <w:pPr>
              <w:tabs>
                <w:tab w:val="decimal" w:pos="567"/>
              </w:tabs>
              <w:spacing w:line="240" w:lineRule="auto"/>
              <w:rPr>
                <w:sz w:val="17"/>
              </w:rPr>
            </w:pPr>
            <w:r>
              <w:rPr>
                <w:sz w:val="17"/>
              </w:rPr>
              <w:t>10</w:t>
            </w:r>
          </w:p>
        </w:tc>
        <w:tc>
          <w:tcPr>
            <w:tcW w:w="599" w:type="dxa"/>
            <w:tcBorders>
              <w:top w:val="single" w:sz="12" w:space="0" w:color="auto"/>
            </w:tcBorders>
            <w:vAlign w:val="bottom"/>
          </w:tcPr>
          <w:p w:rsidR="00000000" w:rsidRDefault="00000000">
            <w:pPr>
              <w:tabs>
                <w:tab w:val="decimal" w:pos="567"/>
              </w:tabs>
              <w:spacing w:line="240" w:lineRule="auto"/>
              <w:rPr>
                <w:sz w:val="17"/>
              </w:rPr>
            </w:pPr>
            <w:r>
              <w:rPr>
                <w:sz w:val="17"/>
              </w:rPr>
              <w:t>44</w:t>
            </w:r>
          </w:p>
        </w:tc>
        <w:tc>
          <w:tcPr>
            <w:tcW w:w="598" w:type="dxa"/>
            <w:tcBorders>
              <w:top w:val="single" w:sz="12" w:space="0" w:color="auto"/>
            </w:tcBorders>
            <w:vAlign w:val="bottom"/>
          </w:tcPr>
          <w:p w:rsidR="00000000" w:rsidRDefault="00000000">
            <w:pPr>
              <w:tabs>
                <w:tab w:val="decimal" w:pos="567"/>
              </w:tabs>
              <w:spacing w:line="240" w:lineRule="auto"/>
              <w:rPr>
                <w:sz w:val="17"/>
              </w:rPr>
            </w:pPr>
            <w:r>
              <w:rPr>
                <w:sz w:val="17"/>
              </w:rPr>
              <w:t>21</w:t>
            </w:r>
          </w:p>
        </w:tc>
        <w:tc>
          <w:tcPr>
            <w:tcW w:w="599" w:type="dxa"/>
            <w:tcBorders>
              <w:top w:val="single" w:sz="12" w:space="0" w:color="auto"/>
            </w:tcBorders>
            <w:vAlign w:val="bottom"/>
          </w:tcPr>
          <w:p w:rsidR="00000000" w:rsidRDefault="00000000">
            <w:pPr>
              <w:tabs>
                <w:tab w:val="decimal" w:pos="567"/>
              </w:tabs>
              <w:spacing w:line="240" w:lineRule="auto"/>
              <w:rPr>
                <w:sz w:val="17"/>
              </w:rPr>
            </w:pPr>
            <w:r>
              <w:rPr>
                <w:sz w:val="17"/>
              </w:rPr>
              <w:t>23</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Бакалавр управления кадровыми ресурсами</w:t>
            </w:r>
          </w:p>
        </w:tc>
        <w:tc>
          <w:tcPr>
            <w:tcW w:w="598" w:type="dxa"/>
            <w:vAlign w:val="bottom"/>
          </w:tcPr>
          <w:p w:rsidR="00000000" w:rsidRDefault="00000000">
            <w:pPr>
              <w:tabs>
                <w:tab w:val="decimal" w:pos="567"/>
              </w:tabs>
              <w:spacing w:line="240" w:lineRule="auto"/>
              <w:rPr>
                <w:sz w:val="17"/>
                <w:lang w:val="en-US"/>
              </w:rPr>
            </w:pPr>
            <w:r>
              <w:rPr>
                <w:sz w:val="17"/>
                <w:lang w:val="en-US"/>
              </w:rPr>
              <w:t>19</w:t>
            </w:r>
          </w:p>
        </w:tc>
        <w:tc>
          <w:tcPr>
            <w:tcW w:w="598" w:type="dxa"/>
            <w:vAlign w:val="bottom"/>
          </w:tcPr>
          <w:p w:rsidR="00000000" w:rsidRDefault="00000000">
            <w:pPr>
              <w:tabs>
                <w:tab w:val="decimal" w:pos="567"/>
              </w:tabs>
              <w:spacing w:line="240" w:lineRule="auto"/>
              <w:rPr>
                <w:sz w:val="17"/>
                <w:lang w:val="en-US"/>
              </w:rPr>
            </w:pPr>
            <w:r>
              <w:rPr>
                <w:sz w:val="17"/>
                <w:lang w:val="en-US"/>
              </w:rPr>
              <w:t>12</w:t>
            </w:r>
          </w:p>
        </w:tc>
        <w:tc>
          <w:tcPr>
            <w:tcW w:w="599" w:type="dxa"/>
            <w:vAlign w:val="bottom"/>
          </w:tcPr>
          <w:p w:rsidR="00000000" w:rsidRDefault="00000000">
            <w:pPr>
              <w:pStyle w:val="Header"/>
              <w:tabs>
                <w:tab w:val="clear" w:pos="4320"/>
                <w:tab w:val="clear" w:pos="8640"/>
                <w:tab w:val="decimal" w:pos="567"/>
              </w:tabs>
              <w:rPr>
                <w:noProof w:val="0"/>
                <w:spacing w:val="4"/>
                <w:w w:val="103"/>
                <w:kern w:val="14"/>
                <w:lang w:val="en-US"/>
              </w:rPr>
            </w:pPr>
            <w:r>
              <w:rPr>
                <w:noProof w:val="0"/>
                <w:spacing w:val="4"/>
                <w:w w:val="103"/>
                <w:kern w:val="14"/>
                <w:lang w:val="en-US"/>
              </w:rPr>
              <w:t>7</w:t>
            </w:r>
          </w:p>
        </w:tc>
        <w:tc>
          <w:tcPr>
            <w:tcW w:w="598" w:type="dxa"/>
            <w:vAlign w:val="bottom"/>
          </w:tcPr>
          <w:p w:rsidR="00000000" w:rsidRDefault="00000000">
            <w:pPr>
              <w:tabs>
                <w:tab w:val="decimal" w:pos="567"/>
              </w:tabs>
              <w:spacing w:line="240" w:lineRule="auto"/>
              <w:rPr>
                <w:sz w:val="17"/>
                <w:lang w:val="en-US"/>
              </w:rPr>
            </w:pPr>
            <w:r>
              <w:rPr>
                <w:sz w:val="17"/>
                <w:lang w:val="en-US"/>
              </w:rPr>
              <w:t>19</w:t>
            </w:r>
          </w:p>
        </w:tc>
        <w:tc>
          <w:tcPr>
            <w:tcW w:w="599" w:type="dxa"/>
            <w:vAlign w:val="bottom"/>
          </w:tcPr>
          <w:p w:rsidR="00000000" w:rsidRDefault="00000000">
            <w:pPr>
              <w:tabs>
                <w:tab w:val="decimal" w:pos="567"/>
              </w:tabs>
              <w:spacing w:line="240" w:lineRule="auto"/>
              <w:rPr>
                <w:sz w:val="17"/>
                <w:lang w:val="en-US"/>
              </w:rPr>
            </w:pPr>
            <w:r>
              <w:rPr>
                <w:sz w:val="17"/>
                <w:lang w:val="en-US"/>
              </w:rPr>
              <w:t>12</w:t>
            </w:r>
          </w:p>
        </w:tc>
        <w:tc>
          <w:tcPr>
            <w:tcW w:w="598" w:type="dxa"/>
            <w:vAlign w:val="bottom"/>
          </w:tcPr>
          <w:p w:rsidR="00000000" w:rsidRDefault="00000000">
            <w:pPr>
              <w:tabs>
                <w:tab w:val="decimal" w:pos="567"/>
              </w:tabs>
              <w:spacing w:line="240" w:lineRule="auto"/>
              <w:rPr>
                <w:sz w:val="17"/>
                <w:lang w:val="en-US"/>
              </w:rPr>
            </w:pPr>
            <w:r>
              <w:rPr>
                <w:sz w:val="17"/>
                <w:lang w:val="en-US"/>
              </w:rPr>
              <w:t>7</w:t>
            </w:r>
          </w:p>
        </w:tc>
        <w:tc>
          <w:tcPr>
            <w:tcW w:w="599" w:type="dxa"/>
            <w:vAlign w:val="bottom"/>
          </w:tcPr>
          <w:p w:rsidR="00000000" w:rsidRDefault="00000000">
            <w:pPr>
              <w:tabs>
                <w:tab w:val="decimal" w:pos="567"/>
              </w:tabs>
              <w:spacing w:line="240" w:lineRule="auto"/>
              <w:rPr>
                <w:sz w:val="17"/>
                <w:lang w:val="en-US"/>
              </w:rPr>
            </w:pPr>
            <w:r>
              <w:rPr>
                <w:sz w:val="17"/>
                <w:lang w:val="en-US"/>
              </w:rPr>
              <w:t>-</w:t>
            </w:r>
          </w:p>
        </w:tc>
        <w:tc>
          <w:tcPr>
            <w:tcW w:w="598" w:type="dxa"/>
            <w:vAlign w:val="bottom"/>
          </w:tcPr>
          <w:p w:rsidR="00000000" w:rsidRDefault="00000000">
            <w:pPr>
              <w:tabs>
                <w:tab w:val="decimal" w:pos="567"/>
              </w:tabs>
              <w:spacing w:line="240" w:lineRule="auto"/>
              <w:rPr>
                <w:sz w:val="17"/>
                <w:lang w:val="en-US"/>
              </w:rPr>
            </w:pPr>
            <w:r>
              <w:rPr>
                <w:sz w:val="17"/>
                <w:lang w:val="en-US"/>
              </w:rPr>
              <w:t>-</w:t>
            </w:r>
          </w:p>
        </w:tc>
        <w:tc>
          <w:tcPr>
            <w:tcW w:w="599" w:type="dxa"/>
            <w:vAlign w:val="bottom"/>
          </w:tcPr>
          <w:p w:rsidR="00000000" w:rsidRDefault="00000000">
            <w:pPr>
              <w:tabs>
                <w:tab w:val="decimal" w:pos="567"/>
              </w:tabs>
              <w:spacing w:line="240" w:lineRule="auto"/>
              <w:rPr>
                <w:sz w:val="17"/>
                <w:lang w:val="en-US"/>
              </w:rPr>
            </w:pPr>
            <w:r>
              <w:rPr>
                <w:sz w:val="17"/>
                <w:lang w:val="en-US"/>
              </w:rPr>
              <w:t>-</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Бакалавр обществе</w:t>
            </w:r>
            <w:r>
              <w:rPr>
                <w:sz w:val="17"/>
              </w:rPr>
              <w:t>н</w:t>
            </w:r>
            <w:r>
              <w:rPr>
                <w:sz w:val="17"/>
              </w:rPr>
              <w:t>ного управления</w:t>
            </w:r>
          </w:p>
        </w:tc>
        <w:tc>
          <w:tcPr>
            <w:tcW w:w="598" w:type="dxa"/>
            <w:vAlign w:val="bottom"/>
          </w:tcPr>
          <w:p w:rsidR="00000000" w:rsidRDefault="00000000">
            <w:pPr>
              <w:tabs>
                <w:tab w:val="decimal" w:pos="567"/>
              </w:tabs>
              <w:spacing w:line="240" w:lineRule="auto"/>
              <w:rPr>
                <w:sz w:val="17"/>
                <w:lang w:val="en-US"/>
              </w:rPr>
            </w:pPr>
            <w:r>
              <w:rPr>
                <w:sz w:val="17"/>
                <w:lang w:val="en-US"/>
              </w:rPr>
              <w:t>14</w:t>
            </w:r>
          </w:p>
        </w:tc>
        <w:tc>
          <w:tcPr>
            <w:tcW w:w="598" w:type="dxa"/>
            <w:vAlign w:val="bottom"/>
          </w:tcPr>
          <w:p w:rsidR="00000000" w:rsidRDefault="00000000">
            <w:pPr>
              <w:pStyle w:val="Header"/>
              <w:tabs>
                <w:tab w:val="clear" w:pos="4320"/>
                <w:tab w:val="clear" w:pos="8640"/>
                <w:tab w:val="decimal" w:pos="567"/>
              </w:tabs>
              <w:rPr>
                <w:noProof w:val="0"/>
                <w:spacing w:val="4"/>
                <w:w w:val="103"/>
                <w:kern w:val="14"/>
                <w:lang w:val="en-US"/>
              </w:rPr>
            </w:pPr>
            <w:r>
              <w:rPr>
                <w:noProof w:val="0"/>
                <w:spacing w:val="4"/>
                <w:w w:val="103"/>
                <w:kern w:val="14"/>
                <w:lang w:val="en-US"/>
              </w:rPr>
              <w:t>12</w:t>
            </w:r>
          </w:p>
        </w:tc>
        <w:tc>
          <w:tcPr>
            <w:tcW w:w="599" w:type="dxa"/>
            <w:vAlign w:val="bottom"/>
          </w:tcPr>
          <w:p w:rsidR="00000000" w:rsidRDefault="00000000">
            <w:pPr>
              <w:tabs>
                <w:tab w:val="decimal" w:pos="567"/>
              </w:tabs>
              <w:spacing w:line="240" w:lineRule="auto"/>
              <w:rPr>
                <w:sz w:val="17"/>
                <w:lang w:val="en-US"/>
              </w:rPr>
            </w:pPr>
            <w:r>
              <w:rPr>
                <w:sz w:val="17"/>
                <w:lang w:val="en-US"/>
              </w:rPr>
              <w:t>2</w:t>
            </w:r>
          </w:p>
        </w:tc>
        <w:tc>
          <w:tcPr>
            <w:tcW w:w="598" w:type="dxa"/>
            <w:vAlign w:val="bottom"/>
          </w:tcPr>
          <w:p w:rsidR="00000000" w:rsidRDefault="00000000">
            <w:pPr>
              <w:tabs>
                <w:tab w:val="decimal" w:pos="567"/>
              </w:tabs>
              <w:spacing w:line="240" w:lineRule="auto"/>
              <w:rPr>
                <w:sz w:val="17"/>
                <w:lang w:val="en-US"/>
              </w:rPr>
            </w:pPr>
            <w:r>
              <w:rPr>
                <w:sz w:val="17"/>
                <w:lang w:val="en-US"/>
              </w:rPr>
              <w:t>17</w:t>
            </w:r>
          </w:p>
        </w:tc>
        <w:tc>
          <w:tcPr>
            <w:tcW w:w="599" w:type="dxa"/>
            <w:vAlign w:val="bottom"/>
          </w:tcPr>
          <w:p w:rsidR="00000000" w:rsidRDefault="00000000">
            <w:pPr>
              <w:tabs>
                <w:tab w:val="decimal" w:pos="567"/>
              </w:tabs>
              <w:spacing w:line="240" w:lineRule="auto"/>
              <w:rPr>
                <w:sz w:val="17"/>
                <w:lang w:val="en-US"/>
              </w:rPr>
            </w:pPr>
            <w:r>
              <w:rPr>
                <w:sz w:val="17"/>
                <w:lang w:val="en-US"/>
              </w:rPr>
              <w:t>14</w:t>
            </w:r>
          </w:p>
        </w:tc>
        <w:tc>
          <w:tcPr>
            <w:tcW w:w="598" w:type="dxa"/>
            <w:vAlign w:val="bottom"/>
          </w:tcPr>
          <w:p w:rsidR="00000000" w:rsidRDefault="00000000">
            <w:pPr>
              <w:tabs>
                <w:tab w:val="decimal" w:pos="567"/>
              </w:tabs>
              <w:spacing w:line="240" w:lineRule="auto"/>
              <w:rPr>
                <w:sz w:val="17"/>
                <w:lang w:val="en-US"/>
              </w:rPr>
            </w:pPr>
            <w:r>
              <w:rPr>
                <w:sz w:val="17"/>
                <w:lang w:val="en-US"/>
              </w:rPr>
              <w:t>3</w:t>
            </w:r>
          </w:p>
        </w:tc>
        <w:tc>
          <w:tcPr>
            <w:tcW w:w="599" w:type="dxa"/>
            <w:vAlign w:val="bottom"/>
          </w:tcPr>
          <w:p w:rsidR="00000000" w:rsidRDefault="00000000">
            <w:pPr>
              <w:tabs>
                <w:tab w:val="decimal" w:pos="567"/>
              </w:tabs>
              <w:spacing w:line="240" w:lineRule="auto"/>
              <w:rPr>
                <w:sz w:val="17"/>
                <w:lang w:val="en-US"/>
              </w:rPr>
            </w:pPr>
            <w:r>
              <w:rPr>
                <w:sz w:val="17"/>
                <w:lang w:val="en-US"/>
              </w:rPr>
              <w:t>13</w:t>
            </w:r>
          </w:p>
        </w:tc>
        <w:tc>
          <w:tcPr>
            <w:tcW w:w="598" w:type="dxa"/>
            <w:vAlign w:val="bottom"/>
          </w:tcPr>
          <w:p w:rsidR="00000000" w:rsidRDefault="00000000">
            <w:pPr>
              <w:tabs>
                <w:tab w:val="decimal" w:pos="567"/>
              </w:tabs>
              <w:spacing w:line="240" w:lineRule="auto"/>
              <w:rPr>
                <w:sz w:val="17"/>
                <w:lang w:val="en-US"/>
              </w:rPr>
            </w:pPr>
            <w:r>
              <w:rPr>
                <w:sz w:val="17"/>
                <w:lang w:val="en-US"/>
              </w:rPr>
              <w:t>9</w:t>
            </w:r>
          </w:p>
        </w:tc>
        <w:tc>
          <w:tcPr>
            <w:tcW w:w="599" w:type="dxa"/>
            <w:vAlign w:val="bottom"/>
          </w:tcPr>
          <w:p w:rsidR="00000000" w:rsidRDefault="00000000">
            <w:pPr>
              <w:tabs>
                <w:tab w:val="decimal" w:pos="567"/>
              </w:tabs>
              <w:spacing w:line="240" w:lineRule="auto"/>
              <w:rPr>
                <w:sz w:val="17"/>
                <w:lang w:val="en-US"/>
              </w:rPr>
            </w:pPr>
            <w:r>
              <w:rPr>
                <w:sz w:val="17"/>
                <w:lang w:val="en-US"/>
              </w:rPr>
              <w:t>4</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lang w:val="en-US"/>
              </w:rPr>
            </w:pPr>
            <w:r>
              <w:rPr>
                <w:sz w:val="17"/>
              </w:rPr>
              <w:t>Бакалавр богословия</w:t>
            </w:r>
          </w:p>
        </w:tc>
        <w:tc>
          <w:tcPr>
            <w:tcW w:w="598" w:type="dxa"/>
            <w:vAlign w:val="bottom"/>
          </w:tcPr>
          <w:p w:rsidR="00000000" w:rsidRDefault="00000000">
            <w:pPr>
              <w:tabs>
                <w:tab w:val="decimal" w:pos="567"/>
              </w:tabs>
              <w:spacing w:line="240" w:lineRule="auto"/>
              <w:rPr>
                <w:sz w:val="17"/>
                <w:lang w:val="en-US"/>
              </w:rPr>
            </w:pPr>
            <w:r>
              <w:rPr>
                <w:sz w:val="17"/>
                <w:lang w:val="en-US"/>
              </w:rPr>
              <w:t>1</w:t>
            </w:r>
          </w:p>
        </w:tc>
        <w:tc>
          <w:tcPr>
            <w:tcW w:w="598" w:type="dxa"/>
            <w:vAlign w:val="bottom"/>
          </w:tcPr>
          <w:p w:rsidR="00000000" w:rsidRDefault="00000000">
            <w:pPr>
              <w:tabs>
                <w:tab w:val="decimal" w:pos="567"/>
              </w:tabs>
              <w:spacing w:line="240" w:lineRule="auto"/>
              <w:rPr>
                <w:sz w:val="17"/>
                <w:lang w:val="en-US"/>
              </w:rPr>
            </w:pPr>
            <w:r>
              <w:rPr>
                <w:sz w:val="17"/>
                <w:lang w:val="en-US"/>
              </w:rPr>
              <w:t>-</w:t>
            </w:r>
          </w:p>
        </w:tc>
        <w:tc>
          <w:tcPr>
            <w:tcW w:w="599" w:type="dxa"/>
            <w:vAlign w:val="bottom"/>
          </w:tcPr>
          <w:p w:rsidR="00000000" w:rsidRDefault="00000000">
            <w:pPr>
              <w:tabs>
                <w:tab w:val="decimal" w:pos="567"/>
              </w:tabs>
              <w:spacing w:line="240" w:lineRule="auto"/>
              <w:rPr>
                <w:sz w:val="17"/>
                <w:lang w:val="en-US"/>
              </w:rPr>
            </w:pPr>
            <w:r>
              <w:rPr>
                <w:sz w:val="17"/>
                <w:lang w:val="en-US"/>
              </w:rPr>
              <w:t>1</w:t>
            </w:r>
          </w:p>
        </w:tc>
        <w:tc>
          <w:tcPr>
            <w:tcW w:w="598" w:type="dxa"/>
            <w:vAlign w:val="bottom"/>
          </w:tcPr>
          <w:p w:rsidR="00000000" w:rsidRDefault="00000000">
            <w:pPr>
              <w:tabs>
                <w:tab w:val="decimal" w:pos="567"/>
              </w:tabs>
              <w:spacing w:line="240" w:lineRule="auto"/>
              <w:rPr>
                <w:sz w:val="17"/>
                <w:lang w:val="en-US"/>
              </w:rPr>
            </w:pPr>
            <w:r>
              <w:rPr>
                <w:sz w:val="17"/>
                <w:lang w:val="en-US"/>
              </w:rPr>
              <w:t>18</w:t>
            </w:r>
          </w:p>
        </w:tc>
        <w:tc>
          <w:tcPr>
            <w:tcW w:w="599" w:type="dxa"/>
            <w:vAlign w:val="bottom"/>
          </w:tcPr>
          <w:p w:rsidR="00000000" w:rsidRDefault="00000000">
            <w:pPr>
              <w:tabs>
                <w:tab w:val="decimal" w:pos="567"/>
              </w:tabs>
              <w:spacing w:line="240" w:lineRule="auto"/>
              <w:rPr>
                <w:sz w:val="17"/>
                <w:lang w:val="en-US"/>
              </w:rPr>
            </w:pPr>
            <w:r>
              <w:rPr>
                <w:sz w:val="17"/>
                <w:lang w:val="en-US"/>
              </w:rPr>
              <w:t>17</w:t>
            </w:r>
          </w:p>
        </w:tc>
        <w:tc>
          <w:tcPr>
            <w:tcW w:w="598" w:type="dxa"/>
            <w:vAlign w:val="bottom"/>
          </w:tcPr>
          <w:p w:rsidR="00000000" w:rsidRDefault="00000000">
            <w:pPr>
              <w:tabs>
                <w:tab w:val="decimal" w:pos="567"/>
              </w:tabs>
              <w:spacing w:line="240" w:lineRule="auto"/>
              <w:rPr>
                <w:sz w:val="17"/>
                <w:lang w:val="en-US"/>
              </w:rPr>
            </w:pPr>
            <w:r>
              <w:rPr>
                <w:sz w:val="17"/>
                <w:lang w:val="en-US"/>
              </w:rPr>
              <w:t>1</w:t>
            </w:r>
          </w:p>
        </w:tc>
        <w:tc>
          <w:tcPr>
            <w:tcW w:w="599" w:type="dxa"/>
            <w:vAlign w:val="bottom"/>
          </w:tcPr>
          <w:p w:rsidR="00000000" w:rsidRDefault="00000000">
            <w:pPr>
              <w:tabs>
                <w:tab w:val="decimal" w:pos="567"/>
              </w:tabs>
              <w:spacing w:line="240" w:lineRule="auto"/>
              <w:rPr>
                <w:sz w:val="17"/>
                <w:lang w:val="en-US"/>
              </w:rPr>
            </w:pPr>
            <w:r>
              <w:rPr>
                <w:sz w:val="17"/>
                <w:lang w:val="en-US"/>
              </w:rPr>
              <w:t>10</w:t>
            </w:r>
          </w:p>
        </w:tc>
        <w:tc>
          <w:tcPr>
            <w:tcW w:w="598" w:type="dxa"/>
            <w:vAlign w:val="bottom"/>
          </w:tcPr>
          <w:p w:rsidR="00000000" w:rsidRDefault="00000000">
            <w:pPr>
              <w:tabs>
                <w:tab w:val="decimal" w:pos="567"/>
              </w:tabs>
              <w:spacing w:line="240" w:lineRule="auto"/>
              <w:rPr>
                <w:sz w:val="17"/>
                <w:lang w:val="en-US"/>
              </w:rPr>
            </w:pPr>
            <w:r>
              <w:rPr>
                <w:sz w:val="17"/>
                <w:lang w:val="en-US"/>
              </w:rPr>
              <w:t>10</w:t>
            </w:r>
          </w:p>
        </w:tc>
        <w:tc>
          <w:tcPr>
            <w:tcW w:w="599" w:type="dxa"/>
            <w:vAlign w:val="bottom"/>
          </w:tcPr>
          <w:p w:rsidR="00000000" w:rsidRDefault="00000000">
            <w:pPr>
              <w:tabs>
                <w:tab w:val="decimal" w:pos="567"/>
              </w:tabs>
              <w:spacing w:line="240" w:lineRule="auto"/>
              <w:rPr>
                <w:sz w:val="17"/>
                <w:lang w:val="en-US"/>
              </w:rPr>
            </w:pPr>
            <w:r>
              <w:rPr>
                <w:sz w:val="17"/>
                <w:lang w:val="en-US"/>
              </w:rPr>
              <w:t>-</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Бакалавр бухгалте</w:t>
            </w:r>
            <w:r>
              <w:rPr>
                <w:sz w:val="17"/>
              </w:rPr>
              <w:t>р</w:t>
            </w:r>
            <w:r>
              <w:rPr>
                <w:sz w:val="17"/>
              </w:rPr>
              <w:t>ского дела</w:t>
            </w:r>
          </w:p>
        </w:tc>
        <w:tc>
          <w:tcPr>
            <w:tcW w:w="598" w:type="dxa"/>
            <w:vAlign w:val="bottom"/>
          </w:tcPr>
          <w:p w:rsidR="00000000" w:rsidRDefault="00000000">
            <w:pPr>
              <w:tabs>
                <w:tab w:val="decimal" w:pos="567"/>
              </w:tabs>
              <w:spacing w:line="240" w:lineRule="auto"/>
              <w:rPr>
                <w:sz w:val="17"/>
                <w:lang w:val="en-US"/>
              </w:rPr>
            </w:pPr>
            <w:r>
              <w:rPr>
                <w:sz w:val="17"/>
                <w:lang w:val="en-US"/>
              </w:rPr>
              <w:t>53</w:t>
            </w:r>
          </w:p>
        </w:tc>
        <w:tc>
          <w:tcPr>
            <w:tcW w:w="598" w:type="dxa"/>
            <w:vAlign w:val="bottom"/>
          </w:tcPr>
          <w:p w:rsidR="00000000" w:rsidRDefault="00000000">
            <w:pPr>
              <w:tabs>
                <w:tab w:val="decimal" w:pos="567"/>
              </w:tabs>
              <w:spacing w:line="240" w:lineRule="auto"/>
              <w:rPr>
                <w:sz w:val="17"/>
                <w:lang w:val="en-US"/>
              </w:rPr>
            </w:pPr>
            <w:r>
              <w:rPr>
                <w:sz w:val="17"/>
                <w:lang w:val="en-US"/>
              </w:rPr>
              <w:t>45</w:t>
            </w:r>
          </w:p>
        </w:tc>
        <w:tc>
          <w:tcPr>
            <w:tcW w:w="599" w:type="dxa"/>
            <w:vAlign w:val="bottom"/>
          </w:tcPr>
          <w:p w:rsidR="00000000" w:rsidRDefault="00000000">
            <w:pPr>
              <w:tabs>
                <w:tab w:val="decimal" w:pos="567"/>
              </w:tabs>
              <w:spacing w:line="240" w:lineRule="auto"/>
              <w:rPr>
                <w:sz w:val="17"/>
                <w:lang w:val="en-US"/>
              </w:rPr>
            </w:pPr>
            <w:r>
              <w:rPr>
                <w:sz w:val="17"/>
                <w:lang w:val="en-US"/>
              </w:rPr>
              <w:t>8</w:t>
            </w:r>
          </w:p>
        </w:tc>
        <w:tc>
          <w:tcPr>
            <w:tcW w:w="598" w:type="dxa"/>
            <w:vAlign w:val="bottom"/>
          </w:tcPr>
          <w:p w:rsidR="00000000" w:rsidRDefault="00000000">
            <w:pPr>
              <w:tabs>
                <w:tab w:val="decimal" w:pos="567"/>
              </w:tabs>
              <w:spacing w:line="240" w:lineRule="auto"/>
              <w:rPr>
                <w:sz w:val="17"/>
                <w:lang w:val="en-US"/>
              </w:rPr>
            </w:pPr>
            <w:r>
              <w:rPr>
                <w:sz w:val="17"/>
                <w:lang w:val="en-US"/>
              </w:rPr>
              <w:t>59</w:t>
            </w:r>
          </w:p>
        </w:tc>
        <w:tc>
          <w:tcPr>
            <w:tcW w:w="599" w:type="dxa"/>
            <w:vAlign w:val="bottom"/>
          </w:tcPr>
          <w:p w:rsidR="00000000" w:rsidRDefault="00000000">
            <w:pPr>
              <w:tabs>
                <w:tab w:val="decimal" w:pos="567"/>
              </w:tabs>
              <w:spacing w:line="240" w:lineRule="auto"/>
              <w:rPr>
                <w:sz w:val="17"/>
                <w:lang w:val="en-US"/>
              </w:rPr>
            </w:pPr>
            <w:r>
              <w:rPr>
                <w:sz w:val="17"/>
                <w:lang w:val="en-US"/>
              </w:rPr>
              <w:t>53</w:t>
            </w:r>
          </w:p>
        </w:tc>
        <w:tc>
          <w:tcPr>
            <w:tcW w:w="598" w:type="dxa"/>
            <w:vAlign w:val="bottom"/>
          </w:tcPr>
          <w:p w:rsidR="00000000" w:rsidRDefault="00000000">
            <w:pPr>
              <w:tabs>
                <w:tab w:val="decimal" w:pos="567"/>
              </w:tabs>
              <w:spacing w:line="240" w:lineRule="auto"/>
              <w:rPr>
                <w:sz w:val="17"/>
                <w:lang w:val="en-US"/>
              </w:rPr>
            </w:pPr>
            <w:r>
              <w:rPr>
                <w:sz w:val="17"/>
                <w:lang w:val="en-US"/>
              </w:rPr>
              <w:t>6</w:t>
            </w:r>
          </w:p>
        </w:tc>
        <w:tc>
          <w:tcPr>
            <w:tcW w:w="599" w:type="dxa"/>
            <w:vAlign w:val="bottom"/>
          </w:tcPr>
          <w:p w:rsidR="00000000" w:rsidRDefault="00000000">
            <w:pPr>
              <w:tabs>
                <w:tab w:val="decimal" w:pos="567"/>
              </w:tabs>
              <w:spacing w:line="240" w:lineRule="auto"/>
              <w:rPr>
                <w:sz w:val="17"/>
                <w:lang w:val="en-US"/>
              </w:rPr>
            </w:pPr>
            <w:r>
              <w:rPr>
                <w:sz w:val="17"/>
                <w:lang w:val="en-US"/>
              </w:rPr>
              <w:t>52</w:t>
            </w:r>
          </w:p>
        </w:tc>
        <w:tc>
          <w:tcPr>
            <w:tcW w:w="598" w:type="dxa"/>
            <w:vAlign w:val="bottom"/>
          </w:tcPr>
          <w:p w:rsidR="00000000" w:rsidRDefault="00000000">
            <w:pPr>
              <w:tabs>
                <w:tab w:val="decimal" w:pos="567"/>
              </w:tabs>
              <w:spacing w:line="240" w:lineRule="auto"/>
              <w:rPr>
                <w:sz w:val="17"/>
                <w:lang w:val="en-US"/>
              </w:rPr>
            </w:pPr>
            <w:r>
              <w:rPr>
                <w:sz w:val="17"/>
                <w:lang w:val="en-US"/>
              </w:rPr>
              <w:t>42</w:t>
            </w:r>
          </w:p>
        </w:tc>
        <w:tc>
          <w:tcPr>
            <w:tcW w:w="599" w:type="dxa"/>
            <w:vAlign w:val="bottom"/>
          </w:tcPr>
          <w:p w:rsidR="00000000" w:rsidRDefault="00000000">
            <w:pPr>
              <w:tabs>
                <w:tab w:val="decimal" w:pos="567"/>
              </w:tabs>
              <w:spacing w:line="240" w:lineRule="auto"/>
              <w:rPr>
                <w:sz w:val="17"/>
                <w:lang w:val="en-US"/>
              </w:rPr>
            </w:pPr>
            <w:r>
              <w:rPr>
                <w:sz w:val="17"/>
                <w:lang w:val="en-US"/>
              </w:rPr>
              <w:t>10</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lang w:val="en-US"/>
              </w:rPr>
            </w:pPr>
            <w:r>
              <w:rPr>
                <w:sz w:val="17"/>
              </w:rPr>
              <w:t>Бакалавр менеджме</w:t>
            </w:r>
            <w:r>
              <w:rPr>
                <w:sz w:val="17"/>
              </w:rPr>
              <w:t>н</w:t>
            </w:r>
            <w:r>
              <w:rPr>
                <w:sz w:val="17"/>
              </w:rPr>
              <w:t>та</w:t>
            </w:r>
          </w:p>
        </w:tc>
        <w:tc>
          <w:tcPr>
            <w:tcW w:w="598" w:type="dxa"/>
            <w:vAlign w:val="bottom"/>
          </w:tcPr>
          <w:p w:rsidR="00000000" w:rsidRDefault="00000000">
            <w:pPr>
              <w:tabs>
                <w:tab w:val="decimal" w:pos="567"/>
              </w:tabs>
              <w:spacing w:line="240" w:lineRule="auto"/>
              <w:rPr>
                <w:sz w:val="17"/>
                <w:lang w:val="en-US"/>
              </w:rPr>
            </w:pPr>
            <w:r>
              <w:rPr>
                <w:sz w:val="17"/>
                <w:lang w:val="en-US"/>
              </w:rPr>
              <w:t>74</w:t>
            </w:r>
          </w:p>
        </w:tc>
        <w:tc>
          <w:tcPr>
            <w:tcW w:w="598" w:type="dxa"/>
            <w:vAlign w:val="bottom"/>
          </w:tcPr>
          <w:p w:rsidR="00000000" w:rsidRDefault="00000000">
            <w:pPr>
              <w:tabs>
                <w:tab w:val="decimal" w:pos="567"/>
              </w:tabs>
              <w:spacing w:line="240" w:lineRule="auto"/>
              <w:rPr>
                <w:sz w:val="17"/>
                <w:lang w:val="en-US"/>
              </w:rPr>
            </w:pPr>
            <w:r>
              <w:rPr>
                <w:sz w:val="17"/>
                <w:lang w:val="en-US"/>
              </w:rPr>
              <w:t>56</w:t>
            </w:r>
          </w:p>
        </w:tc>
        <w:tc>
          <w:tcPr>
            <w:tcW w:w="599" w:type="dxa"/>
            <w:vAlign w:val="bottom"/>
          </w:tcPr>
          <w:p w:rsidR="00000000" w:rsidRDefault="00000000">
            <w:pPr>
              <w:tabs>
                <w:tab w:val="decimal" w:pos="567"/>
              </w:tabs>
              <w:spacing w:line="240" w:lineRule="auto"/>
              <w:rPr>
                <w:sz w:val="17"/>
                <w:lang w:val="en-US"/>
              </w:rPr>
            </w:pPr>
            <w:r>
              <w:rPr>
                <w:sz w:val="17"/>
                <w:lang w:val="en-US"/>
              </w:rPr>
              <w:t>18</w:t>
            </w:r>
          </w:p>
        </w:tc>
        <w:tc>
          <w:tcPr>
            <w:tcW w:w="598" w:type="dxa"/>
            <w:vAlign w:val="bottom"/>
          </w:tcPr>
          <w:p w:rsidR="00000000" w:rsidRDefault="00000000">
            <w:pPr>
              <w:tabs>
                <w:tab w:val="decimal" w:pos="567"/>
              </w:tabs>
              <w:spacing w:line="240" w:lineRule="auto"/>
              <w:rPr>
                <w:sz w:val="17"/>
                <w:lang w:val="en-US"/>
              </w:rPr>
            </w:pPr>
            <w:r>
              <w:rPr>
                <w:sz w:val="17"/>
                <w:lang w:val="en-US"/>
              </w:rPr>
              <w:t>49</w:t>
            </w:r>
          </w:p>
        </w:tc>
        <w:tc>
          <w:tcPr>
            <w:tcW w:w="599" w:type="dxa"/>
            <w:vAlign w:val="bottom"/>
          </w:tcPr>
          <w:p w:rsidR="00000000" w:rsidRDefault="00000000">
            <w:pPr>
              <w:tabs>
                <w:tab w:val="decimal" w:pos="567"/>
              </w:tabs>
              <w:spacing w:line="240" w:lineRule="auto"/>
              <w:rPr>
                <w:sz w:val="17"/>
                <w:lang w:val="en-US"/>
              </w:rPr>
            </w:pPr>
            <w:r>
              <w:rPr>
                <w:sz w:val="17"/>
                <w:lang w:val="en-US"/>
              </w:rPr>
              <w:t>34</w:t>
            </w:r>
          </w:p>
        </w:tc>
        <w:tc>
          <w:tcPr>
            <w:tcW w:w="598" w:type="dxa"/>
            <w:vAlign w:val="bottom"/>
          </w:tcPr>
          <w:p w:rsidR="00000000" w:rsidRDefault="00000000">
            <w:pPr>
              <w:tabs>
                <w:tab w:val="decimal" w:pos="567"/>
              </w:tabs>
              <w:spacing w:line="240" w:lineRule="auto"/>
              <w:rPr>
                <w:sz w:val="17"/>
                <w:lang w:val="en-US"/>
              </w:rPr>
            </w:pPr>
            <w:r>
              <w:rPr>
                <w:sz w:val="17"/>
                <w:lang w:val="en-US"/>
              </w:rPr>
              <w:t>15</w:t>
            </w:r>
          </w:p>
        </w:tc>
        <w:tc>
          <w:tcPr>
            <w:tcW w:w="599" w:type="dxa"/>
            <w:vAlign w:val="bottom"/>
          </w:tcPr>
          <w:p w:rsidR="00000000" w:rsidRDefault="00000000">
            <w:pPr>
              <w:tabs>
                <w:tab w:val="decimal" w:pos="567"/>
              </w:tabs>
              <w:spacing w:line="240" w:lineRule="auto"/>
              <w:rPr>
                <w:sz w:val="17"/>
                <w:lang w:val="en-US"/>
              </w:rPr>
            </w:pPr>
            <w:r>
              <w:rPr>
                <w:sz w:val="17"/>
                <w:lang w:val="en-US"/>
              </w:rPr>
              <w:t>50</w:t>
            </w:r>
          </w:p>
        </w:tc>
        <w:tc>
          <w:tcPr>
            <w:tcW w:w="598" w:type="dxa"/>
            <w:vAlign w:val="bottom"/>
          </w:tcPr>
          <w:p w:rsidR="00000000" w:rsidRDefault="00000000">
            <w:pPr>
              <w:tabs>
                <w:tab w:val="decimal" w:pos="567"/>
              </w:tabs>
              <w:spacing w:line="240" w:lineRule="auto"/>
              <w:rPr>
                <w:sz w:val="17"/>
                <w:lang w:val="en-US"/>
              </w:rPr>
            </w:pPr>
            <w:r>
              <w:rPr>
                <w:sz w:val="17"/>
                <w:lang w:val="en-US"/>
              </w:rPr>
              <w:t>31</w:t>
            </w:r>
          </w:p>
        </w:tc>
        <w:tc>
          <w:tcPr>
            <w:tcW w:w="599" w:type="dxa"/>
            <w:vAlign w:val="bottom"/>
          </w:tcPr>
          <w:p w:rsidR="00000000" w:rsidRDefault="00000000">
            <w:pPr>
              <w:tabs>
                <w:tab w:val="decimal" w:pos="567"/>
              </w:tabs>
              <w:spacing w:line="240" w:lineRule="auto"/>
              <w:rPr>
                <w:sz w:val="17"/>
                <w:lang w:val="en-US"/>
              </w:rPr>
            </w:pPr>
            <w:r>
              <w:rPr>
                <w:sz w:val="17"/>
                <w:lang w:val="en-US"/>
              </w:rPr>
              <w:t>19</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lang w:val="en-US"/>
              </w:rPr>
            </w:pPr>
            <w:r>
              <w:rPr>
                <w:sz w:val="17"/>
              </w:rPr>
              <w:t>Бакалавр педагогики</w:t>
            </w:r>
          </w:p>
        </w:tc>
        <w:tc>
          <w:tcPr>
            <w:tcW w:w="598" w:type="dxa"/>
            <w:vAlign w:val="bottom"/>
          </w:tcPr>
          <w:p w:rsidR="00000000" w:rsidRDefault="00000000">
            <w:pPr>
              <w:tabs>
                <w:tab w:val="decimal" w:pos="567"/>
              </w:tabs>
              <w:spacing w:line="240" w:lineRule="auto"/>
              <w:rPr>
                <w:sz w:val="17"/>
                <w:lang w:val="en-US"/>
              </w:rPr>
            </w:pPr>
            <w:r>
              <w:rPr>
                <w:sz w:val="17"/>
                <w:lang w:val="en-US"/>
              </w:rPr>
              <w:t>122</w:t>
            </w:r>
          </w:p>
        </w:tc>
        <w:tc>
          <w:tcPr>
            <w:tcW w:w="598" w:type="dxa"/>
            <w:vAlign w:val="bottom"/>
          </w:tcPr>
          <w:p w:rsidR="00000000" w:rsidRDefault="00000000">
            <w:pPr>
              <w:tabs>
                <w:tab w:val="decimal" w:pos="567"/>
              </w:tabs>
              <w:spacing w:line="240" w:lineRule="auto"/>
              <w:rPr>
                <w:sz w:val="17"/>
                <w:lang w:val="en-US"/>
              </w:rPr>
            </w:pPr>
            <w:r>
              <w:rPr>
                <w:sz w:val="17"/>
                <w:lang w:val="en-US"/>
              </w:rPr>
              <w:t>74</w:t>
            </w:r>
          </w:p>
        </w:tc>
        <w:tc>
          <w:tcPr>
            <w:tcW w:w="599" w:type="dxa"/>
            <w:vAlign w:val="bottom"/>
          </w:tcPr>
          <w:p w:rsidR="00000000" w:rsidRDefault="00000000">
            <w:pPr>
              <w:tabs>
                <w:tab w:val="decimal" w:pos="567"/>
              </w:tabs>
              <w:spacing w:line="240" w:lineRule="auto"/>
              <w:rPr>
                <w:sz w:val="17"/>
                <w:lang w:val="en-US"/>
              </w:rPr>
            </w:pPr>
            <w:r>
              <w:rPr>
                <w:sz w:val="17"/>
                <w:lang w:val="en-US"/>
              </w:rPr>
              <w:t>48</w:t>
            </w:r>
          </w:p>
        </w:tc>
        <w:tc>
          <w:tcPr>
            <w:tcW w:w="598" w:type="dxa"/>
            <w:vAlign w:val="bottom"/>
          </w:tcPr>
          <w:p w:rsidR="00000000" w:rsidRDefault="00000000">
            <w:pPr>
              <w:tabs>
                <w:tab w:val="decimal" w:pos="567"/>
              </w:tabs>
              <w:spacing w:line="240" w:lineRule="auto"/>
              <w:rPr>
                <w:sz w:val="17"/>
                <w:lang w:val="en-US"/>
              </w:rPr>
            </w:pPr>
            <w:r>
              <w:rPr>
                <w:sz w:val="17"/>
                <w:lang w:val="en-US"/>
              </w:rPr>
              <w:t>92</w:t>
            </w:r>
          </w:p>
        </w:tc>
        <w:tc>
          <w:tcPr>
            <w:tcW w:w="599" w:type="dxa"/>
            <w:vAlign w:val="bottom"/>
          </w:tcPr>
          <w:p w:rsidR="00000000" w:rsidRDefault="00000000">
            <w:pPr>
              <w:tabs>
                <w:tab w:val="decimal" w:pos="567"/>
              </w:tabs>
              <w:spacing w:line="240" w:lineRule="auto"/>
              <w:rPr>
                <w:sz w:val="17"/>
                <w:lang w:val="en-US"/>
              </w:rPr>
            </w:pPr>
            <w:r>
              <w:rPr>
                <w:sz w:val="17"/>
                <w:lang w:val="en-US"/>
              </w:rPr>
              <w:t>72</w:t>
            </w:r>
          </w:p>
        </w:tc>
        <w:tc>
          <w:tcPr>
            <w:tcW w:w="598" w:type="dxa"/>
            <w:vAlign w:val="bottom"/>
          </w:tcPr>
          <w:p w:rsidR="00000000" w:rsidRDefault="00000000">
            <w:pPr>
              <w:tabs>
                <w:tab w:val="decimal" w:pos="567"/>
              </w:tabs>
              <w:spacing w:line="240" w:lineRule="auto"/>
              <w:rPr>
                <w:sz w:val="17"/>
                <w:lang w:val="en-US"/>
              </w:rPr>
            </w:pPr>
            <w:r>
              <w:rPr>
                <w:sz w:val="17"/>
                <w:lang w:val="en-US"/>
              </w:rPr>
              <w:t>20</w:t>
            </w:r>
          </w:p>
        </w:tc>
        <w:tc>
          <w:tcPr>
            <w:tcW w:w="599" w:type="dxa"/>
            <w:vAlign w:val="bottom"/>
          </w:tcPr>
          <w:p w:rsidR="00000000" w:rsidRDefault="00000000">
            <w:pPr>
              <w:tabs>
                <w:tab w:val="decimal" w:pos="567"/>
              </w:tabs>
              <w:spacing w:line="240" w:lineRule="auto"/>
              <w:rPr>
                <w:sz w:val="17"/>
                <w:lang w:val="en-US"/>
              </w:rPr>
            </w:pPr>
            <w:r>
              <w:rPr>
                <w:sz w:val="17"/>
                <w:lang w:val="en-US"/>
              </w:rPr>
              <w:t>144</w:t>
            </w:r>
          </w:p>
        </w:tc>
        <w:tc>
          <w:tcPr>
            <w:tcW w:w="598" w:type="dxa"/>
            <w:vAlign w:val="bottom"/>
          </w:tcPr>
          <w:p w:rsidR="00000000" w:rsidRDefault="00000000">
            <w:pPr>
              <w:tabs>
                <w:tab w:val="decimal" w:pos="567"/>
              </w:tabs>
              <w:spacing w:line="240" w:lineRule="auto"/>
              <w:rPr>
                <w:sz w:val="17"/>
                <w:lang w:val="en-US"/>
              </w:rPr>
            </w:pPr>
            <w:r>
              <w:rPr>
                <w:sz w:val="17"/>
                <w:lang w:val="en-US"/>
              </w:rPr>
              <w:t>106</w:t>
            </w:r>
          </w:p>
        </w:tc>
        <w:tc>
          <w:tcPr>
            <w:tcW w:w="599" w:type="dxa"/>
            <w:vAlign w:val="bottom"/>
          </w:tcPr>
          <w:p w:rsidR="00000000" w:rsidRDefault="00000000">
            <w:pPr>
              <w:tabs>
                <w:tab w:val="decimal" w:pos="567"/>
              </w:tabs>
              <w:spacing w:line="240" w:lineRule="auto"/>
              <w:rPr>
                <w:sz w:val="17"/>
                <w:lang w:val="en-US"/>
              </w:rPr>
            </w:pPr>
            <w:r>
              <w:rPr>
                <w:sz w:val="17"/>
                <w:lang w:val="en-US"/>
              </w:rPr>
              <w:t>38</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lang w:val="en-US"/>
              </w:rPr>
            </w:pPr>
            <w:r>
              <w:rPr>
                <w:sz w:val="17"/>
              </w:rPr>
              <w:t>Бакалавр наук</w:t>
            </w:r>
          </w:p>
        </w:tc>
        <w:tc>
          <w:tcPr>
            <w:tcW w:w="598" w:type="dxa"/>
            <w:vAlign w:val="bottom"/>
          </w:tcPr>
          <w:p w:rsidR="00000000" w:rsidRDefault="00000000">
            <w:pPr>
              <w:tabs>
                <w:tab w:val="decimal" w:pos="567"/>
              </w:tabs>
              <w:spacing w:line="240" w:lineRule="auto"/>
              <w:rPr>
                <w:sz w:val="17"/>
                <w:lang w:val="en-US"/>
              </w:rPr>
            </w:pPr>
            <w:r>
              <w:rPr>
                <w:sz w:val="17"/>
                <w:lang w:val="en-US"/>
              </w:rPr>
              <w:t>44</w:t>
            </w:r>
          </w:p>
        </w:tc>
        <w:tc>
          <w:tcPr>
            <w:tcW w:w="598" w:type="dxa"/>
            <w:vAlign w:val="bottom"/>
          </w:tcPr>
          <w:p w:rsidR="00000000" w:rsidRDefault="00000000">
            <w:pPr>
              <w:tabs>
                <w:tab w:val="decimal" w:pos="567"/>
              </w:tabs>
              <w:spacing w:line="240" w:lineRule="auto"/>
              <w:rPr>
                <w:sz w:val="17"/>
                <w:lang w:val="en-US"/>
              </w:rPr>
            </w:pPr>
            <w:r>
              <w:rPr>
                <w:sz w:val="17"/>
                <w:lang w:val="en-US"/>
              </w:rPr>
              <w:t>39</w:t>
            </w:r>
          </w:p>
        </w:tc>
        <w:tc>
          <w:tcPr>
            <w:tcW w:w="599" w:type="dxa"/>
            <w:vAlign w:val="bottom"/>
          </w:tcPr>
          <w:p w:rsidR="00000000" w:rsidRDefault="00000000">
            <w:pPr>
              <w:tabs>
                <w:tab w:val="decimal" w:pos="567"/>
              </w:tabs>
              <w:spacing w:line="240" w:lineRule="auto"/>
              <w:rPr>
                <w:sz w:val="17"/>
                <w:lang w:val="en-US"/>
              </w:rPr>
            </w:pPr>
            <w:r>
              <w:rPr>
                <w:sz w:val="17"/>
                <w:lang w:val="en-US"/>
              </w:rPr>
              <w:t>5</w:t>
            </w:r>
          </w:p>
        </w:tc>
        <w:tc>
          <w:tcPr>
            <w:tcW w:w="598" w:type="dxa"/>
            <w:vAlign w:val="bottom"/>
          </w:tcPr>
          <w:p w:rsidR="00000000" w:rsidRDefault="00000000">
            <w:pPr>
              <w:tabs>
                <w:tab w:val="decimal" w:pos="567"/>
              </w:tabs>
              <w:spacing w:line="240" w:lineRule="auto"/>
              <w:rPr>
                <w:sz w:val="17"/>
                <w:lang w:val="en-US"/>
              </w:rPr>
            </w:pPr>
            <w:r>
              <w:rPr>
                <w:sz w:val="17"/>
                <w:lang w:val="en-US"/>
              </w:rPr>
              <w:t>47</w:t>
            </w:r>
          </w:p>
        </w:tc>
        <w:tc>
          <w:tcPr>
            <w:tcW w:w="599" w:type="dxa"/>
            <w:vAlign w:val="bottom"/>
          </w:tcPr>
          <w:p w:rsidR="00000000" w:rsidRDefault="00000000">
            <w:pPr>
              <w:tabs>
                <w:tab w:val="decimal" w:pos="567"/>
              </w:tabs>
              <w:spacing w:line="240" w:lineRule="auto"/>
              <w:rPr>
                <w:sz w:val="17"/>
                <w:lang w:val="en-US"/>
              </w:rPr>
            </w:pPr>
            <w:r>
              <w:rPr>
                <w:sz w:val="17"/>
                <w:lang w:val="en-US"/>
              </w:rPr>
              <w:t>37</w:t>
            </w:r>
          </w:p>
        </w:tc>
        <w:tc>
          <w:tcPr>
            <w:tcW w:w="598" w:type="dxa"/>
            <w:vAlign w:val="bottom"/>
          </w:tcPr>
          <w:p w:rsidR="00000000" w:rsidRDefault="00000000">
            <w:pPr>
              <w:tabs>
                <w:tab w:val="decimal" w:pos="567"/>
              </w:tabs>
              <w:spacing w:line="240" w:lineRule="auto"/>
              <w:rPr>
                <w:sz w:val="17"/>
                <w:lang w:val="en-US"/>
              </w:rPr>
            </w:pPr>
            <w:r>
              <w:rPr>
                <w:sz w:val="17"/>
                <w:lang w:val="en-US"/>
              </w:rPr>
              <w:t>10</w:t>
            </w:r>
          </w:p>
        </w:tc>
        <w:tc>
          <w:tcPr>
            <w:tcW w:w="599" w:type="dxa"/>
            <w:vAlign w:val="bottom"/>
          </w:tcPr>
          <w:p w:rsidR="00000000" w:rsidRDefault="00000000">
            <w:pPr>
              <w:tabs>
                <w:tab w:val="decimal" w:pos="567"/>
              </w:tabs>
              <w:spacing w:line="240" w:lineRule="auto"/>
              <w:rPr>
                <w:sz w:val="17"/>
                <w:lang w:val="en-US"/>
              </w:rPr>
            </w:pPr>
            <w:r>
              <w:rPr>
                <w:sz w:val="17"/>
                <w:lang w:val="en-US"/>
              </w:rPr>
              <w:t>50</w:t>
            </w:r>
          </w:p>
        </w:tc>
        <w:tc>
          <w:tcPr>
            <w:tcW w:w="598" w:type="dxa"/>
            <w:vAlign w:val="bottom"/>
          </w:tcPr>
          <w:p w:rsidR="00000000" w:rsidRDefault="00000000">
            <w:pPr>
              <w:tabs>
                <w:tab w:val="decimal" w:pos="567"/>
              </w:tabs>
              <w:spacing w:line="240" w:lineRule="auto"/>
              <w:rPr>
                <w:sz w:val="17"/>
                <w:lang w:val="en-US"/>
              </w:rPr>
            </w:pPr>
            <w:r>
              <w:rPr>
                <w:sz w:val="17"/>
                <w:lang w:val="en-US"/>
              </w:rPr>
              <w:t>39</w:t>
            </w:r>
          </w:p>
        </w:tc>
        <w:tc>
          <w:tcPr>
            <w:tcW w:w="599" w:type="dxa"/>
            <w:vAlign w:val="bottom"/>
          </w:tcPr>
          <w:p w:rsidR="00000000" w:rsidRDefault="00000000">
            <w:pPr>
              <w:tabs>
                <w:tab w:val="decimal" w:pos="567"/>
              </w:tabs>
              <w:spacing w:line="240" w:lineRule="auto"/>
              <w:rPr>
                <w:sz w:val="17"/>
                <w:lang w:val="en-US"/>
              </w:rPr>
            </w:pPr>
            <w:r>
              <w:rPr>
                <w:sz w:val="17"/>
                <w:lang w:val="en-US"/>
              </w:rPr>
              <w:t>11</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Бакалавр сельских н</w:t>
            </w:r>
            <w:r>
              <w:rPr>
                <w:sz w:val="17"/>
              </w:rPr>
              <w:t>а</w:t>
            </w:r>
            <w:r>
              <w:rPr>
                <w:sz w:val="17"/>
              </w:rPr>
              <w:t>ук</w:t>
            </w:r>
          </w:p>
        </w:tc>
        <w:tc>
          <w:tcPr>
            <w:tcW w:w="598" w:type="dxa"/>
            <w:vAlign w:val="bottom"/>
          </w:tcPr>
          <w:p w:rsidR="00000000" w:rsidRDefault="00000000">
            <w:pPr>
              <w:pStyle w:val="Header"/>
              <w:tabs>
                <w:tab w:val="clear" w:pos="4320"/>
                <w:tab w:val="clear" w:pos="8640"/>
                <w:tab w:val="decimal" w:pos="567"/>
              </w:tabs>
              <w:rPr>
                <w:noProof w:val="0"/>
                <w:spacing w:val="4"/>
                <w:w w:val="103"/>
                <w:kern w:val="14"/>
                <w:lang w:val="en-US"/>
              </w:rPr>
            </w:pPr>
            <w:r>
              <w:rPr>
                <w:noProof w:val="0"/>
                <w:spacing w:val="4"/>
                <w:w w:val="103"/>
                <w:kern w:val="14"/>
                <w:lang w:val="en-US"/>
              </w:rPr>
              <w:t>90</w:t>
            </w:r>
          </w:p>
        </w:tc>
        <w:tc>
          <w:tcPr>
            <w:tcW w:w="598" w:type="dxa"/>
            <w:vAlign w:val="bottom"/>
          </w:tcPr>
          <w:p w:rsidR="00000000" w:rsidRDefault="00000000">
            <w:pPr>
              <w:tabs>
                <w:tab w:val="decimal" w:pos="567"/>
              </w:tabs>
              <w:spacing w:line="240" w:lineRule="auto"/>
              <w:rPr>
                <w:sz w:val="17"/>
                <w:lang w:val="en-US"/>
              </w:rPr>
            </w:pPr>
            <w:r>
              <w:rPr>
                <w:sz w:val="17"/>
                <w:lang w:val="en-US"/>
              </w:rPr>
              <w:t>69</w:t>
            </w:r>
          </w:p>
        </w:tc>
        <w:tc>
          <w:tcPr>
            <w:tcW w:w="599" w:type="dxa"/>
            <w:vAlign w:val="bottom"/>
          </w:tcPr>
          <w:p w:rsidR="00000000" w:rsidRDefault="00000000">
            <w:pPr>
              <w:tabs>
                <w:tab w:val="decimal" w:pos="567"/>
              </w:tabs>
              <w:spacing w:line="240" w:lineRule="auto"/>
              <w:rPr>
                <w:sz w:val="17"/>
                <w:lang w:val="en-US"/>
              </w:rPr>
            </w:pPr>
            <w:r>
              <w:rPr>
                <w:sz w:val="17"/>
                <w:lang w:val="en-US"/>
              </w:rPr>
              <w:t>21</w:t>
            </w:r>
          </w:p>
        </w:tc>
        <w:tc>
          <w:tcPr>
            <w:tcW w:w="598" w:type="dxa"/>
            <w:vAlign w:val="bottom"/>
          </w:tcPr>
          <w:p w:rsidR="00000000" w:rsidRDefault="00000000">
            <w:pPr>
              <w:tabs>
                <w:tab w:val="decimal" w:pos="567"/>
              </w:tabs>
              <w:spacing w:line="240" w:lineRule="auto"/>
              <w:rPr>
                <w:sz w:val="17"/>
                <w:lang w:val="en-US"/>
              </w:rPr>
            </w:pPr>
            <w:r>
              <w:rPr>
                <w:sz w:val="17"/>
                <w:lang w:val="en-US"/>
              </w:rPr>
              <w:t>170</w:t>
            </w:r>
          </w:p>
        </w:tc>
        <w:tc>
          <w:tcPr>
            <w:tcW w:w="599" w:type="dxa"/>
            <w:vAlign w:val="bottom"/>
          </w:tcPr>
          <w:p w:rsidR="00000000" w:rsidRDefault="00000000">
            <w:pPr>
              <w:tabs>
                <w:tab w:val="decimal" w:pos="567"/>
              </w:tabs>
              <w:spacing w:line="240" w:lineRule="auto"/>
              <w:rPr>
                <w:sz w:val="17"/>
                <w:lang w:val="en-US"/>
              </w:rPr>
            </w:pPr>
            <w:r>
              <w:rPr>
                <w:sz w:val="17"/>
                <w:lang w:val="en-US"/>
              </w:rPr>
              <w:t>126</w:t>
            </w:r>
          </w:p>
        </w:tc>
        <w:tc>
          <w:tcPr>
            <w:tcW w:w="598" w:type="dxa"/>
            <w:vAlign w:val="bottom"/>
          </w:tcPr>
          <w:p w:rsidR="00000000" w:rsidRDefault="00000000">
            <w:pPr>
              <w:tabs>
                <w:tab w:val="decimal" w:pos="567"/>
              </w:tabs>
              <w:spacing w:line="240" w:lineRule="auto"/>
              <w:rPr>
                <w:sz w:val="17"/>
                <w:lang w:val="en-US"/>
              </w:rPr>
            </w:pPr>
            <w:r>
              <w:rPr>
                <w:sz w:val="17"/>
                <w:lang w:val="en-US"/>
              </w:rPr>
              <w:t>44</w:t>
            </w:r>
          </w:p>
        </w:tc>
        <w:tc>
          <w:tcPr>
            <w:tcW w:w="599" w:type="dxa"/>
            <w:vAlign w:val="bottom"/>
          </w:tcPr>
          <w:p w:rsidR="00000000" w:rsidRDefault="00000000">
            <w:pPr>
              <w:tabs>
                <w:tab w:val="decimal" w:pos="567"/>
              </w:tabs>
              <w:spacing w:line="240" w:lineRule="auto"/>
              <w:rPr>
                <w:sz w:val="17"/>
                <w:lang w:val="en-US"/>
              </w:rPr>
            </w:pPr>
            <w:r>
              <w:rPr>
                <w:sz w:val="17"/>
                <w:lang w:val="en-US"/>
              </w:rPr>
              <w:t>89</w:t>
            </w:r>
          </w:p>
        </w:tc>
        <w:tc>
          <w:tcPr>
            <w:tcW w:w="598" w:type="dxa"/>
            <w:vAlign w:val="bottom"/>
          </w:tcPr>
          <w:p w:rsidR="00000000" w:rsidRDefault="00000000">
            <w:pPr>
              <w:tabs>
                <w:tab w:val="decimal" w:pos="567"/>
              </w:tabs>
              <w:spacing w:line="240" w:lineRule="auto"/>
              <w:rPr>
                <w:sz w:val="17"/>
                <w:lang w:val="en-US"/>
              </w:rPr>
            </w:pPr>
            <w:r>
              <w:rPr>
                <w:sz w:val="17"/>
                <w:lang w:val="en-US"/>
              </w:rPr>
              <w:t>67</w:t>
            </w:r>
          </w:p>
        </w:tc>
        <w:tc>
          <w:tcPr>
            <w:tcW w:w="599" w:type="dxa"/>
            <w:vAlign w:val="bottom"/>
          </w:tcPr>
          <w:p w:rsidR="00000000" w:rsidRDefault="00000000">
            <w:pPr>
              <w:tabs>
                <w:tab w:val="decimal" w:pos="567"/>
              </w:tabs>
              <w:spacing w:line="240" w:lineRule="auto"/>
              <w:rPr>
                <w:sz w:val="17"/>
                <w:lang w:val="en-US"/>
              </w:rPr>
            </w:pPr>
            <w:r>
              <w:rPr>
                <w:sz w:val="17"/>
                <w:lang w:val="en-US"/>
              </w:rPr>
              <w:t>22</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Бакалавр технических наук</w:t>
            </w:r>
          </w:p>
        </w:tc>
        <w:tc>
          <w:tcPr>
            <w:tcW w:w="598" w:type="dxa"/>
            <w:vAlign w:val="bottom"/>
          </w:tcPr>
          <w:p w:rsidR="00000000" w:rsidRDefault="00000000">
            <w:pPr>
              <w:tabs>
                <w:tab w:val="decimal" w:pos="567"/>
              </w:tabs>
              <w:spacing w:line="240" w:lineRule="auto"/>
              <w:rPr>
                <w:sz w:val="17"/>
                <w:lang w:val="en-US"/>
              </w:rPr>
            </w:pPr>
            <w:r>
              <w:rPr>
                <w:sz w:val="17"/>
                <w:lang w:val="en-US"/>
              </w:rPr>
              <w:t>46</w:t>
            </w:r>
          </w:p>
        </w:tc>
        <w:tc>
          <w:tcPr>
            <w:tcW w:w="598" w:type="dxa"/>
            <w:vAlign w:val="bottom"/>
          </w:tcPr>
          <w:p w:rsidR="00000000" w:rsidRDefault="00000000">
            <w:pPr>
              <w:tabs>
                <w:tab w:val="decimal" w:pos="567"/>
              </w:tabs>
              <w:spacing w:line="240" w:lineRule="auto"/>
              <w:rPr>
                <w:sz w:val="17"/>
                <w:lang w:val="en-US"/>
              </w:rPr>
            </w:pPr>
            <w:r>
              <w:rPr>
                <w:sz w:val="17"/>
                <w:lang w:val="en-US"/>
              </w:rPr>
              <w:t>43</w:t>
            </w:r>
          </w:p>
        </w:tc>
        <w:tc>
          <w:tcPr>
            <w:tcW w:w="599" w:type="dxa"/>
            <w:vAlign w:val="bottom"/>
          </w:tcPr>
          <w:p w:rsidR="00000000" w:rsidRDefault="00000000">
            <w:pPr>
              <w:tabs>
                <w:tab w:val="decimal" w:pos="567"/>
              </w:tabs>
              <w:spacing w:line="240" w:lineRule="auto"/>
              <w:rPr>
                <w:sz w:val="17"/>
                <w:lang w:val="en-US"/>
              </w:rPr>
            </w:pPr>
            <w:r>
              <w:rPr>
                <w:sz w:val="17"/>
                <w:lang w:val="en-US"/>
              </w:rPr>
              <w:t>6</w:t>
            </w:r>
          </w:p>
        </w:tc>
        <w:tc>
          <w:tcPr>
            <w:tcW w:w="598" w:type="dxa"/>
            <w:vAlign w:val="bottom"/>
          </w:tcPr>
          <w:p w:rsidR="00000000" w:rsidRDefault="00000000">
            <w:pPr>
              <w:tabs>
                <w:tab w:val="decimal" w:pos="567"/>
              </w:tabs>
              <w:spacing w:line="240" w:lineRule="auto"/>
              <w:rPr>
                <w:sz w:val="17"/>
                <w:lang w:val="en-US"/>
              </w:rPr>
            </w:pPr>
            <w:r>
              <w:rPr>
                <w:sz w:val="17"/>
                <w:lang w:val="en-US"/>
              </w:rPr>
              <w:t>77</w:t>
            </w:r>
          </w:p>
        </w:tc>
        <w:tc>
          <w:tcPr>
            <w:tcW w:w="599" w:type="dxa"/>
            <w:vAlign w:val="bottom"/>
          </w:tcPr>
          <w:p w:rsidR="00000000" w:rsidRDefault="00000000">
            <w:pPr>
              <w:tabs>
                <w:tab w:val="decimal" w:pos="567"/>
              </w:tabs>
              <w:spacing w:line="240" w:lineRule="auto"/>
              <w:rPr>
                <w:sz w:val="17"/>
                <w:lang w:val="en-US"/>
              </w:rPr>
            </w:pPr>
            <w:r>
              <w:rPr>
                <w:sz w:val="17"/>
                <w:lang w:val="en-US"/>
              </w:rPr>
              <w:t>74</w:t>
            </w:r>
          </w:p>
        </w:tc>
        <w:tc>
          <w:tcPr>
            <w:tcW w:w="598" w:type="dxa"/>
            <w:vAlign w:val="bottom"/>
          </w:tcPr>
          <w:p w:rsidR="00000000" w:rsidRDefault="00000000">
            <w:pPr>
              <w:tabs>
                <w:tab w:val="decimal" w:pos="567"/>
              </w:tabs>
              <w:spacing w:line="240" w:lineRule="auto"/>
              <w:rPr>
                <w:sz w:val="17"/>
                <w:lang w:val="en-US"/>
              </w:rPr>
            </w:pPr>
            <w:r>
              <w:rPr>
                <w:sz w:val="17"/>
                <w:lang w:val="en-US"/>
              </w:rPr>
              <w:t>3</w:t>
            </w:r>
          </w:p>
        </w:tc>
        <w:tc>
          <w:tcPr>
            <w:tcW w:w="599" w:type="dxa"/>
            <w:vAlign w:val="bottom"/>
          </w:tcPr>
          <w:p w:rsidR="00000000" w:rsidRDefault="00000000">
            <w:pPr>
              <w:tabs>
                <w:tab w:val="decimal" w:pos="567"/>
              </w:tabs>
              <w:spacing w:line="240" w:lineRule="auto"/>
              <w:rPr>
                <w:sz w:val="17"/>
                <w:lang w:val="en-US"/>
              </w:rPr>
            </w:pPr>
            <w:r>
              <w:rPr>
                <w:sz w:val="17"/>
                <w:lang w:val="en-US"/>
              </w:rPr>
              <w:t>63</w:t>
            </w:r>
          </w:p>
        </w:tc>
        <w:tc>
          <w:tcPr>
            <w:tcW w:w="598" w:type="dxa"/>
            <w:vAlign w:val="bottom"/>
          </w:tcPr>
          <w:p w:rsidR="00000000" w:rsidRDefault="00000000">
            <w:pPr>
              <w:tabs>
                <w:tab w:val="decimal" w:pos="567"/>
              </w:tabs>
              <w:spacing w:line="240" w:lineRule="auto"/>
              <w:rPr>
                <w:sz w:val="17"/>
                <w:lang w:val="en-US"/>
              </w:rPr>
            </w:pPr>
            <w:r>
              <w:rPr>
                <w:sz w:val="17"/>
                <w:lang w:val="en-US"/>
              </w:rPr>
              <w:t>60</w:t>
            </w:r>
          </w:p>
        </w:tc>
        <w:tc>
          <w:tcPr>
            <w:tcW w:w="599" w:type="dxa"/>
            <w:vAlign w:val="bottom"/>
          </w:tcPr>
          <w:p w:rsidR="00000000" w:rsidRDefault="00000000">
            <w:pPr>
              <w:tabs>
                <w:tab w:val="decimal" w:pos="567"/>
              </w:tabs>
              <w:spacing w:line="240" w:lineRule="auto"/>
              <w:rPr>
                <w:sz w:val="17"/>
                <w:lang w:val="en-US"/>
              </w:rPr>
            </w:pPr>
            <w:r>
              <w:rPr>
                <w:sz w:val="17"/>
                <w:lang w:val="en-US"/>
              </w:rPr>
              <w:t>3</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Бакалавр инженерных наук</w:t>
            </w:r>
          </w:p>
        </w:tc>
        <w:tc>
          <w:tcPr>
            <w:tcW w:w="598" w:type="dxa"/>
            <w:vAlign w:val="bottom"/>
          </w:tcPr>
          <w:p w:rsidR="00000000" w:rsidRDefault="00000000">
            <w:pPr>
              <w:tabs>
                <w:tab w:val="decimal" w:pos="567"/>
              </w:tabs>
              <w:spacing w:line="240" w:lineRule="auto"/>
              <w:rPr>
                <w:sz w:val="17"/>
                <w:lang w:val="en-US"/>
              </w:rPr>
            </w:pPr>
            <w:r>
              <w:rPr>
                <w:sz w:val="17"/>
                <w:lang w:val="en-US"/>
              </w:rPr>
              <w:t>-</w:t>
            </w:r>
          </w:p>
        </w:tc>
        <w:tc>
          <w:tcPr>
            <w:tcW w:w="598" w:type="dxa"/>
            <w:vAlign w:val="bottom"/>
          </w:tcPr>
          <w:p w:rsidR="00000000" w:rsidRDefault="00000000">
            <w:pPr>
              <w:tabs>
                <w:tab w:val="decimal" w:pos="567"/>
              </w:tabs>
              <w:spacing w:line="240" w:lineRule="auto"/>
              <w:rPr>
                <w:sz w:val="17"/>
                <w:lang w:val="en-US"/>
              </w:rPr>
            </w:pPr>
            <w:r>
              <w:rPr>
                <w:sz w:val="17"/>
                <w:lang w:val="en-US"/>
              </w:rPr>
              <w:t>-</w:t>
            </w:r>
          </w:p>
        </w:tc>
        <w:tc>
          <w:tcPr>
            <w:tcW w:w="599" w:type="dxa"/>
            <w:vAlign w:val="bottom"/>
          </w:tcPr>
          <w:p w:rsidR="00000000" w:rsidRDefault="00000000">
            <w:pPr>
              <w:tabs>
                <w:tab w:val="decimal" w:pos="567"/>
              </w:tabs>
              <w:spacing w:line="240" w:lineRule="auto"/>
              <w:rPr>
                <w:sz w:val="17"/>
                <w:lang w:val="en-US"/>
              </w:rPr>
            </w:pPr>
            <w:r>
              <w:rPr>
                <w:sz w:val="17"/>
                <w:lang w:val="en-US"/>
              </w:rPr>
              <w:t>-</w:t>
            </w:r>
          </w:p>
        </w:tc>
        <w:tc>
          <w:tcPr>
            <w:tcW w:w="598" w:type="dxa"/>
            <w:vAlign w:val="bottom"/>
          </w:tcPr>
          <w:p w:rsidR="00000000" w:rsidRDefault="00000000">
            <w:pPr>
              <w:tabs>
                <w:tab w:val="decimal" w:pos="567"/>
              </w:tabs>
              <w:spacing w:line="240" w:lineRule="auto"/>
              <w:rPr>
                <w:sz w:val="17"/>
                <w:lang w:val="en-US"/>
              </w:rPr>
            </w:pPr>
            <w:r>
              <w:rPr>
                <w:sz w:val="17"/>
                <w:lang w:val="en-US"/>
              </w:rPr>
              <w:t>17</w:t>
            </w:r>
          </w:p>
        </w:tc>
        <w:tc>
          <w:tcPr>
            <w:tcW w:w="599" w:type="dxa"/>
            <w:vAlign w:val="bottom"/>
          </w:tcPr>
          <w:p w:rsidR="00000000" w:rsidRDefault="00000000">
            <w:pPr>
              <w:tabs>
                <w:tab w:val="decimal" w:pos="567"/>
              </w:tabs>
              <w:spacing w:line="240" w:lineRule="auto"/>
              <w:rPr>
                <w:sz w:val="17"/>
                <w:lang w:val="en-US"/>
              </w:rPr>
            </w:pPr>
            <w:r>
              <w:rPr>
                <w:sz w:val="17"/>
                <w:lang w:val="en-US"/>
              </w:rPr>
              <w:t>17</w:t>
            </w:r>
          </w:p>
        </w:tc>
        <w:tc>
          <w:tcPr>
            <w:tcW w:w="598" w:type="dxa"/>
            <w:vAlign w:val="bottom"/>
          </w:tcPr>
          <w:p w:rsidR="00000000" w:rsidRDefault="00000000">
            <w:pPr>
              <w:tabs>
                <w:tab w:val="decimal" w:pos="567"/>
              </w:tabs>
              <w:spacing w:line="240" w:lineRule="auto"/>
              <w:rPr>
                <w:sz w:val="17"/>
                <w:lang w:val="en-US"/>
              </w:rPr>
            </w:pPr>
            <w:r>
              <w:rPr>
                <w:sz w:val="17"/>
                <w:lang w:val="en-US"/>
              </w:rPr>
              <w:t>-</w:t>
            </w:r>
          </w:p>
        </w:tc>
        <w:tc>
          <w:tcPr>
            <w:tcW w:w="599" w:type="dxa"/>
            <w:vAlign w:val="bottom"/>
          </w:tcPr>
          <w:p w:rsidR="00000000" w:rsidRDefault="00000000">
            <w:pPr>
              <w:tabs>
                <w:tab w:val="decimal" w:pos="567"/>
              </w:tabs>
              <w:spacing w:line="240" w:lineRule="auto"/>
              <w:rPr>
                <w:sz w:val="17"/>
                <w:lang w:val="en-US"/>
              </w:rPr>
            </w:pPr>
            <w:r>
              <w:rPr>
                <w:sz w:val="17"/>
                <w:lang w:val="en-US"/>
              </w:rPr>
              <w:t>-</w:t>
            </w:r>
          </w:p>
        </w:tc>
        <w:tc>
          <w:tcPr>
            <w:tcW w:w="598" w:type="dxa"/>
            <w:vAlign w:val="bottom"/>
          </w:tcPr>
          <w:p w:rsidR="00000000" w:rsidRDefault="00000000">
            <w:pPr>
              <w:tabs>
                <w:tab w:val="decimal" w:pos="567"/>
              </w:tabs>
              <w:spacing w:line="240" w:lineRule="auto"/>
              <w:rPr>
                <w:sz w:val="17"/>
                <w:lang w:val="en-US"/>
              </w:rPr>
            </w:pPr>
            <w:r>
              <w:rPr>
                <w:sz w:val="17"/>
                <w:lang w:val="en-US"/>
              </w:rPr>
              <w:t>-</w:t>
            </w:r>
          </w:p>
        </w:tc>
        <w:tc>
          <w:tcPr>
            <w:tcW w:w="599" w:type="dxa"/>
            <w:vAlign w:val="bottom"/>
          </w:tcPr>
          <w:p w:rsidR="00000000" w:rsidRDefault="00000000">
            <w:pPr>
              <w:tabs>
                <w:tab w:val="decimal" w:pos="567"/>
              </w:tabs>
              <w:spacing w:line="240" w:lineRule="auto"/>
              <w:rPr>
                <w:sz w:val="17"/>
                <w:lang w:val="en-US"/>
              </w:rPr>
            </w:pPr>
            <w:r>
              <w:rPr>
                <w:sz w:val="17"/>
                <w:lang w:val="en-US"/>
              </w:rPr>
              <w:t>-</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Бакалавр экологии и технических наук</w:t>
            </w:r>
          </w:p>
        </w:tc>
        <w:tc>
          <w:tcPr>
            <w:tcW w:w="598" w:type="dxa"/>
            <w:vAlign w:val="bottom"/>
          </w:tcPr>
          <w:p w:rsidR="00000000" w:rsidRDefault="00000000">
            <w:pPr>
              <w:tabs>
                <w:tab w:val="decimal" w:pos="567"/>
              </w:tabs>
              <w:spacing w:line="240" w:lineRule="auto"/>
              <w:rPr>
                <w:sz w:val="17"/>
                <w:lang w:val="en-US"/>
              </w:rPr>
            </w:pPr>
            <w:r>
              <w:rPr>
                <w:sz w:val="17"/>
                <w:lang w:val="en-US"/>
              </w:rPr>
              <w:t>26</w:t>
            </w:r>
          </w:p>
        </w:tc>
        <w:tc>
          <w:tcPr>
            <w:tcW w:w="598" w:type="dxa"/>
            <w:vAlign w:val="bottom"/>
          </w:tcPr>
          <w:p w:rsidR="00000000" w:rsidRDefault="00000000">
            <w:pPr>
              <w:tabs>
                <w:tab w:val="decimal" w:pos="567"/>
              </w:tabs>
              <w:spacing w:line="240" w:lineRule="auto"/>
              <w:rPr>
                <w:sz w:val="17"/>
                <w:lang w:val="en-US"/>
              </w:rPr>
            </w:pPr>
            <w:r>
              <w:rPr>
                <w:sz w:val="17"/>
                <w:lang w:val="en-US"/>
              </w:rPr>
              <w:t>24</w:t>
            </w:r>
          </w:p>
        </w:tc>
        <w:tc>
          <w:tcPr>
            <w:tcW w:w="599" w:type="dxa"/>
            <w:vAlign w:val="bottom"/>
          </w:tcPr>
          <w:p w:rsidR="00000000" w:rsidRDefault="00000000">
            <w:pPr>
              <w:tabs>
                <w:tab w:val="decimal" w:pos="567"/>
              </w:tabs>
              <w:spacing w:line="240" w:lineRule="auto"/>
              <w:rPr>
                <w:sz w:val="17"/>
                <w:lang w:val="en-US"/>
              </w:rPr>
            </w:pPr>
            <w:r>
              <w:rPr>
                <w:sz w:val="17"/>
                <w:lang w:val="en-US"/>
              </w:rPr>
              <w:t>2</w:t>
            </w:r>
          </w:p>
        </w:tc>
        <w:tc>
          <w:tcPr>
            <w:tcW w:w="598" w:type="dxa"/>
            <w:vAlign w:val="bottom"/>
          </w:tcPr>
          <w:p w:rsidR="00000000" w:rsidRDefault="00000000">
            <w:pPr>
              <w:tabs>
                <w:tab w:val="decimal" w:pos="567"/>
              </w:tabs>
              <w:spacing w:line="240" w:lineRule="auto"/>
              <w:rPr>
                <w:sz w:val="17"/>
                <w:lang w:val="en-US"/>
              </w:rPr>
            </w:pPr>
            <w:r>
              <w:rPr>
                <w:sz w:val="17"/>
                <w:lang w:val="en-US"/>
              </w:rPr>
              <w:t>7</w:t>
            </w:r>
          </w:p>
        </w:tc>
        <w:tc>
          <w:tcPr>
            <w:tcW w:w="599" w:type="dxa"/>
            <w:vAlign w:val="bottom"/>
          </w:tcPr>
          <w:p w:rsidR="00000000" w:rsidRDefault="00000000">
            <w:pPr>
              <w:tabs>
                <w:tab w:val="decimal" w:pos="567"/>
              </w:tabs>
              <w:spacing w:line="240" w:lineRule="auto"/>
              <w:rPr>
                <w:sz w:val="17"/>
                <w:lang w:val="en-US"/>
              </w:rPr>
            </w:pPr>
            <w:r>
              <w:rPr>
                <w:sz w:val="17"/>
                <w:lang w:val="en-US"/>
              </w:rPr>
              <w:t>6</w:t>
            </w:r>
          </w:p>
        </w:tc>
        <w:tc>
          <w:tcPr>
            <w:tcW w:w="598" w:type="dxa"/>
            <w:vAlign w:val="bottom"/>
          </w:tcPr>
          <w:p w:rsidR="00000000" w:rsidRDefault="00000000">
            <w:pPr>
              <w:tabs>
                <w:tab w:val="decimal" w:pos="567"/>
              </w:tabs>
              <w:spacing w:line="240" w:lineRule="auto"/>
              <w:rPr>
                <w:sz w:val="17"/>
                <w:lang w:val="en-US"/>
              </w:rPr>
            </w:pPr>
            <w:r>
              <w:rPr>
                <w:sz w:val="17"/>
                <w:lang w:val="en-US"/>
              </w:rPr>
              <w:t>1</w:t>
            </w:r>
          </w:p>
        </w:tc>
        <w:tc>
          <w:tcPr>
            <w:tcW w:w="599" w:type="dxa"/>
            <w:vAlign w:val="bottom"/>
          </w:tcPr>
          <w:p w:rsidR="00000000" w:rsidRDefault="00000000">
            <w:pPr>
              <w:tabs>
                <w:tab w:val="decimal" w:pos="567"/>
              </w:tabs>
              <w:spacing w:line="240" w:lineRule="auto"/>
              <w:rPr>
                <w:sz w:val="17"/>
                <w:lang w:val="en-US"/>
              </w:rPr>
            </w:pPr>
            <w:r>
              <w:rPr>
                <w:sz w:val="17"/>
                <w:lang w:val="en-US"/>
              </w:rPr>
              <w:t>51</w:t>
            </w:r>
          </w:p>
        </w:tc>
        <w:tc>
          <w:tcPr>
            <w:tcW w:w="598" w:type="dxa"/>
            <w:vAlign w:val="bottom"/>
          </w:tcPr>
          <w:p w:rsidR="00000000" w:rsidRDefault="00000000">
            <w:pPr>
              <w:tabs>
                <w:tab w:val="decimal" w:pos="567"/>
              </w:tabs>
              <w:spacing w:line="240" w:lineRule="auto"/>
              <w:rPr>
                <w:sz w:val="17"/>
                <w:lang w:val="en-US"/>
              </w:rPr>
            </w:pPr>
            <w:r>
              <w:rPr>
                <w:sz w:val="17"/>
                <w:lang w:val="en-US"/>
              </w:rPr>
              <w:t>40</w:t>
            </w:r>
          </w:p>
        </w:tc>
        <w:tc>
          <w:tcPr>
            <w:tcW w:w="599" w:type="dxa"/>
            <w:vAlign w:val="bottom"/>
          </w:tcPr>
          <w:p w:rsidR="00000000" w:rsidRDefault="00000000">
            <w:pPr>
              <w:tabs>
                <w:tab w:val="decimal" w:pos="567"/>
              </w:tabs>
              <w:spacing w:line="240" w:lineRule="auto"/>
              <w:rPr>
                <w:sz w:val="17"/>
                <w:lang w:val="en-US"/>
              </w:rPr>
            </w:pPr>
            <w:r>
              <w:rPr>
                <w:sz w:val="17"/>
                <w:lang w:val="en-US"/>
              </w:rPr>
              <w:t>11</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Бакалавр методики ухода за больными</w:t>
            </w:r>
          </w:p>
        </w:tc>
        <w:tc>
          <w:tcPr>
            <w:tcW w:w="598" w:type="dxa"/>
            <w:vAlign w:val="bottom"/>
          </w:tcPr>
          <w:p w:rsidR="00000000" w:rsidRDefault="00000000">
            <w:pPr>
              <w:tabs>
                <w:tab w:val="decimal" w:pos="567"/>
              </w:tabs>
              <w:spacing w:line="240" w:lineRule="auto"/>
              <w:rPr>
                <w:sz w:val="17"/>
                <w:lang w:val="en-US"/>
              </w:rPr>
            </w:pPr>
            <w:r>
              <w:rPr>
                <w:sz w:val="17"/>
                <w:lang w:val="en-US"/>
              </w:rPr>
              <w:t>16</w:t>
            </w:r>
          </w:p>
        </w:tc>
        <w:tc>
          <w:tcPr>
            <w:tcW w:w="598" w:type="dxa"/>
            <w:vAlign w:val="bottom"/>
          </w:tcPr>
          <w:p w:rsidR="00000000" w:rsidRDefault="00000000">
            <w:pPr>
              <w:tabs>
                <w:tab w:val="decimal" w:pos="567"/>
              </w:tabs>
              <w:spacing w:line="240" w:lineRule="auto"/>
              <w:rPr>
                <w:sz w:val="17"/>
                <w:lang w:val="en-US"/>
              </w:rPr>
            </w:pPr>
            <w:r>
              <w:rPr>
                <w:sz w:val="17"/>
                <w:lang w:val="en-US"/>
              </w:rPr>
              <w:t>15</w:t>
            </w:r>
          </w:p>
        </w:tc>
        <w:tc>
          <w:tcPr>
            <w:tcW w:w="599" w:type="dxa"/>
            <w:vAlign w:val="bottom"/>
          </w:tcPr>
          <w:p w:rsidR="00000000" w:rsidRDefault="00000000">
            <w:pPr>
              <w:tabs>
                <w:tab w:val="decimal" w:pos="567"/>
              </w:tabs>
              <w:spacing w:line="240" w:lineRule="auto"/>
              <w:rPr>
                <w:sz w:val="17"/>
                <w:lang w:val="en-US"/>
              </w:rPr>
            </w:pPr>
            <w:r>
              <w:rPr>
                <w:sz w:val="17"/>
                <w:lang w:val="en-US"/>
              </w:rPr>
              <w:t>1</w:t>
            </w:r>
          </w:p>
        </w:tc>
        <w:tc>
          <w:tcPr>
            <w:tcW w:w="598" w:type="dxa"/>
            <w:vAlign w:val="bottom"/>
          </w:tcPr>
          <w:p w:rsidR="00000000" w:rsidRDefault="00000000">
            <w:pPr>
              <w:tabs>
                <w:tab w:val="decimal" w:pos="567"/>
              </w:tabs>
              <w:spacing w:line="240" w:lineRule="auto"/>
              <w:rPr>
                <w:sz w:val="17"/>
                <w:lang w:val="en-US"/>
              </w:rPr>
            </w:pPr>
            <w:r>
              <w:rPr>
                <w:sz w:val="17"/>
                <w:lang w:val="en-US"/>
              </w:rPr>
              <w:t>11</w:t>
            </w:r>
          </w:p>
        </w:tc>
        <w:tc>
          <w:tcPr>
            <w:tcW w:w="599" w:type="dxa"/>
            <w:vAlign w:val="bottom"/>
          </w:tcPr>
          <w:p w:rsidR="00000000" w:rsidRDefault="00000000">
            <w:pPr>
              <w:tabs>
                <w:tab w:val="decimal" w:pos="567"/>
              </w:tabs>
              <w:spacing w:line="240" w:lineRule="auto"/>
              <w:rPr>
                <w:sz w:val="17"/>
                <w:lang w:val="en-US"/>
              </w:rPr>
            </w:pPr>
            <w:r>
              <w:rPr>
                <w:sz w:val="17"/>
                <w:lang w:val="en-US"/>
              </w:rPr>
              <w:t>4</w:t>
            </w:r>
          </w:p>
        </w:tc>
        <w:tc>
          <w:tcPr>
            <w:tcW w:w="598" w:type="dxa"/>
            <w:vAlign w:val="bottom"/>
          </w:tcPr>
          <w:p w:rsidR="00000000" w:rsidRDefault="00000000">
            <w:pPr>
              <w:tabs>
                <w:tab w:val="decimal" w:pos="567"/>
              </w:tabs>
              <w:spacing w:line="240" w:lineRule="auto"/>
              <w:rPr>
                <w:sz w:val="17"/>
                <w:lang w:val="en-US"/>
              </w:rPr>
            </w:pPr>
            <w:r>
              <w:rPr>
                <w:sz w:val="17"/>
                <w:lang w:val="en-US"/>
              </w:rPr>
              <w:t>7</w:t>
            </w:r>
          </w:p>
        </w:tc>
        <w:tc>
          <w:tcPr>
            <w:tcW w:w="599" w:type="dxa"/>
            <w:vAlign w:val="bottom"/>
          </w:tcPr>
          <w:p w:rsidR="00000000" w:rsidRDefault="00000000">
            <w:pPr>
              <w:tabs>
                <w:tab w:val="decimal" w:pos="567"/>
              </w:tabs>
              <w:spacing w:line="240" w:lineRule="auto"/>
              <w:rPr>
                <w:sz w:val="17"/>
                <w:lang w:val="en-US"/>
              </w:rPr>
            </w:pPr>
            <w:r>
              <w:rPr>
                <w:sz w:val="17"/>
                <w:lang w:val="en-US"/>
              </w:rPr>
              <w:t>33</w:t>
            </w:r>
          </w:p>
        </w:tc>
        <w:tc>
          <w:tcPr>
            <w:tcW w:w="598" w:type="dxa"/>
            <w:vAlign w:val="bottom"/>
          </w:tcPr>
          <w:p w:rsidR="00000000" w:rsidRDefault="00000000">
            <w:pPr>
              <w:tabs>
                <w:tab w:val="decimal" w:pos="567"/>
              </w:tabs>
              <w:spacing w:line="240" w:lineRule="auto"/>
              <w:rPr>
                <w:sz w:val="17"/>
                <w:lang w:val="en-US"/>
              </w:rPr>
            </w:pPr>
            <w:r>
              <w:rPr>
                <w:sz w:val="17"/>
                <w:lang w:val="en-US"/>
              </w:rPr>
              <w:t>22</w:t>
            </w:r>
          </w:p>
        </w:tc>
        <w:tc>
          <w:tcPr>
            <w:tcW w:w="599" w:type="dxa"/>
            <w:vAlign w:val="bottom"/>
          </w:tcPr>
          <w:p w:rsidR="00000000" w:rsidRDefault="00000000">
            <w:pPr>
              <w:tabs>
                <w:tab w:val="decimal" w:pos="567"/>
              </w:tabs>
              <w:spacing w:line="240" w:lineRule="auto"/>
              <w:rPr>
                <w:sz w:val="17"/>
                <w:lang w:val="en-US"/>
              </w:rPr>
            </w:pPr>
            <w:r>
              <w:rPr>
                <w:sz w:val="17"/>
                <w:lang w:val="en-US"/>
              </w:rPr>
              <w:t>11</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Бакалавр социальных наук</w:t>
            </w:r>
          </w:p>
        </w:tc>
        <w:tc>
          <w:tcPr>
            <w:tcW w:w="598" w:type="dxa"/>
            <w:vAlign w:val="bottom"/>
          </w:tcPr>
          <w:p w:rsidR="00000000" w:rsidRDefault="00000000">
            <w:pPr>
              <w:tabs>
                <w:tab w:val="decimal" w:pos="567"/>
              </w:tabs>
              <w:spacing w:line="240" w:lineRule="auto"/>
              <w:rPr>
                <w:sz w:val="17"/>
                <w:lang w:val="en-US"/>
              </w:rPr>
            </w:pPr>
            <w:r>
              <w:rPr>
                <w:sz w:val="17"/>
                <w:lang w:val="en-US"/>
              </w:rPr>
              <w:t>79</w:t>
            </w:r>
          </w:p>
        </w:tc>
        <w:tc>
          <w:tcPr>
            <w:tcW w:w="598" w:type="dxa"/>
            <w:vAlign w:val="bottom"/>
          </w:tcPr>
          <w:p w:rsidR="00000000" w:rsidRDefault="00000000">
            <w:pPr>
              <w:tabs>
                <w:tab w:val="decimal" w:pos="567"/>
              </w:tabs>
              <w:spacing w:line="240" w:lineRule="auto"/>
              <w:rPr>
                <w:sz w:val="17"/>
                <w:lang w:val="en-US"/>
              </w:rPr>
            </w:pPr>
            <w:r>
              <w:rPr>
                <w:sz w:val="17"/>
                <w:lang w:val="en-US"/>
              </w:rPr>
              <w:t>63</w:t>
            </w:r>
          </w:p>
        </w:tc>
        <w:tc>
          <w:tcPr>
            <w:tcW w:w="599" w:type="dxa"/>
            <w:vAlign w:val="bottom"/>
          </w:tcPr>
          <w:p w:rsidR="00000000" w:rsidRDefault="00000000">
            <w:pPr>
              <w:tabs>
                <w:tab w:val="decimal" w:pos="567"/>
              </w:tabs>
              <w:spacing w:line="240" w:lineRule="auto"/>
              <w:rPr>
                <w:sz w:val="17"/>
                <w:lang w:val="en-US"/>
              </w:rPr>
            </w:pPr>
            <w:r>
              <w:rPr>
                <w:sz w:val="17"/>
                <w:lang w:val="en-US"/>
              </w:rPr>
              <w:t>16</w:t>
            </w:r>
          </w:p>
        </w:tc>
        <w:tc>
          <w:tcPr>
            <w:tcW w:w="598" w:type="dxa"/>
            <w:vAlign w:val="bottom"/>
          </w:tcPr>
          <w:p w:rsidR="00000000" w:rsidRDefault="00000000">
            <w:pPr>
              <w:tabs>
                <w:tab w:val="decimal" w:pos="567"/>
              </w:tabs>
              <w:spacing w:line="240" w:lineRule="auto"/>
              <w:rPr>
                <w:sz w:val="17"/>
                <w:lang w:val="en-US"/>
              </w:rPr>
            </w:pPr>
            <w:r>
              <w:rPr>
                <w:sz w:val="17"/>
                <w:lang w:val="en-US"/>
              </w:rPr>
              <w:t>52</w:t>
            </w:r>
          </w:p>
        </w:tc>
        <w:tc>
          <w:tcPr>
            <w:tcW w:w="599" w:type="dxa"/>
            <w:vAlign w:val="bottom"/>
          </w:tcPr>
          <w:p w:rsidR="00000000" w:rsidRDefault="00000000">
            <w:pPr>
              <w:tabs>
                <w:tab w:val="decimal" w:pos="567"/>
              </w:tabs>
              <w:spacing w:line="240" w:lineRule="auto"/>
              <w:rPr>
                <w:sz w:val="17"/>
                <w:lang w:val="en-US"/>
              </w:rPr>
            </w:pPr>
            <w:r>
              <w:rPr>
                <w:sz w:val="17"/>
                <w:lang w:val="en-US"/>
              </w:rPr>
              <w:t>39</w:t>
            </w:r>
          </w:p>
        </w:tc>
        <w:tc>
          <w:tcPr>
            <w:tcW w:w="598" w:type="dxa"/>
            <w:vAlign w:val="bottom"/>
          </w:tcPr>
          <w:p w:rsidR="00000000" w:rsidRDefault="00000000">
            <w:pPr>
              <w:tabs>
                <w:tab w:val="decimal" w:pos="567"/>
              </w:tabs>
              <w:spacing w:line="240" w:lineRule="auto"/>
              <w:rPr>
                <w:sz w:val="17"/>
                <w:lang w:val="en-US"/>
              </w:rPr>
            </w:pPr>
            <w:r>
              <w:rPr>
                <w:sz w:val="17"/>
                <w:lang w:val="en-US"/>
              </w:rPr>
              <w:t>13</w:t>
            </w:r>
          </w:p>
        </w:tc>
        <w:tc>
          <w:tcPr>
            <w:tcW w:w="599" w:type="dxa"/>
            <w:vAlign w:val="bottom"/>
          </w:tcPr>
          <w:p w:rsidR="00000000" w:rsidRDefault="00000000">
            <w:pPr>
              <w:tabs>
                <w:tab w:val="decimal" w:pos="567"/>
              </w:tabs>
              <w:spacing w:line="240" w:lineRule="auto"/>
              <w:rPr>
                <w:sz w:val="17"/>
                <w:lang w:val="en-US"/>
              </w:rPr>
            </w:pPr>
            <w:r>
              <w:rPr>
                <w:sz w:val="17"/>
                <w:lang w:val="en-US"/>
              </w:rPr>
              <w:t>51</w:t>
            </w:r>
          </w:p>
        </w:tc>
        <w:tc>
          <w:tcPr>
            <w:tcW w:w="598" w:type="dxa"/>
            <w:vAlign w:val="bottom"/>
          </w:tcPr>
          <w:p w:rsidR="00000000" w:rsidRDefault="00000000">
            <w:pPr>
              <w:tabs>
                <w:tab w:val="decimal" w:pos="567"/>
              </w:tabs>
              <w:spacing w:line="240" w:lineRule="auto"/>
              <w:rPr>
                <w:sz w:val="17"/>
                <w:lang w:val="en-US"/>
              </w:rPr>
            </w:pPr>
            <w:r>
              <w:rPr>
                <w:sz w:val="17"/>
                <w:lang w:val="en-US"/>
              </w:rPr>
              <w:t>33</w:t>
            </w:r>
          </w:p>
        </w:tc>
        <w:tc>
          <w:tcPr>
            <w:tcW w:w="599" w:type="dxa"/>
            <w:vAlign w:val="bottom"/>
          </w:tcPr>
          <w:p w:rsidR="00000000" w:rsidRDefault="00000000">
            <w:pPr>
              <w:tabs>
                <w:tab w:val="decimal" w:pos="567"/>
              </w:tabs>
              <w:spacing w:line="240" w:lineRule="auto"/>
              <w:rPr>
                <w:sz w:val="17"/>
                <w:lang w:val="en-US"/>
              </w:rPr>
            </w:pPr>
            <w:r>
              <w:rPr>
                <w:sz w:val="17"/>
                <w:lang w:val="en-US"/>
              </w:rPr>
              <w:t>18</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Бакалавр права (с о</w:t>
            </w:r>
            <w:r>
              <w:rPr>
                <w:sz w:val="17"/>
              </w:rPr>
              <w:t>т</w:t>
            </w:r>
            <w:r>
              <w:rPr>
                <w:sz w:val="17"/>
              </w:rPr>
              <w:t>личием)</w:t>
            </w:r>
          </w:p>
        </w:tc>
        <w:tc>
          <w:tcPr>
            <w:tcW w:w="598" w:type="dxa"/>
            <w:vAlign w:val="bottom"/>
          </w:tcPr>
          <w:p w:rsidR="00000000" w:rsidRDefault="00000000">
            <w:pPr>
              <w:tabs>
                <w:tab w:val="decimal" w:pos="567"/>
              </w:tabs>
              <w:spacing w:line="240" w:lineRule="auto"/>
              <w:rPr>
                <w:sz w:val="17"/>
                <w:lang w:val="en-US"/>
              </w:rPr>
            </w:pPr>
            <w:r>
              <w:rPr>
                <w:sz w:val="17"/>
                <w:lang w:val="en-US"/>
              </w:rPr>
              <w:t>9</w:t>
            </w:r>
          </w:p>
        </w:tc>
        <w:tc>
          <w:tcPr>
            <w:tcW w:w="598" w:type="dxa"/>
            <w:vAlign w:val="bottom"/>
          </w:tcPr>
          <w:p w:rsidR="00000000" w:rsidRDefault="00000000">
            <w:pPr>
              <w:tabs>
                <w:tab w:val="decimal" w:pos="567"/>
              </w:tabs>
              <w:spacing w:line="240" w:lineRule="auto"/>
              <w:rPr>
                <w:sz w:val="17"/>
                <w:lang w:val="en-US"/>
              </w:rPr>
            </w:pPr>
            <w:r>
              <w:rPr>
                <w:sz w:val="17"/>
                <w:lang w:val="en-US"/>
              </w:rPr>
              <w:t>6</w:t>
            </w:r>
          </w:p>
        </w:tc>
        <w:tc>
          <w:tcPr>
            <w:tcW w:w="599" w:type="dxa"/>
            <w:vAlign w:val="bottom"/>
          </w:tcPr>
          <w:p w:rsidR="00000000" w:rsidRDefault="00000000">
            <w:pPr>
              <w:tabs>
                <w:tab w:val="decimal" w:pos="567"/>
              </w:tabs>
              <w:spacing w:line="240" w:lineRule="auto"/>
              <w:rPr>
                <w:sz w:val="17"/>
                <w:lang w:val="en-US"/>
              </w:rPr>
            </w:pPr>
            <w:r>
              <w:rPr>
                <w:sz w:val="17"/>
                <w:lang w:val="en-US"/>
              </w:rPr>
              <w:t>3</w:t>
            </w:r>
          </w:p>
        </w:tc>
        <w:tc>
          <w:tcPr>
            <w:tcW w:w="598" w:type="dxa"/>
            <w:vAlign w:val="bottom"/>
          </w:tcPr>
          <w:p w:rsidR="00000000" w:rsidRDefault="00000000">
            <w:pPr>
              <w:tabs>
                <w:tab w:val="decimal" w:pos="567"/>
              </w:tabs>
              <w:spacing w:line="240" w:lineRule="auto"/>
              <w:rPr>
                <w:sz w:val="17"/>
                <w:lang w:val="en-US"/>
              </w:rPr>
            </w:pPr>
            <w:r>
              <w:rPr>
                <w:sz w:val="17"/>
                <w:lang w:val="en-US"/>
              </w:rPr>
              <w:t>20</w:t>
            </w:r>
          </w:p>
        </w:tc>
        <w:tc>
          <w:tcPr>
            <w:tcW w:w="599" w:type="dxa"/>
            <w:vAlign w:val="bottom"/>
          </w:tcPr>
          <w:p w:rsidR="00000000" w:rsidRDefault="00000000">
            <w:pPr>
              <w:tabs>
                <w:tab w:val="decimal" w:pos="567"/>
              </w:tabs>
              <w:spacing w:line="240" w:lineRule="auto"/>
              <w:rPr>
                <w:sz w:val="17"/>
                <w:lang w:val="en-US"/>
              </w:rPr>
            </w:pPr>
            <w:r>
              <w:rPr>
                <w:sz w:val="17"/>
                <w:lang w:val="en-US"/>
              </w:rPr>
              <w:t>19</w:t>
            </w:r>
          </w:p>
        </w:tc>
        <w:tc>
          <w:tcPr>
            <w:tcW w:w="598" w:type="dxa"/>
            <w:vAlign w:val="bottom"/>
          </w:tcPr>
          <w:p w:rsidR="00000000" w:rsidRDefault="00000000">
            <w:pPr>
              <w:tabs>
                <w:tab w:val="decimal" w:pos="567"/>
              </w:tabs>
              <w:spacing w:line="240" w:lineRule="auto"/>
              <w:rPr>
                <w:sz w:val="17"/>
                <w:lang w:val="en-US"/>
              </w:rPr>
            </w:pPr>
            <w:r>
              <w:rPr>
                <w:sz w:val="17"/>
                <w:lang w:val="en-US"/>
              </w:rPr>
              <w:t>1</w:t>
            </w:r>
          </w:p>
        </w:tc>
        <w:tc>
          <w:tcPr>
            <w:tcW w:w="599" w:type="dxa"/>
            <w:vAlign w:val="bottom"/>
          </w:tcPr>
          <w:p w:rsidR="00000000" w:rsidRDefault="00000000">
            <w:pPr>
              <w:tabs>
                <w:tab w:val="decimal" w:pos="567"/>
              </w:tabs>
              <w:spacing w:line="240" w:lineRule="auto"/>
              <w:rPr>
                <w:sz w:val="17"/>
                <w:lang w:val="en-US"/>
              </w:rPr>
            </w:pPr>
            <w:r>
              <w:rPr>
                <w:sz w:val="17"/>
                <w:lang w:val="en-US"/>
              </w:rPr>
              <w:t>18</w:t>
            </w:r>
          </w:p>
        </w:tc>
        <w:tc>
          <w:tcPr>
            <w:tcW w:w="598" w:type="dxa"/>
            <w:vAlign w:val="bottom"/>
          </w:tcPr>
          <w:p w:rsidR="00000000" w:rsidRDefault="00000000">
            <w:pPr>
              <w:tabs>
                <w:tab w:val="decimal" w:pos="567"/>
              </w:tabs>
              <w:spacing w:line="240" w:lineRule="auto"/>
              <w:rPr>
                <w:sz w:val="17"/>
                <w:lang w:val="en-US"/>
              </w:rPr>
            </w:pPr>
            <w:r>
              <w:rPr>
                <w:sz w:val="17"/>
                <w:lang w:val="en-US"/>
              </w:rPr>
              <w:t>12</w:t>
            </w:r>
          </w:p>
        </w:tc>
        <w:tc>
          <w:tcPr>
            <w:tcW w:w="599" w:type="dxa"/>
            <w:vAlign w:val="bottom"/>
          </w:tcPr>
          <w:p w:rsidR="00000000" w:rsidRDefault="00000000">
            <w:pPr>
              <w:tabs>
                <w:tab w:val="decimal" w:pos="567"/>
              </w:tabs>
              <w:spacing w:line="240" w:lineRule="auto"/>
              <w:rPr>
                <w:sz w:val="17"/>
                <w:lang w:val="en-US"/>
              </w:rPr>
            </w:pPr>
            <w:r>
              <w:rPr>
                <w:sz w:val="17"/>
                <w:lang w:val="en-US"/>
              </w:rPr>
              <w:t>6</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lang w:val="en-US"/>
              </w:rPr>
            </w:pPr>
            <w:r>
              <w:rPr>
                <w:sz w:val="17"/>
              </w:rPr>
              <w:t>Магистр</w:t>
            </w:r>
          </w:p>
        </w:tc>
        <w:tc>
          <w:tcPr>
            <w:tcW w:w="598" w:type="dxa"/>
            <w:vAlign w:val="bottom"/>
          </w:tcPr>
          <w:p w:rsidR="00000000" w:rsidRDefault="00000000">
            <w:pPr>
              <w:tabs>
                <w:tab w:val="decimal" w:pos="567"/>
              </w:tabs>
              <w:spacing w:line="240" w:lineRule="auto"/>
              <w:rPr>
                <w:sz w:val="17"/>
                <w:lang w:val="en-US"/>
              </w:rPr>
            </w:pPr>
            <w:r>
              <w:rPr>
                <w:sz w:val="17"/>
                <w:lang w:val="en-US"/>
              </w:rPr>
              <w:t>2</w:t>
            </w:r>
          </w:p>
        </w:tc>
        <w:tc>
          <w:tcPr>
            <w:tcW w:w="598" w:type="dxa"/>
            <w:vAlign w:val="bottom"/>
          </w:tcPr>
          <w:p w:rsidR="00000000" w:rsidRDefault="00000000">
            <w:pPr>
              <w:tabs>
                <w:tab w:val="decimal" w:pos="567"/>
              </w:tabs>
              <w:spacing w:line="240" w:lineRule="auto"/>
              <w:rPr>
                <w:sz w:val="17"/>
                <w:lang w:val="en-US"/>
              </w:rPr>
            </w:pPr>
            <w:r>
              <w:rPr>
                <w:sz w:val="17"/>
                <w:lang w:val="en-US"/>
              </w:rPr>
              <w:t>2</w:t>
            </w:r>
          </w:p>
        </w:tc>
        <w:tc>
          <w:tcPr>
            <w:tcW w:w="599" w:type="dxa"/>
            <w:vAlign w:val="bottom"/>
          </w:tcPr>
          <w:p w:rsidR="00000000" w:rsidRDefault="00000000">
            <w:pPr>
              <w:tabs>
                <w:tab w:val="decimal" w:pos="567"/>
              </w:tabs>
              <w:spacing w:line="240" w:lineRule="auto"/>
              <w:rPr>
                <w:sz w:val="17"/>
                <w:lang w:val="en-US"/>
              </w:rPr>
            </w:pPr>
            <w:r>
              <w:rPr>
                <w:sz w:val="17"/>
                <w:lang w:val="en-US"/>
              </w:rPr>
              <w:t>-</w:t>
            </w:r>
          </w:p>
        </w:tc>
        <w:tc>
          <w:tcPr>
            <w:tcW w:w="598" w:type="dxa"/>
            <w:vAlign w:val="bottom"/>
          </w:tcPr>
          <w:p w:rsidR="00000000" w:rsidRDefault="00000000">
            <w:pPr>
              <w:tabs>
                <w:tab w:val="decimal" w:pos="567"/>
              </w:tabs>
              <w:spacing w:line="240" w:lineRule="auto"/>
              <w:rPr>
                <w:sz w:val="17"/>
                <w:lang w:val="en-US"/>
              </w:rPr>
            </w:pPr>
            <w:r>
              <w:rPr>
                <w:sz w:val="17"/>
                <w:lang w:val="en-US"/>
              </w:rPr>
              <w:t>33</w:t>
            </w:r>
          </w:p>
        </w:tc>
        <w:tc>
          <w:tcPr>
            <w:tcW w:w="599" w:type="dxa"/>
            <w:vAlign w:val="bottom"/>
          </w:tcPr>
          <w:p w:rsidR="00000000" w:rsidRDefault="00000000">
            <w:pPr>
              <w:tabs>
                <w:tab w:val="decimal" w:pos="567"/>
              </w:tabs>
              <w:spacing w:line="240" w:lineRule="auto"/>
              <w:rPr>
                <w:sz w:val="17"/>
                <w:lang w:val="en-US"/>
              </w:rPr>
            </w:pPr>
            <w:r>
              <w:rPr>
                <w:sz w:val="17"/>
                <w:lang w:val="en-US"/>
              </w:rPr>
              <w:t>27</w:t>
            </w:r>
          </w:p>
        </w:tc>
        <w:tc>
          <w:tcPr>
            <w:tcW w:w="598" w:type="dxa"/>
            <w:vAlign w:val="bottom"/>
          </w:tcPr>
          <w:p w:rsidR="00000000" w:rsidRDefault="00000000">
            <w:pPr>
              <w:tabs>
                <w:tab w:val="decimal" w:pos="567"/>
              </w:tabs>
              <w:spacing w:line="240" w:lineRule="auto"/>
              <w:rPr>
                <w:sz w:val="17"/>
                <w:lang w:val="en-US"/>
              </w:rPr>
            </w:pPr>
            <w:r>
              <w:rPr>
                <w:sz w:val="17"/>
                <w:lang w:val="en-US"/>
              </w:rPr>
              <w:t>6</w:t>
            </w:r>
          </w:p>
        </w:tc>
        <w:tc>
          <w:tcPr>
            <w:tcW w:w="599" w:type="dxa"/>
            <w:vAlign w:val="bottom"/>
          </w:tcPr>
          <w:p w:rsidR="00000000" w:rsidRDefault="00000000">
            <w:pPr>
              <w:tabs>
                <w:tab w:val="decimal" w:pos="567"/>
              </w:tabs>
              <w:spacing w:line="240" w:lineRule="auto"/>
              <w:rPr>
                <w:sz w:val="17"/>
                <w:lang w:val="en-US"/>
              </w:rPr>
            </w:pPr>
            <w:r>
              <w:rPr>
                <w:sz w:val="17"/>
                <w:lang w:val="en-US"/>
              </w:rPr>
              <w:t>12</w:t>
            </w:r>
          </w:p>
        </w:tc>
        <w:tc>
          <w:tcPr>
            <w:tcW w:w="598" w:type="dxa"/>
            <w:vAlign w:val="bottom"/>
          </w:tcPr>
          <w:p w:rsidR="00000000" w:rsidRDefault="00000000">
            <w:pPr>
              <w:tabs>
                <w:tab w:val="decimal" w:pos="567"/>
              </w:tabs>
              <w:spacing w:line="240" w:lineRule="auto"/>
              <w:rPr>
                <w:sz w:val="17"/>
                <w:lang w:val="en-US"/>
              </w:rPr>
            </w:pPr>
            <w:r>
              <w:rPr>
                <w:sz w:val="17"/>
                <w:lang w:val="en-US"/>
              </w:rPr>
              <w:t>9</w:t>
            </w:r>
          </w:p>
        </w:tc>
        <w:tc>
          <w:tcPr>
            <w:tcW w:w="599" w:type="dxa"/>
            <w:vAlign w:val="bottom"/>
          </w:tcPr>
          <w:p w:rsidR="00000000" w:rsidRDefault="00000000">
            <w:pPr>
              <w:tabs>
                <w:tab w:val="decimal" w:pos="567"/>
              </w:tabs>
              <w:spacing w:line="240" w:lineRule="auto"/>
              <w:rPr>
                <w:sz w:val="17"/>
                <w:lang w:val="en-US"/>
              </w:rPr>
            </w:pPr>
            <w:r>
              <w:rPr>
                <w:sz w:val="17"/>
                <w:lang w:val="en-US"/>
              </w:rPr>
              <w:t>3</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lang w:val="en-US"/>
              </w:rPr>
            </w:pPr>
            <w:r>
              <w:rPr>
                <w:sz w:val="17"/>
              </w:rPr>
              <w:t>Магистр медицины</w:t>
            </w:r>
          </w:p>
        </w:tc>
        <w:tc>
          <w:tcPr>
            <w:tcW w:w="598" w:type="dxa"/>
            <w:vAlign w:val="bottom"/>
          </w:tcPr>
          <w:p w:rsidR="00000000" w:rsidRDefault="00000000">
            <w:pPr>
              <w:tabs>
                <w:tab w:val="decimal" w:pos="567"/>
              </w:tabs>
              <w:spacing w:line="240" w:lineRule="auto"/>
              <w:rPr>
                <w:sz w:val="17"/>
                <w:lang w:val="en-US"/>
              </w:rPr>
            </w:pPr>
            <w:r>
              <w:rPr>
                <w:sz w:val="17"/>
                <w:lang w:val="en-US"/>
              </w:rPr>
              <w:t>18</w:t>
            </w:r>
          </w:p>
        </w:tc>
        <w:tc>
          <w:tcPr>
            <w:tcW w:w="598" w:type="dxa"/>
            <w:vAlign w:val="bottom"/>
          </w:tcPr>
          <w:p w:rsidR="00000000" w:rsidRDefault="00000000">
            <w:pPr>
              <w:tabs>
                <w:tab w:val="decimal" w:pos="567"/>
              </w:tabs>
              <w:spacing w:line="240" w:lineRule="auto"/>
              <w:rPr>
                <w:sz w:val="17"/>
                <w:lang w:val="en-US"/>
              </w:rPr>
            </w:pPr>
            <w:r>
              <w:rPr>
                <w:sz w:val="17"/>
                <w:lang w:val="en-US"/>
              </w:rPr>
              <w:t>13</w:t>
            </w:r>
          </w:p>
        </w:tc>
        <w:tc>
          <w:tcPr>
            <w:tcW w:w="599" w:type="dxa"/>
            <w:vAlign w:val="bottom"/>
          </w:tcPr>
          <w:p w:rsidR="00000000" w:rsidRDefault="00000000">
            <w:pPr>
              <w:tabs>
                <w:tab w:val="decimal" w:pos="567"/>
              </w:tabs>
              <w:spacing w:line="240" w:lineRule="auto"/>
              <w:rPr>
                <w:sz w:val="17"/>
                <w:lang w:val="en-US"/>
              </w:rPr>
            </w:pPr>
            <w:r>
              <w:rPr>
                <w:sz w:val="17"/>
                <w:lang w:val="en-US"/>
              </w:rPr>
              <w:t>5</w:t>
            </w:r>
          </w:p>
        </w:tc>
        <w:tc>
          <w:tcPr>
            <w:tcW w:w="598" w:type="dxa"/>
            <w:vAlign w:val="bottom"/>
          </w:tcPr>
          <w:p w:rsidR="00000000" w:rsidRDefault="00000000">
            <w:pPr>
              <w:tabs>
                <w:tab w:val="decimal" w:pos="567"/>
              </w:tabs>
              <w:spacing w:line="240" w:lineRule="auto"/>
              <w:rPr>
                <w:sz w:val="17"/>
                <w:lang w:val="en-US"/>
              </w:rPr>
            </w:pPr>
            <w:r>
              <w:rPr>
                <w:sz w:val="17"/>
                <w:lang w:val="en-US"/>
              </w:rPr>
              <w:t>16</w:t>
            </w:r>
          </w:p>
        </w:tc>
        <w:tc>
          <w:tcPr>
            <w:tcW w:w="599" w:type="dxa"/>
            <w:vAlign w:val="bottom"/>
          </w:tcPr>
          <w:p w:rsidR="00000000" w:rsidRDefault="00000000">
            <w:pPr>
              <w:tabs>
                <w:tab w:val="decimal" w:pos="567"/>
              </w:tabs>
              <w:spacing w:line="240" w:lineRule="auto"/>
              <w:rPr>
                <w:sz w:val="17"/>
                <w:lang w:val="en-US"/>
              </w:rPr>
            </w:pPr>
            <w:r>
              <w:rPr>
                <w:sz w:val="17"/>
                <w:lang w:val="en-US"/>
              </w:rPr>
              <w:t>7</w:t>
            </w:r>
          </w:p>
        </w:tc>
        <w:tc>
          <w:tcPr>
            <w:tcW w:w="598" w:type="dxa"/>
            <w:vAlign w:val="bottom"/>
          </w:tcPr>
          <w:p w:rsidR="00000000" w:rsidRDefault="00000000">
            <w:pPr>
              <w:tabs>
                <w:tab w:val="decimal" w:pos="567"/>
              </w:tabs>
              <w:spacing w:line="240" w:lineRule="auto"/>
              <w:rPr>
                <w:sz w:val="17"/>
                <w:lang w:val="en-US"/>
              </w:rPr>
            </w:pPr>
            <w:r>
              <w:rPr>
                <w:sz w:val="17"/>
                <w:lang w:val="en-US"/>
              </w:rPr>
              <w:t>9</w:t>
            </w:r>
          </w:p>
        </w:tc>
        <w:tc>
          <w:tcPr>
            <w:tcW w:w="599" w:type="dxa"/>
            <w:vAlign w:val="bottom"/>
          </w:tcPr>
          <w:p w:rsidR="00000000" w:rsidRDefault="00000000">
            <w:pPr>
              <w:tabs>
                <w:tab w:val="decimal" w:pos="567"/>
              </w:tabs>
              <w:spacing w:line="240" w:lineRule="auto"/>
              <w:rPr>
                <w:sz w:val="17"/>
                <w:lang w:val="en-US"/>
              </w:rPr>
            </w:pPr>
            <w:r>
              <w:rPr>
                <w:sz w:val="17"/>
                <w:lang w:val="en-US"/>
              </w:rPr>
              <w:t>21</w:t>
            </w:r>
          </w:p>
        </w:tc>
        <w:tc>
          <w:tcPr>
            <w:tcW w:w="598" w:type="dxa"/>
            <w:vAlign w:val="bottom"/>
          </w:tcPr>
          <w:p w:rsidR="00000000" w:rsidRDefault="00000000">
            <w:pPr>
              <w:tabs>
                <w:tab w:val="decimal" w:pos="567"/>
              </w:tabs>
              <w:spacing w:line="240" w:lineRule="auto"/>
              <w:rPr>
                <w:sz w:val="17"/>
                <w:lang w:val="en-US"/>
              </w:rPr>
            </w:pPr>
            <w:r>
              <w:rPr>
                <w:sz w:val="17"/>
                <w:lang w:val="en-US"/>
              </w:rPr>
              <w:t>18</w:t>
            </w:r>
          </w:p>
        </w:tc>
        <w:tc>
          <w:tcPr>
            <w:tcW w:w="599" w:type="dxa"/>
            <w:vAlign w:val="bottom"/>
          </w:tcPr>
          <w:p w:rsidR="00000000" w:rsidRDefault="00000000">
            <w:pPr>
              <w:tabs>
                <w:tab w:val="decimal" w:pos="567"/>
              </w:tabs>
              <w:spacing w:line="240" w:lineRule="auto"/>
              <w:rPr>
                <w:sz w:val="17"/>
                <w:lang w:val="en-US"/>
              </w:rPr>
            </w:pPr>
            <w:r>
              <w:rPr>
                <w:sz w:val="17"/>
                <w:lang w:val="en-US"/>
              </w:rPr>
              <w:t>3</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lang w:val="en-US"/>
              </w:rPr>
            </w:pPr>
            <w:r>
              <w:rPr>
                <w:sz w:val="17"/>
              </w:rPr>
              <w:t>Магистр наук</w:t>
            </w:r>
          </w:p>
        </w:tc>
        <w:tc>
          <w:tcPr>
            <w:tcW w:w="598" w:type="dxa"/>
            <w:vAlign w:val="bottom"/>
          </w:tcPr>
          <w:p w:rsidR="00000000" w:rsidRDefault="00000000">
            <w:pPr>
              <w:pStyle w:val="Header"/>
              <w:tabs>
                <w:tab w:val="clear" w:pos="4320"/>
                <w:tab w:val="clear" w:pos="8640"/>
                <w:tab w:val="decimal" w:pos="567"/>
              </w:tabs>
              <w:rPr>
                <w:noProof w:val="0"/>
                <w:spacing w:val="4"/>
                <w:w w:val="103"/>
                <w:kern w:val="14"/>
              </w:rPr>
            </w:pPr>
            <w:r>
              <w:rPr>
                <w:noProof w:val="0"/>
                <w:spacing w:val="4"/>
                <w:w w:val="103"/>
                <w:kern w:val="14"/>
              </w:rPr>
              <w:t>8</w:t>
            </w:r>
          </w:p>
        </w:tc>
        <w:tc>
          <w:tcPr>
            <w:tcW w:w="598" w:type="dxa"/>
            <w:vAlign w:val="bottom"/>
          </w:tcPr>
          <w:p w:rsidR="00000000" w:rsidRDefault="00000000">
            <w:pPr>
              <w:tabs>
                <w:tab w:val="decimal" w:pos="567"/>
              </w:tabs>
              <w:spacing w:line="240" w:lineRule="auto"/>
              <w:rPr>
                <w:sz w:val="17"/>
              </w:rPr>
            </w:pPr>
            <w:r>
              <w:rPr>
                <w:sz w:val="17"/>
              </w:rPr>
              <w:t>6</w:t>
            </w:r>
          </w:p>
        </w:tc>
        <w:tc>
          <w:tcPr>
            <w:tcW w:w="599" w:type="dxa"/>
            <w:vAlign w:val="bottom"/>
          </w:tcPr>
          <w:p w:rsidR="00000000" w:rsidRDefault="00000000">
            <w:pPr>
              <w:tabs>
                <w:tab w:val="decimal" w:pos="567"/>
              </w:tabs>
              <w:spacing w:line="240" w:lineRule="auto"/>
              <w:rPr>
                <w:sz w:val="17"/>
              </w:rPr>
            </w:pPr>
            <w:r>
              <w:rPr>
                <w:sz w:val="17"/>
              </w:rPr>
              <w:t>2</w:t>
            </w:r>
          </w:p>
        </w:tc>
        <w:tc>
          <w:tcPr>
            <w:tcW w:w="598" w:type="dxa"/>
            <w:vAlign w:val="bottom"/>
          </w:tcPr>
          <w:p w:rsidR="00000000" w:rsidRDefault="00000000">
            <w:pPr>
              <w:tabs>
                <w:tab w:val="decimal" w:pos="567"/>
              </w:tabs>
              <w:spacing w:line="240" w:lineRule="auto"/>
              <w:rPr>
                <w:sz w:val="17"/>
              </w:rPr>
            </w:pPr>
            <w:r>
              <w:rPr>
                <w:sz w:val="17"/>
              </w:rPr>
              <w:t>17</w:t>
            </w:r>
          </w:p>
        </w:tc>
        <w:tc>
          <w:tcPr>
            <w:tcW w:w="599" w:type="dxa"/>
            <w:vAlign w:val="bottom"/>
          </w:tcPr>
          <w:p w:rsidR="00000000" w:rsidRDefault="00000000">
            <w:pPr>
              <w:tabs>
                <w:tab w:val="decimal" w:pos="567"/>
              </w:tabs>
              <w:spacing w:line="240" w:lineRule="auto"/>
              <w:rPr>
                <w:sz w:val="17"/>
              </w:rPr>
            </w:pPr>
            <w:r>
              <w:rPr>
                <w:sz w:val="17"/>
              </w:rPr>
              <w:t>11</w:t>
            </w:r>
          </w:p>
        </w:tc>
        <w:tc>
          <w:tcPr>
            <w:tcW w:w="598" w:type="dxa"/>
            <w:vAlign w:val="bottom"/>
          </w:tcPr>
          <w:p w:rsidR="00000000" w:rsidRDefault="00000000">
            <w:pPr>
              <w:tabs>
                <w:tab w:val="decimal" w:pos="567"/>
              </w:tabs>
              <w:spacing w:line="240" w:lineRule="auto"/>
              <w:rPr>
                <w:sz w:val="17"/>
              </w:rPr>
            </w:pPr>
            <w:r>
              <w:rPr>
                <w:sz w:val="17"/>
              </w:rPr>
              <w:t>6</w:t>
            </w:r>
          </w:p>
        </w:tc>
        <w:tc>
          <w:tcPr>
            <w:tcW w:w="599" w:type="dxa"/>
            <w:vAlign w:val="bottom"/>
          </w:tcPr>
          <w:p w:rsidR="00000000" w:rsidRDefault="00000000">
            <w:pPr>
              <w:tabs>
                <w:tab w:val="decimal" w:pos="567"/>
              </w:tabs>
              <w:spacing w:line="240" w:lineRule="auto"/>
              <w:rPr>
                <w:sz w:val="17"/>
              </w:rPr>
            </w:pPr>
            <w:r>
              <w:rPr>
                <w:sz w:val="17"/>
              </w:rPr>
              <w:t>32</w:t>
            </w:r>
          </w:p>
        </w:tc>
        <w:tc>
          <w:tcPr>
            <w:tcW w:w="598" w:type="dxa"/>
            <w:vAlign w:val="bottom"/>
          </w:tcPr>
          <w:p w:rsidR="00000000" w:rsidRDefault="00000000">
            <w:pPr>
              <w:tabs>
                <w:tab w:val="decimal" w:pos="567"/>
              </w:tabs>
              <w:spacing w:line="240" w:lineRule="auto"/>
              <w:rPr>
                <w:sz w:val="17"/>
              </w:rPr>
            </w:pPr>
            <w:r>
              <w:rPr>
                <w:sz w:val="17"/>
              </w:rPr>
              <w:t>23</w:t>
            </w:r>
          </w:p>
        </w:tc>
        <w:tc>
          <w:tcPr>
            <w:tcW w:w="599" w:type="dxa"/>
            <w:vAlign w:val="bottom"/>
          </w:tcPr>
          <w:p w:rsidR="00000000" w:rsidRDefault="00000000">
            <w:pPr>
              <w:tabs>
                <w:tab w:val="decimal" w:pos="567"/>
              </w:tabs>
              <w:spacing w:line="240" w:lineRule="auto"/>
              <w:rPr>
                <w:sz w:val="17"/>
              </w:rPr>
            </w:pPr>
            <w:r>
              <w:rPr>
                <w:sz w:val="17"/>
              </w:rPr>
              <w:t>9</w:t>
            </w:r>
          </w:p>
        </w:tc>
      </w:tr>
      <w:tr w:rsidR="00000000">
        <w:tblPrEx>
          <w:tblCellMar>
            <w:top w:w="0" w:type="dxa"/>
            <w:bottom w:w="0" w:type="dxa"/>
          </w:tblCellMar>
        </w:tblPrEx>
        <w:tc>
          <w:tcPr>
            <w:tcW w:w="1985" w:type="dxa"/>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rPr>
                <w:sz w:val="17"/>
              </w:rPr>
            </w:pPr>
            <w:r>
              <w:rPr>
                <w:sz w:val="17"/>
              </w:rPr>
              <w:t>Др</w:t>
            </w:r>
            <w:r>
              <w:rPr>
                <w:sz w:val="17"/>
              </w:rPr>
              <w:t>у</w:t>
            </w:r>
            <w:r>
              <w:rPr>
                <w:sz w:val="17"/>
              </w:rPr>
              <w:t>гие</w:t>
            </w:r>
          </w:p>
        </w:tc>
        <w:tc>
          <w:tcPr>
            <w:tcW w:w="598" w:type="dxa"/>
            <w:vAlign w:val="bottom"/>
          </w:tcPr>
          <w:p w:rsidR="00000000" w:rsidRDefault="00000000">
            <w:pPr>
              <w:tabs>
                <w:tab w:val="decimal" w:pos="567"/>
              </w:tabs>
              <w:spacing w:line="240" w:lineRule="auto"/>
              <w:rPr>
                <w:sz w:val="17"/>
              </w:rPr>
            </w:pPr>
            <w:r>
              <w:rPr>
                <w:sz w:val="17"/>
              </w:rPr>
              <w:t>125</w:t>
            </w:r>
          </w:p>
        </w:tc>
        <w:tc>
          <w:tcPr>
            <w:tcW w:w="598" w:type="dxa"/>
            <w:vAlign w:val="bottom"/>
          </w:tcPr>
          <w:p w:rsidR="00000000" w:rsidRDefault="00000000">
            <w:pPr>
              <w:tabs>
                <w:tab w:val="decimal" w:pos="567"/>
              </w:tabs>
              <w:spacing w:line="240" w:lineRule="auto"/>
              <w:rPr>
                <w:sz w:val="17"/>
              </w:rPr>
            </w:pPr>
            <w:r>
              <w:rPr>
                <w:sz w:val="17"/>
              </w:rPr>
              <w:t>76</w:t>
            </w:r>
          </w:p>
        </w:tc>
        <w:tc>
          <w:tcPr>
            <w:tcW w:w="599" w:type="dxa"/>
            <w:vAlign w:val="bottom"/>
          </w:tcPr>
          <w:p w:rsidR="00000000" w:rsidRDefault="00000000">
            <w:pPr>
              <w:tabs>
                <w:tab w:val="decimal" w:pos="567"/>
              </w:tabs>
              <w:spacing w:line="240" w:lineRule="auto"/>
              <w:rPr>
                <w:sz w:val="17"/>
              </w:rPr>
            </w:pPr>
            <w:r>
              <w:rPr>
                <w:sz w:val="17"/>
              </w:rPr>
              <w:t>49</w:t>
            </w:r>
          </w:p>
        </w:tc>
        <w:tc>
          <w:tcPr>
            <w:tcW w:w="598" w:type="dxa"/>
            <w:vAlign w:val="bottom"/>
          </w:tcPr>
          <w:p w:rsidR="00000000" w:rsidRDefault="00000000">
            <w:pPr>
              <w:tabs>
                <w:tab w:val="decimal" w:pos="567"/>
              </w:tabs>
              <w:spacing w:line="240" w:lineRule="auto"/>
              <w:rPr>
                <w:sz w:val="17"/>
              </w:rPr>
            </w:pPr>
            <w:r>
              <w:rPr>
                <w:sz w:val="17"/>
              </w:rPr>
              <w:t>165</w:t>
            </w:r>
          </w:p>
        </w:tc>
        <w:tc>
          <w:tcPr>
            <w:tcW w:w="599" w:type="dxa"/>
            <w:vAlign w:val="bottom"/>
          </w:tcPr>
          <w:p w:rsidR="00000000" w:rsidRDefault="00000000">
            <w:pPr>
              <w:tabs>
                <w:tab w:val="decimal" w:pos="567"/>
              </w:tabs>
              <w:spacing w:line="240" w:lineRule="auto"/>
              <w:rPr>
                <w:sz w:val="17"/>
              </w:rPr>
            </w:pPr>
            <w:r>
              <w:rPr>
                <w:sz w:val="17"/>
              </w:rPr>
              <w:t>85</w:t>
            </w:r>
          </w:p>
        </w:tc>
        <w:tc>
          <w:tcPr>
            <w:tcW w:w="598" w:type="dxa"/>
            <w:vAlign w:val="bottom"/>
          </w:tcPr>
          <w:p w:rsidR="00000000" w:rsidRDefault="00000000">
            <w:pPr>
              <w:tabs>
                <w:tab w:val="decimal" w:pos="567"/>
              </w:tabs>
              <w:spacing w:line="240" w:lineRule="auto"/>
              <w:rPr>
                <w:sz w:val="17"/>
              </w:rPr>
            </w:pPr>
            <w:r>
              <w:rPr>
                <w:sz w:val="17"/>
              </w:rPr>
              <w:t>80</w:t>
            </w:r>
          </w:p>
        </w:tc>
        <w:tc>
          <w:tcPr>
            <w:tcW w:w="599" w:type="dxa"/>
            <w:vAlign w:val="bottom"/>
          </w:tcPr>
          <w:p w:rsidR="00000000" w:rsidRDefault="00000000">
            <w:pPr>
              <w:tabs>
                <w:tab w:val="decimal" w:pos="567"/>
              </w:tabs>
              <w:spacing w:line="240" w:lineRule="auto"/>
              <w:rPr>
                <w:sz w:val="17"/>
              </w:rPr>
            </w:pPr>
            <w:r>
              <w:rPr>
                <w:sz w:val="17"/>
              </w:rPr>
              <w:t>124</w:t>
            </w:r>
          </w:p>
        </w:tc>
        <w:tc>
          <w:tcPr>
            <w:tcW w:w="598" w:type="dxa"/>
            <w:vAlign w:val="bottom"/>
          </w:tcPr>
          <w:p w:rsidR="00000000" w:rsidRDefault="00000000">
            <w:pPr>
              <w:tabs>
                <w:tab w:val="decimal" w:pos="567"/>
              </w:tabs>
              <w:spacing w:line="240" w:lineRule="auto"/>
              <w:rPr>
                <w:sz w:val="17"/>
              </w:rPr>
            </w:pPr>
            <w:r>
              <w:rPr>
                <w:sz w:val="17"/>
              </w:rPr>
              <w:t>27</w:t>
            </w:r>
          </w:p>
        </w:tc>
        <w:tc>
          <w:tcPr>
            <w:tcW w:w="599" w:type="dxa"/>
            <w:vAlign w:val="bottom"/>
          </w:tcPr>
          <w:p w:rsidR="00000000" w:rsidRDefault="00000000">
            <w:pPr>
              <w:tabs>
                <w:tab w:val="decimal" w:pos="567"/>
              </w:tabs>
              <w:spacing w:line="240" w:lineRule="auto"/>
              <w:rPr>
                <w:sz w:val="17"/>
              </w:rPr>
            </w:pPr>
            <w:r>
              <w:rPr>
                <w:sz w:val="17"/>
              </w:rPr>
              <w:t>97</w:t>
            </w:r>
          </w:p>
        </w:tc>
      </w:tr>
      <w:tr w:rsidR="00000000">
        <w:tblPrEx>
          <w:tblCellMar>
            <w:top w:w="0" w:type="dxa"/>
            <w:bottom w:w="0" w:type="dxa"/>
          </w:tblCellMar>
        </w:tblPrEx>
        <w:tc>
          <w:tcPr>
            <w:tcW w:w="1985" w:type="dxa"/>
            <w:tcBorders>
              <w:bottom w:val="single" w:sz="12" w:space="0" w:color="auto"/>
            </w:tcBorders>
          </w:tcPr>
          <w:p w:rsidR="00000000" w:rsidRDefault="00000000">
            <w:pPr>
              <w:tabs>
                <w:tab w:val="left" w:pos="-252"/>
                <w:tab w:val="left" w:pos="288"/>
                <w:tab w:val="left" w:pos="2358"/>
                <w:tab w:val="left" w:pos="4878"/>
                <w:tab w:val="left" w:pos="7218"/>
                <w:tab w:val="left" w:pos="9288"/>
                <w:tab w:val="left" w:pos="11784"/>
                <w:tab w:val="left" w:pos="13748"/>
              </w:tabs>
              <w:spacing w:line="240" w:lineRule="auto"/>
              <w:jc w:val="right"/>
              <w:rPr>
                <w:b/>
                <w:sz w:val="17"/>
              </w:rPr>
            </w:pPr>
            <w:r>
              <w:rPr>
                <w:sz w:val="17"/>
              </w:rPr>
              <w:t>Всего</w:t>
            </w:r>
          </w:p>
        </w:tc>
        <w:tc>
          <w:tcPr>
            <w:tcW w:w="598" w:type="dxa"/>
            <w:tcBorders>
              <w:bottom w:val="single" w:sz="12" w:space="0" w:color="auto"/>
            </w:tcBorders>
            <w:vAlign w:val="bottom"/>
          </w:tcPr>
          <w:p w:rsidR="00000000" w:rsidRDefault="00000000">
            <w:pPr>
              <w:tabs>
                <w:tab w:val="decimal" w:pos="567"/>
              </w:tabs>
              <w:spacing w:line="240" w:lineRule="auto"/>
              <w:rPr>
                <w:sz w:val="17"/>
              </w:rPr>
            </w:pPr>
            <w:r>
              <w:rPr>
                <w:sz w:val="17"/>
              </w:rPr>
              <w:t>792</w:t>
            </w:r>
          </w:p>
        </w:tc>
        <w:tc>
          <w:tcPr>
            <w:tcW w:w="598" w:type="dxa"/>
            <w:tcBorders>
              <w:bottom w:val="single" w:sz="12" w:space="0" w:color="auto"/>
            </w:tcBorders>
            <w:vAlign w:val="bottom"/>
          </w:tcPr>
          <w:p w:rsidR="00000000" w:rsidRDefault="00000000">
            <w:pPr>
              <w:tabs>
                <w:tab w:val="decimal" w:pos="567"/>
              </w:tabs>
              <w:spacing w:line="240" w:lineRule="auto"/>
              <w:rPr>
                <w:sz w:val="17"/>
              </w:rPr>
            </w:pPr>
            <w:r>
              <w:rPr>
                <w:sz w:val="17"/>
              </w:rPr>
              <w:t>582</w:t>
            </w:r>
          </w:p>
        </w:tc>
        <w:tc>
          <w:tcPr>
            <w:tcW w:w="599" w:type="dxa"/>
            <w:tcBorders>
              <w:bottom w:val="single" w:sz="12" w:space="0" w:color="auto"/>
            </w:tcBorders>
            <w:vAlign w:val="bottom"/>
          </w:tcPr>
          <w:p w:rsidR="00000000" w:rsidRDefault="00000000">
            <w:pPr>
              <w:tabs>
                <w:tab w:val="decimal" w:pos="567"/>
              </w:tabs>
              <w:spacing w:line="240" w:lineRule="auto"/>
              <w:rPr>
                <w:sz w:val="17"/>
              </w:rPr>
            </w:pPr>
            <w:r>
              <w:rPr>
                <w:sz w:val="17"/>
              </w:rPr>
              <w:t>210</w:t>
            </w:r>
          </w:p>
        </w:tc>
        <w:tc>
          <w:tcPr>
            <w:tcW w:w="598" w:type="dxa"/>
            <w:tcBorders>
              <w:bottom w:val="single" w:sz="12" w:space="0" w:color="auto"/>
            </w:tcBorders>
            <w:vAlign w:val="bottom"/>
          </w:tcPr>
          <w:p w:rsidR="00000000" w:rsidRDefault="00000000">
            <w:pPr>
              <w:tabs>
                <w:tab w:val="decimal" w:pos="567"/>
              </w:tabs>
              <w:spacing w:line="240" w:lineRule="auto"/>
              <w:rPr>
                <w:sz w:val="17"/>
              </w:rPr>
            </w:pPr>
            <w:r>
              <w:rPr>
                <w:sz w:val="17"/>
              </w:rPr>
              <w:t>916</w:t>
            </w:r>
          </w:p>
        </w:tc>
        <w:tc>
          <w:tcPr>
            <w:tcW w:w="599" w:type="dxa"/>
            <w:tcBorders>
              <w:bottom w:val="single" w:sz="12" w:space="0" w:color="auto"/>
            </w:tcBorders>
            <w:vAlign w:val="bottom"/>
          </w:tcPr>
          <w:p w:rsidR="00000000" w:rsidRDefault="00000000">
            <w:pPr>
              <w:tabs>
                <w:tab w:val="decimal" w:pos="567"/>
              </w:tabs>
              <w:spacing w:line="240" w:lineRule="auto"/>
              <w:rPr>
                <w:sz w:val="17"/>
              </w:rPr>
            </w:pPr>
            <w:r>
              <w:rPr>
                <w:sz w:val="17"/>
              </w:rPr>
              <w:t>674</w:t>
            </w:r>
          </w:p>
        </w:tc>
        <w:tc>
          <w:tcPr>
            <w:tcW w:w="598" w:type="dxa"/>
            <w:tcBorders>
              <w:bottom w:val="single" w:sz="12" w:space="0" w:color="auto"/>
            </w:tcBorders>
            <w:vAlign w:val="bottom"/>
          </w:tcPr>
          <w:p w:rsidR="00000000" w:rsidRDefault="00000000">
            <w:pPr>
              <w:tabs>
                <w:tab w:val="decimal" w:pos="567"/>
              </w:tabs>
              <w:spacing w:line="240" w:lineRule="auto"/>
              <w:rPr>
                <w:sz w:val="17"/>
              </w:rPr>
            </w:pPr>
            <w:r>
              <w:rPr>
                <w:sz w:val="17"/>
              </w:rPr>
              <w:t>242</w:t>
            </w:r>
          </w:p>
        </w:tc>
        <w:tc>
          <w:tcPr>
            <w:tcW w:w="599" w:type="dxa"/>
            <w:tcBorders>
              <w:bottom w:val="single" w:sz="12" w:space="0" w:color="auto"/>
            </w:tcBorders>
            <w:vAlign w:val="bottom"/>
          </w:tcPr>
          <w:p w:rsidR="00000000" w:rsidRDefault="00000000">
            <w:pPr>
              <w:tabs>
                <w:tab w:val="decimal" w:pos="567"/>
              </w:tabs>
              <w:spacing w:line="240" w:lineRule="auto"/>
              <w:rPr>
                <w:sz w:val="17"/>
              </w:rPr>
            </w:pPr>
            <w:r>
              <w:rPr>
                <w:sz w:val="17"/>
              </w:rPr>
              <w:t>857</w:t>
            </w:r>
          </w:p>
        </w:tc>
        <w:tc>
          <w:tcPr>
            <w:tcW w:w="598" w:type="dxa"/>
            <w:tcBorders>
              <w:bottom w:val="single" w:sz="12" w:space="0" w:color="auto"/>
            </w:tcBorders>
            <w:vAlign w:val="bottom"/>
          </w:tcPr>
          <w:p w:rsidR="00000000" w:rsidRDefault="00000000">
            <w:pPr>
              <w:tabs>
                <w:tab w:val="decimal" w:pos="567"/>
              </w:tabs>
              <w:spacing w:line="240" w:lineRule="auto"/>
              <w:rPr>
                <w:sz w:val="17"/>
              </w:rPr>
            </w:pPr>
            <w:r>
              <w:rPr>
                <w:sz w:val="17"/>
              </w:rPr>
              <w:t>569</w:t>
            </w:r>
          </w:p>
        </w:tc>
        <w:tc>
          <w:tcPr>
            <w:tcW w:w="599" w:type="dxa"/>
            <w:tcBorders>
              <w:bottom w:val="single" w:sz="12" w:space="0" w:color="auto"/>
            </w:tcBorders>
            <w:vAlign w:val="bottom"/>
          </w:tcPr>
          <w:p w:rsidR="00000000" w:rsidRDefault="00000000">
            <w:pPr>
              <w:tabs>
                <w:tab w:val="decimal" w:pos="567"/>
              </w:tabs>
              <w:spacing w:line="240" w:lineRule="auto"/>
              <w:rPr>
                <w:sz w:val="17"/>
              </w:rPr>
            </w:pPr>
            <w:r>
              <w:rPr>
                <w:sz w:val="17"/>
              </w:rPr>
              <w:t>288</w:t>
            </w:r>
          </w:p>
        </w:tc>
      </w:tr>
    </w:tbl>
    <w:p w:rsidR="00000000" w:rsidRDefault="00000000">
      <w:pPr>
        <w:pStyle w:val="SingleTxt"/>
        <w:rPr>
          <w:sz w:val="17"/>
        </w:rPr>
      </w:pPr>
      <w:r>
        <w:rPr>
          <w:i/>
          <w:sz w:val="17"/>
        </w:rPr>
        <w:t>Источник</w:t>
      </w:r>
      <w:r>
        <w:rPr>
          <w:sz w:val="17"/>
        </w:rPr>
        <w:t>: Правительство Малави: "Основная статистика по образованию"; Малави, 2000 год</w:t>
      </w:r>
    </w:p>
    <w:p w:rsidR="00000000" w:rsidRDefault="00000000">
      <w:pPr>
        <w:pStyle w:val="SingleTxt"/>
      </w:pPr>
      <w:r>
        <w:t>10.6.3.</w:t>
      </w:r>
      <w:r>
        <w:tab/>
        <w:t>Правительство и сотрудничающие с ним стороны приняли ряд мер, способствующих успехам девочек и женщин в сфере образования. Так, напр</w:t>
      </w:r>
      <w:r>
        <w:t>и</w:t>
      </w:r>
      <w:r>
        <w:t>мер, соотношение девочек и мальчиков, получавших стипендии ПРООН для способных учеников, было 3 к 1 соответственно во всех участвовавших в пр</w:t>
      </w:r>
      <w:r>
        <w:t>о</w:t>
      </w:r>
      <w:r>
        <w:t>грамме школах. Стипендия была предоставлена 26 000 учеников, она покрыв</w:t>
      </w:r>
      <w:r>
        <w:t>а</w:t>
      </w:r>
      <w:r>
        <w:t>ла плату за обучения в школе и покупку учебных материалов. Также была вв</w:t>
      </w:r>
      <w:r>
        <w:t>е</w:t>
      </w:r>
      <w:r>
        <w:t>дена программа предоставления стипендий ученицам центров заочного обуч</w:t>
      </w:r>
      <w:r>
        <w:t>е</w:t>
      </w:r>
      <w:r>
        <w:t>ния и обычных средних школ, которые ни разу не оставались на второй год. Этой стипендии хватало на оплату обучения и проживания в общежитии, а у девочек появлялся стимул хорошо учиться и получать высокие оценки.</w:t>
      </w:r>
    </w:p>
    <w:p w:rsidR="00000000" w:rsidRDefault="00000000">
      <w:pPr>
        <w:pStyle w:val="SingleTxt"/>
      </w:pPr>
      <w:r>
        <w:t>10.6.4.</w:t>
      </w:r>
      <w:r>
        <w:tab/>
        <w:t>Для повышения успеваемости женщин и девочек по традиционно мужским предметам на университетском уровне правительство с 1987 по 1995 год представляло стипендии и учредило службу профессиональной ор</w:t>
      </w:r>
      <w:r>
        <w:t>и</w:t>
      </w:r>
      <w:r>
        <w:t>ентации для девочек, выбравших нетрадиционные специальности, например, проектирование, менеджмент, транспорт, экономика, сельскохозяйственная экономика и наука. Стипендиатами этой программы, финансируемой Агентс</w:t>
      </w:r>
      <w:r>
        <w:t>т</w:t>
      </w:r>
      <w:r>
        <w:t>вом Соединенных Штатов по международному развитию, стали 347 студентов из Университета Малави.</w:t>
      </w:r>
    </w:p>
    <w:p w:rsidR="00000000" w:rsidRDefault="00000000">
      <w:pPr>
        <w:pStyle w:val="H23"/>
      </w:pPr>
      <w:r>
        <w:t>10.7.</w:t>
      </w:r>
      <w:r>
        <w:tab/>
        <w:t>Вывод</w:t>
      </w:r>
    </w:p>
    <w:p w:rsidR="00000000" w:rsidRDefault="00000000">
      <w:pPr>
        <w:pStyle w:val="SingleTxt"/>
      </w:pPr>
      <w:r>
        <w:t>Малави признает, что образование необходимо для личного роста и развития нации, так как оно расширяет возможности человека и общества в целом. Пр</w:t>
      </w:r>
      <w:r>
        <w:t>а</w:t>
      </w:r>
      <w:r>
        <w:t>во на образование закреплено в Конституции, а начальное образование с 1994 года официально стало бесплатным. Малави также признает, что необх</w:t>
      </w:r>
      <w:r>
        <w:t>о</w:t>
      </w:r>
      <w:r>
        <w:t>димо устранять неравенство между мужчинами и женщинами в сфере образ</w:t>
      </w:r>
      <w:r>
        <w:t>о</w:t>
      </w:r>
      <w:r>
        <w:t>вания, и уже осуществлялось несколько инициатив, чтобы преодолеть разрыв в знаниях. Кроме того, образование может стать движущей силой, способной и</w:t>
      </w:r>
      <w:r>
        <w:t>з</w:t>
      </w:r>
      <w:r>
        <w:t>бавить общество от гендерных стереотипов. Поэтому многие учебные пр</w:t>
      </w:r>
      <w:r>
        <w:t>о</w:t>
      </w:r>
      <w:r>
        <w:t>граммы включают в себя вопросы равенства мужчин и женщин, а большая часть учебных материалов разрабатывается с учетом гендерной проблематики. Однако в сфере образования сохраняется неравенство между мужчинами и женщинами в том, что касается поступления, возможности продолжать обуч</w:t>
      </w:r>
      <w:r>
        <w:t>е</w:t>
      </w:r>
      <w:r>
        <w:t>ние, преподавания и успехов в учебе. Правительство гарантирует бесплатное начальное образование, однако недостаточное финансирование отрицательно сказалось на качестве образования. Большие надежды возлагаются на прим</w:t>
      </w:r>
      <w:r>
        <w:t>е</w:t>
      </w:r>
      <w:r>
        <w:t>нение стратегий Документа по стратегии сокращения масштабов нищеты, н</w:t>
      </w:r>
      <w:r>
        <w:t>а</w:t>
      </w:r>
      <w:r>
        <w:t>правленных на достижение равных возможностей образования и устранения неравенства между мужчинами и женщинами, мальчиками и д</w:t>
      </w:r>
      <w:r>
        <w:t>е</w:t>
      </w:r>
      <w:r>
        <w:t>вочками.</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63" w:name="_Toc83977544"/>
      <w:r>
        <w:t>Статья 11:</w:t>
      </w:r>
      <w:r>
        <w:tab/>
        <w:t>Занятость</w:t>
      </w:r>
      <w:bookmarkEnd w:id="63"/>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11.1.</w:t>
      </w:r>
      <w:r>
        <w:tab/>
        <w:t>Стандарты КЛДЖ</w:t>
      </w:r>
    </w:p>
    <w:p w:rsidR="00000000" w:rsidRDefault="00000000">
      <w:pPr>
        <w:pStyle w:val="SingleTxt"/>
        <w:rPr>
          <w:i/>
        </w:rPr>
      </w:pPr>
      <w:r>
        <w:rPr>
          <w:i/>
        </w:rPr>
        <w:t>1. Государства-участники принимают все соответствующие меры для ликв</w:t>
      </w:r>
      <w:r>
        <w:rPr>
          <w:i/>
        </w:rPr>
        <w:t>и</w:t>
      </w:r>
      <w:r>
        <w:rPr>
          <w:i/>
        </w:rPr>
        <w:t>дации дискриминации в отношении женщин в области занятости, с тем чт</w:t>
      </w:r>
      <w:r>
        <w:rPr>
          <w:i/>
        </w:rPr>
        <w:t>о</w:t>
      </w:r>
      <w:r>
        <w:rPr>
          <w:i/>
        </w:rPr>
        <w:t>бы обеспечить на основе равенства мужчин и женщин равные права, в час</w:t>
      </w:r>
      <w:r>
        <w:rPr>
          <w:i/>
        </w:rPr>
        <w:t>т</w:t>
      </w:r>
      <w:r>
        <w:rPr>
          <w:i/>
        </w:rPr>
        <w:t xml:space="preserve">ности: </w:t>
      </w:r>
    </w:p>
    <w:p w:rsidR="00000000" w:rsidRDefault="00000000">
      <w:pPr>
        <w:pStyle w:val="SingleTxt"/>
        <w:rPr>
          <w:i/>
        </w:rPr>
      </w:pPr>
      <w:r>
        <w:rPr>
          <w:i/>
        </w:rPr>
        <w:t>а)</w:t>
      </w:r>
      <w:r>
        <w:rPr>
          <w:i/>
        </w:rPr>
        <w:tab/>
        <w:t>право на труд как неотъемлемое право всех людей;</w:t>
      </w:r>
    </w:p>
    <w:p w:rsidR="00000000" w:rsidRDefault="00000000">
      <w:pPr>
        <w:pStyle w:val="SingleTxt"/>
        <w:rPr>
          <w:i/>
        </w:rPr>
      </w:pPr>
      <w:r>
        <w:rPr>
          <w:i/>
        </w:rPr>
        <w:t>b)</w:t>
      </w:r>
      <w:r>
        <w:rPr>
          <w:i/>
        </w:rPr>
        <w:tab/>
        <w:t>право на одинаковые возможности при найме на работу, в том числе применение одинаковых кр</w:t>
      </w:r>
      <w:r>
        <w:rPr>
          <w:i/>
        </w:rPr>
        <w:t>и</w:t>
      </w:r>
      <w:r>
        <w:rPr>
          <w:i/>
        </w:rPr>
        <w:t>териев отбора при найме;</w:t>
      </w:r>
    </w:p>
    <w:p w:rsidR="00000000" w:rsidRDefault="00000000">
      <w:pPr>
        <w:pStyle w:val="SingleTxt"/>
        <w:rPr>
          <w:i/>
        </w:rPr>
      </w:pPr>
      <w:r>
        <w:rPr>
          <w:i/>
        </w:rPr>
        <w:t>с)</w:t>
      </w:r>
      <w:r>
        <w:rPr>
          <w:i/>
        </w:rPr>
        <w:tab/>
        <w:t>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w:t>
      </w:r>
      <w:r>
        <w:rPr>
          <w:i/>
        </w:rPr>
        <w:t>о</w:t>
      </w:r>
      <w:r>
        <w:rPr>
          <w:i/>
        </w:rPr>
        <w:t>товки, включая ученичество, профессиональную подготовку повышенного уровня и регулярную переподготовку;</w:t>
      </w:r>
    </w:p>
    <w:p w:rsidR="00000000" w:rsidRDefault="00000000">
      <w:pPr>
        <w:pStyle w:val="SingleTxt"/>
        <w:rPr>
          <w:i/>
        </w:rPr>
      </w:pPr>
      <w:r>
        <w:rPr>
          <w:i/>
        </w:rPr>
        <w:t>d)</w:t>
      </w:r>
      <w:r>
        <w:rPr>
          <w:i/>
        </w:rPr>
        <w:tab/>
        <w:t>право на равное вознаграждение, включая получение льгот, на равные у</w:t>
      </w:r>
      <w:r>
        <w:rPr>
          <w:i/>
        </w:rPr>
        <w:t>с</w:t>
      </w:r>
      <w:r>
        <w:rPr>
          <w:i/>
        </w:rPr>
        <w:t>ловия в отношении труда равной ценности, а также на равный подход к оце</w:t>
      </w:r>
      <w:r>
        <w:rPr>
          <w:i/>
        </w:rPr>
        <w:t>н</w:t>
      </w:r>
      <w:r>
        <w:rPr>
          <w:i/>
        </w:rPr>
        <w:t xml:space="preserve">ке качества работы; </w:t>
      </w:r>
    </w:p>
    <w:p w:rsidR="00000000" w:rsidRDefault="00000000">
      <w:pPr>
        <w:pStyle w:val="SingleTxt"/>
        <w:rPr>
          <w:i/>
        </w:rPr>
      </w:pPr>
      <w:r>
        <w:rPr>
          <w:i/>
        </w:rPr>
        <w:t>е)</w:t>
      </w:r>
      <w:r>
        <w:rPr>
          <w:i/>
        </w:rPr>
        <w:tab/>
        <w:t>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w:t>
      </w:r>
      <w:r>
        <w:rPr>
          <w:i/>
        </w:rPr>
        <w:t>т</w:t>
      </w:r>
      <w:r>
        <w:rPr>
          <w:i/>
        </w:rPr>
        <w:t xml:space="preserve">пуск; </w:t>
      </w:r>
    </w:p>
    <w:p w:rsidR="00000000" w:rsidRDefault="00000000">
      <w:pPr>
        <w:pStyle w:val="SingleTxt"/>
        <w:rPr>
          <w:i/>
        </w:rPr>
      </w:pPr>
      <w:r>
        <w:rPr>
          <w:i/>
        </w:rPr>
        <w:t>f)</w:t>
      </w:r>
      <w:r>
        <w:rPr>
          <w:i/>
        </w:rPr>
        <w:tab/>
        <w:t>право на охрану здоровья и безопасные условия труда, в том числе по с</w:t>
      </w:r>
      <w:r>
        <w:rPr>
          <w:i/>
        </w:rPr>
        <w:t>о</w:t>
      </w:r>
      <w:r>
        <w:rPr>
          <w:i/>
        </w:rPr>
        <w:t>хранению функции пр</w:t>
      </w:r>
      <w:r>
        <w:rPr>
          <w:i/>
        </w:rPr>
        <w:t>о</w:t>
      </w:r>
      <w:r>
        <w:rPr>
          <w:i/>
        </w:rPr>
        <w:t xml:space="preserve">должения рода. </w:t>
      </w:r>
    </w:p>
    <w:p w:rsidR="00000000" w:rsidRDefault="00000000">
      <w:pPr>
        <w:pStyle w:val="SingleTxt"/>
        <w:rPr>
          <w:i/>
        </w:rPr>
      </w:pPr>
      <w:r>
        <w:rPr>
          <w:i/>
        </w:rPr>
        <w:t>2. Для предупреждения дискриминации в отношении женщин по причине з</w:t>
      </w:r>
      <w:r>
        <w:rPr>
          <w:i/>
        </w:rPr>
        <w:t>а</w:t>
      </w:r>
      <w:r>
        <w:rPr>
          <w:i/>
        </w:rPr>
        <w:t xml:space="preserve">мужества или материнства и гарантирования им эффективного права на труд государства-участники принимают соответствующие меры для того, чтобы: </w:t>
      </w:r>
    </w:p>
    <w:p w:rsidR="00000000" w:rsidRDefault="00000000">
      <w:pPr>
        <w:pStyle w:val="SingleTxt"/>
        <w:rPr>
          <w:i/>
        </w:rPr>
      </w:pPr>
      <w:r>
        <w:rPr>
          <w:i/>
        </w:rPr>
        <w:t>а)</w:t>
      </w:r>
      <w:r>
        <w:rPr>
          <w:i/>
        </w:rPr>
        <w:tab/>
        <w:t>запретить, под угрозой применения санкций, увольнение с работы на о</w:t>
      </w:r>
      <w:r>
        <w:rPr>
          <w:i/>
        </w:rPr>
        <w:t>с</w:t>
      </w:r>
      <w:r>
        <w:rPr>
          <w:i/>
        </w:rPr>
        <w:t>новании беременности или отпуска по беременности и родам или дискримин</w:t>
      </w:r>
      <w:r>
        <w:rPr>
          <w:i/>
        </w:rPr>
        <w:t>а</w:t>
      </w:r>
      <w:r>
        <w:rPr>
          <w:i/>
        </w:rPr>
        <w:t xml:space="preserve">цию ввиду семейного положения при увольнении; </w:t>
      </w:r>
    </w:p>
    <w:p w:rsidR="00000000" w:rsidRDefault="00000000">
      <w:pPr>
        <w:pStyle w:val="SingleTxt"/>
        <w:rPr>
          <w:i/>
        </w:rPr>
      </w:pPr>
      <w:r>
        <w:rPr>
          <w:i/>
        </w:rPr>
        <w:t>b)</w:t>
      </w:r>
      <w:r>
        <w:rPr>
          <w:i/>
        </w:rPr>
        <w:tab/>
        <w:t>ввести оплачиваемые отпуска или отпуска с сопоставимыми социальн</w:t>
      </w:r>
      <w:r>
        <w:rPr>
          <w:i/>
        </w:rPr>
        <w:t>ы</w:t>
      </w:r>
      <w:r>
        <w:rPr>
          <w:i/>
        </w:rPr>
        <w:t>ми пособиями по беременности и родам без утраты прежнего места работы, ста</w:t>
      </w:r>
      <w:r>
        <w:rPr>
          <w:i/>
        </w:rPr>
        <w:t>р</w:t>
      </w:r>
      <w:r>
        <w:rPr>
          <w:i/>
        </w:rPr>
        <w:t xml:space="preserve">шинства или социальных пособий; </w:t>
      </w:r>
    </w:p>
    <w:p w:rsidR="00000000" w:rsidRDefault="00000000">
      <w:pPr>
        <w:pStyle w:val="SingleTxt"/>
        <w:rPr>
          <w:i/>
        </w:rPr>
      </w:pPr>
      <w:r>
        <w:rPr>
          <w:i/>
        </w:rPr>
        <w:t>с)</w:t>
      </w:r>
      <w:r>
        <w:rPr>
          <w:i/>
        </w:rPr>
        <w:tab/>
        <w:t>поощрять предоставление необходимых дополнительных социальных у</w:t>
      </w:r>
      <w:r>
        <w:rPr>
          <w:i/>
        </w:rPr>
        <w:t>с</w:t>
      </w:r>
      <w:r>
        <w:rPr>
          <w:i/>
        </w:rPr>
        <w:t>луг, с тем чтобы позволить родителям совмещать выполнение семейных об</w:t>
      </w:r>
      <w:r>
        <w:rPr>
          <w:i/>
        </w:rPr>
        <w:t>я</w:t>
      </w:r>
      <w:r>
        <w:rPr>
          <w:i/>
        </w:rPr>
        <w:t xml:space="preserve">занностей с трудовой деятельностью и участием в общественной жизни, в частности посредством создания и расширения сети учреждений по уходу за детьми; </w:t>
      </w:r>
    </w:p>
    <w:p w:rsidR="00000000" w:rsidRDefault="00000000">
      <w:pPr>
        <w:pStyle w:val="SingleTxt"/>
        <w:rPr>
          <w:i/>
        </w:rPr>
      </w:pPr>
      <w:r>
        <w:rPr>
          <w:i/>
        </w:rPr>
        <w:t>d)</w:t>
      </w:r>
      <w:r>
        <w:rPr>
          <w:i/>
        </w:rPr>
        <w:tab/>
        <w:t>обеспечивать женщинам особую защиту в период беременности на тех видах работ, вредность к</w:t>
      </w:r>
      <w:r>
        <w:rPr>
          <w:i/>
        </w:rPr>
        <w:t>о</w:t>
      </w:r>
      <w:r>
        <w:rPr>
          <w:i/>
        </w:rPr>
        <w:t>торых для их здоровья доказана.</w:t>
      </w:r>
    </w:p>
    <w:p w:rsidR="00000000" w:rsidRDefault="00000000">
      <w:pPr>
        <w:pStyle w:val="SingleTxt"/>
      </w:pPr>
      <w:r>
        <w:rPr>
          <w:i/>
        </w:rPr>
        <w:t>3.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w:t>
      </w:r>
      <w:r>
        <w:rPr>
          <w:i/>
        </w:rPr>
        <w:t>б</w:t>
      </w:r>
      <w:r>
        <w:rPr>
          <w:i/>
        </w:rPr>
        <w:t>х</w:t>
      </w:r>
      <w:r>
        <w:rPr>
          <w:i/>
        </w:rPr>
        <w:t>о</w:t>
      </w:r>
      <w:r>
        <w:rPr>
          <w:i/>
        </w:rPr>
        <w:t>димо.</w:t>
      </w:r>
    </w:p>
    <w:p w:rsidR="00000000" w:rsidRDefault="00000000">
      <w:pPr>
        <w:pStyle w:val="H23"/>
      </w:pPr>
      <w:r>
        <w:t>11.2.</w:t>
      </w:r>
      <w:r>
        <w:tab/>
        <w:t>Введение</w:t>
      </w:r>
    </w:p>
    <w:p w:rsidR="00000000" w:rsidRDefault="00000000">
      <w:pPr>
        <w:pStyle w:val="SingleTxt"/>
      </w:pPr>
      <w:r>
        <w:t>11.2.1.</w:t>
      </w:r>
      <w:r>
        <w:tab/>
        <w:t>Малави в сущности аграрная и сельская страна. Так, в 1997 году д</w:t>
      </w:r>
      <w:r>
        <w:t>о</w:t>
      </w:r>
      <w:r>
        <w:t>ля экономически активного населения составила 66 процентов, из них 78 процентов занимались натуральным хозяйством. Официальная занятость составила только 8,8 процента населения в возрасте 10 лет и старше. Больши</w:t>
      </w:r>
      <w:r>
        <w:t>н</w:t>
      </w:r>
      <w:r>
        <w:t>с</w:t>
      </w:r>
      <w:r>
        <w:t>т</w:t>
      </w:r>
      <w:r>
        <w:t>во из них были мужчинами, а на женщин приходилось лишь 18,7 процента.</w:t>
      </w:r>
    </w:p>
    <w:p w:rsidR="00000000" w:rsidRDefault="00000000">
      <w:pPr>
        <w:pStyle w:val="SingleTxt"/>
      </w:pPr>
      <w:r>
        <w:t>11.2.2.</w:t>
      </w:r>
      <w:r>
        <w:tab/>
        <w:t>Одним из важных моментов в законодательной сфере со времени п</w:t>
      </w:r>
      <w:r>
        <w:t>е</w:t>
      </w:r>
      <w:r>
        <w:t>рехода к многопартийной политической системе стало вступление в силу двух законодательных актов о занятости. Первый из них, Закон о трудовых отнош</w:t>
      </w:r>
      <w:r>
        <w:t>е</w:t>
      </w:r>
      <w:r>
        <w:t>ниях</w:t>
      </w:r>
      <w:r>
        <w:rPr>
          <w:rStyle w:val="FootnoteReference"/>
          <w:sz w:val="20"/>
        </w:rPr>
        <w:footnoteReference w:id="92"/>
      </w:r>
      <w:r>
        <w:t>, закрепил право на заключение коллективных договоров и создание с</w:t>
      </w:r>
      <w:r>
        <w:t>о</w:t>
      </w:r>
      <w:r>
        <w:t>вместных предприятий и учредил Суд для рассмотрения трудовых конфликтов. Вторым стал Закон о труде</w:t>
      </w:r>
      <w:r>
        <w:rPr>
          <w:rStyle w:val="FootnoteReference"/>
          <w:sz w:val="20"/>
        </w:rPr>
        <w:footnoteReference w:id="93"/>
      </w:r>
      <w:r>
        <w:t>, отменявший предыдущее законодательство о з</w:t>
      </w:r>
      <w:r>
        <w:t>а</w:t>
      </w:r>
      <w:r>
        <w:t>нятости, при его разработке руководствовались международными стандартами, закрепленными в Конвенциях Международной организации труда. Так, одним из принципов, нашедших отражение в Законе, стала недискриминация</w:t>
      </w:r>
      <w:r>
        <w:rPr>
          <w:rStyle w:val="FootnoteReference"/>
          <w:sz w:val="20"/>
        </w:rPr>
        <w:footnoteReference w:id="94"/>
      </w:r>
      <w:r>
        <w:t>.</w:t>
      </w:r>
    </w:p>
    <w:p w:rsidR="00000000" w:rsidRDefault="00000000">
      <w:pPr>
        <w:pStyle w:val="H23"/>
      </w:pPr>
      <w:r>
        <w:t>11.3.</w:t>
      </w:r>
      <w:r>
        <w:tab/>
        <w:t>Обеспечение права на труд и возможностей трудоустройства</w:t>
      </w:r>
      <w:r>
        <w:rPr>
          <w:rStyle w:val="FootnoteReference"/>
          <w:b w:val="0"/>
          <w:sz w:val="20"/>
        </w:rPr>
        <w:footnoteReference w:id="95"/>
      </w:r>
    </w:p>
    <w:p w:rsidR="00000000" w:rsidRDefault="00000000">
      <w:pPr>
        <w:pStyle w:val="SingleTxt"/>
      </w:pPr>
      <w:r>
        <w:t>11.3.1.</w:t>
      </w:r>
      <w:r>
        <w:tab/>
        <w:t>Конституция Малави гарантирует каждому человеку право "свобо</w:t>
      </w:r>
      <w:r>
        <w:t>д</w:t>
      </w:r>
      <w:r>
        <w:t>но заниматься экономической деятельностью, работать и зарабатывать средства к существованию на всей территории Малави"</w:t>
      </w:r>
      <w:r>
        <w:rPr>
          <w:rStyle w:val="FootnoteReference"/>
          <w:sz w:val="20"/>
        </w:rPr>
        <w:footnoteReference w:id="96"/>
      </w:r>
      <w:r>
        <w:t>. Конституцией также гарант</w:t>
      </w:r>
      <w:r>
        <w:t>и</w:t>
      </w:r>
      <w:r>
        <w:t>руется право организовывать и вступать в профсоюзы, право на справедливые и безопасные трудовые практики, справедливую заработную плату и равное вознаграждение за "труд равной ценности без дискриминации по признаку п</w:t>
      </w:r>
      <w:r>
        <w:t>о</w:t>
      </w:r>
      <w:r>
        <w:t>ла, расы и трудоспособности"</w:t>
      </w:r>
      <w:r>
        <w:rPr>
          <w:rStyle w:val="FootnoteReference"/>
          <w:sz w:val="20"/>
        </w:rPr>
        <w:footnoteReference w:id="97"/>
      </w:r>
      <w:r>
        <w:t>. В Малави пытаются применять в трудовых договорах принципы, закрепленные в Законе о труде 2000 года, однако о че</w:t>
      </w:r>
      <w:r>
        <w:t>т</w:t>
      </w:r>
      <w:r>
        <w:t>ком следовании Закону пока говорить не приходится. Так, 91,6 процента эк</w:t>
      </w:r>
      <w:r>
        <w:t>о</w:t>
      </w:r>
      <w:r>
        <w:t>номически активного женского населения занято в сельскохозяйственной о</w:t>
      </w:r>
      <w:r>
        <w:t>б</w:t>
      </w:r>
      <w:r>
        <w:t>ласти. Однако среди незанятого населения доля мужчин меньше, чем доля женщин, в Малави экономически активное население в основном состоит из мужчин. Уделом женщин остается натуральное сельское хозяйство, в этой о</w:t>
      </w:r>
      <w:r>
        <w:t>б</w:t>
      </w:r>
      <w:r>
        <w:t>ласти они чи</w:t>
      </w:r>
      <w:r>
        <w:t>с</w:t>
      </w:r>
      <w:r>
        <w:t>ленно превосходят мужчин.</w:t>
      </w:r>
    </w:p>
    <w:p w:rsidR="00000000" w:rsidRDefault="00000000">
      <w:pPr>
        <w:pStyle w:val="SingleTxt"/>
      </w:pPr>
      <w:r>
        <w:t>11.3.2.</w:t>
      </w:r>
      <w:r>
        <w:tab/>
        <w:t>Меньшая представленность женщин в сфере занятости объясняется неравными возможностями трудоустройства, неравным отношением к рабо</w:t>
      </w:r>
      <w:r>
        <w:t>т</w:t>
      </w:r>
      <w:r>
        <w:t>никам и более низким уровнем образования. Число женщин, получивших пр</w:t>
      </w:r>
      <w:r>
        <w:t>о</w:t>
      </w:r>
      <w:r>
        <w:t>фессиональную подготовку, также ниже. На всех уровнях в обществе бытует стере</w:t>
      </w:r>
      <w:r>
        <w:t>о</w:t>
      </w:r>
      <w:r>
        <w:t>типное представление о роли женщины как домохозяйки.</w:t>
      </w:r>
    </w:p>
    <w:p w:rsidR="00000000" w:rsidRDefault="00000000">
      <w:pPr>
        <w:pStyle w:val="SingleTxt"/>
      </w:pPr>
      <w:r>
        <w:t>11.3.4.</w:t>
      </w:r>
      <w:r>
        <w:tab/>
        <w:t>Женщины, получившие образование или профессиональную подг</w:t>
      </w:r>
      <w:r>
        <w:t>о</w:t>
      </w:r>
      <w:r>
        <w:t>товку, иногда сталкиваются с дискриминацией при найме на работу и прохо</w:t>
      </w:r>
      <w:r>
        <w:t>ж</w:t>
      </w:r>
      <w:r>
        <w:t>дении собеседований. Некоторые работодатели объявляют, что принимают на работу исключительно мужчин, некоторые при отборе задают некорректные с точки зрения равноправия полов вопросы о беременности, семейном полож</w:t>
      </w:r>
      <w:r>
        <w:t>е</w:t>
      </w:r>
      <w:r>
        <w:t>нии и семейных обязанностях. Также распространено сексуальное домогател</w:t>
      </w:r>
      <w:r>
        <w:t>ь</w:t>
      </w:r>
      <w:r>
        <w:t>ство на рабочем месте, нередки случаи, когда работодатели принуждают своих подчиненных и потенциальных работников к физической близости.</w:t>
      </w:r>
    </w:p>
    <w:p w:rsidR="00000000" w:rsidRDefault="00000000">
      <w:pPr>
        <w:pStyle w:val="SingleTxt"/>
      </w:pPr>
      <w:r>
        <w:t>11.3.5.</w:t>
      </w:r>
      <w:r>
        <w:tab/>
        <w:t>Кроме того, несмотря на требования Закона о труде, работающие женщины часто подвергаются дискриминации. Большинство женщин, особе</w:t>
      </w:r>
      <w:r>
        <w:t>н</w:t>
      </w:r>
      <w:r>
        <w:t>но в сельскохозяйственном секторе, работает на временной основе, а следов</w:t>
      </w:r>
      <w:r>
        <w:t>а</w:t>
      </w:r>
      <w:r>
        <w:t>тельно не получает основных льгот, такое положение ненадежно, их легко ув</w:t>
      </w:r>
      <w:r>
        <w:t>о</w:t>
      </w:r>
      <w:r>
        <w:t>лить. Условия работы в отраслях, где женщины численно превосходят мужчин (речь идет о сельском и домашнем хозяйстве), неблагоприятны для женщин. Девочки и женщины, занятые в сфере домашнего хозяйства, часто не получают заработной платы. Вместо оплаты им предоставляется жилье, еда и одежда. Девочки и женщины, нанятые на работу в домашних хозяйствах, часто подве</w:t>
      </w:r>
      <w:r>
        <w:t>р</w:t>
      </w:r>
      <w:r>
        <w:t>гаются сексуальному домогательству и насилию со стороны подростков и взрослых мужчин. По большей части сексуальное домогательство до сих пор не считается чем-то неприемлемым. Женщины, работающие в разных сферах, часто подвергаются сексуальному домогательству и вынуждены вступать в противозаконные сексуальные отношения с начальниками, работодателями или сотрудниками. В Закон о труде, принятый в 2000 году, включены многие ме</w:t>
      </w:r>
      <w:r>
        <w:t>ж</w:t>
      </w:r>
      <w:r>
        <w:t>дународные стандарты, однако о сексуальном домогательстве в нем ничего не говорится.</w:t>
      </w:r>
    </w:p>
    <w:p w:rsidR="00000000" w:rsidRDefault="00000000">
      <w:pPr>
        <w:pStyle w:val="H23"/>
      </w:pPr>
      <w:r>
        <w:t>11.4</w:t>
      </w:r>
      <w:r>
        <w:tab/>
        <w:t>Выбор профессии и карьера</w:t>
      </w:r>
      <w:r>
        <w:rPr>
          <w:rStyle w:val="FootnoteReference"/>
          <w:b w:val="0"/>
          <w:sz w:val="20"/>
        </w:rPr>
        <w:footnoteReference w:id="98"/>
      </w:r>
    </w:p>
    <w:p w:rsidR="00000000" w:rsidRDefault="00000000">
      <w:pPr>
        <w:pStyle w:val="SingleTxt"/>
      </w:pPr>
      <w:r>
        <w:t>11.4.1.</w:t>
      </w:r>
      <w:r>
        <w:tab/>
        <w:t>В Малави женщины в основном заняты в сфере сельского хозяйства на работах, требующих физических усилий. В общей сложности 91,8 процента экономически активных женщин задействованы в сельскохозяйственной сфере, они составляют 70 процентов всех сельскохозяйственных рабочих. На сферу торговли приходится 31,4 процента всей рабочей силы, при чем доля женщин в этой сфере равна 3,6 процента. В сфере коммунальных и социальных услуг з</w:t>
      </w:r>
      <w:r>
        <w:t>а</w:t>
      </w:r>
      <w:r>
        <w:t>действовано 35,7 процента всей рабочей силы, из них женщины составляют 2,1 процента. В сфере производства трудятся 20,2 процента рабочей силы, из них всего 1 процент женщины. На сферу образования приходится 39,6 процента рабочей силы, а доля женщин составляет 1,4 процента. В сфере здравоохранения и социальных служб задействовано 40,9 процента, здесь доля женщин 0,58 процента.</w:t>
      </w:r>
    </w:p>
    <w:p w:rsidR="00000000" w:rsidRDefault="00000000">
      <w:pPr>
        <w:pStyle w:val="SingleTxt"/>
      </w:pPr>
      <w:r>
        <w:t>11.4.2.</w:t>
      </w:r>
      <w:r>
        <w:tab/>
        <w:t>Что касается представленности женщин в разных сферах занятости, то между женщинами и мужчинами сохраняется определенное неравенство. Женщины, как правило, выбирают занятия, которые не противоречат стере</w:t>
      </w:r>
      <w:r>
        <w:t>о</w:t>
      </w:r>
      <w:r>
        <w:t>типным представлениям о допустимой роли женщины в обществе, например, мелкая торговля или сельское хозяйство. Как уже упоминалось, предприним</w:t>
      </w:r>
      <w:r>
        <w:t>а</w:t>
      </w:r>
      <w:r>
        <w:t>ются попытки обучить женщин и мужчин нетрадиционным специальностям: в случаях мужчин речь может идти об уходе за больными и домоводстве, в сл</w:t>
      </w:r>
      <w:r>
        <w:t>у</w:t>
      </w:r>
      <w:r>
        <w:t>чае женщин – о проектировании и праве. С этой целью с 2001 года во всех ко</w:t>
      </w:r>
      <w:r>
        <w:t>л</w:t>
      </w:r>
      <w:r>
        <w:t>леджах Университета Малави проводится политика, в соответствии с которой к 2006 году 40 процентов преподавательских должностей будут занимать же</w:t>
      </w:r>
      <w:r>
        <w:t>н</w:t>
      </w:r>
      <w:r>
        <w:t>щины. Это делается еще и для того, чтобы у студенток, стремящихся продо</w:t>
      </w:r>
      <w:r>
        <w:t>л</w:t>
      </w:r>
      <w:r>
        <w:t>жать обучение, был достойный образец для подражания.</w:t>
      </w:r>
    </w:p>
    <w:p w:rsidR="00000000" w:rsidRDefault="00000000">
      <w:pPr>
        <w:pStyle w:val="SingleTxt"/>
      </w:pPr>
      <w:r>
        <w:t>11.4.3.</w:t>
      </w:r>
      <w:r>
        <w:tab/>
        <w:t>Программы, направленные на создание подобных образцов для по</w:t>
      </w:r>
      <w:r>
        <w:t>д</w:t>
      </w:r>
      <w:r>
        <w:t>ражания для девушек и женщин, встречаются все чаще, а к преуспевающим женщинам в Малави в основном относятся хорошо. Когда женщин направляют на обучение по нетрадиционных для них специальностям, достаточно большое число выпускниц обычно выбирают занятия и должности, не исключающие материнства. Это объясняется отсутствием механизмов поддержки женщин в нетрадиционных сферах занятости. Условия работы большинства работодат</w:t>
      </w:r>
      <w:r>
        <w:t>е</w:t>
      </w:r>
      <w:r>
        <w:t>лей в этих сферах не подходят женщинам, интересы и нужды женщин, в ос</w:t>
      </w:r>
      <w:r>
        <w:t>о</w:t>
      </w:r>
      <w:r>
        <w:t>бенности матерей, не учитываются.</w:t>
      </w:r>
    </w:p>
    <w:p w:rsidR="00000000" w:rsidRDefault="00000000">
      <w:pPr>
        <w:pStyle w:val="H23"/>
      </w:pPr>
      <w:r>
        <w:t>11.5.</w:t>
      </w:r>
      <w:r>
        <w:tab/>
        <w:t>Оплата труда</w:t>
      </w:r>
    </w:p>
    <w:p w:rsidR="00000000" w:rsidRDefault="00000000">
      <w:pPr>
        <w:pStyle w:val="SingleTxt"/>
      </w:pPr>
      <w:r>
        <w:t>11.5.1.</w:t>
      </w:r>
      <w:r>
        <w:tab/>
        <w:t>Закон о труде запрещает дискриминацию в рамках любых трудовых отношений. В нем четко прописано требование – соблюдать принцип равной оплаты за равный труд. В нем также предусмотрены равные права на ежего</w:t>
      </w:r>
      <w:r>
        <w:t>д</w:t>
      </w:r>
      <w:r>
        <w:t>ный отпуск, отпуск по болезни, кроме того, согласно закону женщинам полаг</w:t>
      </w:r>
      <w:r>
        <w:t>а</w:t>
      </w:r>
      <w:r>
        <w:t>ется отпуск по уходу за ребенком продолжительностью три месяца. Увольн</w:t>
      </w:r>
      <w:r>
        <w:t>е</w:t>
      </w:r>
      <w:r>
        <w:t>ние на основании беременности или других связанных с ней причин запрещено и преследуется в судебном порядке. В Законе содержится положение об один</w:t>
      </w:r>
      <w:r>
        <w:t>а</w:t>
      </w:r>
      <w:r>
        <w:t>ковой продолжительности рабочего дня у мужчин и женщин, выполняющих одинаковую работу. Женщины и мужчины имеют право на получение мин</w:t>
      </w:r>
      <w:r>
        <w:t>и</w:t>
      </w:r>
      <w:r>
        <w:t>мальной заработной платы и могут рассчитывать на равные условия в отнош</w:t>
      </w:r>
      <w:r>
        <w:t>е</w:t>
      </w:r>
      <w:r>
        <w:t>нии равного труда в том, что касается продвижения по службе, объема работ и других прав и обязанностей. Увольнение должно быть оправданно, а неспр</w:t>
      </w:r>
      <w:r>
        <w:t>а</w:t>
      </w:r>
      <w:r>
        <w:t>ведливое увольнение как женщин, так и мужчин является основанием для во</w:t>
      </w:r>
      <w:r>
        <w:t>с</w:t>
      </w:r>
      <w:r>
        <w:t>становления на работе и/или получения компенсации. В Законе также оговар</w:t>
      </w:r>
      <w:r>
        <w:t>и</w:t>
      </w:r>
      <w:r>
        <w:t>вается ситуация неопровержимо презюмируемого увольнения, когда работод</w:t>
      </w:r>
      <w:r>
        <w:t>а</w:t>
      </w:r>
      <w:r>
        <w:t>тель созд</w:t>
      </w:r>
      <w:r>
        <w:t>а</w:t>
      </w:r>
      <w:r>
        <w:t>ет условия, при которых становиться тяжело продолжать работу.</w:t>
      </w:r>
    </w:p>
    <w:p w:rsidR="00000000" w:rsidRDefault="00000000">
      <w:pPr>
        <w:pStyle w:val="SingleTxt"/>
      </w:pPr>
      <w:r>
        <w:t>11.5.2.</w:t>
      </w:r>
      <w:r>
        <w:tab/>
        <w:t>Закон о труде был принят в 2000 году, и многим работодателям и р</w:t>
      </w:r>
      <w:r>
        <w:t>а</w:t>
      </w:r>
      <w:r>
        <w:t>ботникам еще предстоит познакомиться с его положениями и понять их. Есть указания на то, что некоторые работодатели неодинаково ведут себя по отн</w:t>
      </w:r>
      <w:r>
        <w:t>о</w:t>
      </w:r>
      <w:r>
        <w:t>шению к мужчинам и женщинам. Например, на многих чайных и табачных плантациях в Малави женщины получают меньше денег за равный, а иногда и за более тяжелый труд. О дискриминации, с которой сталкиваются работающие женщины, также свидетельствует огромное количество связанных с трудоус</w:t>
      </w:r>
      <w:r>
        <w:t>т</w:t>
      </w:r>
      <w:r>
        <w:t>ройством жалоб, поступающих в управление омбудсмена. Подавляющее бол</w:t>
      </w:r>
      <w:r>
        <w:t>ь</w:t>
      </w:r>
      <w:r>
        <w:t>шинство жалоб, направляемых женщинами, связано с несправедливым обр</w:t>
      </w:r>
      <w:r>
        <w:t>а</w:t>
      </w:r>
      <w:r>
        <w:t>щением или дискриминац</w:t>
      </w:r>
      <w:r>
        <w:t>и</w:t>
      </w:r>
      <w:r>
        <w:t>ей</w:t>
      </w:r>
      <w:r>
        <w:rPr>
          <w:rStyle w:val="FootnoteReference"/>
          <w:sz w:val="20"/>
        </w:rPr>
        <w:footnoteReference w:id="99"/>
      </w:r>
      <w:r>
        <w:t>.</w:t>
      </w:r>
    </w:p>
    <w:p w:rsidR="00000000" w:rsidRDefault="00000000">
      <w:pPr>
        <w:pStyle w:val="SingleTxt"/>
      </w:pPr>
      <w:r>
        <w:t>11.5.3.</w:t>
      </w:r>
      <w:r>
        <w:tab/>
        <w:t>Не только пособие по болезни, предусмотренное Законом о труде, но и другие элементы социального пакета по-прежнему остаются предметом ч</w:t>
      </w:r>
      <w:r>
        <w:t>а</w:t>
      </w:r>
      <w:r>
        <w:t>стной договоренности между работодателем и работниками. Не существует никаких законодательных норм или общих принципов, обеспечивающих р</w:t>
      </w:r>
      <w:r>
        <w:t>а</w:t>
      </w:r>
      <w:r>
        <w:t>ботникам социальную защиту. Отдельные работники сами заботятся о пенсии и социальном страховании и при приеме на работу пользуются некоторым пр</w:t>
      </w:r>
      <w:r>
        <w:t>е</w:t>
      </w:r>
      <w:r>
        <w:t>имуществом. Еще предстоит установить, какова доля работников, пользу</w:t>
      </w:r>
      <w:r>
        <w:t>ю</w:t>
      </w:r>
      <w:r>
        <w:t>щихся социальной защитой на работе и самостоятельно обеспечивающих со</w:t>
      </w:r>
      <w:r>
        <w:t>б</w:t>
      </w:r>
      <w:r>
        <w:t>ственную социальную защиту. Этот вопрос также необходимо рассмотреть про</w:t>
      </w:r>
      <w:r>
        <w:t>ф</w:t>
      </w:r>
      <w:r>
        <w:t>союзам Малави.</w:t>
      </w:r>
    </w:p>
    <w:p w:rsidR="00000000" w:rsidRDefault="00000000">
      <w:pPr>
        <w:pStyle w:val="H23"/>
      </w:pPr>
      <w:r>
        <w:t>11.6.</w:t>
      </w:r>
      <w:r>
        <w:tab/>
        <w:t>Защита от насилия на рабочем месте</w:t>
      </w:r>
    </w:p>
    <w:p w:rsidR="00000000" w:rsidRDefault="00000000">
      <w:pPr>
        <w:pStyle w:val="SingleTxt"/>
      </w:pPr>
      <w:r>
        <w:t>11.6.1.</w:t>
      </w:r>
      <w:r>
        <w:tab/>
        <w:t>Одна из проблем, требующих особого внимание, – это насилие на рабочем месте. Сексуальное домогательство со стороны сотрудников-мужчин очень распространено, оно является отражением социальных ролей и пре</w:t>
      </w:r>
      <w:r>
        <w:t>д</w:t>
      </w:r>
      <w:r>
        <w:t>ставлений, сложившихся в малавийском обществом. На женщину не просто смотрят, как на человека низшего сорта, их воспринимают как объект полового влечения. Хотя уголовным законодательством запрещается унижать достоинс</w:t>
      </w:r>
      <w:r>
        <w:t>т</w:t>
      </w:r>
      <w:r>
        <w:t>во женщин, мужчины часто позволяют себе делать унизительные замечания сексуального характера в присутствии других сотрудников. Кроме того, далеко не все женщины осознают, что сексуальное домогательство непозволительно, а в этой области не существует ни закона, ни правил. Однако предпринимаются попытки включить сексуальное домогательство в руководство для государс</w:t>
      </w:r>
      <w:r>
        <w:t>т</w:t>
      </w:r>
      <w:r>
        <w:t>венных служащих по обеспечению учета гендерной проблематики, что пом</w:t>
      </w:r>
      <w:r>
        <w:t>о</w:t>
      </w:r>
      <w:r>
        <w:t>жет реш</w:t>
      </w:r>
      <w:r>
        <w:t>е</w:t>
      </w:r>
      <w:r>
        <w:t>нию проблемы в этом секторе.</w:t>
      </w:r>
    </w:p>
    <w:p w:rsidR="00000000" w:rsidRDefault="00000000">
      <w:pPr>
        <w:pStyle w:val="H23"/>
      </w:pPr>
      <w:r>
        <w:t>11.7.</w:t>
      </w:r>
      <w:r>
        <w:tab/>
        <w:t>Вывод</w:t>
      </w:r>
    </w:p>
    <w:p w:rsidR="00000000" w:rsidRDefault="00000000">
      <w:pPr>
        <w:pStyle w:val="SingleTxt"/>
      </w:pPr>
      <w:r>
        <w:t>Вступление в силу Закона о труде и Закона о трудовых отношениях стало ва</w:t>
      </w:r>
      <w:r>
        <w:t>ж</w:t>
      </w:r>
      <w:r>
        <w:t>нейшим шагом на пути регулирования сферы трудовых отношений в Малави. Эти законы в значительной степени основаны на международных стандартах. Особо значение придается недопущению дискриминации в сфере занятости. Однако дискриминация в отношении женщин до сих пор сказывается на их представленности в разных секторах экономики и обращении с ними. Женщ</w:t>
      </w:r>
      <w:r>
        <w:t>и</w:t>
      </w:r>
      <w:r>
        <w:t>ны в основном работают в сельскохозяйственной сфере, а некоторые занятия женщин, например, работа в домашних хозяйствах, до сих пор не рассматрив</w:t>
      </w:r>
      <w:r>
        <w:t>а</w:t>
      </w:r>
      <w:r>
        <w:t>ется в качестве экономической деятельности. Закон о труде не носит всеобъе</w:t>
      </w:r>
      <w:r>
        <w:t>м</w:t>
      </w:r>
      <w:r>
        <w:t>лющего характера, в нем не затронуты вопросы сексуального домогательства на различных этапах трудоустройства. Кроме того, положения Закона должны стать широко известны и признаны и начать применяться в стране, где статус женщин еще очень низок, в сфере образования преимущество сохраняется за мальчиками и мужчинами и бытует мнение, что функции женщины состоят в том, чтобы рожать детей, удовлетворять половые потребности мужчин и в</w:t>
      </w:r>
      <w:r>
        <w:t>ы</w:t>
      </w:r>
      <w:r>
        <w:t>полнять работу по дому.</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64" w:name="_Toc83977545"/>
      <w:r>
        <w:t>Статья 12:</w:t>
      </w:r>
      <w:r>
        <w:tab/>
        <w:t>Здравоохранение и медицинское обслуживание</w:t>
      </w:r>
      <w:bookmarkEnd w:id="64"/>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12.1</w:t>
      </w:r>
      <w:r>
        <w:tab/>
        <w:t>Стандарты КЛДЖ</w:t>
      </w:r>
    </w:p>
    <w:p w:rsidR="00000000" w:rsidRDefault="00000000">
      <w:pPr>
        <w:pStyle w:val="SingleTxt"/>
        <w:rPr>
          <w:i/>
        </w:rPr>
      </w:pPr>
      <w:r>
        <w:rPr>
          <w:i/>
        </w:rPr>
        <w:t>Статья 12. 1. Государства-участники принимают все соответствующие м</w:t>
      </w:r>
      <w:r>
        <w:rPr>
          <w:i/>
        </w:rPr>
        <w:t>е</w:t>
      </w:r>
      <w:r>
        <w:rPr>
          <w:i/>
        </w:rPr>
        <w:t>ры для ликвидации дискриминации в отношении женщин в области здрав</w:t>
      </w:r>
      <w:r>
        <w:rPr>
          <w:i/>
        </w:rPr>
        <w:t>о</w:t>
      </w:r>
      <w:r>
        <w:rPr>
          <w:i/>
        </w:rPr>
        <w:t>охранения, с тем чтобы обеспечить на основе равенства мужчин и женщин доступ к медицинскому обслуживанию, в частности в том, что касается пл</w:t>
      </w:r>
      <w:r>
        <w:rPr>
          <w:i/>
        </w:rPr>
        <w:t>а</w:t>
      </w:r>
      <w:r>
        <w:rPr>
          <w:i/>
        </w:rPr>
        <w:t>нирования ра</w:t>
      </w:r>
      <w:r>
        <w:rPr>
          <w:i/>
        </w:rPr>
        <w:t>з</w:t>
      </w:r>
      <w:r>
        <w:rPr>
          <w:i/>
        </w:rPr>
        <w:t>мера семьи.</w:t>
      </w:r>
    </w:p>
    <w:p w:rsidR="00000000" w:rsidRDefault="00000000">
      <w:pPr>
        <w:pStyle w:val="SingleTxt"/>
        <w:rPr>
          <w:i/>
        </w:rPr>
      </w:pPr>
      <w:r>
        <w:rPr>
          <w:i/>
        </w:rPr>
        <w:t>2. Независимо от положении пункта 1 настоящей статьи, государства-участники обеспечивают женщинам соответствующее обслуживание в пер</w:t>
      </w:r>
      <w:r>
        <w:rPr>
          <w:i/>
        </w:rPr>
        <w:t>и</w:t>
      </w:r>
      <w:r>
        <w:rPr>
          <w:i/>
        </w:rPr>
        <w:t>од беременности, родов и послеродовой период, предоставляя, когда это нео</w:t>
      </w:r>
      <w:r>
        <w:rPr>
          <w:i/>
        </w:rPr>
        <w:t>б</w:t>
      </w:r>
      <w:r>
        <w:rPr>
          <w:i/>
        </w:rPr>
        <w:t>ходимо, бесплатные услуги, а также соответствующее питание в период б</w:t>
      </w:r>
      <w:r>
        <w:rPr>
          <w:i/>
        </w:rPr>
        <w:t>е</w:t>
      </w:r>
      <w:r>
        <w:rPr>
          <w:i/>
        </w:rPr>
        <w:t>ременности и кормления.</w:t>
      </w:r>
    </w:p>
    <w:p w:rsidR="00000000" w:rsidRDefault="00000000">
      <w:pPr>
        <w:pStyle w:val="H23"/>
        <w:rPr>
          <w:lang w:val="en-US"/>
        </w:rPr>
      </w:pPr>
      <w:r>
        <w:t>12.2.</w:t>
      </w:r>
      <w:r>
        <w:tab/>
        <w:t>Введение</w:t>
      </w:r>
    </w:p>
    <w:p w:rsidR="00000000" w:rsidRDefault="00000000">
      <w:pPr>
        <w:pStyle w:val="SingleTxt"/>
      </w:pPr>
      <w:r>
        <w:t>12.2.1.</w:t>
      </w:r>
      <w:r>
        <w:tab/>
        <w:t>Из-за неблагоприятной ситуации, существующей в Малави в сфере здравоохранения, в первую очередь страдают женщины. В Конституции страны говорится, что принципы и законы в Малави должны быть направлены на обеспечение надлежащего уровня здравоохранения, "отвечающего потребн</w:t>
      </w:r>
      <w:r>
        <w:t>о</w:t>
      </w:r>
      <w:r>
        <w:t>стям малавийского общества в медицинской помощи и основанного на межд</w:t>
      </w:r>
      <w:r>
        <w:t>у</w:t>
      </w:r>
      <w:r>
        <w:t>народных стандартах здравоохранения"</w:t>
      </w:r>
      <w:r>
        <w:rPr>
          <w:rStyle w:val="FootnoteReference"/>
          <w:sz w:val="20"/>
        </w:rPr>
        <w:footnoteReference w:id="100"/>
      </w:r>
      <w:r>
        <w:t>. В Конституции также признается необходимость обеспечения в Малави "надлежащего питания для всех, чтобы с</w:t>
      </w:r>
      <w:r>
        <w:t>о</w:t>
      </w:r>
      <w:r>
        <w:t>действовать хорошему здоровью и самообеспечению"</w:t>
      </w:r>
      <w:r>
        <w:rPr>
          <w:rStyle w:val="FootnoteReference"/>
          <w:sz w:val="20"/>
        </w:rPr>
        <w:footnoteReference w:id="101"/>
      </w:r>
      <w:r>
        <w:t>.</w:t>
      </w:r>
    </w:p>
    <w:p w:rsidR="00000000" w:rsidRDefault="00000000">
      <w:pPr>
        <w:pStyle w:val="SingleTxt"/>
      </w:pPr>
      <w:r>
        <w:t>12.2.2.</w:t>
      </w:r>
      <w:r>
        <w:tab/>
        <w:t>В отличие от других прав человека, право на здоровье не закреплено в Конституции, и упоминается только в контексте права на развитие. Прав</w:t>
      </w:r>
      <w:r>
        <w:t>и</w:t>
      </w:r>
      <w:r>
        <w:t>тельство и его партнеры предпринимали попытки предоставлять населению Малави медицинское обслуживание и снабжать сопутствующими товарами. Некоторые из программ, например, программа охраны материнства, в первую очередь нацелены на потребности женщин и детей в охране здоровья. В то же самое время нагрузки на систему здравоохранения увеличились из-за распр</w:t>
      </w:r>
      <w:r>
        <w:t>о</w:t>
      </w:r>
      <w:r>
        <w:t>странения СПИДа. Время, энергия и силы женщин тратятся на уход, эта роль в Малави по-прежнему отводится женщинам.</w:t>
      </w:r>
    </w:p>
    <w:p w:rsidR="00000000" w:rsidRDefault="00000000">
      <w:pPr>
        <w:pStyle w:val="H23"/>
      </w:pPr>
      <w:r>
        <w:t>12.3.</w:t>
      </w:r>
      <w:r>
        <w:tab/>
        <w:t>Доступ женщин к здравоохранению</w:t>
      </w:r>
    </w:p>
    <w:p w:rsidR="00000000" w:rsidRDefault="00000000">
      <w:pPr>
        <w:pStyle w:val="SingleTxt"/>
      </w:pPr>
      <w:r>
        <w:t>12.3.1.</w:t>
      </w:r>
      <w:r>
        <w:tab/>
        <w:t>В Малави материально-техническая база здравоохранения подде</w:t>
      </w:r>
      <w:r>
        <w:t>р</w:t>
      </w:r>
      <w:r>
        <w:t>живается правительством, Христианской ассоциацией здравоохранения Мал</w:t>
      </w:r>
      <w:r>
        <w:t>а</w:t>
      </w:r>
      <w:r>
        <w:t>ви, частным сектором, основными медицинскими сотрудниками и домашними хозяйствами. Уже долгое время существует острая нехватка медицинского пе</w:t>
      </w:r>
      <w:r>
        <w:t>р</w:t>
      </w:r>
      <w:r>
        <w:t>сонала и недостаток медицинского обслуживания. Так, в 1996 году на службе состояло 450 младших медицинских сестер и акушерок, 23 фельдшера, 124 младших участковых медсестер, 23 санитара, следящих за состоянием о</w:t>
      </w:r>
      <w:r>
        <w:t>к</w:t>
      </w:r>
      <w:r>
        <w:t>ружающей среды и 2627 сотрудник службы наблюдения за состоянием здор</w:t>
      </w:r>
      <w:r>
        <w:t>о</w:t>
      </w:r>
      <w:r>
        <w:t>вья. В стране на тот момент было всего 20 специалистов медицинской службы, все они работали в центральных госпиталях или больницах общего профиля, где им помогали 58 сотрудников медицинской службы. Официально были зар</w:t>
      </w:r>
      <w:r>
        <w:t>е</w:t>
      </w:r>
      <w:r>
        <w:t>гистрированы 3 фармацевта, двое из которых занимали административные должности. К 1998 году, например</w:t>
      </w:r>
      <w:r>
        <w:rPr>
          <w:rStyle w:val="FootnoteReference"/>
          <w:sz w:val="20"/>
        </w:rPr>
        <w:footnoteReference w:id="102"/>
      </w:r>
      <w:r>
        <w:t>, в стране числилось 24 медицинских пункта, 345 диспансеров, 70 родильных домов, 389 центров санитарного ко</w:t>
      </w:r>
      <w:r>
        <w:t>н</w:t>
      </w:r>
      <w:r>
        <w:t>троля, 28 сельских больниц, 28 госпиталей при Христианской ассоциации здравоохранения Малави, 1 психиатрическая лечебница, 21 районная больница и три центральных госпиталя.</w:t>
      </w:r>
    </w:p>
    <w:p w:rsidR="00000000" w:rsidRDefault="00000000">
      <w:pPr>
        <w:pStyle w:val="SingleTxt"/>
      </w:pPr>
      <w:r>
        <w:t>12.3.2.</w:t>
      </w:r>
      <w:r>
        <w:tab/>
        <w:t>С тех пор число районов было увеличено до 28 в расчете на то, что количество районных больниц соответственно возрастет. В Мзузу действует госпиталь общего профиля, он обслуживает Северный регион. В условиях св</w:t>
      </w:r>
      <w:r>
        <w:t>о</w:t>
      </w:r>
      <w:r>
        <w:t>бодного рынка как в городах, так и в сельской местности выросло число час</w:t>
      </w:r>
      <w:r>
        <w:t>т</w:t>
      </w:r>
      <w:r>
        <w:t>ных клиник и госпиталей. Правительство в свою очередь запустило проект в области здравоохранения "Бакили Мулузи". Его основная задача – сделать о</w:t>
      </w:r>
      <w:r>
        <w:t>с</w:t>
      </w:r>
      <w:r>
        <w:t>новные виды медицинского обслуживания бесплатными и более доступными, в особенности для детей, а также бесплатно предоставлять некоторые медици</w:t>
      </w:r>
      <w:r>
        <w:t>н</w:t>
      </w:r>
      <w:r>
        <w:t>ские товары, например, лекарственные препараты первой необходимости.</w:t>
      </w:r>
    </w:p>
    <w:p w:rsidR="00000000" w:rsidRDefault="00000000">
      <w:pPr>
        <w:pStyle w:val="SingleTxt"/>
      </w:pPr>
      <w:r>
        <w:t>12.3.3.</w:t>
      </w:r>
      <w:r>
        <w:tab/>
        <w:t>Помимо недостаточного числа медицинских учреждений малави</w:t>
      </w:r>
      <w:r>
        <w:t>й</w:t>
      </w:r>
      <w:r>
        <w:t>ские женщины сталкиваются с такими проблемами, как доступ к медицинским учреждениям, обслуживанию и медицинским товарам. Доступ женщин к здр</w:t>
      </w:r>
      <w:r>
        <w:t>а</w:t>
      </w:r>
      <w:r>
        <w:t>воохранению осложняется из-за неэффективности транспортной сети, отсутс</w:t>
      </w:r>
      <w:r>
        <w:t>т</w:t>
      </w:r>
      <w:r>
        <w:t>вия денег на транспорт и нехватки времени на поездки в медицинские учре</w:t>
      </w:r>
      <w:r>
        <w:t>ж</w:t>
      </w:r>
      <w:r>
        <w:t>дения.</w:t>
      </w:r>
    </w:p>
    <w:p w:rsidR="00000000" w:rsidRDefault="00000000">
      <w:pPr>
        <w:pStyle w:val="SingleTxt"/>
      </w:pPr>
      <w:r>
        <w:t>12.3.4.</w:t>
      </w:r>
      <w:r>
        <w:tab/>
        <w:t>При составлении доклада выяснилось, что одной из причин, по к</w:t>
      </w:r>
      <w:r>
        <w:t>о</w:t>
      </w:r>
      <w:r>
        <w:t>торой люди избегают посещение медицинских учреждений, является отнош</w:t>
      </w:r>
      <w:r>
        <w:t>е</w:t>
      </w:r>
      <w:r>
        <w:t>ние к ним медицинских работников. Многие медицинские работники ведут с</w:t>
      </w:r>
      <w:r>
        <w:t>е</w:t>
      </w:r>
      <w:r>
        <w:t>бя грубо, неуважительно и пристрастно. У многих женщин неправильно пр</w:t>
      </w:r>
      <w:r>
        <w:t>и</w:t>
      </w:r>
      <w:r>
        <w:t>нимают роды; по словам сотрудников, причиной тому могло быть большое к</w:t>
      </w:r>
      <w:r>
        <w:t>о</w:t>
      </w:r>
      <w:r>
        <w:t>личество рожениц, конфликтное поведение пациентов, нехватка необходимых медицинских материалов. Медицинские работники, в особенности женщины, перегружены работой. Пациентки родильных отделений отмечали, что мед</w:t>
      </w:r>
      <w:r>
        <w:t>и</w:t>
      </w:r>
      <w:r>
        <w:t>цинские работники мужского пола оказывают лучший уход, возможно, это происходит потому, что мужчин вызывают только в случаях осложнений при родах и они менее загружены работой, чем женщины.</w:t>
      </w:r>
    </w:p>
    <w:p w:rsidR="00000000" w:rsidRDefault="00000000">
      <w:pPr>
        <w:pStyle w:val="H23"/>
      </w:pPr>
      <w:r>
        <w:t>12.4.</w:t>
      </w:r>
      <w:r>
        <w:tab/>
        <w:t>Дискриминация в отношении женщин в сфере здравоохранения</w:t>
      </w:r>
    </w:p>
    <w:p w:rsidR="00000000" w:rsidRDefault="00000000">
      <w:pPr>
        <w:pStyle w:val="SingleTxt"/>
      </w:pPr>
      <w:r>
        <w:t>12.4.1.</w:t>
      </w:r>
      <w:r>
        <w:tab/>
        <w:t>Также было установлено, что в сфере здравоохранения Малави им</w:t>
      </w:r>
      <w:r>
        <w:t>е</w:t>
      </w:r>
      <w:r>
        <w:t>ли место случаи дискриминации на основании экономического положения и культурного статуса. Небогатые люди, в особенности, женщины, страдают от дискриминационного отношения, когда предпочтение отдается людям с более высоким социальным статусом, в том числе мужчинам. В большинстве мед</w:t>
      </w:r>
      <w:r>
        <w:t>и</w:t>
      </w:r>
      <w:r>
        <w:t>цинских центров почти все женщины вынуждены выстаивать в долгих очер</w:t>
      </w:r>
      <w:r>
        <w:t>е</w:t>
      </w:r>
      <w:r>
        <w:t>дях, чтобы попасть на прием.</w:t>
      </w:r>
    </w:p>
    <w:p w:rsidR="00000000" w:rsidRDefault="00000000">
      <w:pPr>
        <w:pStyle w:val="SingleTxt"/>
      </w:pPr>
      <w:r>
        <w:t>12.4.2.</w:t>
      </w:r>
      <w:r>
        <w:tab/>
        <w:t>Многие из опрошенных членов общины давали негативную оценку работе медицинских центров; в основном речь идет о людях с низким экон</w:t>
      </w:r>
      <w:r>
        <w:t>о</w:t>
      </w:r>
      <w:r>
        <w:t>мическим и социальным статусом, которым уделяли недостаточно внимания. Людям, занимающим более высокое экономическое положение, наоборот почти не приходилось стоять в очередях, медицинские работники, как правило, уд</w:t>
      </w:r>
      <w:r>
        <w:t>е</w:t>
      </w:r>
      <w:r>
        <w:t>ляли им больше внимания и тратили на них больше времени, они получали б</w:t>
      </w:r>
      <w:r>
        <w:t>о</w:t>
      </w:r>
      <w:r>
        <w:t>лее качественные медицинские препараты, чем небог</w:t>
      </w:r>
      <w:r>
        <w:t>а</w:t>
      </w:r>
      <w:r>
        <w:t>тые пациенты.</w:t>
      </w:r>
    </w:p>
    <w:p w:rsidR="00000000" w:rsidRDefault="00000000">
      <w:pPr>
        <w:pStyle w:val="SingleTxt"/>
      </w:pPr>
      <w:r>
        <w:t>12.4.3.</w:t>
      </w:r>
      <w:r>
        <w:tab/>
        <w:t>Каждый член общины, решивший обратится в государственную больницу, должен за свой счет приобрести медицинскую регистрационную книжку; таким образом пытались улучшить систему ведения истории больного и избежать повреждения и утраты карты. Однако оказалось, что в большинстве общин люди не знают о назначении медицинской карты, которую просят предъявлять на приеме. Большинство сельских жителей не могут позволить с</w:t>
      </w:r>
      <w:r>
        <w:t>е</w:t>
      </w:r>
      <w:r>
        <w:t>бе купить медицинскую регистрационную книжку и пользоваться ей каждый раз, когда они обращаются за медицинской помощью.</w:t>
      </w:r>
    </w:p>
    <w:p w:rsidR="00000000" w:rsidRDefault="00000000">
      <w:pPr>
        <w:pStyle w:val="H23"/>
      </w:pPr>
      <w:r>
        <w:t>12.5.</w:t>
      </w:r>
      <w:r>
        <w:tab/>
        <w:t>Доступ к системе планирования размера семьи и услуги в сфере контрацепции</w:t>
      </w:r>
      <w:r>
        <w:rPr>
          <w:rStyle w:val="FootnoteReference"/>
          <w:b w:val="0"/>
          <w:sz w:val="20"/>
          <w:lang w:val="en-US"/>
        </w:rPr>
        <w:footnoteReference w:id="103"/>
      </w:r>
    </w:p>
    <w:p w:rsidR="00000000" w:rsidRDefault="00000000">
      <w:pPr>
        <w:pStyle w:val="SingleTxt"/>
      </w:pPr>
      <w:r>
        <w:rPr>
          <w:b/>
        </w:rPr>
        <w:t>12.6.</w:t>
      </w:r>
      <w:r>
        <w:tab/>
        <w:t>Со времени написания первого странового доклада услуги в сфере план</w:t>
      </w:r>
      <w:r>
        <w:t>и</w:t>
      </w:r>
      <w:r>
        <w:t>рования семьи стали доступнее, и число обращений возросло. В результате с 1992 по 2000 год среднее число детей на одну женщин сократилось с 7,6 до 6,7 в сельской местности, а в городских районах составило 4.5. Тем не менее, уровень плодовитости по-прежнему остается очень высоким, в основном из-за низкого уровня образования, приводящего к незапланированным беременн</w:t>
      </w:r>
      <w:r>
        <w:t>о</w:t>
      </w:r>
      <w:r>
        <w:t>стям. Так, в течение пяти лет, предшествующих проведению демографического медико-санитарного обследования 2000 года, в 40 процентах случаев береме</w:t>
      </w:r>
      <w:r>
        <w:t>н</w:t>
      </w:r>
      <w:r>
        <w:t>ность не была запланирована, в 22 процентах случаев оказалась нежелател</w:t>
      </w:r>
      <w:r>
        <w:t>ь</w:t>
      </w:r>
      <w:r>
        <w:t>ной, а в 18 процентах случаев – несво</w:t>
      </w:r>
      <w:r>
        <w:t>е</w:t>
      </w:r>
      <w:r>
        <w:t xml:space="preserve">временной. </w:t>
      </w:r>
    </w:p>
    <w:p w:rsidR="00000000" w:rsidRDefault="00000000">
      <w:pPr>
        <w:pStyle w:val="SingleTxt"/>
      </w:pPr>
      <w:r>
        <w:rPr>
          <w:b/>
        </w:rPr>
        <w:t>12.7.</w:t>
      </w:r>
      <w:r>
        <w:tab/>
        <w:t>С 1992 года у населения сложилось более ясное представление о методах контрацепции. 97 процентов женщин в возрасте от 15 до 49 лет знают по кра</w:t>
      </w:r>
      <w:r>
        <w:t>й</w:t>
      </w:r>
      <w:r>
        <w:t>ней мере один способ планирования размера семьи, такой показатель свид</w:t>
      </w:r>
      <w:r>
        <w:t>е</w:t>
      </w:r>
      <w:r>
        <w:t>тельствует об эффективности просветительских кампаний по радио и личных бесед. Согласно данным демографического медико-санитарного обследования в Малави, 92 процента опрошенных женщин знали о инъецируемых контр</w:t>
      </w:r>
      <w:r>
        <w:t>а</w:t>
      </w:r>
      <w:r>
        <w:t>цептивах, 91 процент – о гормональных препаратах, 90 процентов – о мужском презервативе и 83 процента – о женском презервативе. Степень осведомленн</w:t>
      </w:r>
      <w:r>
        <w:t>о</w:t>
      </w:r>
      <w:r>
        <w:t>сти в этих вопросах зависит от возраста, сексуальной активности и уровня о</w:t>
      </w:r>
      <w:r>
        <w:t>б</w:t>
      </w:r>
      <w:r>
        <w:t>разования.</w:t>
      </w:r>
    </w:p>
    <w:p w:rsidR="00000000" w:rsidRDefault="00000000">
      <w:pPr>
        <w:pStyle w:val="SingleTxt"/>
      </w:pPr>
      <w:r>
        <w:rPr>
          <w:b/>
        </w:rPr>
        <w:t>12.8.</w:t>
      </w:r>
      <w:r>
        <w:tab/>
        <w:t>С 1992 года необходимость информирования о планировании семьи сн</w:t>
      </w:r>
      <w:r>
        <w:t>и</w:t>
      </w:r>
      <w:r>
        <w:t>зилась с 36 до 30 процентов среди замужних женщин. Потребность в  регул</w:t>
      </w:r>
      <w:r>
        <w:t>и</w:t>
      </w:r>
      <w:r>
        <w:t>ровании деторождения составляет 17 процентов, а потребность в ограничении числа детей остается у 13 процентов замужних женщин. Хотя в сфере план</w:t>
      </w:r>
      <w:r>
        <w:t>и</w:t>
      </w:r>
      <w:r>
        <w:t>рования размера семьи и были достигнуты значительные успехи, этого по-прежнему недостаточно, так как объем неудовлетворенных потребностей с</w:t>
      </w:r>
      <w:r>
        <w:t>о</w:t>
      </w:r>
      <w:r>
        <w:t>ставляет около 50 процентов. Следует учитывать, что аборты в Малави нез</w:t>
      </w:r>
      <w:r>
        <w:t>а</w:t>
      </w:r>
      <w:r>
        <w:t>конны. Чаще всего аборты делают молодые девушки, которые не хотят рожать ребенка или которые прерывают беременность под давлением сексуального партнера. Достоверной статистики по або</w:t>
      </w:r>
      <w:r>
        <w:t>р</w:t>
      </w:r>
      <w:r>
        <w:t>там не существует.</w:t>
      </w:r>
    </w:p>
    <w:p w:rsidR="00000000" w:rsidRDefault="00000000">
      <w:pPr>
        <w:pStyle w:val="SingleTxt"/>
      </w:pPr>
      <w:r>
        <w:rPr>
          <w:b/>
        </w:rPr>
        <w:t>12.9.</w:t>
      </w:r>
      <w:r>
        <w:tab/>
        <w:t>С 1992 года заметно выросло применение контрацептивов, этот показ</w:t>
      </w:r>
      <w:r>
        <w:t>а</w:t>
      </w:r>
      <w:r>
        <w:t>тель подскочил с 7 до 26 процентов среди замужних женщин. Предпочтение стали отдавать иным видам контрацепции: с 1992 по 2000 год использование инъецируемых контрацептивов увеличилось с 2 до 16 процентов, в то время как популярность гормональных таблеток и внутриматочных противозачато</w:t>
      </w:r>
      <w:r>
        <w:t>ч</w:t>
      </w:r>
      <w:r>
        <w:t>ных средств снизилась. Однако в вопросах контрацепции между городскими и сельскими женщинами существует сильное различие. В городах противозач</w:t>
      </w:r>
      <w:r>
        <w:t>а</w:t>
      </w:r>
      <w:r>
        <w:t>точные средства применяют 38 процентов женщин, а в сельской местности этот показатель составляет 24 процента. Самый высокий процент использов</w:t>
      </w:r>
      <w:r>
        <w:t>а</w:t>
      </w:r>
      <w:r>
        <w:t>ния контрацепции отмечен среди женщин среднего возраста. Только 13 процентов замужних женщин в возрасте от 15 до 49 лет прибегают к ко</w:t>
      </w:r>
      <w:r>
        <w:t>н</w:t>
      </w:r>
      <w:r>
        <w:t>трацепции. Среди более старших женщин детородного возраста (от 45 до 49 лет) этот показатель составляет уже 20 процентов. Женщины более старш</w:t>
      </w:r>
      <w:r>
        <w:t>е</w:t>
      </w:r>
      <w:r>
        <w:t>го возраста отдают предпочтение инъецируемым контрацептивам, а молодые и незамужние женщины, как правило, доверяют презервативу, который к тому же широко рекламируется как средство избежать заражения ВИЧ.</w:t>
      </w:r>
    </w:p>
    <w:p w:rsidR="00000000" w:rsidRDefault="00000000">
      <w:pPr>
        <w:pStyle w:val="SingleTxt"/>
      </w:pPr>
      <w:r>
        <w:rPr>
          <w:b/>
        </w:rPr>
        <w:t>12.10.</w:t>
      </w:r>
      <w:r>
        <w:tab/>
        <w:t>Процент использующих противозачаточные средства среди мужчин выше, чем среди женщин. По крайней мере, об одном случае использовании контрацепции заявили 44 процента замужних женщин, ведущих активную п</w:t>
      </w:r>
      <w:r>
        <w:t>о</w:t>
      </w:r>
      <w:r>
        <w:t>ловую жизнь, при этом опыт использования противозачаточных средств был у 64,7 процента мужчин. На момент проведения опроса к контрацепции прибег</w:t>
      </w:r>
      <w:r>
        <w:t>а</w:t>
      </w:r>
      <w:r>
        <w:t>ли 25 процентов женщин и 27,4 процента мужчин. Такое положение вещей свидетельствует о различиях в уровне образования и степени участия в прин</w:t>
      </w:r>
      <w:r>
        <w:t>я</w:t>
      </w:r>
      <w:r>
        <w:t>тии решений. В общинах, где проводился опрос, женщины рассказали, что многие мужчины принуждают своих жен вступать в половой акт без примен</w:t>
      </w:r>
      <w:r>
        <w:t>е</w:t>
      </w:r>
      <w:r>
        <w:t>ния контрацептивов, угрожая разводом в случае, если женщина будет наста</w:t>
      </w:r>
      <w:r>
        <w:t>и</w:t>
      </w:r>
      <w:r>
        <w:t>вать на обратном. Для решения этой проблемы некоторые женщины втайне приобретали инъецируемые контрацептивы.</w:t>
      </w:r>
    </w:p>
    <w:p w:rsidR="00000000" w:rsidRDefault="00000000">
      <w:pPr>
        <w:pStyle w:val="SingleTxt"/>
      </w:pPr>
      <w:r>
        <w:rPr>
          <w:b/>
        </w:rPr>
        <w:t>12.11.</w:t>
      </w:r>
      <w:r>
        <w:tab/>
        <w:t>Основным источником услуг в сфере контрацепции являются гос</w:t>
      </w:r>
      <w:r>
        <w:t>у</w:t>
      </w:r>
      <w:r>
        <w:t>дарственные учреждения. При поддержке международных агентств по разв</w:t>
      </w:r>
      <w:r>
        <w:t>и</w:t>
      </w:r>
      <w:r>
        <w:t>тию, таких, как ЮНФПА, доля правительства в обеспечении услуг в сфере планирования размера семьи достигла 68 процентов, в то время как в 1996 году она составляла 59 процентов. Это стало возможным в основном потому, что правительство контролирует поставки инъецируемых контрацептивов, поэтому доля частных медицинских учреждений, каковым является, например, центр Банжа Ла Мтсоголо, составляет 28 процентов. Только 4 процента использу</w:t>
      </w:r>
      <w:r>
        <w:t>ю</w:t>
      </w:r>
      <w:r>
        <w:t>щих контрацепцию людей покупают противозачаточные средства в магазинах и у др</w:t>
      </w:r>
      <w:r>
        <w:t>у</w:t>
      </w:r>
      <w:r>
        <w:t>гих частных поставщиков.</w:t>
      </w:r>
    </w:p>
    <w:p w:rsidR="00000000" w:rsidRDefault="00000000">
      <w:pPr>
        <w:pStyle w:val="H23"/>
      </w:pPr>
      <w:r>
        <w:t>12.12</w:t>
      </w:r>
      <w:r>
        <w:tab/>
        <w:t>.</w:t>
      </w:r>
      <w:r>
        <w:tab/>
        <w:t>Беременность и здоровье женщины</w:t>
      </w:r>
    </w:p>
    <w:p w:rsidR="00000000" w:rsidRDefault="00000000">
      <w:pPr>
        <w:pStyle w:val="SingleTxt"/>
      </w:pPr>
      <w:r>
        <w:t>12.12.1</w:t>
      </w:r>
      <w:r>
        <w:tab/>
        <w:t>Процент женщин, наблюдающихся в период беременности у врача или квалифицированной медицинской сестры, слегка возрос с 90 в 1991 году до 91 процента в 2000 году. Наблюдение у медицинских сестер и дипломир</w:t>
      </w:r>
      <w:r>
        <w:t>о</w:t>
      </w:r>
      <w:r>
        <w:t>ванных акушерок проходили 83 процента женщин, в то время как к повивал</w:t>
      </w:r>
      <w:r>
        <w:t>ь</w:t>
      </w:r>
      <w:r>
        <w:t>ным бабкам обратились только 3 процента женщин. Врачи наблюдали 8 процентов беременных женщин. Наконец, 5 процентов женщин во время б</w:t>
      </w:r>
      <w:r>
        <w:t>е</w:t>
      </w:r>
      <w:r>
        <w:t>ременности нигде не наблюдались. Хотя процент женщин, проходящих дород</w:t>
      </w:r>
      <w:r>
        <w:t>о</w:t>
      </w:r>
      <w:r>
        <w:t xml:space="preserve">вое наблюдение, высок, большинству из них предоставляется недостаточно квалифицированная помощь. </w:t>
      </w:r>
    </w:p>
    <w:p w:rsidR="00000000" w:rsidRDefault="00000000">
      <w:pPr>
        <w:pStyle w:val="SingleTxt"/>
      </w:pPr>
      <w:r>
        <w:t>12.12.2</w:t>
      </w:r>
      <w:r>
        <w:tab/>
        <w:t>Кроме того, уровень дородового ухода неодинаков. Так, женщинам полагается посещать дородовые женские консультации по крайней мере четыре раза за весь период беременности: один раз в первый триместр и не менее трех раз в оставшееся время. Среднее количество посещений сократилось с 4,8 в 1992 году до 3,4 раза в 2000 году. В течение первых пяти месяцев беременн</w:t>
      </w:r>
      <w:r>
        <w:t>о</w:t>
      </w:r>
      <w:r>
        <w:t>сти консультации посещают 50 процентов малавийских женщин. Сильно ра</w:t>
      </w:r>
      <w:r>
        <w:t>з</w:t>
      </w:r>
      <w:r>
        <w:t>нится уровень услуг, предоставляемых в городских и сел</w:t>
      </w:r>
      <w:r>
        <w:t>ь</w:t>
      </w:r>
      <w:r>
        <w:t>ских консультациях.</w:t>
      </w:r>
    </w:p>
    <w:p w:rsidR="00000000" w:rsidRDefault="00000000">
      <w:pPr>
        <w:pStyle w:val="SingleTxt"/>
        <w:spacing w:line="240" w:lineRule="auto"/>
      </w:pPr>
      <w:r>
        <w:object w:dxaOrig="7579" w:dyaOrig="3331">
          <v:shape id="_x0000_i1030" type="#_x0000_t75" style="width:378.75pt;height:166.5pt" o:ole="" fillcolor="window">
            <v:imagedata r:id="rId24" o:title=""/>
          </v:shape>
          <o:OLEObject Type="Embed" ProgID="MSGraph.Chart.8" ShapeID="_x0000_i1030" DrawAspect="Content" ObjectID="_1395246301" r:id="rId25">
            <o:FieldCodes>\s</o:FieldCodes>
          </o:OLEObject>
        </w:object>
      </w:r>
    </w:p>
    <w:p w:rsidR="00000000" w:rsidRDefault="00000000">
      <w:pPr>
        <w:pStyle w:val="SingleTxt"/>
      </w:pPr>
      <w:r>
        <w:t>Как и в 1992 году, 55 процентов женщин рожало в медицинских учреждениях. В домашних условиях роды прошли у 44 процентов женщин, а в частных м</w:t>
      </w:r>
      <w:r>
        <w:t>е</w:t>
      </w:r>
      <w:r>
        <w:t>дицинских заведениях роды приняли у 15 процентов же</w:t>
      </w:r>
      <w:r>
        <w:t>н</w:t>
      </w:r>
      <w:r>
        <w:t xml:space="preserve">щин. </w:t>
      </w:r>
    </w:p>
    <w:p w:rsidR="00000000" w:rsidRDefault="00000000">
      <w:pPr>
        <w:pStyle w:val="H23"/>
      </w:pPr>
      <w:r>
        <w:t>12.13.</w:t>
      </w:r>
      <w:r>
        <w:tab/>
        <w:t>Женская заболеваемость и смертность</w:t>
      </w:r>
    </w:p>
    <w:p w:rsidR="00000000" w:rsidRDefault="00000000">
      <w:pPr>
        <w:pStyle w:val="SingleTxt"/>
      </w:pPr>
      <w:r>
        <w:t>12.13.1.</w:t>
      </w:r>
      <w:r>
        <w:tab/>
        <w:t>В отличие от показателей планирования семьи, с 1992 года коэфф</w:t>
      </w:r>
      <w:r>
        <w:t>и</w:t>
      </w:r>
      <w:r>
        <w:t>циент материнской смертности в Малави возрос. В период с 1994 по 2000 год коэффициент материнской смертности составил 1120 смертей на каждые 100 000 родов, при этом в период с 1986 по 1992 год по приблизительным оценкам он равнялся 620. Такой резкий скачок может объясняться двумя пр</w:t>
      </w:r>
      <w:r>
        <w:t>и</w:t>
      </w:r>
      <w:r>
        <w:t>чинами: ошибочными оценками и распространением СПИДа и связанных с ним заболеваний.</w:t>
      </w:r>
    </w:p>
    <w:p w:rsidR="00000000" w:rsidRDefault="00000000">
      <w:pPr>
        <w:pStyle w:val="SingleTxt"/>
      </w:pPr>
      <w:r>
        <w:t>12.13.2.</w:t>
      </w:r>
      <w:r>
        <w:tab/>
        <w:t>Показатели продолжительности жизни довольно низки, что свид</w:t>
      </w:r>
      <w:r>
        <w:t>е</w:t>
      </w:r>
      <w:r>
        <w:t>тельствует о низком уровне самой жизни. Средняя продолжительность жизни у женщин составляет 44 года, в 1987 году она составляла 45 лет. Средняя пр</w:t>
      </w:r>
      <w:r>
        <w:t>о</w:t>
      </w:r>
      <w:r>
        <w:t>должительность жизни у мужчин также понизилась в сравнении с показателем 1987 года с 41,4 до 40 лет. При этом общий коэффициент рождаемости равен 37,9, а общий коэффициент плодовитости – 6,2. Общий коэффициент смертн</w:t>
      </w:r>
      <w:r>
        <w:t>о</w:t>
      </w:r>
      <w:r>
        <w:t>сти по стране составил 21,1, а уровень детской смертности равен 121 случаю на 1000 живорождений, при чем в 1987 году был зарегистрирован показатель в 159 случаев на каждую 1000, а значит, уровень детской смертности снижается.</w:t>
      </w:r>
    </w:p>
    <w:p w:rsidR="00000000" w:rsidRDefault="00000000">
      <w:pPr>
        <w:pStyle w:val="SingleTxt"/>
      </w:pPr>
      <w:r>
        <w:t>12.13.3.</w:t>
      </w:r>
      <w:r>
        <w:tab/>
        <w:t>Основной причиной смертности в Малави являются заболевания, которые можно предупредить. Чаще всего умирают от СПИДа, малярии, хол</w:t>
      </w:r>
      <w:r>
        <w:t>е</w:t>
      </w:r>
      <w:r>
        <w:t>ры и диареи. В двухнедельный период, предшествующий проведению дем</w:t>
      </w:r>
      <w:r>
        <w:t>о</w:t>
      </w:r>
      <w:r>
        <w:t>графического медико-санитарного обследования, 25 процентов детей переб</w:t>
      </w:r>
      <w:r>
        <w:t>о</w:t>
      </w:r>
      <w:r>
        <w:t>лело острыми респираторными инфекциями, а 18 процентов детей младше п</w:t>
      </w:r>
      <w:r>
        <w:t>я</w:t>
      </w:r>
      <w:r>
        <w:t>ти лет перенесли диспептические заболевания</w:t>
      </w:r>
      <w:r>
        <w:rPr>
          <w:rStyle w:val="FootnoteReference"/>
          <w:sz w:val="20"/>
        </w:rPr>
        <w:footnoteReference w:id="104"/>
      </w:r>
      <w:r>
        <w:t>. Правительство проводит и координирует программы профилактики и лечения. Так, например, в рамках кампании по профилактике малярии правительство способствует предоставл</w:t>
      </w:r>
      <w:r>
        <w:t>е</w:t>
      </w:r>
      <w:r>
        <w:t>нию всем беременным женщинам противомоскитных сеток, пропитанных сп</w:t>
      </w:r>
      <w:r>
        <w:t>е</w:t>
      </w:r>
      <w:r>
        <w:t>циальным составом. В 2000 году подобные противомоскитные сетки использ</w:t>
      </w:r>
      <w:r>
        <w:t>о</w:t>
      </w:r>
      <w:r>
        <w:t>вались по крайней мере в 13 процентах малавийских домов.</w:t>
      </w:r>
    </w:p>
    <w:p w:rsidR="00000000" w:rsidRDefault="00000000">
      <w:pPr>
        <w:pStyle w:val="SingleTxt"/>
      </w:pPr>
      <w:r>
        <w:t>12.13.4.</w:t>
      </w:r>
      <w:r>
        <w:tab/>
        <w:t>Смертность среди мальчиков и девочек снизилась с 1992 года, в то время смертность среди детей младше пяти лет составляла 234 случаев на 1000. В период с 1996 по 2000 год этот коэффициент равнялся 189. Снижение уровня смертности среди мальчиков и девочек стало возможным благодаря программам сокращения детской смертности, координируемым и осущест</w:t>
      </w:r>
      <w:r>
        <w:t>в</w:t>
      </w:r>
      <w:r>
        <w:t>ляемым министерством здравоохранения и по вопросам народонаселения, и облегчению доступа к чистой питьевой воде. Процент охвата программами вакцинации также был выше среднего. В 2000 году полную вакцинацию пр</w:t>
      </w:r>
      <w:r>
        <w:t>о</w:t>
      </w:r>
      <w:r>
        <w:t>шли 70 процентов детей в возрасте от 12 до 23 лет. Однако по сравнению с п</w:t>
      </w:r>
      <w:r>
        <w:t>о</w:t>
      </w:r>
      <w:r>
        <w:t>казателями 1987 годом (вакцинацию прошли 82 процента детей) можно гов</w:t>
      </w:r>
      <w:r>
        <w:t>о</w:t>
      </w:r>
      <w:r>
        <w:t>рить о снижении уровня вакцинации. Процент детей, проходящих повторную вакцинацию, также снизился с 86 до 81, что наводит на мысль, что в процессе вакцинации не соблюдаются права человека, и родители все реже отводят д</w:t>
      </w:r>
      <w:r>
        <w:t>е</w:t>
      </w:r>
      <w:r>
        <w:t>тей на прививку.</w:t>
      </w:r>
    </w:p>
    <w:p w:rsidR="00000000" w:rsidRDefault="00000000">
      <w:pPr>
        <w:pStyle w:val="H23"/>
      </w:pPr>
      <w:r>
        <w:t>12.14</w:t>
      </w:r>
      <w:r>
        <w:tab/>
        <w:t>.</w:t>
      </w:r>
      <w:r>
        <w:tab/>
        <w:t>ВИЧ, СПИД и заболевания, передаваемые половым путем</w:t>
      </w:r>
    </w:p>
    <w:p w:rsidR="00000000" w:rsidRDefault="00000000">
      <w:pPr>
        <w:pStyle w:val="SingleTxt"/>
      </w:pPr>
      <w:r>
        <w:t>12.4.1.</w:t>
      </w:r>
      <w:r>
        <w:tab/>
        <w:t>Синдром приобретенного иммунодефицита (СПИД) стал настоящим бичом для населения Малави. В 90 процентах случаев ВИЧ-инфекция перед</w:t>
      </w:r>
      <w:r>
        <w:t>а</w:t>
      </w:r>
      <w:r>
        <w:t>ется при гетеросексуальном половом контакте, что свидетельствует о беспра</w:t>
      </w:r>
      <w:r>
        <w:t>в</w:t>
      </w:r>
      <w:r>
        <w:t>ном положении женщин. Уровень заболеваемости один из самых высоких в мире – 15 процентов населения в возрасте от 15 до 49 лет. В возрастной кат</w:t>
      </w:r>
      <w:r>
        <w:t>е</w:t>
      </w:r>
      <w:r>
        <w:t>гории от 15 до 24 лет женщин, заражающихся ВИЧ, в 4-6 раз больше, чем му</w:t>
      </w:r>
      <w:r>
        <w:t>ж</w:t>
      </w:r>
      <w:r>
        <w:t>чин. В 1998 году 46 процентов зараженных были молодыми людьми, при этом на молодых женщин приходилось 60 процентов случаев заражения.</w:t>
      </w:r>
    </w:p>
    <w:p w:rsidR="00000000" w:rsidRDefault="00000000">
      <w:pPr>
        <w:pStyle w:val="SingleTxt"/>
      </w:pPr>
      <w:r>
        <w:t>12.14.2.</w:t>
      </w:r>
      <w:r>
        <w:rPr>
          <w:lang w:val="en-US"/>
        </w:rPr>
        <w:tab/>
      </w:r>
      <w:r>
        <w:t>Согласно статистике по ВИЧ-инфекциям, среди молодых женщин процент зараженных выше, чем среди их сверстников мужского пола. Это о</w:t>
      </w:r>
      <w:r>
        <w:t>т</w:t>
      </w:r>
      <w:r>
        <w:t>части объясняется тем, что физиологически женщины более подвержены зар</w:t>
      </w:r>
      <w:r>
        <w:t>а</w:t>
      </w:r>
      <w:r>
        <w:t>жению ВИЧ и другими заболеваниями, передаваемыми половым путем. Стат</w:t>
      </w:r>
      <w:r>
        <w:t>и</w:t>
      </w:r>
      <w:r>
        <w:t>стические данные по ВИЧ-инфекциям проливают свет на гендерные аспекты заболеваемости. Так как в Малави ВИЧ-инфекции в основном передаются при гетеросексуальных половых контактах, данные подтверждают предположения о сильной разнице в возрасте между вступающими в половую связь мужчин</w:t>
      </w:r>
      <w:r>
        <w:t>а</w:t>
      </w:r>
      <w:r>
        <w:t>ми и женщинами; мужчины старшего возраста все чаще вступают в половую связь с молодыми девушками и женщинами, которые не могут настоять на безопасном сексе.</w:t>
      </w:r>
    </w:p>
    <w:p w:rsidR="00000000" w:rsidRDefault="00000000">
      <w:pPr>
        <w:pStyle w:val="SingleTxt"/>
      </w:pPr>
      <w:r>
        <w:t>12.4.3.</w:t>
      </w:r>
      <w:r>
        <w:tab/>
        <w:t>Уровень информированности о СПИДе в Малави очень высок: речь идет о 99 процентах женщин и 100 процентах мужчин. В 2000 году 84 процента женщин и 92 процента мужчин знали, что даже "у человека, кот</w:t>
      </w:r>
      <w:r>
        <w:t>о</w:t>
      </w:r>
      <w:r>
        <w:t>рый выглядит здоровым, может быть вирус СПИДа". В 1992 году это понимали 74 и 86 процентов женщин и мужчин соответственно. Около двух третей же</w:t>
      </w:r>
      <w:r>
        <w:t>н</w:t>
      </w:r>
      <w:r>
        <w:t>щин и мужчин знали, что вирус ВИЧ может передаваться от матери ребенку во время беременности и родов</w:t>
      </w:r>
      <w:r>
        <w:rPr>
          <w:rStyle w:val="FootnoteReference"/>
          <w:sz w:val="20"/>
        </w:rPr>
        <w:footnoteReference w:id="105"/>
      </w:r>
      <w:r>
        <w:t>.</w:t>
      </w:r>
    </w:p>
    <w:p w:rsidR="00000000" w:rsidRDefault="00000000">
      <w:pPr>
        <w:pStyle w:val="SingleTxt"/>
        <w:spacing w:line="240" w:lineRule="auto"/>
        <w:rPr>
          <w:lang w:val="en-US"/>
        </w:rPr>
      </w:pPr>
      <w:r>
        <w:object w:dxaOrig="7152" w:dyaOrig="3701">
          <v:shape id="_x0000_i1031" type="#_x0000_t75" style="width:357.75pt;height:185.25pt" o:ole="" fillcolor="window">
            <v:imagedata r:id="rId26" o:title=""/>
          </v:shape>
          <o:OLEObject Type="Embed" ProgID="MSGraph.Chart.8" ShapeID="_x0000_i1031" DrawAspect="Content" ObjectID="_1395246302" r:id="rId27">
            <o:FieldCodes>\s</o:FieldCodes>
          </o:OLEObject>
        </w:object>
      </w:r>
    </w:p>
    <w:p w:rsidR="00000000" w:rsidRDefault="00000000">
      <w:pPr>
        <w:pStyle w:val="SingleTxt"/>
      </w:pPr>
      <w:r>
        <w:t>12.4.4.</w:t>
      </w:r>
      <w:r>
        <w:tab/>
        <w:t>Высокий и растущий уровень информированности о СПИДе свид</w:t>
      </w:r>
      <w:r>
        <w:t>е</w:t>
      </w:r>
      <w:r>
        <w:t>тельствует об успешном проведении в Малави просветительских кампаний. В ходе текущих программ, координируемых Национальным комитетом Малави по проблеме СПИДа и осуществляемых государственными учреждениями и неправительственными организациями, задействуют помощь средств массовой информации, проводят собрания, кампании для молодежи, основанные на и</w:t>
      </w:r>
      <w:r>
        <w:t>н</w:t>
      </w:r>
      <w:r>
        <w:t>формировании, образовании и общении; распространяют материалы, способс</w:t>
      </w:r>
      <w:r>
        <w:t>т</w:t>
      </w:r>
      <w:r>
        <w:t>вующие изменениям в поведении людей. Хуже всего о проблеме ВИЧ и СПИДа осведомлены женщины, не имеющие опыта в половых вопросах, живущие в сельской местности и имеющие невысокий уровень образования. Так, согласно опросу, проблему ВИЧ и СПИДа обсуждают те партнеры, чей уровень образ</w:t>
      </w:r>
      <w:r>
        <w:t>о</w:t>
      </w:r>
      <w:r>
        <w:t>вания выше среднего.</w:t>
      </w:r>
    </w:p>
    <w:p w:rsidR="00000000" w:rsidRDefault="00000000">
      <w:pPr>
        <w:pStyle w:val="SingleTxt"/>
      </w:pPr>
      <w:r>
        <w:t>12.14.5.</w:t>
      </w:r>
      <w:r>
        <w:tab/>
        <w:t>Однако до сих пор нет указаний на то, что высокий уровень осв</w:t>
      </w:r>
      <w:r>
        <w:t>е</w:t>
      </w:r>
      <w:r>
        <w:t>домленности и широко распространенные просветительские кампания смогли изменить поведение малавийских мужчин и женщин. Данные о предпринима</w:t>
      </w:r>
      <w:r>
        <w:t>е</w:t>
      </w:r>
      <w:r>
        <w:t>мых для защиты партнера мерах свидетельствуют о низком числе мужчин и женщин, прибегающих в настоящий момент к мерам предосторожности, о к</w:t>
      </w:r>
      <w:r>
        <w:t>о</w:t>
      </w:r>
      <w:r>
        <w:t>торых так много говорится в ходе просветительских кампаний. Так, было уст</w:t>
      </w:r>
      <w:r>
        <w:t>а</w:t>
      </w:r>
      <w:r>
        <w:t>новлено, что в течение года, предшествующего демографическому медико-санитарному обследованию, 47 процентов женщин и мужчин, вступающих в половую связь, не предпринимали ничего, чтобы защитить своего партнера от опасности заражения ВИЧ-инфекциями. 48,6 процента партнеров не говорили о том, инфицированы они или нет, и лишь 12,3 процента пар пользовались пр</w:t>
      </w:r>
      <w:r>
        <w:t>е</w:t>
      </w:r>
      <w:r>
        <w:t xml:space="preserve">зервативами. </w:t>
      </w:r>
    </w:p>
    <w:p w:rsidR="00000000" w:rsidRDefault="00000000">
      <w:pPr>
        <w:pStyle w:val="SingleTxt"/>
      </w:pPr>
      <w:r>
        <w:t>12.14.6.</w:t>
      </w:r>
      <w:r>
        <w:tab/>
        <w:t>Низкие показатели изменения поведения для предупреждения зар</w:t>
      </w:r>
      <w:r>
        <w:t>а</w:t>
      </w:r>
      <w:r>
        <w:t>жения ВИЧ-инфекцией не связаны со степенью осведомленности в этом в</w:t>
      </w:r>
      <w:r>
        <w:t>о</w:t>
      </w:r>
      <w:r>
        <w:t>просе. Вероятно, в настоящих кампаниях по проблеме ВИЧ и СПИДа надл</w:t>
      </w:r>
      <w:r>
        <w:t>е</w:t>
      </w:r>
      <w:r>
        <w:t>жащим образом не затрагивается вопрос непосредственных, основных причин возникновения инфекций. Один из минусов проводимой политики в том, что акцент делается на отношение к проблеме, а не на содействие изменению п</w:t>
      </w:r>
      <w:r>
        <w:t>о</w:t>
      </w:r>
      <w:r>
        <w:t>ведения в процессе общения, что могло бы повлиять на мнения и культурные практики, которые способствуют распространению инфекции, а также помочь правильно анализировать и оценивать ситуацию и иначе принимать необход</w:t>
      </w:r>
      <w:r>
        <w:t>и</w:t>
      </w:r>
      <w:r>
        <w:t>мые меры.</w:t>
      </w:r>
    </w:p>
    <w:p w:rsidR="00000000" w:rsidRDefault="00000000">
      <w:pPr>
        <w:pStyle w:val="SingleTxt"/>
      </w:pPr>
      <w:r>
        <w:t>12.14.7.</w:t>
      </w:r>
      <w:r>
        <w:tab/>
        <w:t>Не уделяется достаточно внимания вопросу неравного соотношения сил между женщинами и мужчинами. Так, женщины и девушки не могут пр</w:t>
      </w:r>
      <w:r>
        <w:t>и</w:t>
      </w:r>
      <w:r>
        <w:t>менить свои знания о ВИЧ и СПИДе на практике и потребовать у партнера и</w:t>
      </w:r>
      <w:r>
        <w:t>с</w:t>
      </w:r>
      <w:r>
        <w:t>пользовать презерватив, так как они боятся, что партнер бросит их или разв</w:t>
      </w:r>
      <w:r>
        <w:t>е</w:t>
      </w:r>
      <w:r>
        <w:t>дется с ними, отдав предпочтение другой женщине.</w:t>
      </w:r>
    </w:p>
    <w:p w:rsidR="00000000" w:rsidRDefault="00000000">
      <w:pPr>
        <w:pStyle w:val="SingleTxt"/>
      </w:pPr>
      <w:r>
        <w:t>12.14.8.</w:t>
      </w:r>
      <w:r>
        <w:tab/>
        <w:t>Еще одним доказательством бесправного положения женщин служит тот факт, что у мужчин больше сексуальных партнеров, чем у женщин. Только 1 процент женщин, состоявших в браке на момент д</w:t>
      </w:r>
      <w:r>
        <w:t>е</w:t>
      </w:r>
      <w:r>
        <w:t>мографического медико-санитарного обследования 2000 года, сознались в том, что вступали в связи вне брака, в то время как среди женатых мужчин о наличие двух и более сексуал</w:t>
      </w:r>
      <w:r>
        <w:t>ь</w:t>
      </w:r>
      <w:r>
        <w:t>ных партнеров заявило 2 процента. Среди не состоящих в браке процент л</w:t>
      </w:r>
      <w:r>
        <w:t>ю</w:t>
      </w:r>
      <w:r>
        <w:t>дей, имеющих несколько партнеров, гораздо больше. В течение года, предш</w:t>
      </w:r>
      <w:r>
        <w:t>е</w:t>
      </w:r>
      <w:r>
        <w:t>ствующего проведению обследования, по крайней мере один сексуальный партнер был у 38 процентов ведущих половую жизнь женщин и 67 процентов мужчин. 21 процент холостых и 20 процентов женатых мужчин признались в том, что пользовались платными сексуальными услугам.</w:t>
      </w:r>
    </w:p>
    <w:p w:rsidR="00000000" w:rsidRDefault="00000000">
      <w:pPr>
        <w:pStyle w:val="SingleTxt"/>
      </w:pPr>
      <w:r>
        <w:t>12.14.9.</w:t>
      </w:r>
      <w:r>
        <w:tab/>
        <w:t>Как ни странно, среди ведущих половую жизнь женщин в возрасте от 15 до 19 лет нескольких сексуальных партнеров склонны иметь те из них, у кого выше уровень образования. 66 процентов женщин, вступавших в половую связь сообщили о том, что в течение года, предшествующего обследованию, у них было более одного партнера.</w:t>
      </w:r>
    </w:p>
    <w:p w:rsidR="00000000" w:rsidRDefault="00000000">
      <w:pPr>
        <w:pStyle w:val="SingleTxt"/>
      </w:pPr>
      <w:r>
        <w:t>12.14.10.</w:t>
      </w:r>
      <w:r>
        <w:tab/>
        <w:t>На долю женщин и девочек несоизмеримо чаще выпадает уход за людьми, инфицированными ВИЧ и СПИДом. Вместе с тем, в глазах общества ВИЧ-инфицированная женщина выглядит гораздо хуже, чем мужчина; помимо этого, на плечи женщин ложится также уход за растущим числом осиротевших детей: в настоящее время около 70 000 сирот ежегодно пополняют бедные слои населения.</w:t>
      </w:r>
    </w:p>
    <w:p w:rsidR="00000000" w:rsidRDefault="00000000">
      <w:pPr>
        <w:pStyle w:val="SingleTxt"/>
      </w:pPr>
      <w:r>
        <w:t>12.14.11.</w:t>
      </w:r>
      <w:r>
        <w:tab/>
        <w:t>Условно-патогенные инфекционные заболевания, например, тубе</w:t>
      </w:r>
      <w:r>
        <w:t>р</w:t>
      </w:r>
      <w:r>
        <w:t>кулез, заболеваемость которым с 1985 по 1999 год увеличилась на 500 процентов, чаще поражают женщин</w:t>
      </w:r>
      <w:r>
        <w:rPr>
          <w:rStyle w:val="FootnoteReference"/>
          <w:sz w:val="20"/>
        </w:rPr>
        <w:footnoteReference w:id="106"/>
      </w:r>
      <w:r>
        <w:t>. Хотя общественное порицание ст</w:t>
      </w:r>
      <w:r>
        <w:t>а</w:t>
      </w:r>
      <w:r>
        <w:t>новится слабее, нежелание больных СПИДом и ухаживающих за ними людей признать настоящую причину происхождения болезни приводит к многочи</w:t>
      </w:r>
      <w:r>
        <w:t>с</w:t>
      </w:r>
      <w:r>
        <w:t>ленным предрассудкам и "охоте на ведьм", так как СПИД ассоциируется с бе</w:t>
      </w:r>
      <w:r>
        <w:t>с</w:t>
      </w:r>
      <w:r>
        <w:t>порядочными половыми связями. Более того, поскольку доля пациентов, бол</w:t>
      </w:r>
      <w:r>
        <w:t>ь</w:t>
      </w:r>
      <w:r>
        <w:t>ных СПИДом, очень велика, и они занимают 70 процентов больничных мест, в большинство случаев им оказывается уход на дому. Это означает, что прав</w:t>
      </w:r>
      <w:r>
        <w:t>и</w:t>
      </w:r>
      <w:r>
        <w:t>тельство перекладывает ответственность на общество, увеличивает нагрузку на женщин и усугубляет нищету, так как эти женщины не успевают раб</w:t>
      </w:r>
      <w:r>
        <w:t>о</w:t>
      </w:r>
      <w:r>
        <w:t>тать.</w:t>
      </w:r>
    </w:p>
    <w:p w:rsidR="00000000" w:rsidRDefault="00000000">
      <w:pPr>
        <w:pStyle w:val="H23"/>
      </w:pPr>
      <w:r>
        <w:t>12.15.</w:t>
      </w:r>
      <w:r>
        <w:tab/>
        <w:t>Вредные традиционные практики</w:t>
      </w:r>
    </w:p>
    <w:p w:rsidR="00000000" w:rsidRDefault="00000000">
      <w:pPr>
        <w:pStyle w:val="SingleTxt"/>
      </w:pPr>
      <w:r>
        <w:t>12.15.1.</w:t>
      </w:r>
      <w:r>
        <w:tab/>
        <w:t>В Малави до сих пор сохраняются некоторые традиционные практ</w:t>
      </w:r>
      <w:r>
        <w:t>и</w:t>
      </w:r>
      <w:r>
        <w:t>ки, наносящие вред женщинам. В отдельных районах страны существует табу в отношении продовольствия, по которому женщины и девочки не могут упо</w:t>
      </w:r>
      <w:r>
        <w:t>т</w:t>
      </w:r>
      <w:r>
        <w:t>реблять некоторых питательных продуктов. Беременным женщинам и детям, например, запрещено есть яйца. Эти практики встречаются все реже, благодаря программам питания и охраны здоровья, проводимым общественными рабо</w:t>
      </w:r>
      <w:r>
        <w:t>т</w:t>
      </w:r>
      <w:r>
        <w:t>никами при поддержке министерства общественных служб и по проблеме р</w:t>
      </w:r>
      <w:r>
        <w:t>а</w:t>
      </w:r>
      <w:r>
        <w:t>венства полов и других заинтересованных организаций. Молодые и образова</w:t>
      </w:r>
      <w:r>
        <w:t>н</w:t>
      </w:r>
      <w:r>
        <w:t xml:space="preserve">ные люди с этими традициями уже не знакомы. </w:t>
      </w:r>
    </w:p>
    <w:p w:rsidR="00000000" w:rsidRDefault="00000000">
      <w:pPr>
        <w:pStyle w:val="SingleTxt"/>
      </w:pPr>
      <w:r>
        <w:t>12.15.2.</w:t>
      </w:r>
      <w:r>
        <w:tab/>
        <w:t xml:space="preserve">Традиционные практики в сфере половых отношений, например, </w:t>
      </w:r>
      <w:r>
        <w:rPr>
          <w:i/>
        </w:rPr>
        <w:t>к</w:t>
      </w:r>
      <w:r>
        <w:rPr>
          <w:i/>
        </w:rPr>
        <w:t>у</w:t>
      </w:r>
      <w:r>
        <w:rPr>
          <w:i/>
        </w:rPr>
        <w:t>чотса фумби (очищение), купита куфа (очищение после смерти), купимбира (девочку отдают в качестве оплаты долга), чоколо (наследование жены) и фиси (гиена)</w:t>
      </w:r>
      <w:r>
        <w:t>,</w:t>
      </w:r>
      <w:r>
        <w:rPr>
          <w:i/>
        </w:rPr>
        <w:t xml:space="preserve"> </w:t>
      </w:r>
      <w:r>
        <w:t>унижают достоинство женщин и ущемляют их права на репр</w:t>
      </w:r>
      <w:r>
        <w:t>о</w:t>
      </w:r>
      <w:r>
        <w:t>дуктивное здоровье, а также подвергают их опасности заражения ВИЧ-инфекцией и заболеваниями, передаваемыми половым путем. Бытует мнение, что мужчины имеют право на половое сношение, независимо от их статуса, а секс в о</w:t>
      </w:r>
      <w:r>
        <w:t>т</w:t>
      </w:r>
      <w:r>
        <w:t>дельных общинах является способом решения многих проблем.</w:t>
      </w:r>
    </w:p>
    <w:p w:rsidR="00000000" w:rsidRDefault="00000000">
      <w:pPr>
        <w:pStyle w:val="SingleTxt"/>
      </w:pPr>
      <w:r>
        <w:t>12.15.3.</w:t>
      </w:r>
      <w:r>
        <w:tab/>
        <w:t xml:space="preserve">Обычай </w:t>
      </w:r>
      <w:r>
        <w:rPr>
          <w:i/>
        </w:rPr>
        <w:t>фиси</w:t>
      </w:r>
      <w:r>
        <w:t xml:space="preserve"> практикуется бездетной пары, обычно по договоре</w:t>
      </w:r>
      <w:r>
        <w:t>н</w:t>
      </w:r>
      <w:r>
        <w:t xml:space="preserve">ности между бесплодным мужчиной и приглашенным </w:t>
      </w:r>
      <w:r>
        <w:rPr>
          <w:i/>
        </w:rPr>
        <w:t>фиси</w:t>
      </w:r>
      <w:r>
        <w:t>, которому платят за вступление в половой акт с замужней женщиной. Обмен мужем и женой наз</w:t>
      </w:r>
      <w:r>
        <w:t>ы</w:t>
      </w:r>
      <w:r>
        <w:t xml:space="preserve">вается </w:t>
      </w:r>
      <w:r>
        <w:rPr>
          <w:i/>
        </w:rPr>
        <w:t>чимвамае. Кутенга мвана – </w:t>
      </w:r>
      <w:r>
        <w:t>обряд, совершаемый для очищения; в ходе него ребенка передают на попечение отца; это вредная практика, ведь если биологический отец умер или находится в отъезде, в обряде от его лица учас</w:t>
      </w:r>
      <w:r>
        <w:t>т</w:t>
      </w:r>
      <w:r>
        <w:t>вует другой мужчина.</w:t>
      </w:r>
    </w:p>
    <w:p w:rsidR="00000000" w:rsidRDefault="00000000">
      <w:pPr>
        <w:pStyle w:val="SingleTxt"/>
      </w:pPr>
      <w:r>
        <w:t>12.15.4.</w:t>
      </w:r>
      <w:r>
        <w:tab/>
        <w:t>В материалах, посвященных обрядам посвящения мужчин и же</w:t>
      </w:r>
      <w:r>
        <w:t>н</w:t>
      </w:r>
      <w:r>
        <w:t>щин, содержится призыв к инициируемым быть более сексуально активными и раскрепощенными, так как половое созревание считается равноценным зрел</w:t>
      </w:r>
      <w:r>
        <w:t>о</w:t>
      </w:r>
      <w:r>
        <w:t>сти, и половая жизнь предназначена для таких людей.</w:t>
      </w:r>
    </w:p>
    <w:p w:rsidR="00000000" w:rsidRDefault="00000000">
      <w:pPr>
        <w:pStyle w:val="H23"/>
      </w:pPr>
      <w:r>
        <w:t>12.16</w:t>
      </w:r>
      <w:r>
        <w:tab/>
        <w:t>.</w:t>
      </w:r>
      <w:r>
        <w:tab/>
        <w:t>Вывод</w:t>
      </w:r>
    </w:p>
    <w:p w:rsidR="00000000" w:rsidRDefault="00000000">
      <w:pPr>
        <w:pStyle w:val="SingleTxt"/>
      </w:pPr>
      <w:r>
        <w:t>Хотя состояние здоровья неудовлетворительно у большинства жителей Мал</w:t>
      </w:r>
      <w:r>
        <w:t>а</w:t>
      </w:r>
      <w:r>
        <w:t>ви, женщинам приходится тяжелее всех, так как на их плечи ложится уход за больными, они страдают от высоких уровней заболеваемости и материнской смертности. В значительной мере женщины по-прежнему бесправны в том, что касается сексуального и репродуктивного здоровья; это приводит к широкому распространению ВИЧ/СПИД и других заболеваний, передаваемых половым путем, особенно среди молодых женщин. Система здравоохранения, по всей видимости, не справляется со всеми проблемами, возникающими в стране, а поведение медицинских работников оставляет желать лучшего. В программах, проводимых правительством и неправительственными организациями, вним</w:t>
      </w:r>
      <w:r>
        <w:t>а</w:t>
      </w:r>
      <w:r>
        <w:t>ние уделяется информированию, а не поиску эффективных способов изменить соотношение сил между полами или формированию модели гендерных ролей.</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65" w:name="_Toc83977546"/>
      <w:r>
        <w:t>Статья 13:</w:t>
      </w:r>
      <w:r>
        <w:tab/>
        <w:t>Социальные и экономические льготы</w:t>
      </w:r>
      <w:bookmarkEnd w:id="65"/>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13.1.</w:t>
      </w:r>
      <w:r>
        <w:tab/>
        <w:t>Стандарты КЛДЖ</w:t>
      </w:r>
    </w:p>
    <w:p w:rsidR="00000000" w:rsidRDefault="00000000">
      <w:pPr>
        <w:pStyle w:val="SingleTxt"/>
        <w:rPr>
          <w:i/>
        </w:rPr>
      </w:pPr>
      <w:r>
        <w:rPr>
          <w:i/>
        </w:rPr>
        <w:t>Государства-участники принимают все соответствующие меры для ликвид</w:t>
      </w:r>
      <w:r>
        <w:rPr>
          <w:i/>
        </w:rPr>
        <w:t>а</w:t>
      </w:r>
      <w:r>
        <w:rPr>
          <w:i/>
        </w:rPr>
        <w:t>ции дискриминации в отношении женщин в других областях экономической и социальной жизни, с тем чтобы обеспечить на основе равенства мужчин и же</w:t>
      </w:r>
      <w:r>
        <w:rPr>
          <w:i/>
        </w:rPr>
        <w:t>н</w:t>
      </w:r>
      <w:r>
        <w:rPr>
          <w:i/>
        </w:rPr>
        <w:t xml:space="preserve">щин равные права, в частности: </w:t>
      </w:r>
    </w:p>
    <w:p w:rsidR="00000000" w:rsidRDefault="00000000">
      <w:pPr>
        <w:pStyle w:val="SingleTxt"/>
        <w:rPr>
          <w:i/>
        </w:rPr>
      </w:pPr>
      <w:r>
        <w:rPr>
          <w:i/>
        </w:rPr>
        <w:t>а)</w:t>
      </w:r>
      <w:r>
        <w:rPr>
          <w:i/>
        </w:rPr>
        <w:tab/>
        <w:t xml:space="preserve"> право на семейные пособия;</w:t>
      </w:r>
    </w:p>
    <w:p w:rsidR="00000000" w:rsidRDefault="00000000">
      <w:pPr>
        <w:pStyle w:val="SingleTxt"/>
        <w:rPr>
          <w:i/>
        </w:rPr>
      </w:pPr>
      <w:r>
        <w:rPr>
          <w:i/>
        </w:rPr>
        <w:t>b)</w:t>
      </w:r>
      <w:r>
        <w:rPr>
          <w:i/>
        </w:rPr>
        <w:tab/>
        <w:t>право на получение займов, ссуд под недвижимость и других форм ф</w:t>
      </w:r>
      <w:r>
        <w:rPr>
          <w:i/>
        </w:rPr>
        <w:t>и</w:t>
      </w:r>
      <w:r>
        <w:rPr>
          <w:i/>
        </w:rPr>
        <w:t>нансового кредита;</w:t>
      </w:r>
    </w:p>
    <w:p w:rsidR="00000000" w:rsidRDefault="00000000">
      <w:pPr>
        <w:pStyle w:val="SingleTxt"/>
        <w:rPr>
          <w:i/>
        </w:rPr>
      </w:pPr>
      <w:r>
        <w:rPr>
          <w:i/>
        </w:rPr>
        <w:t>с)</w:t>
      </w:r>
      <w:r>
        <w:rPr>
          <w:i/>
        </w:rPr>
        <w:tab/>
        <w:t>право участвовать в мероприятиях, связанных с отдыхом, занятиях спортом и во всех областях культу</w:t>
      </w:r>
      <w:r>
        <w:rPr>
          <w:i/>
        </w:rPr>
        <w:t>р</w:t>
      </w:r>
      <w:r>
        <w:rPr>
          <w:i/>
        </w:rPr>
        <w:t>ной жизни.</w:t>
      </w:r>
    </w:p>
    <w:p w:rsidR="00000000" w:rsidRDefault="00000000">
      <w:pPr>
        <w:pStyle w:val="H23"/>
      </w:pPr>
      <w:r>
        <w:t>13.2.</w:t>
      </w:r>
      <w:r>
        <w:tab/>
        <w:t>Введение</w:t>
      </w:r>
    </w:p>
    <w:p w:rsidR="00000000" w:rsidRDefault="00000000">
      <w:pPr>
        <w:pStyle w:val="SingleTxt"/>
      </w:pPr>
      <w:r>
        <w:t>13.2.1.</w:t>
      </w:r>
      <w:r>
        <w:tab/>
        <w:t>Снижается эффективность традиционной системы, обеспечивавшей женщинам большинство экономических льгот. Все менее прочными становятся семейные узы, на которых держалась традиционная система. Из-за ослабления традиционной системы обеспечения женщины все чаще вынуждены претенд</w:t>
      </w:r>
      <w:r>
        <w:t>о</w:t>
      </w:r>
      <w:r>
        <w:t>вать на те же средства, что и сироты и пожилые люди.</w:t>
      </w:r>
    </w:p>
    <w:p w:rsidR="00000000" w:rsidRDefault="00000000">
      <w:pPr>
        <w:pStyle w:val="H23"/>
      </w:pPr>
      <w:r>
        <w:t>13.3.</w:t>
      </w:r>
      <w:r>
        <w:tab/>
        <w:t>Конституционные требования</w:t>
      </w:r>
    </w:p>
    <w:p w:rsidR="00000000" w:rsidRDefault="00000000">
      <w:pPr>
        <w:pStyle w:val="SingleTxt"/>
      </w:pPr>
      <w:r>
        <w:t>13.3.1.</w:t>
      </w:r>
      <w:r>
        <w:tab/>
        <w:t>В малавийской конституции заложена основа для осуществления прав, прописанных в Статье 13 КЛДЖ. Конституция гарантирует право на ра</w:t>
      </w:r>
      <w:r>
        <w:t>з</w:t>
      </w:r>
      <w:r>
        <w:t>витие</w:t>
      </w:r>
      <w:r>
        <w:rPr>
          <w:rStyle w:val="FootnoteReference"/>
          <w:sz w:val="20"/>
        </w:rPr>
        <w:footnoteReference w:id="107"/>
      </w:r>
      <w:r>
        <w:t>. Основная ответственность за обеспечение этого права лежит на гос</w:t>
      </w:r>
      <w:r>
        <w:t>у</w:t>
      </w:r>
      <w:r>
        <w:t>дарстве, которое должно принимать необходимые меры, в первую очередь и</w:t>
      </w:r>
      <w:r>
        <w:t>с</w:t>
      </w:r>
      <w:r>
        <w:t>ходя из интересов женщин, детей и инвалидов.</w:t>
      </w:r>
    </w:p>
    <w:p w:rsidR="00000000" w:rsidRDefault="00000000">
      <w:pPr>
        <w:pStyle w:val="SingleTxt"/>
      </w:pPr>
      <w:r>
        <w:t>13.3.2.</w:t>
      </w:r>
      <w:r>
        <w:tab/>
        <w:t>Согласно конституционным принципам государственной политики, закрепленным в главе 4 Конституции</w:t>
      </w:r>
      <w:r>
        <w:rPr>
          <w:rStyle w:val="FootnoteReference"/>
          <w:sz w:val="20"/>
        </w:rPr>
        <w:footnoteReference w:id="108"/>
      </w:r>
      <w:r>
        <w:t xml:space="preserve"> и билле о правах, необходимо доб</w:t>
      </w:r>
      <w:r>
        <w:t>и</w:t>
      </w:r>
      <w:r>
        <w:t>ваться определенных целей в интересах различных групп населения, включая женщин. По Конституции правительство обязано добиваться равенства полов, проводя специальную политику и правовую реформу, и принимать другие м</w:t>
      </w:r>
      <w:r>
        <w:t>е</w:t>
      </w:r>
      <w:r>
        <w:t>ры, в том числе предоставление и упрощение процедур предоставления пос</w:t>
      </w:r>
      <w:r>
        <w:t>о</w:t>
      </w:r>
      <w:r>
        <w:t>бия по материнству и "любые другие меры в зависимости от обстоятельств".</w:t>
      </w:r>
    </w:p>
    <w:p w:rsidR="00000000" w:rsidRDefault="00000000">
      <w:pPr>
        <w:pStyle w:val="SingleTxt"/>
      </w:pPr>
      <w:r>
        <w:t>13.3.3.</w:t>
      </w:r>
      <w:r>
        <w:tab/>
        <w:t>В Конституции содержится требование оказывать поддержку инв</w:t>
      </w:r>
      <w:r>
        <w:t>а</w:t>
      </w:r>
      <w:r>
        <w:t>лидам, расширяя их доступ к общественным местам, предоставляя равные возможности трудоустройства и возможность в полном объеме участвовать во всех сферах жизни Малави.</w:t>
      </w:r>
    </w:p>
    <w:p w:rsidR="00000000" w:rsidRDefault="00000000">
      <w:pPr>
        <w:pStyle w:val="SingleTxt"/>
      </w:pPr>
      <w:r>
        <w:t>13.3.4.</w:t>
      </w:r>
      <w:r>
        <w:tab/>
        <w:t>Также поставлены определенные цели, связанные с детьми и ролью семьи. Государство должно осуществлять политику "для поощрения и создания условий для полноценного развития здоровых, трудоспособных и ответстве</w:t>
      </w:r>
      <w:r>
        <w:t>н</w:t>
      </w:r>
      <w:r>
        <w:t>ных членов общества"</w:t>
      </w:r>
      <w:r>
        <w:rPr>
          <w:rStyle w:val="FootnoteReference"/>
          <w:sz w:val="20"/>
        </w:rPr>
        <w:footnoteReference w:id="109"/>
      </w:r>
      <w:r>
        <w:t>. Семья в свою очередь должна рассматриваться как основная и важнейшая ячейка общества.</w:t>
      </w:r>
    </w:p>
    <w:p w:rsidR="00000000" w:rsidRDefault="00000000">
      <w:pPr>
        <w:pStyle w:val="SingleTxt"/>
      </w:pPr>
      <w:r>
        <w:t>13.3.5.</w:t>
      </w:r>
      <w:r>
        <w:tab/>
        <w:t>Хотя не установлено обязательных прав пожилых людей, в Конст</w:t>
      </w:r>
      <w:r>
        <w:t>и</w:t>
      </w:r>
      <w:r>
        <w:t>туции содержится требование обеспечивать им социальную защиту. Этим чл</w:t>
      </w:r>
      <w:r>
        <w:t>е</w:t>
      </w:r>
      <w:r>
        <w:t>нам общества должна оказываться поддержка, в том числе посредством "пр</w:t>
      </w:r>
      <w:r>
        <w:t>е</w:t>
      </w:r>
      <w:r>
        <w:t>доставления общественных услуг"</w:t>
      </w:r>
      <w:r>
        <w:rPr>
          <w:rStyle w:val="FootnoteReference"/>
          <w:sz w:val="20"/>
        </w:rPr>
        <w:footnoteReference w:id="110"/>
      </w:r>
      <w:r>
        <w:t>. Кроме того, необходимо поощрять их участие в жизни общины.</w:t>
      </w:r>
    </w:p>
    <w:p w:rsidR="00000000" w:rsidRDefault="00000000">
      <w:pPr>
        <w:pStyle w:val="SingleTxt"/>
      </w:pPr>
      <w:r>
        <w:t>13.3.6.</w:t>
      </w:r>
      <w:r>
        <w:tab/>
        <w:t>Что касается культуры и языка, Конституция гарантирует право ка</w:t>
      </w:r>
      <w:r>
        <w:t>ж</w:t>
      </w:r>
      <w:r>
        <w:t>дого человека "использовать язык и участвовать в интересной ему/ей культу</w:t>
      </w:r>
      <w:r>
        <w:t>р</w:t>
      </w:r>
      <w:r>
        <w:t>ной жизни"</w:t>
      </w:r>
      <w:r>
        <w:rPr>
          <w:rStyle w:val="FootnoteReference"/>
          <w:sz w:val="20"/>
        </w:rPr>
        <w:footnoteReference w:id="111"/>
      </w:r>
      <w:r>
        <w:t>.</w:t>
      </w:r>
    </w:p>
    <w:p w:rsidR="00000000" w:rsidRDefault="00000000">
      <w:pPr>
        <w:pStyle w:val="SingleTxt"/>
      </w:pPr>
      <w:r>
        <w:t>13.3.7.</w:t>
      </w:r>
      <w:r>
        <w:tab/>
        <w:t>Согласно национальной гендерной политике необходимо создавать благоприятные условия для того, чтобы женщины, мужчины, мальчики, дево</w:t>
      </w:r>
      <w:r>
        <w:t>ч</w:t>
      </w:r>
      <w:r>
        <w:t>ки и другие группы населения могли участвовать в программах социального обеспечения и расширения экономических прав и в равной степени польз</w:t>
      </w:r>
      <w:r>
        <w:t>о</w:t>
      </w:r>
      <w:r>
        <w:t>ваться их преимуществами, чтобы улучшить свое социально-экономическое пол</w:t>
      </w:r>
      <w:r>
        <w:t>о</w:t>
      </w:r>
      <w:r>
        <w:t>жение.</w:t>
      </w:r>
    </w:p>
    <w:p w:rsidR="00000000" w:rsidRDefault="00000000">
      <w:pPr>
        <w:pStyle w:val="H23"/>
      </w:pPr>
      <w:r>
        <w:t>13.4.</w:t>
      </w:r>
      <w:r>
        <w:tab/>
        <w:t>Семейное пособие и другие виды пособий</w:t>
      </w:r>
    </w:p>
    <w:p w:rsidR="00000000" w:rsidRDefault="00000000">
      <w:pPr>
        <w:pStyle w:val="SingleTxt"/>
      </w:pPr>
      <w:r>
        <w:t>13.4.1.</w:t>
      </w:r>
      <w:r>
        <w:tab/>
        <w:t>В Малави не существует организованной системы семейных пос</w:t>
      </w:r>
      <w:r>
        <w:t>о</w:t>
      </w:r>
      <w:r>
        <w:t>бий. Правительство и работодатели создают пенсионные фонды, предоставл</w:t>
      </w:r>
      <w:r>
        <w:t>я</w:t>
      </w:r>
      <w:r>
        <w:t>ют выходное пособие и пособие в связи со смертью. Однако их получение з</w:t>
      </w:r>
      <w:r>
        <w:t>а</w:t>
      </w:r>
      <w:r>
        <w:t>трудняется административными процедурами, а начисления в счет пособия на п</w:t>
      </w:r>
      <w:r>
        <w:t>о</w:t>
      </w:r>
      <w:r>
        <w:t>хороны очень высоки.</w:t>
      </w:r>
    </w:p>
    <w:p w:rsidR="00000000" w:rsidRDefault="00000000">
      <w:pPr>
        <w:pStyle w:val="SingleTxt"/>
      </w:pPr>
      <w:r>
        <w:t>13.4.2.</w:t>
      </w:r>
      <w:r>
        <w:tab/>
        <w:t>При ослабленной традиционный системе обеспечения женщины ра</w:t>
      </w:r>
      <w:r>
        <w:t>с</w:t>
      </w:r>
      <w:r>
        <w:t>сматривают семью как источник социальной защиты, даже если недостатки семейной жизни перевешивают преимущества. Системой не предусматривае</w:t>
      </w:r>
      <w:r>
        <w:t>т</w:t>
      </w:r>
      <w:r>
        <w:t>ся выплата материальных пособий состоящим в браке людям, отмечаются только свадьба, девичник, проводы и рождения ребенка. В таких случаях ро</w:t>
      </w:r>
      <w:r>
        <w:t>д</w:t>
      </w:r>
      <w:r>
        <w:t>ственники и друзья делают подарки будущим супругам или супружеской паре. В последнее время паре не только преподносят подарки, но и пользуются во</w:t>
      </w:r>
      <w:r>
        <w:t>з</w:t>
      </w:r>
      <w:r>
        <w:t>мо</w:t>
      </w:r>
      <w:r>
        <w:t>ж</w:t>
      </w:r>
      <w:r>
        <w:t>ностью дать соответствующие случаю наставления.</w:t>
      </w:r>
    </w:p>
    <w:p w:rsidR="00000000" w:rsidRDefault="00000000">
      <w:pPr>
        <w:pStyle w:val="SingleTxt"/>
      </w:pPr>
      <w:r>
        <w:t>13.4.3.</w:t>
      </w:r>
      <w:r>
        <w:tab/>
        <w:t>Общинный дух малавийской жизни еще прослеживается во время свадеб и похорон. Друзья и близкие и дальние родственники занимаются по</w:t>
      </w:r>
      <w:r>
        <w:t>д</w:t>
      </w:r>
      <w:r>
        <w:t>готовкой свадьбы и берут на себя часть расходов. На свадьбе проводят зам</w:t>
      </w:r>
      <w:r>
        <w:t>ы</w:t>
      </w:r>
      <w:r>
        <w:t>словатые и необычные мероприятия, чтобы собрать подарки и деньги для м</w:t>
      </w:r>
      <w:r>
        <w:t>о</w:t>
      </w:r>
      <w:r>
        <w:t>лодоженов, чтобы им было с чего начинать совместную жизнь. Во время пох</w:t>
      </w:r>
      <w:r>
        <w:t>о</w:t>
      </w:r>
      <w:r>
        <w:t>рон члены общины вместе с семьей оплакивают смерть, берут на себя часть расходов, помогают с организацией похорон, например, готовят еду для пом</w:t>
      </w:r>
      <w:r>
        <w:t>и</w:t>
      </w:r>
      <w:r>
        <w:t>нок, роют могилу, и по возможности оказывают любую необходимую поддер</w:t>
      </w:r>
      <w:r>
        <w:t>ж</w:t>
      </w:r>
      <w:r>
        <w:t>ку.</w:t>
      </w:r>
    </w:p>
    <w:p w:rsidR="00000000" w:rsidRDefault="00000000">
      <w:pPr>
        <w:pStyle w:val="SingleTxt"/>
      </w:pPr>
      <w:r>
        <w:t>13.4.4.</w:t>
      </w:r>
      <w:r>
        <w:tab/>
        <w:t>На свадьбах и похоронах не только проявляется общинный дух и с</w:t>
      </w:r>
      <w:r>
        <w:t>о</w:t>
      </w:r>
      <w:r>
        <w:t>лидарность, в такие моменты обостряется традиционная стереотипизация по признаку пола. Так, на свадьбах, например, роли четко делятся на мужские и женские: женщины готовят, поют и танцуют, а мужчины руководят процессом. На похоронах женщинам положено готовить, оплакивать умершего, мужчины же проводят траурную церемонию и олицетворяют силу. Вдовам полагается находится внутри дома, оплакивать мужа, их утешают другие женщины, вдо</w:t>
      </w:r>
      <w:r>
        <w:t>в</w:t>
      </w:r>
      <w:r>
        <w:t>цы остаются снаружи со своей ровней.</w:t>
      </w:r>
    </w:p>
    <w:p w:rsidR="00000000" w:rsidRDefault="00000000">
      <w:pPr>
        <w:pStyle w:val="H23"/>
      </w:pPr>
      <w:r>
        <w:t>13.5.</w:t>
      </w:r>
      <w:r>
        <w:tab/>
        <w:t>Банковская ссуда, ипотечный кредит и другие виды финансового кредита</w:t>
      </w:r>
    </w:p>
    <w:p w:rsidR="00000000" w:rsidRDefault="00000000">
      <w:pPr>
        <w:pStyle w:val="SingleTxt"/>
      </w:pPr>
      <w:r>
        <w:t>13.5.1.</w:t>
      </w:r>
      <w:r>
        <w:tab/>
        <w:t>Большинство малавийских женщин не могут стать экономически н</w:t>
      </w:r>
      <w:r>
        <w:t>е</w:t>
      </w:r>
      <w:r>
        <w:t>зависимыми, в основном из-за отсутствия доступа и контроля над капиталом. Наше правительство проводит политику, направленную на усиление механи</w:t>
      </w:r>
      <w:r>
        <w:t>з</w:t>
      </w:r>
      <w:r>
        <w:t>мов кредитования для того, чтобы у женщин появилась возможность получить кредит.</w:t>
      </w:r>
    </w:p>
    <w:p w:rsidR="00000000" w:rsidRDefault="00000000">
      <w:pPr>
        <w:pStyle w:val="SingleTxt"/>
      </w:pPr>
      <w:r>
        <w:t>13.5.2.</w:t>
      </w:r>
      <w:r>
        <w:tab/>
        <w:t>Как подтверждают проведенные исследования, доступ женщин к системе кредитования расширился. Число учреждений микрофинансирования для женщин выросло с 3 в 1990 году до 10 в 1999 году. В 1995 году женщины составили 15 процентов лиц, получивших кредит, к 1999 году их доля выросла до 40 процентов. Это привело к тому, что с 1995 по 2003 год число женщин, занимающихся предпринимательством, не связанным с сельским хозяйством, возросло с 3000 до 45 000. За тот же период число женщин, прошедших обуч</w:t>
      </w:r>
      <w:r>
        <w:t>е</w:t>
      </w:r>
      <w:r>
        <w:t>ние управлению предприятием, также увеличилось с 10 000 до 80 000. В ра</w:t>
      </w:r>
      <w:r>
        <w:t>м</w:t>
      </w:r>
      <w:r>
        <w:t>ках одной только программы стимулирования экономической деятельности, проводимой министерством общественных служб и по проблеме равенства п</w:t>
      </w:r>
      <w:r>
        <w:t>о</w:t>
      </w:r>
      <w:r>
        <w:t>лов, число женщин, обученных управлению производством, выросло с 10 000 в 1995 году до 80 085 в 2003 году, при этом в 2003 году возможностью получить кредит воспользовались 44 773 женщины.</w:t>
      </w:r>
    </w:p>
    <w:p w:rsidR="00000000" w:rsidRDefault="00000000">
      <w:pPr>
        <w:pStyle w:val="SingleTxt"/>
      </w:pPr>
      <w:r>
        <w:t>13.5.3.</w:t>
      </w:r>
      <w:r>
        <w:tab/>
        <w:t>Необходимость оставлять кредитору в залог имущество, низкий ур</w:t>
      </w:r>
      <w:r>
        <w:t>о</w:t>
      </w:r>
      <w:r>
        <w:t>вень образования, недостаток знаний и информации о кредитных учреждениях, а также удаленность от мест кредитования – вот некоторые из препятствий для доступа женщин к системе кредитования. В частности, некоторые учреждения, предоставлявшие услуги в сельской местности, переехали в города или закр</w:t>
      </w:r>
      <w:r>
        <w:t>ы</w:t>
      </w:r>
      <w:r>
        <w:t>ли свои отделения из-за низкой степени погашения ссуды и растущей в сел</w:t>
      </w:r>
      <w:r>
        <w:t>ь</w:t>
      </w:r>
      <w:r>
        <w:t>ских районах нищеты. Во время составления отчета выяснилось, что в стране существует острая нехватка средств. К сожалению, подобные услуги не пр</w:t>
      </w:r>
      <w:r>
        <w:t>е</w:t>
      </w:r>
      <w:r>
        <w:t>доставляются в большинстве посещенных районов.</w:t>
      </w:r>
    </w:p>
    <w:p w:rsidR="00000000" w:rsidRDefault="00000000">
      <w:pPr>
        <w:pStyle w:val="SingleTxt"/>
      </w:pPr>
      <w:r>
        <w:t>13.5.4.</w:t>
      </w:r>
      <w:r>
        <w:tab/>
        <w:t>Хотя не существует закона, запрещающего женщинам брать банко</w:t>
      </w:r>
      <w:r>
        <w:t>в</w:t>
      </w:r>
      <w:r>
        <w:t>ские ссуды на свое имя, многие коммерческие кредитные учреждения требуют, чтобы поручителем выступал мужчина, обычно муж, если предложенного женщиной залога недостаточно. Необходимость в залоге и поручителях уще</w:t>
      </w:r>
      <w:r>
        <w:t>м</w:t>
      </w:r>
      <w:r>
        <w:t>ляет права женщин, больше чем мужчин. У большинства женщин нет имущ</w:t>
      </w:r>
      <w:r>
        <w:t>е</w:t>
      </w:r>
      <w:r>
        <w:t>ства, которое можно было бы оставить под залог, так как собственность также делится на женскую и мужскую. Кроме того, в невыгодном положении нах</w:t>
      </w:r>
      <w:r>
        <w:t>о</w:t>
      </w:r>
      <w:r>
        <w:t>дятся женщины, не имеющие богатых мужей или знакомых, которые могут в</w:t>
      </w:r>
      <w:r>
        <w:t>ы</w:t>
      </w:r>
      <w:r>
        <w:t>ступить в качестве поручителя. Для решения этой проблемы правительство и прочие заинтересованные стороны предложили использовать систему, при к</w:t>
      </w:r>
      <w:r>
        <w:t>о</w:t>
      </w:r>
      <w:r>
        <w:t>торой группа людей становится поручителем одного из членов этой группы.</w:t>
      </w:r>
    </w:p>
    <w:p w:rsidR="00000000" w:rsidRDefault="00000000">
      <w:pPr>
        <w:pStyle w:val="H23"/>
      </w:pPr>
      <w:r>
        <w:t>13.6.</w:t>
      </w:r>
      <w:r>
        <w:tab/>
        <w:t>Отдых, спорт и культурная жизнь</w:t>
      </w:r>
    </w:p>
    <w:p w:rsidR="00000000" w:rsidRDefault="00000000">
      <w:pPr>
        <w:pStyle w:val="SingleTxt"/>
      </w:pPr>
      <w:r>
        <w:t>13.6.1.</w:t>
      </w:r>
      <w:r>
        <w:tab/>
        <w:t>Правительство всегда признавало огромное значение спорта и кул</w:t>
      </w:r>
      <w:r>
        <w:t>ь</w:t>
      </w:r>
      <w:r>
        <w:t>туры, с учетом этого было создано специальное министерство. Задача мин</w:t>
      </w:r>
      <w:r>
        <w:t>и</w:t>
      </w:r>
      <w:r>
        <w:t>стерства заключается в оказании поддержки и развитии сфер спорта и культ</w:t>
      </w:r>
      <w:r>
        <w:t>у</w:t>
      </w:r>
      <w:r>
        <w:t>ры в Малави.</w:t>
      </w:r>
    </w:p>
    <w:p w:rsidR="00000000" w:rsidRDefault="00000000">
      <w:pPr>
        <w:pStyle w:val="SingleTxt"/>
      </w:pPr>
      <w:r>
        <w:t>13.6.2.</w:t>
      </w:r>
      <w:r>
        <w:tab/>
        <w:t>Женщины заняли в культуре страны свою нишу. В сельских районах национальные танцы остаются самым простым и доступным видом развлеч</w:t>
      </w:r>
      <w:r>
        <w:t>е</w:t>
      </w:r>
      <w:r>
        <w:t>ний для женщин, мужчин, девочек и мальчиков.</w:t>
      </w:r>
    </w:p>
    <w:p w:rsidR="00000000" w:rsidRDefault="00000000">
      <w:pPr>
        <w:pStyle w:val="SingleTxt"/>
      </w:pPr>
      <w:r>
        <w:t>13.6.3.</w:t>
      </w:r>
      <w:r>
        <w:tab/>
        <w:t>Танцы делятся на одиночные и групповые танцы женщин и мужчин, сопровождающиеся пением. При исполнении групповых танцев мужчины и женщины следуют четко определенным стилям, на которых выстраивается гармония музыкальных ритмов и танцевальных движений. В одиночных та</w:t>
      </w:r>
      <w:r>
        <w:t>н</w:t>
      </w:r>
      <w:r>
        <w:t>цах господствуют женщины. Они сами определяют композицию и фигуры. Т</w:t>
      </w:r>
      <w:r>
        <w:t>а</w:t>
      </w:r>
      <w:r>
        <w:t>кой танец становится способом самовыражения, с его помощью женщины д</w:t>
      </w:r>
      <w:r>
        <w:t>е</w:t>
      </w:r>
      <w:r>
        <w:t>монстрируют протест против несправедливостей общества и обращения м</w:t>
      </w:r>
      <w:r>
        <w:t>у</w:t>
      </w:r>
      <w:r>
        <w:t>жей. Мужчины всецело контролируют женские танцы. Исполнение некоторых из танцев, например, ньяу, окутано мифами, связано с тайными сообществами, прибегающими к системе паролей и прочим секретам. Изредка женщина вст</w:t>
      </w:r>
      <w:r>
        <w:t>у</w:t>
      </w:r>
      <w:r>
        <w:t>пает в подобное тайное сообщество, проходит редкий обряд посвящения, пр</w:t>
      </w:r>
      <w:r>
        <w:t>и</w:t>
      </w:r>
      <w:r>
        <w:t>нимающий форму танца, и присоединяется к сообществу мужчин.</w:t>
      </w:r>
    </w:p>
    <w:p w:rsidR="00000000" w:rsidRDefault="00000000">
      <w:pPr>
        <w:pStyle w:val="SingleTxt"/>
      </w:pPr>
      <w:r>
        <w:t>13.4.4.</w:t>
      </w:r>
      <w:r>
        <w:tab/>
        <w:t>По мере того как европейская культура проникает в малавийскую, молодежь и городские жители все чаще проводят вечеринки по образцу евр</w:t>
      </w:r>
      <w:r>
        <w:t>о</w:t>
      </w:r>
      <w:r>
        <w:t>пейских или американских. Все больше распространяется культура ночных клубов. В сельских местностях замужние женщины могут посещать пивные заведения вместе со своими мужьями, выпивать и громко петь песни по дороге домой. С другой стороны, в городах считается, что женщины, посещающие ночные клубы, распущенны или занимаются проституцией. В сельских ра</w:t>
      </w:r>
      <w:r>
        <w:t>й</w:t>
      </w:r>
      <w:r>
        <w:t>онах некоторые женщины курят, нюхают или жуют табак, но при этом не тер</w:t>
      </w:r>
      <w:r>
        <w:t>я</w:t>
      </w:r>
      <w:r>
        <w:t>ют в глазах общества, в то же время в городах и городских областях курящих женщин считают безнравственными и распущенными и подозревают в прост</w:t>
      </w:r>
      <w:r>
        <w:t>и</w:t>
      </w:r>
      <w:r>
        <w:t>т</w:t>
      </w:r>
      <w:r>
        <w:t>у</w:t>
      </w:r>
      <w:r>
        <w:t>ции.</w:t>
      </w:r>
    </w:p>
    <w:p w:rsidR="00000000" w:rsidRDefault="00000000">
      <w:pPr>
        <w:pStyle w:val="SingleTxt"/>
      </w:pPr>
      <w:r>
        <w:t>13.6.5.</w:t>
      </w:r>
      <w:r>
        <w:tab/>
        <w:t>Еще одной формой отдыха для женщин стал спорт. В традиционном малавийском обществе роль спорта выполняли танцы и физический труд. В н</w:t>
      </w:r>
      <w:r>
        <w:t>е</w:t>
      </w:r>
      <w:r>
        <w:t>которых случаях женщины до сих пор обходятся этим и не участвуют в спо</w:t>
      </w:r>
      <w:r>
        <w:t>р</w:t>
      </w:r>
      <w:r>
        <w:t>тивных мероприятиях.</w:t>
      </w:r>
    </w:p>
    <w:p w:rsidR="00000000" w:rsidRDefault="00000000">
      <w:pPr>
        <w:pStyle w:val="SingleTxt"/>
      </w:pPr>
      <w:r>
        <w:t>13.6.6.</w:t>
      </w:r>
      <w:r>
        <w:tab/>
        <w:t>Однако, в отличие от более старших поколений, современные мол</w:t>
      </w:r>
      <w:r>
        <w:t>о</w:t>
      </w:r>
      <w:r>
        <w:t xml:space="preserve">дые люди не склонны делить спортивные игры на мужские и женские. Так, в стране есть национальная женская футбольная команда, а юноши, учащиеся в Университете, играют в нетбол. </w:t>
      </w:r>
    </w:p>
    <w:p w:rsidR="00000000" w:rsidRDefault="00000000">
      <w:pPr>
        <w:pStyle w:val="SingleTxt"/>
      </w:pPr>
      <w:r>
        <w:t>13.6.7.</w:t>
      </w:r>
      <w:r>
        <w:tab/>
        <w:t>Из-за недостаточного финансирования спорт переживает не лучшие времена: сократилось количество видов спорта, ухудшилось качество игры. Самой распространенной и популярной игрой остается футбол, однако число девочек, занимающихся спортом, неуклонно растет. Тем не мене, с появлением телевизионных развлекательных программ молодежь предпочитает смотреть, а не принимать участие в культурных и спортивных мероприятиях.</w:t>
      </w:r>
    </w:p>
    <w:p w:rsidR="00000000" w:rsidRDefault="00000000">
      <w:pPr>
        <w:pStyle w:val="H23"/>
      </w:pPr>
      <w:r>
        <w:t>13.7.</w:t>
      </w:r>
      <w:r>
        <w:tab/>
        <w:t>Вывод</w:t>
      </w:r>
    </w:p>
    <w:p w:rsidR="00000000" w:rsidRDefault="00000000">
      <w:pPr>
        <w:pStyle w:val="SingleTxt"/>
      </w:pPr>
      <w:r>
        <w:t>В сфере социального страхования, в спортивной и культурной жизни до сих пор есть место неравенству между мужчинами и женщинами и сексуальным стереотипам, но именно в этих сферах можно открыть дорогу равенству полов. Проводится все больше программ, призванных поддержать или дополнить и</w:t>
      </w:r>
      <w:r>
        <w:t>з</w:t>
      </w:r>
      <w:r>
        <w:t>ношенную традиционную систему социального обеспечения. Могут быть ус</w:t>
      </w:r>
      <w:r>
        <w:t>т</w:t>
      </w:r>
      <w:r>
        <w:t>ранены неблагоприятные условия, препятствующие доступу женщин к системе кредитования. Согласно "Перспективе на 2020 год" у Малави есть огромный культурный потенциал, в стране активно развивается сфера спорта. Что касае</w:t>
      </w:r>
      <w:r>
        <w:t>т</w:t>
      </w:r>
      <w:r>
        <w:t>ся танцев и искусства, Малави может черпать вдохновение в своем многоо</w:t>
      </w:r>
      <w:r>
        <w:t>б</w:t>
      </w:r>
      <w:r>
        <w:t>разном и богатом культурном наследии. К уже существующим традиционным и современным видам спорта могут добавляться все новые спортивные мер</w:t>
      </w:r>
      <w:r>
        <w:t>о</w:t>
      </w:r>
      <w:r>
        <w:t>приятия. Однако этот потенциал должен развиваться таким образом, чтобы н</w:t>
      </w:r>
      <w:r>
        <w:t>о</w:t>
      </w:r>
      <w:r>
        <w:t>вые возможности в сфере культуры и спорта не вели к укреплению гендерных стереотипов, а наоборот способс</w:t>
      </w:r>
      <w:r>
        <w:t>т</w:t>
      </w:r>
      <w:r>
        <w:t>вовали равенству полов.</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66" w:name="_Toc83977547"/>
      <w:r>
        <w:t>Статья 14:</w:t>
      </w:r>
      <w:r>
        <w:tab/>
        <w:t>Сельские женщины</w:t>
      </w:r>
      <w:bookmarkEnd w:id="66"/>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14.1.</w:t>
      </w:r>
      <w:r>
        <w:tab/>
        <w:t>Стандарты КЛДЖ</w:t>
      </w:r>
    </w:p>
    <w:p w:rsidR="00000000" w:rsidRDefault="00000000">
      <w:pPr>
        <w:pStyle w:val="SingleTxt"/>
        <w:rPr>
          <w:i/>
        </w:rPr>
      </w:pPr>
      <w:r>
        <w:rPr>
          <w:i/>
        </w:rPr>
        <w:t>Статья 14. 1. Государства-участники принимают во внимание особые пр</w:t>
      </w:r>
      <w:r>
        <w:rPr>
          <w:i/>
        </w:rPr>
        <w:t>о</w:t>
      </w:r>
      <w:r>
        <w:rPr>
          <w:i/>
        </w:rPr>
        <w:t>блемы, с которыми сталкиваются женщины, проживающие в сельской мес</w:t>
      </w:r>
      <w:r>
        <w:rPr>
          <w:i/>
        </w:rPr>
        <w:t>т</w:t>
      </w:r>
      <w:r>
        <w:rPr>
          <w:i/>
        </w:rPr>
        <w:t>ности, и значительную роль, которую они играют в обеспечении экономич</w:t>
      </w:r>
      <w:r>
        <w:rPr>
          <w:i/>
        </w:rPr>
        <w:t>е</w:t>
      </w:r>
      <w:r>
        <w:rPr>
          <w:i/>
        </w:rPr>
        <w:t>ского благосостояния своих семей, в том числе их деятельность в нетоварных отраслях хозяйства, и принимают все соответствующие меры для обеспеч</w:t>
      </w:r>
      <w:r>
        <w:rPr>
          <w:i/>
        </w:rPr>
        <w:t>е</w:t>
      </w:r>
      <w:r>
        <w:rPr>
          <w:i/>
        </w:rPr>
        <w:t>ния применения положений настоящей Конвенции к женщинам, проживающим в сельской местности.</w:t>
      </w:r>
    </w:p>
    <w:p w:rsidR="00000000" w:rsidRDefault="00000000">
      <w:pPr>
        <w:pStyle w:val="SingleTxt"/>
        <w:rPr>
          <w:i/>
        </w:rPr>
      </w:pPr>
      <w:r>
        <w:rPr>
          <w:i/>
        </w:rPr>
        <w:t>2. Государства-участники принимают все соответствующие меры для ликв</w:t>
      </w:r>
      <w:r>
        <w:rPr>
          <w:i/>
        </w:rPr>
        <w:t>и</w:t>
      </w:r>
      <w:r>
        <w:rPr>
          <w:i/>
        </w:rPr>
        <w:t>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w:t>
      </w:r>
      <w:r>
        <w:rPr>
          <w:i/>
        </w:rPr>
        <w:t>а</w:t>
      </w:r>
      <w:r>
        <w:rPr>
          <w:i/>
        </w:rPr>
        <w:t>ют таким женщинам право:</w:t>
      </w:r>
    </w:p>
    <w:p w:rsidR="00000000" w:rsidRDefault="00000000">
      <w:pPr>
        <w:pStyle w:val="SingleTxt"/>
        <w:rPr>
          <w:i/>
        </w:rPr>
      </w:pPr>
      <w:r>
        <w:rPr>
          <w:i/>
        </w:rPr>
        <w:t>а)</w:t>
      </w:r>
      <w:r>
        <w:rPr>
          <w:i/>
        </w:rPr>
        <w:tab/>
        <w:t>участвовать в разработке и осуществлении планов развития на всех уровнях;</w:t>
      </w:r>
    </w:p>
    <w:p w:rsidR="00000000" w:rsidRDefault="00000000">
      <w:pPr>
        <w:pStyle w:val="SingleTxt"/>
        <w:rPr>
          <w:i/>
        </w:rPr>
      </w:pPr>
      <w:r>
        <w:rPr>
          <w:i/>
        </w:rPr>
        <w:t>b)</w:t>
      </w:r>
      <w:r>
        <w:rPr>
          <w:i/>
        </w:rPr>
        <w:tab/>
        <w:t>на доступ к соответствующему медицинскому обслуживанию, включая информацию, консультации и обслуживание по вопросам планирования разм</w:t>
      </w:r>
      <w:r>
        <w:rPr>
          <w:i/>
        </w:rPr>
        <w:t>е</w:t>
      </w:r>
      <w:r>
        <w:rPr>
          <w:i/>
        </w:rPr>
        <w:t>ра с</w:t>
      </w:r>
      <w:r>
        <w:rPr>
          <w:i/>
        </w:rPr>
        <w:t>е</w:t>
      </w:r>
      <w:r>
        <w:rPr>
          <w:i/>
        </w:rPr>
        <w:t>мьи;</w:t>
      </w:r>
    </w:p>
    <w:p w:rsidR="00000000" w:rsidRDefault="00000000">
      <w:pPr>
        <w:pStyle w:val="SingleTxt"/>
        <w:rPr>
          <w:i/>
        </w:rPr>
      </w:pPr>
      <w:r>
        <w:rPr>
          <w:i/>
        </w:rPr>
        <w:t>с)</w:t>
      </w:r>
      <w:r>
        <w:rPr>
          <w:i/>
        </w:rPr>
        <w:tab/>
        <w:t>непосредственно пользоваться благами программ социального страхов</w:t>
      </w:r>
      <w:r>
        <w:rPr>
          <w:i/>
        </w:rPr>
        <w:t>а</w:t>
      </w:r>
      <w:r>
        <w:rPr>
          <w:i/>
        </w:rPr>
        <w:t>ния;</w:t>
      </w:r>
    </w:p>
    <w:p w:rsidR="00000000" w:rsidRDefault="00000000">
      <w:pPr>
        <w:pStyle w:val="SingleTxt"/>
        <w:rPr>
          <w:i/>
        </w:rPr>
      </w:pPr>
      <w:r>
        <w:rPr>
          <w:i/>
        </w:rPr>
        <w:t>d)</w:t>
      </w:r>
      <w:r>
        <w:rPr>
          <w:i/>
        </w:rPr>
        <w:tab/>
        <w:t>получать все виды подготовки и формального и неформального образов</w:t>
      </w:r>
      <w:r>
        <w:rPr>
          <w:i/>
        </w:rPr>
        <w:t>а</w:t>
      </w:r>
      <w:r>
        <w:rPr>
          <w:i/>
        </w:rPr>
        <w:t>ния, включая функциональную грамотность, а также пользоваться услугами всех средств общинного обслуживания, консультативных служб по сельскох</w:t>
      </w:r>
      <w:r>
        <w:rPr>
          <w:i/>
        </w:rPr>
        <w:t>о</w:t>
      </w:r>
      <w:r>
        <w:rPr>
          <w:i/>
        </w:rPr>
        <w:t>зяйстве</w:t>
      </w:r>
      <w:r>
        <w:rPr>
          <w:i/>
        </w:rPr>
        <w:t>н</w:t>
      </w:r>
      <w:r>
        <w:rPr>
          <w:i/>
        </w:rPr>
        <w:t>ным вопросам, в частности для повышения их технического уровня;</w:t>
      </w:r>
    </w:p>
    <w:p w:rsidR="00000000" w:rsidRDefault="00000000">
      <w:pPr>
        <w:pStyle w:val="SingleTxt"/>
        <w:rPr>
          <w:i/>
        </w:rPr>
      </w:pPr>
      <w:r>
        <w:rPr>
          <w:i/>
        </w:rPr>
        <w:t>е)</w:t>
      </w:r>
      <w:r>
        <w:rPr>
          <w:i/>
        </w:rPr>
        <w:tab/>
        <w:t>организовывать группы самопомощи и кооперативы, с тем чтобы обе</w:t>
      </w:r>
      <w:r>
        <w:rPr>
          <w:i/>
        </w:rPr>
        <w:t>с</w:t>
      </w:r>
      <w:r>
        <w:rPr>
          <w:i/>
        </w:rPr>
        <w:t>печить равный доступ к экономическим возможностям посредством работы по найму или независимой трудовой де</w:t>
      </w:r>
      <w:r>
        <w:rPr>
          <w:i/>
        </w:rPr>
        <w:t>я</w:t>
      </w:r>
      <w:r>
        <w:rPr>
          <w:i/>
        </w:rPr>
        <w:t>тельности;</w:t>
      </w:r>
    </w:p>
    <w:p w:rsidR="00000000" w:rsidRDefault="00000000">
      <w:pPr>
        <w:pStyle w:val="SingleTxt"/>
        <w:rPr>
          <w:i/>
        </w:rPr>
      </w:pPr>
      <w:r>
        <w:rPr>
          <w:i/>
        </w:rPr>
        <w:t>f)</w:t>
      </w:r>
      <w:r>
        <w:rPr>
          <w:i/>
        </w:rPr>
        <w:tab/>
        <w:t>участвовать во всех видах коллективной деятельности;</w:t>
      </w:r>
    </w:p>
    <w:p w:rsidR="00000000" w:rsidRDefault="00000000">
      <w:pPr>
        <w:pStyle w:val="SingleTxt"/>
        <w:rPr>
          <w:i/>
        </w:rPr>
      </w:pPr>
      <w:r>
        <w:rPr>
          <w:i/>
        </w:rPr>
        <w:t>g)</w:t>
      </w:r>
      <w:r>
        <w:rPr>
          <w:i/>
        </w:rPr>
        <w:tab/>
        <w:t>на доступ к сельскохозяйственным кредитам и займам, системе сбыта, соответствующей технологии и на равный статус в земельных и аграрных рефо</w:t>
      </w:r>
      <w:r>
        <w:rPr>
          <w:i/>
        </w:rPr>
        <w:t>р</w:t>
      </w:r>
      <w:r>
        <w:rPr>
          <w:i/>
        </w:rPr>
        <w:t>мах, а также в планах перезаселения земель;</w:t>
      </w:r>
    </w:p>
    <w:p w:rsidR="00000000" w:rsidRDefault="00000000">
      <w:pPr>
        <w:pStyle w:val="SingleTxt"/>
      </w:pPr>
      <w:r>
        <w:rPr>
          <w:i/>
        </w:rPr>
        <w:t>h)</w:t>
      </w:r>
      <w:r>
        <w:rPr>
          <w:i/>
        </w:rPr>
        <w:tab/>
        <w:t>пользоваться надлежащими условиями жизни, особенно жилищными у</w:t>
      </w:r>
      <w:r>
        <w:rPr>
          <w:i/>
        </w:rPr>
        <w:t>с</w:t>
      </w:r>
      <w:r>
        <w:rPr>
          <w:i/>
        </w:rPr>
        <w:t>ловиями, санитарными услугами, электро- и водоснабжением, а также транспортом и средствами связи.</w:t>
      </w:r>
    </w:p>
    <w:p w:rsidR="00000000" w:rsidRDefault="00000000">
      <w:pPr>
        <w:pStyle w:val="H23"/>
      </w:pPr>
      <w:r>
        <w:t>14.2.</w:t>
      </w:r>
      <w:r>
        <w:tab/>
        <w:t>Введение</w:t>
      </w:r>
    </w:p>
    <w:p w:rsidR="00000000" w:rsidRDefault="00000000">
      <w:pPr>
        <w:pStyle w:val="SingleTxt"/>
      </w:pPr>
      <w:r>
        <w:t>14.2.1.</w:t>
      </w:r>
      <w:r>
        <w:tab/>
        <w:t>Малави является преимущественно аграрной страной, и 86,3 процента женщин проживают в сельских районах</w:t>
      </w:r>
      <w:r>
        <w:rPr>
          <w:rStyle w:val="FootnoteReference"/>
          <w:sz w:val="20"/>
        </w:rPr>
        <w:footnoteReference w:id="112"/>
      </w:r>
      <w:r>
        <w:t>. В соответствии с Конституцией Малави, одним из показателей успеха правительственной пол</w:t>
      </w:r>
      <w:r>
        <w:t>и</w:t>
      </w:r>
      <w:r>
        <w:t>тики и законодательства является уровень жизни</w:t>
      </w:r>
      <w:r>
        <w:rPr>
          <w:rStyle w:val="FootnoteReference"/>
          <w:sz w:val="20"/>
        </w:rPr>
        <w:footnoteReference w:id="113"/>
      </w:r>
      <w:r>
        <w:t>. Кроме того, Конституция предусматривает равное право сельских женщин на развитие</w:t>
      </w:r>
      <w:r>
        <w:rPr>
          <w:rStyle w:val="FootnoteReference"/>
          <w:sz w:val="20"/>
        </w:rPr>
        <w:footnoteReference w:id="114"/>
      </w:r>
      <w:r>
        <w:t>. Сельские женщины не должны подвергаться дискрим</w:t>
      </w:r>
      <w:r>
        <w:t>и</w:t>
      </w:r>
      <w:r>
        <w:t>нации</w:t>
      </w:r>
      <w:r>
        <w:rPr>
          <w:rStyle w:val="FootnoteReference"/>
          <w:sz w:val="20"/>
        </w:rPr>
        <w:footnoteReference w:id="115"/>
      </w:r>
      <w:r>
        <w:t>.</w:t>
      </w:r>
    </w:p>
    <w:p w:rsidR="00000000" w:rsidRDefault="00000000">
      <w:pPr>
        <w:pStyle w:val="SingleTxt"/>
      </w:pPr>
      <w:r>
        <w:t>14.2.2.</w:t>
      </w:r>
      <w:r>
        <w:tab/>
        <w:t>В целом в сельских районах уровень жизни низкий, о чем говорится в многочисленных исследованиях, в ходе консультаций в сельских районах, в докладах правительства и Докладе о социальных показателях развития челов</w:t>
      </w:r>
      <w:r>
        <w:t>е</w:t>
      </w:r>
      <w:r>
        <w:t>ческого потенциала в Малави. Эти показатели свидетельствуют о том, что ср</w:t>
      </w:r>
      <w:r>
        <w:t>е</w:t>
      </w:r>
      <w:r>
        <w:t>ди женщин и детей уровень бедности выше и что сельские женщины в бол</w:t>
      </w:r>
      <w:r>
        <w:t>ь</w:t>
      </w:r>
      <w:r>
        <w:t>шей степени, чем городские, страдают от неравноправия и неравенства. Более того, у сельских женщин меньше возможностей, чем у городских. Они не сп</w:t>
      </w:r>
      <w:r>
        <w:t>о</w:t>
      </w:r>
      <w:r>
        <w:t>собны заявить о своем праве на развитие и правах в области репродуктивного здоровья. В приведенной ниже таблице наглядно демонстрируется неспосо</w:t>
      </w:r>
      <w:r>
        <w:t>б</w:t>
      </w:r>
      <w:r>
        <w:t>ность женщин обеспечить свою безопа</w:t>
      </w:r>
      <w:r>
        <w:t>с</w:t>
      </w:r>
      <w:r>
        <w:t>ность в половых отношениях.</w:t>
      </w:r>
    </w:p>
    <w:tbl>
      <w:tblPr>
        <w:tblW w:w="0" w:type="auto"/>
        <w:tblInd w:w="1278" w:type="dxa"/>
        <w:tblLayout w:type="fixed"/>
        <w:tblLook w:val="01E0" w:firstRow="1" w:lastRow="1" w:firstColumn="1" w:lastColumn="1" w:noHBand="0" w:noVBand="0"/>
      </w:tblPr>
      <w:tblGrid>
        <w:gridCol w:w="3120"/>
        <w:gridCol w:w="2124"/>
        <w:gridCol w:w="2127"/>
      </w:tblGrid>
      <w:tr w:rsidR="00000000">
        <w:tblPrEx>
          <w:tblCellMar>
            <w:top w:w="0" w:type="dxa"/>
            <w:bottom w:w="0" w:type="dxa"/>
          </w:tblCellMar>
        </w:tblPrEx>
        <w:trPr>
          <w:cantSplit/>
          <w:tblHeader/>
        </w:trPr>
        <w:tc>
          <w:tcPr>
            <w:tcW w:w="3120" w:type="dxa"/>
            <w:vMerge w:val="restart"/>
            <w:tcBorders>
              <w:top w:val="single" w:sz="4" w:space="0" w:color="auto"/>
            </w:tcBorders>
            <w:vAlign w:val="bottom"/>
          </w:tcPr>
          <w:p w:rsidR="00000000" w:rsidRDefault="00000000">
            <w:pPr>
              <w:tabs>
                <w:tab w:val="left" w:pos="284"/>
              </w:tabs>
              <w:spacing w:before="40" w:after="40" w:line="240" w:lineRule="auto"/>
              <w:ind w:left="284" w:hanging="284"/>
              <w:jc w:val="center"/>
              <w:rPr>
                <w:i/>
                <w:sz w:val="17"/>
              </w:rPr>
            </w:pPr>
            <w:r>
              <w:rPr>
                <w:i/>
                <w:sz w:val="17"/>
              </w:rPr>
              <w:t>Показатель</w:t>
            </w:r>
          </w:p>
        </w:tc>
        <w:tc>
          <w:tcPr>
            <w:tcW w:w="4251" w:type="dxa"/>
            <w:gridSpan w:val="2"/>
            <w:tcBorders>
              <w:top w:val="single" w:sz="4" w:space="0" w:color="auto"/>
              <w:bottom w:val="single" w:sz="4" w:space="0" w:color="auto"/>
            </w:tcBorders>
            <w:vAlign w:val="bottom"/>
          </w:tcPr>
          <w:p w:rsidR="00000000" w:rsidRDefault="00000000">
            <w:pPr>
              <w:spacing w:before="40" w:after="40" w:line="240" w:lineRule="auto"/>
              <w:jc w:val="center"/>
              <w:rPr>
                <w:i/>
                <w:sz w:val="17"/>
              </w:rPr>
            </w:pPr>
            <w:r>
              <w:rPr>
                <w:i/>
                <w:sz w:val="17"/>
              </w:rPr>
              <w:t>Процентное отношение</w:t>
            </w:r>
          </w:p>
        </w:tc>
      </w:tr>
      <w:tr w:rsidR="00000000">
        <w:tblPrEx>
          <w:tblCellMar>
            <w:top w:w="0" w:type="dxa"/>
            <w:bottom w:w="0" w:type="dxa"/>
          </w:tblCellMar>
        </w:tblPrEx>
        <w:trPr>
          <w:cantSplit/>
          <w:tblHeader/>
        </w:trPr>
        <w:tc>
          <w:tcPr>
            <w:tcW w:w="3120" w:type="dxa"/>
            <w:vMerge/>
            <w:tcBorders>
              <w:bottom w:val="single" w:sz="12" w:space="0" w:color="auto"/>
            </w:tcBorders>
            <w:vAlign w:val="bottom"/>
          </w:tcPr>
          <w:p w:rsidR="00000000" w:rsidRDefault="00000000">
            <w:pPr>
              <w:tabs>
                <w:tab w:val="left" w:pos="284"/>
              </w:tabs>
              <w:spacing w:before="40" w:after="40" w:line="240" w:lineRule="auto"/>
              <w:ind w:left="284" w:hanging="284"/>
              <w:rPr>
                <w:i/>
                <w:sz w:val="17"/>
              </w:rPr>
            </w:pPr>
          </w:p>
        </w:tc>
        <w:tc>
          <w:tcPr>
            <w:tcW w:w="2124" w:type="dxa"/>
            <w:tcBorders>
              <w:top w:val="single" w:sz="4" w:space="0" w:color="auto"/>
              <w:bottom w:val="single" w:sz="12" w:space="0" w:color="auto"/>
            </w:tcBorders>
            <w:vAlign w:val="bottom"/>
          </w:tcPr>
          <w:p w:rsidR="00000000" w:rsidRDefault="00000000">
            <w:pPr>
              <w:spacing w:before="40" w:after="40" w:line="240" w:lineRule="auto"/>
              <w:jc w:val="center"/>
              <w:rPr>
                <w:i/>
                <w:sz w:val="17"/>
              </w:rPr>
            </w:pPr>
            <w:r>
              <w:rPr>
                <w:i/>
                <w:sz w:val="17"/>
              </w:rPr>
              <w:t>Городские же</w:t>
            </w:r>
            <w:r>
              <w:rPr>
                <w:i/>
                <w:sz w:val="17"/>
              </w:rPr>
              <w:t>н</w:t>
            </w:r>
            <w:r>
              <w:rPr>
                <w:i/>
                <w:sz w:val="17"/>
              </w:rPr>
              <w:t>щины</w:t>
            </w:r>
          </w:p>
        </w:tc>
        <w:tc>
          <w:tcPr>
            <w:tcW w:w="2127" w:type="dxa"/>
            <w:tcBorders>
              <w:top w:val="single" w:sz="4" w:space="0" w:color="auto"/>
              <w:bottom w:val="single" w:sz="12" w:space="0" w:color="auto"/>
            </w:tcBorders>
            <w:vAlign w:val="bottom"/>
          </w:tcPr>
          <w:p w:rsidR="00000000" w:rsidRDefault="00000000">
            <w:pPr>
              <w:spacing w:before="40" w:after="40" w:line="240" w:lineRule="auto"/>
              <w:jc w:val="center"/>
              <w:rPr>
                <w:i/>
                <w:sz w:val="17"/>
              </w:rPr>
            </w:pPr>
            <w:r>
              <w:rPr>
                <w:i/>
                <w:sz w:val="17"/>
              </w:rPr>
              <w:t>Сельские же</w:t>
            </w:r>
            <w:r>
              <w:rPr>
                <w:i/>
                <w:sz w:val="17"/>
              </w:rPr>
              <w:t>н</w:t>
            </w:r>
            <w:r>
              <w:rPr>
                <w:i/>
                <w:sz w:val="17"/>
              </w:rPr>
              <w:t>щины</w:t>
            </w:r>
          </w:p>
        </w:tc>
      </w:tr>
      <w:tr w:rsidR="00000000">
        <w:tblPrEx>
          <w:tblCellMar>
            <w:top w:w="0" w:type="dxa"/>
            <w:bottom w:w="0" w:type="dxa"/>
          </w:tblCellMar>
        </w:tblPrEx>
        <w:tc>
          <w:tcPr>
            <w:tcW w:w="3120" w:type="dxa"/>
            <w:tcBorders>
              <w:top w:val="single" w:sz="12" w:space="0" w:color="auto"/>
            </w:tcBorders>
          </w:tcPr>
          <w:p w:rsidR="00000000" w:rsidRDefault="00000000">
            <w:pPr>
              <w:numPr>
                <w:ilvl w:val="0"/>
                <w:numId w:val="2"/>
              </w:numPr>
              <w:tabs>
                <w:tab w:val="clear" w:pos="720"/>
                <w:tab w:val="left" w:pos="284"/>
              </w:tabs>
              <w:spacing w:before="40" w:after="40" w:line="240" w:lineRule="auto"/>
              <w:ind w:left="284" w:hanging="284"/>
              <w:rPr>
                <w:sz w:val="17"/>
              </w:rPr>
            </w:pPr>
            <w:r>
              <w:rPr>
                <w:sz w:val="17"/>
              </w:rPr>
              <w:t>Полное отсутствие образования для детей 6-ти лет и ста</w:t>
            </w:r>
            <w:r>
              <w:rPr>
                <w:sz w:val="17"/>
              </w:rPr>
              <w:t>р</w:t>
            </w:r>
            <w:r>
              <w:rPr>
                <w:sz w:val="17"/>
              </w:rPr>
              <w:t>ше</w:t>
            </w:r>
          </w:p>
        </w:tc>
        <w:tc>
          <w:tcPr>
            <w:tcW w:w="2124" w:type="dxa"/>
            <w:tcBorders>
              <w:top w:val="single" w:sz="12" w:space="0" w:color="auto"/>
            </w:tcBorders>
            <w:vAlign w:val="bottom"/>
          </w:tcPr>
          <w:p w:rsidR="00000000" w:rsidRDefault="00000000">
            <w:pPr>
              <w:pStyle w:val="Header"/>
              <w:tabs>
                <w:tab w:val="clear" w:pos="4320"/>
                <w:tab w:val="clear" w:pos="8640"/>
                <w:tab w:val="decimal" w:pos="1025"/>
              </w:tabs>
              <w:spacing w:before="40" w:after="40"/>
              <w:rPr>
                <w:noProof w:val="0"/>
                <w:spacing w:val="4"/>
                <w:w w:val="103"/>
                <w:kern w:val="14"/>
              </w:rPr>
            </w:pPr>
            <w:r>
              <w:rPr>
                <w:noProof w:val="0"/>
                <w:spacing w:val="4"/>
                <w:w w:val="103"/>
                <w:kern w:val="14"/>
              </w:rPr>
              <w:t>11,7%</w:t>
            </w:r>
          </w:p>
        </w:tc>
        <w:tc>
          <w:tcPr>
            <w:tcW w:w="2127" w:type="dxa"/>
            <w:tcBorders>
              <w:top w:val="single" w:sz="12" w:space="0" w:color="auto"/>
            </w:tcBorders>
            <w:vAlign w:val="bottom"/>
          </w:tcPr>
          <w:p w:rsidR="00000000" w:rsidRDefault="00000000">
            <w:pPr>
              <w:tabs>
                <w:tab w:val="decimal" w:pos="1025"/>
              </w:tabs>
              <w:spacing w:before="40" w:after="40" w:line="240" w:lineRule="auto"/>
              <w:rPr>
                <w:sz w:val="17"/>
              </w:rPr>
            </w:pPr>
            <w:r>
              <w:rPr>
                <w:sz w:val="17"/>
              </w:rPr>
              <w:t>31,1%</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Чистый коэффициент посеща</w:t>
            </w:r>
            <w:r>
              <w:rPr>
                <w:sz w:val="17"/>
              </w:rPr>
              <w:t>е</w:t>
            </w:r>
            <w:r>
              <w:rPr>
                <w:sz w:val="17"/>
              </w:rPr>
              <w:t>мости н</w:t>
            </w:r>
            <w:r>
              <w:rPr>
                <w:sz w:val="17"/>
              </w:rPr>
              <w:t>а</w:t>
            </w:r>
            <w:r>
              <w:rPr>
                <w:sz w:val="17"/>
              </w:rPr>
              <w:t>чальных школ</w:t>
            </w:r>
          </w:p>
        </w:tc>
        <w:tc>
          <w:tcPr>
            <w:tcW w:w="2124" w:type="dxa"/>
            <w:vAlign w:val="bottom"/>
          </w:tcPr>
          <w:p w:rsidR="00000000" w:rsidRDefault="00000000">
            <w:pPr>
              <w:tabs>
                <w:tab w:val="decimal" w:pos="1025"/>
              </w:tabs>
              <w:spacing w:before="40" w:after="40" w:line="240" w:lineRule="auto"/>
              <w:rPr>
                <w:sz w:val="17"/>
              </w:rPr>
            </w:pPr>
            <w:r>
              <w:rPr>
                <w:sz w:val="17"/>
              </w:rPr>
              <w:t>87,5%</w:t>
            </w:r>
          </w:p>
        </w:tc>
        <w:tc>
          <w:tcPr>
            <w:tcW w:w="2127" w:type="dxa"/>
            <w:vAlign w:val="bottom"/>
          </w:tcPr>
          <w:p w:rsidR="00000000" w:rsidRDefault="00000000">
            <w:pPr>
              <w:tabs>
                <w:tab w:val="decimal" w:pos="1025"/>
              </w:tabs>
              <w:spacing w:before="40" w:after="40" w:line="240" w:lineRule="auto"/>
              <w:rPr>
                <w:sz w:val="17"/>
              </w:rPr>
            </w:pPr>
            <w:r>
              <w:rPr>
                <w:sz w:val="17"/>
              </w:rPr>
              <w:t>77,9</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Чистый коэффициент посеща</w:t>
            </w:r>
            <w:r>
              <w:rPr>
                <w:sz w:val="17"/>
              </w:rPr>
              <w:t>е</w:t>
            </w:r>
            <w:r>
              <w:rPr>
                <w:sz w:val="17"/>
              </w:rPr>
              <w:t>мости средних школ</w:t>
            </w:r>
          </w:p>
        </w:tc>
        <w:tc>
          <w:tcPr>
            <w:tcW w:w="2124" w:type="dxa"/>
            <w:vAlign w:val="bottom"/>
          </w:tcPr>
          <w:p w:rsidR="00000000" w:rsidRDefault="00000000">
            <w:pPr>
              <w:tabs>
                <w:tab w:val="decimal" w:pos="1025"/>
              </w:tabs>
              <w:spacing w:before="40" w:after="40" w:line="240" w:lineRule="auto"/>
              <w:rPr>
                <w:sz w:val="17"/>
              </w:rPr>
            </w:pPr>
            <w:r>
              <w:rPr>
                <w:sz w:val="17"/>
              </w:rPr>
              <w:t>30%</w:t>
            </w:r>
          </w:p>
        </w:tc>
        <w:tc>
          <w:tcPr>
            <w:tcW w:w="2127" w:type="dxa"/>
            <w:vAlign w:val="bottom"/>
          </w:tcPr>
          <w:p w:rsidR="00000000" w:rsidRDefault="00000000">
            <w:pPr>
              <w:tabs>
                <w:tab w:val="decimal" w:pos="1025"/>
              </w:tabs>
              <w:spacing w:before="40" w:after="40" w:line="240" w:lineRule="auto"/>
              <w:rPr>
                <w:sz w:val="17"/>
              </w:rPr>
            </w:pPr>
            <w:r>
              <w:rPr>
                <w:sz w:val="17"/>
              </w:rPr>
              <w:t>5%</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Отсутствие доступа к средствам массовой информ</w:t>
            </w:r>
            <w:r>
              <w:rPr>
                <w:sz w:val="17"/>
              </w:rPr>
              <w:t>а</w:t>
            </w:r>
            <w:r>
              <w:rPr>
                <w:sz w:val="17"/>
              </w:rPr>
              <w:t>ции</w:t>
            </w:r>
          </w:p>
        </w:tc>
        <w:tc>
          <w:tcPr>
            <w:tcW w:w="2124" w:type="dxa"/>
            <w:vAlign w:val="bottom"/>
          </w:tcPr>
          <w:p w:rsidR="00000000" w:rsidRDefault="00000000">
            <w:pPr>
              <w:tabs>
                <w:tab w:val="decimal" w:pos="1025"/>
              </w:tabs>
              <w:spacing w:before="40" w:after="40" w:line="240" w:lineRule="auto"/>
              <w:rPr>
                <w:sz w:val="17"/>
              </w:rPr>
            </w:pPr>
            <w:r>
              <w:rPr>
                <w:sz w:val="17"/>
              </w:rPr>
              <w:t>20,7%</w:t>
            </w:r>
          </w:p>
        </w:tc>
        <w:tc>
          <w:tcPr>
            <w:tcW w:w="2127" w:type="dxa"/>
            <w:vAlign w:val="bottom"/>
          </w:tcPr>
          <w:p w:rsidR="00000000" w:rsidRDefault="00000000">
            <w:pPr>
              <w:tabs>
                <w:tab w:val="decimal" w:pos="1025"/>
              </w:tabs>
              <w:spacing w:before="40" w:after="40" w:line="240" w:lineRule="auto"/>
              <w:rPr>
                <w:sz w:val="17"/>
              </w:rPr>
            </w:pPr>
            <w:r>
              <w:rPr>
                <w:sz w:val="17"/>
              </w:rPr>
              <w:t>50,7%</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Получение дохода в виде нали</w:t>
            </w:r>
            <w:r>
              <w:rPr>
                <w:sz w:val="17"/>
              </w:rPr>
              <w:t>ч</w:t>
            </w:r>
            <w:r>
              <w:rPr>
                <w:sz w:val="17"/>
              </w:rPr>
              <w:t>ных д</w:t>
            </w:r>
            <w:r>
              <w:rPr>
                <w:sz w:val="17"/>
              </w:rPr>
              <w:t>е</w:t>
            </w:r>
            <w:r>
              <w:rPr>
                <w:sz w:val="17"/>
              </w:rPr>
              <w:t>нег</w:t>
            </w:r>
          </w:p>
        </w:tc>
        <w:tc>
          <w:tcPr>
            <w:tcW w:w="2124" w:type="dxa"/>
            <w:vAlign w:val="bottom"/>
          </w:tcPr>
          <w:p w:rsidR="00000000" w:rsidRDefault="00000000">
            <w:pPr>
              <w:tabs>
                <w:tab w:val="decimal" w:pos="1025"/>
              </w:tabs>
              <w:spacing w:before="40" w:after="40" w:line="240" w:lineRule="auto"/>
              <w:rPr>
                <w:sz w:val="17"/>
              </w:rPr>
            </w:pPr>
            <w:r>
              <w:rPr>
                <w:sz w:val="17"/>
              </w:rPr>
              <w:t>38,5%</w:t>
            </w:r>
          </w:p>
        </w:tc>
        <w:tc>
          <w:tcPr>
            <w:tcW w:w="2127" w:type="dxa"/>
            <w:vAlign w:val="bottom"/>
          </w:tcPr>
          <w:p w:rsidR="00000000" w:rsidRDefault="00000000">
            <w:pPr>
              <w:tabs>
                <w:tab w:val="decimal" w:pos="1025"/>
              </w:tabs>
              <w:spacing w:before="40" w:after="40" w:line="240" w:lineRule="auto"/>
              <w:rPr>
                <w:sz w:val="17"/>
              </w:rPr>
            </w:pPr>
            <w:r>
              <w:rPr>
                <w:sz w:val="17"/>
              </w:rPr>
              <w:t>24,2%</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Невозможность самостоятельно распоряжаться собственным з</w:t>
            </w:r>
            <w:r>
              <w:rPr>
                <w:sz w:val="17"/>
              </w:rPr>
              <w:t>а</w:t>
            </w:r>
            <w:r>
              <w:rPr>
                <w:sz w:val="17"/>
              </w:rPr>
              <w:t>работком</w:t>
            </w:r>
          </w:p>
        </w:tc>
        <w:tc>
          <w:tcPr>
            <w:tcW w:w="2124" w:type="dxa"/>
            <w:vAlign w:val="bottom"/>
          </w:tcPr>
          <w:p w:rsidR="00000000" w:rsidRDefault="00000000">
            <w:pPr>
              <w:tabs>
                <w:tab w:val="decimal" w:pos="1025"/>
              </w:tabs>
              <w:spacing w:before="40" w:after="40" w:line="240" w:lineRule="auto"/>
              <w:rPr>
                <w:sz w:val="17"/>
              </w:rPr>
            </w:pPr>
            <w:r>
              <w:rPr>
                <w:sz w:val="17"/>
              </w:rPr>
              <w:t>10,9%</w:t>
            </w:r>
          </w:p>
        </w:tc>
        <w:tc>
          <w:tcPr>
            <w:tcW w:w="2127" w:type="dxa"/>
            <w:vAlign w:val="bottom"/>
          </w:tcPr>
          <w:p w:rsidR="00000000" w:rsidRDefault="00000000">
            <w:pPr>
              <w:tabs>
                <w:tab w:val="decimal" w:pos="1025"/>
              </w:tabs>
              <w:spacing w:before="40" w:after="40" w:line="240" w:lineRule="auto"/>
              <w:rPr>
                <w:sz w:val="17"/>
              </w:rPr>
            </w:pPr>
            <w:r>
              <w:rPr>
                <w:sz w:val="17"/>
              </w:rPr>
              <w:t>37,8%</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Невозможность принятия око</w:t>
            </w:r>
            <w:r>
              <w:rPr>
                <w:sz w:val="17"/>
              </w:rPr>
              <w:t>н</w:t>
            </w:r>
            <w:r>
              <w:rPr>
                <w:sz w:val="17"/>
              </w:rPr>
              <w:t>чательного решения относител</w:t>
            </w:r>
            <w:r>
              <w:rPr>
                <w:sz w:val="17"/>
              </w:rPr>
              <w:t>ь</w:t>
            </w:r>
            <w:r>
              <w:rPr>
                <w:sz w:val="17"/>
              </w:rPr>
              <w:t>но обращения за медицинской помощью</w:t>
            </w:r>
          </w:p>
        </w:tc>
        <w:tc>
          <w:tcPr>
            <w:tcW w:w="2124" w:type="dxa"/>
            <w:vAlign w:val="bottom"/>
          </w:tcPr>
          <w:p w:rsidR="00000000" w:rsidRDefault="00000000">
            <w:pPr>
              <w:tabs>
                <w:tab w:val="decimal" w:pos="1025"/>
              </w:tabs>
              <w:spacing w:before="40" w:after="40" w:line="240" w:lineRule="auto"/>
              <w:rPr>
                <w:sz w:val="17"/>
              </w:rPr>
            </w:pPr>
            <w:r>
              <w:rPr>
                <w:sz w:val="17"/>
              </w:rPr>
              <w:t>42,6%</w:t>
            </w:r>
          </w:p>
        </w:tc>
        <w:tc>
          <w:tcPr>
            <w:tcW w:w="2127" w:type="dxa"/>
            <w:vAlign w:val="bottom"/>
          </w:tcPr>
          <w:p w:rsidR="00000000" w:rsidRDefault="00000000">
            <w:pPr>
              <w:tabs>
                <w:tab w:val="decimal" w:pos="1025"/>
              </w:tabs>
              <w:spacing w:before="40" w:after="40" w:line="240" w:lineRule="auto"/>
              <w:rPr>
                <w:sz w:val="17"/>
              </w:rPr>
            </w:pPr>
            <w:r>
              <w:rPr>
                <w:sz w:val="17"/>
              </w:rPr>
              <w:t>54,9%</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Терпят избиения по крайней м</w:t>
            </w:r>
            <w:r>
              <w:rPr>
                <w:sz w:val="17"/>
              </w:rPr>
              <w:t>е</w:t>
            </w:r>
            <w:r>
              <w:rPr>
                <w:sz w:val="17"/>
              </w:rPr>
              <w:t>ре по одной пр</w:t>
            </w:r>
            <w:r>
              <w:rPr>
                <w:sz w:val="17"/>
              </w:rPr>
              <w:t>и</w:t>
            </w:r>
            <w:r>
              <w:rPr>
                <w:sz w:val="17"/>
              </w:rPr>
              <w:t>чине</w:t>
            </w:r>
          </w:p>
        </w:tc>
        <w:tc>
          <w:tcPr>
            <w:tcW w:w="2124" w:type="dxa"/>
            <w:vAlign w:val="bottom"/>
          </w:tcPr>
          <w:p w:rsidR="00000000" w:rsidRDefault="00000000">
            <w:pPr>
              <w:tabs>
                <w:tab w:val="decimal" w:pos="1025"/>
              </w:tabs>
              <w:spacing w:before="40" w:after="40" w:line="240" w:lineRule="auto"/>
              <w:rPr>
                <w:sz w:val="17"/>
              </w:rPr>
            </w:pPr>
            <w:r>
              <w:rPr>
                <w:sz w:val="17"/>
              </w:rPr>
              <w:t>22,4%</w:t>
            </w:r>
          </w:p>
        </w:tc>
        <w:tc>
          <w:tcPr>
            <w:tcW w:w="2127" w:type="dxa"/>
            <w:vAlign w:val="bottom"/>
          </w:tcPr>
          <w:p w:rsidR="00000000" w:rsidRDefault="00000000">
            <w:pPr>
              <w:tabs>
                <w:tab w:val="decimal" w:pos="1025"/>
              </w:tabs>
              <w:spacing w:before="40" w:after="40" w:line="240" w:lineRule="auto"/>
              <w:rPr>
                <w:sz w:val="17"/>
              </w:rPr>
            </w:pPr>
            <w:r>
              <w:rPr>
                <w:sz w:val="17"/>
              </w:rPr>
              <w:t>38,2%</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Могут отказаться от полового акта по причине уст</w:t>
            </w:r>
            <w:r>
              <w:rPr>
                <w:sz w:val="17"/>
              </w:rPr>
              <w:t>а</w:t>
            </w:r>
            <w:r>
              <w:rPr>
                <w:sz w:val="17"/>
              </w:rPr>
              <w:t>лости</w:t>
            </w:r>
          </w:p>
        </w:tc>
        <w:tc>
          <w:tcPr>
            <w:tcW w:w="2124" w:type="dxa"/>
            <w:vAlign w:val="bottom"/>
          </w:tcPr>
          <w:p w:rsidR="00000000" w:rsidRDefault="00000000">
            <w:pPr>
              <w:tabs>
                <w:tab w:val="decimal" w:pos="1025"/>
              </w:tabs>
              <w:spacing w:before="40" w:after="40" w:line="240" w:lineRule="auto"/>
              <w:rPr>
                <w:sz w:val="17"/>
              </w:rPr>
            </w:pPr>
            <w:r>
              <w:rPr>
                <w:sz w:val="17"/>
              </w:rPr>
              <w:t>55,3%</w:t>
            </w:r>
          </w:p>
        </w:tc>
        <w:tc>
          <w:tcPr>
            <w:tcW w:w="2127" w:type="dxa"/>
            <w:vAlign w:val="bottom"/>
          </w:tcPr>
          <w:p w:rsidR="00000000" w:rsidRDefault="00000000">
            <w:pPr>
              <w:tabs>
                <w:tab w:val="decimal" w:pos="1025"/>
              </w:tabs>
              <w:spacing w:before="40" w:after="40" w:line="240" w:lineRule="auto"/>
              <w:rPr>
                <w:sz w:val="17"/>
              </w:rPr>
            </w:pPr>
            <w:r>
              <w:rPr>
                <w:sz w:val="17"/>
              </w:rPr>
              <w:t>61,4%</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Могут отказаться от полового акта по причине неверности м</w:t>
            </w:r>
            <w:r>
              <w:rPr>
                <w:sz w:val="17"/>
              </w:rPr>
              <w:t>у</w:t>
            </w:r>
            <w:r>
              <w:rPr>
                <w:sz w:val="17"/>
              </w:rPr>
              <w:t>жа</w:t>
            </w:r>
          </w:p>
        </w:tc>
        <w:tc>
          <w:tcPr>
            <w:tcW w:w="2124" w:type="dxa"/>
            <w:vAlign w:val="bottom"/>
          </w:tcPr>
          <w:p w:rsidR="00000000" w:rsidRDefault="00000000">
            <w:pPr>
              <w:tabs>
                <w:tab w:val="decimal" w:pos="1025"/>
              </w:tabs>
              <w:spacing w:before="40" w:after="40" w:line="240" w:lineRule="auto"/>
              <w:rPr>
                <w:sz w:val="17"/>
              </w:rPr>
            </w:pPr>
            <w:r>
              <w:rPr>
                <w:sz w:val="17"/>
              </w:rPr>
              <w:t>65,8%</w:t>
            </w:r>
          </w:p>
        </w:tc>
        <w:tc>
          <w:tcPr>
            <w:tcW w:w="2127" w:type="dxa"/>
            <w:vAlign w:val="bottom"/>
          </w:tcPr>
          <w:p w:rsidR="00000000" w:rsidRDefault="00000000">
            <w:pPr>
              <w:tabs>
                <w:tab w:val="decimal" w:pos="1025"/>
              </w:tabs>
              <w:spacing w:before="40" w:after="40" w:line="240" w:lineRule="auto"/>
              <w:rPr>
                <w:sz w:val="17"/>
              </w:rPr>
            </w:pPr>
            <w:r>
              <w:rPr>
                <w:sz w:val="17"/>
              </w:rPr>
              <w:t>68,6%</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Полностью лишены возможн</w:t>
            </w:r>
            <w:r>
              <w:rPr>
                <w:sz w:val="17"/>
              </w:rPr>
              <w:t>о</w:t>
            </w:r>
            <w:r>
              <w:rPr>
                <w:sz w:val="17"/>
              </w:rPr>
              <w:t>сти отказаться от полов</w:t>
            </w:r>
            <w:r>
              <w:rPr>
                <w:sz w:val="17"/>
              </w:rPr>
              <w:t>о</w:t>
            </w:r>
            <w:r>
              <w:rPr>
                <w:sz w:val="17"/>
              </w:rPr>
              <w:t>го акта</w:t>
            </w:r>
          </w:p>
        </w:tc>
        <w:tc>
          <w:tcPr>
            <w:tcW w:w="2124" w:type="dxa"/>
            <w:vAlign w:val="bottom"/>
          </w:tcPr>
          <w:p w:rsidR="00000000" w:rsidRDefault="00000000">
            <w:pPr>
              <w:tabs>
                <w:tab w:val="decimal" w:pos="1025"/>
              </w:tabs>
              <w:spacing w:before="40" w:after="40" w:line="240" w:lineRule="auto"/>
              <w:rPr>
                <w:sz w:val="17"/>
              </w:rPr>
            </w:pPr>
            <w:r>
              <w:rPr>
                <w:sz w:val="17"/>
              </w:rPr>
              <w:t>21%</w:t>
            </w:r>
          </w:p>
        </w:tc>
        <w:tc>
          <w:tcPr>
            <w:tcW w:w="2127" w:type="dxa"/>
            <w:vAlign w:val="bottom"/>
          </w:tcPr>
          <w:p w:rsidR="00000000" w:rsidRDefault="00000000">
            <w:pPr>
              <w:tabs>
                <w:tab w:val="decimal" w:pos="1025"/>
              </w:tabs>
              <w:spacing w:before="40" w:after="40" w:line="240" w:lineRule="auto"/>
              <w:rPr>
                <w:sz w:val="17"/>
              </w:rPr>
            </w:pPr>
            <w:r>
              <w:rPr>
                <w:sz w:val="17"/>
              </w:rPr>
              <w:t>15,8%</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Общий коэффициент плодовит</w:t>
            </w:r>
            <w:r>
              <w:rPr>
                <w:sz w:val="17"/>
              </w:rPr>
              <w:t>о</w:t>
            </w:r>
            <w:r>
              <w:rPr>
                <w:sz w:val="17"/>
              </w:rPr>
              <w:t>сти</w:t>
            </w:r>
          </w:p>
        </w:tc>
        <w:tc>
          <w:tcPr>
            <w:tcW w:w="2124" w:type="dxa"/>
            <w:vAlign w:val="bottom"/>
          </w:tcPr>
          <w:p w:rsidR="00000000" w:rsidRDefault="00000000">
            <w:pPr>
              <w:tabs>
                <w:tab w:val="decimal" w:pos="1025"/>
              </w:tabs>
              <w:spacing w:before="40" w:after="40" w:line="240" w:lineRule="auto"/>
              <w:rPr>
                <w:sz w:val="17"/>
              </w:rPr>
            </w:pPr>
            <w:r>
              <w:rPr>
                <w:sz w:val="17"/>
              </w:rPr>
              <w:t>4,5</w:t>
            </w:r>
          </w:p>
        </w:tc>
        <w:tc>
          <w:tcPr>
            <w:tcW w:w="2127" w:type="dxa"/>
            <w:vAlign w:val="bottom"/>
          </w:tcPr>
          <w:p w:rsidR="00000000" w:rsidRDefault="00000000">
            <w:pPr>
              <w:tabs>
                <w:tab w:val="decimal" w:pos="1025"/>
              </w:tabs>
              <w:spacing w:before="40" w:after="40" w:line="240" w:lineRule="auto"/>
              <w:rPr>
                <w:sz w:val="17"/>
              </w:rPr>
            </w:pPr>
            <w:r>
              <w:rPr>
                <w:sz w:val="17"/>
              </w:rPr>
              <w:t>6,7</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Средний возраст при первых р</w:t>
            </w:r>
            <w:r>
              <w:rPr>
                <w:sz w:val="17"/>
              </w:rPr>
              <w:t>о</w:t>
            </w:r>
            <w:r>
              <w:rPr>
                <w:sz w:val="17"/>
              </w:rPr>
              <w:t>дах</w:t>
            </w:r>
          </w:p>
        </w:tc>
        <w:tc>
          <w:tcPr>
            <w:tcW w:w="2124" w:type="dxa"/>
            <w:vAlign w:val="bottom"/>
          </w:tcPr>
          <w:p w:rsidR="00000000" w:rsidRDefault="00000000">
            <w:pPr>
              <w:tabs>
                <w:tab w:val="decimal" w:pos="1025"/>
              </w:tabs>
              <w:spacing w:before="40" w:after="40" w:line="240" w:lineRule="auto"/>
              <w:rPr>
                <w:sz w:val="17"/>
                <w:highlight w:val="red"/>
              </w:rPr>
            </w:pPr>
            <w:r>
              <w:rPr>
                <w:sz w:val="17"/>
              </w:rPr>
              <w:t>20,1%</w:t>
            </w:r>
          </w:p>
        </w:tc>
        <w:tc>
          <w:tcPr>
            <w:tcW w:w="2127" w:type="dxa"/>
            <w:vAlign w:val="bottom"/>
          </w:tcPr>
          <w:p w:rsidR="00000000" w:rsidRDefault="00000000">
            <w:pPr>
              <w:tabs>
                <w:tab w:val="decimal" w:pos="1025"/>
              </w:tabs>
              <w:spacing w:before="40" w:after="40" w:line="240" w:lineRule="auto"/>
              <w:rPr>
                <w:sz w:val="17"/>
                <w:highlight w:val="red"/>
              </w:rPr>
            </w:pPr>
            <w:r>
              <w:rPr>
                <w:sz w:val="17"/>
              </w:rPr>
              <w:t>19,1</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Беременность и материнство в подрос</w:t>
            </w:r>
            <w:r>
              <w:rPr>
                <w:sz w:val="17"/>
              </w:rPr>
              <w:t>т</w:t>
            </w:r>
            <w:r>
              <w:rPr>
                <w:sz w:val="17"/>
              </w:rPr>
              <w:t>ковом возрасте</w:t>
            </w:r>
          </w:p>
        </w:tc>
        <w:tc>
          <w:tcPr>
            <w:tcW w:w="2124" w:type="dxa"/>
            <w:vAlign w:val="bottom"/>
          </w:tcPr>
          <w:p w:rsidR="00000000" w:rsidRDefault="00000000">
            <w:pPr>
              <w:tabs>
                <w:tab w:val="decimal" w:pos="1025"/>
              </w:tabs>
              <w:spacing w:before="40" w:after="40" w:line="240" w:lineRule="auto"/>
              <w:rPr>
                <w:sz w:val="17"/>
              </w:rPr>
            </w:pPr>
            <w:r>
              <w:rPr>
                <w:sz w:val="17"/>
              </w:rPr>
              <w:t>27,1%</w:t>
            </w:r>
          </w:p>
        </w:tc>
        <w:tc>
          <w:tcPr>
            <w:tcW w:w="2127" w:type="dxa"/>
            <w:vAlign w:val="bottom"/>
          </w:tcPr>
          <w:p w:rsidR="00000000" w:rsidRDefault="00000000">
            <w:pPr>
              <w:tabs>
                <w:tab w:val="decimal" w:pos="1025"/>
              </w:tabs>
              <w:spacing w:before="40" w:after="40" w:line="240" w:lineRule="auto"/>
              <w:rPr>
                <w:sz w:val="17"/>
              </w:rPr>
            </w:pPr>
            <w:r>
              <w:rPr>
                <w:sz w:val="17"/>
              </w:rPr>
              <w:t>34,2</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Осведомленность о существов</w:t>
            </w:r>
            <w:r>
              <w:rPr>
                <w:sz w:val="17"/>
              </w:rPr>
              <w:t>а</w:t>
            </w:r>
            <w:r>
              <w:rPr>
                <w:sz w:val="17"/>
              </w:rPr>
              <w:t>нии какого-либо метода контр</w:t>
            </w:r>
            <w:r>
              <w:rPr>
                <w:sz w:val="17"/>
              </w:rPr>
              <w:t>а</w:t>
            </w:r>
            <w:r>
              <w:rPr>
                <w:sz w:val="17"/>
              </w:rPr>
              <w:t>цепции</w:t>
            </w:r>
          </w:p>
        </w:tc>
        <w:tc>
          <w:tcPr>
            <w:tcW w:w="2124" w:type="dxa"/>
            <w:vAlign w:val="bottom"/>
          </w:tcPr>
          <w:p w:rsidR="00000000" w:rsidRDefault="00000000">
            <w:pPr>
              <w:tabs>
                <w:tab w:val="decimal" w:pos="1025"/>
              </w:tabs>
              <w:spacing w:before="40" w:after="40" w:line="240" w:lineRule="auto"/>
              <w:rPr>
                <w:sz w:val="17"/>
              </w:rPr>
            </w:pPr>
            <w:r>
              <w:rPr>
                <w:sz w:val="17"/>
              </w:rPr>
              <w:t>99,9%</w:t>
            </w:r>
          </w:p>
        </w:tc>
        <w:tc>
          <w:tcPr>
            <w:tcW w:w="2127" w:type="dxa"/>
            <w:vAlign w:val="bottom"/>
          </w:tcPr>
          <w:p w:rsidR="00000000" w:rsidRDefault="00000000">
            <w:pPr>
              <w:tabs>
                <w:tab w:val="decimal" w:pos="1025"/>
              </w:tabs>
              <w:spacing w:before="40" w:after="40" w:line="240" w:lineRule="auto"/>
              <w:rPr>
                <w:sz w:val="17"/>
              </w:rPr>
            </w:pPr>
            <w:r>
              <w:rPr>
                <w:sz w:val="17"/>
              </w:rPr>
              <w:t>98,2%</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Использование какого-либо м</w:t>
            </w:r>
            <w:r>
              <w:rPr>
                <w:sz w:val="17"/>
              </w:rPr>
              <w:t>е</w:t>
            </w:r>
            <w:r>
              <w:rPr>
                <w:sz w:val="17"/>
              </w:rPr>
              <w:t>тода контраце</w:t>
            </w:r>
            <w:r>
              <w:rPr>
                <w:sz w:val="17"/>
              </w:rPr>
              <w:t>п</w:t>
            </w:r>
            <w:r>
              <w:rPr>
                <w:sz w:val="17"/>
              </w:rPr>
              <w:t>ции</w:t>
            </w:r>
          </w:p>
        </w:tc>
        <w:tc>
          <w:tcPr>
            <w:tcW w:w="2124" w:type="dxa"/>
            <w:vAlign w:val="bottom"/>
          </w:tcPr>
          <w:p w:rsidR="00000000" w:rsidRDefault="00000000">
            <w:pPr>
              <w:tabs>
                <w:tab w:val="decimal" w:pos="1025"/>
              </w:tabs>
              <w:spacing w:before="40" w:after="40" w:line="240" w:lineRule="auto"/>
              <w:rPr>
                <w:sz w:val="17"/>
              </w:rPr>
            </w:pPr>
            <w:r>
              <w:rPr>
                <w:sz w:val="17"/>
              </w:rPr>
              <w:t>41,2%</w:t>
            </w:r>
          </w:p>
        </w:tc>
        <w:tc>
          <w:tcPr>
            <w:tcW w:w="2127" w:type="dxa"/>
            <w:vAlign w:val="bottom"/>
          </w:tcPr>
          <w:p w:rsidR="00000000" w:rsidRDefault="00000000">
            <w:pPr>
              <w:tabs>
                <w:tab w:val="decimal" w:pos="1025"/>
              </w:tabs>
              <w:spacing w:before="40" w:after="40" w:line="240" w:lineRule="auto"/>
              <w:rPr>
                <w:sz w:val="17"/>
              </w:rPr>
            </w:pPr>
            <w:r>
              <w:rPr>
                <w:sz w:val="17"/>
              </w:rPr>
              <w:t>28,9%</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Доля женщин, состоящих в п</w:t>
            </w:r>
            <w:r>
              <w:rPr>
                <w:sz w:val="17"/>
              </w:rPr>
              <w:t>о</w:t>
            </w:r>
            <w:r>
              <w:rPr>
                <w:sz w:val="17"/>
              </w:rPr>
              <w:t>лигамном браке</w:t>
            </w:r>
          </w:p>
        </w:tc>
        <w:tc>
          <w:tcPr>
            <w:tcW w:w="2124" w:type="dxa"/>
            <w:vAlign w:val="bottom"/>
          </w:tcPr>
          <w:p w:rsidR="00000000" w:rsidRDefault="00000000">
            <w:pPr>
              <w:tabs>
                <w:tab w:val="decimal" w:pos="1025"/>
              </w:tabs>
              <w:spacing w:before="40" w:after="40" w:line="240" w:lineRule="auto"/>
              <w:rPr>
                <w:sz w:val="17"/>
              </w:rPr>
            </w:pPr>
            <w:r>
              <w:rPr>
                <w:sz w:val="17"/>
              </w:rPr>
              <w:t>8,5%</w:t>
            </w:r>
          </w:p>
        </w:tc>
        <w:tc>
          <w:tcPr>
            <w:tcW w:w="2127" w:type="dxa"/>
            <w:vAlign w:val="bottom"/>
          </w:tcPr>
          <w:p w:rsidR="00000000" w:rsidRDefault="00000000">
            <w:pPr>
              <w:tabs>
                <w:tab w:val="decimal" w:pos="1025"/>
              </w:tabs>
              <w:spacing w:before="40" w:after="40" w:line="240" w:lineRule="auto"/>
              <w:rPr>
                <w:sz w:val="17"/>
              </w:rPr>
            </w:pPr>
            <w:r>
              <w:rPr>
                <w:sz w:val="17"/>
              </w:rPr>
              <w:t>18,5%</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Доля женщин, вступающих в первый брак в возрасте от 20 до 49 лет</w:t>
            </w:r>
          </w:p>
        </w:tc>
        <w:tc>
          <w:tcPr>
            <w:tcW w:w="2124" w:type="dxa"/>
            <w:vAlign w:val="bottom"/>
          </w:tcPr>
          <w:p w:rsidR="00000000" w:rsidRDefault="00000000">
            <w:pPr>
              <w:tabs>
                <w:tab w:val="decimal" w:pos="1025"/>
              </w:tabs>
              <w:spacing w:before="40" w:after="40" w:line="240" w:lineRule="auto"/>
              <w:rPr>
                <w:sz w:val="17"/>
              </w:rPr>
            </w:pPr>
            <w:r>
              <w:rPr>
                <w:sz w:val="17"/>
              </w:rPr>
              <w:t>18,7%</w:t>
            </w:r>
          </w:p>
        </w:tc>
        <w:tc>
          <w:tcPr>
            <w:tcW w:w="2127" w:type="dxa"/>
            <w:vAlign w:val="bottom"/>
          </w:tcPr>
          <w:p w:rsidR="00000000" w:rsidRDefault="00000000">
            <w:pPr>
              <w:tabs>
                <w:tab w:val="decimal" w:pos="1025"/>
              </w:tabs>
              <w:spacing w:before="40" w:after="40" w:line="240" w:lineRule="auto"/>
              <w:rPr>
                <w:sz w:val="17"/>
              </w:rPr>
            </w:pPr>
            <w:r>
              <w:rPr>
                <w:sz w:val="17"/>
              </w:rPr>
              <w:t>17,8%</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Невозможность осуществлять планирование с</w:t>
            </w:r>
            <w:r>
              <w:rPr>
                <w:sz w:val="17"/>
              </w:rPr>
              <w:t>е</w:t>
            </w:r>
            <w:r>
              <w:rPr>
                <w:sz w:val="17"/>
              </w:rPr>
              <w:t>мьи</w:t>
            </w:r>
          </w:p>
        </w:tc>
        <w:tc>
          <w:tcPr>
            <w:tcW w:w="2124" w:type="dxa"/>
            <w:vAlign w:val="bottom"/>
          </w:tcPr>
          <w:p w:rsidR="00000000" w:rsidRDefault="00000000">
            <w:pPr>
              <w:tabs>
                <w:tab w:val="decimal" w:pos="1025"/>
              </w:tabs>
              <w:spacing w:before="40" w:after="40" w:line="240" w:lineRule="auto"/>
              <w:rPr>
                <w:sz w:val="17"/>
              </w:rPr>
            </w:pPr>
            <w:r>
              <w:rPr>
                <w:sz w:val="17"/>
              </w:rPr>
              <w:t>13,5%</w:t>
            </w:r>
          </w:p>
        </w:tc>
        <w:tc>
          <w:tcPr>
            <w:tcW w:w="2127" w:type="dxa"/>
            <w:vAlign w:val="bottom"/>
          </w:tcPr>
          <w:p w:rsidR="00000000" w:rsidRDefault="00000000">
            <w:pPr>
              <w:tabs>
                <w:tab w:val="decimal" w:pos="1025"/>
              </w:tabs>
              <w:spacing w:before="40" w:after="40" w:line="240" w:lineRule="auto"/>
              <w:rPr>
                <w:sz w:val="17"/>
              </w:rPr>
            </w:pPr>
            <w:r>
              <w:rPr>
                <w:sz w:val="17"/>
              </w:rPr>
              <w:t>17,8%</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Коэффициент смертности детей в во</w:t>
            </w:r>
            <w:r>
              <w:rPr>
                <w:sz w:val="17"/>
              </w:rPr>
              <w:t>з</w:t>
            </w:r>
            <w:r>
              <w:rPr>
                <w:sz w:val="17"/>
              </w:rPr>
              <w:t>расте до 5 лет</w:t>
            </w:r>
          </w:p>
        </w:tc>
        <w:tc>
          <w:tcPr>
            <w:tcW w:w="2124" w:type="dxa"/>
            <w:vAlign w:val="bottom"/>
          </w:tcPr>
          <w:p w:rsidR="00000000" w:rsidRDefault="00000000">
            <w:pPr>
              <w:tabs>
                <w:tab w:val="decimal" w:pos="1025"/>
              </w:tabs>
              <w:spacing w:before="40" w:after="40" w:line="240" w:lineRule="auto"/>
              <w:rPr>
                <w:sz w:val="17"/>
              </w:rPr>
            </w:pPr>
            <w:r>
              <w:rPr>
                <w:sz w:val="17"/>
              </w:rPr>
              <w:t>147,9</w:t>
            </w:r>
          </w:p>
        </w:tc>
        <w:tc>
          <w:tcPr>
            <w:tcW w:w="2127" w:type="dxa"/>
            <w:vAlign w:val="bottom"/>
          </w:tcPr>
          <w:p w:rsidR="00000000" w:rsidRDefault="00000000">
            <w:pPr>
              <w:tabs>
                <w:tab w:val="decimal" w:pos="1025"/>
              </w:tabs>
              <w:spacing w:before="40" w:after="40" w:line="240" w:lineRule="auto"/>
              <w:rPr>
                <w:sz w:val="17"/>
              </w:rPr>
            </w:pPr>
            <w:r>
              <w:rPr>
                <w:sz w:val="17"/>
              </w:rPr>
              <w:t>210,4</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Доля женщин, получивших при родах помощь врача или медс</w:t>
            </w:r>
            <w:r>
              <w:rPr>
                <w:sz w:val="17"/>
              </w:rPr>
              <w:t>е</w:t>
            </w:r>
            <w:r>
              <w:rPr>
                <w:sz w:val="17"/>
              </w:rPr>
              <w:t>стры, за 5-летний пер</w:t>
            </w:r>
            <w:r>
              <w:rPr>
                <w:sz w:val="17"/>
              </w:rPr>
              <w:t>и</w:t>
            </w:r>
            <w:r>
              <w:rPr>
                <w:sz w:val="17"/>
              </w:rPr>
              <w:t>од</w:t>
            </w:r>
          </w:p>
        </w:tc>
        <w:tc>
          <w:tcPr>
            <w:tcW w:w="2124" w:type="dxa"/>
            <w:vAlign w:val="bottom"/>
          </w:tcPr>
          <w:p w:rsidR="00000000" w:rsidRDefault="00000000">
            <w:pPr>
              <w:tabs>
                <w:tab w:val="decimal" w:pos="1025"/>
              </w:tabs>
              <w:spacing w:before="40" w:after="40" w:line="240" w:lineRule="auto"/>
              <w:rPr>
                <w:sz w:val="17"/>
              </w:rPr>
            </w:pPr>
            <w:r>
              <w:rPr>
                <w:sz w:val="17"/>
              </w:rPr>
              <w:t>81,6%</w:t>
            </w:r>
          </w:p>
        </w:tc>
        <w:tc>
          <w:tcPr>
            <w:tcW w:w="2127" w:type="dxa"/>
            <w:vAlign w:val="bottom"/>
          </w:tcPr>
          <w:p w:rsidR="00000000" w:rsidRDefault="00000000">
            <w:pPr>
              <w:tabs>
                <w:tab w:val="decimal" w:pos="1025"/>
              </w:tabs>
              <w:spacing w:before="40" w:after="40" w:line="240" w:lineRule="auto"/>
              <w:rPr>
                <w:sz w:val="17"/>
              </w:rPr>
            </w:pPr>
            <w:r>
              <w:rPr>
                <w:sz w:val="17"/>
              </w:rPr>
              <w:t>51,9%</w:t>
            </w:r>
          </w:p>
        </w:tc>
      </w:tr>
      <w:tr w:rsidR="00000000">
        <w:tblPrEx>
          <w:tblCellMar>
            <w:top w:w="0" w:type="dxa"/>
            <w:bottom w:w="0" w:type="dxa"/>
          </w:tblCellMar>
        </w:tblPrEx>
        <w:tc>
          <w:tcPr>
            <w:tcW w:w="3120" w:type="dxa"/>
          </w:tcPr>
          <w:p w:rsidR="00000000" w:rsidRDefault="00000000">
            <w:pPr>
              <w:numPr>
                <w:ilvl w:val="0"/>
                <w:numId w:val="2"/>
              </w:numPr>
              <w:tabs>
                <w:tab w:val="clear" w:pos="720"/>
                <w:tab w:val="left" w:pos="284"/>
              </w:tabs>
              <w:spacing w:before="40" w:after="40" w:line="240" w:lineRule="auto"/>
              <w:ind w:left="284" w:hanging="284"/>
              <w:rPr>
                <w:sz w:val="17"/>
              </w:rPr>
            </w:pPr>
            <w:r>
              <w:rPr>
                <w:sz w:val="17"/>
              </w:rPr>
              <w:t>Осведомленность о способах и</w:t>
            </w:r>
            <w:r>
              <w:rPr>
                <w:sz w:val="17"/>
              </w:rPr>
              <w:t>з</w:t>
            </w:r>
            <w:r>
              <w:rPr>
                <w:sz w:val="17"/>
              </w:rPr>
              <w:t>бежать заражения СП</w:t>
            </w:r>
            <w:r>
              <w:rPr>
                <w:sz w:val="17"/>
              </w:rPr>
              <w:t>И</w:t>
            </w:r>
            <w:r>
              <w:rPr>
                <w:sz w:val="17"/>
              </w:rPr>
              <w:t>Дом</w:t>
            </w:r>
          </w:p>
        </w:tc>
        <w:tc>
          <w:tcPr>
            <w:tcW w:w="2124" w:type="dxa"/>
            <w:vAlign w:val="bottom"/>
          </w:tcPr>
          <w:p w:rsidR="00000000" w:rsidRDefault="00000000">
            <w:pPr>
              <w:tabs>
                <w:tab w:val="decimal" w:pos="1025"/>
              </w:tabs>
              <w:spacing w:before="40" w:after="40" w:line="240" w:lineRule="auto"/>
              <w:rPr>
                <w:sz w:val="17"/>
              </w:rPr>
            </w:pPr>
            <w:r>
              <w:rPr>
                <w:sz w:val="17"/>
              </w:rPr>
              <w:t>76,1%</w:t>
            </w:r>
          </w:p>
        </w:tc>
        <w:tc>
          <w:tcPr>
            <w:tcW w:w="2127" w:type="dxa"/>
            <w:vAlign w:val="bottom"/>
          </w:tcPr>
          <w:p w:rsidR="00000000" w:rsidRDefault="00000000">
            <w:pPr>
              <w:tabs>
                <w:tab w:val="decimal" w:pos="1025"/>
              </w:tabs>
              <w:spacing w:before="40" w:after="40" w:line="240" w:lineRule="auto"/>
              <w:rPr>
                <w:sz w:val="17"/>
              </w:rPr>
            </w:pPr>
            <w:r>
              <w:rPr>
                <w:sz w:val="17"/>
              </w:rPr>
              <w:t>65,4%</w:t>
            </w:r>
          </w:p>
        </w:tc>
      </w:tr>
      <w:tr w:rsidR="00000000">
        <w:tblPrEx>
          <w:tblCellMar>
            <w:top w:w="0" w:type="dxa"/>
            <w:bottom w:w="0" w:type="dxa"/>
          </w:tblCellMar>
        </w:tblPrEx>
        <w:tc>
          <w:tcPr>
            <w:tcW w:w="3120" w:type="dxa"/>
            <w:tcBorders>
              <w:bottom w:val="single" w:sz="12" w:space="0" w:color="auto"/>
            </w:tcBorders>
          </w:tcPr>
          <w:p w:rsidR="00000000" w:rsidRDefault="00000000">
            <w:pPr>
              <w:numPr>
                <w:ilvl w:val="0"/>
                <w:numId w:val="2"/>
              </w:numPr>
              <w:tabs>
                <w:tab w:val="clear" w:pos="720"/>
                <w:tab w:val="left" w:pos="284"/>
              </w:tabs>
              <w:spacing w:before="40" w:after="40" w:line="240" w:lineRule="auto"/>
              <w:ind w:left="284" w:hanging="284"/>
              <w:rPr>
                <w:sz w:val="17"/>
              </w:rPr>
            </w:pPr>
            <w:r>
              <w:rPr>
                <w:sz w:val="17"/>
              </w:rPr>
              <w:t>Доля мужчин, имеющих других сексуальных партн</w:t>
            </w:r>
            <w:r>
              <w:rPr>
                <w:sz w:val="17"/>
              </w:rPr>
              <w:t>е</w:t>
            </w:r>
            <w:r>
              <w:rPr>
                <w:sz w:val="17"/>
              </w:rPr>
              <w:t>ров</w:t>
            </w:r>
          </w:p>
        </w:tc>
        <w:tc>
          <w:tcPr>
            <w:tcW w:w="2124" w:type="dxa"/>
            <w:tcBorders>
              <w:bottom w:val="single" w:sz="12" w:space="0" w:color="auto"/>
            </w:tcBorders>
            <w:vAlign w:val="bottom"/>
          </w:tcPr>
          <w:p w:rsidR="00000000" w:rsidRDefault="00000000">
            <w:pPr>
              <w:tabs>
                <w:tab w:val="decimal" w:pos="1025"/>
              </w:tabs>
              <w:spacing w:before="40" w:after="40" w:line="240" w:lineRule="auto"/>
              <w:rPr>
                <w:sz w:val="17"/>
              </w:rPr>
            </w:pPr>
            <w:r>
              <w:rPr>
                <w:sz w:val="17"/>
              </w:rPr>
              <w:t>49,3%</w:t>
            </w:r>
          </w:p>
        </w:tc>
        <w:tc>
          <w:tcPr>
            <w:tcW w:w="2127" w:type="dxa"/>
            <w:tcBorders>
              <w:bottom w:val="single" w:sz="12" w:space="0" w:color="auto"/>
            </w:tcBorders>
            <w:vAlign w:val="bottom"/>
          </w:tcPr>
          <w:p w:rsidR="00000000" w:rsidRDefault="00000000">
            <w:pPr>
              <w:tabs>
                <w:tab w:val="decimal" w:pos="1025"/>
              </w:tabs>
              <w:spacing w:before="40" w:after="40" w:line="240" w:lineRule="auto"/>
              <w:rPr>
                <w:sz w:val="17"/>
              </w:rPr>
            </w:pPr>
            <w:r>
              <w:rPr>
                <w:sz w:val="17"/>
              </w:rPr>
              <w:t>34,8%</w:t>
            </w:r>
          </w:p>
        </w:tc>
      </w:tr>
    </w:tbl>
    <w:p w:rsidR="00000000" w:rsidRDefault="00000000">
      <w:pPr>
        <w:pStyle w:val="H23"/>
        <w:spacing w:before="120"/>
      </w:pPr>
      <w:r>
        <w:t>14.3.3</w:t>
      </w:r>
      <w:r>
        <w:tab/>
        <w:t>Роль сельских женщин и испытываемые ими трудности</w:t>
      </w:r>
    </w:p>
    <w:p w:rsidR="00000000" w:rsidRDefault="00000000">
      <w:pPr>
        <w:pStyle w:val="SingleTxt"/>
      </w:pPr>
      <w:r>
        <w:t>14.3.1.</w:t>
      </w:r>
      <w:r>
        <w:tab/>
        <w:t>Женщины в сельских районах сталкиваются как со специфическими проблемами, так и с проблемами, сходными с проблемами городских женщин, но при этом они в большей степени страдают от лишений, социальной изол</w:t>
      </w:r>
      <w:r>
        <w:t>я</w:t>
      </w:r>
      <w:r>
        <w:t>ции и эксплуатации. Сельские женщины в Малави сталкиваются с тремя во многом специфическими проблемами. Во-первых, это крайне ограниченный доступ к средствам производства, что приводит к низкой производительности труда. В 1998 году 65 процентов сельского населения составляли крестьяне, ведущие преимущественно нетоварное хозяйство, при этом 80 процентов из них составляли женщины. Сельские жители испытывает недостаток недорогих эффективных инструментов, инвентаря и прочих средств сельскохозяйственн</w:t>
      </w:r>
      <w:r>
        <w:t>о</w:t>
      </w:r>
      <w:r>
        <w:t>го производства, таких как удобрения и семена. Их навыки ограничены, и в к</w:t>
      </w:r>
      <w:r>
        <w:t>а</w:t>
      </w:r>
      <w:r>
        <w:t>честве незаменимого орудия в основном используется ручная мотыга. Хотя представители сельских общин утверждают, что фермерские обязанности п</w:t>
      </w:r>
      <w:r>
        <w:t>о</w:t>
      </w:r>
      <w:r>
        <w:t>делены между мужчинами и женщинами, женщины тратят на сельскохозяйс</w:t>
      </w:r>
      <w:r>
        <w:t>т</w:t>
      </w:r>
      <w:r>
        <w:t>венный труд 9 часов в день, тогда как мужчины – 5 часов.</w:t>
      </w:r>
    </w:p>
    <w:p w:rsidR="00000000" w:rsidRDefault="00000000">
      <w:pPr>
        <w:pStyle w:val="SingleTxt"/>
      </w:pPr>
      <w:r>
        <w:t>14.3.2.</w:t>
      </w:r>
      <w:r>
        <w:tab/>
        <w:t>Во-вторых, сельским женщинам приходится проделывать пешком путь в 1-5 км, чтобы принести дров и воды. Только 35 процентов населения имеют доступ к чистой питьевой воде, тогда как 65 процентов используют н</w:t>
      </w:r>
      <w:r>
        <w:t>е</w:t>
      </w:r>
      <w:r>
        <w:t>безопасные источники и некачественную воду.</w:t>
      </w:r>
    </w:p>
    <w:p w:rsidR="00000000" w:rsidRDefault="00000000">
      <w:pPr>
        <w:pStyle w:val="SingleTxt"/>
      </w:pPr>
      <w:r>
        <w:t>14.3.3.</w:t>
      </w:r>
      <w:r>
        <w:tab/>
        <w:t>В-третьих, в отношении сельских женщин применяются вредные традиции и культурные обычаи. В число таких традиций и обычаев входят н</w:t>
      </w:r>
      <w:r>
        <w:t>а</w:t>
      </w:r>
      <w:r>
        <w:t>следование жен и лишение права играть в общине ведущие руководящие роли, например возглавлять деревню. Избиение жен в сельской местности нередко считается исправительной мерой. Опросы представителей общин из низов п</w:t>
      </w:r>
      <w:r>
        <w:t>о</w:t>
      </w:r>
      <w:r>
        <w:t>казали, что практика избиения жен по-прежнему весьма распространена. Же</w:t>
      </w:r>
      <w:r>
        <w:t>н</w:t>
      </w:r>
      <w:r>
        <w:t>щины также сообщали, что решения о количестве детей и перерывах между родами принимаются мужчинами и любое сопротивление со стороны женщины чревато избиениями и расторжением брака. В Обследовании в области народ</w:t>
      </w:r>
      <w:r>
        <w:t>о</w:t>
      </w:r>
      <w:r>
        <w:t>населения и здравоохранения в Малави</w:t>
      </w:r>
      <w:r>
        <w:rPr>
          <w:rStyle w:val="FootnoteReference"/>
          <w:sz w:val="20"/>
        </w:rPr>
        <w:footnoteReference w:id="116"/>
      </w:r>
      <w:r>
        <w:t xml:space="preserve"> за 2000 год говорится, что 38 процентов сельских женщин признают по крайней мере одну причину как достаточную для избиений, в то время как в городах доля таких женщин с</w:t>
      </w:r>
      <w:r>
        <w:t>о</w:t>
      </w:r>
      <w:r>
        <w:t>ставляет 22 процента. Считается, что избиения жены укрепляет брак, и такое мнение даже поощряется на культурном уровне. Уплаченный за женщину в</w:t>
      </w:r>
      <w:r>
        <w:t>ы</w:t>
      </w:r>
      <w:r>
        <w:t>куп нередко служит оправданием побоев, вследствие чего усиливается впеча</w:t>
      </w:r>
      <w:r>
        <w:t>т</w:t>
      </w:r>
      <w:r>
        <w:t>ление, что этот обычай представляет собой одну из форм купли-продажи, пр</w:t>
      </w:r>
      <w:r>
        <w:t>е</w:t>
      </w:r>
      <w:r>
        <w:t>вращающей женщину в собственность. Несмотря на такой подтекст, выкуп о</w:t>
      </w:r>
      <w:r>
        <w:t>с</w:t>
      </w:r>
      <w:r>
        <w:t>тается частью свадебных обрядов, и не принимается никаких мер, чтобы з</w:t>
      </w:r>
      <w:r>
        <w:t>а</w:t>
      </w:r>
      <w:r>
        <w:t>претить его.</w:t>
      </w:r>
    </w:p>
    <w:p w:rsidR="00000000" w:rsidRDefault="00000000">
      <w:pPr>
        <w:pStyle w:val="SingleTxt"/>
      </w:pPr>
      <w:r>
        <w:t>14.3.4.</w:t>
      </w:r>
      <w:r>
        <w:tab/>
        <w:t>Сельские женщины играют важную роль в обеспечении семей и о</w:t>
      </w:r>
      <w:r>
        <w:t>б</w:t>
      </w:r>
      <w:r>
        <w:t>щин средствами к существованию. Сельские женщины выполняют 69 процентов сельскохозяйственных работ, тогда как мужчины – 31 процент, производят 80 процентов продовольствия для домашних хозяйств, тогда как мужчины – 20 процентов, а также производят 90 процентов всех пищевых пр</w:t>
      </w:r>
      <w:r>
        <w:t>о</w:t>
      </w:r>
      <w:r>
        <w:t>дуктов в стране. Они составляют 71 процент временной рабочей силы на ча</w:t>
      </w:r>
      <w:r>
        <w:t>й</w:t>
      </w:r>
      <w:r>
        <w:t>ных и табачных плантациях. В домашнем хозяйстве в обязанности сельских женщин входят приготовление пищи для членов семьи, уборка и стирка, а та</w:t>
      </w:r>
      <w:r>
        <w:t>к</w:t>
      </w:r>
      <w:r>
        <w:t>же обеспечение домашних хозяйств предметами первой необходимости, так</w:t>
      </w:r>
      <w:r>
        <w:t>и</w:t>
      </w:r>
      <w:r>
        <w:t>ми как древесное топливо, вода и продовольствие. С распространением голода и обострением бедности мужчины все чаще берут на себя некоторые из этих обязанностей, но несоразмерно большая их часть по-прежнему ложится на женщин.</w:t>
      </w:r>
    </w:p>
    <w:p w:rsidR="00000000" w:rsidRDefault="00000000">
      <w:pPr>
        <w:pStyle w:val="SingleTxt"/>
      </w:pPr>
      <w:r>
        <w:t>14.3.5.</w:t>
      </w:r>
      <w:r>
        <w:tab/>
        <w:t>С культурной точки зрения в сельских районах большое значение имеет репродуктивная роль женщин, несмотря на весьма ограниченную по</w:t>
      </w:r>
      <w:r>
        <w:t>д</w:t>
      </w:r>
      <w:r>
        <w:t>держку со стороны мужчин. Коэффициент рождаемости для сельских женщин по-прежнему высок и составляет 6,7 на одну женщину, тогда как для городских женщин он составляет 4,5 на одну женщину. Женщины, не получившие фо</w:t>
      </w:r>
      <w:r>
        <w:t>р</w:t>
      </w:r>
      <w:r>
        <w:t>мального образования, а таковых в сельских районах большинство, рожают в среднем 7,3 раза в жизни, тогда как женщины со средним или высшим образ</w:t>
      </w:r>
      <w:r>
        <w:t>о</w:t>
      </w:r>
      <w:r>
        <w:t>ванием, рожают в среднем 3,0 раза</w:t>
      </w:r>
      <w:r>
        <w:rPr>
          <w:rStyle w:val="FootnoteReference"/>
          <w:sz w:val="20"/>
        </w:rPr>
        <w:footnoteReference w:id="117"/>
      </w:r>
      <w:r>
        <w:t>. В сельских районах репродуктивная способность женщин и продолжение рода имеют огромное значение для по</w:t>
      </w:r>
      <w:r>
        <w:t>д</w:t>
      </w:r>
      <w:r>
        <w:t>держания преемственности поколений и социального статуса. Неспособность к деторождению может стать причиной разв</w:t>
      </w:r>
      <w:r>
        <w:t>о</w:t>
      </w:r>
      <w:r>
        <w:t>да.</w:t>
      </w:r>
    </w:p>
    <w:p w:rsidR="00000000" w:rsidRDefault="00000000">
      <w:pPr>
        <w:pStyle w:val="H23"/>
      </w:pPr>
      <w:r>
        <w:t>14.4.</w:t>
      </w:r>
      <w:r>
        <w:tab/>
        <w:t>Дискриминация в сельских районах</w:t>
      </w:r>
    </w:p>
    <w:p w:rsidR="00000000" w:rsidRDefault="00000000">
      <w:pPr>
        <w:pStyle w:val="SingleTxt"/>
      </w:pPr>
      <w:r>
        <w:t>14.4.1.</w:t>
      </w:r>
      <w:r>
        <w:tab/>
        <w:t>В сельских районах традиционно считается, что женщины должны обслуживать мужчин, рожать детей и что они слабее, чем мужчины. В городах женщины могут носить брюки, тогда как в сельской местности брюки недопу</w:t>
      </w:r>
      <w:r>
        <w:t>с</w:t>
      </w:r>
      <w:r>
        <w:t>тимы. Это происходит потому, что многие общины пока не признают новых норм одежды. Хотя многие танцы и церемонии происходят при участии как мужчин, так и женщин, ряд правил и мероприятий считаются исключительно мужской привилегией, и женщина может быть допущена к ним только в том случае, если она сможет продемонстрировать мужские качества характера и з</w:t>
      </w:r>
      <w:r>
        <w:t>а</w:t>
      </w:r>
      <w:r>
        <w:t>воевать уважение и признание мужчин. Например, в племени чева существует сакральный танец предков «ньяу», состоящий из двух частей: мужской и же</w:t>
      </w:r>
      <w:r>
        <w:t>н</w:t>
      </w:r>
      <w:r>
        <w:t>ской. При желании женщины могут исполнять мужские роли, но для этого они проходят специальный обряд посвящения в мужскую часть, тогда как мужчины не проявл</w:t>
      </w:r>
      <w:r>
        <w:t>я</w:t>
      </w:r>
      <w:r>
        <w:t>ют интереса к женской части.</w:t>
      </w:r>
    </w:p>
    <w:p w:rsidR="00000000" w:rsidRDefault="00000000">
      <w:pPr>
        <w:pStyle w:val="SingleTxt"/>
      </w:pPr>
      <w:r>
        <w:t>14.4.2.</w:t>
      </w:r>
      <w:r>
        <w:tab/>
        <w:t>Сельские женщины подвергаются дискриминации по признаку их положения в обществе. К незамужним женщинам относятся с меньшим уваж</w:t>
      </w:r>
      <w:r>
        <w:t>е</w:t>
      </w:r>
      <w:r>
        <w:t>нием, чем к замужним. Разведенных женщин как правило считают неудачн</w:t>
      </w:r>
      <w:r>
        <w:t>и</w:t>
      </w:r>
      <w:r>
        <w:t>цами в семейной жизни, а иногда даже развратными. Это происходит потому, что замужняя женщина приобретает положение в обществе, авторитет и ув</w:t>
      </w:r>
      <w:r>
        <w:t>а</w:t>
      </w:r>
      <w:r>
        <w:t>жение соплеменников. Из-за своей неспособности зачать ребенка бездетные женщины нередко становятся объектом насмешек. В Малави неспособность к деторождению иногда считается основанием если не для развода, то по кра</w:t>
      </w:r>
      <w:r>
        <w:t>й</w:t>
      </w:r>
      <w:r>
        <w:t>ней мере для полигамии. Женщины, живущие в доме мужа, часто лишены н</w:t>
      </w:r>
      <w:r>
        <w:t>е</w:t>
      </w:r>
      <w:r>
        <w:t>которых прав, и предполагается, что они должны быть более вежливы, труд</w:t>
      </w:r>
      <w:r>
        <w:t>о</w:t>
      </w:r>
      <w:r>
        <w:t>любивы и послушны, а также пользоваться меньшим авторитетом, чем «хозя</w:t>
      </w:r>
      <w:r>
        <w:t>е</w:t>
      </w:r>
      <w:r>
        <w:t>ва деревни». Впрочем, так же относятся и к мужчинам, живущим в деревне жены. Если мужчина или женщина, живущие в деревне супруга, отказываются подчиняться соответствующим требованиям, ворчливы или «ведут себя так, словно живут в своей деревне», им может угрожать временное или постоянное изгнание в ро</w:t>
      </w:r>
      <w:r>
        <w:t>д</w:t>
      </w:r>
      <w:r>
        <w:t>ную деревню.</w:t>
      </w:r>
    </w:p>
    <w:p w:rsidR="00000000" w:rsidRDefault="00000000">
      <w:pPr>
        <w:pStyle w:val="SingleTxt"/>
      </w:pPr>
      <w:r>
        <w:t>14.4.3.</w:t>
      </w:r>
      <w:r>
        <w:tab/>
        <w:t>Дискриминации женщин способствуют как обычное право, так и нормы писаного права. Например, закон о завещании и наследстве</w:t>
      </w:r>
      <w:r>
        <w:rPr>
          <w:rStyle w:val="FootnoteReference"/>
          <w:sz w:val="20"/>
        </w:rPr>
        <w:footnoteReference w:id="118"/>
      </w:r>
      <w:r>
        <w:t xml:space="preserve"> гласит, что при отсутствии завещания женщина, состоявшая в патрилокальном браке, после смерти мужа имеет право на три пятых части наследства при его разделе между членами семьи. Однако, если женщина состояла в матрилокальном бр</w:t>
      </w:r>
      <w:r>
        <w:t>а</w:t>
      </w:r>
      <w:r>
        <w:t>ке, при разделе незавещанного имущества между членами семьи она имеет право на половину наследства. Кроме того, если женщина не является гра</w:t>
      </w:r>
      <w:r>
        <w:t>ж</w:t>
      </w:r>
      <w:r>
        <w:t>данкой Малави, по закону она получает по меньшей мере первые 10 тыс. квач наследства.</w:t>
      </w:r>
    </w:p>
    <w:p w:rsidR="00000000" w:rsidRDefault="00000000">
      <w:pPr>
        <w:pStyle w:val="H23"/>
      </w:pPr>
      <w:r>
        <w:t>14.5.</w:t>
      </w:r>
      <w:r>
        <w:tab/>
        <w:t>Разработка и осуществление деятельности в области развития</w:t>
      </w:r>
    </w:p>
    <w:p w:rsidR="00000000" w:rsidRDefault="00000000">
      <w:pPr>
        <w:pStyle w:val="SingleTxt"/>
      </w:pPr>
      <w:r>
        <w:t>14.5.1.</w:t>
      </w:r>
      <w:r>
        <w:tab/>
        <w:t>Правительство, действуя совместно с неправительственными орг</w:t>
      </w:r>
      <w:r>
        <w:t>а</w:t>
      </w:r>
      <w:r>
        <w:t>низациями и международными учреждениями по вопросам развития, все а</w:t>
      </w:r>
      <w:r>
        <w:t>к</w:t>
      </w:r>
      <w:r>
        <w:t>тивнее поддерживает разработку программ развития сельских районов на о</w:t>
      </w:r>
      <w:r>
        <w:t>с</w:t>
      </w:r>
      <w:r>
        <w:t>нове участия населения. При разработке ряда национальных мер, например н</w:t>
      </w:r>
      <w:r>
        <w:t>а</w:t>
      </w:r>
      <w:r>
        <w:t>циональной гендерной политики, земельной политики и молодежной политики, проводились консультации с сельскими женщинами, мужчинами, девочками и мальчиками</w:t>
      </w:r>
      <w:r>
        <w:rPr>
          <w:rStyle w:val="FootnoteReference"/>
          <w:sz w:val="20"/>
        </w:rPr>
        <w:footnoteReference w:id="119"/>
      </w:r>
      <w:r>
        <w:t>.</w:t>
      </w:r>
    </w:p>
    <w:p w:rsidR="00000000" w:rsidRDefault="00000000">
      <w:pPr>
        <w:pStyle w:val="SingleTxt"/>
      </w:pPr>
      <w:r>
        <w:t>14.5.2.</w:t>
      </w:r>
      <w:r>
        <w:tab/>
        <w:t>В ходе консультаций с сельскими женщинами, мужчинами, девочк</w:t>
      </w:r>
      <w:r>
        <w:t>а</w:t>
      </w:r>
      <w:r>
        <w:t>ми и мальчиками выяснилось, что работники по вопросам развития, провод</w:t>
      </w:r>
      <w:r>
        <w:t>я</w:t>
      </w:r>
      <w:r>
        <w:t>щие консультации, нередко общаются с лидерами общин, например с вождями, которые в своем большинстве являются мужчинами. Работники по вопросам развития часто не подозревают о существовании женщин, находящихся в уя</w:t>
      </w:r>
      <w:r>
        <w:t>з</w:t>
      </w:r>
      <w:r>
        <w:t>вимом положении, например вдов, которые по-прежнему не имеют возможн</w:t>
      </w:r>
      <w:r>
        <w:t>о</w:t>
      </w:r>
      <w:r>
        <w:t>сти выразить свое мнение и не могут играть определяющую роль в своем со</w:t>
      </w:r>
      <w:r>
        <w:t>б</w:t>
      </w:r>
      <w:r>
        <w:t>ственном развитии. Однако с 1994 года в сельских районах осуществляется ряд инициатив в области участия сельских женщин в сельском хозяйстве. Более а</w:t>
      </w:r>
      <w:r>
        <w:t>к</w:t>
      </w:r>
      <w:r>
        <w:t>тивные меры принимаются в рамках женской программы по распространению передового опыта и знаний среди сельских женщин, которая осуществляется на основе проекта, финансируемого Программой развития Организации Объ</w:t>
      </w:r>
      <w:r>
        <w:t>е</w:t>
      </w:r>
      <w:r>
        <w:t>диненных Наций. Эта программа помогла расширить доступ женщин к услугам в области обучения и консультативной помощи. В частности, группы женщин стали участвовать в выращивании различных семенных культур, товарных культур, таких как табак «берлей», и в животноводстве, например в разведении птицы и молочного скота. За отчетный период расширилось участие сельских женщин в планировании развития. Так, в частности, были поставлены ко</w:t>
      </w:r>
      <w:r>
        <w:t>н</w:t>
      </w:r>
      <w:r>
        <w:t>кретные задачи в области представленности женщин в комитетах развития, уче</w:t>
      </w:r>
      <w:r>
        <w:t>б</w:t>
      </w:r>
      <w:r>
        <w:t>ных программах и ознакомительных поездках.</w:t>
      </w:r>
    </w:p>
    <w:p w:rsidR="00000000" w:rsidRDefault="00000000">
      <w:pPr>
        <w:pStyle w:val="H23"/>
      </w:pPr>
      <w:r>
        <w:t>14.6.</w:t>
      </w:r>
      <w:r>
        <w:tab/>
        <w:t>Доступ к медицинскому обслуживанию</w:t>
      </w:r>
    </w:p>
    <w:p w:rsidR="00000000" w:rsidRDefault="00000000">
      <w:pPr>
        <w:pStyle w:val="SingleTxt"/>
      </w:pPr>
      <w:r>
        <w:t>14.6.1.</w:t>
      </w:r>
      <w:r>
        <w:tab/>
        <w:t>Женщины по-прежнему не имеют адекватного доступа к медици</w:t>
      </w:r>
      <w:r>
        <w:t>н</w:t>
      </w:r>
      <w:r>
        <w:t>скому обслуживанию. Например, уровень детской смертности в городах с</w:t>
      </w:r>
      <w:r>
        <w:t>о</w:t>
      </w:r>
      <w:r>
        <w:t>ставляет 148 смертей на 1000 детей, а в сельской местности – 210 смертей на 1000 детей. Наиболее серьезной проблемой в области доступа малавийских женщин к медицинскому обслуживанию и учреждениям является проблема транспорта. Им приходится преодолевать значительные расстояния в поисках медицинской помощи. В среднем 41,5 процента сельских женщин, мужчин, д</w:t>
      </w:r>
      <w:r>
        <w:t>е</w:t>
      </w:r>
      <w:r>
        <w:t>вочек и мальчиков тратят один час на дорогу до ближайшего медицинского у</w:t>
      </w:r>
      <w:r>
        <w:t>ч</w:t>
      </w:r>
      <w:r>
        <w:t>реждения, тогда как в городах доля таких жителей составляет 12,2 процента</w:t>
      </w:r>
      <w:r>
        <w:rPr>
          <w:rStyle w:val="FootnoteReference"/>
          <w:sz w:val="20"/>
        </w:rPr>
        <w:footnoteReference w:id="120"/>
      </w:r>
      <w:r>
        <w:t>.</w:t>
      </w:r>
    </w:p>
    <w:p w:rsidR="00000000" w:rsidRDefault="00000000">
      <w:pPr>
        <w:pStyle w:val="SingleTxt"/>
      </w:pPr>
      <w:r>
        <w:t>14.6.2.</w:t>
      </w:r>
      <w:r>
        <w:tab/>
        <w:t>Доля женщин, пользующихся услугами дородового наблюдения, достаточно велика и в среднем по стране составляет 91 процент. Для сельских женщин этот показатель составляет 90,6 процента, а для городских – 97,3 процента. Отличается также и качество услуг дородового наблюдения в сельских и горо</w:t>
      </w:r>
      <w:r>
        <w:t>д</w:t>
      </w:r>
      <w:r>
        <w:t>ских районах</w:t>
      </w:r>
      <w:r>
        <w:rPr>
          <w:rStyle w:val="FootnoteReference"/>
          <w:sz w:val="20"/>
        </w:rPr>
        <w:footnoteReference w:id="121"/>
      </w:r>
      <w:r>
        <w:t>.</w:t>
      </w:r>
    </w:p>
    <w:p w:rsidR="00000000" w:rsidRDefault="00000000">
      <w:pPr>
        <w:pStyle w:val="SingleTxt"/>
      </w:pPr>
      <w:r>
        <w:t>14.6.3.</w:t>
      </w:r>
      <w:r>
        <w:tab/>
        <w:t>Высокий уровень рождаемости в Малави обусловлен незапланир</w:t>
      </w:r>
      <w:r>
        <w:t>о</w:t>
      </w:r>
      <w:r>
        <w:t>ванной беременностью. Незапланированная, несвоевременная и нежелательная беременность среди сельских женщин более распространена, чем среди горо</w:t>
      </w:r>
      <w:r>
        <w:t>д</w:t>
      </w:r>
      <w:r>
        <w:t>ских. В среднем количество желанных детей в сельских и городских районах составляет 5,5 и 3,5 соответственно. В сельских районах потребность в план</w:t>
      </w:r>
      <w:r>
        <w:t>и</w:t>
      </w:r>
      <w:r>
        <w:t>ровании семьи остается неудовлетворенной в 30,5 процента случаев, тогда как для городских женщин этот показатель составляет 19,2 процента.</w:t>
      </w:r>
    </w:p>
    <w:p w:rsidR="00000000" w:rsidRDefault="00000000">
      <w:pPr>
        <w:pStyle w:val="SingleTxt"/>
      </w:pPr>
      <w:r>
        <w:t>14.6.4.</w:t>
      </w:r>
      <w:r>
        <w:tab/>
        <w:t>Количество женщин, использующих различные способы контраце</w:t>
      </w:r>
      <w:r>
        <w:t>п</w:t>
      </w:r>
      <w:r>
        <w:t>ции, возросло на 60 процентов в городских районах и на 38 процентов в сел</w:t>
      </w:r>
      <w:r>
        <w:t>ь</w:t>
      </w:r>
      <w:r>
        <w:t>ских районах. Городские женщины чаще используют различные способы пр</w:t>
      </w:r>
      <w:r>
        <w:t>е</w:t>
      </w:r>
      <w:r>
        <w:t>дупреждения беременности: в городах доля таких женщин составляет 38 процентов, а в сельских районах – 24 процента.</w:t>
      </w:r>
    </w:p>
    <w:p w:rsidR="00000000" w:rsidRDefault="00000000">
      <w:pPr>
        <w:pStyle w:val="SingleTxt"/>
      </w:pPr>
      <w:r>
        <w:t>14.6.5.</w:t>
      </w:r>
      <w:r>
        <w:tab/>
        <w:t>В Малави по-прежнему остро стоит проблема недоедания, которое носит хронический характер и охватывает огромное количество людей. Напр</w:t>
      </w:r>
      <w:r>
        <w:t>и</w:t>
      </w:r>
      <w:r>
        <w:t>мер, мальчики чаще страдают от задержки роста, чем девочки. Так, доля детей, страдающих от задержки роста и несоответствия стандартному отклонению, превышающему три показателя, среди мальчиков составляет 25,8 процента, а среди девочек – 23 процента. В сельских районах доля мальчиков с задержками роста составила 26,1 процента, а в городах – 13,5 процента. 25 процентов и 10 процентов женщин в возрасте от 15 до 49 лет в городских и сельских ра</w:t>
      </w:r>
      <w:r>
        <w:t>й</w:t>
      </w:r>
      <w:r>
        <w:t>онах соответственно страдают ожирением и подвергаются повышенному риску сердечно-сосудистых заболеваний, а также осложнений во время беременн</w:t>
      </w:r>
      <w:r>
        <w:t>о</w:t>
      </w:r>
      <w:r>
        <w:t>сти. Среди сельских женщин доля страдающих от недоедания выше и соста</w:t>
      </w:r>
      <w:r>
        <w:t>в</w:t>
      </w:r>
      <w:r>
        <w:t>ляет 9,4 процента, тогда как в городских районах доля таких женщин составл</w:t>
      </w:r>
      <w:r>
        <w:t>я</w:t>
      </w:r>
      <w:r>
        <w:t>ет 5,5 процента</w:t>
      </w:r>
      <w:r>
        <w:rPr>
          <w:rStyle w:val="FootnoteReference"/>
          <w:sz w:val="20"/>
        </w:rPr>
        <w:footnoteReference w:id="122"/>
      </w:r>
      <w:r>
        <w:t>.</w:t>
      </w:r>
    </w:p>
    <w:p w:rsidR="00000000" w:rsidRDefault="00000000">
      <w:pPr>
        <w:pStyle w:val="SingleTxt"/>
      </w:pPr>
      <w:r>
        <w:t>14.6.6.</w:t>
      </w:r>
      <w:r>
        <w:tab/>
      </w:r>
    </w:p>
    <w:p w:rsidR="00000000" w:rsidRDefault="00000000">
      <w:pPr>
        <w:pStyle w:val="H23"/>
      </w:pPr>
      <w:r>
        <w:t>14.7.</w:t>
      </w:r>
      <w:r>
        <w:tab/>
        <w:t>Блага программ социального обеспечения</w:t>
      </w:r>
    </w:p>
    <w:p w:rsidR="00000000" w:rsidRDefault="00000000">
      <w:pPr>
        <w:pStyle w:val="SingleTxt"/>
      </w:pPr>
      <w:r>
        <w:t>14.7.1.</w:t>
      </w:r>
      <w:r>
        <w:tab/>
        <w:t>Социальное обеспечение в Малави представлено традиционными мерами в области социального обеспечения и рядом специальных программ, которые осуществляются при поддержке правительства и нескольких неправ</w:t>
      </w:r>
      <w:r>
        <w:t>и</w:t>
      </w:r>
      <w:r>
        <w:t>тельственных организаций. В стране не существует официальной всеобщей системы социального обеспечения.</w:t>
      </w:r>
    </w:p>
    <w:p w:rsidR="00000000" w:rsidRDefault="00000000">
      <w:pPr>
        <w:pStyle w:val="SingleTxt"/>
      </w:pPr>
      <w:r>
        <w:t>14.7.2.</w:t>
      </w:r>
      <w:r>
        <w:tab/>
        <w:t>Неправительственные организации, правительство и международные учреждения по вопросам развития периодически осуществляют программы для урегулирования конкретных кризисных ситуаций. В 2001 и 2002 годах Мир</w:t>
      </w:r>
      <w:r>
        <w:t>о</w:t>
      </w:r>
      <w:r>
        <w:t>вая продовольственная программа, Католическая благотворительная служба, Международная организация по перспективам мирового развития и ряд других учреждений оказывали помощь и раздавали еду нуждающемуся населению. Ряд других неправительственных организаций предоставляет дополнительное питание страдающим от недоедания детям, беременным женщинам и корм</w:t>
      </w:r>
      <w:r>
        <w:t>я</w:t>
      </w:r>
      <w:r>
        <w:t>щим матерям. Мировая продовольственная программа и другие организации обеспечивают питание в школах и выдачу пайков девочкам. Эти программы в настоящее время осуществляются на правах эксперимента в рамках нескольких проектов.</w:t>
      </w:r>
    </w:p>
    <w:p w:rsidR="00000000" w:rsidRDefault="00000000">
      <w:pPr>
        <w:pStyle w:val="SingleTxt"/>
      </w:pPr>
      <w:r>
        <w:t>14.7.3.</w:t>
      </w:r>
      <w:r>
        <w:tab/>
        <w:t>В государственных больницах и поликлиниках услуги предоставл</w:t>
      </w:r>
      <w:r>
        <w:t>я</w:t>
      </w:r>
      <w:r>
        <w:t>ются бесплатно, но их явно недостаточно. В 1999 году правительство осущес</w:t>
      </w:r>
      <w:r>
        <w:t>т</w:t>
      </w:r>
      <w:r>
        <w:t>вило программу в области сельского хозяйства, которая получила название «Стартовый набор» и была призвана обеспечить население первичными сре</w:t>
      </w:r>
      <w:r>
        <w:t>д</w:t>
      </w:r>
      <w:r>
        <w:t>ствами производства. В «набор» входили мешок бобовых удобрений и нескол</w:t>
      </w:r>
      <w:r>
        <w:t>ь</w:t>
      </w:r>
      <w:r>
        <w:t>ко мешков семян зерновых, и сельские крестьяне, большинство которых с</w:t>
      </w:r>
      <w:r>
        <w:t>о</w:t>
      </w:r>
      <w:r>
        <w:t>ставляют женщины, были признательны за эту помощь. К следующему посе</w:t>
      </w:r>
      <w:r>
        <w:t>в</w:t>
      </w:r>
      <w:r>
        <w:t>ному сезону всеобъемлющую программу обеспечения стартовым набором з</w:t>
      </w:r>
      <w:r>
        <w:t>а</w:t>
      </w:r>
      <w:r>
        <w:t>менила «Программа адресного обеспечения ресурсами», ориентированная на помощь детям-сиротам и пожилым л</w:t>
      </w:r>
      <w:r>
        <w:t>ю</w:t>
      </w:r>
      <w:r>
        <w:t>дям.</w:t>
      </w:r>
    </w:p>
    <w:p w:rsidR="00000000" w:rsidRDefault="00000000">
      <w:pPr>
        <w:pStyle w:val="SingleTxt"/>
      </w:pPr>
      <w:r>
        <w:t>14.7.4.</w:t>
      </w:r>
      <w:r>
        <w:tab/>
        <w:t>Сельские женщины и мужчины считают, что со времени представл</w:t>
      </w:r>
      <w:r>
        <w:t>е</w:t>
      </w:r>
      <w:r>
        <w:t>ния первого доклада КЛДЖ традиционная система социального обеспечения сильно пострадала вследствие ослабления регулирования, отмены субсидир</w:t>
      </w:r>
      <w:r>
        <w:t>о</w:t>
      </w:r>
      <w:r>
        <w:t>вания, широкого распространения ВИЧ/СПИДа и массовой приватизации о</w:t>
      </w:r>
      <w:r>
        <w:t>с</w:t>
      </w:r>
      <w:r>
        <w:t>новных у</w:t>
      </w:r>
      <w:r>
        <w:t>с</w:t>
      </w:r>
      <w:r>
        <w:t>луг, таких как факторы сельскохозяйственного производства.</w:t>
      </w:r>
    </w:p>
    <w:p w:rsidR="00000000" w:rsidRDefault="00000000">
      <w:pPr>
        <w:pStyle w:val="H23"/>
      </w:pPr>
      <w:r>
        <w:t>14.8.</w:t>
      </w:r>
      <w:r>
        <w:tab/>
        <w:t>Возможности в области профессиональной подготовки</w:t>
      </w:r>
    </w:p>
    <w:p w:rsidR="00000000" w:rsidRDefault="00000000">
      <w:pPr>
        <w:pStyle w:val="SingleTxt"/>
      </w:pPr>
      <w:r>
        <w:t>14.8.1.</w:t>
      </w:r>
      <w:r>
        <w:tab/>
        <w:t>Между сельскими женщинами и девочками с одной стороны и же</w:t>
      </w:r>
      <w:r>
        <w:t>н</w:t>
      </w:r>
      <w:r>
        <w:t>щинами и девочками, проживающими в городах, существует значительное н</w:t>
      </w:r>
      <w:r>
        <w:t>е</w:t>
      </w:r>
      <w:r>
        <w:t>равенство. Например, в сельских районах доля женщин и девочек старше 6 лет, не имеющих никакого образования, составляет 31,1 процента, а в городских районах – 11,7 процента. Чистый коэффициент посещаемости начальных школ для женщин и девочек в городских и сельских районах составляет 87,5 процента и 77,9 процента соо</w:t>
      </w:r>
      <w:r>
        <w:t>т</w:t>
      </w:r>
      <w:r>
        <w:t>ветственно.</w:t>
      </w:r>
    </w:p>
    <w:p w:rsidR="00000000" w:rsidRDefault="00000000">
      <w:pPr>
        <w:pStyle w:val="SingleTxt"/>
      </w:pPr>
      <w:r>
        <w:t>14.8.2.</w:t>
      </w:r>
      <w:r>
        <w:tab/>
        <w:t>Для средних школ этот коэффициент составляет 23,4 процента и 3,7 процента для горо</w:t>
      </w:r>
      <w:r>
        <w:t>д</w:t>
      </w:r>
      <w:r>
        <w:t>ских и сельских женщин и девочек соответственно.</w:t>
      </w:r>
    </w:p>
    <w:p w:rsidR="00000000" w:rsidRDefault="00000000">
      <w:pPr>
        <w:pStyle w:val="SingleTxt"/>
      </w:pPr>
      <w:r>
        <w:t>14.8.3.</w:t>
      </w:r>
      <w:r>
        <w:tab/>
        <w:t>В сельских районах доля девочек и женщин, остающихся на второй год, очень велика и составляет 47,1 процента для первого класса и 43,3 процента для восьмого класса. Соответствующие показатели для горо</w:t>
      </w:r>
      <w:r>
        <w:t>д</w:t>
      </w:r>
      <w:r>
        <w:t>ских девочек и женщин составляют 29,1 процента и 27,2 процента для первого и восьмого классов соответственно. В остальных классах в 2000 году доля сельских девочек и женщин, оставшихся на второй год, превышала соответс</w:t>
      </w:r>
      <w:r>
        <w:t>т</w:t>
      </w:r>
      <w:r>
        <w:t>вующие показатели для городских районов, за исключением седьмого класса, где доля оставшихся на второй год составила 11 процента для сельских девочек и 12,4 процента для девочек в городских ра</w:t>
      </w:r>
      <w:r>
        <w:t>й</w:t>
      </w:r>
      <w:r>
        <w:t>онах.</w:t>
      </w:r>
    </w:p>
    <w:p w:rsidR="00000000" w:rsidRDefault="00000000">
      <w:pPr>
        <w:pStyle w:val="SingleTxt"/>
      </w:pPr>
      <w:r>
        <w:t>14.8.4.</w:t>
      </w:r>
      <w:r>
        <w:tab/>
        <w:t>Что касается отсева из школ, процент девочек, оставляющих школу, в сельской местности выше во всех классах. Доля девочек, бросающих учебу, наиболее велика в последнем классе начальной школы и составляет 14,1 процента, тогда как для городских девочек и женщин этот показатель с</w:t>
      </w:r>
      <w:r>
        <w:t>о</w:t>
      </w:r>
      <w:r>
        <w:t>ставляет 9,9 процента. К восьмому классу большинство девочек в сельской м</w:t>
      </w:r>
      <w:r>
        <w:t>е</w:t>
      </w:r>
      <w:r>
        <w:t>стности вын</w:t>
      </w:r>
      <w:r>
        <w:t>у</w:t>
      </w:r>
      <w:r>
        <w:t>ждены вступать в брак.</w:t>
      </w:r>
    </w:p>
    <w:p w:rsidR="00000000" w:rsidRDefault="00000000">
      <w:pPr>
        <w:pStyle w:val="SingleTxt"/>
      </w:pPr>
      <w:r>
        <w:t>В результате, самый высокий уровень неграмотности наблюдается среди сел</w:t>
      </w:r>
      <w:r>
        <w:t>ь</w:t>
      </w:r>
      <w:r>
        <w:t>ских женщин. В 1998 году 92,96 процента из 2 072 805 неграмотных женщин в возрасте 5 лет и старше составляли сельские женщины. В Малави возможности в области образования зависят от места проживания. Среди населения в во</w:t>
      </w:r>
      <w:r>
        <w:t>з</w:t>
      </w:r>
      <w:r>
        <w:t>расте 15-49 лет 48,3 процента сельских жителей не умеют читать, тогда как в городских районах этот показатель составляет 17,5 процента. Ниже предста</w:t>
      </w:r>
      <w:r>
        <w:t>в</w:t>
      </w:r>
      <w:r>
        <w:t>лены данные о процентном отношении женщин, не умеющих читать, с разби</w:t>
      </w:r>
      <w:r>
        <w:t>в</w:t>
      </w:r>
      <w:r>
        <w:t>кой по возрастным группам в целом по стране:</w:t>
      </w:r>
    </w:p>
    <w:tbl>
      <w:tblPr>
        <w:tblW w:w="0" w:type="auto"/>
        <w:tblInd w:w="1278" w:type="dxa"/>
        <w:tblLayout w:type="fixed"/>
        <w:tblLook w:val="00BF" w:firstRow="1" w:lastRow="0" w:firstColumn="1" w:lastColumn="0" w:noHBand="0" w:noVBand="0"/>
      </w:tblPr>
      <w:tblGrid>
        <w:gridCol w:w="2206"/>
        <w:gridCol w:w="2757"/>
      </w:tblGrid>
      <w:tr w:rsidR="00000000">
        <w:tblPrEx>
          <w:tblCellMar>
            <w:top w:w="0" w:type="dxa"/>
            <w:bottom w:w="0" w:type="dxa"/>
          </w:tblCellMar>
        </w:tblPrEx>
        <w:tc>
          <w:tcPr>
            <w:tcW w:w="2206" w:type="dxa"/>
          </w:tcPr>
          <w:p w:rsidR="00000000" w:rsidRDefault="00000000">
            <w:pPr>
              <w:pStyle w:val="SingleTxt"/>
              <w:ind w:left="0"/>
            </w:pPr>
            <w:r>
              <w:t>Возраст</w:t>
            </w:r>
          </w:p>
        </w:tc>
        <w:tc>
          <w:tcPr>
            <w:tcW w:w="2757" w:type="dxa"/>
          </w:tcPr>
          <w:p w:rsidR="00000000" w:rsidRDefault="00000000">
            <w:pPr>
              <w:pStyle w:val="SingleTxt"/>
              <w:ind w:left="0"/>
            </w:pPr>
            <w:r>
              <w:t>Процентное отношение</w:t>
            </w:r>
          </w:p>
        </w:tc>
      </w:tr>
      <w:tr w:rsidR="00000000">
        <w:tblPrEx>
          <w:tblCellMar>
            <w:top w:w="0" w:type="dxa"/>
            <w:bottom w:w="0" w:type="dxa"/>
          </w:tblCellMar>
        </w:tblPrEx>
        <w:tc>
          <w:tcPr>
            <w:tcW w:w="2206" w:type="dxa"/>
          </w:tcPr>
          <w:p w:rsidR="00000000" w:rsidRDefault="00000000">
            <w:pPr>
              <w:pStyle w:val="SingleTxt"/>
              <w:ind w:left="0"/>
            </w:pPr>
            <w:r>
              <w:t>15–19</w:t>
            </w:r>
          </w:p>
        </w:tc>
        <w:tc>
          <w:tcPr>
            <w:tcW w:w="2757" w:type="dxa"/>
          </w:tcPr>
          <w:p w:rsidR="00000000" w:rsidRDefault="00000000">
            <w:pPr>
              <w:pStyle w:val="SingleTxt"/>
              <w:ind w:left="0"/>
            </w:pPr>
            <w:r>
              <w:t>24,2</w:t>
            </w:r>
          </w:p>
        </w:tc>
      </w:tr>
      <w:tr w:rsidR="00000000">
        <w:tblPrEx>
          <w:tblCellMar>
            <w:top w:w="0" w:type="dxa"/>
            <w:bottom w:w="0" w:type="dxa"/>
          </w:tblCellMar>
        </w:tblPrEx>
        <w:tc>
          <w:tcPr>
            <w:tcW w:w="2206" w:type="dxa"/>
          </w:tcPr>
          <w:p w:rsidR="00000000" w:rsidRDefault="00000000">
            <w:pPr>
              <w:pStyle w:val="SingleTxt"/>
              <w:ind w:left="0"/>
            </w:pPr>
            <w:r>
              <w:t>20–24</w:t>
            </w:r>
          </w:p>
        </w:tc>
        <w:tc>
          <w:tcPr>
            <w:tcW w:w="2757" w:type="dxa"/>
          </w:tcPr>
          <w:p w:rsidR="00000000" w:rsidRDefault="00000000">
            <w:pPr>
              <w:pStyle w:val="SingleTxt"/>
              <w:ind w:left="0"/>
            </w:pPr>
            <w:r>
              <w:t>36,5</w:t>
            </w:r>
          </w:p>
        </w:tc>
      </w:tr>
      <w:tr w:rsidR="00000000">
        <w:tblPrEx>
          <w:tblCellMar>
            <w:top w:w="0" w:type="dxa"/>
            <w:bottom w:w="0" w:type="dxa"/>
          </w:tblCellMar>
        </w:tblPrEx>
        <w:tc>
          <w:tcPr>
            <w:tcW w:w="2206" w:type="dxa"/>
          </w:tcPr>
          <w:p w:rsidR="00000000" w:rsidRDefault="00000000">
            <w:pPr>
              <w:pStyle w:val="SingleTxt"/>
              <w:ind w:left="0"/>
            </w:pPr>
            <w:r>
              <w:t>25–29</w:t>
            </w:r>
          </w:p>
        </w:tc>
        <w:tc>
          <w:tcPr>
            <w:tcW w:w="2757" w:type="dxa"/>
          </w:tcPr>
          <w:p w:rsidR="00000000" w:rsidRDefault="00000000">
            <w:pPr>
              <w:pStyle w:val="SingleTxt"/>
              <w:ind w:left="0"/>
            </w:pPr>
            <w:r>
              <w:t>46,4</w:t>
            </w:r>
          </w:p>
        </w:tc>
      </w:tr>
      <w:tr w:rsidR="00000000">
        <w:tblPrEx>
          <w:tblCellMar>
            <w:top w:w="0" w:type="dxa"/>
            <w:bottom w:w="0" w:type="dxa"/>
          </w:tblCellMar>
        </w:tblPrEx>
        <w:tc>
          <w:tcPr>
            <w:tcW w:w="2206" w:type="dxa"/>
          </w:tcPr>
          <w:p w:rsidR="00000000" w:rsidRDefault="00000000">
            <w:pPr>
              <w:pStyle w:val="SingleTxt"/>
              <w:ind w:left="0"/>
            </w:pPr>
            <w:r>
              <w:t>30–34</w:t>
            </w:r>
          </w:p>
        </w:tc>
        <w:tc>
          <w:tcPr>
            <w:tcW w:w="2757" w:type="dxa"/>
          </w:tcPr>
          <w:p w:rsidR="00000000" w:rsidRDefault="00000000">
            <w:pPr>
              <w:pStyle w:val="SingleTxt"/>
              <w:ind w:left="0"/>
            </w:pPr>
            <w:r>
              <w:t>49,4</w:t>
            </w:r>
          </w:p>
        </w:tc>
      </w:tr>
      <w:tr w:rsidR="00000000">
        <w:tblPrEx>
          <w:tblCellMar>
            <w:top w:w="0" w:type="dxa"/>
            <w:bottom w:w="0" w:type="dxa"/>
          </w:tblCellMar>
        </w:tblPrEx>
        <w:tc>
          <w:tcPr>
            <w:tcW w:w="2206" w:type="dxa"/>
          </w:tcPr>
          <w:p w:rsidR="00000000" w:rsidRDefault="00000000">
            <w:pPr>
              <w:pStyle w:val="SingleTxt"/>
              <w:ind w:left="0"/>
            </w:pPr>
            <w:r>
              <w:t>35–39</w:t>
            </w:r>
          </w:p>
        </w:tc>
        <w:tc>
          <w:tcPr>
            <w:tcW w:w="2757" w:type="dxa"/>
          </w:tcPr>
          <w:p w:rsidR="00000000" w:rsidRDefault="00000000">
            <w:pPr>
              <w:pStyle w:val="SingleTxt"/>
              <w:ind w:left="0"/>
            </w:pPr>
            <w:r>
              <w:t>53,1</w:t>
            </w:r>
          </w:p>
        </w:tc>
      </w:tr>
      <w:tr w:rsidR="00000000">
        <w:tblPrEx>
          <w:tblCellMar>
            <w:top w:w="0" w:type="dxa"/>
            <w:bottom w:w="0" w:type="dxa"/>
          </w:tblCellMar>
        </w:tblPrEx>
        <w:tc>
          <w:tcPr>
            <w:tcW w:w="2206" w:type="dxa"/>
          </w:tcPr>
          <w:p w:rsidR="00000000" w:rsidRDefault="00000000">
            <w:pPr>
              <w:pStyle w:val="SingleTxt"/>
              <w:ind w:left="0"/>
            </w:pPr>
            <w:r>
              <w:t>40–44</w:t>
            </w:r>
          </w:p>
        </w:tc>
        <w:tc>
          <w:tcPr>
            <w:tcW w:w="2757" w:type="dxa"/>
          </w:tcPr>
          <w:p w:rsidR="00000000" w:rsidRDefault="00000000">
            <w:pPr>
              <w:pStyle w:val="SingleTxt"/>
              <w:ind w:left="0"/>
            </w:pPr>
            <w:r>
              <w:t>63,3</w:t>
            </w:r>
          </w:p>
        </w:tc>
      </w:tr>
      <w:tr w:rsidR="00000000">
        <w:tblPrEx>
          <w:tblCellMar>
            <w:top w:w="0" w:type="dxa"/>
            <w:bottom w:w="0" w:type="dxa"/>
          </w:tblCellMar>
        </w:tblPrEx>
        <w:tc>
          <w:tcPr>
            <w:tcW w:w="2206" w:type="dxa"/>
          </w:tcPr>
          <w:p w:rsidR="00000000" w:rsidRDefault="00000000">
            <w:pPr>
              <w:pStyle w:val="SingleTxt"/>
              <w:ind w:left="0"/>
            </w:pPr>
            <w:r>
              <w:t>45–49</w:t>
            </w:r>
          </w:p>
        </w:tc>
        <w:tc>
          <w:tcPr>
            <w:tcW w:w="2757" w:type="dxa"/>
          </w:tcPr>
          <w:p w:rsidR="00000000" w:rsidRDefault="00000000">
            <w:pPr>
              <w:pStyle w:val="SingleTxt"/>
              <w:ind w:left="0"/>
            </w:pPr>
            <w:r>
              <w:t>68,1</w:t>
            </w:r>
          </w:p>
        </w:tc>
      </w:tr>
    </w:tbl>
    <w:p w:rsidR="00000000" w:rsidRDefault="00000000">
      <w:pPr>
        <w:pStyle w:val="SingleTxt"/>
      </w:pPr>
      <w:r>
        <w:t>14.8.5.</w:t>
      </w:r>
      <w:r>
        <w:tab/>
        <w:t>Таким образом, чем старше люди, тем больше среди них неграмо</w:t>
      </w:r>
      <w:r>
        <w:t>т</w:t>
      </w:r>
      <w:r>
        <w:t>ных, что свидетельствует о необходимости повышения грамотности взрослого населения.</w:t>
      </w:r>
    </w:p>
    <w:p w:rsidR="00000000" w:rsidRDefault="00000000">
      <w:pPr>
        <w:pStyle w:val="SingleTxt"/>
      </w:pPr>
      <w:r>
        <w:t>14.8.6.</w:t>
      </w:r>
      <w:r>
        <w:tab/>
        <w:t>Однако, со времени представления первого доклада по стране объ</w:t>
      </w:r>
      <w:r>
        <w:t>е</w:t>
      </w:r>
      <w:r>
        <w:t>мы обучения взрослого населения сократились. Потребность в образовании для взрослых по-прежнему велика, но вследствие недостатка ресурсов во</w:t>
      </w:r>
      <w:r>
        <w:t>з</w:t>
      </w:r>
      <w:r>
        <w:t>можности его получения ограничены. Через министерство по делам женщин и общественных служб правительство пытается возродить эту программу с и</w:t>
      </w:r>
      <w:r>
        <w:t>с</w:t>
      </w:r>
      <w:r>
        <w:t>пользованием имеющихся ограниченных р</w:t>
      </w:r>
      <w:r>
        <w:t>е</w:t>
      </w:r>
      <w:r>
        <w:t>сурсов.</w:t>
      </w:r>
    </w:p>
    <w:p w:rsidR="00000000" w:rsidRDefault="00000000">
      <w:pPr>
        <w:pStyle w:val="SingleTxt"/>
      </w:pPr>
      <w:r>
        <w:t>14.8.7.</w:t>
      </w:r>
      <w:r>
        <w:tab/>
        <w:t>Министерства, в обязанности которых входит работа на уровне о</w:t>
      </w:r>
      <w:r>
        <w:t>б</w:t>
      </w:r>
      <w:r>
        <w:t>щин, обеспечивают предоставление услуг, необходимых для развития поте</w:t>
      </w:r>
      <w:r>
        <w:t>н</w:t>
      </w:r>
      <w:r>
        <w:t>циала сельских мужчин и женщин. Министерство сельского хозяйства орган</w:t>
      </w:r>
      <w:r>
        <w:t>и</w:t>
      </w:r>
      <w:r>
        <w:t>зовало сеть работающих на местах специалистов, в обязанности которых вх</w:t>
      </w:r>
      <w:r>
        <w:t>о</w:t>
      </w:r>
      <w:r>
        <w:t>дит оказание консультационной помощи мелким земельным собственникам. Специалисты по наблюдению за состоянием здоровья из министерства здрав</w:t>
      </w:r>
      <w:r>
        <w:t>о</w:t>
      </w:r>
      <w:r>
        <w:t>охранения и по вопросам народонаселения обеспечивают консультативную п</w:t>
      </w:r>
      <w:r>
        <w:t>о</w:t>
      </w:r>
      <w:r>
        <w:t>мощь в области охраны здоровья и санитарии. В рамках департамента лесного хозяйства также есть сотрудники, которые работают на уровне общин, оказ</w:t>
      </w:r>
      <w:r>
        <w:t>ы</w:t>
      </w:r>
      <w:r>
        <w:t>вая информационную помощь в области ведения лесного хозяйства. В мин</w:t>
      </w:r>
      <w:r>
        <w:t>и</w:t>
      </w:r>
      <w:r>
        <w:t>стерстве по делам женщин и общественных служб существуют специалисты по развитию общин, которые работают в качестве организаторов и активистов м</w:t>
      </w:r>
      <w:r>
        <w:t>е</w:t>
      </w:r>
      <w:r>
        <w:t>роприятий по развитию на уровне общин.</w:t>
      </w:r>
    </w:p>
    <w:p w:rsidR="00000000" w:rsidRDefault="00000000">
      <w:pPr>
        <w:pStyle w:val="SingleTxt"/>
      </w:pPr>
      <w:r>
        <w:t>14.8.8.</w:t>
      </w:r>
      <w:r>
        <w:tab/>
        <w:t>Несмотря на нехватку экономических ресурсов, самоотверженность и усилия правительственных общинных работников получили высокую оценку в ряде посещенных общин.</w:t>
      </w:r>
    </w:p>
    <w:p w:rsidR="00000000" w:rsidRDefault="00000000">
      <w:pPr>
        <w:pStyle w:val="SingleTxt"/>
      </w:pPr>
      <w:r>
        <w:t>14.8.9.</w:t>
      </w:r>
      <w:r>
        <w:tab/>
        <w:t>Работа неправительственных организаций в области професси</w:t>
      </w:r>
      <w:r>
        <w:t>о</w:t>
      </w:r>
      <w:r>
        <w:t>нальной подготовки заво</w:t>
      </w:r>
      <w:r>
        <w:t>е</w:t>
      </w:r>
      <w:r>
        <w:t>вывает внимание и признание среди членов общин.</w:t>
      </w:r>
    </w:p>
    <w:p w:rsidR="00000000" w:rsidRDefault="00000000">
      <w:pPr>
        <w:pStyle w:val="SingleTxt"/>
        <w:rPr>
          <w:i/>
        </w:rPr>
      </w:pPr>
      <w:r>
        <w:rPr>
          <w:i/>
        </w:rPr>
        <w:t>Доступ к занятости на основе самопомощи и кооперативов</w:t>
      </w:r>
    </w:p>
    <w:p w:rsidR="00000000" w:rsidRDefault="00000000">
      <w:pPr>
        <w:pStyle w:val="SingleTxt"/>
      </w:pPr>
      <w:r>
        <w:t>14.8.10.</w:t>
      </w:r>
      <w:r>
        <w:tab/>
        <w:t>В 1994 году в дополнение к Конституции в стране был принят новый закон о кооперативах. В Конституции закреплено право на ведение экономич</w:t>
      </w:r>
      <w:r>
        <w:t>е</w:t>
      </w:r>
      <w:r>
        <w:t>ской деятельности. Концептуальной основой кооперативов призван быть закон о коопер</w:t>
      </w:r>
      <w:r>
        <w:t>а</w:t>
      </w:r>
      <w:r>
        <w:t>тивных обществах</w:t>
      </w:r>
      <w:r>
        <w:rPr>
          <w:rStyle w:val="FootnoteReference"/>
          <w:sz w:val="20"/>
        </w:rPr>
        <w:footnoteReference w:id="123"/>
      </w:r>
      <w:r>
        <w:t>.</w:t>
      </w:r>
    </w:p>
    <w:p w:rsidR="00000000" w:rsidRDefault="00000000">
      <w:pPr>
        <w:pStyle w:val="SingleTxt"/>
      </w:pPr>
      <w:r>
        <w:t>14.8.11.</w:t>
      </w:r>
      <w:r>
        <w:tab/>
        <w:t>До 1994 года проекты самопомощи в сельских районах осуществл</w:t>
      </w:r>
      <w:r>
        <w:t>я</w:t>
      </w:r>
      <w:r>
        <w:t>лись под руководством правительства. Участие в проектах нередко было обяз</w:t>
      </w:r>
      <w:r>
        <w:t>а</w:t>
      </w:r>
      <w:r>
        <w:t>тельным, что вызывало недовольство. После перехода к многопартийной си</w:t>
      </w:r>
      <w:r>
        <w:t>с</w:t>
      </w:r>
      <w:r>
        <w:t>теме правления и культуре свобод человека проекты самопомощи были в той или иной степени заморожены. Одними из последствий таких изменений стали разрушение инфраструктуры в сельских общинах и растущая зависимость от правительства.</w:t>
      </w:r>
    </w:p>
    <w:p w:rsidR="00000000" w:rsidRDefault="00000000">
      <w:pPr>
        <w:pStyle w:val="SingleTxt"/>
      </w:pPr>
      <w:r>
        <w:t>14.8.12.</w:t>
      </w:r>
      <w:r>
        <w:tab/>
        <w:t>Чтобы активизировать участие сельских районов в процессе разв</w:t>
      </w:r>
      <w:r>
        <w:t>и</w:t>
      </w:r>
      <w:r>
        <w:t>тия, правительство учредило в рамках программы по борьбе с бедностью ин</w:t>
      </w:r>
      <w:r>
        <w:t>и</w:t>
      </w:r>
      <w:r>
        <w:t>циативу Малавийского фонда социальной поддержки (МФСП), которая пре</w:t>
      </w:r>
      <w:r>
        <w:t>д</w:t>
      </w:r>
      <w:r>
        <w:t>полагает финансирование общинных проектов из средств Всемирного банка. Общины оказывают помощь в натуральной форме и привлекая население к тем или иным мероприятиям, например к изготовлению кирпичей для различных строительных работ, например для строительства школ.</w:t>
      </w:r>
    </w:p>
    <w:p w:rsidR="00000000" w:rsidRDefault="00000000">
      <w:pPr>
        <w:pStyle w:val="SingleTxt"/>
      </w:pPr>
      <w:r>
        <w:t>14.8.13.</w:t>
      </w:r>
      <w:r>
        <w:tab/>
        <w:t>Хотя закон о кооперативах и был принят, в общинах о нем практич</w:t>
      </w:r>
      <w:r>
        <w:t>е</w:t>
      </w:r>
      <w:r>
        <w:t>ски ничего не знают. Тем не менее, весьма успешно ведется работа по по</w:t>
      </w:r>
      <w:r>
        <w:t>д</w:t>
      </w:r>
      <w:r>
        <w:t>держке и поощрению создания членами общин кооперативов в сельской мес</w:t>
      </w:r>
      <w:r>
        <w:t>т</w:t>
      </w:r>
      <w:r>
        <w:t>ности. Примером может послужить организация кооперативов крестьян, разв</w:t>
      </w:r>
      <w:r>
        <w:t>о</w:t>
      </w:r>
      <w:r>
        <w:t>дящих молочный скот, кур, выращивающих чилийский перец или кормовые культуры.</w:t>
      </w:r>
    </w:p>
    <w:p w:rsidR="00000000" w:rsidRDefault="00000000">
      <w:pPr>
        <w:pStyle w:val="H23"/>
      </w:pPr>
      <w:r>
        <w:t>14.9.</w:t>
      </w:r>
      <w:r>
        <w:tab/>
        <w:t>Участие в коллективной деятельности</w:t>
      </w:r>
    </w:p>
    <w:p w:rsidR="00000000" w:rsidRDefault="00000000">
      <w:pPr>
        <w:pStyle w:val="SingleTxt"/>
      </w:pPr>
      <w:r>
        <w:t>14.9.1.</w:t>
      </w:r>
      <w:r>
        <w:tab/>
        <w:t>Участие в коллективной деятельности принимают как женщины, так и мужчины, однако нередко приходится наблюдать существование традицио</w:t>
      </w:r>
      <w:r>
        <w:t>н</w:t>
      </w:r>
      <w:r>
        <w:t>но женских или традиционно мужских ролей. В деятельности, связанной с ра</w:t>
      </w:r>
      <w:r>
        <w:t>з</w:t>
      </w:r>
      <w:r>
        <w:t>витием, например в изготовлении кирпичей, строительстве дорог и школ, уч</w:t>
      </w:r>
      <w:r>
        <w:t>а</w:t>
      </w:r>
      <w:r>
        <w:t>ствуют и мужчины, и женщины.</w:t>
      </w:r>
    </w:p>
    <w:p w:rsidR="00000000" w:rsidRDefault="00000000">
      <w:pPr>
        <w:pStyle w:val="SingleTxt"/>
      </w:pPr>
      <w:r>
        <w:t>14.9.2.</w:t>
      </w:r>
      <w:r>
        <w:tab/>
        <w:t>Министерство по делам женщин и общественных служб учредило ряд инициатив, основанных на участии общин и направленных на улучшение положения сельских женщин. Эти инициативы включают, среди прочего, со</w:t>
      </w:r>
      <w:r>
        <w:t>з</w:t>
      </w:r>
      <w:r>
        <w:t>дание групп по расширению экономических прав и возможностей, классов по обучению взрослых, комитетов помощи сиротам, комитетов по развитию детей в раннем возрасте, а также комитетов общественных мер по борьбе с насилием по признаку пола. За последние годы участие женщин в таких инициативах расширилось, в основном благодаря тому, что была поставлена задача обесп</w:t>
      </w:r>
      <w:r>
        <w:t>е</w:t>
      </w:r>
      <w:r>
        <w:t>чить их 30-процентную представленность. Так, в состав групп по расширению экономических прав и возможностей должны входить 70 процентов женщин и 30 процентов мужчин.</w:t>
      </w:r>
    </w:p>
    <w:p w:rsidR="00000000" w:rsidRDefault="00000000">
      <w:pPr>
        <w:pStyle w:val="SingleTxt"/>
      </w:pPr>
      <w:r>
        <w:t>14.9.3.</w:t>
      </w:r>
      <w:r>
        <w:tab/>
        <w:t>Кроме того, общины самостоятельно организовывают и проводят культурные мероприятия, поощряя жителей к участию в заранее спланирова</w:t>
      </w:r>
      <w:r>
        <w:t>н</w:t>
      </w:r>
      <w:r>
        <w:t>ной деятельности. К таким мероприятиям относятся свадьбы, похороны и та</w:t>
      </w:r>
      <w:r>
        <w:t>н</w:t>
      </w:r>
      <w:r>
        <w:t>цы. В связи с необходимостью решать неотложные проблемы, связанные со СПИДом, ряд общин организовали программы ухода на дому и общинные к</w:t>
      </w:r>
      <w:r>
        <w:t>о</w:t>
      </w:r>
      <w:r>
        <w:t>митеты помощи сиротам. Правительство и ряд неправительственных организ</w:t>
      </w:r>
      <w:r>
        <w:t>а</w:t>
      </w:r>
      <w:r>
        <w:t>ций оказывают техническую помощь при создании центров ухода на дому и развития детей в раннем возрасте. Правительством были разработана политика в области развития детей в раннем возрасте, а стратегия в области помощи с</w:t>
      </w:r>
      <w:r>
        <w:t>и</w:t>
      </w:r>
      <w:r>
        <w:t>ротам и другим детям, находящимся в уязвимом положении, содержит руков</w:t>
      </w:r>
      <w:r>
        <w:t>о</w:t>
      </w:r>
      <w:r>
        <w:t>дящие указания для заинтересованных сторон, принимающих участие в этих инициативах. Также проводятся такие мероприятия, как создание обществе</w:t>
      </w:r>
      <w:r>
        <w:t>н</w:t>
      </w:r>
      <w:r>
        <w:t>ных садов и предоставление рабочей силы в обмен на преподавание и прочие необходимые услуги. Преимущества такой деятельности, направленной на м</w:t>
      </w:r>
      <w:r>
        <w:t>о</w:t>
      </w:r>
      <w:r>
        <w:t>билизацию людских и финансовых ресурсов на проекты помощи сиротам и ухода на дому, используют многие неправительственные организации. Ряд о</w:t>
      </w:r>
      <w:r>
        <w:t>р</w:t>
      </w:r>
      <w:r>
        <w:t>ганизаций, например «Фонд свободы», который возглавляет первая леди Мал</w:t>
      </w:r>
      <w:r>
        <w:t>а</w:t>
      </w:r>
      <w:r>
        <w:t>ви г-жа Мулузи, оказывают помощь в сборе средств в пользу сирот и пожилых людей.</w:t>
      </w:r>
    </w:p>
    <w:p w:rsidR="00000000" w:rsidRDefault="00000000">
      <w:pPr>
        <w:pStyle w:val="SingleTxt"/>
      </w:pPr>
      <w:r>
        <w:t>14.9.4.</w:t>
      </w:r>
      <w:r>
        <w:tab/>
        <w:t>Деятельность на уровне общин, где большинство женщин выполн</w:t>
      </w:r>
      <w:r>
        <w:t>я</w:t>
      </w:r>
      <w:r>
        <w:t>ют традиционно женские обязанности, отражает изменяющуюся ролевую структуру. Когда такая работа приносит доход, ее начинают выполнять и му</w:t>
      </w:r>
      <w:r>
        <w:t>ж</w:t>
      </w:r>
      <w:r>
        <w:t>чины, признающие, что традиционные представления о роли мужчин и же</w:t>
      </w:r>
      <w:r>
        <w:t>н</w:t>
      </w:r>
      <w:r>
        <w:t>щин меняются. В условиях крайней бедности и ограниченных возможностей все больше мужчин готовы брать на себя традиционно женские роли, если это приносит доход.</w:t>
      </w:r>
    </w:p>
    <w:p w:rsidR="00000000" w:rsidRDefault="00000000">
      <w:pPr>
        <w:pStyle w:val="H23"/>
        <w:ind w:left="1418" w:hanging="624"/>
      </w:pPr>
      <w:r>
        <w:t>14.10.</w:t>
      </w:r>
      <w:r>
        <w:tab/>
        <w:t>Доступ к сельскохозяйственным кредитам, рынку, соответствующей технологии и справе</w:t>
      </w:r>
      <w:r>
        <w:t>д</w:t>
      </w:r>
      <w:r>
        <w:t>ливые аграрные реформы</w:t>
      </w:r>
    </w:p>
    <w:p w:rsidR="00000000" w:rsidRDefault="00000000">
      <w:pPr>
        <w:pStyle w:val="SingleTxt"/>
      </w:pPr>
      <w:r>
        <w:t>14.10.1.</w:t>
      </w:r>
      <w:r>
        <w:tab/>
        <w:t>Доступ женщин к земле нередко обеспечивает глава семьи. Таким главой семьи практически всегда является мужчина. В патрилинейных общес</w:t>
      </w:r>
      <w:r>
        <w:t>т</w:t>
      </w:r>
      <w:r>
        <w:t>вах доступ к земле обеспечивает мужчина. В матрилинейных обществах главой семьи является дядя по материнской линии. В таких обществах мужчины пол</w:t>
      </w:r>
      <w:r>
        <w:t>у</w:t>
      </w:r>
      <w:r>
        <w:t>чают землю в результате брака, за исключением случаев, когда женщина пер</w:t>
      </w:r>
      <w:r>
        <w:t>е</w:t>
      </w:r>
      <w:r>
        <w:t>езжает в деревню мужа. Как в патрилинейных, так и в матрилинейных общес</w:t>
      </w:r>
      <w:r>
        <w:t>т</w:t>
      </w:r>
      <w:r>
        <w:t>вах право распоряжаться семейной землей принадлежит мужчине. С 2002 года ведется работа по разработке нового земельного закона, в основе которого б</w:t>
      </w:r>
      <w:r>
        <w:t>у</w:t>
      </w:r>
      <w:r>
        <w:t>дет лежать новая з</w:t>
      </w:r>
      <w:r>
        <w:t>е</w:t>
      </w:r>
      <w:r>
        <w:t>мельная политика.</w:t>
      </w:r>
    </w:p>
    <w:p w:rsidR="00000000" w:rsidRDefault="00000000">
      <w:pPr>
        <w:pStyle w:val="SingleTxt"/>
      </w:pPr>
      <w:r>
        <w:t>14.10.2.</w:t>
      </w:r>
      <w:r>
        <w:tab/>
        <w:t>Во-вторых, хотя после 1994 года доступ к кредитам расширился, с</w:t>
      </w:r>
      <w:r>
        <w:t>о</w:t>
      </w:r>
      <w:r>
        <w:t>кратились объемы сельскохозяйственного кредитования сельских женщин. До 1994 года сельские жители могли объединятся в фермерские клубы для пол</w:t>
      </w:r>
      <w:r>
        <w:t>у</w:t>
      </w:r>
      <w:r>
        <w:t>чения правительственных сельскохозяйственных кредитов. В настоящее время правительство не участвует в механизмах кредитования, и источниками кред</w:t>
      </w:r>
      <w:r>
        <w:t>и</w:t>
      </w:r>
      <w:r>
        <w:t>тования стали частные финанс</w:t>
      </w:r>
      <w:r>
        <w:t>о</w:t>
      </w:r>
      <w:r>
        <w:t>вые кредитные учреждения.</w:t>
      </w:r>
    </w:p>
    <w:p w:rsidR="00000000" w:rsidRDefault="00000000">
      <w:pPr>
        <w:pStyle w:val="SingleTxt"/>
      </w:pPr>
      <w:r>
        <w:t>14.10.3.</w:t>
      </w:r>
      <w:r>
        <w:tab/>
        <w:t>Со времени предоставления предыдущего доклада сократился до</w:t>
      </w:r>
      <w:r>
        <w:t>с</w:t>
      </w:r>
      <w:r>
        <w:t>туп к качественным услугам в области сбыта, поскольку Корпорация сельск</w:t>
      </w:r>
      <w:r>
        <w:t>о</w:t>
      </w:r>
      <w:r>
        <w:t>хозяйственного развития и маркетинга, которой принадлежит сеть рынков, з</w:t>
      </w:r>
      <w:r>
        <w:t>а</w:t>
      </w:r>
      <w:r>
        <w:t>крыла ряд из них и сократила объем предоставляемых услуг, чтобы создать у</w:t>
      </w:r>
      <w:r>
        <w:t>с</w:t>
      </w:r>
      <w:r>
        <w:t>ловия для дальнейшей либерализации сельскохозяйственного рынка. Колич</w:t>
      </w:r>
      <w:r>
        <w:t>е</w:t>
      </w:r>
      <w:r>
        <w:t>ство частных торговцев увеличилось, но при этом, как заявляют члены общин, цены на сельскохозяйственные товары крайне низки, что сказывается на пр</w:t>
      </w:r>
      <w:r>
        <w:t>о</w:t>
      </w:r>
      <w:r>
        <w:t>изводительности труда же</w:t>
      </w:r>
      <w:r>
        <w:t>н</w:t>
      </w:r>
      <w:r>
        <w:t>щин.</w:t>
      </w:r>
    </w:p>
    <w:p w:rsidR="00000000" w:rsidRDefault="00000000">
      <w:pPr>
        <w:pStyle w:val="H23"/>
      </w:pPr>
      <w:r>
        <w:t>14.11.</w:t>
      </w:r>
      <w:r>
        <w:tab/>
        <w:t>Условия жизни</w:t>
      </w:r>
    </w:p>
    <w:p w:rsidR="00000000" w:rsidRDefault="00000000">
      <w:pPr>
        <w:pStyle w:val="SingleTxt"/>
      </w:pPr>
      <w:r>
        <w:t>14.11.1.</w:t>
      </w:r>
      <w:r>
        <w:tab/>
        <w:t>Как уже отмечалось, несмотря на то, что право на развитие закре</w:t>
      </w:r>
      <w:r>
        <w:t>п</w:t>
      </w:r>
      <w:r>
        <w:t>лено в Конституции, уровень жизни в сельских районах остается низким. О низком качестве жизни свидетельствуют, среди прочего, жилищные условия, доступ к электроэнергии, а также водоснабжение и уровень потребл</w:t>
      </w:r>
      <w:r>
        <w:t>е</w:t>
      </w:r>
      <w:r>
        <w:t>ния воды.</w:t>
      </w:r>
    </w:p>
    <w:p w:rsidR="00000000" w:rsidRDefault="00000000">
      <w:pPr>
        <w:pStyle w:val="SingleTxt"/>
      </w:pPr>
      <w:r>
        <w:t>14.11.2.</w:t>
      </w:r>
      <w:r>
        <w:tab/>
        <w:t>Большинство населения Малави живет в плохих условиях. В 1998 году 66 процентов населения проживало в домах с соломенной крышей и глинобитными или плетеными стенами</w:t>
      </w:r>
      <w:r>
        <w:rPr>
          <w:rStyle w:val="FootnoteReference"/>
          <w:sz w:val="20"/>
        </w:rPr>
        <w:footnoteReference w:id="124"/>
      </w:r>
      <w:r>
        <w:t>. Ранее программы жилищного строительства осуществлялись в рамках всего нескольких инициатив, в час</w:t>
      </w:r>
      <w:r>
        <w:t>т</w:t>
      </w:r>
      <w:r>
        <w:t>ности в рамках проекта «Жилье для человечества». Эта организация обеспеч</w:t>
      </w:r>
      <w:r>
        <w:t>и</w:t>
      </w:r>
      <w:r>
        <w:t>вала беспроцентное финансирование строительства недорогих домов для сел</w:t>
      </w:r>
      <w:r>
        <w:t>ь</w:t>
      </w:r>
      <w:r>
        <w:t>ского населения. В 2001 году правительство приступило к осуществлению «Программы жилищного строительства в деревнях» для сельских жителей, н</w:t>
      </w:r>
      <w:r>
        <w:t>а</w:t>
      </w:r>
      <w:r>
        <w:t>ходящихся в уязвимом пол</w:t>
      </w:r>
      <w:r>
        <w:t>о</w:t>
      </w:r>
      <w:r>
        <w:t>жении.</w:t>
      </w:r>
    </w:p>
    <w:p w:rsidR="00000000" w:rsidRDefault="00000000">
      <w:pPr>
        <w:pStyle w:val="SingleTxt"/>
      </w:pPr>
      <w:r>
        <w:t>14.11.3.</w:t>
      </w:r>
      <w:r>
        <w:tab/>
        <w:t>Использование электричества по-прежнему мало распространено в сельских районах Малави. Согласно оценкам, электрифицированы лишь 1 процент сельских районов и 29 процентов городских районов. В 2002 году началось осущ</w:t>
      </w:r>
      <w:r>
        <w:t>е</w:t>
      </w:r>
      <w:r>
        <w:t>ствление проекта электрификации сельских районов.</w:t>
      </w:r>
    </w:p>
    <w:p w:rsidR="00000000" w:rsidRDefault="00000000">
      <w:pPr>
        <w:pStyle w:val="SingleTxt"/>
      </w:pPr>
      <w:r>
        <w:t>14.11.4.</w:t>
      </w:r>
      <w:r>
        <w:tab/>
        <w:t>В число технологий, которые могли бы способствовать повышению качества жизни в сельских районах, входит использование солнечной энергии. По данным министерства по делам женщин и общественных служб, в сельских районах имеется 30 установок по производству биогаза, но всего немногим б</w:t>
      </w:r>
      <w:r>
        <w:t>о</w:t>
      </w:r>
      <w:r>
        <w:t>лее 1000 потребителей используют солнечную энергию.</w:t>
      </w:r>
    </w:p>
    <w:p w:rsidR="00000000" w:rsidRDefault="00000000">
      <w:pPr>
        <w:pStyle w:val="SingleTxt"/>
      </w:pPr>
      <w:r>
        <w:t>14.11.5.</w:t>
      </w:r>
      <w:r>
        <w:tab/>
        <w:t>С 1994 года заметно улучшилось обеспечение качественной пить</w:t>
      </w:r>
      <w:r>
        <w:t>е</w:t>
      </w:r>
      <w:r>
        <w:t>вой водой. К 1998 году 2,6 млн. человек, то есть 27 процентов населения, им</w:t>
      </w:r>
      <w:r>
        <w:t>е</w:t>
      </w:r>
      <w:r>
        <w:t>ли доступ к скважинам, которые являются основным источником питьевой в</w:t>
      </w:r>
      <w:r>
        <w:t>о</w:t>
      </w:r>
      <w:r>
        <w:t>ды. 25 процентов населения сельских районов по-прежнему потребляли воду, добываемую из небезопасных скважин. 21 процент использовали либо вод</w:t>
      </w:r>
      <w:r>
        <w:t>о</w:t>
      </w:r>
      <w:r>
        <w:t>проводную воду, либо воду из общес</w:t>
      </w:r>
      <w:r>
        <w:t>т</w:t>
      </w:r>
      <w:r>
        <w:t>венных колонок.</w:t>
      </w:r>
    </w:p>
    <w:p w:rsidR="00000000" w:rsidRDefault="00000000">
      <w:pPr>
        <w:pStyle w:val="SingleTxt"/>
      </w:pPr>
      <w:r>
        <w:t>14.11.6.</w:t>
      </w:r>
      <w:r>
        <w:tab/>
        <w:t>Начиная с 1994 года правительство активизировало усилия по обе</w:t>
      </w:r>
      <w:r>
        <w:t>с</w:t>
      </w:r>
      <w:r>
        <w:t>печению населения доступом к безопасной питьевой воде и с 1988 года ведет контроль за сооружением 11 800 скважин, 5 тыс. мелких колодцев, 66 самотечных систем водоснабжения и 55 городских систем водоснабжения. Кроме того, было создано около 10 тыс. точек ответвления от 62 самотечных систем водоснабжения, но в 2000 году эксплуатировались только 605 таких т</w:t>
      </w:r>
      <w:r>
        <w:t>о</w:t>
      </w:r>
      <w:r>
        <w:t>чек.</w:t>
      </w:r>
    </w:p>
    <w:p w:rsidR="00000000" w:rsidRDefault="00000000">
      <w:pPr>
        <w:pStyle w:val="H23"/>
      </w:pPr>
      <w:r>
        <w:t>Заключение</w:t>
      </w:r>
    </w:p>
    <w:p w:rsidR="00000000" w:rsidRDefault="00000000">
      <w:pPr>
        <w:pStyle w:val="SingleTxt"/>
      </w:pPr>
      <w:r>
        <w:t>Малави является преимущественно аграрной страной, при этом большинство сельского населения и неимущих слоев составляют женщины. Несмотря на то, что, согласно Конституции, основным показателем успеха программ в области развития должен быть уровень жизни в сельских районах, соответствующий уровень жизни пока не обеспечен, особенно для сельских женщин. Причины самые разнообразные: низкий уровень трудовой этики среди тех, кто должен проводить работу на уровне общин, недостаточное участие населения в разр</w:t>
      </w:r>
      <w:r>
        <w:t>а</w:t>
      </w:r>
      <w:r>
        <w:t>ботке проектов в области развития, либерализация рынка и традиции. В р</w:t>
      </w:r>
      <w:r>
        <w:t>е</w:t>
      </w:r>
      <w:r>
        <w:t>зультате, гендерные диспропорции наиболее широко представлены в сельских о</w:t>
      </w:r>
      <w:r>
        <w:t>б</w:t>
      </w:r>
      <w:r>
        <w:t>щинах и среди сельских женщин.</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67" w:name="_Toc83977548"/>
      <w:r>
        <w:t>Статья 15.</w:t>
      </w:r>
      <w:r>
        <w:tab/>
        <w:t>Равенство перед законом</w:t>
      </w:r>
      <w:bookmarkEnd w:id="67"/>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15.1.</w:t>
      </w:r>
      <w:r>
        <w:tab/>
        <w:t>Стандарты КЛДЖ</w:t>
      </w:r>
    </w:p>
    <w:p w:rsidR="00000000" w:rsidRDefault="00000000">
      <w:pPr>
        <w:pStyle w:val="SingleTxt"/>
        <w:rPr>
          <w:i/>
        </w:rPr>
      </w:pPr>
      <w:r>
        <w:rPr>
          <w:i/>
        </w:rPr>
        <w:t>Статья 15.</w:t>
      </w:r>
    </w:p>
    <w:p w:rsidR="00000000" w:rsidRDefault="00000000">
      <w:pPr>
        <w:pStyle w:val="SingleTxt"/>
        <w:rPr>
          <w:i/>
        </w:rPr>
      </w:pPr>
      <w:r>
        <w:rPr>
          <w:i/>
        </w:rPr>
        <w:t>1. Государства-участники признают за женщинами равенство с мужчинами перед законом.</w:t>
      </w:r>
    </w:p>
    <w:p w:rsidR="00000000" w:rsidRDefault="00000000">
      <w:pPr>
        <w:pStyle w:val="SingleTxt"/>
        <w:rPr>
          <w:i/>
        </w:rPr>
      </w:pPr>
      <w:r>
        <w:rPr>
          <w:i/>
        </w:rPr>
        <w:t>2. Государства-участники предоставляют женщинам одинаковую с мужч</w:t>
      </w:r>
      <w:r>
        <w:rPr>
          <w:i/>
        </w:rPr>
        <w:t>и</w:t>
      </w:r>
      <w:r>
        <w:rPr>
          <w:i/>
        </w:rPr>
        <w:t>нами гражданскую правоспособность и одинаковые возможности ее реализ</w:t>
      </w:r>
      <w:r>
        <w:rPr>
          <w:i/>
        </w:rPr>
        <w:t>а</w:t>
      </w:r>
      <w:r>
        <w:rPr>
          <w:i/>
        </w:rPr>
        <w:t>ции. Они, в частности, обеспечивают им равные права при заключении дог</w:t>
      </w:r>
      <w:r>
        <w:rPr>
          <w:i/>
        </w:rPr>
        <w:t>о</w:t>
      </w:r>
      <w:r>
        <w:rPr>
          <w:i/>
        </w:rPr>
        <w:t>воров и управлении имуществом, а также равное отношение к ним на всех этапах разбирательства в с</w:t>
      </w:r>
      <w:r>
        <w:rPr>
          <w:i/>
        </w:rPr>
        <w:t>у</w:t>
      </w:r>
      <w:r>
        <w:rPr>
          <w:i/>
        </w:rPr>
        <w:t xml:space="preserve">дах и трибуналах. </w:t>
      </w:r>
    </w:p>
    <w:p w:rsidR="00000000" w:rsidRDefault="00000000">
      <w:pPr>
        <w:pStyle w:val="SingleTxt"/>
        <w:rPr>
          <w:i/>
        </w:rPr>
      </w:pPr>
      <w:r>
        <w:rPr>
          <w:i/>
        </w:rPr>
        <w:t>3. Государства-участники соглашаются, что все договоры и все другие час</w:t>
      </w:r>
      <w:r>
        <w:rPr>
          <w:i/>
        </w:rPr>
        <w:t>т</w:t>
      </w:r>
      <w:r>
        <w:rPr>
          <w:i/>
        </w:rPr>
        <w:t>ные документы любого рода, имеющие своим правовым последствием огран</w:t>
      </w:r>
      <w:r>
        <w:rPr>
          <w:i/>
        </w:rPr>
        <w:t>и</w:t>
      </w:r>
      <w:r>
        <w:rPr>
          <w:i/>
        </w:rPr>
        <w:t>чение правоспособности женщин, считаются недейств</w:t>
      </w:r>
      <w:r>
        <w:rPr>
          <w:i/>
        </w:rPr>
        <w:t>и</w:t>
      </w:r>
      <w:r>
        <w:rPr>
          <w:i/>
        </w:rPr>
        <w:t>тельными.</w:t>
      </w:r>
    </w:p>
    <w:p w:rsidR="00000000" w:rsidRDefault="00000000">
      <w:pPr>
        <w:pStyle w:val="SingleTxt"/>
        <w:rPr>
          <w:i/>
        </w:rPr>
      </w:pPr>
      <w:r>
        <w:rPr>
          <w:i/>
        </w:rPr>
        <w:t>4. Государства-участники предоставляют мужчинам и женщинам одинак</w:t>
      </w:r>
      <w:r>
        <w:rPr>
          <w:i/>
        </w:rPr>
        <w:t>о</w:t>
      </w:r>
      <w:r>
        <w:rPr>
          <w:i/>
        </w:rPr>
        <w:t>вые права в отношении законодательства, касающегося передвижения лиц и свободы выбора места проживания и местожительства.</w:t>
      </w:r>
    </w:p>
    <w:p w:rsidR="00000000" w:rsidRDefault="00000000">
      <w:pPr>
        <w:pStyle w:val="H23"/>
      </w:pPr>
      <w:r>
        <w:t>15.2.</w:t>
      </w:r>
      <w:r>
        <w:tab/>
        <w:t>Введение</w:t>
      </w:r>
    </w:p>
    <w:p w:rsidR="00000000" w:rsidRDefault="00000000">
      <w:pPr>
        <w:pStyle w:val="SingleTxt"/>
      </w:pPr>
      <w:r>
        <w:t>15.2.1.</w:t>
      </w:r>
      <w:r>
        <w:tab/>
        <w:t>В настоящее время осуществляется пересмотр свода законов Мал</w:t>
      </w:r>
      <w:r>
        <w:t>а</w:t>
      </w:r>
      <w:r>
        <w:t>ви, в который вносятся соответствующие поправки, призванные отразить принцип равенства перед законом. Однако как обычное, так и писаное право содержат нормы, закрепляющие неравенство мужчин и женщин перед законом. Нормы в области равенства перед законом, закрепленные в Конституции Мал</w:t>
      </w:r>
      <w:r>
        <w:t>а</w:t>
      </w:r>
      <w:r>
        <w:t>ви, полностью соответствуют требованиям Конвенции. Однако положения Конституции не были прив</w:t>
      </w:r>
      <w:r>
        <w:t>е</w:t>
      </w:r>
      <w:r>
        <w:t>дены в соответствие с национальными законами.</w:t>
      </w:r>
    </w:p>
    <w:p w:rsidR="00000000" w:rsidRDefault="00000000">
      <w:pPr>
        <w:pStyle w:val="H23"/>
      </w:pPr>
      <w:r>
        <w:t>15.3.</w:t>
      </w:r>
      <w:r>
        <w:tab/>
        <w:t xml:space="preserve">Признание за женщинами равенства с мужчинами перед законом </w:t>
      </w:r>
    </w:p>
    <w:p w:rsidR="00000000" w:rsidRDefault="00000000">
      <w:pPr>
        <w:pStyle w:val="SingleTxt"/>
      </w:pPr>
      <w:r>
        <w:t>15.3.1.</w:t>
      </w:r>
      <w:r>
        <w:tab/>
        <w:t>В Конституции 1966 года говорилось, что «все люди, независимо от цвета кожи, расовой принадлежности и вероисповедания, должны пользоваться равными правами и свободами»</w:t>
      </w:r>
      <w:r>
        <w:rPr>
          <w:rStyle w:val="FootnoteReference"/>
        </w:rPr>
        <w:t xml:space="preserve"> </w:t>
      </w:r>
      <w:r>
        <w:rPr>
          <w:rStyle w:val="FootnoteReference"/>
          <w:sz w:val="20"/>
        </w:rPr>
        <w:footnoteReference w:id="125"/>
      </w:r>
      <w:r>
        <w:t>. В этой Конституции также говорилось, что жители Малави признают «неприкосновенность личных свобод, закрепленных во Всеобщей декларации прав человека Организации Объединенных Наций».</w:t>
      </w:r>
    </w:p>
    <w:p w:rsidR="00000000" w:rsidRDefault="00000000">
      <w:pPr>
        <w:pStyle w:val="SingleTxt"/>
      </w:pPr>
      <w:r>
        <w:t>15.3.2.</w:t>
      </w:r>
      <w:r>
        <w:tab/>
        <w:t>Однако, старая конституция содержала ряд существенных оговорок и ограничений. В ней не было предусмотрено специальных положений о пр</w:t>
      </w:r>
      <w:r>
        <w:t>а</w:t>
      </w:r>
      <w:r>
        <w:t>вовом статусе женщин в контексте ликвидации гендерных диспропорций. В статье о недискриминации вопрос о половой принадлежности прямо не упом</w:t>
      </w:r>
      <w:r>
        <w:t>и</w:t>
      </w:r>
      <w:r>
        <w:t>нался. Равенство перед законом зависело от того, что было целесообразно с точки зрения обороны, общественной безопасности, правопорядки или наци</w:t>
      </w:r>
      <w:r>
        <w:t>о</w:t>
      </w:r>
      <w:r>
        <w:t>нальной экономики.</w:t>
      </w:r>
    </w:p>
    <w:p w:rsidR="00000000" w:rsidRDefault="00000000">
      <w:pPr>
        <w:pStyle w:val="SingleTxt"/>
      </w:pPr>
      <w:r>
        <w:t>15.3.3.</w:t>
      </w:r>
      <w:r>
        <w:tab/>
        <w:t>В период с 1992 по 1996 год в Малави происходил переход к мног</w:t>
      </w:r>
      <w:r>
        <w:t>о</w:t>
      </w:r>
      <w:r>
        <w:t>партийной системе правления. В это время повсеместное признание получили права человека, в том числе право на равенство перед законом. Дополнител</w:t>
      </w:r>
      <w:r>
        <w:t>ь</w:t>
      </w:r>
      <w:r>
        <w:t>ный импульс прогрессу в области осуществления прав человека женщин и мужчин дала Пекинская конференция. Результатом этого стало участие же</w:t>
      </w:r>
      <w:r>
        <w:t>н</w:t>
      </w:r>
      <w:r>
        <w:t>щин в процессе пересмотра Конституции. В итоге принцип равенства перед з</w:t>
      </w:r>
      <w:r>
        <w:t>а</w:t>
      </w:r>
      <w:r>
        <w:t>коном был закреплен в Конституции. Однако этот период активного участие женщин в политическом процессе не изменил традиционного представления о политике как о преимущественно му</w:t>
      </w:r>
      <w:r>
        <w:t>ж</w:t>
      </w:r>
      <w:r>
        <w:t>ском деле.</w:t>
      </w:r>
    </w:p>
    <w:p w:rsidR="00000000" w:rsidRDefault="00000000">
      <w:pPr>
        <w:pStyle w:val="SingleTxt"/>
      </w:pPr>
      <w:r>
        <w:t>15.3.4.</w:t>
      </w:r>
      <w:r>
        <w:tab/>
        <w:t>Принцип равенства перед законом утвердился в законодательстве в 1994 году, когда была принята действующая в настоящее время Конституция. Согласно Конституции каждый человек имеет право на равное отношение к с</w:t>
      </w:r>
      <w:r>
        <w:t>е</w:t>
      </w:r>
      <w:r>
        <w:t>бе в ходе судебного разбирательства</w:t>
      </w:r>
      <w:r>
        <w:rPr>
          <w:rStyle w:val="FootnoteReference"/>
          <w:sz w:val="20"/>
        </w:rPr>
        <w:footnoteReference w:id="126"/>
      </w:r>
      <w:r>
        <w:t>. Государство должно обеспечивать р</w:t>
      </w:r>
      <w:r>
        <w:t>а</w:t>
      </w:r>
      <w:r>
        <w:t>венство мужчин и женщин политическим и законодательным путем</w:t>
      </w:r>
      <w:r>
        <w:rPr>
          <w:rStyle w:val="FootnoteReference"/>
          <w:sz w:val="20"/>
        </w:rPr>
        <w:footnoteReference w:id="127"/>
      </w:r>
      <w:r>
        <w:t>. Пол</w:t>
      </w:r>
      <w:r>
        <w:t>и</w:t>
      </w:r>
      <w:r>
        <w:t>тика правительства должна «содействовать демократическому правлению и обеспечивать равенство и равноправие мужчин и женщин перед законами М</w:t>
      </w:r>
      <w:r>
        <w:t>а</w:t>
      </w:r>
      <w:r>
        <w:t>лави»</w:t>
      </w:r>
      <w:r>
        <w:rPr>
          <w:rStyle w:val="FootnoteReference"/>
          <w:sz w:val="20"/>
        </w:rPr>
        <w:footnoteReference w:id="128"/>
      </w:r>
      <w:r>
        <w:t>.</w:t>
      </w:r>
    </w:p>
    <w:p w:rsidR="00000000" w:rsidRDefault="00000000">
      <w:pPr>
        <w:pStyle w:val="SingleTxt"/>
      </w:pPr>
      <w:r>
        <w:t>15.3.5.</w:t>
      </w:r>
      <w:r>
        <w:tab/>
        <w:t>Обычное право также налагает ограничения на осуществление права на равенство перед законом. Нормы обычного права в Малави закрепляют принципиальное превосходство мужчин и, соответственно, их ведущую роль в политике и семейной жизни, в вопросах землевладения и управления земел</w:t>
      </w:r>
      <w:r>
        <w:t>ь</w:t>
      </w:r>
      <w:r>
        <w:t>ной собственн</w:t>
      </w:r>
      <w:r>
        <w:t>о</w:t>
      </w:r>
      <w:r>
        <w:t>стью.</w:t>
      </w:r>
    </w:p>
    <w:p w:rsidR="00000000" w:rsidRDefault="00000000">
      <w:pPr>
        <w:pStyle w:val="SingleTxt"/>
      </w:pPr>
      <w:r>
        <w:t>15.3.6.</w:t>
      </w:r>
      <w:r>
        <w:tab/>
        <w:t>После 1996 года стало меняться отношение женщин, участвующих в процессе развития, к вопросам равенства полов и развития. Чтобы отразить этот новый подход ответственное министерство было переименовано в мин</w:t>
      </w:r>
      <w:r>
        <w:t>и</w:t>
      </w:r>
      <w:r>
        <w:t>стерство по делам женщин, молодежи и общественных служб. В рамках мин</w:t>
      </w:r>
      <w:r>
        <w:t>и</w:t>
      </w:r>
      <w:r>
        <w:t>стерства был учрежден ряд инициатив на уровне общин, призванных содейс</w:t>
      </w:r>
      <w:r>
        <w:t>т</w:t>
      </w:r>
      <w:r>
        <w:t>вовать укреплению принципа гендерного равенства посредством просветител</w:t>
      </w:r>
      <w:r>
        <w:t>ь</w:t>
      </w:r>
      <w:r>
        <w:t>ской работы по гендерным вопросам и вопросам развития. Вне министерства действует Правовая комиссия, которая в настоящее время пересматривает зак</w:t>
      </w:r>
      <w:r>
        <w:t>о</w:t>
      </w:r>
      <w:r>
        <w:t>ны, в том числе нормы обычного права, которые могут противоречить принц</w:t>
      </w:r>
      <w:r>
        <w:t>и</w:t>
      </w:r>
      <w:r>
        <w:t>пу равенства мужчин и женщин перед законом. Государственная радиостанция «Малави Броудкастинг Корпорейшн» и телевизионные каналы транслируют передачи, призванные содействовать распространению принципа равенства. Кроме того, правительство санкционировало деятельность в Малави ряда н</w:t>
      </w:r>
      <w:r>
        <w:t>е</w:t>
      </w:r>
      <w:r>
        <w:t>правительственных организаций по правам женщин. Некоторые из этих орг</w:t>
      </w:r>
      <w:r>
        <w:t>а</w:t>
      </w:r>
      <w:r>
        <w:t>низаций выступают за равенство мужчин и женщин перед законом.</w:t>
      </w:r>
    </w:p>
    <w:p w:rsidR="00000000" w:rsidRDefault="00000000">
      <w:pPr>
        <w:pStyle w:val="SingleTxt"/>
      </w:pPr>
      <w:r>
        <w:t>15.3.7.</w:t>
      </w:r>
      <w:r>
        <w:tab/>
        <w:t>Большинство жителей Малави руководствуются нормами обычного права, основанного на патриархальных устоях, которые противоречат принц</w:t>
      </w:r>
      <w:r>
        <w:t>и</w:t>
      </w:r>
      <w:r>
        <w:t>пу равенства мужчин и женщин. Так, иски, поданные в суд мужчинами, как правило считаются более важными, чем иски, поданные женщинами. Это об</w:t>
      </w:r>
      <w:r>
        <w:t>у</w:t>
      </w:r>
      <w:r>
        <w:t>словлено, в частности, распространенным мнением о том, что большинство женщин занимают низшее полож</w:t>
      </w:r>
      <w:r>
        <w:t>е</w:t>
      </w:r>
      <w:r>
        <w:t>ние по сравнению с мужчинами.</w:t>
      </w:r>
    </w:p>
    <w:p w:rsidR="00000000" w:rsidRDefault="00000000">
      <w:pPr>
        <w:pStyle w:val="H23"/>
      </w:pPr>
      <w:r>
        <w:t>15.4</w:t>
      </w:r>
      <w:r>
        <w:tab/>
        <w:t>Равенство гражданской правоспособности</w:t>
      </w:r>
    </w:p>
    <w:p w:rsidR="00000000" w:rsidRDefault="00000000">
      <w:pPr>
        <w:pStyle w:val="SingleTxt"/>
      </w:pPr>
      <w:r>
        <w:t>15.4.1.</w:t>
      </w:r>
      <w:r>
        <w:tab/>
        <w:t>Во время представления первого доклада осуществление равнопр</w:t>
      </w:r>
      <w:r>
        <w:t>а</w:t>
      </w:r>
      <w:r>
        <w:t>вия при рассмотрении гражданских дел было в большей степени затруднено вследствие низкого уровня правовой грамотности среди женщин. Женщинам сталкивались с препятствиями, обусловленными нормами обычного права, р</w:t>
      </w:r>
      <w:r>
        <w:t>е</w:t>
      </w:r>
      <w:r>
        <w:t>лигиозными верованиями, культурными обычаями и установками, а также н</w:t>
      </w:r>
      <w:r>
        <w:t>е</w:t>
      </w:r>
      <w:r>
        <w:t>равными с точки зрения возможностей взаимоотношениями между мужчинами и женщинами. Женщины по-прежнему зависели от мужчин и практически не имели доступа к средствам производства и инструментам власти, в том числе к земле, консультативным слу</w:t>
      </w:r>
      <w:r>
        <w:t>ж</w:t>
      </w:r>
      <w:r>
        <w:t>бам и капиталу.</w:t>
      </w:r>
    </w:p>
    <w:p w:rsidR="00000000" w:rsidRDefault="00000000">
      <w:pPr>
        <w:pStyle w:val="SingleTxt"/>
      </w:pPr>
      <w:r>
        <w:t>15.4.2.</w:t>
      </w:r>
      <w:r>
        <w:tab/>
        <w:t>В 1992-96 годах никаких изменений в законодательство не внос</w:t>
      </w:r>
      <w:r>
        <w:t>и</w:t>
      </w:r>
      <w:r>
        <w:t>лось. Правительство, через учрежденную им Национальную комиссию по в</w:t>
      </w:r>
      <w:r>
        <w:t>о</w:t>
      </w:r>
      <w:r>
        <w:t>влечению женщин в процесс развития, в настоящее время именуемую Наци</w:t>
      </w:r>
      <w:r>
        <w:t>о</w:t>
      </w:r>
      <w:r>
        <w:t>нальной комиссией по вопросам равноправия мужчин и женщин, и Целевой фонд развития, издало книгу «Женщины и закон в Малави», в которой освещ</w:t>
      </w:r>
      <w:r>
        <w:t>а</w:t>
      </w:r>
      <w:r>
        <w:t>лись проблемы, связанные с участием женщин в гражданских делах. Книга б</w:t>
      </w:r>
      <w:r>
        <w:t>ы</w:t>
      </w:r>
      <w:r>
        <w:t>ла распространена как внутри страны, так и за ее пределами, и использовалась при подготовке 120 сотрудников по информационной работе, привлеченных из министерства по делам женщин, министерств сельского хозяйства, здравоохр</w:t>
      </w:r>
      <w:r>
        <w:t>а</w:t>
      </w:r>
      <w:r>
        <w:t>нения, образования, а также из неправительственных организаций. Планируе</w:t>
      </w:r>
      <w:r>
        <w:t>т</w:t>
      </w:r>
      <w:r>
        <w:t>ся рецензировать и перевести данную книгу на местный язык чичева, а также внести соответствующие изменения в Конституцию и ряд других законов. О</w:t>
      </w:r>
      <w:r>
        <w:t>д</w:t>
      </w:r>
      <w:r>
        <w:t>нако такие меры должны быть рассмотрены в рамках Специальной правовой комиссии по реформам в области обеспечения равенства мужчин и женщин. Женщины недостаточно осведомлены о своих юридических правах и равенстве перед законом.</w:t>
      </w:r>
    </w:p>
    <w:p w:rsidR="00000000" w:rsidRDefault="00000000">
      <w:pPr>
        <w:pStyle w:val="SingleTxt"/>
      </w:pPr>
      <w:r>
        <w:t>15.4.3.</w:t>
      </w:r>
      <w:r>
        <w:tab/>
        <w:t>Новая Конституция закрепляет право на равенство правоспособн</w:t>
      </w:r>
      <w:r>
        <w:t>о</w:t>
      </w:r>
      <w:r>
        <w:t>сти. Согласно нормам обычного права мужчины играют более важную роль в гражданском судопроизводстве, и поэтому женщинам в большинстве случаев приходится действовать через мужчин, в том числе при оформлении брака. Кроме того, осложняет ситуацию более низкий уровень образования среди женщин.</w:t>
      </w:r>
    </w:p>
    <w:p w:rsidR="00000000" w:rsidRDefault="00000000">
      <w:pPr>
        <w:pStyle w:val="SingleTxt"/>
      </w:pPr>
      <w:r>
        <w:t>15.4.4.</w:t>
      </w:r>
      <w:r>
        <w:tab/>
        <w:t>Заслуживает упоминания работа по правовому воспитанию, которую ведет министерство общественных служб и по проблеме равенства полов с</w:t>
      </w:r>
      <w:r>
        <w:t>о</w:t>
      </w:r>
      <w:r>
        <w:t>вместно с неправительственными организациями по правам женщин. В ходе всех мероприятий, направленных на повышение правовой грамотности, особо подчеркивается равноправие мужчин и женщин. Обеспечить выполнение п</w:t>
      </w:r>
      <w:r>
        <w:t>о</w:t>
      </w:r>
      <w:r>
        <w:t>ложения о равноправии женщин призваны, в частности, различные программы микрокредитования.</w:t>
      </w:r>
    </w:p>
    <w:p w:rsidR="00000000" w:rsidRDefault="00000000">
      <w:pPr>
        <w:pStyle w:val="H23"/>
      </w:pPr>
      <w:r>
        <w:t>15.5.</w:t>
      </w:r>
      <w:r>
        <w:tab/>
        <w:t>Равные права при заключении договоров</w:t>
      </w:r>
    </w:p>
    <w:p w:rsidR="00000000" w:rsidRDefault="00000000">
      <w:pPr>
        <w:pStyle w:val="SingleTxt"/>
      </w:pPr>
      <w:r>
        <w:t>15.5.1.</w:t>
      </w:r>
      <w:r>
        <w:tab/>
        <w:t>До 1994 года подавляющее большинство женщин не принимали уч</w:t>
      </w:r>
      <w:r>
        <w:t>а</w:t>
      </w:r>
      <w:r>
        <w:t>стия в заключении коммерческих договоров. Заключение коммерческих дог</w:t>
      </w:r>
      <w:r>
        <w:t>о</w:t>
      </w:r>
      <w:r>
        <w:t>воров считалось привилегией мужчин и исключительно мужской сферой де</w:t>
      </w:r>
      <w:r>
        <w:t>я</w:t>
      </w:r>
      <w:r>
        <w:t>тельности. Женщины практически не принимали участия в заключении ко</w:t>
      </w:r>
      <w:r>
        <w:t>м</w:t>
      </w:r>
      <w:r>
        <w:t>мерческих договоров по причине низкого уровня грамотности и недостаточн</w:t>
      </w:r>
      <w:r>
        <w:t>о</w:t>
      </w:r>
      <w:r>
        <w:t>го доступа к капиталу. В 1992-96 годах уровень безработицы был выше среди девочек, чем среди мальчиков</w:t>
      </w:r>
      <w:r>
        <w:rPr>
          <w:rStyle w:val="FootnoteReference"/>
          <w:sz w:val="20"/>
        </w:rPr>
        <w:footnoteReference w:id="129"/>
      </w:r>
      <w:r>
        <w:t>. Несмотря на высокий уровень безработицы среди девочек, не принималось никаких систематических мер, которые помо</w:t>
      </w:r>
      <w:r>
        <w:t>г</w:t>
      </w:r>
      <w:r>
        <w:t>ли бы повысить занятость женщин или расширить их участие в заключении коммерческих договоров.</w:t>
      </w:r>
    </w:p>
    <w:p w:rsidR="00000000" w:rsidRDefault="00000000">
      <w:pPr>
        <w:pStyle w:val="SingleTxt"/>
      </w:pPr>
      <w:r>
        <w:t>15.5.2.</w:t>
      </w:r>
      <w:r>
        <w:tab/>
        <w:t>В новой Конституции специально предусматривается, что права женщин включают право на заключение договоров</w:t>
      </w:r>
      <w:r>
        <w:rPr>
          <w:rStyle w:val="FootnoteReference"/>
          <w:sz w:val="20"/>
        </w:rPr>
        <w:footnoteReference w:id="130"/>
      </w:r>
      <w:r>
        <w:t>. Новое правительство поддерживает программы микрокредитования женщин. В 2000 году финанс</w:t>
      </w:r>
      <w:r>
        <w:t>о</w:t>
      </w:r>
      <w:r>
        <w:t>вые учреждения увеличили количество соответствующих программ, благодаря чему у женщин было больше возможностей для получения микрокредитов, чем у мужчин. К сожалению, женщины, как правило, берут кредиты на меньшие суммы, чем мужчины, что, возможно, обусловлено тем, что контроль над сре</w:t>
      </w:r>
      <w:r>
        <w:t>д</w:t>
      </w:r>
      <w:r>
        <w:t>ствами производства, например над землей, находится в основном в руках мужчин, а женщины традиционно считают, что должны подчиняться мужчине, и склонны недооценивать себя. Им не хватает уверенности в себе и настойч</w:t>
      </w:r>
      <w:r>
        <w:t>и</w:t>
      </w:r>
      <w:r>
        <w:t>вости. Кроме того, вследствие низкого уровня грамотности, а также правовой неграмотности, препятствием для большинства женщин являются юридич</w:t>
      </w:r>
      <w:r>
        <w:t>е</w:t>
      </w:r>
      <w:r>
        <w:t>ские требования, например при сделках с землей и креди</w:t>
      </w:r>
      <w:r>
        <w:t>т</w:t>
      </w:r>
      <w:r>
        <w:t>ных сделках.</w:t>
      </w:r>
    </w:p>
    <w:p w:rsidR="00000000" w:rsidRDefault="00000000">
      <w:pPr>
        <w:pStyle w:val="H23"/>
      </w:pPr>
      <w:r>
        <w:t>15.6.</w:t>
      </w:r>
      <w:r>
        <w:tab/>
        <w:t>Признание недействительными документов, ограничивающих правоспособность женщин.</w:t>
      </w:r>
    </w:p>
    <w:p w:rsidR="00000000" w:rsidRDefault="00000000">
      <w:pPr>
        <w:pStyle w:val="SingleTxt"/>
      </w:pPr>
      <w:r>
        <w:t>15.6.1.</w:t>
      </w:r>
      <w:r>
        <w:tab/>
        <w:t>В 1988-92 годах, когда был представлен первый доклад, еще не с</w:t>
      </w:r>
      <w:r>
        <w:t>у</w:t>
      </w:r>
      <w:r>
        <w:t>ществовало закона о признании недействительными документов, огранич</w:t>
      </w:r>
      <w:r>
        <w:t>и</w:t>
      </w:r>
      <w:r>
        <w:t>вающих правоспособность женщин. Правительство осуществляло политику регулирования цен, в основном на продовольственные товары и прочие пре</w:t>
      </w:r>
      <w:r>
        <w:t>д</w:t>
      </w:r>
      <w:r>
        <w:t>меты первой необходимости, на которые женщины тратят непропорционально большую часть своих доходов по сравнению с мужчинами. Такая ситуация с</w:t>
      </w:r>
      <w:r>
        <w:t>о</w:t>
      </w:r>
      <w:r>
        <w:t>хранялась до 1994 года, когда новое правительство отменило практику регул</w:t>
      </w:r>
      <w:r>
        <w:t>и</w:t>
      </w:r>
      <w:r>
        <w:t>ров</w:t>
      </w:r>
      <w:r>
        <w:t>а</w:t>
      </w:r>
      <w:r>
        <w:t>ния цен.</w:t>
      </w:r>
    </w:p>
    <w:p w:rsidR="00000000" w:rsidRDefault="00000000">
      <w:pPr>
        <w:pStyle w:val="SingleTxt"/>
      </w:pPr>
      <w:r>
        <w:t>15.6.2.</w:t>
      </w:r>
      <w:r>
        <w:tab/>
        <w:t>В соответствии с действующей Конституцией правительство должно принимать законодательные меры, направленные на ликвидацию обычаев и практики, основанных на дискриминации в отношении женщин</w:t>
      </w:r>
      <w:r>
        <w:rPr>
          <w:rStyle w:val="FootnoteReference"/>
          <w:sz w:val="20"/>
        </w:rPr>
        <w:footnoteReference w:id="131"/>
      </w:r>
      <w:r>
        <w:t>. Государс</w:t>
      </w:r>
      <w:r>
        <w:t>т</w:t>
      </w:r>
      <w:r>
        <w:t>во также может принимать законодательные меры по признанию дискримин</w:t>
      </w:r>
      <w:r>
        <w:t>а</w:t>
      </w:r>
      <w:r>
        <w:t>ционных практик и пропаганды таких практик в качестве уголовно наказуемых деяний, преследуемых в судебном порядке</w:t>
      </w:r>
      <w:r>
        <w:rPr>
          <w:rStyle w:val="FootnoteReference"/>
          <w:sz w:val="20"/>
        </w:rPr>
        <w:footnoteReference w:id="132"/>
      </w:r>
      <w:r>
        <w:t>. Ряд компаний и других учре</w:t>
      </w:r>
      <w:r>
        <w:t>ж</w:t>
      </w:r>
      <w:r>
        <w:t>дений требуют, чтобы бланки заявлений на получение образования и прочих услуг заполнялись мужем, а не ж</w:t>
      </w:r>
      <w:r>
        <w:t>е</w:t>
      </w:r>
      <w:r>
        <w:t>ной.</w:t>
      </w:r>
    </w:p>
    <w:p w:rsidR="00000000" w:rsidRDefault="00000000">
      <w:pPr>
        <w:pStyle w:val="H23"/>
      </w:pPr>
      <w:r>
        <w:t>15.7</w:t>
      </w:r>
      <w:r>
        <w:tab/>
        <w:t>Равные права при управлении имуществом</w:t>
      </w:r>
    </w:p>
    <w:p w:rsidR="00000000" w:rsidRDefault="00000000">
      <w:pPr>
        <w:pStyle w:val="SingleTxt"/>
      </w:pPr>
      <w:r>
        <w:t>15.7.1.</w:t>
      </w:r>
      <w:r>
        <w:tab/>
        <w:t>Нормы обычного права признают преимущественное право мужчин на владение  имуществом, что приводит к появлению гендерных стереотипов, позволяющих судам выносить постановления, согласно которым основные юридические права на распоряжение имуществом семьи принадлежат мужу. Социально обусловленные представления о роли мужчин и женщин приводят к тому, что женщины имеют право распоряжаться только традиционно женской собственностью. Ряд законодательных актов, например закон о завещании и наследстве и закон о регистрации земельной собственности, способствуют дискриминации по признаку пола или не предусматривают мер против такой дискриминации. В соответствии с нормами обычного права и культурными нормами замужняя женщина может распоряжаться собственностью, которая считается женской. Однако, в процессе осуществляемого в настоящее время пересмотра закона о завещании и наследстве гендерным аспектам и, в ряде случаев, потребностям женщин и детей уделяется пов</w:t>
      </w:r>
      <w:r>
        <w:t>ы</w:t>
      </w:r>
      <w:r>
        <w:t>шенное внимание.</w:t>
      </w:r>
    </w:p>
    <w:p w:rsidR="00000000" w:rsidRDefault="00000000">
      <w:pPr>
        <w:pStyle w:val="SingleTxt"/>
      </w:pPr>
      <w:r>
        <w:t>15.7.2.</w:t>
      </w:r>
      <w:r>
        <w:tab/>
        <w:t>В 1994 году в Конституцию было включено положение о том, что р</w:t>
      </w:r>
      <w:r>
        <w:t>а</w:t>
      </w:r>
      <w:r>
        <w:t>венство гражданской правоспособности предполагает равное право приобр</w:t>
      </w:r>
      <w:r>
        <w:t>е</w:t>
      </w:r>
      <w:r>
        <w:t>тать имущество и распоряжаться им как самостоятельно, так и совместно с другими лицами</w:t>
      </w:r>
      <w:r>
        <w:rPr>
          <w:rStyle w:val="FootnoteReference"/>
          <w:sz w:val="20"/>
        </w:rPr>
        <w:footnoteReference w:id="133"/>
      </w:r>
      <w:r>
        <w:t>. Помимо того, что положения Конституции предусматр</w:t>
      </w:r>
      <w:r>
        <w:t>и</w:t>
      </w:r>
      <w:r>
        <w:t>вают возможность ограничения тем или иным способом ряда прав при нес</w:t>
      </w:r>
      <w:r>
        <w:t>о</w:t>
      </w:r>
      <w:r>
        <w:t>блюдении определенных условий, законом не признается приобретение прав собственности на имущество на основании вхождения в состав одного и того же домашнего хозяйства или каким-либо другим косвенным путем</w:t>
      </w:r>
      <w:r>
        <w:rPr>
          <w:rStyle w:val="FootnoteReference"/>
          <w:sz w:val="20"/>
        </w:rPr>
        <w:footnoteReference w:id="134"/>
      </w:r>
      <w:r>
        <w:t>. В период с 1992 по 1994 год благодаря, главным образом, расширению доступа к микр</w:t>
      </w:r>
      <w:r>
        <w:t>о</w:t>
      </w:r>
      <w:r>
        <w:t>кредитованию увеличилось количество женщин-предпринимателей. Однако, большинство сельских женщин по-прежнему не имеют возможности приобр</w:t>
      </w:r>
      <w:r>
        <w:t>е</w:t>
      </w:r>
      <w:r>
        <w:t>тать имущество и распоряжаться им. В частности, домашние хозяйства, во</w:t>
      </w:r>
      <w:r>
        <w:t>з</w:t>
      </w:r>
      <w:r>
        <w:t>главляемые женщин</w:t>
      </w:r>
      <w:r>
        <w:t>а</w:t>
      </w:r>
      <w:r>
        <w:t>ми и составляющие 30 процентов всех хозяйств, по-прежнему менее обеспечены, чем домашние хозяйства, возглавляемые мужч</w:t>
      </w:r>
      <w:r>
        <w:t>и</w:t>
      </w:r>
      <w:r>
        <w:t>нами.</w:t>
      </w:r>
    </w:p>
    <w:p w:rsidR="00000000" w:rsidRDefault="00000000">
      <w:pPr>
        <w:pStyle w:val="SingleTxt"/>
      </w:pPr>
      <w:r>
        <w:t>15.7.3.</w:t>
      </w:r>
      <w:r>
        <w:tab/>
        <w:t>С 1996 года правительство совместно с рядом неправительственных организаций ведет активную работу в области учета гендерной проблематики и повышения осведомленности по гендерным вопросам. Проводятся исследов</w:t>
      </w:r>
      <w:r>
        <w:t>а</w:t>
      </w:r>
      <w:r>
        <w:t>ния и ведется агитационная деятельность по таким проблемам, как широко распространенная в Малави практика лишения вдов прав на собственность, бытовое насилие и насилие по признаку пола в целом. Кроме того, молодежные правозащитные учреждения и группы, а также студенты университетов пров</w:t>
      </w:r>
      <w:r>
        <w:t>о</w:t>
      </w:r>
      <w:r>
        <w:t>дят кампании по информированию общин об их юридических правах. Эффе</w:t>
      </w:r>
      <w:r>
        <w:t>к</w:t>
      </w:r>
      <w:r>
        <w:t>тивность таких кампаний превзошла все ожидания. По мере повышения обр</w:t>
      </w:r>
      <w:r>
        <w:t>а</w:t>
      </w:r>
      <w:r>
        <w:t>зовательного уровня женщин и расширения их экономических прав и возмо</w:t>
      </w:r>
      <w:r>
        <w:t>ж</w:t>
      </w:r>
      <w:r>
        <w:t>ностей члены общин начинают осознавать, что владеть и распоряжаться им</w:t>
      </w:r>
      <w:r>
        <w:t>у</w:t>
      </w:r>
      <w:r>
        <w:t>ществом могут как мужчины, так и женщины.</w:t>
      </w:r>
    </w:p>
    <w:p w:rsidR="00000000" w:rsidRDefault="00000000">
      <w:pPr>
        <w:pStyle w:val="H23"/>
      </w:pPr>
      <w:r>
        <w:t>15.8.</w:t>
      </w:r>
      <w:r>
        <w:tab/>
        <w:t>Равное отношение на всех этапах судебного разбирательства</w:t>
      </w:r>
    </w:p>
    <w:p w:rsidR="00000000" w:rsidRDefault="00000000">
      <w:pPr>
        <w:pStyle w:val="SingleTxt"/>
      </w:pPr>
      <w:r>
        <w:t>15.8.1.</w:t>
      </w:r>
      <w:r>
        <w:tab/>
        <w:t>После того как в 1994 году вступила в силу новая Конституция, был предпринят ряд правовых реформ и мер. В общей статье о недискриминации говорится о том, что любому лицу гарантируется равная и эффективная защита от дискриминации по признаку пола</w:t>
      </w:r>
      <w:r>
        <w:rPr>
          <w:rStyle w:val="FootnoteReference"/>
          <w:sz w:val="20"/>
        </w:rPr>
        <w:footnoteReference w:id="135"/>
      </w:r>
      <w:r>
        <w:t>. Любое лицо имеет право обращения в суд или трибунал</w:t>
      </w:r>
      <w:r>
        <w:rPr>
          <w:rStyle w:val="FootnoteReference"/>
          <w:sz w:val="20"/>
        </w:rPr>
        <w:footnoteReference w:id="136"/>
      </w:r>
      <w:r>
        <w:t xml:space="preserve"> и право на эффективные средства правовой защиты</w:t>
      </w:r>
      <w:r>
        <w:rPr>
          <w:rStyle w:val="FootnoteReference"/>
          <w:sz w:val="20"/>
        </w:rPr>
        <w:footnoteReference w:id="137"/>
      </w:r>
      <w:r>
        <w:t>. Любому лицу должно быть обеспечено право на справедливое отношение и справедливое судебное разбирательство. В рамках правовой реформы были о</w:t>
      </w:r>
      <w:r>
        <w:t>т</w:t>
      </w:r>
      <w:r>
        <w:t>менены законы, запрещающие женщинам ношение брюк. Правительство и з</w:t>
      </w:r>
      <w:r>
        <w:t>а</w:t>
      </w:r>
      <w:r>
        <w:t>интересованные стороны оказывают женщинам, нуждающимся в консультации юриста, бесплатную правовую помощь и расширяют их доступ к смежным у</w:t>
      </w:r>
      <w:r>
        <w:t>с</w:t>
      </w:r>
      <w:r>
        <w:t>лугам</w:t>
      </w:r>
      <w:r>
        <w:rPr>
          <w:rStyle w:val="FootnoteReference"/>
          <w:sz w:val="20"/>
        </w:rPr>
        <w:footnoteReference w:id="138"/>
      </w:r>
      <w:r>
        <w:t>.</w:t>
      </w:r>
    </w:p>
    <w:p w:rsidR="00000000" w:rsidRDefault="00000000">
      <w:pPr>
        <w:pStyle w:val="SingleTxt"/>
      </w:pPr>
      <w:r>
        <w:t>15.8.2.</w:t>
      </w:r>
      <w:r>
        <w:tab/>
        <w:t>Судебная система постепенно реформируется, но многое еще только предстоит сделать. Так, некоторые должностные лица судов процессуального и обычного права не учитывают гендерную проблематику в своей работе. Же</w:t>
      </w:r>
      <w:r>
        <w:t>н</w:t>
      </w:r>
      <w:r>
        <w:t>щины недостаточно представлены в секторе отправления правосудия. В среде юристов многие мужчины игнорируют гендерные аспекты и предпочитают поддерживать партнерские отношения с коллегами-мужчинами. Случается, что стороны в судебных разбирательствах прибегают к зап</w:t>
      </w:r>
      <w:r>
        <w:t>у</w:t>
      </w:r>
      <w:r>
        <w:t>гиванию женщин-юристов. В настоящее время женщины по-прежнему часто выступают в кач</w:t>
      </w:r>
      <w:r>
        <w:t>е</w:t>
      </w:r>
      <w:r>
        <w:t>стве потерпевших в делах по изнасилованию. Судья в суде первой инстанции оправдал мужчину, который насильственно принудил женщину к половому а</w:t>
      </w:r>
      <w:r>
        <w:t>к</w:t>
      </w:r>
      <w:r>
        <w:t>ту, на том основании, что, по мнению судьи, женщины всегда отказываются от полового акта, независимо от того, хотят они его или нет</w:t>
      </w:r>
      <w:r>
        <w:rPr>
          <w:rStyle w:val="FootnoteReference"/>
          <w:sz w:val="20"/>
        </w:rPr>
        <w:footnoteReference w:id="139"/>
      </w:r>
      <w:r>
        <w:t>. Как свидетельс</w:t>
      </w:r>
      <w:r>
        <w:t>т</w:t>
      </w:r>
      <w:r>
        <w:t>вует практика лишения прав на собственность, женщины по-прежнему не имеют равного доступа к судебной системе.</w:t>
      </w:r>
    </w:p>
    <w:p w:rsidR="00000000" w:rsidRDefault="00000000">
      <w:pPr>
        <w:pStyle w:val="H23"/>
      </w:pPr>
      <w:r>
        <w:t>15.9.</w:t>
      </w:r>
      <w:r>
        <w:tab/>
        <w:t>Равноправие в вопросах свободы передвижения</w:t>
      </w:r>
    </w:p>
    <w:p w:rsidR="00000000" w:rsidRDefault="00000000">
      <w:pPr>
        <w:pStyle w:val="SingleTxt"/>
      </w:pPr>
      <w:r>
        <w:t>15.9.1.</w:t>
      </w:r>
      <w:r>
        <w:tab/>
        <w:t>В Конституции 1994 года говорится, что любое лицо имеет право на свободу передвижения на территории Малави, а также право свободного вые</w:t>
      </w:r>
      <w:r>
        <w:t>з</w:t>
      </w:r>
      <w:r>
        <w:t>да из Малави</w:t>
      </w:r>
      <w:r>
        <w:rPr>
          <w:rStyle w:val="FootnoteReference"/>
          <w:sz w:val="20"/>
        </w:rPr>
        <w:footnoteReference w:id="140"/>
      </w:r>
      <w:r>
        <w:t>. Ограничивавший такую свободу закон об охране обществе</w:t>
      </w:r>
      <w:r>
        <w:t>н</w:t>
      </w:r>
      <w:r>
        <w:t>ной безопасности также был отменен. По мере повышения уровня грамотности и распространения денежной экономики все больше женщин пользуются этим правом. Однако передвижение женщин по-прежнему контролируют родстве</w:t>
      </w:r>
      <w:r>
        <w:t>н</w:t>
      </w:r>
      <w:r>
        <w:t>ники-мужчины, например о</w:t>
      </w:r>
      <w:r>
        <w:t>т</w:t>
      </w:r>
      <w:r>
        <w:t>цы, мужья, дядья и братья.</w:t>
      </w:r>
    </w:p>
    <w:p w:rsidR="00000000" w:rsidRDefault="00000000">
      <w:pPr>
        <w:pStyle w:val="H23"/>
        <w:ind w:left="1418" w:hanging="624"/>
      </w:pPr>
      <w:r>
        <w:t>15.10.</w:t>
      </w:r>
      <w:r>
        <w:tab/>
        <w:t>Равноправие в вопросах свободы выбора места проживания и местожительства</w:t>
      </w:r>
    </w:p>
    <w:p w:rsidR="00000000" w:rsidRDefault="00000000">
      <w:pPr>
        <w:pStyle w:val="SingleTxt"/>
      </w:pPr>
      <w:r>
        <w:t>15.10.1.</w:t>
      </w:r>
      <w:r>
        <w:tab/>
        <w:t>Когда был представлен первый доклад (в 1988-92 годах), в стране действовал закон о браке, согласно которому гражданство предоставлялось по мужу или отцу. Согласно этому закону, дети гражданки Малави, состоящей в браке с иностранцем, не являлись гражданами Малави.</w:t>
      </w:r>
      <w:r>
        <w:rPr>
          <w:rStyle w:val="FootnoteReference"/>
          <w:sz w:val="20"/>
        </w:rPr>
        <w:footnoteReference w:id="141"/>
      </w:r>
      <w:r>
        <w:t xml:space="preserve"> Место проживания женщины зависело от ее семейного положения и места проживания ее семьи. В соответствии с нормами обычного права, как в матрилинейном, так и в патр</w:t>
      </w:r>
      <w:r>
        <w:t>и</w:t>
      </w:r>
      <w:r>
        <w:t>линейном обществе женщина должна проживать либо в своей деревне, либо в деревне мужа, если тол</w:t>
      </w:r>
      <w:r>
        <w:t>ь</w:t>
      </w:r>
      <w:r>
        <w:t>ко муж или его семья не выражают желания переехать.</w:t>
      </w:r>
    </w:p>
    <w:p w:rsidR="00000000" w:rsidRDefault="00000000">
      <w:pPr>
        <w:pStyle w:val="SingleTxt"/>
      </w:pPr>
      <w:r>
        <w:t>15.10.2.</w:t>
      </w:r>
      <w:r>
        <w:tab/>
        <w:t>В 1992-96 годах Правовая комиссия представила парламенту ряд р</w:t>
      </w:r>
      <w:r>
        <w:t>е</w:t>
      </w:r>
      <w:r>
        <w:t>комендаций относительно внесения изменений в закон о гражданстве, но по формальным причинам эти рекомендации были откл</w:t>
      </w:r>
      <w:r>
        <w:t>о</w:t>
      </w:r>
      <w:r>
        <w:t>нены.</w:t>
      </w:r>
    </w:p>
    <w:p w:rsidR="00000000" w:rsidRDefault="00000000">
      <w:pPr>
        <w:pStyle w:val="H23"/>
      </w:pPr>
      <w:r>
        <w:t>15.11.</w:t>
      </w:r>
      <w:r>
        <w:tab/>
        <w:t>Заключение</w:t>
      </w:r>
    </w:p>
    <w:p w:rsidR="00000000" w:rsidRDefault="00000000">
      <w:pPr>
        <w:pStyle w:val="SingleTxt"/>
      </w:pPr>
      <w:r>
        <w:t>В отличие от прежней конституции, Конституция, принятая в 1994 году, гара</w:t>
      </w:r>
      <w:r>
        <w:t>н</w:t>
      </w:r>
      <w:r>
        <w:t>тирует равноправие мужчин и женщин. Установлению фактического равенства препятствуют культурные факторы, традиции, стереотипные представления о роли мужчин и женщин, а также относительная бесправность женщин с экон</w:t>
      </w:r>
      <w:r>
        <w:t>о</w:t>
      </w:r>
      <w:r>
        <w:t>мической точки зрения. Конституционные рамки служат основой для дальне</w:t>
      </w:r>
      <w:r>
        <w:t>й</w:t>
      </w:r>
      <w:r>
        <w:t>шего содействия обеспечению равенства мужчин и женщин и выполнения п</w:t>
      </w:r>
      <w:r>
        <w:t>о</w:t>
      </w:r>
      <w:r>
        <w:t>ложений Конст</w:t>
      </w:r>
      <w:r>
        <w:t>и</w:t>
      </w:r>
      <w:r>
        <w:t>туции.</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1"/>
      </w:pPr>
      <w:bookmarkStart w:id="68" w:name="_Toc83977549"/>
      <w:r>
        <w:t>Статья 16:</w:t>
      </w:r>
      <w:r>
        <w:tab/>
        <w:t>Равенство в брачном и семейном праве</w:t>
      </w:r>
      <w:bookmarkEnd w:id="68"/>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rPr>
          <w:sz w:val="10"/>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120" w:lineRule="exact"/>
        <w:rPr>
          <w:sz w:val="10"/>
        </w:rPr>
      </w:pPr>
    </w:p>
    <w:p w:rsidR="00000000" w:rsidRDefault="00000000">
      <w:pPr>
        <w:pStyle w:val="H23"/>
      </w:pPr>
      <w:r>
        <w:t>16.1.</w:t>
      </w:r>
      <w:r>
        <w:tab/>
        <w:t>Стандарты КЛДЖ</w:t>
      </w:r>
    </w:p>
    <w:p w:rsidR="00000000" w:rsidRDefault="00000000">
      <w:pPr>
        <w:pStyle w:val="SingleTxt"/>
        <w:rPr>
          <w:i/>
        </w:rPr>
      </w:pPr>
      <w:r>
        <w:rPr>
          <w:i/>
        </w:rPr>
        <w:t>Статья 16. 1. Государства-участники принимают все соответствующие м</w:t>
      </w:r>
      <w:r>
        <w:rPr>
          <w:i/>
        </w:rPr>
        <w:t>е</w:t>
      </w:r>
      <w:r>
        <w:rPr>
          <w:i/>
        </w:rPr>
        <w:t>ры для ликвидации дискриминации в отношении женщин во всех вопросах, к</w:t>
      </w:r>
      <w:r>
        <w:rPr>
          <w:i/>
        </w:rPr>
        <w:t>а</w:t>
      </w:r>
      <w:r>
        <w:rPr>
          <w:i/>
        </w:rPr>
        <w:t>сающихся брака и семейных отношений, и, в частности, обеспечивают на о</w:t>
      </w:r>
      <w:r>
        <w:rPr>
          <w:i/>
        </w:rPr>
        <w:t>с</w:t>
      </w:r>
      <w:r>
        <w:rPr>
          <w:i/>
        </w:rPr>
        <w:t>нове равенс</w:t>
      </w:r>
      <w:r>
        <w:rPr>
          <w:i/>
        </w:rPr>
        <w:t>т</w:t>
      </w:r>
      <w:r>
        <w:rPr>
          <w:i/>
        </w:rPr>
        <w:t>ва мужчин и женщин:</w:t>
      </w:r>
    </w:p>
    <w:p w:rsidR="00000000" w:rsidRDefault="00000000">
      <w:pPr>
        <w:pStyle w:val="SingleTxt"/>
        <w:rPr>
          <w:i/>
        </w:rPr>
      </w:pPr>
      <w:r>
        <w:rPr>
          <w:i/>
        </w:rPr>
        <w:t>а)</w:t>
      </w:r>
      <w:r>
        <w:rPr>
          <w:i/>
        </w:rPr>
        <w:tab/>
        <w:t>одинаковые права на вступление в брак;</w:t>
      </w:r>
    </w:p>
    <w:p w:rsidR="00000000" w:rsidRDefault="00000000">
      <w:pPr>
        <w:pStyle w:val="SingleTxt"/>
        <w:rPr>
          <w:i/>
        </w:rPr>
      </w:pPr>
      <w:r>
        <w:rPr>
          <w:i/>
        </w:rPr>
        <w:t>b)</w:t>
      </w:r>
      <w:r>
        <w:rPr>
          <w:i/>
        </w:rPr>
        <w:tab/>
        <w:t>одинаковые права на свободный выбор супруга и на вступление в брак только со своего свободн</w:t>
      </w:r>
      <w:r>
        <w:rPr>
          <w:i/>
        </w:rPr>
        <w:t>о</w:t>
      </w:r>
      <w:r>
        <w:rPr>
          <w:i/>
        </w:rPr>
        <w:t>го и полного согласия;</w:t>
      </w:r>
    </w:p>
    <w:p w:rsidR="00000000" w:rsidRDefault="00000000">
      <w:pPr>
        <w:pStyle w:val="SingleTxt"/>
        <w:rPr>
          <w:i/>
        </w:rPr>
      </w:pPr>
      <w:r>
        <w:rPr>
          <w:i/>
        </w:rPr>
        <w:t>c)</w:t>
      </w:r>
      <w:r>
        <w:rPr>
          <w:i/>
        </w:rPr>
        <w:tab/>
        <w:t>одинаковые права и обязанности в период брака и при его расторжении;</w:t>
      </w:r>
    </w:p>
    <w:p w:rsidR="00000000" w:rsidRDefault="00000000">
      <w:pPr>
        <w:pStyle w:val="SingleTxt"/>
        <w:rPr>
          <w:i/>
        </w:rPr>
      </w:pPr>
      <w:r>
        <w:rPr>
          <w:i/>
        </w:rPr>
        <w:t>d)</w:t>
      </w:r>
      <w:r>
        <w:rPr>
          <w:i/>
        </w:rPr>
        <w:tab/>
        <w:t>одинаковые права и обязанности мужчин и женщин как родителей, нез</w:t>
      </w:r>
      <w:r>
        <w:rPr>
          <w:i/>
        </w:rPr>
        <w:t>а</w:t>
      </w:r>
      <w:r>
        <w:rPr>
          <w:i/>
        </w:rPr>
        <w:t>висимо от их семейного положения, в вопросах, касающихся их детей; во всех случ</w:t>
      </w:r>
      <w:r>
        <w:rPr>
          <w:i/>
        </w:rPr>
        <w:t>а</w:t>
      </w:r>
      <w:r>
        <w:rPr>
          <w:i/>
        </w:rPr>
        <w:t>ях интересы детей являются преобладающими;</w:t>
      </w:r>
    </w:p>
    <w:p w:rsidR="00000000" w:rsidRDefault="00000000">
      <w:pPr>
        <w:pStyle w:val="SingleTxt"/>
        <w:rPr>
          <w:i/>
        </w:rPr>
      </w:pPr>
      <w:r>
        <w:rPr>
          <w:i/>
        </w:rPr>
        <w:t>е)</w:t>
      </w:r>
      <w:r>
        <w:rPr>
          <w:i/>
        </w:rPr>
        <w:tab/>
        <w:t>одинаковые права свободно и ответственно решать вопрос о числе д</w:t>
      </w:r>
      <w:r>
        <w:rPr>
          <w:i/>
        </w:rPr>
        <w:t>е</w:t>
      </w:r>
      <w:r>
        <w:rPr>
          <w:i/>
        </w:rPr>
        <w:t>тей и промежутках между их рождениями и иметь доступ к информации, о</w:t>
      </w:r>
      <w:r>
        <w:rPr>
          <w:i/>
        </w:rPr>
        <w:t>б</w:t>
      </w:r>
      <w:r>
        <w:rPr>
          <w:i/>
        </w:rPr>
        <w:t>разованию, а также средствам, которые позволяют им осуществлять это право;</w:t>
      </w:r>
    </w:p>
    <w:p w:rsidR="00000000" w:rsidRDefault="00000000">
      <w:pPr>
        <w:pStyle w:val="SingleTxt"/>
        <w:rPr>
          <w:i/>
        </w:rPr>
      </w:pPr>
      <w:r>
        <w:rPr>
          <w:i/>
        </w:rPr>
        <w:t>f)</w:t>
      </w:r>
      <w:r>
        <w:rPr>
          <w:i/>
        </w:rPr>
        <w:tab/>
        <w:t>одинаковые права и обязанности быть опекунами, попечителями, дов</w:t>
      </w:r>
      <w:r>
        <w:rPr>
          <w:i/>
        </w:rPr>
        <w:t>е</w:t>
      </w:r>
      <w:r>
        <w:rPr>
          <w:i/>
        </w:rPr>
        <w:t>рителями и усыновителями детей или осуществлять аналогичные функции, когда они предусмотрены национальным законодательством; во всех случаях интер</w:t>
      </w:r>
      <w:r>
        <w:rPr>
          <w:i/>
        </w:rPr>
        <w:t>е</w:t>
      </w:r>
      <w:r>
        <w:rPr>
          <w:i/>
        </w:rPr>
        <w:t>сы детей являются преобладающими;</w:t>
      </w:r>
    </w:p>
    <w:p w:rsidR="00000000" w:rsidRDefault="00000000">
      <w:pPr>
        <w:pStyle w:val="SingleTxt"/>
        <w:rPr>
          <w:i/>
        </w:rPr>
      </w:pPr>
      <w:r>
        <w:rPr>
          <w:i/>
        </w:rPr>
        <w:t>g)</w:t>
      </w:r>
      <w:r>
        <w:rPr>
          <w:i/>
        </w:rPr>
        <w:tab/>
        <w:t>одинаковые личные права мужа и жены, в том числе право выбора фам</w:t>
      </w:r>
      <w:r>
        <w:rPr>
          <w:i/>
        </w:rPr>
        <w:t>и</w:t>
      </w:r>
      <w:r>
        <w:rPr>
          <w:i/>
        </w:rPr>
        <w:t>лии, профессии и занятия;</w:t>
      </w:r>
    </w:p>
    <w:p w:rsidR="00000000" w:rsidRDefault="00000000">
      <w:pPr>
        <w:pStyle w:val="SingleTxt"/>
        <w:rPr>
          <w:i/>
        </w:rPr>
      </w:pPr>
      <w:r>
        <w:rPr>
          <w:i/>
        </w:rPr>
        <w:t>h)</w:t>
      </w:r>
      <w:r>
        <w:rPr>
          <w:i/>
        </w:rPr>
        <w:tab/>
        <w:t>одинаковые права супругов в отношении владения, приобретения, упра</w:t>
      </w:r>
      <w:r>
        <w:rPr>
          <w:i/>
        </w:rPr>
        <w:t>в</w:t>
      </w:r>
      <w:r>
        <w:rPr>
          <w:i/>
        </w:rPr>
        <w:t>ления, пользования и распоряжения имуществом как бесплатно, так и за пл</w:t>
      </w:r>
      <w:r>
        <w:rPr>
          <w:i/>
        </w:rPr>
        <w:t>а</w:t>
      </w:r>
      <w:r>
        <w:rPr>
          <w:i/>
        </w:rPr>
        <w:t xml:space="preserve">ту. </w:t>
      </w:r>
    </w:p>
    <w:p w:rsidR="00000000" w:rsidRDefault="00000000">
      <w:pPr>
        <w:pStyle w:val="SingleTxt"/>
      </w:pPr>
      <w:r>
        <w:rPr>
          <w:i/>
        </w:rPr>
        <w:t>2. Обручение и брак ребенка не имеют юридической силы, и принимаются все необходимые меры, включая законодательные, с целью определения минимал</w:t>
      </w:r>
      <w:r>
        <w:rPr>
          <w:i/>
        </w:rPr>
        <w:t>ь</w:t>
      </w:r>
      <w:r>
        <w:rPr>
          <w:i/>
        </w:rPr>
        <w:t>ного брачного возраста и обязательной регистрации браков в актах гражда</w:t>
      </w:r>
      <w:r>
        <w:rPr>
          <w:i/>
        </w:rPr>
        <w:t>н</w:t>
      </w:r>
      <w:r>
        <w:rPr>
          <w:i/>
        </w:rPr>
        <w:t>ского с</w:t>
      </w:r>
      <w:r>
        <w:rPr>
          <w:i/>
        </w:rPr>
        <w:t>о</w:t>
      </w:r>
      <w:r>
        <w:rPr>
          <w:i/>
        </w:rPr>
        <w:t>стояния.</w:t>
      </w:r>
    </w:p>
    <w:p w:rsidR="00000000" w:rsidRDefault="00000000">
      <w:pPr>
        <w:pStyle w:val="H23"/>
      </w:pPr>
      <w:r>
        <w:t>16.2.</w:t>
      </w:r>
      <w:r>
        <w:tab/>
        <w:t>Введение</w:t>
      </w:r>
    </w:p>
    <w:p w:rsidR="00000000" w:rsidRDefault="00000000">
      <w:pPr>
        <w:pStyle w:val="SingleTxt"/>
      </w:pPr>
      <w:r>
        <w:t>16.2.1</w:t>
      </w:r>
      <w:r>
        <w:tab/>
        <w:t>В соответствии с Конституцией семья является основной ячейкой общества и пользуется социальной защитой</w:t>
      </w:r>
      <w:r>
        <w:rPr>
          <w:rStyle w:val="FootnoteReference"/>
          <w:sz w:val="20"/>
        </w:rPr>
        <w:footnoteReference w:id="142"/>
      </w:r>
      <w:r>
        <w:t>. Кроме того, ст</w:t>
      </w:r>
      <w:r>
        <w:t>а</w:t>
      </w:r>
      <w:r>
        <w:t>тья 24 Конституции отдельно гарантирует женщинам право на «всеобъемл</w:t>
      </w:r>
      <w:r>
        <w:t>ю</w:t>
      </w:r>
      <w:r>
        <w:t>щую и равную защиту законом» и на защиту от дискриминации.</w:t>
      </w:r>
    </w:p>
    <w:p w:rsidR="00000000" w:rsidRDefault="00000000">
      <w:pPr>
        <w:pStyle w:val="SingleTxt"/>
      </w:pPr>
      <w:r>
        <w:t>16.2.2</w:t>
      </w:r>
      <w:r>
        <w:tab/>
        <w:t>В Малави семья является основным элементом обеспечения равн</w:t>
      </w:r>
      <w:r>
        <w:t>о</w:t>
      </w:r>
      <w:r>
        <w:t>правия мужчин и женщин и ликвидации неравенства и стереотипных предста</w:t>
      </w:r>
      <w:r>
        <w:t>в</w:t>
      </w:r>
      <w:r>
        <w:t>лений. Таким образом, для повышения эффективности мероприятий по борьбе с дискриминацией в отношении женщин и по содействию обеспечению равн</w:t>
      </w:r>
      <w:r>
        <w:t>о</w:t>
      </w:r>
      <w:r>
        <w:t>правия мужчин и женщин необходимо, чтобы соответствующие последов</w:t>
      </w:r>
      <w:r>
        <w:t>а</w:t>
      </w:r>
      <w:r>
        <w:t>тельные меры были н</w:t>
      </w:r>
      <w:r>
        <w:t>а</w:t>
      </w:r>
      <w:r>
        <w:t>правлены именно на семью.</w:t>
      </w:r>
    </w:p>
    <w:p w:rsidR="00000000" w:rsidRDefault="00000000">
      <w:pPr>
        <w:pStyle w:val="SingleTxt"/>
      </w:pPr>
      <w:r>
        <w:t>16.2.3</w:t>
      </w:r>
      <w:r>
        <w:tab/>
        <w:t>Неравенство мужчин и женщин проявляется на различных этапах существования семьи: от заключения брака до его прекращения. Кроме того, законодательство уделяет основное внимание браку и не предусматривает пр</w:t>
      </w:r>
      <w:r>
        <w:t>о</w:t>
      </w:r>
      <w:r>
        <w:t>грамм по ликв</w:t>
      </w:r>
      <w:r>
        <w:t>и</w:t>
      </w:r>
      <w:r>
        <w:t>дации дискриминации.</w:t>
      </w:r>
    </w:p>
    <w:p w:rsidR="00000000" w:rsidRDefault="00000000">
      <w:pPr>
        <w:pStyle w:val="H23"/>
      </w:pPr>
      <w:r>
        <w:t>16.3.</w:t>
      </w:r>
      <w:r>
        <w:tab/>
        <w:t>Вступление в брак</w:t>
      </w:r>
    </w:p>
    <w:p w:rsidR="00000000" w:rsidRDefault="00000000">
      <w:pPr>
        <w:pStyle w:val="SingleTxt"/>
      </w:pPr>
      <w:r>
        <w:t>16.3.1.</w:t>
      </w:r>
      <w:r>
        <w:tab/>
        <w:t>В целом, мужчины и женщины имеют одинаковые права на свобо</w:t>
      </w:r>
      <w:r>
        <w:t>д</w:t>
      </w:r>
      <w:r>
        <w:t>ный выбор супруга и на вступление в брак, что закреплено в ст</w:t>
      </w:r>
      <w:r>
        <w:t>а</w:t>
      </w:r>
      <w:r>
        <w:t>тье 22 Конституции, гарантирующей мужчинам и женщинам равные права на вступление в брак и создание семьи. До 1994 года такое право прямо не пред</w:t>
      </w:r>
      <w:r>
        <w:t>у</w:t>
      </w:r>
      <w:r>
        <w:t>сма</w:t>
      </w:r>
      <w:r>
        <w:t>т</w:t>
      </w:r>
      <w:r>
        <w:t>ривалось.</w:t>
      </w:r>
    </w:p>
    <w:p w:rsidR="00000000" w:rsidRDefault="00000000">
      <w:pPr>
        <w:pStyle w:val="SingleTxt"/>
      </w:pPr>
      <w:r>
        <w:t>16.3.2.</w:t>
      </w:r>
      <w:r>
        <w:tab/>
        <w:t>Статья 22 запрещает заключение браков без обоюдного согласия, или насильственных браков, а браки между лицами младше 15 лет не поощряются. С другой стороны, лица в возрасте от пятнадцати до восемнадцати лет могут вступить в брак при условии полного согласия родителей. Конституция разр</w:t>
      </w:r>
      <w:r>
        <w:t>е</w:t>
      </w:r>
      <w:r>
        <w:t>шает браки в детском возрасте, что противоречит статье 19 закона о браке, в соответствии с которой минимальный брачный возраст составляет двадцать один год и брак заключ</w:t>
      </w:r>
      <w:r>
        <w:t>а</w:t>
      </w:r>
      <w:r>
        <w:t>ется только с согласия родителей.</w:t>
      </w:r>
    </w:p>
    <w:p w:rsidR="00000000" w:rsidRDefault="00000000">
      <w:pPr>
        <w:pStyle w:val="SingleTxt"/>
      </w:pPr>
      <w:r>
        <w:t>16.3.3.</w:t>
      </w:r>
      <w:r>
        <w:tab/>
        <w:t>В Малави практикуются браки в детском возрасте. К 20 годам в бр</w:t>
      </w:r>
      <w:r>
        <w:t>а</w:t>
      </w:r>
      <w:r>
        <w:t>ке состоят 75 процентов женщин и только 21 процент мужчин. Существование ранних браков было подтверждено в ходе опросов членов общин при составл</w:t>
      </w:r>
      <w:r>
        <w:t>е</w:t>
      </w:r>
      <w:r>
        <w:t>нии доклада. В браке состоят даже девочки 12 лет, при условии, что они могут зачать ребенка. Также практикуется обручение детей, хотя число таких случаев заметно уменьшилось. Кроме того, в сельских общинах Малави существует косвенная форма заключения насильственных браков, распространению кот</w:t>
      </w:r>
      <w:r>
        <w:t>о</w:t>
      </w:r>
      <w:r>
        <w:t>рых способствует повышение уровня бедности. Так, родители нередко поо</w:t>
      </w:r>
      <w:r>
        <w:t>щ</w:t>
      </w:r>
      <w:r>
        <w:t>ряют ранние браки своих детей в надежде облегчить бремя расходов и даже приобрести новый источник мат</w:t>
      </w:r>
      <w:r>
        <w:t>е</w:t>
      </w:r>
      <w:r>
        <w:t>риальной поддержки.</w:t>
      </w:r>
    </w:p>
    <w:p w:rsidR="00000000" w:rsidRDefault="00000000">
      <w:pPr>
        <w:pStyle w:val="SingleTxt"/>
      </w:pPr>
      <w:r>
        <w:t>16.3.4.</w:t>
      </w:r>
      <w:r>
        <w:tab/>
        <w:t>В ходе опросов членов общин при составлении доклада выяснилось, что мужчины и женщины не всегда в равной степени пользуются правом на вступление в брак и создание семьи, главным образом по той причине, что большинство брачных союзов носят полигамный характер. Женщины, как пр</w:t>
      </w:r>
      <w:r>
        <w:t>а</w:t>
      </w:r>
      <w:r>
        <w:t>вило, вынуждены мириться с такими браками из страха лишиться финансовой и материальной поддержки, особе</w:t>
      </w:r>
      <w:r>
        <w:t>н</w:t>
      </w:r>
      <w:r>
        <w:t>но если у них есть дети.</w:t>
      </w:r>
    </w:p>
    <w:p w:rsidR="00000000" w:rsidRDefault="00000000">
      <w:pPr>
        <w:pStyle w:val="H23"/>
      </w:pPr>
      <w:r>
        <w:t>16.4.</w:t>
      </w:r>
      <w:r>
        <w:tab/>
        <w:t>Виды браков и порядок их оформления</w:t>
      </w:r>
    </w:p>
    <w:p w:rsidR="00000000" w:rsidRDefault="00000000">
      <w:pPr>
        <w:pStyle w:val="SingleTxt"/>
      </w:pPr>
      <w:r>
        <w:t>16.4.1.</w:t>
      </w:r>
      <w:r>
        <w:tab/>
        <w:t>Правовая система Малави предусматривает целый ряд видов брака, что способствует дискриминации при предоставлении женщинам прав. Права в браке распределяются в зависимости от выбранной супругами формы брака, причем такой выбор в сущности обусловлен культурными и религиозными нормами и писаными законами.</w:t>
      </w:r>
    </w:p>
    <w:p w:rsidR="00000000" w:rsidRDefault="00000000">
      <w:pPr>
        <w:pStyle w:val="SingleTxt"/>
      </w:pPr>
      <w:r>
        <w:t>16.4.2.</w:t>
      </w:r>
      <w:r>
        <w:tab/>
        <w:t>В Малави наиболее распространены браки, заключаемые в соотве</w:t>
      </w:r>
      <w:r>
        <w:t>т</w:t>
      </w:r>
      <w:r>
        <w:t>ствии с африканским обычным правом, нормы которого, в свою очередь, зав</w:t>
      </w:r>
      <w:r>
        <w:t>и</w:t>
      </w:r>
      <w:r>
        <w:t>сят от того, является ли общество патрилинейным (преобладает на севере страны) или матрилинейным (преобладает в центральной и южной частях страны). Такие браки допускают полигамию. Если брак заключается согласно обычаям патрилинейных обществ, он становится действительным после упл</w:t>
      </w:r>
      <w:r>
        <w:t>а</w:t>
      </w:r>
      <w:r>
        <w:t>ты «лоболы», то есть выкупа за невесту. «Лобола» является платой за выполн</w:t>
      </w:r>
      <w:r>
        <w:t>е</w:t>
      </w:r>
      <w:r>
        <w:t>ние женщиной репродуктивной функции и прочих супружеских обязанностей. Размер «лоболы» зависит от личных качеств и образования женщины. Небол</w:t>
      </w:r>
      <w:r>
        <w:t>ь</w:t>
      </w:r>
      <w:r>
        <w:t>шой размер «лоболы» устанавливается в тех случаях, если личные качества д</w:t>
      </w:r>
      <w:r>
        <w:t>о</w:t>
      </w:r>
      <w:r>
        <w:t>чери позволяют семье предполагать, что она не имеет большой ценности и не принесет большой пользы. Такая практика превращает женщину в товар, по</w:t>
      </w:r>
      <w:r>
        <w:t>д</w:t>
      </w:r>
      <w:r>
        <w:t>лежащий обмену. На юге страны в Нсандже, где нормой являются патрил</w:t>
      </w:r>
      <w:r>
        <w:t>о</w:t>
      </w:r>
      <w:r>
        <w:t>кальные браки, размер «лоболы» может также зависеть от реальных или п</w:t>
      </w:r>
      <w:r>
        <w:t>о</w:t>
      </w:r>
      <w:r>
        <w:t>тенциальных способностей женщины в качестве полового партнера, которые определяет ее отец в ходе кровосмесительного полового акта.</w:t>
      </w:r>
    </w:p>
    <w:p w:rsidR="00000000" w:rsidRDefault="00000000">
      <w:pPr>
        <w:pStyle w:val="SingleTxt"/>
      </w:pPr>
      <w:r>
        <w:t>16.4.3.</w:t>
      </w:r>
      <w:r>
        <w:tab/>
        <w:t>В матрилинейных обществах браки заключаются при помощи юри</w:t>
      </w:r>
      <w:r>
        <w:t>с</w:t>
      </w:r>
      <w:r>
        <w:t>консультов по вопросам брака, в большинстве случаев мужчин. Браки, закл</w:t>
      </w:r>
      <w:r>
        <w:t>ю</w:t>
      </w:r>
      <w:r>
        <w:t>ченные в соответствии с нормами обычного права, можно зарегистрировать в районных ассамблеях, но регистрация не меняет сущности брака, и лишь н</w:t>
      </w:r>
      <w:r>
        <w:t>е</w:t>
      </w:r>
      <w:r>
        <w:t>многие о</w:t>
      </w:r>
      <w:r>
        <w:t>б</w:t>
      </w:r>
      <w:r>
        <w:t>ращаются в такие учреждения за получением свидетельства о браке.</w:t>
      </w:r>
    </w:p>
    <w:p w:rsidR="00000000" w:rsidRDefault="00000000">
      <w:pPr>
        <w:pStyle w:val="SingleTxt"/>
      </w:pPr>
      <w:r>
        <w:t>16.4.4.</w:t>
      </w:r>
      <w:r>
        <w:tab/>
        <w:t>Как при патрилинейных, так и при матрилинейных браках мужчина должен предварительно преподносить подарки, чтобы доказать серьезность своих намерений. После того как женщина и ухаживающий за ней мужчина д</w:t>
      </w:r>
      <w:r>
        <w:t>о</w:t>
      </w:r>
      <w:r>
        <w:t>говариваются о заключении брака, семья мужчины сообщает об этом семье женщины. В патрилокальных обществах на юге Малави ухаживающий мужч</w:t>
      </w:r>
      <w:r>
        <w:t>и</w:t>
      </w:r>
      <w:r>
        <w:t>на передает через девушку ее семье первоначальный денежный платеж. Во всех районах страны принято, что после этого члены семьи молодого человека встречаются с членами семьи женщины и делают предложение о браке от им</w:t>
      </w:r>
      <w:r>
        <w:t>е</w:t>
      </w:r>
      <w:r>
        <w:t>ни всех родственников. Чтобы выразить официальное согласие на брак женщ</w:t>
      </w:r>
      <w:r>
        <w:t>и</w:t>
      </w:r>
      <w:r>
        <w:t>ны, ее семья назначает выкуп: «чивонго», или, в ряде районов, «чамломо». П</w:t>
      </w:r>
      <w:r>
        <w:t>о</w:t>
      </w:r>
      <w:r>
        <w:t>молвка происходит публично, и семья мужчины должна преподносить подарки, чтобы продемонстрировать, что он согласен выполнять свои мужские обяза</w:t>
      </w:r>
      <w:r>
        <w:t>н</w:t>
      </w:r>
      <w:r>
        <w:t>ности. В качестве подарков обычно преподносятся топор, мотыга и отрез тк</w:t>
      </w:r>
      <w:r>
        <w:t>а</w:t>
      </w:r>
      <w:r>
        <w:t>ни, символизирующие готовность жениха заботиться о женщине и вести хозя</w:t>
      </w:r>
      <w:r>
        <w:t>й</w:t>
      </w:r>
      <w:r>
        <w:t>ство.</w:t>
      </w:r>
    </w:p>
    <w:p w:rsidR="00000000" w:rsidRDefault="00000000">
      <w:pPr>
        <w:pStyle w:val="SingleTxt"/>
      </w:pPr>
      <w:r>
        <w:t>16.4.5.</w:t>
      </w:r>
      <w:r>
        <w:tab/>
        <w:t>Второй вид брака – брак, заключаемый в соответствии с законом о браке</w:t>
      </w:r>
      <w:r>
        <w:rPr>
          <w:rStyle w:val="FootnoteReference"/>
          <w:sz w:val="20"/>
        </w:rPr>
        <w:footnoteReference w:id="143"/>
      </w:r>
      <w:r>
        <w:t>. Такие браки моногамны и отвечают требованиям старой английской правовой системы. Требование о моногамии закреплено в уголовном кодексе, в соответствии с которым бигамия признается преступлением</w:t>
      </w:r>
      <w:r>
        <w:rPr>
          <w:rStyle w:val="FootnoteReference"/>
          <w:sz w:val="20"/>
        </w:rPr>
        <w:footnoteReference w:id="144"/>
      </w:r>
      <w:r>
        <w:t>. Такие браки признаются действительными после их регистрации сотрудником отдела рег</w:t>
      </w:r>
      <w:r>
        <w:t>и</w:t>
      </w:r>
      <w:r>
        <w:t>страции браков.</w:t>
      </w:r>
    </w:p>
    <w:p w:rsidR="00000000" w:rsidRDefault="00000000">
      <w:pPr>
        <w:pStyle w:val="SingleTxt"/>
      </w:pPr>
      <w:r>
        <w:t>16.4.6.</w:t>
      </w:r>
      <w:r>
        <w:tab/>
        <w:t>Третий вид брака – брак, заключаемый в соответствии с азиатскими нормами (закон о браке, расторжении брака и наследовании)</w:t>
      </w:r>
      <w:r>
        <w:rPr>
          <w:rStyle w:val="FootnoteReference"/>
        </w:rPr>
        <w:t xml:space="preserve"> </w:t>
      </w:r>
      <w:r>
        <w:rPr>
          <w:rStyle w:val="FootnoteReference"/>
          <w:sz w:val="20"/>
        </w:rPr>
        <w:footnoteReference w:id="145"/>
      </w:r>
      <w:r>
        <w:t>. Такие браки соответствуют азиатским обычаям. Этот закон отвечает интересам азиатской общины Малави. В таких браках за невесту дается большое приданое и допу</w:t>
      </w:r>
      <w:r>
        <w:t>с</w:t>
      </w:r>
      <w:r>
        <w:t>кае</w:t>
      </w:r>
      <w:r>
        <w:t>т</w:t>
      </w:r>
      <w:r>
        <w:t>ся полигамия.</w:t>
      </w:r>
    </w:p>
    <w:p w:rsidR="00000000" w:rsidRDefault="00000000">
      <w:pPr>
        <w:pStyle w:val="SingleTxt"/>
      </w:pPr>
      <w:r>
        <w:t>16.4.7.</w:t>
      </w:r>
      <w:r>
        <w:tab/>
        <w:t>Четвертый вид брака – брак, заключаемый в соответствии с афр</w:t>
      </w:r>
      <w:r>
        <w:t>и</w:t>
      </w:r>
      <w:r>
        <w:t>канским законом о браке (законом о регистрации христианских обрядов). Такие браки совершаются в христианских церквях, однако признаются действител</w:t>
      </w:r>
      <w:r>
        <w:t>ь</w:t>
      </w:r>
      <w:r>
        <w:t>ными лишь в соответствии с нормами обычного права, что допускает возмо</w:t>
      </w:r>
      <w:r>
        <w:t>ж</w:t>
      </w:r>
      <w:r>
        <w:t>ность пол</w:t>
      </w:r>
      <w:r>
        <w:t>и</w:t>
      </w:r>
      <w:r>
        <w:t>гамии. Исключение составляют браки, заключаемые в римско-католических церквях, церквях адвентистов седьмого дня или англиканских церквях, где они также рег</w:t>
      </w:r>
      <w:r>
        <w:t>и</w:t>
      </w:r>
      <w:r>
        <w:t>стрируются в соответствии с законом о браке.</w:t>
      </w:r>
    </w:p>
    <w:p w:rsidR="00000000" w:rsidRDefault="00000000">
      <w:pPr>
        <w:pStyle w:val="SingleTxt"/>
      </w:pPr>
      <w:r>
        <w:t>16.4.8.</w:t>
      </w:r>
      <w:r>
        <w:tab/>
        <w:t>Таким образом, хотя женщины, венчающиеся в христианских цер</w:t>
      </w:r>
      <w:r>
        <w:t>к</w:t>
      </w:r>
      <w:r>
        <w:t>вях, число которых в Малави растет, хотят, чтобы их брак был моногамным, и полагают, что вступают именно в такой брак, закон им этого не гарантирует.</w:t>
      </w:r>
    </w:p>
    <w:p w:rsidR="00000000" w:rsidRDefault="00000000">
      <w:pPr>
        <w:pStyle w:val="SingleTxt"/>
      </w:pPr>
      <w:r>
        <w:t>16.4.9.</w:t>
      </w:r>
      <w:r>
        <w:tab/>
        <w:t>Пятый вид брака – брак, который признается действительным на о</w:t>
      </w:r>
      <w:r>
        <w:t>с</w:t>
      </w:r>
      <w:r>
        <w:t>новании «длительного сожительства, подтвержденного свидетелями» и пол</w:t>
      </w:r>
      <w:r>
        <w:t>о</w:t>
      </w:r>
      <w:r>
        <w:t>жение о котором впервые появилось в Конституции 1994 года</w:t>
      </w:r>
      <w:r>
        <w:rPr>
          <w:rStyle w:val="FootnoteReference"/>
          <w:sz w:val="20"/>
        </w:rPr>
        <w:footnoteReference w:id="146"/>
      </w:r>
      <w:r>
        <w:t>. Несмотря на то, что это положение гарантирует защиту парам, проживающим вместе в т</w:t>
      </w:r>
      <w:r>
        <w:t>е</w:t>
      </w:r>
      <w:r>
        <w:t>чение длительного времени, многие жители Малави полагают, что такие союзы неприемлемы и разрушают социальное единство, поскольку они заключаются без брачной церемонии, в ходе которой свидетелями заключения брака стан</w:t>
      </w:r>
      <w:r>
        <w:t>о</w:t>
      </w:r>
      <w:r>
        <w:t>вятся родственники, члены общины и друзья. В Африке считается, что брак представляет собой союз не только двух людей, но и нескольких поколений двух семей. Кроме того, в Малави существует мнение, что признание союза, основанного на половых отношениях, в качестве брака на основании длител</w:t>
      </w:r>
      <w:r>
        <w:t>ь</w:t>
      </w:r>
      <w:r>
        <w:t>ного сожительства, подтвержденного свидетелями, вынуждает пары, которые против того, чтобы их не считали мужем и женой, становиться частью инст</w:t>
      </w:r>
      <w:r>
        <w:t>и</w:t>
      </w:r>
      <w:r>
        <w:t>тута брака, поскольку этого требует закон.</w:t>
      </w:r>
    </w:p>
    <w:p w:rsidR="00000000" w:rsidRDefault="00000000">
      <w:pPr>
        <w:pStyle w:val="H23"/>
      </w:pPr>
      <w:r>
        <w:t>16.5.</w:t>
      </w:r>
      <w:r>
        <w:tab/>
        <w:t>Общая информация о семейных правах и обязанностях</w:t>
      </w:r>
    </w:p>
    <w:p w:rsidR="00000000" w:rsidRDefault="00000000">
      <w:pPr>
        <w:pStyle w:val="SingleTxt"/>
      </w:pPr>
      <w:r>
        <w:t>16.5.1.</w:t>
      </w:r>
      <w:r>
        <w:tab/>
        <w:t>Хотя законодательство в Малави основывается на концепции брака, в нем в основном рассматриваются вопросы, связанные с его заключением и расторжением, тогда как семейная жизнь в период брака практически не рег</w:t>
      </w:r>
      <w:r>
        <w:t>у</w:t>
      </w:r>
      <w:r>
        <w:t>лируется. Семья считается сферой личной жизни, даже если известно, что в ней имеют место проявления несправедливости. Несмотря на то, что семейная жизнь считается личным делом каждого, предполагается, что главой семьи я</w:t>
      </w:r>
      <w:r>
        <w:t>в</w:t>
      </w:r>
      <w:r>
        <w:t>ляется мужчина.</w:t>
      </w:r>
    </w:p>
    <w:p w:rsidR="00000000" w:rsidRDefault="00000000">
      <w:pPr>
        <w:pStyle w:val="SingleTxt"/>
      </w:pPr>
      <w:r>
        <w:t>16.5.2.</w:t>
      </w:r>
      <w:r>
        <w:tab/>
        <w:t>Роли в семье делятся на традиционно мужские и традиционно же</w:t>
      </w:r>
      <w:r>
        <w:t>н</w:t>
      </w:r>
      <w:r>
        <w:t>ские. Мужья, являясь главой семьи, обычно контролируют вопросы, каса</w:t>
      </w:r>
      <w:r>
        <w:t>ю</w:t>
      </w:r>
      <w:r>
        <w:t>щиеся брака и домашнего хозяйства. Если этим занимается жена, она или ее муж становятся объектом презрения, как если бы они не состояли в браке. В ходе опросов при составлении доклада члены общин сообщили, что традиц</w:t>
      </w:r>
      <w:r>
        <w:t>и</w:t>
      </w:r>
      <w:r>
        <w:t>онные роли мужчин и женщин постепенно меняются, особенно в тех областях, которые связаны с новыми представлениями о гендерном равенстве, однако это происходит в основном по причине бедности. Например, мужчины все чаще помогают своим женам в приготовлении еды, а также обеспечении хозяйства продовольственными продуктами и водой. Хотя ряд обязанностей, например перемалывание маиса, по-прежнему считаются женскими, мужчина может о</w:t>
      </w:r>
      <w:r>
        <w:t>т</w:t>
      </w:r>
      <w:r>
        <w:t>везти маис на мельницу или мукомольное предприятие на машине или велос</w:t>
      </w:r>
      <w:r>
        <w:t>и</w:t>
      </w:r>
      <w:r>
        <w:t>педе. Сельскохозяйственные работы, по словам членов общин, всегда счит</w:t>
      </w:r>
      <w:r>
        <w:t>а</w:t>
      </w:r>
      <w:r>
        <w:t>лись общей обязанностью.</w:t>
      </w:r>
    </w:p>
    <w:p w:rsidR="00000000" w:rsidRDefault="00000000">
      <w:pPr>
        <w:pStyle w:val="SingleTxt"/>
      </w:pPr>
      <w:r>
        <w:t>16.5.3.</w:t>
      </w:r>
      <w:r>
        <w:tab/>
        <w:t>Мнение, что муж является главой семьи, широко распространено даже среди образованных женщин, поскольку такое представление поддерж</w:t>
      </w:r>
      <w:r>
        <w:t>и</w:t>
      </w:r>
      <w:r>
        <w:t>вается религией, и брак традиционно считается основным смыслом жизни женщины и средством выживания. Так, многие женщины-специалисты, выйдя замуж, бросают карьеру, чтобы сохранить брак, а также подчиняясь требован</w:t>
      </w:r>
      <w:r>
        <w:t>и</w:t>
      </w:r>
      <w:r>
        <w:t>ям мужа и семьи.</w:t>
      </w:r>
    </w:p>
    <w:p w:rsidR="00000000" w:rsidRDefault="00000000">
      <w:pPr>
        <w:pStyle w:val="H23"/>
      </w:pPr>
      <w:r>
        <w:t>16.6.</w:t>
      </w:r>
      <w:r>
        <w:tab/>
        <w:t>Частный характер семейной жизни и несправедливость в семье</w:t>
      </w:r>
    </w:p>
    <w:p w:rsidR="00000000" w:rsidRDefault="00000000">
      <w:pPr>
        <w:pStyle w:val="SingleTxt"/>
      </w:pPr>
      <w:r>
        <w:t>16.6.1.</w:t>
      </w:r>
      <w:r>
        <w:tab/>
        <w:t>Закон и общество признают частный характер семьи, что приводит к существованию неблагополучных семей и нарушению прав большинства же</w:t>
      </w:r>
      <w:r>
        <w:t>н</w:t>
      </w:r>
      <w:r>
        <w:t>щин. Во многих семьях в Малави имеют место такие проявления несправедл</w:t>
      </w:r>
      <w:r>
        <w:t>и</w:t>
      </w:r>
      <w:r>
        <w:t>вости, как физическое, психологическое, экономическое, сексуальное и соц</w:t>
      </w:r>
      <w:r>
        <w:t>и</w:t>
      </w:r>
      <w:r>
        <w:t>альное бытовое насилие. Благодаря кампаниям по повышению информирова</w:t>
      </w:r>
      <w:r>
        <w:t>н</w:t>
      </w:r>
      <w:r>
        <w:t>ности, проводимым министерством по делам женщин и общественных служб в сотрудничестве со своими партнерами, количество женщин, сообщающих о случаях бытового насилия, увеличилось с 3 900 в 1995 году до 8 000 в 1999 году и 20 тысяч в 2003 году</w:t>
      </w:r>
      <w:r>
        <w:rPr>
          <w:rStyle w:val="FootnoteReference"/>
          <w:sz w:val="20"/>
        </w:rPr>
        <w:footnoteReference w:id="147"/>
      </w:r>
      <w:r>
        <w:t>.</w:t>
      </w:r>
    </w:p>
    <w:p w:rsidR="00000000" w:rsidRDefault="00000000">
      <w:pPr>
        <w:pStyle w:val="SingleTxt"/>
      </w:pPr>
      <w:r>
        <w:t>16.6.2.</w:t>
      </w:r>
      <w:r>
        <w:tab/>
        <w:t>Увеличивается количество работающих в этой области неправител</w:t>
      </w:r>
      <w:r>
        <w:t>ь</w:t>
      </w:r>
      <w:r>
        <w:t>ственных организаций, деятельность которых включает предоставление крова пострадавшим женщинам, а также вмешательство в случаях насильственных браков или обручений детей.</w:t>
      </w:r>
    </w:p>
    <w:p w:rsidR="00000000" w:rsidRDefault="00000000">
      <w:pPr>
        <w:pStyle w:val="H23"/>
      </w:pPr>
      <w:r>
        <w:t>16.7.</w:t>
      </w:r>
      <w:r>
        <w:tab/>
        <w:t>Имущественные права</w:t>
      </w:r>
    </w:p>
    <w:p w:rsidR="00000000" w:rsidRDefault="00000000">
      <w:pPr>
        <w:pStyle w:val="SingleTxt"/>
      </w:pPr>
      <w:r>
        <w:t>16.7.1.</w:t>
      </w:r>
      <w:r>
        <w:tab/>
        <w:t>Никаких специальных законов, которые регулировали бы права на супружескую собственность (между супругами) в период брака, не существует, но в Конституции специально говорится, что женщины, независимо от их с</w:t>
      </w:r>
      <w:r>
        <w:t>е</w:t>
      </w:r>
      <w:r>
        <w:t>мейного положения, имеют равные права в вопросах приобретения имущества и распоряжения им</w:t>
      </w:r>
      <w:r>
        <w:rPr>
          <w:rStyle w:val="FootnoteReference"/>
          <w:sz w:val="20"/>
        </w:rPr>
        <w:footnoteReference w:id="148"/>
      </w:r>
      <w:r>
        <w:t>. Однако, во всех браках имущественные права делятся на традиционно женские и традиционно мужские. Например, кухонные пр</w:t>
      </w:r>
      <w:r>
        <w:t>и</w:t>
      </w:r>
      <w:r>
        <w:t>надлежности принадлежат женщинам, а прочее имущество, включая землю и м</w:t>
      </w:r>
      <w:r>
        <w:t>а</w:t>
      </w:r>
      <w:r>
        <w:t>шины, – мужчинам.</w:t>
      </w:r>
    </w:p>
    <w:p w:rsidR="00000000" w:rsidRDefault="00000000">
      <w:pPr>
        <w:pStyle w:val="SingleTxt"/>
      </w:pPr>
      <w:r>
        <w:t>16.7.2.</w:t>
      </w:r>
      <w:r>
        <w:tab/>
        <w:t>Пользоваться имуществом могут все члены семьи, однако право со</w:t>
      </w:r>
      <w:r>
        <w:t>б</w:t>
      </w:r>
      <w:r>
        <w:t>ственности приписывается мужу, жене или ребенку. Это обусловлено тем, что большинство жителей Малави воспринимают имущество как предметы, а не как средство власти над людьми, у которых нет номинального права собстве</w:t>
      </w:r>
      <w:r>
        <w:t>н</w:t>
      </w:r>
      <w:r>
        <w:t>ности.</w:t>
      </w:r>
    </w:p>
    <w:p w:rsidR="00000000" w:rsidRDefault="00000000">
      <w:pPr>
        <w:pStyle w:val="H23"/>
      </w:pPr>
      <w:r>
        <w:t>16.8.</w:t>
      </w:r>
      <w:r>
        <w:tab/>
        <w:t>Родительские обязанности</w:t>
      </w:r>
    </w:p>
    <w:p w:rsidR="00000000" w:rsidRDefault="00000000">
      <w:pPr>
        <w:pStyle w:val="SingleTxt"/>
      </w:pPr>
      <w:r>
        <w:t>16.8.1.</w:t>
      </w:r>
      <w:r>
        <w:tab/>
        <w:t>В соответствии с законодательством как мальчики, так и девочки, должны знать обоих родителей, и оба родителя должны участвовать в воспит</w:t>
      </w:r>
      <w:r>
        <w:t>а</w:t>
      </w:r>
      <w:r>
        <w:t>нии своих детей. Если родители состоят в браке, они имеют одинаковые права быть опекунами детей и осуществлять попечительство (физическую заботу и контроль) над ними</w:t>
      </w:r>
      <w:r>
        <w:rPr>
          <w:rStyle w:val="FootnoteReference"/>
          <w:sz w:val="20"/>
        </w:rPr>
        <w:footnoteReference w:id="149"/>
      </w:r>
      <w:r>
        <w:t>. Опекунство предполагает право осуществлять контроль над воспитанием ребенка, и его нельзя лишиться лишь на основании раздел</w:t>
      </w:r>
      <w:r>
        <w:t>ь</w:t>
      </w:r>
      <w:r>
        <w:t>ного проживания родителей. В случае раздельного проживания супругов и ра</w:t>
      </w:r>
      <w:r>
        <w:t>з</w:t>
      </w:r>
      <w:r>
        <w:t>вода право попечительства над детьми обычно получает мать, особенно если речь идет о совсем маленьких детях. Усыновление детей может осуществляться официально,</w:t>
      </w:r>
      <w:r>
        <w:rPr>
          <w:rStyle w:val="FootnoteReference"/>
          <w:sz w:val="20"/>
        </w:rPr>
        <w:footnoteReference w:id="150"/>
      </w:r>
      <w:r>
        <w:t xml:space="preserve"> но в большинстве случаев формальные процедуры усыновл</w:t>
      </w:r>
      <w:r>
        <w:t>е</w:t>
      </w:r>
      <w:r>
        <w:t>ния не соблюдаются, и детей, особенно детей-сирот, число которых растет в связи с эпидемией СПИДа, усыновляют родственн</w:t>
      </w:r>
      <w:r>
        <w:t>и</w:t>
      </w:r>
      <w:r>
        <w:t>ки.</w:t>
      </w:r>
    </w:p>
    <w:p w:rsidR="00000000" w:rsidRDefault="00000000">
      <w:pPr>
        <w:pStyle w:val="SingleTxt"/>
      </w:pPr>
      <w:r>
        <w:t>16.8.2.</w:t>
      </w:r>
      <w:r>
        <w:tab/>
        <w:t>Дети имеют большое значение в жизни супругов. Если жена не м</w:t>
      </w:r>
      <w:r>
        <w:t>о</w:t>
      </w:r>
      <w:r>
        <w:t>жет забеременеть, она нередко становится объектом критики. В таких случаях, если речь идет о браке, заключенном в соответствии с нормами обычного пр</w:t>
      </w:r>
      <w:r>
        <w:t>а</w:t>
      </w:r>
      <w:r>
        <w:t>ва, муж может жениться еще на одной женщине или считать это оправданием для внебрачной связи. Если бесплодием страдает мужчина, женщина может быть вынуждена вступить в половую связь с другим мужчиной, от которого она может зачать ребенка. Если женщина вступает в такую связь без согласия м</w:t>
      </w:r>
      <w:r>
        <w:t>у</w:t>
      </w:r>
      <w:r>
        <w:t>жа, это может служить основанием для развода или наказания со стороны м</w:t>
      </w:r>
      <w:r>
        <w:t>у</w:t>
      </w:r>
      <w:r>
        <w:t>жа. В других случаях обращаются к одному из мужчин, которых называют «фиси» (гиена). Он вступает в половую связь с женой и оплодотворяет ее от лица мужа.</w:t>
      </w:r>
    </w:p>
    <w:p w:rsidR="00000000" w:rsidRDefault="00000000">
      <w:pPr>
        <w:pStyle w:val="SingleTxt"/>
      </w:pPr>
      <w:r>
        <w:t>16.8.3.</w:t>
      </w:r>
      <w:r>
        <w:tab/>
        <w:t>Если родители ребенка не состоят в браке, то в соответствии с зак</w:t>
      </w:r>
      <w:r>
        <w:t>о</w:t>
      </w:r>
      <w:r>
        <w:t>ном об установлении отцовства мать может ходатайствовать о выплате алиме</w:t>
      </w:r>
      <w:r>
        <w:t>н</w:t>
      </w:r>
      <w:r>
        <w:t>тов. Причитающаяся к уплате отцом денежная сумма была повышена и соста</w:t>
      </w:r>
      <w:r>
        <w:t>в</w:t>
      </w:r>
      <w:r>
        <w:t>ляет 3 тыс. квач в месяц (66,7 долларов США при тогдашнем курсе 45 квач за один доллар США) или 30 тыс. квач единовременно (666,7 долларов США при тогдашнем курсе 45 квач за один доллар США). По словам женщин, а также как об этом свидетельствуют протоколы судебных заседаний, многие мужчины уклоняются от уплаты алиментов на собственных детей. В таких случаях большая ответственность ложится на мать, и если она использует уплаченные отцом деньги не по назначению, ей даже может быть выдвинуто обвинение в судебном порядке</w:t>
      </w:r>
      <w:r>
        <w:rPr>
          <w:rStyle w:val="FootnoteReference"/>
          <w:sz w:val="20"/>
        </w:rPr>
        <w:footnoteReference w:id="151"/>
      </w:r>
      <w:r>
        <w:t>.</w:t>
      </w:r>
    </w:p>
    <w:p w:rsidR="00000000" w:rsidRDefault="00000000">
      <w:pPr>
        <w:pStyle w:val="SingleTxt"/>
      </w:pPr>
      <w:r>
        <w:t>16.8.4.</w:t>
      </w:r>
      <w:r>
        <w:tab/>
        <w:t>В ходе опросов общин при подготовке доклада было установлено, что решение о количестве детей принимает муж, при этом большинство же</w:t>
      </w:r>
      <w:r>
        <w:t>н</w:t>
      </w:r>
      <w:r>
        <w:t>щин полагают, что большое количество детей укрепляет семью. Дети испол</w:t>
      </w:r>
      <w:r>
        <w:t>ь</w:t>
      </w:r>
      <w:r>
        <w:t>зуются в качестве способа снискать благосклонность мужа, особенно в пол</w:t>
      </w:r>
      <w:r>
        <w:t>и</w:t>
      </w:r>
      <w:r>
        <w:t>гамных союзах. Однако было также установлено, что все больше женщин без ведома мужа прибегают к услугам по планированию семьи, чтобы обеспечить разумные интервалы между б</w:t>
      </w:r>
      <w:r>
        <w:t>е</w:t>
      </w:r>
      <w:r>
        <w:t>ременностями.</w:t>
      </w:r>
    </w:p>
    <w:p w:rsidR="00000000" w:rsidRDefault="00000000">
      <w:pPr>
        <w:pStyle w:val="SingleTxt"/>
      </w:pPr>
      <w:r>
        <w:t>16.8.5.</w:t>
      </w:r>
      <w:r>
        <w:tab/>
        <w:t>В период брака ответственность за детей несут оба родителя, но в случае раздельного проживания супругов или после развода они обычно ост</w:t>
      </w:r>
      <w:r>
        <w:t>а</w:t>
      </w:r>
      <w:r>
        <w:t>ются с женщиной. Было установлено, что такая ситуация становится нормой даже в патриархальных обществах, поскольку мужчины считают, что соде</w:t>
      </w:r>
      <w:r>
        <w:t>р</w:t>
      </w:r>
      <w:r>
        <w:t>жать детей обременительно с материальной точки зрения, особенно если они собираются вступить в н</w:t>
      </w:r>
      <w:r>
        <w:t>о</w:t>
      </w:r>
      <w:r>
        <w:t>вый брак.</w:t>
      </w:r>
    </w:p>
    <w:p w:rsidR="00000000" w:rsidRDefault="00000000">
      <w:pPr>
        <w:pStyle w:val="H23"/>
      </w:pPr>
      <w:r>
        <w:t>16.9.</w:t>
      </w:r>
      <w:r>
        <w:tab/>
        <w:t>Сексуальные права</w:t>
      </w:r>
    </w:p>
    <w:p w:rsidR="00000000" w:rsidRDefault="00000000">
      <w:pPr>
        <w:pStyle w:val="SingleTxt"/>
      </w:pPr>
      <w:r>
        <w:t>16.9.1.</w:t>
      </w:r>
      <w:r>
        <w:tab/>
        <w:t>Независимо от формы брака предполагается, что оба супруга имеют взаимные сексуальные права, но при этом считается, что требования и потре</w:t>
      </w:r>
      <w:r>
        <w:t>б</w:t>
      </w:r>
      <w:r>
        <w:t>ности мужа имеют первостепенное значение в половых отношениях. По этой же причине мужу позволено жениться на других женщинах, чтобы удовлетв</w:t>
      </w:r>
      <w:r>
        <w:t>о</w:t>
      </w:r>
      <w:r>
        <w:t>рить свои потребности в половой сфере. В связи с повышением уровня бедн</w:t>
      </w:r>
      <w:r>
        <w:t>о</w:t>
      </w:r>
      <w:r>
        <w:t>сти многие мужчины, имеющие многочисленных сексуальных партнерш, все чаще предпочитают не вступать в официальный брак. Вместо этого они заводят любовниц и поддерживают ни к чему не обязывающие половые отношения со многими женщинами. По данным демографического и медико-санитарного о</w:t>
      </w:r>
      <w:r>
        <w:t>б</w:t>
      </w:r>
      <w:r>
        <w:t>следования (ДМСО) за 2000 год, 18 процентов опрошенных мужчин и только 1 процент опрошенных женщин, состоящих в браке, сообщили, что в течение последнего года имели других половых партнеров.</w:t>
      </w:r>
    </w:p>
    <w:p w:rsidR="00000000" w:rsidRDefault="00000000">
      <w:pPr>
        <w:pStyle w:val="SingleTxt"/>
      </w:pPr>
      <w:r>
        <w:t>16.9.2.</w:t>
      </w:r>
      <w:r>
        <w:tab/>
        <w:t>Типичным примером узаконенной дискриминации является полож</w:t>
      </w:r>
      <w:r>
        <w:t>е</w:t>
      </w:r>
      <w:r>
        <w:t>ние о том, что муж может возбудить иск о возмещении убытков против мужч</w:t>
      </w:r>
      <w:r>
        <w:t>и</w:t>
      </w:r>
      <w:r>
        <w:t>ны, который имел половые отношения с его женой. Жена не может взыскивать убы</w:t>
      </w:r>
      <w:r>
        <w:t>т</w:t>
      </w:r>
      <w:r>
        <w:t>ки в случае измены мужа</w:t>
      </w:r>
      <w:r>
        <w:rPr>
          <w:rStyle w:val="FootnoteReference"/>
          <w:sz w:val="20"/>
        </w:rPr>
        <w:footnoteReference w:id="152"/>
      </w:r>
      <w:r>
        <w:t>.</w:t>
      </w:r>
    </w:p>
    <w:p w:rsidR="00000000" w:rsidRDefault="00000000">
      <w:pPr>
        <w:pStyle w:val="H23"/>
      </w:pPr>
      <w:r>
        <w:t>16.10.</w:t>
      </w:r>
      <w:r>
        <w:tab/>
        <w:t>Общая информация о прекращении брака</w:t>
      </w:r>
    </w:p>
    <w:p w:rsidR="00000000" w:rsidRDefault="00000000">
      <w:pPr>
        <w:pStyle w:val="SingleTxt"/>
      </w:pPr>
      <w:r>
        <w:t>16.10.1.</w:t>
      </w:r>
      <w:r>
        <w:tab/>
        <w:t>Существуют различные условия и последствия прекращения брака. Если брак был зарегистрирован в соответствии с законом о браке, его расто</w:t>
      </w:r>
      <w:r>
        <w:t>р</w:t>
      </w:r>
      <w:r>
        <w:t>жение при жизни супругов сопряжено с немалыми трудностями. Такие браки могут быть расторгнуты не ранее, чем спустя три года после оформления, за исключением случаев, когда имеют место крайние лишения и трудности. Т</w:t>
      </w:r>
      <w:r>
        <w:t>а</w:t>
      </w:r>
      <w:r>
        <w:t>ким образом, женщина должна терпеть неблагополучный брак в течение по меньшей мере трех лет или же доказать, что ситуация настолько невыносима, что брак должен быть расторгнут</w:t>
      </w:r>
      <w:r>
        <w:rPr>
          <w:rStyle w:val="FootnoteReference"/>
          <w:sz w:val="20"/>
        </w:rPr>
        <w:footnoteReference w:id="153"/>
      </w:r>
      <w:r>
        <w:t>. Для расторжения брака супруга должна представить доказательства того, что в браке имели место измена без ее согл</w:t>
      </w:r>
      <w:r>
        <w:t>а</w:t>
      </w:r>
      <w:r>
        <w:t>сия, посягательства на ее физическую неприкосновенность или здоровье либо что муж оставил ее на три года подряд</w:t>
      </w:r>
      <w:r>
        <w:rPr>
          <w:rStyle w:val="FootnoteReference"/>
          <w:sz w:val="20"/>
        </w:rPr>
        <w:footnoteReference w:id="154"/>
      </w:r>
      <w:r>
        <w:t>.</w:t>
      </w:r>
    </w:p>
    <w:p w:rsidR="00000000" w:rsidRDefault="00000000">
      <w:pPr>
        <w:pStyle w:val="SingleTxt"/>
      </w:pPr>
      <w:r>
        <w:t>16.10.2.</w:t>
      </w:r>
      <w:r>
        <w:tab/>
        <w:t>Терпению в браке в Малави учат во время «посиделок на кухне» и наставлений молодоженам. Во многих венчальных песнях поется о том, как меняется жизнь женщины после брака, и о том, что ей следует быть готовой к этому и выносить трудности. Для браков, заключаемых в соответствии с обы</w:t>
      </w:r>
      <w:r>
        <w:t>ч</w:t>
      </w:r>
      <w:r>
        <w:t>ным правом, предусмотрены системы поддержки и наставлений, и их легче расторгнуть, чем браки, заключенные в соответствии с законом о браке. У об</w:t>
      </w:r>
      <w:r>
        <w:t>о</w:t>
      </w:r>
      <w:r>
        <w:t>их супругов, состоящих в браке, заключенном в соответствии с обычным пр</w:t>
      </w:r>
      <w:r>
        <w:t>а</w:t>
      </w:r>
      <w:r>
        <w:t>вом, есть советники, как правило близкие уважаемые родственники. Если женщина в неблагополучном браке не может самостоятельно разрешить разн</w:t>
      </w:r>
      <w:r>
        <w:t>о</w:t>
      </w:r>
      <w:r>
        <w:t>гласия с супругом, она обращается за помощью к представителям мужа. Муж также может обратиться к семейному советнику по линии жены. Если один из советников не в состоянии самостоятельно уладить конфликт, оба представит</w:t>
      </w:r>
      <w:r>
        <w:t>е</w:t>
      </w:r>
      <w:r>
        <w:t>ля могут обсудить проблему с один или обоими супругами. Если семейным с</w:t>
      </w:r>
      <w:r>
        <w:t>о</w:t>
      </w:r>
      <w:r>
        <w:t>ветникам не удается уладить конфликт, возможно прекращение брака, и нормы обычного права разрешают развод. При этом используется принцип, согласно которому бессмысленно принуждать супругов сохранить брак, если оба или один из них хотят его расторгнуть.</w:t>
      </w:r>
    </w:p>
    <w:p w:rsidR="00000000" w:rsidRDefault="00000000">
      <w:pPr>
        <w:pStyle w:val="H23"/>
      </w:pPr>
      <w:r>
        <w:t>16.11.</w:t>
      </w:r>
      <w:r>
        <w:tab/>
        <w:t>Прекращение брака, имущество, дети и алименты</w:t>
      </w:r>
    </w:p>
    <w:p w:rsidR="00000000" w:rsidRDefault="00000000">
      <w:pPr>
        <w:pStyle w:val="SingleTxt"/>
      </w:pPr>
      <w:r>
        <w:t>10.11.1.</w:t>
      </w:r>
      <w:r>
        <w:tab/>
        <w:t>Три проблемы, возникающие при разводе: раздел имущества, поп</w:t>
      </w:r>
      <w:r>
        <w:t>е</w:t>
      </w:r>
      <w:r>
        <w:t>чение над детьми и выплата алиментов, – нередко решаются не в пользу же</w:t>
      </w:r>
      <w:r>
        <w:t>н</w:t>
      </w:r>
      <w:r>
        <w:t>щин. Имущество распределяется в зависимости от того, является ли оно тр</w:t>
      </w:r>
      <w:r>
        <w:t>а</w:t>
      </w:r>
      <w:r>
        <w:t>диционно женским или традиционно мужским. В то же время Верховный суд требует, чтобы имущество доставалось той стороне, которая может доказать свое право собственности. Если сторона подает иск на основании доли участия в имуществе, суды в Малави по-прежнему требуют, чтобы такое участие было прямым и финансовым. Не признается приобретение прав собственности на имущество на основании вхождения в состав одного и того же домашнего х</w:t>
      </w:r>
      <w:r>
        <w:t>о</w:t>
      </w:r>
      <w:r>
        <w:t>зяйства или каким-либо другим косвенным путем. С принятием в 1994 году новой Конституции положение не улучшилось, поскольку в ней утверждается, что женщина имеет «одинаковые права в отношении распоряжения имущес</w:t>
      </w:r>
      <w:r>
        <w:t>т</w:t>
      </w:r>
      <w:r>
        <w:t>вом, которое находится в совместном владении супругов». Это означает, что жена не имеет одинаковых прав в отношении распоряжения общим имущес</w:t>
      </w:r>
      <w:r>
        <w:t>т</w:t>
      </w:r>
      <w:r>
        <w:t>вом или личным имуществом мужа, в которое она внесла вклад.</w:t>
      </w:r>
    </w:p>
    <w:p w:rsidR="00000000" w:rsidRDefault="00000000">
      <w:pPr>
        <w:pStyle w:val="SingleTxt"/>
      </w:pPr>
      <w:r>
        <w:t>16.11.2.</w:t>
      </w:r>
      <w:r>
        <w:tab/>
        <w:t>Однако, в соответствии с Конституцией, было усовершенствовано законодательство об алиментах. Согласно законодательству, женщина имеет право на «получение алиментов в разумных размерах с учетом всех обсто</w:t>
      </w:r>
      <w:r>
        <w:t>я</w:t>
      </w:r>
      <w:r>
        <w:t>тельств и, в частности, финансового положения бывшего мужа, а также п</w:t>
      </w:r>
      <w:r>
        <w:t>о</w:t>
      </w:r>
      <w:r>
        <w:t>требностей детей»</w:t>
      </w:r>
      <w:r>
        <w:rPr>
          <w:rStyle w:val="FootnoteReference"/>
          <w:sz w:val="20"/>
        </w:rPr>
        <w:footnoteReference w:id="155"/>
      </w:r>
      <w:r>
        <w:t>. При этом не утратил силу закон о замужних женщинах (об алиментах замужним женщинам),</w:t>
      </w:r>
      <w:r>
        <w:rPr>
          <w:rStyle w:val="FootnoteReference"/>
          <w:sz w:val="20"/>
        </w:rPr>
        <w:footnoteReference w:id="156"/>
      </w:r>
      <w:r>
        <w:t xml:space="preserve"> в соответствии с которым выплата алиментов является исключительно мужской обязанностью и остается в силе до смерти жены или мужа либо до того момента, когда жена вступает во вн</w:t>
      </w:r>
      <w:r>
        <w:t>е</w:t>
      </w:r>
      <w:r>
        <w:t>брачное сожительство или повторный брак. В соответствии с этим законом считается, что женщина находится на иждивении супруга и не в состоянии с</w:t>
      </w:r>
      <w:r>
        <w:t>а</w:t>
      </w:r>
      <w:r>
        <w:t>мостоятельно вести экономическую деятел</w:t>
      </w:r>
      <w:r>
        <w:t>ь</w:t>
      </w:r>
      <w:r>
        <w:t>ность.</w:t>
      </w:r>
    </w:p>
    <w:p w:rsidR="00000000" w:rsidRDefault="00000000">
      <w:pPr>
        <w:pStyle w:val="SingleTxt"/>
      </w:pPr>
      <w:r>
        <w:t>16.11.3.</w:t>
      </w:r>
      <w:r>
        <w:tab/>
        <w:t>В Конституции 1994 года закреплены равные права в отношении п</w:t>
      </w:r>
      <w:r>
        <w:t>о</w:t>
      </w:r>
      <w:r>
        <w:t>печения над детьми, заботы о них и опекунства над ними. В соответствии с нормами обычного права попечение над детьми, рожденными в матрилокал</w:t>
      </w:r>
      <w:r>
        <w:t>ь</w:t>
      </w:r>
      <w:r>
        <w:t>ном браке, осуществляет семья матери. Попечение над детьми, рожденными в патрилокальном браке, осуществляет семья отца. В соответствии с требов</w:t>
      </w:r>
      <w:r>
        <w:t>а</w:t>
      </w:r>
      <w:r>
        <w:t>ниями судов, попечение над детьми, рожденными в браке, заключенном с</w:t>
      </w:r>
      <w:r>
        <w:t>о</w:t>
      </w:r>
      <w:r>
        <w:t>гласно закону о браке, осуществляет та сторона, которая наилучшим образом удовлетворяет интересы данного ребенка. В соответствии с данным принц</w:t>
      </w:r>
      <w:r>
        <w:t>и</w:t>
      </w:r>
      <w:r>
        <w:t>пом, маленькие дети обычно остаются с матерью, поскольку права ребенка я</w:t>
      </w:r>
      <w:r>
        <w:t>в</w:t>
      </w:r>
      <w:r>
        <w:t>ляются преобладающими.</w:t>
      </w:r>
    </w:p>
    <w:p w:rsidR="00000000" w:rsidRDefault="00000000">
      <w:pPr>
        <w:pStyle w:val="SingleTxt"/>
      </w:pPr>
      <w:r>
        <w:t>16.11.4.</w:t>
      </w:r>
      <w:r>
        <w:tab/>
        <w:t>Комиссия по правам человека добилась определенного прогресса в области несправедливого лишения матери прав на попечение над детьми в па</w:t>
      </w:r>
      <w:r>
        <w:t>т</w:t>
      </w:r>
      <w:r>
        <w:t>риархальных системах обычного права. В таких случаях Комиссия преследов</w:t>
      </w:r>
      <w:r>
        <w:t>а</w:t>
      </w:r>
      <w:r>
        <w:t>ла цель обеспечить, чтобы безнадзорный ребенок получал адекватный уход, для чего вводится система пакетов социального обеспечения для находящихся на иждивении детей.</w:t>
      </w:r>
    </w:p>
    <w:p w:rsidR="00000000" w:rsidRDefault="00000000">
      <w:pPr>
        <w:pStyle w:val="H23"/>
      </w:pPr>
      <w:r>
        <w:t>16.12.</w:t>
      </w:r>
      <w:r>
        <w:tab/>
        <w:t>Прекращение брака, смерть одного из супругов и имущество</w:t>
      </w:r>
    </w:p>
    <w:p w:rsidR="00000000" w:rsidRDefault="00000000">
      <w:pPr>
        <w:pStyle w:val="SingleTxt"/>
      </w:pPr>
      <w:r>
        <w:t>16.12.1.</w:t>
      </w:r>
      <w:r>
        <w:tab/>
        <w:t>Было установлено, что незаконный захват/лишение собственности реально препятствуют реализации прав женщины в отношении супружеской собственности. Попытки модифицировать законодательство о наследстве не решили проблем, с которыми сталкиваются вдовы при прекращении брака по причине смерти супруга. В соответствии с  законодательством в случае, если супруг не оставил завещания, вдова, состоявшая в патрилокальном браке, п</w:t>
      </w:r>
      <w:r>
        <w:t>о</w:t>
      </w:r>
      <w:r>
        <w:t>лучает только половину имущества, а вдова, состоявшая в матрилокальном браке – только две пятых его части</w:t>
      </w:r>
      <w:r>
        <w:rPr>
          <w:rStyle w:val="FootnoteReference"/>
          <w:sz w:val="20"/>
        </w:rPr>
        <w:footnoteReference w:id="157"/>
      </w:r>
      <w:r>
        <w:t>. Таким образом, имеет место дискрим</w:t>
      </w:r>
      <w:r>
        <w:t>и</w:t>
      </w:r>
      <w:r>
        <w:t>нация не только в отношении женщин, но и среди женщин. Что касается му</w:t>
      </w:r>
      <w:r>
        <w:t>ж</w:t>
      </w:r>
      <w:r>
        <w:t>чин-вдовцов, законодательство исходит из предположения, что мужчины не могут находиться на иждивении женщин, и поэтому не содержит положений о наследовании мужьями незавещанного имущества, принадлежавшего их ж</w:t>
      </w:r>
      <w:r>
        <w:t>е</w:t>
      </w:r>
      <w:r>
        <w:t>нам.</w:t>
      </w:r>
    </w:p>
    <w:p w:rsidR="00000000" w:rsidRDefault="00000000">
      <w:pPr>
        <w:pStyle w:val="SingleTxt"/>
      </w:pPr>
      <w:r>
        <w:t>16.12.2.</w:t>
      </w:r>
      <w:r>
        <w:tab/>
        <w:t>Кроме того, статья 14 закона о завещании и наследстве</w:t>
      </w:r>
      <w:r>
        <w:rPr>
          <w:rStyle w:val="FootnoteReference"/>
          <w:sz w:val="20"/>
        </w:rPr>
        <w:footnoteReference w:id="158"/>
      </w:r>
      <w:r>
        <w:t xml:space="preserve"> гласит, что, в случае если брак был заключен в соответствии с законом о браке и су</w:t>
      </w:r>
      <w:r>
        <w:t>п</w:t>
      </w:r>
      <w:r>
        <w:t>руга не упомянута в завещании, такое завещание, если оно было намеренно с</w:t>
      </w:r>
      <w:r>
        <w:t>о</w:t>
      </w:r>
      <w:r>
        <w:t>ставлено таким образом, не может быть оспорено в судебном порядке. Из-за общего экономического неравенства мужчин и женщин, которое имеет место даже в семейных отношениях, данное положение затрагивает женщин в бол</w:t>
      </w:r>
      <w:r>
        <w:t>ь</w:t>
      </w:r>
      <w:r>
        <w:t>шей степени, чем мужчин. Мужчины находятся в более выгодном положении с точки зрения завещания имущества, и исключение женщины из завещания чр</w:t>
      </w:r>
      <w:r>
        <w:t>е</w:t>
      </w:r>
      <w:r>
        <w:t>вато для нее негативными и н</w:t>
      </w:r>
      <w:r>
        <w:t>е</w:t>
      </w:r>
      <w:r>
        <w:t>справедливыми последствиями.</w:t>
      </w:r>
    </w:p>
    <w:p w:rsidR="00000000" w:rsidRDefault="00000000">
      <w:pPr>
        <w:pStyle w:val="SingleTxt"/>
      </w:pPr>
      <w:r>
        <w:t>16.12.3.</w:t>
      </w:r>
      <w:r>
        <w:tab/>
        <w:t>Поправки к закону о завещании и наследстве, предусматривающие преследование в уголовном порядке «лиц, незаконно захватывающих имущес</w:t>
      </w:r>
      <w:r>
        <w:t>т</w:t>
      </w:r>
      <w:r>
        <w:t>во», еще не вступили в силу, поскольку еще не назначены уполномоченные прокуроры. Этот пробел был ликвидирован в ограниченном масштабе силами таких учреждений как полиция, Комиссия по правам человека, а также усили</w:t>
      </w:r>
      <w:r>
        <w:t>я</w:t>
      </w:r>
      <w:r>
        <w:t>ми ряда местных вождей. Кроме того, директор публичных преследований у</w:t>
      </w:r>
      <w:r>
        <w:t>с</w:t>
      </w:r>
      <w:r>
        <w:t>пешно рассмотрел ряд таких случаев. Однако, в рамках всестороннего пер</w:t>
      </w:r>
      <w:r>
        <w:t>е</w:t>
      </w:r>
      <w:r>
        <w:t>смотра закона о завещании и наследстве указанным проблемам уделяется п</w:t>
      </w:r>
      <w:r>
        <w:t>о</w:t>
      </w:r>
      <w:r>
        <w:t>вышенное внимание, и закон предположительно вступит в силу в течение сл</w:t>
      </w:r>
      <w:r>
        <w:t>е</w:t>
      </w:r>
      <w:r>
        <w:t>дующего года.</w:t>
      </w:r>
    </w:p>
    <w:p w:rsidR="00000000" w:rsidRDefault="00000000">
      <w:pPr>
        <w:pStyle w:val="H23"/>
      </w:pPr>
      <w:r>
        <w:t>16.13.</w:t>
      </w:r>
      <w:r>
        <w:tab/>
        <w:t>Семьи, не пользующиеся правовой защитой</w:t>
      </w:r>
    </w:p>
    <w:p w:rsidR="00000000" w:rsidRDefault="00000000">
      <w:pPr>
        <w:pStyle w:val="SingleTxt"/>
      </w:pPr>
      <w:r>
        <w:t>16.13.1.</w:t>
      </w:r>
      <w:r>
        <w:tab/>
        <w:t>Законодательство Малави исходит из предположения о том, что все семьи существуют в рамках брака. К сожалению, в 1998 году в браке состояли только 55 процентов людей в возрасте 10 лет и старше. 37 процентов населения никогда не состояли в браке. 26 процентов всех семей составляли домашние хозяйства, возглавляемые женщинами. Поскольку законодательство направлено на семьи, существующие в рамках брака, оно не учитывает интересы людей, не состоящих в формальном браке. В число таких семей входят семьи с одним р</w:t>
      </w:r>
      <w:r>
        <w:t>о</w:t>
      </w:r>
      <w:r>
        <w:t>дителем, домашние хозяйства, возглавляемые детьми, которые в 1999 году с</w:t>
      </w:r>
      <w:r>
        <w:t>о</w:t>
      </w:r>
      <w:r>
        <w:t>ставляли 15 процентов всех домашних хозяйств, а также семьи, возглавляемые дедушками и бабушками. Количество таких семей растет из-за СПИДа, от к</w:t>
      </w:r>
      <w:r>
        <w:t>о</w:t>
      </w:r>
      <w:r>
        <w:t>торого умирают многие родители. Так, согласно оценкам, к 2110 году 20,1 процента всех детей будут сиротами, что свидетельствует о распростран</w:t>
      </w:r>
      <w:r>
        <w:t>е</w:t>
      </w:r>
      <w:r>
        <w:t>нии домашних хозяйств, возглавляемых детьми, а также о том, что все чаще ответственность за содержание детей ложится на родственников, в частности бабушек.</w:t>
      </w:r>
    </w:p>
    <w:p w:rsidR="00000000" w:rsidRDefault="00000000">
      <w:pPr>
        <w:pStyle w:val="SingleTxt"/>
      </w:pPr>
      <w:r>
        <w:t>16.13.2.</w:t>
      </w:r>
      <w:r>
        <w:tab/>
        <w:t>Правительство совместно с партнерами осуществляет программы, направленные на обеспечение защиты интересов детей-сирот. Программа п</w:t>
      </w:r>
      <w:r>
        <w:t>о</w:t>
      </w:r>
      <w:r>
        <w:t>мощи сиротам, осуществляемая под руководством министерства по делам женщин и общественных служб, охватывает всю страну и уделяет особое вн</w:t>
      </w:r>
      <w:r>
        <w:t>и</w:t>
      </w:r>
      <w:r>
        <w:t>мание расширению возможностей общин в области заботы о детях-сиротах. Ряд неправительственных организаций ведут работу в области интересов п</w:t>
      </w:r>
      <w:r>
        <w:t>о</w:t>
      </w:r>
      <w:r>
        <w:t>жилых людей, и общины, основанные на общности вероисповедания, стали б</w:t>
      </w:r>
      <w:r>
        <w:t>о</w:t>
      </w:r>
      <w:r>
        <w:t>лее активно поддерживать программы в интересах пожилых людей, особенно в связи с эпидемией ВИЧ/СПИДа.</w:t>
      </w:r>
    </w:p>
    <w:p w:rsidR="00000000" w:rsidRDefault="00000000">
      <w:pPr>
        <w:pStyle w:val="SingleTxt"/>
      </w:pPr>
      <w:r>
        <w:t>16.13.3.</w:t>
      </w:r>
      <w:r>
        <w:tab/>
        <w:t>Малавийский фонд социальной поддержки (МФСП) оказывает а</w:t>
      </w:r>
      <w:r>
        <w:t>д</w:t>
      </w:r>
      <w:r>
        <w:t>ресное содействие домашним хозяйствам, возглавляемым женщинами. Ведется работа по защите интересов матерей-подростков и их детей. Предстоит еще многое сделать, так как многие девочки вынуждены бросать школу по причине беременности, и, поскольку им слишком рано приходится возглавлять семью или брать на себя семейные об</w:t>
      </w:r>
      <w:r>
        <w:t>я</w:t>
      </w:r>
      <w:r>
        <w:t>занности, они нуждаются в поддержке.</w:t>
      </w:r>
    </w:p>
    <w:p w:rsidR="00000000" w:rsidRDefault="00000000">
      <w:pPr>
        <w:pStyle w:val="H23"/>
      </w:pPr>
      <w:r>
        <w:t>16.14.</w:t>
      </w:r>
      <w:r>
        <w:tab/>
        <w:t>Заключение</w:t>
      </w:r>
    </w:p>
    <w:p w:rsidR="00000000" w:rsidRDefault="00000000">
      <w:pPr>
        <w:pStyle w:val="SingleTxt"/>
      </w:pPr>
      <w:r>
        <w:t>Распространенной особенностью семейных отношений в Малави является н</w:t>
      </w:r>
      <w:r>
        <w:t>е</w:t>
      </w:r>
      <w:r>
        <w:t>равноправие мужчин и женщин с точки зрения возможностей. Укреплению стереотипных представлений о роли мужчин и женщин способствуют как сам институт брака, так и связанные с ним обряды, однако в этой области намети</w:t>
      </w:r>
      <w:r>
        <w:t>л</w:t>
      </w:r>
      <w:r>
        <w:t>ся определенный прогресс. Поскольку семья считается сферой личной жизни, многие проявления несправедливости, такие как бытовое насилие и невыпо</w:t>
      </w:r>
      <w:r>
        <w:t>л</w:t>
      </w:r>
      <w:r>
        <w:t>нение обязательств, остаются безнаказанными. Основной причиной неравн</w:t>
      </w:r>
      <w:r>
        <w:t>о</w:t>
      </w:r>
      <w:r>
        <w:t>правия и несправедливости в семье является законодательство. Оно способс</w:t>
      </w:r>
      <w:r>
        <w:t>т</w:t>
      </w:r>
      <w:r>
        <w:t>вует дискриминации не только в отношении женщин, но и среди женщин. Кр</w:t>
      </w:r>
      <w:r>
        <w:t>о</w:t>
      </w:r>
      <w:r>
        <w:t>ме того, некоторые виды семей, такие как домашние хозяйства, возглавляемые женщинами и детьми, не пользуются защитой закона и не предусмотрены в программах.</w:t>
      </w:r>
    </w:p>
    <w:p w:rsidR="00000000" w:rsidRDefault="00000000">
      <w:pPr>
        <w:pStyle w:val="H1"/>
        <w:spacing w:before="120" w:after="120"/>
      </w:pPr>
      <w:r>
        <w:br w:type="page"/>
      </w:r>
      <w:bookmarkStart w:id="69" w:name="_Toc83977550"/>
      <w:r>
        <w:t>Источники информации для доклада</w:t>
      </w:r>
      <w:bookmarkEnd w:id="69"/>
    </w:p>
    <w:p w:rsidR="00000000" w:rsidRDefault="00000000">
      <w:pPr>
        <w:pStyle w:val="SingleTxt"/>
      </w:pPr>
      <w:r>
        <w:t>При составлении доклада использовалась информация из целого ряда источн</w:t>
      </w:r>
      <w:r>
        <w:t>и</w:t>
      </w:r>
      <w:r>
        <w:t>ков. Основными источниками информации были доклады правительства, в о</w:t>
      </w:r>
      <w:r>
        <w:t>с</w:t>
      </w:r>
      <w:r>
        <w:t>новном составленные Национальным статистическим бюро, программные д</w:t>
      </w:r>
      <w:r>
        <w:t>о</w:t>
      </w:r>
      <w:r>
        <w:t>кументы и писаные законы. Кроме того, правительство использовало доклады организации Объединенных Наций. Самым богатым источником информации стали опросы общин в ходе составления доклада, охватившие все три района страны.</w:t>
      </w:r>
    </w:p>
    <w:p w:rsidR="00000000" w:rsidRDefault="00000000">
      <w:pPr>
        <w:pStyle w:val="SingleTxt"/>
      </w:pPr>
      <w:r>
        <w:t>Некоторые источники указываются в сносках в тексте доклада. Эти сноски д</w:t>
      </w:r>
      <w:r>
        <w:t>а</w:t>
      </w:r>
      <w:r>
        <w:t>ют ориентировочную, но не исчерпывающую информацию.</w:t>
      </w:r>
    </w:p>
    <w:p w:rsidR="00000000" w:rsidRDefault="00000000">
      <w:pPr>
        <w:spacing w:line="240" w:lineRule="auto"/>
        <w:jc w:val="both"/>
        <w:rPr>
          <w:sz w:val="24"/>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after="0" w:line="240" w:lineRule="auto"/>
        <w:ind w:left="0" w:right="0"/>
        <w:jc w:val="center"/>
      </w:pPr>
      <w:r>
        <w:t>_____________</w:t>
      </w: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line="240" w:lineRule="auto"/>
        <w:ind w:left="0"/>
      </w:pPr>
    </w:p>
    <w:sectPr w:rsidR="00000000">
      <w:headerReference w:type="even" r:id="rId28"/>
      <w:headerReference w:type="default" r:id="rId29"/>
      <w:footerReference w:type="even" r:id="rId30"/>
      <w:footerReference w:type="default" r:id="rId31"/>
      <w:endnotePr>
        <w:numFmt w:val="decimal"/>
      </w:endnotePr>
      <w:type w:val="continuous"/>
      <w:pgSz w:w="12240" w:h="15840" w:code="1"/>
      <w:pgMar w:top="1741" w:right="1196" w:bottom="1899" w:left="1196" w:header="578" w:footer="1032"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t>&lt;&lt;ODS JOB NO&gt;&gt;N044</w:t>
      </w:r>
      <w:r>
        <w:rPr>
          <w:lang w:val="en-US"/>
        </w:rPr>
        <w:t>1932</w:t>
      </w:r>
      <w:r>
        <w:t>R&lt;&lt;ODS JOB NO&gt;&gt;</w:t>
      </w:r>
    </w:p>
    <w:p w:rsidR="00000000" w:rsidRDefault="00000000">
      <w:pPr>
        <w:pStyle w:val="CommentText"/>
      </w:pPr>
      <w:r>
        <w:t>&lt;&lt;ODS DOC SYMBOL1&gt;&gt;CEDAW/C/MWI/2-5&lt;&lt;ODS DOC SYMBOL1&gt;&gt;</w:t>
      </w:r>
    </w:p>
    <w:p w:rsidR="00000000" w:rsidRDefault="00000000">
      <w:pPr>
        <w:pStyle w:val="CommentText"/>
        <w:rPr>
          <w:lang w:val="en-US"/>
        </w:rPr>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04-41932 (R)</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*0441932*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109</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sym w:font="Symbol" w:char="F02A"/>
      </w:r>
      <w:r>
        <w:tab/>
        <w:t>Настоящий документ публикуется без официального редактирования.</w:t>
      </w: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t>Объединенный второй, третий, четвертый и пятый периодический доклад Малави был получен секрет</w:t>
      </w:r>
      <w:r>
        <w:t>а</w:t>
      </w:r>
      <w:r>
        <w:t>риатом 11 июня 2004 года.</w:t>
      </w: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t xml:space="preserve">Первоначальный доклад, представленный правительством Малави, см. в документе </w:t>
      </w:r>
      <w:r>
        <w:rPr>
          <w:lang w:val="en-US"/>
        </w:rPr>
        <w:t>CEDAW</w:t>
      </w:r>
      <w:r>
        <w:t>/</w:t>
      </w:r>
      <w:r>
        <w:rPr>
          <w:lang w:val="en-US"/>
        </w:rPr>
        <w:t>C</w:t>
      </w:r>
      <w:r>
        <w:t>/5/</w:t>
      </w:r>
      <w:r>
        <w:rPr>
          <w:lang w:val="en-US"/>
        </w:rPr>
        <w:t>Add</w:t>
      </w:r>
      <w:r>
        <w:t>.58, который был ра</w:t>
      </w:r>
      <w:r>
        <w:t>с</w:t>
      </w:r>
      <w:r>
        <w:t xml:space="preserve">смотрен Комитетом на его десятой сессии. </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CEDAW/C/SR.154.</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В настоящее время в состав Комитета входят девять членов: Кристобел Чаквана (министерство по делам женщин, молодежи и общественных служб), Трифония Дафтер (Председатель Парламентского комитета по социальным и общественным службам), Картон Камчедзера (Правовой факультет Университета Малави), Мерси Макхамбера (Информационный центр по правам человека в Малави), Эмили Макута (Инвестиционный банк развития), Фиона Мвале (министерство юстиции), Майк Мванула (министерство финансов), София Нтенда (Комитет по общественным делам) и Вита Онвуазоанья (Управление по мерам готовности к возникновению стихийных бедствий, оказанию чрезвычайной помощи и реабилитации).</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National Statistical Office, </w:t>
      </w:r>
      <w:r>
        <w:rPr>
          <w:i/>
          <w:lang w:val="en-US"/>
        </w:rPr>
        <w:t>1988 Malawi Population and Housing Census Report of Final Results</w:t>
      </w:r>
      <w:r>
        <w:rPr>
          <w:lang w:val="en-US"/>
        </w:rPr>
        <w:t xml:space="preserve"> (Zomba; National Statistical Office, 2000. </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jc w:val="both"/>
        <w:rPr>
          <w:lang w:val="en-US"/>
        </w:rPr>
      </w:pPr>
      <w:r>
        <w:tab/>
      </w:r>
      <w:r>
        <w:rPr>
          <w:rStyle w:val="FootnoteReference"/>
        </w:rPr>
        <w:footnoteRef/>
      </w:r>
      <w:r>
        <w:tab/>
        <w:t xml:space="preserve">ПРООН, </w:t>
      </w:r>
      <w:r>
        <w:rPr>
          <w:i/>
        </w:rPr>
        <w:t>Доклад о развитии людских ресурсов за 2002 год.</w:t>
      </w:r>
      <w:r>
        <w:t xml:space="preserve"> </w:t>
      </w:r>
      <w:r>
        <w:rPr>
          <w:lang w:val="en-US"/>
        </w:rPr>
        <w:t>(Oxford; Oxford University Press, 2002)..</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jc w:val="both"/>
        <w:rPr>
          <w:lang w:val="en-US"/>
        </w:rPr>
      </w:pPr>
      <w:r>
        <w:rPr>
          <w:lang w:val="en-US"/>
        </w:rPr>
        <w:tab/>
      </w:r>
      <w:r>
        <w:rPr>
          <w:rStyle w:val="FootnoteReference"/>
        </w:rPr>
        <w:footnoteRef/>
      </w:r>
      <w:r>
        <w:rPr>
          <w:lang w:val="en-US"/>
        </w:rPr>
        <w:tab/>
        <w:t xml:space="preserve">SAPES, UNDP, SADC, </w:t>
      </w:r>
      <w:r>
        <w:rPr>
          <w:i/>
          <w:lang w:val="en-US"/>
        </w:rPr>
        <w:t>SADC Regional Human Development 2000 </w:t>
      </w:r>
      <w:r>
        <w:rPr>
          <w:lang w:val="en-US"/>
        </w:rPr>
        <w:t>(Harare; SAPES Books, 2000),</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75 квач равны 1 доллару США.</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jc w:val="both"/>
      </w:pPr>
      <w:r>
        <w:tab/>
      </w:r>
      <w:r>
        <w:rPr>
          <w:rStyle w:val="FootnoteReference"/>
        </w:rPr>
        <w:footnoteRef/>
      </w:r>
      <w:r>
        <w:tab/>
        <w:t xml:space="preserve">Правительство Малави, </w:t>
      </w:r>
      <w:r>
        <w:rPr>
          <w:i/>
        </w:rPr>
        <w:t>Доклад об экономическом положении</w:t>
      </w:r>
      <w:r>
        <w:t xml:space="preserve"> (Лилонгве; Правительство Малави, выпуски за различные годы).</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Malawi Government, ‘Poverty Reduction Strategy Paper’ (Lilongwe; Malawi Government; 2001), at 16.</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1994, </w:t>
      </w:r>
      <w:r>
        <w:t>статьи</w:t>
      </w:r>
      <w:r>
        <w:rPr>
          <w:lang w:val="fr-FR"/>
        </w:rPr>
        <w:t xml:space="preserve"> 7-9.</w:t>
      </w:r>
    </w:p>
  </w:footnote>
  <w:footnote w:id="11">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статьи</w:t>
      </w:r>
      <w:r>
        <w:rPr>
          <w:lang w:val="fr-FR"/>
        </w:rPr>
        <w:t xml:space="preserve"> 78-79, 92-94, 98 </w:t>
      </w:r>
      <w:r>
        <w:t>и</w:t>
      </w:r>
      <w:r>
        <w:rPr>
          <w:lang w:val="fr-FR"/>
        </w:rPr>
        <w:t xml:space="preserve"> 99.</w:t>
      </w:r>
    </w:p>
  </w:footnote>
  <w:footnote w:id="12">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7.</w:t>
      </w:r>
    </w:p>
  </w:footnote>
  <w:footnote w:id="13">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статьи</w:t>
      </w:r>
      <w:r>
        <w:rPr>
          <w:lang w:val="fr-FR"/>
        </w:rPr>
        <w:t xml:space="preserve"> 48, 53, 55.</w:t>
      </w:r>
    </w:p>
  </w:footnote>
  <w:footnote w:id="14">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8.</w:t>
      </w:r>
    </w:p>
  </w:footnote>
  <w:footnote w:id="15">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статьи</w:t>
      </w:r>
      <w:r>
        <w:rPr>
          <w:lang w:val="fr-FR"/>
        </w:rPr>
        <w:t xml:space="preserve"> 9, 103, 105, 106, 108-111.</w:t>
      </w:r>
    </w:p>
  </w:footnote>
  <w:footnote w:id="16">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9.</w:t>
      </w:r>
    </w:p>
  </w:footnote>
  <w:footnote w:id="17">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11.</w:t>
      </w:r>
    </w:p>
  </w:footnote>
  <w:footnote w:id="18">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rPr>
          <w:rStyle w:val="FootnoteReference"/>
        </w:rPr>
        <w:tab/>
      </w:r>
      <w:r>
        <w:t>Конституция Малави</w:t>
      </w:r>
      <w:r>
        <w:rPr>
          <w:lang w:val="fr-FR"/>
        </w:rPr>
        <w:t xml:space="preserve">, </w:t>
      </w:r>
      <w:r>
        <w:t>статья</w:t>
      </w:r>
      <w:r>
        <w:rPr>
          <w:lang w:val="fr-FR"/>
        </w:rPr>
        <w:t xml:space="preserve"> 11(1)(a).</w:t>
      </w:r>
    </w:p>
  </w:footnote>
  <w:footnote w:id="19">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11(1)(b).</w:t>
      </w:r>
    </w:p>
  </w:footnote>
  <w:footnote w:id="20">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11(1)(c).</w:t>
      </w:r>
    </w:p>
  </w:footnote>
  <w:footnote w:id="21">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211.</w:t>
      </w:r>
    </w:p>
  </w:footnote>
  <w:footnote w:id="22">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11.</w:t>
      </w:r>
    </w:p>
  </w:footnote>
  <w:footnote w:id="23">
    <w:p w:rsidR="00000000" w:rsidRDefault="00000000">
      <w:pPr>
        <w:pStyle w:val="FootnoteText"/>
        <w:tabs>
          <w:tab w:val="clear" w:pos="418"/>
          <w:tab w:val="right" w:pos="1195"/>
          <w:tab w:val="left" w:pos="1267"/>
          <w:tab w:val="left" w:pos="1742"/>
          <w:tab w:val="left" w:pos="2218"/>
          <w:tab w:val="left" w:pos="2693"/>
        </w:tabs>
        <w:ind w:left="1267" w:right="1260" w:hanging="432"/>
        <w:jc w:val="both"/>
        <w:rPr>
          <w:lang w:val="fr-FR"/>
        </w:rPr>
      </w:pPr>
      <w:r>
        <w:tab/>
      </w:r>
      <w:r>
        <w:rPr>
          <w:rStyle w:val="FootnoteReference"/>
        </w:rPr>
        <w:footnoteRef/>
      </w:r>
      <w:r>
        <w:tab/>
        <w:t>Конституция Малави</w:t>
      </w:r>
      <w:r>
        <w:rPr>
          <w:lang w:val="fr-FR"/>
        </w:rPr>
        <w:t xml:space="preserve">, </w:t>
      </w:r>
      <w:r>
        <w:t>статья</w:t>
      </w:r>
      <w:r>
        <w:rPr>
          <w:lang w:val="fr-FR"/>
        </w:rPr>
        <w:t xml:space="preserve"> 12.</w:t>
      </w:r>
    </w:p>
  </w:footnote>
  <w:footnote w:id="24">
    <w:p w:rsidR="00000000" w:rsidRDefault="00000000">
      <w:pPr>
        <w:pStyle w:val="FootnoteText"/>
        <w:tabs>
          <w:tab w:val="clear" w:pos="418"/>
          <w:tab w:val="right" w:pos="1195"/>
          <w:tab w:val="left" w:pos="1267"/>
          <w:tab w:val="left" w:pos="1742"/>
          <w:tab w:val="left" w:pos="2218"/>
          <w:tab w:val="left" w:pos="2693"/>
        </w:tabs>
        <w:ind w:left="1267" w:right="1260" w:hanging="432"/>
        <w:jc w:val="both"/>
        <w:rPr>
          <w:lang w:val="fr-FR"/>
        </w:rPr>
      </w:pPr>
      <w:r>
        <w:tab/>
      </w:r>
      <w:r>
        <w:rPr>
          <w:rStyle w:val="FootnoteReference"/>
        </w:rPr>
        <w:footnoteRef/>
      </w:r>
      <w:r>
        <w:tab/>
        <w:t>Конституция Малави</w:t>
      </w:r>
      <w:r>
        <w:rPr>
          <w:lang w:val="fr-FR"/>
        </w:rPr>
        <w:t xml:space="preserve">, </w:t>
      </w:r>
      <w:r>
        <w:t>статья</w:t>
      </w:r>
      <w:r>
        <w:rPr>
          <w:lang w:val="fr-FR"/>
        </w:rPr>
        <w:t xml:space="preserve"> 12.</w:t>
      </w:r>
    </w:p>
  </w:footnote>
  <w:footnote w:id="25">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103 (2).</w:t>
      </w:r>
    </w:p>
  </w:footnote>
  <w:footnote w:id="26">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Там же</w:t>
      </w:r>
      <w:r>
        <w:rPr>
          <w:lang w:val="fr-FR"/>
        </w:rPr>
        <w:t>.</w:t>
      </w:r>
    </w:p>
  </w:footnote>
  <w:footnote w:id="27">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120.</w:t>
      </w:r>
    </w:p>
  </w:footnote>
  <w:footnote w:id="28">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129.</w:t>
      </w:r>
    </w:p>
  </w:footnote>
  <w:footnote w:id="2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Конституция Малави</w:t>
      </w:r>
      <w:r>
        <w:rPr>
          <w:lang w:val="fr-FR"/>
        </w:rPr>
        <w:t xml:space="preserve">, </w:t>
      </w:r>
      <w:r>
        <w:t>статья</w:t>
      </w:r>
      <w:r>
        <w:rPr>
          <w:lang w:val="fr-FR"/>
        </w:rPr>
        <w:t xml:space="preserve"> </w:t>
      </w:r>
      <w:r>
        <w:t>132.</w:t>
      </w:r>
    </w:p>
  </w:footnote>
  <w:footnote w:id="3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Конституция Малави</w:t>
      </w:r>
      <w:r>
        <w:rPr>
          <w:lang w:val="fr-FR"/>
        </w:rPr>
        <w:t xml:space="preserve">, </w:t>
      </w:r>
      <w:r>
        <w:t>статья</w:t>
      </w:r>
      <w:r>
        <w:rPr>
          <w:lang w:val="fr-FR"/>
        </w:rPr>
        <w:t xml:space="preserve"> </w:t>
      </w:r>
      <w:r>
        <w:t>123 и Закон об омбудсмене.</w:t>
      </w:r>
    </w:p>
  </w:footnote>
  <w:footnote w:id="3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Конституция Малави</w:t>
      </w:r>
      <w:r>
        <w:rPr>
          <w:lang w:val="fr-FR"/>
        </w:rPr>
        <w:t xml:space="preserve">, </w:t>
      </w:r>
      <w:r>
        <w:t>статья</w:t>
      </w:r>
      <w:r>
        <w:rPr>
          <w:lang w:val="fr-FR"/>
        </w:rPr>
        <w:t xml:space="preserve"> </w:t>
      </w:r>
      <w:r>
        <w:t>130 и Закон о Комиссии по правам человека.</w:t>
      </w:r>
    </w:p>
  </w:footnote>
  <w:footnote w:id="3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Конституция Малави</w:t>
      </w:r>
      <w:r>
        <w:rPr>
          <w:lang w:val="fr-FR"/>
        </w:rPr>
        <w:t xml:space="preserve">, </w:t>
      </w:r>
      <w:r>
        <w:t>статья</w:t>
      </w:r>
      <w:r>
        <w:rPr>
          <w:lang w:val="fr-FR"/>
        </w:rPr>
        <w:t xml:space="preserve"> </w:t>
      </w:r>
      <w:r>
        <w:t>135 и Закон о Правовой комиссии.</w:t>
      </w:r>
    </w:p>
  </w:footnote>
  <w:footnote w:id="33">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46(1).</w:t>
      </w:r>
    </w:p>
  </w:footnote>
  <w:footnote w:id="34">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46(2).</w:t>
      </w:r>
    </w:p>
  </w:footnote>
  <w:footnote w:id="35">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46(3 </w:t>
      </w:r>
      <w:r>
        <w:t>и</w:t>
      </w:r>
      <w:r>
        <w:rPr>
          <w:lang w:val="fr-FR"/>
        </w:rPr>
        <w:t xml:space="preserve"> 4).</w:t>
      </w:r>
    </w:p>
  </w:footnote>
  <w:footnote w:id="36">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Статья</w:t>
      </w:r>
      <w:r>
        <w:rPr>
          <w:lang w:val="fr-FR"/>
        </w:rPr>
        <w:t xml:space="preserve"> 46(2)(b).</w:t>
      </w:r>
    </w:p>
  </w:footnote>
  <w:footnote w:id="3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Конституция Малави</w:t>
      </w:r>
      <w:r>
        <w:rPr>
          <w:lang w:val="fr-FR"/>
        </w:rPr>
        <w:t>, 1996 </w:t>
      </w:r>
      <w:r>
        <w:t>года</w:t>
      </w:r>
    </w:p>
  </w:footnote>
  <w:footnote w:id="38">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1994 </w:t>
      </w:r>
      <w:r>
        <w:t>года</w:t>
      </w:r>
      <w:r>
        <w:rPr>
          <w:lang w:val="fr-FR"/>
        </w:rPr>
        <w:t xml:space="preserve">, </w:t>
      </w:r>
      <w:r>
        <w:t>статья</w:t>
      </w:r>
      <w:r>
        <w:rPr>
          <w:lang w:val="fr-FR"/>
        </w:rPr>
        <w:t xml:space="preserve"> 12(v</w:t>
      </w:r>
      <w:r>
        <w:t>)</w:t>
      </w:r>
      <w:r>
        <w:rPr>
          <w:lang w:val="fr-FR"/>
        </w:rPr>
        <w:t>.</w:t>
      </w:r>
    </w:p>
  </w:footnote>
  <w:footnote w:id="3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Конституция Малави, статья 20.</w:t>
      </w:r>
    </w:p>
  </w:footnote>
  <w:footnote w:id="40">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Office of the Ombudsman, Register of Complaints (Lilongwe; Office of the Ombudsman, 2002).</w:t>
      </w:r>
    </w:p>
  </w:footnote>
  <w:footnote w:id="4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Закон о занятости, закон № 6 2000 года, статья 5.</w:t>
      </w:r>
    </w:p>
  </w:footnote>
  <w:footnote w:id="42">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i/>
          <w:lang w:val="en-US"/>
        </w:rPr>
        <w:tab/>
      </w:r>
      <w:r>
        <w:rPr>
          <w:rStyle w:val="FootnoteReference"/>
        </w:rPr>
        <w:footnoteRef/>
      </w:r>
      <w:r>
        <w:rPr>
          <w:i/>
          <w:lang w:val="en-US"/>
        </w:rPr>
        <w:tab/>
        <w:t>Thandiwe Okeke vs the Attorney General</w:t>
      </w:r>
      <w:r>
        <w:rPr>
          <w:lang w:val="en-US"/>
        </w:rPr>
        <w:t>, Miscellaneous Civil Application No. 73 of 1997 (unreported), Justice Mwaungulu.</w:t>
      </w:r>
    </w:p>
  </w:footnote>
  <w:footnote w:id="43">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13(a).</w:t>
      </w:r>
    </w:p>
  </w:footnote>
  <w:footnote w:id="44">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20.</w:t>
      </w:r>
    </w:p>
  </w:footnote>
  <w:footnote w:id="4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Конституция Малави, статья</w:t>
      </w:r>
      <w:r>
        <w:rPr>
          <w:lang w:val="fr-FR"/>
        </w:rPr>
        <w:t xml:space="preserve"> </w:t>
      </w:r>
      <w:r>
        <w:t>13(a).</w:t>
      </w:r>
    </w:p>
  </w:footnote>
  <w:footnote w:id="46">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23 (a)(ii).</w:t>
      </w:r>
    </w:p>
  </w:footnote>
  <w:footnote w:id="47">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13(a)(iii).</w:t>
      </w:r>
    </w:p>
  </w:footnote>
  <w:footnote w:id="48">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1994, </w:t>
      </w:r>
      <w:r>
        <w:t>статья</w:t>
      </w:r>
      <w:r>
        <w:rPr>
          <w:lang w:val="fr-FR"/>
        </w:rPr>
        <w:t xml:space="preserve"> 20(2).</w:t>
      </w:r>
    </w:p>
  </w:footnote>
  <w:footnote w:id="4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Конституция Малави</w:t>
      </w:r>
      <w:r>
        <w:rPr>
          <w:lang w:val="fr-FR"/>
        </w:rPr>
        <w:t xml:space="preserve"> 1994 года</w:t>
      </w:r>
    </w:p>
  </w:footnote>
  <w:footnote w:id="50">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1994, </w:t>
      </w:r>
      <w:r>
        <w:t>статья</w:t>
      </w:r>
      <w:r>
        <w:rPr>
          <w:lang w:val="fr-FR"/>
        </w:rPr>
        <w:t xml:space="preserve"> 24(1).</w:t>
      </w:r>
    </w:p>
  </w:footnote>
  <w:footnote w:id="51">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1994, </w:t>
      </w:r>
      <w:r>
        <w:t>статья</w:t>
      </w:r>
      <w:r>
        <w:rPr>
          <w:lang w:val="fr-FR"/>
        </w:rPr>
        <w:t xml:space="preserve"> 30.</w:t>
      </w:r>
    </w:p>
  </w:footnote>
  <w:footnote w:id="5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Конституция Малави 1994, статья</w:t>
      </w:r>
      <w:r>
        <w:rPr>
          <w:lang w:val="fr-FR"/>
        </w:rPr>
        <w:t xml:space="preserve"> </w:t>
      </w:r>
      <w:r>
        <w:t>30(3).</w:t>
      </w:r>
    </w:p>
  </w:footnote>
  <w:footnote w:id="5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Закон о завещании и наследстве, №. 25 от 1967 года (Глава 10:02, Законодательство Малави), статья 84A.</w:t>
      </w:r>
    </w:p>
  </w:footnote>
  <w:footnote w:id="54">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Law Commission, ‘Report of the Commission on Criminal Justice’ (Lilongwe; Malawi Law Commission, 2000).</w:t>
      </w:r>
    </w:p>
  </w:footnote>
  <w:footnote w:id="5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Закон о занятости, № 6 от 2000 года, статьи 47-49</w:t>
      </w:r>
    </w:p>
  </w:footnote>
  <w:footnote w:id="56">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Government of Malawi, </w:t>
      </w:r>
      <w:r>
        <w:rPr>
          <w:i/>
          <w:lang w:val="en-US"/>
        </w:rPr>
        <w:t>The National Platform for Action: Follow Up to the 4</w:t>
      </w:r>
      <w:r>
        <w:rPr>
          <w:i/>
          <w:vertAlign w:val="superscript"/>
          <w:lang w:val="en-US"/>
        </w:rPr>
        <w:t>th</w:t>
      </w:r>
      <w:r>
        <w:rPr>
          <w:i/>
          <w:lang w:val="en-US"/>
        </w:rPr>
        <w:t xml:space="preserve"> World Conference on Women</w:t>
      </w:r>
      <w:r>
        <w:rPr>
          <w:lang w:val="en-US"/>
        </w:rPr>
        <w:t xml:space="preserve"> (Lilongwe; UNICEF, 1997).</w:t>
      </w:r>
    </w:p>
  </w:footnote>
  <w:footnote w:id="57">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Malawi Government, ‘Vision 2020: National Long-Term Perspective Study’ (Lilongwe; Malawi Government), at 88.</w:t>
      </w:r>
    </w:p>
  </w:footnote>
  <w:footnote w:id="58">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Malawi Government, </w:t>
      </w:r>
      <w:r>
        <w:rPr>
          <w:i/>
          <w:lang w:val="en-US"/>
        </w:rPr>
        <w:t>National Gender Policy</w:t>
      </w:r>
      <w:r>
        <w:rPr>
          <w:lang w:val="en-US"/>
        </w:rPr>
        <w:t xml:space="preserve"> (Lilongwe; Malawi; 2000).</w:t>
      </w:r>
    </w:p>
  </w:footnote>
  <w:footnote w:id="59">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Malawi Government, National Gender Policy (Lilongwe; Malawi Government, 2000), Paragraph 5.5.</w:t>
      </w:r>
    </w:p>
  </w:footnote>
  <w:footnote w:id="60">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Malawi Government, ‘Malawi Poverty Reduction Strategy Paper’ (Lilongwe; Malawi Government; 2002).</w:t>
      </w:r>
    </w:p>
  </w:footnote>
  <w:footnote w:id="6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Часть 1 настоящего доклада.</w:t>
      </w:r>
    </w:p>
  </w:footnote>
  <w:footnote w:id="62">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Women and Law in Southern and Africa Research Trust — Malawi, ‘In Search of Justice’, (Blantyre; WILSA-Malawi, 2000)</w:t>
      </w:r>
    </w:p>
  </w:footnote>
  <w:footnote w:id="63">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Women and Law in Southern and Africa Research Trust, ‘Dispossessing the Widow’ (Blantyre; WILSA-Malawi, forthcoming).</w:t>
      </w:r>
    </w:p>
  </w:footnote>
  <w:footnote w:id="64">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Administrator General Act, No. 30 of 1967 (Chapter 10.01, </w:t>
      </w:r>
      <w:r>
        <w:rPr>
          <w:i/>
          <w:lang w:val="en-US"/>
        </w:rPr>
        <w:t>Laws of Malawi</w:t>
      </w:r>
      <w:r>
        <w:rPr>
          <w:lang w:val="en-US"/>
        </w:rPr>
        <w:t>).</w:t>
      </w:r>
    </w:p>
  </w:footnote>
  <w:footnote w:id="65">
    <w:p w:rsidR="00000000" w:rsidRDefault="00000000">
      <w:pPr>
        <w:pStyle w:val="FootnoteText"/>
        <w:tabs>
          <w:tab w:val="clear" w:pos="418"/>
          <w:tab w:val="right" w:pos="1195"/>
          <w:tab w:val="left" w:pos="1267"/>
          <w:tab w:val="left" w:pos="1742"/>
          <w:tab w:val="left" w:pos="2218"/>
          <w:tab w:val="left" w:pos="2693"/>
        </w:tabs>
        <w:spacing w:line="360" w:lineRule="auto"/>
        <w:ind w:left="1267" w:right="1260" w:hanging="432"/>
      </w:pPr>
      <w:r>
        <w:tab/>
      </w:r>
      <w:r>
        <w:rPr>
          <w:rStyle w:val="FootnoteReference"/>
        </w:rPr>
        <w:footnoteRef/>
      </w:r>
      <w:r>
        <w:tab/>
        <w:t>Конституция Малави, статья 44.</w:t>
      </w:r>
    </w:p>
  </w:footnote>
  <w:footnote w:id="66">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The Human Rights Commission, ‘Report of the Human Rights Commission </w:t>
      </w:r>
      <w:r>
        <w:rPr>
          <w:lang w:val="en-US"/>
        </w:rPr>
        <w:br/>
        <w:t>1999–2000 (Lilongwe; Human Rights Commission, 2000).</w:t>
      </w:r>
    </w:p>
  </w:footnote>
  <w:footnote w:id="67">
    <w:p w:rsidR="00000000" w:rsidRDefault="00000000">
      <w:pPr>
        <w:pStyle w:val="FootnoteText"/>
        <w:tabs>
          <w:tab w:val="clear" w:pos="418"/>
          <w:tab w:val="right" w:pos="1195"/>
          <w:tab w:val="left" w:pos="1267"/>
          <w:tab w:val="left" w:pos="1742"/>
          <w:tab w:val="left" w:pos="2218"/>
          <w:tab w:val="left" w:pos="2693"/>
        </w:tabs>
        <w:ind w:left="1267" w:right="1260" w:hanging="432"/>
      </w:pPr>
      <w:r>
        <w:rPr>
          <w:i/>
        </w:rPr>
        <w:tab/>
      </w:r>
      <w:r>
        <w:rPr>
          <w:rStyle w:val="FootnoteReference"/>
        </w:rPr>
        <w:footnoteRef/>
      </w:r>
      <w:r>
        <w:rPr>
          <w:i/>
        </w:rPr>
        <w:tab/>
        <w:t xml:space="preserve">Рашид Хуссейн Джеймс против </w:t>
      </w:r>
      <w:r>
        <w:rPr>
          <w:i/>
          <w:caps/>
        </w:rPr>
        <w:t>р</w:t>
      </w:r>
      <w:r>
        <w:rPr>
          <w:i/>
        </w:rPr>
        <w:t>еспублики</w:t>
      </w:r>
      <w:r>
        <w:t xml:space="preserve">, уголовное дело Высокого суда № 12, 1999 г. </w:t>
      </w:r>
    </w:p>
  </w:footnote>
  <w:footnote w:id="6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Платформа действий и Пекинская декларация, четвертая Всемирная конференция по проблемам женщин, Пекин, Китай, 4-15 сентября 1995 года (Нью Йорк; Организация Объединенных Наций, 1996 г.); Декларация Сообщества по вопросам развития юга Африки по проблемам положения женщин и развития, Блантайр, Малави, 1997 г; Добавление Сообщества по вопросам развития юга Африки, касающееся защиты от насилия в отношении женщин и детей и борьбы с ним.</w:t>
      </w:r>
    </w:p>
  </w:footnote>
  <w:footnote w:id="6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Конституция Малави 1994 года, Часть IV, в частности статьи 13, 24 и 30.</w:t>
      </w:r>
    </w:p>
  </w:footnote>
  <w:footnote w:id="70">
    <w:p w:rsidR="00000000" w:rsidRDefault="00000000">
      <w:pPr>
        <w:pStyle w:val="FootnoteText"/>
        <w:tabs>
          <w:tab w:val="clear" w:pos="418"/>
          <w:tab w:val="right" w:pos="1195"/>
          <w:tab w:val="left" w:pos="1267"/>
          <w:tab w:val="left" w:pos="1742"/>
          <w:tab w:val="left" w:pos="2218"/>
          <w:tab w:val="left" w:pos="2693"/>
        </w:tabs>
        <w:ind w:left="1267" w:right="1260" w:hanging="432"/>
        <w:jc w:val="both"/>
      </w:pPr>
      <w:r>
        <w:tab/>
      </w:r>
      <w:r>
        <w:rPr>
          <w:rStyle w:val="FootnoteReference"/>
        </w:rPr>
        <w:footnoteRef/>
      </w:r>
      <w:r>
        <w:tab/>
        <w:t>Правительство Малави, Национальная политика обеспечения равенства мужчин и женщин (Лилонгве; Правительство Малави), 5.5.</w:t>
      </w:r>
    </w:p>
  </w:footnote>
  <w:footnote w:id="7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Закон о политических партиях (О регистрации), Закон о местных органах власти, Закон об избирательной комиссии, Закон о президентских выборах и Закон о парламентских выборах.</w:t>
      </w:r>
    </w:p>
  </w:footnote>
  <w:footnote w:id="72">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30.</w:t>
      </w:r>
    </w:p>
  </w:footnote>
  <w:footnote w:id="73">
    <w:p w:rsidR="00000000" w:rsidRDefault="00000000">
      <w:pPr>
        <w:pStyle w:val="FootnoteText"/>
        <w:tabs>
          <w:tab w:val="clear" w:pos="418"/>
          <w:tab w:val="right" w:pos="1195"/>
          <w:tab w:val="left" w:pos="1267"/>
          <w:tab w:val="left" w:pos="1742"/>
          <w:tab w:val="left" w:pos="2218"/>
          <w:tab w:val="left" w:pos="2693"/>
        </w:tabs>
        <w:ind w:left="1267" w:right="1260" w:hanging="432"/>
        <w:jc w:val="both"/>
        <w:rPr>
          <w:lang w:val="fr-FR"/>
        </w:rPr>
      </w:pPr>
      <w:r>
        <w:rPr>
          <w:lang w:val="fr-FR"/>
        </w:rPr>
        <w:tab/>
      </w:r>
      <w:r>
        <w:rPr>
          <w:rStyle w:val="FootnoteReference"/>
        </w:rPr>
        <w:footnoteRef/>
      </w:r>
      <w:r>
        <w:rPr>
          <w:lang w:val="fr-FR"/>
        </w:rPr>
        <w:tab/>
        <w:t>’Malawi Gemini Study’ (Zomba; 2002)</w:t>
      </w:r>
    </w:p>
  </w:footnote>
  <w:footnote w:id="74">
    <w:p w:rsidR="00000000" w:rsidRDefault="00000000">
      <w:pPr>
        <w:pStyle w:val="FootnoteText"/>
        <w:tabs>
          <w:tab w:val="clear" w:pos="418"/>
          <w:tab w:val="right" w:pos="1195"/>
          <w:tab w:val="left" w:pos="1267"/>
          <w:tab w:val="left" w:pos="1742"/>
          <w:tab w:val="left" w:pos="2218"/>
          <w:tab w:val="left" w:pos="2693"/>
        </w:tabs>
        <w:ind w:left="1267" w:right="1260" w:hanging="432"/>
        <w:jc w:val="both"/>
      </w:pPr>
      <w:r>
        <w:tab/>
      </w:r>
      <w:r>
        <w:rPr>
          <w:rStyle w:val="FootnoteReference"/>
        </w:rPr>
        <w:footnoteRef/>
      </w:r>
      <w:r>
        <w:tab/>
        <w:t>Национальное статистическое управление, Комплексное обследование домашних хозяйств (Зомба; Национальное статистическое управление, 2000 год).</w:t>
      </w:r>
    </w:p>
  </w:footnote>
  <w:footnote w:id="75">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1994 </w:t>
      </w:r>
      <w:r>
        <w:t>года</w:t>
      </w:r>
      <w:r>
        <w:rPr>
          <w:lang w:val="fr-FR"/>
        </w:rPr>
        <w:t xml:space="preserve">, </w:t>
      </w:r>
      <w:r>
        <w:t>статья</w:t>
      </w:r>
      <w:r>
        <w:rPr>
          <w:lang w:val="fr-FR"/>
        </w:rPr>
        <w:t xml:space="preserve"> 24(2).</w:t>
      </w:r>
    </w:p>
  </w:footnote>
  <w:footnote w:id="76">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30(3).</w:t>
      </w:r>
    </w:p>
  </w:footnote>
  <w:footnote w:id="7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См. раздел настоящего доклада, касающийся статьи 10.</w:t>
      </w:r>
    </w:p>
  </w:footnote>
  <w:footnote w:id="7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Статьи 140-147</w:t>
      </w:r>
    </w:p>
  </w:footnote>
  <w:footnote w:id="7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Уголовный кодекс, статьи 140–147.</w:t>
      </w:r>
    </w:p>
  </w:footnote>
  <w:footnote w:id="80">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Law Commission, ‘Report of the Commission on Criminal Justice (Lilongwe; Malawi Law Commission, 2000).</w:t>
      </w:r>
    </w:p>
  </w:footnote>
  <w:footnote w:id="81">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40.</w:t>
      </w:r>
    </w:p>
  </w:footnote>
  <w:footnote w:id="82">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40.</w:t>
      </w:r>
    </w:p>
  </w:footnote>
  <w:footnote w:id="83">
    <w:p w:rsidR="00000000" w:rsidRDefault="00000000">
      <w:pPr>
        <w:pStyle w:val="FootnoteText"/>
        <w:tabs>
          <w:tab w:val="clear" w:pos="418"/>
          <w:tab w:val="right" w:pos="1195"/>
          <w:tab w:val="left" w:pos="1267"/>
          <w:tab w:val="left" w:pos="1742"/>
          <w:tab w:val="left" w:pos="2218"/>
          <w:tab w:val="left" w:pos="2693"/>
        </w:tabs>
        <w:spacing w:line="360" w:lineRule="auto"/>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40.</w:t>
      </w:r>
    </w:p>
  </w:footnote>
  <w:footnote w:id="84">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32.</w:t>
      </w:r>
    </w:p>
  </w:footnote>
  <w:footnote w:id="85">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r>
      <w:r>
        <w:t>Конституция Малави, статьи 13 (a) и 24.</w:t>
      </w:r>
    </w:p>
  </w:footnote>
  <w:footnote w:id="86">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24(1)(iv).</w:t>
      </w:r>
    </w:p>
  </w:footnote>
  <w:footnote w:id="87">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ab/>
        <w:t>Конституция Малави</w:t>
      </w:r>
      <w:r>
        <w:rPr>
          <w:lang w:val="fr-FR"/>
        </w:rPr>
        <w:t xml:space="preserve">, </w:t>
      </w:r>
      <w:r>
        <w:t>статья</w:t>
      </w:r>
      <w:r>
        <w:rPr>
          <w:lang w:val="fr-FR"/>
        </w:rPr>
        <w:t xml:space="preserve"> 47(2).</w:t>
      </w:r>
    </w:p>
  </w:footnote>
  <w:footnote w:id="8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Закон о гражданстве, статья 9.</w:t>
      </w:r>
    </w:p>
  </w:footnote>
  <w:footnote w:id="8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88</w:t>
      </w:r>
      <w:r>
        <w:tab/>
        <w:t>Раздел 13 </w:t>
      </w:r>
      <w:r>
        <w:rPr>
          <w:lang w:val="en-US"/>
        </w:rPr>
        <w:t>f</w:t>
      </w:r>
      <w:r>
        <w:t xml:space="preserve">) конституции Малави. </w:t>
      </w:r>
    </w:p>
  </w:footnote>
  <w:footnote w:id="90">
    <w:p w:rsidR="00000000" w:rsidRDefault="00000000">
      <w:pPr>
        <w:pStyle w:val="FootnoteText"/>
        <w:tabs>
          <w:tab w:val="clear" w:pos="418"/>
          <w:tab w:val="right" w:pos="1195"/>
          <w:tab w:val="left" w:pos="1267"/>
          <w:tab w:val="left" w:pos="1742"/>
          <w:tab w:val="left" w:pos="2218"/>
          <w:tab w:val="left" w:pos="2693"/>
        </w:tabs>
        <w:ind w:left="1267" w:right="1260" w:hanging="432"/>
        <w:jc w:val="both"/>
      </w:pPr>
      <w:r>
        <w:tab/>
      </w:r>
      <w:r>
        <w:rPr>
          <w:rStyle w:val="FootnoteReference"/>
        </w:rPr>
        <w:footnoteRef/>
      </w:r>
      <w:r>
        <w:tab/>
        <w:t>Правительство Малави, "Основная статистика по образованию в Малави на 2000 год" (Лилонгве, Министерство образования, 2000 год).</w:t>
      </w:r>
    </w:p>
  </w:footnote>
  <w:footnote w:id="91">
    <w:p w:rsidR="00000000" w:rsidRDefault="00000000">
      <w:pPr>
        <w:pStyle w:val="FootnoteText"/>
        <w:tabs>
          <w:tab w:val="clear" w:pos="418"/>
          <w:tab w:val="right" w:pos="1195"/>
          <w:tab w:val="left" w:pos="1267"/>
          <w:tab w:val="left" w:pos="1742"/>
          <w:tab w:val="left" w:pos="2218"/>
          <w:tab w:val="left" w:pos="2693"/>
        </w:tabs>
        <w:ind w:left="1267" w:right="1260" w:hanging="432"/>
        <w:jc w:val="both"/>
      </w:pPr>
      <w:r>
        <w:tab/>
      </w:r>
      <w:r>
        <w:rPr>
          <w:rStyle w:val="FootnoteReference"/>
        </w:rPr>
        <w:footnoteRef/>
      </w:r>
      <w:r>
        <w:tab/>
        <w:t>Эти данные, как и статистика по начальному образованию предоставлены правительством Малави, «Основная статистика по образованию в Малави на 2000 год» (Лилонгве, Министерство образования, 2000 год)</w:t>
      </w:r>
    </w:p>
  </w:footnote>
  <w:footnote w:id="9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Закон № 16 1996 года.</w:t>
      </w:r>
    </w:p>
  </w:footnote>
  <w:footnote w:id="9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Закон № 6 2000 года.</w:t>
      </w:r>
    </w:p>
  </w:footnote>
  <w:footnote w:id="9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Раздел 3 Закона №</w:t>
      </w:r>
      <w:r>
        <w:rPr>
          <w:lang w:val="en-US"/>
        </w:rPr>
        <w:t> </w:t>
      </w:r>
      <w:r>
        <w:t>6 2000 года.</w:t>
      </w:r>
    </w:p>
  </w:footnote>
  <w:footnote w:id="95">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National Statistical Office, 1998 Malawi Population and Housing Census Report of Final Census Results (Zomba; National Statistical Office, 2000).</w:t>
      </w:r>
    </w:p>
  </w:footnote>
  <w:footnote w:id="9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Конституции Малави, статья 29.</w:t>
      </w:r>
    </w:p>
  </w:footnote>
  <w:footnote w:id="9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Конституции Малави, статья 31.</w:t>
      </w:r>
    </w:p>
  </w:footnote>
  <w:footnote w:id="98">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Figures from: National Statistical Office, 1998 Malawi Population and Housing Census Report of Final Census Results (Zomba; National Statistical Office, 2000).</w:t>
      </w:r>
    </w:p>
  </w:footnote>
  <w:footnote w:id="99">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Office of the Ombudsman, "Register of Complaints" (Lilongwe; Office of the Ombudsman, 2002.)</w:t>
      </w:r>
    </w:p>
  </w:footnote>
  <w:footnote w:id="10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Конституции Малави, статья 13 (с) .</w:t>
      </w:r>
    </w:p>
  </w:footnote>
  <w:footnote w:id="10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Конституции Малави, статья 13 (</w:t>
      </w:r>
      <w:r>
        <w:rPr>
          <w:lang w:val="en-US"/>
        </w:rPr>
        <w:t>b</w:t>
      </w:r>
      <w:r>
        <w:t>).</w:t>
      </w:r>
    </w:p>
  </w:footnote>
  <w:footnote w:id="10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Данные взяты из доклада, представляемого Комитету по правам ребенка.</w:t>
      </w:r>
    </w:p>
  </w:footnote>
  <w:footnote w:id="103">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t>Источник</w:t>
      </w:r>
      <w:r>
        <w:rPr>
          <w:lang w:val="en-US"/>
        </w:rPr>
        <w:t xml:space="preserve">: National Statistical Office and ORC Macro, </w:t>
      </w:r>
      <w:r>
        <w:rPr>
          <w:i/>
          <w:lang w:val="en-US"/>
        </w:rPr>
        <w:t xml:space="preserve">Malawi Demographic Health Survey 2000 </w:t>
      </w:r>
      <w:r>
        <w:rPr>
          <w:lang w:val="en-US"/>
        </w:rPr>
        <w:t>(Zomba and Calverton; National Statistical Office; 2000).</w:t>
      </w:r>
    </w:p>
  </w:footnote>
  <w:footnote w:id="104">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National Statistical Office and ORC Macro, </w:t>
      </w:r>
      <w:r>
        <w:rPr>
          <w:i/>
          <w:lang w:val="en-US"/>
        </w:rPr>
        <w:t>Malawi Demographic Health Survey 2000 </w:t>
      </w:r>
      <w:r>
        <w:rPr>
          <w:lang w:val="en-US"/>
        </w:rPr>
        <w:t>(Zomba and Calverton; National Statistical Office; 2000).</w:t>
      </w:r>
    </w:p>
  </w:footnote>
  <w:footnote w:id="10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ПРООН,</w:t>
      </w:r>
      <w:r>
        <w:rPr>
          <w:i/>
        </w:rPr>
        <w:t xml:space="preserve"> Доклад Малави о развитии людских ресурсов 2001 года </w:t>
      </w:r>
      <w:r>
        <w:t>(Лилонгве; ПРООН, 2001).</w:t>
      </w:r>
    </w:p>
  </w:footnote>
  <w:footnote w:id="106">
    <w:p w:rsidR="00000000" w:rsidRDefault="00000000">
      <w:pPr>
        <w:pStyle w:val="FootnoteText"/>
        <w:tabs>
          <w:tab w:val="clear" w:pos="418"/>
          <w:tab w:val="right" w:pos="1195"/>
          <w:tab w:val="left" w:pos="1267"/>
          <w:tab w:val="left" w:pos="1742"/>
          <w:tab w:val="left" w:pos="2218"/>
          <w:tab w:val="left" w:pos="2693"/>
        </w:tabs>
        <w:ind w:left="1267" w:right="1260" w:hanging="432"/>
        <w:jc w:val="both"/>
      </w:pPr>
      <w:r>
        <w:rPr>
          <w:lang w:val="en-US"/>
        </w:rPr>
        <w:tab/>
      </w:r>
      <w:r>
        <w:rPr>
          <w:rStyle w:val="FootnoteReference"/>
        </w:rPr>
        <w:footnoteRef/>
      </w:r>
      <w:r>
        <w:tab/>
        <w:t>Правительство Малави, «Документ по стратегии сокращения масштабов нищеты» (Правительство Малави, Лилонгве, 2001 год).</w:t>
      </w:r>
    </w:p>
  </w:footnote>
  <w:footnote w:id="107">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Конституции Малави, статья 30.</w:t>
      </w:r>
    </w:p>
  </w:footnote>
  <w:footnote w:id="108">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 xml:space="preserve">Конституции Малави, разделы </w:t>
      </w:r>
      <w:r>
        <w:rPr>
          <w:lang w:val="en-US"/>
        </w:rPr>
        <w:t>III</w:t>
      </w:r>
      <w:r>
        <w:t xml:space="preserve"> и </w:t>
      </w:r>
      <w:r>
        <w:rPr>
          <w:lang w:val="en-US"/>
        </w:rPr>
        <w:t>IV</w:t>
      </w:r>
      <w:r>
        <w:t>.</w:t>
      </w:r>
    </w:p>
  </w:footnote>
  <w:footnote w:id="109">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Конституции Малави, статья 13 (</w:t>
      </w:r>
      <w:r>
        <w:rPr>
          <w:lang w:val="en-US"/>
        </w:rPr>
        <w:t>h</w:t>
      </w:r>
      <w:r>
        <w:t>).</w:t>
      </w:r>
    </w:p>
  </w:footnote>
  <w:footnote w:id="110">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Конституции Малави, статья 13 (</w:t>
      </w:r>
      <w:r>
        <w:rPr>
          <w:lang w:val="en-US"/>
        </w:rPr>
        <w:t>j</w:t>
      </w:r>
      <w:r>
        <w:t>).</w:t>
      </w:r>
    </w:p>
  </w:footnote>
  <w:footnote w:id="111">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Конституции Малави, статья 26.</w:t>
      </w:r>
    </w:p>
  </w:footnote>
  <w:footnote w:id="112">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National Statistical Office, 1998 Malawi Population and Housing Census Report of Final Census Results (Zomba; National Statistical Office, 2000)</w:t>
      </w:r>
    </w:p>
  </w:footnote>
  <w:footnote w:id="113">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статья 13()</w:t>
      </w:r>
    </w:p>
  </w:footnote>
  <w:footnote w:id="114">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статья 30</w:t>
      </w:r>
    </w:p>
  </w:footnote>
  <w:footnote w:id="115">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статьи 20 и 24</w:t>
      </w:r>
    </w:p>
  </w:footnote>
  <w:footnote w:id="116">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National Statistical Office and ORC Macro </w:t>
      </w:r>
      <w:r>
        <w:rPr>
          <w:i/>
          <w:lang w:val="en-US"/>
        </w:rPr>
        <w:t>Malawi Demographic and Health Survey 2000 </w:t>
      </w:r>
      <w:r>
        <w:rPr>
          <w:lang w:val="en-US"/>
        </w:rPr>
        <w:t>(Zomba and Calveton), chapter 3</w:t>
      </w:r>
    </w:p>
  </w:footnote>
  <w:footnote w:id="117">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National Statistical Office and ORC Macro, </w:t>
      </w:r>
      <w:r>
        <w:rPr>
          <w:i/>
          <w:lang w:val="en-US"/>
        </w:rPr>
        <w:t>Malawi Demographic and Health Survey 2000 </w:t>
      </w:r>
      <w:r>
        <w:rPr>
          <w:lang w:val="en-US"/>
        </w:rPr>
        <w:t>(Zomba and Calverton; National Statistical Office and Calverton; 2001)</w:t>
      </w:r>
    </w:p>
  </w:footnote>
  <w:footnote w:id="118">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Act No. 25 of 1987 (Chapter 10:01, </w:t>
      </w:r>
      <w:r>
        <w:rPr>
          <w:i/>
          <w:lang w:val="en-US"/>
        </w:rPr>
        <w:t>Laws of Malawi</w:t>
      </w:r>
      <w:r>
        <w:rPr>
          <w:lang w:val="en-US"/>
        </w:rPr>
        <w:t>), sections 14-18.</w:t>
      </w:r>
    </w:p>
  </w:footnote>
  <w:footnote w:id="119">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Government of Malawi, Malawi Land Policy (Lilongwe; Ministry of Agriculture and Housing, 2001).</w:t>
      </w:r>
    </w:p>
  </w:footnote>
  <w:footnote w:id="120">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National Statistical Office, Integrated Household Survey 1997-1998 (Zomba; National Statistical Office, 2000), at 38</w:t>
      </w:r>
    </w:p>
  </w:footnote>
  <w:footnote w:id="121">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tab/>
        <w:t>Информация представлена в настоящем докладе в разделе, посвященном выполнению Статьи</w:t>
      </w:r>
      <w:r>
        <w:rPr>
          <w:lang w:val="en-US"/>
        </w:rPr>
        <w:t> 12.</w:t>
      </w:r>
    </w:p>
  </w:footnote>
  <w:footnote w:id="122">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National Statistical Office and ORS Macro, </w:t>
      </w:r>
      <w:r>
        <w:rPr>
          <w:i/>
          <w:lang w:val="en-US"/>
        </w:rPr>
        <w:t>Malawi Demographic and Health Survey 2000 </w:t>
      </w:r>
      <w:r>
        <w:rPr>
          <w:lang w:val="en-US"/>
        </w:rPr>
        <w:t>(Zomba and Calverton; National Statistical Office and Calverton; 2001), Chapter 10.</w:t>
      </w:r>
    </w:p>
  </w:footnote>
  <w:footnote w:id="123">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Introduced as Bill No. 30 of 1999.</w:t>
      </w:r>
    </w:p>
  </w:footnote>
  <w:footnote w:id="124">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National Statistical Office, </w:t>
      </w:r>
      <w:r>
        <w:rPr>
          <w:i/>
          <w:lang w:val="en-US"/>
        </w:rPr>
        <w:t>1998 Malawi Population and Housing Census Report of the Final Census Results</w:t>
      </w:r>
      <w:r>
        <w:rPr>
          <w:lang w:val="en-US"/>
        </w:rPr>
        <w:t xml:space="preserve"> (Zomba; National Statistical Office, 2000), Chapter 12.</w:t>
      </w:r>
    </w:p>
  </w:footnote>
  <w:footnote w:id="125">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Статья 2(1)(iv).</w:t>
      </w:r>
    </w:p>
  </w:footnote>
  <w:footnote w:id="126">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41(1).</w:t>
      </w:r>
    </w:p>
  </w:footnote>
  <w:footnote w:id="127">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статья 13(а).</w:t>
      </w:r>
    </w:p>
  </w:footnote>
  <w:footnote w:id="128">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Malawi Government, National Gender Policy (Lilongwe; Ministry of Gender and Community Services, 2002), section 5.5.</w:t>
      </w:r>
    </w:p>
  </w:footnote>
  <w:footnote w:id="129">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Malawi Government and UN in Malawi, Situation Analysis of Poverty in Malawi (Lilongwe; Malawi Government and the UN in Malawi), 122.</w:t>
      </w:r>
    </w:p>
  </w:footnote>
  <w:footnote w:id="130">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1994 год, статья 24(1)(a)(i).</w:t>
      </w:r>
    </w:p>
  </w:footnote>
  <w:footnote w:id="131">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статья 24(2).</w:t>
      </w:r>
    </w:p>
  </w:footnote>
  <w:footnote w:id="132">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статья 24(2).</w:t>
      </w:r>
    </w:p>
  </w:footnote>
  <w:footnote w:id="133">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статья 24(1)(а)(ii).</w:t>
      </w:r>
    </w:p>
  </w:footnote>
  <w:footnote w:id="134">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i/>
          <w:lang w:val="en-US"/>
        </w:rPr>
        <w:tab/>
      </w:r>
      <w:r>
        <w:rPr>
          <w:rStyle w:val="FootnoteReference"/>
        </w:rPr>
        <w:footnoteRef/>
      </w:r>
      <w:r>
        <w:rPr>
          <w:i/>
          <w:lang w:val="en-US"/>
        </w:rPr>
        <w:tab/>
        <w:t>Malinki v Malinki</w:t>
      </w:r>
      <w:r>
        <w:rPr>
          <w:lang w:val="en-US"/>
        </w:rPr>
        <w:t xml:space="preserve"> (1978-1980) 9 </w:t>
      </w:r>
      <w:r>
        <w:rPr>
          <w:i/>
          <w:lang w:val="en-US"/>
        </w:rPr>
        <w:t xml:space="preserve">Malawi Law Reports </w:t>
      </w:r>
      <w:r>
        <w:rPr>
          <w:lang w:val="en-US"/>
        </w:rPr>
        <w:t>441.</w:t>
      </w:r>
    </w:p>
  </w:footnote>
  <w:footnote w:id="135">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статья 20(1).</w:t>
      </w:r>
    </w:p>
  </w:footnote>
  <w:footnote w:id="136">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статья 41(2).</w:t>
      </w:r>
    </w:p>
  </w:footnote>
  <w:footnote w:id="137">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статья 41(3).</w:t>
      </w:r>
    </w:p>
  </w:footnote>
  <w:footnote w:id="138">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Malawi Law Commission, Report of the Special Law Commission on Penal Reform (Lilongwe; Law Commission; 2000).</w:t>
      </w:r>
    </w:p>
  </w:footnote>
  <w:footnote w:id="139">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i/>
          <w:lang w:val="en-US"/>
        </w:rPr>
        <w:tab/>
      </w:r>
      <w:r>
        <w:rPr>
          <w:rStyle w:val="FootnoteReference"/>
        </w:rPr>
        <w:footnoteRef/>
      </w:r>
      <w:r>
        <w:rPr>
          <w:i/>
          <w:lang w:val="en-US"/>
        </w:rPr>
        <w:tab/>
        <w:t>Rashid Hussein James v Rep</w:t>
      </w:r>
      <w:r>
        <w:rPr>
          <w:lang w:val="en-US"/>
        </w:rPr>
        <w:t>, High Court Criminal Case No. 12 of 1999.</w:t>
      </w:r>
    </w:p>
  </w:footnote>
  <w:footnote w:id="140">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статья 39(1 и 2).</w:t>
      </w:r>
    </w:p>
  </w:footnote>
  <w:footnote w:id="141">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Citizenship Act, section 9.</w:t>
      </w:r>
    </w:p>
  </w:footnote>
  <w:footnote w:id="142">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статьи 13(1) и 22.</w:t>
      </w:r>
    </w:p>
  </w:footnote>
  <w:footnote w:id="143">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Act No. 3 of 1902 (Chapter 25:01, </w:t>
      </w:r>
      <w:r>
        <w:rPr>
          <w:i/>
          <w:lang w:val="en-US"/>
        </w:rPr>
        <w:t>Laws of Malawi</w:t>
      </w:r>
      <w:r>
        <w:rPr>
          <w:lang w:val="en-US"/>
        </w:rPr>
        <w:t>).</w:t>
      </w:r>
    </w:p>
  </w:footnote>
  <w:footnote w:id="144">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Penal Code, Act No. 22 of 1929 (Chapter 7:01, Laws of Malawi), sections 164 and 165.</w:t>
      </w:r>
    </w:p>
  </w:footnote>
  <w:footnote w:id="145">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Act No. 3 of 1902 (Chapter 25:01, </w:t>
      </w:r>
      <w:r>
        <w:rPr>
          <w:i/>
          <w:lang w:val="en-US"/>
        </w:rPr>
        <w:t>Laws of Malawi</w:t>
      </w:r>
      <w:r>
        <w:rPr>
          <w:lang w:val="en-US"/>
        </w:rPr>
        <w:t>).</w:t>
      </w:r>
    </w:p>
  </w:footnote>
  <w:footnote w:id="146">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статья 22(5).</w:t>
      </w:r>
    </w:p>
  </w:footnote>
  <w:footnote w:id="147">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United Nations System in Malawi, ‘Common Country Assessment of Malawi (Lilongwe, the UN in M</w:t>
      </w:r>
      <w:r>
        <w:rPr>
          <w:lang w:val="en-US"/>
        </w:rPr>
        <w:t>a</w:t>
      </w:r>
      <w:r>
        <w:rPr>
          <w:lang w:val="en-US"/>
        </w:rPr>
        <w:t>lawi, 2001), at 70</w:t>
      </w:r>
    </w:p>
  </w:footnote>
  <w:footnote w:id="148">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1994 год, статья 24(1)(ii).</w:t>
      </w:r>
    </w:p>
  </w:footnote>
  <w:footnote w:id="149">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1994 год, статья 24(1)(iii).</w:t>
      </w:r>
    </w:p>
  </w:footnote>
  <w:footnote w:id="150">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Adoption Act, No. (Chapter, </w:t>
      </w:r>
      <w:r>
        <w:rPr>
          <w:i/>
          <w:lang w:val="en-US"/>
        </w:rPr>
        <w:t>Laws of Malawi</w:t>
      </w:r>
      <w:r>
        <w:rPr>
          <w:lang w:val="en-US"/>
        </w:rPr>
        <w:t>).</w:t>
      </w:r>
    </w:p>
  </w:footnote>
  <w:footnote w:id="151">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Affiliation Act, No. 25 of 1946 (Chapter 26:02, Laws of Malawi), section</w:t>
      </w:r>
    </w:p>
  </w:footnote>
  <w:footnote w:id="152">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Divorce Act, No. 5 of 1905 (Chapter 25:04, </w:t>
      </w:r>
      <w:r>
        <w:rPr>
          <w:i/>
          <w:lang w:val="en-US"/>
        </w:rPr>
        <w:t>Laws of Malawi</w:t>
      </w:r>
      <w:r>
        <w:rPr>
          <w:lang w:val="en-US"/>
        </w:rPr>
        <w:t>).</w:t>
      </w:r>
    </w:p>
  </w:footnote>
  <w:footnote w:id="153">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Divorce Act, No. 5 of 1905 (Chapter 25:04, </w:t>
      </w:r>
      <w:r>
        <w:rPr>
          <w:i/>
          <w:lang w:val="en-US"/>
        </w:rPr>
        <w:t>Laws of Malawi</w:t>
      </w:r>
      <w:r>
        <w:rPr>
          <w:lang w:val="en-US"/>
        </w:rPr>
        <w:t>), section</w:t>
      </w:r>
    </w:p>
  </w:footnote>
  <w:footnote w:id="154">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Divorce Act, No. 5 of 1905 (Chapter 25:04, </w:t>
      </w:r>
      <w:r>
        <w:rPr>
          <w:i/>
          <w:lang w:val="en-US"/>
        </w:rPr>
        <w:t>Laws of Malawi</w:t>
      </w:r>
      <w:r>
        <w:rPr>
          <w:lang w:val="en-US"/>
        </w:rPr>
        <w:t>), section</w:t>
      </w:r>
    </w:p>
  </w:footnote>
  <w:footnote w:id="155">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footnoteRef/>
      </w:r>
      <w:r>
        <w:tab/>
        <w:t>Конституция Малави, статья 24(1)(b)(ii).</w:t>
      </w:r>
    </w:p>
  </w:footnote>
  <w:footnote w:id="156">
    <w:p w:rsidR="00000000" w:rsidRDefault="00000000">
      <w:pPr>
        <w:pStyle w:val="FootnoteText"/>
        <w:tabs>
          <w:tab w:val="clear" w:pos="418"/>
          <w:tab w:val="right" w:pos="1195"/>
          <w:tab w:val="left" w:pos="1267"/>
          <w:tab w:val="left" w:pos="1742"/>
          <w:tab w:val="left" w:pos="2218"/>
          <w:tab w:val="left" w:pos="2693"/>
        </w:tabs>
        <w:ind w:left="1267" w:right="1260" w:hanging="432"/>
        <w:rPr>
          <w:i/>
          <w:lang w:val="en-US"/>
        </w:rPr>
      </w:pPr>
      <w:r>
        <w:rPr>
          <w:lang w:val="en-US"/>
        </w:rPr>
        <w:tab/>
      </w:r>
      <w:r>
        <w:rPr>
          <w:rStyle w:val="FootnoteReference"/>
        </w:rPr>
        <w:footnoteRef/>
      </w:r>
      <w:r>
        <w:rPr>
          <w:lang w:val="en-US"/>
        </w:rPr>
        <w:tab/>
        <w:t>No. 13 of 1948 (Chapter 25:05,</w:t>
      </w:r>
      <w:r>
        <w:rPr>
          <w:i/>
          <w:lang w:val="en-US"/>
        </w:rPr>
        <w:t xml:space="preserve"> Laws of Malawi.</w:t>
      </w:r>
    </w:p>
  </w:footnote>
  <w:footnote w:id="157">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Wills and Inheritance Act, Act No. 25 of 1967 (Chapter 10:02, </w:t>
      </w:r>
      <w:r>
        <w:rPr>
          <w:i/>
          <w:lang w:val="en-US"/>
        </w:rPr>
        <w:t>Laws of Malawi</w:t>
      </w:r>
      <w:r>
        <w:rPr>
          <w:lang w:val="en-US"/>
        </w:rPr>
        <w:t>), section 16 (a and b).</w:t>
      </w:r>
    </w:p>
  </w:footnote>
  <w:footnote w:id="158">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Act No. 25 of 1967 (Chapter 10:02, </w:t>
      </w:r>
      <w:r>
        <w:rPr>
          <w:i/>
          <w:lang w:val="en-US"/>
        </w:rPr>
        <w:t>Laws of Malawi</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CEDAW/C/PRK/1</w:t>
                      </w:r>
                    </w:p>
                  </w:tc>
                  <w:tc>
                    <w:tcPr>
                      <w:tcW w:w="5047"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CEDAWP/C/PRK/1</w:t>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tabs>
              <w:tab w:val="left" w:pos="4253"/>
            </w:tabs>
            <w:spacing w:after="80"/>
            <w:ind w:left="0" w:right="168" w:firstLine="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80"/>
            <w:jc w:val="right"/>
            <w:rPr>
              <w:position w:val="-4"/>
              <w:sz w:val="20"/>
            </w:rPr>
          </w:pPr>
          <w:r>
            <w:rPr>
              <w:position w:val="-4"/>
              <w:sz w:val="40"/>
            </w:rPr>
            <w:t>CEDAW</w:t>
          </w:r>
          <w:r>
            <w:rPr>
              <w:position w:val="-4"/>
              <w:sz w:val="20"/>
            </w:rPr>
            <w:t>/C/MWI/2-5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lang w:val="en-US"/>
            </w:rPr>
          </w:pPr>
          <w:r>
            <w:rPr>
              <w:lang w:val="en-US"/>
            </w:rPr>
            <w:t>Distr.: General</w:t>
          </w:r>
        </w:p>
        <w:p w:rsidR="00000000" w:rsidRDefault="00000000">
          <w:pPr>
            <w:rPr>
              <w:lang w:val="en-US"/>
            </w:rPr>
          </w:pPr>
          <w:r>
            <w:rPr>
              <w:lang w:val="en-US"/>
            </w:rPr>
            <w:t>28 June 2004</w:t>
          </w:r>
        </w:p>
        <w:p w:rsidR="00000000" w:rsidRDefault="00000000">
          <w:pPr>
            <w:rPr>
              <w:lang w:val="en-US"/>
            </w:rPr>
          </w:pPr>
          <w:r>
            <w:rPr>
              <w:lang w:val="en-US"/>
            </w:rPr>
            <w:t>Russian</w:t>
          </w:r>
        </w:p>
        <w:p w:rsidR="00000000" w:rsidRDefault="00000000">
          <w:pPr>
            <w:rPr>
              <w:lang w:val="en-US"/>
            </w:rPr>
          </w:pPr>
          <w:r>
            <w:rPr>
              <w:lang w:val="en-US"/>
            </w:rPr>
            <w:t>Original: English</w:t>
          </w:r>
        </w:p>
      </w:tc>
    </w:tr>
  </w:tbl>
  <w:p w:rsidR="00000000" w:rsidRDefault="00000000">
    <w:pPr>
      <w:pStyle w:val="Header"/>
      <w:spacing w:line="20" w:lineRule="exac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70" type="#_x0000_t202" style="position:absolute;margin-left:-5.8pt;margin-top:-.1pt;width:7in;height:50.4pt;z-index:4;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CEDAW/C/MWI/2-5</w:t>
                      </w:r>
                    </w:p>
                  </w:tc>
                  <w:tc>
                    <w:tcPr>
                      <w:tcW w:w="5047" w:type="dxa"/>
                      <w:vAlign w:val="bottom"/>
                    </w:tcPr>
                    <w:p w:rsidR="00000000" w:rsidRDefault="00000000">
                      <w:pPr>
                        <w:pStyle w:val="Header"/>
                      </w:pPr>
                    </w:p>
                  </w:tc>
                </w:tr>
              </w:tbl>
              <w:p w:rsidR="00000000" w:rsidRDefault="0000000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69" type="#_x0000_t202" style="position:absolute;margin-left:-5.8pt;margin-top:-.1pt;width:7in;height:50.4pt;z-index:3;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CEDAW/C/MWI/2-5</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43D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54F0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000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102860"/>
    <w:lvl w:ilvl="0">
      <w:start w:val="1"/>
      <w:numFmt w:val="decimal"/>
      <w:pStyle w:val="ListNumber2"/>
      <w:lvlText w:val="%1."/>
      <w:lvlJc w:val="left"/>
      <w:pPr>
        <w:tabs>
          <w:tab w:val="num" w:pos="643"/>
        </w:tabs>
        <w:ind w:left="643" w:hanging="360"/>
      </w:pPr>
    </w:lvl>
  </w:abstractNum>
  <w:abstractNum w:abstractNumId="4">
    <w:nsid w:val="FFFFFF88"/>
    <w:multiLevelType w:val="singleLevel"/>
    <w:tmpl w:val="5E1A971E"/>
    <w:lvl w:ilvl="0">
      <w:start w:val="1"/>
      <w:numFmt w:val="decimal"/>
      <w:pStyle w:val="ListNumber"/>
      <w:lvlText w:val="%1."/>
      <w:lvlJc w:val="left"/>
      <w:pPr>
        <w:tabs>
          <w:tab w:val="num" w:pos="360"/>
        </w:tabs>
        <w:ind w:left="360" w:hanging="360"/>
      </w:pPr>
    </w:lvl>
  </w:abstractNum>
  <w:abstractNum w:abstractNumId="5">
    <w:nsid w:val="FFFFFF89"/>
    <w:multiLevelType w:val="singleLevel"/>
    <w:tmpl w:val="00E217B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06D698C"/>
    <w:multiLevelType w:val="singleLevel"/>
    <w:tmpl w:val="8E2A432A"/>
    <w:lvl w:ilvl="0">
      <w:start w:val="1"/>
      <w:numFmt w:val="upperLetter"/>
      <w:pStyle w:val="Heading9"/>
      <w:lvlText w:val="%1."/>
      <w:lvlJc w:val="left"/>
      <w:pPr>
        <w:tabs>
          <w:tab w:val="num" w:pos="648"/>
        </w:tabs>
        <w:ind w:left="648" w:hanging="360"/>
      </w:pPr>
      <w:rPr>
        <w:rFonts w:hint="default"/>
      </w:rPr>
    </w:lvl>
  </w:abstractNum>
  <w:abstractNum w:abstractNumId="7">
    <w:nsid w:val="2CB71F82"/>
    <w:multiLevelType w:val="hybridMultilevel"/>
    <w:tmpl w:val="0246899C"/>
    <w:lvl w:ilvl="0">
      <w:start w:val="1"/>
      <w:numFmt w:val="bullet"/>
      <w:lvlText w:val=""/>
      <w:lvlJc w:val="left"/>
      <w:pPr>
        <w:tabs>
          <w:tab w:val="num" w:pos="1627"/>
        </w:tabs>
        <w:ind w:left="1627" w:hanging="360"/>
      </w:pPr>
      <w:rPr>
        <w:rFonts w:ascii="Symbol" w:hAnsi="Symbol" w:hint="default"/>
        <w:sz w:val="24"/>
      </w:rPr>
    </w:lvl>
    <w:lvl w:ilvl="1" w:tentative="1">
      <w:start w:val="1"/>
      <w:numFmt w:val="bullet"/>
      <w:lvlText w:val="o"/>
      <w:lvlJc w:val="left"/>
      <w:pPr>
        <w:tabs>
          <w:tab w:val="num" w:pos="2707"/>
        </w:tabs>
        <w:ind w:left="2707" w:hanging="360"/>
      </w:pPr>
      <w:rPr>
        <w:rFonts w:ascii="Courier New" w:hAnsi="Courier New"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8">
    <w:nsid w:val="34DC129E"/>
    <w:multiLevelType w:val="singleLevel"/>
    <w:tmpl w:val="910AD470"/>
    <w:lvl w:ilvl="0">
      <w:start w:val="1"/>
      <w:numFmt w:val="decimal"/>
      <w:pStyle w:val="ListContinue2"/>
      <w:lvlText w:val="%1."/>
      <w:lvlJc w:val="right"/>
      <w:pPr>
        <w:tabs>
          <w:tab w:val="num" w:pos="792"/>
        </w:tabs>
        <w:ind w:left="792" w:hanging="317"/>
      </w:pPr>
      <w:rPr>
        <w:rFonts w:hint="default"/>
      </w:rPr>
    </w:lvl>
  </w:abstractNum>
  <w:abstractNum w:abstractNumId="9">
    <w:nsid w:val="3F264356"/>
    <w:multiLevelType w:val="hybridMultilevel"/>
    <w:tmpl w:val="234EB5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pStyle w:val="TOC1"/>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6FF763F"/>
    <w:multiLevelType w:val="hybridMultilevel"/>
    <w:tmpl w:val="613468C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11E3A7C"/>
    <w:multiLevelType w:val="multilevel"/>
    <w:tmpl w:val="EC0AF14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2">
    <w:nsid w:val="5AF40CFD"/>
    <w:multiLevelType w:val="hybridMultilevel"/>
    <w:tmpl w:val="F948E990"/>
    <w:lvl w:ilvl="0">
      <w:start w:val="1"/>
      <w:numFmt w:val="bullet"/>
      <w:lvlText w:val=""/>
      <w:lvlJc w:val="left"/>
      <w:pPr>
        <w:tabs>
          <w:tab w:val="num" w:pos="1627"/>
        </w:tabs>
        <w:ind w:left="1627" w:hanging="360"/>
      </w:pPr>
      <w:rPr>
        <w:rFonts w:ascii="Symbol" w:hAnsi="Symbol" w:hint="default"/>
        <w:sz w:val="24"/>
      </w:rPr>
    </w:lvl>
    <w:lvl w:ilvl="1" w:tentative="1">
      <w:start w:val="1"/>
      <w:numFmt w:val="bullet"/>
      <w:lvlText w:val="o"/>
      <w:lvlJc w:val="left"/>
      <w:pPr>
        <w:tabs>
          <w:tab w:val="num" w:pos="2707"/>
        </w:tabs>
        <w:ind w:left="2707" w:hanging="360"/>
      </w:pPr>
      <w:rPr>
        <w:rFonts w:ascii="Courier New" w:hAnsi="Courier New"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13">
    <w:nsid w:val="5C057454"/>
    <w:multiLevelType w:val="multilevel"/>
    <w:tmpl w:val="2264D320"/>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rPr>
    </w:lvl>
    <w:lvl w:ilvl="2">
      <w:start w:val="1"/>
      <w:numFmt w:val="decimal"/>
      <w:lvlText w:val="%1.%2.%3"/>
      <w:lvlJc w:val="left"/>
      <w:pPr>
        <w:tabs>
          <w:tab w:val="num" w:pos="2308"/>
        </w:tabs>
        <w:ind w:left="2308" w:hanging="720"/>
      </w:pPr>
      <w:rPr>
        <w:rFonts w:hint="default"/>
      </w:rPr>
    </w:lvl>
    <w:lvl w:ilvl="3">
      <w:start w:val="1"/>
      <w:numFmt w:val="decimal"/>
      <w:lvlText w:val="%1.%2.%3.%4"/>
      <w:lvlJc w:val="left"/>
      <w:pPr>
        <w:tabs>
          <w:tab w:val="num" w:pos="3102"/>
        </w:tabs>
        <w:ind w:left="3102" w:hanging="720"/>
      </w:pPr>
      <w:rPr>
        <w:rFonts w:hint="default"/>
      </w:rPr>
    </w:lvl>
    <w:lvl w:ilvl="4">
      <w:start w:val="1"/>
      <w:numFmt w:val="decimal"/>
      <w:lvlText w:val="%1.%2.%3.%4.%5"/>
      <w:lvlJc w:val="left"/>
      <w:pPr>
        <w:tabs>
          <w:tab w:val="num" w:pos="4256"/>
        </w:tabs>
        <w:ind w:left="4256" w:hanging="1080"/>
      </w:pPr>
      <w:rPr>
        <w:rFonts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5844"/>
        </w:tabs>
        <w:ind w:left="5844" w:hanging="108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7792"/>
        </w:tabs>
        <w:ind w:left="7792" w:hanging="1440"/>
      </w:pPr>
      <w:rPr>
        <w:rFonts w:hint="default"/>
      </w:rPr>
    </w:lvl>
  </w:abstractNum>
  <w:abstractNum w:abstractNumId="14">
    <w:nsid w:val="6DCE382A"/>
    <w:multiLevelType w:val="multilevel"/>
    <w:tmpl w:val="EC0AF14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5">
    <w:nsid w:val="79A15716"/>
    <w:multiLevelType w:val="hybridMultilevel"/>
    <w:tmpl w:val="3C3C2496"/>
    <w:lvl w:ilvl="0">
      <w:start w:val="1"/>
      <w:numFmt w:val="bullet"/>
      <w:lvlText w:val=""/>
      <w:lvlJc w:val="left"/>
      <w:pPr>
        <w:tabs>
          <w:tab w:val="num" w:pos="1627"/>
        </w:tabs>
        <w:ind w:left="1627" w:hanging="360"/>
      </w:pPr>
      <w:rPr>
        <w:rFonts w:ascii="Symbol" w:hAnsi="Symbol" w:hint="default"/>
        <w:sz w:val="24"/>
      </w:rPr>
    </w:lvl>
    <w:lvl w:ilvl="1" w:tentative="1">
      <w:start w:val="1"/>
      <w:numFmt w:val="bullet"/>
      <w:lvlText w:val="o"/>
      <w:lvlJc w:val="left"/>
      <w:pPr>
        <w:tabs>
          <w:tab w:val="num" w:pos="2707"/>
        </w:tabs>
        <w:ind w:left="2707" w:hanging="360"/>
      </w:pPr>
      <w:rPr>
        <w:rFonts w:ascii="Courier New" w:hAnsi="Courier New"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hint="default"/>
      </w:rPr>
    </w:lvl>
    <w:lvl w:ilvl="8" w:tentative="1">
      <w:start w:val="1"/>
      <w:numFmt w:val="bullet"/>
      <w:lvlText w:val=""/>
      <w:lvlJc w:val="left"/>
      <w:pPr>
        <w:tabs>
          <w:tab w:val="num" w:pos="7747"/>
        </w:tabs>
        <w:ind w:left="7747" w:hanging="360"/>
      </w:pPr>
      <w:rPr>
        <w:rFonts w:ascii="Wingdings" w:hAnsi="Wingdings" w:hint="default"/>
      </w:rPr>
    </w:lvl>
  </w:abstractNum>
  <w:num w:numId="1">
    <w:abstractNumId w:val="9"/>
  </w:num>
  <w:num w:numId="2">
    <w:abstractNumId w:val="10"/>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8"/>
  </w:num>
  <w:num w:numId="11">
    <w:abstractNumId w:val="7"/>
  </w:num>
  <w:num w:numId="12">
    <w:abstractNumId w:val="12"/>
  </w:num>
  <w:num w:numId="13">
    <w:abstractNumId w:val="1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activeWritingStyle w:appName="MSWord" w:lang="en-US" w:vendorID="8" w:dllVersion="513"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9/2002 14:03:02"/>
    <w:docVar w:name="DocCategory" w:val="Doc"/>
    <w:docVar w:name="DocType" w:val="Final"/>
    <w:docVar w:name="JobNo" w:val="0441932R"/>
    <w:docVar w:name="OandT" w:val="Griaznova"/>
    <w:docVar w:name="Symbol1" w:val="CEDAW/C/MWI/2-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eastAsia="ru-RU"/>
    </w:rPr>
  </w:style>
  <w:style w:type="paragraph" w:styleId="Heading1">
    <w:name w:val="heading 1"/>
    <w:basedOn w:val="Normal"/>
    <w:next w:val="Normal"/>
    <w:qFormat/>
    <w:pPr>
      <w:keepNext/>
      <w:outlineLvl w:val="0"/>
    </w:pPr>
    <w:rPr>
      <w:i/>
      <w:iCs/>
      <w:sz w:val="1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right"/>
      <w:outlineLvl w:val="2"/>
    </w:pPr>
    <w:rPr>
      <w:i/>
      <w:iCs/>
      <w:sz w:val="14"/>
    </w:rPr>
  </w:style>
  <w:style w:type="paragraph" w:styleId="Heading4">
    <w:name w:val="heading 4"/>
    <w:basedOn w:val="Normal"/>
    <w:next w:val="Normal"/>
    <w:qFormat/>
    <w:pPr>
      <w:keepNext/>
      <w:tabs>
        <w:tab w:val="left" w:pos="-252"/>
        <w:tab w:val="left" w:pos="288"/>
        <w:tab w:val="left" w:pos="2358"/>
        <w:tab w:val="left" w:pos="4878"/>
        <w:tab w:val="left" w:pos="7218"/>
        <w:tab w:val="left" w:pos="9288"/>
        <w:tab w:val="left" w:pos="11784"/>
        <w:tab w:val="left" w:pos="13748"/>
      </w:tabs>
      <w:spacing w:line="240" w:lineRule="auto"/>
      <w:jc w:val="both"/>
      <w:outlineLvl w:val="3"/>
    </w:pPr>
    <w:rPr>
      <w:rFonts w:ascii="Tahoma" w:hAnsi="Tahoma"/>
      <w:b/>
      <w:spacing w:val="0"/>
      <w:w w:val="100"/>
      <w:kern w:val="0"/>
      <w:sz w:val="18"/>
      <w:lang w:val="en-GB" w:eastAsia="en-US"/>
    </w:rPr>
  </w:style>
  <w:style w:type="paragraph" w:styleId="Heading5">
    <w:name w:val="heading 5"/>
    <w:basedOn w:val="Normal"/>
    <w:next w:val="Normal"/>
    <w:qFormat/>
    <w:pPr>
      <w:keepNext/>
      <w:outlineLvl w:val="4"/>
    </w:pPr>
    <w:rPr>
      <w:rFonts w:eastAsia="Arial Unicode MS"/>
      <w:b/>
      <w:bCs/>
      <w:snapToGrid w:val="0"/>
      <w:sz w:val="17"/>
    </w:rPr>
  </w:style>
  <w:style w:type="paragraph" w:styleId="Heading6">
    <w:name w:val="heading 6"/>
    <w:basedOn w:val="Normal"/>
    <w:next w:val="Normal"/>
    <w:qFormat/>
    <w:pPr>
      <w:keepNext/>
      <w:jc w:val="center"/>
      <w:outlineLvl w:val="5"/>
    </w:pPr>
    <w:rPr>
      <w:bCs/>
      <w:i/>
      <w:iCs/>
      <w:sz w:val="17"/>
    </w:rPr>
  </w:style>
  <w:style w:type="paragraph" w:styleId="Heading7">
    <w:name w:val="heading 7"/>
    <w:basedOn w:val="Normal"/>
    <w:next w:val="Normal"/>
    <w:qFormat/>
    <w:pPr>
      <w:keepNext/>
      <w:spacing w:line="240" w:lineRule="auto"/>
      <w:outlineLvl w:val="6"/>
    </w:pPr>
    <w:rPr>
      <w:bCs/>
      <w:i/>
      <w:iCs/>
      <w:sz w:val="17"/>
    </w:rPr>
  </w:style>
  <w:style w:type="paragraph" w:styleId="Heading9">
    <w:name w:val="heading 9"/>
    <w:basedOn w:val="Normal"/>
    <w:next w:val="Normal"/>
    <w:qFormat/>
    <w:pPr>
      <w:keepNext/>
      <w:numPr>
        <w:numId w:val="3"/>
      </w:numPr>
      <w:tabs>
        <w:tab w:val="left" w:pos="-720"/>
        <w:tab w:val="left" w:pos="0"/>
        <w:tab w:val="left" w:pos="720"/>
        <w:tab w:val="left" w:pos="1126"/>
        <w:tab w:val="left" w:pos="2160"/>
        <w:tab w:val="right" w:leader="dot" w:pos="2497"/>
        <w:tab w:val="right" w:leader="dot" w:pos="2804"/>
        <w:tab w:val="right" w:leader="dot" w:pos="3111"/>
        <w:tab w:val="right" w:leader="dot" w:pos="3418"/>
        <w:tab w:val="right" w:leader="dot" w:pos="3726"/>
        <w:tab w:val="right" w:leader="dot" w:pos="4033"/>
        <w:tab w:val="right" w:leader="dot" w:pos="4340"/>
        <w:tab w:val="right" w:leader="dot" w:pos="4647"/>
        <w:tab w:val="right" w:leader="dot" w:pos="4954"/>
        <w:tab w:val="right" w:leader="dot" w:pos="5262"/>
        <w:tab w:val="right" w:leader="dot" w:pos="5569"/>
        <w:tab w:val="right" w:leader="dot" w:pos="5876"/>
        <w:tab w:val="right" w:leader="dot" w:pos="6183"/>
        <w:tab w:val="right" w:leader="dot" w:pos="6490"/>
        <w:tab w:val="right" w:leader="dot" w:pos="6798"/>
        <w:tab w:val="right" w:leader="dot" w:pos="7182"/>
        <w:tab w:val="right" w:leader="dot" w:pos="7489"/>
        <w:tab w:val="right" w:leader="dot" w:pos="7796"/>
        <w:tab w:val="right" w:leader="dot" w:pos="8103"/>
        <w:tab w:val="right" w:pos="9180"/>
      </w:tabs>
      <w:spacing w:line="240" w:lineRule="auto"/>
      <w:jc w:val="center"/>
      <w:outlineLvl w:val="8"/>
    </w:pPr>
    <w:rPr>
      <w:spacing w:val="0"/>
      <w:w w:val="100"/>
      <w:kern w:val="0"/>
      <w:sz w:val="24"/>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ind w:left="2058" w:right="1208" w:hanging="1264"/>
      <w:outlineLvl w:val="0"/>
    </w:pPr>
    <w:rPr>
      <w:b/>
      <w:sz w:val="24"/>
    </w:rPr>
  </w:style>
  <w:style w:type="paragraph" w:customStyle="1" w:styleId="HCh">
    <w:name w:val="_ H _Ch"/>
    <w:basedOn w:val="H1"/>
    <w:next w:val="SingleTxt"/>
    <w:pPr>
      <w:keepNext/>
      <w:keepLines/>
      <w:tabs>
        <w:tab w:val="left" w:pos="1264"/>
      </w:tabs>
      <w:spacing w:line="300" w:lineRule="exact"/>
    </w:pPr>
    <w:rPr>
      <w:spacing w:val="-2"/>
      <w:sz w:val="28"/>
    </w:rPr>
  </w:style>
  <w:style w:type="paragraph" w:customStyle="1" w:styleId="H23">
    <w:name w:val="_ H_2/3"/>
    <w:basedOn w:val="H1"/>
    <w:next w:val="DualTxt"/>
    <w:pPr>
      <w:keepNext/>
      <w:keepLines/>
      <w:spacing w:after="120" w:line="240" w:lineRule="exact"/>
      <w:ind w:left="1270" w:hanging="476"/>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DualTxt"/>
    <w:pPr>
      <w:keepNext/>
      <w:keepLines/>
      <w:tabs>
        <w:tab w:val="right" w:pos="360"/>
      </w:tabs>
      <w:suppressAutoHyphens/>
      <w:outlineLvl w:val="4"/>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4" w:right="1264"/>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spacing w:val="-5"/>
      <w:w w:val="130"/>
      <w:position w:val="0"/>
      <w:sz w:val="17"/>
      <w:vertAlign w:val="superscript"/>
    </w:rPr>
  </w:style>
  <w:style w:type="character" w:styleId="EndnoteReference">
    <w:name w:val="endnote reference"/>
    <w:basedOn w:val="FootnoteReference"/>
    <w:semiHidden/>
    <w:rPr>
      <w:rFonts w:ascii="Times New Roman" w:hAnsi="Times New Roman"/>
      <w:spacing w:val="-5"/>
      <w:w w:val="130"/>
      <w:position w:val="0"/>
      <w:sz w:val="17"/>
      <w:vertAlign w:val="superscript"/>
    </w:rPr>
  </w:style>
  <w:style w:type="paragraph" w:styleId="FootnoteText">
    <w:name w:val="footnote text"/>
    <w:basedOn w:val="Normal"/>
    <w:semiHidden/>
    <w:pPr>
      <w:widowControl w:val="0"/>
      <w:tabs>
        <w:tab w:val="right" w:pos="418"/>
      </w:tabs>
      <w:suppressAutoHyphens/>
      <w:spacing w:line="210" w:lineRule="exact"/>
      <w:ind w:left="1117" w:right="1264" w:hanging="284"/>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ru-RU" w:eastAsia="ru-RU"/>
    </w:rPr>
  </w:style>
  <w:style w:type="paragraph" w:styleId="Header">
    <w:name w:val="header"/>
    <w:semiHidden/>
    <w:pPr>
      <w:tabs>
        <w:tab w:val="center" w:pos="4320"/>
        <w:tab w:val="right" w:pos="8640"/>
      </w:tabs>
    </w:pPr>
    <w:rPr>
      <w:noProof/>
      <w:sz w:val="17"/>
      <w:lang w:val="ru-RU" w:eastAsia="ru-RU"/>
    </w:rPr>
  </w:style>
  <w:style w:type="character" w:styleId="LineNumber">
    <w:name w:val="line number"/>
    <w:semiHidden/>
    <w:rPr>
      <w:sz w:val="14"/>
    </w:rPr>
  </w:style>
  <w:style w:type="paragraph" w:styleId="ListContinue2">
    <w:name w:val="List Continue 2"/>
    <w:basedOn w:val="Normal"/>
    <w:next w:val="Normal"/>
    <w:semiHidden/>
    <w:pPr>
      <w:numPr>
        <w:numId w:val="10"/>
      </w:numPr>
      <w:spacing w:after="120"/>
    </w:pPr>
  </w:style>
  <w:style w:type="paragraph" w:styleId="ListNumber">
    <w:name w:val="List Number"/>
    <w:basedOn w:val="H1"/>
    <w:next w:val="Normal"/>
    <w:semiHidden/>
    <w:pPr>
      <w:numPr>
        <w:numId w:val="5"/>
      </w:numPr>
      <w:tabs>
        <w:tab w:val="clear" w:pos="360"/>
        <w:tab w:val="num" w:pos="792"/>
      </w:tabs>
      <w:ind w:left="792" w:hanging="317"/>
    </w:pPr>
  </w:style>
  <w:style w:type="paragraph" w:styleId="ListNumber2">
    <w:name w:val="List Number 2"/>
    <w:basedOn w:val="H23"/>
    <w:next w:val="Normal"/>
    <w:semiHidden/>
    <w:pPr>
      <w:numPr>
        <w:numId w:val="6"/>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8"/>
      </w:numPr>
      <w:tabs>
        <w:tab w:val="clear" w:pos="1209"/>
        <w:tab w:val="num" w:pos="792"/>
      </w:tabs>
      <w:ind w:left="792" w:hanging="317"/>
    </w:pPr>
  </w:style>
  <w:style w:type="paragraph" w:styleId="ListNumber5">
    <w:name w:val="List Number 5"/>
    <w:basedOn w:val="Normal"/>
    <w:next w:val="Normal"/>
    <w:semiHidden/>
    <w:pPr>
      <w:numPr>
        <w:numId w:val="9"/>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ListBullet">
    <w:name w:val="List Bullet"/>
    <w:basedOn w:val="Normal"/>
    <w:autoRedefine/>
    <w:semiHidden/>
    <w:pPr>
      <w:numPr>
        <w:numId w:val="4"/>
      </w:numPr>
    </w:pPr>
  </w:style>
  <w:style w:type="paragraph" w:styleId="BodyText">
    <w:name w:val="Body Text"/>
    <w:basedOn w:val="Normal"/>
    <w:semiHidden/>
    <w:pPr>
      <w:tabs>
        <w:tab w:val="left" w:pos="1814"/>
      </w:tabs>
      <w:spacing w:after="120"/>
      <w:ind w:left="1247" w:right="1247"/>
      <w:jc w:val="both"/>
    </w:pPr>
    <w:rPr>
      <w:spacing w:val="0"/>
      <w:w w:val="100"/>
      <w:kern w:val="0"/>
    </w:rPr>
  </w:style>
  <w:style w:type="paragraph" w:styleId="BodyText2">
    <w:name w:val="Body Text 2"/>
    <w:basedOn w:val="Normal"/>
    <w:semiHidden/>
    <w:pPr>
      <w:spacing w:line="480" w:lineRule="auto"/>
      <w:jc w:val="both"/>
    </w:pPr>
    <w:rPr>
      <w:spacing w:val="0"/>
      <w:w w:val="100"/>
      <w:kern w:val="0"/>
      <w:sz w:val="28"/>
    </w:rPr>
  </w:style>
  <w:style w:type="paragraph" w:customStyle="1" w:styleId="BulletPoint">
    <w:name w:val="Bullet Point"/>
    <w:basedOn w:val="Normal"/>
    <w:pPr>
      <w:numPr>
        <w:ilvl w:val="2"/>
        <w:numId w:val="1"/>
      </w:numPr>
      <w:spacing w:before="60" w:line="259" w:lineRule="auto"/>
      <w:jc w:val="both"/>
    </w:pPr>
    <w:rPr>
      <w:rFonts w:ascii="Tahoma" w:hAnsi="Tahoma"/>
      <w:spacing w:val="0"/>
      <w:w w:val="100"/>
      <w:kern w:val="0"/>
      <w:sz w:val="22"/>
      <w:lang w:val="en-GB" w:eastAsia="en-US"/>
    </w:rPr>
  </w:style>
  <w:style w:type="paragraph" w:customStyle="1" w:styleId="BankNormal">
    <w:name w:val="BankNormal"/>
    <w:basedOn w:val="Normal"/>
    <w:pPr>
      <w:spacing w:after="240" w:line="240" w:lineRule="auto"/>
    </w:pPr>
    <w:rPr>
      <w:spacing w:val="0"/>
      <w:w w:val="100"/>
      <w:kern w:val="0"/>
      <w:sz w:val="24"/>
      <w:lang w:val="en-GB" w:eastAsia="en-US"/>
    </w:rPr>
  </w:style>
  <w:style w:type="paragraph" w:styleId="TOC1">
    <w:name w:val="toc 1"/>
    <w:basedOn w:val="Normal"/>
    <w:next w:val="Normal"/>
    <w:autoRedefine/>
    <w:semiHidden/>
    <w:pPr>
      <w:spacing w:before="120" w:after="120" w:line="240" w:lineRule="auto"/>
    </w:pPr>
    <w:rPr>
      <w:b/>
      <w:caps/>
      <w:spacing w:val="0"/>
      <w:w w:val="100"/>
      <w:kern w:val="0"/>
      <w:lang w:val="en-GB" w:eastAsia="en-US"/>
    </w:rPr>
  </w:style>
  <w:style w:type="paragraph" w:styleId="TOC2">
    <w:name w:val="toc 2"/>
    <w:basedOn w:val="Normal"/>
    <w:next w:val="Normal"/>
    <w:autoRedefine/>
    <w:semiHidden/>
    <w:pPr>
      <w:tabs>
        <w:tab w:val="left" w:pos="1418"/>
        <w:tab w:val="right" w:leader="dot" w:pos="9838"/>
      </w:tabs>
      <w:spacing w:line="240" w:lineRule="auto"/>
      <w:ind w:left="200"/>
    </w:pPr>
    <w:rPr>
      <w:smallCaps/>
      <w:noProof/>
      <w:spacing w:val="0"/>
      <w:w w:val="100"/>
      <w:kern w:val="0"/>
      <w:lang w:val="en-GB" w:eastAsia="en-US"/>
    </w:rPr>
  </w:style>
  <w:style w:type="paragraph" w:styleId="BodyTextIndent">
    <w:name w:val="Body Text Indent"/>
    <w:basedOn w:val="Normal"/>
    <w:semiHidden/>
    <w:pPr>
      <w:tabs>
        <w:tab w:val="left" w:pos="4410"/>
      </w:tabs>
      <w:spacing w:line="240" w:lineRule="auto"/>
      <w:ind w:left="-360"/>
      <w:jc w:val="both"/>
    </w:pPr>
    <w:rPr>
      <w:rFonts w:ascii="Tahoma" w:hAnsi="Tahoma"/>
      <w:spacing w:val="0"/>
      <w:w w:val="100"/>
      <w:kern w:val="0"/>
      <w:lang w:val="en-GB" w:eastAsia="en-US"/>
    </w:rPr>
  </w:style>
  <w:style w:type="paragraph" w:styleId="BodyTextIndent2">
    <w:name w:val="Body Text Indent 2"/>
    <w:basedOn w:val="Normal"/>
    <w:semiHidden/>
    <w:pPr>
      <w:spacing w:line="480" w:lineRule="auto"/>
      <w:ind w:left="570" w:hanging="570"/>
      <w:jc w:val="both"/>
    </w:pPr>
    <w:rPr>
      <w:b/>
      <w:spacing w:val="0"/>
      <w:w w:val="100"/>
      <w:kern w:val="0"/>
      <w:sz w:val="24"/>
      <w:lang w:eastAsia="en-US"/>
    </w:rPr>
  </w:style>
  <w:style w:type="paragraph" w:styleId="BodyText3">
    <w:name w:val="Body Text 3"/>
    <w:basedOn w:val="Normal"/>
    <w:semiHidden/>
    <w:pPr>
      <w:spacing w:line="240" w:lineRule="auto"/>
    </w:pPr>
    <w:rPr>
      <w:spacing w:val="0"/>
      <w:w w:val="100"/>
      <w:kern w:val="0"/>
      <w:sz w:val="24"/>
      <w:lang w:val="en-GB" w:eastAsia="en-US"/>
    </w:rPr>
  </w:style>
  <w:style w:type="paragraph" w:styleId="BlockText">
    <w:name w:val="Block Text"/>
    <w:basedOn w:val="Normal"/>
    <w:semiHidden/>
    <w:pPr>
      <w:spacing w:line="240" w:lineRule="auto"/>
      <w:ind w:left="1264" w:right="1264"/>
      <w:jc w:val="center"/>
    </w:pPr>
    <w:rPr>
      <w:b/>
      <w:sz w:val="28"/>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semiHidden/>
    <w:rPr>
      <w:color w:val="0000FF"/>
      <w:u w:val="non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41689</Words>
  <Characters>237628</Characters>
  <Application>Microsoft Office Word</Application>
  <DocSecurity>4</DocSecurity>
  <Lines>1980</Lines>
  <Paragraphs>475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291823</CharactersWithSpaces>
  <SharedDoc>false</SharedDoc>
  <HLinks>
    <vt:vector size="132" baseType="variant">
      <vt:variant>
        <vt:i4>1441843</vt:i4>
      </vt:variant>
      <vt:variant>
        <vt:i4>125</vt:i4>
      </vt:variant>
      <vt:variant>
        <vt:i4>0</vt:i4>
      </vt:variant>
      <vt:variant>
        <vt:i4>5</vt:i4>
      </vt:variant>
      <vt:variant>
        <vt:lpwstr/>
      </vt:variant>
      <vt:variant>
        <vt:lpwstr>_Toc83977550</vt:lpwstr>
      </vt:variant>
      <vt:variant>
        <vt:i4>2031666</vt:i4>
      </vt:variant>
      <vt:variant>
        <vt:i4>119</vt:i4>
      </vt:variant>
      <vt:variant>
        <vt:i4>0</vt:i4>
      </vt:variant>
      <vt:variant>
        <vt:i4>5</vt:i4>
      </vt:variant>
      <vt:variant>
        <vt:lpwstr/>
      </vt:variant>
      <vt:variant>
        <vt:lpwstr>_Toc83977549</vt:lpwstr>
      </vt:variant>
      <vt:variant>
        <vt:i4>1966130</vt:i4>
      </vt:variant>
      <vt:variant>
        <vt:i4>113</vt:i4>
      </vt:variant>
      <vt:variant>
        <vt:i4>0</vt:i4>
      </vt:variant>
      <vt:variant>
        <vt:i4>5</vt:i4>
      </vt:variant>
      <vt:variant>
        <vt:lpwstr/>
      </vt:variant>
      <vt:variant>
        <vt:lpwstr>_Toc83977548</vt:lpwstr>
      </vt:variant>
      <vt:variant>
        <vt:i4>1114162</vt:i4>
      </vt:variant>
      <vt:variant>
        <vt:i4>107</vt:i4>
      </vt:variant>
      <vt:variant>
        <vt:i4>0</vt:i4>
      </vt:variant>
      <vt:variant>
        <vt:i4>5</vt:i4>
      </vt:variant>
      <vt:variant>
        <vt:lpwstr/>
      </vt:variant>
      <vt:variant>
        <vt:lpwstr>_Toc83977547</vt:lpwstr>
      </vt:variant>
      <vt:variant>
        <vt:i4>1048626</vt:i4>
      </vt:variant>
      <vt:variant>
        <vt:i4>101</vt:i4>
      </vt:variant>
      <vt:variant>
        <vt:i4>0</vt:i4>
      </vt:variant>
      <vt:variant>
        <vt:i4>5</vt:i4>
      </vt:variant>
      <vt:variant>
        <vt:lpwstr/>
      </vt:variant>
      <vt:variant>
        <vt:lpwstr>_Toc83977546</vt:lpwstr>
      </vt:variant>
      <vt:variant>
        <vt:i4>1245234</vt:i4>
      </vt:variant>
      <vt:variant>
        <vt:i4>95</vt:i4>
      </vt:variant>
      <vt:variant>
        <vt:i4>0</vt:i4>
      </vt:variant>
      <vt:variant>
        <vt:i4>5</vt:i4>
      </vt:variant>
      <vt:variant>
        <vt:lpwstr/>
      </vt:variant>
      <vt:variant>
        <vt:lpwstr>_Toc83977545</vt:lpwstr>
      </vt:variant>
      <vt:variant>
        <vt:i4>1179698</vt:i4>
      </vt:variant>
      <vt:variant>
        <vt:i4>89</vt:i4>
      </vt:variant>
      <vt:variant>
        <vt:i4>0</vt:i4>
      </vt:variant>
      <vt:variant>
        <vt:i4>5</vt:i4>
      </vt:variant>
      <vt:variant>
        <vt:lpwstr/>
      </vt:variant>
      <vt:variant>
        <vt:lpwstr>_Toc83977544</vt:lpwstr>
      </vt:variant>
      <vt:variant>
        <vt:i4>1376306</vt:i4>
      </vt:variant>
      <vt:variant>
        <vt:i4>83</vt:i4>
      </vt:variant>
      <vt:variant>
        <vt:i4>0</vt:i4>
      </vt:variant>
      <vt:variant>
        <vt:i4>5</vt:i4>
      </vt:variant>
      <vt:variant>
        <vt:lpwstr/>
      </vt:variant>
      <vt:variant>
        <vt:lpwstr>_Toc83977543</vt:lpwstr>
      </vt:variant>
      <vt:variant>
        <vt:i4>1310770</vt:i4>
      </vt:variant>
      <vt:variant>
        <vt:i4>77</vt:i4>
      </vt:variant>
      <vt:variant>
        <vt:i4>0</vt:i4>
      </vt:variant>
      <vt:variant>
        <vt:i4>5</vt:i4>
      </vt:variant>
      <vt:variant>
        <vt:lpwstr/>
      </vt:variant>
      <vt:variant>
        <vt:lpwstr>_Toc83977542</vt:lpwstr>
      </vt:variant>
      <vt:variant>
        <vt:i4>1507378</vt:i4>
      </vt:variant>
      <vt:variant>
        <vt:i4>71</vt:i4>
      </vt:variant>
      <vt:variant>
        <vt:i4>0</vt:i4>
      </vt:variant>
      <vt:variant>
        <vt:i4>5</vt:i4>
      </vt:variant>
      <vt:variant>
        <vt:lpwstr/>
      </vt:variant>
      <vt:variant>
        <vt:lpwstr>_Toc83977541</vt:lpwstr>
      </vt:variant>
      <vt:variant>
        <vt:i4>1441842</vt:i4>
      </vt:variant>
      <vt:variant>
        <vt:i4>65</vt:i4>
      </vt:variant>
      <vt:variant>
        <vt:i4>0</vt:i4>
      </vt:variant>
      <vt:variant>
        <vt:i4>5</vt:i4>
      </vt:variant>
      <vt:variant>
        <vt:lpwstr/>
      </vt:variant>
      <vt:variant>
        <vt:lpwstr>_Toc83977540</vt:lpwstr>
      </vt:variant>
      <vt:variant>
        <vt:i4>2031669</vt:i4>
      </vt:variant>
      <vt:variant>
        <vt:i4>59</vt:i4>
      </vt:variant>
      <vt:variant>
        <vt:i4>0</vt:i4>
      </vt:variant>
      <vt:variant>
        <vt:i4>5</vt:i4>
      </vt:variant>
      <vt:variant>
        <vt:lpwstr/>
      </vt:variant>
      <vt:variant>
        <vt:lpwstr>_Toc83977539</vt:lpwstr>
      </vt:variant>
      <vt:variant>
        <vt:i4>1966133</vt:i4>
      </vt:variant>
      <vt:variant>
        <vt:i4>53</vt:i4>
      </vt:variant>
      <vt:variant>
        <vt:i4>0</vt:i4>
      </vt:variant>
      <vt:variant>
        <vt:i4>5</vt:i4>
      </vt:variant>
      <vt:variant>
        <vt:lpwstr/>
      </vt:variant>
      <vt:variant>
        <vt:lpwstr>_Toc83977538</vt:lpwstr>
      </vt:variant>
      <vt:variant>
        <vt:i4>1114165</vt:i4>
      </vt:variant>
      <vt:variant>
        <vt:i4>47</vt:i4>
      </vt:variant>
      <vt:variant>
        <vt:i4>0</vt:i4>
      </vt:variant>
      <vt:variant>
        <vt:i4>5</vt:i4>
      </vt:variant>
      <vt:variant>
        <vt:lpwstr/>
      </vt:variant>
      <vt:variant>
        <vt:lpwstr>_Toc83977537</vt:lpwstr>
      </vt:variant>
      <vt:variant>
        <vt:i4>1048629</vt:i4>
      </vt:variant>
      <vt:variant>
        <vt:i4>41</vt:i4>
      </vt:variant>
      <vt:variant>
        <vt:i4>0</vt:i4>
      </vt:variant>
      <vt:variant>
        <vt:i4>5</vt:i4>
      </vt:variant>
      <vt:variant>
        <vt:lpwstr/>
      </vt:variant>
      <vt:variant>
        <vt:lpwstr>_Toc83977536</vt:lpwstr>
      </vt:variant>
      <vt:variant>
        <vt:i4>1245237</vt:i4>
      </vt:variant>
      <vt:variant>
        <vt:i4>35</vt:i4>
      </vt:variant>
      <vt:variant>
        <vt:i4>0</vt:i4>
      </vt:variant>
      <vt:variant>
        <vt:i4>5</vt:i4>
      </vt:variant>
      <vt:variant>
        <vt:lpwstr/>
      </vt:variant>
      <vt:variant>
        <vt:lpwstr>_Toc83977535</vt:lpwstr>
      </vt:variant>
      <vt:variant>
        <vt:i4>1179701</vt:i4>
      </vt:variant>
      <vt:variant>
        <vt:i4>29</vt:i4>
      </vt:variant>
      <vt:variant>
        <vt:i4>0</vt:i4>
      </vt:variant>
      <vt:variant>
        <vt:i4>5</vt:i4>
      </vt:variant>
      <vt:variant>
        <vt:lpwstr/>
      </vt:variant>
      <vt:variant>
        <vt:lpwstr>_Toc83977534</vt:lpwstr>
      </vt:variant>
      <vt:variant>
        <vt:i4>1376309</vt:i4>
      </vt:variant>
      <vt:variant>
        <vt:i4>23</vt:i4>
      </vt:variant>
      <vt:variant>
        <vt:i4>0</vt:i4>
      </vt:variant>
      <vt:variant>
        <vt:i4>5</vt:i4>
      </vt:variant>
      <vt:variant>
        <vt:lpwstr/>
      </vt:variant>
      <vt:variant>
        <vt:lpwstr>_Toc83977533</vt:lpwstr>
      </vt:variant>
      <vt:variant>
        <vt:i4>1245236</vt:i4>
      </vt:variant>
      <vt:variant>
        <vt:i4>17</vt:i4>
      </vt:variant>
      <vt:variant>
        <vt:i4>0</vt:i4>
      </vt:variant>
      <vt:variant>
        <vt:i4>5</vt:i4>
      </vt:variant>
      <vt:variant>
        <vt:lpwstr/>
      </vt:variant>
      <vt:variant>
        <vt:lpwstr>_Toc83977525</vt:lpwstr>
      </vt:variant>
      <vt:variant>
        <vt:i4>1179700</vt:i4>
      </vt:variant>
      <vt:variant>
        <vt:i4>11</vt:i4>
      </vt:variant>
      <vt:variant>
        <vt:i4>0</vt:i4>
      </vt:variant>
      <vt:variant>
        <vt:i4>5</vt:i4>
      </vt:variant>
      <vt:variant>
        <vt:lpwstr/>
      </vt:variant>
      <vt:variant>
        <vt:lpwstr>_Toc83977524</vt:lpwstr>
      </vt:variant>
      <vt:variant>
        <vt:i4>1376308</vt:i4>
      </vt:variant>
      <vt:variant>
        <vt:i4>5</vt:i4>
      </vt:variant>
      <vt:variant>
        <vt:i4>0</vt:i4>
      </vt:variant>
      <vt:variant>
        <vt:i4>5</vt:i4>
      </vt:variant>
      <vt:variant>
        <vt:lpwstr/>
      </vt:variant>
      <vt:variant>
        <vt:lpwstr>_Toc83977523</vt:lpwstr>
      </vt:variant>
      <vt:variant>
        <vt:i4>8257630</vt:i4>
      </vt:variant>
      <vt:variant>
        <vt:i4>600164</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Tatyana Nikitina</cp:lastModifiedBy>
  <cp:revision>7</cp:revision>
  <cp:lastPrinted>2004-10-05T12:23:00Z</cp:lastPrinted>
  <dcterms:created xsi:type="dcterms:W3CDTF">2004-10-05T12:03:00Z</dcterms:created>
  <dcterms:modified xsi:type="dcterms:W3CDTF">2004-10-05T14:53:00Z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0441932R</vt:lpwstr>
  </property>
  <property fmtid="{D5CDD505-2E9C-101B-9397-08002B2CF9AE}" pid="5" name="Symbol1">
    <vt:lpwstr>CEDAW/C/MWI/2-5</vt:lpwstr>
  </property>
  <property fmtid="{D5CDD505-2E9C-101B-9397-08002B2CF9AE}" pid="6" name="Comment">
    <vt:lpwstr/>
  </property>
  <property fmtid="{D5CDD505-2E9C-101B-9397-08002B2CF9AE}" pid="7" name="DraftPages">
    <vt:lpwstr> 109</vt:lpwstr>
  </property>
  <property fmtid="{D5CDD505-2E9C-101B-9397-08002B2CF9AE}" pid="8" name="Operator">
    <vt:lpwstr>Nikitina</vt:lpwstr>
  </property>
</Properties>
</file>