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CD3A9" w14:textId="77777777" w:rsidR="00EB668C" w:rsidRPr="00F1794C" w:rsidRDefault="00EB668C" w:rsidP="00EB668C">
      <w:pPr>
        <w:spacing w:line="240" w:lineRule="auto"/>
        <w:rPr>
          <w:sz w:val="2"/>
        </w:rPr>
        <w:sectPr w:rsidR="00EB668C" w:rsidRPr="00F1794C" w:rsidSect="00B35EE7">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commentRangeStart w:id="0"/>
      <w:commentRangeEnd w:id="0"/>
      <w:r w:rsidRPr="00F1794C">
        <w:rPr>
          <w:rStyle w:val="CommentReference"/>
        </w:rPr>
        <w:commentReference w:id="0"/>
      </w:r>
    </w:p>
    <w:p w14:paraId="463A227D" w14:textId="371DA993" w:rsidR="00B35EE7" w:rsidRDefault="00B35EE7" w:rsidP="00F1794C">
      <w:pPr>
        <w:pStyle w:val="H1"/>
        <w:tabs>
          <w:tab w:val="right" w:pos="1022"/>
          <w:tab w:val="left" w:pos="1267"/>
          <w:tab w:val="left" w:pos="1742"/>
          <w:tab w:val="left" w:pos="2218"/>
          <w:tab w:val="left" w:pos="2693"/>
          <w:tab w:val="left" w:pos="3182"/>
          <w:tab w:val="left" w:pos="3658"/>
          <w:tab w:val="left" w:pos="4133"/>
          <w:tab w:val="left" w:pos="4622"/>
          <w:tab w:val="left" w:pos="5040"/>
          <w:tab w:val="left" w:pos="5098"/>
          <w:tab w:val="left" w:pos="5573"/>
          <w:tab w:val="left" w:pos="6048"/>
        </w:tabs>
        <w:ind w:right="4620"/>
        <w:rPr>
          <w:lang w:val="fr-FR"/>
        </w:rPr>
      </w:pPr>
      <w:r w:rsidRPr="00F1794C">
        <w:rPr>
          <w:lang w:val="fr-FR"/>
        </w:rPr>
        <w:t>Comité pour l</w:t>
      </w:r>
      <w:r w:rsidR="00F1794C" w:rsidRPr="00F1794C">
        <w:rPr>
          <w:lang w:val="fr-FR"/>
        </w:rPr>
        <w:t>’</w:t>
      </w:r>
      <w:r w:rsidRPr="00F1794C">
        <w:rPr>
          <w:lang w:val="fr-FR"/>
        </w:rPr>
        <w:t>élimination de la discrimination à l</w:t>
      </w:r>
      <w:r w:rsidR="00F1794C" w:rsidRPr="00F1794C">
        <w:rPr>
          <w:lang w:val="fr-FR"/>
        </w:rPr>
        <w:t>’</w:t>
      </w:r>
      <w:r w:rsidRPr="00F1794C">
        <w:rPr>
          <w:lang w:val="fr-FR"/>
        </w:rPr>
        <w:t>égard des femmes</w:t>
      </w:r>
    </w:p>
    <w:p w14:paraId="07FF46C5" w14:textId="0F19191D" w:rsidR="00F1794C" w:rsidRPr="00F1794C" w:rsidRDefault="00F1794C" w:rsidP="00F1794C">
      <w:pPr>
        <w:pStyle w:val="SingleTxt"/>
        <w:spacing w:after="0" w:line="120" w:lineRule="exact"/>
        <w:rPr>
          <w:sz w:val="10"/>
          <w:lang w:val="fr-FR"/>
        </w:rPr>
      </w:pPr>
    </w:p>
    <w:p w14:paraId="50E52EA6" w14:textId="033B6A3A" w:rsidR="00F1794C" w:rsidRPr="00F1794C" w:rsidRDefault="00F1794C" w:rsidP="00F1794C">
      <w:pPr>
        <w:pStyle w:val="SingleTxt"/>
        <w:spacing w:after="0" w:line="120" w:lineRule="exact"/>
        <w:rPr>
          <w:sz w:val="10"/>
          <w:lang w:val="fr-FR"/>
        </w:rPr>
      </w:pPr>
    </w:p>
    <w:p w14:paraId="1966F755" w14:textId="1E2B3D91" w:rsidR="00F1794C" w:rsidRPr="00F1794C" w:rsidRDefault="00F1794C" w:rsidP="00F1794C">
      <w:pPr>
        <w:pStyle w:val="SingleTxt"/>
        <w:spacing w:after="0" w:line="120" w:lineRule="exact"/>
        <w:rPr>
          <w:sz w:val="10"/>
          <w:lang w:val="fr-FR"/>
        </w:rPr>
      </w:pPr>
    </w:p>
    <w:p w14:paraId="3F49E968" w14:textId="662C2625" w:rsidR="00B35EE7" w:rsidRPr="00F1794C" w:rsidRDefault="00B35EE7" w:rsidP="00F1794C">
      <w:pPr>
        <w:pStyle w:val="TitleHCH"/>
        <w:ind w:right="1260"/>
        <w:rPr>
          <w:lang w:val="fr-FR"/>
        </w:rPr>
      </w:pPr>
      <w:r w:rsidRPr="00F1794C">
        <w:rPr>
          <w:lang w:val="fr-FR"/>
        </w:rPr>
        <w:tab/>
      </w:r>
      <w:r w:rsidRPr="00F1794C">
        <w:rPr>
          <w:lang w:val="fr-FR"/>
        </w:rPr>
        <w:tab/>
        <w:t>Rapport valant cinquième et sixième rapports périodiques soumis par le Maroc en application de l</w:t>
      </w:r>
      <w:r w:rsidR="00F1794C" w:rsidRPr="00F1794C">
        <w:rPr>
          <w:lang w:val="fr-FR"/>
        </w:rPr>
        <w:t>’</w:t>
      </w:r>
      <w:r w:rsidRPr="00F1794C">
        <w:rPr>
          <w:lang w:val="fr-FR"/>
        </w:rPr>
        <w:t>article 18 de</w:t>
      </w:r>
      <w:r w:rsidR="00F1794C">
        <w:rPr>
          <w:lang w:val="fr-FR"/>
        </w:rPr>
        <w:t> </w:t>
      </w:r>
      <w:r w:rsidRPr="00F1794C">
        <w:rPr>
          <w:lang w:val="fr-FR"/>
        </w:rPr>
        <w:t>la</w:t>
      </w:r>
      <w:r w:rsidR="00F1794C">
        <w:rPr>
          <w:lang w:val="fr-FR"/>
        </w:rPr>
        <w:t> </w:t>
      </w:r>
      <w:r w:rsidRPr="00F1794C">
        <w:rPr>
          <w:lang w:val="fr-FR"/>
        </w:rPr>
        <w:t>Convention, attendu en 2014</w:t>
      </w:r>
      <w:r w:rsidRPr="00FA086B">
        <w:rPr>
          <w:b w:val="0"/>
          <w:lang w:val="fr-FR"/>
        </w:rPr>
        <w:footnoteReference w:customMarkFollows="1" w:id="1"/>
        <w:t>*</w:t>
      </w:r>
    </w:p>
    <w:p w14:paraId="59D4BC4A" w14:textId="77777777" w:rsidR="00F1794C" w:rsidRPr="00F1794C" w:rsidRDefault="00F1794C" w:rsidP="00F1794C">
      <w:pPr>
        <w:pStyle w:val="SingleTxt"/>
        <w:spacing w:after="0" w:line="120" w:lineRule="exact"/>
        <w:rPr>
          <w:sz w:val="10"/>
          <w:lang w:val="fr-FR"/>
        </w:rPr>
      </w:pPr>
    </w:p>
    <w:p w14:paraId="118C0603" w14:textId="46C0499C" w:rsidR="00B35EE7" w:rsidRPr="00F1794C" w:rsidRDefault="00B35EE7" w:rsidP="00F1794C">
      <w:pPr>
        <w:pStyle w:val="SingleTxt"/>
        <w:jc w:val="right"/>
        <w:rPr>
          <w:lang w:val="fr-FR"/>
        </w:rPr>
      </w:pPr>
      <w:r w:rsidRPr="00F1794C">
        <w:rPr>
          <w:lang w:val="fr-FR"/>
        </w:rPr>
        <w:t>[Date de réception</w:t>
      </w:r>
      <w:r w:rsidR="00F1794C" w:rsidRPr="00F1794C">
        <w:rPr>
          <w:lang w:val="fr-FR"/>
        </w:rPr>
        <w:t> :</w:t>
      </w:r>
      <w:r w:rsidRPr="00F1794C">
        <w:rPr>
          <w:lang w:val="fr-FR"/>
        </w:rPr>
        <w:t xml:space="preserve"> 16 janvier 2020]</w:t>
      </w:r>
    </w:p>
    <w:p w14:paraId="7B2757F1" w14:textId="709D2AC3" w:rsidR="00B35EE7" w:rsidRPr="00F1794C" w:rsidRDefault="00B35EE7">
      <w:pPr>
        <w:spacing w:after="200" w:line="276" w:lineRule="auto"/>
      </w:pPr>
      <w:r w:rsidRPr="00F1794C">
        <w:br w:type="page"/>
      </w:r>
    </w:p>
    <w:p w14:paraId="709636EF" w14:textId="5B2BD86E" w:rsidR="00B35EE7" w:rsidRPr="00F1794C" w:rsidRDefault="00F1794C" w:rsidP="00F1794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lastRenderedPageBreak/>
        <w:tab/>
      </w:r>
      <w:r>
        <w:rPr>
          <w:lang w:val="fr-FR"/>
        </w:rPr>
        <w:tab/>
      </w:r>
      <w:r w:rsidR="00B35EE7" w:rsidRPr="00F1794C">
        <w:rPr>
          <w:lang w:val="fr-FR"/>
        </w:rPr>
        <w:t>Introduction</w:t>
      </w:r>
    </w:p>
    <w:p w14:paraId="4DC67159" w14:textId="3C1AD871" w:rsidR="00B35EE7" w:rsidRPr="00F1794C" w:rsidRDefault="00B35EE7" w:rsidP="00F1794C">
      <w:pPr>
        <w:pStyle w:val="SingleTxt"/>
        <w:spacing w:after="0" w:line="120" w:lineRule="exact"/>
        <w:rPr>
          <w:b/>
          <w:sz w:val="10"/>
          <w:lang w:val="fr-FR"/>
        </w:rPr>
      </w:pPr>
    </w:p>
    <w:p w14:paraId="6CEE30C7" w14:textId="08D2384F" w:rsidR="00F1794C" w:rsidRPr="00F1794C" w:rsidRDefault="00F1794C" w:rsidP="00F1794C">
      <w:pPr>
        <w:pStyle w:val="SingleTxt"/>
        <w:spacing w:after="0" w:line="120" w:lineRule="exact"/>
        <w:rPr>
          <w:b/>
          <w:sz w:val="10"/>
          <w:lang w:val="fr-FR"/>
        </w:rPr>
      </w:pPr>
    </w:p>
    <w:p w14:paraId="50F74D5B" w14:textId="2F7C070F" w:rsidR="00B35EE7" w:rsidRPr="00F1794C" w:rsidRDefault="00B35EE7" w:rsidP="00456FC2">
      <w:pPr>
        <w:pStyle w:val="SingleTxt"/>
        <w:numPr>
          <w:ilvl w:val="0"/>
          <w:numId w:val="20"/>
        </w:numPr>
        <w:spacing w:line="240" w:lineRule="exact"/>
        <w:ind w:left="1267"/>
        <w:rPr>
          <w:lang w:val="fr-FR"/>
        </w:rPr>
      </w:pPr>
      <w:r w:rsidRPr="00F1794C">
        <w:rPr>
          <w:lang w:val="fr-FR"/>
        </w:rPr>
        <w:t>Le Maroc soumet le rapport valant cinquième et sixième rapports périodiques conformément aux dispositions du paragraphe 1 de l</w:t>
      </w:r>
      <w:r w:rsidR="00F1794C" w:rsidRPr="00F1794C">
        <w:rPr>
          <w:lang w:val="fr-FR"/>
        </w:rPr>
        <w:t>’</w:t>
      </w:r>
      <w:r w:rsidRPr="00F1794C">
        <w:rPr>
          <w:lang w:val="fr-FR"/>
        </w:rPr>
        <w:t>article 18 de la Convention sur l</w:t>
      </w:r>
      <w:r w:rsidR="00F1794C" w:rsidRPr="00F1794C">
        <w:rPr>
          <w:lang w:val="fr-FR"/>
        </w:rPr>
        <w:t>’</w:t>
      </w:r>
      <w:r w:rsidRPr="00F1794C">
        <w:rPr>
          <w:lang w:val="fr-FR"/>
        </w:rPr>
        <w:t>élimination de toutes les formes de discrimination à l</w:t>
      </w:r>
      <w:r w:rsidR="00F1794C" w:rsidRPr="00F1794C">
        <w:rPr>
          <w:lang w:val="fr-FR"/>
        </w:rPr>
        <w:t>’</w:t>
      </w:r>
      <w:r w:rsidRPr="00F1794C">
        <w:rPr>
          <w:lang w:val="fr-FR"/>
        </w:rPr>
        <w:t>égard des femmes, à laquelle il a adhéré en juin 1993, et comme suite à l</w:t>
      </w:r>
      <w:r w:rsidR="00F1794C" w:rsidRPr="00F1794C">
        <w:rPr>
          <w:lang w:val="fr-FR"/>
        </w:rPr>
        <w:t>’</w:t>
      </w:r>
      <w:r w:rsidRPr="00F1794C">
        <w:rPr>
          <w:lang w:val="fr-FR"/>
        </w:rPr>
        <w:t>observation formulée au paragraphe 53 des observations finales.</w:t>
      </w:r>
    </w:p>
    <w:p w14:paraId="3A5F76B9" w14:textId="53DFF17D" w:rsidR="00B35EE7" w:rsidRPr="00F1794C" w:rsidRDefault="00B35EE7" w:rsidP="00456FC2">
      <w:pPr>
        <w:pStyle w:val="SingleTxt"/>
        <w:numPr>
          <w:ilvl w:val="0"/>
          <w:numId w:val="20"/>
        </w:numPr>
        <w:spacing w:line="240" w:lineRule="exact"/>
        <w:ind w:left="1267"/>
        <w:rPr>
          <w:lang w:val="fr-FR"/>
        </w:rPr>
      </w:pPr>
      <w:r w:rsidRPr="00F1794C">
        <w:rPr>
          <w:lang w:val="fr-FR"/>
        </w:rPr>
        <w:t>Le présent rapport fait le point des mesures et initiatives prises par le Royaume du Maroc entre 2008 et 2018, en application de la Convention et conformément à la recommandation formulée au paragraphe 9 des observations finales du Comité pour l</w:t>
      </w:r>
      <w:r w:rsidR="00F1794C" w:rsidRPr="00F1794C">
        <w:rPr>
          <w:lang w:val="fr-FR"/>
        </w:rPr>
        <w:t>’</w:t>
      </w:r>
      <w:r w:rsidRPr="00F1794C">
        <w:rPr>
          <w:lang w:val="fr-FR"/>
        </w:rPr>
        <w:t>élimination de la discrimination à l</w:t>
      </w:r>
      <w:r w:rsidR="00F1794C" w:rsidRPr="00F1794C">
        <w:rPr>
          <w:lang w:val="fr-FR"/>
        </w:rPr>
        <w:t>’</w:t>
      </w:r>
      <w:r w:rsidRPr="00F1794C">
        <w:rPr>
          <w:lang w:val="fr-FR"/>
        </w:rPr>
        <w:t>égard des femmes. Il apporte des réponses concernant les préoccupations et les recommandations formulées par le Comité lors de l</w:t>
      </w:r>
      <w:r w:rsidR="00F1794C" w:rsidRPr="00F1794C">
        <w:rPr>
          <w:lang w:val="fr-FR"/>
        </w:rPr>
        <w:t>’</w:t>
      </w:r>
      <w:r w:rsidRPr="00F1794C">
        <w:rPr>
          <w:lang w:val="fr-FR"/>
        </w:rPr>
        <w:t xml:space="preserve">examen du rapport unique valant troisième et quatrième rapports périodiques en 2008. </w:t>
      </w:r>
    </w:p>
    <w:p w14:paraId="7B5A68CD" w14:textId="51CD3FF5" w:rsidR="00B35EE7" w:rsidRPr="00F1794C" w:rsidRDefault="00B35EE7" w:rsidP="00456FC2">
      <w:pPr>
        <w:pStyle w:val="SingleTxt"/>
        <w:numPr>
          <w:ilvl w:val="0"/>
          <w:numId w:val="21"/>
        </w:numPr>
        <w:spacing w:line="240" w:lineRule="exact"/>
        <w:ind w:left="1267"/>
        <w:rPr>
          <w:lang w:val="fr-FR"/>
        </w:rPr>
      </w:pPr>
      <w:r w:rsidRPr="00F1794C">
        <w:rPr>
          <w:lang w:val="fr-FR"/>
        </w:rPr>
        <w:t>Pour s</w:t>
      </w:r>
      <w:r w:rsidR="00F1794C" w:rsidRPr="00F1794C">
        <w:rPr>
          <w:lang w:val="fr-FR"/>
        </w:rPr>
        <w:t>’</w:t>
      </w:r>
      <w:r w:rsidRPr="00F1794C">
        <w:rPr>
          <w:lang w:val="fr-FR"/>
        </w:rPr>
        <w:t>acquitter de ses obligations internationales en matière de présentation de rapports nationaux au</w:t>
      </w:r>
      <w:r w:rsidRPr="00F1794C">
        <w:rPr>
          <w:lang w:val="fr-CH"/>
        </w:rPr>
        <w:t xml:space="preserve"> </w:t>
      </w:r>
      <w:r w:rsidRPr="00F1794C">
        <w:rPr>
          <w:lang w:val="fr-FR"/>
        </w:rPr>
        <w:t>système de protection des droits de l</w:t>
      </w:r>
      <w:r w:rsidR="00F1794C" w:rsidRPr="00F1794C">
        <w:rPr>
          <w:lang w:val="fr-FR"/>
        </w:rPr>
        <w:t>’</w:t>
      </w:r>
      <w:r w:rsidRPr="00F1794C">
        <w:rPr>
          <w:lang w:val="fr-FR"/>
        </w:rPr>
        <w:t>homme des Nations Unies, le Maroc a fait des efforts considérables afin de combler le retard enregistré en adoptant une approche fondée sur la participation de toutes les parties prenantes (départements ministériels, organismes nationaux et société civile).</w:t>
      </w:r>
    </w:p>
    <w:p w14:paraId="56737942" w14:textId="36AFC545" w:rsidR="00B35EE7" w:rsidRPr="00F1794C" w:rsidRDefault="00B35EE7" w:rsidP="00456FC2">
      <w:pPr>
        <w:pStyle w:val="SingleTxt"/>
        <w:numPr>
          <w:ilvl w:val="0"/>
          <w:numId w:val="22"/>
        </w:numPr>
        <w:spacing w:line="240" w:lineRule="exact"/>
        <w:ind w:left="1267"/>
        <w:rPr>
          <w:lang w:val="fr-FR"/>
        </w:rPr>
      </w:pPr>
      <w:r w:rsidRPr="00F1794C">
        <w:rPr>
          <w:lang w:val="fr-FR"/>
        </w:rPr>
        <w:t>Sur la base des recommandations du Comité, le présent rapport traite des grandes questions relatives aux politiques publiques, des réformes législatives et des programmes publics concernant la justice, la santé, l</w:t>
      </w:r>
      <w:r w:rsidR="00F1794C" w:rsidRPr="00F1794C">
        <w:rPr>
          <w:lang w:val="fr-FR"/>
        </w:rPr>
        <w:t>’</w:t>
      </w:r>
      <w:r w:rsidRPr="00F1794C">
        <w:rPr>
          <w:lang w:val="fr-FR"/>
        </w:rPr>
        <w:t>éducation, l</w:t>
      </w:r>
      <w:r w:rsidR="00F1794C" w:rsidRPr="00F1794C">
        <w:rPr>
          <w:lang w:val="fr-FR"/>
        </w:rPr>
        <w:t>’</w:t>
      </w:r>
      <w:r w:rsidRPr="00F1794C">
        <w:rPr>
          <w:lang w:val="fr-FR"/>
        </w:rPr>
        <w:t>emploi et la participation politique, de la situation des migrantes et des réfugiées, de la prise en compte des questions de genre et de la lutte contre la violence faite aux femmes.</w:t>
      </w:r>
    </w:p>
    <w:p w14:paraId="26FFAB53" w14:textId="63CF9E0A" w:rsidR="00B35EE7" w:rsidRPr="00F1794C" w:rsidRDefault="00B35EE7" w:rsidP="00456FC2">
      <w:pPr>
        <w:pStyle w:val="SingleTxt"/>
        <w:numPr>
          <w:ilvl w:val="0"/>
          <w:numId w:val="23"/>
        </w:numPr>
        <w:spacing w:line="240" w:lineRule="exact"/>
        <w:ind w:left="1267"/>
        <w:rPr>
          <w:lang w:val="fr-FR"/>
        </w:rPr>
      </w:pPr>
      <w:r w:rsidRPr="00F1794C">
        <w:rPr>
          <w:lang w:val="fr-FR"/>
        </w:rPr>
        <w:t>Conformément à la recommandation d</w:t>
      </w:r>
      <w:r w:rsidR="00F1794C" w:rsidRPr="00F1794C">
        <w:rPr>
          <w:lang w:val="fr-FR"/>
        </w:rPr>
        <w:t>’</w:t>
      </w:r>
      <w:r w:rsidRPr="00F1794C">
        <w:rPr>
          <w:lang w:val="fr-FR"/>
        </w:rPr>
        <w:t>ordre général formulée au paragraphe 49 des observations finales, le Maroc poursuit la mise en œuvre de la Déclaration et du Programme d</w:t>
      </w:r>
      <w:r w:rsidR="00F1794C" w:rsidRPr="00F1794C">
        <w:rPr>
          <w:lang w:val="fr-FR"/>
        </w:rPr>
        <w:t>’</w:t>
      </w:r>
      <w:r w:rsidRPr="00F1794C">
        <w:rPr>
          <w:lang w:val="fr-FR"/>
        </w:rPr>
        <w:t>action de Beijing en exécutant des programmes visant à atteindre les objectifs suivants</w:t>
      </w:r>
      <w:r w:rsidR="00F1794C" w:rsidRPr="00F1794C">
        <w:rPr>
          <w:lang w:val="fr-FR"/>
        </w:rPr>
        <w:t> :</w:t>
      </w:r>
      <w:r w:rsidRPr="00F1794C">
        <w:rPr>
          <w:lang w:val="fr-FR"/>
        </w:rPr>
        <w:t xml:space="preserve"> développement inclusif, prospérité partagée et travail décent, protection sociale, lutte contre la violence, participation à la prise de décisions et protection de l</w:t>
      </w:r>
      <w:r w:rsidR="00F1794C" w:rsidRPr="00F1794C">
        <w:rPr>
          <w:lang w:val="fr-FR"/>
        </w:rPr>
        <w:t>’</w:t>
      </w:r>
      <w:r w:rsidRPr="00F1794C">
        <w:rPr>
          <w:lang w:val="fr-FR"/>
        </w:rPr>
        <w:t>environnement</w:t>
      </w:r>
      <w:r w:rsidRPr="00FA086B">
        <w:rPr>
          <w:vertAlign w:val="superscript"/>
          <w:lang w:val="fr-FR"/>
        </w:rPr>
        <w:footnoteReference w:id="2"/>
      </w:r>
      <w:r w:rsidRPr="00F1794C">
        <w:rPr>
          <w:lang w:val="fr-FR"/>
        </w:rPr>
        <w:t>. Il s</w:t>
      </w:r>
      <w:r w:rsidR="00F1794C" w:rsidRPr="00F1794C">
        <w:rPr>
          <w:lang w:val="fr-FR"/>
        </w:rPr>
        <w:t>’</w:t>
      </w:r>
      <w:r w:rsidRPr="00F1794C">
        <w:rPr>
          <w:lang w:val="fr-FR"/>
        </w:rPr>
        <w:t>emploie également à atteindre les objectifs de développement durable.</w:t>
      </w:r>
    </w:p>
    <w:p w14:paraId="395C5A88" w14:textId="19176C6A" w:rsidR="00B35EE7" w:rsidRPr="00F1794C" w:rsidRDefault="00B35EE7" w:rsidP="00456FC2">
      <w:pPr>
        <w:pStyle w:val="SingleTxt"/>
        <w:numPr>
          <w:ilvl w:val="0"/>
          <w:numId w:val="24"/>
        </w:numPr>
        <w:spacing w:line="240" w:lineRule="exact"/>
        <w:ind w:left="1267"/>
        <w:rPr>
          <w:rtl/>
          <w:lang w:bidi="ar-MA"/>
        </w:rPr>
      </w:pPr>
      <w:r w:rsidRPr="00F1794C">
        <w:rPr>
          <w:lang w:val="fr-FR"/>
        </w:rPr>
        <w:t>En ce qui concerne la recommandation figurant au paragraphe 13 des observations finales, le Maroc s</w:t>
      </w:r>
      <w:r w:rsidR="00F1794C" w:rsidRPr="00F1794C">
        <w:rPr>
          <w:lang w:val="fr-FR"/>
        </w:rPr>
        <w:t>’</w:t>
      </w:r>
      <w:r w:rsidRPr="00F1794C">
        <w:rPr>
          <w:lang w:val="fr-FR"/>
        </w:rPr>
        <w:t>est engagé, comme indiqué dans le préambule de la Constitution de 2011, à « accorder aux conventions internationales dûment ratifiées par lui, dans le cadre des dispositions de la Constitution et des lois du Royaume, dans le respect de son identité nationale immuable, et dès la publication de ces conventions, la primauté sur le droit interne du pays, et harmoniser en conséquence les dispositions pertinentes de sa législation nationale</w:t>
      </w:r>
      <w:r w:rsidRPr="00FA086B">
        <w:rPr>
          <w:vertAlign w:val="superscript"/>
          <w:lang w:val="fr-FR"/>
        </w:rPr>
        <w:footnoteReference w:id="3"/>
      </w:r>
      <w:r w:rsidRPr="00F1794C">
        <w:rPr>
          <w:lang w:val="fr-FR"/>
        </w:rPr>
        <w:t> ».</w:t>
      </w:r>
    </w:p>
    <w:p w14:paraId="2709E2E8" w14:textId="005E2455" w:rsidR="00B35EE7" w:rsidRPr="00F1794C" w:rsidRDefault="00B35EE7" w:rsidP="00456FC2">
      <w:pPr>
        <w:pStyle w:val="SingleTxt"/>
        <w:numPr>
          <w:ilvl w:val="0"/>
          <w:numId w:val="25"/>
        </w:numPr>
        <w:spacing w:line="240" w:lineRule="exact"/>
        <w:ind w:left="1267"/>
        <w:rPr>
          <w:lang w:val="fr-FR"/>
        </w:rPr>
      </w:pPr>
      <w:r w:rsidRPr="00F1794C">
        <w:rPr>
          <w:lang w:val="fr-FR"/>
        </w:rPr>
        <w:t>Le Maroc a continué de prendre des mesures pour promouvoir les droits de l</w:t>
      </w:r>
      <w:r w:rsidR="00F1794C" w:rsidRPr="00F1794C">
        <w:rPr>
          <w:lang w:val="fr-FR"/>
        </w:rPr>
        <w:t>’</w:t>
      </w:r>
      <w:r w:rsidRPr="00F1794C">
        <w:rPr>
          <w:lang w:val="fr-FR"/>
        </w:rPr>
        <w:t>homme par l</w:t>
      </w:r>
      <w:r w:rsidR="00F1794C" w:rsidRPr="00F1794C">
        <w:rPr>
          <w:lang w:val="fr-FR"/>
        </w:rPr>
        <w:t>’</w:t>
      </w:r>
      <w:r w:rsidRPr="00F1794C">
        <w:rPr>
          <w:lang w:val="fr-FR"/>
        </w:rPr>
        <w:t>adoption de la Constitution de 2011, dans laquelle il s</w:t>
      </w:r>
      <w:r w:rsidR="00F1794C" w:rsidRPr="00F1794C">
        <w:rPr>
          <w:lang w:val="fr-FR"/>
        </w:rPr>
        <w:t>’</w:t>
      </w:r>
      <w:r w:rsidRPr="00F1794C">
        <w:rPr>
          <w:lang w:val="fr-FR"/>
        </w:rPr>
        <w:t>engage à « bannir et combattre toute discrimination à l</w:t>
      </w:r>
      <w:r w:rsidR="00F1794C" w:rsidRPr="00F1794C">
        <w:rPr>
          <w:lang w:val="fr-FR"/>
        </w:rPr>
        <w:t>’</w:t>
      </w:r>
      <w:r w:rsidRPr="00F1794C">
        <w:rPr>
          <w:lang w:val="fr-FR"/>
        </w:rPr>
        <w:t>encontre de quiconque, en raison du sexe, de la couleur, des croyances, de la culture, de l</w:t>
      </w:r>
      <w:r w:rsidR="00F1794C" w:rsidRPr="00F1794C">
        <w:rPr>
          <w:lang w:val="fr-FR"/>
        </w:rPr>
        <w:t>’</w:t>
      </w:r>
      <w:r w:rsidRPr="00F1794C">
        <w:rPr>
          <w:lang w:val="fr-FR"/>
        </w:rPr>
        <w:t>origine sociale ou régionale, de la langue, du handicap ou de quelque circonstance personnelle que ce soit »</w:t>
      </w:r>
      <w:r w:rsidRPr="00F1794C">
        <w:rPr>
          <w:vertAlign w:val="superscript"/>
          <w:lang w:val="fr-FR"/>
        </w:rPr>
        <w:t xml:space="preserve"> </w:t>
      </w:r>
      <w:r w:rsidRPr="00FA086B">
        <w:rPr>
          <w:vertAlign w:val="superscript"/>
          <w:lang w:val="fr-FR"/>
        </w:rPr>
        <w:footnoteReference w:id="4"/>
      </w:r>
      <w:r w:rsidRPr="00F1794C">
        <w:rPr>
          <w:lang w:val="fr-FR"/>
        </w:rPr>
        <w:t xml:space="preserve"> et affirme que « l</w:t>
      </w:r>
      <w:r w:rsidR="00F1794C" w:rsidRPr="00F1794C">
        <w:rPr>
          <w:lang w:val="fr-FR"/>
        </w:rPr>
        <w:t>’</w:t>
      </w:r>
      <w:r w:rsidRPr="00F1794C">
        <w:rPr>
          <w:lang w:val="fr-FR"/>
        </w:rPr>
        <w:t xml:space="preserve">homme et la femme jouissent, à égalité, des droits et libertés à caractère civil, politique, économique, social, culturel et environnemental, énoncés dans le [Titre II] et dans les autres dispositions de la Constitution, ainsi que dans les </w:t>
      </w:r>
      <w:r w:rsidRPr="00F1794C">
        <w:rPr>
          <w:lang w:val="fr-FR"/>
        </w:rPr>
        <w:lastRenderedPageBreak/>
        <w:t>conventions et pactes internationaux dûment ratifiés par le Royaume et ce, dans le respect des dispositions de la Constitution, des constantes et des lois du Royaume »</w:t>
      </w:r>
      <w:r w:rsidRPr="00FA086B">
        <w:rPr>
          <w:vertAlign w:val="superscript"/>
          <w:lang w:val="fr-FR"/>
        </w:rPr>
        <w:footnoteReference w:id="5"/>
      </w:r>
      <w:r w:rsidRPr="00F1794C">
        <w:rPr>
          <w:lang w:val="fr-FR"/>
        </w:rPr>
        <w:t>.</w:t>
      </w:r>
    </w:p>
    <w:p w14:paraId="4152AD68" w14:textId="26AD0746" w:rsidR="00B35EE7" w:rsidRPr="00F1794C" w:rsidRDefault="00B35EE7" w:rsidP="00456FC2">
      <w:pPr>
        <w:pStyle w:val="SingleTxt"/>
        <w:numPr>
          <w:ilvl w:val="0"/>
          <w:numId w:val="26"/>
        </w:numPr>
        <w:spacing w:line="240" w:lineRule="exact"/>
        <w:ind w:left="1267"/>
        <w:rPr>
          <w:lang w:val="fr-FR"/>
        </w:rPr>
      </w:pPr>
      <w:r w:rsidRPr="00F1794C">
        <w:rPr>
          <w:lang w:val="fr-FR"/>
        </w:rPr>
        <w:t>Comme suite à la recommandation figurant au paragraphe 15 des observations finales, le Maroc s</w:t>
      </w:r>
      <w:r w:rsidR="00F1794C" w:rsidRPr="00F1794C">
        <w:rPr>
          <w:lang w:val="fr-FR"/>
        </w:rPr>
        <w:t>’</w:t>
      </w:r>
      <w:r w:rsidRPr="00F1794C">
        <w:rPr>
          <w:lang w:val="fr-FR"/>
        </w:rPr>
        <w:t>est employé à achever le processus d</w:t>
      </w:r>
      <w:r w:rsidR="00F1794C" w:rsidRPr="00F1794C">
        <w:rPr>
          <w:lang w:val="fr-FR"/>
        </w:rPr>
        <w:t>’</w:t>
      </w:r>
      <w:r w:rsidRPr="00F1794C">
        <w:rPr>
          <w:lang w:val="fr-FR"/>
        </w:rPr>
        <w:t>adhésion à la Convention en ratifiant le Protocole facultatif à la Convention</w:t>
      </w:r>
      <w:r w:rsidRPr="00FA086B">
        <w:rPr>
          <w:vertAlign w:val="superscript"/>
          <w:lang w:val="fr-FR"/>
        </w:rPr>
        <w:footnoteReference w:id="6"/>
      </w:r>
      <w:r w:rsidRPr="00F1794C">
        <w:rPr>
          <w:lang w:val="fr-FR"/>
        </w:rPr>
        <w:t>, et en levant les réserves</w:t>
      </w:r>
      <w:r w:rsidRPr="00FA086B">
        <w:rPr>
          <w:vertAlign w:val="superscript"/>
          <w:lang w:val="fr-FR"/>
        </w:rPr>
        <w:footnoteReference w:id="7"/>
      </w:r>
      <w:r w:rsidRPr="00F1794C">
        <w:rPr>
          <w:lang w:val="fr-FR"/>
        </w:rPr>
        <w:t xml:space="preserve"> aux alinéas 1 et 2 du paragraphe b et au paragraphe 2 de l</w:t>
      </w:r>
      <w:r w:rsidR="00F1794C" w:rsidRPr="00F1794C">
        <w:rPr>
          <w:lang w:val="fr-FR"/>
        </w:rPr>
        <w:t>’</w:t>
      </w:r>
      <w:r w:rsidRPr="00F1794C">
        <w:rPr>
          <w:lang w:val="fr-FR"/>
        </w:rPr>
        <w:t>article 9, relatifs au code de la nationalité et à l</w:t>
      </w:r>
      <w:r w:rsidR="00F1794C" w:rsidRPr="00F1794C">
        <w:rPr>
          <w:lang w:val="fr-FR"/>
        </w:rPr>
        <w:t>’</w:t>
      </w:r>
      <w:r w:rsidRPr="00F1794C">
        <w:rPr>
          <w:lang w:val="fr-FR"/>
        </w:rPr>
        <w:t>article 16 de la Convention</w:t>
      </w:r>
      <w:r w:rsidRPr="00FA086B">
        <w:rPr>
          <w:vertAlign w:val="superscript"/>
          <w:lang w:val="fr-FR"/>
        </w:rPr>
        <w:footnoteReference w:id="8"/>
      </w:r>
      <w:r w:rsidRPr="00F1794C">
        <w:rPr>
          <w:lang w:val="fr-FR"/>
        </w:rPr>
        <w:t xml:space="preserve">. </w:t>
      </w:r>
    </w:p>
    <w:p w14:paraId="34803D63" w14:textId="77777777" w:rsidR="007705E5" w:rsidRPr="007705E5" w:rsidRDefault="007705E5" w:rsidP="007705E5">
      <w:pPr>
        <w:pStyle w:val="SingleTxt"/>
        <w:spacing w:after="0" w:line="120" w:lineRule="exact"/>
        <w:rPr>
          <w:b/>
          <w:sz w:val="10"/>
          <w:lang w:val="fr-FR"/>
        </w:rPr>
      </w:pPr>
    </w:p>
    <w:p w14:paraId="78467001" w14:textId="77777777" w:rsidR="007705E5" w:rsidRPr="007705E5" w:rsidRDefault="007705E5" w:rsidP="007705E5">
      <w:pPr>
        <w:pStyle w:val="SingleTxt"/>
        <w:spacing w:after="0" w:line="120" w:lineRule="exact"/>
        <w:rPr>
          <w:b/>
          <w:sz w:val="10"/>
          <w:lang w:val="fr-FR"/>
        </w:rPr>
      </w:pPr>
    </w:p>
    <w:p w14:paraId="1BD3416E" w14:textId="63CD3BF0" w:rsidR="00B35EE7" w:rsidRPr="00F1794C" w:rsidRDefault="007705E5" w:rsidP="007705E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B35EE7" w:rsidRPr="00F1794C">
        <w:rPr>
          <w:lang w:val="fr-FR"/>
        </w:rPr>
        <w:t>Première partie</w:t>
      </w:r>
    </w:p>
    <w:p w14:paraId="1281D9DA" w14:textId="53814558" w:rsidR="00B35EE7" w:rsidRPr="007705E5" w:rsidRDefault="00B35EE7" w:rsidP="007705E5">
      <w:pPr>
        <w:pStyle w:val="SingleTxt"/>
        <w:spacing w:after="0" w:line="120" w:lineRule="exact"/>
        <w:rPr>
          <w:b/>
          <w:sz w:val="10"/>
          <w:lang w:val="fr-FR"/>
        </w:rPr>
      </w:pPr>
    </w:p>
    <w:p w14:paraId="214E3509" w14:textId="50555B9B" w:rsidR="007705E5" w:rsidRPr="007705E5" w:rsidRDefault="007705E5" w:rsidP="007705E5">
      <w:pPr>
        <w:pStyle w:val="SingleTxt"/>
        <w:spacing w:after="0" w:line="120" w:lineRule="exact"/>
        <w:rPr>
          <w:b/>
          <w:sz w:val="10"/>
          <w:lang w:val="fr-FR"/>
        </w:rPr>
      </w:pPr>
    </w:p>
    <w:p w14:paraId="1A8F3F36" w14:textId="7727EDFD" w:rsidR="00B35EE7" w:rsidRPr="00F1794C" w:rsidRDefault="007705E5" w:rsidP="007705E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B35EE7" w:rsidRPr="00F1794C">
        <w:rPr>
          <w:lang w:val="fr-FR"/>
        </w:rPr>
        <w:t>Article premier</w:t>
      </w:r>
    </w:p>
    <w:p w14:paraId="0478CB3E" w14:textId="51E203A3" w:rsidR="00B35EE7" w:rsidRPr="007705E5" w:rsidRDefault="00B35EE7" w:rsidP="007705E5">
      <w:pPr>
        <w:pStyle w:val="SingleTxt"/>
        <w:spacing w:after="0" w:line="120" w:lineRule="exact"/>
        <w:rPr>
          <w:sz w:val="10"/>
          <w:lang w:val="fr-FR"/>
        </w:rPr>
      </w:pPr>
    </w:p>
    <w:p w14:paraId="2919CE16" w14:textId="32B235C5" w:rsidR="00B35EE7" w:rsidRPr="00F1794C" w:rsidRDefault="00B35EE7" w:rsidP="00456FC2">
      <w:pPr>
        <w:pStyle w:val="SingleTxt"/>
        <w:numPr>
          <w:ilvl w:val="0"/>
          <w:numId w:val="27"/>
        </w:numPr>
        <w:spacing w:line="240" w:lineRule="exact"/>
        <w:ind w:left="1267"/>
        <w:rPr>
          <w:lang w:val="fr-FR"/>
        </w:rPr>
      </w:pPr>
      <w:r w:rsidRPr="00F1794C">
        <w:rPr>
          <w:lang w:val="fr-FR"/>
        </w:rPr>
        <w:t>Comme suite à la recommandation figurant au paragraphe 11 des observations finales, le Maroc a renforcé le principe d</w:t>
      </w:r>
      <w:r w:rsidR="00F1794C" w:rsidRPr="00F1794C">
        <w:rPr>
          <w:lang w:val="fr-FR"/>
        </w:rPr>
        <w:t>’</w:t>
      </w:r>
      <w:r w:rsidRPr="00F1794C">
        <w:rPr>
          <w:lang w:val="fr-FR"/>
        </w:rPr>
        <w:t>égalité des sexes et la lutte contre la discrimination fondée sur le genre, dans la Constitution de 2011 et par la mise en place de l</w:t>
      </w:r>
      <w:r w:rsidR="00F1794C" w:rsidRPr="00F1794C">
        <w:rPr>
          <w:lang w:val="fr-FR"/>
        </w:rPr>
        <w:t>’</w:t>
      </w:r>
      <w:r w:rsidRPr="00F1794C">
        <w:rPr>
          <w:lang w:val="fr-FR"/>
        </w:rPr>
        <w:t>Autorité pour la parité et la lutte contre toutes les formes de discrimination</w:t>
      </w:r>
      <w:r w:rsidRPr="00FA086B">
        <w:rPr>
          <w:vertAlign w:val="superscript"/>
          <w:lang w:val="fr-FR"/>
        </w:rPr>
        <w:footnoteReference w:id="9"/>
      </w:r>
      <w:r w:rsidRPr="00F1794C">
        <w:rPr>
          <w:lang w:val="fr-FR"/>
        </w:rPr>
        <w:t>.</w:t>
      </w:r>
    </w:p>
    <w:p w14:paraId="5E03DD2F" w14:textId="601CEA81" w:rsidR="00B35EE7" w:rsidRPr="00F1794C" w:rsidRDefault="00B35EE7" w:rsidP="00456FC2">
      <w:pPr>
        <w:pStyle w:val="SingleTxt"/>
        <w:numPr>
          <w:ilvl w:val="0"/>
          <w:numId w:val="27"/>
        </w:numPr>
        <w:spacing w:line="240" w:lineRule="exact"/>
        <w:ind w:left="1267"/>
        <w:rPr>
          <w:lang w:val="fr-FR"/>
        </w:rPr>
      </w:pPr>
      <w:r w:rsidRPr="00F1794C">
        <w:rPr>
          <w:lang w:val="fr-FR"/>
        </w:rPr>
        <w:t>Dans la législation interne, plusieurs textes de loi traitent de l</w:t>
      </w:r>
      <w:r w:rsidR="00F1794C" w:rsidRPr="00F1794C">
        <w:rPr>
          <w:lang w:val="fr-FR"/>
        </w:rPr>
        <w:t>’</w:t>
      </w:r>
      <w:r w:rsidRPr="00F1794C">
        <w:rPr>
          <w:lang w:val="fr-FR"/>
        </w:rPr>
        <w:t>égalité et de la lutte contre toute forme de discrimination fondée sur le genre pour ce qui est de l</w:t>
      </w:r>
      <w:r w:rsidR="00F1794C" w:rsidRPr="00F1794C">
        <w:rPr>
          <w:lang w:val="fr-FR"/>
        </w:rPr>
        <w:t>’</w:t>
      </w:r>
      <w:r w:rsidRPr="00F1794C">
        <w:rPr>
          <w:lang w:val="fr-FR"/>
        </w:rPr>
        <w:t>exercice des droits et des libertés fondamentales. On citera notamment le Code du travail</w:t>
      </w:r>
      <w:r w:rsidRPr="00FA086B">
        <w:rPr>
          <w:vertAlign w:val="superscript"/>
          <w:lang w:val="fr-FR"/>
        </w:rPr>
        <w:footnoteReference w:id="10"/>
      </w:r>
      <w:r w:rsidRPr="00F1794C">
        <w:rPr>
          <w:lang w:val="fr-FR"/>
        </w:rPr>
        <w:t xml:space="preserve"> et les lois relatives aux libertés publiques, la garantie du droit au travail et à la participation à la vie économique, et l</w:t>
      </w:r>
      <w:r w:rsidR="00F1794C" w:rsidRPr="00F1794C">
        <w:rPr>
          <w:lang w:val="fr-FR"/>
        </w:rPr>
        <w:t>’</w:t>
      </w:r>
      <w:r w:rsidRPr="00F1794C">
        <w:rPr>
          <w:lang w:val="fr-FR"/>
        </w:rPr>
        <w:t>accès aux services de santé et à l</w:t>
      </w:r>
      <w:r w:rsidR="00F1794C" w:rsidRPr="00F1794C">
        <w:rPr>
          <w:lang w:val="fr-FR"/>
        </w:rPr>
        <w:t>’</w:t>
      </w:r>
      <w:r w:rsidRPr="00F1794C">
        <w:rPr>
          <w:lang w:val="fr-FR"/>
        </w:rPr>
        <w:t>éducation. En ce qui concerne la vie politique, le Maroc a adopté une stratégie de discrimination positive en faveur des femmes pour les élections législatives et l</w:t>
      </w:r>
      <w:r w:rsidR="00F1794C" w:rsidRPr="00F1794C">
        <w:rPr>
          <w:lang w:val="fr-FR"/>
        </w:rPr>
        <w:t>’</w:t>
      </w:r>
      <w:r w:rsidRPr="00F1794C">
        <w:rPr>
          <w:lang w:val="fr-FR"/>
        </w:rPr>
        <w:t>élection des membres des conseils des collectivités territoriales</w:t>
      </w:r>
      <w:r w:rsidRPr="00FA086B">
        <w:rPr>
          <w:vertAlign w:val="superscript"/>
          <w:lang w:val="fr-FR"/>
        </w:rPr>
        <w:footnoteReference w:id="11"/>
      </w:r>
      <w:r w:rsidRPr="00F1794C">
        <w:rPr>
          <w:lang w:val="fr-FR"/>
        </w:rPr>
        <w:t>.</w:t>
      </w:r>
    </w:p>
    <w:p w14:paraId="554940F2" w14:textId="642B0C9E" w:rsidR="00B35EE7" w:rsidRPr="00F1794C" w:rsidRDefault="00B35EE7" w:rsidP="00456FC2">
      <w:pPr>
        <w:pStyle w:val="SingleTxt"/>
        <w:numPr>
          <w:ilvl w:val="0"/>
          <w:numId w:val="28"/>
        </w:numPr>
        <w:spacing w:line="240" w:lineRule="exact"/>
        <w:ind w:left="1267"/>
        <w:rPr>
          <w:lang w:val="fr-FR"/>
        </w:rPr>
      </w:pPr>
      <w:r w:rsidRPr="00F1794C">
        <w:rPr>
          <w:lang w:val="fr-FR"/>
        </w:rPr>
        <w:t>En application des dispositions du préambule et de l</w:t>
      </w:r>
      <w:r w:rsidR="00F1794C" w:rsidRPr="00F1794C">
        <w:rPr>
          <w:lang w:val="fr-FR"/>
        </w:rPr>
        <w:t>’</w:t>
      </w:r>
      <w:r w:rsidRPr="00F1794C">
        <w:rPr>
          <w:lang w:val="fr-FR"/>
        </w:rPr>
        <w:t>article 19 de la Constitution et conformément à l</w:t>
      </w:r>
      <w:r w:rsidR="00F1794C" w:rsidRPr="00F1794C">
        <w:rPr>
          <w:lang w:val="fr-FR"/>
        </w:rPr>
        <w:t>’</w:t>
      </w:r>
      <w:r w:rsidRPr="00F1794C">
        <w:rPr>
          <w:lang w:val="fr-FR"/>
        </w:rPr>
        <w:t>article premier de la Convention, le Code pénal</w:t>
      </w:r>
      <w:r w:rsidRPr="00FA086B">
        <w:rPr>
          <w:vertAlign w:val="superscript"/>
          <w:lang w:val="fr-FR"/>
        </w:rPr>
        <w:footnoteReference w:id="12"/>
      </w:r>
      <w:r w:rsidRPr="00F1794C">
        <w:rPr>
          <w:lang w:val="fr-FR"/>
        </w:rPr>
        <w:t xml:space="preserve"> (article 431-1) définit la discrimination comme suit</w:t>
      </w:r>
      <w:r w:rsidR="00F1794C" w:rsidRPr="00F1794C">
        <w:rPr>
          <w:lang w:val="fr-FR"/>
        </w:rPr>
        <w:t> :</w:t>
      </w:r>
      <w:r w:rsidRPr="00F1794C">
        <w:rPr>
          <w:lang w:val="fr-FR"/>
        </w:rPr>
        <w:t xml:space="preserve"> « Constitue une discrimination toute distinction opérée entre les personnes physiques à raison de l</w:t>
      </w:r>
      <w:r w:rsidR="00F1794C" w:rsidRPr="00F1794C">
        <w:rPr>
          <w:lang w:val="fr-FR"/>
        </w:rPr>
        <w:t>’</w:t>
      </w:r>
      <w:r w:rsidRPr="00F1794C">
        <w:rPr>
          <w:lang w:val="fr-FR"/>
        </w:rPr>
        <w:t>origine nationale ou sociale, de la couleur, du sexe, de la situation de famille, de l</w:t>
      </w:r>
      <w:r w:rsidR="00F1794C" w:rsidRPr="00F1794C">
        <w:rPr>
          <w:lang w:val="fr-FR"/>
        </w:rPr>
        <w:t>’</w:t>
      </w:r>
      <w:r w:rsidRPr="00F1794C">
        <w:rPr>
          <w:lang w:val="fr-FR"/>
        </w:rPr>
        <w:t>état de santé, du handicap, de l</w:t>
      </w:r>
      <w:r w:rsidR="00F1794C" w:rsidRPr="00F1794C">
        <w:rPr>
          <w:lang w:val="fr-FR"/>
        </w:rPr>
        <w:t>’</w:t>
      </w:r>
      <w:r w:rsidRPr="00F1794C">
        <w:rPr>
          <w:lang w:val="fr-FR"/>
        </w:rPr>
        <w:t>opinion politique, de l</w:t>
      </w:r>
      <w:r w:rsidR="00F1794C" w:rsidRPr="00F1794C">
        <w:rPr>
          <w:lang w:val="fr-FR"/>
        </w:rPr>
        <w:t>’</w:t>
      </w:r>
      <w:r w:rsidRPr="00F1794C">
        <w:rPr>
          <w:lang w:val="fr-FR"/>
        </w:rPr>
        <w:t>appartenance syndicale, de l</w:t>
      </w:r>
      <w:r w:rsidR="00F1794C" w:rsidRPr="00F1794C">
        <w:rPr>
          <w:lang w:val="fr-FR"/>
        </w:rPr>
        <w:t>’</w:t>
      </w:r>
      <w:r w:rsidRPr="00F1794C">
        <w:rPr>
          <w:lang w:val="fr-FR"/>
        </w:rPr>
        <w:t>appartenance ou de la non-appartenance, vraie ou supposée, à une ethnie, une nation, une race ou une religion déterminée. Constitue également une discrimination toute distinction opérée</w:t>
      </w:r>
      <w:r w:rsidRPr="00F1794C">
        <w:rPr>
          <w:lang w:val="fr-CH"/>
        </w:rPr>
        <w:t xml:space="preserve"> </w:t>
      </w:r>
      <w:r w:rsidRPr="00F1794C">
        <w:rPr>
          <w:lang w:val="fr-FR"/>
        </w:rPr>
        <w:t>entre les personnes morales à raison de l</w:t>
      </w:r>
      <w:r w:rsidR="00F1794C" w:rsidRPr="00F1794C">
        <w:rPr>
          <w:lang w:val="fr-FR"/>
        </w:rPr>
        <w:t>’</w:t>
      </w:r>
      <w:r w:rsidRPr="00F1794C">
        <w:rPr>
          <w:lang w:val="fr-FR"/>
        </w:rPr>
        <w:t>origine, du sexe, de la situation</w:t>
      </w:r>
      <w:r w:rsidRPr="00F1794C">
        <w:rPr>
          <w:lang w:val="fr-CH"/>
        </w:rPr>
        <w:t xml:space="preserve"> </w:t>
      </w:r>
      <w:r w:rsidRPr="00F1794C">
        <w:rPr>
          <w:lang w:val="fr-FR"/>
        </w:rPr>
        <w:t>de famille, de l</w:t>
      </w:r>
      <w:r w:rsidR="00F1794C" w:rsidRPr="00F1794C">
        <w:rPr>
          <w:lang w:val="fr-FR"/>
        </w:rPr>
        <w:t>’</w:t>
      </w:r>
      <w:r w:rsidRPr="00F1794C">
        <w:rPr>
          <w:lang w:val="fr-FR"/>
        </w:rPr>
        <w:t>état de santé, du handicap, des opinions politiques, des</w:t>
      </w:r>
      <w:r w:rsidRPr="00F1794C">
        <w:rPr>
          <w:lang w:val="fr-CH"/>
        </w:rPr>
        <w:t xml:space="preserve"> </w:t>
      </w:r>
      <w:r w:rsidRPr="00F1794C">
        <w:rPr>
          <w:lang w:val="fr-FR"/>
        </w:rPr>
        <w:t>activités syndicales, de l</w:t>
      </w:r>
      <w:r w:rsidR="00F1794C" w:rsidRPr="00F1794C">
        <w:rPr>
          <w:lang w:val="fr-FR"/>
        </w:rPr>
        <w:t>’</w:t>
      </w:r>
      <w:r w:rsidRPr="00F1794C">
        <w:rPr>
          <w:lang w:val="fr-FR"/>
        </w:rPr>
        <w:t>appartenance ou de la non-appartenance, vraie</w:t>
      </w:r>
      <w:r w:rsidRPr="00F1794C">
        <w:rPr>
          <w:lang w:val="fr-CH"/>
        </w:rPr>
        <w:t xml:space="preserve"> </w:t>
      </w:r>
      <w:r w:rsidRPr="00F1794C">
        <w:rPr>
          <w:lang w:val="fr-FR"/>
        </w:rPr>
        <w:t>ou supposée, à une ethnie, une nation, une race ou une religion</w:t>
      </w:r>
      <w:r w:rsidRPr="00F1794C">
        <w:rPr>
          <w:lang w:val="fr-CH"/>
        </w:rPr>
        <w:t xml:space="preserve"> </w:t>
      </w:r>
      <w:r w:rsidRPr="00F1794C">
        <w:rPr>
          <w:lang w:val="fr-FR"/>
        </w:rPr>
        <w:t>déterminée des membres ou de certains membres de ces personnes morales ».</w:t>
      </w:r>
    </w:p>
    <w:p w14:paraId="764D5AD4" w14:textId="628FF85E" w:rsidR="00B35EE7" w:rsidRPr="007705E5" w:rsidRDefault="00B35EE7" w:rsidP="007705E5">
      <w:pPr>
        <w:pStyle w:val="SingleTxt"/>
        <w:spacing w:after="0" w:line="120" w:lineRule="exact"/>
        <w:rPr>
          <w:sz w:val="10"/>
          <w:lang w:val="fr-FR"/>
        </w:rPr>
      </w:pPr>
    </w:p>
    <w:p w14:paraId="420F84C0" w14:textId="75DBACF8" w:rsidR="00B35EE7" w:rsidRPr="00F1794C" w:rsidRDefault="007705E5" w:rsidP="007705E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B35EE7" w:rsidRPr="00F1794C">
        <w:rPr>
          <w:lang w:val="fr-FR"/>
        </w:rPr>
        <w:t>Article 2</w:t>
      </w:r>
    </w:p>
    <w:p w14:paraId="68648055" w14:textId="07879C8F" w:rsidR="00B35EE7" w:rsidRPr="007705E5" w:rsidRDefault="00B35EE7" w:rsidP="007705E5">
      <w:pPr>
        <w:pStyle w:val="SingleTxt"/>
        <w:spacing w:after="0" w:line="120" w:lineRule="exact"/>
        <w:rPr>
          <w:sz w:val="10"/>
          <w:lang w:val="fr-FR"/>
        </w:rPr>
      </w:pPr>
    </w:p>
    <w:p w14:paraId="729C1AC3" w14:textId="73C872C1" w:rsidR="00B35EE7" w:rsidRPr="00F1794C" w:rsidRDefault="00B35EE7" w:rsidP="00456FC2">
      <w:pPr>
        <w:pStyle w:val="SingleTxt"/>
        <w:numPr>
          <w:ilvl w:val="0"/>
          <w:numId w:val="29"/>
        </w:numPr>
        <w:spacing w:line="240" w:lineRule="exact"/>
        <w:ind w:left="1267"/>
        <w:rPr>
          <w:lang w:val="fr-FR"/>
        </w:rPr>
      </w:pPr>
      <w:r w:rsidRPr="00F1794C">
        <w:rPr>
          <w:lang w:val="fr-FR"/>
        </w:rPr>
        <w:t>Le Maroc s</w:t>
      </w:r>
      <w:r w:rsidR="00F1794C" w:rsidRPr="00F1794C">
        <w:rPr>
          <w:lang w:val="fr-FR"/>
        </w:rPr>
        <w:t>’</w:t>
      </w:r>
      <w:r w:rsidRPr="00F1794C">
        <w:rPr>
          <w:lang w:val="fr-FR"/>
        </w:rPr>
        <w:t>emploie à prendre les mesures pour lutter contre la discrimination, par l</w:t>
      </w:r>
      <w:r w:rsidR="00F1794C" w:rsidRPr="00F1794C">
        <w:rPr>
          <w:lang w:val="fr-FR"/>
        </w:rPr>
        <w:t>’</w:t>
      </w:r>
      <w:r w:rsidRPr="00F1794C">
        <w:rPr>
          <w:lang w:val="fr-FR"/>
        </w:rPr>
        <w:t>adoption de textes de loi et la mise en place d</w:t>
      </w:r>
      <w:r w:rsidR="00F1794C" w:rsidRPr="00F1794C">
        <w:rPr>
          <w:lang w:val="fr-FR"/>
        </w:rPr>
        <w:t>’</w:t>
      </w:r>
      <w:r w:rsidRPr="00F1794C">
        <w:rPr>
          <w:lang w:val="fr-FR"/>
        </w:rPr>
        <w:t xml:space="preserve">une protection juridique pour les </w:t>
      </w:r>
      <w:r w:rsidRPr="00F1794C">
        <w:rPr>
          <w:lang w:val="fr-FR"/>
        </w:rPr>
        <w:lastRenderedPageBreak/>
        <w:t>femmes. Le deuxième alinéa de l</w:t>
      </w:r>
      <w:r w:rsidR="00F1794C" w:rsidRPr="00F1794C">
        <w:rPr>
          <w:lang w:val="fr-FR"/>
        </w:rPr>
        <w:t>’</w:t>
      </w:r>
      <w:r w:rsidRPr="00F1794C">
        <w:rPr>
          <w:lang w:val="fr-FR"/>
        </w:rPr>
        <w:t>article 475 du Code pénal a été abrogé. Il est donc possible de poursuivre l</w:t>
      </w:r>
      <w:r w:rsidR="00F1794C" w:rsidRPr="00F1794C">
        <w:rPr>
          <w:lang w:val="fr-FR"/>
        </w:rPr>
        <w:t>’</w:t>
      </w:r>
      <w:r w:rsidRPr="00F1794C">
        <w:rPr>
          <w:lang w:val="fr-FR"/>
        </w:rPr>
        <w:t>auteur d</w:t>
      </w:r>
      <w:r w:rsidR="00F1794C" w:rsidRPr="00F1794C">
        <w:rPr>
          <w:lang w:val="fr-FR"/>
        </w:rPr>
        <w:t>’</w:t>
      </w:r>
      <w:r w:rsidRPr="00F1794C">
        <w:rPr>
          <w:lang w:val="fr-FR"/>
        </w:rPr>
        <w:t>un viol dont la victime est une mineure nubile et d</w:t>
      </w:r>
      <w:r w:rsidR="00F1794C" w:rsidRPr="00F1794C">
        <w:rPr>
          <w:lang w:val="fr-FR"/>
        </w:rPr>
        <w:t>’</w:t>
      </w:r>
      <w:r w:rsidRPr="00F1794C">
        <w:rPr>
          <w:lang w:val="fr-FR"/>
        </w:rPr>
        <w:t>empêcher qu</w:t>
      </w:r>
      <w:r w:rsidR="00F1794C" w:rsidRPr="00F1794C">
        <w:rPr>
          <w:lang w:val="fr-FR"/>
        </w:rPr>
        <w:t>’</w:t>
      </w:r>
      <w:r w:rsidRPr="00F1794C">
        <w:rPr>
          <w:lang w:val="fr-FR"/>
        </w:rPr>
        <w:t>il n</w:t>
      </w:r>
      <w:r w:rsidR="00F1794C" w:rsidRPr="00F1794C">
        <w:rPr>
          <w:lang w:val="fr-FR"/>
        </w:rPr>
        <w:t>’</w:t>
      </w:r>
      <w:r w:rsidRPr="00F1794C">
        <w:rPr>
          <w:lang w:val="fr-FR"/>
        </w:rPr>
        <w:t>épouse la victime. Cette mesure de protection est renforcée pour les enfants victimes d</w:t>
      </w:r>
      <w:r w:rsidR="00F1794C" w:rsidRPr="00F1794C">
        <w:rPr>
          <w:lang w:val="fr-FR"/>
        </w:rPr>
        <w:t>’</w:t>
      </w:r>
      <w:r w:rsidRPr="00F1794C">
        <w:rPr>
          <w:lang w:val="fr-FR"/>
        </w:rPr>
        <w:t>atteinte sexuelle à la suite d</w:t>
      </w:r>
      <w:r w:rsidR="00F1794C" w:rsidRPr="00F1794C">
        <w:rPr>
          <w:lang w:val="fr-FR"/>
        </w:rPr>
        <w:t>’</w:t>
      </w:r>
      <w:r w:rsidRPr="00F1794C">
        <w:rPr>
          <w:lang w:val="fr-FR"/>
        </w:rPr>
        <w:t>un détournement ou d</w:t>
      </w:r>
      <w:r w:rsidR="00F1794C" w:rsidRPr="00F1794C">
        <w:rPr>
          <w:lang w:val="fr-FR"/>
        </w:rPr>
        <w:t>’</w:t>
      </w:r>
      <w:r w:rsidRPr="00F1794C">
        <w:rPr>
          <w:lang w:val="fr-FR"/>
        </w:rPr>
        <w:t>un enlèvement. La peine encourue par les auteurs de l</w:t>
      </w:r>
      <w:r w:rsidR="00F1794C" w:rsidRPr="00F1794C">
        <w:rPr>
          <w:lang w:val="fr-FR"/>
        </w:rPr>
        <w:t>’</w:t>
      </w:r>
      <w:r w:rsidRPr="00F1794C">
        <w:rPr>
          <w:lang w:val="fr-FR"/>
        </w:rPr>
        <w:t>enlèvement ou du détournement de mineur a été alourdie. Ces actes sont passibles d</w:t>
      </w:r>
      <w:r w:rsidR="00F1794C" w:rsidRPr="00F1794C">
        <w:rPr>
          <w:lang w:val="fr-FR"/>
        </w:rPr>
        <w:t>’</w:t>
      </w:r>
      <w:r w:rsidRPr="00F1794C">
        <w:rPr>
          <w:lang w:val="fr-FR"/>
        </w:rPr>
        <w:t>une peine d</w:t>
      </w:r>
      <w:r w:rsidR="00F1794C" w:rsidRPr="00F1794C">
        <w:rPr>
          <w:lang w:val="fr-FR"/>
        </w:rPr>
        <w:t>’</w:t>
      </w:r>
      <w:r w:rsidRPr="00F1794C">
        <w:rPr>
          <w:lang w:val="fr-FR"/>
        </w:rPr>
        <w:t>emprisonnement de 10 ans en cas de relation sexuelle, même consensuelle, et d</w:t>
      </w:r>
      <w:r w:rsidR="00F1794C" w:rsidRPr="00F1794C">
        <w:rPr>
          <w:lang w:val="fr-FR"/>
        </w:rPr>
        <w:t>’</w:t>
      </w:r>
      <w:r w:rsidRPr="00F1794C">
        <w:rPr>
          <w:lang w:val="fr-FR"/>
        </w:rPr>
        <w:t>une peine d</w:t>
      </w:r>
      <w:r w:rsidR="00F1794C" w:rsidRPr="00F1794C">
        <w:rPr>
          <w:lang w:val="fr-FR"/>
        </w:rPr>
        <w:t>’</w:t>
      </w:r>
      <w:r w:rsidRPr="00F1794C">
        <w:rPr>
          <w:lang w:val="fr-FR"/>
        </w:rPr>
        <w:t>emprisonnement maximale de 20 ans en cas d</w:t>
      </w:r>
      <w:r w:rsidR="00F1794C" w:rsidRPr="00F1794C">
        <w:rPr>
          <w:lang w:val="fr-FR"/>
        </w:rPr>
        <w:t>’</w:t>
      </w:r>
      <w:r w:rsidRPr="00F1794C">
        <w:rPr>
          <w:lang w:val="fr-FR"/>
        </w:rPr>
        <w:t>atteinte sexuelle et de 30 ans en cas de viol. En outre, certaines dispositions du Code pénal qui portaient atteinte à la dignité de la femme ont été abrogées</w:t>
      </w:r>
      <w:r w:rsidRPr="00FA086B">
        <w:rPr>
          <w:vertAlign w:val="superscript"/>
          <w:lang w:val="fr-FR"/>
        </w:rPr>
        <w:footnoteReference w:id="13"/>
      </w:r>
      <w:r w:rsidRPr="00F1794C">
        <w:rPr>
          <w:lang w:val="fr-FR"/>
        </w:rPr>
        <w:t xml:space="preserve">. </w:t>
      </w:r>
    </w:p>
    <w:p w14:paraId="69BB9B88" w14:textId="6088D0A3" w:rsidR="00B35EE7" w:rsidRPr="00F1794C" w:rsidRDefault="00B35EE7" w:rsidP="00456FC2">
      <w:pPr>
        <w:pStyle w:val="SingleTxt"/>
        <w:numPr>
          <w:ilvl w:val="0"/>
          <w:numId w:val="29"/>
        </w:numPr>
        <w:spacing w:line="240" w:lineRule="exact"/>
        <w:ind w:left="1267"/>
        <w:rPr>
          <w:lang w:val="fr-FR"/>
        </w:rPr>
      </w:pPr>
      <w:r w:rsidRPr="00F1794C">
        <w:rPr>
          <w:lang w:val="fr-FR"/>
        </w:rPr>
        <w:t>Le Maroc continue d</w:t>
      </w:r>
      <w:r w:rsidR="00F1794C" w:rsidRPr="00F1794C">
        <w:rPr>
          <w:lang w:val="fr-FR"/>
        </w:rPr>
        <w:t>’</w:t>
      </w:r>
      <w:r w:rsidRPr="00F1794C">
        <w:rPr>
          <w:lang w:val="fr-FR"/>
        </w:rPr>
        <w:t>adhérer aux instruments internationaux et régionaux sur la question</w:t>
      </w:r>
      <w:r w:rsidRPr="00FA086B">
        <w:rPr>
          <w:vertAlign w:val="superscript"/>
          <w:lang w:val="fr-FR"/>
        </w:rPr>
        <w:footnoteReference w:id="14"/>
      </w:r>
      <w:r w:rsidRPr="00F1794C">
        <w:rPr>
          <w:lang w:val="fr-FR"/>
        </w:rPr>
        <w:t>. Le Parlement a approuvé plusieurs accords internationaux et régionaux, notamment le Protocole facultatif à la Convention à la Convention sur l</w:t>
      </w:r>
      <w:r w:rsidR="00F1794C" w:rsidRPr="00F1794C">
        <w:rPr>
          <w:lang w:val="fr-FR"/>
        </w:rPr>
        <w:t>’</w:t>
      </w:r>
      <w:r w:rsidRPr="00F1794C">
        <w:rPr>
          <w:lang w:val="fr-FR"/>
        </w:rPr>
        <w:t>élimination de toutes les formes de discrimination à l</w:t>
      </w:r>
      <w:r w:rsidR="00F1794C" w:rsidRPr="00F1794C">
        <w:rPr>
          <w:lang w:val="fr-FR"/>
        </w:rPr>
        <w:t>’</w:t>
      </w:r>
      <w:r w:rsidRPr="00F1794C">
        <w:rPr>
          <w:lang w:val="fr-FR"/>
        </w:rPr>
        <w:t>égard des femmes et la Convention européenne sur l</w:t>
      </w:r>
      <w:r w:rsidR="00F1794C" w:rsidRPr="00F1794C">
        <w:rPr>
          <w:lang w:val="fr-FR"/>
        </w:rPr>
        <w:t>’</w:t>
      </w:r>
      <w:r w:rsidRPr="00F1794C">
        <w:rPr>
          <w:lang w:val="fr-FR"/>
        </w:rPr>
        <w:t>exercice des droits des enfants adoptée à Strasbourg en 1996</w:t>
      </w:r>
      <w:r w:rsidRPr="00FA086B">
        <w:rPr>
          <w:vertAlign w:val="superscript"/>
          <w:lang w:val="fr-FR"/>
        </w:rPr>
        <w:footnoteReference w:id="15"/>
      </w:r>
      <w:r w:rsidRPr="00F1794C">
        <w:rPr>
          <w:lang w:val="fr-FR"/>
        </w:rPr>
        <w:t>, la Convention sur les relations personnelles concernant les enfants, faite à Strasbourg en 2003</w:t>
      </w:r>
      <w:r w:rsidRPr="00FA086B">
        <w:rPr>
          <w:vertAlign w:val="superscript"/>
          <w:lang w:val="fr-FR"/>
        </w:rPr>
        <w:footnoteReference w:id="16"/>
      </w:r>
      <w:r w:rsidRPr="00F1794C">
        <w:rPr>
          <w:lang w:val="fr-FR"/>
        </w:rPr>
        <w:t xml:space="preserve"> et la Convention sur la protection des enfants contre l</w:t>
      </w:r>
      <w:r w:rsidR="00F1794C" w:rsidRPr="00F1794C">
        <w:rPr>
          <w:lang w:val="fr-FR"/>
        </w:rPr>
        <w:t>’</w:t>
      </w:r>
      <w:r w:rsidRPr="00F1794C">
        <w:rPr>
          <w:lang w:val="fr-FR"/>
        </w:rPr>
        <w:t>exploitation et les abus sexuels faite à Lanzarote en 2007</w:t>
      </w:r>
      <w:r w:rsidRPr="00FA086B">
        <w:rPr>
          <w:vertAlign w:val="superscript"/>
          <w:lang w:val="fr-FR"/>
        </w:rPr>
        <w:footnoteReference w:id="17"/>
      </w:r>
      <w:r w:rsidRPr="00F1794C">
        <w:rPr>
          <w:lang w:val="fr-FR"/>
        </w:rPr>
        <w:t>. Le Maroc a également ratifié la Convention de 2000 sur la protection de la maternité (n</w:t>
      </w:r>
      <w:r w:rsidR="00DC4ABD" w:rsidRPr="00DC4ABD">
        <w:rPr>
          <w:vertAlign w:val="superscript"/>
          <w:lang w:val="fr-FR"/>
        </w:rPr>
        <w:t>o</w:t>
      </w:r>
      <w:r w:rsidRPr="00F1794C">
        <w:rPr>
          <w:lang w:val="fr-FR"/>
        </w:rPr>
        <w:t xml:space="preserve"> 183) de l</w:t>
      </w:r>
      <w:r w:rsidR="00F1794C" w:rsidRPr="00F1794C">
        <w:rPr>
          <w:lang w:val="fr-FR"/>
        </w:rPr>
        <w:t>’</w:t>
      </w:r>
      <w:r w:rsidRPr="00F1794C">
        <w:rPr>
          <w:lang w:val="fr-FR"/>
        </w:rPr>
        <w:t>Organisation internationale du Travail.</w:t>
      </w:r>
    </w:p>
    <w:p w14:paraId="5D4A9170" w14:textId="0A6E76C5" w:rsidR="00B35EE7" w:rsidRPr="00F1794C" w:rsidRDefault="00B35EE7" w:rsidP="00456FC2">
      <w:pPr>
        <w:pStyle w:val="SingleTxt"/>
        <w:numPr>
          <w:ilvl w:val="0"/>
          <w:numId w:val="30"/>
        </w:numPr>
        <w:spacing w:line="240" w:lineRule="exact"/>
        <w:ind w:left="1267"/>
        <w:rPr>
          <w:lang w:val="fr-FR"/>
        </w:rPr>
      </w:pPr>
      <w:r w:rsidRPr="00F1794C">
        <w:rPr>
          <w:lang w:val="fr-FR"/>
        </w:rPr>
        <w:t>Le Maroc a adopté en mars 2018 la loi n</w:t>
      </w:r>
      <w:r w:rsidR="007705E5" w:rsidRPr="007705E5">
        <w:rPr>
          <w:vertAlign w:val="superscript"/>
          <w:lang w:val="fr-FR"/>
        </w:rPr>
        <w:t>o</w:t>
      </w:r>
      <w:r w:rsidR="007705E5">
        <w:rPr>
          <w:lang w:val="fr-FR"/>
        </w:rPr>
        <w:t> </w:t>
      </w:r>
      <w:r w:rsidRPr="00F1794C">
        <w:rPr>
          <w:lang w:val="fr-FR"/>
        </w:rPr>
        <w:t>103-13 relative à la lutte contre les violences faites aux femmes qui définit très précisément la notion de violence, sous toutes ses formes et dans toutes ses manifestations. Aux termes de l</w:t>
      </w:r>
      <w:r w:rsidR="00F1794C" w:rsidRPr="00F1794C">
        <w:rPr>
          <w:lang w:val="fr-FR"/>
        </w:rPr>
        <w:t>’</w:t>
      </w:r>
      <w:r w:rsidRPr="00F1794C">
        <w:rPr>
          <w:lang w:val="fr-FR"/>
        </w:rPr>
        <w:t>article premier, par violences faites aux femmes, on entend tout acte matériel ou moral ou abstention fondés sur la discrimination en raison du sexe entraînant pour la femme un préjudice corporel, psychologique, sexuel ou économique. Le chapitre II de la loi est consacré aux dispositions pénales et le chapitre IV aux mécanismes de prise en charge des femmes victimes de violences. En outre, les membres de la Commission nationale pour la prise en charge des femmes victimes de violences ont été installés dans leurs fonctions</w:t>
      </w:r>
      <w:r w:rsidRPr="00FA086B">
        <w:rPr>
          <w:vertAlign w:val="superscript"/>
          <w:lang w:val="fr-FR"/>
        </w:rPr>
        <w:footnoteReference w:id="18"/>
      </w:r>
      <w:r w:rsidRPr="00F1794C">
        <w:rPr>
          <w:lang w:val="fr-FR"/>
        </w:rPr>
        <w:t>. Ils sont chargés d</w:t>
      </w:r>
      <w:r w:rsidR="00F1794C" w:rsidRPr="00F1794C">
        <w:rPr>
          <w:lang w:val="fr-FR"/>
        </w:rPr>
        <w:t>’</w:t>
      </w:r>
      <w:r w:rsidRPr="00F1794C">
        <w:rPr>
          <w:lang w:val="fr-FR"/>
        </w:rPr>
        <w:t>assurer la communication et la coordination, au niveau national, entre les interventions des départements ministériels et des administrations centrales concernés par les violences faites aux femmes ainsi que le suivi de l</w:t>
      </w:r>
      <w:r w:rsidR="00F1794C" w:rsidRPr="00F1794C">
        <w:rPr>
          <w:lang w:val="fr-FR"/>
        </w:rPr>
        <w:t>’</w:t>
      </w:r>
      <w:r w:rsidRPr="00F1794C">
        <w:rPr>
          <w:lang w:val="fr-FR"/>
        </w:rPr>
        <w:t>action des commissions régionales et locales</w:t>
      </w:r>
      <w:r w:rsidRPr="00FA086B">
        <w:rPr>
          <w:vertAlign w:val="superscript"/>
          <w:lang w:val="fr-FR"/>
        </w:rPr>
        <w:footnoteReference w:id="19"/>
      </w:r>
      <w:r w:rsidRPr="00F1794C">
        <w:rPr>
          <w:lang w:val="fr-FR"/>
        </w:rPr>
        <w:t>.</w:t>
      </w:r>
    </w:p>
    <w:p w14:paraId="10BA5826" w14:textId="6B4C1FAE" w:rsidR="00B35EE7" w:rsidRPr="00F1794C" w:rsidRDefault="00B35EE7" w:rsidP="00456FC2">
      <w:pPr>
        <w:pStyle w:val="SingleTxt"/>
        <w:numPr>
          <w:ilvl w:val="0"/>
          <w:numId w:val="31"/>
        </w:numPr>
        <w:spacing w:line="240" w:lineRule="exact"/>
        <w:ind w:left="1267"/>
        <w:rPr>
          <w:lang w:val="fr-FR"/>
        </w:rPr>
      </w:pPr>
      <w:r w:rsidRPr="00F1794C">
        <w:rPr>
          <w:lang w:val="fr-FR"/>
        </w:rPr>
        <w:lastRenderedPageBreak/>
        <w:t>Pour promouvoir et protéger les droits civils, politiques, économiques, sociaux, culturels et environnementaux des femmes, un ensemble d</w:t>
      </w:r>
      <w:r w:rsidR="00F1794C" w:rsidRPr="00F1794C">
        <w:rPr>
          <w:lang w:val="fr-FR"/>
        </w:rPr>
        <w:t>’</w:t>
      </w:r>
      <w:r w:rsidRPr="00F1794C">
        <w:rPr>
          <w:lang w:val="fr-FR"/>
        </w:rPr>
        <w:t>institutions constitutionnelles ont été créées, notamment l</w:t>
      </w:r>
      <w:r w:rsidR="00F1794C" w:rsidRPr="00F1794C">
        <w:rPr>
          <w:lang w:val="fr-FR"/>
        </w:rPr>
        <w:t>’</w:t>
      </w:r>
      <w:r w:rsidRPr="00F1794C">
        <w:rPr>
          <w:lang w:val="fr-FR"/>
        </w:rPr>
        <w:t>Autorité pour la parité et la lutte contre toutes formes de discrimination</w:t>
      </w:r>
      <w:r w:rsidRPr="00FA086B">
        <w:rPr>
          <w:vertAlign w:val="superscript"/>
          <w:lang w:val="fr-FR"/>
        </w:rPr>
        <w:footnoteReference w:id="20"/>
      </w:r>
      <w:r w:rsidRPr="00F1794C">
        <w:rPr>
          <w:lang w:val="fr-FR"/>
        </w:rPr>
        <w:t>, dont la composition, les attributions et les missions sont définies dans la loi n</w:t>
      </w:r>
      <w:r w:rsidRPr="00F1794C">
        <w:rPr>
          <w:vertAlign w:val="superscript"/>
          <w:lang w:val="fr-FR"/>
        </w:rPr>
        <w:t xml:space="preserve">o </w:t>
      </w:r>
      <w:r w:rsidRPr="00F1794C">
        <w:rPr>
          <w:lang w:val="fr-FR"/>
        </w:rPr>
        <w:t>79-14. L</w:t>
      </w:r>
      <w:r w:rsidR="00F1794C" w:rsidRPr="00F1794C">
        <w:rPr>
          <w:lang w:val="fr-FR"/>
        </w:rPr>
        <w:t>’</w:t>
      </w:r>
      <w:r w:rsidRPr="00F1794C">
        <w:rPr>
          <w:lang w:val="fr-FR"/>
        </w:rPr>
        <w:t>Autorité assure l</w:t>
      </w:r>
      <w:r w:rsidR="00F1794C" w:rsidRPr="00F1794C">
        <w:rPr>
          <w:lang w:val="fr-FR"/>
        </w:rPr>
        <w:t>’</w:t>
      </w:r>
      <w:r w:rsidRPr="00F1794C">
        <w:rPr>
          <w:lang w:val="fr-FR"/>
        </w:rPr>
        <w:t>observation et le suivi des formes de discrimination dont les femmes sont victimes, reçoit et examine les réclamations, donne son avis et présente des recommandations en vue de faire concorder la législation nationale avec les dispositions des conventions internationales.</w:t>
      </w:r>
    </w:p>
    <w:p w14:paraId="57D450D7" w14:textId="208A3258" w:rsidR="00B35EE7" w:rsidRPr="00F1794C" w:rsidRDefault="00B35EE7" w:rsidP="00456FC2">
      <w:pPr>
        <w:pStyle w:val="SingleTxt"/>
        <w:numPr>
          <w:ilvl w:val="0"/>
          <w:numId w:val="32"/>
        </w:numPr>
        <w:spacing w:line="240" w:lineRule="exact"/>
        <w:ind w:left="1267"/>
        <w:rPr>
          <w:lang w:val="fr-FR"/>
        </w:rPr>
      </w:pPr>
      <w:r w:rsidRPr="00F1794C">
        <w:rPr>
          <w:lang w:val="fr-FR"/>
        </w:rPr>
        <w:t>La Haute autorité de la communication audiovisuelle, qui supervise et contrôle la lutte contre la discrimination à l</w:t>
      </w:r>
      <w:r w:rsidR="00F1794C" w:rsidRPr="00F1794C">
        <w:rPr>
          <w:lang w:val="fr-FR"/>
        </w:rPr>
        <w:t>’</w:t>
      </w:r>
      <w:r w:rsidRPr="00F1794C">
        <w:rPr>
          <w:lang w:val="fr-FR"/>
        </w:rPr>
        <w:t>égard des femmes</w:t>
      </w:r>
      <w:r w:rsidRPr="00FA086B">
        <w:rPr>
          <w:vertAlign w:val="superscript"/>
          <w:lang w:val="fr-FR"/>
        </w:rPr>
        <w:footnoteReference w:id="21"/>
      </w:r>
      <w:r w:rsidRPr="00F1794C">
        <w:rPr>
          <w:lang w:val="fr-FR"/>
        </w:rPr>
        <w:t>, reçoit les plaintes concernant les stéréotypes de genre véhiculés dans les médias audiovisuels et en assure le suivi. D</w:t>
      </w:r>
      <w:r w:rsidR="00F1794C" w:rsidRPr="00F1794C">
        <w:rPr>
          <w:lang w:val="fr-FR"/>
        </w:rPr>
        <w:t>’</w:t>
      </w:r>
      <w:r w:rsidRPr="00F1794C">
        <w:rPr>
          <w:lang w:val="fr-FR"/>
        </w:rPr>
        <w:t>après les résultats marquants d</w:t>
      </w:r>
      <w:r w:rsidR="00F1794C" w:rsidRPr="00F1794C">
        <w:rPr>
          <w:lang w:val="fr-FR"/>
        </w:rPr>
        <w:t>’</w:t>
      </w:r>
      <w:r w:rsidRPr="00F1794C">
        <w:rPr>
          <w:lang w:val="fr-FR"/>
        </w:rPr>
        <w:t>une étude intitulée « Proposition d</w:t>
      </w:r>
      <w:r w:rsidR="00F1794C" w:rsidRPr="00F1794C">
        <w:rPr>
          <w:lang w:val="fr-FR"/>
        </w:rPr>
        <w:t>’</w:t>
      </w:r>
      <w:r w:rsidRPr="00F1794C">
        <w:rPr>
          <w:lang w:val="fr-FR"/>
        </w:rPr>
        <w:t>une démarche de monitoring des programmes télévisuels</w:t>
      </w:r>
      <w:r w:rsidR="00F1794C" w:rsidRPr="00F1794C">
        <w:rPr>
          <w:lang w:val="fr-FR"/>
        </w:rPr>
        <w:t> :</w:t>
      </w:r>
      <w:r w:rsidRPr="00F1794C">
        <w:rPr>
          <w:lang w:val="fr-FR"/>
        </w:rPr>
        <w:t xml:space="preserve"> contribution à la lutte contre les stéréotypes fondés sur le genre et à la promotion de la culture de l</w:t>
      </w:r>
      <w:r w:rsidR="00F1794C" w:rsidRPr="00F1794C">
        <w:rPr>
          <w:lang w:val="fr-FR"/>
        </w:rPr>
        <w:t>’</w:t>
      </w:r>
      <w:r w:rsidRPr="00F1794C">
        <w:rPr>
          <w:lang w:val="fr-FR"/>
        </w:rPr>
        <w:t>égalité hommes-femmes », la proportion de femmes et d</w:t>
      </w:r>
      <w:r w:rsidR="00F1794C" w:rsidRPr="00F1794C">
        <w:rPr>
          <w:lang w:val="fr-FR"/>
        </w:rPr>
        <w:t>’</w:t>
      </w:r>
      <w:r w:rsidRPr="00F1794C">
        <w:rPr>
          <w:lang w:val="fr-FR"/>
        </w:rPr>
        <w:t>interventions de femmes a augmenté dans tous les programmes. Pour ce qui est de l</w:t>
      </w:r>
      <w:r w:rsidR="00F1794C" w:rsidRPr="00F1794C">
        <w:rPr>
          <w:lang w:val="fr-FR"/>
        </w:rPr>
        <w:t>’</w:t>
      </w:r>
      <w:r w:rsidRPr="00F1794C">
        <w:rPr>
          <w:lang w:val="fr-FR"/>
        </w:rPr>
        <w:t>ensemble de la programmation, les femmes occupent une place prépondérante dans les émissions relatives aux services (81</w:t>
      </w:r>
      <w:r w:rsidR="00F1794C" w:rsidRPr="00F1794C">
        <w:rPr>
          <w:lang w:val="fr-FR"/>
        </w:rPr>
        <w:t> %</w:t>
      </w:r>
      <w:r w:rsidRPr="00F1794C">
        <w:rPr>
          <w:lang w:val="fr-FR"/>
        </w:rPr>
        <w:t>). Leur visibilité est importante dans les programmes concernant la sphère privée (famille), tandis que la présence des hommes est dominante les programmes relatifs à la sphère publique (77</w:t>
      </w:r>
      <w:r w:rsidR="00F1794C" w:rsidRPr="00F1794C">
        <w:rPr>
          <w:lang w:val="fr-FR"/>
        </w:rPr>
        <w:t> %</w:t>
      </w:r>
      <w:r w:rsidRPr="00F1794C">
        <w:rPr>
          <w:lang w:val="fr-FR"/>
        </w:rPr>
        <w:t>) et dans les programmes d</w:t>
      </w:r>
      <w:r w:rsidR="00F1794C" w:rsidRPr="00F1794C">
        <w:rPr>
          <w:lang w:val="fr-FR"/>
        </w:rPr>
        <w:t>’</w:t>
      </w:r>
      <w:r w:rsidRPr="00F1794C">
        <w:rPr>
          <w:lang w:val="fr-FR"/>
        </w:rPr>
        <w:t>information (82</w:t>
      </w:r>
      <w:r w:rsidR="00F1794C" w:rsidRPr="00F1794C">
        <w:rPr>
          <w:lang w:val="fr-FR"/>
        </w:rPr>
        <w:t> %</w:t>
      </w:r>
      <w:r w:rsidRPr="00F1794C">
        <w:rPr>
          <w:lang w:val="fr-FR"/>
        </w:rPr>
        <w:t>).</w:t>
      </w:r>
    </w:p>
    <w:p w14:paraId="072E3A4D" w14:textId="4ACF1E63" w:rsidR="00B35EE7" w:rsidRPr="00F1794C" w:rsidRDefault="00B35EE7" w:rsidP="00456FC2">
      <w:pPr>
        <w:pStyle w:val="SingleTxt"/>
        <w:numPr>
          <w:ilvl w:val="0"/>
          <w:numId w:val="33"/>
        </w:numPr>
        <w:spacing w:line="240" w:lineRule="exact"/>
        <w:ind w:left="1267"/>
        <w:rPr>
          <w:lang w:val="fr-FR"/>
        </w:rPr>
      </w:pPr>
      <w:r w:rsidRPr="00F1794C">
        <w:rPr>
          <w:lang w:val="fr-FR"/>
        </w:rPr>
        <w:t>L</w:t>
      </w:r>
      <w:r w:rsidR="00F1794C" w:rsidRPr="00F1794C">
        <w:rPr>
          <w:lang w:val="fr-FR"/>
        </w:rPr>
        <w:t>’</w:t>
      </w:r>
      <w:r w:rsidRPr="00F1794C">
        <w:rPr>
          <w:lang w:val="fr-FR"/>
        </w:rPr>
        <w:t>Institution du Médiateur offre la même protection juridique à tous les usagers des services de l</w:t>
      </w:r>
      <w:r w:rsidR="00F1794C" w:rsidRPr="00F1794C">
        <w:rPr>
          <w:lang w:val="fr-FR"/>
        </w:rPr>
        <w:t>’</w:t>
      </w:r>
      <w:r w:rsidRPr="00F1794C">
        <w:rPr>
          <w:lang w:val="fr-FR"/>
        </w:rPr>
        <w:t>administration</w:t>
      </w:r>
      <w:r w:rsidRPr="00FA086B">
        <w:rPr>
          <w:vertAlign w:val="superscript"/>
          <w:lang w:val="fr-FR"/>
        </w:rPr>
        <w:footnoteReference w:id="22"/>
      </w:r>
      <w:r w:rsidRPr="00F1794C">
        <w:rPr>
          <w:lang w:val="fr-FR"/>
        </w:rPr>
        <w:t>. Elle appelle l</w:t>
      </w:r>
      <w:r w:rsidR="00F1794C" w:rsidRPr="00F1794C">
        <w:rPr>
          <w:lang w:val="fr-FR"/>
        </w:rPr>
        <w:t>’</w:t>
      </w:r>
      <w:r w:rsidRPr="00F1794C">
        <w:rPr>
          <w:lang w:val="fr-FR"/>
        </w:rPr>
        <w:t>attention de l</w:t>
      </w:r>
      <w:r w:rsidR="00F1794C" w:rsidRPr="00F1794C">
        <w:rPr>
          <w:lang w:val="fr-FR"/>
        </w:rPr>
        <w:t>’</w:t>
      </w:r>
      <w:r w:rsidRPr="00F1794C">
        <w:rPr>
          <w:lang w:val="fr-FR"/>
        </w:rPr>
        <w:t>administration sur les cas de non-respect des principes d</w:t>
      </w:r>
      <w:r w:rsidR="00F1794C" w:rsidRPr="00F1794C">
        <w:rPr>
          <w:lang w:val="fr-FR"/>
        </w:rPr>
        <w:t>’</w:t>
      </w:r>
      <w:r w:rsidRPr="00F1794C">
        <w:rPr>
          <w:lang w:val="fr-FR"/>
        </w:rPr>
        <w:t>égalité et d</w:t>
      </w:r>
      <w:r w:rsidR="00F1794C" w:rsidRPr="00F1794C">
        <w:rPr>
          <w:lang w:val="fr-FR"/>
        </w:rPr>
        <w:t>’</w:t>
      </w:r>
      <w:r w:rsidRPr="00F1794C">
        <w:rPr>
          <w:lang w:val="fr-FR"/>
        </w:rPr>
        <w:t>égalité des chances et offre une assistance judiciaire gratuite</w:t>
      </w:r>
      <w:r w:rsidRPr="00FA086B">
        <w:rPr>
          <w:vertAlign w:val="superscript"/>
          <w:lang w:val="fr-FR"/>
        </w:rPr>
        <w:footnoteReference w:id="23"/>
      </w:r>
      <w:r w:rsidRPr="00F1794C">
        <w:rPr>
          <w:lang w:val="fr-FR"/>
        </w:rPr>
        <w:t xml:space="preserve"> aux veuves, aux femmes divorcées, aux orphelins, aux personnes en situation de handicap lorsque l</w:t>
      </w:r>
      <w:r w:rsidR="00F1794C" w:rsidRPr="00F1794C">
        <w:rPr>
          <w:lang w:val="fr-FR"/>
        </w:rPr>
        <w:t>’</w:t>
      </w:r>
      <w:r w:rsidRPr="00F1794C">
        <w:rPr>
          <w:lang w:val="fr-FR"/>
        </w:rPr>
        <w:t>administration a commis tout acte arbitraire. De 2013 à 2015, l</w:t>
      </w:r>
      <w:r w:rsidR="00F1794C" w:rsidRPr="00F1794C">
        <w:rPr>
          <w:lang w:val="fr-FR"/>
        </w:rPr>
        <w:t>’</w:t>
      </w:r>
      <w:r w:rsidRPr="00F1794C">
        <w:rPr>
          <w:lang w:val="fr-FR"/>
        </w:rPr>
        <w:t>Institution a reçu 4 220 plaintes, dont 3</w:t>
      </w:r>
      <w:r w:rsidR="007705E5">
        <w:rPr>
          <w:lang w:val="fr-FR"/>
        </w:rPr>
        <w:t xml:space="preserve"> </w:t>
      </w:r>
      <w:r w:rsidRPr="00F1794C">
        <w:rPr>
          <w:lang w:val="fr-FR"/>
        </w:rPr>
        <w:t>431 (81</w:t>
      </w:r>
      <w:r w:rsidR="00F1794C" w:rsidRPr="00F1794C">
        <w:rPr>
          <w:lang w:val="fr-FR"/>
        </w:rPr>
        <w:t> %</w:t>
      </w:r>
      <w:r w:rsidRPr="00F1794C">
        <w:rPr>
          <w:lang w:val="fr-FR"/>
        </w:rPr>
        <w:t>) concernant des hommes et 789 (19</w:t>
      </w:r>
      <w:r w:rsidR="00F1794C" w:rsidRPr="00F1794C">
        <w:rPr>
          <w:lang w:val="fr-FR"/>
        </w:rPr>
        <w:t> %</w:t>
      </w:r>
      <w:r w:rsidRPr="00F1794C">
        <w:rPr>
          <w:lang w:val="fr-FR"/>
        </w:rPr>
        <w:t>) des femmes. En 2016, 8 281 plaintes ont été adressées à l</w:t>
      </w:r>
      <w:r w:rsidR="00F1794C" w:rsidRPr="00F1794C">
        <w:rPr>
          <w:lang w:val="fr-FR"/>
        </w:rPr>
        <w:t>’</w:t>
      </w:r>
      <w:r w:rsidRPr="00F1794C">
        <w:rPr>
          <w:lang w:val="fr-FR"/>
        </w:rPr>
        <w:t>Institution, qui n</w:t>
      </w:r>
      <w:r w:rsidR="00F1794C" w:rsidRPr="00F1794C">
        <w:rPr>
          <w:lang w:val="fr-FR"/>
        </w:rPr>
        <w:t>’</w:t>
      </w:r>
      <w:r w:rsidRPr="00F1794C">
        <w:rPr>
          <w:lang w:val="fr-FR"/>
        </w:rPr>
        <w:t>a pas relevé un type particulier de plainte selon le genre, à l</w:t>
      </w:r>
      <w:r w:rsidR="00F1794C" w:rsidRPr="00F1794C">
        <w:rPr>
          <w:lang w:val="fr-FR"/>
        </w:rPr>
        <w:t>’</w:t>
      </w:r>
      <w:r w:rsidRPr="00F1794C">
        <w:rPr>
          <w:lang w:val="fr-FR"/>
        </w:rPr>
        <w:t>exception des affaires relatives aux terres des collectivités ethniques</w:t>
      </w:r>
      <w:r w:rsidR="00F1794C" w:rsidRPr="00F1794C">
        <w:rPr>
          <w:lang w:val="fr-FR"/>
        </w:rPr>
        <w:t xml:space="preserve"> </w:t>
      </w:r>
      <w:r w:rsidRPr="00F1794C">
        <w:rPr>
          <w:lang w:val="fr-FR"/>
        </w:rPr>
        <w:t>(soulaliyates). En 2016, 434 plaintes (24,5</w:t>
      </w:r>
      <w:r w:rsidR="00F1794C" w:rsidRPr="00F1794C">
        <w:rPr>
          <w:lang w:val="fr-FR"/>
        </w:rPr>
        <w:t> %</w:t>
      </w:r>
      <w:r w:rsidRPr="00F1794C">
        <w:rPr>
          <w:lang w:val="fr-FR"/>
        </w:rPr>
        <w:t>) concernaient des femmes et 1 338 (75,5</w:t>
      </w:r>
      <w:r w:rsidR="00F1794C" w:rsidRPr="00F1794C">
        <w:rPr>
          <w:lang w:val="fr-FR"/>
        </w:rPr>
        <w:t> %</w:t>
      </w:r>
      <w:r w:rsidRPr="00F1794C">
        <w:rPr>
          <w:lang w:val="fr-FR"/>
        </w:rPr>
        <w:t>) des hommes.</w:t>
      </w:r>
    </w:p>
    <w:p w14:paraId="137F488F" w14:textId="159A4CCC" w:rsidR="00B35EE7" w:rsidRPr="00F1794C" w:rsidRDefault="00B35EE7" w:rsidP="00456FC2">
      <w:pPr>
        <w:pStyle w:val="SingleTxt"/>
        <w:numPr>
          <w:ilvl w:val="0"/>
          <w:numId w:val="34"/>
        </w:numPr>
        <w:spacing w:line="240" w:lineRule="exact"/>
        <w:ind w:left="1267"/>
        <w:rPr>
          <w:lang w:val="fr-FR"/>
        </w:rPr>
      </w:pPr>
      <w:r w:rsidRPr="00F1794C">
        <w:rPr>
          <w:lang w:val="fr-FR"/>
        </w:rPr>
        <w:t>Le Conseil national des droits de l</w:t>
      </w:r>
      <w:r w:rsidR="00F1794C" w:rsidRPr="00F1794C">
        <w:rPr>
          <w:lang w:val="fr-FR"/>
        </w:rPr>
        <w:t>’</w:t>
      </w:r>
      <w:r w:rsidRPr="00F1794C">
        <w:rPr>
          <w:lang w:val="fr-FR"/>
        </w:rPr>
        <w:t>homme a pour mission de garantir l</w:t>
      </w:r>
      <w:r w:rsidR="00F1794C" w:rsidRPr="00F1794C">
        <w:rPr>
          <w:lang w:val="fr-FR"/>
        </w:rPr>
        <w:t>’</w:t>
      </w:r>
      <w:r w:rsidRPr="00F1794C">
        <w:rPr>
          <w:lang w:val="fr-FR"/>
        </w:rPr>
        <w:t>égalité et de lutter contre la discrimination. À cette fin, il établit des rapports annuels et émet des avis au sujet des lois ou de certaines questions précises. À cet égard, il a réalisé une étude sur les expériences internationales visant l</w:t>
      </w:r>
      <w:r w:rsidR="00F1794C" w:rsidRPr="00F1794C">
        <w:rPr>
          <w:lang w:val="fr-FR"/>
        </w:rPr>
        <w:t>’</w:t>
      </w:r>
      <w:r w:rsidRPr="00F1794C">
        <w:rPr>
          <w:lang w:val="fr-FR"/>
        </w:rPr>
        <w:t>institutionnalisation de la lutte contre la discrimination. En 2015, le Conseil a publié un rapport thématique intitulé « État de l</w:t>
      </w:r>
      <w:r w:rsidR="00F1794C" w:rsidRPr="00F1794C">
        <w:rPr>
          <w:lang w:val="fr-FR"/>
        </w:rPr>
        <w:t>’</w:t>
      </w:r>
      <w:r w:rsidRPr="00F1794C">
        <w:rPr>
          <w:lang w:val="fr-FR"/>
        </w:rPr>
        <w:t>égalité et de la parité au Maroc</w:t>
      </w:r>
      <w:r w:rsidR="00F1794C" w:rsidRPr="00F1794C">
        <w:rPr>
          <w:lang w:val="fr-FR"/>
        </w:rPr>
        <w:t> :</w:t>
      </w:r>
      <w:r w:rsidRPr="00F1794C">
        <w:rPr>
          <w:lang w:val="fr-FR"/>
        </w:rPr>
        <w:t xml:space="preserve"> préserver et rendre effectifs les finalités et objectifs constitutionnels ». En 2016, il a émis un avis sur le projet de loi n</w:t>
      </w:r>
      <w:r w:rsidRPr="00F1794C">
        <w:rPr>
          <w:vertAlign w:val="superscript"/>
          <w:lang w:val="fr-FR"/>
        </w:rPr>
        <w:t xml:space="preserve">o </w:t>
      </w:r>
      <w:r w:rsidRPr="00F1794C">
        <w:rPr>
          <w:lang w:val="fr-FR"/>
        </w:rPr>
        <w:t>103</w:t>
      </w:r>
      <w:r w:rsidR="007705E5">
        <w:rPr>
          <w:lang w:val="fr-FR"/>
        </w:rPr>
        <w:noBreakHyphen/>
      </w:r>
      <w:r w:rsidRPr="00F1794C">
        <w:rPr>
          <w:lang w:val="fr-FR"/>
        </w:rPr>
        <w:t xml:space="preserve">13 relative à la lutte contre les violences faites aux femmes. Il a créé un comité chargé des questions de genre. </w:t>
      </w:r>
    </w:p>
    <w:p w14:paraId="150F4C5A" w14:textId="5C9C9767" w:rsidR="00B35EE7" w:rsidRPr="00F1794C" w:rsidRDefault="00B35EE7" w:rsidP="00456FC2">
      <w:pPr>
        <w:pStyle w:val="SingleTxt"/>
        <w:numPr>
          <w:ilvl w:val="0"/>
          <w:numId w:val="35"/>
        </w:numPr>
        <w:spacing w:line="240" w:lineRule="exact"/>
        <w:ind w:left="1267"/>
        <w:rPr>
          <w:lang w:val="fr-FR"/>
        </w:rPr>
      </w:pPr>
      <w:r w:rsidRPr="00F1794C">
        <w:rPr>
          <w:lang w:val="fr-FR"/>
        </w:rPr>
        <w:t>Le Conseil économique, social et environnemental a établi en 2012 un rapport intitulé « Concrétiser l</w:t>
      </w:r>
      <w:r w:rsidR="00F1794C" w:rsidRPr="00F1794C">
        <w:rPr>
          <w:lang w:val="fr-FR"/>
        </w:rPr>
        <w:t>’</w:t>
      </w:r>
      <w:r w:rsidRPr="00F1794C">
        <w:rPr>
          <w:lang w:val="fr-FR"/>
        </w:rPr>
        <w:t>égalité entre les femmes et les hommes, une responsabilité de tous</w:t>
      </w:r>
      <w:r w:rsidR="00F1794C" w:rsidRPr="00F1794C">
        <w:rPr>
          <w:lang w:val="fr-FR"/>
        </w:rPr>
        <w:t> :</w:t>
      </w:r>
      <w:r w:rsidRPr="00F1794C">
        <w:rPr>
          <w:lang w:val="fr-FR"/>
        </w:rPr>
        <w:t xml:space="preserve"> concepts, recommandations normatives et institutionnelles ». En 2014, il a réalisé une étude sur la promotion de l</w:t>
      </w:r>
      <w:r w:rsidR="00F1794C" w:rsidRPr="00F1794C">
        <w:rPr>
          <w:lang w:val="fr-FR"/>
        </w:rPr>
        <w:t>’</w:t>
      </w:r>
      <w:r w:rsidRPr="00F1794C">
        <w:rPr>
          <w:lang w:val="fr-FR"/>
        </w:rPr>
        <w:t>égalité entre les femmes et les hommes dans la vie économique, sociale, politique et culturelle</w:t>
      </w:r>
      <w:r w:rsidR="00F1794C" w:rsidRPr="00F1794C">
        <w:rPr>
          <w:lang w:val="fr-FR"/>
        </w:rPr>
        <w:t> :</w:t>
      </w:r>
      <w:r w:rsidRPr="00F1794C">
        <w:rPr>
          <w:lang w:val="fr-FR"/>
        </w:rPr>
        <w:t xml:space="preserve"> réalités et recommandations. En 2016, il a publié un rapport intitulé « Les dimensions sociales de l</w:t>
      </w:r>
      <w:r w:rsidR="00F1794C" w:rsidRPr="00F1794C">
        <w:rPr>
          <w:lang w:val="fr-FR"/>
        </w:rPr>
        <w:t>’</w:t>
      </w:r>
      <w:r w:rsidRPr="00F1794C">
        <w:rPr>
          <w:lang w:val="fr-FR"/>
        </w:rPr>
        <w:t xml:space="preserve">égalité entre les </w:t>
      </w:r>
      <w:r w:rsidRPr="00F1794C">
        <w:rPr>
          <w:lang w:val="fr-FR"/>
        </w:rPr>
        <w:lastRenderedPageBreak/>
        <w:t>femmes et les hommes</w:t>
      </w:r>
      <w:r w:rsidR="00F1794C" w:rsidRPr="00F1794C">
        <w:rPr>
          <w:lang w:val="fr-FR"/>
        </w:rPr>
        <w:t> :</w:t>
      </w:r>
      <w:r w:rsidRPr="00F1794C">
        <w:rPr>
          <w:lang w:val="fr-FR"/>
        </w:rPr>
        <w:t xml:space="preserve"> constats et recommandations ». En 2019, il a émis un avis sur la question suivante</w:t>
      </w:r>
      <w:r w:rsidR="00F1794C" w:rsidRPr="00F1794C">
        <w:rPr>
          <w:lang w:val="fr-FR"/>
        </w:rPr>
        <w:t> :</w:t>
      </w:r>
      <w:r w:rsidRPr="00F1794C">
        <w:rPr>
          <w:lang w:val="fr-FR"/>
        </w:rPr>
        <w:t xml:space="preserve"> « Que faire, face à la persistance du mariage d</w:t>
      </w:r>
      <w:r w:rsidR="00F1794C" w:rsidRPr="00F1794C">
        <w:rPr>
          <w:lang w:val="fr-FR"/>
        </w:rPr>
        <w:t>’</w:t>
      </w:r>
      <w:r w:rsidRPr="00F1794C">
        <w:rPr>
          <w:lang w:val="fr-FR"/>
        </w:rPr>
        <w:t>enfants au Maroc</w:t>
      </w:r>
      <w:r w:rsidR="00F1794C" w:rsidRPr="00F1794C">
        <w:rPr>
          <w:lang w:val="fr-FR"/>
        </w:rPr>
        <w:t> ?</w:t>
      </w:r>
      <w:r w:rsidRPr="00F1794C">
        <w:rPr>
          <w:lang w:val="fr-FR"/>
        </w:rPr>
        <w:t> ».</w:t>
      </w:r>
    </w:p>
    <w:p w14:paraId="7E1DFDD6" w14:textId="77777777" w:rsidR="007705E5" w:rsidRPr="007705E5" w:rsidRDefault="007705E5" w:rsidP="007705E5">
      <w:pPr>
        <w:pStyle w:val="SingleTxt"/>
        <w:spacing w:after="0" w:line="120" w:lineRule="exact"/>
        <w:rPr>
          <w:b/>
          <w:sz w:val="10"/>
          <w:lang w:val="fr-FR"/>
        </w:rPr>
      </w:pPr>
    </w:p>
    <w:p w14:paraId="06F0C73B" w14:textId="176DC776" w:rsidR="00B35EE7" w:rsidRPr="00F1794C" w:rsidRDefault="007705E5" w:rsidP="007705E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B35EE7" w:rsidRPr="00F1794C">
        <w:rPr>
          <w:lang w:val="fr-FR"/>
        </w:rPr>
        <w:t>Article 3</w:t>
      </w:r>
    </w:p>
    <w:p w14:paraId="5E17CE31" w14:textId="6989A8C5" w:rsidR="00B35EE7" w:rsidRPr="007705E5" w:rsidRDefault="00B35EE7" w:rsidP="007705E5">
      <w:pPr>
        <w:pStyle w:val="SingleTxt"/>
        <w:spacing w:after="0" w:line="120" w:lineRule="exact"/>
        <w:rPr>
          <w:b/>
          <w:sz w:val="10"/>
          <w:lang w:val="fr-FR"/>
        </w:rPr>
      </w:pPr>
    </w:p>
    <w:p w14:paraId="524E0AA3" w14:textId="5FFD5950" w:rsidR="00B35EE7" w:rsidRPr="00F1794C" w:rsidRDefault="00B35EE7" w:rsidP="00456FC2">
      <w:pPr>
        <w:pStyle w:val="SingleTxt"/>
        <w:numPr>
          <w:ilvl w:val="0"/>
          <w:numId w:val="36"/>
        </w:numPr>
        <w:spacing w:line="240" w:lineRule="exact"/>
        <w:ind w:left="1267"/>
        <w:rPr>
          <w:lang w:val="fr-FR"/>
        </w:rPr>
      </w:pPr>
      <w:r w:rsidRPr="00F1794C">
        <w:rPr>
          <w:lang w:val="fr-FR"/>
        </w:rPr>
        <w:t>Depuis 2008, le Maroc met au point des programmes pour lutter contre la discrimination et la violence à l</w:t>
      </w:r>
      <w:r w:rsidR="00F1794C" w:rsidRPr="00F1794C">
        <w:rPr>
          <w:lang w:val="fr-FR"/>
        </w:rPr>
        <w:t>’</w:t>
      </w:r>
      <w:r w:rsidRPr="00F1794C">
        <w:rPr>
          <w:lang w:val="fr-FR"/>
        </w:rPr>
        <w:t>égard des femmes, tel le programme multisectoriel de lutte contre les violences fondées sur le genre par l</w:t>
      </w:r>
      <w:r w:rsidR="00F1794C" w:rsidRPr="00F1794C">
        <w:rPr>
          <w:lang w:val="fr-FR"/>
        </w:rPr>
        <w:t>’</w:t>
      </w:r>
      <w:r w:rsidRPr="00F1794C">
        <w:rPr>
          <w:lang w:val="fr-FR"/>
        </w:rPr>
        <w:t>autonomisation des femmes et des filles au Maroc « Tamkine ». En 2012, une politique publique en matière d</w:t>
      </w:r>
      <w:r w:rsidR="00F1794C" w:rsidRPr="00F1794C">
        <w:rPr>
          <w:lang w:val="fr-FR"/>
        </w:rPr>
        <w:t>’</w:t>
      </w:r>
      <w:r w:rsidRPr="00F1794C">
        <w:rPr>
          <w:lang w:val="fr-FR"/>
        </w:rPr>
        <w:t>égalité des sexes, le</w:t>
      </w:r>
      <w:r w:rsidR="00F1794C" w:rsidRPr="00F1794C">
        <w:rPr>
          <w:lang w:val="fr-FR"/>
        </w:rPr>
        <w:t xml:space="preserve"> </w:t>
      </w:r>
      <w:r w:rsidRPr="00F1794C">
        <w:rPr>
          <w:lang w:val="fr-FR"/>
        </w:rPr>
        <w:t>« Plan gouvernemental pour l</w:t>
      </w:r>
      <w:r w:rsidR="00F1794C" w:rsidRPr="00F1794C">
        <w:rPr>
          <w:lang w:val="fr-FR"/>
        </w:rPr>
        <w:t>’</w:t>
      </w:r>
      <w:r w:rsidRPr="00F1794C">
        <w:rPr>
          <w:lang w:val="fr-FR"/>
        </w:rPr>
        <w:t xml:space="preserve">égalité 2012-2016 </w:t>
      </w:r>
      <w:r w:rsidR="007705E5">
        <w:rPr>
          <w:lang w:val="fr-FR"/>
        </w:rPr>
        <w:t>“</w:t>
      </w:r>
      <w:r w:rsidRPr="00F1794C">
        <w:rPr>
          <w:lang w:val="fr-FR"/>
        </w:rPr>
        <w:t>ICRAM</w:t>
      </w:r>
      <w:r w:rsidR="007705E5">
        <w:rPr>
          <w:lang w:val="fr-FR"/>
        </w:rPr>
        <w:t>” </w:t>
      </w:r>
      <w:r w:rsidRPr="00F1794C">
        <w:rPr>
          <w:lang w:val="fr-FR"/>
        </w:rPr>
        <w:t>»</w:t>
      </w:r>
      <w:r w:rsidRPr="00FA086B">
        <w:rPr>
          <w:vertAlign w:val="superscript"/>
          <w:lang w:val="fr-FR"/>
        </w:rPr>
        <w:footnoteReference w:id="24"/>
      </w:r>
      <w:r w:rsidRPr="00F1794C">
        <w:rPr>
          <w:lang w:val="fr-FR"/>
        </w:rPr>
        <w:t xml:space="preserve"> a été élaborée selon une approche participative assurant la participation des différents acteurs. </w:t>
      </w:r>
    </w:p>
    <w:p w14:paraId="16FAEB14" w14:textId="08792F57" w:rsidR="00B35EE7" w:rsidRPr="00F1794C" w:rsidRDefault="00B35EE7" w:rsidP="00456FC2">
      <w:pPr>
        <w:pStyle w:val="SingleTxt"/>
        <w:numPr>
          <w:ilvl w:val="0"/>
          <w:numId w:val="36"/>
        </w:numPr>
        <w:spacing w:line="240" w:lineRule="exact"/>
        <w:ind w:left="1267"/>
        <w:rPr>
          <w:lang w:val="fr-FR"/>
        </w:rPr>
      </w:pPr>
      <w:r w:rsidRPr="00F1794C">
        <w:rPr>
          <w:lang w:val="fr-FR"/>
        </w:rPr>
        <w:t>Le Plan comprend 24 objectifs et 156 mesures assorties d</w:t>
      </w:r>
      <w:r w:rsidR="00F1794C" w:rsidRPr="00F1794C">
        <w:rPr>
          <w:lang w:val="fr-FR"/>
        </w:rPr>
        <w:t>’</w:t>
      </w:r>
      <w:r w:rsidRPr="00F1794C">
        <w:rPr>
          <w:lang w:val="fr-FR"/>
        </w:rPr>
        <w:t>indicateurs qualitatifs et quantitatifs, selon les huit axes</w:t>
      </w:r>
      <w:r w:rsidR="00F1794C" w:rsidRPr="00F1794C">
        <w:rPr>
          <w:lang w:val="fr-FR"/>
        </w:rPr>
        <w:t xml:space="preserve"> </w:t>
      </w:r>
      <w:r w:rsidRPr="00F1794C">
        <w:rPr>
          <w:lang w:val="fr-FR"/>
        </w:rPr>
        <w:t>suivants</w:t>
      </w:r>
      <w:r w:rsidR="00F1794C" w:rsidRPr="00F1794C">
        <w:rPr>
          <w:lang w:val="fr-FR"/>
        </w:rPr>
        <w:t> :</w:t>
      </w:r>
    </w:p>
    <w:p w14:paraId="33192C44" w14:textId="418148C1" w:rsidR="00B35EE7" w:rsidRPr="007705E5" w:rsidRDefault="007705E5" w:rsidP="007705E5">
      <w:pPr>
        <w:pStyle w:val="SingleTxt"/>
        <w:tabs>
          <w:tab w:val="right" w:pos="1685"/>
        </w:tabs>
        <w:ind w:left="1742" w:hanging="475"/>
        <w:rPr>
          <w:lang w:val="fr-FR"/>
        </w:rPr>
      </w:pPr>
      <w:r>
        <w:rPr>
          <w:lang w:val="fr-FR"/>
        </w:rPr>
        <w:tab/>
        <w:t>•</w:t>
      </w:r>
      <w:r>
        <w:rPr>
          <w:lang w:val="fr-FR"/>
        </w:rPr>
        <w:tab/>
      </w:r>
      <w:r w:rsidR="00B35EE7" w:rsidRPr="007705E5">
        <w:rPr>
          <w:lang w:val="fr-FR"/>
        </w:rPr>
        <w:t>Institutionnalisation et diffusion des principes de l</w:t>
      </w:r>
      <w:r w:rsidR="00F1794C" w:rsidRPr="007705E5">
        <w:rPr>
          <w:lang w:val="fr-FR"/>
        </w:rPr>
        <w:t>’</w:t>
      </w:r>
      <w:r w:rsidR="00B35EE7" w:rsidRPr="007705E5">
        <w:rPr>
          <w:lang w:val="fr-FR"/>
        </w:rPr>
        <w:t>équité et de l</w:t>
      </w:r>
      <w:r w:rsidR="00F1794C" w:rsidRPr="007705E5">
        <w:rPr>
          <w:lang w:val="fr-FR"/>
        </w:rPr>
        <w:t>’</w:t>
      </w:r>
      <w:r w:rsidR="00B35EE7" w:rsidRPr="007705E5">
        <w:rPr>
          <w:lang w:val="fr-FR"/>
        </w:rPr>
        <w:t>égalité</w:t>
      </w:r>
      <w:r w:rsidR="00F1794C" w:rsidRPr="007705E5">
        <w:rPr>
          <w:lang w:val="fr-FR"/>
        </w:rPr>
        <w:t> ;</w:t>
      </w:r>
    </w:p>
    <w:p w14:paraId="67C409E9" w14:textId="03572709" w:rsidR="00B35EE7" w:rsidRPr="007705E5" w:rsidRDefault="007705E5" w:rsidP="007705E5">
      <w:pPr>
        <w:pStyle w:val="SingleTxt"/>
        <w:tabs>
          <w:tab w:val="right" w:pos="1685"/>
        </w:tabs>
        <w:ind w:left="1742" w:hanging="475"/>
        <w:rPr>
          <w:lang w:val="fr-FR"/>
        </w:rPr>
      </w:pPr>
      <w:r>
        <w:rPr>
          <w:lang w:val="fr-FR"/>
        </w:rPr>
        <w:tab/>
        <w:t>•</w:t>
      </w:r>
      <w:r>
        <w:rPr>
          <w:lang w:val="fr-FR"/>
        </w:rPr>
        <w:tab/>
      </w:r>
      <w:r w:rsidR="00B35EE7" w:rsidRPr="007705E5">
        <w:rPr>
          <w:lang w:val="fr-FR"/>
        </w:rPr>
        <w:t>Lutte contre toutes les formes de discrimination et de violence à l</w:t>
      </w:r>
      <w:r w:rsidR="00F1794C" w:rsidRPr="007705E5">
        <w:rPr>
          <w:lang w:val="fr-FR"/>
        </w:rPr>
        <w:t>’</w:t>
      </w:r>
      <w:r w:rsidR="00B35EE7" w:rsidRPr="007705E5">
        <w:rPr>
          <w:lang w:val="fr-FR"/>
        </w:rPr>
        <w:t>égard des femmes</w:t>
      </w:r>
      <w:r w:rsidR="00F1794C" w:rsidRPr="007705E5">
        <w:rPr>
          <w:lang w:val="fr-FR"/>
        </w:rPr>
        <w:t> ;</w:t>
      </w:r>
    </w:p>
    <w:p w14:paraId="66BD2E59" w14:textId="55DC668E" w:rsidR="00B35EE7" w:rsidRPr="007705E5" w:rsidRDefault="007705E5" w:rsidP="007705E5">
      <w:pPr>
        <w:pStyle w:val="SingleTxt"/>
        <w:tabs>
          <w:tab w:val="right" w:pos="1685"/>
        </w:tabs>
        <w:ind w:left="1742" w:hanging="475"/>
        <w:rPr>
          <w:lang w:val="fr-FR"/>
        </w:rPr>
      </w:pPr>
      <w:r>
        <w:rPr>
          <w:lang w:val="fr-FR"/>
        </w:rPr>
        <w:tab/>
        <w:t>•</w:t>
      </w:r>
      <w:r>
        <w:rPr>
          <w:lang w:val="fr-FR"/>
        </w:rPr>
        <w:tab/>
      </w:r>
      <w:r w:rsidR="00B35EE7" w:rsidRPr="007705E5">
        <w:rPr>
          <w:lang w:val="fr-FR"/>
        </w:rPr>
        <w:t>Mise à niveau du système d</w:t>
      </w:r>
      <w:r w:rsidR="00F1794C" w:rsidRPr="007705E5">
        <w:rPr>
          <w:lang w:val="fr-FR"/>
        </w:rPr>
        <w:t>’</w:t>
      </w:r>
      <w:r w:rsidR="00B35EE7" w:rsidRPr="007705E5">
        <w:rPr>
          <w:lang w:val="fr-FR"/>
        </w:rPr>
        <w:t>éducation et de formation</w:t>
      </w:r>
      <w:r w:rsidR="00F1794C" w:rsidRPr="007705E5">
        <w:rPr>
          <w:lang w:val="fr-FR"/>
        </w:rPr>
        <w:t> ;</w:t>
      </w:r>
    </w:p>
    <w:p w14:paraId="02A7EC18" w14:textId="0D74D357" w:rsidR="00B35EE7" w:rsidRPr="007705E5" w:rsidRDefault="007705E5" w:rsidP="007705E5">
      <w:pPr>
        <w:pStyle w:val="SingleTxt"/>
        <w:tabs>
          <w:tab w:val="right" w:pos="1685"/>
        </w:tabs>
        <w:ind w:left="1742" w:hanging="475"/>
        <w:rPr>
          <w:lang w:val="fr-FR"/>
        </w:rPr>
      </w:pPr>
      <w:r>
        <w:rPr>
          <w:lang w:val="fr-FR"/>
        </w:rPr>
        <w:tab/>
        <w:t>•</w:t>
      </w:r>
      <w:r>
        <w:rPr>
          <w:lang w:val="fr-FR"/>
        </w:rPr>
        <w:tab/>
      </w:r>
      <w:r w:rsidR="00B35EE7" w:rsidRPr="007705E5">
        <w:rPr>
          <w:lang w:val="fr-FR"/>
        </w:rPr>
        <w:t>Renforcement de l</w:t>
      </w:r>
      <w:r w:rsidR="00F1794C" w:rsidRPr="007705E5">
        <w:rPr>
          <w:lang w:val="fr-FR"/>
        </w:rPr>
        <w:t>’</w:t>
      </w:r>
      <w:r w:rsidR="00B35EE7" w:rsidRPr="007705E5">
        <w:rPr>
          <w:lang w:val="fr-FR"/>
        </w:rPr>
        <w:t>accès équitable et égal aux services de santé</w:t>
      </w:r>
      <w:r w:rsidR="00F1794C" w:rsidRPr="007705E5">
        <w:rPr>
          <w:lang w:val="fr-FR"/>
        </w:rPr>
        <w:t> ;</w:t>
      </w:r>
      <w:r w:rsidR="00B35EE7" w:rsidRPr="007705E5">
        <w:rPr>
          <w:lang w:val="fr-FR"/>
        </w:rPr>
        <w:t xml:space="preserve"> </w:t>
      </w:r>
    </w:p>
    <w:p w14:paraId="7F190D70" w14:textId="36F5C434" w:rsidR="00B35EE7" w:rsidRPr="007705E5" w:rsidRDefault="007705E5" w:rsidP="007705E5">
      <w:pPr>
        <w:pStyle w:val="SingleTxt"/>
        <w:tabs>
          <w:tab w:val="right" w:pos="1685"/>
        </w:tabs>
        <w:ind w:left="1742" w:hanging="475"/>
        <w:rPr>
          <w:lang w:val="fr-FR"/>
        </w:rPr>
      </w:pPr>
      <w:r>
        <w:rPr>
          <w:lang w:val="fr-FR"/>
        </w:rPr>
        <w:tab/>
        <w:t>•</w:t>
      </w:r>
      <w:r>
        <w:rPr>
          <w:lang w:val="fr-FR"/>
        </w:rPr>
        <w:tab/>
      </w:r>
      <w:r w:rsidR="00B35EE7" w:rsidRPr="007705E5">
        <w:rPr>
          <w:lang w:val="fr-FR"/>
        </w:rPr>
        <w:t>Développement des infrastructures de base pour améliorer les conditions de vie des femmes et des jeunes filles</w:t>
      </w:r>
      <w:r w:rsidR="00F1794C" w:rsidRPr="007705E5">
        <w:rPr>
          <w:lang w:val="fr-FR"/>
        </w:rPr>
        <w:t> ;</w:t>
      </w:r>
    </w:p>
    <w:p w14:paraId="7F256EC8" w14:textId="0007668C" w:rsidR="00B35EE7" w:rsidRPr="007705E5" w:rsidRDefault="007705E5" w:rsidP="007705E5">
      <w:pPr>
        <w:pStyle w:val="SingleTxt"/>
        <w:tabs>
          <w:tab w:val="right" w:pos="1685"/>
        </w:tabs>
        <w:ind w:left="1742" w:hanging="475"/>
        <w:rPr>
          <w:lang w:val="fr-FR"/>
        </w:rPr>
      </w:pPr>
      <w:r>
        <w:rPr>
          <w:lang w:val="fr-FR"/>
        </w:rPr>
        <w:tab/>
        <w:t>•</w:t>
      </w:r>
      <w:r>
        <w:rPr>
          <w:lang w:val="fr-FR"/>
        </w:rPr>
        <w:tab/>
      </w:r>
      <w:r w:rsidR="00B35EE7" w:rsidRPr="007705E5">
        <w:rPr>
          <w:lang w:val="fr-FR"/>
        </w:rPr>
        <w:t>Autonomisation sociale et économique des femmes</w:t>
      </w:r>
      <w:r w:rsidR="00F1794C" w:rsidRPr="007705E5">
        <w:rPr>
          <w:lang w:val="fr-FR"/>
        </w:rPr>
        <w:t> ;</w:t>
      </w:r>
    </w:p>
    <w:p w14:paraId="5A17F18E" w14:textId="5A837409" w:rsidR="00B35EE7" w:rsidRPr="007705E5" w:rsidRDefault="007705E5" w:rsidP="007705E5">
      <w:pPr>
        <w:pStyle w:val="SingleTxt"/>
        <w:tabs>
          <w:tab w:val="right" w:pos="1685"/>
        </w:tabs>
        <w:ind w:left="1742" w:hanging="475"/>
        <w:rPr>
          <w:lang w:val="fr-FR"/>
        </w:rPr>
      </w:pPr>
      <w:r>
        <w:rPr>
          <w:lang w:val="fr-FR"/>
        </w:rPr>
        <w:tab/>
        <w:t>•</w:t>
      </w:r>
      <w:r>
        <w:rPr>
          <w:lang w:val="fr-FR"/>
        </w:rPr>
        <w:tab/>
      </w:r>
      <w:r w:rsidR="00B35EE7" w:rsidRPr="007705E5">
        <w:rPr>
          <w:lang w:val="fr-FR"/>
        </w:rPr>
        <w:t>Accès égal et équitable facilité aux postes de prise de décisions administratives et politiques</w:t>
      </w:r>
      <w:r w:rsidR="00F1794C" w:rsidRPr="007705E5">
        <w:rPr>
          <w:lang w:val="fr-FR"/>
        </w:rPr>
        <w:t> ;</w:t>
      </w:r>
      <w:r w:rsidR="00B35EE7" w:rsidRPr="007705E5">
        <w:rPr>
          <w:lang w:val="fr-FR"/>
        </w:rPr>
        <w:t xml:space="preserve"> </w:t>
      </w:r>
    </w:p>
    <w:p w14:paraId="639ABB03" w14:textId="7D0240F8" w:rsidR="00B35EE7" w:rsidRPr="007705E5" w:rsidRDefault="007705E5" w:rsidP="007705E5">
      <w:pPr>
        <w:pStyle w:val="SingleTxt"/>
        <w:tabs>
          <w:tab w:val="right" w:pos="1685"/>
        </w:tabs>
        <w:ind w:left="1742" w:hanging="475"/>
        <w:rPr>
          <w:lang w:val="fr-FR"/>
        </w:rPr>
      </w:pPr>
      <w:r>
        <w:rPr>
          <w:lang w:val="fr-FR"/>
        </w:rPr>
        <w:tab/>
        <w:t>•</w:t>
      </w:r>
      <w:r>
        <w:rPr>
          <w:lang w:val="fr-FR"/>
        </w:rPr>
        <w:tab/>
      </w:r>
      <w:r w:rsidR="00B35EE7" w:rsidRPr="007705E5">
        <w:rPr>
          <w:lang w:val="fr-FR"/>
        </w:rPr>
        <w:t>Réalisation de l</w:t>
      </w:r>
      <w:r w:rsidR="00F1794C" w:rsidRPr="007705E5">
        <w:rPr>
          <w:lang w:val="fr-FR"/>
        </w:rPr>
        <w:t>’</w:t>
      </w:r>
      <w:r w:rsidR="00B35EE7" w:rsidRPr="007705E5">
        <w:rPr>
          <w:lang w:val="fr-FR"/>
        </w:rPr>
        <w:t>égalité des chances entre les sexes sur le marché du travail.</w:t>
      </w:r>
    </w:p>
    <w:p w14:paraId="4205478B" w14:textId="45387229" w:rsidR="00B35EE7" w:rsidRPr="00F1794C" w:rsidRDefault="00B35EE7" w:rsidP="00456FC2">
      <w:pPr>
        <w:pStyle w:val="SingleTxt"/>
        <w:numPr>
          <w:ilvl w:val="0"/>
          <w:numId w:val="37"/>
        </w:numPr>
        <w:spacing w:line="240" w:lineRule="exact"/>
        <w:ind w:left="1267"/>
        <w:rPr>
          <w:lang w:val="fr-FR"/>
        </w:rPr>
      </w:pPr>
      <w:r w:rsidRPr="00F1794C">
        <w:rPr>
          <w:lang w:val="fr-FR"/>
        </w:rPr>
        <w:t>Le Plan prévoit un cadre en vue de faire concorder les différents programmes pour promouvoir l</w:t>
      </w:r>
      <w:r w:rsidR="00F1794C" w:rsidRPr="00F1794C">
        <w:rPr>
          <w:lang w:val="fr-FR"/>
        </w:rPr>
        <w:t>’</w:t>
      </w:r>
      <w:r w:rsidRPr="00F1794C">
        <w:rPr>
          <w:lang w:val="fr-FR"/>
        </w:rPr>
        <w:t>égalité et prendre en compte les questions de genre dans les politiques et programmes publics à l</w:t>
      </w:r>
      <w:r w:rsidR="00F1794C" w:rsidRPr="00F1794C">
        <w:rPr>
          <w:lang w:val="fr-FR"/>
        </w:rPr>
        <w:t>’</w:t>
      </w:r>
      <w:r w:rsidRPr="00F1794C">
        <w:rPr>
          <w:lang w:val="fr-FR"/>
        </w:rPr>
        <w:t>échelle nationale, régionale et locale. Pour renforcer ce Plan, les mécanismes de suivi et de gouvernance ci-après ont été mis en place</w:t>
      </w:r>
      <w:r w:rsidR="00F1794C" w:rsidRPr="00F1794C">
        <w:rPr>
          <w:lang w:val="fr-FR"/>
        </w:rPr>
        <w:t> :</w:t>
      </w:r>
      <w:r w:rsidRPr="00F1794C">
        <w:rPr>
          <w:lang w:val="fr-FR"/>
        </w:rPr>
        <w:t xml:space="preserve"> la Commission ministérielle</w:t>
      </w:r>
      <w:r w:rsidRPr="00FA086B">
        <w:rPr>
          <w:vertAlign w:val="superscript"/>
          <w:lang w:val="fr-FR"/>
        </w:rPr>
        <w:footnoteReference w:id="25"/>
      </w:r>
      <w:r w:rsidRPr="00F1794C">
        <w:rPr>
          <w:lang w:val="fr-FR"/>
        </w:rPr>
        <w:t>, présidée par le Chef du Gouvernement</w:t>
      </w:r>
      <w:r w:rsidR="00F1794C" w:rsidRPr="00F1794C">
        <w:rPr>
          <w:lang w:val="fr-FR"/>
        </w:rPr>
        <w:t> ;</w:t>
      </w:r>
      <w:r w:rsidRPr="00F1794C">
        <w:rPr>
          <w:lang w:val="fr-FR"/>
        </w:rPr>
        <w:t xml:space="preserve"> le Comité technique interministériel de suivi de la mise en œuvre du Plan</w:t>
      </w:r>
      <w:r w:rsidRPr="00FA086B">
        <w:rPr>
          <w:vertAlign w:val="superscript"/>
          <w:lang w:val="fr-FR"/>
        </w:rPr>
        <w:footnoteReference w:id="26"/>
      </w:r>
      <w:r w:rsidRPr="00F1794C">
        <w:rPr>
          <w:lang w:val="fr-FR"/>
        </w:rPr>
        <w:t xml:space="preserve">. Le </w:t>
      </w:r>
      <w:r w:rsidRPr="00F1794C">
        <w:rPr>
          <w:lang w:val="fr-FR"/>
        </w:rPr>
        <w:lastRenderedPageBreak/>
        <w:t>Gouvernement a établi un rapport à mi-parcours et un rapport final d</w:t>
      </w:r>
      <w:r w:rsidR="00F1794C" w:rsidRPr="00F1794C">
        <w:rPr>
          <w:lang w:val="fr-FR"/>
        </w:rPr>
        <w:t>’</w:t>
      </w:r>
      <w:r w:rsidRPr="00F1794C">
        <w:rPr>
          <w:lang w:val="fr-FR"/>
        </w:rPr>
        <w:t>évaluation des résultats obtenus. Il en ressort que 75</w:t>
      </w:r>
      <w:r w:rsidR="00F1794C" w:rsidRPr="00F1794C">
        <w:rPr>
          <w:lang w:val="fr-FR"/>
        </w:rPr>
        <w:t> %</w:t>
      </w:r>
      <w:r w:rsidRPr="00F1794C">
        <w:rPr>
          <w:lang w:val="fr-FR"/>
        </w:rPr>
        <w:t xml:space="preserve"> des mesures prévues ont été pleinement appliquées (117 mesures sur 156) et 86</w:t>
      </w:r>
      <w:r w:rsidR="00F1794C" w:rsidRPr="00F1794C">
        <w:rPr>
          <w:lang w:val="fr-FR"/>
        </w:rPr>
        <w:t> %</w:t>
      </w:r>
      <w:r w:rsidRPr="00F1794C">
        <w:rPr>
          <w:lang w:val="fr-FR"/>
        </w:rPr>
        <w:t xml:space="preserve"> de l</w:t>
      </w:r>
      <w:r w:rsidR="00F1794C" w:rsidRPr="00F1794C">
        <w:rPr>
          <w:lang w:val="fr-FR"/>
        </w:rPr>
        <w:t>’</w:t>
      </w:r>
      <w:r w:rsidRPr="00F1794C">
        <w:rPr>
          <w:lang w:val="fr-FR"/>
        </w:rPr>
        <w:t>ensemble des mesures ont été mises en œuvre à plus de 70</w:t>
      </w:r>
      <w:r w:rsidR="00F1794C" w:rsidRPr="00F1794C">
        <w:rPr>
          <w:lang w:val="fr-FR"/>
        </w:rPr>
        <w:t> %</w:t>
      </w:r>
      <w:r w:rsidRPr="00F1794C">
        <w:rPr>
          <w:lang w:val="fr-FR"/>
        </w:rPr>
        <w:t xml:space="preserve">. </w:t>
      </w:r>
    </w:p>
    <w:p w14:paraId="5F967716" w14:textId="138ACC8D" w:rsidR="00B35EE7" w:rsidRPr="00F1794C" w:rsidRDefault="00B35EE7" w:rsidP="00456FC2">
      <w:pPr>
        <w:pStyle w:val="SingleTxt"/>
        <w:numPr>
          <w:ilvl w:val="0"/>
          <w:numId w:val="38"/>
        </w:numPr>
        <w:spacing w:line="240" w:lineRule="exact"/>
        <w:ind w:left="1267"/>
        <w:rPr>
          <w:lang w:val="fr-FR"/>
        </w:rPr>
      </w:pPr>
      <w:r w:rsidRPr="00F1794C">
        <w:rPr>
          <w:lang w:val="fr-FR"/>
        </w:rPr>
        <w:t>Afin d</w:t>
      </w:r>
      <w:r w:rsidR="00F1794C" w:rsidRPr="00F1794C">
        <w:rPr>
          <w:lang w:val="fr-FR"/>
        </w:rPr>
        <w:t>’</w:t>
      </w:r>
      <w:r w:rsidRPr="00F1794C">
        <w:rPr>
          <w:lang w:val="fr-FR"/>
        </w:rPr>
        <w:t>assurer la continuité du Plan, le Gouvernement a lancé un deuxième plan (2017-2021) à l</w:t>
      </w:r>
      <w:r w:rsidR="00F1794C" w:rsidRPr="00F1794C">
        <w:rPr>
          <w:lang w:val="fr-FR"/>
        </w:rPr>
        <w:t>’</w:t>
      </w:r>
      <w:r w:rsidRPr="00F1794C">
        <w:rPr>
          <w:lang w:val="fr-FR"/>
        </w:rPr>
        <w:t>issue d</w:t>
      </w:r>
      <w:r w:rsidR="00F1794C" w:rsidRPr="00F1794C">
        <w:rPr>
          <w:lang w:val="fr-FR"/>
        </w:rPr>
        <w:t>’</w:t>
      </w:r>
      <w:r w:rsidRPr="00F1794C">
        <w:rPr>
          <w:lang w:val="fr-FR"/>
        </w:rPr>
        <w:t xml:space="preserve">une série de consultations avec les départements ministériels, les associations, les syndicats, les chambres professionnelles, les institutions nationales et les partenaires internationaux. </w:t>
      </w:r>
    </w:p>
    <w:p w14:paraId="2A636DCC" w14:textId="0D856926" w:rsidR="00B35EE7" w:rsidRPr="00F1794C" w:rsidRDefault="00B35EE7" w:rsidP="00456FC2">
      <w:pPr>
        <w:pStyle w:val="SingleTxt"/>
        <w:numPr>
          <w:ilvl w:val="0"/>
          <w:numId w:val="39"/>
        </w:numPr>
        <w:spacing w:line="240" w:lineRule="exact"/>
        <w:ind w:left="1267"/>
        <w:rPr>
          <w:lang w:val="fr-FR"/>
        </w:rPr>
      </w:pPr>
      <w:r w:rsidRPr="00F1794C">
        <w:rPr>
          <w:lang w:val="fr-FR"/>
        </w:rPr>
        <w:t>Le plan « ICRAM 2 » comporte quatre axes thématiques</w:t>
      </w:r>
      <w:r w:rsidR="00F1794C" w:rsidRPr="00F1794C">
        <w:rPr>
          <w:lang w:val="fr-FR"/>
        </w:rPr>
        <w:t> :</w:t>
      </w:r>
    </w:p>
    <w:p w14:paraId="4377E6AD" w14:textId="6AAB44DA" w:rsidR="00B35EE7" w:rsidRPr="007705E5" w:rsidRDefault="007705E5" w:rsidP="007705E5">
      <w:pPr>
        <w:pStyle w:val="SingleTxt"/>
        <w:tabs>
          <w:tab w:val="right" w:pos="1685"/>
        </w:tabs>
        <w:ind w:left="1742" w:hanging="475"/>
        <w:rPr>
          <w:lang w:val="fr-FR"/>
        </w:rPr>
      </w:pPr>
      <w:r>
        <w:rPr>
          <w:lang w:val="fr-FR"/>
        </w:rPr>
        <w:tab/>
        <w:t>•</w:t>
      </w:r>
      <w:r>
        <w:rPr>
          <w:lang w:val="fr-FR"/>
        </w:rPr>
        <w:tab/>
      </w:r>
      <w:r w:rsidR="00B35EE7" w:rsidRPr="007705E5">
        <w:rPr>
          <w:lang w:val="fr-FR"/>
        </w:rPr>
        <w:t>Renforcement de l</w:t>
      </w:r>
      <w:r w:rsidR="00F1794C" w:rsidRPr="007705E5">
        <w:rPr>
          <w:lang w:val="fr-FR"/>
        </w:rPr>
        <w:t>’</w:t>
      </w:r>
      <w:r w:rsidR="00B35EE7" w:rsidRPr="007705E5">
        <w:rPr>
          <w:lang w:val="fr-FR"/>
        </w:rPr>
        <w:t>employabilité des femmes et autonomisation économique des femmes</w:t>
      </w:r>
      <w:r w:rsidR="00F1794C" w:rsidRPr="007705E5">
        <w:rPr>
          <w:lang w:val="fr-FR"/>
        </w:rPr>
        <w:t> ;</w:t>
      </w:r>
    </w:p>
    <w:p w14:paraId="69D96432" w14:textId="477D6192" w:rsidR="00B35EE7" w:rsidRPr="007705E5" w:rsidRDefault="007705E5" w:rsidP="007705E5">
      <w:pPr>
        <w:pStyle w:val="SingleTxt"/>
        <w:tabs>
          <w:tab w:val="right" w:pos="1685"/>
        </w:tabs>
        <w:ind w:left="1742" w:hanging="475"/>
        <w:rPr>
          <w:lang w:val="fr-FR"/>
        </w:rPr>
      </w:pPr>
      <w:r>
        <w:rPr>
          <w:lang w:val="fr-FR"/>
        </w:rPr>
        <w:tab/>
        <w:t>•</w:t>
      </w:r>
      <w:r>
        <w:rPr>
          <w:lang w:val="fr-FR"/>
        </w:rPr>
        <w:tab/>
      </w:r>
      <w:r w:rsidR="00B35EE7" w:rsidRPr="007705E5">
        <w:rPr>
          <w:lang w:val="fr-FR"/>
        </w:rPr>
        <w:t>Droits des femmes, en relation avec la famille</w:t>
      </w:r>
      <w:r w:rsidR="00F1794C" w:rsidRPr="007705E5">
        <w:rPr>
          <w:lang w:val="fr-FR"/>
        </w:rPr>
        <w:t> ;</w:t>
      </w:r>
    </w:p>
    <w:p w14:paraId="53E5BAD7" w14:textId="3014F9FA" w:rsidR="00B35EE7" w:rsidRPr="007705E5" w:rsidRDefault="007705E5" w:rsidP="007705E5">
      <w:pPr>
        <w:pStyle w:val="SingleTxt"/>
        <w:tabs>
          <w:tab w:val="right" w:pos="1685"/>
        </w:tabs>
        <w:ind w:left="1742" w:hanging="475"/>
        <w:rPr>
          <w:lang w:val="fr-FR"/>
        </w:rPr>
      </w:pPr>
      <w:r>
        <w:rPr>
          <w:lang w:val="fr-FR"/>
        </w:rPr>
        <w:tab/>
        <w:t>•</w:t>
      </w:r>
      <w:r>
        <w:rPr>
          <w:lang w:val="fr-FR"/>
        </w:rPr>
        <w:tab/>
      </w:r>
      <w:r w:rsidR="00B35EE7" w:rsidRPr="007705E5">
        <w:rPr>
          <w:lang w:val="fr-FR"/>
        </w:rPr>
        <w:t>Participation des femmes à la prise de décision</w:t>
      </w:r>
      <w:r w:rsidR="00F1794C" w:rsidRPr="007705E5">
        <w:rPr>
          <w:lang w:val="fr-FR"/>
        </w:rPr>
        <w:t> ;</w:t>
      </w:r>
    </w:p>
    <w:p w14:paraId="2F3D9A6E" w14:textId="2FC6C0CA" w:rsidR="00B35EE7" w:rsidRPr="007705E5" w:rsidRDefault="007705E5" w:rsidP="007705E5">
      <w:pPr>
        <w:pStyle w:val="SingleTxt"/>
        <w:tabs>
          <w:tab w:val="right" w:pos="1685"/>
        </w:tabs>
        <w:ind w:left="1742" w:hanging="475"/>
        <w:rPr>
          <w:lang w:val="fr-FR"/>
        </w:rPr>
      </w:pPr>
      <w:r>
        <w:rPr>
          <w:lang w:val="fr-FR"/>
        </w:rPr>
        <w:tab/>
        <w:t>•</w:t>
      </w:r>
      <w:r>
        <w:rPr>
          <w:lang w:val="fr-FR"/>
        </w:rPr>
        <w:tab/>
      </w:r>
      <w:r w:rsidR="00B35EE7" w:rsidRPr="007705E5">
        <w:rPr>
          <w:lang w:val="fr-FR"/>
        </w:rPr>
        <w:t>Protection des femmes et renforcement de leurs droits.</w:t>
      </w:r>
    </w:p>
    <w:p w14:paraId="695A3D02" w14:textId="7BB8F9F8" w:rsidR="00B35EE7" w:rsidRPr="00F1794C" w:rsidRDefault="00DC4ABD" w:rsidP="00B35EE7">
      <w:pPr>
        <w:pStyle w:val="SingleTxt"/>
        <w:rPr>
          <w:lang w:val="fr-FR"/>
        </w:rPr>
      </w:pPr>
      <w:r>
        <w:rPr>
          <w:lang w:val="fr-FR"/>
        </w:rPr>
        <w:tab/>
      </w:r>
      <w:r w:rsidR="00B35EE7" w:rsidRPr="00F1794C">
        <w:rPr>
          <w:lang w:val="fr-FR"/>
        </w:rPr>
        <w:t>Il comprend également trois axes transversaux</w:t>
      </w:r>
      <w:r w:rsidR="00F1794C" w:rsidRPr="00F1794C">
        <w:rPr>
          <w:lang w:val="fr-FR"/>
        </w:rPr>
        <w:t> :</w:t>
      </w:r>
      <w:r w:rsidR="00B35EE7" w:rsidRPr="00F1794C">
        <w:rPr>
          <w:lang w:val="fr-FR"/>
        </w:rPr>
        <w:t xml:space="preserve"> diffusion des principes d</w:t>
      </w:r>
      <w:r w:rsidR="00F1794C" w:rsidRPr="00F1794C">
        <w:rPr>
          <w:lang w:val="fr-FR"/>
        </w:rPr>
        <w:t>’</w:t>
      </w:r>
      <w:r w:rsidR="00B35EE7" w:rsidRPr="00F1794C">
        <w:rPr>
          <w:lang w:val="fr-FR"/>
        </w:rPr>
        <w:t>égalité et lutte contre la discrimination et les stéréotypes de genre</w:t>
      </w:r>
      <w:r w:rsidR="00F1794C" w:rsidRPr="00F1794C">
        <w:rPr>
          <w:lang w:val="fr-FR"/>
        </w:rPr>
        <w:t> ;</w:t>
      </w:r>
      <w:r w:rsidR="00B35EE7" w:rsidRPr="00F1794C">
        <w:rPr>
          <w:lang w:val="fr-FR"/>
        </w:rPr>
        <w:t xml:space="preserve"> intégration de la dimension de genre dans l</w:t>
      </w:r>
      <w:r w:rsidR="00F1794C" w:rsidRPr="00F1794C">
        <w:rPr>
          <w:lang w:val="fr-FR"/>
        </w:rPr>
        <w:t>’</w:t>
      </w:r>
      <w:r w:rsidR="00B35EE7" w:rsidRPr="00F1794C">
        <w:rPr>
          <w:lang w:val="fr-FR"/>
        </w:rPr>
        <w:t>ensemble des politiques et programmes gouvernementaux</w:t>
      </w:r>
      <w:r w:rsidR="00F1794C" w:rsidRPr="00F1794C">
        <w:rPr>
          <w:lang w:val="fr-FR"/>
        </w:rPr>
        <w:t> ;</w:t>
      </w:r>
      <w:r w:rsidR="00B35EE7" w:rsidRPr="00F1794C">
        <w:rPr>
          <w:lang w:val="fr-FR"/>
        </w:rPr>
        <w:t xml:space="preserve"> déclinaison territoriale du plan. Un dernier axe vise à assurer le suivi et l</w:t>
      </w:r>
      <w:r w:rsidR="00F1794C" w:rsidRPr="00F1794C">
        <w:rPr>
          <w:lang w:val="fr-FR"/>
        </w:rPr>
        <w:t>’</w:t>
      </w:r>
      <w:r w:rsidR="00B35EE7" w:rsidRPr="00F1794C">
        <w:rPr>
          <w:lang w:val="fr-FR"/>
        </w:rPr>
        <w:t xml:space="preserve">évaluation de la mise en œuvre du plan. </w:t>
      </w:r>
    </w:p>
    <w:p w14:paraId="45E367C4" w14:textId="5F09A0AC" w:rsidR="00B35EE7" w:rsidRPr="00F1794C" w:rsidRDefault="00B35EE7" w:rsidP="00456FC2">
      <w:pPr>
        <w:pStyle w:val="SingleTxt"/>
        <w:numPr>
          <w:ilvl w:val="0"/>
          <w:numId w:val="40"/>
        </w:numPr>
        <w:spacing w:line="240" w:lineRule="exact"/>
        <w:ind w:left="1267"/>
        <w:rPr>
          <w:lang w:val="fr-FR"/>
        </w:rPr>
      </w:pPr>
      <w:r w:rsidRPr="00F1794C">
        <w:rPr>
          <w:lang w:val="fr-FR"/>
        </w:rPr>
        <w:t>Pour assurer la déclinaison territoriale du plan « ICRAM 2 »</w:t>
      </w:r>
      <w:r w:rsidRPr="00FA086B">
        <w:rPr>
          <w:vertAlign w:val="superscript"/>
          <w:lang w:val="fr-FR"/>
        </w:rPr>
        <w:footnoteReference w:id="27"/>
      </w:r>
      <w:r w:rsidRPr="00F1794C">
        <w:rPr>
          <w:lang w:val="fr-FR"/>
        </w:rPr>
        <w:t xml:space="preserve"> et exécuter le plan pour l</w:t>
      </w:r>
      <w:r w:rsidR="00F1794C" w:rsidRPr="00F1794C">
        <w:rPr>
          <w:lang w:val="fr-FR"/>
        </w:rPr>
        <w:t>’</w:t>
      </w:r>
      <w:r w:rsidRPr="00F1794C">
        <w:rPr>
          <w:lang w:val="fr-FR"/>
        </w:rPr>
        <w:t>égalité, un accord de partenariat a été signé en octobre 2018 entre le secteur concerné et la région de Rabat-Salé-Kénitra. Cet accord comprend deux volets</w:t>
      </w:r>
      <w:r w:rsidR="00F1794C" w:rsidRPr="00F1794C">
        <w:rPr>
          <w:lang w:val="fr-FR"/>
        </w:rPr>
        <w:t> :</w:t>
      </w:r>
      <w:r w:rsidRPr="00F1794C">
        <w:rPr>
          <w:lang w:val="fr-FR"/>
        </w:rPr>
        <w:t xml:space="preserve"> un appui technique visant à recenser les disparités, selon le genre, au niveau de la région, et l</w:t>
      </w:r>
      <w:r w:rsidR="00F1794C" w:rsidRPr="00F1794C">
        <w:rPr>
          <w:lang w:val="fr-FR"/>
        </w:rPr>
        <w:t>’</w:t>
      </w:r>
      <w:r w:rsidRPr="00F1794C">
        <w:rPr>
          <w:lang w:val="fr-FR"/>
        </w:rPr>
        <w:t xml:space="preserve"> intégration de la dimension de genre dans le programme de développement de la région. Une aide de </w:t>
      </w:r>
      <w:r w:rsidRPr="00F1794C">
        <w:rPr>
          <w:rtl/>
        </w:rPr>
        <w:t>6</w:t>
      </w:r>
      <w:r w:rsidRPr="00F1794C">
        <w:rPr>
          <w:lang w:val="fr-FR"/>
        </w:rPr>
        <w:t xml:space="preserve"> </w:t>
      </w:r>
      <w:r w:rsidRPr="00F1794C">
        <w:rPr>
          <w:rtl/>
        </w:rPr>
        <w:t>000</w:t>
      </w:r>
      <w:r w:rsidR="007705E5">
        <w:rPr>
          <w:lang w:val="fr-FR"/>
        </w:rPr>
        <w:t xml:space="preserve"> </w:t>
      </w:r>
      <w:r w:rsidRPr="00F1794C">
        <w:rPr>
          <w:rtl/>
        </w:rPr>
        <w:t>000</w:t>
      </w:r>
      <w:r w:rsidRPr="00F1794C">
        <w:rPr>
          <w:lang w:val="fr-FR"/>
        </w:rPr>
        <w:t xml:space="preserve"> dirhams a facilité l</w:t>
      </w:r>
      <w:r w:rsidR="00F1794C" w:rsidRPr="00F1794C">
        <w:rPr>
          <w:lang w:val="fr-FR"/>
        </w:rPr>
        <w:t>’</w:t>
      </w:r>
      <w:r w:rsidRPr="00F1794C">
        <w:rPr>
          <w:lang w:val="fr-FR"/>
        </w:rPr>
        <w:t>élaboration du plan régional pour l</w:t>
      </w:r>
      <w:r w:rsidR="00F1794C" w:rsidRPr="00F1794C">
        <w:rPr>
          <w:lang w:val="fr-FR"/>
        </w:rPr>
        <w:t>’</w:t>
      </w:r>
      <w:r w:rsidRPr="00F1794C">
        <w:rPr>
          <w:lang w:val="fr-FR"/>
        </w:rPr>
        <w:t>égalité.</w:t>
      </w:r>
    </w:p>
    <w:p w14:paraId="4010B593" w14:textId="10DD60D2" w:rsidR="00B35EE7" w:rsidRPr="00F1794C" w:rsidRDefault="00B35EE7" w:rsidP="00456FC2">
      <w:pPr>
        <w:pStyle w:val="SingleTxt"/>
        <w:numPr>
          <w:ilvl w:val="0"/>
          <w:numId w:val="41"/>
        </w:numPr>
        <w:spacing w:line="240" w:lineRule="exact"/>
        <w:ind w:left="1267"/>
        <w:rPr>
          <w:lang w:val="fr-FR"/>
        </w:rPr>
      </w:pPr>
      <w:r w:rsidRPr="00F1794C">
        <w:rPr>
          <w:lang w:val="fr-FR"/>
        </w:rPr>
        <w:t>Le plan d</w:t>
      </w:r>
      <w:r w:rsidR="00F1794C" w:rsidRPr="00F1794C">
        <w:rPr>
          <w:lang w:val="fr-FR"/>
        </w:rPr>
        <w:t>’</w:t>
      </w:r>
      <w:r w:rsidRPr="00F1794C">
        <w:rPr>
          <w:lang w:val="fr-FR"/>
        </w:rPr>
        <w:t>action national en matière de démocratie et de droits de l</w:t>
      </w:r>
      <w:r w:rsidR="00F1794C" w:rsidRPr="00F1794C">
        <w:rPr>
          <w:lang w:val="fr-FR"/>
        </w:rPr>
        <w:t>’</w:t>
      </w:r>
      <w:r w:rsidRPr="00F1794C">
        <w:rPr>
          <w:lang w:val="fr-FR"/>
        </w:rPr>
        <w:t>homme adopté en 2017</w:t>
      </w:r>
      <w:r w:rsidRPr="00FA086B">
        <w:rPr>
          <w:vertAlign w:val="superscript"/>
          <w:lang w:val="fr-FR"/>
        </w:rPr>
        <w:footnoteReference w:id="28"/>
      </w:r>
      <w:r w:rsidRPr="00F1794C">
        <w:rPr>
          <w:lang w:val="fr-FR"/>
        </w:rPr>
        <w:t xml:space="preserve"> propose des mesures spécifiques pour garantir aux femmes une protection juridique et institutionnelle concernant l</w:t>
      </w:r>
      <w:r w:rsidR="00F1794C" w:rsidRPr="00F1794C">
        <w:rPr>
          <w:lang w:val="fr-FR"/>
        </w:rPr>
        <w:t>’</w:t>
      </w:r>
      <w:r w:rsidRPr="00F1794C">
        <w:rPr>
          <w:lang w:val="fr-FR"/>
        </w:rPr>
        <w:t>application des dispositions de la Constitution, le respect des normes internationales, la promotion de la culture de l</w:t>
      </w:r>
      <w:r w:rsidR="00F1794C" w:rsidRPr="00F1794C">
        <w:rPr>
          <w:lang w:val="fr-FR"/>
        </w:rPr>
        <w:t>’</w:t>
      </w:r>
      <w:r w:rsidRPr="00F1794C">
        <w:rPr>
          <w:lang w:val="fr-FR"/>
        </w:rPr>
        <w:t>égalité, l</w:t>
      </w:r>
      <w:r w:rsidR="00F1794C" w:rsidRPr="00F1794C">
        <w:rPr>
          <w:lang w:val="fr-FR"/>
        </w:rPr>
        <w:t>’</w:t>
      </w:r>
      <w:r w:rsidRPr="00F1794C">
        <w:rPr>
          <w:lang w:val="fr-FR"/>
        </w:rPr>
        <w:t>interdiction de la discrimination et de la violence à l</w:t>
      </w:r>
      <w:r w:rsidR="00F1794C" w:rsidRPr="00F1794C">
        <w:rPr>
          <w:lang w:val="fr-FR"/>
        </w:rPr>
        <w:t>’</w:t>
      </w:r>
      <w:r w:rsidRPr="00F1794C">
        <w:rPr>
          <w:lang w:val="fr-FR"/>
        </w:rPr>
        <w:t>égard des femmes et l</w:t>
      </w:r>
      <w:r w:rsidR="00F1794C" w:rsidRPr="00F1794C">
        <w:rPr>
          <w:lang w:val="fr-FR"/>
        </w:rPr>
        <w:t>’</w:t>
      </w:r>
      <w:r w:rsidRPr="00F1794C">
        <w:rPr>
          <w:lang w:val="fr-FR"/>
        </w:rPr>
        <w:t>autonomisation économique et sociale des femmes. Sur les plans législatif et institutionnel, il vise à mieux protéger les femmes contre les violations relatives à la politique pénale. Il prévoit l</w:t>
      </w:r>
      <w:r w:rsidR="00F1794C" w:rsidRPr="00F1794C">
        <w:rPr>
          <w:lang w:val="fr-FR"/>
        </w:rPr>
        <w:t>’</w:t>
      </w:r>
      <w:r w:rsidRPr="00F1794C">
        <w:rPr>
          <w:lang w:val="fr-FR"/>
        </w:rPr>
        <w:t>intégration de la dimension de genre dans les programmes économiques en faveur de la création d</w:t>
      </w:r>
      <w:r w:rsidR="00F1794C" w:rsidRPr="00F1794C">
        <w:rPr>
          <w:lang w:val="fr-FR"/>
        </w:rPr>
        <w:t>’</w:t>
      </w:r>
      <w:r w:rsidRPr="00F1794C">
        <w:rPr>
          <w:lang w:val="fr-FR"/>
        </w:rPr>
        <w:t>entreprises et dans les budgets et la poursuite de la mise en œuvre des dispositions du Fonds d</w:t>
      </w:r>
      <w:r w:rsidR="00F1794C" w:rsidRPr="00F1794C">
        <w:rPr>
          <w:lang w:val="fr-FR"/>
        </w:rPr>
        <w:t>’</w:t>
      </w:r>
      <w:r w:rsidRPr="00F1794C">
        <w:rPr>
          <w:lang w:val="fr-FR"/>
        </w:rPr>
        <w:t>entraide familiale. Pour ce qui est des mesures relatives à la communication et à la sensibilisation, il est prévu de recenser et faire connaître la jurisprudence et de partager les meilleures pratiques. S</w:t>
      </w:r>
      <w:r w:rsidR="00F1794C" w:rsidRPr="00F1794C">
        <w:rPr>
          <w:lang w:val="fr-FR"/>
        </w:rPr>
        <w:t>’</w:t>
      </w:r>
      <w:r w:rsidRPr="00F1794C">
        <w:rPr>
          <w:lang w:val="fr-FR"/>
        </w:rPr>
        <w:t>agissant du renforcement des capacités, l</w:t>
      </w:r>
      <w:r w:rsidR="00F1794C" w:rsidRPr="00F1794C">
        <w:rPr>
          <w:lang w:val="fr-FR"/>
        </w:rPr>
        <w:t>’</w:t>
      </w:r>
      <w:r w:rsidRPr="00F1794C">
        <w:rPr>
          <w:lang w:val="fr-FR"/>
        </w:rPr>
        <w:t xml:space="preserve">accent est mis sur la formation </w:t>
      </w:r>
      <w:r w:rsidRPr="00F1794C">
        <w:rPr>
          <w:lang w:val="fr-FR"/>
        </w:rPr>
        <w:lastRenderedPageBreak/>
        <w:t>et la formation continue des magistrats et des auxiliaires de justice. Un axe du plan concerne l</w:t>
      </w:r>
      <w:r w:rsidR="00F1794C" w:rsidRPr="00F1794C">
        <w:rPr>
          <w:lang w:val="fr-FR"/>
        </w:rPr>
        <w:t>’</w:t>
      </w:r>
      <w:r w:rsidRPr="00F1794C">
        <w:rPr>
          <w:lang w:val="fr-FR"/>
        </w:rPr>
        <w:t>égalité, l</w:t>
      </w:r>
      <w:r w:rsidR="00F1794C" w:rsidRPr="00F1794C">
        <w:rPr>
          <w:lang w:val="fr-FR"/>
        </w:rPr>
        <w:t>’</w:t>
      </w:r>
      <w:r w:rsidRPr="00F1794C">
        <w:rPr>
          <w:lang w:val="fr-FR"/>
        </w:rPr>
        <w:t>institutionnalisation de l</w:t>
      </w:r>
      <w:r w:rsidR="00F1794C" w:rsidRPr="00F1794C">
        <w:rPr>
          <w:lang w:val="fr-FR"/>
        </w:rPr>
        <w:t>’</w:t>
      </w:r>
      <w:r w:rsidRPr="00F1794C">
        <w:rPr>
          <w:lang w:val="fr-FR"/>
        </w:rPr>
        <w:t>équité et l</w:t>
      </w:r>
      <w:r w:rsidR="00F1794C" w:rsidRPr="00F1794C">
        <w:rPr>
          <w:lang w:val="fr-FR"/>
        </w:rPr>
        <w:t>’</w:t>
      </w:r>
      <w:r w:rsidRPr="00F1794C">
        <w:rPr>
          <w:lang w:val="fr-FR"/>
        </w:rPr>
        <w:t>égalité des chances entre les femmes et les hommes dans l</w:t>
      </w:r>
      <w:r w:rsidR="00F1794C" w:rsidRPr="00F1794C">
        <w:rPr>
          <w:lang w:val="fr-FR"/>
        </w:rPr>
        <w:t>’</w:t>
      </w:r>
      <w:r w:rsidRPr="00F1794C">
        <w:rPr>
          <w:lang w:val="fr-FR"/>
        </w:rPr>
        <w:t>accès à l</w:t>
      </w:r>
      <w:r w:rsidR="00F1794C" w:rsidRPr="00F1794C">
        <w:rPr>
          <w:lang w:val="fr-FR"/>
        </w:rPr>
        <w:t>’</w:t>
      </w:r>
      <w:r w:rsidRPr="00F1794C">
        <w:rPr>
          <w:lang w:val="fr-FR"/>
        </w:rPr>
        <w:t>emploi et la lutte contre toutes les formes de discrimination, l</w:t>
      </w:r>
      <w:r w:rsidR="00F1794C" w:rsidRPr="00F1794C">
        <w:rPr>
          <w:lang w:val="fr-FR"/>
        </w:rPr>
        <w:t>’</w:t>
      </w:r>
      <w:r w:rsidRPr="00F1794C">
        <w:rPr>
          <w:lang w:val="fr-FR"/>
        </w:rPr>
        <w:t>élargissement de l</w:t>
      </w:r>
      <w:r w:rsidR="00F1794C" w:rsidRPr="00F1794C">
        <w:rPr>
          <w:lang w:val="fr-FR"/>
        </w:rPr>
        <w:t>’</w:t>
      </w:r>
      <w:r w:rsidRPr="00F1794C">
        <w:rPr>
          <w:lang w:val="fr-FR"/>
        </w:rPr>
        <w:t xml:space="preserve">accès aux services et la rationalisation des mécanismes de solidarité et la mise à profit des richesses naturelles. </w:t>
      </w:r>
    </w:p>
    <w:p w14:paraId="5C12AD67" w14:textId="3AD4B6EF" w:rsidR="00B35EE7" w:rsidRPr="00F1794C" w:rsidRDefault="00B35EE7" w:rsidP="00456FC2">
      <w:pPr>
        <w:pStyle w:val="SingleTxt"/>
        <w:numPr>
          <w:ilvl w:val="0"/>
          <w:numId w:val="42"/>
        </w:numPr>
        <w:spacing w:line="240" w:lineRule="exact"/>
        <w:ind w:left="1267"/>
        <w:rPr>
          <w:lang w:val="fr-FR"/>
        </w:rPr>
      </w:pPr>
      <w:r w:rsidRPr="00F1794C">
        <w:rPr>
          <w:lang w:val="fr-FR"/>
        </w:rPr>
        <w:t>Les organismes des Nations Unies, la coopération bilatérale, l</w:t>
      </w:r>
      <w:r w:rsidR="00F1794C" w:rsidRPr="00F1794C">
        <w:rPr>
          <w:lang w:val="fr-FR"/>
        </w:rPr>
        <w:t>’</w:t>
      </w:r>
      <w:r w:rsidRPr="00F1794C">
        <w:rPr>
          <w:lang w:val="fr-FR"/>
        </w:rPr>
        <w:t>Union européenne et les organisations internationales non gouvernementales ont facilité l</w:t>
      </w:r>
      <w:r w:rsidR="00F1794C" w:rsidRPr="00F1794C">
        <w:rPr>
          <w:lang w:val="fr-FR"/>
        </w:rPr>
        <w:t>’</w:t>
      </w:r>
      <w:r w:rsidRPr="00F1794C">
        <w:rPr>
          <w:lang w:val="fr-FR"/>
        </w:rPr>
        <w:t>application des diverses politiques destinées aux femmes. L</w:t>
      </w:r>
      <w:r w:rsidR="00F1794C" w:rsidRPr="00F1794C">
        <w:rPr>
          <w:lang w:val="fr-FR"/>
        </w:rPr>
        <w:t>’</w:t>
      </w:r>
      <w:r w:rsidRPr="00F1794C">
        <w:rPr>
          <w:lang w:val="fr-FR"/>
        </w:rPr>
        <w:t>Union européenne a alloué un montant de 45 millions d</w:t>
      </w:r>
      <w:r w:rsidR="00F1794C" w:rsidRPr="00F1794C">
        <w:rPr>
          <w:lang w:val="fr-FR"/>
        </w:rPr>
        <w:t>’</w:t>
      </w:r>
      <w:r w:rsidRPr="00F1794C">
        <w:rPr>
          <w:lang w:val="fr-FR"/>
        </w:rPr>
        <w:t>euros afin d</w:t>
      </w:r>
      <w:r w:rsidR="00F1794C" w:rsidRPr="00F1794C">
        <w:rPr>
          <w:lang w:val="fr-FR"/>
        </w:rPr>
        <w:t>’</w:t>
      </w:r>
      <w:r w:rsidRPr="00F1794C">
        <w:rPr>
          <w:lang w:val="fr-FR"/>
        </w:rPr>
        <w:t>appuyer la mise en œuvre d</w:t>
      </w:r>
      <w:r w:rsidR="00F1794C" w:rsidRPr="00F1794C">
        <w:rPr>
          <w:lang w:val="fr-FR"/>
        </w:rPr>
        <w:t>’</w:t>
      </w:r>
      <w:r w:rsidRPr="00F1794C">
        <w:rPr>
          <w:lang w:val="fr-FR"/>
        </w:rPr>
        <w:t>un ensemble de composantes du plan gouvernemental pour l</w:t>
      </w:r>
      <w:r w:rsidR="00F1794C" w:rsidRPr="00F1794C">
        <w:rPr>
          <w:lang w:val="fr-FR"/>
        </w:rPr>
        <w:t>’</w:t>
      </w:r>
      <w:r w:rsidRPr="00F1794C">
        <w:rPr>
          <w:lang w:val="fr-FR"/>
        </w:rPr>
        <w:t>égalité, ICRAM (2012-2016), ainsi qu</w:t>
      </w:r>
      <w:r w:rsidR="00F1794C" w:rsidRPr="00F1794C">
        <w:rPr>
          <w:lang w:val="fr-FR"/>
        </w:rPr>
        <w:t>’</w:t>
      </w:r>
      <w:r w:rsidRPr="00F1794C">
        <w:rPr>
          <w:lang w:val="fr-FR"/>
        </w:rPr>
        <w:t>un montant de 2 millions d</w:t>
      </w:r>
      <w:r w:rsidR="00F1794C" w:rsidRPr="00F1794C">
        <w:rPr>
          <w:lang w:val="fr-FR"/>
        </w:rPr>
        <w:t>’</w:t>
      </w:r>
      <w:r w:rsidRPr="00F1794C">
        <w:rPr>
          <w:lang w:val="fr-FR"/>
        </w:rPr>
        <w:t>euros destiné aux associations œuvrant à la promotion des droits des femmes. Ce partenariat comportait quatre axes principaux</w:t>
      </w:r>
      <w:r w:rsidR="00F1794C" w:rsidRPr="00F1794C">
        <w:rPr>
          <w:lang w:val="fr-FR"/>
        </w:rPr>
        <w:t> :</w:t>
      </w:r>
      <w:r w:rsidRPr="00F1794C">
        <w:rPr>
          <w:lang w:val="fr-FR"/>
        </w:rPr>
        <w:t xml:space="preserve"> la lutte contre les stéréotypes</w:t>
      </w:r>
      <w:r w:rsidR="00F1794C" w:rsidRPr="00F1794C">
        <w:rPr>
          <w:lang w:val="fr-FR"/>
        </w:rPr>
        <w:t> ;</w:t>
      </w:r>
      <w:r w:rsidRPr="00F1794C">
        <w:rPr>
          <w:lang w:val="fr-FR"/>
        </w:rPr>
        <w:t xml:space="preserve"> la lutte contre la violence</w:t>
      </w:r>
      <w:r w:rsidR="00F1794C" w:rsidRPr="00F1794C">
        <w:rPr>
          <w:lang w:val="fr-FR"/>
        </w:rPr>
        <w:t> ;</w:t>
      </w:r>
      <w:r w:rsidRPr="00F1794C">
        <w:rPr>
          <w:lang w:val="fr-FR"/>
        </w:rPr>
        <w:t xml:space="preserve"> le renforcement de la participation politique</w:t>
      </w:r>
      <w:r w:rsidR="00F1794C" w:rsidRPr="00F1794C">
        <w:rPr>
          <w:lang w:val="fr-FR"/>
        </w:rPr>
        <w:t> ;</w:t>
      </w:r>
      <w:r w:rsidRPr="00F1794C">
        <w:rPr>
          <w:lang w:val="fr-FR"/>
        </w:rPr>
        <w:t xml:space="preserve"> l</w:t>
      </w:r>
      <w:r w:rsidR="00F1794C" w:rsidRPr="00F1794C">
        <w:rPr>
          <w:lang w:val="fr-FR"/>
        </w:rPr>
        <w:t>’</w:t>
      </w:r>
      <w:r w:rsidRPr="00F1794C">
        <w:rPr>
          <w:lang w:val="fr-FR"/>
        </w:rPr>
        <w:t>amélioration de l</w:t>
      </w:r>
      <w:r w:rsidR="00F1794C" w:rsidRPr="00F1794C">
        <w:rPr>
          <w:lang w:val="fr-FR"/>
        </w:rPr>
        <w:t>’</w:t>
      </w:r>
      <w:r w:rsidRPr="00F1794C">
        <w:rPr>
          <w:lang w:val="fr-FR"/>
        </w:rPr>
        <w:t>accès à la protection juridique. En 2018, un deuxième accord de financement d</w:t>
      </w:r>
      <w:r w:rsidR="00F1794C" w:rsidRPr="00F1794C">
        <w:rPr>
          <w:lang w:val="fr-FR"/>
        </w:rPr>
        <w:t>’</w:t>
      </w:r>
      <w:r w:rsidRPr="00F1794C">
        <w:rPr>
          <w:lang w:val="fr-FR"/>
        </w:rPr>
        <w:t>un montant de 35 millions d</w:t>
      </w:r>
      <w:r w:rsidR="00F1794C" w:rsidRPr="00F1794C">
        <w:rPr>
          <w:lang w:val="fr-FR"/>
        </w:rPr>
        <w:t>’</w:t>
      </w:r>
      <w:r w:rsidRPr="00F1794C">
        <w:rPr>
          <w:lang w:val="fr-FR"/>
        </w:rPr>
        <w:t>euros a été signé à l</w:t>
      </w:r>
      <w:r w:rsidR="00F1794C" w:rsidRPr="00F1794C">
        <w:rPr>
          <w:lang w:val="fr-FR"/>
        </w:rPr>
        <w:t>’</w:t>
      </w:r>
      <w:r w:rsidRPr="00F1794C">
        <w:rPr>
          <w:lang w:val="fr-FR"/>
        </w:rPr>
        <w:t xml:space="preserve">appui du plan ICRAM 2. </w:t>
      </w:r>
    </w:p>
    <w:p w14:paraId="539342ED" w14:textId="4C1A5806" w:rsidR="00B35EE7" w:rsidRPr="00F1794C" w:rsidRDefault="00B35EE7" w:rsidP="00456FC2">
      <w:pPr>
        <w:pStyle w:val="SingleTxt"/>
        <w:numPr>
          <w:ilvl w:val="0"/>
          <w:numId w:val="43"/>
        </w:numPr>
        <w:spacing w:line="240" w:lineRule="exact"/>
        <w:ind w:left="1267"/>
        <w:rPr>
          <w:lang w:val="fr-FR"/>
        </w:rPr>
      </w:pPr>
      <w:r w:rsidRPr="00F1794C">
        <w:rPr>
          <w:lang w:val="fr-FR"/>
        </w:rPr>
        <w:t>Afin de renforcer le rôle des associations en matière d</w:t>
      </w:r>
      <w:r w:rsidR="00F1794C" w:rsidRPr="00F1794C">
        <w:rPr>
          <w:lang w:val="fr-FR"/>
        </w:rPr>
        <w:t>’</w:t>
      </w:r>
      <w:r w:rsidRPr="00F1794C">
        <w:rPr>
          <w:lang w:val="fr-FR"/>
        </w:rPr>
        <w:t>égalité et de lutte contre la violence, le ministère compétent facilite le financement des projets que des associations de femmes et des centres d</w:t>
      </w:r>
      <w:r w:rsidR="00F1794C" w:rsidRPr="00F1794C">
        <w:rPr>
          <w:lang w:val="fr-FR"/>
        </w:rPr>
        <w:t>’</w:t>
      </w:r>
      <w:r w:rsidRPr="00F1794C">
        <w:rPr>
          <w:lang w:val="fr-FR"/>
        </w:rPr>
        <w:t>écoute et de conseils juridiques mènent pour promouvoir les droits des femmes et améliorer la situation sociale et économique de femmes (chefs de famille, victimes de violences, femmes en situation de handicap et femmes âgées). Le Ministère en question fournit une aide financière sur trois ans, destinée aux projets visant la création ou le développement de centres d</w:t>
      </w:r>
      <w:r w:rsidR="00F1794C" w:rsidRPr="00F1794C">
        <w:rPr>
          <w:lang w:val="fr-FR"/>
        </w:rPr>
        <w:t>’</w:t>
      </w:r>
      <w:r w:rsidRPr="00F1794C">
        <w:rPr>
          <w:lang w:val="fr-FR"/>
        </w:rPr>
        <w:t>écoute. Entre 2012 et 2018, un montant total de 80 millions de dirhams a été alloué à 264 centres.</w:t>
      </w:r>
    </w:p>
    <w:p w14:paraId="537B5743" w14:textId="706AB750" w:rsidR="00B35EE7" w:rsidRPr="00F1794C" w:rsidRDefault="00B35EE7" w:rsidP="00456FC2">
      <w:pPr>
        <w:pStyle w:val="SingleTxt"/>
        <w:numPr>
          <w:ilvl w:val="0"/>
          <w:numId w:val="44"/>
        </w:numPr>
        <w:spacing w:line="240" w:lineRule="exact"/>
        <w:ind w:left="1267"/>
        <w:rPr>
          <w:lang w:val="fr-FR"/>
        </w:rPr>
      </w:pPr>
      <w:r w:rsidRPr="00F1794C">
        <w:rPr>
          <w:lang w:val="fr-FR"/>
        </w:rPr>
        <w:t>Des structures administratives et des points focaux spécialisés dans les questions de genre ont été mis en place dans un ensemble de secteurs afin d</w:t>
      </w:r>
      <w:r w:rsidR="00F1794C" w:rsidRPr="00F1794C">
        <w:rPr>
          <w:lang w:val="fr-FR"/>
        </w:rPr>
        <w:t>’</w:t>
      </w:r>
      <w:r w:rsidRPr="00F1794C">
        <w:rPr>
          <w:lang w:val="fr-FR"/>
        </w:rPr>
        <w:t>assurer le suivi de la prise en compte de ces questions et la coordination entre les différents intervenants, notamment le réseau de concertation intersectorielle pour l</w:t>
      </w:r>
      <w:r w:rsidR="00F1794C" w:rsidRPr="00F1794C">
        <w:rPr>
          <w:lang w:val="fr-FR"/>
        </w:rPr>
        <w:t>’</w:t>
      </w:r>
      <w:r w:rsidRPr="00F1794C">
        <w:rPr>
          <w:lang w:val="fr-FR"/>
        </w:rPr>
        <w:t>intégration de la problématique femmes-hommes et l</w:t>
      </w:r>
      <w:r w:rsidR="00F1794C" w:rsidRPr="00F1794C">
        <w:rPr>
          <w:lang w:val="fr-FR"/>
        </w:rPr>
        <w:t>’</w:t>
      </w:r>
      <w:r w:rsidRPr="00F1794C">
        <w:rPr>
          <w:lang w:val="fr-FR"/>
        </w:rPr>
        <w:t>Observatoire Genre de la fonction publique, le service de formation et de promotion des questions de genre, un service chargé de la formation concernant la dimension de genre et l</w:t>
      </w:r>
      <w:r w:rsidR="00F1794C" w:rsidRPr="00F1794C">
        <w:rPr>
          <w:lang w:val="fr-FR"/>
        </w:rPr>
        <w:t>’</w:t>
      </w:r>
      <w:r w:rsidRPr="00F1794C">
        <w:rPr>
          <w:lang w:val="fr-FR"/>
        </w:rPr>
        <w:t>institutionnalisation de l</w:t>
      </w:r>
      <w:r w:rsidR="00F1794C" w:rsidRPr="00F1794C">
        <w:rPr>
          <w:lang w:val="fr-FR"/>
        </w:rPr>
        <w:t>’</w:t>
      </w:r>
      <w:r w:rsidRPr="00F1794C">
        <w:rPr>
          <w:lang w:val="fr-FR"/>
        </w:rPr>
        <w:t>égalité des sexes à l</w:t>
      </w:r>
      <w:r w:rsidR="00F1794C" w:rsidRPr="00F1794C">
        <w:rPr>
          <w:lang w:val="fr-FR"/>
        </w:rPr>
        <w:t>’</w:t>
      </w:r>
      <w:r w:rsidRPr="00F1794C">
        <w:rPr>
          <w:lang w:val="fr-FR"/>
        </w:rPr>
        <w:t>Institut supérieur de l</w:t>
      </w:r>
      <w:r w:rsidR="00F1794C" w:rsidRPr="00F1794C">
        <w:rPr>
          <w:lang w:val="fr-FR"/>
        </w:rPr>
        <w:t>’</w:t>
      </w:r>
      <w:r w:rsidRPr="00F1794C">
        <w:rPr>
          <w:lang w:val="fr-FR"/>
        </w:rPr>
        <w:t>information et de la communication. Des points focaux sont en place dans les différents services centralisés ou régionaux et des cellules institutionnelles pour l</w:t>
      </w:r>
      <w:r w:rsidR="00F1794C" w:rsidRPr="00F1794C">
        <w:rPr>
          <w:lang w:val="fr-FR"/>
        </w:rPr>
        <w:t>’</w:t>
      </w:r>
      <w:r w:rsidRPr="00F1794C">
        <w:rPr>
          <w:lang w:val="fr-FR"/>
        </w:rPr>
        <w:t>accueil des femmes battues sont rattachées à plusieurs services gouvernementaux</w:t>
      </w:r>
      <w:r w:rsidRPr="00FA086B">
        <w:rPr>
          <w:vertAlign w:val="superscript"/>
          <w:lang w:val="fr-FR"/>
        </w:rPr>
        <w:footnoteReference w:id="29"/>
      </w:r>
      <w:r w:rsidRPr="00F1794C">
        <w:rPr>
          <w:lang w:val="fr-FR"/>
        </w:rPr>
        <w:t>. Des services sont également proposés par certaines institutions et instituts chargées de la formation, de la promotion de la dimension de genre et de l</w:t>
      </w:r>
      <w:r w:rsidR="00F1794C" w:rsidRPr="00F1794C">
        <w:rPr>
          <w:lang w:val="fr-FR"/>
        </w:rPr>
        <w:t>’</w:t>
      </w:r>
      <w:r w:rsidRPr="00F1794C">
        <w:rPr>
          <w:lang w:val="fr-FR"/>
        </w:rPr>
        <w:t>institutionnalisation de l</w:t>
      </w:r>
      <w:r w:rsidR="00F1794C" w:rsidRPr="00F1794C">
        <w:rPr>
          <w:lang w:val="fr-FR"/>
        </w:rPr>
        <w:t>’</w:t>
      </w:r>
      <w:r w:rsidRPr="00F1794C">
        <w:rPr>
          <w:lang w:val="fr-FR"/>
        </w:rPr>
        <w:t>égalité des sexes</w:t>
      </w:r>
      <w:r w:rsidRPr="00FA086B">
        <w:rPr>
          <w:vertAlign w:val="superscript"/>
          <w:lang w:val="fr-FR"/>
        </w:rPr>
        <w:footnoteReference w:id="30"/>
      </w:r>
      <w:r w:rsidRPr="00F1794C">
        <w:rPr>
          <w:lang w:val="fr-FR"/>
        </w:rPr>
        <w:t>. À titre d</w:t>
      </w:r>
      <w:r w:rsidR="00F1794C" w:rsidRPr="00F1794C">
        <w:rPr>
          <w:lang w:val="fr-FR"/>
        </w:rPr>
        <w:t>’</w:t>
      </w:r>
      <w:r w:rsidRPr="00F1794C">
        <w:rPr>
          <w:lang w:val="fr-FR"/>
        </w:rPr>
        <w:t>exemple, entre 2011 et 2018, le secteur de la justice a fait suivre à 1 186 magistrats un programme de formation sur les questions de genre et la notion d</w:t>
      </w:r>
      <w:r w:rsidR="00F1794C" w:rsidRPr="00F1794C">
        <w:rPr>
          <w:lang w:val="fr-FR"/>
        </w:rPr>
        <w:t>’</w:t>
      </w:r>
      <w:r w:rsidRPr="00F1794C">
        <w:rPr>
          <w:lang w:val="fr-FR"/>
        </w:rPr>
        <w:t xml:space="preserve">égalité des sexes. </w:t>
      </w:r>
    </w:p>
    <w:p w14:paraId="3DCF8506" w14:textId="5E59343F" w:rsidR="00B35EE7" w:rsidRPr="00F1794C" w:rsidRDefault="00B35EE7" w:rsidP="00456FC2">
      <w:pPr>
        <w:pStyle w:val="SingleTxt"/>
        <w:numPr>
          <w:ilvl w:val="0"/>
          <w:numId w:val="45"/>
        </w:numPr>
        <w:spacing w:line="240" w:lineRule="exact"/>
        <w:ind w:left="1267"/>
        <w:rPr>
          <w:lang w:val="fr-FR"/>
        </w:rPr>
      </w:pPr>
      <w:r w:rsidRPr="00F1794C">
        <w:rPr>
          <w:lang w:val="fr-FR"/>
        </w:rPr>
        <w:t>Dans le cadre de l</w:t>
      </w:r>
      <w:r w:rsidR="00F1794C" w:rsidRPr="00F1794C">
        <w:rPr>
          <w:lang w:val="fr-FR"/>
        </w:rPr>
        <w:t>’</w:t>
      </w:r>
      <w:r w:rsidRPr="00F1794C">
        <w:rPr>
          <w:lang w:val="fr-FR"/>
        </w:rPr>
        <w:t>institutionnalisation du budget axé sur les résultats tenant compte des questions de genre, le centre d</w:t>
      </w:r>
      <w:r w:rsidR="00F1794C" w:rsidRPr="00F1794C">
        <w:rPr>
          <w:lang w:val="fr-FR"/>
        </w:rPr>
        <w:t>’</w:t>
      </w:r>
      <w:r w:rsidRPr="00F1794C">
        <w:rPr>
          <w:lang w:val="fr-FR"/>
        </w:rPr>
        <w:t>excellence pour la budgétisation tenant compte des questions de genre, créé en 2013, a conclu des accords de partenariat et de coopération avec un ensemble de donateurs (organismes et institutions).</w:t>
      </w:r>
      <w:r w:rsidR="00F1794C" w:rsidRPr="00F1794C">
        <w:rPr>
          <w:lang w:val="fr-FR"/>
        </w:rPr>
        <w:t xml:space="preserve"> </w:t>
      </w:r>
      <w:r w:rsidRPr="00F1794C">
        <w:rPr>
          <w:lang w:val="fr-FR"/>
        </w:rPr>
        <w:t>La loi organique n</w:t>
      </w:r>
      <w:r w:rsidRPr="00F1794C">
        <w:rPr>
          <w:vertAlign w:val="superscript"/>
          <w:lang w:val="fr-FR"/>
        </w:rPr>
        <w:t>o</w:t>
      </w:r>
      <w:r w:rsidR="007705E5">
        <w:rPr>
          <w:lang w:val="fr-FR"/>
        </w:rPr>
        <w:t> </w:t>
      </w:r>
      <w:r w:rsidRPr="00F1794C">
        <w:rPr>
          <w:lang w:val="fr-FR"/>
        </w:rPr>
        <w:t>130-13 relative à la loi de finances promulguée en 2015 renforce l</w:t>
      </w:r>
      <w:r w:rsidR="00F1794C" w:rsidRPr="00F1794C">
        <w:rPr>
          <w:lang w:val="fr-FR"/>
        </w:rPr>
        <w:t>’</w:t>
      </w:r>
      <w:r w:rsidRPr="00F1794C">
        <w:rPr>
          <w:lang w:val="fr-FR"/>
        </w:rPr>
        <w:t>institutionnalisation de la gestion axée sur les résultats et la prise en compte des questions de genre lors de la définition des objectifs et des indicateurs afférents aux programmes des départements ministériels. En outre, la loi de finances doit être accompagnée d</w:t>
      </w:r>
      <w:r w:rsidR="00F1794C" w:rsidRPr="00F1794C">
        <w:rPr>
          <w:lang w:val="fr-FR"/>
        </w:rPr>
        <w:t>’</w:t>
      </w:r>
      <w:r w:rsidRPr="00F1794C">
        <w:rPr>
          <w:lang w:val="fr-FR"/>
        </w:rPr>
        <w:t>un rapport sur le budget axé sur les résultats tenant compte des questions de genre. À cet égard, la circulaire du Chef du Gouvernement n</w:t>
      </w:r>
      <w:r w:rsidRPr="00F1794C">
        <w:rPr>
          <w:vertAlign w:val="superscript"/>
          <w:lang w:val="fr-FR"/>
        </w:rPr>
        <w:t>o</w:t>
      </w:r>
      <w:r w:rsidRPr="00F1794C">
        <w:rPr>
          <w:lang w:val="fr-FR"/>
        </w:rPr>
        <w:t xml:space="preserve"> 7/2017 de </w:t>
      </w:r>
      <w:r w:rsidRPr="00F1794C">
        <w:rPr>
          <w:lang w:val="fr-FR"/>
        </w:rPr>
        <w:lastRenderedPageBreak/>
        <w:t>juillet 2017 définit les étapes préparatoires à l</w:t>
      </w:r>
      <w:r w:rsidR="00F1794C" w:rsidRPr="00F1794C">
        <w:rPr>
          <w:lang w:val="fr-FR"/>
        </w:rPr>
        <w:t>’</w:t>
      </w:r>
      <w:r w:rsidRPr="00F1794C">
        <w:rPr>
          <w:lang w:val="fr-FR"/>
        </w:rPr>
        <w:t>application des dispositions de la loi organique relative à la loi de finances concernant la prise en compte des questions de genre dans la planification et l</w:t>
      </w:r>
      <w:r w:rsidR="00F1794C" w:rsidRPr="00F1794C">
        <w:rPr>
          <w:lang w:val="fr-FR"/>
        </w:rPr>
        <w:t>’</w:t>
      </w:r>
      <w:r w:rsidRPr="00F1794C">
        <w:rPr>
          <w:lang w:val="fr-FR"/>
        </w:rPr>
        <w:t xml:space="preserve">établissement du budget de chaque département ministériel. </w:t>
      </w:r>
    </w:p>
    <w:p w14:paraId="5D2F0F4B" w14:textId="664463D9" w:rsidR="00B35EE7" w:rsidRPr="00F1794C" w:rsidRDefault="00B35EE7" w:rsidP="00456FC2">
      <w:pPr>
        <w:pStyle w:val="SingleTxt"/>
        <w:numPr>
          <w:ilvl w:val="0"/>
          <w:numId w:val="46"/>
        </w:numPr>
        <w:spacing w:line="240" w:lineRule="exact"/>
        <w:ind w:left="1267"/>
        <w:rPr>
          <w:lang w:val="fr-FR"/>
        </w:rPr>
      </w:pPr>
      <w:r w:rsidRPr="00F1794C">
        <w:rPr>
          <w:lang w:val="fr-FR"/>
        </w:rPr>
        <w:t>En 2018, une deuxième phase pilote a été lancée dans 23 départements ministériels. Les résultats ont été communiqués par les différents ministères concernés</w:t>
      </w:r>
      <w:r w:rsidR="00F1794C" w:rsidRPr="00F1794C">
        <w:rPr>
          <w:lang w:val="fr-FR"/>
        </w:rPr>
        <w:t> :</w:t>
      </w:r>
      <w:r w:rsidRPr="00F1794C">
        <w:rPr>
          <w:lang w:val="fr-FR"/>
        </w:rPr>
        <w:t xml:space="preserve"> 196 indicateurs (33</w:t>
      </w:r>
      <w:r w:rsidR="00F1794C" w:rsidRPr="00F1794C">
        <w:rPr>
          <w:lang w:val="fr-FR"/>
        </w:rPr>
        <w:t> %</w:t>
      </w:r>
      <w:r w:rsidRPr="00F1794C">
        <w:rPr>
          <w:lang w:val="fr-FR"/>
        </w:rPr>
        <w:t>) et 63 objectifs (25</w:t>
      </w:r>
      <w:r w:rsidR="00F1794C" w:rsidRPr="00F1794C">
        <w:rPr>
          <w:lang w:val="fr-FR"/>
        </w:rPr>
        <w:t> %</w:t>
      </w:r>
      <w:r w:rsidRPr="00F1794C">
        <w:rPr>
          <w:lang w:val="fr-FR"/>
        </w:rPr>
        <w:t>) tiennent compte de la dimension de genre. En vertu d</w:t>
      </w:r>
      <w:r w:rsidR="00F1794C" w:rsidRPr="00F1794C">
        <w:rPr>
          <w:lang w:val="fr-FR"/>
        </w:rPr>
        <w:t>’</w:t>
      </w:r>
      <w:r w:rsidRPr="00F1794C">
        <w:rPr>
          <w:lang w:val="fr-FR"/>
        </w:rPr>
        <w:t>une circulaire du Chef de Gouvernement publiée en mai 2018, une troisième phase pilote de la budgétisation tenant compte des questions de genre</w:t>
      </w:r>
      <w:r w:rsidRPr="00F1794C">
        <w:rPr>
          <w:lang w:val="fr-CH"/>
        </w:rPr>
        <w:t xml:space="preserve"> </w:t>
      </w:r>
      <w:r w:rsidRPr="00F1794C">
        <w:rPr>
          <w:lang w:val="fr-FR"/>
        </w:rPr>
        <w:t>a été lancée. Cinq autres ministères ont intégré dans le budget 166 indicateurs (19</w:t>
      </w:r>
      <w:r w:rsidR="00F1794C" w:rsidRPr="00F1794C">
        <w:rPr>
          <w:lang w:val="fr-FR"/>
        </w:rPr>
        <w:t> %</w:t>
      </w:r>
      <w:r w:rsidRPr="00F1794C">
        <w:rPr>
          <w:lang w:val="fr-FR"/>
        </w:rPr>
        <w:t>) et 94 objectifs (22</w:t>
      </w:r>
      <w:r w:rsidR="00F1794C" w:rsidRPr="00F1794C">
        <w:rPr>
          <w:lang w:val="fr-FR"/>
        </w:rPr>
        <w:t> %</w:t>
      </w:r>
      <w:r w:rsidRPr="00F1794C">
        <w:rPr>
          <w:lang w:val="fr-FR"/>
        </w:rPr>
        <w:t xml:space="preserve">) tenant compte de la dimension de genre. </w:t>
      </w:r>
    </w:p>
    <w:p w14:paraId="716AA176" w14:textId="025A897F" w:rsidR="00B35EE7" w:rsidRPr="00F1794C" w:rsidRDefault="00DC4ABD" w:rsidP="00C94495">
      <w:pPr>
        <w:pStyle w:val="SingleTxt"/>
        <w:rPr>
          <w:lang w:val="fr-FR"/>
        </w:rPr>
      </w:pPr>
      <w:r>
        <w:rPr>
          <w:lang w:val="fr-FR"/>
        </w:rPr>
        <w:tab/>
      </w:r>
      <w:r w:rsidR="00B35EE7" w:rsidRPr="00F1794C">
        <w:rPr>
          <w:lang w:val="fr-FR"/>
        </w:rPr>
        <w:t>Depuis 2014, le prix Tamayuz (excellence) de la femme marocaine est décerné chaque année pour récompenser les efforts faits par des femmes en matière de développement et mettre en avant les femmes qui donnent l</w:t>
      </w:r>
      <w:r w:rsidR="00F1794C" w:rsidRPr="00F1794C">
        <w:rPr>
          <w:lang w:val="fr-FR"/>
        </w:rPr>
        <w:t>’</w:t>
      </w:r>
      <w:r w:rsidR="00B35EE7" w:rsidRPr="00F1794C">
        <w:rPr>
          <w:lang w:val="fr-FR"/>
        </w:rPr>
        <w:t>exemple et contribuent au développement économique, social et politique. Le prix couvre les domaines suivants</w:t>
      </w:r>
      <w:r w:rsidR="00F1794C" w:rsidRPr="00F1794C">
        <w:rPr>
          <w:lang w:val="fr-FR"/>
        </w:rPr>
        <w:t> :</w:t>
      </w:r>
      <w:r w:rsidR="00B35EE7" w:rsidRPr="00F1794C">
        <w:rPr>
          <w:lang w:val="fr-FR"/>
        </w:rPr>
        <w:t xml:space="preserve"> innovation, développement et action sociale. Entre 2015 et 2018, 14</w:t>
      </w:r>
      <w:r w:rsidR="007705E5">
        <w:rPr>
          <w:lang w:val="fr-FR"/>
        </w:rPr>
        <w:t> </w:t>
      </w:r>
      <w:r w:rsidR="00B35EE7" w:rsidRPr="00F1794C">
        <w:rPr>
          <w:lang w:val="fr-FR"/>
        </w:rPr>
        <w:t xml:space="preserve">lauréates ont obtenu le prix pour des projets menés dans divers domaines. </w:t>
      </w:r>
    </w:p>
    <w:p w14:paraId="22C11751" w14:textId="0C7FC32C" w:rsidR="00B35EE7" w:rsidRPr="00F1794C" w:rsidRDefault="00B35EE7" w:rsidP="00456FC2">
      <w:pPr>
        <w:pStyle w:val="SingleTxt"/>
        <w:numPr>
          <w:ilvl w:val="0"/>
          <w:numId w:val="47"/>
        </w:numPr>
        <w:spacing w:line="240" w:lineRule="exact"/>
        <w:ind w:left="1267"/>
        <w:rPr>
          <w:lang w:val="fr-FR"/>
        </w:rPr>
      </w:pPr>
      <w:r w:rsidRPr="00F1794C">
        <w:rPr>
          <w:lang w:val="fr-FR"/>
        </w:rPr>
        <w:t>En application des articles 14, 15 et 139 de la Constitution</w:t>
      </w:r>
      <w:r w:rsidRPr="00FA086B">
        <w:rPr>
          <w:vertAlign w:val="superscript"/>
          <w:lang w:val="fr-FR"/>
        </w:rPr>
        <w:footnoteReference w:id="31"/>
      </w:r>
      <w:r w:rsidRPr="00F1794C">
        <w:rPr>
          <w:lang w:val="fr-FR"/>
        </w:rPr>
        <w:t xml:space="preserve"> concernant le droit de présenter des propositions en matière législative et de présenter des pétitions aux pouvoirs publics et aux collectivités territoriales, le Maroc a élaboré des lois visant à garantir et encadrer l</w:t>
      </w:r>
      <w:r w:rsidR="00F1794C" w:rsidRPr="00F1794C">
        <w:rPr>
          <w:lang w:val="fr-FR"/>
        </w:rPr>
        <w:t>’</w:t>
      </w:r>
      <w:r w:rsidRPr="00F1794C">
        <w:rPr>
          <w:lang w:val="fr-FR"/>
        </w:rPr>
        <w:t>exercice du droit des associations de présenter des pétitions aux pouvoirs publics</w:t>
      </w:r>
      <w:r w:rsidRPr="00FA086B">
        <w:rPr>
          <w:vertAlign w:val="superscript"/>
          <w:lang w:val="fr-FR"/>
        </w:rPr>
        <w:footnoteReference w:id="32"/>
      </w:r>
      <w:r w:rsidRPr="00F1794C">
        <w:rPr>
          <w:lang w:val="fr-FR"/>
        </w:rPr>
        <w:t>, et de fai</w:t>
      </w:r>
      <w:bookmarkStart w:id="1" w:name="_GoBack"/>
      <w:bookmarkEnd w:id="1"/>
      <w:r w:rsidRPr="00F1794C">
        <w:rPr>
          <w:lang w:val="fr-FR"/>
        </w:rPr>
        <w:t>re des demandes. Une telle pratique permet aux associations de femmes de contribuer au développement du système juridique (motions en matière législative) et de promouvoir les droits des femmes (pétitions)</w:t>
      </w:r>
      <w:r w:rsidRPr="00FA086B">
        <w:rPr>
          <w:vertAlign w:val="superscript"/>
          <w:lang w:val="fr-FR"/>
        </w:rPr>
        <w:footnoteReference w:id="33"/>
      </w:r>
      <w:r w:rsidRPr="00F1794C">
        <w:rPr>
          <w:lang w:val="fr-FR"/>
        </w:rPr>
        <w:t>.</w:t>
      </w:r>
    </w:p>
    <w:p w14:paraId="68465631" w14:textId="77777777" w:rsidR="00237A98" w:rsidRPr="00237A98" w:rsidRDefault="00237A98" w:rsidP="00237A98">
      <w:pPr>
        <w:pStyle w:val="SingleTxt"/>
        <w:spacing w:after="0" w:line="120" w:lineRule="exact"/>
        <w:rPr>
          <w:b/>
          <w:sz w:val="10"/>
          <w:lang w:val="fr-FR"/>
        </w:rPr>
      </w:pPr>
    </w:p>
    <w:p w14:paraId="64A8442F" w14:textId="6AA633A6" w:rsidR="00B35EE7" w:rsidRPr="00F1794C" w:rsidRDefault="00237A98" w:rsidP="00237A9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B35EE7" w:rsidRPr="00F1794C">
        <w:rPr>
          <w:lang w:val="fr-FR"/>
        </w:rPr>
        <w:t>Article 4</w:t>
      </w:r>
    </w:p>
    <w:p w14:paraId="264C9D09" w14:textId="051857C7" w:rsidR="00B35EE7" w:rsidRPr="00237A98" w:rsidRDefault="00B35EE7" w:rsidP="00237A98">
      <w:pPr>
        <w:pStyle w:val="SingleTxt"/>
        <w:spacing w:after="0" w:line="120" w:lineRule="exact"/>
        <w:rPr>
          <w:sz w:val="10"/>
          <w:lang w:val="fr-FR"/>
        </w:rPr>
      </w:pPr>
    </w:p>
    <w:p w14:paraId="64313391" w14:textId="3AE0EE5F" w:rsidR="00B35EE7" w:rsidRPr="00F1794C" w:rsidRDefault="00B35EE7" w:rsidP="00456FC2">
      <w:pPr>
        <w:pStyle w:val="SingleTxt"/>
        <w:numPr>
          <w:ilvl w:val="0"/>
          <w:numId w:val="49"/>
        </w:numPr>
        <w:rPr>
          <w:lang w:val="fr-FR"/>
        </w:rPr>
      </w:pPr>
      <w:r w:rsidRPr="00F1794C">
        <w:rPr>
          <w:lang w:val="fr-FR"/>
        </w:rPr>
        <w:t>Comme suite à la recommandation figurant au paragraphe 25 des observations finales, le Maroc s</w:t>
      </w:r>
      <w:r w:rsidR="00F1794C" w:rsidRPr="00F1794C">
        <w:rPr>
          <w:lang w:val="fr-FR"/>
        </w:rPr>
        <w:t>’</w:t>
      </w:r>
      <w:r w:rsidRPr="00F1794C">
        <w:rPr>
          <w:lang w:val="fr-FR"/>
        </w:rPr>
        <w:t>est employé à accroître la représentation des femmes dans la vie politique, conformément aux normes internationales, à l</w:t>
      </w:r>
      <w:r w:rsidR="00F1794C" w:rsidRPr="00F1794C">
        <w:rPr>
          <w:lang w:val="fr-FR"/>
        </w:rPr>
        <w:t>’</w:t>
      </w:r>
      <w:r w:rsidRPr="00F1794C">
        <w:rPr>
          <w:lang w:val="fr-FR"/>
        </w:rPr>
        <w:t>échelle nationale et locale. À cette fin, il a intégré de nouvelles dispositions dans le Code électoral, les lois organiques relatives à la Chambre des représentants et à la Chambre des conseillers et la loi relative aux partis politiques. La loi organique n</w:t>
      </w:r>
      <w:r w:rsidRPr="00F1794C">
        <w:rPr>
          <w:vertAlign w:val="superscript"/>
          <w:lang w:val="fr-FR"/>
        </w:rPr>
        <w:t>o</w:t>
      </w:r>
      <w:r w:rsidRPr="00F1794C">
        <w:rPr>
          <w:lang w:val="fr-FR"/>
        </w:rPr>
        <w:t xml:space="preserve"> 28-11 de 2011 relative à la Chambre des conseillers a porté création d</w:t>
      </w:r>
      <w:r w:rsidR="00F1794C" w:rsidRPr="00F1794C">
        <w:rPr>
          <w:lang w:val="fr-FR"/>
        </w:rPr>
        <w:t>’</w:t>
      </w:r>
      <w:r w:rsidRPr="00F1794C">
        <w:rPr>
          <w:lang w:val="fr-FR"/>
        </w:rPr>
        <w:t xml:space="preserve">un mécanisme destiné à accroître la représentation des femmes. En vertu de cette loi, aucune liste de candidature ne doit comporter deux noms successifs de deux candidats de même sexe. </w:t>
      </w:r>
    </w:p>
    <w:p w14:paraId="4E941E96" w14:textId="3411068F" w:rsidR="00B35EE7" w:rsidRPr="00F1794C" w:rsidRDefault="00B35EE7" w:rsidP="00456FC2">
      <w:pPr>
        <w:pStyle w:val="SingleTxt"/>
        <w:numPr>
          <w:ilvl w:val="0"/>
          <w:numId w:val="49"/>
        </w:numPr>
        <w:rPr>
          <w:lang w:val="fr-FR"/>
        </w:rPr>
      </w:pPr>
      <w:r w:rsidRPr="00F1794C">
        <w:rPr>
          <w:lang w:val="fr-FR"/>
        </w:rPr>
        <w:t>La loi organique n</w:t>
      </w:r>
      <w:r w:rsidRPr="00F1794C">
        <w:rPr>
          <w:vertAlign w:val="superscript"/>
          <w:lang w:val="fr-FR"/>
        </w:rPr>
        <w:t>o</w:t>
      </w:r>
      <w:r w:rsidR="00237A98">
        <w:rPr>
          <w:lang w:val="fr-FR"/>
        </w:rPr>
        <w:t> </w:t>
      </w:r>
      <w:r w:rsidRPr="00F1794C">
        <w:rPr>
          <w:lang w:val="fr-FR"/>
        </w:rPr>
        <w:t>59-11 relative à l</w:t>
      </w:r>
      <w:r w:rsidR="00F1794C" w:rsidRPr="00F1794C">
        <w:rPr>
          <w:lang w:val="fr-FR"/>
        </w:rPr>
        <w:t>’</w:t>
      </w:r>
      <w:r w:rsidRPr="00F1794C">
        <w:rPr>
          <w:lang w:val="fr-FR"/>
        </w:rPr>
        <w:t>élection des membres des conseils des collectivités territoriales a établi deux mécanismes visant à accroître la représentation des femmes. Premièrement, il est créé, au niveau de chaque préfecture, province ou préfecture d</w:t>
      </w:r>
      <w:r w:rsidR="00F1794C" w:rsidRPr="00F1794C">
        <w:rPr>
          <w:lang w:val="fr-FR"/>
        </w:rPr>
        <w:t>’</w:t>
      </w:r>
      <w:r w:rsidRPr="00F1794C">
        <w:rPr>
          <w:lang w:val="fr-FR"/>
        </w:rPr>
        <w:t xml:space="preserve">arrondissements une circonscription électorale réservée aux femmes, le tiers au moins des sièges leur étant réservé. Deuxièmement, en ce qui concerne les </w:t>
      </w:r>
      <w:r w:rsidRPr="00F1794C">
        <w:rPr>
          <w:lang w:val="fr-FR"/>
        </w:rPr>
        <w:lastRenderedPageBreak/>
        <w:t>conseils des communes, une circonscription électorale complémentaire, représentant au moins deux sièges, est réservée aux femmes. Le Gouvernement a également pris des mesures pour encourager les partis politiques à faire en sorte que des femmes figurent en bonne place sur les diverses listes de candidatures ordinaires et dans les circonscriptions dont les représentants sont élus par scrutin uninominal.</w:t>
      </w:r>
    </w:p>
    <w:p w14:paraId="23664353" w14:textId="79705E00" w:rsidR="00B35EE7" w:rsidRPr="00F1794C" w:rsidRDefault="00B35EE7" w:rsidP="00456FC2">
      <w:pPr>
        <w:pStyle w:val="SingleTxt"/>
        <w:numPr>
          <w:ilvl w:val="0"/>
          <w:numId w:val="49"/>
        </w:numPr>
        <w:rPr>
          <w:lang w:val="fr-FR"/>
        </w:rPr>
      </w:pPr>
      <w:r w:rsidRPr="00F1794C">
        <w:rPr>
          <w:lang w:val="fr-FR"/>
        </w:rPr>
        <w:t>La loi organique n</w:t>
      </w:r>
      <w:r w:rsidRPr="00F1794C">
        <w:rPr>
          <w:vertAlign w:val="superscript"/>
          <w:lang w:val="fr-FR"/>
        </w:rPr>
        <w:t>o</w:t>
      </w:r>
      <w:r w:rsidR="00237A98">
        <w:rPr>
          <w:lang w:val="fr-FR"/>
        </w:rPr>
        <w:t> </w:t>
      </w:r>
      <w:r w:rsidRPr="00F1794C">
        <w:rPr>
          <w:lang w:val="fr-FR"/>
        </w:rPr>
        <w:t>34-15 de 2015</w:t>
      </w:r>
      <w:r w:rsidRPr="00FA086B">
        <w:rPr>
          <w:vertAlign w:val="superscript"/>
          <w:lang w:val="fr-FR"/>
        </w:rPr>
        <w:footnoteReference w:id="34"/>
      </w:r>
      <w:r w:rsidRPr="00F1794C">
        <w:rPr>
          <w:lang w:val="fr-FR"/>
        </w:rPr>
        <w:t xml:space="preserve"> relative à l</w:t>
      </w:r>
      <w:r w:rsidR="00F1794C" w:rsidRPr="00F1794C">
        <w:rPr>
          <w:lang w:val="fr-FR"/>
        </w:rPr>
        <w:t>’</w:t>
      </w:r>
      <w:r w:rsidRPr="00F1794C">
        <w:rPr>
          <w:lang w:val="fr-FR"/>
        </w:rPr>
        <w:t>élection des membres des conseils des collectivités territoriales a mis en place un nouveau système pour les candidatures, à savoir une liste de candidature unique comprenant deux parties</w:t>
      </w:r>
      <w:r w:rsidR="00F1794C" w:rsidRPr="00F1794C">
        <w:rPr>
          <w:lang w:val="fr-FR"/>
        </w:rPr>
        <w:t> :</w:t>
      </w:r>
      <w:r w:rsidRPr="00F1794C">
        <w:rPr>
          <w:lang w:val="fr-FR"/>
        </w:rPr>
        <w:t xml:space="preserve"> dans la première partie figurent les noms des candidats et des candidates et dans la deuxième le nom des candidates seulement. </w:t>
      </w:r>
    </w:p>
    <w:p w14:paraId="25319109" w14:textId="4EA8D74B" w:rsidR="00B35EE7" w:rsidRPr="00F1794C" w:rsidRDefault="00B35EE7" w:rsidP="00456FC2">
      <w:pPr>
        <w:pStyle w:val="SingleTxt"/>
        <w:numPr>
          <w:ilvl w:val="0"/>
          <w:numId w:val="49"/>
        </w:numPr>
        <w:rPr>
          <w:lang w:val="fr-FR"/>
        </w:rPr>
      </w:pPr>
      <w:r w:rsidRPr="00F1794C">
        <w:rPr>
          <w:lang w:val="fr-FR"/>
        </w:rPr>
        <w:t>En vertu des lois organiques relatives aux collectivités territoriales</w:t>
      </w:r>
      <w:r w:rsidRPr="00FA086B">
        <w:rPr>
          <w:vertAlign w:val="superscript"/>
          <w:lang w:val="fr-FR"/>
        </w:rPr>
        <w:footnoteReference w:id="35"/>
      </w:r>
      <w:r w:rsidRPr="00F1794C">
        <w:rPr>
          <w:lang w:val="fr-FR"/>
        </w:rPr>
        <w:t>, la dimension de genre doit être prise en compte dans les activités et programmes de développement arrêtés. Des organes consultatifs ont également été créés dans les collectivités territoriales. Ils examinent les questions concernant l</w:t>
      </w:r>
      <w:r w:rsidR="00F1794C" w:rsidRPr="00F1794C">
        <w:rPr>
          <w:lang w:val="fr-FR"/>
        </w:rPr>
        <w:t>’</w:t>
      </w:r>
      <w:r w:rsidRPr="00F1794C">
        <w:rPr>
          <w:lang w:val="fr-FR"/>
        </w:rPr>
        <w:t>égalité, l</w:t>
      </w:r>
      <w:r w:rsidR="00F1794C" w:rsidRPr="00F1794C">
        <w:rPr>
          <w:lang w:val="fr-FR"/>
        </w:rPr>
        <w:t>’</w:t>
      </w:r>
      <w:r w:rsidRPr="00F1794C">
        <w:rPr>
          <w:lang w:val="fr-FR"/>
        </w:rPr>
        <w:t xml:space="preserve">égalité des chances et la dimension de genre. </w:t>
      </w:r>
    </w:p>
    <w:p w14:paraId="7995BD7D" w14:textId="4D05EF4B" w:rsidR="00B35EE7" w:rsidRPr="00F1794C" w:rsidRDefault="00B35EE7" w:rsidP="00456FC2">
      <w:pPr>
        <w:pStyle w:val="SingleTxt"/>
        <w:numPr>
          <w:ilvl w:val="0"/>
          <w:numId w:val="49"/>
        </w:numPr>
        <w:rPr>
          <w:lang w:val="fr-FR"/>
        </w:rPr>
      </w:pPr>
      <w:r w:rsidRPr="00F1794C">
        <w:rPr>
          <w:lang w:val="fr-FR"/>
        </w:rPr>
        <w:t>En application de la loi n</w:t>
      </w:r>
      <w:r w:rsidRPr="00F1794C">
        <w:rPr>
          <w:vertAlign w:val="superscript"/>
          <w:lang w:val="fr-FR"/>
        </w:rPr>
        <w:t>o</w:t>
      </w:r>
      <w:r w:rsidR="00237A98">
        <w:rPr>
          <w:lang w:val="fr-FR"/>
        </w:rPr>
        <w:t> </w:t>
      </w:r>
      <w:r w:rsidRPr="00F1794C">
        <w:rPr>
          <w:lang w:val="fr-FR"/>
        </w:rPr>
        <w:t>78-00 portant charte communale, la dimension de genre est prise en compte dans le plan de développement communal</w:t>
      </w:r>
      <w:r w:rsidRPr="00FA086B">
        <w:rPr>
          <w:vertAlign w:val="superscript"/>
          <w:lang w:val="fr-FR"/>
        </w:rPr>
        <w:footnoteReference w:id="36"/>
      </w:r>
      <w:r w:rsidRPr="00F1794C">
        <w:rPr>
          <w:lang w:val="fr-FR"/>
        </w:rPr>
        <w:t>. Afin d</w:t>
      </w:r>
      <w:r w:rsidR="00F1794C" w:rsidRPr="00F1794C">
        <w:rPr>
          <w:lang w:val="fr-FR"/>
        </w:rPr>
        <w:t>’</w:t>
      </w:r>
      <w:r w:rsidRPr="00F1794C">
        <w:rPr>
          <w:lang w:val="fr-FR"/>
        </w:rPr>
        <w:t>accélérer la mise en œuvre de ces initiatives, un guide de la planification stratégique a été élaboré pour faciliter la participation des femmes dans les commissions locales chargées de la planification et de mettre en place des commissions chargées des questions relatives à l</w:t>
      </w:r>
      <w:r w:rsidR="00F1794C" w:rsidRPr="00F1794C">
        <w:rPr>
          <w:lang w:val="fr-FR"/>
        </w:rPr>
        <w:t>’</w:t>
      </w:r>
      <w:r w:rsidRPr="00F1794C">
        <w:rPr>
          <w:lang w:val="fr-FR"/>
        </w:rPr>
        <w:t>égalité et à l</w:t>
      </w:r>
      <w:r w:rsidR="00F1794C" w:rsidRPr="00F1794C">
        <w:rPr>
          <w:lang w:val="fr-FR"/>
        </w:rPr>
        <w:t>’</w:t>
      </w:r>
      <w:r w:rsidRPr="00F1794C">
        <w:rPr>
          <w:lang w:val="fr-FR"/>
        </w:rPr>
        <w:t xml:space="preserve">égalité des chances. </w:t>
      </w:r>
    </w:p>
    <w:p w14:paraId="00935F99" w14:textId="328CBD35" w:rsidR="00B35EE7" w:rsidRPr="00F1794C" w:rsidRDefault="00B35EE7" w:rsidP="00456FC2">
      <w:pPr>
        <w:pStyle w:val="SingleTxt"/>
        <w:numPr>
          <w:ilvl w:val="0"/>
          <w:numId w:val="49"/>
        </w:numPr>
        <w:rPr>
          <w:lang w:val="fr-FR"/>
        </w:rPr>
      </w:pPr>
      <w:r w:rsidRPr="00F1794C">
        <w:rPr>
          <w:lang w:val="fr-FR"/>
        </w:rPr>
        <w:t>En vertu de la loi organique n</w:t>
      </w:r>
      <w:r w:rsidRPr="00F1794C">
        <w:rPr>
          <w:vertAlign w:val="superscript"/>
          <w:lang w:val="fr-FR"/>
        </w:rPr>
        <w:t>o</w:t>
      </w:r>
      <w:r w:rsidR="00237A98">
        <w:rPr>
          <w:lang w:val="fr-FR"/>
        </w:rPr>
        <w:t> </w:t>
      </w:r>
      <w:r w:rsidRPr="00F1794C">
        <w:rPr>
          <w:lang w:val="fr-FR"/>
        </w:rPr>
        <w:t>29-11, les partis politiques sont encouragés à atteindre une proportion d</w:t>
      </w:r>
      <w:r w:rsidR="00F1794C" w:rsidRPr="00F1794C">
        <w:rPr>
          <w:lang w:val="fr-FR"/>
        </w:rPr>
        <w:t>’</w:t>
      </w:r>
      <w:r w:rsidRPr="00F1794C">
        <w:rPr>
          <w:lang w:val="fr-FR"/>
        </w:rPr>
        <w:t>un tiers de participation des femmes dans leurs organes dirigeants aux niveaux national et régional en vue de faire appliquer, à terme et de manière progressive, le principe de la parité.</w:t>
      </w:r>
    </w:p>
    <w:p w14:paraId="30C71560" w14:textId="77777777" w:rsidR="00B35EE7" w:rsidRPr="00F1794C" w:rsidRDefault="00B35EE7" w:rsidP="00456FC2">
      <w:pPr>
        <w:pStyle w:val="SingleTxt"/>
        <w:numPr>
          <w:ilvl w:val="0"/>
          <w:numId w:val="49"/>
        </w:numPr>
        <w:rPr>
          <w:lang w:val="fr-FR"/>
        </w:rPr>
      </w:pPr>
      <w:r w:rsidRPr="00F1794C">
        <w:rPr>
          <w:lang w:val="fr-FR"/>
        </w:rPr>
        <w:t>Un fonds a été créé pour accroître la représentation des femmes en contribuant au financement des programmes et activités appuyés par les partis politiques et la société civile sur les plans national et territorial à hauteur de 10 millions de dirhams par an.</w:t>
      </w:r>
    </w:p>
    <w:p w14:paraId="608BBE78" w14:textId="36471897" w:rsidR="00B35EE7" w:rsidRPr="00F1794C" w:rsidRDefault="00B35EE7" w:rsidP="00456FC2">
      <w:pPr>
        <w:pStyle w:val="SingleTxt"/>
        <w:numPr>
          <w:ilvl w:val="0"/>
          <w:numId w:val="49"/>
        </w:numPr>
        <w:rPr>
          <w:lang w:val="fr-FR"/>
        </w:rPr>
      </w:pPr>
      <w:r w:rsidRPr="00F1794C">
        <w:rPr>
          <w:lang w:val="fr-FR"/>
        </w:rPr>
        <w:t>Un programme a été adopté pour appuyer le renforcement des capacités des femmes au niveau territorial par la formation et l</w:t>
      </w:r>
      <w:r w:rsidR="00F1794C" w:rsidRPr="00F1794C">
        <w:rPr>
          <w:lang w:val="fr-FR"/>
        </w:rPr>
        <w:t>’</w:t>
      </w:r>
      <w:r w:rsidRPr="00F1794C">
        <w:rPr>
          <w:lang w:val="fr-FR"/>
        </w:rPr>
        <w:t>acquisition de compétences. Des programmes d</w:t>
      </w:r>
      <w:r w:rsidR="00F1794C" w:rsidRPr="00F1794C">
        <w:rPr>
          <w:lang w:val="fr-FR"/>
        </w:rPr>
        <w:t>’</w:t>
      </w:r>
      <w:r w:rsidRPr="00F1794C">
        <w:rPr>
          <w:lang w:val="fr-FR"/>
        </w:rPr>
        <w:t>appui étaient destinées aux dirigeantes et des colloques régionaux ont été organisés à l</w:t>
      </w:r>
      <w:r w:rsidR="00F1794C" w:rsidRPr="00F1794C">
        <w:rPr>
          <w:lang w:val="fr-FR"/>
        </w:rPr>
        <w:t>’</w:t>
      </w:r>
      <w:r w:rsidRPr="00F1794C">
        <w:rPr>
          <w:lang w:val="fr-FR"/>
        </w:rPr>
        <w:t>intention des élues. En outre, entre 2013 et 2015, au totale, 4 600 élues ont participé à 16 colloques organisés à leur intention. Un plan a été établi pour faciliter la prise de contacts entre les élues locales aux niveaux local et régional et au niveau du continent africain. Entre 2012 et 2014, deux réseaux destinés aux élues locales ont été créés ainsi que six réseaux au niveau des préfectures et des provinces et un réseau des femmes élues locales d</w:t>
      </w:r>
      <w:r w:rsidR="00F1794C" w:rsidRPr="00F1794C">
        <w:rPr>
          <w:lang w:val="fr-FR"/>
        </w:rPr>
        <w:t>’</w:t>
      </w:r>
      <w:r w:rsidRPr="00F1794C">
        <w:rPr>
          <w:lang w:val="fr-FR"/>
        </w:rPr>
        <w:t xml:space="preserve">Afrique. </w:t>
      </w:r>
    </w:p>
    <w:p w14:paraId="6C16E895" w14:textId="4D19DEE7" w:rsidR="00B35EE7" w:rsidRPr="00F1794C" w:rsidRDefault="00B35EE7" w:rsidP="00456FC2">
      <w:pPr>
        <w:pStyle w:val="SingleTxt"/>
        <w:numPr>
          <w:ilvl w:val="0"/>
          <w:numId w:val="49"/>
        </w:numPr>
        <w:rPr>
          <w:lang w:val="fr-FR"/>
        </w:rPr>
      </w:pPr>
      <w:r w:rsidRPr="00F1794C">
        <w:rPr>
          <w:lang w:val="fr-FR"/>
        </w:rPr>
        <w:t>Le Maroc a noué des partenariats avec le Conseil de l</w:t>
      </w:r>
      <w:r w:rsidR="00F1794C" w:rsidRPr="00F1794C">
        <w:rPr>
          <w:lang w:val="fr-FR"/>
        </w:rPr>
        <w:t>’</w:t>
      </w:r>
      <w:r w:rsidRPr="00F1794C">
        <w:rPr>
          <w:lang w:val="fr-FR"/>
        </w:rPr>
        <w:t>Europe, notamment le partenariat pour un avenir d</w:t>
      </w:r>
      <w:r w:rsidR="00F1794C" w:rsidRPr="00F1794C">
        <w:rPr>
          <w:lang w:val="fr-FR"/>
        </w:rPr>
        <w:t>’</w:t>
      </w:r>
      <w:r w:rsidRPr="00F1794C">
        <w:rPr>
          <w:lang w:val="fr-FR"/>
        </w:rPr>
        <w:t>égalité</w:t>
      </w:r>
      <w:r w:rsidRPr="00FA086B">
        <w:rPr>
          <w:vertAlign w:val="superscript"/>
          <w:lang w:val="fr-FR"/>
        </w:rPr>
        <w:footnoteReference w:id="37"/>
      </w:r>
      <w:r w:rsidRPr="00F1794C">
        <w:rPr>
          <w:lang w:val="fr-FR"/>
        </w:rPr>
        <w:t xml:space="preserve"> en septembre 2012. En outre, en 2015, le ministère compétent a lancé le programme intitulé « Vers un gouvernement inclusif </w:t>
      </w:r>
      <w:r w:rsidRPr="00F1794C">
        <w:rPr>
          <w:lang w:val="fr-FR"/>
        </w:rPr>
        <w:lastRenderedPageBreak/>
        <w:t>et ouvert</w:t>
      </w:r>
      <w:r w:rsidR="00F1794C" w:rsidRPr="00F1794C">
        <w:rPr>
          <w:lang w:val="fr-FR"/>
        </w:rPr>
        <w:t> :</w:t>
      </w:r>
      <w:r w:rsidRPr="00F1794C">
        <w:rPr>
          <w:lang w:val="fr-FR"/>
        </w:rPr>
        <w:t xml:space="preserve"> promouvoir la participation des femmes au Parlement et aux conseils élus », en coopération avec l</w:t>
      </w:r>
      <w:r w:rsidR="00F1794C" w:rsidRPr="00F1794C">
        <w:rPr>
          <w:lang w:val="fr-FR"/>
        </w:rPr>
        <w:t>’</w:t>
      </w:r>
      <w:r w:rsidRPr="00F1794C">
        <w:rPr>
          <w:lang w:val="fr-FR"/>
        </w:rPr>
        <w:t>Organisation de coopération et de développement économiques afin d</w:t>
      </w:r>
      <w:r w:rsidR="00F1794C" w:rsidRPr="00F1794C">
        <w:rPr>
          <w:lang w:val="fr-FR"/>
        </w:rPr>
        <w:t>’</w:t>
      </w:r>
      <w:r w:rsidRPr="00F1794C">
        <w:rPr>
          <w:lang w:val="fr-FR"/>
        </w:rPr>
        <w:t>accroître la participation des femmes à la vie publique, à la prise de décisions et à l</w:t>
      </w:r>
      <w:r w:rsidR="00F1794C" w:rsidRPr="00F1794C">
        <w:rPr>
          <w:lang w:val="fr-FR"/>
        </w:rPr>
        <w:t>’</w:t>
      </w:r>
      <w:r w:rsidRPr="00F1794C">
        <w:rPr>
          <w:lang w:val="fr-FR"/>
        </w:rPr>
        <w:t xml:space="preserve">élaboration des politiques. </w:t>
      </w:r>
    </w:p>
    <w:p w14:paraId="45E57C56" w14:textId="5C437225" w:rsidR="00B35EE7" w:rsidRPr="00F1794C" w:rsidRDefault="00B35EE7" w:rsidP="00456FC2">
      <w:pPr>
        <w:pStyle w:val="SingleTxt"/>
        <w:numPr>
          <w:ilvl w:val="0"/>
          <w:numId w:val="49"/>
        </w:numPr>
        <w:rPr>
          <w:lang w:val="fr-FR"/>
        </w:rPr>
      </w:pPr>
      <w:r w:rsidRPr="00F1794C">
        <w:rPr>
          <w:lang w:val="fr-FR"/>
        </w:rPr>
        <w:t>Pour renforcer les capacités des élues et des candidates concernant les questions de genre et la gestion des affaires locales et nationales, deux sessions de formation ont été organisées en septembre 2016 sur le renforcement des capacités des femmes candidates aux élections législatives (78 participantes). Des consultations publiques ont eu lieu avec 40 organisations de la société civile et députées. Des séances de consultation ont été organisées à l</w:t>
      </w:r>
      <w:r w:rsidR="00F1794C" w:rsidRPr="00F1794C">
        <w:rPr>
          <w:lang w:val="fr-FR"/>
        </w:rPr>
        <w:t>’</w:t>
      </w:r>
      <w:r w:rsidRPr="00F1794C">
        <w:rPr>
          <w:lang w:val="fr-FR"/>
        </w:rPr>
        <w:t>intention des députées et des préfètes</w:t>
      </w:r>
      <w:r w:rsidR="00F1794C" w:rsidRPr="00F1794C">
        <w:rPr>
          <w:lang w:val="fr-FR"/>
        </w:rPr>
        <w:t xml:space="preserve"> </w:t>
      </w:r>
      <w:r w:rsidRPr="00F1794C">
        <w:rPr>
          <w:lang w:val="fr-FR"/>
        </w:rPr>
        <w:t>sur le thème « le Parlement et les communes au service des femmes et des hommes</w:t>
      </w:r>
      <w:r w:rsidR="00237A98">
        <w:rPr>
          <w:lang w:val="fr-FR"/>
        </w:rPr>
        <w:t> </w:t>
      </w:r>
      <w:r w:rsidRPr="00F1794C">
        <w:rPr>
          <w:lang w:val="fr-FR"/>
        </w:rPr>
        <w:t>». Par ailleurs, deux rapports, sur l</w:t>
      </w:r>
      <w:r w:rsidR="00F1794C" w:rsidRPr="00F1794C">
        <w:rPr>
          <w:lang w:val="fr-FR"/>
        </w:rPr>
        <w:t>’</w:t>
      </w:r>
      <w:r w:rsidRPr="00F1794C">
        <w:rPr>
          <w:lang w:val="fr-FR"/>
        </w:rPr>
        <w:t>état de la participation des femmes à la vie politique au Maroc et l</w:t>
      </w:r>
      <w:r w:rsidR="00F1794C" w:rsidRPr="00F1794C">
        <w:rPr>
          <w:lang w:val="fr-FR"/>
        </w:rPr>
        <w:t>’</w:t>
      </w:r>
      <w:r w:rsidRPr="00F1794C">
        <w:rPr>
          <w:lang w:val="fr-FR"/>
        </w:rPr>
        <w:t xml:space="preserve">état de la participation des femmes à la vie politique au Parlement et aux conseils élus au Maroc, ont été présentés dans le cadre du dialogue régional en juillet 2018. </w:t>
      </w:r>
    </w:p>
    <w:p w14:paraId="0FDFD1C7" w14:textId="227ED1C1" w:rsidR="00B35EE7" w:rsidRPr="00237A98" w:rsidRDefault="00B35EE7" w:rsidP="00237A98">
      <w:pPr>
        <w:pStyle w:val="SingleTxt"/>
        <w:spacing w:after="0" w:line="120" w:lineRule="exact"/>
        <w:rPr>
          <w:sz w:val="10"/>
          <w:lang w:val="fr-FR"/>
        </w:rPr>
      </w:pPr>
    </w:p>
    <w:p w14:paraId="187F6D4D" w14:textId="39C5DED9" w:rsidR="00B35EE7" w:rsidRPr="00F1794C" w:rsidRDefault="00237A98" w:rsidP="00237A9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B35EE7" w:rsidRPr="00F1794C">
        <w:rPr>
          <w:lang w:val="fr-FR"/>
        </w:rPr>
        <w:t>Article 5</w:t>
      </w:r>
    </w:p>
    <w:p w14:paraId="6B90EAAD" w14:textId="77030365" w:rsidR="00B35EE7" w:rsidRPr="00237A98" w:rsidRDefault="00B35EE7" w:rsidP="00237A98">
      <w:pPr>
        <w:pStyle w:val="SingleTxt"/>
        <w:spacing w:after="0" w:line="120" w:lineRule="exact"/>
        <w:rPr>
          <w:sz w:val="10"/>
          <w:lang w:val="fr-FR"/>
        </w:rPr>
      </w:pPr>
    </w:p>
    <w:p w14:paraId="3187E888" w14:textId="2F1A5010" w:rsidR="00B35EE7" w:rsidRPr="00F1794C" w:rsidRDefault="00B35EE7" w:rsidP="00456FC2">
      <w:pPr>
        <w:pStyle w:val="SingleTxt"/>
        <w:numPr>
          <w:ilvl w:val="0"/>
          <w:numId w:val="50"/>
        </w:numPr>
        <w:spacing w:line="240" w:lineRule="exact"/>
        <w:rPr>
          <w:lang w:val="fr-FR"/>
        </w:rPr>
      </w:pPr>
      <w:r w:rsidRPr="00F1794C">
        <w:rPr>
          <w:lang w:val="fr-FR"/>
        </w:rPr>
        <w:t>Pour promouvoir l</w:t>
      </w:r>
      <w:r w:rsidR="00F1794C" w:rsidRPr="00F1794C">
        <w:rPr>
          <w:lang w:val="fr-FR"/>
        </w:rPr>
        <w:t>’</w:t>
      </w:r>
      <w:r w:rsidRPr="00F1794C">
        <w:rPr>
          <w:lang w:val="fr-FR"/>
        </w:rPr>
        <w:t>image et le rôle de la femme et sa participation dans le paysage médiatique, le secteur de la communication a adopté le programme à moyen terme pour l</w:t>
      </w:r>
      <w:r w:rsidR="00F1794C" w:rsidRPr="00F1794C">
        <w:rPr>
          <w:lang w:val="fr-FR"/>
        </w:rPr>
        <w:t>’</w:t>
      </w:r>
      <w:r w:rsidRPr="00F1794C">
        <w:rPr>
          <w:lang w:val="fr-FR"/>
        </w:rPr>
        <w:t>institutionnalisation de l</w:t>
      </w:r>
      <w:r w:rsidR="00F1794C" w:rsidRPr="00F1794C">
        <w:rPr>
          <w:lang w:val="fr-FR"/>
        </w:rPr>
        <w:t>’</w:t>
      </w:r>
      <w:r w:rsidRPr="00F1794C">
        <w:rPr>
          <w:lang w:val="fr-FR"/>
        </w:rPr>
        <w:t>égalité entre les sexes (2006-2010)</w:t>
      </w:r>
      <w:r w:rsidRPr="00FA086B">
        <w:rPr>
          <w:vertAlign w:val="superscript"/>
          <w:lang w:val="fr-FR"/>
        </w:rPr>
        <w:footnoteReference w:id="38"/>
      </w:r>
      <w:r w:rsidRPr="00F1794C">
        <w:rPr>
          <w:lang w:val="fr-FR"/>
        </w:rPr>
        <w:t>. Ce programme comprend trois axes</w:t>
      </w:r>
      <w:r w:rsidR="00F1794C" w:rsidRPr="00F1794C">
        <w:rPr>
          <w:lang w:val="fr-FR"/>
        </w:rPr>
        <w:t> :</w:t>
      </w:r>
      <w:r w:rsidRPr="00F1794C">
        <w:rPr>
          <w:lang w:val="fr-FR"/>
        </w:rPr>
        <w:t xml:space="preserve"> renforcement de la capacité institutionnelle des départements concernés et des institutions partenaires de tenir compte de l</w:t>
      </w:r>
      <w:r w:rsidR="00F1794C" w:rsidRPr="00F1794C">
        <w:rPr>
          <w:lang w:val="fr-FR"/>
        </w:rPr>
        <w:t>’</w:t>
      </w:r>
      <w:r w:rsidRPr="00F1794C">
        <w:rPr>
          <w:lang w:val="fr-FR"/>
        </w:rPr>
        <w:t>égalité des sexes dans leurs politiques, programmes et pratiques</w:t>
      </w:r>
      <w:r w:rsidR="00F1794C" w:rsidRPr="00F1794C">
        <w:rPr>
          <w:lang w:val="fr-FR"/>
        </w:rPr>
        <w:t> ;</w:t>
      </w:r>
      <w:r w:rsidRPr="00F1794C">
        <w:rPr>
          <w:lang w:val="fr-FR"/>
        </w:rPr>
        <w:t xml:space="preserve"> renforcement des capacités des acteurs principaux</w:t>
      </w:r>
      <w:r w:rsidR="00F1794C" w:rsidRPr="00F1794C">
        <w:rPr>
          <w:lang w:val="fr-FR"/>
        </w:rPr>
        <w:t> ;</w:t>
      </w:r>
      <w:r w:rsidRPr="00F1794C">
        <w:rPr>
          <w:lang w:val="fr-FR"/>
        </w:rPr>
        <w:t xml:space="preserve"> promotion de l</w:t>
      </w:r>
      <w:r w:rsidR="00F1794C" w:rsidRPr="00F1794C">
        <w:rPr>
          <w:lang w:val="fr-FR"/>
        </w:rPr>
        <w:t>’</w:t>
      </w:r>
      <w:r w:rsidRPr="00F1794C">
        <w:rPr>
          <w:lang w:val="fr-FR"/>
        </w:rPr>
        <w:t>égalité des sexes et facilitation de l</w:t>
      </w:r>
      <w:r w:rsidR="00F1794C" w:rsidRPr="00F1794C">
        <w:rPr>
          <w:lang w:val="fr-FR"/>
        </w:rPr>
        <w:t>’</w:t>
      </w:r>
      <w:r w:rsidRPr="00F1794C">
        <w:rPr>
          <w:lang w:val="fr-FR"/>
        </w:rPr>
        <w:t>accès des femmes aux sphères de décision.</w:t>
      </w:r>
    </w:p>
    <w:p w14:paraId="45F082A5" w14:textId="05E4CAD9" w:rsidR="00B35EE7" w:rsidRPr="00F1794C" w:rsidRDefault="00B35EE7" w:rsidP="00456FC2">
      <w:pPr>
        <w:pStyle w:val="SingleTxt"/>
        <w:numPr>
          <w:ilvl w:val="0"/>
          <w:numId w:val="50"/>
        </w:numPr>
        <w:rPr>
          <w:lang w:val="fr-FR"/>
        </w:rPr>
      </w:pPr>
      <w:r w:rsidRPr="00F1794C">
        <w:rPr>
          <w:lang w:val="fr-FR"/>
        </w:rPr>
        <w:t>En 2012, des cahiers des charges ont été fixés pour les chaînes du pôle public en vue d</w:t>
      </w:r>
      <w:r w:rsidR="00F1794C" w:rsidRPr="00F1794C">
        <w:rPr>
          <w:lang w:val="fr-FR"/>
        </w:rPr>
        <w:t>’</w:t>
      </w:r>
      <w:r w:rsidRPr="00F1794C">
        <w:rPr>
          <w:lang w:val="fr-FR"/>
        </w:rPr>
        <w:t>améliorer l</w:t>
      </w:r>
      <w:r w:rsidR="00F1794C" w:rsidRPr="00F1794C">
        <w:rPr>
          <w:lang w:val="fr-FR"/>
        </w:rPr>
        <w:t>’</w:t>
      </w:r>
      <w:r w:rsidRPr="00F1794C">
        <w:rPr>
          <w:lang w:val="fr-FR"/>
        </w:rPr>
        <w:t>image de la femme dans les médias publics et de lui donner plus de poids. Un suivi du respect des dispositions relatives à l</w:t>
      </w:r>
      <w:r w:rsidR="00F1794C" w:rsidRPr="00F1794C">
        <w:rPr>
          <w:lang w:val="fr-FR"/>
        </w:rPr>
        <w:t>’</w:t>
      </w:r>
      <w:r w:rsidRPr="00F1794C">
        <w:rPr>
          <w:lang w:val="fr-FR"/>
        </w:rPr>
        <w:t>amélioration de cette femme figure dans les rapports annuels établis par les entreprises publiques de communication audiovisuelle.</w:t>
      </w:r>
    </w:p>
    <w:p w14:paraId="36D0DA98" w14:textId="679C0D61" w:rsidR="00B35EE7" w:rsidRPr="00F1794C" w:rsidRDefault="00B35EE7" w:rsidP="00456FC2">
      <w:pPr>
        <w:pStyle w:val="SingleTxt"/>
        <w:numPr>
          <w:ilvl w:val="0"/>
          <w:numId w:val="50"/>
        </w:numPr>
        <w:rPr>
          <w:lang w:val="fr-FR"/>
        </w:rPr>
      </w:pPr>
      <w:r w:rsidRPr="00F1794C">
        <w:rPr>
          <w:lang w:val="fr-FR"/>
        </w:rPr>
        <w:t>En 2013, la Société nationale de radiodiffusion et de télévision a adopté une charte déontologique dans laquelle elle s</w:t>
      </w:r>
      <w:r w:rsidR="00F1794C" w:rsidRPr="00F1794C">
        <w:rPr>
          <w:lang w:val="fr-FR"/>
        </w:rPr>
        <w:t>’</w:t>
      </w:r>
      <w:r w:rsidRPr="00F1794C">
        <w:rPr>
          <w:lang w:val="fr-FR"/>
        </w:rPr>
        <w:t>engage à veiller au respect de « l</w:t>
      </w:r>
      <w:r w:rsidR="00F1794C" w:rsidRPr="00F1794C">
        <w:rPr>
          <w:lang w:val="fr-FR"/>
        </w:rPr>
        <w:t>’</w:t>
      </w:r>
      <w:r w:rsidRPr="00F1794C">
        <w:rPr>
          <w:lang w:val="fr-FR"/>
        </w:rPr>
        <w:t>approche genre » dans ses programmes et encourage son intégration dans la pratique professionnelle. En 2017, elle a élaboré une charte de la parité incitant au respect des principes d</w:t>
      </w:r>
      <w:r w:rsidR="00F1794C" w:rsidRPr="00F1794C">
        <w:rPr>
          <w:lang w:val="fr-FR"/>
        </w:rPr>
        <w:t>’</w:t>
      </w:r>
      <w:r w:rsidRPr="00F1794C">
        <w:rPr>
          <w:lang w:val="fr-FR"/>
        </w:rPr>
        <w:t>égalité et de parité consacrés par la Constitution et soulignant qu</w:t>
      </w:r>
      <w:r w:rsidR="00F1794C" w:rsidRPr="00F1794C">
        <w:rPr>
          <w:lang w:val="fr-FR"/>
        </w:rPr>
        <w:t>’</w:t>
      </w:r>
      <w:r w:rsidRPr="00F1794C">
        <w:rPr>
          <w:lang w:val="fr-FR"/>
        </w:rPr>
        <w:t>il importe de parvenir à la parité au niveau de l</w:t>
      </w:r>
      <w:r w:rsidR="00F1794C" w:rsidRPr="00F1794C">
        <w:rPr>
          <w:lang w:val="fr-FR"/>
        </w:rPr>
        <w:t>’</w:t>
      </w:r>
      <w:r w:rsidRPr="00F1794C">
        <w:rPr>
          <w:lang w:val="fr-FR"/>
        </w:rPr>
        <w:t>organisation et dans les programmes qu</w:t>
      </w:r>
      <w:r w:rsidR="00F1794C" w:rsidRPr="00F1794C">
        <w:rPr>
          <w:lang w:val="fr-FR"/>
        </w:rPr>
        <w:t>’</w:t>
      </w:r>
      <w:r w:rsidRPr="00F1794C">
        <w:rPr>
          <w:lang w:val="fr-FR"/>
        </w:rPr>
        <w:t xml:space="preserve">elle diffuse. En 2014, la deuxième chaîne (2M) a adopté une charte interne afin de mettre en place tous les mécanismes et moyens disponibles pour promouvoir une meilleure image de la femme. </w:t>
      </w:r>
    </w:p>
    <w:p w14:paraId="055ECD38" w14:textId="7CB5AA5D" w:rsidR="00B35EE7" w:rsidRPr="00F1794C" w:rsidRDefault="00B35EE7" w:rsidP="00456FC2">
      <w:pPr>
        <w:pStyle w:val="SingleTxt"/>
        <w:numPr>
          <w:ilvl w:val="0"/>
          <w:numId w:val="50"/>
        </w:numPr>
        <w:rPr>
          <w:lang w:val="fr-FR"/>
        </w:rPr>
      </w:pPr>
      <w:r w:rsidRPr="00F1794C">
        <w:rPr>
          <w:lang w:val="fr-FR"/>
        </w:rPr>
        <w:t>La loi n</w:t>
      </w:r>
      <w:r w:rsidRPr="00F1794C">
        <w:rPr>
          <w:vertAlign w:val="superscript"/>
          <w:lang w:val="fr-FR"/>
        </w:rPr>
        <w:t>o</w:t>
      </w:r>
      <w:r w:rsidR="00237A98">
        <w:rPr>
          <w:lang w:val="fr-FR"/>
        </w:rPr>
        <w:t> </w:t>
      </w:r>
      <w:r w:rsidRPr="00F1794C">
        <w:rPr>
          <w:lang w:val="fr-FR"/>
        </w:rPr>
        <w:t>83-13 de 2015 complétant la loi n</w:t>
      </w:r>
      <w:r w:rsidRPr="00F1794C">
        <w:rPr>
          <w:vertAlign w:val="superscript"/>
          <w:lang w:val="fr-FR"/>
        </w:rPr>
        <w:t>o</w:t>
      </w:r>
      <w:r w:rsidR="00237A98">
        <w:rPr>
          <w:lang w:val="fr-FR"/>
        </w:rPr>
        <w:t> </w:t>
      </w:r>
      <w:r w:rsidRPr="00F1794C">
        <w:rPr>
          <w:lang w:val="fr-FR"/>
        </w:rPr>
        <w:t>77-03 de 2005 relative à la communication audiovisuelle</w:t>
      </w:r>
      <w:r w:rsidRPr="00FA086B">
        <w:rPr>
          <w:vertAlign w:val="superscript"/>
          <w:lang w:val="fr-FR"/>
        </w:rPr>
        <w:footnoteReference w:id="39"/>
      </w:r>
      <w:r w:rsidRPr="00F1794C">
        <w:rPr>
          <w:lang w:val="fr-FR"/>
        </w:rPr>
        <w:t xml:space="preserve"> vise à promouvoir la culture de l</w:t>
      </w:r>
      <w:r w:rsidR="00F1794C" w:rsidRPr="00F1794C">
        <w:rPr>
          <w:lang w:val="fr-FR"/>
        </w:rPr>
        <w:t>’</w:t>
      </w:r>
      <w:r w:rsidRPr="00F1794C">
        <w:rPr>
          <w:lang w:val="fr-FR"/>
        </w:rPr>
        <w:t>égalité entre les sexes, à lutter contre la discrimination fondée sur le sexe, à interdire les messages publicitaires donnant une image stéréotypée des femmes, à encourager les opérateurs de communication audiovisuelle à contribuer à la lutte contre la discrimination fondée sur le genre et à promouvoir la culture de l</w:t>
      </w:r>
      <w:r w:rsidR="00F1794C" w:rsidRPr="00F1794C">
        <w:rPr>
          <w:lang w:val="fr-FR"/>
        </w:rPr>
        <w:t>’</w:t>
      </w:r>
      <w:r w:rsidRPr="00F1794C">
        <w:rPr>
          <w:lang w:val="fr-FR"/>
        </w:rPr>
        <w:t>égalité des sexes dans les médias.</w:t>
      </w:r>
    </w:p>
    <w:p w14:paraId="20F38236" w14:textId="50A683C2" w:rsidR="00B35EE7" w:rsidRPr="00F1794C" w:rsidRDefault="00B35EE7" w:rsidP="00456FC2">
      <w:pPr>
        <w:pStyle w:val="SingleTxt"/>
        <w:numPr>
          <w:ilvl w:val="0"/>
          <w:numId w:val="50"/>
        </w:numPr>
        <w:rPr>
          <w:lang w:val="fr-FR"/>
        </w:rPr>
      </w:pPr>
      <w:r w:rsidRPr="00F1794C">
        <w:rPr>
          <w:lang w:val="fr-FR"/>
        </w:rPr>
        <w:t>En vertu de la loi n</w:t>
      </w:r>
      <w:r w:rsidRPr="00F1794C">
        <w:rPr>
          <w:vertAlign w:val="superscript"/>
          <w:lang w:val="fr-FR"/>
        </w:rPr>
        <w:t>o</w:t>
      </w:r>
      <w:r w:rsidRPr="00F1794C">
        <w:rPr>
          <w:lang w:val="fr-FR"/>
        </w:rPr>
        <w:t xml:space="preserve"> 88-13 relative à la presse et à l</w:t>
      </w:r>
      <w:r w:rsidR="00F1794C" w:rsidRPr="00F1794C">
        <w:rPr>
          <w:lang w:val="fr-FR"/>
        </w:rPr>
        <w:t>’</w:t>
      </w:r>
      <w:r w:rsidRPr="00F1794C">
        <w:rPr>
          <w:lang w:val="fr-FR"/>
        </w:rPr>
        <w:t xml:space="preserve">édition, est interdite dans la presse écrite ou électronique toute publicité portant atteinte et dénigrement de la </w:t>
      </w:r>
      <w:r w:rsidRPr="00F1794C">
        <w:rPr>
          <w:lang w:val="fr-FR"/>
        </w:rPr>
        <w:lastRenderedPageBreak/>
        <w:t>femme, ou véhiculant un message de nature à perpétuer les stéréotypes d</w:t>
      </w:r>
      <w:r w:rsidR="00F1794C" w:rsidRPr="00F1794C">
        <w:rPr>
          <w:lang w:val="fr-FR"/>
        </w:rPr>
        <w:t>’</w:t>
      </w:r>
      <w:r w:rsidRPr="00F1794C">
        <w:rPr>
          <w:lang w:val="fr-FR"/>
        </w:rPr>
        <w:t>infériorité et la discrimination sexiste à l</w:t>
      </w:r>
      <w:r w:rsidR="00F1794C" w:rsidRPr="00F1794C">
        <w:rPr>
          <w:lang w:val="fr-FR"/>
        </w:rPr>
        <w:t>’</w:t>
      </w:r>
      <w:r w:rsidRPr="00F1794C">
        <w:rPr>
          <w:lang w:val="fr-FR"/>
        </w:rPr>
        <w:t xml:space="preserve">encontre de la femme. </w:t>
      </w:r>
    </w:p>
    <w:p w14:paraId="38D7132E" w14:textId="30D54BD7" w:rsidR="00B35EE7" w:rsidRPr="00F1794C" w:rsidRDefault="00B35EE7" w:rsidP="00456FC2">
      <w:pPr>
        <w:pStyle w:val="SingleTxt"/>
        <w:numPr>
          <w:ilvl w:val="0"/>
          <w:numId w:val="50"/>
        </w:numPr>
        <w:rPr>
          <w:lang w:val="fr-FR"/>
        </w:rPr>
      </w:pPr>
      <w:r w:rsidRPr="00F1794C">
        <w:rPr>
          <w:lang w:val="fr-FR"/>
        </w:rPr>
        <w:t>Un guide pour lutter contre les stéréotypes sexistes dans les médias au Maroc recense les stéréotypes liés au genre dans les médias et propose d</w:t>
      </w:r>
      <w:r w:rsidR="00F1794C" w:rsidRPr="00F1794C">
        <w:rPr>
          <w:lang w:val="fr-FR"/>
        </w:rPr>
        <w:t>’</w:t>
      </w:r>
      <w:r w:rsidRPr="00F1794C">
        <w:rPr>
          <w:lang w:val="fr-FR"/>
        </w:rPr>
        <w:t xml:space="preserve">autres solutions dans la pratique médiatique. Les professionnelles et professionnels des médias sont notamment encouragés à intégrer, de manière systématique et durable la dimension de genre dans leurs pratiques quotidiennes. </w:t>
      </w:r>
    </w:p>
    <w:p w14:paraId="2E07A314" w14:textId="3AC46E1B" w:rsidR="00B35EE7" w:rsidRPr="00F1794C" w:rsidRDefault="00B35EE7" w:rsidP="00456FC2">
      <w:pPr>
        <w:pStyle w:val="SingleTxt"/>
        <w:numPr>
          <w:ilvl w:val="0"/>
          <w:numId w:val="50"/>
        </w:numPr>
        <w:rPr>
          <w:lang w:val="fr-FR"/>
        </w:rPr>
      </w:pPr>
      <w:r w:rsidRPr="00F1794C">
        <w:rPr>
          <w:lang w:val="fr-FR"/>
        </w:rPr>
        <w:t>Ces mesures ont donné de bons résultats pour ce qui est de la proportion de femmes présentes dans les médias audiovisuels. Dans les journaux et programmes d</w:t>
      </w:r>
      <w:r w:rsidR="00F1794C" w:rsidRPr="00F1794C">
        <w:rPr>
          <w:lang w:val="fr-FR"/>
        </w:rPr>
        <w:t>’</w:t>
      </w:r>
      <w:r w:rsidRPr="00F1794C">
        <w:rPr>
          <w:lang w:val="fr-FR"/>
        </w:rPr>
        <w:t>information des chaînes publiques, 17,35</w:t>
      </w:r>
      <w:r w:rsidR="00F1794C" w:rsidRPr="00F1794C">
        <w:rPr>
          <w:lang w:val="fr-FR"/>
        </w:rPr>
        <w:t> %</w:t>
      </w:r>
      <w:r w:rsidRPr="00F1794C">
        <w:rPr>
          <w:lang w:val="fr-FR"/>
        </w:rPr>
        <w:t xml:space="preserve"> des interventions ont été faites par des femmes sur la première chaîne (TV Al Oula) et 20,30</w:t>
      </w:r>
      <w:r w:rsidR="00F1794C" w:rsidRPr="00F1794C">
        <w:rPr>
          <w:lang w:val="fr-FR"/>
        </w:rPr>
        <w:t> %</w:t>
      </w:r>
      <w:r w:rsidRPr="00F1794C">
        <w:rPr>
          <w:lang w:val="fr-FR"/>
        </w:rPr>
        <w:t xml:space="preserve"> sur la deuxième chaîne (TV 2M) au cours du quatrième trimestre de 2018, contre, respectivement, 13,37</w:t>
      </w:r>
      <w:r w:rsidR="00F1794C" w:rsidRPr="00F1794C">
        <w:rPr>
          <w:lang w:val="fr-FR"/>
        </w:rPr>
        <w:t> %</w:t>
      </w:r>
      <w:r w:rsidRPr="00F1794C">
        <w:rPr>
          <w:lang w:val="fr-FR"/>
        </w:rPr>
        <w:t xml:space="preserve"> et 13,70</w:t>
      </w:r>
      <w:r w:rsidR="00F1794C" w:rsidRPr="00F1794C">
        <w:rPr>
          <w:lang w:val="fr-FR"/>
        </w:rPr>
        <w:t> %</w:t>
      </w:r>
      <w:r w:rsidRPr="00F1794C">
        <w:rPr>
          <w:lang w:val="fr-FR"/>
        </w:rPr>
        <w:t xml:space="preserve"> durant la même période en 2017</w:t>
      </w:r>
      <w:r w:rsidRPr="00FA086B">
        <w:rPr>
          <w:vertAlign w:val="superscript"/>
          <w:lang w:val="fr-FR"/>
        </w:rPr>
        <w:footnoteReference w:id="40"/>
      </w:r>
      <w:r w:rsidRPr="00F1794C">
        <w:rPr>
          <w:lang w:val="fr-FR"/>
        </w:rPr>
        <w:t>. Les femmes sont les sujets et les sources d</w:t>
      </w:r>
      <w:r w:rsidR="00F1794C" w:rsidRPr="00F1794C">
        <w:rPr>
          <w:lang w:val="fr-FR"/>
        </w:rPr>
        <w:t>’</w:t>
      </w:r>
      <w:r w:rsidRPr="00F1794C">
        <w:rPr>
          <w:lang w:val="fr-FR"/>
        </w:rPr>
        <w:t>information dans 20</w:t>
      </w:r>
      <w:r w:rsidR="00F1794C" w:rsidRPr="00F1794C">
        <w:rPr>
          <w:lang w:val="fr-FR"/>
        </w:rPr>
        <w:t> %</w:t>
      </w:r>
      <w:r w:rsidRPr="00F1794C">
        <w:rPr>
          <w:lang w:val="fr-FR"/>
        </w:rPr>
        <w:t xml:space="preserve"> des cas, les hommes dans 80</w:t>
      </w:r>
      <w:r w:rsidR="00F1794C" w:rsidRPr="00F1794C">
        <w:rPr>
          <w:lang w:val="fr-FR"/>
        </w:rPr>
        <w:t> %</w:t>
      </w:r>
      <w:r w:rsidRPr="00F1794C">
        <w:rPr>
          <w:lang w:val="fr-FR"/>
        </w:rPr>
        <w:t xml:space="preserve"> des cas.</w:t>
      </w:r>
      <w:r w:rsidR="00F1794C" w:rsidRPr="00F1794C">
        <w:rPr>
          <w:lang w:val="fr-FR"/>
        </w:rPr>
        <w:t xml:space="preserve"> </w:t>
      </w:r>
      <w:r w:rsidRPr="00F1794C">
        <w:rPr>
          <w:lang w:val="fr-FR"/>
        </w:rPr>
        <w:t>Les femmes produisent 46</w:t>
      </w:r>
      <w:r w:rsidR="00F1794C" w:rsidRPr="00F1794C">
        <w:rPr>
          <w:lang w:val="fr-FR"/>
        </w:rPr>
        <w:t> %</w:t>
      </w:r>
      <w:r w:rsidRPr="00F1794C">
        <w:rPr>
          <w:lang w:val="fr-FR"/>
        </w:rPr>
        <w:t xml:space="preserve"> de l</w:t>
      </w:r>
      <w:r w:rsidR="00F1794C" w:rsidRPr="00F1794C">
        <w:rPr>
          <w:lang w:val="fr-FR"/>
        </w:rPr>
        <w:t>’</w:t>
      </w:r>
      <w:r w:rsidRPr="00F1794C">
        <w:rPr>
          <w:lang w:val="fr-FR"/>
        </w:rPr>
        <w:t>information, les hommes 64</w:t>
      </w:r>
      <w:r w:rsidR="00F1794C" w:rsidRPr="00F1794C">
        <w:rPr>
          <w:lang w:val="fr-FR"/>
        </w:rPr>
        <w:t> %</w:t>
      </w:r>
      <w:r w:rsidRPr="00F1794C">
        <w:rPr>
          <w:lang w:val="fr-FR"/>
        </w:rPr>
        <w:t>. Sur le plan professionnel, les femmes représentent 70</w:t>
      </w:r>
      <w:r w:rsidR="00F1794C" w:rsidRPr="00F1794C">
        <w:rPr>
          <w:lang w:val="fr-FR"/>
        </w:rPr>
        <w:t> %</w:t>
      </w:r>
      <w:r w:rsidRPr="00F1794C">
        <w:rPr>
          <w:lang w:val="fr-FR"/>
        </w:rPr>
        <w:t xml:space="preserve"> des présentateurs des journaux d</w:t>
      </w:r>
      <w:r w:rsidR="00F1794C" w:rsidRPr="00F1794C">
        <w:rPr>
          <w:lang w:val="fr-FR"/>
        </w:rPr>
        <w:t>’</w:t>
      </w:r>
      <w:r w:rsidRPr="00F1794C">
        <w:rPr>
          <w:lang w:val="fr-FR"/>
        </w:rPr>
        <w:t>information, les hommes 30</w:t>
      </w:r>
      <w:r w:rsidR="00F1794C" w:rsidRPr="00F1794C">
        <w:rPr>
          <w:lang w:val="fr-FR"/>
        </w:rPr>
        <w:t> %</w:t>
      </w:r>
      <w:r w:rsidRPr="00F1794C">
        <w:rPr>
          <w:lang w:val="fr-FR"/>
        </w:rPr>
        <w:t>. Elles représentent 22</w:t>
      </w:r>
      <w:r w:rsidR="00F1794C" w:rsidRPr="00F1794C">
        <w:rPr>
          <w:lang w:val="fr-FR"/>
        </w:rPr>
        <w:t> %</w:t>
      </w:r>
      <w:r w:rsidRPr="00F1794C">
        <w:rPr>
          <w:lang w:val="fr-FR"/>
        </w:rPr>
        <w:t xml:space="preserve"> des acteurs de la presse écrite et 34</w:t>
      </w:r>
      <w:r w:rsidR="00F1794C" w:rsidRPr="00F1794C">
        <w:rPr>
          <w:lang w:val="fr-FR"/>
        </w:rPr>
        <w:t> %</w:t>
      </w:r>
      <w:r w:rsidRPr="00F1794C">
        <w:rPr>
          <w:lang w:val="fr-FR"/>
        </w:rPr>
        <w:t xml:space="preserve"> de ceux de la radio</w:t>
      </w:r>
      <w:r w:rsidRPr="00FA086B">
        <w:rPr>
          <w:vertAlign w:val="superscript"/>
          <w:lang w:val="fr-FR"/>
        </w:rPr>
        <w:footnoteReference w:id="41"/>
      </w:r>
      <w:r w:rsidRPr="00F1794C">
        <w:rPr>
          <w:lang w:val="fr-FR"/>
        </w:rPr>
        <w:t xml:space="preserve">. </w:t>
      </w:r>
    </w:p>
    <w:p w14:paraId="76080829" w14:textId="27E6B167" w:rsidR="00B35EE7" w:rsidRPr="00F1794C" w:rsidRDefault="00B35EE7" w:rsidP="00456FC2">
      <w:pPr>
        <w:pStyle w:val="SingleTxt"/>
        <w:numPr>
          <w:ilvl w:val="0"/>
          <w:numId w:val="50"/>
        </w:numPr>
        <w:rPr>
          <w:lang w:val="fr-FR"/>
        </w:rPr>
      </w:pPr>
      <w:r w:rsidRPr="00F1794C">
        <w:rPr>
          <w:lang w:val="fr-FR"/>
        </w:rPr>
        <w:t>Créé en 2014, l</w:t>
      </w:r>
      <w:r w:rsidR="00F1794C" w:rsidRPr="00F1794C">
        <w:rPr>
          <w:lang w:val="fr-FR"/>
        </w:rPr>
        <w:t>’</w:t>
      </w:r>
      <w:r w:rsidRPr="00F1794C">
        <w:rPr>
          <w:lang w:val="fr-FR"/>
        </w:rPr>
        <w:t>Observatoire national de l</w:t>
      </w:r>
      <w:r w:rsidR="00F1794C" w:rsidRPr="00F1794C">
        <w:rPr>
          <w:lang w:val="fr-FR"/>
        </w:rPr>
        <w:t>’</w:t>
      </w:r>
      <w:r w:rsidRPr="00F1794C">
        <w:rPr>
          <w:lang w:val="fr-FR"/>
        </w:rPr>
        <w:t>image de la femme dans les médias</w:t>
      </w:r>
      <w:r w:rsidRPr="00FA086B">
        <w:rPr>
          <w:vertAlign w:val="superscript"/>
          <w:lang w:val="fr-FR"/>
        </w:rPr>
        <w:footnoteReference w:id="42"/>
      </w:r>
      <w:r w:rsidRPr="00F1794C">
        <w:rPr>
          <w:lang w:val="fr-FR"/>
        </w:rPr>
        <w:t xml:space="preserve"> est un mécanisme tripartite</w:t>
      </w:r>
      <w:r w:rsidRPr="00FA086B">
        <w:rPr>
          <w:vertAlign w:val="superscript"/>
          <w:lang w:val="fr-FR"/>
        </w:rPr>
        <w:footnoteReference w:id="43"/>
      </w:r>
      <w:r w:rsidRPr="00F1794C">
        <w:rPr>
          <w:lang w:val="fr-FR"/>
        </w:rPr>
        <w:t xml:space="preserve"> qui s</w:t>
      </w:r>
      <w:r w:rsidR="00F1794C" w:rsidRPr="00F1794C">
        <w:rPr>
          <w:lang w:val="fr-FR"/>
        </w:rPr>
        <w:t>’</w:t>
      </w:r>
      <w:r w:rsidRPr="00F1794C">
        <w:rPr>
          <w:lang w:val="fr-FR"/>
        </w:rPr>
        <w:t>acquitte des missions suivantes</w:t>
      </w:r>
      <w:r w:rsidR="00F1794C" w:rsidRPr="00F1794C">
        <w:rPr>
          <w:lang w:val="fr-FR"/>
        </w:rPr>
        <w:t> :</w:t>
      </w:r>
      <w:r w:rsidRPr="00F1794C">
        <w:rPr>
          <w:lang w:val="fr-FR"/>
        </w:rPr>
        <w:t xml:space="preserve"> observation et suivi de l</w:t>
      </w:r>
      <w:r w:rsidR="00F1794C" w:rsidRPr="00F1794C">
        <w:rPr>
          <w:lang w:val="fr-FR"/>
        </w:rPr>
        <w:t>’</w:t>
      </w:r>
      <w:r w:rsidRPr="00F1794C">
        <w:rPr>
          <w:lang w:val="fr-FR"/>
        </w:rPr>
        <w:t>image de la femme dans l</w:t>
      </w:r>
      <w:r w:rsidR="00F1794C" w:rsidRPr="00F1794C">
        <w:rPr>
          <w:lang w:val="fr-FR"/>
        </w:rPr>
        <w:t>’</w:t>
      </w:r>
      <w:r w:rsidRPr="00F1794C">
        <w:rPr>
          <w:lang w:val="fr-FR"/>
        </w:rPr>
        <w:t>ensemble des médias (presse, audiovisuel et numérique), lutte contre les stéréotypes, contribution à l</w:t>
      </w:r>
      <w:r w:rsidR="00F1794C" w:rsidRPr="00F1794C">
        <w:rPr>
          <w:lang w:val="fr-FR"/>
        </w:rPr>
        <w:t>’</w:t>
      </w:r>
      <w:r w:rsidRPr="00F1794C">
        <w:rPr>
          <w:lang w:val="fr-FR"/>
        </w:rPr>
        <w:t>amélioration et au développement des connaissances, promotion d</w:t>
      </w:r>
      <w:r w:rsidR="00F1794C" w:rsidRPr="00F1794C">
        <w:rPr>
          <w:lang w:val="fr-FR"/>
        </w:rPr>
        <w:t>’</w:t>
      </w:r>
      <w:r w:rsidRPr="00F1794C">
        <w:rPr>
          <w:lang w:val="fr-FR"/>
        </w:rPr>
        <w:t>une culture de l</w:t>
      </w:r>
      <w:r w:rsidR="00F1794C" w:rsidRPr="00F1794C">
        <w:rPr>
          <w:lang w:val="fr-FR"/>
        </w:rPr>
        <w:t>’</w:t>
      </w:r>
      <w:r w:rsidRPr="00F1794C">
        <w:rPr>
          <w:lang w:val="fr-FR"/>
        </w:rPr>
        <w:t xml:space="preserve">égalité et promotion des droits de la femme. </w:t>
      </w:r>
    </w:p>
    <w:p w14:paraId="2D2DFB31" w14:textId="177E9598" w:rsidR="00B35EE7" w:rsidRPr="00F1794C" w:rsidRDefault="00B35EE7" w:rsidP="00456FC2">
      <w:pPr>
        <w:pStyle w:val="SingleTxt"/>
        <w:numPr>
          <w:ilvl w:val="0"/>
          <w:numId w:val="50"/>
        </w:numPr>
        <w:rPr>
          <w:lang w:val="fr-FR"/>
        </w:rPr>
      </w:pPr>
      <w:r w:rsidRPr="00F1794C">
        <w:rPr>
          <w:lang w:val="fr-FR"/>
        </w:rPr>
        <w:t>Comme suite à la recommandation formulée au paragraphe 19 des observations finales, le Gouvernement a œuvré pour modifier les comportements stéréotypés et les normes culturelles négatives et s</w:t>
      </w:r>
      <w:r w:rsidR="00F1794C" w:rsidRPr="00F1794C">
        <w:rPr>
          <w:lang w:val="fr-FR"/>
        </w:rPr>
        <w:t>’</w:t>
      </w:r>
      <w:r w:rsidRPr="00F1794C">
        <w:rPr>
          <w:lang w:val="fr-FR"/>
        </w:rPr>
        <w:t>attaquer aux stéréotypes dans les établissements d</w:t>
      </w:r>
      <w:r w:rsidR="00F1794C" w:rsidRPr="00F1794C">
        <w:rPr>
          <w:lang w:val="fr-FR"/>
        </w:rPr>
        <w:t>’</w:t>
      </w:r>
      <w:r w:rsidRPr="00F1794C">
        <w:rPr>
          <w:lang w:val="fr-FR"/>
        </w:rPr>
        <w:t>enseignement et les établissements d</w:t>
      </w:r>
      <w:r w:rsidR="00F1794C" w:rsidRPr="00F1794C">
        <w:rPr>
          <w:lang w:val="fr-FR"/>
        </w:rPr>
        <w:t>’</w:t>
      </w:r>
      <w:r w:rsidRPr="00F1794C">
        <w:rPr>
          <w:lang w:val="fr-FR"/>
        </w:rPr>
        <w:t>enseignement religieux. L</w:t>
      </w:r>
      <w:r w:rsidR="00F1794C" w:rsidRPr="00F1794C">
        <w:rPr>
          <w:lang w:val="fr-FR"/>
        </w:rPr>
        <w:t>’</w:t>
      </w:r>
      <w:r w:rsidRPr="00F1794C">
        <w:rPr>
          <w:lang w:val="fr-FR"/>
        </w:rPr>
        <w:t>éducation familiale fait l</w:t>
      </w:r>
      <w:r w:rsidR="00F1794C" w:rsidRPr="00F1794C">
        <w:rPr>
          <w:lang w:val="fr-FR"/>
        </w:rPr>
        <w:t>’</w:t>
      </w:r>
      <w:r w:rsidRPr="00F1794C">
        <w:rPr>
          <w:lang w:val="fr-FR"/>
        </w:rPr>
        <w:t>objet d</w:t>
      </w:r>
      <w:r w:rsidR="00F1794C" w:rsidRPr="00F1794C">
        <w:rPr>
          <w:lang w:val="fr-FR"/>
        </w:rPr>
        <w:t>’</w:t>
      </w:r>
      <w:r w:rsidRPr="00F1794C">
        <w:rPr>
          <w:lang w:val="fr-FR"/>
        </w:rPr>
        <w:t>une matière dans l</w:t>
      </w:r>
      <w:r w:rsidR="00F1794C" w:rsidRPr="00F1794C">
        <w:rPr>
          <w:lang w:val="fr-FR"/>
        </w:rPr>
        <w:t>’</w:t>
      </w:r>
      <w:r w:rsidRPr="00F1794C">
        <w:rPr>
          <w:lang w:val="fr-FR"/>
        </w:rPr>
        <w:t>enseignement secondaire collégial et l</w:t>
      </w:r>
      <w:r w:rsidR="00F1794C" w:rsidRPr="00F1794C">
        <w:rPr>
          <w:lang w:val="fr-FR"/>
        </w:rPr>
        <w:t>’</w:t>
      </w:r>
      <w:r w:rsidRPr="00F1794C">
        <w:rPr>
          <w:lang w:val="fr-FR"/>
        </w:rPr>
        <w:t>éducation à la citoyenneté fait partie intégrante des manuels d</w:t>
      </w:r>
      <w:r w:rsidR="00F1794C" w:rsidRPr="00F1794C">
        <w:rPr>
          <w:lang w:val="fr-FR"/>
        </w:rPr>
        <w:t>’</w:t>
      </w:r>
      <w:r w:rsidRPr="00F1794C">
        <w:rPr>
          <w:lang w:val="fr-FR"/>
        </w:rPr>
        <w:t>enseignement primaire et secondaire. Une unité est également consacrée à l</w:t>
      </w:r>
      <w:r w:rsidR="00F1794C" w:rsidRPr="00F1794C">
        <w:rPr>
          <w:lang w:val="fr-FR"/>
        </w:rPr>
        <w:t>’</w:t>
      </w:r>
      <w:r w:rsidRPr="00F1794C">
        <w:rPr>
          <w:lang w:val="fr-FR"/>
        </w:rPr>
        <w:t>égalité dans le secondaire. Des publications et des guides visent à promouvoir les valeurs d</w:t>
      </w:r>
      <w:r w:rsidR="00F1794C" w:rsidRPr="00F1794C">
        <w:rPr>
          <w:lang w:val="fr-FR"/>
        </w:rPr>
        <w:t>’</w:t>
      </w:r>
      <w:r w:rsidRPr="00F1794C">
        <w:rPr>
          <w:lang w:val="fr-FR"/>
        </w:rPr>
        <w:t>égalité dans les manuels et dans la vie scolaire. En 2014, 147 livres scolaires, dans les différentes matières, ont été expurgés de tout contenu ou image portant atteinte aux valeurs d</w:t>
      </w:r>
      <w:r w:rsidR="00F1794C" w:rsidRPr="00F1794C">
        <w:rPr>
          <w:lang w:val="fr-FR"/>
        </w:rPr>
        <w:t>’</w:t>
      </w:r>
      <w:r w:rsidRPr="00F1794C">
        <w:rPr>
          <w:lang w:val="fr-FR"/>
        </w:rPr>
        <w:t>égalité et de tolérance. En outre, l</w:t>
      </w:r>
      <w:r w:rsidR="00F1794C" w:rsidRPr="00F1794C">
        <w:rPr>
          <w:lang w:val="fr-FR"/>
        </w:rPr>
        <w:t>’</w:t>
      </w:r>
      <w:r w:rsidRPr="00F1794C">
        <w:rPr>
          <w:lang w:val="fr-FR"/>
        </w:rPr>
        <w:t>ensemble des manuels d</w:t>
      </w:r>
      <w:r w:rsidR="00F1794C" w:rsidRPr="00F1794C">
        <w:rPr>
          <w:lang w:val="fr-FR"/>
        </w:rPr>
        <w:t>’</w:t>
      </w:r>
      <w:r w:rsidRPr="00F1794C">
        <w:rPr>
          <w:lang w:val="fr-FR"/>
        </w:rPr>
        <w:t>éducation islamique ont été revus en 2016. Les nouveaux manuels ne contiennent aucun contenu assimilable à de la discrimination fondée sur le genre, la couleur, la religion, la langue, le handicap ou l</w:t>
      </w:r>
      <w:r w:rsidR="00F1794C" w:rsidRPr="00F1794C">
        <w:rPr>
          <w:lang w:val="fr-FR"/>
        </w:rPr>
        <w:t>’</w:t>
      </w:r>
      <w:r w:rsidRPr="00F1794C">
        <w:rPr>
          <w:lang w:val="fr-FR"/>
        </w:rPr>
        <w:t>appartenance ethnique. Les programmes d</w:t>
      </w:r>
      <w:r w:rsidR="00F1794C" w:rsidRPr="00F1794C">
        <w:rPr>
          <w:lang w:val="fr-FR"/>
        </w:rPr>
        <w:t>’</w:t>
      </w:r>
      <w:r w:rsidRPr="00F1794C">
        <w:rPr>
          <w:lang w:val="fr-FR"/>
        </w:rPr>
        <w:t>enseignement concernant l</w:t>
      </w:r>
      <w:r w:rsidR="00F1794C" w:rsidRPr="00F1794C">
        <w:rPr>
          <w:lang w:val="fr-FR"/>
        </w:rPr>
        <w:t>’</w:t>
      </w:r>
      <w:r w:rsidRPr="00F1794C">
        <w:rPr>
          <w:lang w:val="fr-FR"/>
        </w:rPr>
        <w:t>enseignement traditionnel et les programmes d</w:t>
      </w:r>
      <w:r w:rsidR="00F1794C" w:rsidRPr="00F1794C">
        <w:rPr>
          <w:lang w:val="fr-FR"/>
        </w:rPr>
        <w:t>’</w:t>
      </w:r>
      <w:r w:rsidRPr="00F1794C">
        <w:rPr>
          <w:lang w:val="fr-FR"/>
        </w:rPr>
        <w:t xml:space="preserve">alphabétisation suivis dans les mosquées ont été revus et des sujets destinés à promouvoir les droits des femmes ajoutés. </w:t>
      </w:r>
    </w:p>
    <w:p w14:paraId="580A48A9" w14:textId="6055AE77" w:rsidR="00B35EE7" w:rsidRPr="00F1794C" w:rsidRDefault="00237A98" w:rsidP="00B35EE7">
      <w:pPr>
        <w:pStyle w:val="SingleTxt"/>
        <w:rPr>
          <w:lang w:val="fr-FR"/>
        </w:rPr>
      </w:pPr>
      <w:r>
        <w:rPr>
          <w:lang w:val="fr-FR"/>
        </w:rPr>
        <w:tab/>
      </w:r>
      <w:r w:rsidR="00B35EE7" w:rsidRPr="00F1794C">
        <w:rPr>
          <w:lang w:val="fr-FR"/>
        </w:rPr>
        <w:t>Par ailleurs, le Ministère des habous et des affaires islamiques a mis en place un programme de formation à l</w:t>
      </w:r>
      <w:r w:rsidR="00F1794C" w:rsidRPr="00F1794C">
        <w:rPr>
          <w:lang w:val="fr-FR"/>
        </w:rPr>
        <w:t>’</w:t>
      </w:r>
      <w:r w:rsidR="00B35EE7" w:rsidRPr="00F1794C">
        <w:rPr>
          <w:lang w:val="fr-FR"/>
        </w:rPr>
        <w:t>intention des imams morchidines et morchidates (guides spirituels). L</w:t>
      </w:r>
      <w:r w:rsidR="00F1794C" w:rsidRPr="00F1794C">
        <w:rPr>
          <w:lang w:val="fr-FR"/>
        </w:rPr>
        <w:t>’</w:t>
      </w:r>
      <w:r w:rsidR="00B35EE7" w:rsidRPr="00F1794C">
        <w:rPr>
          <w:lang w:val="fr-FR"/>
        </w:rPr>
        <w:t>experte indépendante dans le domaine des droits culturels a indiqué qu</w:t>
      </w:r>
      <w:r w:rsidR="00F1794C" w:rsidRPr="00F1794C">
        <w:rPr>
          <w:lang w:val="fr-FR"/>
        </w:rPr>
        <w:t>’</w:t>
      </w:r>
      <w:r w:rsidR="00B35EE7" w:rsidRPr="00F1794C">
        <w:rPr>
          <w:lang w:val="fr-FR"/>
        </w:rPr>
        <w:t xml:space="preserve">il </w:t>
      </w:r>
      <w:r w:rsidR="00B35EE7" w:rsidRPr="00F1794C">
        <w:rPr>
          <w:lang w:val="fr-FR"/>
        </w:rPr>
        <w:lastRenderedPageBreak/>
        <w:t>s</w:t>
      </w:r>
      <w:r w:rsidR="00F1794C" w:rsidRPr="00F1794C">
        <w:rPr>
          <w:lang w:val="fr-FR"/>
        </w:rPr>
        <w:t>’</w:t>
      </w:r>
      <w:r w:rsidR="00B35EE7" w:rsidRPr="00F1794C">
        <w:rPr>
          <w:lang w:val="fr-FR"/>
        </w:rPr>
        <w:t>agissait d</w:t>
      </w:r>
      <w:r w:rsidR="00F1794C" w:rsidRPr="00F1794C">
        <w:rPr>
          <w:lang w:val="fr-FR"/>
        </w:rPr>
        <w:t>’</w:t>
      </w:r>
      <w:r w:rsidR="00B35EE7" w:rsidRPr="00F1794C">
        <w:rPr>
          <w:lang w:val="fr-FR"/>
        </w:rPr>
        <w:t>une expérience et d</w:t>
      </w:r>
      <w:r w:rsidR="00F1794C" w:rsidRPr="00F1794C">
        <w:rPr>
          <w:lang w:val="fr-FR"/>
        </w:rPr>
        <w:t>’</w:t>
      </w:r>
      <w:r w:rsidR="00B35EE7" w:rsidRPr="00F1794C">
        <w:rPr>
          <w:lang w:val="fr-FR"/>
        </w:rPr>
        <w:t>une pratique optimales</w:t>
      </w:r>
      <w:r w:rsidR="00B35EE7" w:rsidRPr="00FA086B">
        <w:rPr>
          <w:vertAlign w:val="superscript"/>
          <w:lang w:val="fr-FR"/>
        </w:rPr>
        <w:footnoteReference w:id="44"/>
      </w:r>
      <w:r w:rsidR="00B35EE7" w:rsidRPr="00F1794C">
        <w:rPr>
          <w:lang w:val="fr-FR"/>
        </w:rPr>
        <w:t>, cette initiative marquant un premier pas s</w:t>
      </w:r>
      <w:r w:rsidR="00F1794C" w:rsidRPr="00F1794C">
        <w:rPr>
          <w:lang w:val="fr-FR"/>
        </w:rPr>
        <w:t>’</w:t>
      </w:r>
      <w:r w:rsidR="00B35EE7" w:rsidRPr="00F1794C">
        <w:rPr>
          <w:lang w:val="fr-FR"/>
        </w:rPr>
        <w:t>agissant de donner aux femmes les mêmes chances qu</w:t>
      </w:r>
      <w:r w:rsidR="00F1794C" w:rsidRPr="00F1794C">
        <w:rPr>
          <w:lang w:val="fr-FR"/>
        </w:rPr>
        <w:t>’</w:t>
      </w:r>
      <w:r w:rsidR="00B35EE7" w:rsidRPr="00F1794C">
        <w:rPr>
          <w:lang w:val="fr-FR"/>
        </w:rPr>
        <w:t>aux hommes dans le domaine de la direction spirituelle et de l</w:t>
      </w:r>
      <w:r w:rsidR="00F1794C" w:rsidRPr="00F1794C">
        <w:rPr>
          <w:lang w:val="fr-FR"/>
        </w:rPr>
        <w:t>’</w:t>
      </w:r>
      <w:r w:rsidR="00B35EE7" w:rsidRPr="00F1794C">
        <w:rPr>
          <w:lang w:val="fr-FR"/>
        </w:rPr>
        <w:t>enseignement religieux. Ce programme offre également aux un espace social et culturel leur permettant de partager leurs expériences et de participer davantage à la vie culturelle. On comptait 916 guides spirituelles en 2018, une augmentation significative de 45</w:t>
      </w:r>
      <w:r w:rsidR="00F1794C" w:rsidRPr="00F1794C">
        <w:rPr>
          <w:lang w:val="fr-FR"/>
        </w:rPr>
        <w:t> %</w:t>
      </w:r>
      <w:r w:rsidR="00B35EE7" w:rsidRPr="00F1794C">
        <w:rPr>
          <w:lang w:val="fr-FR"/>
        </w:rPr>
        <w:t xml:space="preserve">. </w:t>
      </w:r>
    </w:p>
    <w:p w14:paraId="1D926EA3" w14:textId="6DF879F0" w:rsidR="00B35EE7" w:rsidRPr="00F1794C" w:rsidRDefault="00B35EE7" w:rsidP="00456FC2">
      <w:pPr>
        <w:pStyle w:val="SingleTxt"/>
        <w:numPr>
          <w:ilvl w:val="0"/>
          <w:numId w:val="50"/>
        </w:numPr>
        <w:rPr>
          <w:lang w:val="fr-FR"/>
        </w:rPr>
      </w:pPr>
      <w:r w:rsidRPr="00F1794C">
        <w:rPr>
          <w:lang w:val="fr-FR"/>
        </w:rPr>
        <w:t>Le programme du secteur de l</w:t>
      </w:r>
      <w:r w:rsidR="00F1794C" w:rsidRPr="00F1794C">
        <w:rPr>
          <w:lang w:val="fr-FR"/>
        </w:rPr>
        <w:t>’</w:t>
      </w:r>
      <w:r w:rsidRPr="00F1794C">
        <w:rPr>
          <w:lang w:val="fr-FR"/>
        </w:rPr>
        <w:t>administration publique est articulé autour de quatre axes</w:t>
      </w:r>
      <w:r w:rsidR="00F1794C" w:rsidRPr="00F1794C">
        <w:rPr>
          <w:lang w:val="fr-FR"/>
        </w:rPr>
        <w:t> :</w:t>
      </w:r>
      <w:r w:rsidRPr="00F1794C">
        <w:rPr>
          <w:lang w:val="fr-FR"/>
        </w:rPr>
        <w:t xml:space="preserve"> intégration du principe de l</w:t>
      </w:r>
      <w:r w:rsidR="00F1794C" w:rsidRPr="00F1794C">
        <w:rPr>
          <w:lang w:val="fr-FR"/>
        </w:rPr>
        <w:t>’</w:t>
      </w:r>
      <w:r w:rsidRPr="00F1794C">
        <w:rPr>
          <w:lang w:val="fr-FR"/>
        </w:rPr>
        <w:t>égalité des sexes dans les pratiques et les politiques</w:t>
      </w:r>
      <w:r w:rsidR="00F1794C" w:rsidRPr="00F1794C">
        <w:rPr>
          <w:lang w:val="fr-FR"/>
        </w:rPr>
        <w:t> ;</w:t>
      </w:r>
      <w:r w:rsidRPr="00F1794C">
        <w:rPr>
          <w:lang w:val="fr-FR"/>
        </w:rPr>
        <w:t xml:space="preserve"> réduction des disparités entre les sexes en matière de gestion des ressources humaines par le renforcement des capacités</w:t>
      </w:r>
      <w:r w:rsidR="00F1794C" w:rsidRPr="00F1794C">
        <w:rPr>
          <w:lang w:val="fr-FR"/>
        </w:rPr>
        <w:t> ;</w:t>
      </w:r>
      <w:r w:rsidRPr="00F1794C">
        <w:rPr>
          <w:lang w:val="fr-FR"/>
        </w:rPr>
        <w:t xml:space="preserve"> accroissement de la représentation des femmes et de leur participation aux postes de décision</w:t>
      </w:r>
      <w:r w:rsidR="00F1794C" w:rsidRPr="00F1794C">
        <w:rPr>
          <w:lang w:val="fr-FR"/>
        </w:rPr>
        <w:t> ;</w:t>
      </w:r>
      <w:r w:rsidRPr="00F1794C">
        <w:rPr>
          <w:lang w:val="fr-FR"/>
        </w:rPr>
        <w:t xml:space="preserve"> promotion de l</w:t>
      </w:r>
      <w:r w:rsidR="00F1794C" w:rsidRPr="00F1794C">
        <w:rPr>
          <w:lang w:val="fr-FR"/>
        </w:rPr>
        <w:t>’</w:t>
      </w:r>
      <w:r w:rsidRPr="00F1794C">
        <w:rPr>
          <w:lang w:val="fr-FR"/>
        </w:rPr>
        <w:t xml:space="preserve">équilibre entre vie professionnelle et vie privée. </w:t>
      </w:r>
    </w:p>
    <w:p w14:paraId="15AB24A1" w14:textId="5212EEA9" w:rsidR="00B35EE7" w:rsidRPr="00237A98" w:rsidRDefault="00B35EE7" w:rsidP="00237A98">
      <w:pPr>
        <w:pStyle w:val="SingleTxt"/>
        <w:spacing w:after="0" w:line="120" w:lineRule="exact"/>
        <w:rPr>
          <w:sz w:val="10"/>
          <w:lang w:val="fr-FR"/>
        </w:rPr>
      </w:pPr>
    </w:p>
    <w:p w14:paraId="61A8FDEB" w14:textId="7F7FDEE7" w:rsidR="00B35EE7" w:rsidRPr="00F1794C" w:rsidRDefault="00237A98" w:rsidP="00237A9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B35EE7" w:rsidRPr="00F1794C">
        <w:rPr>
          <w:lang w:val="fr-FR"/>
        </w:rPr>
        <w:t>Article 6</w:t>
      </w:r>
    </w:p>
    <w:p w14:paraId="2B21FA83" w14:textId="67973F9F" w:rsidR="00B35EE7" w:rsidRPr="00237A98" w:rsidRDefault="00B35EE7" w:rsidP="00237A98">
      <w:pPr>
        <w:pStyle w:val="SingleTxt"/>
        <w:spacing w:after="0" w:line="120" w:lineRule="exact"/>
        <w:rPr>
          <w:sz w:val="10"/>
          <w:lang w:val="fr-FR"/>
        </w:rPr>
      </w:pPr>
    </w:p>
    <w:p w14:paraId="51943AC5" w14:textId="26C9334A" w:rsidR="00B35EE7" w:rsidRPr="00F1794C" w:rsidRDefault="00B35EE7" w:rsidP="00456FC2">
      <w:pPr>
        <w:pStyle w:val="SingleTxt"/>
        <w:numPr>
          <w:ilvl w:val="0"/>
          <w:numId w:val="50"/>
        </w:numPr>
        <w:rPr>
          <w:lang w:val="fr-FR"/>
        </w:rPr>
      </w:pPr>
      <w:r w:rsidRPr="00F1794C">
        <w:rPr>
          <w:lang w:val="fr-FR"/>
        </w:rPr>
        <w:t>La Constitution du Royaume du Maroc donne toutes les garanties pour prévenir l</w:t>
      </w:r>
      <w:r w:rsidR="00F1794C" w:rsidRPr="00F1794C">
        <w:rPr>
          <w:lang w:val="fr-FR"/>
        </w:rPr>
        <w:t>’</w:t>
      </w:r>
      <w:r w:rsidRPr="00F1794C">
        <w:rPr>
          <w:lang w:val="fr-FR"/>
        </w:rPr>
        <w:t>exploitation de la femme. De même, les lois et la législation nationales assurent aux femmes et aux jeunes filles une protection contre l</w:t>
      </w:r>
      <w:r w:rsidR="00F1794C" w:rsidRPr="00F1794C">
        <w:rPr>
          <w:lang w:val="fr-FR"/>
        </w:rPr>
        <w:t>’</w:t>
      </w:r>
      <w:r w:rsidRPr="00F1794C">
        <w:rPr>
          <w:lang w:val="fr-FR"/>
        </w:rPr>
        <w:t xml:space="preserve">exploitation au travail et contre la prostitution et la mendicité. </w:t>
      </w:r>
    </w:p>
    <w:p w14:paraId="3E9F86D6" w14:textId="2F6F48E8" w:rsidR="00B35EE7" w:rsidRPr="00F1794C" w:rsidRDefault="00B35EE7" w:rsidP="00456FC2">
      <w:pPr>
        <w:pStyle w:val="SingleTxt"/>
        <w:numPr>
          <w:ilvl w:val="0"/>
          <w:numId w:val="50"/>
        </w:numPr>
        <w:rPr>
          <w:lang w:val="fr-FR"/>
        </w:rPr>
      </w:pPr>
      <w:r w:rsidRPr="00F1794C">
        <w:rPr>
          <w:lang w:val="fr-FR"/>
        </w:rPr>
        <w:t>Le Code pénal sanctionne de nombreuses formes d</w:t>
      </w:r>
      <w:r w:rsidR="00F1794C" w:rsidRPr="00F1794C">
        <w:rPr>
          <w:lang w:val="fr-FR"/>
        </w:rPr>
        <w:t>’</w:t>
      </w:r>
      <w:r w:rsidRPr="00F1794C">
        <w:rPr>
          <w:lang w:val="fr-FR"/>
        </w:rPr>
        <w:t>exploitation, notamment l</w:t>
      </w:r>
      <w:r w:rsidR="00F1794C" w:rsidRPr="00F1794C">
        <w:rPr>
          <w:lang w:val="fr-FR"/>
        </w:rPr>
        <w:t>’</w:t>
      </w:r>
      <w:r w:rsidRPr="00F1794C">
        <w:rPr>
          <w:lang w:val="fr-FR"/>
        </w:rPr>
        <w:t>exploitation des femmes et des jeunes filles par la prostitution (articles 497 à 504). Un ensemble de dispositions du Code pénal ont été renforcées par la promulgation de la loi n</w:t>
      </w:r>
      <w:r w:rsidRPr="00F1794C">
        <w:rPr>
          <w:vertAlign w:val="superscript"/>
          <w:lang w:val="fr-FR"/>
        </w:rPr>
        <w:t>o</w:t>
      </w:r>
      <w:r w:rsidRPr="00F1794C">
        <w:rPr>
          <w:lang w:val="fr-FR"/>
        </w:rPr>
        <w:t xml:space="preserve"> 27-14 relative à la lutte contre la traite des êtres humains. Cette loi sanctionne toutes les formes d</w:t>
      </w:r>
      <w:r w:rsidR="00F1794C" w:rsidRPr="00F1794C">
        <w:rPr>
          <w:lang w:val="fr-FR"/>
        </w:rPr>
        <w:t>’</w:t>
      </w:r>
      <w:r w:rsidRPr="00F1794C">
        <w:rPr>
          <w:lang w:val="fr-FR"/>
        </w:rPr>
        <w:t>exploitation des personnes</w:t>
      </w:r>
      <w:r w:rsidR="00F1794C" w:rsidRPr="00F1794C">
        <w:rPr>
          <w:lang w:val="fr-FR"/>
        </w:rPr>
        <w:t> :</w:t>
      </w:r>
      <w:r w:rsidRPr="00F1794C">
        <w:rPr>
          <w:lang w:val="fr-FR"/>
        </w:rPr>
        <w:t xml:space="preserve"> pornographie, tourisme sexuel, travail forcé et toutes les formes d</w:t>
      </w:r>
      <w:r w:rsidR="00F1794C" w:rsidRPr="00F1794C">
        <w:rPr>
          <w:lang w:val="fr-FR"/>
        </w:rPr>
        <w:t>’</w:t>
      </w:r>
      <w:r w:rsidRPr="00F1794C">
        <w:rPr>
          <w:lang w:val="fr-FR"/>
        </w:rPr>
        <w:t>exploitation (article 448.1). De lourdes peines sont prévues pour les infractions commises contre des mineurs victimes d</w:t>
      </w:r>
      <w:r w:rsidR="00F1794C" w:rsidRPr="00F1794C">
        <w:rPr>
          <w:lang w:val="fr-FR"/>
        </w:rPr>
        <w:t>’</w:t>
      </w:r>
      <w:r w:rsidRPr="00F1794C">
        <w:rPr>
          <w:lang w:val="fr-FR"/>
        </w:rPr>
        <w:t>actes de torture ou d</w:t>
      </w:r>
      <w:r w:rsidR="00F1794C" w:rsidRPr="00F1794C">
        <w:rPr>
          <w:lang w:val="fr-FR"/>
        </w:rPr>
        <w:t>’</w:t>
      </w:r>
      <w:r w:rsidRPr="00F1794C">
        <w:rPr>
          <w:lang w:val="fr-FR"/>
        </w:rPr>
        <w:t>actes commis par une bande criminelle. Afin de promouvoir les droits des victimes de la traite des êtres humains et de faciliter l</w:t>
      </w:r>
      <w:r w:rsidR="00F1794C" w:rsidRPr="00F1794C">
        <w:rPr>
          <w:lang w:val="fr-FR"/>
        </w:rPr>
        <w:t>’</w:t>
      </w:r>
      <w:r w:rsidRPr="00F1794C">
        <w:rPr>
          <w:lang w:val="fr-FR"/>
        </w:rPr>
        <w:t>accès des victimes à la protection judiciaire, des cellules de prise en charge des femmes et des enfants ont été mises en place dans les tribunaux. Les victimes y sont accueillies et dirigées vers des unités de prise en charge médicale pour recevoir des soins, obtenir des certificats médicaux, être accompagnées selon qu</w:t>
      </w:r>
      <w:r w:rsidR="00F1794C" w:rsidRPr="00F1794C">
        <w:rPr>
          <w:lang w:val="fr-FR"/>
        </w:rPr>
        <w:t>’</w:t>
      </w:r>
      <w:r w:rsidRPr="00F1794C">
        <w:rPr>
          <w:lang w:val="fr-FR"/>
        </w:rPr>
        <w:t>il convient, et être mises en rapport avec des centres d</w:t>
      </w:r>
      <w:r w:rsidR="00F1794C" w:rsidRPr="00F1794C">
        <w:rPr>
          <w:lang w:val="fr-FR"/>
        </w:rPr>
        <w:t>’</w:t>
      </w:r>
      <w:r w:rsidRPr="00F1794C">
        <w:rPr>
          <w:lang w:val="fr-FR"/>
        </w:rPr>
        <w:t>écoute et d</w:t>
      </w:r>
      <w:r w:rsidR="00F1794C" w:rsidRPr="00F1794C">
        <w:rPr>
          <w:lang w:val="fr-FR"/>
        </w:rPr>
        <w:t>’</w:t>
      </w:r>
      <w:r w:rsidRPr="00F1794C">
        <w:rPr>
          <w:lang w:val="fr-FR"/>
        </w:rPr>
        <w:t xml:space="preserve">hébergement. </w:t>
      </w:r>
    </w:p>
    <w:p w14:paraId="09048F78" w14:textId="75293B74" w:rsidR="00B35EE7" w:rsidRPr="00F1794C" w:rsidRDefault="00B35EE7" w:rsidP="00456FC2">
      <w:pPr>
        <w:pStyle w:val="SingleTxt"/>
        <w:numPr>
          <w:ilvl w:val="0"/>
          <w:numId w:val="50"/>
        </w:numPr>
        <w:rPr>
          <w:lang w:val="fr-FR"/>
        </w:rPr>
      </w:pPr>
      <w:r w:rsidRPr="00F1794C">
        <w:rPr>
          <w:lang w:val="fr-FR"/>
        </w:rPr>
        <w:t>Comme suite à la recommandation formulée au paragraphe 21, le projet de code pénal présenté au Parlement comprend un ensemble de dispositions visant à renforcer la protection pénale des enfants et des femmes, notamment en ce qui concerne les atteintes sexuelles sur mineur</w:t>
      </w:r>
      <w:r w:rsidR="00F1794C" w:rsidRPr="00F1794C">
        <w:rPr>
          <w:lang w:val="fr-FR"/>
        </w:rPr>
        <w:t> :</w:t>
      </w:r>
      <w:r w:rsidRPr="00F1794C">
        <w:rPr>
          <w:lang w:val="fr-FR"/>
        </w:rPr>
        <w:t xml:space="preserve"> </w:t>
      </w:r>
    </w:p>
    <w:p w14:paraId="0F00AC43" w14:textId="630A2F17" w:rsidR="00B35EE7" w:rsidRPr="00237A98" w:rsidRDefault="00237A98" w:rsidP="00237A98">
      <w:pPr>
        <w:pStyle w:val="SingleTxt"/>
        <w:tabs>
          <w:tab w:val="right" w:pos="1685"/>
        </w:tabs>
        <w:ind w:left="1742" w:hanging="475"/>
        <w:rPr>
          <w:lang w:val="fr-FR"/>
        </w:rPr>
      </w:pPr>
      <w:r>
        <w:rPr>
          <w:lang w:val="fr-FR"/>
        </w:rPr>
        <w:tab/>
        <w:t>•</w:t>
      </w:r>
      <w:r>
        <w:rPr>
          <w:lang w:val="fr-FR"/>
        </w:rPr>
        <w:tab/>
      </w:r>
      <w:r w:rsidR="00B35EE7" w:rsidRPr="00237A98">
        <w:rPr>
          <w:lang w:val="fr-FR"/>
        </w:rPr>
        <w:t>peine plus lourde prévue en cas de sollicitation d</w:t>
      </w:r>
      <w:r w:rsidR="00F1794C" w:rsidRPr="00237A98">
        <w:rPr>
          <w:lang w:val="fr-FR"/>
        </w:rPr>
        <w:t>’</w:t>
      </w:r>
      <w:r w:rsidR="00B35EE7" w:rsidRPr="00237A98">
        <w:rPr>
          <w:lang w:val="fr-FR"/>
        </w:rPr>
        <w:t>un mineur de moins de 18 ans sans violences et absence d</w:t>
      </w:r>
      <w:r w:rsidR="00F1794C" w:rsidRPr="00237A98">
        <w:rPr>
          <w:lang w:val="fr-FR"/>
        </w:rPr>
        <w:t>’</w:t>
      </w:r>
      <w:r w:rsidR="00B35EE7" w:rsidRPr="00237A98">
        <w:rPr>
          <w:lang w:val="fr-FR"/>
        </w:rPr>
        <w:t>impunité (article 475 du Code pénal)</w:t>
      </w:r>
      <w:r w:rsidR="00F1794C" w:rsidRPr="00237A98">
        <w:rPr>
          <w:lang w:val="fr-FR"/>
        </w:rPr>
        <w:t> ;</w:t>
      </w:r>
      <w:r w:rsidR="00B35EE7" w:rsidRPr="00237A98">
        <w:rPr>
          <w:lang w:val="fr-FR"/>
        </w:rPr>
        <w:t xml:space="preserve"> </w:t>
      </w:r>
    </w:p>
    <w:p w14:paraId="27DD4CA0" w14:textId="18BD6890" w:rsidR="00B35EE7" w:rsidRPr="00237A98" w:rsidRDefault="00237A98" w:rsidP="00237A98">
      <w:pPr>
        <w:pStyle w:val="SingleTxt"/>
        <w:tabs>
          <w:tab w:val="right" w:pos="1685"/>
        </w:tabs>
        <w:ind w:left="1742" w:hanging="475"/>
        <w:rPr>
          <w:lang w:val="fr-FR"/>
        </w:rPr>
      </w:pPr>
      <w:r>
        <w:rPr>
          <w:lang w:val="fr-FR"/>
        </w:rPr>
        <w:tab/>
        <w:t>•</w:t>
      </w:r>
      <w:r>
        <w:rPr>
          <w:lang w:val="fr-FR"/>
        </w:rPr>
        <w:tab/>
      </w:r>
      <w:r w:rsidR="00B35EE7" w:rsidRPr="00237A98">
        <w:rPr>
          <w:lang w:val="fr-FR"/>
        </w:rPr>
        <w:t>peine plus sévère en cas d</w:t>
      </w:r>
      <w:r w:rsidR="00F1794C" w:rsidRPr="00237A98">
        <w:rPr>
          <w:lang w:val="fr-FR"/>
        </w:rPr>
        <w:t>’</w:t>
      </w:r>
      <w:r w:rsidR="00B35EE7" w:rsidRPr="00237A98">
        <w:rPr>
          <w:lang w:val="fr-FR"/>
        </w:rPr>
        <w:t>atteinte contre la pudeur contre des mineurs</w:t>
      </w:r>
      <w:r w:rsidR="00F1794C" w:rsidRPr="00237A98">
        <w:rPr>
          <w:lang w:val="fr-FR"/>
        </w:rPr>
        <w:t> ;</w:t>
      </w:r>
      <w:r w:rsidR="00B35EE7" w:rsidRPr="00237A98">
        <w:rPr>
          <w:lang w:val="fr-FR"/>
        </w:rPr>
        <w:t xml:space="preserve"> </w:t>
      </w:r>
    </w:p>
    <w:p w14:paraId="6FD15822" w14:textId="356122AC" w:rsidR="00B35EE7" w:rsidRPr="00237A98" w:rsidRDefault="00237A98" w:rsidP="00237A98">
      <w:pPr>
        <w:pStyle w:val="SingleTxt"/>
        <w:tabs>
          <w:tab w:val="right" w:pos="1685"/>
        </w:tabs>
        <w:ind w:left="1742" w:hanging="475"/>
        <w:rPr>
          <w:lang w:val="fr-FR"/>
        </w:rPr>
      </w:pPr>
      <w:r>
        <w:rPr>
          <w:lang w:val="fr-FR"/>
        </w:rPr>
        <w:tab/>
        <w:t>•</w:t>
      </w:r>
      <w:r>
        <w:rPr>
          <w:lang w:val="fr-FR"/>
        </w:rPr>
        <w:tab/>
      </w:r>
      <w:r w:rsidR="00B35EE7" w:rsidRPr="00237A98">
        <w:rPr>
          <w:lang w:val="fr-FR"/>
        </w:rPr>
        <w:t>criminalisation de l</w:t>
      </w:r>
      <w:r w:rsidR="00F1794C" w:rsidRPr="00237A98">
        <w:rPr>
          <w:lang w:val="fr-FR"/>
        </w:rPr>
        <w:t>’</w:t>
      </w:r>
      <w:r w:rsidR="00B35EE7" w:rsidRPr="00237A98">
        <w:rPr>
          <w:lang w:val="fr-FR"/>
        </w:rPr>
        <w:t>incitation d</w:t>
      </w:r>
      <w:r w:rsidR="00F1794C" w:rsidRPr="00237A98">
        <w:rPr>
          <w:lang w:val="fr-FR"/>
        </w:rPr>
        <w:t>’</w:t>
      </w:r>
      <w:r w:rsidR="00B35EE7" w:rsidRPr="00237A98">
        <w:rPr>
          <w:lang w:val="fr-FR"/>
        </w:rPr>
        <w:t>un mineur à la prostitution</w:t>
      </w:r>
      <w:r w:rsidR="00F1794C" w:rsidRPr="00237A98">
        <w:rPr>
          <w:lang w:val="fr-FR"/>
        </w:rPr>
        <w:t> ;</w:t>
      </w:r>
      <w:r w:rsidR="00B35EE7" w:rsidRPr="00237A98">
        <w:rPr>
          <w:lang w:val="fr-FR"/>
        </w:rPr>
        <w:t xml:space="preserve"> </w:t>
      </w:r>
    </w:p>
    <w:p w14:paraId="4D2F1187" w14:textId="6A7BE976" w:rsidR="00B35EE7" w:rsidRPr="00237A98" w:rsidRDefault="00237A98" w:rsidP="00237A98">
      <w:pPr>
        <w:pStyle w:val="SingleTxt"/>
        <w:tabs>
          <w:tab w:val="right" w:pos="1685"/>
        </w:tabs>
        <w:ind w:left="1742" w:hanging="475"/>
        <w:rPr>
          <w:lang w:val="fr-FR"/>
        </w:rPr>
      </w:pPr>
      <w:r>
        <w:rPr>
          <w:lang w:val="fr-FR"/>
        </w:rPr>
        <w:tab/>
        <w:t>•</w:t>
      </w:r>
      <w:r>
        <w:rPr>
          <w:lang w:val="fr-FR"/>
        </w:rPr>
        <w:tab/>
      </w:r>
      <w:r w:rsidR="00B35EE7" w:rsidRPr="00237A98">
        <w:rPr>
          <w:lang w:val="fr-FR"/>
        </w:rPr>
        <w:t>peine plus sévère prévue en cas d</w:t>
      </w:r>
      <w:r w:rsidR="00F1794C" w:rsidRPr="00237A98">
        <w:rPr>
          <w:lang w:val="fr-FR"/>
        </w:rPr>
        <w:t>’</w:t>
      </w:r>
      <w:r w:rsidR="00B35EE7" w:rsidRPr="00237A98">
        <w:rPr>
          <w:lang w:val="fr-FR"/>
        </w:rPr>
        <w:t>exploitation sexuelle des mineurs par la prostitution</w:t>
      </w:r>
      <w:r w:rsidR="00F1794C" w:rsidRPr="00237A98">
        <w:rPr>
          <w:lang w:val="fr-FR"/>
        </w:rPr>
        <w:t> ;</w:t>
      </w:r>
    </w:p>
    <w:p w14:paraId="21C04794" w14:textId="2EB850ED" w:rsidR="00B35EE7" w:rsidRPr="00237A98" w:rsidRDefault="00237A98" w:rsidP="00237A98">
      <w:pPr>
        <w:pStyle w:val="SingleTxt"/>
        <w:tabs>
          <w:tab w:val="right" w:pos="1685"/>
        </w:tabs>
        <w:ind w:left="1742" w:hanging="475"/>
        <w:rPr>
          <w:lang w:val="fr-FR"/>
        </w:rPr>
      </w:pPr>
      <w:r>
        <w:rPr>
          <w:lang w:val="fr-FR"/>
        </w:rPr>
        <w:tab/>
        <w:t>•</w:t>
      </w:r>
      <w:r>
        <w:rPr>
          <w:lang w:val="fr-FR"/>
        </w:rPr>
        <w:tab/>
      </w:r>
      <w:r w:rsidR="00B35EE7" w:rsidRPr="00237A98">
        <w:rPr>
          <w:lang w:val="fr-FR"/>
        </w:rPr>
        <w:t>non-admission de circonstances atténuantes, dans tous les cas, en cas d</w:t>
      </w:r>
      <w:r w:rsidR="00F1794C" w:rsidRPr="00237A98">
        <w:rPr>
          <w:lang w:val="fr-FR"/>
        </w:rPr>
        <w:t>’</w:t>
      </w:r>
      <w:r w:rsidR="00B35EE7" w:rsidRPr="00237A98">
        <w:rPr>
          <w:lang w:val="fr-FR"/>
        </w:rPr>
        <w:t>agression sexuelle et d</w:t>
      </w:r>
      <w:r w:rsidR="00F1794C" w:rsidRPr="00237A98">
        <w:rPr>
          <w:lang w:val="fr-FR"/>
        </w:rPr>
        <w:t>’</w:t>
      </w:r>
      <w:r w:rsidR="00B35EE7" w:rsidRPr="00237A98">
        <w:rPr>
          <w:lang w:val="fr-FR"/>
        </w:rPr>
        <w:t xml:space="preserve">exploitation sexuelle de mineurs. </w:t>
      </w:r>
    </w:p>
    <w:p w14:paraId="6886C2F1" w14:textId="068F70ED" w:rsidR="00B35EE7" w:rsidRPr="00F1794C" w:rsidRDefault="00B35EE7" w:rsidP="00456FC2">
      <w:pPr>
        <w:pStyle w:val="SingleTxt"/>
        <w:numPr>
          <w:ilvl w:val="0"/>
          <w:numId w:val="50"/>
        </w:numPr>
        <w:rPr>
          <w:lang w:val="fr-FR"/>
        </w:rPr>
      </w:pPr>
      <w:r w:rsidRPr="00F1794C">
        <w:rPr>
          <w:lang w:val="fr-FR"/>
        </w:rPr>
        <w:t>La présidence du Ministère public a publié en décembre 2018 la circulaire 48a concernant les nouvelles mesures relatives à la protection pénale de la vie privée à la suite de la promulgation de la loi n</w:t>
      </w:r>
      <w:r w:rsidRPr="00F1794C">
        <w:rPr>
          <w:vertAlign w:val="superscript"/>
          <w:lang w:val="fr-FR"/>
        </w:rPr>
        <w:t>o</w:t>
      </w:r>
      <w:r w:rsidRPr="00F1794C">
        <w:rPr>
          <w:lang w:val="fr-FR"/>
        </w:rPr>
        <w:t xml:space="preserve"> 103-13 dans laquelle sont complétées les articles </w:t>
      </w:r>
      <w:r w:rsidRPr="00F1794C">
        <w:rPr>
          <w:lang w:val="fr-FR"/>
        </w:rPr>
        <w:lastRenderedPageBreak/>
        <w:t>447-1 et 447-2 du Code pénal érigeant en infraction les atteintes à la vie privée et prévoyant une peine plus sévère lorsque la victime est une femme ayant subi une</w:t>
      </w:r>
      <w:r w:rsidR="00F1794C" w:rsidRPr="00F1794C">
        <w:rPr>
          <w:lang w:val="fr-FR"/>
        </w:rPr>
        <w:t xml:space="preserve"> </w:t>
      </w:r>
      <w:r w:rsidRPr="00F1794C">
        <w:rPr>
          <w:lang w:val="fr-FR"/>
        </w:rPr>
        <w:t>atteinte à la vie privée en raison de son sexe, en vertu de l</w:t>
      </w:r>
      <w:r w:rsidR="00F1794C" w:rsidRPr="00F1794C">
        <w:rPr>
          <w:lang w:val="fr-FR"/>
        </w:rPr>
        <w:t>’</w:t>
      </w:r>
      <w:r w:rsidRPr="00F1794C">
        <w:rPr>
          <w:lang w:val="fr-FR"/>
        </w:rPr>
        <w:t>article 347-3.</w:t>
      </w:r>
    </w:p>
    <w:p w14:paraId="14F19103" w14:textId="77184226" w:rsidR="00B35EE7" w:rsidRPr="00F1794C" w:rsidRDefault="00B35EE7" w:rsidP="00456FC2">
      <w:pPr>
        <w:pStyle w:val="SingleTxt"/>
        <w:numPr>
          <w:ilvl w:val="0"/>
          <w:numId w:val="50"/>
        </w:numPr>
        <w:rPr>
          <w:lang w:val="fr-FR"/>
        </w:rPr>
      </w:pPr>
      <w:r w:rsidRPr="00F1794C">
        <w:rPr>
          <w:lang w:val="fr-FR"/>
        </w:rPr>
        <w:t>Le Code du travail a consacré le principe de non-discrimination fondée sur le sexe en matière d</w:t>
      </w:r>
      <w:r w:rsidR="00F1794C" w:rsidRPr="00F1794C">
        <w:rPr>
          <w:lang w:val="fr-FR"/>
        </w:rPr>
        <w:t>’</w:t>
      </w:r>
      <w:r w:rsidRPr="00F1794C">
        <w:rPr>
          <w:lang w:val="fr-FR"/>
        </w:rPr>
        <w:t>emploi, de salaire et de promotion et tout autre type de discrimination en matière d</w:t>
      </w:r>
      <w:r w:rsidR="00F1794C" w:rsidRPr="00F1794C">
        <w:rPr>
          <w:lang w:val="fr-FR"/>
        </w:rPr>
        <w:t>’</w:t>
      </w:r>
      <w:r w:rsidRPr="00F1794C">
        <w:rPr>
          <w:lang w:val="fr-FR"/>
        </w:rPr>
        <w:t>emploi. Il prévoit des sanctions en cas d</w:t>
      </w:r>
      <w:r w:rsidR="00F1794C" w:rsidRPr="00F1794C">
        <w:rPr>
          <w:lang w:val="fr-FR"/>
        </w:rPr>
        <w:t>’</w:t>
      </w:r>
      <w:r w:rsidRPr="00F1794C">
        <w:rPr>
          <w:lang w:val="fr-FR"/>
        </w:rPr>
        <w:t>emploi de mineurs âgés de moins de 15 ans. En parallèle, le Gouvernement a renforcé ces mesures répressives par une augmentation de l</w:t>
      </w:r>
      <w:r w:rsidR="00F1794C" w:rsidRPr="00F1794C">
        <w:rPr>
          <w:lang w:val="fr-FR"/>
        </w:rPr>
        <w:t>’</w:t>
      </w:r>
      <w:r w:rsidRPr="00F1794C">
        <w:rPr>
          <w:lang w:val="fr-FR"/>
        </w:rPr>
        <w:t>enveloppe budgétaire annuelle affectée au financement de projets de la société civile visant à lutter contre le travail des mineurs, y compris les filles travailleuses domestiques, à hauteur de deux millions de dirhams depuis 2016. Il a également alloué un budget de 1 million de dirhams destiné aux associations publiques menant des activités dans ce domaine et a renforcé la bonne gouvernance concernant la gestion des partenariats en proposant un manuel</w:t>
      </w:r>
      <w:r w:rsidRPr="00FA086B">
        <w:rPr>
          <w:vertAlign w:val="superscript"/>
          <w:lang w:val="fr-FR"/>
        </w:rPr>
        <w:footnoteReference w:id="45"/>
      </w:r>
      <w:r w:rsidRPr="00F1794C">
        <w:rPr>
          <w:lang w:val="fr-FR"/>
        </w:rPr>
        <w:t xml:space="preserve"> sur l</w:t>
      </w:r>
      <w:r w:rsidR="00F1794C" w:rsidRPr="00F1794C">
        <w:rPr>
          <w:lang w:val="fr-FR"/>
        </w:rPr>
        <w:t>’</w:t>
      </w:r>
      <w:r w:rsidRPr="00F1794C">
        <w:rPr>
          <w:lang w:val="fr-FR"/>
        </w:rPr>
        <w:t>élaboration et la gestion des projets de lutte contre le travail des enfants, comme le Comité l</w:t>
      </w:r>
      <w:r w:rsidR="00F1794C" w:rsidRPr="00F1794C">
        <w:rPr>
          <w:lang w:val="fr-FR"/>
        </w:rPr>
        <w:t>’</w:t>
      </w:r>
      <w:r w:rsidRPr="00F1794C">
        <w:rPr>
          <w:lang w:val="fr-FR"/>
        </w:rPr>
        <w:t xml:space="preserve">a recommandé au paragraphe 21 des observations finales. </w:t>
      </w:r>
    </w:p>
    <w:p w14:paraId="1254E46D" w14:textId="45A41723" w:rsidR="00B35EE7" w:rsidRPr="00F1794C" w:rsidRDefault="00B35EE7" w:rsidP="00456FC2">
      <w:pPr>
        <w:pStyle w:val="SingleTxt"/>
        <w:numPr>
          <w:ilvl w:val="0"/>
          <w:numId w:val="50"/>
        </w:numPr>
        <w:rPr>
          <w:lang w:val="fr-FR"/>
        </w:rPr>
      </w:pPr>
      <w:r w:rsidRPr="00F1794C">
        <w:rPr>
          <w:lang w:val="fr-FR"/>
        </w:rPr>
        <w:t>Compte tenu des résultats de l</w:t>
      </w:r>
      <w:r w:rsidR="00F1794C" w:rsidRPr="00F1794C">
        <w:rPr>
          <w:lang w:val="fr-FR"/>
        </w:rPr>
        <w:t>’</w:t>
      </w:r>
      <w:r w:rsidRPr="00F1794C">
        <w:rPr>
          <w:lang w:val="fr-FR"/>
        </w:rPr>
        <w:t>évaluation du plan national pour l</w:t>
      </w:r>
      <w:r w:rsidR="00F1794C" w:rsidRPr="00F1794C">
        <w:rPr>
          <w:lang w:val="fr-FR"/>
        </w:rPr>
        <w:t>’</w:t>
      </w:r>
      <w:r w:rsidRPr="00F1794C">
        <w:rPr>
          <w:lang w:val="fr-FR"/>
        </w:rPr>
        <w:t>enfance intitulé « Maroc digne de ses enfants », en 2014 a été créée la Commission ministérielle chargée du suivi, de la mise en œuvre des politiques et plans d</w:t>
      </w:r>
      <w:r w:rsidR="00F1794C" w:rsidRPr="00F1794C">
        <w:rPr>
          <w:lang w:val="fr-FR"/>
        </w:rPr>
        <w:t>’</w:t>
      </w:r>
      <w:r w:rsidRPr="00F1794C">
        <w:rPr>
          <w:lang w:val="fr-FR"/>
        </w:rPr>
        <w:t>action nationaux en matière de promotion et de protection de l</w:t>
      </w:r>
      <w:r w:rsidR="00F1794C" w:rsidRPr="00F1794C">
        <w:rPr>
          <w:lang w:val="fr-FR"/>
        </w:rPr>
        <w:t>’</w:t>
      </w:r>
      <w:r w:rsidRPr="00F1794C">
        <w:rPr>
          <w:lang w:val="fr-FR"/>
        </w:rPr>
        <w:t>enfance. Une politique publique intégrée de protection de l</w:t>
      </w:r>
      <w:r w:rsidR="00F1794C" w:rsidRPr="00F1794C">
        <w:rPr>
          <w:lang w:val="fr-FR"/>
        </w:rPr>
        <w:t>’</w:t>
      </w:r>
      <w:r w:rsidRPr="00F1794C">
        <w:rPr>
          <w:lang w:val="fr-FR"/>
        </w:rPr>
        <w:t>enfance (2015-2025) vise à garantir à tous les enfants au Maroc une protection effective et durable contre toutes les formes de violence, d</w:t>
      </w:r>
      <w:r w:rsidR="00F1794C" w:rsidRPr="00F1794C">
        <w:rPr>
          <w:lang w:val="fr-FR"/>
        </w:rPr>
        <w:t>’</w:t>
      </w:r>
      <w:r w:rsidRPr="00F1794C">
        <w:rPr>
          <w:lang w:val="fr-FR"/>
        </w:rPr>
        <w:t>agression, d</w:t>
      </w:r>
      <w:r w:rsidR="00F1794C" w:rsidRPr="00F1794C">
        <w:rPr>
          <w:lang w:val="fr-FR"/>
        </w:rPr>
        <w:t>’</w:t>
      </w:r>
      <w:r w:rsidRPr="00F1794C">
        <w:rPr>
          <w:lang w:val="fr-FR"/>
        </w:rPr>
        <w:t>exploitation et de négligence. Elle comporte cinq objectifs stratégiques</w:t>
      </w:r>
      <w:r w:rsidR="00F1794C" w:rsidRPr="00F1794C">
        <w:rPr>
          <w:lang w:val="fr-FR"/>
        </w:rPr>
        <w:t> :</w:t>
      </w:r>
      <w:r w:rsidRPr="00F1794C">
        <w:rPr>
          <w:lang w:val="fr-FR"/>
        </w:rPr>
        <w:t xml:space="preserve"> renforcement du cadre légal de protection des enfants et de son effectivité</w:t>
      </w:r>
      <w:r w:rsidR="00F1794C" w:rsidRPr="00F1794C">
        <w:rPr>
          <w:lang w:val="fr-FR"/>
        </w:rPr>
        <w:t> ;</w:t>
      </w:r>
      <w:r w:rsidRPr="00F1794C">
        <w:rPr>
          <w:lang w:val="fr-FR"/>
        </w:rPr>
        <w:t xml:space="preserve"> mise en place de dispositifs territoriaux intégrés de protection de l</w:t>
      </w:r>
      <w:r w:rsidR="00F1794C" w:rsidRPr="00F1794C">
        <w:rPr>
          <w:lang w:val="fr-FR"/>
        </w:rPr>
        <w:t>’</w:t>
      </w:r>
      <w:r w:rsidRPr="00F1794C">
        <w:rPr>
          <w:lang w:val="fr-FR"/>
        </w:rPr>
        <w:t>enfance</w:t>
      </w:r>
      <w:r w:rsidR="00F1794C" w:rsidRPr="00F1794C">
        <w:rPr>
          <w:lang w:val="fr-FR"/>
        </w:rPr>
        <w:t> ;</w:t>
      </w:r>
      <w:r w:rsidRPr="00F1794C">
        <w:rPr>
          <w:lang w:val="fr-FR"/>
        </w:rPr>
        <w:t xml:space="preserve"> normalisation des structures et des pratiques</w:t>
      </w:r>
      <w:r w:rsidR="00F1794C" w:rsidRPr="00F1794C">
        <w:rPr>
          <w:lang w:val="fr-FR"/>
        </w:rPr>
        <w:t> ;</w:t>
      </w:r>
      <w:r w:rsidRPr="00F1794C">
        <w:rPr>
          <w:lang w:val="fr-FR"/>
        </w:rPr>
        <w:t xml:space="preserve"> promotion de normes sociales de protection</w:t>
      </w:r>
      <w:r w:rsidR="00F1794C" w:rsidRPr="00F1794C">
        <w:rPr>
          <w:lang w:val="fr-FR"/>
        </w:rPr>
        <w:t> ;</w:t>
      </w:r>
      <w:r w:rsidRPr="00F1794C">
        <w:rPr>
          <w:lang w:val="fr-FR"/>
        </w:rPr>
        <w:t xml:space="preserve"> mise en place d</w:t>
      </w:r>
      <w:r w:rsidR="00F1794C" w:rsidRPr="00F1794C">
        <w:rPr>
          <w:lang w:val="fr-FR"/>
        </w:rPr>
        <w:t>’</w:t>
      </w:r>
      <w:r w:rsidRPr="00F1794C">
        <w:rPr>
          <w:lang w:val="fr-FR"/>
        </w:rPr>
        <w:t>un système d</w:t>
      </w:r>
      <w:r w:rsidR="00F1794C" w:rsidRPr="00F1794C">
        <w:rPr>
          <w:lang w:val="fr-FR"/>
        </w:rPr>
        <w:t>’</w:t>
      </w:r>
      <w:r w:rsidRPr="00F1794C">
        <w:rPr>
          <w:lang w:val="fr-FR"/>
        </w:rPr>
        <w:t>information et suivi et évaluation. En mars 2016, le ministère compétent a lancé un programme de mise en œuvre de cette politique (2015-2020) comprenant 25 objectifs et 115 mesures assorties d</w:t>
      </w:r>
      <w:r w:rsidR="00F1794C" w:rsidRPr="00F1794C">
        <w:rPr>
          <w:lang w:val="fr-FR"/>
        </w:rPr>
        <w:t>’</w:t>
      </w:r>
      <w:r w:rsidRPr="00F1794C">
        <w:rPr>
          <w:lang w:val="fr-FR"/>
        </w:rPr>
        <w:t>indicateurs de suivi et d</w:t>
      </w:r>
      <w:r w:rsidR="00F1794C" w:rsidRPr="00F1794C">
        <w:rPr>
          <w:lang w:val="fr-FR"/>
        </w:rPr>
        <w:t>’</w:t>
      </w:r>
      <w:r w:rsidRPr="00F1794C">
        <w:rPr>
          <w:lang w:val="fr-FR"/>
        </w:rPr>
        <w:t xml:space="preserve">évaluation. </w:t>
      </w:r>
    </w:p>
    <w:p w14:paraId="5DCBF63F" w14:textId="452D2037" w:rsidR="00B35EE7" w:rsidRPr="00F1794C" w:rsidRDefault="00B35EE7" w:rsidP="00456FC2">
      <w:pPr>
        <w:pStyle w:val="SingleTxt"/>
        <w:numPr>
          <w:ilvl w:val="0"/>
          <w:numId w:val="50"/>
        </w:numPr>
        <w:rPr>
          <w:lang w:val="fr-FR"/>
        </w:rPr>
      </w:pPr>
      <w:r w:rsidRPr="00F1794C">
        <w:rPr>
          <w:lang w:val="fr-FR"/>
        </w:rPr>
        <w:t>Des campagnes nationales de sensibilisation ont été menées pour mobiliser l</w:t>
      </w:r>
      <w:r w:rsidR="00F1794C" w:rsidRPr="00F1794C">
        <w:rPr>
          <w:lang w:val="fr-FR"/>
        </w:rPr>
        <w:t>’</w:t>
      </w:r>
      <w:r w:rsidRPr="00F1794C">
        <w:rPr>
          <w:lang w:val="fr-FR"/>
        </w:rPr>
        <w:t>ensemble des acteurs en vue de protéger les enfants contre toutes les formes de violence et d</w:t>
      </w:r>
      <w:r w:rsidR="00F1794C" w:rsidRPr="00F1794C">
        <w:rPr>
          <w:lang w:val="fr-FR"/>
        </w:rPr>
        <w:t>’</w:t>
      </w:r>
      <w:r w:rsidRPr="00F1794C">
        <w:rPr>
          <w:lang w:val="fr-FR"/>
        </w:rPr>
        <w:t>exploitation, dans la sphère familiale, dans les structures d</w:t>
      </w:r>
      <w:r w:rsidR="00F1794C" w:rsidRPr="00F1794C">
        <w:rPr>
          <w:lang w:val="fr-FR"/>
        </w:rPr>
        <w:t>’</w:t>
      </w:r>
      <w:r w:rsidRPr="00F1794C">
        <w:rPr>
          <w:lang w:val="fr-FR"/>
        </w:rPr>
        <w:t>accueil, en milieu scolaire, au travail et dans Internet</w:t>
      </w:r>
      <w:r w:rsidRPr="00FA086B">
        <w:rPr>
          <w:vertAlign w:val="superscript"/>
          <w:lang w:val="fr-FR"/>
        </w:rPr>
        <w:footnoteReference w:id="46"/>
      </w:r>
      <w:r w:rsidRPr="00F1794C">
        <w:rPr>
          <w:lang w:val="fr-FR"/>
        </w:rPr>
        <w:t xml:space="preserve">. </w:t>
      </w:r>
    </w:p>
    <w:p w14:paraId="74B2C81E" w14:textId="70054DA4" w:rsidR="00B35EE7" w:rsidRPr="00F1794C" w:rsidRDefault="00B35EE7" w:rsidP="00456FC2">
      <w:pPr>
        <w:pStyle w:val="SingleTxt"/>
        <w:numPr>
          <w:ilvl w:val="0"/>
          <w:numId w:val="50"/>
        </w:numPr>
        <w:rPr>
          <w:lang w:val="fr-FR"/>
        </w:rPr>
      </w:pPr>
      <w:r w:rsidRPr="00F1794C">
        <w:rPr>
          <w:lang w:val="fr-FR"/>
        </w:rPr>
        <w:t>Comme suite aux recommandations formulées aux paragraphes 23 et 45 des observations finales, le Maroc a adopté en 2007 une stratégie nationale de lutte contre la traite des êtres humaines et pris des mesures juridiques et pratiques pour réprimer les auteurs de tels crimes et protéger les victimes. En 2011, il a ratifié le Protocole additionnel à la Convention des Nations Unies contre la criminalité transnationale organisée visant à prévenir, réprimer et punir la traite des personnes, en particulier des femmes et des enfants. En 2013, il a accueilli la Rapporteuse spéciale sur la traite des êtres humains, en particulier les femmes et les enfants.</w:t>
      </w:r>
    </w:p>
    <w:p w14:paraId="09B4230F" w14:textId="1AB3C112" w:rsidR="00B35EE7" w:rsidRPr="00F1794C" w:rsidRDefault="00B35EE7" w:rsidP="00456FC2">
      <w:pPr>
        <w:pStyle w:val="SingleTxt"/>
        <w:numPr>
          <w:ilvl w:val="0"/>
          <w:numId w:val="50"/>
        </w:numPr>
        <w:rPr>
          <w:lang w:val="fr-FR"/>
        </w:rPr>
      </w:pPr>
      <w:r w:rsidRPr="00F1794C">
        <w:rPr>
          <w:lang w:val="fr-FR"/>
        </w:rPr>
        <w:t>En 2013, le Maroc a adopté une nouvelle politique nationale d</w:t>
      </w:r>
      <w:r w:rsidR="00F1794C" w:rsidRPr="00F1794C">
        <w:rPr>
          <w:lang w:val="fr-FR"/>
        </w:rPr>
        <w:t>’</w:t>
      </w:r>
      <w:r w:rsidRPr="00F1794C">
        <w:rPr>
          <w:lang w:val="fr-FR"/>
        </w:rPr>
        <w:t>immigration et d</w:t>
      </w:r>
      <w:r w:rsidR="00F1794C" w:rsidRPr="00F1794C">
        <w:rPr>
          <w:lang w:val="fr-FR"/>
        </w:rPr>
        <w:t>’</w:t>
      </w:r>
      <w:r w:rsidRPr="00F1794C">
        <w:rPr>
          <w:lang w:val="fr-FR"/>
        </w:rPr>
        <w:t>asile qui s</w:t>
      </w:r>
      <w:r w:rsidR="00F1794C" w:rsidRPr="00F1794C">
        <w:rPr>
          <w:lang w:val="fr-FR"/>
        </w:rPr>
        <w:t>’</w:t>
      </w:r>
      <w:r w:rsidRPr="00F1794C">
        <w:rPr>
          <w:lang w:val="fr-FR"/>
        </w:rPr>
        <w:t>est traduite par des mesures concrètes dans le cadre d</w:t>
      </w:r>
      <w:r w:rsidR="00F1794C" w:rsidRPr="00F1794C">
        <w:rPr>
          <w:lang w:val="fr-FR"/>
        </w:rPr>
        <w:t>’</w:t>
      </w:r>
      <w:r w:rsidRPr="00F1794C">
        <w:rPr>
          <w:lang w:val="fr-FR"/>
        </w:rPr>
        <w:t>une stratégie d</w:t>
      </w:r>
      <w:r w:rsidR="00F1794C" w:rsidRPr="00F1794C">
        <w:rPr>
          <w:lang w:val="fr-FR"/>
        </w:rPr>
        <w:t>’</w:t>
      </w:r>
      <w:r w:rsidRPr="00F1794C">
        <w:rPr>
          <w:lang w:val="fr-FR"/>
        </w:rPr>
        <w:t>intégration comportant 11 programmes et 83 actions visant à aider les migrants et les réfugiés à faire valoir leurs droits fondamentaux. Deux projets de loi, relatifs à la migration</w:t>
      </w:r>
      <w:r w:rsidRPr="00FA086B">
        <w:rPr>
          <w:vertAlign w:val="superscript"/>
          <w:lang w:val="fr-FR"/>
        </w:rPr>
        <w:footnoteReference w:id="47"/>
      </w:r>
      <w:r w:rsidRPr="00F1794C">
        <w:rPr>
          <w:lang w:val="fr-FR"/>
        </w:rPr>
        <w:t xml:space="preserve"> et à l</w:t>
      </w:r>
      <w:r w:rsidR="00F1794C" w:rsidRPr="00F1794C">
        <w:rPr>
          <w:lang w:val="fr-FR"/>
        </w:rPr>
        <w:t>’</w:t>
      </w:r>
      <w:r w:rsidRPr="00F1794C">
        <w:rPr>
          <w:lang w:val="fr-FR"/>
        </w:rPr>
        <w:t>asile</w:t>
      </w:r>
      <w:r w:rsidRPr="00FA086B">
        <w:rPr>
          <w:vertAlign w:val="superscript"/>
          <w:lang w:val="fr-FR"/>
        </w:rPr>
        <w:footnoteReference w:id="48"/>
      </w:r>
      <w:r w:rsidRPr="00F1794C">
        <w:rPr>
          <w:lang w:val="fr-FR"/>
        </w:rPr>
        <w:t xml:space="preserve">, ont été élaborés et la loi relative à la lutte contre la traite des </w:t>
      </w:r>
      <w:r w:rsidRPr="00F1794C">
        <w:rPr>
          <w:lang w:val="fr-FR"/>
        </w:rPr>
        <w:lastRenderedPageBreak/>
        <w:t>êtres humains, la loi fixant les conditions de travail et d</w:t>
      </w:r>
      <w:r w:rsidR="00F1794C" w:rsidRPr="00F1794C">
        <w:rPr>
          <w:lang w:val="fr-FR"/>
        </w:rPr>
        <w:t>’</w:t>
      </w:r>
      <w:r w:rsidRPr="00F1794C">
        <w:rPr>
          <w:lang w:val="fr-FR"/>
        </w:rPr>
        <w:t>emploi des travailleuses et travailleurs domestiques promulguées, ce qui a eu des répercussions importantes la lutte contre l</w:t>
      </w:r>
      <w:r w:rsidR="00F1794C" w:rsidRPr="00F1794C">
        <w:rPr>
          <w:lang w:val="fr-FR"/>
        </w:rPr>
        <w:t>’</w:t>
      </w:r>
      <w:r w:rsidRPr="00F1794C">
        <w:rPr>
          <w:lang w:val="fr-FR"/>
        </w:rPr>
        <w:t>exploitation des ressortissantes étrangères.</w:t>
      </w:r>
    </w:p>
    <w:p w14:paraId="5EB1A92D" w14:textId="67F55D3D" w:rsidR="00B35EE7" w:rsidRPr="00F1794C" w:rsidRDefault="00B35EE7" w:rsidP="00456FC2">
      <w:pPr>
        <w:pStyle w:val="SingleTxt"/>
        <w:numPr>
          <w:ilvl w:val="0"/>
          <w:numId w:val="50"/>
        </w:numPr>
        <w:rPr>
          <w:lang w:val="fr-FR"/>
        </w:rPr>
      </w:pPr>
      <w:r w:rsidRPr="00F1794C">
        <w:rPr>
          <w:lang w:val="fr-FR"/>
        </w:rPr>
        <w:t>La loi n</w:t>
      </w:r>
      <w:r w:rsidRPr="00F1794C">
        <w:rPr>
          <w:vertAlign w:val="superscript"/>
          <w:lang w:val="fr-FR"/>
        </w:rPr>
        <w:t>o</w:t>
      </w:r>
      <w:r w:rsidRPr="00F1794C">
        <w:rPr>
          <w:lang w:val="fr-FR"/>
        </w:rPr>
        <w:t xml:space="preserve"> 27-14 relative à la lutte contre la traite des êtres humains</w:t>
      </w:r>
      <w:r w:rsidRPr="00FA086B">
        <w:rPr>
          <w:vertAlign w:val="superscript"/>
          <w:lang w:val="fr-FR"/>
        </w:rPr>
        <w:footnoteReference w:id="49"/>
      </w:r>
      <w:r w:rsidRPr="00F1794C">
        <w:rPr>
          <w:lang w:val="fr-FR"/>
        </w:rPr>
        <w:t xml:space="preserve"> donne une définition large des notions de traite des êtres humains, d</w:t>
      </w:r>
      <w:r w:rsidR="00F1794C" w:rsidRPr="00F1794C">
        <w:rPr>
          <w:lang w:val="fr-FR"/>
        </w:rPr>
        <w:t>’</w:t>
      </w:r>
      <w:r w:rsidRPr="00F1794C">
        <w:rPr>
          <w:lang w:val="fr-FR"/>
        </w:rPr>
        <w:t>exploitation et de victime, conforme à la position adoptée sur le plan international (Protocoles additionnels à la Convention des Nations Unies contre la criminalité organisée). Elle prévoit des sanctions pour les auteurs et une protection pour les victimes, qui ont accès à des soins médicaux, à une assistance psychologique et sociale et à des abris ainsi qu</w:t>
      </w:r>
      <w:r w:rsidR="00F1794C" w:rsidRPr="00F1794C">
        <w:rPr>
          <w:lang w:val="fr-FR"/>
        </w:rPr>
        <w:t>’</w:t>
      </w:r>
      <w:r w:rsidRPr="00F1794C">
        <w:rPr>
          <w:lang w:val="fr-FR"/>
        </w:rPr>
        <w:t>à une assistance judiciaire afin de faciliter leur réinsertion dans la vie sociale. Tous les formes d</w:t>
      </w:r>
      <w:r w:rsidR="00F1794C" w:rsidRPr="00F1794C">
        <w:rPr>
          <w:lang w:val="fr-FR"/>
        </w:rPr>
        <w:t>’</w:t>
      </w:r>
      <w:r w:rsidRPr="00F1794C">
        <w:rPr>
          <w:lang w:val="fr-FR"/>
        </w:rPr>
        <w:t>exploitation sexuelle sont punies par ladite loi, les victimes ne peuvent faire l</w:t>
      </w:r>
      <w:r w:rsidR="00F1794C" w:rsidRPr="00F1794C">
        <w:rPr>
          <w:lang w:val="fr-FR"/>
        </w:rPr>
        <w:t>’</w:t>
      </w:r>
      <w:r w:rsidRPr="00F1794C">
        <w:rPr>
          <w:lang w:val="fr-FR"/>
        </w:rPr>
        <w:t>objet de poursuites et les auteurs doivent être sanctionnés. Les peines encourues sont plus sévères pour les infractions commises contre un enfant, une personne en situation de handicap ou une femme enceinte. Les témoins ou les personnes qui dénoncent l</w:t>
      </w:r>
      <w:r w:rsidR="00F1794C" w:rsidRPr="00F1794C">
        <w:rPr>
          <w:lang w:val="fr-FR"/>
        </w:rPr>
        <w:t>’</w:t>
      </w:r>
      <w:r w:rsidRPr="00F1794C">
        <w:rPr>
          <w:lang w:val="fr-FR"/>
        </w:rPr>
        <w:t>infraction n</w:t>
      </w:r>
      <w:r w:rsidR="00F1794C" w:rsidRPr="00F1794C">
        <w:rPr>
          <w:lang w:val="fr-FR"/>
        </w:rPr>
        <w:t>’</w:t>
      </w:r>
      <w:r w:rsidRPr="00F1794C">
        <w:rPr>
          <w:lang w:val="fr-FR"/>
        </w:rPr>
        <w:t>encourent pas de sanctions. La loi en question a porté création d</w:t>
      </w:r>
      <w:r w:rsidR="00F1794C" w:rsidRPr="00F1794C">
        <w:rPr>
          <w:lang w:val="fr-FR"/>
        </w:rPr>
        <w:t>’</w:t>
      </w:r>
      <w:r w:rsidRPr="00F1794C">
        <w:rPr>
          <w:lang w:val="fr-FR"/>
        </w:rPr>
        <w:t>une commission nationale consultative chargée de coordonner les mesures de prévention et de lutter contre la traite des êtres humains. En outre, un décret fixe la composition de la Commission</w:t>
      </w:r>
      <w:r w:rsidRPr="00FA086B">
        <w:rPr>
          <w:vertAlign w:val="superscript"/>
          <w:lang w:val="fr-FR"/>
        </w:rPr>
        <w:footnoteReference w:id="50"/>
      </w:r>
      <w:r w:rsidRPr="00F1794C">
        <w:rPr>
          <w:lang w:val="fr-FR"/>
        </w:rPr>
        <w:t>, dont les membres ont pris leurs fonctions en juillet 2019.</w:t>
      </w:r>
    </w:p>
    <w:p w14:paraId="60B3FC10" w14:textId="5D02687A" w:rsidR="00B35EE7" w:rsidRPr="00F1794C" w:rsidRDefault="00B35EE7" w:rsidP="00456FC2">
      <w:pPr>
        <w:pStyle w:val="SingleTxt"/>
        <w:numPr>
          <w:ilvl w:val="0"/>
          <w:numId w:val="50"/>
        </w:numPr>
        <w:rPr>
          <w:lang w:val="fr-FR"/>
        </w:rPr>
      </w:pPr>
      <w:r w:rsidRPr="00F1794C">
        <w:rPr>
          <w:lang w:val="fr-FR"/>
        </w:rPr>
        <w:t>Afin de protéger les femmes et les enfants contre de telles infractions, les mesures ci-après ont été prises</w:t>
      </w:r>
      <w:r w:rsidR="00F1794C" w:rsidRPr="00F1794C">
        <w:rPr>
          <w:lang w:val="fr-FR"/>
        </w:rPr>
        <w:t> :</w:t>
      </w:r>
    </w:p>
    <w:p w14:paraId="73D9CE0C" w14:textId="4F63EC42" w:rsidR="00B35EE7" w:rsidRPr="00237A98" w:rsidRDefault="00237A98" w:rsidP="00237A98">
      <w:pPr>
        <w:pStyle w:val="SingleTxt"/>
        <w:tabs>
          <w:tab w:val="right" w:pos="1685"/>
        </w:tabs>
        <w:ind w:left="1742" w:hanging="475"/>
        <w:rPr>
          <w:lang w:val="fr-FR"/>
        </w:rPr>
      </w:pPr>
      <w:r>
        <w:rPr>
          <w:lang w:val="fr-FR"/>
        </w:rPr>
        <w:tab/>
        <w:t>•</w:t>
      </w:r>
      <w:r>
        <w:rPr>
          <w:lang w:val="fr-FR"/>
        </w:rPr>
        <w:tab/>
      </w:r>
      <w:r w:rsidR="00B35EE7" w:rsidRPr="00237A98">
        <w:rPr>
          <w:lang w:val="fr-FR"/>
        </w:rPr>
        <w:t>En décembre 2016, le secteur de la justice a adressé un questionnaire aux premiers présidents des cours d</w:t>
      </w:r>
      <w:r w:rsidR="00F1794C" w:rsidRPr="00237A98">
        <w:rPr>
          <w:lang w:val="fr-FR"/>
        </w:rPr>
        <w:t>’</w:t>
      </w:r>
      <w:r w:rsidR="00B35EE7" w:rsidRPr="00237A98">
        <w:rPr>
          <w:lang w:val="fr-FR"/>
        </w:rPr>
        <w:t>appel et aux présidents des tribunaux de première instance au sujet des cas pour lesquels les dispositions de la loi n</w:t>
      </w:r>
      <w:r w:rsidR="00B35EE7" w:rsidRPr="00237A98">
        <w:rPr>
          <w:vertAlign w:val="superscript"/>
          <w:lang w:val="fr-FR"/>
        </w:rPr>
        <w:t>o</w:t>
      </w:r>
      <w:r w:rsidR="00B35EE7" w:rsidRPr="00237A98">
        <w:rPr>
          <w:lang w:val="fr-FR"/>
        </w:rPr>
        <w:t> 27-14 n</w:t>
      </w:r>
      <w:r w:rsidR="00F1794C" w:rsidRPr="00237A98">
        <w:rPr>
          <w:lang w:val="fr-FR"/>
        </w:rPr>
        <w:t>’</w:t>
      </w:r>
      <w:r w:rsidR="00B35EE7" w:rsidRPr="00237A98">
        <w:rPr>
          <w:lang w:val="fr-FR"/>
        </w:rPr>
        <w:t>ont pas été appliques</w:t>
      </w:r>
      <w:r w:rsidR="00F1794C" w:rsidRPr="00237A98">
        <w:rPr>
          <w:lang w:val="fr-FR"/>
        </w:rPr>
        <w:t> ;</w:t>
      </w:r>
    </w:p>
    <w:p w14:paraId="05C29335" w14:textId="476B7C83" w:rsidR="00B35EE7" w:rsidRPr="00237A98" w:rsidRDefault="00237A98" w:rsidP="00237A98">
      <w:pPr>
        <w:pStyle w:val="SingleTxt"/>
        <w:tabs>
          <w:tab w:val="right" w:pos="1685"/>
        </w:tabs>
        <w:ind w:left="1742" w:hanging="475"/>
        <w:rPr>
          <w:lang w:val="fr-FR"/>
        </w:rPr>
      </w:pPr>
      <w:r>
        <w:rPr>
          <w:lang w:val="fr-FR"/>
        </w:rPr>
        <w:tab/>
        <w:t>•</w:t>
      </w:r>
      <w:r>
        <w:rPr>
          <w:lang w:val="fr-FR"/>
        </w:rPr>
        <w:tab/>
      </w:r>
      <w:r w:rsidR="00B35EE7" w:rsidRPr="00237A98">
        <w:rPr>
          <w:lang w:val="fr-FR"/>
        </w:rPr>
        <w:t>Le programme J/Tip visant à renforcer les capacités de la société civile à identifier et aider les victimes de la traite des personnes au Maroc a été mis en place et le cadre juridique et conceptuel s</w:t>
      </w:r>
      <w:r w:rsidR="00F1794C" w:rsidRPr="00237A98">
        <w:rPr>
          <w:lang w:val="fr-FR"/>
        </w:rPr>
        <w:t>’</w:t>
      </w:r>
      <w:r w:rsidR="00B35EE7" w:rsidRPr="00237A98">
        <w:rPr>
          <w:lang w:val="fr-FR"/>
        </w:rPr>
        <w:t>y rapportant défini</w:t>
      </w:r>
      <w:r w:rsidR="00F1794C" w:rsidRPr="00237A98">
        <w:rPr>
          <w:lang w:val="fr-FR"/>
        </w:rPr>
        <w:t> ;</w:t>
      </w:r>
      <w:r w:rsidR="00B35EE7" w:rsidRPr="00237A98">
        <w:rPr>
          <w:lang w:val="fr-FR"/>
        </w:rPr>
        <w:t xml:space="preserve"> un programme de formation a été exécuté dans sept villes (2017-2018) au profit de 150 associations</w:t>
      </w:r>
      <w:r w:rsidR="00F1794C" w:rsidRPr="00237A98">
        <w:rPr>
          <w:lang w:val="fr-FR"/>
        </w:rPr>
        <w:t> ;</w:t>
      </w:r>
      <w:r w:rsidR="00B35EE7" w:rsidRPr="00237A98">
        <w:rPr>
          <w:lang w:val="fr-FR"/>
        </w:rPr>
        <w:t xml:space="preserve"> l</w:t>
      </w:r>
      <w:r w:rsidR="00F1794C" w:rsidRPr="00237A98">
        <w:rPr>
          <w:lang w:val="fr-FR"/>
        </w:rPr>
        <w:t>’</w:t>
      </w:r>
      <w:r w:rsidR="00B35EE7" w:rsidRPr="00237A98">
        <w:rPr>
          <w:lang w:val="fr-FR"/>
        </w:rPr>
        <w:t>action mondiale pour prévenir et combattre la traite des personnes et le trafic illicite de migrants (GLO.ACT)</w:t>
      </w:r>
      <w:r w:rsidR="00F1794C" w:rsidRPr="00237A98">
        <w:rPr>
          <w:lang w:val="fr-FR"/>
        </w:rPr>
        <w:t xml:space="preserve"> </w:t>
      </w:r>
      <w:r w:rsidR="00B35EE7" w:rsidRPr="00237A98">
        <w:rPr>
          <w:lang w:val="fr-FR"/>
        </w:rPr>
        <w:t>a été menée pour renforcer les capacités institutionnelles et sectorielles nationales dans ce domaine</w:t>
      </w:r>
      <w:r w:rsidR="00F1794C" w:rsidRPr="00237A98">
        <w:rPr>
          <w:lang w:val="fr-FR"/>
        </w:rPr>
        <w:t> ;</w:t>
      </w:r>
      <w:r w:rsidR="00B35EE7" w:rsidRPr="00237A98">
        <w:rPr>
          <w:lang w:val="fr-FR"/>
        </w:rPr>
        <w:t xml:space="preserve"> </w:t>
      </w:r>
    </w:p>
    <w:p w14:paraId="1495FAA6" w14:textId="019493F2" w:rsidR="00B35EE7" w:rsidRPr="00237A98" w:rsidRDefault="00237A98" w:rsidP="00237A98">
      <w:pPr>
        <w:pStyle w:val="SingleTxt"/>
        <w:tabs>
          <w:tab w:val="right" w:pos="1685"/>
        </w:tabs>
        <w:ind w:left="1742" w:hanging="475"/>
        <w:rPr>
          <w:lang w:val="fr-FR"/>
        </w:rPr>
      </w:pPr>
      <w:r>
        <w:rPr>
          <w:lang w:val="fr-FR"/>
        </w:rPr>
        <w:tab/>
        <w:t>•</w:t>
      </w:r>
      <w:r>
        <w:rPr>
          <w:lang w:val="fr-FR"/>
        </w:rPr>
        <w:tab/>
      </w:r>
      <w:r w:rsidR="00B35EE7" w:rsidRPr="00237A98">
        <w:rPr>
          <w:lang w:val="fr-FR"/>
        </w:rPr>
        <w:t>Un programme de coopération avec l</w:t>
      </w:r>
      <w:r w:rsidR="00F1794C" w:rsidRPr="00237A98">
        <w:rPr>
          <w:lang w:val="fr-FR"/>
        </w:rPr>
        <w:t>’</w:t>
      </w:r>
      <w:r w:rsidR="00B35EE7" w:rsidRPr="00237A98">
        <w:rPr>
          <w:lang w:val="fr-FR"/>
        </w:rPr>
        <w:t>Entité des Nations Unies pour l</w:t>
      </w:r>
      <w:r w:rsidR="00F1794C" w:rsidRPr="00237A98">
        <w:rPr>
          <w:lang w:val="fr-FR"/>
        </w:rPr>
        <w:t>’</w:t>
      </w:r>
      <w:r w:rsidR="00B35EE7" w:rsidRPr="00237A98">
        <w:rPr>
          <w:lang w:val="fr-FR"/>
        </w:rPr>
        <w:t>égalité des sexes et l</w:t>
      </w:r>
      <w:r w:rsidR="00F1794C" w:rsidRPr="00237A98">
        <w:rPr>
          <w:lang w:val="fr-FR"/>
        </w:rPr>
        <w:t>’</w:t>
      </w:r>
      <w:r w:rsidR="00B35EE7" w:rsidRPr="00237A98">
        <w:rPr>
          <w:lang w:val="fr-FR"/>
        </w:rPr>
        <w:t>autonomisation des femmes (ONU-Femmes) a été mis en place en vue d</w:t>
      </w:r>
      <w:r w:rsidR="00F1794C" w:rsidRPr="00237A98">
        <w:rPr>
          <w:lang w:val="fr-FR"/>
        </w:rPr>
        <w:t>’</w:t>
      </w:r>
      <w:r w:rsidR="00B35EE7" w:rsidRPr="00237A98">
        <w:rPr>
          <w:lang w:val="fr-FR"/>
        </w:rPr>
        <w:t>aider la présidence du Ministère public à protéger les victimes de la traite des êtres humains par l</w:t>
      </w:r>
      <w:r w:rsidR="00F1794C" w:rsidRPr="00237A98">
        <w:rPr>
          <w:lang w:val="fr-FR"/>
        </w:rPr>
        <w:t>’</w:t>
      </w:r>
      <w:r w:rsidR="00B35EE7" w:rsidRPr="00237A98">
        <w:rPr>
          <w:lang w:val="fr-FR"/>
        </w:rPr>
        <w:t>amélioration de l</w:t>
      </w:r>
      <w:r w:rsidR="00F1794C" w:rsidRPr="00237A98">
        <w:rPr>
          <w:lang w:val="fr-FR"/>
        </w:rPr>
        <w:t>’</w:t>
      </w:r>
      <w:r w:rsidR="00B35EE7" w:rsidRPr="00237A98">
        <w:rPr>
          <w:lang w:val="fr-FR"/>
        </w:rPr>
        <w:t>accès aux services judiciaires, la création de mécanismes de coordination et de suivi et le renforcement des capacités des cadres</w:t>
      </w:r>
      <w:r w:rsidR="00F1794C" w:rsidRPr="00237A98">
        <w:rPr>
          <w:lang w:val="fr-FR"/>
        </w:rPr>
        <w:t> ;</w:t>
      </w:r>
    </w:p>
    <w:p w14:paraId="58BD7417" w14:textId="3BFC6309" w:rsidR="00B35EE7" w:rsidRPr="00237A98" w:rsidRDefault="00237A98" w:rsidP="00237A98">
      <w:pPr>
        <w:pStyle w:val="SingleTxt"/>
        <w:tabs>
          <w:tab w:val="right" w:pos="1685"/>
        </w:tabs>
        <w:ind w:left="1742" w:hanging="475"/>
        <w:rPr>
          <w:lang w:val="fr-FR"/>
        </w:rPr>
      </w:pPr>
      <w:r>
        <w:rPr>
          <w:lang w:val="fr-FR"/>
        </w:rPr>
        <w:tab/>
        <w:t>•</w:t>
      </w:r>
      <w:r>
        <w:rPr>
          <w:lang w:val="fr-FR"/>
        </w:rPr>
        <w:tab/>
      </w:r>
      <w:r w:rsidR="00B35EE7" w:rsidRPr="00237A98">
        <w:rPr>
          <w:lang w:val="fr-FR"/>
        </w:rPr>
        <w:t>Un réseau a été établi à l</w:t>
      </w:r>
      <w:r w:rsidR="00F1794C" w:rsidRPr="00237A98">
        <w:rPr>
          <w:lang w:val="fr-FR"/>
        </w:rPr>
        <w:t>’</w:t>
      </w:r>
      <w:r w:rsidR="00B35EE7" w:rsidRPr="00237A98">
        <w:rPr>
          <w:lang w:val="fr-FR"/>
        </w:rPr>
        <w:t>intention des magistrats du parquet chargés des affaires relatives à la traite des êtres humains auprès des juridictions d</w:t>
      </w:r>
      <w:r w:rsidR="00F1794C" w:rsidRPr="00237A98">
        <w:rPr>
          <w:lang w:val="fr-FR"/>
        </w:rPr>
        <w:t>’</w:t>
      </w:r>
      <w:r w:rsidR="00B35EE7" w:rsidRPr="00237A98">
        <w:rPr>
          <w:lang w:val="fr-FR"/>
        </w:rPr>
        <w:t>appel</w:t>
      </w:r>
      <w:r w:rsidR="00F1794C" w:rsidRPr="00237A98">
        <w:rPr>
          <w:lang w:val="fr-FR"/>
        </w:rPr>
        <w:t> ;</w:t>
      </w:r>
    </w:p>
    <w:p w14:paraId="771B82A0" w14:textId="5C702BFB" w:rsidR="00B35EE7" w:rsidRPr="00237A98" w:rsidRDefault="00237A98" w:rsidP="00237A98">
      <w:pPr>
        <w:pStyle w:val="SingleTxt"/>
        <w:tabs>
          <w:tab w:val="right" w:pos="1685"/>
        </w:tabs>
        <w:ind w:left="1742" w:hanging="475"/>
        <w:rPr>
          <w:lang w:val="fr-FR"/>
        </w:rPr>
      </w:pPr>
      <w:r>
        <w:rPr>
          <w:lang w:val="fr-FR"/>
        </w:rPr>
        <w:tab/>
        <w:t>•</w:t>
      </w:r>
      <w:r>
        <w:rPr>
          <w:lang w:val="fr-FR"/>
        </w:rPr>
        <w:tab/>
      </w:r>
      <w:r w:rsidR="00B35EE7" w:rsidRPr="00237A98">
        <w:rPr>
          <w:lang w:val="fr-FR"/>
        </w:rPr>
        <w:t>Les capacités des acteurs gouvernementaux, des institutions publiques et des organisations non gouvernementales en matière de la lutte contre la traite des êtres humains ont été renforcés, les instruments d</w:t>
      </w:r>
      <w:r w:rsidR="00F1794C" w:rsidRPr="00237A98">
        <w:rPr>
          <w:lang w:val="fr-FR"/>
        </w:rPr>
        <w:t>’</w:t>
      </w:r>
      <w:r w:rsidR="00B35EE7" w:rsidRPr="00237A98">
        <w:rPr>
          <w:lang w:val="fr-FR"/>
        </w:rPr>
        <w:t>application de la loi établis et un débat a été tenu concernant la création et la mise en service d</w:t>
      </w:r>
      <w:r w:rsidR="00F1794C" w:rsidRPr="00237A98">
        <w:rPr>
          <w:lang w:val="fr-FR"/>
        </w:rPr>
        <w:t>’</w:t>
      </w:r>
      <w:r w:rsidR="00B35EE7" w:rsidRPr="00237A98">
        <w:rPr>
          <w:lang w:val="fr-FR"/>
        </w:rPr>
        <w:t>un mécanisme national d</w:t>
      </w:r>
      <w:r w:rsidR="00F1794C" w:rsidRPr="00237A98">
        <w:rPr>
          <w:lang w:val="fr-FR"/>
        </w:rPr>
        <w:t>’</w:t>
      </w:r>
      <w:r w:rsidR="00B35EE7" w:rsidRPr="00237A98">
        <w:rPr>
          <w:lang w:val="fr-FR"/>
        </w:rPr>
        <w:t>orientation et d</w:t>
      </w:r>
      <w:r w:rsidR="00F1794C" w:rsidRPr="00237A98">
        <w:rPr>
          <w:lang w:val="fr-FR"/>
        </w:rPr>
        <w:t>’</w:t>
      </w:r>
      <w:r w:rsidR="00B35EE7" w:rsidRPr="00237A98">
        <w:rPr>
          <w:lang w:val="fr-FR"/>
        </w:rPr>
        <w:t>identification des victimes, en particulier les femmes et les enfants, afin que ces personnes puissent être dirigées vers des centres de protection et de réadaptation</w:t>
      </w:r>
      <w:r w:rsidR="00F1794C" w:rsidRPr="00237A98">
        <w:rPr>
          <w:lang w:val="fr-FR"/>
        </w:rPr>
        <w:t> ;</w:t>
      </w:r>
    </w:p>
    <w:p w14:paraId="756F2005" w14:textId="56542E13" w:rsidR="00B35EE7" w:rsidRPr="00237A98" w:rsidRDefault="00237A98" w:rsidP="00237A98">
      <w:pPr>
        <w:pStyle w:val="SingleTxt"/>
        <w:tabs>
          <w:tab w:val="right" w:pos="1685"/>
        </w:tabs>
        <w:ind w:left="1742" w:hanging="475"/>
        <w:rPr>
          <w:lang w:val="fr-FR"/>
        </w:rPr>
      </w:pPr>
      <w:r>
        <w:rPr>
          <w:lang w:val="fr-FR"/>
        </w:rPr>
        <w:lastRenderedPageBreak/>
        <w:tab/>
        <w:t>•</w:t>
      </w:r>
      <w:r>
        <w:rPr>
          <w:lang w:val="fr-FR"/>
        </w:rPr>
        <w:tab/>
      </w:r>
      <w:r w:rsidR="00B35EE7" w:rsidRPr="00237A98">
        <w:rPr>
          <w:lang w:val="fr-FR"/>
        </w:rPr>
        <w:t>Une loi</w:t>
      </w:r>
      <w:r w:rsidR="00B35EE7" w:rsidRPr="00FA086B">
        <w:rPr>
          <w:vertAlign w:val="superscript"/>
          <w:lang w:val="fr-FR"/>
        </w:rPr>
        <w:footnoteReference w:id="51"/>
      </w:r>
      <w:r w:rsidR="00B35EE7" w:rsidRPr="00237A98">
        <w:rPr>
          <w:lang w:val="fr-FR"/>
        </w:rPr>
        <w:t xml:space="preserve"> portant approbation de l</w:t>
      </w:r>
      <w:r w:rsidR="00F1794C" w:rsidRPr="00237A98">
        <w:rPr>
          <w:lang w:val="fr-FR"/>
        </w:rPr>
        <w:t>’</w:t>
      </w:r>
      <w:r w:rsidR="00B35EE7" w:rsidRPr="00237A98">
        <w:rPr>
          <w:lang w:val="fr-FR"/>
        </w:rPr>
        <w:t>adhésion du Maroc à la Convention sur les migrations dans des conditions abusives et sur la promotion de l</w:t>
      </w:r>
      <w:r w:rsidR="00F1794C" w:rsidRPr="00237A98">
        <w:rPr>
          <w:lang w:val="fr-FR"/>
        </w:rPr>
        <w:t>’</w:t>
      </w:r>
      <w:r w:rsidR="00B35EE7" w:rsidRPr="00237A98">
        <w:rPr>
          <w:lang w:val="fr-FR"/>
        </w:rPr>
        <w:t>égalité de chances et de traitement des travailleurs migrants a été adoptée</w:t>
      </w:r>
      <w:r w:rsidR="00F1794C" w:rsidRPr="00237A98">
        <w:rPr>
          <w:lang w:val="fr-FR"/>
        </w:rPr>
        <w:t> ;</w:t>
      </w:r>
    </w:p>
    <w:p w14:paraId="432C4F3C" w14:textId="76786C56" w:rsidR="00B35EE7" w:rsidRPr="00237A98" w:rsidRDefault="00237A98" w:rsidP="00237A98">
      <w:pPr>
        <w:pStyle w:val="SingleTxt"/>
        <w:tabs>
          <w:tab w:val="right" w:pos="1685"/>
        </w:tabs>
        <w:ind w:left="1742" w:hanging="475"/>
        <w:rPr>
          <w:lang w:val="fr-FR"/>
        </w:rPr>
      </w:pPr>
      <w:r>
        <w:rPr>
          <w:lang w:val="fr-FR"/>
        </w:rPr>
        <w:tab/>
        <w:t>•</w:t>
      </w:r>
      <w:r>
        <w:rPr>
          <w:lang w:val="fr-FR"/>
        </w:rPr>
        <w:tab/>
      </w:r>
      <w:r w:rsidR="00B35EE7" w:rsidRPr="00237A98">
        <w:rPr>
          <w:lang w:val="fr-FR"/>
        </w:rPr>
        <w:t>Le Maroc a ratifié</w:t>
      </w:r>
      <w:r w:rsidR="00B35EE7" w:rsidRPr="00FA086B">
        <w:rPr>
          <w:vertAlign w:val="superscript"/>
          <w:lang w:val="fr-FR"/>
        </w:rPr>
        <w:footnoteReference w:id="52"/>
      </w:r>
      <w:r w:rsidR="00F1794C" w:rsidRPr="00237A98">
        <w:rPr>
          <w:lang w:val="fr-FR"/>
        </w:rPr>
        <w:t xml:space="preserve"> </w:t>
      </w:r>
      <w:r w:rsidR="00B35EE7" w:rsidRPr="00237A98">
        <w:rPr>
          <w:lang w:val="fr-FR"/>
        </w:rPr>
        <w:t>la Convention de 1949 sur les travailleurs migrants (révisée) (n</w:t>
      </w:r>
      <w:r w:rsidRPr="00237A98">
        <w:rPr>
          <w:vertAlign w:val="superscript"/>
          <w:lang w:val="fr-FR"/>
        </w:rPr>
        <w:t>o</w:t>
      </w:r>
      <w:r w:rsidR="00B35EE7" w:rsidRPr="00237A98">
        <w:rPr>
          <w:lang w:val="fr-FR"/>
        </w:rPr>
        <w:t xml:space="preserve"> 97)</w:t>
      </w:r>
      <w:r w:rsidR="00F1794C" w:rsidRPr="00237A98">
        <w:rPr>
          <w:lang w:val="fr-FR"/>
        </w:rPr>
        <w:t> ;</w:t>
      </w:r>
    </w:p>
    <w:p w14:paraId="15E88E89" w14:textId="48A8EAF4" w:rsidR="00B35EE7" w:rsidRPr="00F1794C" w:rsidRDefault="00B35EE7" w:rsidP="00456FC2">
      <w:pPr>
        <w:pStyle w:val="SingleTxt"/>
        <w:numPr>
          <w:ilvl w:val="0"/>
          <w:numId w:val="50"/>
        </w:numPr>
        <w:rPr>
          <w:lang w:val="fr-FR"/>
        </w:rPr>
      </w:pPr>
      <w:r w:rsidRPr="00F1794C">
        <w:rPr>
          <w:lang w:val="fr-FR"/>
        </w:rPr>
        <w:t>Le Royaume du Maroc a procédé à une opération exceptionnelle de régularisation des migrants en situation irrégulière sur le plan administratif qui s</w:t>
      </w:r>
      <w:r w:rsidR="00F1794C" w:rsidRPr="00F1794C">
        <w:rPr>
          <w:lang w:val="fr-FR"/>
        </w:rPr>
        <w:t>’</w:t>
      </w:r>
      <w:r w:rsidRPr="00F1794C">
        <w:rPr>
          <w:lang w:val="fr-FR"/>
        </w:rPr>
        <w:t>est déroulé en deux phases, en accordant une attention particulière aux femmes et aux enfants. Il a mobilisé des moyens logistiques et humains à cet effet</w:t>
      </w:r>
      <w:r w:rsidR="00F1794C" w:rsidRPr="00F1794C">
        <w:rPr>
          <w:lang w:val="fr-FR"/>
        </w:rPr>
        <w:t> :</w:t>
      </w:r>
      <w:r w:rsidRPr="00F1794C">
        <w:rPr>
          <w:lang w:val="fr-FR"/>
        </w:rPr>
        <w:t xml:space="preserve"> ouverture de 83</w:t>
      </w:r>
      <w:r w:rsidR="00237A98">
        <w:rPr>
          <w:lang w:val="fr-FR"/>
        </w:rPr>
        <w:t> </w:t>
      </w:r>
      <w:r w:rsidRPr="00F1794C">
        <w:rPr>
          <w:lang w:val="fr-FR"/>
        </w:rPr>
        <w:t>bureaux dans toutes les préfectures et provinces</w:t>
      </w:r>
      <w:r w:rsidR="00F1794C" w:rsidRPr="00F1794C">
        <w:rPr>
          <w:lang w:val="fr-FR"/>
        </w:rPr>
        <w:t> ;</w:t>
      </w:r>
      <w:r w:rsidRPr="00F1794C">
        <w:rPr>
          <w:lang w:val="fr-FR"/>
        </w:rPr>
        <w:t xml:space="preserve"> formation de 3 000 agents chargés d</w:t>
      </w:r>
      <w:r w:rsidR="00F1794C" w:rsidRPr="00F1794C">
        <w:rPr>
          <w:lang w:val="fr-FR"/>
        </w:rPr>
        <w:t>’</w:t>
      </w:r>
      <w:r w:rsidRPr="00F1794C">
        <w:rPr>
          <w:lang w:val="fr-FR"/>
        </w:rPr>
        <w:t>examiner les dossiers</w:t>
      </w:r>
      <w:r w:rsidR="00F1794C" w:rsidRPr="00F1794C">
        <w:rPr>
          <w:lang w:val="fr-FR"/>
        </w:rPr>
        <w:t> ;</w:t>
      </w:r>
      <w:r w:rsidRPr="00F1794C">
        <w:rPr>
          <w:lang w:val="fr-FR"/>
        </w:rPr>
        <w:t xml:space="preserve"> utilisation d</w:t>
      </w:r>
      <w:r w:rsidR="00F1794C" w:rsidRPr="00F1794C">
        <w:rPr>
          <w:lang w:val="fr-FR"/>
        </w:rPr>
        <w:t>’</w:t>
      </w:r>
      <w:r w:rsidRPr="00F1794C">
        <w:rPr>
          <w:lang w:val="fr-FR"/>
        </w:rPr>
        <w:t>un système d</w:t>
      </w:r>
      <w:r w:rsidR="00F1794C" w:rsidRPr="00F1794C">
        <w:rPr>
          <w:lang w:val="fr-FR"/>
        </w:rPr>
        <w:t>’</w:t>
      </w:r>
      <w:r w:rsidRPr="00F1794C">
        <w:rPr>
          <w:lang w:val="fr-FR"/>
        </w:rPr>
        <w:t>information perfectionné</w:t>
      </w:r>
      <w:r w:rsidR="00F1794C" w:rsidRPr="00F1794C">
        <w:rPr>
          <w:lang w:val="fr-FR"/>
        </w:rPr>
        <w:t> ;</w:t>
      </w:r>
      <w:r w:rsidRPr="00F1794C">
        <w:rPr>
          <w:lang w:val="fr-FR"/>
        </w:rPr>
        <w:t xml:space="preserve"> activités de sensibilisation faisant intervenir la société civile. </w:t>
      </w:r>
    </w:p>
    <w:p w14:paraId="15B0DA2A" w14:textId="06C334E1" w:rsidR="00B35EE7" w:rsidRPr="00F1794C" w:rsidRDefault="00B35EE7" w:rsidP="00456FC2">
      <w:pPr>
        <w:pStyle w:val="SingleTxt"/>
        <w:numPr>
          <w:ilvl w:val="0"/>
          <w:numId w:val="50"/>
        </w:numPr>
        <w:rPr>
          <w:lang w:val="fr-FR"/>
        </w:rPr>
      </w:pPr>
      <w:r w:rsidRPr="00F1794C">
        <w:rPr>
          <w:lang w:val="fr-FR"/>
        </w:rPr>
        <w:t>En juin 2014, une commission nationale de recours relevant du Conseil national des droits de l</w:t>
      </w:r>
      <w:r w:rsidR="00F1794C" w:rsidRPr="00F1794C">
        <w:rPr>
          <w:lang w:val="fr-FR"/>
        </w:rPr>
        <w:t>’</w:t>
      </w:r>
      <w:r w:rsidRPr="00F1794C">
        <w:rPr>
          <w:lang w:val="fr-FR"/>
        </w:rPr>
        <w:t>homme a été créée en vue d</w:t>
      </w:r>
      <w:r w:rsidR="00F1794C" w:rsidRPr="00F1794C">
        <w:rPr>
          <w:lang w:val="fr-FR"/>
        </w:rPr>
        <w:t>’</w:t>
      </w:r>
      <w:r w:rsidRPr="00F1794C">
        <w:rPr>
          <w:lang w:val="fr-FR"/>
        </w:rPr>
        <w:t>examiner les demandes de régularisation rejetées. La commission a recommandé la régularisation de la situation de toutes les femmes migrantes et de leurs enfants qui ne remplissent pas les critères requis. Toutes les demandes (plus de 10 000) concernant des femmes et des enfants ressortissants de 116 pays ont été acceptées</w:t>
      </w:r>
      <w:r w:rsidR="00C94495">
        <w:rPr>
          <w:lang w:val="fr-FR"/>
        </w:rPr>
        <w:t>.</w:t>
      </w:r>
    </w:p>
    <w:p w14:paraId="2C3B794F" w14:textId="77777777" w:rsidR="00237A98" w:rsidRPr="00237A98" w:rsidRDefault="00237A98" w:rsidP="00237A98">
      <w:pPr>
        <w:pStyle w:val="SingleTxt"/>
        <w:spacing w:after="0" w:line="120" w:lineRule="exact"/>
        <w:rPr>
          <w:b/>
          <w:bCs/>
          <w:sz w:val="10"/>
          <w:lang w:val="fr-FR"/>
        </w:rPr>
      </w:pPr>
    </w:p>
    <w:p w14:paraId="1395C0AA" w14:textId="6D32BB22" w:rsidR="00237A98" w:rsidRDefault="00BD70F3" w:rsidP="00BD70F3">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B35EE7" w:rsidRPr="00F1794C">
        <w:rPr>
          <w:lang w:val="fr-FR"/>
        </w:rPr>
        <w:t>Tableau 1</w:t>
      </w:r>
    </w:p>
    <w:p w14:paraId="587E69BC" w14:textId="4E41F160" w:rsidR="00EB668C" w:rsidRDefault="00BD70F3" w:rsidP="00BD70F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D</w:t>
      </w:r>
      <w:r w:rsidR="00B35EE7" w:rsidRPr="00F1794C">
        <w:rPr>
          <w:lang w:val="fr-FR"/>
        </w:rPr>
        <w:t>emandes concernant des migrantes, y compris les demandes acceptées (résultats provisoires)</w:t>
      </w:r>
    </w:p>
    <w:p w14:paraId="52D5CA9D" w14:textId="6AB20E46" w:rsidR="00BD70F3" w:rsidRPr="00BD70F3" w:rsidRDefault="00BD70F3" w:rsidP="00BD70F3">
      <w:pPr>
        <w:pStyle w:val="SingleTxt"/>
        <w:spacing w:after="0" w:line="120" w:lineRule="exact"/>
        <w:rPr>
          <w:sz w:val="10"/>
          <w:lang w:val="fr-FR"/>
        </w:rPr>
      </w:pPr>
    </w:p>
    <w:p w14:paraId="4BDA71EA" w14:textId="77777777" w:rsidR="00BD70F3" w:rsidRPr="00BD70F3" w:rsidRDefault="00BD70F3" w:rsidP="00BD70F3">
      <w:pPr>
        <w:pStyle w:val="SingleTxt"/>
        <w:spacing w:after="0" w:line="120" w:lineRule="exact"/>
        <w:rPr>
          <w:sz w:val="10"/>
          <w:lang w:val="fr-FR"/>
        </w:rPr>
      </w:pPr>
    </w:p>
    <w:tbl>
      <w:tblPr>
        <w:tblStyle w:val="Grilledutableau1"/>
        <w:tblW w:w="9016" w:type="dxa"/>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23"/>
        <w:gridCol w:w="1170"/>
        <w:gridCol w:w="1467"/>
        <w:gridCol w:w="1318"/>
        <w:gridCol w:w="1265"/>
        <w:gridCol w:w="1373"/>
      </w:tblGrid>
      <w:tr w:rsidR="00BD70F3" w:rsidRPr="00BD70F3" w14:paraId="43FC4E17" w14:textId="77777777" w:rsidTr="00BD70F3">
        <w:trPr>
          <w:cantSplit/>
          <w:tblHeader/>
        </w:trPr>
        <w:tc>
          <w:tcPr>
            <w:tcW w:w="2423" w:type="dxa"/>
            <w:tcBorders>
              <w:top w:val="single" w:sz="4" w:space="0" w:color="auto"/>
              <w:bottom w:val="single" w:sz="12" w:space="0" w:color="auto"/>
            </w:tcBorders>
            <w:shd w:val="clear" w:color="auto" w:fill="auto"/>
            <w:noWrap/>
            <w:vAlign w:val="bottom"/>
          </w:tcPr>
          <w:p w14:paraId="0DF38B7C" w14:textId="77777777" w:rsidR="00B35EE7" w:rsidRPr="00BD70F3" w:rsidRDefault="00B35EE7" w:rsidP="00BD70F3">
            <w:pPr>
              <w:suppressAutoHyphens/>
              <w:spacing w:before="81" w:after="81" w:line="160" w:lineRule="exact"/>
              <w:ind w:right="40"/>
              <w:rPr>
                <w:i/>
                <w:sz w:val="14"/>
              </w:rPr>
            </w:pPr>
          </w:p>
        </w:tc>
        <w:tc>
          <w:tcPr>
            <w:tcW w:w="1170" w:type="dxa"/>
            <w:tcBorders>
              <w:top w:val="single" w:sz="4" w:space="0" w:color="auto"/>
              <w:bottom w:val="single" w:sz="12" w:space="0" w:color="auto"/>
            </w:tcBorders>
            <w:shd w:val="clear" w:color="auto" w:fill="auto"/>
            <w:noWrap/>
            <w:vAlign w:val="bottom"/>
          </w:tcPr>
          <w:p w14:paraId="533AC832" w14:textId="643B276E" w:rsidR="00B35EE7" w:rsidRPr="00BD70F3" w:rsidRDefault="00B35EE7" w:rsidP="00BD70F3">
            <w:pPr>
              <w:suppressAutoHyphens/>
              <w:spacing w:before="81" w:after="81" w:line="160" w:lineRule="exact"/>
              <w:ind w:right="43"/>
              <w:jc w:val="right"/>
              <w:rPr>
                <w:i/>
                <w:sz w:val="14"/>
              </w:rPr>
            </w:pPr>
            <w:r w:rsidRPr="00BD70F3">
              <w:rPr>
                <w:i/>
                <w:sz w:val="14"/>
              </w:rPr>
              <w:t xml:space="preserve">Nombre </w:t>
            </w:r>
            <w:r w:rsidR="00BD70F3">
              <w:rPr>
                <w:i/>
                <w:sz w:val="14"/>
              </w:rPr>
              <w:br/>
            </w:r>
            <w:r w:rsidRPr="00BD70F3">
              <w:rPr>
                <w:i/>
                <w:sz w:val="14"/>
              </w:rPr>
              <w:t>de demandes</w:t>
            </w:r>
            <w:r w:rsidR="00BD70F3">
              <w:rPr>
                <w:i/>
                <w:sz w:val="14"/>
              </w:rPr>
              <w:t xml:space="preserve"> </w:t>
            </w:r>
            <w:r w:rsidRPr="00BD70F3">
              <w:rPr>
                <w:i/>
                <w:sz w:val="14"/>
              </w:rPr>
              <w:t>enregistrées</w:t>
            </w:r>
          </w:p>
        </w:tc>
        <w:tc>
          <w:tcPr>
            <w:tcW w:w="1467" w:type="dxa"/>
            <w:tcBorders>
              <w:top w:val="single" w:sz="4" w:space="0" w:color="auto"/>
              <w:bottom w:val="single" w:sz="12" w:space="0" w:color="auto"/>
            </w:tcBorders>
            <w:shd w:val="clear" w:color="auto" w:fill="auto"/>
            <w:noWrap/>
            <w:vAlign w:val="bottom"/>
          </w:tcPr>
          <w:p w14:paraId="111F1031" w14:textId="4C649ABA" w:rsidR="00B35EE7" w:rsidRPr="00BD70F3" w:rsidRDefault="00B35EE7" w:rsidP="00BD70F3">
            <w:pPr>
              <w:suppressAutoHyphens/>
              <w:spacing w:before="81" w:after="81" w:line="160" w:lineRule="exact"/>
              <w:ind w:right="43"/>
              <w:jc w:val="right"/>
              <w:rPr>
                <w:i/>
                <w:sz w:val="14"/>
              </w:rPr>
            </w:pPr>
            <w:r w:rsidRPr="00BD70F3">
              <w:rPr>
                <w:i/>
                <w:sz w:val="14"/>
              </w:rPr>
              <w:t xml:space="preserve">Nombre </w:t>
            </w:r>
            <w:r w:rsidR="00BD70F3">
              <w:rPr>
                <w:i/>
                <w:sz w:val="14"/>
              </w:rPr>
              <w:br/>
            </w:r>
            <w:r w:rsidRPr="00BD70F3">
              <w:rPr>
                <w:i/>
                <w:sz w:val="14"/>
              </w:rPr>
              <w:t>de nationalités</w:t>
            </w:r>
          </w:p>
        </w:tc>
        <w:tc>
          <w:tcPr>
            <w:tcW w:w="1318" w:type="dxa"/>
            <w:tcBorders>
              <w:top w:val="single" w:sz="4" w:space="0" w:color="auto"/>
              <w:bottom w:val="single" w:sz="12" w:space="0" w:color="auto"/>
            </w:tcBorders>
            <w:shd w:val="clear" w:color="auto" w:fill="auto"/>
            <w:noWrap/>
            <w:vAlign w:val="bottom"/>
          </w:tcPr>
          <w:p w14:paraId="6FBCDC19" w14:textId="4A909D66" w:rsidR="00B35EE7" w:rsidRPr="00BD70F3" w:rsidRDefault="00B35EE7" w:rsidP="00BD70F3">
            <w:pPr>
              <w:suppressAutoHyphens/>
              <w:spacing w:before="81" w:after="81" w:line="160" w:lineRule="exact"/>
              <w:ind w:right="43"/>
              <w:jc w:val="right"/>
              <w:rPr>
                <w:i/>
                <w:sz w:val="14"/>
              </w:rPr>
            </w:pPr>
            <w:r w:rsidRPr="00BD70F3">
              <w:rPr>
                <w:i/>
                <w:sz w:val="14"/>
              </w:rPr>
              <w:t xml:space="preserve">Nombre </w:t>
            </w:r>
            <w:r w:rsidR="00BD70F3">
              <w:rPr>
                <w:i/>
                <w:sz w:val="14"/>
              </w:rPr>
              <w:br/>
            </w:r>
            <w:r w:rsidRPr="00BD70F3">
              <w:rPr>
                <w:i/>
                <w:sz w:val="14"/>
              </w:rPr>
              <w:t>de demandes acceptées</w:t>
            </w:r>
          </w:p>
        </w:tc>
        <w:tc>
          <w:tcPr>
            <w:tcW w:w="1265" w:type="dxa"/>
            <w:tcBorders>
              <w:top w:val="single" w:sz="4" w:space="0" w:color="auto"/>
              <w:bottom w:val="single" w:sz="12" w:space="0" w:color="auto"/>
            </w:tcBorders>
            <w:shd w:val="clear" w:color="auto" w:fill="auto"/>
            <w:noWrap/>
            <w:vAlign w:val="bottom"/>
          </w:tcPr>
          <w:p w14:paraId="3B54A30B" w14:textId="77777777" w:rsidR="00B35EE7" w:rsidRPr="00BD70F3" w:rsidRDefault="00B35EE7" w:rsidP="00BD70F3">
            <w:pPr>
              <w:suppressAutoHyphens/>
              <w:spacing w:before="81" w:after="81" w:line="160" w:lineRule="exact"/>
              <w:ind w:right="43"/>
              <w:jc w:val="right"/>
              <w:rPr>
                <w:i/>
                <w:sz w:val="14"/>
              </w:rPr>
            </w:pPr>
            <w:r w:rsidRPr="00BD70F3">
              <w:rPr>
                <w:i/>
                <w:sz w:val="14"/>
              </w:rPr>
              <w:t>Pourcentage</w:t>
            </w:r>
          </w:p>
        </w:tc>
        <w:tc>
          <w:tcPr>
            <w:tcW w:w="1373" w:type="dxa"/>
            <w:tcBorders>
              <w:top w:val="single" w:sz="4" w:space="0" w:color="auto"/>
              <w:bottom w:val="single" w:sz="12" w:space="0" w:color="auto"/>
            </w:tcBorders>
            <w:shd w:val="clear" w:color="auto" w:fill="auto"/>
            <w:noWrap/>
            <w:vAlign w:val="bottom"/>
          </w:tcPr>
          <w:p w14:paraId="38FFAF7E" w14:textId="12DF4DC4" w:rsidR="00B35EE7" w:rsidRPr="00BD70F3" w:rsidRDefault="00B35EE7" w:rsidP="00BD70F3">
            <w:pPr>
              <w:suppressAutoHyphens/>
              <w:spacing w:before="81" w:after="81" w:line="160" w:lineRule="exact"/>
              <w:ind w:right="43"/>
              <w:jc w:val="right"/>
              <w:rPr>
                <w:i/>
                <w:sz w:val="14"/>
              </w:rPr>
            </w:pPr>
            <w:r w:rsidRPr="00BD70F3">
              <w:rPr>
                <w:i/>
                <w:sz w:val="14"/>
              </w:rPr>
              <w:t>Nombre de demandes acceptées concernant</w:t>
            </w:r>
            <w:r w:rsidR="00BD70F3">
              <w:rPr>
                <w:i/>
                <w:sz w:val="14"/>
              </w:rPr>
              <w:br/>
            </w:r>
            <w:r w:rsidRPr="00BD70F3">
              <w:rPr>
                <w:i/>
                <w:sz w:val="14"/>
              </w:rPr>
              <w:t xml:space="preserve"> des femmes</w:t>
            </w:r>
            <w:r w:rsidR="00BD70F3">
              <w:rPr>
                <w:i/>
                <w:sz w:val="14"/>
              </w:rPr>
              <w:br/>
            </w:r>
            <w:r w:rsidRPr="00BD70F3">
              <w:rPr>
                <w:i/>
                <w:sz w:val="14"/>
              </w:rPr>
              <w:t xml:space="preserve"> et des enfants</w:t>
            </w:r>
          </w:p>
        </w:tc>
      </w:tr>
      <w:tr w:rsidR="00BD70F3" w:rsidRPr="00BD70F3" w14:paraId="20FB5DD3" w14:textId="77777777" w:rsidTr="00BD70F3">
        <w:trPr>
          <w:cantSplit/>
          <w:trHeight w:hRule="exact" w:val="115"/>
          <w:tblHeader/>
        </w:trPr>
        <w:tc>
          <w:tcPr>
            <w:tcW w:w="2423" w:type="dxa"/>
            <w:tcBorders>
              <w:top w:val="single" w:sz="12" w:space="0" w:color="auto"/>
            </w:tcBorders>
            <w:shd w:val="clear" w:color="auto" w:fill="auto"/>
            <w:noWrap/>
            <w:vAlign w:val="bottom"/>
          </w:tcPr>
          <w:p w14:paraId="4628DEF5" w14:textId="77777777" w:rsidR="00BD70F3" w:rsidRPr="00BD70F3" w:rsidRDefault="00BD70F3" w:rsidP="00BD70F3">
            <w:pPr>
              <w:suppressAutoHyphens/>
              <w:spacing w:before="40" w:after="40" w:line="210" w:lineRule="exact"/>
              <w:ind w:right="40"/>
              <w:rPr>
                <w:sz w:val="17"/>
              </w:rPr>
            </w:pPr>
          </w:p>
        </w:tc>
        <w:tc>
          <w:tcPr>
            <w:tcW w:w="1170" w:type="dxa"/>
            <w:tcBorders>
              <w:top w:val="single" w:sz="12" w:space="0" w:color="auto"/>
            </w:tcBorders>
            <w:shd w:val="clear" w:color="auto" w:fill="auto"/>
            <w:noWrap/>
            <w:vAlign w:val="bottom"/>
          </w:tcPr>
          <w:p w14:paraId="28FE3891" w14:textId="77777777" w:rsidR="00BD70F3" w:rsidRPr="00BD70F3" w:rsidRDefault="00BD70F3" w:rsidP="00BD70F3">
            <w:pPr>
              <w:suppressAutoHyphens/>
              <w:spacing w:before="40" w:after="40" w:line="210" w:lineRule="exact"/>
              <w:ind w:right="43"/>
              <w:jc w:val="right"/>
              <w:rPr>
                <w:sz w:val="17"/>
              </w:rPr>
            </w:pPr>
          </w:p>
        </w:tc>
        <w:tc>
          <w:tcPr>
            <w:tcW w:w="1467" w:type="dxa"/>
            <w:tcBorders>
              <w:top w:val="single" w:sz="12" w:space="0" w:color="auto"/>
            </w:tcBorders>
            <w:shd w:val="clear" w:color="auto" w:fill="auto"/>
            <w:noWrap/>
            <w:vAlign w:val="bottom"/>
          </w:tcPr>
          <w:p w14:paraId="3BCCEB2B" w14:textId="77777777" w:rsidR="00BD70F3" w:rsidRPr="00BD70F3" w:rsidRDefault="00BD70F3" w:rsidP="00BD70F3">
            <w:pPr>
              <w:suppressAutoHyphens/>
              <w:spacing w:before="40" w:after="40" w:line="210" w:lineRule="exact"/>
              <w:ind w:right="43"/>
              <w:jc w:val="right"/>
              <w:rPr>
                <w:sz w:val="17"/>
              </w:rPr>
            </w:pPr>
          </w:p>
        </w:tc>
        <w:tc>
          <w:tcPr>
            <w:tcW w:w="1318" w:type="dxa"/>
            <w:tcBorders>
              <w:top w:val="single" w:sz="12" w:space="0" w:color="auto"/>
            </w:tcBorders>
            <w:shd w:val="clear" w:color="auto" w:fill="auto"/>
            <w:noWrap/>
            <w:vAlign w:val="bottom"/>
          </w:tcPr>
          <w:p w14:paraId="3F6697F4" w14:textId="77777777" w:rsidR="00BD70F3" w:rsidRPr="00BD70F3" w:rsidRDefault="00BD70F3" w:rsidP="00BD70F3">
            <w:pPr>
              <w:suppressAutoHyphens/>
              <w:spacing w:before="40" w:after="40" w:line="210" w:lineRule="exact"/>
              <w:ind w:right="43"/>
              <w:jc w:val="right"/>
              <w:rPr>
                <w:sz w:val="17"/>
              </w:rPr>
            </w:pPr>
          </w:p>
        </w:tc>
        <w:tc>
          <w:tcPr>
            <w:tcW w:w="1265" w:type="dxa"/>
            <w:tcBorders>
              <w:top w:val="single" w:sz="12" w:space="0" w:color="auto"/>
            </w:tcBorders>
            <w:shd w:val="clear" w:color="auto" w:fill="auto"/>
            <w:noWrap/>
            <w:vAlign w:val="bottom"/>
          </w:tcPr>
          <w:p w14:paraId="5DE0427B" w14:textId="77777777" w:rsidR="00BD70F3" w:rsidRPr="00BD70F3" w:rsidRDefault="00BD70F3" w:rsidP="00BD70F3">
            <w:pPr>
              <w:suppressAutoHyphens/>
              <w:spacing w:before="40" w:after="40" w:line="210" w:lineRule="exact"/>
              <w:ind w:right="43"/>
              <w:jc w:val="right"/>
              <w:rPr>
                <w:sz w:val="17"/>
              </w:rPr>
            </w:pPr>
          </w:p>
        </w:tc>
        <w:tc>
          <w:tcPr>
            <w:tcW w:w="1373" w:type="dxa"/>
            <w:tcBorders>
              <w:top w:val="single" w:sz="12" w:space="0" w:color="auto"/>
            </w:tcBorders>
            <w:shd w:val="clear" w:color="auto" w:fill="auto"/>
            <w:noWrap/>
            <w:vAlign w:val="bottom"/>
          </w:tcPr>
          <w:p w14:paraId="7F635686" w14:textId="77777777" w:rsidR="00BD70F3" w:rsidRPr="00BD70F3" w:rsidRDefault="00BD70F3" w:rsidP="00BD70F3">
            <w:pPr>
              <w:suppressAutoHyphens/>
              <w:spacing w:before="40" w:after="40" w:line="210" w:lineRule="exact"/>
              <w:ind w:right="43"/>
              <w:jc w:val="right"/>
              <w:rPr>
                <w:sz w:val="17"/>
              </w:rPr>
            </w:pPr>
          </w:p>
        </w:tc>
      </w:tr>
      <w:tr w:rsidR="00BD70F3" w:rsidRPr="00BD70F3" w14:paraId="3F176494" w14:textId="77777777" w:rsidTr="00BD70F3">
        <w:trPr>
          <w:cantSplit/>
        </w:trPr>
        <w:tc>
          <w:tcPr>
            <w:tcW w:w="2423" w:type="dxa"/>
            <w:shd w:val="clear" w:color="auto" w:fill="auto"/>
            <w:noWrap/>
            <w:vAlign w:val="bottom"/>
          </w:tcPr>
          <w:p w14:paraId="414C8F9D" w14:textId="77777777" w:rsidR="00B35EE7" w:rsidRPr="00BD70F3" w:rsidRDefault="00B35EE7" w:rsidP="00BD70F3">
            <w:pPr>
              <w:tabs>
                <w:tab w:val="left" w:pos="288"/>
                <w:tab w:val="left" w:pos="576"/>
                <w:tab w:val="left" w:pos="864"/>
                <w:tab w:val="left" w:pos="1152"/>
              </w:tabs>
              <w:suppressAutoHyphens/>
              <w:spacing w:before="40" w:after="40" w:line="210" w:lineRule="exact"/>
              <w:ind w:right="40"/>
              <w:rPr>
                <w:sz w:val="17"/>
              </w:rPr>
            </w:pPr>
            <w:r w:rsidRPr="00BD70F3">
              <w:rPr>
                <w:sz w:val="17"/>
              </w:rPr>
              <w:t>Janvier-décembre 2014</w:t>
            </w:r>
          </w:p>
        </w:tc>
        <w:tc>
          <w:tcPr>
            <w:tcW w:w="1170" w:type="dxa"/>
            <w:shd w:val="clear" w:color="auto" w:fill="auto"/>
            <w:noWrap/>
            <w:vAlign w:val="bottom"/>
          </w:tcPr>
          <w:p w14:paraId="312E49E9" w14:textId="77777777" w:rsidR="00B35EE7" w:rsidRPr="00BD70F3" w:rsidRDefault="00B35EE7" w:rsidP="00BD70F3">
            <w:pPr>
              <w:tabs>
                <w:tab w:val="left" w:pos="288"/>
                <w:tab w:val="left" w:pos="576"/>
                <w:tab w:val="left" w:pos="864"/>
                <w:tab w:val="left" w:pos="1152"/>
              </w:tabs>
              <w:suppressAutoHyphens/>
              <w:spacing w:before="40" w:after="40" w:line="210" w:lineRule="exact"/>
              <w:ind w:right="43"/>
              <w:jc w:val="right"/>
              <w:rPr>
                <w:sz w:val="17"/>
              </w:rPr>
            </w:pPr>
            <w:r w:rsidRPr="00BD70F3">
              <w:rPr>
                <w:sz w:val="17"/>
              </w:rPr>
              <w:t>27 649</w:t>
            </w:r>
          </w:p>
        </w:tc>
        <w:tc>
          <w:tcPr>
            <w:tcW w:w="1467" w:type="dxa"/>
            <w:shd w:val="clear" w:color="auto" w:fill="auto"/>
            <w:noWrap/>
            <w:vAlign w:val="bottom"/>
          </w:tcPr>
          <w:p w14:paraId="57D63B3F" w14:textId="77777777" w:rsidR="00B35EE7" w:rsidRPr="00BD70F3" w:rsidRDefault="00B35EE7" w:rsidP="00BD70F3">
            <w:pPr>
              <w:tabs>
                <w:tab w:val="left" w:pos="288"/>
                <w:tab w:val="left" w:pos="576"/>
                <w:tab w:val="left" w:pos="864"/>
                <w:tab w:val="left" w:pos="1152"/>
              </w:tabs>
              <w:suppressAutoHyphens/>
              <w:spacing w:before="40" w:after="40" w:line="210" w:lineRule="exact"/>
              <w:ind w:right="43"/>
              <w:jc w:val="right"/>
              <w:rPr>
                <w:sz w:val="17"/>
              </w:rPr>
            </w:pPr>
            <w:r w:rsidRPr="00BD70F3">
              <w:rPr>
                <w:sz w:val="17"/>
              </w:rPr>
              <w:t>116</w:t>
            </w:r>
          </w:p>
        </w:tc>
        <w:tc>
          <w:tcPr>
            <w:tcW w:w="1318" w:type="dxa"/>
            <w:shd w:val="clear" w:color="auto" w:fill="auto"/>
            <w:noWrap/>
            <w:vAlign w:val="bottom"/>
          </w:tcPr>
          <w:p w14:paraId="50ABC44A" w14:textId="77777777" w:rsidR="00B35EE7" w:rsidRPr="00BD70F3" w:rsidRDefault="00B35EE7" w:rsidP="00BD70F3">
            <w:pPr>
              <w:tabs>
                <w:tab w:val="left" w:pos="288"/>
                <w:tab w:val="left" w:pos="576"/>
                <w:tab w:val="left" w:pos="864"/>
                <w:tab w:val="left" w:pos="1152"/>
              </w:tabs>
              <w:suppressAutoHyphens/>
              <w:spacing w:before="40" w:after="40" w:line="210" w:lineRule="exact"/>
              <w:ind w:right="43"/>
              <w:jc w:val="right"/>
              <w:rPr>
                <w:sz w:val="17"/>
              </w:rPr>
            </w:pPr>
            <w:r w:rsidRPr="00BD70F3">
              <w:rPr>
                <w:sz w:val="17"/>
              </w:rPr>
              <w:t>23 096</w:t>
            </w:r>
          </w:p>
        </w:tc>
        <w:tc>
          <w:tcPr>
            <w:tcW w:w="1265" w:type="dxa"/>
            <w:shd w:val="clear" w:color="auto" w:fill="auto"/>
            <w:noWrap/>
            <w:vAlign w:val="bottom"/>
          </w:tcPr>
          <w:p w14:paraId="68963401" w14:textId="26D0E975" w:rsidR="00B35EE7" w:rsidRPr="00BD70F3" w:rsidRDefault="00B35EE7" w:rsidP="00BD70F3">
            <w:pPr>
              <w:tabs>
                <w:tab w:val="left" w:pos="288"/>
                <w:tab w:val="left" w:pos="576"/>
                <w:tab w:val="left" w:pos="864"/>
                <w:tab w:val="left" w:pos="1152"/>
              </w:tabs>
              <w:suppressAutoHyphens/>
              <w:spacing w:before="40" w:after="40" w:line="210" w:lineRule="exact"/>
              <w:ind w:right="43"/>
              <w:jc w:val="right"/>
              <w:rPr>
                <w:sz w:val="17"/>
              </w:rPr>
            </w:pPr>
            <w:r w:rsidRPr="00BD70F3">
              <w:rPr>
                <w:sz w:val="17"/>
              </w:rPr>
              <w:t>83,53</w:t>
            </w:r>
            <w:r w:rsidR="00F1794C" w:rsidRPr="00BD70F3">
              <w:rPr>
                <w:sz w:val="17"/>
              </w:rPr>
              <w:t> %</w:t>
            </w:r>
          </w:p>
        </w:tc>
        <w:tc>
          <w:tcPr>
            <w:tcW w:w="1373" w:type="dxa"/>
            <w:shd w:val="clear" w:color="auto" w:fill="auto"/>
            <w:noWrap/>
            <w:vAlign w:val="bottom"/>
          </w:tcPr>
          <w:p w14:paraId="2FF758D3" w14:textId="24A84AAB" w:rsidR="00B35EE7" w:rsidRPr="00BD70F3" w:rsidRDefault="00B35EE7" w:rsidP="00BD70F3">
            <w:pPr>
              <w:tabs>
                <w:tab w:val="left" w:pos="288"/>
                <w:tab w:val="left" w:pos="576"/>
                <w:tab w:val="left" w:pos="864"/>
                <w:tab w:val="left" w:pos="1152"/>
              </w:tabs>
              <w:suppressAutoHyphens/>
              <w:spacing w:before="40" w:after="40" w:line="210" w:lineRule="exact"/>
              <w:ind w:right="43"/>
              <w:jc w:val="right"/>
              <w:rPr>
                <w:sz w:val="17"/>
              </w:rPr>
            </w:pPr>
            <w:r w:rsidRPr="00BD70F3">
              <w:rPr>
                <w:sz w:val="17"/>
              </w:rPr>
              <w:t>10 201 femmes</w:t>
            </w:r>
            <w:r w:rsidR="00BD70F3">
              <w:rPr>
                <w:sz w:val="17"/>
              </w:rPr>
              <w:br/>
            </w:r>
            <w:r w:rsidRPr="00BD70F3">
              <w:rPr>
                <w:sz w:val="17"/>
              </w:rPr>
              <w:t>814 enfants</w:t>
            </w:r>
          </w:p>
        </w:tc>
      </w:tr>
      <w:tr w:rsidR="00BD70F3" w:rsidRPr="00BD70F3" w14:paraId="7AA5657C" w14:textId="77777777" w:rsidTr="00BD70F3">
        <w:trPr>
          <w:cantSplit/>
        </w:trPr>
        <w:tc>
          <w:tcPr>
            <w:tcW w:w="2423" w:type="dxa"/>
            <w:tcBorders>
              <w:bottom w:val="single" w:sz="12" w:space="0" w:color="auto"/>
            </w:tcBorders>
            <w:shd w:val="clear" w:color="auto" w:fill="auto"/>
            <w:noWrap/>
            <w:vAlign w:val="bottom"/>
          </w:tcPr>
          <w:p w14:paraId="7F7A5801" w14:textId="74230B5B" w:rsidR="00B35EE7" w:rsidRPr="00BD70F3" w:rsidRDefault="00B35EE7" w:rsidP="00BD70F3">
            <w:pPr>
              <w:tabs>
                <w:tab w:val="left" w:pos="288"/>
                <w:tab w:val="left" w:pos="576"/>
                <w:tab w:val="left" w:pos="864"/>
                <w:tab w:val="left" w:pos="1152"/>
              </w:tabs>
              <w:suppressAutoHyphens/>
              <w:spacing w:before="40" w:after="40" w:line="210" w:lineRule="exact"/>
              <w:ind w:right="40"/>
              <w:rPr>
                <w:sz w:val="17"/>
              </w:rPr>
            </w:pPr>
            <w:r w:rsidRPr="00BD70F3">
              <w:rPr>
                <w:sz w:val="17"/>
              </w:rPr>
              <w:t>Novembre 2016</w:t>
            </w:r>
            <w:r w:rsidR="00BD70F3">
              <w:rPr>
                <w:sz w:val="17"/>
              </w:rPr>
              <w:t>-</w:t>
            </w:r>
            <w:r w:rsidRPr="00BD70F3">
              <w:rPr>
                <w:sz w:val="17"/>
              </w:rPr>
              <w:t>décembre 2017</w:t>
            </w:r>
          </w:p>
        </w:tc>
        <w:tc>
          <w:tcPr>
            <w:tcW w:w="1170" w:type="dxa"/>
            <w:tcBorders>
              <w:bottom w:val="single" w:sz="12" w:space="0" w:color="auto"/>
            </w:tcBorders>
            <w:shd w:val="clear" w:color="auto" w:fill="auto"/>
            <w:noWrap/>
            <w:vAlign w:val="bottom"/>
          </w:tcPr>
          <w:p w14:paraId="138F2131" w14:textId="77777777" w:rsidR="00B35EE7" w:rsidRPr="00BD70F3" w:rsidRDefault="00B35EE7" w:rsidP="00BD70F3">
            <w:pPr>
              <w:tabs>
                <w:tab w:val="left" w:pos="288"/>
                <w:tab w:val="left" w:pos="576"/>
                <w:tab w:val="left" w:pos="864"/>
                <w:tab w:val="left" w:pos="1152"/>
              </w:tabs>
              <w:suppressAutoHyphens/>
              <w:spacing w:before="40" w:after="40" w:line="210" w:lineRule="exact"/>
              <w:ind w:right="43"/>
              <w:jc w:val="right"/>
              <w:rPr>
                <w:sz w:val="17"/>
              </w:rPr>
            </w:pPr>
            <w:r w:rsidRPr="00BD70F3">
              <w:rPr>
                <w:sz w:val="17"/>
              </w:rPr>
              <w:t>28 400</w:t>
            </w:r>
          </w:p>
        </w:tc>
        <w:tc>
          <w:tcPr>
            <w:tcW w:w="1467" w:type="dxa"/>
            <w:tcBorders>
              <w:bottom w:val="single" w:sz="12" w:space="0" w:color="auto"/>
            </w:tcBorders>
            <w:shd w:val="clear" w:color="auto" w:fill="auto"/>
            <w:noWrap/>
            <w:vAlign w:val="bottom"/>
          </w:tcPr>
          <w:p w14:paraId="74F90DF8" w14:textId="77777777" w:rsidR="00B35EE7" w:rsidRPr="00BD70F3" w:rsidRDefault="00B35EE7" w:rsidP="00BD70F3">
            <w:pPr>
              <w:tabs>
                <w:tab w:val="left" w:pos="288"/>
                <w:tab w:val="left" w:pos="576"/>
                <w:tab w:val="left" w:pos="864"/>
                <w:tab w:val="left" w:pos="1152"/>
              </w:tabs>
              <w:suppressAutoHyphens/>
              <w:spacing w:before="40" w:after="40" w:line="210" w:lineRule="exact"/>
              <w:ind w:right="43"/>
              <w:jc w:val="right"/>
              <w:rPr>
                <w:sz w:val="17"/>
              </w:rPr>
            </w:pPr>
            <w:r w:rsidRPr="00BD70F3">
              <w:rPr>
                <w:sz w:val="17"/>
              </w:rPr>
              <w:t>113</w:t>
            </w:r>
          </w:p>
        </w:tc>
        <w:tc>
          <w:tcPr>
            <w:tcW w:w="1318" w:type="dxa"/>
            <w:tcBorders>
              <w:bottom w:val="single" w:sz="12" w:space="0" w:color="auto"/>
            </w:tcBorders>
            <w:shd w:val="clear" w:color="auto" w:fill="auto"/>
            <w:noWrap/>
            <w:vAlign w:val="bottom"/>
          </w:tcPr>
          <w:p w14:paraId="1199D3A4" w14:textId="77777777" w:rsidR="00B35EE7" w:rsidRPr="00BD70F3" w:rsidRDefault="00B35EE7" w:rsidP="00BD70F3">
            <w:pPr>
              <w:tabs>
                <w:tab w:val="left" w:pos="288"/>
                <w:tab w:val="left" w:pos="576"/>
                <w:tab w:val="left" w:pos="864"/>
                <w:tab w:val="left" w:pos="1152"/>
              </w:tabs>
              <w:suppressAutoHyphens/>
              <w:spacing w:before="40" w:after="40" w:line="210" w:lineRule="exact"/>
              <w:ind w:right="43"/>
              <w:jc w:val="right"/>
              <w:rPr>
                <w:sz w:val="17"/>
              </w:rPr>
            </w:pPr>
            <w:r w:rsidRPr="00BD70F3">
              <w:rPr>
                <w:sz w:val="17"/>
              </w:rPr>
              <w:t>23 000</w:t>
            </w:r>
          </w:p>
        </w:tc>
        <w:tc>
          <w:tcPr>
            <w:tcW w:w="1265" w:type="dxa"/>
            <w:tcBorders>
              <w:bottom w:val="single" w:sz="12" w:space="0" w:color="auto"/>
            </w:tcBorders>
            <w:shd w:val="clear" w:color="auto" w:fill="auto"/>
            <w:noWrap/>
            <w:vAlign w:val="bottom"/>
          </w:tcPr>
          <w:p w14:paraId="5558E776" w14:textId="7FE1C481" w:rsidR="00B35EE7" w:rsidRPr="00BD70F3" w:rsidRDefault="00B35EE7" w:rsidP="00BD70F3">
            <w:pPr>
              <w:tabs>
                <w:tab w:val="left" w:pos="288"/>
                <w:tab w:val="left" w:pos="576"/>
                <w:tab w:val="left" w:pos="864"/>
                <w:tab w:val="left" w:pos="1152"/>
              </w:tabs>
              <w:suppressAutoHyphens/>
              <w:spacing w:before="40" w:after="40" w:line="210" w:lineRule="exact"/>
              <w:ind w:right="43"/>
              <w:jc w:val="right"/>
              <w:rPr>
                <w:sz w:val="17"/>
              </w:rPr>
            </w:pPr>
            <w:r w:rsidRPr="00BD70F3">
              <w:rPr>
                <w:sz w:val="17"/>
              </w:rPr>
              <w:t>80</w:t>
            </w:r>
            <w:r w:rsidR="00F1794C" w:rsidRPr="00BD70F3">
              <w:rPr>
                <w:sz w:val="17"/>
              </w:rPr>
              <w:t> %</w:t>
            </w:r>
          </w:p>
        </w:tc>
        <w:tc>
          <w:tcPr>
            <w:tcW w:w="1373" w:type="dxa"/>
            <w:tcBorders>
              <w:bottom w:val="single" w:sz="12" w:space="0" w:color="auto"/>
            </w:tcBorders>
            <w:shd w:val="clear" w:color="auto" w:fill="auto"/>
            <w:noWrap/>
            <w:vAlign w:val="bottom"/>
          </w:tcPr>
          <w:p w14:paraId="4EB46C23" w14:textId="67E080D3" w:rsidR="00B35EE7" w:rsidRPr="00BD70F3" w:rsidRDefault="00BD70F3" w:rsidP="00BD70F3">
            <w:pPr>
              <w:tabs>
                <w:tab w:val="left" w:pos="288"/>
                <w:tab w:val="left" w:pos="576"/>
                <w:tab w:val="left" w:pos="864"/>
                <w:tab w:val="left" w:pos="1152"/>
              </w:tabs>
              <w:suppressAutoHyphens/>
              <w:spacing w:before="40" w:after="40" w:line="210" w:lineRule="exact"/>
              <w:ind w:right="43"/>
              <w:jc w:val="right"/>
              <w:rPr>
                <w:sz w:val="17"/>
              </w:rPr>
            </w:pPr>
            <w:r>
              <w:rPr>
                <w:sz w:val="17"/>
              </w:rPr>
              <w:softHyphen/>
            </w:r>
          </w:p>
        </w:tc>
      </w:tr>
    </w:tbl>
    <w:p w14:paraId="408086F4" w14:textId="460891CB" w:rsidR="00B35EE7" w:rsidRPr="00B4658B" w:rsidRDefault="00B35EE7" w:rsidP="00B4658B">
      <w:pPr>
        <w:pStyle w:val="SingleTxt"/>
        <w:spacing w:after="0" w:line="120" w:lineRule="exact"/>
        <w:rPr>
          <w:sz w:val="10"/>
        </w:rPr>
      </w:pPr>
    </w:p>
    <w:p w14:paraId="51CDFA9A" w14:textId="6613C853" w:rsidR="00B4658B" w:rsidRPr="00B4658B" w:rsidRDefault="00B4658B" w:rsidP="00B4658B">
      <w:pPr>
        <w:pStyle w:val="SingleTxt"/>
        <w:spacing w:after="0" w:line="120" w:lineRule="exact"/>
        <w:rPr>
          <w:sz w:val="10"/>
        </w:rPr>
      </w:pPr>
    </w:p>
    <w:p w14:paraId="0C93EEA4" w14:textId="7F4F718A" w:rsidR="00B35EE7" w:rsidRPr="00F1794C" w:rsidRDefault="00B35EE7" w:rsidP="00456FC2">
      <w:pPr>
        <w:pStyle w:val="SingleTxt"/>
        <w:numPr>
          <w:ilvl w:val="0"/>
          <w:numId w:val="50"/>
        </w:numPr>
        <w:spacing w:line="240" w:lineRule="exact"/>
        <w:rPr>
          <w:lang w:val="fr-FR"/>
        </w:rPr>
      </w:pPr>
      <w:r w:rsidRPr="00F1794C">
        <w:rPr>
          <w:lang w:val="fr-FR"/>
        </w:rPr>
        <w:t>En ce qui concerne la situation des demandeurs d</w:t>
      </w:r>
      <w:r w:rsidR="00F1794C" w:rsidRPr="00F1794C">
        <w:rPr>
          <w:lang w:val="fr-FR"/>
        </w:rPr>
        <w:t>’</w:t>
      </w:r>
      <w:r w:rsidRPr="00F1794C">
        <w:rPr>
          <w:lang w:val="fr-FR"/>
        </w:rPr>
        <w:t xml:space="preserve">asile, le statut de réfugié a été accordé à 803 personnes (dont 227 femmes et 210 enfants) enregistrées auprès du bureau du Haut-Commissariat des Nations Unies pour les réfugiés à Rabat. </w:t>
      </w:r>
    </w:p>
    <w:p w14:paraId="2236B8C9" w14:textId="390BB9A4" w:rsidR="00B35EE7" w:rsidRPr="00F1794C" w:rsidRDefault="00B35EE7" w:rsidP="00456FC2">
      <w:pPr>
        <w:pStyle w:val="SingleTxt"/>
        <w:numPr>
          <w:ilvl w:val="0"/>
          <w:numId w:val="50"/>
        </w:numPr>
        <w:rPr>
          <w:lang w:val="fr-FR"/>
        </w:rPr>
      </w:pPr>
      <w:r w:rsidRPr="00F1794C">
        <w:rPr>
          <w:lang w:val="fr-FR"/>
        </w:rPr>
        <w:t>La mise en œuvre de la Stratégie nationale d</w:t>
      </w:r>
      <w:r w:rsidR="00F1794C" w:rsidRPr="00F1794C">
        <w:rPr>
          <w:lang w:val="fr-FR"/>
        </w:rPr>
        <w:t>’</w:t>
      </w:r>
      <w:r w:rsidRPr="00F1794C">
        <w:rPr>
          <w:lang w:val="fr-FR"/>
        </w:rPr>
        <w:t>immigration et d</w:t>
      </w:r>
      <w:r w:rsidR="00F1794C" w:rsidRPr="00F1794C">
        <w:rPr>
          <w:lang w:val="fr-FR"/>
        </w:rPr>
        <w:t>’</w:t>
      </w:r>
      <w:r w:rsidRPr="00F1794C">
        <w:rPr>
          <w:lang w:val="fr-FR"/>
        </w:rPr>
        <w:t>asile (11</w:t>
      </w:r>
      <w:r w:rsidR="00B4658B">
        <w:rPr>
          <w:lang w:val="fr-FR"/>
        </w:rPr>
        <w:t> </w:t>
      </w:r>
      <w:r w:rsidRPr="00F1794C">
        <w:rPr>
          <w:lang w:val="fr-FR"/>
        </w:rPr>
        <w:t>programmes et 81 actions) a facilité l</w:t>
      </w:r>
      <w:r w:rsidR="00F1794C" w:rsidRPr="00F1794C">
        <w:rPr>
          <w:lang w:val="fr-FR"/>
        </w:rPr>
        <w:t>’</w:t>
      </w:r>
      <w:r w:rsidRPr="00F1794C">
        <w:rPr>
          <w:lang w:val="fr-FR"/>
        </w:rPr>
        <w:t>intégration des migrantes et des réfugiées dans le système éducatif ainsi que leur accès à la formation professionnelle et aux services de santé, à un logement, à une assistance juridique et humanitaire et l</w:t>
      </w:r>
      <w:r w:rsidR="00F1794C" w:rsidRPr="00F1794C">
        <w:rPr>
          <w:lang w:val="fr-FR"/>
        </w:rPr>
        <w:t>’</w:t>
      </w:r>
      <w:r w:rsidRPr="00F1794C">
        <w:rPr>
          <w:lang w:val="fr-FR"/>
        </w:rPr>
        <w:t xml:space="preserve">emploi. </w:t>
      </w:r>
    </w:p>
    <w:p w14:paraId="285BBB22" w14:textId="58BCA306" w:rsidR="00B35EE7" w:rsidRPr="00F1794C" w:rsidRDefault="00B35EE7" w:rsidP="00456FC2">
      <w:pPr>
        <w:pStyle w:val="SingleTxt"/>
        <w:numPr>
          <w:ilvl w:val="0"/>
          <w:numId w:val="50"/>
        </w:numPr>
        <w:rPr>
          <w:lang w:val="fr-FR"/>
        </w:rPr>
      </w:pPr>
      <w:r w:rsidRPr="00F1794C">
        <w:rPr>
          <w:lang w:val="fr-FR"/>
        </w:rPr>
        <w:t>Pour ce qui est de la gestion des flux migratoires pour le travail, en 2018, un visa a été apposé sur 6 405 contrats de travail en vue de l</w:t>
      </w:r>
      <w:r w:rsidR="00F1794C" w:rsidRPr="00F1794C">
        <w:rPr>
          <w:lang w:val="fr-FR"/>
        </w:rPr>
        <w:t>’</w:t>
      </w:r>
      <w:r w:rsidRPr="00F1794C">
        <w:rPr>
          <w:lang w:val="fr-FR"/>
        </w:rPr>
        <w:t>embauche de personnes étrangères, dont 1 834 femmes (28,6</w:t>
      </w:r>
      <w:r w:rsidR="00F1794C" w:rsidRPr="00F1794C">
        <w:rPr>
          <w:lang w:val="fr-FR"/>
        </w:rPr>
        <w:t> %</w:t>
      </w:r>
      <w:r w:rsidRPr="00F1794C">
        <w:rPr>
          <w:lang w:val="fr-FR"/>
        </w:rPr>
        <w:t>). Il s</w:t>
      </w:r>
      <w:r w:rsidR="00F1794C" w:rsidRPr="00F1794C">
        <w:rPr>
          <w:lang w:val="fr-FR"/>
        </w:rPr>
        <w:t>’</w:t>
      </w:r>
      <w:r w:rsidRPr="00F1794C">
        <w:rPr>
          <w:lang w:val="fr-FR"/>
        </w:rPr>
        <w:t>agissait précisément de 2 974 premiers contrats de travail (premier titre de séjour), dont 844 concernaient des femmes (13,6</w:t>
      </w:r>
      <w:r w:rsidR="00F1794C" w:rsidRPr="00F1794C">
        <w:rPr>
          <w:lang w:val="fr-FR"/>
        </w:rPr>
        <w:t> %</w:t>
      </w:r>
      <w:r w:rsidRPr="00F1794C">
        <w:rPr>
          <w:lang w:val="fr-FR"/>
        </w:rPr>
        <w:t>), de 3 194 contrats de travail renouvelés, dont 846 pour des femmes (13,7</w:t>
      </w:r>
      <w:r w:rsidR="00F1794C" w:rsidRPr="00F1794C">
        <w:rPr>
          <w:lang w:val="fr-FR"/>
        </w:rPr>
        <w:t> %</w:t>
      </w:r>
      <w:r w:rsidRPr="00F1794C">
        <w:rPr>
          <w:lang w:val="fr-FR"/>
        </w:rPr>
        <w:t>) et de 237 contrats de travail destinés à des artistes étrangers, dont 60,8</w:t>
      </w:r>
      <w:r w:rsidR="00F1794C" w:rsidRPr="00F1794C">
        <w:rPr>
          <w:lang w:val="fr-FR"/>
        </w:rPr>
        <w:t> %</w:t>
      </w:r>
      <w:r w:rsidRPr="00F1794C">
        <w:rPr>
          <w:lang w:val="fr-FR"/>
        </w:rPr>
        <w:t xml:space="preserve"> de femmes. </w:t>
      </w:r>
    </w:p>
    <w:p w14:paraId="6226BF19" w14:textId="32FDC5AC" w:rsidR="00B35EE7" w:rsidRPr="00F1794C" w:rsidRDefault="00B35EE7" w:rsidP="00456FC2">
      <w:pPr>
        <w:pStyle w:val="SingleTxt"/>
        <w:numPr>
          <w:ilvl w:val="0"/>
          <w:numId w:val="50"/>
        </w:numPr>
        <w:rPr>
          <w:lang w:val="fr-FR"/>
        </w:rPr>
      </w:pPr>
      <w:r w:rsidRPr="00F1794C">
        <w:rPr>
          <w:lang w:val="fr-FR"/>
        </w:rPr>
        <w:t>Le Gouvernement apporte un appui à des associations fournissant une aide humanitaire aux migrants vulnérables</w:t>
      </w:r>
      <w:r w:rsidRPr="00FA086B">
        <w:rPr>
          <w:vertAlign w:val="superscript"/>
          <w:lang w:val="fr-FR"/>
        </w:rPr>
        <w:footnoteReference w:id="53"/>
      </w:r>
      <w:r w:rsidRPr="00F1794C">
        <w:rPr>
          <w:lang w:val="fr-FR"/>
        </w:rPr>
        <w:t xml:space="preserve">, au Croissant rouge marocain par exemple. Il </w:t>
      </w:r>
      <w:r w:rsidRPr="00F1794C">
        <w:rPr>
          <w:lang w:val="fr-FR"/>
        </w:rPr>
        <w:lastRenderedPageBreak/>
        <w:t>propose d</w:t>
      </w:r>
      <w:r w:rsidR="00F1794C" w:rsidRPr="00F1794C">
        <w:rPr>
          <w:lang w:val="fr-FR"/>
        </w:rPr>
        <w:t>’</w:t>
      </w:r>
      <w:r w:rsidRPr="00F1794C">
        <w:rPr>
          <w:lang w:val="fr-FR"/>
        </w:rPr>
        <w:t>autres programmes de coopération avec plusieurs organisations internationales qui s</w:t>
      </w:r>
      <w:r w:rsidR="00F1794C" w:rsidRPr="00F1794C">
        <w:rPr>
          <w:lang w:val="fr-FR"/>
        </w:rPr>
        <w:t>’</w:t>
      </w:r>
      <w:r w:rsidRPr="00F1794C">
        <w:rPr>
          <w:lang w:val="fr-FR"/>
        </w:rPr>
        <w:t>emploient à faire en sorte que les migrantes et les réfugiées puissent exercer leurs droits économiques et sociaux, notamment les programmes des conseils régionaux</w:t>
      </w:r>
      <w:r w:rsidRPr="00FA086B">
        <w:rPr>
          <w:vertAlign w:val="superscript"/>
          <w:lang w:val="fr-FR"/>
        </w:rPr>
        <w:footnoteReference w:id="54"/>
      </w:r>
      <w:r w:rsidRPr="00F1794C">
        <w:rPr>
          <w:lang w:val="fr-FR"/>
        </w:rPr>
        <w:t>, ainsi que d</w:t>
      </w:r>
      <w:r w:rsidR="00F1794C" w:rsidRPr="00F1794C">
        <w:rPr>
          <w:lang w:val="fr-FR"/>
        </w:rPr>
        <w:t>’</w:t>
      </w:r>
      <w:r w:rsidRPr="00F1794C">
        <w:rPr>
          <w:lang w:val="fr-FR"/>
        </w:rPr>
        <w:t>autres programmes visant à faciliter l</w:t>
      </w:r>
      <w:r w:rsidR="00F1794C" w:rsidRPr="00F1794C">
        <w:rPr>
          <w:lang w:val="fr-FR"/>
        </w:rPr>
        <w:t>’</w:t>
      </w:r>
      <w:r w:rsidRPr="00F1794C">
        <w:rPr>
          <w:lang w:val="fr-FR"/>
        </w:rPr>
        <w:t xml:space="preserve">accès aux services médicaux dans le cadre de partenariats sectoriels et institutionnels. </w:t>
      </w:r>
    </w:p>
    <w:p w14:paraId="037E0152" w14:textId="1378047B" w:rsidR="00B35EE7" w:rsidRPr="00F1794C" w:rsidRDefault="00B35EE7" w:rsidP="00456FC2">
      <w:pPr>
        <w:pStyle w:val="SingleTxt"/>
        <w:numPr>
          <w:ilvl w:val="0"/>
          <w:numId w:val="50"/>
        </w:numPr>
        <w:rPr>
          <w:lang w:val="fr-FR"/>
        </w:rPr>
      </w:pPr>
      <w:r w:rsidRPr="00F1794C">
        <w:rPr>
          <w:lang w:val="fr-FR"/>
        </w:rPr>
        <w:t>Pour lutter contre l</w:t>
      </w:r>
      <w:r w:rsidR="00F1794C" w:rsidRPr="00F1794C">
        <w:rPr>
          <w:lang w:val="fr-FR"/>
        </w:rPr>
        <w:t>’</w:t>
      </w:r>
      <w:r w:rsidRPr="00F1794C">
        <w:rPr>
          <w:lang w:val="fr-FR"/>
        </w:rPr>
        <w:t xml:space="preserve">exploitation des femmes et des filles, les services de sécurité déploient des efforts considérables afin de combattre les réseaux de migration illégale. </w:t>
      </w:r>
    </w:p>
    <w:p w14:paraId="7FA3E96B" w14:textId="77777777" w:rsidR="00B4658B" w:rsidRPr="00B4658B" w:rsidRDefault="00B4658B" w:rsidP="00B4658B">
      <w:pPr>
        <w:pStyle w:val="SingleTxt"/>
        <w:spacing w:after="0" w:line="120" w:lineRule="exact"/>
        <w:rPr>
          <w:sz w:val="10"/>
          <w:lang w:val="fr-FR"/>
        </w:rPr>
      </w:pPr>
    </w:p>
    <w:p w14:paraId="5438F134" w14:textId="0F46A73E" w:rsidR="00B4658B" w:rsidRDefault="00B4658B" w:rsidP="00B4658B">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B35EE7" w:rsidRPr="00F1794C">
        <w:rPr>
          <w:lang w:val="fr-FR"/>
        </w:rPr>
        <w:t>Tableau 2</w:t>
      </w:r>
    </w:p>
    <w:p w14:paraId="14055519" w14:textId="76B5F457" w:rsidR="00B35EE7" w:rsidRPr="00F1794C" w:rsidRDefault="00B4658B" w:rsidP="00B4658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B35EE7" w:rsidRPr="00F1794C">
        <w:rPr>
          <w:lang w:val="fr-FR"/>
        </w:rPr>
        <w:t>Nombre de réseaux illégaux démantelés</w:t>
      </w:r>
    </w:p>
    <w:p w14:paraId="672C41A7" w14:textId="3D6BAFE8" w:rsidR="00B35EE7" w:rsidRPr="00B4658B" w:rsidRDefault="00B35EE7" w:rsidP="00B4658B">
      <w:pPr>
        <w:pStyle w:val="SingleTxt"/>
        <w:spacing w:after="0" w:line="120" w:lineRule="exact"/>
        <w:rPr>
          <w:sz w:val="10"/>
          <w:lang w:val="fr-FR"/>
        </w:rPr>
      </w:pPr>
    </w:p>
    <w:p w14:paraId="67482C53" w14:textId="56D94C36" w:rsidR="00B4658B" w:rsidRPr="00B4658B" w:rsidRDefault="00B4658B" w:rsidP="00B4658B">
      <w:pPr>
        <w:pStyle w:val="SingleTxt"/>
        <w:spacing w:after="0" w:line="120" w:lineRule="exact"/>
        <w:rPr>
          <w:sz w:val="10"/>
          <w:lang w:val="fr-FR"/>
        </w:rPr>
      </w:pPr>
    </w:p>
    <w:tbl>
      <w:tblPr>
        <w:tblStyle w:val="Grilledutableau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30"/>
        <w:gridCol w:w="723"/>
        <w:gridCol w:w="723"/>
        <w:gridCol w:w="724"/>
        <w:gridCol w:w="723"/>
        <w:gridCol w:w="723"/>
        <w:gridCol w:w="724"/>
        <w:gridCol w:w="723"/>
        <w:gridCol w:w="724"/>
      </w:tblGrid>
      <w:tr w:rsidR="00B4658B" w:rsidRPr="00B4658B" w14:paraId="1BA4B8E1" w14:textId="77777777" w:rsidTr="00B4658B">
        <w:trPr>
          <w:cantSplit/>
          <w:tblHeader/>
          <w:jc w:val="center"/>
        </w:trPr>
        <w:tc>
          <w:tcPr>
            <w:tcW w:w="1530" w:type="dxa"/>
            <w:tcBorders>
              <w:top w:val="single" w:sz="4" w:space="0" w:color="auto"/>
              <w:bottom w:val="single" w:sz="12" w:space="0" w:color="auto"/>
            </w:tcBorders>
            <w:shd w:val="clear" w:color="auto" w:fill="auto"/>
            <w:noWrap/>
            <w:vAlign w:val="bottom"/>
          </w:tcPr>
          <w:p w14:paraId="0F698BBD" w14:textId="77777777" w:rsidR="00B35EE7" w:rsidRPr="00B4658B" w:rsidRDefault="00B35EE7" w:rsidP="00B4658B">
            <w:pPr>
              <w:suppressAutoHyphens/>
              <w:spacing w:before="81" w:after="81" w:line="160" w:lineRule="exact"/>
              <w:ind w:right="40"/>
              <w:rPr>
                <w:i/>
                <w:sz w:val="14"/>
              </w:rPr>
            </w:pPr>
            <w:r w:rsidRPr="00B4658B">
              <w:rPr>
                <w:i/>
                <w:sz w:val="14"/>
              </w:rPr>
              <w:t>Année</w:t>
            </w:r>
          </w:p>
        </w:tc>
        <w:tc>
          <w:tcPr>
            <w:tcW w:w="723" w:type="dxa"/>
            <w:tcBorders>
              <w:top w:val="single" w:sz="4" w:space="0" w:color="auto"/>
              <w:bottom w:val="single" w:sz="12" w:space="0" w:color="auto"/>
            </w:tcBorders>
            <w:shd w:val="clear" w:color="auto" w:fill="auto"/>
            <w:noWrap/>
            <w:vAlign w:val="bottom"/>
          </w:tcPr>
          <w:p w14:paraId="5F228309" w14:textId="77777777" w:rsidR="00B35EE7" w:rsidRPr="00B4658B" w:rsidRDefault="00B35EE7" w:rsidP="00B4658B">
            <w:pPr>
              <w:suppressAutoHyphens/>
              <w:spacing w:before="81" w:after="81" w:line="160" w:lineRule="exact"/>
              <w:ind w:right="43"/>
              <w:jc w:val="right"/>
              <w:rPr>
                <w:i/>
                <w:sz w:val="14"/>
              </w:rPr>
            </w:pPr>
            <w:r w:rsidRPr="00B4658B">
              <w:rPr>
                <w:i/>
                <w:sz w:val="14"/>
              </w:rPr>
              <w:t>2011</w:t>
            </w:r>
          </w:p>
        </w:tc>
        <w:tc>
          <w:tcPr>
            <w:tcW w:w="723" w:type="dxa"/>
            <w:tcBorders>
              <w:top w:val="single" w:sz="4" w:space="0" w:color="auto"/>
              <w:bottom w:val="single" w:sz="12" w:space="0" w:color="auto"/>
            </w:tcBorders>
            <w:shd w:val="clear" w:color="auto" w:fill="auto"/>
            <w:noWrap/>
            <w:vAlign w:val="bottom"/>
          </w:tcPr>
          <w:p w14:paraId="4A09E502" w14:textId="77777777" w:rsidR="00B35EE7" w:rsidRPr="00B4658B" w:rsidRDefault="00B35EE7" w:rsidP="00B4658B">
            <w:pPr>
              <w:suppressAutoHyphens/>
              <w:spacing w:before="81" w:after="81" w:line="160" w:lineRule="exact"/>
              <w:ind w:right="43"/>
              <w:jc w:val="right"/>
              <w:rPr>
                <w:i/>
                <w:sz w:val="14"/>
              </w:rPr>
            </w:pPr>
            <w:r w:rsidRPr="00B4658B">
              <w:rPr>
                <w:i/>
                <w:sz w:val="14"/>
              </w:rPr>
              <w:t>2012</w:t>
            </w:r>
          </w:p>
        </w:tc>
        <w:tc>
          <w:tcPr>
            <w:tcW w:w="724" w:type="dxa"/>
            <w:tcBorders>
              <w:top w:val="single" w:sz="4" w:space="0" w:color="auto"/>
              <w:bottom w:val="single" w:sz="12" w:space="0" w:color="auto"/>
            </w:tcBorders>
            <w:shd w:val="clear" w:color="auto" w:fill="auto"/>
            <w:noWrap/>
            <w:vAlign w:val="bottom"/>
          </w:tcPr>
          <w:p w14:paraId="78A3576A" w14:textId="77777777" w:rsidR="00B35EE7" w:rsidRPr="00B4658B" w:rsidRDefault="00B35EE7" w:rsidP="00B4658B">
            <w:pPr>
              <w:suppressAutoHyphens/>
              <w:spacing w:before="81" w:after="81" w:line="160" w:lineRule="exact"/>
              <w:ind w:right="43"/>
              <w:jc w:val="right"/>
              <w:rPr>
                <w:i/>
                <w:sz w:val="14"/>
              </w:rPr>
            </w:pPr>
            <w:r w:rsidRPr="00B4658B">
              <w:rPr>
                <w:i/>
                <w:sz w:val="14"/>
              </w:rPr>
              <w:t>2013</w:t>
            </w:r>
          </w:p>
        </w:tc>
        <w:tc>
          <w:tcPr>
            <w:tcW w:w="723" w:type="dxa"/>
            <w:tcBorders>
              <w:top w:val="single" w:sz="4" w:space="0" w:color="auto"/>
              <w:bottom w:val="single" w:sz="12" w:space="0" w:color="auto"/>
            </w:tcBorders>
            <w:shd w:val="clear" w:color="auto" w:fill="auto"/>
            <w:noWrap/>
            <w:vAlign w:val="bottom"/>
          </w:tcPr>
          <w:p w14:paraId="2D5D679C" w14:textId="77777777" w:rsidR="00B35EE7" w:rsidRPr="00B4658B" w:rsidRDefault="00B35EE7" w:rsidP="00B4658B">
            <w:pPr>
              <w:suppressAutoHyphens/>
              <w:spacing w:before="81" w:after="81" w:line="160" w:lineRule="exact"/>
              <w:ind w:right="43"/>
              <w:jc w:val="right"/>
              <w:rPr>
                <w:i/>
                <w:sz w:val="14"/>
              </w:rPr>
            </w:pPr>
            <w:r w:rsidRPr="00B4658B">
              <w:rPr>
                <w:i/>
                <w:sz w:val="14"/>
              </w:rPr>
              <w:t>2014</w:t>
            </w:r>
          </w:p>
        </w:tc>
        <w:tc>
          <w:tcPr>
            <w:tcW w:w="723" w:type="dxa"/>
            <w:tcBorders>
              <w:top w:val="single" w:sz="4" w:space="0" w:color="auto"/>
              <w:bottom w:val="single" w:sz="12" w:space="0" w:color="auto"/>
            </w:tcBorders>
            <w:shd w:val="clear" w:color="auto" w:fill="auto"/>
            <w:noWrap/>
            <w:vAlign w:val="bottom"/>
          </w:tcPr>
          <w:p w14:paraId="735C86F0" w14:textId="77777777" w:rsidR="00B35EE7" w:rsidRPr="00B4658B" w:rsidRDefault="00B35EE7" w:rsidP="00B4658B">
            <w:pPr>
              <w:suppressAutoHyphens/>
              <w:spacing w:before="81" w:after="81" w:line="160" w:lineRule="exact"/>
              <w:ind w:right="43"/>
              <w:jc w:val="right"/>
              <w:rPr>
                <w:i/>
                <w:sz w:val="14"/>
              </w:rPr>
            </w:pPr>
            <w:r w:rsidRPr="00B4658B">
              <w:rPr>
                <w:i/>
                <w:sz w:val="14"/>
              </w:rPr>
              <w:t>2015</w:t>
            </w:r>
          </w:p>
        </w:tc>
        <w:tc>
          <w:tcPr>
            <w:tcW w:w="724" w:type="dxa"/>
            <w:tcBorders>
              <w:top w:val="single" w:sz="4" w:space="0" w:color="auto"/>
              <w:bottom w:val="single" w:sz="12" w:space="0" w:color="auto"/>
            </w:tcBorders>
            <w:shd w:val="clear" w:color="auto" w:fill="auto"/>
            <w:noWrap/>
            <w:vAlign w:val="bottom"/>
          </w:tcPr>
          <w:p w14:paraId="3FB19907" w14:textId="77777777" w:rsidR="00B35EE7" w:rsidRPr="00B4658B" w:rsidRDefault="00B35EE7" w:rsidP="00B4658B">
            <w:pPr>
              <w:suppressAutoHyphens/>
              <w:spacing w:before="81" w:after="81" w:line="160" w:lineRule="exact"/>
              <w:ind w:right="43"/>
              <w:jc w:val="right"/>
              <w:rPr>
                <w:i/>
                <w:sz w:val="14"/>
              </w:rPr>
            </w:pPr>
            <w:r w:rsidRPr="00B4658B">
              <w:rPr>
                <w:i/>
                <w:sz w:val="14"/>
              </w:rPr>
              <w:t>2016</w:t>
            </w:r>
          </w:p>
        </w:tc>
        <w:tc>
          <w:tcPr>
            <w:tcW w:w="723" w:type="dxa"/>
            <w:tcBorders>
              <w:top w:val="single" w:sz="4" w:space="0" w:color="auto"/>
              <w:bottom w:val="single" w:sz="12" w:space="0" w:color="auto"/>
            </w:tcBorders>
            <w:shd w:val="clear" w:color="auto" w:fill="auto"/>
            <w:noWrap/>
            <w:vAlign w:val="bottom"/>
          </w:tcPr>
          <w:p w14:paraId="1B48747E" w14:textId="77777777" w:rsidR="00B35EE7" w:rsidRPr="00B4658B" w:rsidRDefault="00B35EE7" w:rsidP="00B4658B">
            <w:pPr>
              <w:suppressAutoHyphens/>
              <w:spacing w:before="81" w:after="81" w:line="160" w:lineRule="exact"/>
              <w:ind w:right="43"/>
              <w:jc w:val="right"/>
              <w:rPr>
                <w:i/>
                <w:sz w:val="14"/>
              </w:rPr>
            </w:pPr>
            <w:r w:rsidRPr="00B4658B">
              <w:rPr>
                <w:i/>
                <w:sz w:val="14"/>
              </w:rPr>
              <w:t>2017</w:t>
            </w:r>
          </w:p>
        </w:tc>
        <w:tc>
          <w:tcPr>
            <w:tcW w:w="724" w:type="dxa"/>
            <w:tcBorders>
              <w:top w:val="single" w:sz="4" w:space="0" w:color="auto"/>
              <w:bottom w:val="single" w:sz="12" w:space="0" w:color="auto"/>
            </w:tcBorders>
            <w:shd w:val="clear" w:color="auto" w:fill="auto"/>
            <w:noWrap/>
            <w:vAlign w:val="bottom"/>
          </w:tcPr>
          <w:p w14:paraId="45A9BC2C" w14:textId="77777777" w:rsidR="00B35EE7" w:rsidRPr="00B4658B" w:rsidRDefault="00B35EE7" w:rsidP="00B4658B">
            <w:pPr>
              <w:suppressAutoHyphens/>
              <w:spacing w:before="81" w:after="81" w:line="160" w:lineRule="exact"/>
              <w:ind w:right="43"/>
              <w:jc w:val="right"/>
              <w:rPr>
                <w:i/>
                <w:sz w:val="14"/>
              </w:rPr>
            </w:pPr>
            <w:r w:rsidRPr="00B4658B">
              <w:rPr>
                <w:i/>
                <w:sz w:val="14"/>
              </w:rPr>
              <w:t>2018</w:t>
            </w:r>
          </w:p>
        </w:tc>
      </w:tr>
      <w:tr w:rsidR="00B4658B" w:rsidRPr="00B4658B" w14:paraId="45B4B089" w14:textId="77777777" w:rsidTr="00B4658B">
        <w:trPr>
          <w:cantSplit/>
          <w:trHeight w:hRule="exact" w:val="115"/>
          <w:tblHeader/>
          <w:jc w:val="center"/>
        </w:trPr>
        <w:tc>
          <w:tcPr>
            <w:tcW w:w="1530" w:type="dxa"/>
            <w:tcBorders>
              <w:top w:val="single" w:sz="12" w:space="0" w:color="auto"/>
            </w:tcBorders>
            <w:shd w:val="clear" w:color="auto" w:fill="auto"/>
            <w:noWrap/>
            <w:vAlign w:val="bottom"/>
          </w:tcPr>
          <w:p w14:paraId="094F88B5" w14:textId="77777777" w:rsidR="00B4658B" w:rsidRPr="00B4658B" w:rsidRDefault="00B4658B" w:rsidP="00B4658B">
            <w:pPr>
              <w:suppressAutoHyphens/>
              <w:spacing w:before="40" w:after="40" w:line="210" w:lineRule="exact"/>
              <w:ind w:right="40"/>
              <w:rPr>
                <w:sz w:val="17"/>
              </w:rPr>
            </w:pPr>
          </w:p>
        </w:tc>
        <w:tc>
          <w:tcPr>
            <w:tcW w:w="723" w:type="dxa"/>
            <w:tcBorders>
              <w:top w:val="single" w:sz="12" w:space="0" w:color="auto"/>
            </w:tcBorders>
            <w:shd w:val="clear" w:color="auto" w:fill="auto"/>
            <w:noWrap/>
            <w:vAlign w:val="bottom"/>
          </w:tcPr>
          <w:p w14:paraId="4B3C41E6" w14:textId="77777777" w:rsidR="00B4658B" w:rsidRPr="00B4658B" w:rsidRDefault="00B4658B" w:rsidP="00B4658B">
            <w:pPr>
              <w:suppressAutoHyphens/>
              <w:spacing w:before="40" w:after="40" w:line="210" w:lineRule="exact"/>
              <w:ind w:right="43"/>
              <w:jc w:val="right"/>
              <w:rPr>
                <w:sz w:val="17"/>
              </w:rPr>
            </w:pPr>
          </w:p>
        </w:tc>
        <w:tc>
          <w:tcPr>
            <w:tcW w:w="723" w:type="dxa"/>
            <w:tcBorders>
              <w:top w:val="single" w:sz="12" w:space="0" w:color="auto"/>
            </w:tcBorders>
            <w:shd w:val="clear" w:color="auto" w:fill="auto"/>
            <w:noWrap/>
            <w:vAlign w:val="bottom"/>
          </w:tcPr>
          <w:p w14:paraId="61B8EC98" w14:textId="77777777" w:rsidR="00B4658B" w:rsidRPr="00B4658B" w:rsidRDefault="00B4658B" w:rsidP="00B4658B">
            <w:pPr>
              <w:suppressAutoHyphens/>
              <w:spacing w:before="40" w:after="40" w:line="210" w:lineRule="exact"/>
              <w:ind w:right="43"/>
              <w:jc w:val="right"/>
              <w:rPr>
                <w:sz w:val="17"/>
              </w:rPr>
            </w:pPr>
          </w:p>
        </w:tc>
        <w:tc>
          <w:tcPr>
            <w:tcW w:w="724" w:type="dxa"/>
            <w:tcBorders>
              <w:top w:val="single" w:sz="12" w:space="0" w:color="auto"/>
            </w:tcBorders>
            <w:shd w:val="clear" w:color="auto" w:fill="auto"/>
            <w:noWrap/>
            <w:vAlign w:val="bottom"/>
          </w:tcPr>
          <w:p w14:paraId="0E596D78" w14:textId="77777777" w:rsidR="00B4658B" w:rsidRPr="00B4658B" w:rsidRDefault="00B4658B" w:rsidP="00B4658B">
            <w:pPr>
              <w:suppressAutoHyphens/>
              <w:spacing w:before="40" w:after="40" w:line="210" w:lineRule="exact"/>
              <w:ind w:right="43"/>
              <w:jc w:val="right"/>
              <w:rPr>
                <w:sz w:val="17"/>
              </w:rPr>
            </w:pPr>
          </w:p>
        </w:tc>
        <w:tc>
          <w:tcPr>
            <w:tcW w:w="723" w:type="dxa"/>
            <w:tcBorders>
              <w:top w:val="single" w:sz="12" w:space="0" w:color="auto"/>
            </w:tcBorders>
            <w:shd w:val="clear" w:color="auto" w:fill="auto"/>
            <w:noWrap/>
            <w:vAlign w:val="bottom"/>
          </w:tcPr>
          <w:p w14:paraId="17C95DCD" w14:textId="77777777" w:rsidR="00B4658B" w:rsidRPr="00B4658B" w:rsidRDefault="00B4658B" w:rsidP="00B4658B">
            <w:pPr>
              <w:suppressAutoHyphens/>
              <w:spacing w:before="40" w:after="40" w:line="210" w:lineRule="exact"/>
              <w:ind w:right="43"/>
              <w:jc w:val="right"/>
              <w:rPr>
                <w:sz w:val="17"/>
              </w:rPr>
            </w:pPr>
          </w:p>
        </w:tc>
        <w:tc>
          <w:tcPr>
            <w:tcW w:w="723" w:type="dxa"/>
            <w:tcBorders>
              <w:top w:val="single" w:sz="12" w:space="0" w:color="auto"/>
            </w:tcBorders>
            <w:shd w:val="clear" w:color="auto" w:fill="auto"/>
            <w:noWrap/>
            <w:vAlign w:val="bottom"/>
          </w:tcPr>
          <w:p w14:paraId="232046B5" w14:textId="77777777" w:rsidR="00B4658B" w:rsidRPr="00B4658B" w:rsidRDefault="00B4658B" w:rsidP="00B4658B">
            <w:pPr>
              <w:suppressAutoHyphens/>
              <w:spacing w:before="40" w:after="40" w:line="210" w:lineRule="exact"/>
              <w:ind w:right="43"/>
              <w:jc w:val="right"/>
              <w:rPr>
                <w:sz w:val="17"/>
              </w:rPr>
            </w:pPr>
          </w:p>
        </w:tc>
        <w:tc>
          <w:tcPr>
            <w:tcW w:w="724" w:type="dxa"/>
            <w:tcBorders>
              <w:top w:val="single" w:sz="12" w:space="0" w:color="auto"/>
            </w:tcBorders>
            <w:shd w:val="clear" w:color="auto" w:fill="auto"/>
            <w:noWrap/>
            <w:vAlign w:val="bottom"/>
          </w:tcPr>
          <w:p w14:paraId="2845614D" w14:textId="77777777" w:rsidR="00B4658B" w:rsidRPr="00B4658B" w:rsidRDefault="00B4658B" w:rsidP="00B4658B">
            <w:pPr>
              <w:suppressAutoHyphens/>
              <w:spacing w:before="40" w:after="40" w:line="210" w:lineRule="exact"/>
              <w:ind w:right="43"/>
              <w:jc w:val="right"/>
              <w:rPr>
                <w:sz w:val="17"/>
              </w:rPr>
            </w:pPr>
          </w:p>
        </w:tc>
        <w:tc>
          <w:tcPr>
            <w:tcW w:w="723" w:type="dxa"/>
            <w:tcBorders>
              <w:top w:val="single" w:sz="12" w:space="0" w:color="auto"/>
            </w:tcBorders>
            <w:shd w:val="clear" w:color="auto" w:fill="auto"/>
            <w:noWrap/>
            <w:vAlign w:val="bottom"/>
          </w:tcPr>
          <w:p w14:paraId="08B28EC2" w14:textId="77777777" w:rsidR="00B4658B" w:rsidRPr="00B4658B" w:rsidRDefault="00B4658B" w:rsidP="00B4658B">
            <w:pPr>
              <w:suppressAutoHyphens/>
              <w:spacing w:before="40" w:after="40" w:line="210" w:lineRule="exact"/>
              <w:ind w:right="43"/>
              <w:jc w:val="right"/>
              <w:rPr>
                <w:sz w:val="17"/>
              </w:rPr>
            </w:pPr>
          </w:p>
        </w:tc>
        <w:tc>
          <w:tcPr>
            <w:tcW w:w="724" w:type="dxa"/>
            <w:tcBorders>
              <w:top w:val="single" w:sz="12" w:space="0" w:color="auto"/>
            </w:tcBorders>
            <w:shd w:val="clear" w:color="auto" w:fill="auto"/>
            <w:noWrap/>
            <w:vAlign w:val="bottom"/>
          </w:tcPr>
          <w:p w14:paraId="451B5C67" w14:textId="77777777" w:rsidR="00B4658B" w:rsidRPr="00B4658B" w:rsidRDefault="00B4658B" w:rsidP="00B4658B">
            <w:pPr>
              <w:suppressAutoHyphens/>
              <w:spacing w:before="40" w:after="40" w:line="210" w:lineRule="exact"/>
              <w:ind w:right="43"/>
              <w:jc w:val="right"/>
              <w:rPr>
                <w:sz w:val="17"/>
              </w:rPr>
            </w:pPr>
          </w:p>
        </w:tc>
      </w:tr>
      <w:tr w:rsidR="00B4658B" w:rsidRPr="00B4658B" w14:paraId="7898FD48" w14:textId="77777777" w:rsidTr="00B4658B">
        <w:trPr>
          <w:cantSplit/>
          <w:jc w:val="center"/>
        </w:trPr>
        <w:tc>
          <w:tcPr>
            <w:tcW w:w="1530" w:type="dxa"/>
            <w:tcBorders>
              <w:bottom w:val="single" w:sz="12" w:space="0" w:color="auto"/>
            </w:tcBorders>
            <w:shd w:val="clear" w:color="auto" w:fill="auto"/>
            <w:noWrap/>
            <w:vAlign w:val="bottom"/>
          </w:tcPr>
          <w:p w14:paraId="195561DD" w14:textId="77777777" w:rsidR="00B35EE7" w:rsidRPr="00B4658B" w:rsidRDefault="00B35EE7" w:rsidP="00B4658B">
            <w:pPr>
              <w:tabs>
                <w:tab w:val="left" w:pos="288"/>
                <w:tab w:val="left" w:pos="576"/>
                <w:tab w:val="left" w:pos="864"/>
                <w:tab w:val="left" w:pos="1152"/>
              </w:tabs>
              <w:suppressAutoHyphens/>
              <w:spacing w:before="40" w:after="40" w:line="210" w:lineRule="exact"/>
              <w:ind w:right="40"/>
              <w:rPr>
                <w:sz w:val="17"/>
              </w:rPr>
            </w:pPr>
            <w:r w:rsidRPr="00B4658B">
              <w:rPr>
                <w:sz w:val="17"/>
              </w:rPr>
              <w:t>Nombre de réseaux</w:t>
            </w:r>
          </w:p>
        </w:tc>
        <w:tc>
          <w:tcPr>
            <w:tcW w:w="723" w:type="dxa"/>
            <w:tcBorders>
              <w:bottom w:val="single" w:sz="12" w:space="0" w:color="auto"/>
            </w:tcBorders>
            <w:shd w:val="clear" w:color="auto" w:fill="auto"/>
            <w:noWrap/>
            <w:vAlign w:val="bottom"/>
          </w:tcPr>
          <w:p w14:paraId="7B9811C1" w14:textId="77777777" w:rsidR="00B35EE7" w:rsidRPr="00B4658B" w:rsidRDefault="00B35EE7" w:rsidP="00B4658B">
            <w:pPr>
              <w:tabs>
                <w:tab w:val="left" w:pos="288"/>
                <w:tab w:val="left" w:pos="576"/>
                <w:tab w:val="left" w:pos="864"/>
                <w:tab w:val="left" w:pos="1152"/>
              </w:tabs>
              <w:suppressAutoHyphens/>
              <w:spacing w:before="40" w:after="40" w:line="210" w:lineRule="exact"/>
              <w:ind w:right="43"/>
              <w:jc w:val="right"/>
              <w:rPr>
                <w:sz w:val="17"/>
              </w:rPr>
            </w:pPr>
            <w:r w:rsidRPr="00B4658B">
              <w:rPr>
                <w:sz w:val="17"/>
              </w:rPr>
              <w:t>55</w:t>
            </w:r>
          </w:p>
        </w:tc>
        <w:tc>
          <w:tcPr>
            <w:tcW w:w="723" w:type="dxa"/>
            <w:tcBorders>
              <w:bottom w:val="single" w:sz="12" w:space="0" w:color="auto"/>
            </w:tcBorders>
            <w:shd w:val="clear" w:color="auto" w:fill="auto"/>
            <w:noWrap/>
            <w:vAlign w:val="bottom"/>
          </w:tcPr>
          <w:p w14:paraId="13EE1B57" w14:textId="77777777" w:rsidR="00B35EE7" w:rsidRPr="00B4658B" w:rsidRDefault="00B35EE7" w:rsidP="00B4658B">
            <w:pPr>
              <w:tabs>
                <w:tab w:val="left" w:pos="288"/>
                <w:tab w:val="left" w:pos="576"/>
                <w:tab w:val="left" w:pos="864"/>
                <w:tab w:val="left" w:pos="1152"/>
              </w:tabs>
              <w:suppressAutoHyphens/>
              <w:spacing w:before="40" w:after="40" w:line="210" w:lineRule="exact"/>
              <w:ind w:right="43"/>
              <w:jc w:val="right"/>
              <w:rPr>
                <w:sz w:val="17"/>
              </w:rPr>
            </w:pPr>
            <w:r w:rsidRPr="00B4658B">
              <w:rPr>
                <w:sz w:val="17"/>
              </w:rPr>
              <w:t>44</w:t>
            </w:r>
          </w:p>
        </w:tc>
        <w:tc>
          <w:tcPr>
            <w:tcW w:w="724" w:type="dxa"/>
            <w:tcBorders>
              <w:bottom w:val="single" w:sz="12" w:space="0" w:color="auto"/>
            </w:tcBorders>
            <w:shd w:val="clear" w:color="auto" w:fill="auto"/>
            <w:noWrap/>
            <w:vAlign w:val="bottom"/>
          </w:tcPr>
          <w:p w14:paraId="309BA6C2" w14:textId="77777777" w:rsidR="00B35EE7" w:rsidRPr="00B4658B" w:rsidRDefault="00B35EE7" w:rsidP="00B4658B">
            <w:pPr>
              <w:tabs>
                <w:tab w:val="left" w:pos="288"/>
                <w:tab w:val="left" w:pos="576"/>
                <w:tab w:val="left" w:pos="864"/>
                <w:tab w:val="left" w:pos="1152"/>
              </w:tabs>
              <w:suppressAutoHyphens/>
              <w:spacing w:before="40" w:after="40" w:line="210" w:lineRule="exact"/>
              <w:ind w:right="43"/>
              <w:jc w:val="right"/>
              <w:rPr>
                <w:sz w:val="17"/>
              </w:rPr>
            </w:pPr>
            <w:r w:rsidRPr="00B4658B">
              <w:rPr>
                <w:sz w:val="17"/>
              </w:rPr>
              <w:t>42</w:t>
            </w:r>
          </w:p>
        </w:tc>
        <w:tc>
          <w:tcPr>
            <w:tcW w:w="723" w:type="dxa"/>
            <w:tcBorders>
              <w:bottom w:val="single" w:sz="12" w:space="0" w:color="auto"/>
            </w:tcBorders>
            <w:shd w:val="clear" w:color="auto" w:fill="auto"/>
            <w:noWrap/>
            <w:vAlign w:val="bottom"/>
          </w:tcPr>
          <w:p w14:paraId="5E592542" w14:textId="77777777" w:rsidR="00B35EE7" w:rsidRPr="00B4658B" w:rsidRDefault="00B35EE7" w:rsidP="00B4658B">
            <w:pPr>
              <w:tabs>
                <w:tab w:val="left" w:pos="288"/>
                <w:tab w:val="left" w:pos="576"/>
                <w:tab w:val="left" w:pos="864"/>
                <w:tab w:val="left" w:pos="1152"/>
              </w:tabs>
              <w:suppressAutoHyphens/>
              <w:spacing w:before="40" w:after="40" w:line="210" w:lineRule="exact"/>
              <w:ind w:right="43"/>
              <w:jc w:val="right"/>
              <w:rPr>
                <w:sz w:val="17"/>
              </w:rPr>
            </w:pPr>
            <w:r w:rsidRPr="00B4658B">
              <w:rPr>
                <w:sz w:val="17"/>
              </w:rPr>
              <w:t>47</w:t>
            </w:r>
          </w:p>
        </w:tc>
        <w:tc>
          <w:tcPr>
            <w:tcW w:w="723" w:type="dxa"/>
            <w:tcBorders>
              <w:bottom w:val="single" w:sz="12" w:space="0" w:color="auto"/>
            </w:tcBorders>
            <w:shd w:val="clear" w:color="auto" w:fill="auto"/>
            <w:noWrap/>
            <w:vAlign w:val="bottom"/>
          </w:tcPr>
          <w:p w14:paraId="1CF74B71" w14:textId="77777777" w:rsidR="00B35EE7" w:rsidRPr="00B4658B" w:rsidRDefault="00B35EE7" w:rsidP="00B4658B">
            <w:pPr>
              <w:tabs>
                <w:tab w:val="left" w:pos="288"/>
                <w:tab w:val="left" w:pos="576"/>
                <w:tab w:val="left" w:pos="864"/>
                <w:tab w:val="left" w:pos="1152"/>
              </w:tabs>
              <w:suppressAutoHyphens/>
              <w:spacing w:before="40" w:after="40" w:line="210" w:lineRule="exact"/>
              <w:ind w:right="43"/>
              <w:jc w:val="right"/>
              <w:rPr>
                <w:sz w:val="17"/>
              </w:rPr>
            </w:pPr>
            <w:r w:rsidRPr="00B4658B">
              <w:rPr>
                <w:sz w:val="17"/>
              </w:rPr>
              <w:t>47</w:t>
            </w:r>
          </w:p>
        </w:tc>
        <w:tc>
          <w:tcPr>
            <w:tcW w:w="724" w:type="dxa"/>
            <w:tcBorders>
              <w:bottom w:val="single" w:sz="12" w:space="0" w:color="auto"/>
            </w:tcBorders>
            <w:shd w:val="clear" w:color="auto" w:fill="auto"/>
            <w:noWrap/>
            <w:vAlign w:val="bottom"/>
          </w:tcPr>
          <w:p w14:paraId="5615E832" w14:textId="77777777" w:rsidR="00B35EE7" w:rsidRPr="00B4658B" w:rsidRDefault="00B35EE7" w:rsidP="00B4658B">
            <w:pPr>
              <w:tabs>
                <w:tab w:val="left" w:pos="288"/>
                <w:tab w:val="left" w:pos="576"/>
                <w:tab w:val="left" w:pos="864"/>
                <w:tab w:val="left" w:pos="1152"/>
              </w:tabs>
              <w:suppressAutoHyphens/>
              <w:spacing w:before="40" w:after="40" w:line="210" w:lineRule="exact"/>
              <w:ind w:right="43"/>
              <w:jc w:val="right"/>
              <w:rPr>
                <w:sz w:val="17"/>
              </w:rPr>
            </w:pPr>
            <w:r w:rsidRPr="00B4658B">
              <w:rPr>
                <w:sz w:val="17"/>
              </w:rPr>
              <w:t>38</w:t>
            </w:r>
          </w:p>
        </w:tc>
        <w:tc>
          <w:tcPr>
            <w:tcW w:w="723" w:type="dxa"/>
            <w:tcBorders>
              <w:bottom w:val="single" w:sz="12" w:space="0" w:color="auto"/>
            </w:tcBorders>
            <w:shd w:val="clear" w:color="auto" w:fill="auto"/>
            <w:noWrap/>
            <w:vAlign w:val="bottom"/>
          </w:tcPr>
          <w:p w14:paraId="21799E35" w14:textId="77777777" w:rsidR="00B35EE7" w:rsidRPr="00B4658B" w:rsidRDefault="00B35EE7" w:rsidP="00B4658B">
            <w:pPr>
              <w:tabs>
                <w:tab w:val="left" w:pos="288"/>
                <w:tab w:val="left" w:pos="576"/>
                <w:tab w:val="left" w:pos="864"/>
                <w:tab w:val="left" w:pos="1152"/>
              </w:tabs>
              <w:suppressAutoHyphens/>
              <w:spacing w:before="40" w:after="40" w:line="210" w:lineRule="exact"/>
              <w:ind w:right="43"/>
              <w:jc w:val="right"/>
              <w:rPr>
                <w:sz w:val="17"/>
              </w:rPr>
            </w:pPr>
            <w:r w:rsidRPr="00B4658B">
              <w:rPr>
                <w:sz w:val="17"/>
              </w:rPr>
              <w:t>41</w:t>
            </w:r>
          </w:p>
        </w:tc>
        <w:tc>
          <w:tcPr>
            <w:tcW w:w="724" w:type="dxa"/>
            <w:tcBorders>
              <w:bottom w:val="single" w:sz="12" w:space="0" w:color="auto"/>
            </w:tcBorders>
            <w:shd w:val="clear" w:color="auto" w:fill="auto"/>
            <w:noWrap/>
            <w:vAlign w:val="bottom"/>
          </w:tcPr>
          <w:p w14:paraId="51B71B23" w14:textId="77777777" w:rsidR="00B35EE7" w:rsidRPr="00B4658B" w:rsidRDefault="00B35EE7" w:rsidP="00B4658B">
            <w:pPr>
              <w:tabs>
                <w:tab w:val="left" w:pos="288"/>
                <w:tab w:val="left" w:pos="576"/>
                <w:tab w:val="left" w:pos="864"/>
                <w:tab w:val="left" w:pos="1152"/>
              </w:tabs>
              <w:suppressAutoHyphens/>
              <w:spacing w:before="40" w:after="40" w:line="210" w:lineRule="exact"/>
              <w:ind w:right="43"/>
              <w:jc w:val="right"/>
              <w:rPr>
                <w:sz w:val="17"/>
              </w:rPr>
            </w:pPr>
            <w:r w:rsidRPr="00B4658B">
              <w:rPr>
                <w:sz w:val="17"/>
              </w:rPr>
              <w:t>45</w:t>
            </w:r>
          </w:p>
        </w:tc>
      </w:tr>
    </w:tbl>
    <w:p w14:paraId="65D8B9DC" w14:textId="408AC8E2" w:rsidR="00B35EE7" w:rsidRPr="00B4658B" w:rsidRDefault="00B35EE7" w:rsidP="00B4658B">
      <w:pPr>
        <w:pStyle w:val="SingleTxt"/>
        <w:spacing w:after="0" w:line="120" w:lineRule="exact"/>
        <w:rPr>
          <w:sz w:val="10"/>
          <w:lang w:val="fr-FR"/>
        </w:rPr>
      </w:pPr>
    </w:p>
    <w:p w14:paraId="2749621E" w14:textId="4545CE79" w:rsidR="00B4658B" w:rsidRPr="00B4658B" w:rsidRDefault="00B4658B" w:rsidP="00B4658B">
      <w:pPr>
        <w:pStyle w:val="SingleTxt"/>
        <w:spacing w:after="0" w:line="120" w:lineRule="exact"/>
        <w:rPr>
          <w:sz w:val="10"/>
          <w:lang w:val="fr-FR"/>
        </w:rPr>
      </w:pPr>
    </w:p>
    <w:p w14:paraId="41526655" w14:textId="2CD87930" w:rsidR="00B35EE7" w:rsidRPr="00B4658B" w:rsidRDefault="00B35EE7" w:rsidP="00B4658B">
      <w:pPr>
        <w:pStyle w:val="SingleTxt"/>
        <w:spacing w:after="0" w:line="120" w:lineRule="exact"/>
        <w:rPr>
          <w:sz w:val="10"/>
          <w:lang w:val="fr-FR"/>
        </w:rPr>
      </w:pPr>
    </w:p>
    <w:p w14:paraId="7410E71E" w14:textId="7B13DBD9" w:rsidR="00B4658B" w:rsidRDefault="00B4658B" w:rsidP="00B4658B">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B35EE7" w:rsidRPr="00F1794C">
        <w:rPr>
          <w:lang w:val="fr-FR"/>
        </w:rPr>
        <w:t>Tableau 3</w:t>
      </w:r>
    </w:p>
    <w:p w14:paraId="112CB1E9" w14:textId="6C5F11CE" w:rsidR="00B35EE7" w:rsidRPr="00F1794C" w:rsidRDefault="00B4658B" w:rsidP="00B4658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B35EE7" w:rsidRPr="00F1794C">
        <w:rPr>
          <w:lang w:val="fr-FR"/>
        </w:rPr>
        <w:t>Nombre d</w:t>
      </w:r>
      <w:r w:rsidR="00F1794C" w:rsidRPr="00F1794C">
        <w:rPr>
          <w:lang w:val="fr-FR"/>
        </w:rPr>
        <w:t>’</w:t>
      </w:r>
      <w:r w:rsidR="00B35EE7" w:rsidRPr="00F1794C">
        <w:rPr>
          <w:lang w:val="fr-FR"/>
        </w:rPr>
        <w:t>organisateurs arrêtés</w:t>
      </w:r>
    </w:p>
    <w:p w14:paraId="5D8C25A8" w14:textId="163AFCFB" w:rsidR="00B35EE7" w:rsidRPr="00B4658B" w:rsidRDefault="00B35EE7" w:rsidP="00B4658B">
      <w:pPr>
        <w:pStyle w:val="SingleTxt"/>
        <w:spacing w:after="0" w:line="120" w:lineRule="exact"/>
        <w:rPr>
          <w:sz w:val="10"/>
          <w:lang w:val="fr-FR"/>
        </w:rPr>
      </w:pPr>
    </w:p>
    <w:p w14:paraId="7007E772" w14:textId="7A46FE71" w:rsidR="00B4658B" w:rsidRPr="00B4658B" w:rsidRDefault="00B4658B" w:rsidP="00B4658B">
      <w:pPr>
        <w:pStyle w:val="SingleTxt"/>
        <w:spacing w:after="0" w:line="120" w:lineRule="exact"/>
        <w:rPr>
          <w:sz w:val="10"/>
          <w:lang w:val="fr-FR"/>
        </w:rPr>
      </w:pPr>
    </w:p>
    <w:tbl>
      <w:tblPr>
        <w:tblStyle w:val="Grilledutableau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50"/>
        <w:gridCol w:w="724"/>
        <w:gridCol w:w="724"/>
        <w:gridCol w:w="724"/>
        <w:gridCol w:w="725"/>
        <w:gridCol w:w="724"/>
        <w:gridCol w:w="724"/>
        <w:gridCol w:w="725"/>
      </w:tblGrid>
      <w:tr w:rsidR="00B4658B" w:rsidRPr="00B4658B" w14:paraId="2BC8E417" w14:textId="77777777" w:rsidTr="00B4658B">
        <w:trPr>
          <w:cantSplit/>
          <w:tblHeader/>
          <w:jc w:val="center"/>
        </w:trPr>
        <w:tc>
          <w:tcPr>
            <w:tcW w:w="2250" w:type="dxa"/>
            <w:tcBorders>
              <w:top w:val="single" w:sz="4" w:space="0" w:color="auto"/>
              <w:bottom w:val="single" w:sz="12" w:space="0" w:color="auto"/>
            </w:tcBorders>
            <w:shd w:val="clear" w:color="auto" w:fill="auto"/>
            <w:noWrap/>
            <w:vAlign w:val="bottom"/>
          </w:tcPr>
          <w:p w14:paraId="3780B59A" w14:textId="77777777" w:rsidR="00B35EE7" w:rsidRPr="00B4658B" w:rsidRDefault="00B35EE7" w:rsidP="00B4658B">
            <w:pPr>
              <w:suppressAutoHyphens/>
              <w:spacing w:before="81" w:after="81" w:line="160" w:lineRule="exact"/>
              <w:ind w:right="40"/>
              <w:rPr>
                <w:i/>
                <w:sz w:val="14"/>
              </w:rPr>
            </w:pPr>
            <w:r w:rsidRPr="00B4658B">
              <w:rPr>
                <w:i/>
                <w:sz w:val="14"/>
              </w:rPr>
              <w:t>Année</w:t>
            </w:r>
          </w:p>
        </w:tc>
        <w:tc>
          <w:tcPr>
            <w:tcW w:w="724" w:type="dxa"/>
            <w:tcBorders>
              <w:top w:val="single" w:sz="4" w:space="0" w:color="auto"/>
              <w:bottom w:val="single" w:sz="12" w:space="0" w:color="auto"/>
            </w:tcBorders>
            <w:shd w:val="clear" w:color="auto" w:fill="auto"/>
            <w:noWrap/>
            <w:vAlign w:val="bottom"/>
          </w:tcPr>
          <w:p w14:paraId="5FC39DC6" w14:textId="77777777" w:rsidR="00B35EE7" w:rsidRPr="00B4658B" w:rsidRDefault="00B35EE7" w:rsidP="00B4658B">
            <w:pPr>
              <w:suppressAutoHyphens/>
              <w:spacing w:before="81" w:after="81" w:line="160" w:lineRule="exact"/>
              <w:ind w:right="43"/>
              <w:jc w:val="right"/>
              <w:rPr>
                <w:i/>
                <w:sz w:val="14"/>
              </w:rPr>
            </w:pPr>
            <w:r w:rsidRPr="00B4658B">
              <w:rPr>
                <w:i/>
                <w:sz w:val="14"/>
              </w:rPr>
              <w:t>2011</w:t>
            </w:r>
          </w:p>
        </w:tc>
        <w:tc>
          <w:tcPr>
            <w:tcW w:w="724" w:type="dxa"/>
            <w:tcBorders>
              <w:top w:val="single" w:sz="4" w:space="0" w:color="auto"/>
              <w:bottom w:val="single" w:sz="12" w:space="0" w:color="auto"/>
            </w:tcBorders>
            <w:shd w:val="clear" w:color="auto" w:fill="auto"/>
            <w:noWrap/>
            <w:vAlign w:val="bottom"/>
          </w:tcPr>
          <w:p w14:paraId="6E88A40C" w14:textId="77777777" w:rsidR="00B35EE7" w:rsidRPr="00B4658B" w:rsidRDefault="00B35EE7" w:rsidP="00B4658B">
            <w:pPr>
              <w:suppressAutoHyphens/>
              <w:spacing w:before="81" w:after="81" w:line="160" w:lineRule="exact"/>
              <w:ind w:right="43"/>
              <w:jc w:val="right"/>
              <w:rPr>
                <w:i/>
                <w:sz w:val="14"/>
              </w:rPr>
            </w:pPr>
            <w:r w:rsidRPr="00B4658B">
              <w:rPr>
                <w:i/>
                <w:sz w:val="14"/>
              </w:rPr>
              <w:t>2012</w:t>
            </w:r>
          </w:p>
        </w:tc>
        <w:tc>
          <w:tcPr>
            <w:tcW w:w="724" w:type="dxa"/>
            <w:tcBorders>
              <w:top w:val="single" w:sz="4" w:space="0" w:color="auto"/>
              <w:bottom w:val="single" w:sz="12" w:space="0" w:color="auto"/>
            </w:tcBorders>
            <w:shd w:val="clear" w:color="auto" w:fill="auto"/>
            <w:noWrap/>
            <w:vAlign w:val="bottom"/>
          </w:tcPr>
          <w:p w14:paraId="0B0A4883" w14:textId="77777777" w:rsidR="00B35EE7" w:rsidRPr="00B4658B" w:rsidRDefault="00B35EE7" w:rsidP="00B4658B">
            <w:pPr>
              <w:suppressAutoHyphens/>
              <w:spacing w:before="81" w:after="81" w:line="160" w:lineRule="exact"/>
              <w:ind w:right="43"/>
              <w:jc w:val="right"/>
              <w:rPr>
                <w:i/>
                <w:sz w:val="14"/>
              </w:rPr>
            </w:pPr>
            <w:r w:rsidRPr="00B4658B">
              <w:rPr>
                <w:i/>
                <w:sz w:val="14"/>
              </w:rPr>
              <w:t>2013</w:t>
            </w:r>
          </w:p>
        </w:tc>
        <w:tc>
          <w:tcPr>
            <w:tcW w:w="725" w:type="dxa"/>
            <w:tcBorders>
              <w:top w:val="single" w:sz="4" w:space="0" w:color="auto"/>
              <w:bottom w:val="single" w:sz="12" w:space="0" w:color="auto"/>
            </w:tcBorders>
            <w:shd w:val="clear" w:color="auto" w:fill="auto"/>
            <w:noWrap/>
            <w:vAlign w:val="bottom"/>
          </w:tcPr>
          <w:p w14:paraId="248C8FA6" w14:textId="77777777" w:rsidR="00B35EE7" w:rsidRPr="00B4658B" w:rsidRDefault="00B35EE7" w:rsidP="00B4658B">
            <w:pPr>
              <w:suppressAutoHyphens/>
              <w:spacing w:before="81" w:after="81" w:line="160" w:lineRule="exact"/>
              <w:ind w:right="43"/>
              <w:jc w:val="right"/>
              <w:rPr>
                <w:i/>
                <w:sz w:val="14"/>
              </w:rPr>
            </w:pPr>
            <w:r w:rsidRPr="00B4658B">
              <w:rPr>
                <w:i/>
                <w:sz w:val="14"/>
              </w:rPr>
              <w:t>2014</w:t>
            </w:r>
          </w:p>
        </w:tc>
        <w:tc>
          <w:tcPr>
            <w:tcW w:w="724" w:type="dxa"/>
            <w:tcBorders>
              <w:top w:val="single" w:sz="4" w:space="0" w:color="auto"/>
              <w:bottom w:val="single" w:sz="12" w:space="0" w:color="auto"/>
            </w:tcBorders>
            <w:shd w:val="clear" w:color="auto" w:fill="auto"/>
            <w:noWrap/>
            <w:vAlign w:val="bottom"/>
          </w:tcPr>
          <w:p w14:paraId="3F6FA6C6" w14:textId="77777777" w:rsidR="00B35EE7" w:rsidRPr="00B4658B" w:rsidRDefault="00B35EE7" w:rsidP="00B4658B">
            <w:pPr>
              <w:suppressAutoHyphens/>
              <w:spacing w:before="81" w:after="81" w:line="160" w:lineRule="exact"/>
              <w:ind w:right="43"/>
              <w:jc w:val="right"/>
              <w:rPr>
                <w:i/>
                <w:sz w:val="14"/>
              </w:rPr>
            </w:pPr>
            <w:r w:rsidRPr="00B4658B">
              <w:rPr>
                <w:i/>
                <w:sz w:val="14"/>
              </w:rPr>
              <w:t>2015</w:t>
            </w:r>
          </w:p>
        </w:tc>
        <w:tc>
          <w:tcPr>
            <w:tcW w:w="724" w:type="dxa"/>
            <w:tcBorders>
              <w:top w:val="single" w:sz="4" w:space="0" w:color="auto"/>
              <w:bottom w:val="single" w:sz="12" w:space="0" w:color="auto"/>
            </w:tcBorders>
            <w:shd w:val="clear" w:color="auto" w:fill="auto"/>
            <w:noWrap/>
            <w:vAlign w:val="bottom"/>
          </w:tcPr>
          <w:p w14:paraId="395DE11B" w14:textId="77777777" w:rsidR="00B35EE7" w:rsidRPr="00B4658B" w:rsidRDefault="00B35EE7" w:rsidP="00B4658B">
            <w:pPr>
              <w:suppressAutoHyphens/>
              <w:spacing w:before="81" w:after="81" w:line="160" w:lineRule="exact"/>
              <w:ind w:right="43"/>
              <w:jc w:val="right"/>
              <w:rPr>
                <w:i/>
                <w:sz w:val="14"/>
              </w:rPr>
            </w:pPr>
            <w:r w:rsidRPr="00B4658B">
              <w:rPr>
                <w:i/>
                <w:sz w:val="14"/>
              </w:rPr>
              <w:t>2016</w:t>
            </w:r>
          </w:p>
        </w:tc>
        <w:tc>
          <w:tcPr>
            <w:tcW w:w="725" w:type="dxa"/>
            <w:tcBorders>
              <w:top w:val="single" w:sz="4" w:space="0" w:color="auto"/>
              <w:bottom w:val="single" w:sz="12" w:space="0" w:color="auto"/>
            </w:tcBorders>
            <w:shd w:val="clear" w:color="auto" w:fill="auto"/>
            <w:noWrap/>
            <w:vAlign w:val="bottom"/>
          </w:tcPr>
          <w:p w14:paraId="6191A737" w14:textId="77777777" w:rsidR="00B35EE7" w:rsidRPr="00B4658B" w:rsidRDefault="00B35EE7" w:rsidP="00B4658B">
            <w:pPr>
              <w:suppressAutoHyphens/>
              <w:spacing w:before="81" w:after="81" w:line="160" w:lineRule="exact"/>
              <w:ind w:right="43"/>
              <w:jc w:val="right"/>
              <w:rPr>
                <w:i/>
                <w:sz w:val="14"/>
              </w:rPr>
            </w:pPr>
            <w:r w:rsidRPr="00B4658B">
              <w:rPr>
                <w:i/>
                <w:sz w:val="14"/>
              </w:rPr>
              <w:t>2017</w:t>
            </w:r>
          </w:p>
        </w:tc>
      </w:tr>
      <w:tr w:rsidR="00B4658B" w:rsidRPr="00B4658B" w14:paraId="74C48CA5" w14:textId="77777777" w:rsidTr="00B4658B">
        <w:trPr>
          <w:cantSplit/>
          <w:trHeight w:hRule="exact" w:val="115"/>
          <w:tblHeader/>
          <w:jc w:val="center"/>
        </w:trPr>
        <w:tc>
          <w:tcPr>
            <w:tcW w:w="2250" w:type="dxa"/>
            <w:tcBorders>
              <w:top w:val="single" w:sz="12" w:space="0" w:color="auto"/>
            </w:tcBorders>
            <w:shd w:val="clear" w:color="auto" w:fill="auto"/>
            <w:noWrap/>
            <w:vAlign w:val="bottom"/>
          </w:tcPr>
          <w:p w14:paraId="286BEF37" w14:textId="77777777" w:rsidR="00B4658B" w:rsidRPr="00B4658B" w:rsidRDefault="00B4658B" w:rsidP="00B4658B">
            <w:pPr>
              <w:suppressAutoHyphens/>
              <w:spacing w:before="40" w:after="40" w:line="210" w:lineRule="exact"/>
              <w:ind w:right="40"/>
              <w:rPr>
                <w:sz w:val="17"/>
              </w:rPr>
            </w:pPr>
          </w:p>
        </w:tc>
        <w:tc>
          <w:tcPr>
            <w:tcW w:w="724" w:type="dxa"/>
            <w:tcBorders>
              <w:top w:val="single" w:sz="12" w:space="0" w:color="auto"/>
            </w:tcBorders>
            <w:shd w:val="clear" w:color="auto" w:fill="auto"/>
            <w:noWrap/>
            <w:vAlign w:val="bottom"/>
          </w:tcPr>
          <w:p w14:paraId="4FC4CC79" w14:textId="77777777" w:rsidR="00B4658B" w:rsidRPr="00B4658B" w:rsidRDefault="00B4658B" w:rsidP="00B4658B">
            <w:pPr>
              <w:suppressAutoHyphens/>
              <w:spacing w:before="40" w:after="40" w:line="210" w:lineRule="exact"/>
              <w:ind w:right="43"/>
              <w:jc w:val="right"/>
              <w:rPr>
                <w:sz w:val="17"/>
              </w:rPr>
            </w:pPr>
          </w:p>
        </w:tc>
        <w:tc>
          <w:tcPr>
            <w:tcW w:w="724" w:type="dxa"/>
            <w:tcBorders>
              <w:top w:val="single" w:sz="12" w:space="0" w:color="auto"/>
            </w:tcBorders>
            <w:shd w:val="clear" w:color="auto" w:fill="auto"/>
            <w:noWrap/>
            <w:vAlign w:val="bottom"/>
          </w:tcPr>
          <w:p w14:paraId="4BE52056" w14:textId="77777777" w:rsidR="00B4658B" w:rsidRPr="00B4658B" w:rsidRDefault="00B4658B" w:rsidP="00B4658B">
            <w:pPr>
              <w:suppressAutoHyphens/>
              <w:spacing w:before="40" w:after="40" w:line="210" w:lineRule="exact"/>
              <w:ind w:right="43"/>
              <w:jc w:val="right"/>
              <w:rPr>
                <w:sz w:val="17"/>
              </w:rPr>
            </w:pPr>
          </w:p>
        </w:tc>
        <w:tc>
          <w:tcPr>
            <w:tcW w:w="724" w:type="dxa"/>
            <w:tcBorders>
              <w:top w:val="single" w:sz="12" w:space="0" w:color="auto"/>
            </w:tcBorders>
            <w:shd w:val="clear" w:color="auto" w:fill="auto"/>
            <w:noWrap/>
            <w:vAlign w:val="bottom"/>
          </w:tcPr>
          <w:p w14:paraId="3016700A" w14:textId="77777777" w:rsidR="00B4658B" w:rsidRPr="00B4658B" w:rsidRDefault="00B4658B" w:rsidP="00B4658B">
            <w:pPr>
              <w:suppressAutoHyphens/>
              <w:spacing w:before="40" w:after="40" w:line="210" w:lineRule="exact"/>
              <w:ind w:right="43"/>
              <w:jc w:val="right"/>
              <w:rPr>
                <w:sz w:val="17"/>
              </w:rPr>
            </w:pPr>
          </w:p>
        </w:tc>
        <w:tc>
          <w:tcPr>
            <w:tcW w:w="725" w:type="dxa"/>
            <w:tcBorders>
              <w:top w:val="single" w:sz="12" w:space="0" w:color="auto"/>
            </w:tcBorders>
            <w:shd w:val="clear" w:color="auto" w:fill="auto"/>
            <w:noWrap/>
            <w:vAlign w:val="bottom"/>
          </w:tcPr>
          <w:p w14:paraId="67D4FF94" w14:textId="77777777" w:rsidR="00B4658B" w:rsidRPr="00B4658B" w:rsidRDefault="00B4658B" w:rsidP="00B4658B">
            <w:pPr>
              <w:suppressAutoHyphens/>
              <w:spacing w:before="40" w:after="40" w:line="210" w:lineRule="exact"/>
              <w:ind w:right="43"/>
              <w:jc w:val="right"/>
              <w:rPr>
                <w:sz w:val="17"/>
              </w:rPr>
            </w:pPr>
          </w:p>
        </w:tc>
        <w:tc>
          <w:tcPr>
            <w:tcW w:w="724" w:type="dxa"/>
            <w:tcBorders>
              <w:top w:val="single" w:sz="12" w:space="0" w:color="auto"/>
            </w:tcBorders>
            <w:shd w:val="clear" w:color="auto" w:fill="auto"/>
            <w:noWrap/>
            <w:vAlign w:val="bottom"/>
          </w:tcPr>
          <w:p w14:paraId="715DC9B2" w14:textId="77777777" w:rsidR="00B4658B" w:rsidRPr="00B4658B" w:rsidRDefault="00B4658B" w:rsidP="00B4658B">
            <w:pPr>
              <w:suppressAutoHyphens/>
              <w:spacing w:before="40" w:after="40" w:line="210" w:lineRule="exact"/>
              <w:ind w:right="43"/>
              <w:jc w:val="right"/>
              <w:rPr>
                <w:sz w:val="17"/>
              </w:rPr>
            </w:pPr>
          </w:p>
        </w:tc>
        <w:tc>
          <w:tcPr>
            <w:tcW w:w="724" w:type="dxa"/>
            <w:tcBorders>
              <w:top w:val="single" w:sz="12" w:space="0" w:color="auto"/>
            </w:tcBorders>
            <w:shd w:val="clear" w:color="auto" w:fill="auto"/>
            <w:noWrap/>
            <w:vAlign w:val="bottom"/>
          </w:tcPr>
          <w:p w14:paraId="360FB850" w14:textId="77777777" w:rsidR="00B4658B" w:rsidRPr="00B4658B" w:rsidRDefault="00B4658B" w:rsidP="00B4658B">
            <w:pPr>
              <w:suppressAutoHyphens/>
              <w:spacing w:before="40" w:after="40" w:line="210" w:lineRule="exact"/>
              <w:ind w:right="43"/>
              <w:jc w:val="right"/>
              <w:rPr>
                <w:sz w:val="17"/>
              </w:rPr>
            </w:pPr>
          </w:p>
        </w:tc>
        <w:tc>
          <w:tcPr>
            <w:tcW w:w="725" w:type="dxa"/>
            <w:tcBorders>
              <w:top w:val="single" w:sz="12" w:space="0" w:color="auto"/>
            </w:tcBorders>
            <w:shd w:val="clear" w:color="auto" w:fill="auto"/>
            <w:noWrap/>
            <w:vAlign w:val="bottom"/>
          </w:tcPr>
          <w:p w14:paraId="141E9847" w14:textId="77777777" w:rsidR="00B4658B" w:rsidRPr="00B4658B" w:rsidRDefault="00B4658B" w:rsidP="00B4658B">
            <w:pPr>
              <w:suppressAutoHyphens/>
              <w:spacing w:before="40" w:after="40" w:line="210" w:lineRule="exact"/>
              <w:ind w:right="43"/>
              <w:jc w:val="right"/>
              <w:rPr>
                <w:sz w:val="17"/>
              </w:rPr>
            </w:pPr>
          </w:p>
        </w:tc>
      </w:tr>
      <w:tr w:rsidR="00B4658B" w:rsidRPr="00B4658B" w14:paraId="328EC84C" w14:textId="77777777" w:rsidTr="00B4658B">
        <w:trPr>
          <w:cantSplit/>
          <w:jc w:val="center"/>
        </w:trPr>
        <w:tc>
          <w:tcPr>
            <w:tcW w:w="2250" w:type="dxa"/>
            <w:tcBorders>
              <w:bottom w:val="single" w:sz="12" w:space="0" w:color="auto"/>
            </w:tcBorders>
            <w:shd w:val="clear" w:color="auto" w:fill="auto"/>
            <w:noWrap/>
            <w:vAlign w:val="bottom"/>
          </w:tcPr>
          <w:p w14:paraId="54E30A8A" w14:textId="77777777" w:rsidR="00B35EE7" w:rsidRPr="00B4658B" w:rsidRDefault="00B35EE7" w:rsidP="00B4658B">
            <w:pPr>
              <w:tabs>
                <w:tab w:val="left" w:pos="288"/>
                <w:tab w:val="left" w:pos="576"/>
                <w:tab w:val="left" w:pos="864"/>
                <w:tab w:val="left" w:pos="1152"/>
              </w:tabs>
              <w:suppressAutoHyphens/>
              <w:spacing w:before="40" w:after="40" w:line="210" w:lineRule="exact"/>
              <w:ind w:right="40"/>
              <w:rPr>
                <w:sz w:val="17"/>
              </w:rPr>
            </w:pPr>
            <w:r w:rsidRPr="00B4658B">
              <w:rPr>
                <w:sz w:val="17"/>
              </w:rPr>
              <w:t>Organisateurs et partenaires</w:t>
            </w:r>
          </w:p>
        </w:tc>
        <w:tc>
          <w:tcPr>
            <w:tcW w:w="724" w:type="dxa"/>
            <w:tcBorders>
              <w:bottom w:val="single" w:sz="12" w:space="0" w:color="auto"/>
            </w:tcBorders>
            <w:shd w:val="clear" w:color="auto" w:fill="auto"/>
            <w:noWrap/>
            <w:vAlign w:val="bottom"/>
          </w:tcPr>
          <w:p w14:paraId="25183537" w14:textId="77777777" w:rsidR="00B35EE7" w:rsidRPr="00B4658B" w:rsidRDefault="00B35EE7" w:rsidP="00B4658B">
            <w:pPr>
              <w:tabs>
                <w:tab w:val="left" w:pos="288"/>
                <w:tab w:val="left" w:pos="576"/>
                <w:tab w:val="left" w:pos="864"/>
                <w:tab w:val="left" w:pos="1152"/>
              </w:tabs>
              <w:suppressAutoHyphens/>
              <w:spacing w:before="40" w:after="40" w:line="210" w:lineRule="exact"/>
              <w:ind w:right="43"/>
              <w:jc w:val="right"/>
              <w:rPr>
                <w:sz w:val="17"/>
              </w:rPr>
            </w:pPr>
            <w:r w:rsidRPr="00B4658B">
              <w:rPr>
                <w:sz w:val="17"/>
              </w:rPr>
              <w:t>400</w:t>
            </w:r>
          </w:p>
        </w:tc>
        <w:tc>
          <w:tcPr>
            <w:tcW w:w="724" w:type="dxa"/>
            <w:tcBorders>
              <w:bottom w:val="single" w:sz="12" w:space="0" w:color="auto"/>
            </w:tcBorders>
            <w:shd w:val="clear" w:color="auto" w:fill="auto"/>
            <w:noWrap/>
            <w:vAlign w:val="bottom"/>
          </w:tcPr>
          <w:p w14:paraId="2CBE33BB" w14:textId="77777777" w:rsidR="00B35EE7" w:rsidRPr="00B4658B" w:rsidRDefault="00B35EE7" w:rsidP="00B4658B">
            <w:pPr>
              <w:tabs>
                <w:tab w:val="left" w:pos="288"/>
                <w:tab w:val="left" w:pos="576"/>
                <w:tab w:val="left" w:pos="864"/>
                <w:tab w:val="left" w:pos="1152"/>
              </w:tabs>
              <w:suppressAutoHyphens/>
              <w:spacing w:before="40" w:after="40" w:line="210" w:lineRule="exact"/>
              <w:ind w:right="43"/>
              <w:jc w:val="right"/>
              <w:rPr>
                <w:sz w:val="17"/>
              </w:rPr>
            </w:pPr>
            <w:r w:rsidRPr="00B4658B">
              <w:rPr>
                <w:sz w:val="17"/>
              </w:rPr>
              <w:t>239</w:t>
            </w:r>
          </w:p>
        </w:tc>
        <w:tc>
          <w:tcPr>
            <w:tcW w:w="724" w:type="dxa"/>
            <w:tcBorders>
              <w:bottom w:val="single" w:sz="12" w:space="0" w:color="auto"/>
            </w:tcBorders>
            <w:shd w:val="clear" w:color="auto" w:fill="auto"/>
            <w:noWrap/>
            <w:vAlign w:val="bottom"/>
          </w:tcPr>
          <w:p w14:paraId="17D361FB" w14:textId="77777777" w:rsidR="00B35EE7" w:rsidRPr="00B4658B" w:rsidRDefault="00B35EE7" w:rsidP="00B4658B">
            <w:pPr>
              <w:tabs>
                <w:tab w:val="left" w:pos="288"/>
                <w:tab w:val="left" w:pos="576"/>
                <w:tab w:val="left" w:pos="864"/>
                <w:tab w:val="left" w:pos="1152"/>
              </w:tabs>
              <w:suppressAutoHyphens/>
              <w:spacing w:before="40" w:after="40" w:line="210" w:lineRule="exact"/>
              <w:ind w:right="43"/>
              <w:jc w:val="right"/>
              <w:rPr>
                <w:sz w:val="17"/>
              </w:rPr>
            </w:pPr>
            <w:r w:rsidRPr="00B4658B">
              <w:rPr>
                <w:sz w:val="17"/>
              </w:rPr>
              <w:t>246</w:t>
            </w:r>
          </w:p>
        </w:tc>
        <w:tc>
          <w:tcPr>
            <w:tcW w:w="725" w:type="dxa"/>
            <w:tcBorders>
              <w:bottom w:val="single" w:sz="12" w:space="0" w:color="auto"/>
            </w:tcBorders>
            <w:shd w:val="clear" w:color="auto" w:fill="auto"/>
            <w:noWrap/>
            <w:vAlign w:val="bottom"/>
          </w:tcPr>
          <w:p w14:paraId="236293E1" w14:textId="77777777" w:rsidR="00B35EE7" w:rsidRPr="00B4658B" w:rsidRDefault="00B35EE7" w:rsidP="00B4658B">
            <w:pPr>
              <w:tabs>
                <w:tab w:val="left" w:pos="288"/>
                <w:tab w:val="left" w:pos="576"/>
                <w:tab w:val="left" w:pos="864"/>
                <w:tab w:val="left" w:pos="1152"/>
              </w:tabs>
              <w:suppressAutoHyphens/>
              <w:spacing w:before="40" w:after="40" w:line="210" w:lineRule="exact"/>
              <w:ind w:right="43"/>
              <w:jc w:val="right"/>
              <w:rPr>
                <w:sz w:val="17"/>
              </w:rPr>
            </w:pPr>
            <w:r w:rsidRPr="00B4658B">
              <w:rPr>
                <w:sz w:val="17"/>
              </w:rPr>
              <w:t>167</w:t>
            </w:r>
          </w:p>
        </w:tc>
        <w:tc>
          <w:tcPr>
            <w:tcW w:w="724" w:type="dxa"/>
            <w:tcBorders>
              <w:bottom w:val="single" w:sz="12" w:space="0" w:color="auto"/>
            </w:tcBorders>
            <w:shd w:val="clear" w:color="auto" w:fill="auto"/>
            <w:noWrap/>
            <w:vAlign w:val="bottom"/>
          </w:tcPr>
          <w:p w14:paraId="17CFF356" w14:textId="77777777" w:rsidR="00B35EE7" w:rsidRPr="00B4658B" w:rsidRDefault="00B35EE7" w:rsidP="00B4658B">
            <w:pPr>
              <w:tabs>
                <w:tab w:val="left" w:pos="288"/>
                <w:tab w:val="left" w:pos="576"/>
                <w:tab w:val="left" w:pos="864"/>
                <w:tab w:val="left" w:pos="1152"/>
              </w:tabs>
              <w:suppressAutoHyphens/>
              <w:spacing w:before="40" w:after="40" w:line="210" w:lineRule="exact"/>
              <w:ind w:right="43"/>
              <w:jc w:val="right"/>
              <w:rPr>
                <w:sz w:val="17"/>
              </w:rPr>
            </w:pPr>
            <w:r w:rsidRPr="00B4658B">
              <w:rPr>
                <w:sz w:val="17"/>
              </w:rPr>
              <w:t>132</w:t>
            </w:r>
          </w:p>
        </w:tc>
        <w:tc>
          <w:tcPr>
            <w:tcW w:w="724" w:type="dxa"/>
            <w:tcBorders>
              <w:bottom w:val="single" w:sz="12" w:space="0" w:color="auto"/>
            </w:tcBorders>
            <w:shd w:val="clear" w:color="auto" w:fill="auto"/>
            <w:noWrap/>
            <w:vAlign w:val="bottom"/>
          </w:tcPr>
          <w:p w14:paraId="1FB6E07E" w14:textId="77777777" w:rsidR="00B35EE7" w:rsidRPr="00B4658B" w:rsidRDefault="00B35EE7" w:rsidP="00B4658B">
            <w:pPr>
              <w:tabs>
                <w:tab w:val="left" w:pos="288"/>
                <w:tab w:val="left" w:pos="576"/>
                <w:tab w:val="left" w:pos="864"/>
                <w:tab w:val="left" w:pos="1152"/>
              </w:tabs>
              <w:suppressAutoHyphens/>
              <w:spacing w:before="40" w:after="40" w:line="210" w:lineRule="exact"/>
              <w:ind w:right="43"/>
              <w:jc w:val="right"/>
              <w:rPr>
                <w:sz w:val="17"/>
              </w:rPr>
            </w:pPr>
            <w:r w:rsidRPr="00B4658B">
              <w:rPr>
                <w:sz w:val="17"/>
              </w:rPr>
              <w:t>254</w:t>
            </w:r>
          </w:p>
        </w:tc>
        <w:tc>
          <w:tcPr>
            <w:tcW w:w="725" w:type="dxa"/>
            <w:tcBorders>
              <w:bottom w:val="single" w:sz="12" w:space="0" w:color="auto"/>
            </w:tcBorders>
            <w:shd w:val="clear" w:color="auto" w:fill="auto"/>
            <w:noWrap/>
            <w:vAlign w:val="bottom"/>
          </w:tcPr>
          <w:p w14:paraId="45CF08BB" w14:textId="77777777" w:rsidR="00B35EE7" w:rsidRPr="00B4658B" w:rsidRDefault="00B35EE7" w:rsidP="00B4658B">
            <w:pPr>
              <w:tabs>
                <w:tab w:val="left" w:pos="288"/>
                <w:tab w:val="left" w:pos="576"/>
                <w:tab w:val="left" w:pos="864"/>
                <w:tab w:val="left" w:pos="1152"/>
              </w:tabs>
              <w:suppressAutoHyphens/>
              <w:spacing w:before="40" w:after="40" w:line="210" w:lineRule="exact"/>
              <w:ind w:right="43"/>
              <w:jc w:val="right"/>
              <w:rPr>
                <w:sz w:val="17"/>
              </w:rPr>
            </w:pPr>
            <w:r w:rsidRPr="00B4658B">
              <w:rPr>
                <w:sz w:val="17"/>
              </w:rPr>
              <w:t>305</w:t>
            </w:r>
          </w:p>
        </w:tc>
      </w:tr>
    </w:tbl>
    <w:p w14:paraId="69A69A77" w14:textId="4AB20F0C" w:rsidR="00B35EE7" w:rsidRPr="00B4658B" w:rsidRDefault="00B35EE7" w:rsidP="00B4658B">
      <w:pPr>
        <w:pStyle w:val="SingleTxt"/>
        <w:spacing w:after="0" w:line="120" w:lineRule="exact"/>
        <w:rPr>
          <w:sz w:val="10"/>
          <w:lang w:val="fr-FR"/>
        </w:rPr>
      </w:pPr>
    </w:p>
    <w:p w14:paraId="2BF813CE" w14:textId="671C9482" w:rsidR="00B4658B" w:rsidRPr="00B4658B" w:rsidRDefault="00B4658B" w:rsidP="00B4658B">
      <w:pPr>
        <w:pStyle w:val="SingleTxt"/>
        <w:spacing w:after="0" w:line="120" w:lineRule="exact"/>
        <w:rPr>
          <w:sz w:val="10"/>
          <w:lang w:val="fr-FR"/>
        </w:rPr>
      </w:pPr>
    </w:p>
    <w:p w14:paraId="4E7A34CA" w14:textId="414802FF" w:rsidR="00B4658B" w:rsidRPr="00B4658B" w:rsidRDefault="00B4658B" w:rsidP="00B4658B">
      <w:pPr>
        <w:pStyle w:val="SingleTxt"/>
        <w:spacing w:after="0" w:line="120" w:lineRule="exact"/>
        <w:rPr>
          <w:sz w:val="10"/>
          <w:lang w:val="fr-FR"/>
        </w:rPr>
      </w:pPr>
    </w:p>
    <w:p w14:paraId="292FE31C" w14:textId="6EA97828" w:rsidR="00B4658B" w:rsidRDefault="00B4658B" w:rsidP="00B4658B">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B35EE7" w:rsidRPr="00F1794C">
        <w:rPr>
          <w:lang w:val="fr-FR"/>
        </w:rPr>
        <w:t>Tableau 4</w:t>
      </w:r>
    </w:p>
    <w:p w14:paraId="0D84ABBE" w14:textId="4D382FE9" w:rsidR="00B35EE7" w:rsidRPr="00F1794C" w:rsidRDefault="00B4658B" w:rsidP="00B4658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B35EE7" w:rsidRPr="00F1794C">
        <w:rPr>
          <w:lang w:val="fr-FR"/>
        </w:rPr>
        <w:t>Nombre de femmes victimes d</w:t>
      </w:r>
      <w:r w:rsidR="00F1794C" w:rsidRPr="00F1794C">
        <w:rPr>
          <w:lang w:val="fr-FR"/>
        </w:rPr>
        <w:t>’</w:t>
      </w:r>
      <w:r w:rsidR="00B35EE7" w:rsidRPr="00F1794C">
        <w:rPr>
          <w:lang w:val="fr-FR"/>
        </w:rPr>
        <w:t>agression sexuelle ou de viol dans des affaires de</w:t>
      </w:r>
      <w:r>
        <w:rPr>
          <w:lang w:val="fr-FR"/>
        </w:rPr>
        <w:t> </w:t>
      </w:r>
      <w:r w:rsidR="00B35EE7" w:rsidRPr="00F1794C">
        <w:rPr>
          <w:lang w:val="fr-FR"/>
        </w:rPr>
        <w:t>proxénétisme et de prostitution</w:t>
      </w:r>
    </w:p>
    <w:p w14:paraId="736BF4ED" w14:textId="7F92D7A1" w:rsidR="00B35EE7" w:rsidRPr="00B4658B" w:rsidRDefault="00B35EE7" w:rsidP="00B4658B">
      <w:pPr>
        <w:pStyle w:val="SingleTxt"/>
        <w:spacing w:after="0" w:line="120" w:lineRule="exact"/>
        <w:rPr>
          <w:sz w:val="10"/>
          <w:lang w:val="fr-FR"/>
        </w:rPr>
      </w:pPr>
    </w:p>
    <w:p w14:paraId="3F674176" w14:textId="77471D03" w:rsidR="00B4658B" w:rsidRPr="00B4658B" w:rsidRDefault="00B4658B" w:rsidP="00B4658B">
      <w:pPr>
        <w:pStyle w:val="SingleTxt"/>
        <w:spacing w:after="0" w:line="120" w:lineRule="exact"/>
        <w:rPr>
          <w:sz w:val="10"/>
          <w:lang w:val="fr-FR"/>
        </w:rPr>
      </w:pPr>
    </w:p>
    <w:tbl>
      <w:tblPr>
        <w:tblStyle w:val="Grilledutableau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700"/>
        <w:gridCol w:w="660"/>
        <w:gridCol w:w="660"/>
        <w:gridCol w:w="660"/>
        <w:gridCol w:w="660"/>
        <w:gridCol w:w="660"/>
        <w:gridCol w:w="660"/>
        <w:gridCol w:w="660"/>
      </w:tblGrid>
      <w:tr w:rsidR="00B4658B" w:rsidRPr="00B4658B" w14:paraId="275DFA03" w14:textId="77777777" w:rsidTr="00B4658B">
        <w:trPr>
          <w:cantSplit/>
          <w:tblHeader/>
          <w:jc w:val="center"/>
        </w:trPr>
        <w:tc>
          <w:tcPr>
            <w:tcW w:w="2700" w:type="dxa"/>
            <w:tcBorders>
              <w:top w:val="single" w:sz="4" w:space="0" w:color="auto"/>
              <w:bottom w:val="single" w:sz="12" w:space="0" w:color="auto"/>
            </w:tcBorders>
            <w:shd w:val="clear" w:color="auto" w:fill="auto"/>
            <w:noWrap/>
            <w:vAlign w:val="bottom"/>
          </w:tcPr>
          <w:p w14:paraId="5160559C" w14:textId="77777777" w:rsidR="00B35EE7" w:rsidRPr="00B4658B" w:rsidRDefault="00B35EE7" w:rsidP="00B4658B">
            <w:pPr>
              <w:suppressAutoHyphens/>
              <w:spacing w:before="81" w:after="81" w:line="160" w:lineRule="exact"/>
              <w:ind w:right="40"/>
              <w:rPr>
                <w:i/>
                <w:sz w:val="14"/>
              </w:rPr>
            </w:pPr>
            <w:r w:rsidRPr="00B4658B">
              <w:rPr>
                <w:i/>
                <w:sz w:val="14"/>
              </w:rPr>
              <w:t>Année</w:t>
            </w:r>
          </w:p>
        </w:tc>
        <w:tc>
          <w:tcPr>
            <w:tcW w:w="660" w:type="dxa"/>
            <w:tcBorders>
              <w:top w:val="single" w:sz="4" w:space="0" w:color="auto"/>
              <w:bottom w:val="single" w:sz="12" w:space="0" w:color="auto"/>
            </w:tcBorders>
            <w:shd w:val="clear" w:color="auto" w:fill="auto"/>
            <w:noWrap/>
            <w:vAlign w:val="bottom"/>
          </w:tcPr>
          <w:p w14:paraId="77C12C4B" w14:textId="77777777" w:rsidR="00B35EE7" w:rsidRPr="00B4658B" w:rsidRDefault="00B35EE7" w:rsidP="00B4658B">
            <w:pPr>
              <w:suppressAutoHyphens/>
              <w:spacing w:before="81" w:after="81" w:line="160" w:lineRule="exact"/>
              <w:ind w:right="43"/>
              <w:jc w:val="right"/>
              <w:rPr>
                <w:i/>
                <w:sz w:val="14"/>
              </w:rPr>
            </w:pPr>
            <w:r w:rsidRPr="00B4658B">
              <w:rPr>
                <w:i/>
                <w:sz w:val="14"/>
              </w:rPr>
              <w:t>2011</w:t>
            </w:r>
          </w:p>
        </w:tc>
        <w:tc>
          <w:tcPr>
            <w:tcW w:w="660" w:type="dxa"/>
            <w:tcBorders>
              <w:top w:val="single" w:sz="4" w:space="0" w:color="auto"/>
              <w:bottom w:val="single" w:sz="12" w:space="0" w:color="auto"/>
            </w:tcBorders>
            <w:shd w:val="clear" w:color="auto" w:fill="auto"/>
            <w:noWrap/>
            <w:vAlign w:val="bottom"/>
          </w:tcPr>
          <w:p w14:paraId="48CD254B" w14:textId="77777777" w:rsidR="00B35EE7" w:rsidRPr="00B4658B" w:rsidRDefault="00B35EE7" w:rsidP="00B4658B">
            <w:pPr>
              <w:suppressAutoHyphens/>
              <w:spacing w:before="81" w:after="81" w:line="160" w:lineRule="exact"/>
              <w:ind w:right="43"/>
              <w:jc w:val="right"/>
              <w:rPr>
                <w:i/>
                <w:sz w:val="14"/>
              </w:rPr>
            </w:pPr>
            <w:r w:rsidRPr="00B4658B">
              <w:rPr>
                <w:i/>
                <w:sz w:val="14"/>
              </w:rPr>
              <w:t>2012</w:t>
            </w:r>
          </w:p>
        </w:tc>
        <w:tc>
          <w:tcPr>
            <w:tcW w:w="660" w:type="dxa"/>
            <w:tcBorders>
              <w:top w:val="single" w:sz="4" w:space="0" w:color="auto"/>
              <w:bottom w:val="single" w:sz="12" w:space="0" w:color="auto"/>
            </w:tcBorders>
            <w:shd w:val="clear" w:color="auto" w:fill="auto"/>
            <w:noWrap/>
            <w:vAlign w:val="bottom"/>
          </w:tcPr>
          <w:p w14:paraId="011C8564" w14:textId="77777777" w:rsidR="00B35EE7" w:rsidRPr="00B4658B" w:rsidRDefault="00B35EE7" w:rsidP="00B4658B">
            <w:pPr>
              <w:suppressAutoHyphens/>
              <w:spacing w:before="81" w:after="81" w:line="160" w:lineRule="exact"/>
              <w:ind w:right="43"/>
              <w:jc w:val="right"/>
              <w:rPr>
                <w:i/>
                <w:sz w:val="14"/>
              </w:rPr>
            </w:pPr>
            <w:r w:rsidRPr="00B4658B">
              <w:rPr>
                <w:i/>
                <w:sz w:val="14"/>
              </w:rPr>
              <w:t>2013</w:t>
            </w:r>
          </w:p>
        </w:tc>
        <w:tc>
          <w:tcPr>
            <w:tcW w:w="660" w:type="dxa"/>
            <w:tcBorders>
              <w:top w:val="single" w:sz="4" w:space="0" w:color="auto"/>
              <w:bottom w:val="single" w:sz="12" w:space="0" w:color="auto"/>
            </w:tcBorders>
            <w:shd w:val="clear" w:color="auto" w:fill="auto"/>
            <w:noWrap/>
            <w:vAlign w:val="bottom"/>
          </w:tcPr>
          <w:p w14:paraId="3E360A52" w14:textId="77777777" w:rsidR="00B35EE7" w:rsidRPr="00B4658B" w:rsidRDefault="00B35EE7" w:rsidP="00B4658B">
            <w:pPr>
              <w:suppressAutoHyphens/>
              <w:spacing w:before="81" w:after="81" w:line="160" w:lineRule="exact"/>
              <w:ind w:right="43"/>
              <w:jc w:val="right"/>
              <w:rPr>
                <w:i/>
                <w:sz w:val="14"/>
              </w:rPr>
            </w:pPr>
            <w:r w:rsidRPr="00B4658B">
              <w:rPr>
                <w:i/>
                <w:sz w:val="14"/>
              </w:rPr>
              <w:t>2014</w:t>
            </w:r>
          </w:p>
        </w:tc>
        <w:tc>
          <w:tcPr>
            <w:tcW w:w="660" w:type="dxa"/>
            <w:tcBorders>
              <w:top w:val="single" w:sz="4" w:space="0" w:color="auto"/>
              <w:bottom w:val="single" w:sz="12" w:space="0" w:color="auto"/>
            </w:tcBorders>
            <w:shd w:val="clear" w:color="auto" w:fill="auto"/>
            <w:noWrap/>
            <w:vAlign w:val="bottom"/>
          </w:tcPr>
          <w:p w14:paraId="3A36C016" w14:textId="77777777" w:rsidR="00B35EE7" w:rsidRPr="00B4658B" w:rsidRDefault="00B35EE7" w:rsidP="00B4658B">
            <w:pPr>
              <w:suppressAutoHyphens/>
              <w:spacing w:before="81" w:after="81" w:line="160" w:lineRule="exact"/>
              <w:ind w:right="43"/>
              <w:jc w:val="right"/>
              <w:rPr>
                <w:i/>
                <w:sz w:val="14"/>
              </w:rPr>
            </w:pPr>
            <w:r w:rsidRPr="00B4658B">
              <w:rPr>
                <w:i/>
                <w:sz w:val="14"/>
              </w:rPr>
              <w:t>2015</w:t>
            </w:r>
          </w:p>
        </w:tc>
        <w:tc>
          <w:tcPr>
            <w:tcW w:w="660" w:type="dxa"/>
            <w:tcBorders>
              <w:top w:val="single" w:sz="4" w:space="0" w:color="auto"/>
              <w:bottom w:val="single" w:sz="12" w:space="0" w:color="auto"/>
            </w:tcBorders>
            <w:shd w:val="clear" w:color="auto" w:fill="auto"/>
            <w:noWrap/>
            <w:vAlign w:val="bottom"/>
          </w:tcPr>
          <w:p w14:paraId="6173D831" w14:textId="77777777" w:rsidR="00B35EE7" w:rsidRPr="00B4658B" w:rsidRDefault="00B35EE7" w:rsidP="00B4658B">
            <w:pPr>
              <w:suppressAutoHyphens/>
              <w:spacing w:before="81" w:after="81" w:line="160" w:lineRule="exact"/>
              <w:ind w:right="43"/>
              <w:jc w:val="right"/>
              <w:rPr>
                <w:i/>
                <w:sz w:val="14"/>
              </w:rPr>
            </w:pPr>
            <w:r w:rsidRPr="00B4658B">
              <w:rPr>
                <w:i/>
                <w:sz w:val="14"/>
              </w:rPr>
              <w:t>2016</w:t>
            </w:r>
          </w:p>
        </w:tc>
        <w:tc>
          <w:tcPr>
            <w:tcW w:w="660" w:type="dxa"/>
            <w:tcBorders>
              <w:top w:val="single" w:sz="4" w:space="0" w:color="auto"/>
              <w:bottom w:val="single" w:sz="12" w:space="0" w:color="auto"/>
            </w:tcBorders>
            <w:shd w:val="clear" w:color="auto" w:fill="auto"/>
            <w:noWrap/>
            <w:vAlign w:val="bottom"/>
          </w:tcPr>
          <w:p w14:paraId="3439C597" w14:textId="77777777" w:rsidR="00B35EE7" w:rsidRPr="00B4658B" w:rsidRDefault="00B35EE7" w:rsidP="00B4658B">
            <w:pPr>
              <w:suppressAutoHyphens/>
              <w:spacing w:before="81" w:after="81" w:line="160" w:lineRule="exact"/>
              <w:ind w:right="43"/>
              <w:jc w:val="right"/>
              <w:rPr>
                <w:i/>
                <w:sz w:val="14"/>
              </w:rPr>
            </w:pPr>
            <w:r w:rsidRPr="00B4658B">
              <w:rPr>
                <w:i/>
                <w:sz w:val="14"/>
              </w:rPr>
              <w:t>2017</w:t>
            </w:r>
          </w:p>
        </w:tc>
      </w:tr>
      <w:tr w:rsidR="00B4658B" w:rsidRPr="00B4658B" w14:paraId="3B81D007" w14:textId="77777777" w:rsidTr="00B4658B">
        <w:trPr>
          <w:cantSplit/>
          <w:trHeight w:hRule="exact" w:val="115"/>
          <w:tblHeader/>
          <w:jc w:val="center"/>
        </w:trPr>
        <w:tc>
          <w:tcPr>
            <w:tcW w:w="2700" w:type="dxa"/>
            <w:tcBorders>
              <w:top w:val="single" w:sz="12" w:space="0" w:color="auto"/>
            </w:tcBorders>
            <w:shd w:val="clear" w:color="auto" w:fill="auto"/>
            <w:noWrap/>
            <w:vAlign w:val="bottom"/>
          </w:tcPr>
          <w:p w14:paraId="5099CBE2" w14:textId="77777777" w:rsidR="00B4658B" w:rsidRPr="00B4658B" w:rsidRDefault="00B4658B" w:rsidP="00B4658B">
            <w:pPr>
              <w:suppressAutoHyphens/>
              <w:spacing w:before="40" w:after="40" w:line="210" w:lineRule="exact"/>
              <w:ind w:right="40"/>
              <w:rPr>
                <w:sz w:val="17"/>
              </w:rPr>
            </w:pPr>
          </w:p>
        </w:tc>
        <w:tc>
          <w:tcPr>
            <w:tcW w:w="660" w:type="dxa"/>
            <w:tcBorders>
              <w:top w:val="single" w:sz="12" w:space="0" w:color="auto"/>
            </w:tcBorders>
            <w:shd w:val="clear" w:color="auto" w:fill="auto"/>
            <w:noWrap/>
            <w:vAlign w:val="bottom"/>
          </w:tcPr>
          <w:p w14:paraId="372F83C1" w14:textId="77777777" w:rsidR="00B4658B" w:rsidRPr="00B4658B" w:rsidRDefault="00B4658B" w:rsidP="00B4658B">
            <w:pPr>
              <w:suppressAutoHyphens/>
              <w:spacing w:before="40" w:after="40" w:line="210" w:lineRule="exact"/>
              <w:ind w:right="43"/>
              <w:jc w:val="right"/>
              <w:rPr>
                <w:sz w:val="17"/>
              </w:rPr>
            </w:pPr>
          </w:p>
        </w:tc>
        <w:tc>
          <w:tcPr>
            <w:tcW w:w="660" w:type="dxa"/>
            <w:tcBorders>
              <w:top w:val="single" w:sz="12" w:space="0" w:color="auto"/>
            </w:tcBorders>
            <w:shd w:val="clear" w:color="auto" w:fill="auto"/>
            <w:noWrap/>
            <w:vAlign w:val="bottom"/>
          </w:tcPr>
          <w:p w14:paraId="34DE571C" w14:textId="77777777" w:rsidR="00B4658B" w:rsidRPr="00B4658B" w:rsidRDefault="00B4658B" w:rsidP="00B4658B">
            <w:pPr>
              <w:suppressAutoHyphens/>
              <w:spacing w:before="40" w:after="40" w:line="210" w:lineRule="exact"/>
              <w:ind w:right="43"/>
              <w:jc w:val="right"/>
              <w:rPr>
                <w:sz w:val="17"/>
              </w:rPr>
            </w:pPr>
          </w:p>
        </w:tc>
        <w:tc>
          <w:tcPr>
            <w:tcW w:w="660" w:type="dxa"/>
            <w:tcBorders>
              <w:top w:val="single" w:sz="12" w:space="0" w:color="auto"/>
            </w:tcBorders>
            <w:shd w:val="clear" w:color="auto" w:fill="auto"/>
            <w:noWrap/>
            <w:vAlign w:val="bottom"/>
          </w:tcPr>
          <w:p w14:paraId="50C09866" w14:textId="77777777" w:rsidR="00B4658B" w:rsidRPr="00B4658B" w:rsidRDefault="00B4658B" w:rsidP="00B4658B">
            <w:pPr>
              <w:suppressAutoHyphens/>
              <w:spacing w:before="40" w:after="40" w:line="210" w:lineRule="exact"/>
              <w:ind w:right="43"/>
              <w:jc w:val="right"/>
              <w:rPr>
                <w:sz w:val="17"/>
              </w:rPr>
            </w:pPr>
          </w:p>
        </w:tc>
        <w:tc>
          <w:tcPr>
            <w:tcW w:w="660" w:type="dxa"/>
            <w:tcBorders>
              <w:top w:val="single" w:sz="12" w:space="0" w:color="auto"/>
            </w:tcBorders>
            <w:shd w:val="clear" w:color="auto" w:fill="auto"/>
            <w:noWrap/>
            <w:vAlign w:val="bottom"/>
          </w:tcPr>
          <w:p w14:paraId="07A368FC" w14:textId="77777777" w:rsidR="00B4658B" w:rsidRPr="00B4658B" w:rsidRDefault="00B4658B" w:rsidP="00B4658B">
            <w:pPr>
              <w:suppressAutoHyphens/>
              <w:spacing w:before="40" w:after="40" w:line="210" w:lineRule="exact"/>
              <w:ind w:right="43"/>
              <w:jc w:val="right"/>
              <w:rPr>
                <w:sz w:val="17"/>
              </w:rPr>
            </w:pPr>
          </w:p>
        </w:tc>
        <w:tc>
          <w:tcPr>
            <w:tcW w:w="660" w:type="dxa"/>
            <w:tcBorders>
              <w:top w:val="single" w:sz="12" w:space="0" w:color="auto"/>
            </w:tcBorders>
            <w:shd w:val="clear" w:color="auto" w:fill="auto"/>
            <w:noWrap/>
            <w:vAlign w:val="bottom"/>
          </w:tcPr>
          <w:p w14:paraId="22FF3C8D" w14:textId="77777777" w:rsidR="00B4658B" w:rsidRPr="00B4658B" w:rsidRDefault="00B4658B" w:rsidP="00B4658B">
            <w:pPr>
              <w:suppressAutoHyphens/>
              <w:spacing w:before="40" w:after="40" w:line="210" w:lineRule="exact"/>
              <w:ind w:right="43"/>
              <w:jc w:val="right"/>
              <w:rPr>
                <w:sz w:val="17"/>
              </w:rPr>
            </w:pPr>
          </w:p>
        </w:tc>
        <w:tc>
          <w:tcPr>
            <w:tcW w:w="660" w:type="dxa"/>
            <w:tcBorders>
              <w:top w:val="single" w:sz="12" w:space="0" w:color="auto"/>
            </w:tcBorders>
            <w:shd w:val="clear" w:color="auto" w:fill="auto"/>
            <w:noWrap/>
            <w:vAlign w:val="bottom"/>
          </w:tcPr>
          <w:p w14:paraId="34C2BF1F" w14:textId="77777777" w:rsidR="00B4658B" w:rsidRPr="00B4658B" w:rsidRDefault="00B4658B" w:rsidP="00B4658B">
            <w:pPr>
              <w:suppressAutoHyphens/>
              <w:spacing w:before="40" w:after="40" w:line="210" w:lineRule="exact"/>
              <w:ind w:right="43"/>
              <w:jc w:val="right"/>
              <w:rPr>
                <w:sz w:val="17"/>
              </w:rPr>
            </w:pPr>
          </w:p>
        </w:tc>
        <w:tc>
          <w:tcPr>
            <w:tcW w:w="660" w:type="dxa"/>
            <w:tcBorders>
              <w:top w:val="single" w:sz="12" w:space="0" w:color="auto"/>
            </w:tcBorders>
            <w:shd w:val="clear" w:color="auto" w:fill="auto"/>
            <w:noWrap/>
            <w:vAlign w:val="bottom"/>
          </w:tcPr>
          <w:p w14:paraId="2E2AD032" w14:textId="77777777" w:rsidR="00B4658B" w:rsidRPr="00B4658B" w:rsidRDefault="00B4658B" w:rsidP="00B4658B">
            <w:pPr>
              <w:suppressAutoHyphens/>
              <w:spacing w:before="40" w:after="40" w:line="210" w:lineRule="exact"/>
              <w:ind w:right="43"/>
              <w:jc w:val="right"/>
              <w:rPr>
                <w:sz w:val="17"/>
              </w:rPr>
            </w:pPr>
          </w:p>
        </w:tc>
      </w:tr>
      <w:tr w:rsidR="00B4658B" w:rsidRPr="00B4658B" w14:paraId="1E19DACD" w14:textId="77777777" w:rsidTr="00B4658B">
        <w:trPr>
          <w:cantSplit/>
          <w:jc w:val="center"/>
        </w:trPr>
        <w:tc>
          <w:tcPr>
            <w:tcW w:w="2700" w:type="dxa"/>
            <w:tcBorders>
              <w:bottom w:val="single" w:sz="12" w:space="0" w:color="auto"/>
            </w:tcBorders>
            <w:shd w:val="clear" w:color="auto" w:fill="auto"/>
            <w:noWrap/>
            <w:vAlign w:val="bottom"/>
          </w:tcPr>
          <w:p w14:paraId="5B4D1BDB" w14:textId="77777777" w:rsidR="00B35EE7" w:rsidRPr="00B4658B" w:rsidRDefault="00B35EE7" w:rsidP="00B4658B">
            <w:pPr>
              <w:tabs>
                <w:tab w:val="left" w:pos="288"/>
                <w:tab w:val="left" w:pos="576"/>
                <w:tab w:val="left" w:pos="864"/>
                <w:tab w:val="left" w:pos="1152"/>
              </w:tabs>
              <w:suppressAutoHyphens/>
              <w:spacing w:before="40" w:after="40" w:line="210" w:lineRule="exact"/>
              <w:ind w:right="40"/>
              <w:rPr>
                <w:sz w:val="17"/>
              </w:rPr>
            </w:pPr>
            <w:r w:rsidRPr="00B4658B">
              <w:rPr>
                <w:sz w:val="17"/>
              </w:rPr>
              <w:t>Nombre totale de femmes victimes</w:t>
            </w:r>
          </w:p>
        </w:tc>
        <w:tc>
          <w:tcPr>
            <w:tcW w:w="660" w:type="dxa"/>
            <w:tcBorders>
              <w:bottom w:val="single" w:sz="12" w:space="0" w:color="auto"/>
            </w:tcBorders>
            <w:shd w:val="clear" w:color="auto" w:fill="auto"/>
            <w:noWrap/>
            <w:vAlign w:val="bottom"/>
          </w:tcPr>
          <w:p w14:paraId="38328770" w14:textId="77777777" w:rsidR="00B35EE7" w:rsidRPr="00B4658B" w:rsidRDefault="00B35EE7" w:rsidP="00B4658B">
            <w:pPr>
              <w:tabs>
                <w:tab w:val="left" w:pos="288"/>
                <w:tab w:val="left" w:pos="576"/>
                <w:tab w:val="left" w:pos="864"/>
                <w:tab w:val="left" w:pos="1152"/>
              </w:tabs>
              <w:suppressAutoHyphens/>
              <w:spacing w:before="40" w:after="40" w:line="210" w:lineRule="exact"/>
              <w:ind w:right="43"/>
              <w:jc w:val="right"/>
              <w:rPr>
                <w:sz w:val="17"/>
              </w:rPr>
            </w:pPr>
            <w:r w:rsidRPr="00B4658B">
              <w:rPr>
                <w:sz w:val="17"/>
              </w:rPr>
              <w:t>1 086</w:t>
            </w:r>
          </w:p>
        </w:tc>
        <w:tc>
          <w:tcPr>
            <w:tcW w:w="660" w:type="dxa"/>
            <w:tcBorders>
              <w:bottom w:val="single" w:sz="12" w:space="0" w:color="auto"/>
            </w:tcBorders>
            <w:shd w:val="clear" w:color="auto" w:fill="auto"/>
            <w:noWrap/>
            <w:vAlign w:val="bottom"/>
          </w:tcPr>
          <w:p w14:paraId="0582963A" w14:textId="77777777" w:rsidR="00B35EE7" w:rsidRPr="00B4658B" w:rsidRDefault="00B35EE7" w:rsidP="00B4658B">
            <w:pPr>
              <w:tabs>
                <w:tab w:val="left" w:pos="288"/>
                <w:tab w:val="left" w:pos="576"/>
                <w:tab w:val="left" w:pos="864"/>
                <w:tab w:val="left" w:pos="1152"/>
              </w:tabs>
              <w:suppressAutoHyphens/>
              <w:spacing w:before="40" w:after="40" w:line="210" w:lineRule="exact"/>
              <w:ind w:right="43"/>
              <w:jc w:val="right"/>
              <w:rPr>
                <w:sz w:val="17"/>
              </w:rPr>
            </w:pPr>
            <w:r w:rsidRPr="00B4658B">
              <w:rPr>
                <w:sz w:val="17"/>
              </w:rPr>
              <w:t>1 245</w:t>
            </w:r>
          </w:p>
        </w:tc>
        <w:tc>
          <w:tcPr>
            <w:tcW w:w="660" w:type="dxa"/>
            <w:tcBorders>
              <w:bottom w:val="single" w:sz="12" w:space="0" w:color="auto"/>
            </w:tcBorders>
            <w:shd w:val="clear" w:color="auto" w:fill="auto"/>
            <w:noWrap/>
            <w:vAlign w:val="bottom"/>
          </w:tcPr>
          <w:p w14:paraId="7DC9EDEF" w14:textId="77777777" w:rsidR="00B35EE7" w:rsidRPr="00B4658B" w:rsidRDefault="00B35EE7" w:rsidP="00B4658B">
            <w:pPr>
              <w:tabs>
                <w:tab w:val="left" w:pos="288"/>
                <w:tab w:val="left" w:pos="576"/>
                <w:tab w:val="left" w:pos="864"/>
                <w:tab w:val="left" w:pos="1152"/>
              </w:tabs>
              <w:suppressAutoHyphens/>
              <w:spacing w:before="40" w:after="40" w:line="210" w:lineRule="exact"/>
              <w:ind w:right="43"/>
              <w:jc w:val="right"/>
              <w:rPr>
                <w:sz w:val="17"/>
              </w:rPr>
            </w:pPr>
            <w:r w:rsidRPr="00B4658B">
              <w:rPr>
                <w:sz w:val="17"/>
              </w:rPr>
              <w:t xml:space="preserve"> 1 286</w:t>
            </w:r>
          </w:p>
        </w:tc>
        <w:tc>
          <w:tcPr>
            <w:tcW w:w="660" w:type="dxa"/>
            <w:tcBorders>
              <w:bottom w:val="single" w:sz="12" w:space="0" w:color="auto"/>
            </w:tcBorders>
            <w:shd w:val="clear" w:color="auto" w:fill="auto"/>
            <w:noWrap/>
            <w:vAlign w:val="bottom"/>
          </w:tcPr>
          <w:p w14:paraId="46B9D2E0" w14:textId="77777777" w:rsidR="00B35EE7" w:rsidRPr="00B4658B" w:rsidRDefault="00B35EE7" w:rsidP="00B4658B">
            <w:pPr>
              <w:tabs>
                <w:tab w:val="left" w:pos="288"/>
                <w:tab w:val="left" w:pos="576"/>
                <w:tab w:val="left" w:pos="864"/>
                <w:tab w:val="left" w:pos="1152"/>
              </w:tabs>
              <w:suppressAutoHyphens/>
              <w:spacing w:before="40" w:after="40" w:line="210" w:lineRule="exact"/>
              <w:ind w:right="43"/>
              <w:jc w:val="right"/>
              <w:rPr>
                <w:sz w:val="17"/>
              </w:rPr>
            </w:pPr>
            <w:r w:rsidRPr="00B4658B">
              <w:rPr>
                <w:sz w:val="17"/>
              </w:rPr>
              <w:t xml:space="preserve"> 1 161</w:t>
            </w:r>
          </w:p>
        </w:tc>
        <w:tc>
          <w:tcPr>
            <w:tcW w:w="660" w:type="dxa"/>
            <w:tcBorders>
              <w:bottom w:val="single" w:sz="12" w:space="0" w:color="auto"/>
            </w:tcBorders>
            <w:shd w:val="clear" w:color="auto" w:fill="auto"/>
            <w:noWrap/>
            <w:vAlign w:val="bottom"/>
          </w:tcPr>
          <w:p w14:paraId="61DBA853" w14:textId="77777777" w:rsidR="00B35EE7" w:rsidRPr="00B4658B" w:rsidRDefault="00B35EE7" w:rsidP="00B4658B">
            <w:pPr>
              <w:tabs>
                <w:tab w:val="left" w:pos="288"/>
                <w:tab w:val="left" w:pos="576"/>
                <w:tab w:val="left" w:pos="864"/>
                <w:tab w:val="left" w:pos="1152"/>
              </w:tabs>
              <w:suppressAutoHyphens/>
              <w:spacing w:before="40" w:after="40" w:line="210" w:lineRule="exact"/>
              <w:ind w:right="43"/>
              <w:jc w:val="right"/>
              <w:rPr>
                <w:sz w:val="17"/>
              </w:rPr>
            </w:pPr>
            <w:r w:rsidRPr="00B4658B">
              <w:rPr>
                <w:sz w:val="17"/>
              </w:rPr>
              <w:t>1 022</w:t>
            </w:r>
          </w:p>
        </w:tc>
        <w:tc>
          <w:tcPr>
            <w:tcW w:w="660" w:type="dxa"/>
            <w:tcBorders>
              <w:bottom w:val="single" w:sz="12" w:space="0" w:color="auto"/>
            </w:tcBorders>
            <w:shd w:val="clear" w:color="auto" w:fill="auto"/>
            <w:noWrap/>
            <w:vAlign w:val="bottom"/>
          </w:tcPr>
          <w:p w14:paraId="42D566E6" w14:textId="77777777" w:rsidR="00B35EE7" w:rsidRPr="00B4658B" w:rsidRDefault="00B35EE7" w:rsidP="00B4658B">
            <w:pPr>
              <w:tabs>
                <w:tab w:val="left" w:pos="288"/>
                <w:tab w:val="left" w:pos="576"/>
                <w:tab w:val="left" w:pos="864"/>
                <w:tab w:val="left" w:pos="1152"/>
              </w:tabs>
              <w:suppressAutoHyphens/>
              <w:spacing w:before="40" w:after="40" w:line="210" w:lineRule="exact"/>
              <w:ind w:right="43"/>
              <w:jc w:val="right"/>
              <w:rPr>
                <w:sz w:val="17"/>
              </w:rPr>
            </w:pPr>
            <w:r w:rsidRPr="00B4658B">
              <w:rPr>
                <w:sz w:val="17"/>
              </w:rPr>
              <w:t>1 093</w:t>
            </w:r>
          </w:p>
        </w:tc>
        <w:tc>
          <w:tcPr>
            <w:tcW w:w="660" w:type="dxa"/>
            <w:tcBorders>
              <w:bottom w:val="single" w:sz="12" w:space="0" w:color="auto"/>
            </w:tcBorders>
            <w:shd w:val="clear" w:color="auto" w:fill="auto"/>
            <w:noWrap/>
            <w:vAlign w:val="bottom"/>
          </w:tcPr>
          <w:p w14:paraId="0FD94ADE" w14:textId="77777777" w:rsidR="00B35EE7" w:rsidRPr="00B4658B" w:rsidRDefault="00B35EE7" w:rsidP="00B4658B">
            <w:pPr>
              <w:tabs>
                <w:tab w:val="left" w:pos="288"/>
                <w:tab w:val="left" w:pos="576"/>
                <w:tab w:val="left" w:pos="864"/>
                <w:tab w:val="left" w:pos="1152"/>
              </w:tabs>
              <w:suppressAutoHyphens/>
              <w:spacing w:before="40" w:after="40" w:line="210" w:lineRule="exact"/>
              <w:ind w:right="43"/>
              <w:jc w:val="right"/>
              <w:rPr>
                <w:sz w:val="17"/>
              </w:rPr>
            </w:pPr>
            <w:r w:rsidRPr="00B4658B">
              <w:rPr>
                <w:sz w:val="17"/>
              </w:rPr>
              <w:t>1 114</w:t>
            </w:r>
          </w:p>
        </w:tc>
      </w:tr>
    </w:tbl>
    <w:p w14:paraId="18964119" w14:textId="41A1F9A1" w:rsidR="00B35EE7" w:rsidRPr="00B4658B" w:rsidRDefault="00B35EE7" w:rsidP="00B4658B">
      <w:pPr>
        <w:pStyle w:val="SingleTxt"/>
        <w:spacing w:after="0" w:line="120" w:lineRule="exact"/>
        <w:rPr>
          <w:sz w:val="10"/>
          <w:lang w:val="fr-FR"/>
        </w:rPr>
      </w:pPr>
    </w:p>
    <w:p w14:paraId="54CFD5D5" w14:textId="09D05C1B" w:rsidR="00B35EE7" w:rsidRDefault="00B35EE7" w:rsidP="00456FC2">
      <w:pPr>
        <w:pStyle w:val="FootnoteText"/>
        <w:tabs>
          <w:tab w:val="right" w:pos="1476"/>
          <w:tab w:val="left" w:pos="1548"/>
          <w:tab w:val="right" w:pos="1836"/>
          <w:tab w:val="left" w:pos="1908"/>
        </w:tabs>
        <w:ind w:left="1548" w:right="1267" w:hanging="288"/>
        <w:rPr>
          <w:lang w:val="fr-FR"/>
        </w:rPr>
      </w:pPr>
      <w:r w:rsidRPr="00F1794C">
        <w:rPr>
          <w:lang w:val="fr-FR"/>
        </w:rPr>
        <w:t>Source</w:t>
      </w:r>
      <w:r w:rsidR="00F1794C" w:rsidRPr="00F1794C">
        <w:rPr>
          <w:lang w:val="fr-FR"/>
        </w:rPr>
        <w:t> :</w:t>
      </w:r>
      <w:r w:rsidRPr="00F1794C">
        <w:rPr>
          <w:lang w:val="fr-FR"/>
        </w:rPr>
        <w:t xml:space="preserve"> Direction générale de la Sûreté nationale</w:t>
      </w:r>
      <w:r w:rsidR="00C94495">
        <w:rPr>
          <w:lang w:val="fr-FR"/>
        </w:rPr>
        <w:t>.</w:t>
      </w:r>
    </w:p>
    <w:p w14:paraId="66384860" w14:textId="183D7F04" w:rsidR="00456FC2" w:rsidRPr="00456FC2" w:rsidRDefault="00456FC2" w:rsidP="00456FC2">
      <w:pPr>
        <w:pStyle w:val="FootnoteText"/>
        <w:tabs>
          <w:tab w:val="right" w:pos="1476"/>
          <w:tab w:val="left" w:pos="1548"/>
          <w:tab w:val="right" w:pos="1836"/>
          <w:tab w:val="left" w:pos="1908"/>
        </w:tabs>
        <w:spacing w:line="120" w:lineRule="exact"/>
        <w:ind w:left="1548" w:right="1267" w:hanging="288"/>
        <w:rPr>
          <w:sz w:val="10"/>
          <w:lang w:val="fr-FR"/>
        </w:rPr>
      </w:pPr>
    </w:p>
    <w:p w14:paraId="0A3E84C3" w14:textId="1B77EB2F" w:rsidR="00456FC2" w:rsidRPr="00456FC2" w:rsidRDefault="00456FC2" w:rsidP="00456FC2">
      <w:pPr>
        <w:pStyle w:val="FootnoteText"/>
        <w:tabs>
          <w:tab w:val="right" w:pos="1476"/>
          <w:tab w:val="left" w:pos="1548"/>
          <w:tab w:val="right" w:pos="1836"/>
          <w:tab w:val="left" w:pos="1908"/>
        </w:tabs>
        <w:spacing w:line="120" w:lineRule="exact"/>
        <w:ind w:left="1548" w:right="1267" w:hanging="288"/>
        <w:rPr>
          <w:sz w:val="10"/>
          <w:lang w:val="fr-FR"/>
        </w:rPr>
      </w:pPr>
    </w:p>
    <w:p w14:paraId="444B1D01" w14:textId="5AC57AAD" w:rsidR="00B35EE7" w:rsidRPr="00F1794C" w:rsidRDefault="00B35EE7" w:rsidP="00456FC2">
      <w:pPr>
        <w:pStyle w:val="SingleTxt"/>
        <w:numPr>
          <w:ilvl w:val="0"/>
          <w:numId w:val="50"/>
        </w:numPr>
        <w:rPr>
          <w:lang w:val="fr-FR"/>
        </w:rPr>
      </w:pPr>
      <w:r w:rsidRPr="00F1794C">
        <w:rPr>
          <w:lang w:val="fr-FR"/>
        </w:rPr>
        <w:t>En ce qui concerne la lutte contre la traite des êtres humains, la présidence du Ministère public a pris les mesures suivantes</w:t>
      </w:r>
      <w:r w:rsidR="00F1794C" w:rsidRPr="00F1794C">
        <w:rPr>
          <w:lang w:val="fr-FR"/>
        </w:rPr>
        <w:t> :</w:t>
      </w:r>
    </w:p>
    <w:p w14:paraId="10A48AEE" w14:textId="717A580C" w:rsidR="00B35EE7" w:rsidRPr="00456FC2" w:rsidRDefault="00456FC2" w:rsidP="00456FC2">
      <w:pPr>
        <w:pStyle w:val="SingleTxt"/>
        <w:tabs>
          <w:tab w:val="right" w:pos="1685"/>
        </w:tabs>
        <w:ind w:left="1742" w:hanging="475"/>
        <w:rPr>
          <w:lang w:val="fr-FR"/>
        </w:rPr>
      </w:pPr>
      <w:r>
        <w:rPr>
          <w:lang w:val="fr-FR"/>
        </w:rPr>
        <w:tab/>
        <w:t>•</w:t>
      </w:r>
      <w:r>
        <w:rPr>
          <w:lang w:val="fr-FR"/>
        </w:rPr>
        <w:tab/>
      </w:r>
      <w:r w:rsidR="00B35EE7" w:rsidRPr="00456FC2">
        <w:rPr>
          <w:lang w:val="fr-FR"/>
        </w:rPr>
        <w:t>Analyse de la situation concernant la traite des êtres humains au Maroc à l</w:t>
      </w:r>
      <w:r w:rsidR="00F1794C" w:rsidRPr="00456FC2">
        <w:rPr>
          <w:lang w:val="fr-FR"/>
        </w:rPr>
        <w:t>’</w:t>
      </w:r>
      <w:r w:rsidR="00B35EE7" w:rsidRPr="00456FC2">
        <w:rPr>
          <w:lang w:val="fr-FR"/>
        </w:rPr>
        <w:t>issue de laquelle il a été recommandé de mettre en place des mesures de répression conformes aux instruments internationaux et des mesures de prévention de la traite des êtres humains et de nouer des partenariats sur les plans national et international</w:t>
      </w:r>
      <w:r w:rsidR="00F1794C" w:rsidRPr="00456FC2">
        <w:rPr>
          <w:lang w:val="fr-FR"/>
        </w:rPr>
        <w:t> ;</w:t>
      </w:r>
    </w:p>
    <w:p w14:paraId="13727E97" w14:textId="7D90C528" w:rsidR="00B35EE7" w:rsidRPr="00456FC2" w:rsidRDefault="00456FC2" w:rsidP="00456FC2">
      <w:pPr>
        <w:pStyle w:val="SingleTxt"/>
        <w:tabs>
          <w:tab w:val="right" w:pos="1685"/>
        </w:tabs>
        <w:ind w:left="1742" w:hanging="475"/>
        <w:rPr>
          <w:lang w:val="fr-FR"/>
        </w:rPr>
      </w:pPr>
      <w:r>
        <w:rPr>
          <w:lang w:val="fr-FR"/>
        </w:rPr>
        <w:tab/>
        <w:t>•</w:t>
      </w:r>
      <w:r>
        <w:rPr>
          <w:lang w:val="fr-FR"/>
        </w:rPr>
        <w:tab/>
      </w:r>
      <w:r w:rsidR="00B35EE7" w:rsidRPr="00456FC2">
        <w:rPr>
          <w:lang w:val="fr-FR"/>
        </w:rPr>
        <w:t>Circulaire n</w:t>
      </w:r>
      <w:r w:rsidR="00B35EE7" w:rsidRPr="00456FC2">
        <w:rPr>
          <w:vertAlign w:val="superscript"/>
          <w:lang w:val="fr-FR"/>
        </w:rPr>
        <w:t>o</w:t>
      </w:r>
      <w:r w:rsidR="00B35EE7" w:rsidRPr="00456FC2">
        <w:rPr>
          <w:lang w:val="fr-FR"/>
        </w:rPr>
        <w:t xml:space="preserve"> 32 </w:t>
      </w:r>
      <w:r w:rsidR="00B35EE7" w:rsidRPr="00456FC2">
        <w:rPr>
          <w:i/>
          <w:iCs/>
          <w:lang w:val="fr-FR"/>
        </w:rPr>
        <w:t>sin ra</w:t>
      </w:r>
      <w:r w:rsidR="00F1794C" w:rsidRPr="00456FC2">
        <w:rPr>
          <w:i/>
          <w:iCs/>
          <w:lang w:val="fr-FR"/>
        </w:rPr>
        <w:t>’</w:t>
      </w:r>
      <w:r w:rsidR="00B35EE7" w:rsidRPr="00456FC2">
        <w:rPr>
          <w:i/>
          <w:iCs/>
          <w:lang w:val="fr-FR"/>
        </w:rPr>
        <w:t xml:space="preserve"> nun alif</w:t>
      </w:r>
      <w:r w:rsidR="00B35EE7" w:rsidRPr="00456FC2">
        <w:rPr>
          <w:lang w:val="fr-FR"/>
        </w:rPr>
        <w:t xml:space="preserve"> (juillet 2018) relative aux dispositions juridiques concernant la protection des victimes de la traite des êtres humains adressée aux hauts magistrats du Ministère public</w:t>
      </w:r>
      <w:r w:rsidR="00F1794C" w:rsidRPr="00456FC2">
        <w:rPr>
          <w:lang w:val="fr-FR"/>
        </w:rPr>
        <w:t> ;</w:t>
      </w:r>
    </w:p>
    <w:p w14:paraId="2A6F2E30" w14:textId="35E89907" w:rsidR="00B35EE7" w:rsidRPr="00456FC2" w:rsidRDefault="00456FC2" w:rsidP="00456FC2">
      <w:pPr>
        <w:pStyle w:val="SingleTxt"/>
        <w:tabs>
          <w:tab w:val="right" w:pos="1685"/>
        </w:tabs>
        <w:ind w:left="1742" w:hanging="475"/>
        <w:rPr>
          <w:lang w:val="fr-FR"/>
        </w:rPr>
      </w:pPr>
      <w:r>
        <w:rPr>
          <w:lang w:val="fr-FR"/>
        </w:rPr>
        <w:tab/>
        <w:t>•</w:t>
      </w:r>
      <w:r>
        <w:rPr>
          <w:lang w:val="fr-FR"/>
        </w:rPr>
        <w:tab/>
      </w:r>
      <w:r w:rsidR="00B35EE7" w:rsidRPr="00456FC2">
        <w:rPr>
          <w:lang w:val="fr-FR"/>
        </w:rPr>
        <w:t>Lettre adressée en mars 2018 à toutes les juridictions d</w:t>
      </w:r>
      <w:r w:rsidR="00F1794C" w:rsidRPr="00456FC2">
        <w:rPr>
          <w:lang w:val="fr-FR"/>
        </w:rPr>
        <w:t>’</w:t>
      </w:r>
      <w:r w:rsidR="00B35EE7" w:rsidRPr="00456FC2">
        <w:rPr>
          <w:lang w:val="fr-FR"/>
        </w:rPr>
        <w:t>appel concernant la désignation des substituts du procureur du Roi chargés des affaires relatives à la traite des personnes et des adjoints devant suivre des formations dans ce domaine.</w:t>
      </w:r>
    </w:p>
    <w:p w14:paraId="75040B56" w14:textId="77777777" w:rsidR="00F85844" w:rsidRPr="00F85844" w:rsidRDefault="00F85844" w:rsidP="00F85844">
      <w:pPr>
        <w:pStyle w:val="SingleTxt"/>
        <w:spacing w:after="0" w:line="120" w:lineRule="exact"/>
        <w:rPr>
          <w:sz w:val="10"/>
          <w:lang w:val="fr-FR"/>
        </w:rPr>
      </w:pPr>
    </w:p>
    <w:p w14:paraId="45A9A593" w14:textId="2F8A6D70" w:rsidR="00F85844" w:rsidRDefault="00F85844" w:rsidP="00F85844">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lastRenderedPageBreak/>
        <w:tab/>
      </w:r>
      <w:r>
        <w:rPr>
          <w:lang w:val="fr-FR"/>
        </w:rPr>
        <w:tab/>
      </w:r>
      <w:r w:rsidR="00B35EE7" w:rsidRPr="00F1794C">
        <w:rPr>
          <w:lang w:val="fr-FR"/>
        </w:rPr>
        <w:t>Tableau 5</w:t>
      </w:r>
    </w:p>
    <w:p w14:paraId="064BBE49" w14:textId="341F3B75" w:rsidR="00B35EE7" w:rsidRPr="00F1794C" w:rsidRDefault="00F85844" w:rsidP="00F8584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B35EE7" w:rsidRPr="00F1794C">
        <w:rPr>
          <w:lang w:val="fr-FR"/>
        </w:rPr>
        <w:t>Nombre d</w:t>
      </w:r>
      <w:r w:rsidR="00F1794C" w:rsidRPr="00F1794C">
        <w:rPr>
          <w:lang w:val="fr-FR"/>
        </w:rPr>
        <w:t>’</w:t>
      </w:r>
      <w:r w:rsidR="00B35EE7" w:rsidRPr="00F1794C">
        <w:rPr>
          <w:lang w:val="fr-FR"/>
        </w:rPr>
        <w:t>affaires</w:t>
      </w:r>
    </w:p>
    <w:p w14:paraId="73E8B9CC" w14:textId="2D38C8A7" w:rsidR="00B35EE7" w:rsidRPr="00F85844" w:rsidRDefault="00B35EE7" w:rsidP="00F85844">
      <w:pPr>
        <w:pStyle w:val="SingleTxt"/>
        <w:spacing w:after="0" w:line="120" w:lineRule="exact"/>
        <w:rPr>
          <w:sz w:val="10"/>
          <w:lang w:val="fr-FR"/>
        </w:rPr>
      </w:pPr>
    </w:p>
    <w:p w14:paraId="76767DA4" w14:textId="3ABEE7A7" w:rsidR="00F85844" w:rsidRPr="00F85844" w:rsidRDefault="00F85844" w:rsidP="00F85844">
      <w:pPr>
        <w:pStyle w:val="SingleTxt"/>
        <w:spacing w:after="0" w:line="120" w:lineRule="exact"/>
        <w:rPr>
          <w:sz w:val="10"/>
          <w:lang w:val="fr-FR"/>
        </w:rPr>
      </w:pPr>
    </w:p>
    <w:tbl>
      <w:tblPr>
        <w:tblStyle w:val="Grilledutableau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50"/>
        <w:gridCol w:w="1410"/>
        <w:gridCol w:w="1830"/>
        <w:gridCol w:w="1830"/>
      </w:tblGrid>
      <w:tr w:rsidR="00372EF1" w:rsidRPr="00372EF1" w14:paraId="58682569" w14:textId="77777777" w:rsidTr="00372EF1">
        <w:trPr>
          <w:cantSplit/>
          <w:tblHeader/>
          <w:jc w:val="center"/>
        </w:trPr>
        <w:tc>
          <w:tcPr>
            <w:tcW w:w="2250" w:type="dxa"/>
            <w:tcBorders>
              <w:top w:val="single" w:sz="4" w:space="0" w:color="auto"/>
            </w:tcBorders>
            <w:shd w:val="clear" w:color="auto" w:fill="auto"/>
            <w:noWrap/>
            <w:vAlign w:val="bottom"/>
          </w:tcPr>
          <w:p w14:paraId="5A58E332" w14:textId="77777777" w:rsidR="00372EF1" w:rsidRPr="00372EF1" w:rsidRDefault="00372EF1" w:rsidP="00372EF1">
            <w:pPr>
              <w:suppressAutoHyphens/>
              <w:spacing w:before="81" w:after="81" w:line="160" w:lineRule="exact"/>
              <w:ind w:right="40"/>
              <w:rPr>
                <w:i/>
                <w:sz w:val="14"/>
              </w:rPr>
            </w:pPr>
          </w:p>
        </w:tc>
        <w:tc>
          <w:tcPr>
            <w:tcW w:w="1410" w:type="dxa"/>
            <w:tcBorders>
              <w:top w:val="single" w:sz="4" w:space="0" w:color="auto"/>
            </w:tcBorders>
            <w:shd w:val="clear" w:color="auto" w:fill="auto"/>
            <w:noWrap/>
            <w:vAlign w:val="bottom"/>
          </w:tcPr>
          <w:p w14:paraId="1F10D766" w14:textId="679CEFDC" w:rsidR="00372EF1" w:rsidRPr="00372EF1" w:rsidRDefault="00372EF1" w:rsidP="00372EF1">
            <w:pPr>
              <w:suppressAutoHyphens/>
              <w:spacing w:before="81" w:after="81" w:line="160" w:lineRule="exact"/>
              <w:ind w:right="43"/>
              <w:jc w:val="right"/>
              <w:rPr>
                <w:i/>
                <w:sz w:val="14"/>
              </w:rPr>
            </w:pPr>
          </w:p>
        </w:tc>
        <w:tc>
          <w:tcPr>
            <w:tcW w:w="3660" w:type="dxa"/>
            <w:gridSpan w:val="2"/>
            <w:tcBorders>
              <w:top w:val="single" w:sz="4" w:space="0" w:color="auto"/>
              <w:bottom w:val="single" w:sz="4" w:space="0" w:color="auto"/>
            </w:tcBorders>
            <w:shd w:val="clear" w:color="auto" w:fill="auto"/>
            <w:noWrap/>
            <w:vAlign w:val="bottom"/>
          </w:tcPr>
          <w:p w14:paraId="64241C8C" w14:textId="28393F79" w:rsidR="00372EF1" w:rsidRPr="00372EF1" w:rsidRDefault="00372EF1" w:rsidP="00372EF1">
            <w:pPr>
              <w:suppressAutoHyphens/>
              <w:spacing w:before="81" w:after="81" w:line="160" w:lineRule="exact"/>
              <w:ind w:right="43"/>
              <w:jc w:val="center"/>
              <w:rPr>
                <w:i/>
                <w:sz w:val="14"/>
              </w:rPr>
            </w:pPr>
            <w:r w:rsidRPr="00372EF1">
              <w:rPr>
                <w:i/>
                <w:sz w:val="14"/>
              </w:rPr>
              <w:t>Nombre de personnes ayant fait l’objet de poursuites</w:t>
            </w:r>
          </w:p>
        </w:tc>
      </w:tr>
      <w:tr w:rsidR="00B35EE7" w:rsidRPr="00372EF1" w14:paraId="168E1EE1" w14:textId="77777777" w:rsidTr="00372EF1">
        <w:trPr>
          <w:cantSplit/>
          <w:tblHeader/>
          <w:jc w:val="center"/>
        </w:trPr>
        <w:tc>
          <w:tcPr>
            <w:tcW w:w="2250" w:type="dxa"/>
            <w:tcBorders>
              <w:bottom w:val="single" w:sz="12" w:space="0" w:color="auto"/>
            </w:tcBorders>
            <w:shd w:val="clear" w:color="auto" w:fill="auto"/>
            <w:noWrap/>
            <w:vAlign w:val="bottom"/>
          </w:tcPr>
          <w:p w14:paraId="2E702555" w14:textId="77777777" w:rsidR="00B35EE7" w:rsidRPr="00372EF1" w:rsidRDefault="00B35EE7" w:rsidP="00372EF1">
            <w:pPr>
              <w:suppressAutoHyphens/>
              <w:spacing w:before="81" w:after="81" w:line="160" w:lineRule="exact"/>
              <w:ind w:right="40"/>
              <w:rPr>
                <w:i/>
                <w:sz w:val="14"/>
              </w:rPr>
            </w:pPr>
          </w:p>
        </w:tc>
        <w:tc>
          <w:tcPr>
            <w:tcW w:w="1410" w:type="dxa"/>
            <w:tcBorders>
              <w:bottom w:val="single" w:sz="12" w:space="0" w:color="auto"/>
            </w:tcBorders>
            <w:shd w:val="clear" w:color="auto" w:fill="auto"/>
            <w:noWrap/>
            <w:vAlign w:val="bottom"/>
          </w:tcPr>
          <w:p w14:paraId="1F54EED8" w14:textId="0AAAA630" w:rsidR="00B35EE7" w:rsidRPr="00372EF1" w:rsidRDefault="00372EF1" w:rsidP="00372EF1">
            <w:pPr>
              <w:suppressAutoHyphens/>
              <w:spacing w:before="81" w:after="81" w:line="160" w:lineRule="exact"/>
              <w:ind w:right="43"/>
              <w:jc w:val="right"/>
              <w:rPr>
                <w:i/>
                <w:sz w:val="14"/>
              </w:rPr>
            </w:pPr>
            <w:r w:rsidRPr="00372EF1">
              <w:rPr>
                <w:i/>
                <w:sz w:val="14"/>
              </w:rPr>
              <w:t>Nombre d’affaires</w:t>
            </w:r>
          </w:p>
        </w:tc>
        <w:tc>
          <w:tcPr>
            <w:tcW w:w="1830" w:type="dxa"/>
            <w:tcBorders>
              <w:top w:val="single" w:sz="4" w:space="0" w:color="auto"/>
              <w:bottom w:val="single" w:sz="12" w:space="0" w:color="auto"/>
            </w:tcBorders>
            <w:shd w:val="clear" w:color="auto" w:fill="auto"/>
            <w:noWrap/>
            <w:vAlign w:val="bottom"/>
          </w:tcPr>
          <w:p w14:paraId="185B9A74" w14:textId="77777777" w:rsidR="00B35EE7" w:rsidRPr="00372EF1" w:rsidRDefault="00B35EE7" w:rsidP="00372EF1">
            <w:pPr>
              <w:suppressAutoHyphens/>
              <w:spacing w:before="81" w:after="81" w:line="160" w:lineRule="exact"/>
              <w:ind w:right="43"/>
              <w:jc w:val="right"/>
              <w:rPr>
                <w:i/>
                <w:sz w:val="14"/>
              </w:rPr>
            </w:pPr>
            <w:r w:rsidRPr="00372EF1">
              <w:rPr>
                <w:i/>
                <w:sz w:val="14"/>
              </w:rPr>
              <w:t>Hommes ou garçons</w:t>
            </w:r>
          </w:p>
        </w:tc>
        <w:tc>
          <w:tcPr>
            <w:tcW w:w="1830" w:type="dxa"/>
            <w:tcBorders>
              <w:top w:val="single" w:sz="4" w:space="0" w:color="auto"/>
              <w:bottom w:val="single" w:sz="12" w:space="0" w:color="auto"/>
            </w:tcBorders>
            <w:shd w:val="clear" w:color="auto" w:fill="auto"/>
            <w:noWrap/>
            <w:vAlign w:val="bottom"/>
          </w:tcPr>
          <w:p w14:paraId="0D4120A5" w14:textId="77777777" w:rsidR="00B35EE7" w:rsidRPr="00372EF1" w:rsidRDefault="00B35EE7" w:rsidP="00372EF1">
            <w:pPr>
              <w:suppressAutoHyphens/>
              <w:spacing w:before="81" w:after="81" w:line="160" w:lineRule="exact"/>
              <w:ind w:right="43"/>
              <w:jc w:val="right"/>
              <w:rPr>
                <w:i/>
                <w:sz w:val="14"/>
              </w:rPr>
            </w:pPr>
            <w:r w:rsidRPr="00372EF1">
              <w:rPr>
                <w:i/>
                <w:sz w:val="14"/>
              </w:rPr>
              <w:t>Femmes ou filles</w:t>
            </w:r>
          </w:p>
        </w:tc>
      </w:tr>
      <w:tr w:rsidR="00372EF1" w:rsidRPr="00372EF1" w14:paraId="2131B2F1" w14:textId="77777777" w:rsidTr="00372EF1">
        <w:trPr>
          <w:cantSplit/>
          <w:trHeight w:hRule="exact" w:val="115"/>
          <w:tblHeader/>
          <w:jc w:val="center"/>
        </w:trPr>
        <w:tc>
          <w:tcPr>
            <w:tcW w:w="2250" w:type="dxa"/>
            <w:tcBorders>
              <w:top w:val="single" w:sz="12" w:space="0" w:color="auto"/>
            </w:tcBorders>
            <w:shd w:val="clear" w:color="auto" w:fill="auto"/>
            <w:noWrap/>
            <w:vAlign w:val="bottom"/>
          </w:tcPr>
          <w:p w14:paraId="5FCE10AC" w14:textId="77777777" w:rsidR="00372EF1" w:rsidRPr="00372EF1" w:rsidRDefault="00372EF1" w:rsidP="00372EF1">
            <w:pPr>
              <w:suppressAutoHyphens/>
              <w:spacing w:before="40" w:after="40" w:line="210" w:lineRule="exact"/>
              <w:ind w:right="40"/>
              <w:rPr>
                <w:sz w:val="17"/>
              </w:rPr>
            </w:pPr>
          </w:p>
        </w:tc>
        <w:tc>
          <w:tcPr>
            <w:tcW w:w="1410" w:type="dxa"/>
            <w:tcBorders>
              <w:top w:val="single" w:sz="12" w:space="0" w:color="auto"/>
            </w:tcBorders>
            <w:shd w:val="clear" w:color="auto" w:fill="auto"/>
            <w:noWrap/>
            <w:vAlign w:val="bottom"/>
          </w:tcPr>
          <w:p w14:paraId="7F62872C" w14:textId="77777777" w:rsidR="00372EF1" w:rsidRPr="00372EF1" w:rsidRDefault="00372EF1" w:rsidP="00372EF1">
            <w:pPr>
              <w:suppressAutoHyphens/>
              <w:spacing w:before="40" w:after="40" w:line="210" w:lineRule="exact"/>
              <w:ind w:right="43"/>
              <w:jc w:val="right"/>
              <w:rPr>
                <w:sz w:val="17"/>
              </w:rPr>
            </w:pPr>
          </w:p>
        </w:tc>
        <w:tc>
          <w:tcPr>
            <w:tcW w:w="1830" w:type="dxa"/>
            <w:tcBorders>
              <w:top w:val="single" w:sz="12" w:space="0" w:color="auto"/>
            </w:tcBorders>
            <w:shd w:val="clear" w:color="auto" w:fill="auto"/>
            <w:noWrap/>
            <w:vAlign w:val="bottom"/>
          </w:tcPr>
          <w:p w14:paraId="01E8AA62" w14:textId="77777777" w:rsidR="00372EF1" w:rsidRPr="00372EF1" w:rsidRDefault="00372EF1" w:rsidP="00372EF1">
            <w:pPr>
              <w:suppressAutoHyphens/>
              <w:spacing w:before="40" w:after="40" w:line="210" w:lineRule="exact"/>
              <w:ind w:right="43"/>
              <w:jc w:val="right"/>
              <w:rPr>
                <w:sz w:val="17"/>
              </w:rPr>
            </w:pPr>
          </w:p>
        </w:tc>
        <w:tc>
          <w:tcPr>
            <w:tcW w:w="1830" w:type="dxa"/>
            <w:tcBorders>
              <w:top w:val="single" w:sz="12" w:space="0" w:color="auto"/>
            </w:tcBorders>
            <w:shd w:val="clear" w:color="auto" w:fill="auto"/>
            <w:noWrap/>
            <w:vAlign w:val="bottom"/>
          </w:tcPr>
          <w:p w14:paraId="55DD2DC5" w14:textId="77777777" w:rsidR="00372EF1" w:rsidRPr="00372EF1" w:rsidRDefault="00372EF1" w:rsidP="00372EF1">
            <w:pPr>
              <w:suppressAutoHyphens/>
              <w:spacing w:before="40" w:after="40" w:line="210" w:lineRule="exact"/>
              <w:ind w:right="43"/>
              <w:jc w:val="right"/>
              <w:rPr>
                <w:sz w:val="17"/>
              </w:rPr>
            </w:pPr>
          </w:p>
        </w:tc>
      </w:tr>
      <w:tr w:rsidR="00B35EE7" w:rsidRPr="00372EF1" w14:paraId="3F85DA44" w14:textId="77777777" w:rsidTr="00372EF1">
        <w:trPr>
          <w:cantSplit/>
          <w:jc w:val="center"/>
        </w:trPr>
        <w:tc>
          <w:tcPr>
            <w:tcW w:w="2250" w:type="dxa"/>
            <w:shd w:val="clear" w:color="auto" w:fill="auto"/>
            <w:noWrap/>
            <w:vAlign w:val="bottom"/>
          </w:tcPr>
          <w:p w14:paraId="65435568" w14:textId="77777777" w:rsidR="00B35EE7" w:rsidRPr="00372EF1" w:rsidRDefault="00B35EE7" w:rsidP="00372EF1">
            <w:pPr>
              <w:tabs>
                <w:tab w:val="left" w:pos="288"/>
                <w:tab w:val="left" w:pos="576"/>
                <w:tab w:val="left" w:pos="864"/>
                <w:tab w:val="left" w:pos="1152"/>
              </w:tabs>
              <w:suppressAutoHyphens/>
              <w:spacing w:before="40" w:after="40" w:line="210" w:lineRule="exact"/>
              <w:ind w:right="40"/>
              <w:rPr>
                <w:sz w:val="17"/>
              </w:rPr>
            </w:pPr>
            <w:r w:rsidRPr="00372EF1">
              <w:rPr>
                <w:sz w:val="17"/>
              </w:rPr>
              <w:t>Traite de personnes majeures</w:t>
            </w:r>
          </w:p>
        </w:tc>
        <w:tc>
          <w:tcPr>
            <w:tcW w:w="1410" w:type="dxa"/>
            <w:shd w:val="clear" w:color="auto" w:fill="auto"/>
            <w:noWrap/>
            <w:vAlign w:val="bottom"/>
          </w:tcPr>
          <w:p w14:paraId="63307569" w14:textId="77777777" w:rsidR="00B35EE7" w:rsidRPr="00372EF1" w:rsidRDefault="00B35EE7" w:rsidP="00372EF1">
            <w:pPr>
              <w:tabs>
                <w:tab w:val="left" w:pos="288"/>
                <w:tab w:val="left" w:pos="576"/>
                <w:tab w:val="left" w:pos="864"/>
                <w:tab w:val="left" w:pos="1152"/>
              </w:tabs>
              <w:suppressAutoHyphens/>
              <w:spacing w:before="40" w:after="40" w:line="210" w:lineRule="exact"/>
              <w:ind w:right="43"/>
              <w:jc w:val="right"/>
              <w:rPr>
                <w:sz w:val="17"/>
              </w:rPr>
            </w:pPr>
            <w:r w:rsidRPr="00372EF1">
              <w:rPr>
                <w:sz w:val="17"/>
              </w:rPr>
              <w:t>55</w:t>
            </w:r>
          </w:p>
        </w:tc>
        <w:tc>
          <w:tcPr>
            <w:tcW w:w="1830" w:type="dxa"/>
            <w:shd w:val="clear" w:color="auto" w:fill="auto"/>
            <w:noWrap/>
            <w:vAlign w:val="bottom"/>
          </w:tcPr>
          <w:p w14:paraId="551515EF" w14:textId="77777777" w:rsidR="00B35EE7" w:rsidRPr="00372EF1" w:rsidRDefault="00B35EE7" w:rsidP="00372EF1">
            <w:pPr>
              <w:tabs>
                <w:tab w:val="left" w:pos="288"/>
                <w:tab w:val="left" w:pos="576"/>
                <w:tab w:val="left" w:pos="864"/>
                <w:tab w:val="left" w:pos="1152"/>
              </w:tabs>
              <w:suppressAutoHyphens/>
              <w:spacing w:before="40" w:after="40" w:line="210" w:lineRule="exact"/>
              <w:ind w:right="43"/>
              <w:jc w:val="right"/>
              <w:rPr>
                <w:sz w:val="17"/>
              </w:rPr>
            </w:pPr>
            <w:r w:rsidRPr="00372EF1">
              <w:rPr>
                <w:sz w:val="17"/>
              </w:rPr>
              <w:t>130</w:t>
            </w:r>
          </w:p>
        </w:tc>
        <w:tc>
          <w:tcPr>
            <w:tcW w:w="1830" w:type="dxa"/>
            <w:shd w:val="clear" w:color="auto" w:fill="auto"/>
            <w:noWrap/>
            <w:vAlign w:val="bottom"/>
          </w:tcPr>
          <w:p w14:paraId="24F75508" w14:textId="77777777" w:rsidR="00B35EE7" w:rsidRPr="00372EF1" w:rsidRDefault="00B35EE7" w:rsidP="00372EF1">
            <w:pPr>
              <w:tabs>
                <w:tab w:val="left" w:pos="288"/>
                <w:tab w:val="left" w:pos="576"/>
                <w:tab w:val="left" w:pos="864"/>
                <w:tab w:val="left" w:pos="1152"/>
              </w:tabs>
              <w:suppressAutoHyphens/>
              <w:spacing w:before="40" w:after="40" w:line="210" w:lineRule="exact"/>
              <w:ind w:right="43"/>
              <w:jc w:val="right"/>
              <w:rPr>
                <w:sz w:val="17"/>
              </w:rPr>
            </w:pPr>
            <w:r w:rsidRPr="00372EF1">
              <w:rPr>
                <w:sz w:val="17"/>
              </w:rPr>
              <w:t>41</w:t>
            </w:r>
          </w:p>
        </w:tc>
      </w:tr>
      <w:tr w:rsidR="00372EF1" w:rsidRPr="00372EF1" w14:paraId="15E75F28" w14:textId="77777777" w:rsidTr="00372EF1">
        <w:trPr>
          <w:cantSplit/>
          <w:jc w:val="center"/>
        </w:trPr>
        <w:tc>
          <w:tcPr>
            <w:tcW w:w="2250" w:type="dxa"/>
            <w:tcBorders>
              <w:bottom w:val="single" w:sz="4" w:space="0" w:color="auto"/>
            </w:tcBorders>
            <w:shd w:val="clear" w:color="auto" w:fill="auto"/>
            <w:noWrap/>
            <w:vAlign w:val="bottom"/>
          </w:tcPr>
          <w:p w14:paraId="0D132BB0" w14:textId="77777777" w:rsidR="00B35EE7" w:rsidRPr="00372EF1" w:rsidRDefault="00B35EE7" w:rsidP="00372EF1">
            <w:pPr>
              <w:tabs>
                <w:tab w:val="left" w:pos="288"/>
                <w:tab w:val="left" w:pos="576"/>
                <w:tab w:val="left" w:pos="864"/>
                <w:tab w:val="left" w:pos="1152"/>
              </w:tabs>
              <w:suppressAutoHyphens/>
              <w:spacing w:before="40" w:after="81" w:line="210" w:lineRule="exact"/>
              <w:ind w:right="40"/>
              <w:rPr>
                <w:sz w:val="17"/>
              </w:rPr>
            </w:pPr>
            <w:r w:rsidRPr="00372EF1">
              <w:rPr>
                <w:sz w:val="17"/>
              </w:rPr>
              <w:t>Traite de personnes mineures</w:t>
            </w:r>
          </w:p>
        </w:tc>
        <w:tc>
          <w:tcPr>
            <w:tcW w:w="1410" w:type="dxa"/>
            <w:tcBorders>
              <w:bottom w:val="single" w:sz="4" w:space="0" w:color="auto"/>
            </w:tcBorders>
            <w:shd w:val="clear" w:color="auto" w:fill="auto"/>
            <w:noWrap/>
            <w:vAlign w:val="bottom"/>
          </w:tcPr>
          <w:p w14:paraId="337FAF44" w14:textId="77777777" w:rsidR="00B35EE7" w:rsidRPr="00372EF1" w:rsidRDefault="00B35EE7" w:rsidP="00372EF1">
            <w:pPr>
              <w:tabs>
                <w:tab w:val="left" w:pos="288"/>
                <w:tab w:val="left" w:pos="576"/>
                <w:tab w:val="left" w:pos="864"/>
                <w:tab w:val="left" w:pos="1152"/>
              </w:tabs>
              <w:suppressAutoHyphens/>
              <w:spacing w:before="40" w:after="81" w:line="210" w:lineRule="exact"/>
              <w:ind w:right="43"/>
              <w:jc w:val="right"/>
              <w:rPr>
                <w:sz w:val="17"/>
              </w:rPr>
            </w:pPr>
            <w:r w:rsidRPr="00372EF1">
              <w:rPr>
                <w:sz w:val="17"/>
              </w:rPr>
              <w:t>25</w:t>
            </w:r>
          </w:p>
        </w:tc>
        <w:tc>
          <w:tcPr>
            <w:tcW w:w="1830" w:type="dxa"/>
            <w:tcBorders>
              <w:bottom w:val="single" w:sz="4" w:space="0" w:color="auto"/>
            </w:tcBorders>
            <w:shd w:val="clear" w:color="auto" w:fill="auto"/>
            <w:noWrap/>
            <w:vAlign w:val="bottom"/>
          </w:tcPr>
          <w:p w14:paraId="4473A39D" w14:textId="77777777" w:rsidR="00B35EE7" w:rsidRPr="00372EF1" w:rsidRDefault="00B35EE7" w:rsidP="00372EF1">
            <w:pPr>
              <w:tabs>
                <w:tab w:val="left" w:pos="288"/>
                <w:tab w:val="left" w:pos="576"/>
                <w:tab w:val="left" w:pos="864"/>
                <w:tab w:val="left" w:pos="1152"/>
              </w:tabs>
              <w:suppressAutoHyphens/>
              <w:spacing w:before="40" w:after="81" w:line="210" w:lineRule="exact"/>
              <w:ind w:right="43"/>
              <w:jc w:val="right"/>
              <w:rPr>
                <w:sz w:val="17"/>
              </w:rPr>
            </w:pPr>
            <w:r w:rsidRPr="00372EF1">
              <w:rPr>
                <w:sz w:val="17"/>
              </w:rPr>
              <w:t>33</w:t>
            </w:r>
          </w:p>
        </w:tc>
        <w:tc>
          <w:tcPr>
            <w:tcW w:w="1830" w:type="dxa"/>
            <w:tcBorders>
              <w:bottom w:val="single" w:sz="4" w:space="0" w:color="auto"/>
            </w:tcBorders>
            <w:shd w:val="clear" w:color="auto" w:fill="auto"/>
            <w:noWrap/>
            <w:vAlign w:val="bottom"/>
          </w:tcPr>
          <w:p w14:paraId="235884B2" w14:textId="77777777" w:rsidR="00B35EE7" w:rsidRPr="00372EF1" w:rsidRDefault="00B35EE7" w:rsidP="00372EF1">
            <w:pPr>
              <w:tabs>
                <w:tab w:val="left" w:pos="288"/>
                <w:tab w:val="left" w:pos="576"/>
                <w:tab w:val="left" w:pos="864"/>
                <w:tab w:val="left" w:pos="1152"/>
              </w:tabs>
              <w:suppressAutoHyphens/>
              <w:spacing w:before="40" w:after="81" w:line="210" w:lineRule="exact"/>
              <w:ind w:right="43"/>
              <w:jc w:val="right"/>
              <w:rPr>
                <w:sz w:val="17"/>
              </w:rPr>
            </w:pPr>
            <w:r w:rsidRPr="00372EF1">
              <w:rPr>
                <w:sz w:val="17"/>
              </w:rPr>
              <w:t>27</w:t>
            </w:r>
          </w:p>
        </w:tc>
      </w:tr>
      <w:tr w:rsidR="00372EF1" w:rsidRPr="00372EF1" w14:paraId="6D7FB5BA" w14:textId="77777777" w:rsidTr="00372EF1">
        <w:trPr>
          <w:cantSplit/>
          <w:jc w:val="center"/>
        </w:trPr>
        <w:tc>
          <w:tcPr>
            <w:tcW w:w="2250" w:type="dxa"/>
            <w:tcBorders>
              <w:top w:val="single" w:sz="4" w:space="0" w:color="auto"/>
            </w:tcBorders>
            <w:shd w:val="clear" w:color="auto" w:fill="auto"/>
            <w:noWrap/>
            <w:vAlign w:val="bottom"/>
          </w:tcPr>
          <w:p w14:paraId="683A47BD" w14:textId="3993FEA1" w:rsidR="00B35EE7" w:rsidRPr="00372EF1" w:rsidRDefault="00372EF1" w:rsidP="00372EF1">
            <w:pPr>
              <w:tabs>
                <w:tab w:val="left" w:pos="288"/>
                <w:tab w:val="left" w:pos="576"/>
                <w:tab w:val="left" w:pos="864"/>
                <w:tab w:val="left" w:pos="1152"/>
              </w:tabs>
              <w:suppressAutoHyphens/>
              <w:spacing w:before="81" w:after="81" w:line="210" w:lineRule="exact"/>
              <w:ind w:right="40"/>
              <w:rPr>
                <w:b/>
                <w:sz w:val="17"/>
              </w:rPr>
            </w:pPr>
            <w:r>
              <w:rPr>
                <w:b/>
                <w:sz w:val="17"/>
              </w:rPr>
              <w:tab/>
            </w:r>
            <w:r w:rsidR="00B35EE7" w:rsidRPr="00372EF1">
              <w:rPr>
                <w:b/>
                <w:sz w:val="17"/>
              </w:rPr>
              <w:t>Total</w:t>
            </w:r>
          </w:p>
        </w:tc>
        <w:tc>
          <w:tcPr>
            <w:tcW w:w="1410" w:type="dxa"/>
            <w:tcBorders>
              <w:top w:val="single" w:sz="4" w:space="0" w:color="auto"/>
              <w:bottom w:val="single" w:sz="4" w:space="0" w:color="auto"/>
            </w:tcBorders>
            <w:shd w:val="clear" w:color="auto" w:fill="auto"/>
            <w:noWrap/>
            <w:vAlign w:val="bottom"/>
          </w:tcPr>
          <w:p w14:paraId="1EDEFF12" w14:textId="77777777" w:rsidR="00B35EE7" w:rsidRPr="00372EF1" w:rsidRDefault="00B35EE7" w:rsidP="00372EF1">
            <w:pPr>
              <w:tabs>
                <w:tab w:val="left" w:pos="288"/>
                <w:tab w:val="left" w:pos="576"/>
                <w:tab w:val="left" w:pos="864"/>
                <w:tab w:val="left" w:pos="1152"/>
              </w:tabs>
              <w:suppressAutoHyphens/>
              <w:spacing w:before="81" w:after="81" w:line="210" w:lineRule="exact"/>
              <w:ind w:right="43"/>
              <w:jc w:val="right"/>
              <w:rPr>
                <w:b/>
                <w:sz w:val="17"/>
              </w:rPr>
            </w:pPr>
            <w:r w:rsidRPr="00372EF1">
              <w:rPr>
                <w:b/>
                <w:sz w:val="17"/>
              </w:rPr>
              <w:t>80</w:t>
            </w:r>
          </w:p>
        </w:tc>
        <w:tc>
          <w:tcPr>
            <w:tcW w:w="1830" w:type="dxa"/>
            <w:tcBorders>
              <w:top w:val="single" w:sz="4" w:space="0" w:color="auto"/>
              <w:bottom w:val="single" w:sz="4" w:space="0" w:color="auto"/>
            </w:tcBorders>
            <w:shd w:val="clear" w:color="auto" w:fill="auto"/>
            <w:noWrap/>
            <w:vAlign w:val="bottom"/>
          </w:tcPr>
          <w:p w14:paraId="6BEC0E1C" w14:textId="77777777" w:rsidR="00B35EE7" w:rsidRPr="00372EF1" w:rsidRDefault="00B35EE7" w:rsidP="00372EF1">
            <w:pPr>
              <w:tabs>
                <w:tab w:val="left" w:pos="288"/>
                <w:tab w:val="left" w:pos="576"/>
                <w:tab w:val="left" w:pos="864"/>
                <w:tab w:val="left" w:pos="1152"/>
              </w:tabs>
              <w:suppressAutoHyphens/>
              <w:spacing w:before="81" w:after="81" w:line="210" w:lineRule="exact"/>
              <w:ind w:right="43"/>
              <w:jc w:val="right"/>
              <w:rPr>
                <w:b/>
                <w:sz w:val="17"/>
              </w:rPr>
            </w:pPr>
            <w:r w:rsidRPr="00372EF1">
              <w:rPr>
                <w:b/>
                <w:sz w:val="17"/>
              </w:rPr>
              <w:t>163</w:t>
            </w:r>
          </w:p>
        </w:tc>
        <w:tc>
          <w:tcPr>
            <w:tcW w:w="1830" w:type="dxa"/>
            <w:tcBorders>
              <w:top w:val="single" w:sz="4" w:space="0" w:color="auto"/>
              <w:bottom w:val="single" w:sz="4" w:space="0" w:color="auto"/>
            </w:tcBorders>
            <w:shd w:val="clear" w:color="auto" w:fill="auto"/>
            <w:noWrap/>
            <w:vAlign w:val="bottom"/>
          </w:tcPr>
          <w:p w14:paraId="59E62754" w14:textId="77777777" w:rsidR="00B35EE7" w:rsidRPr="00372EF1" w:rsidRDefault="00B35EE7" w:rsidP="00372EF1">
            <w:pPr>
              <w:tabs>
                <w:tab w:val="left" w:pos="288"/>
                <w:tab w:val="left" w:pos="576"/>
                <w:tab w:val="left" w:pos="864"/>
                <w:tab w:val="left" w:pos="1152"/>
              </w:tabs>
              <w:suppressAutoHyphens/>
              <w:spacing w:before="81" w:after="81" w:line="210" w:lineRule="exact"/>
              <w:ind w:right="43"/>
              <w:jc w:val="right"/>
              <w:rPr>
                <w:b/>
                <w:sz w:val="17"/>
              </w:rPr>
            </w:pPr>
            <w:r w:rsidRPr="00372EF1">
              <w:rPr>
                <w:b/>
                <w:sz w:val="17"/>
              </w:rPr>
              <w:t>68</w:t>
            </w:r>
          </w:p>
        </w:tc>
      </w:tr>
      <w:tr w:rsidR="00372EF1" w:rsidRPr="00372EF1" w14:paraId="7798B6A8" w14:textId="77777777" w:rsidTr="00372EF1">
        <w:trPr>
          <w:cantSplit/>
          <w:jc w:val="center"/>
        </w:trPr>
        <w:tc>
          <w:tcPr>
            <w:tcW w:w="2250" w:type="dxa"/>
            <w:tcBorders>
              <w:bottom w:val="single" w:sz="12" w:space="0" w:color="auto"/>
            </w:tcBorders>
            <w:shd w:val="clear" w:color="auto" w:fill="auto"/>
            <w:noWrap/>
            <w:vAlign w:val="bottom"/>
          </w:tcPr>
          <w:p w14:paraId="576B9635" w14:textId="77777777" w:rsidR="00372EF1" w:rsidRPr="00372EF1" w:rsidRDefault="00372EF1" w:rsidP="00372EF1">
            <w:pPr>
              <w:tabs>
                <w:tab w:val="left" w:pos="288"/>
                <w:tab w:val="left" w:pos="576"/>
                <w:tab w:val="left" w:pos="864"/>
                <w:tab w:val="left" w:pos="1152"/>
              </w:tabs>
              <w:suppressAutoHyphens/>
              <w:spacing w:before="81" w:after="40" w:line="210" w:lineRule="exact"/>
              <w:ind w:right="40"/>
              <w:rPr>
                <w:sz w:val="17"/>
              </w:rPr>
            </w:pPr>
          </w:p>
        </w:tc>
        <w:tc>
          <w:tcPr>
            <w:tcW w:w="1410" w:type="dxa"/>
            <w:tcBorders>
              <w:top w:val="single" w:sz="4" w:space="0" w:color="auto"/>
              <w:bottom w:val="single" w:sz="12" w:space="0" w:color="auto"/>
            </w:tcBorders>
            <w:shd w:val="clear" w:color="auto" w:fill="auto"/>
            <w:noWrap/>
            <w:vAlign w:val="bottom"/>
          </w:tcPr>
          <w:p w14:paraId="556E4FFC" w14:textId="77777777" w:rsidR="00372EF1" w:rsidRPr="00372EF1" w:rsidRDefault="00372EF1" w:rsidP="00372EF1">
            <w:pPr>
              <w:tabs>
                <w:tab w:val="left" w:pos="288"/>
                <w:tab w:val="left" w:pos="576"/>
                <w:tab w:val="left" w:pos="864"/>
                <w:tab w:val="left" w:pos="1152"/>
              </w:tabs>
              <w:suppressAutoHyphens/>
              <w:spacing w:before="81" w:after="40" w:line="210" w:lineRule="exact"/>
              <w:ind w:right="43"/>
              <w:jc w:val="right"/>
              <w:rPr>
                <w:sz w:val="17"/>
              </w:rPr>
            </w:pPr>
          </w:p>
        </w:tc>
        <w:tc>
          <w:tcPr>
            <w:tcW w:w="3660" w:type="dxa"/>
            <w:gridSpan w:val="2"/>
            <w:tcBorders>
              <w:top w:val="single" w:sz="4" w:space="0" w:color="auto"/>
              <w:bottom w:val="single" w:sz="12" w:space="0" w:color="auto"/>
            </w:tcBorders>
            <w:shd w:val="clear" w:color="auto" w:fill="auto"/>
            <w:noWrap/>
            <w:vAlign w:val="bottom"/>
          </w:tcPr>
          <w:p w14:paraId="03FF637F" w14:textId="47038259" w:rsidR="00372EF1" w:rsidRPr="00372EF1" w:rsidRDefault="00372EF1" w:rsidP="00372EF1">
            <w:pPr>
              <w:tabs>
                <w:tab w:val="left" w:pos="288"/>
                <w:tab w:val="left" w:pos="576"/>
                <w:tab w:val="left" w:pos="864"/>
                <w:tab w:val="left" w:pos="1152"/>
              </w:tabs>
              <w:suppressAutoHyphens/>
              <w:spacing w:before="81" w:after="40" w:line="210" w:lineRule="exact"/>
              <w:ind w:right="43"/>
              <w:jc w:val="center"/>
              <w:rPr>
                <w:b/>
                <w:bCs/>
                <w:sz w:val="17"/>
              </w:rPr>
            </w:pPr>
            <w:r w:rsidRPr="00372EF1">
              <w:rPr>
                <w:b/>
                <w:bCs/>
                <w:sz w:val="17"/>
              </w:rPr>
              <w:t>231</w:t>
            </w:r>
          </w:p>
        </w:tc>
      </w:tr>
    </w:tbl>
    <w:p w14:paraId="29D9D525" w14:textId="686DAB54" w:rsidR="00B35EE7" w:rsidRPr="00372EF1" w:rsidRDefault="00B35EE7" w:rsidP="00372EF1">
      <w:pPr>
        <w:pStyle w:val="SingleTxt"/>
        <w:spacing w:after="0" w:line="120" w:lineRule="exact"/>
        <w:rPr>
          <w:sz w:val="10"/>
          <w:lang w:val="fr-FR"/>
        </w:rPr>
      </w:pPr>
    </w:p>
    <w:p w14:paraId="39ABDDAB" w14:textId="196A2C69" w:rsidR="00B35EE7" w:rsidRDefault="00B35EE7" w:rsidP="00372EF1">
      <w:pPr>
        <w:pStyle w:val="FootnoteText"/>
        <w:tabs>
          <w:tab w:val="right" w:pos="1476"/>
          <w:tab w:val="left" w:pos="1548"/>
          <w:tab w:val="right" w:pos="1836"/>
          <w:tab w:val="left" w:pos="1908"/>
        </w:tabs>
        <w:ind w:left="1548" w:right="1267" w:hanging="288"/>
        <w:rPr>
          <w:lang w:val="fr-FR"/>
        </w:rPr>
      </w:pPr>
      <w:r w:rsidRPr="00F1794C">
        <w:rPr>
          <w:lang w:val="fr-FR"/>
        </w:rPr>
        <w:t>Source</w:t>
      </w:r>
      <w:r w:rsidR="00F1794C" w:rsidRPr="00F1794C">
        <w:rPr>
          <w:lang w:val="fr-FR"/>
        </w:rPr>
        <w:t> :</w:t>
      </w:r>
      <w:r w:rsidRPr="00F1794C">
        <w:rPr>
          <w:lang w:val="fr-FR"/>
        </w:rPr>
        <w:t xml:space="preserve"> Ministère public</w:t>
      </w:r>
      <w:r w:rsidR="00C94495">
        <w:rPr>
          <w:lang w:val="fr-FR"/>
        </w:rPr>
        <w:t>.</w:t>
      </w:r>
    </w:p>
    <w:p w14:paraId="5351E9B1" w14:textId="087EFA5B" w:rsidR="00372EF1" w:rsidRPr="00372EF1" w:rsidRDefault="00372EF1" w:rsidP="00372EF1">
      <w:pPr>
        <w:pStyle w:val="FootnoteText"/>
        <w:tabs>
          <w:tab w:val="right" w:pos="1476"/>
          <w:tab w:val="left" w:pos="1548"/>
          <w:tab w:val="right" w:pos="1836"/>
          <w:tab w:val="left" w:pos="1908"/>
        </w:tabs>
        <w:spacing w:line="120" w:lineRule="exact"/>
        <w:ind w:left="1548" w:right="1267" w:hanging="288"/>
        <w:rPr>
          <w:sz w:val="10"/>
          <w:lang w:val="fr-FR"/>
        </w:rPr>
      </w:pPr>
    </w:p>
    <w:p w14:paraId="0A571A60" w14:textId="4A9B99E2" w:rsidR="00372EF1" w:rsidRPr="00372EF1" w:rsidRDefault="00372EF1" w:rsidP="00372EF1">
      <w:pPr>
        <w:pStyle w:val="FootnoteText"/>
        <w:tabs>
          <w:tab w:val="right" w:pos="1476"/>
          <w:tab w:val="left" w:pos="1548"/>
          <w:tab w:val="right" w:pos="1836"/>
          <w:tab w:val="left" w:pos="1908"/>
        </w:tabs>
        <w:spacing w:line="120" w:lineRule="exact"/>
        <w:ind w:left="1548" w:right="1267" w:hanging="288"/>
        <w:rPr>
          <w:sz w:val="10"/>
          <w:lang w:val="fr-FR"/>
        </w:rPr>
      </w:pPr>
    </w:p>
    <w:p w14:paraId="1163C476" w14:textId="03700B1B" w:rsidR="00B35EE7" w:rsidRPr="00F1794C" w:rsidRDefault="00B35EE7" w:rsidP="00456FC2">
      <w:pPr>
        <w:pStyle w:val="SingleTxt"/>
        <w:numPr>
          <w:ilvl w:val="0"/>
          <w:numId w:val="50"/>
        </w:numPr>
        <w:rPr>
          <w:lang w:val="fr-FR"/>
        </w:rPr>
      </w:pPr>
      <w:r w:rsidRPr="00F1794C">
        <w:rPr>
          <w:lang w:val="fr-FR"/>
        </w:rPr>
        <w:t>Des campagnes de sensibilisation ont été organisées à l</w:t>
      </w:r>
      <w:r w:rsidR="00F1794C" w:rsidRPr="00F1794C">
        <w:rPr>
          <w:lang w:val="fr-FR"/>
        </w:rPr>
        <w:t>’</w:t>
      </w:r>
      <w:r w:rsidRPr="00F1794C">
        <w:rPr>
          <w:lang w:val="fr-FR"/>
        </w:rPr>
        <w:t>intention des magistrats et du personnel travaillant dans des cellules de prise en charge des femmes et des enfants auprès des tribunaux au sujet de la gravité de l</w:t>
      </w:r>
      <w:r w:rsidR="00F1794C" w:rsidRPr="00F1794C">
        <w:rPr>
          <w:lang w:val="fr-FR"/>
        </w:rPr>
        <w:t>’</w:t>
      </w:r>
      <w:r w:rsidRPr="00F1794C">
        <w:rPr>
          <w:lang w:val="fr-FR"/>
        </w:rPr>
        <w:t>infraction que constitue la traite des personnes, de la consolidation du cadre conceptuel et des moyens d</w:t>
      </w:r>
      <w:r w:rsidR="00F1794C" w:rsidRPr="00F1794C">
        <w:rPr>
          <w:lang w:val="fr-FR"/>
        </w:rPr>
        <w:t>’</w:t>
      </w:r>
      <w:r w:rsidRPr="00F1794C">
        <w:rPr>
          <w:lang w:val="fr-FR"/>
        </w:rPr>
        <w:t>intervention et des critères permettant d</w:t>
      </w:r>
      <w:r w:rsidR="00F1794C" w:rsidRPr="00F1794C">
        <w:rPr>
          <w:lang w:val="fr-FR"/>
        </w:rPr>
        <w:t>’</w:t>
      </w:r>
      <w:r w:rsidRPr="00F1794C">
        <w:rPr>
          <w:lang w:val="fr-FR"/>
        </w:rPr>
        <w:t>identifier et de protéger les victimes. Des programmes de formation ont été mis en place pour les élèves magistrats en coopération avec le Haut-Commissariat des Nations Unies pour les réfugiés. En outre, en coopération avec l</w:t>
      </w:r>
      <w:r w:rsidR="00F1794C" w:rsidRPr="00F1794C">
        <w:rPr>
          <w:lang w:val="fr-FR"/>
        </w:rPr>
        <w:t>’</w:t>
      </w:r>
      <w:r w:rsidRPr="00F1794C">
        <w:rPr>
          <w:lang w:val="fr-FR"/>
        </w:rPr>
        <w:t>Organisation internationale pour les migrations, des programmes de renforcement des capacités ont été proposés aux inspecteurs du travail. Ils traitaient des droits fondamentaux des salariés, de l</w:t>
      </w:r>
      <w:r w:rsidR="00F1794C" w:rsidRPr="00F1794C">
        <w:rPr>
          <w:lang w:val="fr-FR"/>
        </w:rPr>
        <w:t>’</w:t>
      </w:r>
      <w:r w:rsidRPr="00F1794C">
        <w:rPr>
          <w:lang w:val="fr-FR"/>
        </w:rPr>
        <w:t>interdiction d</w:t>
      </w:r>
      <w:r w:rsidR="00F1794C" w:rsidRPr="00F1794C">
        <w:rPr>
          <w:lang w:val="fr-FR"/>
        </w:rPr>
        <w:t>’</w:t>
      </w:r>
      <w:r w:rsidRPr="00F1794C">
        <w:rPr>
          <w:lang w:val="fr-FR"/>
        </w:rPr>
        <w:t>employer des mineurs n</w:t>
      </w:r>
      <w:r w:rsidR="00F1794C" w:rsidRPr="00F1794C">
        <w:rPr>
          <w:lang w:val="fr-FR"/>
        </w:rPr>
        <w:t>’</w:t>
      </w:r>
      <w:r w:rsidRPr="00F1794C">
        <w:rPr>
          <w:lang w:val="fr-FR"/>
        </w:rPr>
        <w:t>ayant pas atteint l</w:t>
      </w:r>
      <w:r w:rsidR="00F1794C" w:rsidRPr="00F1794C">
        <w:rPr>
          <w:lang w:val="fr-FR"/>
        </w:rPr>
        <w:t>’</w:t>
      </w:r>
      <w:r w:rsidRPr="00F1794C">
        <w:rPr>
          <w:lang w:val="fr-FR"/>
        </w:rPr>
        <w:t>âge légal, de la lutte contre le travail forcé, de la traite des êtres humains et de l</w:t>
      </w:r>
      <w:r w:rsidR="00F1794C" w:rsidRPr="00F1794C">
        <w:rPr>
          <w:lang w:val="fr-FR"/>
        </w:rPr>
        <w:t>’</w:t>
      </w:r>
      <w:r w:rsidRPr="00F1794C">
        <w:rPr>
          <w:lang w:val="fr-FR"/>
        </w:rPr>
        <w:t xml:space="preserve">exploitation par le travail. </w:t>
      </w:r>
    </w:p>
    <w:p w14:paraId="6BAC84CE" w14:textId="77777777" w:rsidR="00372EF1" w:rsidRPr="00372EF1" w:rsidRDefault="00372EF1" w:rsidP="00372EF1">
      <w:pPr>
        <w:pStyle w:val="SingleTxt"/>
        <w:spacing w:after="0" w:line="120" w:lineRule="exact"/>
        <w:rPr>
          <w:b/>
          <w:bCs/>
          <w:sz w:val="10"/>
          <w:lang w:val="fr-FR"/>
        </w:rPr>
      </w:pPr>
    </w:p>
    <w:p w14:paraId="5C207081" w14:textId="77777777" w:rsidR="00372EF1" w:rsidRPr="00372EF1" w:rsidRDefault="00372EF1" w:rsidP="00372EF1">
      <w:pPr>
        <w:pStyle w:val="SingleTxt"/>
        <w:spacing w:after="0" w:line="120" w:lineRule="exact"/>
        <w:rPr>
          <w:b/>
          <w:bCs/>
          <w:sz w:val="10"/>
          <w:lang w:val="fr-FR"/>
        </w:rPr>
      </w:pPr>
    </w:p>
    <w:p w14:paraId="3B74A674" w14:textId="546FB285" w:rsidR="00B35EE7" w:rsidRPr="00F1794C" w:rsidRDefault="00B35EE7" w:rsidP="00372EF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1794C">
        <w:rPr>
          <w:lang w:val="fr-FR"/>
        </w:rPr>
        <w:tab/>
      </w:r>
      <w:r w:rsidRPr="00F1794C">
        <w:rPr>
          <w:lang w:val="fr-FR"/>
        </w:rPr>
        <w:tab/>
        <w:t>Deuxième partie</w:t>
      </w:r>
    </w:p>
    <w:p w14:paraId="19609CB0" w14:textId="77777777" w:rsidR="00372EF1" w:rsidRPr="00372EF1" w:rsidRDefault="00372EF1" w:rsidP="00372EF1">
      <w:pPr>
        <w:pStyle w:val="SingleTxt"/>
        <w:spacing w:after="0" w:line="120" w:lineRule="exact"/>
        <w:rPr>
          <w:b/>
          <w:bCs/>
          <w:sz w:val="10"/>
          <w:lang w:val="fr-FR"/>
        </w:rPr>
      </w:pPr>
    </w:p>
    <w:p w14:paraId="6BED173C" w14:textId="77777777" w:rsidR="00372EF1" w:rsidRPr="00372EF1" w:rsidRDefault="00372EF1" w:rsidP="00372EF1">
      <w:pPr>
        <w:pStyle w:val="SingleTxt"/>
        <w:spacing w:after="0" w:line="120" w:lineRule="exact"/>
        <w:rPr>
          <w:b/>
          <w:bCs/>
          <w:sz w:val="10"/>
          <w:lang w:val="fr-FR"/>
        </w:rPr>
      </w:pPr>
    </w:p>
    <w:p w14:paraId="052283D7" w14:textId="747B0661" w:rsidR="00B35EE7" w:rsidRDefault="00372EF1" w:rsidP="00372EF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B35EE7" w:rsidRPr="00F1794C">
        <w:rPr>
          <w:lang w:val="fr-FR"/>
        </w:rPr>
        <w:t>Article 7</w:t>
      </w:r>
    </w:p>
    <w:p w14:paraId="2EB09B88" w14:textId="484B7C02" w:rsidR="00372EF1" w:rsidRPr="00372EF1" w:rsidRDefault="00372EF1" w:rsidP="00372EF1">
      <w:pPr>
        <w:pStyle w:val="SingleTxt"/>
        <w:spacing w:after="0" w:line="120" w:lineRule="exact"/>
        <w:rPr>
          <w:sz w:val="10"/>
          <w:lang w:val="fr-FR"/>
        </w:rPr>
      </w:pPr>
    </w:p>
    <w:p w14:paraId="18287E77" w14:textId="4EF542E1" w:rsidR="00B35EE7" w:rsidRPr="00F1794C" w:rsidRDefault="00B35EE7" w:rsidP="00456FC2">
      <w:pPr>
        <w:pStyle w:val="SingleTxt"/>
        <w:numPr>
          <w:ilvl w:val="0"/>
          <w:numId w:val="50"/>
        </w:numPr>
        <w:rPr>
          <w:lang w:val="fr-FR"/>
        </w:rPr>
      </w:pPr>
      <w:r w:rsidRPr="00F1794C">
        <w:rPr>
          <w:lang w:val="fr-FR"/>
        </w:rPr>
        <w:t>La Constitution dispose que tous les hommes et toutes les femmes jouissent, à égalité, de tous les droits et libertés fondamentales et garantit à tous les citoyens et citoyennes le droit de vote et de candidature aux élections, le droit de jouir de leurs droits civils et politiques. Afin de garantir l</w:t>
      </w:r>
      <w:r w:rsidR="00F1794C" w:rsidRPr="00F1794C">
        <w:rPr>
          <w:lang w:val="fr-FR"/>
        </w:rPr>
        <w:t>’</w:t>
      </w:r>
      <w:r w:rsidRPr="00F1794C">
        <w:rPr>
          <w:lang w:val="fr-FR"/>
        </w:rPr>
        <w:t>égal accès à la vie politique, la loi prévoit des dispositions de nature à favoriser l</w:t>
      </w:r>
      <w:r w:rsidR="00F1794C" w:rsidRPr="00F1794C">
        <w:rPr>
          <w:lang w:val="fr-FR"/>
        </w:rPr>
        <w:t>’</w:t>
      </w:r>
      <w:r w:rsidRPr="00F1794C">
        <w:rPr>
          <w:lang w:val="fr-FR"/>
        </w:rPr>
        <w:t>égal accès des femmes et des hommes aux fonctions électives</w:t>
      </w:r>
      <w:r w:rsidRPr="00FA086B">
        <w:rPr>
          <w:vertAlign w:val="superscript"/>
          <w:lang w:val="fr-FR"/>
        </w:rPr>
        <w:footnoteReference w:id="55"/>
      </w:r>
      <w:r w:rsidRPr="00F1794C">
        <w:rPr>
          <w:lang w:val="fr-FR"/>
        </w:rPr>
        <w:t>. Des dispositions visent également à assurer une meilleure représentation des femmes dans les conseils des collectivités territoriales</w:t>
      </w:r>
      <w:r w:rsidRPr="00FA086B">
        <w:rPr>
          <w:vertAlign w:val="superscript"/>
          <w:lang w:val="fr-FR"/>
        </w:rPr>
        <w:footnoteReference w:id="56"/>
      </w:r>
      <w:r w:rsidRPr="00F1794C">
        <w:rPr>
          <w:lang w:val="fr-FR"/>
        </w:rPr>
        <w:t>.</w:t>
      </w:r>
    </w:p>
    <w:p w14:paraId="648846E9" w14:textId="536B68FF" w:rsidR="00B35EE7" w:rsidRPr="00F1794C" w:rsidRDefault="00B35EE7" w:rsidP="00456FC2">
      <w:pPr>
        <w:pStyle w:val="SingleTxt"/>
        <w:numPr>
          <w:ilvl w:val="0"/>
          <w:numId w:val="50"/>
        </w:numPr>
        <w:rPr>
          <w:lang w:val="fr-FR"/>
        </w:rPr>
      </w:pPr>
      <w:r w:rsidRPr="00F1794C">
        <w:rPr>
          <w:lang w:val="fr-FR"/>
        </w:rPr>
        <w:t>Comme suite à la recommandation formulée au paragraphe 25 des observations finales, le Royaume du Maroc s</w:t>
      </w:r>
      <w:r w:rsidR="00F1794C" w:rsidRPr="00F1794C">
        <w:rPr>
          <w:lang w:val="fr-FR"/>
        </w:rPr>
        <w:t>’</w:t>
      </w:r>
      <w:r w:rsidRPr="00F1794C">
        <w:rPr>
          <w:lang w:val="fr-FR"/>
        </w:rPr>
        <w:t>est employé à accroître la représentation politique des femmes sur les plans national et local par l</w:t>
      </w:r>
      <w:r w:rsidR="00F1794C" w:rsidRPr="00F1794C">
        <w:rPr>
          <w:lang w:val="fr-FR"/>
        </w:rPr>
        <w:t>’</w:t>
      </w:r>
      <w:r w:rsidRPr="00F1794C">
        <w:rPr>
          <w:lang w:val="fr-FR"/>
        </w:rPr>
        <w:t>adoption de nouvelles dispositions législatives venant compléter les lois organiques relatives à la Chambre des représentants, à la Chambre des conseillers, à l</w:t>
      </w:r>
      <w:r w:rsidR="00F1794C" w:rsidRPr="00F1794C">
        <w:rPr>
          <w:lang w:val="fr-FR"/>
        </w:rPr>
        <w:t>’</w:t>
      </w:r>
      <w:r w:rsidRPr="00F1794C">
        <w:rPr>
          <w:lang w:val="fr-FR"/>
        </w:rPr>
        <w:t xml:space="preserve">élection des membres des conseils des collectivités territoriales et aux partis politiques. </w:t>
      </w:r>
    </w:p>
    <w:p w14:paraId="5B1554E0" w14:textId="73C6D663" w:rsidR="00B35EE7" w:rsidRPr="00F1794C" w:rsidRDefault="00B35EE7" w:rsidP="00456FC2">
      <w:pPr>
        <w:pStyle w:val="SingleTxt"/>
        <w:numPr>
          <w:ilvl w:val="0"/>
          <w:numId w:val="50"/>
        </w:numPr>
        <w:rPr>
          <w:lang w:val="fr-FR"/>
        </w:rPr>
      </w:pPr>
      <w:r w:rsidRPr="00F1794C">
        <w:rPr>
          <w:lang w:val="fr-FR"/>
        </w:rPr>
        <w:t>La loi n</w:t>
      </w:r>
      <w:r w:rsidRPr="00F1794C">
        <w:rPr>
          <w:vertAlign w:val="superscript"/>
          <w:lang w:val="fr-FR"/>
        </w:rPr>
        <w:t>o</w:t>
      </w:r>
      <w:r w:rsidRPr="00F1794C">
        <w:rPr>
          <w:lang w:val="fr-FR"/>
        </w:rPr>
        <w:t xml:space="preserve"> 27-11 relative à la Chambre des représentants promulguée en 2011 a porté création d</w:t>
      </w:r>
      <w:r w:rsidR="00F1794C" w:rsidRPr="00F1794C">
        <w:rPr>
          <w:lang w:val="fr-FR"/>
        </w:rPr>
        <w:t>’</w:t>
      </w:r>
      <w:r w:rsidRPr="00F1794C">
        <w:rPr>
          <w:lang w:val="fr-FR"/>
        </w:rPr>
        <w:t>une circonscription électorale nationale comptant 90 sièges, dont 60 sont réservés aux femmes et 30 hommes jeunes. En conséquence, la représentation des femmes est passé de 10</w:t>
      </w:r>
      <w:r w:rsidR="00F1794C" w:rsidRPr="00F1794C">
        <w:rPr>
          <w:lang w:val="fr-FR"/>
        </w:rPr>
        <w:t> %</w:t>
      </w:r>
      <w:r w:rsidRPr="00F1794C">
        <w:rPr>
          <w:lang w:val="fr-FR"/>
        </w:rPr>
        <w:t xml:space="preserve"> (34 députées) en 2007 à 17</w:t>
      </w:r>
      <w:r w:rsidR="00F1794C" w:rsidRPr="00F1794C">
        <w:rPr>
          <w:lang w:val="fr-FR"/>
        </w:rPr>
        <w:t> %</w:t>
      </w:r>
      <w:r w:rsidRPr="00F1794C">
        <w:rPr>
          <w:lang w:val="fr-FR"/>
        </w:rPr>
        <w:t xml:space="preserve"> (67 députées) en 2011. </w:t>
      </w:r>
    </w:p>
    <w:p w14:paraId="5C65F55B" w14:textId="36F1A04E" w:rsidR="00B35EE7" w:rsidRPr="00F1794C" w:rsidRDefault="00B35EE7" w:rsidP="00456FC2">
      <w:pPr>
        <w:pStyle w:val="SingleTxt"/>
        <w:numPr>
          <w:ilvl w:val="0"/>
          <w:numId w:val="50"/>
        </w:numPr>
        <w:rPr>
          <w:lang w:val="fr-FR"/>
        </w:rPr>
      </w:pPr>
      <w:r w:rsidRPr="00F1794C">
        <w:rPr>
          <w:lang w:val="fr-FR"/>
        </w:rPr>
        <w:lastRenderedPageBreak/>
        <w:t>En ce qui concerne les élections législatives de 2016, en vertu de la loi organique n</w:t>
      </w:r>
      <w:r w:rsidRPr="00F1794C">
        <w:rPr>
          <w:vertAlign w:val="superscript"/>
          <w:lang w:val="fr-FR"/>
        </w:rPr>
        <w:t>o</w:t>
      </w:r>
      <w:r w:rsidR="00372EF1">
        <w:rPr>
          <w:lang w:val="fr-FR"/>
        </w:rPr>
        <w:t> </w:t>
      </w:r>
      <w:r w:rsidRPr="00F1794C">
        <w:rPr>
          <w:lang w:val="fr-FR"/>
        </w:rPr>
        <w:t>20-16</w:t>
      </w:r>
      <w:r w:rsidRPr="00FA086B">
        <w:rPr>
          <w:vertAlign w:val="superscript"/>
          <w:lang w:val="fr-FR"/>
        </w:rPr>
        <w:footnoteReference w:id="57"/>
      </w:r>
      <w:r w:rsidRPr="00F1794C">
        <w:rPr>
          <w:lang w:val="fr-FR"/>
        </w:rPr>
        <w:t>, une deuxième partie a été ajoutée à la liste des candidatures pour la circonscription électorale nationale. Elle comprend 30 sièges réservés aux jeunes hommes et aux jeunes femmes, ce qui a permis d</w:t>
      </w:r>
      <w:r w:rsidR="00F1794C" w:rsidRPr="00F1794C">
        <w:rPr>
          <w:lang w:val="fr-FR"/>
        </w:rPr>
        <w:t>’</w:t>
      </w:r>
      <w:r w:rsidRPr="00F1794C">
        <w:rPr>
          <w:lang w:val="fr-FR"/>
        </w:rPr>
        <w:t>accroître la participation des femmes de manière prometteuse (21</w:t>
      </w:r>
      <w:r w:rsidR="00F1794C" w:rsidRPr="00F1794C">
        <w:rPr>
          <w:lang w:val="fr-FR"/>
        </w:rPr>
        <w:t> %</w:t>
      </w:r>
      <w:r w:rsidRPr="00F1794C">
        <w:rPr>
          <w:lang w:val="fr-FR"/>
        </w:rPr>
        <w:t xml:space="preserve">, 81 députées). </w:t>
      </w:r>
    </w:p>
    <w:p w14:paraId="4E82980C" w14:textId="0F0B92C2" w:rsidR="00B35EE7" w:rsidRPr="00F1794C" w:rsidRDefault="00B35EE7" w:rsidP="00456FC2">
      <w:pPr>
        <w:pStyle w:val="SingleTxt"/>
        <w:numPr>
          <w:ilvl w:val="0"/>
          <w:numId w:val="50"/>
        </w:numPr>
        <w:rPr>
          <w:lang w:val="fr-FR"/>
        </w:rPr>
      </w:pPr>
      <w:r w:rsidRPr="00F1794C">
        <w:rPr>
          <w:lang w:val="fr-FR"/>
        </w:rPr>
        <w:t>La loi organique n</w:t>
      </w:r>
      <w:r w:rsidRPr="00F1794C">
        <w:rPr>
          <w:vertAlign w:val="superscript"/>
          <w:lang w:val="fr-FR"/>
        </w:rPr>
        <w:t>o</w:t>
      </w:r>
      <w:r w:rsidRPr="00F1794C">
        <w:rPr>
          <w:lang w:val="fr-FR"/>
        </w:rPr>
        <w:t xml:space="preserve"> 28-11 relative à la Chambre des conseillers</w:t>
      </w:r>
      <w:r w:rsidRPr="00FA086B">
        <w:rPr>
          <w:vertAlign w:val="superscript"/>
          <w:lang w:val="fr-FR"/>
        </w:rPr>
        <w:footnoteReference w:id="58"/>
      </w:r>
      <w:r w:rsidRPr="00F1794C">
        <w:rPr>
          <w:lang w:val="fr-FR"/>
        </w:rPr>
        <w:t xml:space="preserve"> consacre le principe de l</w:t>
      </w:r>
      <w:r w:rsidR="00F1794C" w:rsidRPr="00F1794C">
        <w:rPr>
          <w:lang w:val="fr-FR"/>
        </w:rPr>
        <w:t>’</w:t>
      </w:r>
      <w:r w:rsidRPr="00F1794C">
        <w:rPr>
          <w:lang w:val="fr-FR"/>
        </w:rPr>
        <w:t>alternance femme-homme sur les listes électorales présentées dans le cadre des collèges électoraux représentés à la Chambre lorsqu</w:t>
      </w:r>
      <w:r w:rsidR="00F1794C" w:rsidRPr="00F1794C">
        <w:rPr>
          <w:lang w:val="fr-FR"/>
        </w:rPr>
        <w:t>’</w:t>
      </w:r>
      <w:r w:rsidRPr="00F1794C">
        <w:rPr>
          <w:lang w:val="fr-FR"/>
        </w:rPr>
        <w:t>il s</w:t>
      </w:r>
      <w:r w:rsidR="00F1794C" w:rsidRPr="00F1794C">
        <w:rPr>
          <w:lang w:val="fr-FR"/>
        </w:rPr>
        <w:t>’</w:t>
      </w:r>
      <w:r w:rsidRPr="00F1794C">
        <w:rPr>
          <w:lang w:val="fr-FR"/>
        </w:rPr>
        <w:t>agit de listes de candidatures. En conséquence, les femmes ont pu obtenir 14 sièges sur 120 (11,67</w:t>
      </w:r>
      <w:r w:rsidR="00F1794C" w:rsidRPr="00F1794C">
        <w:rPr>
          <w:lang w:val="fr-FR"/>
        </w:rPr>
        <w:t> %</w:t>
      </w:r>
      <w:r w:rsidRPr="00F1794C">
        <w:rPr>
          <w:lang w:val="fr-FR"/>
        </w:rPr>
        <w:t>) lors des élections de 2015, contre 6 des 270 sièges (2,2</w:t>
      </w:r>
      <w:r w:rsidR="00F1794C" w:rsidRPr="00F1794C">
        <w:rPr>
          <w:lang w:val="fr-FR"/>
        </w:rPr>
        <w:t> %</w:t>
      </w:r>
      <w:r w:rsidRPr="00F1794C">
        <w:rPr>
          <w:lang w:val="fr-FR"/>
        </w:rPr>
        <w:t>) que comptait la Chambre dans sa précédente composition.</w:t>
      </w:r>
    </w:p>
    <w:p w14:paraId="030FE519" w14:textId="41B37FF3" w:rsidR="00B35EE7" w:rsidRPr="00F1794C" w:rsidRDefault="00B35EE7" w:rsidP="00456FC2">
      <w:pPr>
        <w:pStyle w:val="SingleTxt"/>
        <w:numPr>
          <w:ilvl w:val="0"/>
          <w:numId w:val="50"/>
        </w:numPr>
        <w:rPr>
          <w:lang w:val="fr-FR"/>
        </w:rPr>
      </w:pPr>
      <w:r w:rsidRPr="00F1794C">
        <w:rPr>
          <w:lang w:val="fr-FR"/>
        </w:rPr>
        <w:t>La loi organique n</w:t>
      </w:r>
      <w:r w:rsidRPr="00F1794C">
        <w:rPr>
          <w:vertAlign w:val="superscript"/>
          <w:lang w:val="fr-FR"/>
        </w:rPr>
        <w:t>o</w:t>
      </w:r>
      <w:r w:rsidR="00407C8E">
        <w:rPr>
          <w:lang w:val="fr-FR"/>
        </w:rPr>
        <w:t> </w:t>
      </w:r>
      <w:r w:rsidRPr="00F1794C">
        <w:rPr>
          <w:lang w:val="fr-FR"/>
        </w:rPr>
        <w:t>59-11 relative à l</w:t>
      </w:r>
      <w:r w:rsidR="00F1794C" w:rsidRPr="00F1794C">
        <w:rPr>
          <w:lang w:val="fr-FR"/>
        </w:rPr>
        <w:t>’</w:t>
      </w:r>
      <w:r w:rsidRPr="00F1794C">
        <w:rPr>
          <w:lang w:val="fr-FR"/>
        </w:rPr>
        <w:t>élection des membres des conseils des collectivités territoriales</w:t>
      </w:r>
      <w:r w:rsidRPr="00FA086B">
        <w:rPr>
          <w:vertAlign w:val="superscript"/>
          <w:lang w:val="fr-FR"/>
        </w:rPr>
        <w:footnoteReference w:id="59"/>
      </w:r>
      <w:r w:rsidRPr="00F1794C">
        <w:rPr>
          <w:lang w:val="fr-FR"/>
        </w:rPr>
        <w:t xml:space="preserve"> prévoit des mécanismes visant à accroître la représentation des femmes. Ainsi, dans les conseils des régions, un tiers des sièges sont réservés aux femmes dans chaque préfecture, province ou préfecture d</w:t>
      </w:r>
      <w:r w:rsidR="00F1794C" w:rsidRPr="00F1794C">
        <w:rPr>
          <w:lang w:val="fr-FR"/>
        </w:rPr>
        <w:t>’</w:t>
      </w:r>
      <w:r w:rsidRPr="00F1794C">
        <w:rPr>
          <w:lang w:val="fr-FR"/>
        </w:rPr>
        <w:t>arrondissements. Par ailleurs, dans les conseils des communes, conformément aux nouvelles dispositions figurant dans la loi organique n</w:t>
      </w:r>
      <w:r w:rsidRPr="00F1794C">
        <w:rPr>
          <w:vertAlign w:val="superscript"/>
          <w:lang w:val="fr-FR"/>
        </w:rPr>
        <w:t>o</w:t>
      </w:r>
      <w:r w:rsidRPr="00F1794C">
        <w:rPr>
          <w:lang w:val="fr-FR"/>
        </w:rPr>
        <w:t xml:space="preserve"> 34-15</w:t>
      </w:r>
      <w:r w:rsidRPr="00FA086B">
        <w:rPr>
          <w:vertAlign w:val="superscript"/>
          <w:lang w:val="fr-FR"/>
        </w:rPr>
        <w:footnoteReference w:id="60"/>
      </w:r>
      <w:r w:rsidRPr="00F1794C">
        <w:rPr>
          <w:lang w:val="fr-FR"/>
        </w:rPr>
        <w:t xml:space="preserve"> depuis 2015, un nombre minimum de quatre sièges sont réservés aux femmes dans chaque commune ou arrondissement, ce chiffre étant revu à la hausse en fonction du nombre total de sièges. </w:t>
      </w:r>
    </w:p>
    <w:p w14:paraId="13D4904E" w14:textId="77777777" w:rsidR="00B35EE7" w:rsidRPr="00F1794C" w:rsidRDefault="00B35EE7" w:rsidP="00456FC2">
      <w:pPr>
        <w:pStyle w:val="SingleTxt"/>
        <w:numPr>
          <w:ilvl w:val="0"/>
          <w:numId w:val="50"/>
        </w:numPr>
        <w:rPr>
          <w:lang w:val="fr-FR"/>
        </w:rPr>
      </w:pPr>
      <w:r w:rsidRPr="00F1794C">
        <w:rPr>
          <w:lang w:val="fr-FR"/>
        </w:rPr>
        <w:t xml:space="preserve">Des dispositions réglementaires visent à accorder des subventions aux partis politiques afin que ceux-ci encouragent les femmes adhérentes au parti à se porter candidates aux élections générales, législatives, communales et régionales sur les listes ou pour les sièges non réservés aux candidatures féminines. </w:t>
      </w:r>
    </w:p>
    <w:p w14:paraId="5CB0B7DC" w14:textId="7212F649" w:rsidR="00B35EE7" w:rsidRPr="00F1794C" w:rsidRDefault="00B35EE7" w:rsidP="00456FC2">
      <w:pPr>
        <w:pStyle w:val="SingleTxt"/>
        <w:numPr>
          <w:ilvl w:val="0"/>
          <w:numId w:val="50"/>
        </w:numPr>
        <w:rPr>
          <w:lang w:val="fr-FR"/>
        </w:rPr>
      </w:pPr>
      <w:r w:rsidRPr="00F1794C">
        <w:rPr>
          <w:lang w:val="fr-FR"/>
        </w:rPr>
        <w:t>En 2013 et 2014, le cadre réglementaire du fonds de soutien à l</w:t>
      </w:r>
      <w:r w:rsidR="00F1794C" w:rsidRPr="00F1794C">
        <w:rPr>
          <w:lang w:val="fr-FR"/>
        </w:rPr>
        <w:t>’</w:t>
      </w:r>
      <w:r w:rsidRPr="00F1794C">
        <w:rPr>
          <w:lang w:val="fr-FR"/>
        </w:rPr>
        <w:t>encouragement de la représentation des femmes a été modifié afin d</w:t>
      </w:r>
      <w:r w:rsidR="00F1794C" w:rsidRPr="00F1794C">
        <w:rPr>
          <w:lang w:val="fr-FR"/>
        </w:rPr>
        <w:t>’</w:t>
      </w:r>
      <w:r w:rsidRPr="00F1794C">
        <w:rPr>
          <w:lang w:val="fr-FR"/>
        </w:rPr>
        <w:t>en accroître l</w:t>
      </w:r>
      <w:r w:rsidR="00F1794C" w:rsidRPr="00F1794C">
        <w:rPr>
          <w:lang w:val="fr-FR"/>
        </w:rPr>
        <w:t>’</w:t>
      </w:r>
      <w:r w:rsidRPr="00F1794C">
        <w:rPr>
          <w:lang w:val="fr-FR"/>
        </w:rPr>
        <w:t>efficacité et l</w:t>
      </w:r>
      <w:r w:rsidR="00F1794C" w:rsidRPr="00F1794C">
        <w:rPr>
          <w:lang w:val="fr-FR"/>
        </w:rPr>
        <w:t>’</w:t>
      </w:r>
      <w:r w:rsidRPr="00F1794C">
        <w:rPr>
          <w:lang w:val="fr-FR"/>
        </w:rPr>
        <w:t xml:space="preserve">efficience. À la suite des élections législatives de 2016, les nouveaux membres de la commission chargée de la gestion du fonds de soutien ont été installés dans leurs fonctions en juin 2017, conformément aux dispositions réglementaires en vigueur. Depuis sa création, le Fonds a participé au financement de 354 projets dans les différentes régions du Royaume à hauteur de 53 millions de dirhams. Six demandes de projets ont été présentées. </w:t>
      </w:r>
    </w:p>
    <w:p w14:paraId="028A5442" w14:textId="16A4EF8F" w:rsidR="00B35EE7" w:rsidRPr="00F1794C" w:rsidRDefault="00B35EE7" w:rsidP="00456FC2">
      <w:pPr>
        <w:pStyle w:val="SingleTxt"/>
        <w:numPr>
          <w:ilvl w:val="0"/>
          <w:numId w:val="50"/>
        </w:numPr>
        <w:rPr>
          <w:lang w:val="fr-FR"/>
        </w:rPr>
      </w:pPr>
      <w:r w:rsidRPr="00F1794C">
        <w:rPr>
          <w:lang w:val="fr-FR"/>
        </w:rPr>
        <w:t>La participation des femmes à la vie politique s</w:t>
      </w:r>
      <w:r w:rsidR="00F1794C" w:rsidRPr="00F1794C">
        <w:rPr>
          <w:lang w:val="fr-FR"/>
        </w:rPr>
        <w:t>’</w:t>
      </w:r>
      <w:r w:rsidRPr="00F1794C">
        <w:rPr>
          <w:lang w:val="fr-FR"/>
        </w:rPr>
        <w:t>est améliorée de manière notable depuis l</w:t>
      </w:r>
      <w:r w:rsidR="00F1794C" w:rsidRPr="00F1794C">
        <w:rPr>
          <w:lang w:val="fr-FR"/>
        </w:rPr>
        <w:t>’</w:t>
      </w:r>
      <w:r w:rsidRPr="00F1794C">
        <w:rPr>
          <w:lang w:val="fr-FR"/>
        </w:rPr>
        <w:t>adoption d</w:t>
      </w:r>
      <w:r w:rsidR="00F1794C" w:rsidRPr="00F1794C">
        <w:rPr>
          <w:lang w:val="fr-FR"/>
        </w:rPr>
        <w:t>’</w:t>
      </w:r>
      <w:r w:rsidRPr="00F1794C">
        <w:rPr>
          <w:lang w:val="fr-FR"/>
        </w:rPr>
        <w:t>un mode de scrutin proportionnel plurinominal et de listes nationales réservées aux femmes dans le cadre d</w:t>
      </w:r>
      <w:r w:rsidR="00F1794C" w:rsidRPr="00F1794C">
        <w:rPr>
          <w:lang w:val="fr-FR"/>
        </w:rPr>
        <w:t>’</w:t>
      </w:r>
      <w:r w:rsidRPr="00F1794C">
        <w:rPr>
          <w:lang w:val="fr-FR"/>
        </w:rPr>
        <w:t>un accord entre les partis politiques lors des élections législatives de 2002. En 2007,</w:t>
      </w:r>
      <w:r w:rsidR="00F1794C" w:rsidRPr="00F1794C">
        <w:rPr>
          <w:lang w:val="fr-FR"/>
        </w:rPr>
        <w:t xml:space="preserve"> </w:t>
      </w:r>
      <w:r w:rsidRPr="00F1794C">
        <w:rPr>
          <w:lang w:val="fr-FR"/>
        </w:rPr>
        <w:t>35 députées ont été élues à la Chambre des représentants, en 2011, 67 (17</w:t>
      </w:r>
      <w:r w:rsidR="00F1794C" w:rsidRPr="00F1794C">
        <w:rPr>
          <w:lang w:val="fr-FR"/>
        </w:rPr>
        <w:t> %</w:t>
      </w:r>
      <w:r w:rsidRPr="00F1794C">
        <w:rPr>
          <w:lang w:val="fr-FR"/>
        </w:rPr>
        <w:t>) et 81 femmes (20,50</w:t>
      </w:r>
      <w:r w:rsidR="00F1794C" w:rsidRPr="00F1794C">
        <w:rPr>
          <w:lang w:val="fr-FR"/>
        </w:rPr>
        <w:t> %</w:t>
      </w:r>
      <w:r w:rsidRPr="00F1794C">
        <w:rPr>
          <w:lang w:val="fr-FR"/>
        </w:rPr>
        <w:t>) à la suite des élections législatives d</w:t>
      </w:r>
      <w:r w:rsidR="00F1794C" w:rsidRPr="00F1794C">
        <w:rPr>
          <w:lang w:val="fr-FR"/>
        </w:rPr>
        <w:t>’</w:t>
      </w:r>
      <w:r w:rsidRPr="00F1794C">
        <w:rPr>
          <w:lang w:val="fr-FR"/>
        </w:rPr>
        <w:t>octobre 2016. Des femmes occupent les postes de présidente de groupe, de présidente de commission et sont membres du Bureau, renforçant ainsi leur rôle dans l</w:t>
      </w:r>
      <w:r w:rsidR="00F1794C" w:rsidRPr="00F1794C">
        <w:rPr>
          <w:lang w:val="fr-FR"/>
        </w:rPr>
        <w:t>’</w:t>
      </w:r>
      <w:r w:rsidRPr="00F1794C">
        <w:rPr>
          <w:lang w:val="fr-FR"/>
        </w:rPr>
        <w:t xml:space="preserve">organe législatif. </w:t>
      </w:r>
    </w:p>
    <w:p w14:paraId="0FCF1995" w14:textId="209AB5DB" w:rsidR="00B35EE7" w:rsidRPr="00F1794C" w:rsidRDefault="00B35EE7" w:rsidP="00456FC2">
      <w:pPr>
        <w:pStyle w:val="SingleTxt"/>
        <w:numPr>
          <w:ilvl w:val="0"/>
          <w:numId w:val="50"/>
        </w:numPr>
        <w:rPr>
          <w:lang w:val="fr-FR"/>
        </w:rPr>
      </w:pPr>
      <w:r w:rsidRPr="00F1794C">
        <w:rPr>
          <w:lang w:val="fr-FR"/>
        </w:rPr>
        <w:t>En 2009, 20 326 femmes s</w:t>
      </w:r>
      <w:r w:rsidR="00F1794C" w:rsidRPr="00F1794C">
        <w:rPr>
          <w:lang w:val="fr-FR"/>
        </w:rPr>
        <w:t>’</w:t>
      </w:r>
      <w:r w:rsidRPr="00F1794C">
        <w:rPr>
          <w:lang w:val="fr-FR"/>
        </w:rPr>
        <w:t>étaient portées candidates aux élections communales</w:t>
      </w:r>
      <w:r w:rsidR="00F1794C" w:rsidRPr="00F1794C">
        <w:rPr>
          <w:lang w:val="fr-FR"/>
        </w:rPr>
        <w:t> ;</w:t>
      </w:r>
      <w:r w:rsidRPr="00F1794C">
        <w:rPr>
          <w:lang w:val="fr-FR"/>
        </w:rPr>
        <w:t xml:space="preserve"> 3 424 d</w:t>
      </w:r>
      <w:r w:rsidR="00F1794C" w:rsidRPr="00F1794C">
        <w:rPr>
          <w:lang w:val="fr-FR"/>
        </w:rPr>
        <w:t>’</w:t>
      </w:r>
      <w:r w:rsidRPr="00F1794C">
        <w:rPr>
          <w:lang w:val="fr-FR"/>
        </w:rPr>
        <w:t>entre elles ont obtenu un siège de conseillère communale, un chiffre 27 fois supérieur au nombre de conseillères communales élues en 2003. En outre, 12 communes sont présidées par des femmes (17</w:t>
      </w:r>
      <w:r w:rsidR="00F1794C" w:rsidRPr="00F1794C">
        <w:rPr>
          <w:lang w:val="fr-FR"/>
        </w:rPr>
        <w:t> %</w:t>
      </w:r>
      <w:r w:rsidRPr="00F1794C">
        <w:rPr>
          <w:lang w:val="fr-FR"/>
        </w:rPr>
        <w:t xml:space="preserve"> en milieu urbain et 83</w:t>
      </w:r>
      <w:r w:rsidR="00F1794C" w:rsidRPr="00F1794C">
        <w:rPr>
          <w:lang w:val="fr-FR"/>
        </w:rPr>
        <w:t> %</w:t>
      </w:r>
      <w:r w:rsidRPr="00F1794C">
        <w:rPr>
          <w:lang w:val="fr-FR"/>
        </w:rPr>
        <w:t xml:space="preserve"> </w:t>
      </w:r>
      <w:r w:rsidRPr="00F1794C">
        <w:rPr>
          <w:lang w:val="fr-FR"/>
        </w:rPr>
        <w:lastRenderedPageBreak/>
        <w:t>en milieu rural)</w:t>
      </w:r>
      <w:r w:rsidR="00F1794C" w:rsidRPr="00F1794C">
        <w:rPr>
          <w:lang w:val="fr-FR"/>
        </w:rPr>
        <w:t> ;</w:t>
      </w:r>
      <w:r w:rsidRPr="00F1794C">
        <w:rPr>
          <w:lang w:val="fr-FR"/>
        </w:rPr>
        <w:t xml:space="preserve"> 71</w:t>
      </w:r>
      <w:r w:rsidR="00F1794C" w:rsidRPr="00F1794C">
        <w:rPr>
          <w:lang w:val="fr-FR"/>
        </w:rPr>
        <w:t> %</w:t>
      </w:r>
      <w:r w:rsidRPr="00F1794C">
        <w:rPr>
          <w:lang w:val="fr-FR"/>
        </w:rPr>
        <w:t xml:space="preserve"> des élues ont atteint un niveau d</w:t>
      </w:r>
      <w:r w:rsidR="00F1794C" w:rsidRPr="00F1794C">
        <w:rPr>
          <w:lang w:val="fr-FR"/>
        </w:rPr>
        <w:t>’</w:t>
      </w:r>
      <w:r w:rsidRPr="00F1794C">
        <w:rPr>
          <w:lang w:val="fr-FR"/>
        </w:rPr>
        <w:t>instruction secondaire ou supérieur</w:t>
      </w:r>
      <w:r w:rsidRPr="00FA086B">
        <w:rPr>
          <w:vertAlign w:val="superscript"/>
          <w:lang w:val="fr-FR"/>
        </w:rPr>
        <w:footnoteReference w:id="61"/>
      </w:r>
      <w:r w:rsidRPr="00F1794C">
        <w:rPr>
          <w:lang w:val="fr-FR"/>
        </w:rPr>
        <w:t xml:space="preserve">. </w:t>
      </w:r>
    </w:p>
    <w:p w14:paraId="1715260D" w14:textId="1A4043FE" w:rsidR="00B35EE7" w:rsidRPr="00F1794C" w:rsidRDefault="00B35EE7" w:rsidP="00456FC2">
      <w:pPr>
        <w:pStyle w:val="SingleTxt"/>
        <w:numPr>
          <w:ilvl w:val="0"/>
          <w:numId w:val="50"/>
        </w:numPr>
        <w:rPr>
          <w:lang w:val="fr-FR"/>
        </w:rPr>
      </w:pPr>
      <w:r w:rsidRPr="00F1794C">
        <w:rPr>
          <w:lang w:val="fr-FR"/>
        </w:rPr>
        <w:t>En 2015, les femmes représentaient 21,94</w:t>
      </w:r>
      <w:r w:rsidR="00F1794C" w:rsidRPr="00F1794C">
        <w:rPr>
          <w:lang w:val="fr-FR"/>
        </w:rPr>
        <w:t> %</w:t>
      </w:r>
      <w:r w:rsidRPr="00F1794C">
        <w:rPr>
          <w:lang w:val="fr-FR"/>
        </w:rPr>
        <w:t xml:space="preserve"> de l</w:t>
      </w:r>
      <w:r w:rsidR="00F1794C" w:rsidRPr="00F1794C">
        <w:rPr>
          <w:lang w:val="fr-FR"/>
        </w:rPr>
        <w:t>’</w:t>
      </w:r>
      <w:r w:rsidRPr="00F1794C">
        <w:rPr>
          <w:lang w:val="fr-FR"/>
        </w:rPr>
        <w:t>ensemble des candidats aux élections communales et 38,64</w:t>
      </w:r>
      <w:r w:rsidR="00F1794C" w:rsidRPr="00F1794C">
        <w:rPr>
          <w:lang w:val="fr-FR"/>
        </w:rPr>
        <w:t> %</w:t>
      </w:r>
      <w:r w:rsidRPr="00F1794C">
        <w:rPr>
          <w:lang w:val="fr-FR"/>
        </w:rPr>
        <w:t xml:space="preserve"> des candidats aux élections régionales. </w:t>
      </w:r>
    </w:p>
    <w:p w14:paraId="48CD91EB" w14:textId="1E406C24" w:rsidR="00B35EE7" w:rsidRPr="00407C8E" w:rsidRDefault="00B35EE7" w:rsidP="00407C8E">
      <w:pPr>
        <w:pStyle w:val="SingleTxt"/>
        <w:spacing w:after="0" w:line="120" w:lineRule="exact"/>
        <w:rPr>
          <w:sz w:val="10"/>
          <w:lang w:val="fr-FR"/>
        </w:rPr>
      </w:pPr>
    </w:p>
    <w:tbl>
      <w:tblPr>
        <w:tblW w:w="7321" w:type="dxa"/>
        <w:tblInd w:w="126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321"/>
      </w:tblGrid>
      <w:tr w:rsidR="00B35EE7" w:rsidRPr="00F1794C" w14:paraId="694A577E" w14:textId="77777777">
        <w:tc>
          <w:tcPr>
            <w:tcW w:w="7321" w:type="dxa"/>
            <w:shd w:val="clear" w:color="auto" w:fill="auto"/>
          </w:tcPr>
          <w:p w14:paraId="1663F8E6" w14:textId="77777777" w:rsidR="00B35EE7" w:rsidRPr="00F1794C" w:rsidRDefault="00B35EE7" w:rsidP="00AD7B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475" w:right="475"/>
              <w:rPr>
                <w:sz w:val="10"/>
              </w:rPr>
            </w:pPr>
          </w:p>
          <w:p w14:paraId="145057F0" w14:textId="6532BE2E" w:rsidR="00B35EE7" w:rsidRPr="00F1794C" w:rsidRDefault="00B35EE7" w:rsidP="00AD7BA3">
            <w:pPr>
              <w:pStyle w:val="SingleTxt"/>
              <w:tabs>
                <w:tab w:val="left" w:pos="475"/>
                <w:tab w:val="left" w:pos="965"/>
                <w:tab w:val="left" w:pos="1440"/>
                <w:tab w:val="left" w:pos="1915"/>
                <w:tab w:val="left" w:pos="2405"/>
                <w:tab w:val="left" w:pos="2880"/>
                <w:tab w:val="left" w:pos="3355"/>
              </w:tabs>
              <w:ind w:left="475" w:right="475"/>
              <w:rPr>
                <w:lang w:val="fr-FR"/>
              </w:rPr>
            </w:pPr>
            <w:r w:rsidRPr="00F1794C">
              <w:rPr>
                <w:lang w:val="fr-FR"/>
              </w:rPr>
              <w:t>Les divers outils juridiques favorisant l</w:t>
            </w:r>
            <w:r w:rsidR="00F1794C" w:rsidRPr="00F1794C">
              <w:rPr>
                <w:lang w:val="fr-FR"/>
              </w:rPr>
              <w:t>’</w:t>
            </w:r>
            <w:r w:rsidRPr="00F1794C">
              <w:rPr>
                <w:lang w:val="fr-FR"/>
              </w:rPr>
              <w:t>accès des femmes à la vie politique ont permis d</w:t>
            </w:r>
            <w:r w:rsidR="00F1794C" w:rsidRPr="00F1794C">
              <w:rPr>
                <w:lang w:val="fr-FR"/>
              </w:rPr>
              <w:t>’</w:t>
            </w:r>
            <w:r w:rsidRPr="00F1794C">
              <w:rPr>
                <w:lang w:val="fr-FR"/>
              </w:rPr>
              <w:t>obtenir les résultats suivants</w:t>
            </w:r>
            <w:r w:rsidR="00F1794C" w:rsidRPr="00F1794C">
              <w:rPr>
                <w:lang w:val="fr-FR"/>
              </w:rPr>
              <w:t> :</w:t>
            </w:r>
          </w:p>
        </w:tc>
      </w:tr>
      <w:tr w:rsidR="00B35EE7" w:rsidRPr="00F1794C" w14:paraId="4DDC7931" w14:textId="77777777" w:rsidTr="00AD7BA3">
        <w:tc>
          <w:tcPr>
            <w:tcW w:w="7321" w:type="dxa"/>
            <w:shd w:val="clear" w:color="auto" w:fill="auto"/>
          </w:tcPr>
          <w:p w14:paraId="461C7C61" w14:textId="00B1ACC7" w:rsidR="00B35EE7" w:rsidRPr="00F1794C" w:rsidRDefault="00B35EE7" w:rsidP="00F13A4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right" w:pos="1040"/>
                <w:tab w:val="left" w:pos="1112"/>
                <w:tab w:val="left" w:pos="1437"/>
                <w:tab w:val="left" w:pos="1915"/>
                <w:tab w:val="left" w:pos="2405"/>
                <w:tab w:val="left" w:pos="2880"/>
                <w:tab w:val="left" w:pos="3355"/>
              </w:tabs>
              <w:ind w:left="1112" w:right="475" w:hanging="637"/>
            </w:pPr>
            <w:r w:rsidRPr="00F1794C">
              <w:tab/>
              <w:t>•</w:t>
            </w:r>
            <w:r w:rsidRPr="00F1794C">
              <w:tab/>
            </w:r>
            <w:r w:rsidR="00F13A4D" w:rsidRPr="00F1794C">
              <w:rPr>
                <w:lang w:val="fr-FR"/>
              </w:rPr>
              <w:t>Élection des membres des conseils communaux et des conseils d</w:t>
            </w:r>
            <w:r w:rsidR="00F1794C" w:rsidRPr="00F1794C">
              <w:rPr>
                <w:lang w:val="fr-FR"/>
              </w:rPr>
              <w:t>’</w:t>
            </w:r>
            <w:r w:rsidR="00F13A4D" w:rsidRPr="00F1794C">
              <w:rPr>
                <w:lang w:val="fr-FR"/>
              </w:rPr>
              <w:t>arrondissements</w:t>
            </w:r>
            <w:r w:rsidR="00407C8E">
              <w:rPr>
                <w:lang w:val="fr-FR"/>
              </w:rPr>
              <w:t xml:space="preserve"> </w:t>
            </w:r>
            <w:r w:rsidR="00F13A4D" w:rsidRPr="00F1794C">
              <w:rPr>
                <w:lang w:val="fr-FR"/>
              </w:rPr>
              <w:t>de 2015</w:t>
            </w:r>
            <w:r w:rsidR="00F1794C" w:rsidRPr="00F1794C">
              <w:rPr>
                <w:lang w:val="fr-FR"/>
              </w:rPr>
              <w:t> :</w:t>
            </w:r>
          </w:p>
        </w:tc>
      </w:tr>
      <w:tr w:rsidR="00B35EE7" w:rsidRPr="00F1794C" w14:paraId="1BC6CE4F" w14:textId="77777777">
        <w:tc>
          <w:tcPr>
            <w:tcW w:w="7321" w:type="dxa"/>
            <w:shd w:val="clear" w:color="auto" w:fill="auto"/>
          </w:tcPr>
          <w:p w14:paraId="5F1DF82D" w14:textId="2AFB6EAD" w:rsidR="00B35EE7" w:rsidRPr="00F1794C" w:rsidRDefault="00B35EE7" w:rsidP="00407C8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right" w:pos="988"/>
                <w:tab w:val="left" w:pos="1440"/>
                <w:tab w:val="left" w:pos="1915"/>
                <w:tab w:val="left" w:pos="2405"/>
                <w:tab w:val="left" w:pos="2880"/>
                <w:tab w:val="left" w:pos="3355"/>
              </w:tabs>
              <w:ind w:left="1440" w:right="475" w:hanging="965"/>
            </w:pPr>
            <w:r w:rsidRPr="00F1794C">
              <w:tab/>
              <w:t>–</w:t>
            </w:r>
            <w:r w:rsidRPr="00F1794C">
              <w:tab/>
            </w:r>
            <w:r w:rsidR="00F13A4D" w:rsidRPr="00F1794C">
              <w:rPr>
                <w:lang w:val="fr-FR"/>
              </w:rPr>
              <w:t>6 669 femmes élues, près de deux fois plus que le nombre de sièges gagnés par des femmes lors des élections communales de 2009</w:t>
            </w:r>
            <w:r w:rsidR="00F1794C" w:rsidRPr="00F1794C">
              <w:rPr>
                <w:lang w:val="fr-FR"/>
              </w:rPr>
              <w:t> ;</w:t>
            </w:r>
          </w:p>
        </w:tc>
      </w:tr>
      <w:tr w:rsidR="00AD7BA3" w:rsidRPr="00F1794C" w14:paraId="4E78000F" w14:textId="77777777" w:rsidTr="00AD7BA3">
        <w:tc>
          <w:tcPr>
            <w:tcW w:w="7321" w:type="dxa"/>
            <w:shd w:val="clear" w:color="auto" w:fill="auto"/>
          </w:tcPr>
          <w:p w14:paraId="437DDC44" w14:textId="5BD34416" w:rsidR="00AD7BA3" w:rsidRPr="00F1794C" w:rsidRDefault="00AD7BA3" w:rsidP="00407C8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right" w:pos="988"/>
                <w:tab w:val="left" w:pos="1440"/>
                <w:tab w:val="left" w:pos="1915"/>
                <w:tab w:val="left" w:pos="2405"/>
                <w:tab w:val="left" w:pos="2880"/>
                <w:tab w:val="left" w:pos="3355"/>
              </w:tabs>
              <w:ind w:left="1440" w:right="475" w:hanging="965"/>
            </w:pPr>
            <w:r w:rsidRPr="00F1794C">
              <w:tab/>
              <w:t>–</w:t>
            </w:r>
            <w:r w:rsidRPr="00F1794C">
              <w:tab/>
            </w:r>
            <w:r w:rsidR="00F13A4D" w:rsidRPr="00F1794C">
              <w:rPr>
                <w:lang w:val="fr-FR"/>
              </w:rPr>
              <w:t>2 388 femmes élues ont occupé des fonctions dans les organes directeurs des conseils de commune et des conseils d</w:t>
            </w:r>
            <w:r w:rsidR="00F1794C" w:rsidRPr="00F1794C">
              <w:rPr>
                <w:lang w:val="fr-FR"/>
              </w:rPr>
              <w:t>’</w:t>
            </w:r>
            <w:r w:rsidR="00F13A4D" w:rsidRPr="00F1794C">
              <w:rPr>
                <w:lang w:val="fr-FR"/>
              </w:rPr>
              <w:t>arrondissements et 1 693 la fonction de vice-présidence, soit près de 10 fois plus que le nombre de femmes élues à ce poste en 2009</w:t>
            </w:r>
            <w:r w:rsidR="00F1794C" w:rsidRPr="00F1794C">
              <w:rPr>
                <w:lang w:val="fr-FR"/>
              </w:rPr>
              <w:t> ;</w:t>
            </w:r>
          </w:p>
        </w:tc>
      </w:tr>
      <w:tr w:rsidR="00AD7BA3" w:rsidRPr="00F1794C" w14:paraId="7874B169" w14:textId="77777777" w:rsidTr="00AD7BA3">
        <w:tc>
          <w:tcPr>
            <w:tcW w:w="7321" w:type="dxa"/>
            <w:shd w:val="clear" w:color="auto" w:fill="auto"/>
          </w:tcPr>
          <w:p w14:paraId="156FAE0C" w14:textId="33726E96" w:rsidR="00AD7BA3" w:rsidRPr="00F1794C" w:rsidRDefault="00AD7BA3" w:rsidP="00F13A4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right" w:pos="1040"/>
                <w:tab w:val="left" w:pos="1112"/>
                <w:tab w:val="left" w:pos="1437"/>
                <w:tab w:val="left" w:pos="1915"/>
                <w:tab w:val="left" w:pos="2405"/>
                <w:tab w:val="left" w:pos="2880"/>
                <w:tab w:val="left" w:pos="3355"/>
              </w:tabs>
              <w:ind w:left="1112" w:right="475" w:hanging="637"/>
            </w:pPr>
            <w:r w:rsidRPr="00F1794C">
              <w:tab/>
              <w:t>•</w:t>
            </w:r>
            <w:r w:rsidRPr="00F1794C">
              <w:tab/>
            </w:r>
            <w:r w:rsidR="00F13A4D" w:rsidRPr="00F1794C">
              <w:rPr>
                <w:lang w:val="fr-FR"/>
              </w:rPr>
              <w:t>Élection des membres des conseils des régions</w:t>
            </w:r>
            <w:r w:rsidR="00F1794C" w:rsidRPr="00F1794C">
              <w:rPr>
                <w:lang w:val="fr-FR"/>
              </w:rPr>
              <w:t> :</w:t>
            </w:r>
          </w:p>
        </w:tc>
      </w:tr>
      <w:tr w:rsidR="00AD7BA3" w:rsidRPr="00F1794C" w14:paraId="77F30954" w14:textId="77777777" w:rsidTr="00AD7BA3">
        <w:tc>
          <w:tcPr>
            <w:tcW w:w="7321" w:type="dxa"/>
            <w:shd w:val="clear" w:color="auto" w:fill="auto"/>
          </w:tcPr>
          <w:p w14:paraId="384CDE25" w14:textId="434E8110" w:rsidR="00AD7BA3" w:rsidRPr="00F1794C" w:rsidRDefault="00AD7BA3" w:rsidP="00407C8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right" w:pos="988"/>
                <w:tab w:val="left" w:pos="1440"/>
                <w:tab w:val="left" w:pos="1915"/>
                <w:tab w:val="left" w:pos="2405"/>
                <w:tab w:val="left" w:pos="2880"/>
                <w:tab w:val="left" w:pos="3355"/>
              </w:tabs>
              <w:ind w:left="1440" w:right="475" w:hanging="965"/>
            </w:pPr>
            <w:r w:rsidRPr="00F1794C">
              <w:tab/>
              <w:t>–</w:t>
            </w:r>
            <w:r w:rsidRPr="00F1794C">
              <w:tab/>
            </w:r>
            <w:r w:rsidR="00F13A4D" w:rsidRPr="00F1794C">
              <w:rPr>
                <w:lang w:val="fr-FR"/>
              </w:rPr>
              <w:t>En 2015, dans chaque circonscription électorale, un tiers au moins des sièges étaient réservés aux femmes</w:t>
            </w:r>
            <w:r w:rsidR="00F1794C" w:rsidRPr="00F1794C">
              <w:rPr>
                <w:lang w:val="fr-FR"/>
              </w:rPr>
              <w:t> ;</w:t>
            </w:r>
            <w:r w:rsidR="00F13A4D" w:rsidRPr="00F1794C">
              <w:rPr>
                <w:lang w:val="fr-FR"/>
              </w:rPr>
              <w:t xml:space="preserve"> ainsi, les femmes représentaient 37,61</w:t>
            </w:r>
            <w:r w:rsidR="00F1794C" w:rsidRPr="00F1794C">
              <w:rPr>
                <w:lang w:val="fr-FR"/>
              </w:rPr>
              <w:t> %</w:t>
            </w:r>
            <w:r w:rsidR="00F13A4D" w:rsidRPr="00F1794C">
              <w:rPr>
                <w:lang w:val="fr-FR"/>
              </w:rPr>
              <w:t xml:space="preserve"> des élus</w:t>
            </w:r>
            <w:r w:rsidR="00F1794C" w:rsidRPr="00F1794C">
              <w:rPr>
                <w:lang w:val="fr-FR"/>
              </w:rPr>
              <w:t> ;</w:t>
            </w:r>
            <w:r w:rsidR="00F13A4D" w:rsidRPr="00F1794C">
              <w:rPr>
                <w:lang w:val="fr-FR"/>
              </w:rPr>
              <w:t xml:space="preserve"> 255 femmes ont été élues aux conseils des régions, dont 250 au titre des sièges qui leur étaient réservés dans le cadre du mécanisme visant à encourager la participation des femmes, soit 98</w:t>
            </w:r>
            <w:r w:rsidR="00F1794C" w:rsidRPr="00F1794C">
              <w:rPr>
                <w:lang w:val="fr-FR"/>
              </w:rPr>
              <w:t> %</w:t>
            </w:r>
            <w:r w:rsidR="00F13A4D" w:rsidRPr="00F1794C">
              <w:rPr>
                <w:lang w:val="fr-FR"/>
              </w:rPr>
              <w:t xml:space="preserve"> des sièges gagnés</w:t>
            </w:r>
            <w:r w:rsidR="00F1794C" w:rsidRPr="00F1794C">
              <w:rPr>
                <w:lang w:val="fr-FR"/>
              </w:rPr>
              <w:t> ;</w:t>
            </w:r>
          </w:p>
        </w:tc>
      </w:tr>
      <w:tr w:rsidR="00AD7BA3" w:rsidRPr="00F1794C" w14:paraId="128DCF40" w14:textId="77777777" w:rsidTr="00AD7BA3">
        <w:tc>
          <w:tcPr>
            <w:tcW w:w="7321" w:type="dxa"/>
            <w:shd w:val="clear" w:color="auto" w:fill="auto"/>
          </w:tcPr>
          <w:p w14:paraId="41B9DE31" w14:textId="6E2A25AA" w:rsidR="00AD7BA3" w:rsidRPr="00F1794C" w:rsidRDefault="00AD7BA3" w:rsidP="00407C8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right" w:pos="988"/>
                <w:tab w:val="left" w:pos="1440"/>
                <w:tab w:val="left" w:pos="1915"/>
                <w:tab w:val="left" w:pos="2405"/>
                <w:tab w:val="left" w:pos="2880"/>
                <w:tab w:val="left" w:pos="3355"/>
              </w:tabs>
              <w:ind w:left="1440" w:right="475" w:hanging="965"/>
            </w:pPr>
            <w:r w:rsidRPr="00F1794C">
              <w:tab/>
              <w:t>–</w:t>
            </w:r>
            <w:r w:rsidRPr="00F1794C">
              <w:tab/>
            </w:r>
            <w:r w:rsidR="00F13A4D" w:rsidRPr="00F1794C">
              <w:rPr>
                <w:lang w:val="fr-FR"/>
              </w:rPr>
              <w:t>37 élues ont obtenu un poste au sein des organes directeurs des conseils des régions.</w:t>
            </w:r>
          </w:p>
        </w:tc>
      </w:tr>
      <w:tr w:rsidR="00AD7BA3" w:rsidRPr="00F1794C" w14:paraId="52893C5C" w14:textId="77777777" w:rsidTr="00AD7BA3">
        <w:tc>
          <w:tcPr>
            <w:tcW w:w="7321" w:type="dxa"/>
            <w:shd w:val="clear" w:color="auto" w:fill="auto"/>
          </w:tcPr>
          <w:p w14:paraId="1A0525D6" w14:textId="22F7A448" w:rsidR="00AD7BA3" w:rsidRPr="00F1794C" w:rsidRDefault="00AD7BA3" w:rsidP="00F13A4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right" w:pos="1040"/>
                <w:tab w:val="left" w:pos="1112"/>
                <w:tab w:val="left" w:pos="1437"/>
                <w:tab w:val="left" w:pos="1915"/>
                <w:tab w:val="left" w:pos="2405"/>
                <w:tab w:val="left" w:pos="2880"/>
                <w:tab w:val="left" w:pos="3355"/>
              </w:tabs>
              <w:ind w:left="1112" w:right="475" w:hanging="637"/>
            </w:pPr>
            <w:r w:rsidRPr="00F1794C">
              <w:tab/>
              <w:t>•</w:t>
            </w:r>
            <w:r w:rsidRPr="00F1794C">
              <w:tab/>
            </w:r>
            <w:r w:rsidR="00F13A4D" w:rsidRPr="00F1794C">
              <w:rPr>
                <w:lang w:val="fr-FR"/>
              </w:rPr>
              <w:t>Élection des membres des conseils de préfecture et de province</w:t>
            </w:r>
            <w:r w:rsidR="00F1794C" w:rsidRPr="00F1794C">
              <w:rPr>
                <w:lang w:val="fr-FR"/>
              </w:rPr>
              <w:t> :</w:t>
            </w:r>
          </w:p>
        </w:tc>
      </w:tr>
      <w:tr w:rsidR="00AD7BA3" w:rsidRPr="00F1794C" w14:paraId="79B1F68B" w14:textId="77777777" w:rsidTr="00AD7BA3">
        <w:tc>
          <w:tcPr>
            <w:tcW w:w="7321" w:type="dxa"/>
            <w:shd w:val="clear" w:color="auto" w:fill="auto"/>
          </w:tcPr>
          <w:p w14:paraId="03D0BB66" w14:textId="7240E05D" w:rsidR="00AD7BA3" w:rsidRPr="00F1794C" w:rsidRDefault="00407C8E" w:rsidP="00407C8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right" w:pos="988"/>
                <w:tab w:val="left" w:pos="1440"/>
                <w:tab w:val="left" w:pos="1915"/>
                <w:tab w:val="left" w:pos="2405"/>
                <w:tab w:val="left" w:pos="2880"/>
                <w:tab w:val="left" w:pos="3355"/>
              </w:tabs>
              <w:ind w:left="1440" w:right="475" w:hanging="965"/>
            </w:pPr>
            <w:r w:rsidRPr="00F1794C">
              <w:tab/>
              <w:t>–</w:t>
            </w:r>
            <w:r w:rsidRPr="00F1794C">
              <w:tab/>
            </w:r>
            <w:r w:rsidR="00F13A4D" w:rsidRPr="00407C8E">
              <w:t>En 2015, 57 femmes élues</w:t>
            </w:r>
            <w:r w:rsidR="00F1794C" w:rsidRPr="00407C8E">
              <w:t>,</w:t>
            </w:r>
            <w:r w:rsidR="00F13A4D" w:rsidRPr="00407C8E">
              <w:t xml:space="preserve"> soit près du double qu</w:t>
            </w:r>
            <w:r w:rsidR="00F1794C" w:rsidRPr="00407C8E">
              <w:t>’</w:t>
            </w:r>
            <w:r w:rsidR="00F13A4D" w:rsidRPr="00407C8E">
              <w:t>en 2009</w:t>
            </w:r>
            <w:r w:rsidR="00F1794C" w:rsidRPr="00407C8E">
              <w:t> ;</w:t>
            </w:r>
          </w:p>
        </w:tc>
      </w:tr>
      <w:tr w:rsidR="00AD7BA3" w:rsidRPr="00F1794C" w14:paraId="41FB65DD" w14:textId="77777777" w:rsidTr="00AD7BA3">
        <w:tc>
          <w:tcPr>
            <w:tcW w:w="7321" w:type="dxa"/>
            <w:shd w:val="clear" w:color="auto" w:fill="auto"/>
          </w:tcPr>
          <w:p w14:paraId="1C9602F0" w14:textId="34FEF692" w:rsidR="00AD7BA3" w:rsidRPr="00F1794C" w:rsidRDefault="00AD7BA3" w:rsidP="00407C8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right" w:pos="988"/>
                <w:tab w:val="left" w:pos="1440"/>
                <w:tab w:val="left" w:pos="1915"/>
                <w:tab w:val="left" w:pos="2405"/>
                <w:tab w:val="left" w:pos="2880"/>
                <w:tab w:val="left" w:pos="3355"/>
              </w:tabs>
              <w:ind w:left="1440" w:right="475" w:hanging="965"/>
            </w:pPr>
            <w:r w:rsidRPr="00F1794C">
              <w:tab/>
              <w:t>–</w:t>
            </w:r>
            <w:r w:rsidRPr="00F1794C">
              <w:tab/>
            </w:r>
            <w:r w:rsidR="00F13A4D" w:rsidRPr="00F1794C">
              <w:rPr>
                <w:lang w:val="fr-FR"/>
              </w:rPr>
              <w:t>17 élues ont occupé des fonctions dans les organes directeurs des conseils.</w:t>
            </w:r>
          </w:p>
        </w:tc>
      </w:tr>
      <w:tr w:rsidR="00AD7BA3" w:rsidRPr="00F1794C" w14:paraId="685F5964" w14:textId="77777777" w:rsidTr="00AD7BA3">
        <w:tc>
          <w:tcPr>
            <w:tcW w:w="7321" w:type="dxa"/>
            <w:shd w:val="clear" w:color="auto" w:fill="auto"/>
          </w:tcPr>
          <w:p w14:paraId="2B9E062B" w14:textId="193FC628" w:rsidR="00AD7BA3" w:rsidRPr="00F1794C" w:rsidRDefault="00AD7BA3" w:rsidP="00F13A4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right" w:pos="1040"/>
                <w:tab w:val="left" w:pos="1112"/>
                <w:tab w:val="left" w:pos="1437"/>
                <w:tab w:val="left" w:pos="1915"/>
                <w:tab w:val="left" w:pos="2405"/>
                <w:tab w:val="left" w:pos="2880"/>
                <w:tab w:val="left" w:pos="3355"/>
              </w:tabs>
              <w:ind w:left="1112" w:right="475" w:hanging="637"/>
            </w:pPr>
            <w:r w:rsidRPr="00F1794C">
              <w:tab/>
              <w:t>•</w:t>
            </w:r>
            <w:r w:rsidRPr="00F1794C">
              <w:tab/>
            </w:r>
            <w:r w:rsidR="00F13A4D" w:rsidRPr="00F1794C">
              <w:rPr>
                <w:lang w:val="fr-FR"/>
              </w:rPr>
              <w:t>Élection des membres de la Chambre des conseillers</w:t>
            </w:r>
            <w:r w:rsidR="00F1794C" w:rsidRPr="00F1794C">
              <w:rPr>
                <w:lang w:val="fr-FR"/>
              </w:rPr>
              <w:t> :</w:t>
            </w:r>
          </w:p>
        </w:tc>
      </w:tr>
      <w:tr w:rsidR="00AD7BA3" w:rsidRPr="00F1794C" w14:paraId="24FCE01B" w14:textId="77777777" w:rsidTr="00AD7BA3">
        <w:tc>
          <w:tcPr>
            <w:tcW w:w="7321" w:type="dxa"/>
            <w:shd w:val="clear" w:color="auto" w:fill="auto"/>
          </w:tcPr>
          <w:p w14:paraId="179AB420" w14:textId="4A89634E" w:rsidR="00AD7BA3" w:rsidRPr="00F1794C" w:rsidRDefault="00AD7BA3" w:rsidP="00407C8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right" w:pos="988"/>
                <w:tab w:val="left" w:pos="1440"/>
                <w:tab w:val="left" w:pos="1915"/>
                <w:tab w:val="left" w:pos="2405"/>
                <w:tab w:val="left" w:pos="2880"/>
                <w:tab w:val="left" w:pos="3355"/>
              </w:tabs>
              <w:ind w:left="1440" w:right="475" w:hanging="965"/>
            </w:pPr>
            <w:r w:rsidRPr="00F1794C">
              <w:tab/>
              <w:t>–</w:t>
            </w:r>
            <w:r w:rsidRPr="00F1794C">
              <w:tab/>
            </w:r>
            <w:r w:rsidR="00F13A4D" w:rsidRPr="00F1794C">
              <w:rPr>
                <w:lang w:val="fr-FR"/>
              </w:rPr>
              <w:t>En 2015, 14 femmes, sur 120 candidates, ont été élues, gagnant 11,67</w:t>
            </w:r>
            <w:r w:rsidR="00F1794C" w:rsidRPr="00F1794C">
              <w:rPr>
                <w:lang w:val="fr-FR"/>
              </w:rPr>
              <w:t> %</w:t>
            </w:r>
            <w:r w:rsidR="00F13A4D" w:rsidRPr="00F1794C">
              <w:rPr>
                <w:lang w:val="fr-FR"/>
              </w:rPr>
              <w:t xml:space="preserve"> des sièges</w:t>
            </w:r>
            <w:r w:rsidR="00F1794C" w:rsidRPr="00F1794C">
              <w:rPr>
                <w:lang w:val="fr-FR"/>
              </w:rPr>
              <w:t> ;</w:t>
            </w:r>
            <w:r w:rsidR="00F13A4D" w:rsidRPr="00F1794C">
              <w:rPr>
                <w:lang w:val="fr-FR"/>
              </w:rPr>
              <w:t xml:space="preserve"> les femmes occupaient 6 des 270 sièges que comptait la Chambre dans sa précédente composition.</w:t>
            </w:r>
          </w:p>
        </w:tc>
      </w:tr>
      <w:tr w:rsidR="00B35EE7" w:rsidRPr="00F1794C" w14:paraId="634A9A9B" w14:textId="77777777">
        <w:tc>
          <w:tcPr>
            <w:tcW w:w="7321" w:type="dxa"/>
            <w:shd w:val="clear" w:color="auto" w:fill="auto"/>
          </w:tcPr>
          <w:p w14:paraId="34E57F1F" w14:textId="324A3F7D" w:rsidR="00B35EE7" w:rsidRPr="00F1794C" w:rsidRDefault="00B35EE7" w:rsidP="00F13A4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right" w:pos="1040"/>
                <w:tab w:val="left" w:pos="1112"/>
                <w:tab w:val="left" w:pos="1437"/>
                <w:tab w:val="left" w:pos="1915"/>
                <w:tab w:val="left" w:pos="2405"/>
                <w:tab w:val="left" w:pos="2880"/>
                <w:tab w:val="left" w:pos="3355"/>
              </w:tabs>
              <w:ind w:left="1112" w:right="475" w:hanging="637"/>
            </w:pPr>
            <w:r w:rsidRPr="00F1794C">
              <w:tab/>
              <w:t>•</w:t>
            </w:r>
            <w:r w:rsidRPr="00F1794C">
              <w:tab/>
            </w:r>
            <w:r w:rsidR="00F13A4D" w:rsidRPr="00F1794C">
              <w:rPr>
                <w:lang w:val="fr-FR"/>
              </w:rPr>
              <w:t>Deux régions, sur 12, sont présidées par des femmes.</w:t>
            </w:r>
          </w:p>
        </w:tc>
      </w:tr>
      <w:tr w:rsidR="00B35EE7" w:rsidRPr="00F1794C" w14:paraId="6BF5F33A" w14:textId="77777777">
        <w:trPr>
          <w:trHeight w:hRule="exact" w:val="115"/>
        </w:trPr>
        <w:tc>
          <w:tcPr>
            <w:tcW w:w="7321" w:type="dxa"/>
            <w:shd w:val="clear" w:color="auto" w:fill="auto"/>
          </w:tcPr>
          <w:p w14:paraId="5D38ED56" w14:textId="77777777" w:rsidR="00B35EE7" w:rsidRPr="00F1794C" w:rsidRDefault="00B35EE7" w:rsidP="00AD7B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p>
        </w:tc>
      </w:tr>
    </w:tbl>
    <w:p w14:paraId="5580E2FE" w14:textId="764919FE" w:rsidR="00B35EE7" w:rsidRPr="00407C8E" w:rsidRDefault="00B35EE7" w:rsidP="00407C8E">
      <w:pPr>
        <w:pStyle w:val="SingleTxt"/>
        <w:tabs>
          <w:tab w:val="right" w:pos="1685"/>
        </w:tabs>
        <w:spacing w:after="0" w:line="120" w:lineRule="exact"/>
        <w:ind w:left="1742" w:hanging="475"/>
        <w:rPr>
          <w:sz w:val="10"/>
        </w:rPr>
      </w:pPr>
    </w:p>
    <w:p w14:paraId="6D771BF5" w14:textId="0D787B6C" w:rsidR="00407C8E" w:rsidRPr="00407C8E" w:rsidRDefault="00407C8E" w:rsidP="00407C8E">
      <w:pPr>
        <w:pStyle w:val="SingleTxt"/>
        <w:tabs>
          <w:tab w:val="right" w:pos="1685"/>
        </w:tabs>
        <w:spacing w:after="0" w:line="120" w:lineRule="exact"/>
        <w:ind w:left="1742" w:hanging="475"/>
        <w:rPr>
          <w:sz w:val="10"/>
        </w:rPr>
      </w:pPr>
    </w:p>
    <w:p w14:paraId="5679C29B" w14:textId="54155C58" w:rsidR="00F13A4D" w:rsidRPr="00F13A4D" w:rsidRDefault="00F13A4D" w:rsidP="00456FC2">
      <w:pPr>
        <w:pStyle w:val="SingleTxt"/>
        <w:numPr>
          <w:ilvl w:val="0"/>
          <w:numId w:val="50"/>
        </w:numPr>
        <w:tabs>
          <w:tab w:val="right" w:pos="1685"/>
        </w:tabs>
        <w:rPr>
          <w:lang w:val="fr-FR"/>
        </w:rPr>
      </w:pPr>
      <w:r w:rsidRPr="00F13A4D">
        <w:rPr>
          <w:lang w:val="fr-FR"/>
        </w:rPr>
        <w:t>Comme suite à la recommandation formulée au paragraphe 25 des observations finales, les textes législatifs ci-après ont été adoptés afin d</w:t>
      </w:r>
      <w:r w:rsidR="00F1794C" w:rsidRPr="00F1794C">
        <w:rPr>
          <w:lang w:val="fr-FR"/>
        </w:rPr>
        <w:t>’</w:t>
      </w:r>
      <w:r w:rsidRPr="00F13A4D">
        <w:rPr>
          <w:lang w:val="fr-FR"/>
        </w:rPr>
        <w:t>améliorer l</w:t>
      </w:r>
      <w:r w:rsidR="00F1794C" w:rsidRPr="00F1794C">
        <w:rPr>
          <w:lang w:val="fr-FR"/>
        </w:rPr>
        <w:t>’</w:t>
      </w:r>
      <w:r w:rsidRPr="00F13A4D">
        <w:rPr>
          <w:lang w:val="fr-FR"/>
        </w:rPr>
        <w:t>accès des femmes aux postes et fonctions publiques</w:t>
      </w:r>
      <w:r w:rsidR="00F1794C" w:rsidRPr="00F1794C">
        <w:rPr>
          <w:lang w:val="fr-FR"/>
        </w:rPr>
        <w:t> :</w:t>
      </w:r>
    </w:p>
    <w:p w14:paraId="182BA4A1" w14:textId="23B7DEEA" w:rsidR="00F13A4D" w:rsidRPr="00F2717F" w:rsidRDefault="00F2717F" w:rsidP="00F2717F">
      <w:pPr>
        <w:pStyle w:val="SingleTxt"/>
        <w:tabs>
          <w:tab w:val="right" w:pos="1685"/>
        </w:tabs>
        <w:ind w:left="1742" w:hanging="475"/>
        <w:rPr>
          <w:lang w:val="fr-FR"/>
        </w:rPr>
      </w:pPr>
      <w:r>
        <w:rPr>
          <w:lang w:val="fr-FR"/>
        </w:rPr>
        <w:tab/>
        <w:t>•</w:t>
      </w:r>
      <w:r>
        <w:rPr>
          <w:lang w:val="fr-FR"/>
        </w:rPr>
        <w:tab/>
      </w:r>
      <w:r w:rsidR="00F13A4D" w:rsidRPr="00F2717F">
        <w:rPr>
          <w:lang w:val="fr-FR"/>
        </w:rPr>
        <w:t>La loi organique n</w:t>
      </w:r>
      <w:r w:rsidR="00F13A4D" w:rsidRPr="00F2717F">
        <w:rPr>
          <w:vertAlign w:val="superscript"/>
          <w:lang w:val="fr-FR"/>
        </w:rPr>
        <w:t>o</w:t>
      </w:r>
      <w:r w:rsidR="00F13A4D" w:rsidRPr="00F2717F">
        <w:rPr>
          <w:lang w:val="fr-FR"/>
        </w:rPr>
        <w:t xml:space="preserve"> 02-12 relative à la nomination aux fonctions supérieures</w:t>
      </w:r>
      <w:r w:rsidR="00F13A4D" w:rsidRPr="00FA086B">
        <w:rPr>
          <w:vertAlign w:val="superscript"/>
          <w:lang w:val="fr-FR"/>
        </w:rPr>
        <w:footnoteReference w:id="62"/>
      </w:r>
      <w:r w:rsidR="00F13A4D" w:rsidRPr="00F2717F">
        <w:rPr>
          <w:lang w:val="fr-FR"/>
        </w:rPr>
        <w:t xml:space="preserve"> de 2012</w:t>
      </w:r>
      <w:r w:rsidR="00F1794C" w:rsidRPr="00F2717F">
        <w:rPr>
          <w:lang w:val="fr-FR"/>
        </w:rPr>
        <w:t> ;</w:t>
      </w:r>
    </w:p>
    <w:p w14:paraId="5D5772AD" w14:textId="5FEF6D7B" w:rsidR="00F13A4D" w:rsidRPr="00F2717F" w:rsidRDefault="00F2717F" w:rsidP="00F2717F">
      <w:pPr>
        <w:pStyle w:val="SingleTxt"/>
        <w:tabs>
          <w:tab w:val="right" w:pos="1685"/>
        </w:tabs>
        <w:ind w:left="1742" w:hanging="475"/>
        <w:rPr>
          <w:lang w:val="fr-FR"/>
        </w:rPr>
      </w:pPr>
      <w:r>
        <w:rPr>
          <w:lang w:val="fr-FR"/>
        </w:rPr>
        <w:lastRenderedPageBreak/>
        <w:tab/>
        <w:t>•</w:t>
      </w:r>
      <w:r>
        <w:rPr>
          <w:lang w:val="fr-FR"/>
        </w:rPr>
        <w:tab/>
      </w:r>
      <w:r w:rsidR="00F13A4D" w:rsidRPr="00F2717F">
        <w:rPr>
          <w:lang w:val="fr-FR"/>
        </w:rPr>
        <w:t>L</w:t>
      </w:r>
      <w:r w:rsidR="00F1794C" w:rsidRPr="00F2717F">
        <w:rPr>
          <w:lang w:val="fr-FR"/>
        </w:rPr>
        <w:t>’</w:t>
      </w:r>
      <w:r w:rsidR="00F13A4D" w:rsidRPr="00F2717F">
        <w:rPr>
          <w:lang w:val="fr-FR"/>
        </w:rPr>
        <w:t>article 22 de la loi n</w:t>
      </w:r>
      <w:r w:rsidR="00F13A4D" w:rsidRPr="00F2717F">
        <w:rPr>
          <w:vertAlign w:val="superscript"/>
          <w:lang w:val="fr-FR"/>
        </w:rPr>
        <w:t>o</w:t>
      </w:r>
      <w:r w:rsidR="00F13A4D" w:rsidRPr="00F2717F">
        <w:rPr>
          <w:lang w:val="fr-FR"/>
        </w:rPr>
        <w:t xml:space="preserve"> 50-05 de mai 2011 qui consacre les principes d</w:t>
      </w:r>
      <w:r w:rsidR="00F1794C" w:rsidRPr="00F2717F">
        <w:rPr>
          <w:lang w:val="fr-FR"/>
        </w:rPr>
        <w:t>’</w:t>
      </w:r>
      <w:r w:rsidR="00F13A4D" w:rsidRPr="00F2717F">
        <w:rPr>
          <w:lang w:val="fr-FR"/>
        </w:rPr>
        <w:t>égalité, de transparence et de mérite dans l</w:t>
      </w:r>
      <w:r w:rsidR="00F1794C" w:rsidRPr="00F2717F">
        <w:rPr>
          <w:lang w:val="fr-FR"/>
        </w:rPr>
        <w:t>’</w:t>
      </w:r>
      <w:r w:rsidR="00F13A4D" w:rsidRPr="00F2717F">
        <w:rPr>
          <w:lang w:val="fr-FR"/>
        </w:rPr>
        <w:t>accès à l</w:t>
      </w:r>
      <w:r w:rsidR="00F1794C" w:rsidRPr="00F2717F">
        <w:rPr>
          <w:lang w:val="fr-FR"/>
        </w:rPr>
        <w:t>’</w:t>
      </w:r>
      <w:r w:rsidR="00F13A4D" w:rsidRPr="00F2717F">
        <w:rPr>
          <w:lang w:val="fr-FR"/>
        </w:rPr>
        <w:t>emploi public dans la diffusion des informations relatives aux concours de recrutement</w:t>
      </w:r>
      <w:r w:rsidR="00F13A4D" w:rsidRPr="00FA086B">
        <w:rPr>
          <w:vertAlign w:val="superscript"/>
          <w:lang w:val="fr-FR"/>
        </w:rPr>
        <w:footnoteReference w:id="63"/>
      </w:r>
      <w:r w:rsidR="00F1794C" w:rsidRPr="00F2717F">
        <w:rPr>
          <w:lang w:val="fr-FR"/>
        </w:rPr>
        <w:t> ;</w:t>
      </w:r>
    </w:p>
    <w:p w14:paraId="7ED74DE8" w14:textId="7F47E38B" w:rsidR="00F13A4D" w:rsidRPr="00F2717F" w:rsidRDefault="00F2717F" w:rsidP="00F2717F">
      <w:pPr>
        <w:pStyle w:val="SingleTxt"/>
        <w:tabs>
          <w:tab w:val="right" w:pos="1685"/>
        </w:tabs>
        <w:ind w:left="1742" w:hanging="475"/>
        <w:rPr>
          <w:lang w:val="fr-FR"/>
        </w:rPr>
      </w:pPr>
      <w:r>
        <w:rPr>
          <w:lang w:val="fr-FR"/>
        </w:rPr>
        <w:tab/>
        <w:t>•</w:t>
      </w:r>
      <w:r>
        <w:rPr>
          <w:lang w:val="fr-FR"/>
        </w:rPr>
        <w:tab/>
      </w:r>
      <w:r w:rsidR="00F13A4D" w:rsidRPr="00F2717F">
        <w:rPr>
          <w:lang w:val="fr-FR"/>
        </w:rPr>
        <w:t>Le décret fixant les conditions et les modalités d</w:t>
      </w:r>
      <w:r w:rsidR="00F1794C" w:rsidRPr="00F2717F">
        <w:rPr>
          <w:lang w:val="fr-FR"/>
        </w:rPr>
        <w:t>’</w:t>
      </w:r>
      <w:r w:rsidR="00F13A4D" w:rsidRPr="00F2717F">
        <w:rPr>
          <w:lang w:val="fr-FR"/>
        </w:rPr>
        <w:t>organisation des concours de recrutement dans les emplois publics dans le cadre de l</w:t>
      </w:r>
      <w:r w:rsidR="00F1794C" w:rsidRPr="00F2717F">
        <w:rPr>
          <w:lang w:val="fr-FR"/>
        </w:rPr>
        <w:t>’</w:t>
      </w:r>
      <w:r w:rsidR="00F13A4D" w:rsidRPr="00F2717F">
        <w:rPr>
          <w:lang w:val="fr-FR"/>
        </w:rPr>
        <w:t>égalité des chances et d</w:t>
      </w:r>
      <w:r w:rsidR="00F1794C" w:rsidRPr="00F2717F">
        <w:rPr>
          <w:lang w:val="fr-FR"/>
        </w:rPr>
        <w:t>’</w:t>
      </w:r>
      <w:r w:rsidR="00F13A4D" w:rsidRPr="00F2717F">
        <w:rPr>
          <w:lang w:val="fr-FR"/>
        </w:rPr>
        <w:t>une plus grande transparence</w:t>
      </w:r>
      <w:r w:rsidR="00F13A4D" w:rsidRPr="00FA086B">
        <w:rPr>
          <w:vertAlign w:val="superscript"/>
          <w:lang w:val="fr-FR"/>
        </w:rPr>
        <w:footnoteReference w:id="64"/>
      </w:r>
      <w:r w:rsidR="00F1794C" w:rsidRPr="00F2717F">
        <w:rPr>
          <w:lang w:val="fr-FR"/>
        </w:rPr>
        <w:t> ;</w:t>
      </w:r>
    </w:p>
    <w:p w14:paraId="24D4AF2D" w14:textId="03F13FDD" w:rsidR="00F13A4D" w:rsidRPr="00F2717F" w:rsidRDefault="00F2717F" w:rsidP="00F2717F">
      <w:pPr>
        <w:pStyle w:val="SingleTxt"/>
        <w:tabs>
          <w:tab w:val="right" w:pos="1685"/>
        </w:tabs>
        <w:ind w:left="1742" w:hanging="475"/>
        <w:rPr>
          <w:lang w:val="fr-FR"/>
        </w:rPr>
      </w:pPr>
      <w:r>
        <w:rPr>
          <w:lang w:val="fr-FR"/>
        </w:rPr>
        <w:tab/>
        <w:t>•</w:t>
      </w:r>
      <w:r>
        <w:rPr>
          <w:lang w:val="fr-FR"/>
        </w:rPr>
        <w:tab/>
      </w:r>
      <w:r w:rsidR="00F13A4D" w:rsidRPr="00F2717F">
        <w:rPr>
          <w:lang w:val="fr-FR"/>
        </w:rPr>
        <w:t>L</w:t>
      </w:r>
      <w:r w:rsidR="00F1794C" w:rsidRPr="00F2717F">
        <w:rPr>
          <w:lang w:val="fr-FR"/>
        </w:rPr>
        <w:t>’</w:t>
      </w:r>
      <w:r w:rsidR="00F13A4D" w:rsidRPr="00F2717F">
        <w:rPr>
          <w:lang w:val="fr-FR"/>
        </w:rPr>
        <w:t>article 46 de la loi n</w:t>
      </w:r>
      <w:r w:rsidR="00F13A4D" w:rsidRPr="00F2717F">
        <w:rPr>
          <w:vertAlign w:val="superscript"/>
          <w:lang w:val="fr-FR"/>
        </w:rPr>
        <w:t>o</w:t>
      </w:r>
      <w:r w:rsidR="00F13A4D" w:rsidRPr="00F2717F">
        <w:rPr>
          <w:lang w:val="fr-FR"/>
        </w:rPr>
        <w:t xml:space="preserve"> 50-05 qui porte de 12 à 14 semaines la durée du congé de maternité auquel la fonctionnaire a droit</w:t>
      </w:r>
      <w:r w:rsidR="00F1794C" w:rsidRPr="00F2717F">
        <w:rPr>
          <w:lang w:val="fr-FR"/>
        </w:rPr>
        <w:t> ;</w:t>
      </w:r>
    </w:p>
    <w:p w14:paraId="0E51086C" w14:textId="592BB835" w:rsidR="00F13A4D" w:rsidRPr="00F2717F" w:rsidRDefault="00F2717F" w:rsidP="00F2717F">
      <w:pPr>
        <w:pStyle w:val="SingleTxt"/>
        <w:tabs>
          <w:tab w:val="right" w:pos="1685"/>
        </w:tabs>
        <w:ind w:left="1742" w:hanging="475"/>
        <w:rPr>
          <w:lang w:val="fr-FR"/>
        </w:rPr>
      </w:pPr>
      <w:r>
        <w:rPr>
          <w:lang w:val="fr-FR"/>
        </w:rPr>
        <w:tab/>
        <w:t>•</w:t>
      </w:r>
      <w:r>
        <w:rPr>
          <w:lang w:val="fr-FR"/>
        </w:rPr>
        <w:tab/>
      </w:r>
      <w:r w:rsidR="00F13A4D" w:rsidRPr="00F2717F">
        <w:rPr>
          <w:lang w:val="fr-FR"/>
        </w:rPr>
        <w:t>Le décret n</w:t>
      </w:r>
      <w:r w:rsidRPr="00F2717F">
        <w:rPr>
          <w:vertAlign w:val="superscript"/>
          <w:lang w:val="fr-FR"/>
        </w:rPr>
        <w:t>o</w:t>
      </w:r>
      <w:r w:rsidR="00F13A4D" w:rsidRPr="00F2717F">
        <w:rPr>
          <w:lang w:val="fr-FR"/>
        </w:rPr>
        <w:t xml:space="preserve"> 2-11-681 de novembre 2011 relatif aux modalités de nomination des chefs de division et des chefs de service au sein des administrations publiques, dont l</w:t>
      </w:r>
      <w:r w:rsidR="00F1794C" w:rsidRPr="00F2717F">
        <w:rPr>
          <w:lang w:val="fr-FR"/>
        </w:rPr>
        <w:t>’</w:t>
      </w:r>
      <w:r w:rsidR="00F13A4D" w:rsidRPr="00F2717F">
        <w:rPr>
          <w:lang w:val="fr-FR"/>
        </w:rPr>
        <w:t>article 9 rend obligatoire la nomination d</w:t>
      </w:r>
      <w:r w:rsidR="00F1794C" w:rsidRPr="00F2717F">
        <w:rPr>
          <w:lang w:val="fr-FR"/>
        </w:rPr>
        <w:t>’</w:t>
      </w:r>
      <w:r w:rsidR="00F13A4D" w:rsidRPr="00F2717F">
        <w:rPr>
          <w:lang w:val="fr-FR"/>
        </w:rPr>
        <w:t>au moins une femme au sein du comité d</w:t>
      </w:r>
      <w:r w:rsidR="00F1794C" w:rsidRPr="00F2717F">
        <w:rPr>
          <w:lang w:val="fr-FR"/>
        </w:rPr>
        <w:t>’</w:t>
      </w:r>
      <w:r w:rsidR="00F13A4D" w:rsidRPr="00F2717F">
        <w:rPr>
          <w:lang w:val="fr-FR"/>
        </w:rPr>
        <w:t>organisation</w:t>
      </w:r>
      <w:r w:rsidR="00F1794C" w:rsidRPr="00F2717F">
        <w:rPr>
          <w:lang w:val="fr-FR"/>
        </w:rPr>
        <w:t> ;</w:t>
      </w:r>
    </w:p>
    <w:p w14:paraId="55BCDE1E" w14:textId="7D46A88F" w:rsidR="00F13A4D" w:rsidRPr="00F2717F" w:rsidRDefault="00F2717F" w:rsidP="00F2717F">
      <w:pPr>
        <w:pStyle w:val="SingleTxt"/>
        <w:tabs>
          <w:tab w:val="right" w:pos="1685"/>
        </w:tabs>
        <w:ind w:left="1742" w:hanging="475"/>
        <w:rPr>
          <w:lang w:val="fr-FR"/>
        </w:rPr>
      </w:pPr>
      <w:r>
        <w:rPr>
          <w:lang w:val="fr-FR"/>
        </w:rPr>
        <w:tab/>
        <w:t>•</w:t>
      </w:r>
      <w:r>
        <w:rPr>
          <w:lang w:val="fr-FR"/>
        </w:rPr>
        <w:tab/>
      </w:r>
      <w:r w:rsidR="00F13A4D" w:rsidRPr="00F2717F">
        <w:rPr>
          <w:lang w:val="fr-FR"/>
        </w:rPr>
        <w:t>Le décret 2-15-770 de 2016 fixant les conditions et modalités de recrutement par contrats dans les administrations publiques</w:t>
      </w:r>
      <w:r w:rsidR="00F1794C" w:rsidRPr="00F2717F">
        <w:rPr>
          <w:lang w:val="fr-FR"/>
        </w:rPr>
        <w:t> ;</w:t>
      </w:r>
    </w:p>
    <w:p w14:paraId="49A1F84B" w14:textId="1ABD77F4" w:rsidR="00F13A4D" w:rsidRPr="00F2717F" w:rsidRDefault="00F2717F" w:rsidP="00F2717F">
      <w:pPr>
        <w:pStyle w:val="SingleTxt"/>
        <w:tabs>
          <w:tab w:val="right" w:pos="1685"/>
        </w:tabs>
        <w:ind w:left="1742" w:hanging="475"/>
        <w:rPr>
          <w:lang w:val="fr-FR"/>
        </w:rPr>
      </w:pPr>
      <w:r>
        <w:rPr>
          <w:lang w:val="fr-FR"/>
        </w:rPr>
        <w:tab/>
        <w:t>•</w:t>
      </w:r>
      <w:r>
        <w:rPr>
          <w:lang w:val="fr-FR"/>
        </w:rPr>
        <w:tab/>
      </w:r>
      <w:r w:rsidR="00F13A4D" w:rsidRPr="00F2717F">
        <w:rPr>
          <w:lang w:val="fr-FR"/>
        </w:rPr>
        <w:t>La décision portant création de l</w:t>
      </w:r>
      <w:r w:rsidR="00F1794C" w:rsidRPr="00F2717F">
        <w:rPr>
          <w:lang w:val="fr-FR"/>
        </w:rPr>
        <w:t>’</w:t>
      </w:r>
      <w:r w:rsidR="00F13A4D" w:rsidRPr="00F2717F">
        <w:rPr>
          <w:lang w:val="fr-FR"/>
        </w:rPr>
        <w:t>Observatoire Genre de la fonction publique et de sa base de données électronique</w:t>
      </w:r>
      <w:r w:rsidR="00F13A4D" w:rsidRPr="00FA086B">
        <w:rPr>
          <w:vertAlign w:val="superscript"/>
          <w:lang w:val="fr-FR"/>
        </w:rPr>
        <w:footnoteReference w:id="65"/>
      </w:r>
      <w:r w:rsidR="00F1794C" w:rsidRPr="00F2717F">
        <w:rPr>
          <w:lang w:val="fr-FR"/>
        </w:rPr>
        <w:t> ;</w:t>
      </w:r>
    </w:p>
    <w:p w14:paraId="65BF3574" w14:textId="71AF84CF" w:rsidR="00F13A4D" w:rsidRPr="00F2717F" w:rsidRDefault="00F2717F" w:rsidP="00F2717F">
      <w:pPr>
        <w:pStyle w:val="SingleTxt"/>
        <w:tabs>
          <w:tab w:val="right" w:pos="1685"/>
        </w:tabs>
        <w:ind w:left="1742" w:hanging="475"/>
        <w:rPr>
          <w:lang w:val="fr-FR"/>
        </w:rPr>
      </w:pPr>
      <w:r>
        <w:rPr>
          <w:lang w:val="fr-FR"/>
        </w:rPr>
        <w:tab/>
        <w:t>•</w:t>
      </w:r>
      <w:r>
        <w:rPr>
          <w:lang w:val="fr-FR"/>
        </w:rPr>
        <w:tab/>
      </w:r>
      <w:r w:rsidR="00F13A4D" w:rsidRPr="00F2717F">
        <w:rPr>
          <w:lang w:val="fr-FR"/>
        </w:rPr>
        <w:t>Publication d</w:t>
      </w:r>
      <w:r w:rsidR="00F1794C" w:rsidRPr="00F2717F">
        <w:rPr>
          <w:lang w:val="fr-FR"/>
        </w:rPr>
        <w:t>’</w:t>
      </w:r>
      <w:r w:rsidR="00F13A4D" w:rsidRPr="00F2717F">
        <w:rPr>
          <w:lang w:val="fr-FR"/>
        </w:rPr>
        <w:t>une circulaire en août 2018 sur les autorisations d</w:t>
      </w:r>
      <w:r w:rsidR="00F1794C" w:rsidRPr="00F2717F">
        <w:rPr>
          <w:lang w:val="fr-FR"/>
        </w:rPr>
        <w:t>’</w:t>
      </w:r>
      <w:r w:rsidR="00F13A4D" w:rsidRPr="00F2717F">
        <w:rPr>
          <w:lang w:val="fr-FR"/>
        </w:rPr>
        <w:t>absence pour allaitement</w:t>
      </w:r>
      <w:r w:rsidR="00F13A4D" w:rsidRPr="00FA086B">
        <w:rPr>
          <w:vertAlign w:val="superscript"/>
          <w:lang w:val="fr-FR"/>
        </w:rPr>
        <w:footnoteReference w:id="66"/>
      </w:r>
      <w:r w:rsidR="00F13A4D" w:rsidRPr="00F2717F">
        <w:rPr>
          <w:lang w:val="fr-FR"/>
        </w:rPr>
        <w:t xml:space="preserve"> dont la durée a été portée à 18 mois à compter de la date de fin de congé de maternité</w:t>
      </w:r>
      <w:r w:rsidR="00F1794C" w:rsidRPr="00F2717F">
        <w:rPr>
          <w:lang w:val="fr-FR"/>
        </w:rPr>
        <w:t> ;</w:t>
      </w:r>
      <w:r w:rsidR="00F13A4D" w:rsidRPr="00F2717F">
        <w:rPr>
          <w:lang w:val="fr-FR"/>
        </w:rPr>
        <w:t xml:space="preserve"> </w:t>
      </w:r>
    </w:p>
    <w:p w14:paraId="737285AB" w14:textId="7586E9BD" w:rsidR="00F13A4D" w:rsidRPr="00F2717F" w:rsidRDefault="00F2717F" w:rsidP="00F2717F">
      <w:pPr>
        <w:pStyle w:val="SingleTxt"/>
        <w:tabs>
          <w:tab w:val="right" w:pos="1685"/>
        </w:tabs>
        <w:ind w:left="1742" w:hanging="475"/>
        <w:rPr>
          <w:lang w:val="fr-FR"/>
        </w:rPr>
      </w:pPr>
      <w:r>
        <w:rPr>
          <w:lang w:val="fr-FR"/>
        </w:rPr>
        <w:tab/>
        <w:t>•</w:t>
      </w:r>
      <w:r>
        <w:rPr>
          <w:lang w:val="fr-FR"/>
        </w:rPr>
        <w:tab/>
      </w:r>
      <w:r w:rsidR="00F13A4D" w:rsidRPr="00F2717F">
        <w:rPr>
          <w:lang w:val="fr-FR"/>
        </w:rPr>
        <w:t>Préparation d</w:t>
      </w:r>
      <w:r w:rsidR="00F1794C" w:rsidRPr="00F2717F">
        <w:rPr>
          <w:lang w:val="fr-FR"/>
        </w:rPr>
        <w:t>’</w:t>
      </w:r>
      <w:r w:rsidR="00F13A4D" w:rsidRPr="00F2717F">
        <w:rPr>
          <w:lang w:val="fr-FR"/>
        </w:rPr>
        <w:t>un cahier des charges type sur les crèches situées à proximité du lieu de travail</w:t>
      </w:r>
      <w:r w:rsidR="00F13A4D" w:rsidRPr="00FA086B">
        <w:rPr>
          <w:vertAlign w:val="superscript"/>
          <w:lang w:val="fr-FR"/>
        </w:rPr>
        <w:footnoteReference w:id="67"/>
      </w:r>
      <w:r w:rsidR="00F1794C" w:rsidRPr="00F2717F">
        <w:rPr>
          <w:lang w:val="fr-FR"/>
        </w:rPr>
        <w:t> ;</w:t>
      </w:r>
    </w:p>
    <w:p w14:paraId="0B7EEBDB" w14:textId="53C1F145" w:rsidR="00F13A4D" w:rsidRPr="00F2717F" w:rsidRDefault="00F2717F" w:rsidP="00F2717F">
      <w:pPr>
        <w:pStyle w:val="SingleTxt"/>
        <w:tabs>
          <w:tab w:val="right" w:pos="1685"/>
        </w:tabs>
        <w:ind w:left="1742" w:hanging="475"/>
        <w:rPr>
          <w:lang w:val="fr-FR"/>
        </w:rPr>
      </w:pPr>
      <w:r>
        <w:rPr>
          <w:lang w:val="fr-FR"/>
        </w:rPr>
        <w:tab/>
        <w:t>•</w:t>
      </w:r>
      <w:r>
        <w:rPr>
          <w:lang w:val="fr-FR"/>
        </w:rPr>
        <w:tab/>
      </w:r>
      <w:r w:rsidR="00F13A4D" w:rsidRPr="00F2717F">
        <w:rPr>
          <w:lang w:val="fr-FR"/>
        </w:rPr>
        <w:t>Publication d</w:t>
      </w:r>
      <w:r w:rsidR="00F1794C" w:rsidRPr="00F2717F">
        <w:rPr>
          <w:lang w:val="fr-FR"/>
        </w:rPr>
        <w:t>’</w:t>
      </w:r>
      <w:r w:rsidR="00F13A4D" w:rsidRPr="00F2717F">
        <w:rPr>
          <w:lang w:val="fr-FR"/>
        </w:rPr>
        <w:t xml:space="preserve">une circulaire en septembre 2019 sur la mise en place des crèches dans les départements gouvernementaux. </w:t>
      </w:r>
    </w:p>
    <w:p w14:paraId="1F2AF86B" w14:textId="23E2D8F2" w:rsidR="00F13A4D" w:rsidRPr="00F13A4D" w:rsidRDefault="00F13A4D" w:rsidP="00456FC2">
      <w:pPr>
        <w:pStyle w:val="SingleTxt"/>
        <w:numPr>
          <w:ilvl w:val="0"/>
          <w:numId w:val="50"/>
        </w:numPr>
        <w:tabs>
          <w:tab w:val="right" w:pos="1685"/>
        </w:tabs>
        <w:rPr>
          <w:lang w:val="fr-FR"/>
        </w:rPr>
      </w:pPr>
      <w:r w:rsidRPr="00F13A4D">
        <w:rPr>
          <w:lang w:val="fr-FR"/>
        </w:rPr>
        <w:t>Dans le cadre de l</w:t>
      </w:r>
      <w:r w:rsidR="00F1794C" w:rsidRPr="00F1794C">
        <w:rPr>
          <w:lang w:val="fr-FR"/>
        </w:rPr>
        <w:t>’</w:t>
      </w:r>
      <w:r w:rsidRPr="00F13A4D">
        <w:rPr>
          <w:lang w:val="fr-FR"/>
        </w:rPr>
        <w:t>institutionnalisation de la dimension de genre, les mesures ci-après ont été prises</w:t>
      </w:r>
      <w:r w:rsidR="00F1794C" w:rsidRPr="00F1794C">
        <w:rPr>
          <w:lang w:val="fr-FR"/>
        </w:rPr>
        <w:t> :</w:t>
      </w:r>
      <w:r w:rsidRPr="00F13A4D">
        <w:rPr>
          <w:lang w:val="fr-FR"/>
        </w:rPr>
        <w:t xml:space="preserve"> </w:t>
      </w:r>
    </w:p>
    <w:p w14:paraId="4E88DBC4" w14:textId="15880476" w:rsidR="00F13A4D" w:rsidRPr="00F2717F" w:rsidRDefault="00F2717F" w:rsidP="00F2717F">
      <w:pPr>
        <w:pStyle w:val="SingleTxt"/>
        <w:tabs>
          <w:tab w:val="right" w:pos="1685"/>
        </w:tabs>
        <w:ind w:left="1742" w:hanging="475"/>
        <w:rPr>
          <w:lang w:val="fr-FR"/>
        </w:rPr>
      </w:pPr>
      <w:r>
        <w:rPr>
          <w:lang w:val="fr-FR"/>
        </w:rPr>
        <w:tab/>
        <w:t>•</w:t>
      </w:r>
      <w:r>
        <w:rPr>
          <w:lang w:val="fr-FR"/>
        </w:rPr>
        <w:tab/>
      </w:r>
      <w:r w:rsidR="00F13A4D" w:rsidRPr="00F2717F">
        <w:rPr>
          <w:lang w:val="fr-FR"/>
        </w:rPr>
        <w:t>Création, en 2010, du réseau de concertation interministériel chargé d</w:t>
      </w:r>
      <w:r w:rsidR="00F1794C" w:rsidRPr="00F2717F">
        <w:rPr>
          <w:lang w:val="fr-FR"/>
        </w:rPr>
        <w:t>’</w:t>
      </w:r>
      <w:r w:rsidR="00F13A4D" w:rsidRPr="00F2717F">
        <w:rPr>
          <w:lang w:val="fr-FR"/>
        </w:rPr>
        <w:t>étudier la problématique femmes-hommes dans la fonction publique</w:t>
      </w:r>
      <w:r w:rsidR="00F1794C" w:rsidRPr="00F2717F">
        <w:rPr>
          <w:lang w:val="fr-FR"/>
        </w:rPr>
        <w:t> ;</w:t>
      </w:r>
    </w:p>
    <w:p w14:paraId="7363BF33" w14:textId="1E1FCD21" w:rsidR="00F13A4D" w:rsidRPr="00F2717F" w:rsidRDefault="00F2717F" w:rsidP="00F2717F">
      <w:pPr>
        <w:pStyle w:val="SingleTxt"/>
        <w:tabs>
          <w:tab w:val="right" w:pos="1685"/>
        </w:tabs>
        <w:ind w:left="1742" w:hanging="475"/>
        <w:rPr>
          <w:lang w:val="fr-FR"/>
        </w:rPr>
      </w:pPr>
      <w:r>
        <w:rPr>
          <w:lang w:val="fr-FR"/>
        </w:rPr>
        <w:tab/>
        <w:t>•</w:t>
      </w:r>
      <w:r>
        <w:rPr>
          <w:lang w:val="fr-FR"/>
        </w:rPr>
        <w:tab/>
      </w:r>
      <w:r w:rsidR="00F13A4D" w:rsidRPr="00F2717F">
        <w:rPr>
          <w:lang w:val="fr-FR"/>
        </w:rPr>
        <w:t>Adoption d</w:t>
      </w:r>
      <w:r w:rsidR="00F1794C" w:rsidRPr="00F2717F">
        <w:rPr>
          <w:lang w:val="fr-FR"/>
        </w:rPr>
        <w:t>’</w:t>
      </w:r>
      <w:r w:rsidR="00F13A4D" w:rsidRPr="00F2717F">
        <w:rPr>
          <w:lang w:val="fr-FR"/>
        </w:rPr>
        <w:t>un manuel de référence sur l</w:t>
      </w:r>
      <w:r w:rsidR="00F1794C" w:rsidRPr="00F2717F">
        <w:rPr>
          <w:lang w:val="fr-FR"/>
        </w:rPr>
        <w:t>’</w:t>
      </w:r>
      <w:r w:rsidR="00F13A4D" w:rsidRPr="00F2717F">
        <w:rPr>
          <w:lang w:val="fr-FR"/>
        </w:rPr>
        <w:t>intégration de la dimension de genre dans la gestion des ressources humaines</w:t>
      </w:r>
      <w:r w:rsidR="00F1794C" w:rsidRPr="00F2717F">
        <w:rPr>
          <w:lang w:val="fr-FR"/>
        </w:rPr>
        <w:t> ;</w:t>
      </w:r>
      <w:r w:rsidR="00F13A4D" w:rsidRPr="00F2717F">
        <w:rPr>
          <w:lang w:val="fr-FR"/>
        </w:rPr>
        <w:t xml:space="preserve"> </w:t>
      </w:r>
    </w:p>
    <w:p w14:paraId="54AAEEED" w14:textId="450D2F8C" w:rsidR="00F13A4D" w:rsidRPr="00F2717F" w:rsidRDefault="00F2717F" w:rsidP="00F2717F">
      <w:pPr>
        <w:pStyle w:val="SingleTxt"/>
        <w:tabs>
          <w:tab w:val="right" w:pos="1685"/>
        </w:tabs>
        <w:ind w:left="1742" w:hanging="475"/>
        <w:rPr>
          <w:lang w:val="fr-FR"/>
        </w:rPr>
      </w:pPr>
      <w:r>
        <w:rPr>
          <w:lang w:val="fr-FR"/>
        </w:rPr>
        <w:tab/>
        <w:t>•</w:t>
      </w:r>
      <w:r>
        <w:rPr>
          <w:lang w:val="fr-FR"/>
        </w:rPr>
        <w:tab/>
      </w:r>
      <w:r w:rsidR="00F13A4D" w:rsidRPr="00F2717F">
        <w:rPr>
          <w:lang w:val="fr-FR"/>
        </w:rPr>
        <w:t>Adoption du plan national de la réforme de l</w:t>
      </w:r>
      <w:r w:rsidR="00F1794C" w:rsidRPr="00F2717F">
        <w:rPr>
          <w:lang w:val="fr-FR"/>
        </w:rPr>
        <w:t>’</w:t>
      </w:r>
      <w:r w:rsidR="00F13A4D" w:rsidRPr="00F2717F">
        <w:rPr>
          <w:lang w:val="fr-FR"/>
        </w:rPr>
        <w:t>administration 2018-2021, qui prévoit 24 projets répartis selon les axes de transformation structurelle, numérique et éthique et de transformation en matière d</w:t>
      </w:r>
      <w:r w:rsidR="00F1794C" w:rsidRPr="00F2717F">
        <w:rPr>
          <w:lang w:val="fr-FR"/>
        </w:rPr>
        <w:t>’</w:t>
      </w:r>
      <w:r w:rsidR="00F13A4D" w:rsidRPr="00F2717F">
        <w:rPr>
          <w:lang w:val="fr-FR"/>
        </w:rPr>
        <w:t>organisation et de gestion, comprenant le plan d</w:t>
      </w:r>
      <w:r w:rsidR="00F1794C" w:rsidRPr="00F2717F">
        <w:rPr>
          <w:lang w:val="fr-FR"/>
        </w:rPr>
        <w:t>’</w:t>
      </w:r>
      <w:r w:rsidR="00F13A4D" w:rsidRPr="00F2717F">
        <w:rPr>
          <w:lang w:val="fr-FR"/>
        </w:rPr>
        <w:t>exécution de la stratégie d</w:t>
      </w:r>
      <w:r w:rsidR="00F1794C" w:rsidRPr="00F2717F">
        <w:rPr>
          <w:lang w:val="fr-FR"/>
        </w:rPr>
        <w:t>’</w:t>
      </w:r>
      <w:r w:rsidR="00F13A4D" w:rsidRPr="00F2717F">
        <w:rPr>
          <w:lang w:val="fr-FR"/>
        </w:rPr>
        <w:t>institutionnalisation de l</w:t>
      </w:r>
      <w:r w:rsidR="00F1794C" w:rsidRPr="00F2717F">
        <w:rPr>
          <w:lang w:val="fr-FR"/>
        </w:rPr>
        <w:t>’</w:t>
      </w:r>
      <w:r w:rsidR="00F13A4D" w:rsidRPr="00F2717F">
        <w:rPr>
          <w:lang w:val="fr-FR"/>
        </w:rPr>
        <w:t>égalité des sexes dans la fonction publique au titre de la transformation de la gestion.</w:t>
      </w:r>
    </w:p>
    <w:p w14:paraId="3C9CED6A" w14:textId="0833F329" w:rsidR="00F13A4D" w:rsidRPr="00F13A4D" w:rsidRDefault="00F13A4D" w:rsidP="00456FC2">
      <w:pPr>
        <w:pStyle w:val="SingleTxt"/>
        <w:numPr>
          <w:ilvl w:val="0"/>
          <w:numId w:val="50"/>
        </w:numPr>
        <w:tabs>
          <w:tab w:val="right" w:pos="1685"/>
        </w:tabs>
        <w:rPr>
          <w:lang w:val="fr-FR"/>
        </w:rPr>
      </w:pPr>
      <w:r w:rsidRPr="00F13A4D">
        <w:rPr>
          <w:lang w:val="fr-FR"/>
        </w:rPr>
        <w:t>En 2018, un nouvel axe a été ajouté au programme du Fonds de modernisation de l</w:t>
      </w:r>
      <w:r w:rsidR="00F1794C" w:rsidRPr="00F1794C">
        <w:rPr>
          <w:lang w:val="fr-FR"/>
        </w:rPr>
        <w:t>’</w:t>
      </w:r>
      <w:r w:rsidRPr="00F13A4D">
        <w:rPr>
          <w:lang w:val="fr-FR"/>
        </w:rPr>
        <w:t>administration publique, créé en 2005. Il s</w:t>
      </w:r>
      <w:r w:rsidR="00F1794C" w:rsidRPr="00F1794C">
        <w:rPr>
          <w:lang w:val="fr-FR"/>
        </w:rPr>
        <w:t>’</w:t>
      </w:r>
      <w:r w:rsidRPr="00F13A4D">
        <w:rPr>
          <w:lang w:val="fr-FR"/>
        </w:rPr>
        <w:t>agit de la promotion des questions de genre dans la fonction publique visant ç promouvoir l</w:t>
      </w:r>
      <w:r w:rsidR="00F1794C" w:rsidRPr="00F1794C">
        <w:rPr>
          <w:lang w:val="fr-FR"/>
        </w:rPr>
        <w:t>’</w:t>
      </w:r>
      <w:r w:rsidRPr="00F13A4D">
        <w:rPr>
          <w:lang w:val="fr-FR"/>
        </w:rPr>
        <w:t>égalité des sexes dans l</w:t>
      </w:r>
      <w:r w:rsidR="00F1794C" w:rsidRPr="00F1794C">
        <w:rPr>
          <w:lang w:val="fr-FR"/>
        </w:rPr>
        <w:t>’</w:t>
      </w:r>
      <w:r w:rsidRPr="00F13A4D">
        <w:rPr>
          <w:lang w:val="fr-FR"/>
        </w:rPr>
        <w:t>administration publique, d</w:t>
      </w:r>
      <w:r w:rsidR="00F1794C" w:rsidRPr="00F1794C">
        <w:rPr>
          <w:lang w:val="fr-FR"/>
        </w:rPr>
        <w:t>’</w:t>
      </w:r>
      <w:r w:rsidRPr="00F13A4D">
        <w:rPr>
          <w:lang w:val="fr-FR"/>
        </w:rPr>
        <w:t xml:space="preserve">assurer le suivi de la situation dans ce domaine et de fournir une aide financière et technique à cet effet. </w:t>
      </w:r>
    </w:p>
    <w:p w14:paraId="011EA262" w14:textId="77777777" w:rsidR="00F2717F" w:rsidRPr="00F2717F" w:rsidRDefault="00F2717F" w:rsidP="00F2717F">
      <w:pPr>
        <w:pStyle w:val="SingleTxt"/>
        <w:tabs>
          <w:tab w:val="right" w:pos="1685"/>
        </w:tabs>
        <w:spacing w:after="0" w:line="120" w:lineRule="exact"/>
        <w:ind w:left="1742" w:hanging="475"/>
        <w:rPr>
          <w:sz w:val="10"/>
          <w:lang w:val="fr-FR"/>
        </w:rPr>
      </w:pPr>
    </w:p>
    <w:p w14:paraId="60EBDEFB" w14:textId="2339E15A" w:rsidR="00F2717F" w:rsidRDefault="00F2717F" w:rsidP="00F2717F">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lastRenderedPageBreak/>
        <w:tab/>
      </w:r>
      <w:r>
        <w:rPr>
          <w:lang w:val="fr-FR"/>
        </w:rPr>
        <w:tab/>
      </w:r>
      <w:r w:rsidR="00F13A4D" w:rsidRPr="00F13A4D">
        <w:rPr>
          <w:lang w:val="fr-FR"/>
        </w:rPr>
        <w:t xml:space="preserve">Tableau 6 </w:t>
      </w:r>
    </w:p>
    <w:p w14:paraId="423AB568" w14:textId="77777777" w:rsidR="00F85844" w:rsidRDefault="00A96FAB" w:rsidP="00A96FA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F13A4D" w:rsidRPr="00F13A4D">
        <w:rPr>
          <w:lang w:val="fr-FR"/>
        </w:rPr>
        <w:t>Accès des femmes à l</w:t>
      </w:r>
      <w:r w:rsidR="00F1794C" w:rsidRPr="00F1794C">
        <w:rPr>
          <w:lang w:val="fr-FR"/>
        </w:rPr>
        <w:t>’</w:t>
      </w:r>
      <w:r w:rsidR="00F13A4D" w:rsidRPr="00F13A4D">
        <w:rPr>
          <w:lang w:val="fr-FR"/>
        </w:rPr>
        <w:t xml:space="preserve">administration publique </w:t>
      </w:r>
    </w:p>
    <w:p w14:paraId="6B4CC3E3" w14:textId="0FC04B89" w:rsidR="00F13A4D" w:rsidRPr="00F85844" w:rsidRDefault="00F85844" w:rsidP="00F85844">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asciiTheme="majorBidi" w:hAnsiTheme="majorBidi" w:cstheme="majorBidi"/>
          <w:sz w:val="14"/>
          <w:szCs w:val="14"/>
          <w:lang w:val="fr-FR"/>
        </w:rPr>
      </w:pPr>
      <w:r>
        <w:rPr>
          <w:lang w:val="fr-FR"/>
        </w:rPr>
        <w:tab/>
      </w:r>
      <w:r>
        <w:rPr>
          <w:lang w:val="fr-FR"/>
        </w:rPr>
        <w:tab/>
      </w:r>
      <w:r w:rsidR="00F13A4D" w:rsidRPr="00F85844">
        <w:rPr>
          <w:rFonts w:asciiTheme="majorBidi" w:hAnsiTheme="majorBidi" w:cstheme="majorBidi"/>
          <w:sz w:val="14"/>
          <w:szCs w:val="14"/>
          <w:lang w:val="fr-FR"/>
        </w:rPr>
        <w:t>(</w:t>
      </w:r>
      <w:r w:rsidR="00F13A4D" w:rsidRPr="00F85844">
        <w:rPr>
          <w:rFonts w:asciiTheme="majorBidi" w:hAnsiTheme="majorBidi" w:cstheme="majorBidi"/>
          <w:sz w:val="14"/>
          <w:szCs w:val="14"/>
        </w:rPr>
        <w:t>en pourcentage</w:t>
      </w:r>
      <w:r w:rsidR="00F13A4D" w:rsidRPr="00F85844">
        <w:rPr>
          <w:rFonts w:asciiTheme="majorBidi" w:hAnsiTheme="majorBidi" w:cstheme="majorBidi"/>
          <w:sz w:val="14"/>
          <w:szCs w:val="14"/>
          <w:lang w:val="fr-FR"/>
        </w:rPr>
        <w:t>)</w:t>
      </w:r>
    </w:p>
    <w:p w14:paraId="4C910BE8" w14:textId="38565B58" w:rsidR="00B35EE7" w:rsidRPr="00A96FAB" w:rsidRDefault="00B35EE7" w:rsidP="00A96FAB">
      <w:pPr>
        <w:pStyle w:val="SingleTxt"/>
        <w:tabs>
          <w:tab w:val="right" w:pos="1685"/>
        </w:tabs>
        <w:spacing w:after="0" w:line="120" w:lineRule="exact"/>
        <w:ind w:left="1742" w:hanging="475"/>
        <w:rPr>
          <w:sz w:val="10"/>
          <w:lang w:val="fr-FR"/>
        </w:rPr>
      </w:pPr>
    </w:p>
    <w:p w14:paraId="63FB1E93" w14:textId="77777777" w:rsidR="00A96FAB" w:rsidRPr="00A96FAB" w:rsidRDefault="00A96FAB" w:rsidP="00A96FAB">
      <w:pPr>
        <w:pStyle w:val="SingleTxt"/>
        <w:tabs>
          <w:tab w:val="right" w:pos="1685"/>
        </w:tabs>
        <w:spacing w:after="0" w:line="120" w:lineRule="exact"/>
        <w:ind w:left="1742" w:hanging="475"/>
        <w:rPr>
          <w:sz w:val="10"/>
          <w:lang w:val="fr-FR"/>
        </w:rPr>
      </w:pPr>
    </w:p>
    <w:tbl>
      <w:tblPr>
        <w:tblW w:w="0" w:type="auto"/>
        <w:jc w:val="center"/>
        <w:tblLayout w:type="fixed"/>
        <w:tblCellMar>
          <w:left w:w="0" w:type="dxa"/>
          <w:right w:w="0" w:type="dxa"/>
        </w:tblCellMar>
        <w:tblLook w:val="04A0" w:firstRow="1" w:lastRow="0" w:firstColumn="1" w:lastColumn="0" w:noHBand="0" w:noVBand="1"/>
      </w:tblPr>
      <w:tblGrid>
        <w:gridCol w:w="3960"/>
        <w:gridCol w:w="672"/>
        <w:gridCol w:w="672"/>
        <w:gridCol w:w="672"/>
        <w:gridCol w:w="672"/>
        <w:gridCol w:w="672"/>
      </w:tblGrid>
      <w:tr w:rsidR="00A96FAB" w:rsidRPr="00A96FAB" w14:paraId="65646762" w14:textId="77777777" w:rsidTr="00A17DCB">
        <w:trPr>
          <w:cantSplit/>
          <w:tblHeader/>
          <w:jc w:val="center"/>
        </w:trPr>
        <w:tc>
          <w:tcPr>
            <w:tcW w:w="3960" w:type="dxa"/>
            <w:tcBorders>
              <w:top w:val="single" w:sz="4" w:space="0" w:color="auto"/>
            </w:tcBorders>
            <w:shd w:val="clear" w:color="auto" w:fill="auto"/>
            <w:noWrap/>
            <w:vAlign w:val="bottom"/>
          </w:tcPr>
          <w:p w14:paraId="13FA4FB3" w14:textId="77777777" w:rsidR="00A96FAB" w:rsidRPr="00A96FAB" w:rsidRDefault="00A96FAB" w:rsidP="00A96FAB">
            <w:pPr>
              <w:suppressAutoHyphens/>
              <w:spacing w:before="81" w:after="81" w:line="160" w:lineRule="exact"/>
              <w:ind w:right="40"/>
              <w:rPr>
                <w:i/>
                <w:sz w:val="14"/>
              </w:rPr>
            </w:pPr>
          </w:p>
        </w:tc>
        <w:tc>
          <w:tcPr>
            <w:tcW w:w="3360" w:type="dxa"/>
            <w:gridSpan w:val="5"/>
            <w:tcBorders>
              <w:top w:val="single" w:sz="4" w:space="0" w:color="auto"/>
              <w:bottom w:val="single" w:sz="4" w:space="0" w:color="auto"/>
            </w:tcBorders>
            <w:shd w:val="clear" w:color="auto" w:fill="auto"/>
            <w:noWrap/>
            <w:vAlign w:val="bottom"/>
          </w:tcPr>
          <w:p w14:paraId="181E81C0" w14:textId="15038DC2" w:rsidR="00A96FAB" w:rsidRPr="00A96FAB" w:rsidRDefault="00A96FAB" w:rsidP="00A96FAB">
            <w:pPr>
              <w:suppressAutoHyphens/>
              <w:spacing w:before="81" w:after="81" w:line="160" w:lineRule="exact"/>
              <w:ind w:right="43"/>
              <w:jc w:val="center"/>
              <w:rPr>
                <w:i/>
                <w:sz w:val="14"/>
              </w:rPr>
            </w:pPr>
            <w:r w:rsidRPr="00A96FAB">
              <w:rPr>
                <w:i/>
                <w:sz w:val="14"/>
              </w:rPr>
              <w:t>Année</w:t>
            </w:r>
          </w:p>
        </w:tc>
      </w:tr>
      <w:tr w:rsidR="00A96FAB" w:rsidRPr="00A96FAB" w14:paraId="39E769B5" w14:textId="77777777" w:rsidTr="00A96FAB">
        <w:trPr>
          <w:cantSplit/>
          <w:tblHeader/>
          <w:jc w:val="center"/>
        </w:trPr>
        <w:tc>
          <w:tcPr>
            <w:tcW w:w="3960" w:type="dxa"/>
            <w:tcBorders>
              <w:bottom w:val="single" w:sz="12" w:space="0" w:color="auto"/>
            </w:tcBorders>
            <w:shd w:val="clear" w:color="auto" w:fill="auto"/>
            <w:noWrap/>
            <w:vAlign w:val="bottom"/>
          </w:tcPr>
          <w:p w14:paraId="54978131" w14:textId="7EF9CCC7" w:rsidR="00F2717F" w:rsidRPr="00A96FAB" w:rsidRDefault="00F2717F" w:rsidP="00A96FAB">
            <w:pPr>
              <w:suppressAutoHyphens/>
              <w:spacing w:before="81" w:after="81" w:line="160" w:lineRule="exact"/>
              <w:ind w:right="40"/>
              <w:rPr>
                <w:i/>
                <w:sz w:val="14"/>
              </w:rPr>
            </w:pPr>
            <w:r w:rsidRPr="00A96FAB">
              <w:rPr>
                <w:i/>
                <w:sz w:val="14"/>
              </w:rPr>
              <w:t>Taux de féminisation</w:t>
            </w:r>
          </w:p>
        </w:tc>
        <w:tc>
          <w:tcPr>
            <w:tcW w:w="672" w:type="dxa"/>
            <w:tcBorders>
              <w:top w:val="single" w:sz="4" w:space="0" w:color="auto"/>
              <w:bottom w:val="single" w:sz="12" w:space="0" w:color="auto"/>
            </w:tcBorders>
            <w:shd w:val="clear" w:color="auto" w:fill="auto"/>
            <w:noWrap/>
            <w:vAlign w:val="bottom"/>
          </w:tcPr>
          <w:p w14:paraId="534419F4" w14:textId="1978A671" w:rsidR="00F2717F" w:rsidRPr="00A96FAB" w:rsidRDefault="00F2717F" w:rsidP="00A96FAB">
            <w:pPr>
              <w:suppressAutoHyphens/>
              <w:spacing w:before="81" w:after="81" w:line="160" w:lineRule="exact"/>
              <w:ind w:right="43"/>
              <w:jc w:val="right"/>
              <w:rPr>
                <w:i/>
                <w:sz w:val="14"/>
              </w:rPr>
            </w:pPr>
            <w:r w:rsidRPr="00A96FAB">
              <w:rPr>
                <w:i/>
                <w:sz w:val="14"/>
              </w:rPr>
              <w:t>2012</w:t>
            </w:r>
          </w:p>
        </w:tc>
        <w:tc>
          <w:tcPr>
            <w:tcW w:w="672" w:type="dxa"/>
            <w:tcBorders>
              <w:top w:val="single" w:sz="4" w:space="0" w:color="auto"/>
              <w:bottom w:val="single" w:sz="12" w:space="0" w:color="auto"/>
            </w:tcBorders>
            <w:shd w:val="clear" w:color="auto" w:fill="auto"/>
            <w:noWrap/>
            <w:vAlign w:val="bottom"/>
          </w:tcPr>
          <w:p w14:paraId="76A487B8" w14:textId="2BD543C5" w:rsidR="00F2717F" w:rsidRPr="00A96FAB" w:rsidRDefault="00F2717F" w:rsidP="00A96FAB">
            <w:pPr>
              <w:suppressAutoHyphens/>
              <w:spacing w:before="81" w:after="81" w:line="160" w:lineRule="exact"/>
              <w:ind w:right="43"/>
              <w:jc w:val="right"/>
              <w:rPr>
                <w:i/>
                <w:sz w:val="14"/>
              </w:rPr>
            </w:pPr>
            <w:r w:rsidRPr="00A96FAB">
              <w:rPr>
                <w:i/>
                <w:sz w:val="14"/>
              </w:rPr>
              <w:t>2014</w:t>
            </w:r>
          </w:p>
        </w:tc>
        <w:tc>
          <w:tcPr>
            <w:tcW w:w="672" w:type="dxa"/>
            <w:tcBorders>
              <w:top w:val="single" w:sz="4" w:space="0" w:color="auto"/>
              <w:bottom w:val="single" w:sz="12" w:space="0" w:color="auto"/>
            </w:tcBorders>
            <w:shd w:val="clear" w:color="auto" w:fill="auto"/>
            <w:noWrap/>
            <w:vAlign w:val="bottom"/>
          </w:tcPr>
          <w:p w14:paraId="20F79522" w14:textId="0A56E57F" w:rsidR="00F2717F" w:rsidRPr="00A96FAB" w:rsidRDefault="00F2717F" w:rsidP="00A96FAB">
            <w:pPr>
              <w:suppressAutoHyphens/>
              <w:spacing w:before="81" w:after="81" w:line="160" w:lineRule="exact"/>
              <w:ind w:right="43"/>
              <w:jc w:val="right"/>
              <w:rPr>
                <w:i/>
                <w:sz w:val="14"/>
              </w:rPr>
            </w:pPr>
            <w:r w:rsidRPr="00A96FAB">
              <w:rPr>
                <w:i/>
                <w:sz w:val="14"/>
              </w:rPr>
              <w:t>2015</w:t>
            </w:r>
          </w:p>
        </w:tc>
        <w:tc>
          <w:tcPr>
            <w:tcW w:w="672" w:type="dxa"/>
            <w:tcBorders>
              <w:top w:val="single" w:sz="4" w:space="0" w:color="auto"/>
              <w:bottom w:val="single" w:sz="12" w:space="0" w:color="auto"/>
            </w:tcBorders>
            <w:shd w:val="clear" w:color="auto" w:fill="auto"/>
            <w:noWrap/>
            <w:vAlign w:val="bottom"/>
          </w:tcPr>
          <w:p w14:paraId="5520F36C" w14:textId="570619E3" w:rsidR="00F2717F" w:rsidRPr="00A96FAB" w:rsidRDefault="00F2717F" w:rsidP="00A96FAB">
            <w:pPr>
              <w:suppressAutoHyphens/>
              <w:spacing w:before="81" w:after="81" w:line="160" w:lineRule="exact"/>
              <w:ind w:right="43"/>
              <w:jc w:val="right"/>
              <w:rPr>
                <w:i/>
                <w:sz w:val="14"/>
              </w:rPr>
            </w:pPr>
            <w:r w:rsidRPr="00A96FAB">
              <w:rPr>
                <w:i/>
                <w:sz w:val="14"/>
              </w:rPr>
              <w:t>2017</w:t>
            </w:r>
          </w:p>
        </w:tc>
        <w:tc>
          <w:tcPr>
            <w:tcW w:w="672" w:type="dxa"/>
            <w:tcBorders>
              <w:top w:val="single" w:sz="4" w:space="0" w:color="auto"/>
              <w:bottom w:val="single" w:sz="12" w:space="0" w:color="auto"/>
            </w:tcBorders>
            <w:shd w:val="clear" w:color="auto" w:fill="auto"/>
            <w:noWrap/>
            <w:vAlign w:val="bottom"/>
          </w:tcPr>
          <w:p w14:paraId="6C27474E" w14:textId="7DB90D8C" w:rsidR="00F2717F" w:rsidRPr="00A96FAB" w:rsidRDefault="00F2717F" w:rsidP="00A96FAB">
            <w:pPr>
              <w:suppressAutoHyphens/>
              <w:spacing w:before="81" w:after="81" w:line="160" w:lineRule="exact"/>
              <w:ind w:right="43"/>
              <w:jc w:val="right"/>
              <w:rPr>
                <w:i/>
                <w:sz w:val="14"/>
              </w:rPr>
            </w:pPr>
            <w:r w:rsidRPr="00A96FAB">
              <w:rPr>
                <w:i/>
                <w:sz w:val="14"/>
              </w:rPr>
              <w:t>2018</w:t>
            </w:r>
          </w:p>
        </w:tc>
      </w:tr>
      <w:tr w:rsidR="00A96FAB" w:rsidRPr="00A96FAB" w14:paraId="74D98BE9" w14:textId="77777777" w:rsidTr="00A96FAB">
        <w:trPr>
          <w:cantSplit/>
          <w:trHeight w:hRule="exact" w:val="115"/>
          <w:tblHeader/>
          <w:jc w:val="center"/>
        </w:trPr>
        <w:tc>
          <w:tcPr>
            <w:tcW w:w="3960" w:type="dxa"/>
            <w:tcBorders>
              <w:top w:val="single" w:sz="12" w:space="0" w:color="auto"/>
            </w:tcBorders>
            <w:shd w:val="clear" w:color="auto" w:fill="auto"/>
            <w:noWrap/>
            <w:vAlign w:val="bottom"/>
          </w:tcPr>
          <w:p w14:paraId="5E192755" w14:textId="77777777" w:rsidR="00A96FAB" w:rsidRPr="00A96FAB" w:rsidRDefault="00A96FAB" w:rsidP="00A96FAB">
            <w:pPr>
              <w:suppressAutoHyphens/>
              <w:spacing w:before="40" w:after="40" w:line="210" w:lineRule="exact"/>
              <w:ind w:right="40"/>
              <w:rPr>
                <w:sz w:val="17"/>
              </w:rPr>
            </w:pPr>
          </w:p>
        </w:tc>
        <w:tc>
          <w:tcPr>
            <w:tcW w:w="672" w:type="dxa"/>
            <w:tcBorders>
              <w:top w:val="single" w:sz="12" w:space="0" w:color="auto"/>
            </w:tcBorders>
            <w:shd w:val="clear" w:color="auto" w:fill="auto"/>
            <w:noWrap/>
            <w:vAlign w:val="bottom"/>
          </w:tcPr>
          <w:p w14:paraId="0606CE16" w14:textId="77777777" w:rsidR="00A96FAB" w:rsidRPr="00A96FAB" w:rsidRDefault="00A96FAB" w:rsidP="00A96FAB">
            <w:pPr>
              <w:suppressAutoHyphens/>
              <w:spacing w:before="40" w:after="40" w:line="210" w:lineRule="exact"/>
              <w:ind w:right="43"/>
              <w:jc w:val="right"/>
              <w:rPr>
                <w:sz w:val="17"/>
              </w:rPr>
            </w:pPr>
          </w:p>
        </w:tc>
        <w:tc>
          <w:tcPr>
            <w:tcW w:w="672" w:type="dxa"/>
            <w:tcBorders>
              <w:top w:val="single" w:sz="12" w:space="0" w:color="auto"/>
            </w:tcBorders>
            <w:shd w:val="clear" w:color="auto" w:fill="auto"/>
            <w:noWrap/>
            <w:vAlign w:val="bottom"/>
          </w:tcPr>
          <w:p w14:paraId="4E1CCC2D" w14:textId="77777777" w:rsidR="00A96FAB" w:rsidRPr="00A96FAB" w:rsidRDefault="00A96FAB" w:rsidP="00A96FAB">
            <w:pPr>
              <w:suppressAutoHyphens/>
              <w:spacing w:before="40" w:after="40" w:line="210" w:lineRule="exact"/>
              <w:ind w:right="43"/>
              <w:jc w:val="right"/>
              <w:rPr>
                <w:sz w:val="17"/>
              </w:rPr>
            </w:pPr>
          </w:p>
        </w:tc>
        <w:tc>
          <w:tcPr>
            <w:tcW w:w="672" w:type="dxa"/>
            <w:tcBorders>
              <w:top w:val="single" w:sz="12" w:space="0" w:color="auto"/>
            </w:tcBorders>
            <w:shd w:val="clear" w:color="auto" w:fill="auto"/>
            <w:noWrap/>
            <w:vAlign w:val="bottom"/>
          </w:tcPr>
          <w:p w14:paraId="41D1BE4D" w14:textId="77777777" w:rsidR="00A96FAB" w:rsidRPr="00A96FAB" w:rsidRDefault="00A96FAB" w:rsidP="00A96FAB">
            <w:pPr>
              <w:suppressAutoHyphens/>
              <w:spacing w:before="40" w:after="40" w:line="210" w:lineRule="exact"/>
              <w:ind w:right="43"/>
              <w:jc w:val="right"/>
              <w:rPr>
                <w:sz w:val="17"/>
              </w:rPr>
            </w:pPr>
          </w:p>
        </w:tc>
        <w:tc>
          <w:tcPr>
            <w:tcW w:w="672" w:type="dxa"/>
            <w:tcBorders>
              <w:top w:val="single" w:sz="12" w:space="0" w:color="auto"/>
            </w:tcBorders>
            <w:shd w:val="clear" w:color="auto" w:fill="auto"/>
            <w:noWrap/>
            <w:vAlign w:val="bottom"/>
          </w:tcPr>
          <w:p w14:paraId="267E75A7" w14:textId="77777777" w:rsidR="00A96FAB" w:rsidRPr="00A96FAB" w:rsidRDefault="00A96FAB" w:rsidP="00A96FAB">
            <w:pPr>
              <w:suppressAutoHyphens/>
              <w:spacing w:before="40" w:after="40" w:line="210" w:lineRule="exact"/>
              <w:ind w:right="43"/>
              <w:jc w:val="right"/>
              <w:rPr>
                <w:sz w:val="17"/>
              </w:rPr>
            </w:pPr>
          </w:p>
        </w:tc>
        <w:tc>
          <w:tcPr>
            <w:tcW w:w="672" w:type="dxa"/>
            <w:tcBorders>
              <w:top w:val="single" w:sz="12" w:space="0" w:color="auto"/>
            </w:tcBorders>
            <w:shd w:val="clear" w:color="auto" w:fill="auto"/>
            <w:noWrap/>
            <w:vAlign w:val="bottom"/>
          </w:tcPr>
          <w:p w14:paraId="5C744DCD" w14:textId="77777777" w:rsidR="00A96FAB" w:rsidRPr="00A96FAB" w:rsidRDefault="00A96FAB" w:rsidP="00A96FAB">
            <w:pPr>
              <w:suppressAutoHyphens/>
              <w:spacing w:before="40" w:after="40" w:line="210" w:lineRule="exact"/>
              <w:ind w:right="43"/>
              <w:jc w:val="right"/>
              <w:rPr>
                <w:sz w:val="17"/>
              </w:rPr>
            </w:pPr>
          </w:p>
        </w:tc>
      </w:tr>
      <w:tr w:rsidR="00A96FAB" w:rsidRPr="00A96FAB" w14:paraId="31FB2877" w14:textId="77777777" w:rsidTr="00A96FAB">
        <w:trPr>
          <w:cantSplit/>
          <w:jc w:val="center"/>
        </w:trPr>
        <w:tc>
          <w:tcPr>
            <w:tcW w:w="3960" w:type="dxa"/>
            <w:shd w:val="clear" w:color="auto" w:fill="auto"/>
            <w:noWrap/>
            <w:vAlign w:val="bottom"/>
          </w:tcPr>
          <w:p w14:paraId="760533BC" w14:textId="77777777" w:rsidR="00F13A4D" w:rsidRPr="00A96FAB" w:rsidRDefault="00F13A4D" w:rsidP="00A96FAB">
            <w:pPr>
              <w:tabs>
                <w:tab w:val="left" w:pos="288"/>
                <w:tab w:val="left" w:pos="576"/>
                <w:tab w:val="left" w:pos="864"/>
                <w:tab w:val="left" w:pos="1152"/>
              </w:tabs>
              <w:suppressAutoHyphens/>
              <w:spacing w:before="40" w:after="40" w:line="210" w:lineRule="exact"/>
              <w:ind w:right="40"/>
              <w:rPr>
                <w:sz w:val="17"/>
              </w:rPr>
            </w:pPr>
            <w:r w:rsidRPr="00A96FAB">
              <w:rPr>
                <w:sz w:val="17"/>
              </w:rPr>
              <w:t>Total</w:t>
            </w:r>
          </w:p>
        </w:tc>
        <w:tc>
          <w:tcPr>
            <w:tcW w:w="672" w:type="dxa"/>
            <w:shd w:val="clear" w:color="auto" w:fill="auto"/>
            <w:noWrap/>
            <w:vAlign w:val="bottom"/>
          </w:tcPr>
          <w:p w14:paraId="409EB06D" w14:textId="77777777" w:rsidR="00F13A4D" w:rsidRPr="00A96FAB" w:rsidRDefault="00F13A4D" w:rsidP="00A96FAB">
            <w:pPr>
              <w:tabs>
                <w:tab w:val="left" w:pos="288"/>
                <w:tab w:val="left" w:pos="576"/>
                <w:tab w:val="left" w:pos="864"/>
                <w:tab w:val="left" w:pos="1152"/>
              </w:tabs>
              <w:suppressAutoHyphens/>
              <w:spacing w:before="40" w:after="40" w:line="210" w:lineRule="exact"/>
              <w:ind w:right="43"/>
              <w:jc w:val="right"/>
              <w:rPr>
                <w:sz w:val="17"/>
              </w:rPr>
            </w:pPr>
            <w:r w:rsidRPr="00A96FAB">
              <w:rPr>
                <w:sz w:val="17"/>
              </w:rPr>
              <w:t>38,6</w:t>
            </w:r>
          </w:p>
        </w:tc>
        <w:tc>
          <w:tcPr>
            <w:tcW w:w="672" w:type="dxa"/>
            <w:shd w:val="clear" w:color="auto" w:fill="auto"/>
            <w:noWrap/>
            <w:vAlign w:val="bottom"/>
          </w:tcPr>
          <w:p w14:paraId="22E32CA0" w14:textId="77777777" w:rsidR="00F13A4D" w:rsidRPr="00A96FAB" w:rsidRDefault="00F13A4D" w:rsidP="00A96FAB">
            <w:pPr>
              <w:tabs>
                <w:tab w:val="left" w:pos="288"/>
                <w:tab w:val="left" w:pos="576"/>
                <w:tab w:val="left" w:pos="864"/>
                <w:tab w:val="left" w:pos="1152"/>
              </w:tabs>
              <w:suppressAutoHyphens/>
              <w:spacing w:before="40" w:after="40" w:line="210" w:lineRule="exact"/>
              <w:ind w:right="43"/>
              <w:jc w:val="right"/>
              <w:rPr>
                <w:sz w:val="17"/>
              </w:rPr>
            </w:pPr>
            <w:r w:rsidRPr="00A96FAB">
              <w:rPr>
                <w:sz w:val="17"/>
              </w:rPr>
              <w:t>39,3</w:t>
            </w:r>
          </w:p>
        </w:tc>
        <w:tc>
          <w:tcPr>
            <w:tcW w:w="672" w:type="dxa"/>
            <w:shd w:val="clear" w:color="auto" w:fill="auto"/>
            <w:noWrap/>
            <w:vAlign w:val="bottom"/>
          </w:tcPr>
          <w:p w14:paraId="0033C69A" w14:textId="77777777" w:rsidR="00F13A4D" w:rsidRPr="00A96FAB" w:rsidRDefault="00F13A4D" w:rsidP="00A96FAB">
            <w:pPr>
              <w:tabs>
                <w:tab w:val="left" w:pos="288"/>
                <w:tab w:val="left" w:pos="576"/>
                <w:tab w:val="left" w:pos="864"/>
                <w:tab w:val="left" w:pos="1152"/>
              </w:tabs>
              <w:suppressAutoHyphens/>
              <w:spacing w:before="40" w:after="40" w:line="210" w:lineRule="exact"/>
              <w:ind w:right="43"/>
              <w:jc w:val="right"/>
              <w:rPr>
                <w:sz w:val="17"/>
              </w:rPr>
            </w:pPr>
            <w:r w:rsidRPr="00A96FAB">
              <w:rPr>
                <w:sz w:val="17"/>
              </w:rPr>
              <w:t>39</w:t>
            </w:r>
          </w:p>
        </w:tc>
        <w:tc>
          <w:tcPr>
            <w:tcW w:w="672" w:type="dxa"/>
            <w:shd w:val="clear" w:color="auto" w:fill="auto"/>
            <w:noWrap/>
            <w:vAlign w:val="bottom"/>
          </w:tcPr>
          <w:p w14:paraId="5D56B891" w14:textId="77777777" w:rsidR="00F13A4D" w:rsidRPr="00A96FAB" w:rsidRDefault="00F13A4D" w:rsidP="00A96FAB">
            <w:pPr>
              <w:tabs>
                <w:tab w:val="left" w:pos="288"/>
                <w:tab w:val="left" w:pos="576"/>
                <w:tab w:val="left" w:pos="864"/>
                <w:tab w:val="left" w:pos="1152"/>
              </w:tabs>
              <w:suppressAutoHyphens/>
              <w:spacing w:before="40" w:after="40" w:line="210" w:lineRule="exact"/>
              <w:ind w:right="43"/>
              <w:jc w:val="right"/>
              <w:rPr>
                <w:sz w:val="17"/>
              </w:rPr>
            </w:pPr>
            <w:r w:rsidRPr="00A96FAB">
              <w:rPr>
                <w:sz w:val="17"/>
              </w:rPr>
              <w:t>39,7</w:t>
            </w:r>
          </w:p>
        </w:tc>
        <w:tc>
          <w:tcPr>
            <w:tcW w:w="672" w:type="dxa"/>
            <w:shd w:val="clear" w:color="auto" w:fill="auto"/>
            <w:noWrap/>
            <w:vAlign w:val="bottom"/>
          </w:tcPr>
          <w:p w14:paraId="62F37C79" w14:textId="77777777" w:rsidR="00F13A4D" w:rsidRPr="00A96FAB" w:rsidRDefault="00F13A4D" w:rsidP="00A96FAB">
            <w:pPr>
              <w:tabs>
                <w:tab w:val="left" w:pos="288"/>
                <w:tab w:val="left" w:pos="576"/>
                <w:tab w:val="left" w:pos="864"/>
                <w:tab w:val="left" w:pos="1152"/>
              </w:tabs>
              <w:suppressAutoHyphens/>
              <w:spacing w:before="40" w:after="40" w:line="210" w:lineRule="exact"/>
              <w:ind w:right="43"/>
              <w:jc w:val="right"/>
              <w:rPr>
                <w:sz w:val="17"/>
              </w:rPr>
            </w:pPr>
            <w:r w:rsidRPr="00A96FAB">
              <w:rPr>
                <w:sz w:val="17"/>
              </w:rPr>
              <w:t>39,8</w:t>
            </w:r>
          </w:p>
        </w:tc>
      </w:tr>
      <w:tr w:rsidR="00A96FAB" w:rsidRPr="00A96FAB" w14:paraId="13A22B94" w14:textId="77777777" w:rsidTr="00A96FAB">
        <w:trPr>
          <w:cantSplit/>
          <w:jc w:val="center"/>
        </w:trPr>
        <w:tc>
          <w:tcPr>
            <w:tcW w:w="3960" w:type="dxa"/>
            <w:shd w:val="clear" w:color="auto" w:fill="auto"/>
            <w:noWrap/>
            <w:vAlign w:val="bottom"/>
          </w:tcPr>
          <w:p w14:paraId="05CFA061" w14:textId="446211FC" w:rsidR="00F2717F" w:rsidRPr="00A96FAB" w:rsidRDefault="00F2717F" w:rsidP="00A96FAB">
            <w:pPr>
              <w:tabs>
                <w:tab w:val="left" w:pos="288"/>
                <w:tab w:val="left" w:pos="576"/>
                <w:tab w:val="left" w:pos="864"/>
                <w:tab w:val="left" w:pos="1152"/>
              </w:tabs>
              <w:suppressAutoHyphens/>
              <w:spacing w:before="40" w:after="40" w:line="210" w:lineRule="exact"/>
              <w:ind w:right="40"/>
              <w:rPr>
                <w:sz w:val="17"/>
              </w:rPr>
            </w:pPr>
            <w:r w:rsidRPr="00A96FAB">
              <w:rPr>
                <w:sz w:val="17"/>
              </w:rPr>
              <w:t>Postes de responsabilité</w:t>
            </w:r>
          </w:p>
        </w:tc>
        <w:tc>
          <w:tcPr>
            <w:tcW w:w="672" w:type="dxa"/>
            <w:shd w:val="clear" w:color="auto" w:fill="auto"/>
            <w:noWrap/>
            <w:vAlign w:val="bottom"/>
          </w:tcPr>
          <w:p w14:paraId="09485AFF" w14:textId="2AC2D924" w:rsidR="00F2717F" w:rsidRPr="00A96FAB" w:rsidRDefault="00F2717F" w:rsidP="00A96FAB">
            <w:pPr>
              <w:tabs>
                <w:tab w:val="left" w:pos="288"/>
                <w:tab w:val="left" w:pos="576"/>
                <w:tab w:val="left" w:pos="864"/>
                <w:tab w:val="left" w:pos="1152"/>
              </w:tabs>
              <w:suppressAutoHyphens/>
              <w:spacing w:before="40" w:after="40" w:line="210" w:lineRule="exact"/>
              <w:ind w:right="43"/>
              <w:jc w:val="right"/>
              <w:rPr>
                <w:sz w:val="17"/>
              </w:rPr>
            </w:pPr>
          </w:p>
        </w:tc>
        <w:tc>
          <w:tcPr>
            <w:tcW w:w="672" w:type="dxa"/>
            <w:shd w:val="clear" w:color="auto" w:fill="auto"/>
            <w:noWrap/>
            <w:vAlign w:val="bottom"/>
          </w:tcPr>
          <w:p w14:paraId="37D78D21" w14:textId="2C9CB3BC" w:rsidR="00F2717F" w:rsidRPr="00A96FAB" w:rsidRDefault="00F2717F" w:rsidP="00A96FAB">
            <w:pPr>
              <w:tabs>
                <w:tab w:val="left" w:pos="288"/>
                <w:tab w:val="left" w:pos="576"/>
                <w:tab w:val="left" w:pos="864"/>
                <w:tab w:val="left" w:pos="1152"/>
              </w:tabs>
              <w:suppressAutoHyphens/>
              <w:spacing w:before="40" w:after="40" w:line="210" w:lineRule="exact"/>
              <w:ind w:right="43"/>
              <w:jc w:val="right"/>
              <w:rPr>
                <w:sz w:val="17"/>
              </w:rPr>
            </w:pPr>
          </w:p>
        </w:tc>
        <w:tc>
          <w:tcPr>
            <w:tcW w:w="672" w:type="dxa"/>
            <w:shd w:val="clear" w:color="auto" w:fill="auto"/>
            <w:noWrap/>
            <w:vAlign w:val="bottom"/>
          </w:tcPr>
          <w:p w14:paraId="634DF012" w14:textId="43EDD0BA" w:rsidR="00F2717F" w:rsidRPr="00A96FAB" w:rsidRDefault="00F2717F" w:rsidP="00A96FAB">
            <w:pPr>
              <w:tabs>
                <w:tab w:val="left" w:pos="288"/>
                <w:tab w:val="left" w:pos="576"/>
                <w:tab w:val="left" w:pos="864"/>
                <w:tab w:val="left" w:pos="1152"/>
              </w:tabs>
              <w:suppressAutoHyphens/>
              <w:spacing w:before="40" w:after="40" w:line="210" w:lineRule="exact"/>
              <w:ind w:right="43"/>
              <w:jc w:val="right"/>
              <w:rPr>
                <w:sz w:val="17"/>
              </w:rPr>
            </w:pPr>
          </w:p>
        </w:tc>
        <w:tc>
          <w:tcPr>
            <w:tcW w:w="672" w:type="dxa"/>
            <w:shd w:val="clear" w:color="auto" w:fill="auto"/>
            <w:noWrap/>
            <w:vAlign w:val="bottom"/>
          </w:tcPr>
          <w:p w14:paraId="3FFFCE83" w14:textId="66B0651C" w:rsidR="00F2717F" w:rsidRPr="00A96FAB" w:rsidRDefault="00F2717F" w:rsidP="00A96FAB">
            <w:pPr>
              <w:tabs>
                <w:tab w:val="left" w:pos="288"/>
                <w:tab w:val="left" w:pos="576"/>
                <w:tab w:val="left" w:pos="864"/>
                <w:tab w:val="left" w:pos="1152"/>
              </w:tabs>
              <w:suppressAutoHyphens/>
              <w:spacing w:before="40" w:after="40" w:line="210" w:lineRule="exact"/>
              <w:ind w:right="43"/>
              <w:jc w:val="right"/>
              <w:rPr>
                <w:sz w:val="17"/>
              </w:rPr>
            </w:pPr>
          </w:p>
        </w:tc>
        <w:tc>
          <w:tcPr>
            <w:tcW w:w="672" w:type="dxa"/>
            <w:shd w:val="clear" w:color="auto" w:fill="auto"/>
            <w:noWrap/>
            <w:vAlign w:val="bottom"/>
          </w:tcPr>
          <w:p w14:paraId="53A2479D" w14:textId="111017F4" w:rsidR="00F2717F" w:rsidRPr="00A96FAB" w:rsidRDefault="00F2717F" w:rsidP="00A96FAB">
            <w:pPr>
              <w:tabs>
                <w:tab w:val="left" w:pos="288"/>
                <w:tab w:val="left" w:pos="576"/>
                <w:tab w:val="left" w:pos="864"/>
                <w:tab w:val="left" w:pos="1152"/>
              </w:tabs>
              <w:suppressAutoHyphens/>
              <w:spacing w:before="40" w:after="40" w:line="210" w:lineRule="exact"/>
              <w:ind w:right="43"/>
              <w:jc w:val="right"/>
              <w:rPr>
                <w:sz w:val="17"/>
              </w:rPr>
            </w:pPr>
          </w:p>
        </w:tc>
      </w:tr>
      <w:tr w:rsidR="00A96FAB" w:rsidRPr="00A96FAB" w14:paraId="2F78A813" w14:textId="77777777" w:rsidTr="00A96FAB">
        <w:trPr>
          <w:cantSplit/>
          <w:jc w:val="center"/>
        </w:trPr>
        <w:tc>
          <w:tcPr>
            <w:tcW w:w="3960" w:type="dxa"/>
            <w:shd w:val="clear" w:color="auto" w:fill="auto"/>
            <w:noWrap/>
            <w:vAlign w:val="bottom"/>
          </w:tcPr>
          <w:p w14:paraId="638A2A0A" w14:textId="3845C34B" w:rsidR="00F2717F" w:rsidRPr="00A96FAB" w:rsidRDefault="00F2717F" w:rsidP="00A96FAB">
            <w:pPr>
              <w:tabs>
                <w:tab w:val="left" w:pos="288"/>
                <w:tab w:val="left" w:pos="576"/>
                <w:tab w:val="left" w:pos="864"/>
                <w:tab w:val="left" w:pos="1152"/>
              </w:tabs>
              <w:suppressAutoHyphens/>
              <w:spacing w:before="40" w:after="40" w:line="210" w:lineRule="exact"/>
              <w:ind w:right="40"/>
              <w:rPr>
                <w:sz w:val="17"/>
              </w:rPr>
            </w:pPr>
            <w:r w:rsidRPr="00A96FAB">
              <w:rPr>
                <w:sz w:val="17"/>
              </w:rPr>
              <w:t>(Chef de service, chef de division)</w:t>
            </w:r>
          </w:p>
        </w:tc>
        <w:tc>
          <w:tcPr>
            <w:tcW w:w="672" w:type="dxa"/>
            <w:shd w:val="clear" w:color="auto" w:fill="auto"/>
            <w:noWrap/>
            <w:vAlign w:val="bottom"/>
          </w:tcPr>
          <w:p w14:paraId="467BAEA7" w14:textId="10110F20" w:rsidR="00F2717F" w:rsidRPr="00A96FAB" w:rsidRDefault="00A96FAB" w:rsidP="00A96FAB">
            <w:pPr>
              <w:tabs>
                <w:tab w:val="left" w:pos="288"/>
                <w:tab w:val="left" w:pos="576"/>
                <w:tab w:val="left" w:pos="864"/>
                <w:tab w:val="left" w:pos="1152"/>
              </w:tabs>
              <w:suppressAutoHyphens/>
              <w:spacing w:before="40" w:after="40" w:line="210" w:lineRule="exact"/>
              <w:ind w:right="43"/>
              <w:jc w:val="right"/>
              <w:rPr>
                <w:sz w:val="17"/>
              </w:rPr>
            </w:pPr>
            <w:r w:rsidRPr="00A96FAB">
              <w:rPr>
                <w:sz w:val="17"/>
              </w:rPr>
              <w:t>16,21</w:t>
            </w:r>
          </w:p>
        </w:tc>
        <w:tc>
          <w:tcPr>
            <w:tcW w:w="672" w:type="dxa"/>
            <w:shd w:val="clear" w:color="auto" w:fill="auto"/>
            <w:noWrap/>
            <w:vAlign w:val="bottom"/>
          </w:tcPr>
          <w:p w14:paraId="11E82186" w14:textId="12A7EEDE" w:rsidR="00F2717F" w:rsidRPr="00A96FAB" w:rsidRDefault="00A96FAB" w:rsidP="00A96FAB">
            <w:pPr>
              <w:tabs>
                <w:tab w:val="left" w:pos="288"/>
                <w:tab w:val="left" w:pos="576"/>
                <w:tab w:val="left" w:pos="864"/>
                <w:tab w:val="left" w:pos="1152"/>
              </w:tabs>
              <w:suppressAutoHyphens/>
              <w:spacing w:before="40" w:after="40" w:line="210" w:lineRule="exact"/>
              <w:ind w:right="43"/>
              <w:jc w:val="right"/>
              <w:rPr>
                <w:sz w:val="17"/>
              </w:rPr>
            </w:pPr>
            <w:r w:rsidRPr="00A96FAB">
              <w:rPr>
                <w:sz w:val="17"/>
              </w:rPr>
              <w:t>19,71</w:t>
            </w:r>
          </w:p>
        </w:tc>
        <w:tc>
          <w:tcPr>
            <w:tcW w:w="672" w:type="dxa"/>
            <w:shd w:val="clear" w:color="auto" w:fill="auto"/>
            <w:noWrap/>
            <w:vAlign w:val="bottom"/>
          </w:tcPr>
          <w:p w14:paraId="115AD7E4" w14:textId="156D5121" w:rsidR="00F2717F" w:rsidRPr="00A96FAB" w:rsidRDefault="00A96FAB" w:rsidP="00A96FAB">
            <w:pPr>
              <w:tabs>
                <w:tab w:val="left" w:pos="288"/>
                <w:tab w:val="left" w:pos="576"/>
                <w:tab w:val="left" w:pos="864"/>
                <w:tab w:val="left" w:pos="1152"/>
              </w:tabs>
              <w:suppressAutoHyphens/>
              <w:spacing w:before="40" w:after="40" w:line="210" w:lineRule="exact"/>
              <w:ind w:right="43"/>
              <w:jc w:val="right"/>
              <w:rPr>
                <w:sz w:val="17"/>
              </w:rPr>
            </w:pPr>
            <w:r w:rsidRPr="00A96FAB">
              <w:rPr>
                <w:sz w:val="17"/>
              </w:rPr>
              <w:t>21,84</w:t>
            </w:r>
          </w:p>
        </w:tc>
        <w:tc>
          <w:tcPr>
            <w:tcW w:w="672" w:type="dxa"/>
            <w:shd w:val="clear" w:color="auto" w:fill="auto"/>
            <w:noWrap/>
            <w:vAlign w:val="bottom"/>
          </w:tcPr>
          <w:p w14:paraId="651900DF" w14:textId="1823D24B" w:rsidR="00F2717F" w:rsidRPr="00A96FAB" w:rsidRDefault="00A96FAB" w:rsidP="00A96FAB">
            <w:pPr>
              <w:tabs>
                <w:tab w:val="left" w:pos="288"/>
                <w:tab w:val="left" w:pos="576"/>
                <w:tab w:val="left" w:pos="864"/>
                <w:tab w:val="left" w:pos="1152"/>
              </w:tabs>
              <w:suppressAutoHyphens/>
              <w:spacing w:before="40" w:after="40" w:line="210" w:lineRule="exact"/>
              <w:ind w:right="43"/>
              <w:jc w:val="right"/>
              <w:rPr>
                <w:sz w:val="17"/>
              </w:rPr>
            </w:pPr>
            <w:r w:rsidRPr="00A96FAB">
              <w:rPr>
                <w:sz w:val="17"/>
              </w:rPr>
              <w:t>22,5</w:t>
            </w:r>
          </w:p>
        </w:tc>
        <w:tc>
          <w:tcPr>
            <w:tcW w:w="672" w:type="dxa"/>
            <w:shd w:val="clear" w:color="auto" w:fill="auto"/>
            <w:noWrap/>
            <w:vAlign w:val="bottom"/>
          </w:tcPr>
          <w:p w14:paraId="0B4349F3" w14:textId="3173AD47" w:rsidR="00F2717F" w:rsidRPr="00A96FAB" w:rsidRDefault="00A96FAB" w:rsidP="00A96FAB">
            <w:pPr>
              <w:tabs>
                <w:tab w:val="left" w:pos="288"/>
                <w:tab w:val="left" w:pos="576"/>
                <w:tab w:val="left" w:pos="864"/>
                <w:tab w:val="left" w:pos="1152"/>
              </w:tabs>
              <w:suppressAutoHyphens/>
              <w:spacing w:before="40" w:after="40" w:line="210" w:lineRule="exact"/>
              <w:ind w:right="43"/>
              <w:jc w:val="right"/>
              <w:rPr>
                <w:sz w:val="17"/>
              </w:rPr>
            </w:pPr>
            <w:r w:rsidRPr="00A96FAB">
              <w:rPr>
                <w:sz w:val="17"/>
              </w:rPr>
              <w:t>23,27</w:t>
            </w:r>
          </w:p>
        </w:tc>
      </w:tr>
      <w:tr w:rsidR="00A96FAB" w:rsidRPr="00A96FAB" w14:paraId="1B79C51C" w14:textId="77777777" w:rsidTr="00A96FAB">
        <w:trPr>
          <w:cantSplit/>
          <w:jc w:val="center"/>
        </w:trPr>
        <w:tc>
          <w:tcPr>
            <w:tcW w:w="3960" w:type="dxa"/>
            <w:shd w:val="clear" w:color="auto" w:fill="auto"/>
            <w:noWrap/>
            <w:vAlign w:val="bottom"/>
          </w:tcPr>
          <w:p w14:paraId="5D93B82F" w14:textId="57063407" w:rsidR="00F2717F" w:rsidRPr="00A96FAB" w:rsidRDefault="00F2717F" w:rsidP="00A96FAB">
            <w:pPr>
              <w:tabs>
                <w:tab w:val="left" w:pos="288"/>
                <w:tab w:val="left" w:pos="576"/>
                <w:tab w:val="left" w:pos="864"/>
                <w:tab w:val="left" w:pos="1152"/>
              </w:tabs>
              <w:suppressAutoHyphens/>
              <w:spacing w:before="40" w:after="40" w:line="210" w:lineRule="exact"/>
              <w:ind w:right="40"/>
              <w:rPr>
                <w:sz w:val="17"/>
              </w:rPr>
            </w:pPr>
            <w:r w:rsidRPr="00A96FAB">
              <w:rPr>
                <w:sz w:val="17"/>
              </w:rPr>
              <w:t>Postes supérieurs</w:t>
            </w:r>
          </w:p>
        </w:tc>
        <w:tc>
          <w:tcPr>
            <w:tcW w:w="672" w:type="dxa"/>
            <w:shd w:val="clear" w:color="auto" w:fill="auto"/>
            <w:noWrap/>
            <w:vAlign w:val="bottom"/>
          </w:tcPr>
          <w:p w14:paraId="070DD62B" w14:textId="27A61363" w:rsidR="00F2717F" w:rsidRPr="00A96FAB" w:rsidRDefault="00F2717F" w:rsidP="00A96FAB">
            <w:pPr>
              <w:tabs>
                <w:tab w:val="left" w:pos="288"/>
                <w:tab w:val="left" w:pos="576"/>
                <w:tab w:val="left" w:pos="864"/>
                <w:tab w:val="left" w:pos="1152"/>
              </w:tabs>
              <w:suppressAutoHyphens/>
              <w:spacing w:before="40" w:after="40" w:line="210" w:lineRule="exact"/>
              <w:ind w:right="43"/>
              <w:jc w:val="right"/>
              <w:rPr>
                <w:sz w:val="17"/>
              </w:rPr>
            </w:pPr>
          </w:p>
        </w:tc>
        <w:tc>
          <w:tcPr>
            <w:tcW w:w="672" w:type="dxa"/>
            <w:shd w:val="clear" w:color="auto" w:fill="auto"/>
            <w:noWrap/>
            <w:vAlign w:val="bottom"/>
          </w:tcPr>
          <w:p w14:paraId="38DDE319" w14:textId="0239AF46" w:rsidR="00F2717F" w:rsidRPr="00A96FAB" w:rsidRDefault="00F2717F" w:rsidP="00A96FAB">
            <w:pPr>
              <w:tabs>
                <w:tab w:val="left" w:pos="288"/>
                <w:tab w:val="left" w:pos="576"/>
                <w:tab w:val="left" w:pos="864"/>
                <w:tab w:val="left" w:pos="1152"/>
              </w:tabs>
              <w:suppressAutoHyphens/>
              <w:spacing w:before="40" w:after="40" w:line="210" w:lineRule="exact"/>
              <w:ind w:right="43"/>
              <w:jc w:val="right"/>
              <w:rPr>
                <w:sz w:val="17"/>
              </w:rPr>
            </w:pPr>
          </w:p>
        </w:tc>
        <w:tc>
          <w:tcPr>
            <w:tcW w:w="672" w:type="dxa"/>
            <w:shd w:val="clear" w:color="auto" w:fill="auto"/>
            <w:noWrap/>
            <w:vAlign w:val="bottom"/>
          </w:tcPr>
          <w:p w14:paraId="335E07C1" w14:textId="534ADDE7" w:rsidR="00F2717F" w:rsidRPr="00A96FAB" w:rsidRDefault="00F2717F" w:rsidP="00A96FAB">
            <w:pPr>
              <w:tabs>
                <w:tab w:val="left" w:pos="288"/>
                <w:tab w:val="left" w:pos="576"/>
                <w:tab w:val="left" w:pos="864"/>
                <w:tab w:val="left" w:pos="1152"/>
              </w:tabs>
              <w:suppressAutoHyphens/>
              <w:spacing w:before="40" w:after="40" w:line="210" w:lineRule="exact"/>
              <w:ind w:right="43"/>
              <w:jc w:val="right"/>
              <w:rPr>
                <w:sz w:val="17"/>
              </w:rPr>
            </w:pPr>
          </w:p>
        </w:tc>
        <w:tc>
          <w:tcPr>
            <w:tcW w:w="672" w:type="dxa"/>
            <w:shd w:val="clear" w:color="auto" w:fill="auto"/>
            <w:noWrap/>
            <w:vAlign w:val="bottom"/>
          </w:tcPr>
          <w:p w14:paraId="395C5081" w14:textId="10E0E667" w:rsidR="00F2717F" w:rsidRPr="00A96FAB" w:rsidRDefault="00F2717F" w:rsidP="00A96FAB">
            <w:pPr>
              <w:tabs>
                <w:tab w:val="left" w:pos="288"/>
                <w:tab w:val="left" w:pos="576"/>
                <w:tab w:val="left" w:pos="864"/>
                <w:tab w:val="left" w:pos="1152"/>
              </w:tabs>
              <w:suppressAutoHyphens/>
              <w:spacing w:before="40" w:after="40" w:line="210" w:lineRule="exact"/>
              <w:ind w:right="43"/>
              <w:jc w:val="right"/>
              <w:rPr>
                <w:sz w:val="17"/>
              </w:rPr>
            </w:pPr>
          </w:p>
        </w:tc>
        <w:tc>
          <w:tcPr>
            <w:tcW w:w="672" w:type="dxa"/>
            <w:shd w:val="clear" w:color="auto" w:fill="auto"/>
            <w:noWrap/>
            <w:vAlign w:val="bottom"/>
          </w:tcPr>
          <w:p w14:paraId="25893317" w14:textId="6AF709B6" w:rsidR="00F2717F" w:rsidRPr="00A96FAB" w:rsidRDefault="00F2717F" w:rsidP="00A96FAB">
            <w:pPr>
              <w:tabs>
                <w:tab w:val="left" w:pos="288"/>
                <w:tab w:val="left" w:pos="576"/>
                <w:tab w:val="left" w:pos="864"/>
                <w:tab w:val="left" w:pos="1152"/>
              </w:tabs>
              <w:suppressAutoHyphens/>
              <w:spacing w:before="40" w:after="40" w:line="210" w:lineRule="exact"/>
              <w:ind w:right="43"/>
              <w:jc w:val="right"/>
              <w:rPr>
                <w:sz w:val="17"/>
              </w:rPr>
            </w:pPr>
          </w:p>
        </w:tc>
      </w:tr>
      <w:tr w:rsidR="00A96FAB" w:rsidRPr="00A96FAB" w14:paraId="41601458" w14:textId="77777777" w:rsidTr="00A96FAB">
        <w:trPr>
          <w:cantSplit/>
          <w:jc w:val="center"/>
        </w:trPr>
        <w:tc>
          <w:tcPr>
            <w:tcW w:w="3960" w:type="dxa"/>
            <w:tcBorders>
              <w:bottom w:val="single" w:sz="12" w:space="0" w:color="auto"/>
            </w:tcBorders>
            <w:shd w:val="clear" w:color="auto" w:fill="auto"/>
            <w:noWrap/>
            <w:vAlign w:val="bottom"/>
          </w:tcPr>
          <w:p w14:paraId="21315FEF" w14:textId="1767CDA0" w:rsidR="00F2717F" w:rsidRPr="00A96FAB" w:rsidRDefault="00F2717F" w:rsidP="00A96FAB">
            <w:pPr>
              <w:tabs>
                <w:tab w:val="left" w:pos="288"/>
                <w:tab w:val="left" w:pos="576"/>
                <w:tab w:val="left" w:pos="864"/>
                <w:tab w:val="left" w:pos="1152"/>
              </w:tabs>
              <w:suppressAutoHyphens/>
              <w:spacing w:before="40" w:after="40" w:line="210" w:lineRule="exact"/>
              <w:ind w:right="40"/>
              <w:rPr>
                <w:sz w:val="17"/>
              </w:rPr>
            </w:pPr>
            <w:r w:rsidRPr="00A96FAB">
              <w:rPr>
                <w:sz w:val="17"/>
              </w:rPr>
              <w:t>(Secrétaire générale, directrice générale, directrice)</w:t>
            </w:r>
          </w:p>
        </w:tc>
        <w:tc>
          <w:tcPr>
            <w:tcW w:w="672" w:type="dxa"/>
            <w:tcBorders>
              <w:bottom w:val="single" w:sz="12" w:space="0" w:color="auto"/>
            </w:tcBorders>
            <w:shd w:val="clear" w:color="auto" w:fill="auto"/>
            <w:noWrap/>
            <w:vAlign w:val="bottom"/>
          </w:tcPr>
          <w:p w14:paraId="7E3A2A2D" w14:textId="29429754" w:rsidR="00F2717F" w:rsidRPr="00A96FAB" w:rsidRDefault="00A96FAB" w:rsidP="00A96FAB">
            <w:pPr>
              <w:tabs>
                <w:tab w:val="left" w:pos="288"/>
                <w:tab w:val="left" w:pos="576"/>
                <w:tab w:val="left" w:pos="864"/>
                <w:tab w:val="left" w:pos="1152"/>
              </w:tabs>
              <w:suppressAutoHyphens/>
              <w:spacing w:before="40" w:after="40" w:line="210" w:lineRule="exact"/>
              <w:ind w:right="43"/>
              <w:jc w:val="right"/>
              <w:rPr>
                <w:sz w:val="17"/>
              </w:rPr>
            </w:pPr>
            <w:r w:rsidRPr="00A96FAB">
              <w:rPr>
                <w:sz w:val="17"/>
              </w:rPr>
              <w:t>10,38</w:t>
            </w:r>
          </w:p>
        </w:tc>
        <w:tc>
          <w:tcPr>
            <w:tcW w:w="672" w:type="dxa"/>
            <w:tcBorders>
              <w:bottom w:val="single" w:sz="12" w:space="0" w:color="auto"/>
            </w:tcBorders>
            <w:shd w:val="clear" w:color="auto" w:fill="auto"/>
            <w:noWrap/>
            <w:vAlign w:val="bottom"/>
          </w:tcPr>
          <w:p w14:paraId="1870FA72" w14:textId="7A05B5D1" w:rsidR="00F2717F" w:rsidRPr="00A96FAB" w:rsidRDefault="00A96FAB" w:rsidP="00A96FAB">
            <w:pPr>
              <w:tabs>
                <w:tab w:val="left" w:pos="288"/>
                <w:tab w:val="left" w:pos="576"/>
                <w:tab w:val="left" w:pos="864"/>
                <w:tab w:val="left" w:pos="1152"/>
              </w:tabs>
              <w:suppressAutoHyphens/>
              <w:spacing w:before="40" w:after="40" w:line="210" w:lineRule="exact"/>
              <w:ind w:right="43"/>
              <w:jc w:val="right"/>
              <w:rPr>
                <w:sz w:val="17"/>
              </w:rPr>
            </w:pPr>
            <w:r w:rsidRPr="00A96FAB">
              <w:rPr>
                <w:sz w:val="17"/>
              </w:rPr>
              <w:t>10,11</w:t>
            </w:r>
          </w:p>
        </w:tc>
        <w:tc>
          <w:tcPr>
            <w:tcW w:w="672" w:type="dxa"/>
            <w:tcBorders>
              <w:bottom w:val="single" w:sz="12" w:space="0" w:color="auto"/>
            </w:tcBorders>
            <w:shd w:val="clear" w:color="auto" w:fill="auto"/>
            <w:noWrap/>
            <w:vAlign w:val="bottom"/>
          </w:tcPr>
          <w:p w14:paraId="4144AD79" w14:textId="7A2FB91C" w:rsidR="00F2717F" w:rsidRPr="00A96FAB" w:rsidRDefault="00A96FAB" w:rsidP="00A96FAB">
            <w:pPr>
              <w:tabs>
                <w:tab w:val="left" w:pos="288"/>
                <w:tab w:val="left" w:pos="576"/>
                <w:tab w:val="left" w:pos="864"/>
                <w:tab w:val="left" w:pos="1152"/>
              </w:tabs>
              <w:suppressAutoHyphens/>
              <w:spacing w:before="40" w:after="40" w:line="210" w:lineRule="exact"/>
              <w:ind w:right="43"/>
              <w:jc w:val="right"/>
              <w:rPr>
                <w:sz w:val="17"/>
              </w:rPr>
            </w:pPr>
            <w:r w:rsidRPr="00A96FAB">
              <w:rPr>
                <w:sz w:val="17"/>
              </w:rPr>
              <w:t>13,04</w:t>
            </w:r>
          </w:p>
        </w:tc>
        <w:tc>
          <w:tcPr>
            <w:tcW w:w="672" w:type="dxa"/>
            <w:tcBorders>
              <w:bottom w:val="single" w:sz="12" w:space="0" w:color="auto"/>
            </w:tcBorders>
            <w:shd w:val="clear" w:color="auto" w:fill="auto"/>
            <w:noWrap/>
            <w:vAlign w:val="bottom"/>
          </w:tcPr>
          <w:p w14:paraId="02BFCE6E" w14:textId="1EF3A655" w:rsidR="00F2717F" w:rsidRPr="00A96FAB" w:rsidRDefault="00A96FAB" w:rsidP="00A96FAB">
            <w:pPr>
              <w:tabs>
                <w:tab w:val="left" w:pos="288"/>
                <w:tab w:val="left" w:pos="576"/>
                <w:tab w:val="left" w:pos="864"/>
                <w:tab w:val="left" w:pos="1152"/>
              </w:tabs>
              <w:suppressAutoHyphens/>
              <w:spacing w:before="40" w:after="40" w:line="210" w:lineRule="exact"/>
              <w:ind w:right="43"/>
              <w:jc w:val="right"/>
              <w:rPr>
                <w:sz w:val="17"/>
              </w:rPr>
            </w:pPr>
            <w:r w:rsidRPr="00A96FAB">
              <w:rPr>
                <w:sz w:val="17"/>
              </w:rPr>
              <w:t>15,28</w:t>
            </w:r>
          </w:p>
        </w:tc>
        <w:tc>
          <w:tcPr>
            <w:tcW w:w="672" w:type="dxa"/>
            <w:tcBorders>
              <w:bottom w:val="single" w:sz="12" w:space="0" w:color="auto"/>
            </w:tcBorders>
            <w:shd w:val="clear" w:color="auto" w:fill="auto"/>
            <w:noWrap/>
            <w:vAlign w:val="bottom"/>
          </w:tcPr>
          <w:p w14:paraId="135F12C7" w14:textId="223C7E10" w:rsidR="00F2717F" w:rsidRPr="00A96FAB" w:rsidRDefault="00A96FAB" w:rsidP="00A96FAB">
            <w:pPr>
              <w:tabs>
                <w:tab w:val="left" w:pos="288"/>
                <w:tab w:val="left" w:pos="576"/>
                <w:tab w:val="left" w:pos="864"/>
                <w:tab w:val="left" w:pos="1152"/>
              </w:tabs>
              <w:suppressAutoHyphens/>
              <w:spacing w:before="40" w:after="40" w:line="210" w:lineRule="exact"/>
              <w:ind w:right="43"/>
              <w:jc w:val="right"/>
              <w:rPr>
                <w:sz w:val="17"/>
              </w:rPr>
            </w:pPr>
            <w:r w:rsidRPr="00A96FAB">
              <w:rPr>
                <w:sz w:val="17"/>
              </w:rPr>
              <w:t>16,59</w:t>
            </w:r>
          </w:p>
        </w:tc>
      </w:tr>
    </w:tbl>
    <w:p w14:paraId="738290C1" w14:textId="33D0E4EA" w:rsidR="00B35EE7" w:rsidRPr="00A96FAB" w:rsidRDefault="00B35EE7" w:rsidP="00A96FAB">
      <w:pPr>
        <w:pStyle w:val="SingleTxt"/>
        <w:tabs>
          <w:tab w:val="right" w:pos="1685"/>
        </w:tabs>
        <w:spacing w:after="0" w:line="120" w:lineRule="exact"/>
        <w:ind w:left="1742" w:hanging="475"/>
        <w:rPr>
          <w:sz w:val="10"/>
        </w:rPr>
      </w:pPr>
    </w:p>
    <w:p w14:paraId="6FEAB3FB" w14:textId="1A078F42" w:rsidR="00A96FAB" w:rsidRPr="00A96FAB" w:rsidRDefault="00A96FAB" w:rsidP="00A96FAB">
      <w:pPr>
        <w:pStyle w:val="SingleTxt"/>
        <w:tabs>
          <w:tab w:val="right" w:pos="1685"/>
        </w:tabs>
        <w:spacing w:after="0" w:line="120" w:lineRule="exact"/>
        <w:ind w:left="1742" w:hanging="475"/>
        <w:rPr>
          <w:sz w:val="10"/>
        </w:rPr>
      </w:pPr>
    </w:p>
    <w:p w14:paraId="040E2B18" w14:textId="4EC5DD8D" w:rsidR="00F13A4D" w:rsidRPr="00F13A4D" w:rsidRDefault="00F13A4D" w:rsidP="00A96FAB">
      <w:pPr>
        <w:pStyle w:val="SingleTxt"/>
        <w:numPr>
          <w:ilvl w:val="0"/>
          <w:numId w:val="50"/>
        </w:numPr>
        <w:spacing w:line="240" w:lineRule="exact"/>
        <w:rPr>
          <w:lang w:val="fr-FR"/>
        </w:rPr>
      </w:pPr>
      <w:r w:rsidRPr="00F13A4D">
        <w:rPr>
          <w:lang w:val="fr-FR"/>
        </w:rPr>
        <w:t>À la Direction générale de la Sûreté nationale, l</w:t>
      </w:r>
      <w:r w:rsidR="00F1794C" w:rsidRPr="00F1794C">
        <w:rPr>
          <w:lang w:val="fr-FR"/>
        </w:rPr>
        <w:t>’</w:t>
      </w:r>
      <w:r w:rsidRPr="00F13A4D">
        <w:rPr>
          <w:lang w:val="fr-FR"/>
        </w:rPr>
        <w:t>emploi des femmes a considérablement augmenté entre 2008 et 2017. Ainsi, 3 037 femmes y occupent des postes (personnel civil, personnel en tenue et membres des organes interministériels). En 2018, 328 femmes ont été recrutées, 81 ont été affectées dans des services décentralisés et 57 à des postes au sein de la structure centrale, où les femmes représentent 8</w:t>
      </w:r>
      <w:r w:rsidR="00F1794C" w:rsidRPr="00F1794C">
        <w:rPr>
          <w:lang w:val="fr-FR"/>
        </w:rPr>
        <w:t> %</w:t>
      </w:r>
      <w:r w:rsidRPr="00F13A4D">
        <w:rPr>
          <w:lang w:val="fr-FR"/>
        </w:rPr>
        <w:t xml:space="preserve"> des chefs de division, 33</w:t>
      </w:r>
      <w:r w:rsidR="00F1794C" w:rsidRPr="00F1794C">
        <w:rPr>
          <w:lang w:val="fr-FR"/>
        </w:rPr>
        <w:t> %</w:t>
      </w:r>
      <w:r w:rsidRPr="00F13A4D">
        <w:rPr>
          <w:lang w:val="fr-FR"/>
        </w:rPr>
        <w:t xml:space="preserve"> des chefs de service, 33</w:t>
      </w:r>
      <w:r w:rsidR="00F1794C" w:rsidRPr="00F1794C">
        <w:rPr>
          <w:lang w:val="fr-FR"/>
        </w:rPr>
        <w:t> %</w:t>
      </w:r>
      <w:r w:rsidRPr="00F13A4D">
        <w:rPr>
          <w:lang w:val="fr-FR"/>
        </w:rPr>
        <w:t xml:space="preserve"> des chefs d</w:t>
      </w:r>
      <w:r w:rsidR="00F1794C" w:rsidRPr="00F1794C">
        <w:rPr>
          <w:lang w:val="fr-FR"/>
        </w:rPr>
        <w:t>’</w:t>
      </w:r>
      <w:r w:rsidRPr="00F13A4D">
        <w:rPr>
          <w:lang w:val="fr-FR"/>
        </w:rPr>
        <w:t>annexe et 26</w:t>
      </w:r>
      <w:r w:rsidR="00F1794C" w:rsidRPr="00F1794C">
        <w:rPr>
          <w:lang w:val="fr-FR"/>
        </w:rPr>
        <w:t> %</w:t>
      </w:r>
      <w:r w:rsidRPr="00F13A4D">
        <w:rPr>
          <w:lang w:val="fr-FR"/>
        </w:rPr>
        <w:t xml:space="preserve"> des chefs d</w:t>
      </w:r>
      <w:r w:rsidR="00F1794C" w:rsidRPr="00F1794C">
        <w:rPr>
          <w:lang w:val="fr-FR"/>
        </w:rPr>
        <w:t>’</w:t>
      </w:r>
      <w:r w:rsidRPr="00F13A4D">
        <w:rPr>
          <w:lang w:val="fr-FR"/>
        </w:rPr>
        <w:t xml:space="preserve">unité administrative. </w:t>
      </w:r>
    </w:p>
    <w:p w14:paraId="2E97F0F7" w14:textId="3E8FDA3F" w:rsidR="00F13A4D" w:rsidRPr="00F13A4D" w:rsidRDefault="00F13A4D" w:rsidP="00A96FAB">
      <w:pPr>
        <w:pStyle w:val="SingleTxt"/>
        <w:numPr>
          <w:ilvl w:val="0"/>
          <w:numId w:val="50"/>
        </w:numPr>
        <w:rPr>
          <w:lang w:val="fr-FR"/>
        </w:rPr>
      </w:pPr>
      <w:r w:rsidRPr="00F13A4D">
        <w:rPr>
          <w:lang w:val="fr-FR"/>
        </w:rPr>
        <w:t>Depuis que le cycle normal de l</w:t>
      </w:r>
      <w:r w:rsidR="00F1794C" w:rsidRPr="00F1794C">
        <w:rPr>
          <w:lang w:val="fr-FR"/>
        </w:rPr>
        <w:t>’</w:t>
      </w:r>
      <w:r w:rsidRPr="00F13A4D">
        <w:rPr>
          <w:lang w:val="fr-FR"/>
        </w:rPr>
        <w:t>Institut royal de l</w:t>
      </w:r>
      <w:r w:rsidR="00F1794C" w:rsidRPr="00F1794C">
        <w:rPr>
          <w:lang w:val="fr-FR"/>
        </w:rPr>
        <w:t>’</w:t>
      </w:r>
      <w:r w:rsidRPr="00F13A4D">
        <w:rPr>
          <w:lang w:val="fr-FR"/>
        </w:rPr>
        <w:t>administration territoriale pour les agents d</w:t>
      </w:r>
      <w:r w:rsidR="00F1794C" w:rsidRPr="00F1794C">
        <w:rPr>
          <w:lang w:val="fr-FR"/>
        </w:rPr>
        <w:t>’</w:t>
      </w:r>
      <w:r w:rsidRPr="00F13A4D">
        <w:rPr>
          <w:lang w:val="fr-FR"/>
        </w:rPr>
        <w:t>autorité a été ouvert aux femmes en 2006, les femmes stagiaires de l</w:t>
      </w:r>
      <w:r w:rsidR="00F1794C" w:rsidRPr="00F1794C">
        <w:rPr>
          <w:lang w:val="fr-FR"/>
        </w:rPr>
        <w:t>’</w:t>
      </w:r>
      <w:r w:rsidRPr="00F13A4D">
        <w:rPr>
          <w:lang w:val="fr-FR"/>
        </w:rPr>
        <w:t>Institut participent aux programmes de formation. La première femme wali a été nommée en 2014 et 157 femmes exercent des fonctions d</w:t>
      </w:r>
      <w:r w:rsidR="00F1794C" w:rsidRPr="00F1794C">
        <w:rPr>
          <w:lang w:val="fr-FR"/>
        </w:rPr>
        <w:t>’</w:t>
      </w:r>
      <w:r w:rsidRPr="00F13A4D">
        <w:rPr>
          <w:lang w:val="fr-FR"/>
        </w:rPr>
        <w:t>autorité et occupent des postes dans l</w:t>
      </w:r>
      <w:r w:rsidR="00F1794C" w:rsidRPr="00F1794C">
        <w:rPr>
          <w:lang w:val="fr-FR"/>
        </w:rPr>
        <w:t>’</w:t>
      </w:r>
      <w:r w:rsidRPr="00F13A4D">
        <w:rPr>
          <w:lang w:val="fr-FR"/>
        </w:rPr>
        <w:t>administration territoriale et l</w:t>
      </w:r>
      <w:r w:rsidR="00F1794C" w:rsidRPr="00F1794C">
        <w:rPr>
          <w:lang w:val="fr-FR"/>
        </w:rPr>
        <w:t>’</w:t>
      </w:r>
      <w:r w:rsidRPr="00F13A4D">
        <w:rPr>
          <w:lang w:val="fr-FR"/>
        </w:rPr>
        <w:t>administration centrale. En outre, 14</w:t>
      </w:r>
      <w:r w:rsidR="00A96FAB">
        <w:rPr>
          <w:lang w:val="fr-FR"/>
        </w:rPr>
        <w:t> </w:t>
      </w:r>
      <w:r w:rsidRPr="00F13A4D">
        <w:rPr>
          <w:lang w:val="fr-FR"/>
        </w:rPr>
        <w:t>femmes non-diplômées de l</w:t>
      </w:r>
      <w:r w:rsidR="00F1794C" w:rsidRPr="00F1794C">
        <w:rPr>
          <w:lang w:val="fr-FR"/>
        </w:rPr>
        <w:t>’</w:t>
      </w:r>
      <w:r w:rsidRPr="00F13A4D">
        <w:rPr>
          <w:lang w:val="fr-FR"/>
        </w:rPr>
        <w:t>Institut ont été nommées à diverses fonctions d</w:t>
      </w:r>
      <w:r w:rsidR="00F1794C" w:rsidRPr="00F1794C">
        <w:rPr>
          <w:lang w:val="fr-FR"/>
        </w:rPr>
        <w:t>’</w:t>
      </w:r>
      <w:r w:rsidRPr="00F13A4D">
        <w:rPr>
          <w:lang w:val="fr-FR"/>
        </w:rPr>
        <w:t>autorité.</w:t>
      </w:r>
    </w:p>
    <w:p w14:paraId="17637722" w14:textId="77777777" w:rsidR="00F85844" w:rsidRPr="00F85844" w:rsidRDefault="00F85844" w:rsidP="00F85844">
      <w:pPr>
        <w:pStyle w:val="SingleTxt"/>
        <w:spacing w:after="0" w:line="120" w:lineRule="exact"/>
        <w:rPr>
          <w:sz w:val="10"/>
          <w:lang w:val="fr-FR"/>
        </w:rPr>
      </w:pPr>
    </w:p>
    <w:p w14:paraId="0F814E56" w14:textId="6BF9279D" w:rsidR="00F85844" w:rsidRDefault="00F85844" w:rsidP="00F85844">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F13A4D" w:rsidRPr="00F13A4D">
        <w:rPr>
          <w:lang w:val="fr-FR"/>
        </w:rPr>
        <w:t>Tableau 7</w:t>
      </w:r>
    </w:p>
    <w:p w14:paraId="160404E1" w14:textId="354E1A38" w:rsidR="00F13A4D" w:rsidRPr="00F13A4D" w:rsidRDefault="00F85844" w:rsidP="00F8584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N</w:t>
      </w:r>
      <w:r w:rsidR="00F13A4D" w:rsidRPr="00F13A4D">
        <w:rPr>
          <w:lang w:val="fr-FR"/>
        </w:rPr>
        <w:t>ombre de femmes exerçant des fonctions d</w:t>
      </w:r>
      <w:r w:rsidR="00F1794C" w:rsidRPr="00F1794C">
        <w:rPr>
          <w:lang w:val="fr-FR"/>
        </w:rPr>
        <w:t>’</w:t>
      </w:r>
      <w:r w:rsidR="00F13A4D" w:rsidRPr="00F13A4D">
        <w:rPr>
          <w:lang w:val="fr-FR"/>
        </w:rPr>
        <w:t>autorité</w:t>
      </w:r>
    </w:p>
    <w:p w14:paraId="7028B043" w14:textId="10509AD5" w:rsidR="00B35EE7" w:rsidRPr="00F85844" w:rsidRDefault="00B35EE7" w:rsidP="00F85844">
      <w:pPr>
        <w:pStyle w:val="SingleTxt"/>
        <w:spacing w:after="0" w:line="120" w:lineRule="exact"/>
        <w:rPr>
          <w:sz w:val="10"/>
          <w:lang w:val="fr-FR"/>
        </w:rPr>
      </w:pPr>
    </w:p>
    <w:p w14:paraId="7F50919A" w14:textId="50EEB1F0" w:rsidR="00F85844" w:rsidRPr="00F85844" w:rsidRDefault="00F85844" w:rsidP="00F85844">
      <w:pPr>
        <w:pStyle w:val="SingleTxt"/>
        <w:spacing w:after="0" w:line="120" w:lineRule="exact"/>
        <w:rPr>
          <w:sz w:val="10"/>
          <w:lang w:val="fr-FR"/>
        </w:rPr>
      </w:pPr>
    </w:p>
    <w:tbl>
      <w:tblPr>
        <w:tblStyle w:val="Grilledutableau4"/>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30"/>
        <w:gridCol w:w="2190"/>
      </w:tblGrid>
      <w:tr w:rsidR="00F13A4D" w:rsidRPr="00F85844" w14:paraId="340829FB" w14:textId="77777777" w:rsidTr="00F85844">
        <w:trPr>
          <w:cantSplit/>
          <w:tblHeader/>
        </w:trPr>
        <w:tc>
          <w:tcPr>
            <w:tcW w:w="5130" w:type="dxa"/>
            <w:tcBorders>
              <w:top w:val="single" w:sz="4" w:space="0" w:color="auto"/>
              <w:bottom w:val="single" w:sz="12" w:space="0" w:color="auto"/>
            </w:tcBorders>
            <w:shd w:val="clear" w:color="auto" w:fill="auto"/>
            <w:noWrap/>
            <w:vAlign w:val="bottom"/>
          </w:tcPr>
          <w:p w14:paraId="4ADB5A43" w14:textId="77777777" w:rsidR="00F13A4D" w:rsidRPr="00F85844" w:rsidRDefault="00F13A4D" w:rsidP="00F85844">
            <w:pPr>
              <w:suppressAutoHyphens/>
              <w:spacing w:before="81" w:after="81" w:line="160" w:lineRule="exact"/>
              <w:ind w:right="40"/>
              <w:rPr>
                <w:i/>
                <w:sz w:val="14"/>
              </w:rPr>
            </w:pPr>
            <w:r w:rsidRPr="00F85844">
              <w:rPr>
                <w:i/>
                <w:sz w:val="14"/>
              </w:rPr>
              <w:t>Fonctions</w:t>
            </w:r>
          </w:p>
        </w:tc>
        <w:tc>
          <w:tcPr>
            <w:tcW w:w="2190" w:type="dxa"/>
            <w:tcBorders>
              <w:top w:val="single" w:sz="4" w:space="0" w:color="auto"/>
              <w:bottom w:val="single" w:sz="12" w:space="0" w:color="auto"/>
            </w:tcBorders>
            <w:shd w:val="clear" w:color="auto" w:fill="auto"/>
            <w:noWrap/>
            <w:vAlign w:val="bottom"/>
          </w:tcPr>
          <w:p w14:paraId="5C2289AA" w14:textId="77777777" w:rsidR="00F13A4D" w:rsidRPr="00F85844" w:rsidRDefault="00F13A4D" w:rsidP="00F85844">
            <w:pPr>
              <w:suppressAutoHyphens/>
              <w:spacing w:before="81" w:after="81" w:line="160" w:lineRule="exact"/>
              <w:ind w:right="43"/>
              <w:jc w:val="right"/>
              <w:rPr>
                <w:i/>
                <w:sz w:val="14"/>
              </w:rPr>
            </w:pPr>
            <w:r w:rsidRPr="00F85844">
              <w:rPr>
                <w:i/>
                <w:sz w:val="14"/>
              </w:rPr>
              <w:t>Nombre</w:t>
            </w:r>
          </w:p>
        </w:tc>
      </w:tr>
      <w:tr w:rsidR="00F85844" w:rsidRPr="00F85844" w14:paraId="65F32804" w14:textId="77777777" w:rsidTr="00F85844">
        <w:trPr>
          <w:cantSplit/>
          <w:trHeight w:hRule="exact" w:val="115"/>
          <w:tblHeader/>
        </w:trPr>
        <w:tc>
          <w:tcPr>
            <w:tcW w:w="5130" w:type="dxa"/>
            <w:tcBorders>
              <w:top w:val="single" w:sz="12" w:space="0" w:color="auto"/>
            </w:tcBorders>
            <w:shd w:val="clear" w:color="auto" w:fill="auto"/>
            <w:noWrap/>
            <w:vAlign w:val="bottom"/>
          </w:tcPr>
          <w:p w14:paraId="1A87964D" w14:textId="77777777" w:rsidR="00F85844" w:rsidRPr="00F85844" w:rsidRDefault="00F85844" w:rsidP="00F85844">
            <w:pPr>
              <w:suppressAutoHyphens/>
              <w:spacing w:before="40" w:after="40" w:line="210" w:lineRule="exact"/>
              <w:ind w:right="40"/>
              <w:rPr>
                <w:sz w:val="17"/>
              </w:rPr>
            </w:pPr>
          </w:p>
        </w:tc>
        <w:tc>
          <w:tcPr>
            <w:tcW w:w="2190" w:type="dxa"/>
            <w:tcBorders>
              <w:top w:val="single" w:sz="12" w:space="0" w:color="auto"/>
            </w:tcBorders>
            <w:shd w:val="clear" w:color="auto" w:fill="auto"/>
            <w:noWrap/>
            <w:vAlign w:val="bottom"/>
          </w:tcPr>
          <w:p w14:paraId="5E9DC749" w14:textId="77777777" w:rsidR="00F85844" w:rsidRPr="00F85844" w:rsidRDefault="00F85844" w:rsidP="00F85844">
            <w:pPr>
              <w:suppressAutoHyphens/>
              <w:spacing w:before="40" w:after="40" w:line="210" w:lineRule="exact"/>
              <w:ind w:right="43"/>
              <w:jc w:val="right"/>
              <w:rPr>
                <w:sz w:val="17"/>
              </w:rPr>
            </w:pPr>
          </w:p>
        </w:tc>
      </w:tr>
      <w:tr w:rsidR="00F13A4D" w:rsidRPr="00F85844" w14:paraId="1CD0EDA2" w14:textId="77777777" w:rsidTr="00F85844">
        <w:trPr>
          <w:cantSplit/>
        </w:trPr>
        <w:tc>
          <w:tcPr>
            <w:tcW w:w="5130" w:type="dxa"/>
            <w:shd w:val="clear" w:color="auto" w:fill="auto"/>
            <w:noWrap/>
            <w:vAlign w:val="bottom"/>
          </w:tcPr>
          <w:p w14:paraId="383F5940" w14:textId="77777777" w:rsidR="00F13A4D" w:rsidRPr="00F85844" w:rsidRDefault="00F13A4D" w:rsidP="00F85844">
            <w:pPr>
              <w:tabs>
                <w:tab w:val="left" w:pos="288"/>
                <w:tab w:val="left" w:pos="576"/>
                <w:tab w:val="left" w:pos="864"/>
                <w:tab w:val="left" w:pos="1152"/>
              </w:tabs>
              <w:suppressAutoHyphens/>
              <w:spacing w:before="40" w:after="40" w:line="210" w:lineRule="exact"/>
              <w:ind w:right="40"/>
              <w:rPr>
                <w:sz w:val="17"/>
              </w:rPr>
            </w:pPr>
            <w:r w:rsidRPr="00F85844">
              <w:rPr>
                <w:sz w:val="17"/>
              </w:rPr>
              <w:t>Wali</w:t>
            </w:r>
          </w:p>
        </w:tc>
        <w:tc>
          <w:tcPr>
            <w:tcW w:w="2190" w:type="dxa"/>
            <w:shd w:val="clear" w:color="auto" w:fill="auto"/>
            <w:noWrap/>
            <w:vAlign w:val="bottom"/>
          </w:tcPr>
          <w:p w14:paraId="714FC8A2" w14:textId="77777777" w:rsidR="00F13A4D" w:rsidRPr="00F85844" w:rsidRDefault="00F13A4D" w:rsidP="00F85844">
            <w:pPr>
              <w:tabs>
                <w:tab w:val="left" w:pos="288"/>
                <w:tab w:val="left" w:pos="576"/>
                <w:tab w:val="left" w:pos="864"/>
                <w:tab w:val="left" w:pos="1152"/>
              </w:tabs>
              <w:suppressAutoHyphens/>
              <w:spacing w:before="40" w:after="40" w:line="210" w:lineRule="exact"/>
              <w:ind w:right="43"/>
              <w:jc w:val="right"/>
              <w:rPr>
                <w:sz w:val="17"/>
              </w:rPr>
            </w:pPr>
            <w:r w:rsidRPr="00F85844">
              <w:rPr>
                <w:sz w:val="17"/>
              </w:rPr>
              <w:t>01</w:t>
            </w:r>
          </w:p>
        </w:tc>
      </w:tr>
      <w:tr w:rsidR="00F13A4D" w:rsidRPr="00F85844" w14:paraId="12E4E306" w14:textId="77777777" w:rsidTr="00F85844">
        <w:trPr>
          <w:cantSplit/>
        </w:trPr>
        <w:tc>
          <w:tcPr>
            <w:tcW w:w="5130" w:type="dxa"/>
            <w:shd w:val="clear" w:color="auto" w:fill="auto"/>
            <w:noWrap/>
            <w:vAlign w:val="bottom"/>
          </w:tcPr>
          <w:p w14:paraId="16392038" w14:textId="77777777" w:rsidR="00F13A4D" w:rsidRPr="00F85844" w:rsidRDefault="00F13A4D" w:rsidP="00F85844">
            <w:pPr>
              <w:tabs>
                <w:tab w:val="left" w:pos="288"/>
                <w:tab w:val="left" w:pos="576"/>
                <w:tab w:val="left" w:pos="864"/>
                <w:tab w:val="left" w:pos="1152"/>
              </w:tabs>
              <w:suppressAutoHyphens/>
              <w:spacing w:before="40" w:after="40" w:line="210" w:lineRule="exact"/>
              <w:ind w:right="40"/>
              <w:rPr>
                <w:sz w:val="17"/>
              </w:rPr>
            </w:pPr>
            <w:r w:rsidRPr="00F85844">
              <w:rPr>
                <w:sz w:val="17"/>
              </w:rPr>
              <w:t>Préfète</w:t>
            </w:r>
          </w:p>
        </w:tc>
        <w:tc>
          <w:tcPr>
            <w:tcW w:w="2190" w:type="dxa"/>
            <w:shd w:val="clear" w:color="auto" w:fill="auto"/>
            <w:noWrap/>
            <w:vAlign w:val="bottom"/>
          </w:tcPr>
          <w:p w14:paraId="2895B8F2" w14:textId="77777777" w:rsidR="00F13A4D" w:rsidRPr="00F85844" w:rsidRDefault="00F13A4D" w:rsidP="00F85844">
            <w:pPr>
              <w:tabs>
                <w:tab w:val="left" w:pos="288"/>
                <w:tab w:val="left" w:pos="576"/>
                <w:tab w:val="left" w:pos="864"/>
                <w:tab w:val="left" w:pos="1152"/>
              </w:tabs>
              <w:suppressAutoHyphens/>
              <w:spacing w:before="40" w:after="40" w:line="210" w:lineRule="exact"/>
              <w:ind w:right="43"/>
              <w:jc w:val="right"/>
              <w:rPr>
                <w:sz w:val="17"/>
              </w:rPr>
            </w:pPr>
            <w:r w:rsidRPr="00F85844">
              <w:rPr>
                <w:sz w:val="17"/>
              </w:rPr>
              <w:t>04</w:t>
            </w:r>
          </w:p>
        </w:tc>
      </w:tr>
      <w:tr w:rsidR="00F13A4D" w:rsidRPr="00F85844" w14:paraId="76317DC0" w14:textId="77777777" w:rsidTr="00F85844">
        <w:trPr>
          <w:cantSplit/>
        </w:trPr>
        <w:tc>
          <w:tcPr>
            <w:tcW w:w="5130" w:type="dxa"/>
            <w:shd w:val="clear" w:color="auto" w:fill="auto"/>
            <w:noWrap/>
            <w:vAlign w:val="bottom"/>
          </w:tcPr>
          <w:p w14:paraId="71E61F1D" w14:textId="77777777" w:rsidR="00F13A4D" w:rsidRPr="00F85844" w:rsidRDefault="00F13A4D" w:rsidP="00F85844">
            <w:pPr>
              <w:tabs>
                <w:tab w:val="left" w:pos="288"/>
                <w:tab w:val="left" w:pos="576"/>
                <w:tab w:val="left" w:pos="864"/>
                <w:tab w:val="left" w:pos="1152"/>
              </w:tabs>
              <w:suppressAutoHyphens/>
              <w:spacing w:before="40" w:after="40" w:line="210" w:lineRule="exact"/>
              <w:ind w:right="40"/>
              <w:rPr>
                <w:sz w:val="17"/>
              </w:rPr>
            </w:pPr>
            <w:r w:rsidRPr="00F85844">
              <w:rPr>
                <w:sz w:val="17"/>
              </w:rPr>
              <w:t>Chef de circonscription</w:t>
            </w:r>
          </w:p>
        </w:tc>
        <w:tc>
          <w:tcPr>
            <w:tcW w:w="2190" w:type="dxa"/>
            <w:shd w:val="clear" w:color="auto" w:fill="auto"/>
            <w:noWrap/>
            <w:vAlign w:val="bottom"/>
          </w:tcPr>
          <w:p w14:paraId="244495BF" w14:textId="77777777" w:rsidR="00F13A4D" w:rsidRPr="00F85844" w:rsidRDefault="00F13A4D" w:rsidP="00F85844">
            <w:pPr>
              <w:tabs>
                <w:tab w:val="left" w:pos="288"/>
                <w:tab w:val="left" w:pos="576"/>
                <w:tab w:val="left" w:pos="864"/>
                <w:tab w:val="left" w:pos="1152"/>
              </w:tabs>
              <w:suppressAutoHyphens/>
              <w:spacing w:before="40" w:after="40" w:line="210" w:lineRule="exact"/>
              <w:ind w:right="43"/>
              <w:jc w:val="right"/>
              <w:rPr>
                <w:sz w:val="17"/>
              </w:rPr>
            </w:pPr>
            <w:r w:rsidRPr="00F85844">
              <w:rPr>
                <w:sz w:val="17"/>
              </w:rPr>
              <w:t>01</w:t>
            </w:r>
          </w:p>
        </w:tc>
      </w:tr>
      <w:tr w:rsidR="00F13A4D" w:rsidRPr="00F85844" w14:paraId="562F416C" w14:textId="77777777" w:rsidTr="00F85844">
        <w:trPr>
          <w:cantSplit/>
        </w:trPr>
        <w:tc>
          <w:tcPr>
            <w:tcW w:w="5130" w:type="dxa"/>
            <w:shd w:val="clear" w:color="auto" w:fill="auto"/>
            <w:noWrap/>
            <w:vAlign w:val="bottom"/>
          </w:tcPr>
          <w:p w14:paraId="63B225E2" w14:textId="3F48DDD2" w:rsidR="00F13A4D" w:rsidRPr="00F85844" w:rsidRDefault="00F13A4D" w:rsidP="00F85844">
            <w:pPr>
              <w:tabs>
                <w:tab w:val="left" w:pos="288"/>
                <w:tab w:val="left" w:pos="576"/>
                <w:tab w:val="left" w:pos="864"/>
                <w:tab w:val="left" w:pos="1152"/>
              </w:tabs>
              <w:suppressAutoHyphens/>
              <w:spacing w:before="40" w:after="40" w:line="210" w:lineRule="exact"/>
              <w:ind w:right="40"/>
              <w:rPr>
                <w:sz w:val="17"/>
              </w:rPr>
            </w:pPr>
            <w:r w:rsidRPr="00F85844">
              <w:rPr>
                <w:sz w:val="17"/>
              </w:rPr>
              <w:t>Responsable</w:t>
            </w:r>
            <w:r w:rsidR="00F1794C" w:rsidRPr="00F85844">
              <w:rPr>
                <w:sz w:val="17"/>
              </w:rPr>
              <w:t>,</w:t>
            </w:r>
            <w:r w:rsidRPr="00F85844">
              <w:rPr>
                <w:sz w:val="17"/>
              </w:rPr>
              <w:t xml:space="preserve"> directrice de campus universitaire</w:t>
            </w:r>
          </w:p>
        </w:tc>
        <w:tc>
          <w:tcPr>
            <w:tcW w:w="2190" w:type="dxa"/>
            <w:shd w:val="clear" w:color="auto" w:fill="auto"/>
            <w:noWrap/>
            <w:vAlign w:val="bottom"/>
          </w:tcPr>
          <w:p w14:paraId="4464481C" w14:textId="77777777" w:rsidR="00F13A4D" w:rsidRPr="00F85844" w:rsidRDefault="00F13A4D" w:rsidP="00F85844">
            <w:pPr>
              <w:tabs>
                <w:tab w:val="left" w:pos="288"/>
                <w:tab w:val="left" w:pos="576"/>
                <w:tab w:val="left" w:pos="864"/>
                <w:tab w:val="left" w:pos="1152"/>
              </w:tabs>
              <w:suppressAutoHyphens/>
              <w:spacing w:before="40" w:after="40" w:line="210" w:lineRule="exact"/>
              <w:ind w:right="43"/>
              <w:jc w:val="right"/>
              <w:rPr>
                <w:sz w:val="17"/>
              </w:rPr>
            </w:pPr>
            <w:r w:rsidRPr="00F85844">
              <w:rPr>
                <w:sz w:val="17"/>
              </w:rPr>
              <w:t>02</w:t>
            </w:r>
          </w:p>
        </w:tc>
      </w:tr>
      <w:tr w:rsidR="00F13A4D" w:rsidRPr="00F85844" w14:paraId="3690ABF4" w14:textId="77777777" w:rsidTr="00F85844">
        <w:trPr>
          <w:cantSplit/>
        </w:trPr>
        <w:tc>
          <w:tcPr>
            <w:tcW w:w="5130" w:type="dxa"/>
            <w:shd w:val="clear" w:color="auto" w:fill="auto"/>
            <w:noWrap/>
            <w:vAlign w:val="bottom"/>
          </w:tcPr>
          <w:p w14:paraId="6DEDB19C" w14:textId="77777777" w:rsidR="00F13A4D" w:rsidRPr="00F85844" w:rsidRDefault="00F13A4D" w:rsidP="00F85844">
            <w:pPr>
              <w:tabs>
                <w:tab w:val="left" w:pos="288"/>
                <w:tab w:val="left" w:pos="576"/>
                <w:tab w:val="left" w:pos="864"/>
                <w:tab w:val="left" w:pos="1152"/>
              </w:tabs>
              <w:suppressAutoHyphens/>
              <w:spacing w:before="40" w:after="40" w:line="210" w:lineRule="exact"/>
              <w:ind w:right="40"/>
              <w:rPr>
                <w:sz w:val="17"/>
              </w:rPr>
            </w:pPr>
            <w:r w:rsidRPr="00F85844">
              <w:rPr>
                <w:sz w:val="17"/>
              </w:rPr>
              <w:t>Responsable, adjointe au chef de la division des affaires intérieures</w:t>
            </w:r>
          </w:p>
        </w:tc>
        <w:tc>
          <w:tcPr>
            <w:tcW w:w="2190" w:type="dxa"/>
            <w:shd w:val="clear" w:color="auto" w:fill="auto"/>
            <w:noWrap/>
            <w:vAlign w:val="bottom"/>
          </w:tcPr>
          <w:p w14:paraId="52C3A4A8" w14:textId="77777777" w:rsidR="00F13A4D" w:rsidRPr="00F85844" w:rsidRDefault="00F13A4D" w:rsidP="00F85844">
            <w:pPr>
              <w:tabs>
                <w:tab w:val="left" w:pos="288"/>
                <w:tab w:val="left" w:pos="576"/>
                <w:tab w:val="left" w:pos="864"/>
                <w:tab w:val="left" w:pos="1152"/>
              </w:tabs>
              <w:suppressAutoHyphens/>
              <w:spacing w:before="40" w:after="40" w:line="210" w:lineRule="exact"/>
              <w:ind w:right="43"/>
              <w:jc w:val="right"/>
              <w:rPr>
                <w:sz w:val="17"/>
              </w:rPr>
            </w:pPr>
            <w:r w:rsidRPr="00F85844">
              <w:rPr>
                <w:sz w:val="17"/>
              </w:rPr>
              <w:t>01</w:t>
            </w:r>
          </w:p>
        </w:tc>
      </w:tr>
      <w:tr w:rsidR="00F13A4D" w:rsidRPr="00F85844" w14:paraId="69C2E82F" w14:textId="77777777" w:rsidTr="00F85844">
        <w:trPr>
          <w:cantSplit/>
        </w:trPr>
        <w:tc>
          <w:tcPr>
            <w:tcW w:w="5130" w:type="dxa"/>
            <w:shd w:val="clear" w:color="auto" w:fill="auto"/>
            <w:noWrap/>
            <w:vAlign w:val="bottom"/>
          </w:tcPr>
          <w:p w14:paraId="67219132" w14:textId="77777777" w:rsidR="00F13A4D" w:rsidRPr="00F85844" w:rsidRDefault="00F13A4D" w:rsidP="00F85844">
            <w:pPr>
              <w:tabs>
                <w:tab w:val="left" w:pos="288"/>
                <w:tab w:val="left" w:pos="576"/>
                <w:tab w:val="left" w:pos="864"/>
                <w:tab w:val="left" w:pos="1152"/>
              </w:tabs>
              <w:suppressAutoHyphens/>
              <w:spacing w:before="40" w:after="40" w:line="210" w:lineRule="exact"/>
              <w:ind w:right="40"/>
              <w:rPr>
                <w:sz w:val="17"/>
              </w:rPr>
            </w:pPr>
            <w:r w:rsidRPr="00F85844">
              <w:rPr>
                <w:sz w:val="17"/>
              </w:rPr>
              <w:t>Chef de subdivision administrative</w:t>
            </w:r>
          </w:p>
        </w:tc>
        <w:tc>
          <w:tcPr>
            <w:tcW w:w="2190" w:type="dxa"/>
            <w:shd w:val="clear" w:color="auto" w:fill="auto"/>
            <w:noWrap/>
            <w:vAlign w:val="bottom"/>
          </w:tcPr>
          <w:p w14:paraId="0DCC180A" w14:textId="77777777" w:rsidR="00F13A4D" w:rsidRPr="00F85844" w:rsidRDefault="00F13A4D" w:rsidP="00F85844">
            <w:pPr>
              <w:tabs>
                <w:tab w:val="left" w:pos="288"/>
                <w:tab w:val="left" w:pos="576"/>
                <w:tab w:val="left" w:pos="864"/>
                <w:tab w:val="left" w:pos="1152"/>
              </w:tabs>
              <w:suppressAutoHyphens/>
              <w:spacing w:before="40" w:after="40" w:line="210" w:lineRule="exact"/>
              <w:ind w:right="43"/>
              <w:jc w:val="right"/>
              <w:rPr>
                <w:sz w:val="17"/>
              </w:rPr>
            </w:pPr>
            <w:r w:rsidRPr="00F85844">
              <w:rPr>
                <w:sz w:val="17"/>
              </w:rPr>
              <w:t>95</w:t>
            </w:r>
          </w:p>
        </w:tc>
      </w:tr>
      <w:tr w:rsidR="00F13A4D" w:rsidRPr="00F85844" w14:paraId="461D7B64" w14:textId="77777777" w:rsidTr="00F85844">
        <w:trPr>
          <w:cantSplit/>
        </w:trPr>
        <w:tc>
          <w:tcPr>
            <w:tcW w:w="5130" w:type="dxa"/>
            <w:shd w:val="clear" w:color="auto" w:fill="auto"/>
            <w:noWrap/>
            <w:vAlign w:val="bottom"/>
          </w:tcPr>
          <w:p w14:paraId="755247E2" w14:textId="77777777" w:rsidR="00F13A4D" w:rsidRPr="00F85844" w:rsidRDefault="00F13A4D" w:rsidP="00F85844">
            <w:pPr>
              <w:tabs>
                <w:tab w:val="left" w:pos="288"/>
                <w:tab w:val="left" w:pos="576"/>
                <w:tab w:val="left" w:pos="864"/>
                <w:tab w:val="left" w:pos="1152"/>
              </w:tabs>
              <w:suppressAutoHyphens/>
              <w:spacing w:before="40" w:after="40" w:line="210" w:lineRule="exact"/>
              <w:ind w:right="40"/>
              <w:rPr>
                <w:sz w:val="17"/>
              </w:rPr>
            </w:pPr>
            <w:r w:rsidRPr="00F85844">
              <w:rPr>
                <w:sz w:val="17"/>
              </w:rPr>
              <w:t>Chef de district</w:t>
            </w:r>
          </w:p>
        </w:tc>
        <w:tc>
          <w:tcPr>
            <w:tcW w:w="2190" w:type="dxa"/>
            <w:shd w:val="clear" w:color="auto" w:fill="auto"/>
            <w:noWrap/>
            <w:vAlign w:val="bottom"/>
          </w:tcPr>
          <w:p w14:paraId="709CB01F" w14:textId="77777777" w:rsidR="00F13A4D" w:rsidRPr="00F85844" w:rsidRDefault="00F13A4D" w:rsidP="00F85844">
            <w:pPr>
              <w:tabs>
                <w:tab w:val="left" w:pos="288"/>
                <w:tab w:val="left" w:pos="576"/>
                <w:tab w:val="left" w:pos="864"/>
                <w:tab w:val="left" w:pos="1152"/>
              </w:tabs>
              <w:suppressAutoHyphens/>
              <w:spacing w:before="40" w:after="40" w:line="210" w:lineRule="exact"/>
              <w:ind w:right="43"/>
              <w:jc w:val="right"/>
              <w:rPr>
                <w:sz w:val="17"/>
              </w:rPr>
            </w:pPr>
            <w:r w:rsidRPr="00F85844">
              <w:rPr>
                <w:sz w:val="17"/>
              </w:rPr>
              <w:t>01</w:t>
            </w:r>
          </w:p>
        </w:tc>
      </w:tr>
      <w:tr w:rsidR="00F13A4D" w:rsidRPr="00F85844" w14:paraId="09248268" w14:textId="77777777" w:rsidTr="00F85844">
        <w:trPr>
          <w:cantSplit/>
        </w:trPr>
        <w:tc>
          <w:tcPr>
            <w:tcW w:w="5130" w:type="dxa"/>
            <w:shd w:val="clear" w:color="auto" w:fill="auto"/>
            <w:noWrap/>
            <w:vAlign w:val="bottom"/>
          </w:tcPr>
          <w:p w14:paraId="741374FB" w14:textId="2C2305E6" w:rsidR="00F13A4D" w:rsidRPr="00F85844" w:rsidRDefault="00F13A4D" w:rsidP="00F85844">
            <w:pPr>
              <w:tabs>
                <w:tab w:val="left" w:pos="288"/>
                <w:tab w:val="left" w:pos="576"/>
                <w:tab w:val="left" w:pos="864"/>
                <w:tab w:val="left" w:pos="1152"/>
              </w:tabs>
              <w:suppressAutoHyphens/>
              <w:spacing w:before="40" w:after="40" w:line="210" w:lineRule="exact"/>
              <w:ind w:right="40"/>
              <w:rPr>
                <w:sz w:val="17"/>
              </w:rPr>
            </w:pPr>
            <w:r w:rsidRPr="00F85844">
              <w:rPr>
                <w:sz w:val="17"/>
              </w:rPr>
              <w:t>Chef d</w:t>
            </w:r>
            <w:r w:rsidR="00F1794C" w:rsidRPr="00F85844">
              <w:rPr>
                <w:sz w:val="17"/>
              </w:rPr>
              <w:t>’</w:t>
            </w:r>
            <w:r w:rsidRPr="00F85844">
              <w:rPr>
                <w:sz w:val="17"/>
              </w:rPr>
              <w:t>une subdivision préfectorale ou provinciale</w:t>
            </w:r>
          </w:p>
        </w:tc>
        <w:tc>
          <w:tcPr>
            <w:tcW w:w="2190" w:type="dxa"/>
            <w:shd w:val="clear" w:color="auto" w:fill="auto"/>
            <w:noWrap/>
            <w:vAlign w:val="bottom"/>
          </w:tcPr>
          <w:p w14:paraId="297BB03B" w14:textId="77777777" w:rsidR="00F13A4D" w:rsidRPr="00F85844" w:rsidRDefault="00F13A4D" w:rsidP="00F85844">
            <w:pPr>
              <w:tabs>
                <w:tab w:val="left" w:pos="288"/>
                <w:tab w:val="left" w:pos="576"/>
                <w:tab w:val="left" w:pos="864"/>
                <w:tab w:val="left" w:pos="1152"/>
              </w:tabs>
              <w:suppressAutoHyphens/>
              <w:spacing w:before="40" w:after="40" w:line="210" w:lineRule="exact"/>
              <w:ind w:right="43"/>
              <w:jc w:val="right"/>
              <w:rPr>
                <w:sz w:val="17"/>
              </w:rPr>
            </w:pPr>
            <w:r w:rsidRPr="00F85844">
              <w:rPr>
                <w:sz w:val="17"/>
              </w:rPr>
              <w:t>54</w:t>
            </w:r>
          </w:p>
        </w:tc>
      </w:tr>
      <w:tr w:rsidR="00F13A4D" w:rsidRPr="00F85844" w14:paraId="07C3FE6E" w14:textId="77777777" w:rsidTr="00F85844">
        <w:trPr>
          <w:cantSplit/>
        </w:trPr>
        <w:tc>
          <w:tcPr>
            <w:tcW w:w="5130" w:type="dxa"/>
            <w:tcBorders>
              <w:bottom w:val="single" w:sz="4" w:space="0" w:color="auto"/>
            </w:tcBorders>
            <w:shd w:val="clear" w:color="auto" w:fill="auto"/>
            <w:noWrap/>
            <w:vAlign w:val="bottom"/>
          </w:tcPr>
          <w:p w14:paraId="58AB8162" w14:textId="77777777" w:rsidR="00F13A4D" w:rsidRPr="00F85844" w:rsidRDefault="00F13A4D" w:rsidP="00F85844">
            <w:pPr>
              <w:tabs>
                <w:tab w:val="left" w:pos="288"/>
                <w:tab w:val="left" w:pos="576"/>
                <w:tab w:val="left" w:pos="864"/>
                <w:tab w:val="left" w:pos="1152"/>
              </w:tabs>
              <w:suppressAutoHyphens/>
              <w:spacing w:before="40" w:after="81" w:line="210" w:lineRule="exact"/>
              <w:ind w:right="40"/>
              <w:rPr>
                <w:sz w:val="17"/>
              </w:rPr>
            </w:pPr>
            <w:r w:rsidRPr="00F85844">
              <w:rPr>
                <w:sz w:val="17"/>
              </w:rPr>
              <w:t>Chef adjointe</w:t>
            </w:r>
          </w:p>
        </w:tc>
        <w:tc>
          <w:tcPr>
            <w:tcW w:w="2190" w:type="dxa"/>
            <w:tcBorders>
              <w:bottom w:val="single" w:sz="4" w:space="0" w:color="auto"/>
            </w:tcBorders>
            <w:shd w:val="clear" w:color="auto" w:fill="auto"/>
            <w:noWrap/>
            <w:vAlign w:val="bottom"/>
          </w:tcPr>
          <w:p w14:paraId="468F6FE2" w14:textId="77777777" w:rsidR="00F13A4D" w:rsidRPr="00F85844" w:rsidRDefault="00F13A4D" w:rsidP="00F85844">
            <w:pPr>
              <w:tabs>
                <w:tab w:val="left" w:pos="288"/>
                <w:tab w:val="left" w:pos="576"/>
                <w:tab w:val="left" w:pos="864"/>
                <w:tab w:val="left" w:pos="1152"/>
              </w:tabs>
              <w:suppressAutoHyphens/>
              <w:spacing w:before="40" w:after="81" w:line="210" w:lineRule="exact"/>
              <w:ind w:right="43"/>
              <w:jc w:val="right"/>
              <w:rPr>
                <w:sz w:val="17"/>
              </w:rPr>
            </w:pPr>
            <w:r w:rsidRPr="00F85844">
              <w:rPr>
                <w:sz w:val="17"/>
              </w:rPr>
              <w:t>09</w:t>
            </w:r>
          </w:p>
        </w:tc>
      </w:tr>
      <w:tr w:rsidR="00F13A4D" w:rsidRPr="00F85844" w14:paraId="4F686872" w14:textId="77777777" w:rsidTr="00F85844">
        <w:trPr>
          <w:cantSplit/>
        </w:trPr>
        <w:tc>
          <w:tcPr>
            <w:tcW w:w="5130" w:type="dxa"/>
            <w:tcBorders>
              <w:top w:val="single" w:sz="4" w:space="0" w:color="auto"/>
              <w:bottom w:val="single" w:sz="12" w:space="0" w:color="auto"/>
            </w:tcBorders>
            <w:shd w:val="clear" w:color="auto" w:fill="auto"/>
            <w:noWrap/>
            <w:vAlign w:val="bottom"/>
          </w:tcPr>
          <w:p w14:paraId="050486D3" w14:textId="2E760D1A" w:rsidR="00F13A4D" w:rsidRPr="00F85844" w:rsidRDefault="00F85844" w:rsidP="00F85844">
            <w:pPr>
              <w:tabs>
                <w:tab w:val="left" w:pos="288"/>
                <w:tab w:val="left" w:pos="576"/>
                <w:tab w:val="left" w:pos="864"/>
                <w:tab w:val="left" w:pos="1152"/>
              </w:tabs>
              <w:suppressAutoHyphens/>
              <w:spacing w:before="81" w:after="81" w:line="210" w:lineRule="exact"/>
              <w:ind w:right="40"/>
              <w:rPr>
                <w:b/>
                <w:sz w:val="17"/>
              </w:rPr>
            </w:pPr>
            <w:r>
              <w:rPr>
                <w:b/>
                <w:sz w:val="17"/>
              </w:rPr>
              <w:tab/>
            </w:r>
            <w:r w:rsidR="00F13A4D" w:rsidRPr="00F85844">
              <w:rPr>
                <w:b/>
                <w:sz w:val="17"/>
              </w:rPr>
              <w:t>Total</w:t>
            </w:r>
          </w:p>
        </w:tc>
        <w:tc>
          <w:tcPr>
            <w:tcW w:w="2190" w:type="dxa"/>
            <w:tcBorders>
              <w:top w:val="single" w:sz="4" w:space="0" w:color="auto"/>
              <w:bottom w:val="single" w:sz="12" w:space="0" w:color="auto"/>
            </w:tcBorders>
            <w:shd w:val="clear" w:color="auto" w:fill="auto"/>
            <w:noWrap/>
            <w:vAlign w:val="bottom"/>
          </w:tcPr>
          <w:p w14:paraId="19B4FD5C" w14:textId="77777777" w:rsidR="00F13A4D" w:rsidRPr="00F85844" w:rsidRDefault="00F13A4D" w:rsidP="00F85844">
            <w:pPr>
              <w:tabs>
                <w:tab w:val="left" w:pos="288"/>
                <w:tab w:val="left" w:pos="576"/>
                <w:tab w:val="left" w:pos="864"/>
                <w:tab w:val="left" w:pos="1152"/>
              </w:tabs>
              <w:suppressAutoHyphens/>
              <w:spacing w:before="81" w:after="81" w:line="210" w:lineRule="exact"/>
              <w:ind w:right="43"/>
              <w:jc w:val="right"/>
              <w:rPr>
                <w:b/>
                <w:sz w:val="17"/>
              </w:rPr>
            </w:pPr>
            <w:r w:rsidRPr="00F85844">
              <w:rPr>
                <w:b/>
                <w:sz w:val="17"/>
              </w:rPr>
              <w:t>171</w:t>
            </w:r>
          </w:p>
        </w:tc>
      </w:tr>
    </w:tbl>
    <w:p w14:paraId="61F5D52F" w14:textId="7E12E89B" w:rsidR="00F13A4D" w:rsidRPr="00F85844" w:rsidRDefault="00F13A4D" w:rsidP="00F85844">
      <w:pPr>
        <w:pStyle w:val="SingleTxt"/>
        <w:spacing w:after="0" w:line="120" w:lineRule="exact"/>
        <w:rPr>
          <w:sz w:val="10"/>
          <w:lang w:val="fr-FR"/>
        </w:rPr>
      </w:pPr>
    </w:p>
    <w:p w14:paraId="36727C38" w14:textId="61143833" w:rsidR="00F85844" w:rsidRPr="00F85844" w:rsidRDefault="00F85844" w:rsidP="00F85844">
      <w:pPr>
        <w:pStyle w:val="SingleTxt"/>
        <w:spacing w:after="0" w:line="120" w:lineRule="exact"/>
        <w:rPr>
          <w:sz w:val="10"/>
          <w:lang w:val="fr-FR"/>
        </w:rPr>
      </w:pPr>
    </w:p>
    <w:p w14:paraId="0E050B38" w14:textId="1EB26CF9" w:rsidR="00F13A4D" w:rsidRPr="00F13A4D" w:rsidRDefault="00F13A4D" w:rsidP="00456FC2">
      <w:pPr>
        <w:pStyle w:val="SingleTxt"/>
        <w:numPr>
          <w:ilvl w:val="0"/>
          <w:numId w:val="50"/>
        </w:numPr>
        <w:rPr>
          <w:lang w:val="fr-FR"/>
        </w:rPr>
      </w:pPr>
      <w:r w:rsidRPr="00F13A4D">
        <w:rPr>
          <w:lang w:val="fr-FR"/>
        </w:rPr>
        <w:t>En ce qui concerne le pouvoir judiciaire, conformément à la loi organique n</w:t>
      </w:r>
      <w:r w:rsidR="00F85844" w:rsidRPr="00F85844">
        <w:rPr>
          <w:vertAlign w:val="superscript"/>
          <w:lang w:val="fr-FR"/>
        </w:rPr>
        <w:t>o</w:t>
      </w:r>
      <w:r w:rsidR="00F85844">
        <w:rPr>
          <w:vertAlign w:val="superscript"/>
          <w:lang w:val="fr-FR"/>
        </w:rPr>
        <w:t> </w:t>
      </w:r>
      <w:r w:rsidRPr="00F13A4D">
        <w:rPr>
          <w:lang w:val="fr-FR"/>
        </w:rPr>
        <w:t>100-13 relative au Conseil supérieur du pouvoir judiciaire, une représentation des magistrates doit être assurée, parmi les 10 membres élus, dans la proportion de leur présence dans le corps de la magistrature. En 2018, le Ministère public comptait 168 magistrates (adjointes au procureur du Roi et au Procureur général du Roi) sur 1 046 magistrates, soit 16,06</w:t>
      </w:r>
      <w:r w:rsidR="00F1794C" w:rsidRPr="00F1794C">
        <w:rPr>
          <w:lang w:val="fr-FR"/>
        </w:rPr>
        <w:t> %</w:t>
      </w:r>
      <w:r w:rsidRPr="00F13A4D">
        <w:rPr>
          <w:lang w:val="fr-FR"/>
        </w:rPr>
        <w:t xml:space="preserve"> des effectifs.</w:t>
      </w:r>
    </w:p>
    <w:p w14:paraId="03D88204" w14:textId="135AEB0D" w:rsidR="00F13A4D" w:rsidRPr="00F13A4D" w:rsidRDefault="00F13A4D" w:rsidP="00456FC2">
      <w:pPr>
        <w:pStyle w:val="SingleTxt"/>
        <w:numPr>
          <w:ilvl w:val="0"/>
          <w:numId w:val="50"/>
        </w:numPr>
        <w:rPr>
          <w:lang w:val="fr-FR"/>
        </w:rPr>
      </w:pPr>
      <w:r w:rsidRPr="00F13A4D">
        <w:rPr>
          <w:lang w:val="fr-FR"/>
        </w:rPr>
        <w:lastRenderedPageBreak/>
        <w:t>Le nombre de femmes employées dans le secteur de la justice est en hausse. En 2017, les femmes représentaient 49</w:t>
      </w:r>
      <w:r w:rsidR="00F1794C" w:rsidRPr="00F1794C">
        <w:rPr>
          <w:lang w:val="fr-FR"/>
        </w:rPr>
        <w:t> %</w:t>
      </w:r>
      <w:r w:rsidRPr="00F13A4D">
        <w:rPr>
          <w:lang w:val="fr-FR"/>
        </w:rPr>
        <w:t xml:space="preserve"> du personnel recruté et 24</w:t>
      </w:r>
      <w:r w:rsidR="00F1794C" w:rsidRPr="00F1794C">
        <w:rPr>
          <w:lang w:val="fr-FR"/>
        </w:rPr>
        <w:t> %</w:t>
      </w:r>
      <w:r w:rsidRPr="00F13A4D">
        <w:rPr>
          <w:lang w:val="fr-FR"/>
        </w:rPr>
        <w:t xml:space="preserve"> des magistrats et 28,75</w:t>
      </w:r>
      <w:r w:rsidR="00F1794C" w:rsidRPr="00F1794C">
        <w:rPr>
          <w:lang w:val="fr-FR"/>
        </w:rPr>
        <w:t> %</w:t>
      </w:r>
      <w:r w:rsidRPr="00F13A4D">
        <w:rPr>
          <w:lang w:val="fr-FR"/>
        </w:rPr>
        <w:t xml:space="preserve"> des magistrats diplômés en 2018.</w:t>
      </w:r>
    </w:p>
    <w:p w14:paraId="438A2707" w14:textId="6518B99D" w:rsidR="00F13A4D" w:rsidRPr="00F13A4D" w:rsidRDefault="00F13A4D" w:rsidP="00456FC2">
      <w:pPr>
        <w:pStyle w:val="SingleTxt"/>
        <w:numPr>
          <w:ilvl w:val="0"/>
          <w:numId w:val="50"/>
        </w:numPr>
        <w:rPr>
          <w:lang w:val="fr-FR"/>
        </w:rPr>
      </w:pPr>
      <w:r w:rsidRPr="00F13A4D">
        <w:rPr>
          <w:lang w:val="fr-FR"/>
        </w:rPr>
        <w:t>En mai 2018, le secteur de la justice a organisé un concours d</w:t>
      </w:r>
      <w:r w:rsidR="00F1794C" w:rsidRPr="00F1794C">
        <w:rPr>
          <w:lang w:val="fr-FR"/>
        </w:rPr>
        <w:t>’</w:t>
      </w:r>
      <w:r w:rsidRPr="00F13A4D">
        <w:rPr>
          <w:lang w:val="fr-FR"/>
        </w:rPr>
        <w:t>accès à la profession d</w:t>
      </w:r>
      <w:r w:rsidR="00F1794C" w:rsidRPr="00F1794C">
        <w:rPr>
          <w:lang w:val="fr-FR"/>
        </w:rPr>
        <w:t>’</w:t>
      </w:r>
      <w:r w:rsidRPr="00F13A4D">
        <w:rPr>
          <w:lang w:val="fr-FR"/>
        </w:rPr>
        <w:t>adoul, ouvert aux femmes pour la première fois</w:t>
      </w:r>
      <w:r w:rsidR="00F1794C" w:rsidRPr="00F1794C">
        <w:rPr>
          <w:lang w:val="fr-FR"/>
        </w:rPr>
        <w:t> ;</w:t>
      </w:r>
      <w:r w:rsidRPr="00F13A4D">
        <w:rPr>
          <w:lang w:val="fr-FR"/>
        </w:rPr>
        <w:t xml:space="preserve"> 279 femmes ont réussi le concours, soit 37</w:t>
      </w:r>
      <w:r w:rsidR="00F1794C" w:rsidRPr="00F1794C">
        <w:rPr>
          <w:lang w:val="fr-FR"/>
        </w:rPr>
        <w:t> %</w:t>
      </w:r>
      <w:r w:rsidRPr="00F13A4D">
        <w:rPr>
          <w:lang w:val="fr-FR"/>
        </w:rPr>
        <w:t xml:space="preserve"> de l</w:t>
      </w:r>
      <w:r w:rsidR="00F1794C" w:rsidRPr="00F1794C">
        <w:rPr>
          <w:lang w:val="fr-FR"/>
        </w:rPr>
        <w:t>’</w:t>
      </w:r>
      <w:r w:rsidRPr="00F13A4D">
        <w:rPr>
          <w:lang w:val="fr-FR"/>
        </w:rPr>
        <w:t xml:space="preserve">ensemble des lauréats. </w:t>
      </w:r>
    </w:p>
    <w:p w14:paraId="20EB531E" w14:textId="57DC44C5" w:rsidR="00F13A4D" w:rsidRPr="00F13A4D" w:rsidRDefault="00F13A4D" w:rsidP="00456FC2">
      <w:pPr>
        <w:pStyle w:val="SingleTxt"/>
        <w:numPr>
          <w:ilvl w:val="0"/>
          <w:numId w:val="50"/>
        </w:numPr>
        <w:rPr>
          <w:lang w:val="fr-FR"/>
        </w:rPr>
      </w:pPr>
      <w:r w:rsidRPr="00F13A4D">
        <w:rPr>
          <w:lang w:val="fr-FR"/>
        </w:rPr>
        <w:t>En 2015, le nombre de femmes siégeant au Conseil supérieur des oulémas et aux conseils locaux</w:t>
      </w:r>
      <w:r w:rsidRPr="00FA086B">
        <w:rPr>
          <w:vertAlign w:val="superscript"/>
          <w:lang w:val="fr-FR"/>
        </w:rPr>
        <w:footnoteReference w:id="68"/>
      </w:r>
      <w:r w:rsidRPr="00F13A4D">
        <w:rPr>
          <w:lang w:val="fr-FR"/>
        </w:rPr>
        <w:t xml:space="preserve"> a augmenté, passant de 3 à 10 dans le conseil scientifique supérieur et à 4, sur 10 membres, dans les conseils scientifiques locaux. Le nombre total de femmes dans les conseils des oulémas est passé de 98 à 328. Le Conseil supérieur des oulémas a attribué tous les postes de prédication et d</w:t>
      </w:r>
      <w:r w:rsidR="00F1794C" w:rsidRPr="00F1794C">
        <w:rPr>
          <w:lang w:val="fr-FR"/>
        </w:rPr>
        <w:t>’</w:t>
      </w:r>
      <w:r w:rsidRPr="00F13A4D">
        <w:rPr>
          <w:lang w:val="fr-FR"/>
        </w:rPr>
        <w:t>orientation religieuse à des femmes afin d</w:t>
      </w:r>
      <w:r w:rsidR="00F1794C" w:rsidRPr="00F1794C">
        <w:rPr>
          <w:lang w:val="fr-FR"/>
        </w:rPr>
        <w:t>’</w:t>
      </w:r>
      <w:r w:rsidRPr="00F13A4D">
        <w:rPr>
          <w:lang w:val="fr-FR"/>
        </w:rPr>
        <w:t>accroître la représentation des femmes. Le nombre de guides spirituelles</w:t>
      </w:r>
      <w:r w:rsidRPr="00FA086B">
        <w:rPr>
          <w:vertAlign w:val="superscript"/>
          <w:lang w:val="fr-FR"/>
        </w:rPr>
        <w:footnoteReference w:id="69"/>
      </w:r>
      <w:r w:rsidRPr="00F13A4D">
        <w:rPr>
          <w:lang w:val="fr-FR"/>
        </w:rPr>
        <w:t xml:space="preserve"> est passé de 51 à 771 en 2018. </w:t>
      </w:r>
    </w:p>
    <w:p w14:paraId="0249ED19" w14:textId="67A83243" w:rsidR="00F13A4D" w:rsidRPr="00F13A4D" w:rsidRDefault="00F13A4D" w:rsidP="00456FC2">
      <w:pPr>
        <w:pStyle w:val="SingleTxt"/>
        <w:numPr>
          <w:ilvl w:val="0"/>
          <w:numId w:val="50"/>
        </w:numPr>
        <w:rPr>
          <w:lang w:val="fr-FR"/>
        </w:rPr>
      </w:pPr>
      <w:r w:rsidRPr="00F13A4D">
        <w:rPr>
          <w:lang w:val="fr-FR"/>
        </w:rPr>
        <w:t>La contribution des femmes dans le secteur de la presse écrite et électronique s</w:t>
      </w:r>
      <w:r w:rsidR="00F1794C" w:rsidRPr="00F1794C">
        <w:rPr>
          <w:lang w:val="fr-FR"/>
        </w:rPr>
        <w:t>’</w:t>
      </w:r>
      <w:r w:rsidRPr="00F13A4D">
        <w:rPr>
          <w:lang w:val="fr-FR"/>
        </w:rPr>
        <w:t>est améliorée. Dans la presse écrite, 27 femmes sont chefs d</w:t>
      </w:r>
      <w:r w:rsidR="00F1794C" w:rsidRPr="00F1794C">
        <w:rPr>
          <w:lang w:val="fr-FR"/>
        </w:rPr>
        <w:t>’</w:t>
      </w:r>
      <w:r w:rsidRPr="00F13A4D">
        <w:rPr>
          <w:lang w:val="fr-FR"/>
        </w:rPr>
        <w:t>édition ou rédactrices en chef, 42 sont responsables de la direction de la publication de journaux électroniques, 6 sont à la tête d</w:t>
      </w:r>
      <w:r w:rsidR="00F1794C" w:rsidRPr="00F1794C">
        <w:rPr>
          <w:lang w:val="fr-FR"/>
        </w:rPr>
        <w:t>’</w:t>
      </w:r>
      <w:r w:rsidRPr="00F13A4D">
        <w:rPr>
          <w:lang w:val="fr-FR"/>
        </w:rPr>
        <w:t>organes de presse. S</w:t>
      </w:r>
      <w:r w:rsidR="00F1794C" w:rsidRPr="00F1794C">
        <w:rPr>
          <w:lang w:val="fr-FR"/>
        </w:rPr>
        <w:t>’</w:t>
      </w:r>
      <w:r w:rsidRPr="00F13A4D">
        <w:rPr>
          <w:lang w:val="fr-FR"/>
        </w:rPr>
        <w:t>agissant de la presse étrangère, en 2014, 21 des 90 journaux et magazines imprimés sont dirigés par des femmes. Le nombre de femmes journalistes détentrices d</w:t>
      </w:r>
      <w:r w:rsidR="00F1794C" w:rsidRPr="00F1794C">
        <w:rPr>
          <w:lang w:val="fr-FR"/>
        </w:rPr>
        <w:t>’</w:t>
      </w:r>
      <w:r w:rsidRPr="00F13A4D">
        <w:rPr>
          <w:lang w:val="fr-FR"/>
        </w:rPr>
        <w:t>une carte de presse professionnelle a augmenté, passant de 609 en 2012 à 693 en 2017, sur 2 451 femmes journalistes.</w:t>
      </w:r>
    </w:p>
    <w:p w14:paraId="161CA6D5" w14:textId="252BB424" w:rsidR="00F13A4D" w:rsidRPr="00F13A4D" w:rsidRDefault="00F13A4D" w:rsidP="00456FC2">
      <w:pPr>
        <w:pStyle w:val="SingleTxt"/>
        <w:numPr>
          <w:ilvl w:val="0"/>
          <w:numId w:val="50"/>
        </w:numPr>
        <w:rPr>
          <w:lang w:val="fr-FR"/>
        </w:rPr>
      </w:pPr>
      <w:r w:rsidRPr="00F13A4D">
        <w:rPr>
          <w:lang w:val="fr-FR"/>
        </w:rPr>
        <w:t>Malgré les progrès relatifs accomplis, des problèmes persistent. Le Royaume entend les régler à l</w:t>
      </w:r>
      <w:r w:rsidR="00F1794C" w:rsidRPr="00F1794C">
        <w:rPr>
          <w:lang w:val="fr-FR"/>
        </w:rPr>
        <w:t>’</w:t>
      </w:r>
      <w:r w:rsidRPr="00F13A4D">
        <w:rPr>
          <w:lang w:val="fr-FR"/>
        </w:rPr>
        <w:t>aide de réformes législatives et de programmes d</w:t>
      </w:r>
      <w:r w:rsidR="00F1794C" w:rsidRPr="00F1794C">
        <w:rPr>
          <w:lang w:val="fr-FR"/>
        </w:rPr>
        <w:t>’</w:t>
      </w:r>
      <w:r w:rsidRPr="00F13A4D">
        <w:rPr>
          <w:lang w:val="fr-FR"/>
        </w:rPr>
        <w:t>incitation et de sensibilisation.</w:t>
      </w:r>
    </w:p>
    <w:p w14:paraId="6438E609" w14:textId="3E0B51C4" w:rsidR="00F13A4D" w:rsidRPr="00F85844" w:rsidRDefault="00F13A4D" w:rsidP="00F85844">
      <w:pPr>
        <w:pStyle w:val="SingleTxt"/>
        <w:spacing w:after="0" w:line="120" w:lineRule="exact"/>
        <w:rPr>
          <w:sz w:val="10"/>
          <w:lang w:val="fr-FR"/>
        </w:rPr>
      </w:pPr>
    </w:p>
    <w:p w14:paraId="75DDCAFF" w14:textId="4D47C387" w:rsidR="00F13A4D" w:rsidRPr="00F13A4D" w:rsidRDefault="00F85844" w:rsidP="00F8584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F13A4D" w:rsidRPr="00F13A4D">
        <w:rPr>
          <w:lang w:val="fr-FR"/>
        </w:rPr>
        <w:t>Article 8</w:t>
      </w:r>
    </w:p>
    <w:p w14:paraId="58C18FC6" w14:textId="5524E3A4" w:rsidR="00F13A4D" w:rsidRPr="00F85844" w:rsidRDefault="00F13A4D" w:rsidP="00F85844">
      <w:pPr>
        <w:pStyle w:val="SingleTxt"/>
        <w:spacing w:after="0" w:line="120" w:lineRule="exact"/>
        <w:rPr>
          <w:sz w:val="10"/>
          <w:lang w:val="fr-FR"/>
        </w:rPr>
      </w:pPr>
    </w:p>
    <w:p w14:paraId="14B57194" w14:textId="63309A73" w:rsidR="00F13A4D" w:rsidRPr="00F13A4D" w:rsidRDefault="00F13A4D" w:rsidP="00456FC2">
      <w:pPr>
        <w:pStyle w:val="SingleTxt"/>
        <w:numPr>
          <w:ilvl w:val="0"/>
          <w:numId w:val="50"/>
        </w:numPr>
        <w:rPr>
          <w:lang w:val="fr-FR"/>
        </w:rPr>
      </w:pPr>
      <w:r w:rsidRPr="00F13A4D">
        <w:rPr>
          <w:lang w:val="fr-FR"/>
        </w:rPr>
        <w:t>Concernant le paragraphe 25 des observations finales, la représentation des femmes dans les missions diplomatiques et consulaires a augmenté entre 2011 et 2017. Les femmes représentaient 13,33</w:t>
      </w:r>
      <w:r w:rsidR="00F1794C" w:rsidRPr="00F1794C">
        <w:rPr>
          <w:lang w:val="fr-FR"/>
        </w:rPr>
        <w:t> %</w:t>
      </w:r>
      <w:r w:rsidRPr="00F13A4D">
        <w:rPr>
          <w:lang w:val="fr-FR"/>
        </w:rPr>
        <w:t xml:space="preserve"> des ambassadeurs du Royaume à l</w:t>
      </w:r>
      <w:r w:rsidR="00F1794C" w:rsidRPr="00F1794C">
        <w:rPr>
          <w:lang w:val="fr-FR"/>
        </w:rPr>
        <w:t>’</w:t>
      </w:r>
      <w:r w:rsidRPr="00F13A4D">
        <w:rPr>
          <w:lang w:val="fr-FR"/>
        </w:rPr>
        <w:t>étranger en 2011 et 21,96</w:t>
      </w:r>
      <w:r w:rsidR="00F1794C" w:rsidRPr="00F1794C">
        <w:rPr>
          <w:lang w:val="fr-FR"/>
        </w:rPr>
        <w:t> %</w:t>
      </w:r>
      <w:r w:rsidRPr="00F13A4D">
        <w:rPr>
          <w:lang w:val="fr-FR"/>
        </w:rPr>
        <w:t xml:space="preserve"> en 2017, 2,70</w:t>
      </w:r>
      <w:r w:rsidR="00F1794C" w:rsidRPr="00F1794C">
        <w:rPr>
          <w:lang w:val="fr-FR"/>
        </w:rPr>
        <w:t> %</w:t>
      </w:r>
      <w:r w:rsidRPr="00F13A4D">
        <w:rPr>
          <w:lang w:val="fr-FR"/>
        </w:rPr>
        <w:t xml:space="preserve"> des consuls en 2011 et 17,39</w:t>
      </w:r>
      <w:r w:rsidR="00F1794C" w:rsidRPr="00F1794C">
        <w:rPr>
          <w:lang w:val="fr-FR"/>
        </w:rPr>
        <w:t> %</w:t>
      </w:r>
      <w:r w:rsidRPr="00F13A4D">
        <w:rPr>
          <w:lang w:val="fr-FR"/>
        </w:rPr>
        <w:t xml:space="preserve"> en 2017. </w:t>
      </w:r>
    </w:p>
    <w:p w14:paraId="0FD2FBA8" w14:textId="4B10548C" w:rsidR="00F13A4D" w:rsidRPr="00F13A4D" w:rsidRDefault="00F13A4D" w:rsidP="00456FC2">
      <w:pPr>
        <w:pStyle w:val="SingleTxt"/>
        <w:numPr>
          <w:ilvl w:val="0"/>
          <w:numId w:val="50"/>
        </w:numPr>
        <w:rPr>
          <w:lang w:val="fr-FR"/>
        </w:rPr>
      </w:pPr>
      <w:r w:rsidRPr="00F13A4D">
        <w:rPr>
          <w:lang w:val="fr-FR"/>
        </w:rPr>
        <w:t>S</w:t>
      </w:r>
      <w:r w:rsidR="00F1794C" w:rsidRPr="00F1794C">
        <w:rPr>
          <w:lang w:val="fr-FR"/>
        </w:rPr>
        <w:t>’</w:t>
      </w:r>
      <w:r w:rsidRPr="00F13A4D">
        <w:rPr>
          <w:lang w:val="fr-FR"/>
        </w:rPr>
        <w:t>agissant de la présence de femmes dans les organisations internationales représentant le Maroc sur le plan international, des expertes ont été élues ou nommées à des postes de rang supérieur dans les commissions des organes créés en vertu d</w:t>
      </w:r>
      <w:r w:rsidR="00F1794C" w:rsidRPr="00F1794C">
        <w:rPr>
          <w:lang w:val="fr-FR"/>
        </w:rPr>
        <w:t>’</w:t>
      </w:r>
      <w:r w:rsidRPr="00F13A4D">
        <w:rPr>
          <w:lang w:val="fr-FR"/>
        </w:rPr>
        <w:t>instruments internationaux relatifs aux droits de l</w:t>
      </w:r>
      <w:r w:rsidR="00F1794C" w:rsidRPr="00F1794C">
        <w:rPr>
          <w:lang w:val="fr-FR"/>
        </w:rPr>
        <w:t>’</w:t>
      </w:r>
      <w:r w:rsidRPr="00F13A4D">
        <w:rPr>
          <w:lang w:val="fr-FR"/>
        </w:rPr>
        <w:t>homme, notamment le Groupe de travail sur les disparitions forcées ou involontaires, le Comité contre la torture, le Comité des droits de l</w:t>
      </w:r>
      <w:r w:rsidR="00F1794C" w:rsidRPr="00F1794C">
        <w:rPr>
          <w:lang w:val="fr-FR"/>
        </w:rPr>
        <w:t>’</w:t>
      </w:r>
      <w:r w:rsidRPr="00F13A4D">
        <w:rPr>
          <w:lang w:val="fr-FR"/>
        </w:rPr>
        <w:t>enfant, le Conseil d</w:t>
      </w:r>
      <w:r w:rsidR="00F1794C" w:rsidRPr="00F1794C">
        <w:rPr>
          <w:lang w:val="fr-FR"/>
        </w:rPr>
        <w:t>’</w:t>
      </w:r>
      <w:r w:rsidRPr="00F13A4D">
        <w:rPr>
          <w:lang w:val="fr-FR"/>
        </w:rPr>
        <w:t>administration de l</w:t>
      </w:r>
      <w:r w:rsidR="00F1794C" w:rsidRPr="00F1794C">
        <w:rPr>
          <w:lang w:val="fr-FR"/>
        </w:rPr>
        <w:t>’</w:t>
      </w:r>
      <w:r w:rsidRPr="00F13A4D">
        <w:rPr>
          <w:lang w:val="fr-FR"/>
        </w:rPr>
        <w:t>Organisation internationale du Travail et l</w:t>
      </w:r>
      <w:r w:rsidR="00F1794C" w:rsidRPr="00F1794C">
        <w:rPr>
          <w:lang w:val="fr-FR"/>
        </w:rPr>
        <w:t>’</w:t>
      </w:r>
      <w:r w:rsidRPr="00F13A4D">
        <w:rPr>
          <w:lang w:val="fr-FR"/>
        </w:rPr>
        <w:t>Organisation des Nations Unies pour l</w:t>
      </w:r>
      <w:r w:rsidR="00F1794C" w:rsidRPr="00F1794C">
        <w:rPr>
          <w:lang w:val="fr-FR"/>
        </w:rPr>
        <w:t>’</w:t>
      </w:r>
      <w:r w:rsidRPr="00F13A4D">
        <w:rPr>
          <w:lang w:val="fr-FR"/>
        </w:rPr>
        <w:t>éducation, la science et la culture. En outre, 54 Marocaines sont présentes dans diverses organisations internationales. En 2018, 280 femmes (24</w:t>
      </w:r>
      <w:r w:rsidR="00F1794C" w:rsidRPr="00F1794C">
        <w:rPr>
          <w:lang w:val="fr-FR"/>
        </w:rPr>
        <w:t> %</w:t>
      </w:r>
      <w:r w:rsidRPr="00F13A4D">
        <w:rPr>
          <w:lang w:val="fr-FR"/>
        </w:rPr>
        <w:t>) ont été nommées dans des missions diplomatiques et 335 (37</w:t>
      </w:r>
      <w:r w:rsidR="00F1794C" w:rsidRPr="00F1794C">
        <w:rPr>
          <w:lang w:val="fr-FR"/>
        </w:rPr>
        <w:t> %</w:t>
      </w:r>
      <w:r w:rsidRPr="00F13A4D">
        <w:rPr>
          <w:lang w:val="fr-FR"/>
        </w:rPr>
        <w:t xml:space="preserve">) dans des centres consulaires. </w:t>
      </w:r>
    </w:p>
    <w:p w14:paraId="70A9F0B6" w14:textId="77777777" w:rsidR="00F85844" w:rsidRPr="00F85844" w:rsidRDefault="00F85844" w:rsidP="00F85844">
      <w:pPr>
        <w:pStyle w:val="SingleTxt"/>
        <w:spacing w:after="0" w:line="120" w:lineRule="exact"/>
        <w:rPr>
          <w:b/>
          <w:sz w:val="10"/>
          <w:lang w:val="fr-FR"/>
        </w:rPr>
      </w:pPr>
    </w:p>
    <w:p w14:paraId="2C0D1B0C" w14:textId="6AE4E5C3" w:rsidR="00F13A4D" w:rsidRPr="00F13A4D" w:rsidRDefault="00F85844" w:rsidP="00C9449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lastRenderedPageBreak/>
        <w:tab/>
      </w:r>
      <w:r>
        <w:rPr>
          <w:lang w:val="fr-FR"/>
        </w:rPr>
        <w:tab/>
      </w:r>
      <w:r w:rsidR="00F13A4D" w:rsidRPr="00F13A4D">
        <w:rPr>
          <w:lang w:val="fr-FR"/>
        </w:rPr>
        <w:t>Article 9</w:t>
      </w:r>
    </w:p>
    <w:p w14:paraId="0DD36BFC" w14:textId="6A4F6685" w:rsidR="00F13A4D" w:rsidRPr="00F85844" w:rsidRDefault="00F13A4D" w:rsidP="00C94495">
      <w:pPr>
        <w:pStyle w:val="SingleTxt"/>
        <w:keepNext/>
        <w:spacing w:after="0" w:line="120" w:lineRule="exact"/>
        <w:rPr>
          <w:sz w:val="10"/>
          <w:lang w:val="fr-FR"/>
        </w:rPr>
      </w:pPr>
    </w:p>
    <w:p w14:paraId="02E2671C" w14:textId="05C07DA7" w:rsidR="00F13A4D" w:rsidRPr="00F13A4D" w:rsidRDefault="00F85844" w:rsidP="00F13A4D">
      <w:pPr>
        <w:pStyle w:val="SingleTxt"/>
        <w:rPr>
          <w:lang w:val="fr-FR"/>
        </w:rPr>
      </w:pPr>
      <w:r>
        <w:rPr>
          <w:lang w:val="fr-FR"/>
        </w:rPr>
        <w:tab/>
      </w:r>
      <w:r w:rsidR="00F13A4D" w:rsidRPr="00F13A4D">
        <w:rPr>
          <w:lang w:val="fr-FR"/>
        </w:rPr>
        <w:t>Comme suite à la recommandation formulée au paragraphe 41 des observations finales, en avril 2006, le Maroc a levé la réserve au paragraphe 2 de l</w:t>
      </w:r>
      <w:r w:rsidR="00F1794C" w:rsidRPr="00F1794C">
        <w:rPr>
          <w:lang w:val="fr-FR"/>
        </w:rPr>
        <w:t>’</w:t>
      </w:r>
      <w:r w:rsidR="00F13A4D" w:rsidRPr="00F13A4D">
        <w:rPr>
          <w:lang w:val="fr-FR"/>
        </w:rPr>
        <w:t>article 9 de la Convention internationale contre toutes les formes de discrimination à l</w:t>
      </w:r>
      <w:r w:rsidR="00F1794C" w:rsidRPr="00F1794C">
        <w:rPr>
          <w:lang w:val="fr-FR"/>
        </w:rPr>
        <w:t>’</w:t>
      </w:r>
      <w:r w:rsidR="00F13A4D" w:rsidRPr="00F13A4D">
        <w:rPr>
          <w:lang w:val="fr-FR"/>
        </w:rPr>
        <w:t>égard des femmes. Il a adopté une législation consacrant l</w:t>
      </w:r>
      <w:r w:rsidR="00F1794C" w:rsidRPr="00F1794C">
        <w:rPr>
          <w:lang w:val="fr-FR"/>
        </w:rPr>
        <w:t>’</w:t>
      </w:r>
      <w:r w:rsidR="00F13A4D" w:rsidRPr="00F13A4D">
        <w:rPr>
          <w:lang w:val="fr-FR"/>
        </w:rPr>
        <w:t>égalité des sexes pour ce qui est de la transmission de la nationalité marocaine à l</w:t>
      </w:r>
      <w:r w:rsidR="00F1794C" w:rsidRPr="00F1794C">
        <w:rPr>
          <w:lang w:val="fr-FR"/>
        </w:rPr>
        <w:t>’</w:t>
      </w:r>
      <w:r w:rsidR="00F13A4D" w:rsidRPr="00F13A4D">
        <w:rPr>
          <w:lang w:val="fr-FR"/>
        </w:rPr>
        <w:t>enfant né d</w:t>
      </w:r>
      <w:r w:rsidR="00F1794C" w:rsidRPr="00F1794C">
        <w:rPr>
          <w:lang w:val="fr-FR"/>
        </w:rPr>
        <w:t>’</w:t>
      </w:r>
      <w:r w:rsidR="00F13A4D" w:rsidRPr="00F13A4D">
        <w:rPr>
          <w:lang w:val="fr-FR"/>
        </w:rPr>
        <w:t>un père étranger, quel que soit le lieu de naissance de l</w:t>
      </w:r>
      <w:r w:rsidR="00F1794C" w:rsidRPr="00F1794C">
        <w:rPr>
          <w:lang w:val="fr-FR"/>
        </w:rPr>
        <w:t>’</w:t>
      </w:r>
      <w:r w:rsidR="00F13A4D" w:rsidRPr="00F13A4D">
        <w:rPr>
          <w:lang w:val="fr-FR"/>
        </w:rPr>
        <w:t>enfant, en modifiant le code de la nationalité en avril 2007. Au 31 novembre 2018, 33 593 personnes nées d</w:t>
      </w:r>
      <w:r w:rsidR="00F1794C" w:rsidRPr="00F1794C">
        <w:rPr>
          <w:lang w:val="fr-FR"/>
        </w:rPr>
        <w:t>’</w:t>
      </w:r>
      <w:r w:rsidR="00F13A4D" w:rsidRPr="00F13A4D">
        <w:rPr>
          <w:lang w:val="fr-FR"/>
        </w:rPr>
        <w:t xml:space="preserve">une mère marocaine avaient obtenu un certificat de nationalité marocaine. </w:t>
      </w:r>
    </w:p>
    <w:p w14:paraId="429A585E" w14:textId="528E1E7D" w:rsidR="00F13A4D" w:rsidRPr="00F13A4D" w:rsidRDefault="00F13A4D" w:rsidP="00456FC2">
      <w:pPr>
        <w:pStyle w:val="SingleTxt"/>
        <w:numPr>
          <w:ilvl w:val="0"/>
          <w:numId w:val="50"/>
        </w:numPr>
        <w:rPr>
          <w:lang w:val="fr-FR"/>
        </w:rPr>
      </w:pPr>
      <w:r w:rsidRPr="00F13A4D">
        <w:rPr>
          <w:lang w:val="fr-FR"/>
        </w:rPr>
        <w:t>Un projet de loi modifiant et complétant l</w:t>
      </w:r>
      <w:r w:rsidR="00F1794C" w:rsidRPr="00F1794C">
        <w:rPr>
          <w:lang w:val="fr-FR"/>
        </w:rPr>
        <w:t>’</w:t>
      </w:r>
      <w:r w:rsidRPr="00F13A4D">
        <w:rPr>
          <w:lang w:val="fr-FR"/>
        </w:rPr>
        <w:t>article 10 du dahir n</w:t>
      </w:r>
      <w:r w:rsidRPr="00F13A4D">
        <w:rPr>
          <w:vertAlign w:val="superscript"/>
          <w:lang w:val="fr-FR"/>
        </w:rPr>
        <w:t>o</w:t>
      </w:r>
      <w:r w:rsidRPr="00F13A4D">
        <w:rPr>
          <w:lang w:val="fr-FR"/>
        </w:rPr>
        <w:t xml:space="preserve"> 1-58-250 portant code de la nationalité a été présenté. Il autorise la femme marocaine qui a épousé un étranger de transmettre la nationalité par le mariage. Une étrangère mariée à un Marocain peut également acquérir la nationalité marocaine. </w:t>
      </w:r>
    </w:p>
    <w:p w14:paraId="762CDB53" w14:textId="77777777" w:rsidR="00F85844" w:rsidRPr="00F85844" w:rsidRDefault="00F85844" w:rsidP="00F85844">
      <w:pPr>
        <w:pStyle w:val="SingleTxt"/>
        <w:spacing w:after="0" w:line="120" w:lineRule="exact"/>
        <w:rPr>
          <w:b/>
          <w:sz w:val="10"/>
          <w:lang w:val="fr-FR"/>
        </w:rPr>
      </w:pPr>
    </w:p>
    <w:p w14:paraId="074C2776" w14:textId="77777777" w:rsidR="00F85844" w:rsidRPr="00F85844" w:rsidRDefault="00F85844" w:rsidP="00F85844">
      <w:pPr>
        <w:pStyle w:val="SingleTxt"/>
        <w:spacing w:after="0" w:line="120" w:lineRule="exact"/>
        <w:rPr>
          <w:b/>
          <w:sz w:val="10"/>
          <w:lang w:val="fr-FR"/>
        </w:rPr>
      </w:pPr>
    </w:p>
    <w:p w14:paraId="363CD4A9" w14:textId="0298EDEA" w:rsidR="00F13A4D" w:rsidRPr="00F13A4D" w:rsidRDefault="00F85844" w:rsidP="00F8584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F13A4D" w:rsidRPr="00F13A4D">
        <w:rPr>
          <w:lang w:val="fr-FR"/>
        </w:rPr>
        <w:t>Troisième partie</w:t>
      </w:r>
    </w:p>
    <w:p w14:paraId="56B71EF3" w14:textId="3FEBDD42" w:rsidR="00F13A4D" w:rsidRPr="00F85844" w:rsidRDefault="00F13A4D" w:rsidP="00F85844">
      <w:pPr>
        <w:pStyle w:val="SingleTxt"/>
        <w:spacing w:after="0" w:line="120" w:lineRule="exact"/>
        <w:rPr>
          <w:b/>
          <w:sz w:val="10"/>
          <w:lang w:val="fr-FR"/>
        </w:rPr>
      </w:pPr>
    </w:p>
    <w:p w14:paraId="5694101C" w14:textId="093AD891" w:rsidR="00F85844" w:rsidRPr="00F85844" w:rsidRDefault="00F85844" w:rsidP="00F85844">
      <w:pPr>
        <w:pStyle w:val="SingleTxt"/>
        <w:spacing w:after="0" w:line="120" w:lineRule="exact"/>
        <w:rPr>
          <w:b/>
          <w:sz w:val="10"/>
          <w:lang w:val="fr-FR"/>
        </w:rPr>
      </w:pPr>
    </w:p>
    <w:p w14:paraId="4A2B3C06" w14:textId="62F87654" w:rsidR="00F13A4D" w:rsidRPr="00F13A4D" w:rsidRDefault="00F85844" w:rsidP="00F8584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F13A4D" w:rsidRPr="00F13A4D">
        <w:rPr>
          <w:lang w:val="fr-FR"/>
        </w:rPr>
        <w:t>Article 10</w:t>
      </w:r>
    </w:p>
    <w:p w14:paraId="77AA93A9" w14:textId="70E06F52" w:rsidR="00F13A4D" w:rsidRPr="00F85844" w:rsidRDefault="00F13A4D" w:rsidP="00F85844">
      <w:pPr>
        <w:pStyle w:val="SingleTxt"/>
        <w:spacing w:after="0" w:line="120" w:lineRule="exact"/>
        <w:rPr>
          <w:sz w:val="10"/>
          <w:lang w:val="fr-FR"/>
        </w:rPr>
      </w:pPr>
    </w:p>
    <w:p w14:paraId="65EFA04C" w14:textId="52D7FB00" w:rsidR="00F13A4D" w:rsidRPr="00F13A4D" w:rsidRDefault="00F13A4D" w:rsidP="00456FC2">
      <w:pPr>
        <w:pStyle w:val="SingleTxt"/>
        <w:numPr>
          <w:ilvl w:val="0"/>
          <w:numId w:val="50"/>
        </w:numPr>
        <w:rPr>
          <w:lang w:val="fr-FR"/>
        </w:rPr>
      </w:pPr>
      <w:r w:rsidRPr="00F13A4D">
        <w:rPr>
          <w:lang w:val="fr-FR"/>
        </w:rPr>
        <w:t>Comme suite à la recommandation figurant au paragraphe 27 des observations finales et dans le cadre de la réforme du système éducatif, le Maroc a mis en place plusieurs programmes et plans fondés sur les dispositions de la charte nationale d</w:t>
      </w:r>
      <w:r w:rsidR="00F1794C" w:rsidRPr="00F1794C">
        <w:rPr>
          <w:lang w:val="fr-FR"/>
        </w:rPr>
        <w:t>’</w:t>
      </w:r>
      <w:r w:rsidRPr="00F13A4D">
        <w:rPr>
          <w:lang w:val="fr-FR"/>
        </w:rPr>
        <w:t>éducation et de formation, visant notamment à promouvoir la scolarisation des filles à l</w:t>
      </w:r>
      <w:r w:rsidR="00F1794C" w:rsidRPr="00F1794C">
        <w:rPr>
          <w:lang w:val="fr-FR"/>
        </w:rPr>
        <w:t>’</w:t>
      </w:r>
      <w:r w:rsidRPr="00F13A4D">
        <w:rPr>
          <w:lang w:val="fr-FR"/>
        </w:rPr>
        <w:t>aide du programme d</w:t>
      </w:r>
      <w:r w:rsidR="00F1794C" w:rsidRPr="00F1794C">
        <w:rPr>
          <w:lang w:val="fr-FR"/>
        </w:rPr>
        <w:t>’</w:t>
      </w:r>
      <w:r w:rsidRPr="00F13A4D">
        <w:rPr>
          <w:lang w:val="fr-FR"/>
        </w:rPr>
        <w:t>urgence (2009-2012) pour l</w:t>
      </w:r>
      <w:r w:rsidR="00F1794C" w:rsidRPr="00F1794C">
        <w:rPr>
          <w:lang w:val="fr-FR"/>
        </w:rPr>
        <w:t>’</w:t>
      </w:r>
      <w:r w:rsidRPr="00F13A4D">
        <w:rPr>
          <w:lang w:val="fr-FR"/>
        </w:rPr>
        <w:t>éducation et la formation, du plan d</w:t>
      </w:r>
      <w:r w:rsidR="00F1794C" w:rsidRPr="00F1794C">
        <w:rPr>
          <w:lang w:val="fr-FR"/>
        </w:rPr>
        <w:t>’</w:t>
      </w:r>
      <w:r w:rsidRPr="00F13A4D">
        <w:rPr>
          <w:lang w:val="fr-FR"/>
        </w:rPr>
        <w:t>action stratégique à moyen terme pour l</w:t>
      </w:r>
      <w:r w:rsidR="00F1794C" w:rsidRPr="00F1794C">
        <w:rPr>
          <w:lang w:val="fr-FR"/>
        </w:rPr>
        <w:t>’</w:t>
      </w:r>
      <w:r w:rsidRPr="00F13A4D">
        <w:rPr>
          <w:lang w:val="fr-FR"/>
        </w:rPr>
        <w:t>institutionnalisation de l</w:t>
      </w:r>
      <w:r w:rsidR="00F1794C" w:rsidRPr="00F1794C">
        <w:rPr>
          <w:lang w:val="fr-FR"/>
        </w:rPr>
        <w:t>’</w:t>
      </w:r>
      <w:r w:rsidRPr="00F13A4D">
        <w:rPr>
          <w:lang w:val="fr-FR"/>
        </w:rPr>
        <w:t>égalité des sexes (2008-2012), du plan d</w:t>
      </w:r>
      <w:r w:rsidR="00F1794C" w:rsidRPr="00F1794C">
        <w:rPr>
          <w:lang w:val="fr-FR"/>
        </w:rPr>
        <w:t>’</w:t>
      </w:r>
      <w:r w:rsidRPr="00F13A4D">
        <w:rPr>
          <w:lang w:val="fr-FR"/>
        </w:rPr>
        <w:t xml:space="preserve">action à moyen terme (2013-2016) et de la vision stratégique de la réforme (2015-2030). </w:t>
      </w:r>
    </w:p>
    <w:p w14:paraId="34E55EA6" w14:textId="102D3FB8" w:rsidR="00F13A4D" w:rsidRPr="00F13A4D" w:rsidRDefault="00F13A4D" w:rsidP="00456FC2">
      <w:pPr>
        <w:pStyle w:val="SingleTxt"/>
        <w:numPr>
          <w:ilvl w:val="0"/>
          <w:numId w:val="50"/>
        </w:numPr>
        <w:rPr>
          <w:lang w:val="fr-FR"/>
        </w:rPr>
      </w:pPr>
      <w:r w:rsidRPr="00F13A4D">
        <w:rPr>
          <w:lang w:val="fr-FR"/>
        </w:rPr>
        <w:t>L</w:t>
      </w:r>
      <w:r w:rsidR="00F1794C" w:rsidRPr="00F1794C">
        <w:rPr>
          <w:lang w:val="fr-FR"/>
        </w:rPr>
        <w:t>’</w:t>
      </w:r>
      <w:r w:rsidRPr="00F13A4D">
        <w:rPr>
          <w:lang w:val="fr-FR"/>
        </w:rPr>
        <w:t>ensemble de mesures ci-après a conduit à l</w:t>
      </w:r>
      <w:r w:rsidR="00F1794C" w:rsidRPr="00F1794C">
        <w:rPr>
          <w:lang w:val="fr-FR"/>
        </w:rPr>
        <w:t>’</w:t>
      </w:r>
      <w:r w:rsidRPr="00F13A4D">
        <w:rPr>
          <w:lang w:val="fr-FR"/>
        </w:rPr>
        <w:t>amélioration des indicateurs relatifs à la scolarisation des filles</w:t>
      </w:r>
      <w:r w:rsidR="00F1794C" w:rsidRPr="00F1794C">
        <w:rPr>
          <w:lang w:val="fr-FR"/>
        </w:rPr>
        <w:t> :</w:t>
      </w:r>
      <w:r w:rsidRPr="00F13A4D">
        <w:rPr>
          <w:lang w:val="fr-FR"/>
        </w:rPr>
        <w:t xml:space="preserve"> application du principe de l</w:t>
      </w:r>
      <w:r w:rsidR="00F1794C" w:rsidRPr="00F1794C">
        <w:rPr>
          <w:lang w:val="fr-FR"/>
        </w:rPr>
        <w:t>’</w:t>
      </w:r>
      <w:r w:rsidRPr="00F13A4D">
        <w:rPr>
          <w:lang w:val="fr-FR"/>
        </w:rPr>
        <w:t>enseignement obligatoire jusqu</w:t>
      </w:r>
      <w:r w:rsidR="00F1794C" w:rsidRPr="00F1794C">
        <w:rPr>
          <w:lang w:val="fr-FR"/>
        </w:rPr>
        <w:t>’</w:t>
      </w:r>
      <w:r w:rsidRPr="00F13A4D">
        <w:rPr>
          <w:lang w:val="fr-FR"/>
        </w:rPr>
        <w:t>à 15 ans et accroissement de l</w:t>
      </w:r>
      <w:r w:rsidR="00F1794C" w:rsidRPr="00F1794C">
        <w:rPr>
          <w:lang w:val="fr-FR"/>
        </w:rPr>
        <w:t>’</w:t>
      </w:r>
      <w:r w:rsidRPr="00F13A4D">
        <w:rPr>
          <w:lang w:val="fr-FR"/>
        </w:rPr>
        <w:t>offre scolaire dans l</w:t>
      </w:r>
      <w:r w:rsidR="00F1794C" w:rsidRPr="00F1794C">
        <w:rPr>
          <w:lang w:val="fr-FR"/>
        </w:rPr>
        <w:t>’</w:t>
      </w:r>
      <w:r w:rsidRPr="00F13A4D">
        <w:rPr>
          <w:lang w:val="fr-FR"/>
        </w:rPr>
        <w:t>enseignement de base par l</w:t>
      </w:r>
      <w:r w:rsidR="00F1794C" w:rsidRPr="00F1794C">
        <w:rPr>
          <w:lang w:val="fr-FR"/>
        </w:rPr>
        <w:t>’</w:t>
      </w:r>
      <w:r w:rsidRPr="00F13A4D">
        <w:rPr>
          <w:lang w:val="fr-FR"/>
        </w:rPr>
        <w:t>ouverture d</w:t>
      </w:r>
      <w:r w:rsidR="00F1794C" w:rsidRPr="00F1794C">
        <w:rPr>
          <w:lang w:val="fr-FR"/>
        </w:rPr>
        <w:t>’</w:t>
      </w:r>
      <w:r w:rsidRPr="00F13A4D">
        <w:rPr>
          <w:lang w:val="fr-FR"/>
        </w:rPr>
        <w:t>écoles communautaires</w:t>
      </w:r>
      <w:r w:rsidRPr="00FA086B">
        <w:rPr>
          <w:vertAlign w:val="superscript"/>
          <w:lang w:val="fr-FR"/>
        </w:rPr>
        <w:footnoteReference w:id="70"/>
      </w:r>
      <w:r w:rsidRPr="00F13A4D">
        <w:rPr>
          <w:lang w:val="fr-FR"/>
        </w:rPr>
        <w:t>. En 2017-2018, il existait 124 écoles de ce type au niveau de l</w:t>
      </w:r>
      <w:r w:rsidR="00F1794C" w:rsidRPr="00F1794C">
        <w:rPr>
          <w:lang w:val="fr-FR"/>
        </w:rPr>
        <w:t>’</w:t>
      </w:r>
      <w:r w:rsidRPr="00F13A4D">
        <w:rPr>
          <w:lang w:val="fr-FR"/>
        </w:rPr>
        <w:t>enseignement primaire public</w:t>
      </w:r>
      <w:r w:rsidR="00F1794C" w:rsidRPr="00F1794C">
        <w:rPr>
          <w:lang w:val="fr-FR"/>
        </w:rPr>
        <w:t>,</w:t>
      </w:r>
      <w:r w:rsidRPr="00F13A4D">
        <w:rPr>
          <w:lang w:val="fr-FR"/>
        </w:rPr>
        <w:t xml:space="preserve"> contre 96 en 2014-2015. </w:t>
      </w:r>
    </w:p>
    <w:p w14:paraId="5E6CD461" w14:textId="10DAD6C9" w:rsidR="00F13A4D" w:rsidRPr="00F13A4D" w:rsidRDefault="00F13A4D" w:rsidP="00456FC2">
      <w:pPr>
        <w:pStyle w:val="SingleTxt"/>
        <w:numPr>
          <w:ilvl w:val="0"/>
          <w:numId w:val="50"/>
        </w:numPr>
        <w:rPr>
          <w:lang w:val="fr-FR"/>
        </w:rPr>
      </w:pPr>
      <w:r w:rsidRPr="00F13A4D">
        <w:rPr>
          <w:lang w:val="fr-FR"/>
        </w:rPr>
        <w:t>En 2018-2017, 1 114 353 élèves (48,5</w:t>
      </w:r>
      <w:r w:rsidR="00F1794C" w:rsidRPr="00F1794C">
        <w:rPr>
          <w:lang w:val="fr-FR"/>
        </w:rPr>
        <w:t> %</w:t>
      </w:r>
      <w:r w:rsidRPr="00F13A4D">
        <w:rPr>
          <w:lang w:val="fr-FR"/>
        </w:rPr>
        <w:t>), à tous les niveaux de l</w:t>
      </w:r>
      <w:r w:rsidR="00F1794C" w:rsidRPr="00F1794C">
        <w:rPr>
          <w:lang w:val="fr-FR"/>
        </w:rPr>
        <w:t>’</w:t>
      </w:r>
      <w:r w:rsidRPr="00F13A4D">
        <w:rPr>
          <w:lang w:val="fr-FR"/>
        </w:rPr>
        <w:t>enseignement de base public, ont eu accès aux cantines scolaires ainsi que 111 321 internes, dont 49</w:t>
      </w:r>
      <w:r w:rsidR="00F1794C" w:rsidRPr="00F1794C">
        <w:rPr>
          <w:lang w:val="fr-FR"/>
        </w:rPr>
        <w:t> %</w:t>
      </w:r>
      <w:r w:rsidRPr="00F13A4D">
        <w:rPr>
          <w:lang w:val="fr-FR"/>
        </w:rPr>
        <w:t xml:space="preserve"> de filles. En outre, 136 764 élèves ont bénéficié de bourses scolaires à l</w:t>
      </w:r>
      <w:r w:rsidR="00F1794C" w:rsidRPr="00F1794C">
        <w:rPr>
          <w:lang w:val="fr-FR"/>
        </w:rPr>
        <w:t>’</w:t>
      </w:r>
      <w:r w:rsidRPr="00F13A4D">
        <w:rPr>
          <w:lang w:val="fr-FR"/>
        </w:rPr>
        <w:t>échelle nationale à tous les niveaux de l</w:t>
      </w:r>
      <w:r w:rsidR="00F1794C" w:rsidRPr="00F1794C">
        <w:rPr>
          <w:lang w:val="fr-FR"/>
        </w:rPr>
        <w:t>’</w:t>
      </w:r>
      <w:r w:rsidRPr="00F13A4D">
        <w:rPr>
          <w:lang w:val="fr-FR"/>
        </w:rPr>
        <w:t>enseignement de base public, dont 47,5</w:t>
      </w:r>
      <w:r w:rsidR="00F1794C" w:rsidRPr="00F1794C">
        <w:rPr>
          <w:lang w:val="fr-FR"/>
        </w:rPr>
        <w:t> %</w:t>
      </w:r>
      <w:r w:rsidRPr="00F13A4D">
        <w:rPr>
          <w:lang w:val="fr-FR"/>
        </w:rPr>
        <w:t xml:space="preserve"> de filles. Dans les zones rurales, on a dénombré 80 551 élèves boursiers, dont 47</w:t>
      </w:r>
      <w:r w:rsidR="00F1794C" w:rsidRPr="00F1794C">
        <w:rPr>
          <w:lang w:val="fr-FR"/>
        </w:rPr>
        <w:t> %</w:t>
      </w:r>
      <w:r w:rsidRPr="00F13A4D">
        <w:rPr>
          <w:lang w:val="fr-FR"/>
        </w:rPr>
        <w:t xml:space="preserve"> de filles. En 2017-2018, 153 180 enfants, dont 46</w:t>
      </w:r>
      <w:r w:rsidR="00F1794C" w:rsidRPr="00F1794C">
        <w:rPr>
          <w:lang w:val="fr-FR"/>
        </w:rPr>
        <w:t> %</w:t>
      </w:r>
      <w:r w:rsidRPr="00F13A4D">
        <w:rPr>
          <w:lang w:val="fr-FR"/>
        </w:rPr>
        <w:t xml:space="preserve"> de filles, ont utilisé des moyens de transport scolaire. </w:t>
      </w:r>
    </w:p>
    <w:p w14:paraId="101C716C" w14:textId="484E2173" w:rsidR="00F13A4D" w:rsidRPr="00F13A4D" w:rsidRDefault="00F13A4D" w:rsidP="00456FC2">
      <w:pPr>
        <w:pStyle w:val="SingleTxt"/>
        <w:numPr>
          <w:ilvl w:val="0"/>
          <w:numId w:val="50"/>
        </w:numPr>
        <w:rPr>
          <w:lang w:val="fr-FR"/>
        </w:rPr>
      </w:pPr>
      <w:r w:rsidRPr="00F13A4D">
        <w:rPr>
          <w:lang w:val="fr-FR"/>
        </w:rPr>
        <w:t>Depuis l</w:t>
      </w:r>
      <w:r w:rsidR="00F1794C" w:rsidRPr="00F1794C">
        <w:rPr>
          <w:lang w:val="fr-FR"/>
        </w:rPr>
        <w:t>’</w:t>
      </w:r>
      <w:r w:rsidRPr="00F13A4D">
        <w:rPr>
          <w:lang w:val="fr-FR"/>
        </w:rPr>
        <w:t>année scolaire 2009-2010, l</w:t>
      </w:r>
      <w:r w:rsidR="00F1794C" w:rsidRPr="00F1794C">
        <w:rPr>
          <w:lang w:val="fr-FR"/>
        </w:rPr>
        <w:t>’</w:t>
      </w:r>
      <w:r w:rsidRPr="00F13A4D">
        <w:rPr>
          <w:lang w:val="fr-FR"/>
        </w:rPr>
        <w:t>initiative « un million de cartables » a profité chaque année à plus de quatre millions d</w:t>
      </w:r>
      <w:r w:rsidR="00F1794C" w:rsidRPr="00F1794C">
        <w:rPr>
          <w:lang w:val="fr-FR"/>
        </w:rPr>
        <w:t>’</w:t>
      </w:r>
      <w:r w:rsidRPr="00F13A4D">
        <w:rPr>
          <w:lang w:val="fr-FR"/>
        </w:rPr>
        <w:t>élèves, dont 1,8 millions de filles en moyenne (45,5</w:t>
      </w:r>
      <w:r w:rsidR="00F1794C" w:rsidRPr="00F1794C">
        <w:rPr>
          <w:lang w:val="fr-FR"/>
        </w:rPr>
        <w:t> %</w:t>
      </w:r>
      <w:r w:rsidRPr="00F13A4D">
        <w:rPr>
          <w:lang w:val="fr-FR"/>
        </w:rPr>
        <w:t>). En 2016-2017, le programme Tayssir a bénéficié à 859 975 élèves, dont 45</w:t>
      </w:r>
      <w:r w:rsidR="00F1794C" w:rsidRPr="00F1794C">
        <w:rPr>
          <w:lang w:val="fr-FR"/>
        </w:rPr>
        <w:t> %</w:t>
      </w:r>
      <w:r w:rsidRPr="00F13A4D">
        <w:rPr>
          <w:lang w:val="fr-FR"/>
        </w:rPr>
        <w:t xml:space="preserve"> de filles, contre 87 795 élèves en 2008-2009. Cette initiative a eu des effets positifs sur les indicateurs relatifs à l</w:t>
      </w:r>
      <w:r w:rsidR="00F1794C" w:rsidRPr="00F1794C">
        <w:rPr>
          <w:lang w:val="fr-FR"/>
        </w:rPr>
        <w:t>’</w:t>
      </w:r>
      <w:r w:rsidRPr="00F13A4D">
        <w:rPr>
          <w:lang w:val="fr-FR"/>
        </w:rPr>
        <w:t>amélioration de la scolarisation des filles</w:t>
      </w:r>
      <w:r w:rsidRPr="00FA086B">
        <w:rPr>
          <w:vertAlign w:val="superscript"/>
          <w:lang w:val="fr-FR"/>
        </w:rPr>
        <w:footnoteReference w:id="71"/>
      </w:r>
      <w:r w:rsidRPr="00F13A4D">
        <w:rPr>
          <w:lang w:val="fr-FR"/>
        </w:rPr>
        <w:t xml:space="preserve">. </w:t>
      </w:r>
    </w:p>
    <w:p w14:paraId="2E37EA18" w14:textId="7112857A" w:rsidR="00F13A4D" w:rsidRPr="00F13A4D" w:rsidRDefault="00F13A4D" w:rsidP="00456FC2">
      <w:pPr>
        <w:pStyle w:val="SingleTxt"/>
        <w:numPr>
          <w:ilvl w:val="0"/>
          <w:numId w:val="50"/>
        </w:numPr>
        <w:rPr>
          <w:lang w:val="fr-FR"/>
        </w:rPr>
      </w:pPr>
      <w:r w:rsidRPr="00F13A4D">
        <w:rPr>
          <w:lang w:val="fr-FR"/>
        </w:rPr>
        <w:lastRenderedPageBreak/>
        <w:t>En 2017-2018, 699 265 enfants, dont 44</w:t>
      </w:r>
      <w:r w:rsidR="00F1794C" w:rsidRPr="00F1794C">
        <w:rPr>
          <w:lang w:val="fr-FR"/>
        </w:rPr>
        <w:t> %</w:t>
      </w:r>
      <w:r w:rsidRPr="00F13A4D">
        <w:rPr>
          <w:lang w:val="fr-FR"/>
        </w:rPr>
        <w:t xml:space="preserve"> de filles, étaient inscrits dans l</w:t>
      </w:r>
      <w:r w:rsidR="00F1794C" w:rsidRPr="00F1794C">
        <w:rPr>
          <w:lang w:val="fr-FR"/>
        </w:rPr>
        <w:t>’</w:t>
      </w:r>
      <w:r w:rsidRPr="00F13A4D">
        <w:rPr>
          <w:lang w:val="fr-FR"/>
        </w:rPr>
        <w:t>enseignement préscolaire</w:t>
      </w:r>
      <w:r w:rsidR="00F1794C" w:rsidRPr="00F1794C">
        <w:rPr>
          <w:lang w:val="fr-FR"/>
        </w:rPr>
        <w:t> ;</w:t>
      </w:r>
      <w:r w:rsidRPr="00F13A4D">
        <w:rPr>
          <w:lang w:val="fr-FR"/>
        </w:rPr>
        <w:t xml:space="preserve"> le taux de scolarisation s</w:t>
      </w:r>
      <w:r w:rsidR="00F1794C" w:rsidRPr="00F1794C">
        <w:rPr>
          <w:lang w:val="fr-FR"/>
        </w:rPr>
        <w:t>’</w:t>
      </w:r>
      <w:r w:rsidRPr="00F13A4D">
        <w:rPr>
          <w:lang w:val="fr-FR"/>
        </w:rPr>
        <w:t>est établi à 49,8</w:t>
      </w:r>
      <w:r w:rsidR="00F1794C" w:rsidRPr="00F1794C">
        <w:rPr>
          <w:lang w:val="fr-FR"/>
        </w:rPr>
        <w:t> %</w:t>
      </w:r>
      <w:r w:rsidRPr="00F13A4D">
        <w:rPr>
          <w:lang w:val="fr-FR"/>
        </w:rPr>
        <w:t xml:space="preserve"> au niveau national, dont 45,5</w:t>
      </w:r>
      <w:r w:rsidR="00F1794C" w:rsidRPr="00F1794C">
        <w:rPr>
          <w:lang w:val="fr-FR"/>
        </w:rPr>
        <w:t> %</w:t>
      </w:r>
      <w:r w:rsidRPr="00F13A4D">
        <w:rPr>
          <w:lang w:val="fr-FR"/>
        </w:rPr>
        <w:t xml:space="preserve"> de filles, et à 36,6</w:t>
      </w:r>
      <w:r w:rsidR="00F1794C" w:rsidRPr="00F1794C">
        <w:rPr>
          <w:lang w:val="fr-FR"/>
        </w:rPr>
        <w:t> %</w:t>
      </w:r>
      <w:r w:rsidRPr="00F13A4D">
        <w:rPr>
          <w:lang w:val="fr-FR"/>
        </w:rPr>
        <w:t xml:space="preserve"> en milieu rural, dont 28</w:t>
      </w:r>
      <w:r w:rsidR="00F1794C" w:rsidRPr="00F1794C">
        <w:rPr>
          <w:lang w:val="fr-FR"/>
        </w:rPr>
        <w:t> %</w:t>
      </w:r>
      <w:r w:rsidRPr="00F13A4D">
        <w:rPr>
          <w:lang w:val="fr-FR"/>
        </w:rPr>
        <w:t xml:space="preserve"> de filles. </w:t>
      </w:r>
    </w:p>
    <w:p w14:paraId="321C547D" w14:textId="359778C5" w:rsidR="00F13A4D" w:rsidRPr="00F13A4D" w:rsidRDefault="00F13A4D" w:rsidP="00456FC2">
      <w:pPr>
        <w:pStyle w:val="SingleTxt"/>
        <w:numPr>
          <w:ilvl w:val="0"/>
          <w:numId w:val="50"/>
        </w:numPr>
        <w:rPr>
          <w:lang w:val="fr-FR"/>
        </w:rPr>
      </w:pPr>
      <w:r w:rsidRPr="00F13A4D">
        <w:rPr>
          <w:lang w:val="fr-FR"/>
        </w:rPr>
        <w:t xml:space="preserve"> Le taux de scolarisation des filles a augmenté de manière notable à tous les niveaux de l</w:t>
      </w:r>
      <w:r w:rsidR="00F1794C" w:rsidRPr="00F1794C">
        <w:rPr>
          <w:lang w:val="fr-FR"/>
        </w:rPr>
        <w:t>’</w:t>
      </w:r>
      <w:r w:rsidRPr="00F13A4D">
        <w:rPr>
          <w:lang w:val="fr-FR"/>
        </w:rPr>
        <w:t>enseignement de base pour atteindre 99,1</w:t>
      </w:r>
      <w:r w:rsidR="00F1794C" w:rsidRPr="00F1794C">
        <w:rPr>
          <w:lang w:val="fr-FR"/>
        </w:rPr>
        <w:t> %</w:t>
      </w:r>
      <w:r w:rsidRPr="00F13A4D">
        <w:rPr>
          <w:lang w:val="fr-FR"/>
        </w:rPr>
        <w:t xml:space="preserve"> en 2017. Le nombre total de filles scolarisées à tous les niveaux de l</w:t>
      </w:r>
      <w:r w:rsidR="00F1794C" w:rsidRPr="00F1794C">
        <w:rPr>
          <w:lang w:val="fr-FR"/>
        </w:rPr>
        <w:t>’</w:t>
      </w:r>
      <w:r w:rsidRPr="00F13A4D">
        <w:rPr>
          <w:lang w:val="fr-FR"/>
        </w:rPr>
        <w:t xml:space="preserve">enseignement de base, public et privé, est passé de 2 458 374 en 2008-2009 à </w:t>
      </w:r>
      <w:r w:rsidRPr="00F13A4D">
        <w:rPr>
          <w:rtl/>
          <w:lang w:val="fr-FR"/>
        </w:rPr>
        <w:t>2</w:t>
      </w:r>
      <w:r w:rsidRPr="00F13A4D">
        <w:rPr>
          <w:lang w:val="fr-FR"/>
        </w:rPr>
        <w:t> </w:t>
      </w:r>
      <w:r w:rsidRPr="00F13A4D">
        <w:rPr>
          <w:rtl/>
          <w:lang w:val="fr-FR"/>
        </w:rPr>
        <w:t>841</w:t>
      </w:r>
      <w:r w:rsidRPr="00F13A4D">
        <w:rPr>
          <w:lang w:val="fr-FR"/>
        </w:rPr>
        <w:t> </w:t>
      </w:r>
      <w:r w:rsidRPr="00F13A4D">
        <w:rPr>
          <w:rtl/>
          <w:lang w:val="fr-FR"/>
        </w:rPr>
        <w:t>758</w:t>
      </w:r>
      <w:r w:rsidRPr="00F13A4D">
        <w:rPr>
          <w:lang w:val="fr-FR"/>
        </w:rPr>
        <w:t xml:space="preserve"> en 2017-2018, soit une hausse de près de 16</w:t>
      </w:r>
      <w:r w:rsidR="00F1794C" w:rsidRPr="00F1794C">
        <w:rPr>
          <w:lang w:val="fr-FR"/>
        </w:rPr>
        <w:t> %</w:t>
      </w:r>
      <w:r w:rsidRPr="00F13A4D">
        <w:rPr>
          <w:lang w:val="fr-FR"/>
        </w:rPr>
        <w:t xml:space="preserve">. </w:t>
      </w:r>
    </w:p>
    <w:p w14:paraId="03E21AFA" w14:textId="1A38BEBE" w:rsidR="00F13A4D" w:rsidRPr="00F13A4D" w:rsidRDefault="00F13A4D" w:rsidP="00456FC2">
      <w:pPr>
        <w:pStyle w:val="SingleTxt"/>
        <w:numPr>
          <w:ilvl w:val="0"/>
          <w:numId w:val="50"/>
        </w:numPr>
        <w:rPr>
          <w:lang w:val="fr-FR"/>
        </w:rPr>
      </w:pPr>
      <w:r w:rsidRPr="00F13A4D">
        <w:rPr>
          <w:lang w:val="fr-FR"/>
        </w:rPr>
        <w:t>Le nombre total de filles scolarisées à tous les niveaux de l</w:t>
      </w:r>
      <w:r w:rsidR="00F1794C" w:rsidRPr="00F1794C">
        <w:rPr>
          <w:lang w:val="fr-FR"/>
        </w:rPr>
        <w:t>’</w:t>
      </w:r>
      <w:r w:rsidRPr="00F13A4D">
        <w:rPr>
          <w:lang w:val="fr-FR"/>
        </w:rPr>
        <w:t>enseignement fondamental et secondaire, public et privé a connu une hausse de 36</w:t>
      </w:r>
      <w:r w:rsidR="00F1794C" w:rsidRPr="00F1794C">
        <w:rPr>
          <w:lang w:val="fr-FR"/>
        </w:rPr>
        <w:t> %</w:t>
      </w:r>
      <w:r w:rsidRPr="00F13A4D">
        <w:rPr>
          <w:lang w:val="fr-FR"/>
        </w:rPr>
        <w:t xml:space="preserve"> (3 351 436 élèves). L</w:t>
      </w:r>
      <w:r w:rsidR="00F1794C" w:rsidRPr="00F1794C">
        <w:rPr>
          <w:lang w:val="fr-FR"/>
        </w:rPr>
        <w:t>’</w:t>
      </w:r>
      <w:r w:rsidRPr="00F13A4D">
        <w:rPr>
          <w:lang w:val="fr-FR"/>
        </w:rPr>
        <w:t>amélioration de l</w:t>
      </w:r>
      <w:r w:rsidR="00F1794C" w:rsidRPr="00F1794C">
        <w:rPr>
          <w:lang w:val="fr-FR"/>
        </w:rPr>
        <w:t>’</w:t>
      </w:r>
      <w:r w:rsidRPr="00F13A4D">
        <w:rPr>
          <w:lang w:val="fr-FR"/>
        </w:rPr>
        <w:t>accès des filles à l</w:t>
      </w:r>
      <w:r w:rsidR="00F1794C" w:rsidRPr="00F1794C">
        <w:rPr>
          <w:lang w:val="fr-FR"/>
        </w:rPr>
        <w:t>’</w:t>
      </w:r>
      <w:r w:rsidRPr="00F13A4D">
        <w:rPr>
          <w:lang w:val="fr-FR"/>
        </w:rPr>
        <w:t>école s</w:t>
      </w:r>
      <w:r w:rsidR="00F1794C" w:rsidRPr="00F1794C">
        <w:rPr>
          <w:lang w:val="fr-FR"/>
        </w:rPr>
        <w:t>’</w:t>
      </w:r>
      <w:r w:rsidRPr="00F13A4D">
        <w:rPr>
          <w:lang w:val="fr-FR"/>
        </w:rPr>
        <w:t>est répercutée sur l</w:t>
      </w:r>
      <w:r w:rsidR="00F1794C" w:rsidRPr="00F1794C">
        <w:rPr>
          <w:lang w:val="fr-FR"/>
        </w:rPr>
        <w:t>’</w:t>
      </w:r>
      <w:r w:rsidRPr="00F13A4D">
        <w:rPr>
          <w:lang w:val="fr-FR"/>
        </w:rPr>
        <w:t>indice d</w:t>
      </w:r>
      <w:r w:rsidR="00F1794C" w:rsidRPr="00F1794C">
        <w:rPr>
          <w:lang w:val="fr-FR"/>
        </w:rPr>
        <w:t>’</w:t>
      </w:r>
      <w:r w:rsidRPr="00F13A4D">
        <w:rPr>
          <w:lang w:val="fr-FR"/>
        </w:rPr>
        <w:t>équité de genre dans l</w:t>
      </w:r>
      <w:r w:rsidR="00F1794C" w:rsidRPr="00F1794C">
        <w:rPr>
          <w:lang w:val="fr-FR"/>
        </w:rPr>
        <w:t>’</w:t>
      </w:r>
      <w:r w:rsidRPr="00F13A4D">
        <w:rPr>
          <w:lang w:val="fr-FR"/>
        </w:rPr>
        <w:t>enseignement primaire public, passé de 0,84 en 2000-2001 à 0,95 en 2017-2018, soit une augmentation de près de 10 points de pourcentage</w:t>
      </w:r>
      <w:r w:rsidR="00F1794C" w:rsidRPr="00F1794C">
        <w:rPr>
          <w:lang w:val="fr-FR"/>
        </w:rPr>
        <w:t> ;</w:t>
      </w:r>
      <w:r w:rsidRPr="00F13A4D">
        <w:rPr>
          <w:lang w:val="fr-FR"/>
        </w:rPr>
        <w:t xml:space="preserve"> en milieu rural, cet indice est passé de 0,76 en 2000-2001 à 0,94 en 2017-2018. </w:t>
      </w:r>
    </w:p>
    <w:p w14:paraId="14319AF3" w14:textId="69CCD639" w:rsidR="00F13A4D" w:rsidRPr="00F13A4D" w:rsidRDefault="00F13A4D" w:rsidP="00456FC2">
      <w:pPr>
        <w:pStyle w:val="SingleTxt"/>
        <w:numPr>
          <w:ilvl w:val="0"/>
          <w:numId w:val="50"/>
        </w:numPr>
        <w:rPr>
          <w:lang w:val="fr-FR"/>
        </w:rPr>
      </w:pPr>
      <w:r w:rsidRPr="00F13A4D">
        <w:rPr>
          <w:lang w:val="fr-FR"/>
        </w:rPr>
        <w:t>Concernant l</w:t>
      </w:r>
      <w:r w:rsidR="00F1794C" w:rsidRPr="00F1794C">
        <w:rPr>
          <w:lang w:val="fr-FR"/>
        </w:rPr>
        <w:t>’</w:t>
      </w:r>
      <w:r w:rsidRPr="00F13A4D">
        <w:rPr>
          <w:lang w:val="fr-FR"/>
        </w:rPr>
        <w:t>enseignement collégial, le taux de scolarisation des filles âgées de 12 à 14 ans s</w:t>
      </w:r>
      <w:r w:rsidR="00F1794C" w:rsidRPr="00F1794C">
        <w:rPr>
          <w:lang w:val="fr-FR"/>
        </w:rPr>
        <w:t>’</w:t>
      </w:r>
      <w:r w:rsidRPr="00F13A4D">
        <w:rPr>
          <w:lang w:val="fr-FR"/>
        </w:rPr>
        <w:t>est établi à 86,7</w:t>
      </w:r>
      <w:r w:rsidR="00F1794C" w:rsidRPr="00F1794C">
        <w:rPr>
          <w:lang w:val="fr-FR"/>
        </w:rPr>
        <w:t> %</w:t>
      </w:r>
      <w:r w:rsidRPr="00F13A4D">
        <w:rPr>
          <w:lang w:val="fr-FR"/>
        </w:rPr>
        <w:t xml:space="preserve"> en 2017-2018, contre 80,1</w:t>
      </w:r>
      <w:r w:rsidR="00F1794C" w:rsidRPr="00F1794C">
        <w:rPr>
          <w:lang w:val="fr-FR"/>
        </w:rPr>
        <w:t> %</w:t>
      </w:r>
      <w:r w:rsidRPr="00F13A4D">
        <w:rPr>
          <w:lang w:val="fr-FR"/>
        </w:rPr>
        <w:t xml:space="preserve"> en 2008-2009. En milieu rural, ce taux a atteint 72</w:t>
      </w:r>
      <w:r w:rsidR="00F1794C" w:rsidRPr="00F1794C">
        <w:rPr>
          <w:lang w:val="fr-FR"/>
        </w:rPr>
        <w:t> %</w:t>
      </w:r>
      <w:r w:rsidRPr="00F13A4D">
        <w:rPr>
          <w:lang w:val="fr-FR"/>
        </w:rPr>
        <w:t xml:space="preserve"> en 2017-2018 et 42,7</w:t>
      </w:r>
      <w:r w:rsidR="00F1794C" w:rsidRPr="00F1794C">
        <w:rPr>
          <w:lang w:val="fr-FR"/>
        </w:rPr>
        <w:t> %</w:t>
      </w:r>
      <w:r w:rsidRPr="00F13A4D">
        <w:rPr>
          <w:lang w:val="fr-FR"/>
        </w:rPr>
        <w:t xml:space="preserve"> en 2008-2009. L</w:t>
      </w:r>
      <w:r w:rsidR="00F1794C" w:rsidRPr="00F1794C">
        <w:rPr>
          <w:lang w:val="fr-FR"/>
        </w:rPr>
        <w:t>’</w:t>
      </w:r>
      <w:r w:rsidRPr="00F13A4D">
        <w:rPr>
          <w:lang w:val="fr-FR"/>
        </w:rPr>
        <w:t>indice d</w:t>
      </w:r>
      <w:r w:rsidR="00F1794C" w:rsidRPr="00F1794C">
        <w:rPr>
          <w:lang w:val="fr-FR"/>
        </w:rPr>
        <w:t>’</w:t>
      </w:r>
      <w:r w:rsidRPr="00F13A4D">
        <w:rPr>
          <w:lang w:val="fr-FR"/>
        </w:rPr>
        <w:t>équité de genre concernant l</w:t>
      </w:r>
      <w:r w:rsidR="00F1794C" w:rsidRPr="00F1794C">
        <w:rPr>
          <w:lang w:val="fr-FR"/>
        </w:rPr>
        <w:t>’</w:t>
      </w:r>
      <w:r w:rsidRPr="00F13A4D">
        <w:rPr>
          <w:lang w:val="fr-FR"/>
        </w:rPr>
        <w:t xml:space="preserve">enseignement secondaire collégial public est passé de 0,75 à 0,90, soit une hausse de 21 points de pourcentage et, en milieu rural, de 0,42 en 2000-2001 à 0,77 en 2017-2018, soit une hausse de 35 points de pourcentage. </w:t>
      </w:r>
    </w:p>
    <w:p w14:paraId="4E12239C" w14:textId="58A2EF7A" w:rsidR="00F13A4D" w:rsidRPr="00F13A4D" w:rsidRDefault="00F13A4D" w:rsidP="00456FC2">
      <w:pPr>
        <w:pStyle w:val="SingleTxt"/>
        <w:numPr>
          <w:ilvl w:val="0"/>
          <w:numId w:val="50"/>
        </w:numPr>
        <w:rPr>
          <w:lang w:val="fr-FR"/>
        </w:rPr>
      </w:pPr>
      <w:r w:rsidRPr="00F13A4D">
        <w:rPr>
          <w:lang w:val="fr-FR"/>
        </w:rPr>
        <w:t>Pour ce qui est de l</w:t>
      </w:r>
      <w:r w:rsidR="00F1794C" w:rsidRPr="00F1794C">
        <w:rPr>
          <w:lang w:val="fr-FR"/>
        </w:rPr>
        <w:t>’</w:t>
      </w:r>
      <w:r w:rsidRPr="00F13A4D">
        <w:rPr>
          <w:lang w:val="fr-FR"/>
        </w:rPr>
        <w:t>enseignement secondaire qualifiant, le taux de scolarisation des élèves, âgées de 15 à 17 ans, s</w:t>
      </w:r>
      <w:r w:rsidR="00F1794C" w:rsidRPr="00F1794C">
        <w:rPr>
          <w:lang w:val="fr-FR"/>
        </w:rPr>
        <w:t>’</w:t>
      </w:r>
      <w:r w:rsidRPr="00F13A4D">
        <w:rPr>
          <w:lang w:val="fr-FR"/>
        </w:rPr>
        <w:t>est amélioré de manière notable, passant de 63,4</w:t>
      </w:r>
      <w:r w:rsidR="00F1794C" w:rsidRPr="00F1794C">
        <w:rPr>
          <w:lang w:val="fr-FR"/>
        </w:rPr>
        <w:t> %</w:t>
      </w:r>
      <w:r w:rsidRPr="00F13A4D">
        <w:rPr>
          <w:lang w:val="fr-FR"/>
        </w:rPr>
        <w:t xml:space="preserve"> en 2014-2015 à 63,6</w:t>
      </w:r>
      <w:r w:rsidR="00F1794C" w:rsidRPr="00F1794C">
        <w:rPr>
          <w:lang w:val="fr-FR"/>
        </w:rPr>
        <w:t> %</w:t>
      </w:r>
      <w:r w:rsidRPr="00F13A4D">
        <w:rPr>
          <w:lang w:val="fr-FR"/>
        </w:rPr>
        <w:t xml:space="preserve"> en 2017-2018. En outre, 51</w:t>
      </w:r>
      <w:r w:rsidR="00F1794C" w:rsidRPr="00F1794C">
        <w:rPr>
          <w:lang w:val="fr-FR"/>
        </w:rPr>
        <w:t> %</w:t>
      </w:r>
      <w:r w:rsidRPr="00F13A4D">
        <w:rPr>
          <w:lang w:val="fr-FR"/>
        </w:rPr>
        <w:t xml:space="preserve"> des filles ont achevé les trois cycles d</w:t>
      </w:r>
      <w:r w:rsidR="00F1794C" w:rsidRPr="00F1794C">
        <w:rPr>
          <w:lang w:val="fr-FR"/>
        </w:rPr>
        <w:t>’</w:t>
      </w:r>
      <w:r w:rsidRPr="00F13A4D">
        <w:rPr>
          <w:lang w:val="fr-FR"/>
        </w:rPr>
        <w:t>enseignement (primaire, collégial et secondaire) en 2014-2015, contre 42</w:t>
      </w:r>
      <w:r w:rsidR="00F1794C" w:rsidRPr="00F1794C">
        <w:rPr>
          <w:lang w:val="fr-FR"/>
        </w:rPr>
        <w:t> %</w:t>
      </w:r>
      <w:r w:rsidRPr="00F13A4D">
        <w:rPr>
          <w:lang w:val="fr-FR"/>
        </w:rPr>
        <w:t xml:space="preserve"> en 2008-2009. L</w:t>
      </w:r>
      <w:r w:rsidR="00F1794C" w:rsidRPr="00F1794C">
        <w:rPr>
          <w:lang w:val="fr-FR"/>
        </w:rPr>
        <w:t>’</w:t>
      </w:r>
      <w:r w:rsidRPr="00F13A4D">
        <w:rPr>
          <w:lang w:val="fr-FR"/>
        </w:rPr>
        <w:t>indice d</w:t>
      </w:r>
      <w:r w:rsidR="00F1794C" w:rsidRPr="00F1794C">
        <w:rPr>
          <w:lang w:val="fr-FR"/>
        </w:rPr>
        <w:t>’</w:t>
      </w:r>
      <w:r w:rsidRPr="00F13A4D">
        <w:rPr>
          <w:lang w:val="fr-FR"/>
        </w:rPr>
        <w:t>équité de genre concernant l</w:t>
      </w:r>
      <w:r w:rsidR="00F1794C" w:rsidRPr="00F1794C">
        <w:rPr>
          <w:lang w:val="fr-FR"/>
        </w:rPr>
        <w:t>’</w:t>
      </w:r>
      <w:r w:rsidRPr="00F13A4D">
        <w:rPr>
          <w:lang w:val="fr-FR"/>
        </w:rPr>
        <w:t>enseignement secondaire qualifiant public est passé de 0,92 en 2014-2015 à 1,07 en 2017-2018 à l</w:t>
      </w:r>
      <w:r w:rsidR="00F1794C" w:rsidRPr="00F1794C">
        <w:rPr>
          <w:lang w:val="fr-FR"/>
        </w:rPr>
        <w:t>’</w:t>
      </w:r>
      <w:r w:rsidRPr="00F13A4D">
        <w:rPr>
          <w:lang w:val="fr-FR"/>
        </w:rPr>
        <w:t xml:space="preserve">échelle nationale, soit une augmentation de 15 points de pourcentage et, en milieu rural, de 0,68 en 2014-2015 à 0,91 en 2017-2018, soit une hausse de 23 points de pourcentage. </w:t>
      </w:r>
    </w:p>
    <w:p w14:paraId="28ECEE84" w14:textId="6EFE08EE" w:rsidR="00F13A4D" w:rsidRPr="00F13A4D" w:rsidRDefault="00F13A4D" w:rsidP="00456FC2">
      <w:pPr>
        <w:pStyle w:val="SingleTxt"/>
        <w:numPr>
          <w:ilvl w:val="0"/>
          <w:numId w:val="50"/>
        </w:numPr>
        <w:rPr>
          <w:lang w:val="fr-FR"/>
        </w:rPr>
      </w:pPr>
      <w:r w:rsidRPr="00F13A4D">
        <w:rPr>
          <w:lang w:val="fr-FR"/>
        </w:rPr>
        <w:t>Malgré les progrès significatifs accomplis, des contraintes persistent. Le taux de scolarisation dans l</w:t>
      </w:r>
      <w:r w:rsidR="00F1794C" w:rsidRPr="00F1794C">
        <w:rPr>
          <w:lang w:val="fr-FR"/>
        </w:rPr>
        <w:t>’</w:t>
      </w:r>
      <w:r w:rsidRPr="00F13A4D">
        <w:rPr>
          <w:lang w:val="fr-FR"/>
        </w:rPr>
        <w:t>enseignement préscolaire est faible, le décrochage scolaire reste un problème dans l</w:t>
      </w:r>
      <w:r w:rsidR="00F1794C" w:rsidRPr="00F1794C">
        <w:rPr>
          <w:lang w:val="fr-FR"/>
        </w:rPr>
        <w:t>’</w:t>
      </w:r>
      <w:r w:rsidRPr="00F13A4D">
        <w:rPr>
          <w:lang w:val="fr-FR"/>
        </w:rPr>
        <w:t>enseignement primaire bien que le taux de décrochage soit passé de 4,3</w:t>
      </w:r>
      <w:r w:rsidR="00F1794C" w:rsidRPr="00F1794C">
        <w:rPr>
          <w:lang w:val="fr-FR"/>
        </w:rPr>
        <w:t> %</w:t>
      </w:r>
      <w:r w:rsidRPr="00F13A4D">
        <w:rPr>
          <w:lang w:val="fr-FR"/>
        </w:rPr>
        <w:t xml:space="preserve"> en 2007-2008 à 1,7</w:t>
      </w:r>
      <w:r w:rsidR="00F1794C" w:rsidRPr="00F1794C">
        <w:rPr>
          <w:lang w:val="fr-FR"/>
        </w:rPr>
        <w:t> %</w:t>
      </w:r>
      <w:r w:rsidRPr="00F13A4D">
        <w:rPr>
          <w:lang w:val="fr-FR"/>
        </w:rPr>
        <w:t xml:space="preserve"> en 2016-2017 et, dans l</w:t>
      </w:r>
      <w:r w:rsidR="00F1794C" w:rsidRPr="00F1794C">
        <w:rPr>
          <w:lang w:val="fr-FR"/>
        </w:rPr>
        <w:t>’</w:t>
      </w:r>
      <w:r w:rsidRPr="00F13A4D">
        <w:rPr>
          <w:lang w:val="fr-FR"/>
        </w:rPr>
        <w:t>enseignement secondaire collégial, de 11,5</w:t>
      </w:r>
      <w:r w:rsidR="00F1794C" w:rsidRPr="00F1794C">
        <w:rPr>
          <w:lang w:val="fr-FR"/>
        </w:rPr>
        <w:t> %</w:t>
      </w:r>
      <w:r w:rsidRPr="00F13A4D">
        <w:rPr>
          <w:lang w:val="fr-FR"/>
        </w:rPr>
        <w:t xml:space="preserve"> en 2007-2008 à 8</w:t>
      </w:r>
      <w:r w:rsidR="00F1794C" w:rsidRPr="00F1794C">
        <w:rPr>
          <w:lang w:val="fr-FR"/>
        </w:rPr>
        <w:t> %</w:t>
      </w:r>
      <w:r w:rsidRPr="00F13A4D">
        <w:rPr>
          <w:lang w:val="fr-FR"/>
        </w:rPr>
        <w:t xml:space="preserve"> en 2017-2018. </w:t>
      </w:r>
    </w:p>
    <w:p w14:paraId="24870570" w14:textId="580B5C61" w:rsidR="00F13A4D" w:rsidRPr="00F13A4D" w:rsidRDefault="00F13A4D" w:rsidP="00456FC2">
      <w:pPr>
        <w:pStyle w:val="SingleTxt"/>
        <w:numPr>
          <w:ilvl w:val="0"/>
          <w:numId w:val="50"/>
        </w:numPr>
        <w:rPr>
          <w:lang w:val="fr-FR"/>
        </w:rPr>
      </w:pPr>
      <w:r w:rsidRPr="00F13A4D">
        <w:rPr>
          <w:lang w:val="fr-FR"/>
        </w:rPr>
        <w:t>La vision stratégique de la réforme de l</w:t>
      </w:r>
      <w:r w:rsidR="00F1794C" w:rsidRPr="00F1794C">
        <w:rPr>
          <w:lang w:val="fr-FR"/>
        </w:rPr>
        <w:t>’</w:t>
      </w:r>
      <w:r w:rsidRPr="00F13A4D">
        <w:rPr>
          <w:lang w:val="fr-FR"/>
        </w:rPr>
        <w:t>enseignement</w:t>
      </w:r>
      <w:r w:rsidRPr="00FA086B">
        <w:rPr>
          <w:vertAlign w:val="superscript"/>
          <w:lang w:val="fr-FR"/>
        </w:rPr>
        <w:footnoteReference w:id="72"/>
      </w:r>
      <w:r w:rsidRPr="00F13A4D">
        <w:rPr>
          <w:lang w:val="fr-FR"/>
        </w:rPr>
        <w:t xml:space="preserve"> (2015-2030), mise en œuvre dans un cadre contractuel contraignant, en application de la loi-cadre n</w:t>
      </w:r>
      <w:r w:rsidRPr="00F13A4D">
        <w:rPr>
          <w:vertAlign w:val="superscript"/>
          <w:lang w:val="fr-FR"/>
        </w:rPr>
        <w:t>o</w:t>
      </w:r>
      <w:r w:rsidR="00F85844">
        <w:rPr>
          <w:lang w:val="fr-FR"/>
        </w:rPr>
        <w:t> </w:t>
      </w:r>
      <w:r w:rsidRPr="00F13A4D">
        <w:rPr>
          <w:lang w:val="fr-FR"/>
        </w:rPr>
        <w:t>51</w:t>
      </w:r>
      <w:r w:rsidR="00F85844">
        <w:rPr>
          <w:lang w:val="fr-FR"/>
        </w:rPr>
        <w:noBreakHyphen/>
      </w:r>
      <w:r w:rsidRPr="00F13A4D">
        <w:rPr>
          <w:lang w:val="fr-FR"/>
        </w:rPr>
        <w:t>17</w:t>
      </w:r>
      <w:r w:rsidRPr="00FA086B">
        <w:rPr>
          <w:vertAlign w:val="superscript"/>
          <w:lang w:val="fr-CH"/>
        </w:rPr>
        <w:footnoteReference w:id="73"/>
      </w:r>
      <w:r w:rsidRPr="00F13A4D">
        <w:rPr>
          <w:lang w:val="fr-FR"/>
        </w:rPr>
        <w:t>. En outre, une feuille de route pour la lutte contre l</w:t>
      </w:r>
      <w:r w:rsidR="00F1794C" w:rsidRPr="00F1794C">
        <w:rPr>
          <w:lang w:val="fr-FR"/>
        </w:rPr>
        <w:t>’</w:t>
      </w:r>
      <w:r w:rsidRPr="00F13A4D">
        <w:rPr>
          <w:lang w:val="fr-FR"/>
        </w:rPr>
        <w:t xml:space="preserve">analphabétisme chez les femmes a été établie pour 2014-2020. </w:t>
      </w:r>
    </w:p>
    <w:p w14:paraId="6AE8581A" w14:textId="441DBFC7" w:rsidR="00F13A4D" w:rsidRPr="00F13A4D" w:rsidRDefault="00F13A4D" w:rsidP="00456FC2">
      <w:pPr>
        <w:pStyle w:val="SingleTxt"/>
        <w:numPr>
          <w:ilvl w:val="0"/>
          <w:numId w:val="50"/>
        </w:numPr>
        <w:rPr>
          <w:lang w:val="fr-FR"/>
        </w:rPr>
      </w:pPr>
      <w:r w:rsidRPr="00F13A4D">
        <w:rPr>
          <w:lang w:val="fr-FR"/>
        </w:rPr>
        <w:t>Les mosquées ont participé à un vaste programme d</w:t>
      </w:r>
      <w:r w:rsidR="00F1794C" w:rsidRPr="00F1794C">
        <w:rPr>
          <w:lang w:val="fr-FR"/>
        </w:rPr>
        <w:t>’</w:t>
      </w:r>
      <w:r w:rsidRPr="00F13A4D">
        <w:rPr>
          <w:lang w:val="fr-FR"/>
        </w:rPr>
        <w:t>alphabétisation qui a bénéficié à 2 969 501 personnes, dont 2 533 208 femmes (85,60</w:t>
      </w:r>
      <w:r w:rsidR="00F1794C" w:rsidRPr="00F1794C">
        <w:rPr>
          <w:lang w:val="fr-FR"/>
        </w:rPr>
        <w:t> %</w:t>
      </w:r>
      <w:r w:rsidRPr="00F13A4D">
        <w:rPr>
          <w:lang w:val="fr-FR"/>
        </w:rPr>
        <w:t>) de l</w:t>
      </w:r>
      <w:r w:rsidR="00F1794C" w:rsidRPr="00F1794C">
        <w:rPr>
          <w:lang w:val="fr-FR"/>
        </w:rPr>
        <w:t>’</w:t>
      </w:r>
      <w:r w:rsidRPr="00F13A4D">
        <w:rPr>
          <w:lang w:val="fr-FR"/>
        </w:rPr>
        <w:t>année scolaire 2007-2008 à l</w:t>
      </w:r>
      <w:r w:rsidR="00F1794C" w:rsidRPr="00F1794C">
        <w:rPr>
          <w:lang w:val="fr-FR"/>
        </w:rPr>
        <w:t>’</w:t>
      </w:r>
      <w:r w:rsidRPr="00F13A4D">
        <w:rPr>
          <w:lang w:val="fr-FR"/>
        </w:rPr>
        <w:t>année scolaire 2018-2019.</w:t>
      </w:r>
    </w:p>
    <w:p w14:paraId="6E88C30C" w14:textId="771B2DFD" w:rsidR="00F13A4D" w:rsidRPr="00F13A4D" w:rsidRDefault="00F13A4D" w:rsidP="00456FC2">
      <w:pPr>
        <w:pStyle w:val="SingleTxt"/>
        <w:numPr>
          <w:ilvl w:val="0"/>
          <w:numId w:val="50"/>
        </w:numPr>
        <w:rPr>
          <w:lang w:val="fr-FR"/>
        </w:rPr>
      </w:pPr>
      <w:r w:rsidRPr="00F13A4D">
        <w:rPr>
          <w:lang w:val="fr-FR"/>
        </w:rPr>
        <w:t>Comme suite à la recommandation formulée au paragraphe 33 des observations finales, la scolarisation des filles dans le monde rural a été facilitée par les écoles communautaires et les établissements de protection sociale (Dar Ettaliba ou maison de l</w:t>
      </w:r>
      <w:r w:rsidR="00F1794C" w:rsidRPr="00F1794C">
        <w:rPr>
          <w:lang w:val="fr-FR"/>
        </w:rPr>
        <w:t>’</w:t>
      </w:r>
      <w:r w:rsidRPr="00F13A4D">
        <w:rPr>
          <w:lang w:val="fr-FR"/>
        </w:rPr>
        <w:t>étudiante) qui offrent les repas et l</w:t>
      </w:r>
      <w:r w:rsidR="00F1794C" w:rsidRPr="00F1794C">
        <w:rPr>
          <w:lang w:val="fr-FR"/>
        </w:rPr>
        <w:t>’</w:t>
      </w:r>
      <w:r w:rsidRPr="00F13A4D">
        <w:rPr>
          <w:lang w:val="fr-FR"/>
        </w:rPr>
        <w:t>hébergement, des cours de soutiens, des camps d</w:t>
      </w:r>
      <w:r w:rsidR="00F1794C" w:rsidRPr="00F1794C">
        <w:rPr>
          <w:lang w:val="fr-FR"/>
        </w:rPr>
        <w:t>’</w:t>
      </w:r>
      <w:r w:rsidRPr="00F13A4D">
        <w:rPr>
          <w:lang w:val="fr-FR"/>
        </w:rPr>
        <w:t>été et des activités culturelles et sportives. En 2017-2018, 31 078 en ont bénéficié, soit 51</w:t>
      </w:r>
      <w:r w:rsidR="00F1794C" w:rsidRPr="00F1794C">
        <w:rPr>
          <w:lang w:val="fr-FR"/>
        </w:rPr>
        <w:t> %</w:t>
      </w:r>
      <w:r w:rsidRPr="00F13A4D">
        <w:rPr>
          <w:lang w:val="fr-FR"/>
        </w:rPr>
        <w:t xml:space="preserve"> du nombre total de bénéficiaires. Par ailleurs, dans le cadre d</w:t>
      </w:r>
      <w:r w:rsidR="00F1794C" w:rsidRPr="00F1794C">
        <w:rPr>
          <w:lang w:val="fr-FR"/>
        </w:rPr>
        <w:t>’</w:t>
      </w:r>
      <w:r w:rsidRPr="00F13A4D">
        <w:rPr>
          <w:lang w:val="fr-FR"/>
        </w:rPr>
        <w:t xml:space="preserve">un projet </w:t>
      </w:r>
      <w:r w:rsidRPr="00F13A4D">
        <w:rPr>
          <w:lang w:val="fr-FR"/>
        </w:rPr>
        <w:lastRenderedPageBreak/>
        <w:t>pilote visant à améliorer la maison de l</w:t>
      </w:r>
      <w:r w:rsidR="00F1794C" w:rsidRPr="00F1794C">
        <w:rPr>
          <w:lang w:val="fr-FR"/>
        </w:rPr>
        <w:t>’</w:t>
      </w:r>
      <w:r w:rsidRPr="00F13A4D">
        <w:rPr>
          <w:lang w:val="fr-FR"/>
        </w:rPr>
        <w:t xml:space="preserve">étudiante pour assurer une éducation de qualité, sont fournis des services tels que le soutien scolaire, psychologique et social de façon à lutter contre le décrochage scolaire et à favoriser le développement personnel et social des filles. </w:t>
      </w:r>
    </w:p>
    <w:p w14:paraId="0FAF88E4" w14:textId="2F634338" w:rsidR="00F13A4D" w:rsidRPr="00F13A4D" w:rsidRDefault="00F13A4D" w:rsidP="00456FC2">
      <w:pPr>
        <w:pStyle w:val="SingleTxt"/>
        <w:numPr>
          <w:ilvl w:val="0"/>
          <w:numId w:val="50"/>
        </w:numPr>
        <w:rPr>
          <w:lang w:val="fr-FR"/>
        </w:rPr>
      </w:pPr>
      <w:r w:rsidRPr="00F13A4D">
        <w:rPr>
          <w:lang w:val="fr-FR"/>
        </w:rPr>
        <w:t>Dans le cadre de l</w:t>
      </w:r>
      <w:r w:rsidR="00F1794C" w:rsidRPr="00F1794C">
        <w:rPr>
          <w:lang w:val="fr-FR"/>
        </w:rPr>
        <w:t>’</w:t>
      </w:r>
      <w:r w:rsidRPr="00F13A4D">
        <w:rPr>
          <w:lang w:val="fr-FR"/>
        </w:rPr>
        <w:t>application de la loi n</w:t>
      </w:r>
      <w:r w:rsidRPr="00F13A4D">
        <w:rPr>
          <w:vertAlign w:val="superscript"/>
          <w:lang w:val="fr-FR"/>
        </w:rPr>
        <w:t>o</w:t>
      </w:r>
      <w:r w:rsidRPr="00F13A4D">
        <w:rPr>
          <w:lang w:val="fr-FR"/>
        </w:rPr>
        <w:t xml:space="preserve"> 14-05</w:t>
      </w:r>
      <w:r w:rsidRPr="00FA086B">
        <w:rPr>
          <w:vertAlign w:val="superscript"/>
          <w:lang w:val="fr-FR"/>
        </w:rPr>
        <w:footnoteReference w:id="74"/>
      </w:r>
      <w:r w:rsidRPr="00F13A4D">
        <w:rPr>
          <w:lang w:val="fr-FR"/>
        </w:rPr>
        <w:t>, la fondation de coopération nationale pour les associations a permis l</w:t>
      </w:r>
      <w:r w:rsidR="00F1794C" w:rsidRPr="00F1794C">
        <w:rPr>
          <w:lang w:val="fr-FR"/>
        </w:rPr>
        <w:t>’</w:t>
      </w:r>
      <w:r w:rsidRPr="00F13A4D">
        <w:rPr>
          <w:lang w:val="fr-FR"/>
        </w:rPr>
        <w:t>ouverture et la gestion de 75</w:t>
      </w:r>
      <w:r w:rsidR="00F85844">
        <w:rPr>
          <w:lang w:val="fr-FR"/>
        </w:rPr>
        <w:t> </w:t>
      </w:r>
      <w:r w:rsidRPr="00F13A4D">
        <w:rPr>
          <w:lang w:val="fr-FR"/>
        </w:rPr>
        <w:t>établissements</w:t>
      </w:r>
      <w:r w:rsidR="00F1794C" w:rsidRPr="00F1794C">
        <w:rPr>
          <w:lang w:val="fr-FR"/>
        </w:rPr>
        <w:t> :</w:t>
      </w:r>
      <w:r w:rsidRPr="00F13A4D">
        <w:rPr>
          <w:lang w:val="fr-FR"/>
        </w:rPr>
        <w:t xml:space="preserve"> 49 maisons de l</w:t>
      </w:r>
      <w:r w:rsidR="00F1794C" w:rsidRPr="00F1794C">
        <w:rPr>
          <w:lang w:val="fr-FR"/>
        </w:rPr>
        <w:t>’</w:t>
      </w:r>
      <w:r w:rsidRPr="00F13A4D">
        <w:rPr>
          <w:lang w:val="fr-FR"/>
        </w:rPr>
        <w:t>étudiant et de l</w:t>
      </w:r>
      <w:r w:rsidR="00F1794C" w:rsidRPr="00F1794C">
        <w:rPr>
          <w:lang w:val="fr-FR"/>
        </w:rPr>
        <w:t>’</w:t>
      </w:r>
      <w:r w:rsidRPr="00F13A4D">
        <w:rPr>
          <w:lang w:val="fr-FR"/>
        </w:rPr>
        <w:t>étudiant (66</w:t>
      </w:r>
      <w:r w:rsidR="00F1794C" w:rsidRPr="00F1794C">
        <w:rPr>
          <w:lang w:val="fr-FR"/>
        </w:rPr>
        <w:t> %</w:t>
      </w:r>
      <w:r w:rsidRPr="00F13A4D">
        <w:rPr>
          <w:lang w:val="fr-FR"/>
        </w:rPr>
        <w:t>), 5 maisons de la fille et résidences pour étudiants (7</w:t>
      </w:r>
      <w:r w:rsidR="00F1794C" w:rsidRPr="00F1794C">
        <w:rPr>
          <w:lang w:val="fr-FR"/>
        </w:rPr>
        <w:t> %</w:t>
      </w:r>
      <w:r w:rsidRPr="00F13A4D">
        <w:rPr>
          <w:lang w:val="fr-FR"/>
        </w:rPr>
        <w:t>) et 4 centres pour les femmes en situation difficile (6</w:t>
      </w:r>
      <w:r w:rsidR="00F1794C" w:rsidRPr="00F1794C">
        <w:rPr>
          <w:lang w:val="fr-FR"/>
        </w:rPr>
        <w:t> %</w:t>
      </w:r>
      <w:r w:rsidRPr="00F13A4D">
        <w:rPr>
          <w:lang w:val="fr-FR"/>
        </w:rPr>
        <w:t xml:space="preserve">). </w:t>
      </w:r>
    </w:p>
    <w:p w14:paraId="5C234B19" w14:textId="2024D4B0" w:rsidR="00F13A4D" w:rsidRPr="00F13A4D" w:rsidRDefault="00F13A4D" w:rsidP="00456FC2">
      <w:pPr>
        <w:pStyle w:val="SingleTxt"/>
        <w:numPr>
          <w:ilvl w:val="0"/>
          <w:numId w:val="50"/>
        </w:numPr>
        <w:rPr>
          <w:lang w:val="fr-FR"/>
        </w:rPr>
      </w:pPr>
      <w:r w:rsidRPr="00F13A4D">
        <w:rPr>
          <w:lang w:val="fr-FR"/>
        </w:rPr>
        <w:t>En ce qui concerne l</w:t>
      </w:r>
      <w:r w:rsidR="00F1794C" w:rsidRPr="00F1794C">
        <w:rPr>
          <w:lang w:val="fr-FR"/>
        </w:rPr>
        <w:t>’</w:t>
      </w:r>
      <w:r w:rsidRPr="00F13A4D">
        <w:rPr>
          <w:lang w:val="fr-FR"/>
        </w:rPr>
        <w:t>enseignement supérieur, le nombre d</w:t>
      </w:r>
      <w:r w:rsidR="00F1794C" w:rsidRPr="00F1794C">
        <w:rPr>
          <w:lang w:val="fr-FR"/>
        </w:rPr>
        <w:t>’</w:t>
      </w:r>
      <w:r w:rsidRPr="00F13A4D">
        <w:rPr>
          <w:lang w:val="fr-FR"/>
        </w:rPr>
        <w:t>étudiantes est passé de 541 375 (21</w:t>
      </w:r>
      <w:r w:rsidR="00F1794C" w:rsidRPr="00F1794C">
        <w:rPr>
          <w:lang w:val="fr-FR"/>
        </w:rPr>
        <w:t> %</w:t>
      </w:r>
      <w:r w:rsidRPr="00F13A4D">
        <w:rPr>
          <w:lang w:val="fr-FR"/>
        </w:rPr>
        <w:t>) en 2012 à 893 336 (35</w:t>
      </w:r>
      <w:r w:rsidR="00F1794C" w:rsidRPr="00F1794C">
        <w:rPr>
          <w:lang w:val="fr-FR"/>
        </w:rPr>
        <w:t> %</w:t>
      </w:r>
      <w:r w:rsidRPr="00F13A4D">
        <w:rPr>
          <w:lang w:val="fr-FR"/>
        </w:rPr>
        <w:t>) en 2018. Durant cette période, le nombre de filles ayant accès aux instituts et aux universités, en particulier aux établissements imposant un numerus clausus, a augmenté</w:t>
      </w:r>
      <w:r w:rsidRPr="00FA086B">
        <w:rPr>
          <w:vertAlign w:val="superscript"/>
          <w:lang w:val="fr-FR"/>
        </w:rPr>
        <w:footnoteReference w:id="75"/>
      </w:r>
      <w:r w:rsidRPr="00F13A4D">
        <w:rPr>
          <w:lang w:val="fr-FR"/>
        </w:rPr>
        <w:t>.</w:t>
      </w:r>
    </w:p>
    <w:p w14:paraId="5104E7BB" w14:textId="3912EBC4" w:rsidR="00F13A4D" w:rsidRPr="00F13A4D" w:rsidRDefault="00F13A4D" w:rsidP="00456FC2">
      <w:pPr>
        <w:pStyle w:val="SingleTxt"/>
        <w:numPr>
          <w:ilvl w:val="0"/>
          <w:numId w:val="50"/>
        </w:numPr>
        <w:rPr>
          <w:lang w:val="fr-FR"/>
        </w:rPr>
      </w:pPr>
      <w:r w:rsidRPr="00F13A4D">
        <w:rPr>
          <w:lang w:val="fr-FR"/>
        </w:rPr>
        <w:t>Le secteur de l</w:t>
      </w:r>
      <w:r w:rsidR="00F1794C" w:rsidRPr="00F1794C">
        <w:rPr>
          <w:lang w:val="fr-FR"/>
        </w:rPr>
        <w:t>’</w:t>
      </w:r>
      <w:r w:rsidRPr="00F13A4D">
        <w:rPr>
          <w:lang w:val="fr-FR"/>
        </w:rPr>
        <w:t>enseignement supérieur et de la recherche scientifique a établi un plan stratégique et un plan d</w:t>
      </w:r>
      <w:r w:rsidR="00F1794C" w:rsidRPr="00F1794C">
        <w:rPr>
          <w:lang w:val="fr-FR"/>
        </w:rPr>
        <w:t>’</w:t>
      </w:r>
      <w:r w:rsidRPr="00F13A4D">
        <w:rPr>
          <w:lang w:val="fr-FR"/>
        </w:rPr>
        <w:t>action sectoriel pour la période 2017-2021 afin d</w:t>
      </w:r>
      <w:r w:rsidR="00F1794C" w:rsidRPr="00F1794C">
        <w:rPr>
          <w:lang w:val="fr-FR"/>
        </w:rPr>
        <w:t>’</w:t>
      </w:r>
      <w:r w:rsidRPr="00F13A4D">
        <w:rPr>
          <w:lang w:val="fr-FR"/>
        </w:rPr>
        <w:t>améliorer l</w:t>
      </w:r>
      <w:r w:rsidR="00F1794C" w:rsidRPr="00F1794C">
        <w:rPr>
          <w:lang w:val="fr-FR"/>
        </w:rPr>
        <w:t>’</w:t>
      </w:r>
      <w:r w:rsidRPr="00F13A4D">
        <w:rPr>
          <w:lang w:val="fr-FR"/>
        </w:rPr>
        <w:t>accès à l</w:t>
      </w:r>
      <w:r w:rsidR="00F1794C" w:rsidRPr="00F1794C">
        <w:rPr>
          <w:lang w:val="fr-FR"/>
        </w:rPr>
        <w:t>’</w:t>
      </w:r>
      <w:r w:rsidRPr="00F13A4D">
        <w:rPr>
          <w:lang w:val="fr-FR"/>
        </w:rPr>
        <w:t>enseignement supérieur en vue de garantir l</w:t>
      </w:r>
      <w:r w:rsidR="00F1794C" w:rsidRPr="00F1794C">
        <w:rPr>
          <w:lang w:val="fr-FR"/>
        </w:rPr>
        <w:t>’</w:t>
      </w:r>
      <w:r w:rsidRPr="00F13A4D">
        <w:rPr>
          <w:lang w:val="fr-FR"/>
        </w:rPr>
        <w:t>équité, l</w:t>
      </w:r>
      <w:r w:rsidR="00F1794C" w:rsidRPr="00F1794C">
        <w:rPr>
          <w:lang w:val="fr-FR"/>
        </w:rPr>
        <w:t>’</w:t>
      </w:r>
      <w:r w:rsidRPr="00F13A4D">
        <w:rPr>
          <w:lang w:val="fr-FR"/>
        </w:rPr>
        <w:t>égalité des chances et la continuité de l</w:t>
      </w:r>
      <w:r w:rsidR="00F1794C" w:rsidRPr="00F1794C">
        <w:rPr>
          <w:lang w:val="fr-FR"/>
        </w:rPr>
        <w:t>’</w:t>
      </w:r>
      <w:r w:rsidRPr="00F13A4D">
        <w:rPr>
          <w:lang w:val="fr-FR"/>
        </w:rPr>
        <w:t>instruction et d</w:t>
      </w:r>
      <w:r w:rsidR="00F1794C" w:rsidRPr="00F1794C">
        <w:rPr>
          <w:lang w:val="fr-FR"/>
        </w:rPr>
        <w:t>’</w:t>
      </w:r>
      <w:r w:rsidRPr="00F13A4D">
        <w:rPr>
          <w:lang w:val="fr-FR"/>
        </w:rPr>
        <w:t>améliorer la qualité de l</w:t>
      </w:r>
      <w:r w:rsidR="00F1794C" w:rsidRPr="00F1794C">
        <w:rPr>
          <w:lang w:val="fr-FR"/>
        </w:rPr>
        <w:t>’</w:t>
      </w:r>
      <w:r w:rsidRPr="00F13A4D">
        <w:rPr>
          <w:lang w:val="fr-FR"/>
        </w:rPr>
        <w:t>enseignement de façon à offrir plus de débouchés.</w:t>
      </w:r>
    </w:p>
    <w:p w14:paraId="443ACF1E" w14:textId="1402D616" w:rsidR="00F13A4D" w:rsidRPr="00F13A4D" w:rsidRDefault="00F13A4D" w:rsidP="00456FC2">
      <w:pPr>
        <w:pStyle w:val="SingleTxt"/>
        <w:numPr>
          <w:ilvl w:val="0"/>
          <w:numId w:val="50"/>
        </w:numPr>
        <w:rPr>
          <w:lang w:val="fr-FR"/>
        </w:rPr>
      </w:pPr>
      <w:r w:rsidRPr="00F13A4D">
        <w:rPr>
          <w:lang w:val="fr-FR"/>
        </w:rPr>
        <w:t>Le nombre d</w:t>
      </w:r>
      <w:r w:rsidR="00F1794C" w:rsidRPr="00F1794C">
        <w:rPr>
          <w:lang w:val="fr-FR"/>
        </w:rPr>
        <w:t>’</w:t>
      </w:r>
      <w:r w:rsidRPr="00F13A4D">
        <w:rPr>
          <w:lang w:val="fr-FR"/>
        </w:rPr>
        <w:t>étudiants bénéficiant de services sociaux qui leur sont destinés est passé de 285 153 en 2014-2015, dont 48,9</w:t>
      </w:r>
      <w:r w:rsidR="00F1794C" w:rsidRPr="00F1794C">
        <w:rPr>
          <w:lang w:val="fr-FR"/>
        </w:rPr>
        <w:t> %</w:t>
      </w:r>
      <w:r w:rsidRPr="00F13A4D">
        <w:rPr>
          <w:lang w:val="fr-FR"/>
        </w:rPr>
        <w:t xml:space="preserve"> d</w:t>
      </w:r>
      <w:r w:rsidR="00F1794C" w:rsidRPr="00F1794C">
        <w:rPr>
          <w:lang w:val="fr-FR"/>
        </w:rPr>
        <w:t>’</w:t>
      </w:r>
      <w:r w:rsidRPr="00F13A4D">
        <w:rPr>
          <w:lang w:val="fr-FR"/>
        </w:rPr>
        <w:t>étudiantes, à 381 833 en 2017-2018, dont 50,17</w:t>
      </w:r>
      <w:r w:rsidR="00F1794C" w:rsidRPr="00F1794C">
        <w:rPr>
          <w:lang w:val="fr-FR"/>
        </w:rPr>
        <w:t> %</w:t>
      </w:r>
      <w:r w:rsidRPr="00F13A4D">
        <w:rPr>
          <w:lang w:val="fr-FR"/>
        </w:rPr>
        <w:t xml:space="preserve"> d</w:t>
      </w:r>
      <w:r w:rsidR="00F1794C" w:rsidRPr="00F1794C">
        <w:rPr>
          <w:lang w:val="fr-FR"/>
        </w:rPr>
        <w:t>’</w:t>
      </w:r>
      <w:r w:rsidRPr="00F13A4D">
        <w:rPr>
          <w:lang w:val="fr-FR"/>
        </w:rPr>
        <w:t>étudiantes. À l</w:t>
      </w:r>
      <w:r w:rsidR="00F1794C" w:rsidRPr="00F1794C">
        <w:rPr>
          <w:lang w:val="fr-FR"/>
        </w:rPr>
        <w:t>’</w:t>
      </w:r>
      <w:r w:rsidRPr="00F13A4D">
        <w:rPr>
          <w:lang w:val="fr-FR"/>
        </w:rPr>
        <w:t>échelle nationale, 86</w:t>
      </w:r>
      <w:r w:rsidR="00F1794C" w:rsidRPr="00F1794C">
        <w:rPr>
          <w:lang w:val="fr-FR"/>
        </w:rPr>
        <w:t> %</w:t>
      </w:r>
      <w:r w:rsidRPr="00F13A4D">
        <w:rPr>
          <w:lang w:val="fr-FR"/>
        </w:rPr>
        <w:t xml:space="preserve"> des étudiantes ont bénéficié d</w:t>
      </w:r>
      <w:r w:rsidR="00F1794C" w:rsidRPr="00F1794C">
        <w:rPr>
          <w:lang w:val="fr-FR"/>
        </w:rPr>
        <w:t>’</w:t>
      </w:r>
      <w:r w:rsidRPr="00F13A4D">
        <w:rPr>
          <w:lang w:val="fr-FR"/>
        </w:rPr>
        <w:t>une bourse. Quatre nouvelles cités universitaires ont été construites durant la période 2015-2018. Il en existe actuellement 23. La capacité d</w:t>
      </w:r>
      <w:r w:rsidR="00F1794C" w:rsidRPr="00F1794C">
        <w:rPr>
          <w:lang w:val="fr-FR"/>
        </w:rPr>
        <w:t>’</w:t>
      </w:r>
      <w:r w:rsidRPr="00F13A4D">
        <w:rPr>
          <w:lang w:val="fr-FR"/>
        </w:rPr>
        <w:t>accueil des cités universitaires et des internats est passée de 49 135 lits en 2014-2015, dont 29 930 lits réservés aux étudiantes, à 54 263 lits en 2017-2018, dont 32 249 réservés aux étudiantes, soit une augmentation annuelle moyenne de 3,4</w:t>
      </w:r>
      <w:r w:rsidR="00F1794C" w:rsidRPr="00F1794C">
        <w:rPr>
          <w:lang w:val="fr-FR"/>
        </w:rPr>
        <w:t> %</w:t>
      </w:r>
      <w:r w:rsidRPr="00F13A4D">
        <w:rPr>
          <w:lang w:val="fr-FR"/>
        </w:rPr>
        <w:t>. Un régime d</w:t>
      </w:r>
      <w:r w:rsidR="00F1794C" w:rsidRPr="00F1794C">
        <w:rPr>
          <w:lang w:val="fr-FR"/>
        </w:rPr>
        <w:t>’</w:t>
      </w:r>
      <w:r w:rsidRPr="00F13A4D">
        <w:rPr>
          <w:lang w:val="fr-FR"/>
        </w:rPr>
        <w:t xml:space="preserve">assurance obligatoire de base destiné aux étudiants a été mis en place et sa gestion améliorée. Le nombre de bénéficiaires a augmenté. Fin 2018, 57 153 étudiants avaient adhéré au système de couverture santé. </w:t>
      </w:r>
    </w:p>
    <w:p w14:paraId="1F28981A" w14:textId="62686879" w:rsidR="00F13A4D" w:rsidRPr="00F13A4D" w:rsidRDefault="00F13A4D" w:rsidP="00456FC2">
      <w:pPr>
        <w:pStyle w:val="SingleTxt"/>
        <w:numPr>
          <w:ilvl w:val="0"/>
          <w:numId w:val="50"/>
        </w:numPr>
        <w:rPr>
          <w:lang w:val="fr-FR"/>
        </w:rPr>
      </w:pPr>
      <w:r w:rsidRPr="00F13A4D">
        <w:rPr>
          <w:lang w:val="fr-FR"/>
        </w:rPr>
        <w:t>Concernant l</w:t>
      </w:r>
      <w:r w:rsidR="00F1794C" w:rsidRPr="00F1794C">
        <w:rPr>
          <w:lang w:val="fr-FR"/>
        </w:rPr>
        <w:t>’</w:t>
      </w:r>
      <w:r w:rsidRPr="00F13A4D">
        <w:rPr>
          <w:lang w:val="fr-FR"/>
        </w:rPr>
        <w:t>éducation inclusive à l</w:t>
      </w:r>
      <w:r w:rsidR="00F1794C" w:rsidRPr="00F1794C">
        <w:rPr>
          <w:lang w:val="fr-FR"/>
        </w:rPr>
        <w:t>’</w:t>
      </w:r>
      <w:r w:rsidRPr="00F13A4D">
        <w:rPr>
          <w:lang w:val="fr-FR"/>
        </w:rPr>
        <w:t>intention des personnes en situation de handicap ou ayant des besoins particuliers, les mesures ci-après ont été prises</w:t>
      </w:r>
      <w:r w:rsidR="00F1794C" w:rsidRPr="00F1794C">
        <w:rPr>
          <w:lang w:val="fr-FR"/>
        </w:rPr>
        <w:t> :</w:t>
      </w:r>
    </w:p>
    <w:p w14:paraId="735FEDFE" w14:textId="1FC65AD8" w:rsidR="00F13A4D" w:rsidRPr="00F85844" w:rsidRDefault="00F85844" w:rsidP="00F85844">
      <w:pPr>
        <w:pStyle w:val="SingleTxt"/>
        <w:tabs>
          <w:tab w:val="right" w:pos="1685"/>
        </w:tabs>
        <w:ind w:left="1742" w:hanging="475"/>
        <w:rPr>
          <w:lang w:val="fr-FR"/>
        </w:rPr>
      </w:pPr>
      <w:r>
        <w:rPr>
          <w:lang w:val="fr-FR"/>
        </w:rPr>
        <w:tab/>
        <w:t>•</w:t>
      </w:r>
      <w:r>
        <w:rPr>
          <w:lang w:val="fr-FR"/>
        </w:rPr>
        <w:tab/>
      </w:r>
      <w:r w:rsidR="00F13A4D" w:rsidRPr="00F85844">
        <w:rPr>
          <w:lang w:val="fr-FR"/>
        </w:rPr>
        <w:t>Obligation de faire figurer dans le cahier des charges des projets de construction de nouveaux établissements des travaux d</w:t>
      </w:r>
      <w:r w:rsidR="00F1794C" w:rsidRPr="00F85844">
        <w:rPr>
          <w:lang w:val="fr-FR"/>
        </w:rPr>
        <w:t>’</w:t>
      </w:r>
      <w:r w:rsidR="00F13A4D" w:rsidRPr="00F85844">
        <w:rPr>
          <w:lang w:val="fr-FR"/>
        </w:rPr>
        <w:t>accessibilité et de rendre accessibles 40</w:t>
      </w:r>
      <w:r w:rsidR="00F1794C" w:rsidRPr="00F85844">
        <w:rPr>
          <w:lang w:val="fr-FR"/>
        </w:rPr>
        <w:t> %</w:t>
      </w:r>
      <w:r w:rsidR="00F13A4D" w:rsidRPr="00F85844">
        <w:rPr>
          <w:lang w:val="fr-FR"/>
        </w:rPr>
        <w:t xml:space="preserve"> des universités existantes</w:t>
      </w:r>
      <w:r w:rsidR="00F1794C" w:rsidRPr="00F85844">
        <w:rPr>
          <w:lang w:val="fr-FR"/>
        </w:rPr>
        <w:t> ;</w:t>
      </w:r>
      <w:r w:rsidR="00F13A4D" w:rsidRPr="00F85844">
        <w:rPr>
          <w:lang w:val="fr-FR"/>
        </w:rPr>
        <w:t xml:space="preserve"> </w:t>
      </w:r>
    </w:p>
    <w:p w14:paraId="423A0D3A" w14:textId="1797E0CB" w:rsidR="00F13A4D" w:rsidRPr="00F85844" w:rsidRDefault="00F85844" w:rsidP="00F85844">
      <w:pPr>
        <w:pStyle w:val="SingleTxt"/>
        <w:tabs>
          <w:tab w:val="right" w:pos="1685"/>
        </w:tabs>
        <w:ind w:left="1742" w:hanging="475"/>
        <w:rPr>
          <w:lang w:val="fr-FR"/>
        </w:rPr>
      </w:pPr>
      <w:r>
        <w:rPr>
          <w:lang w:val="fr-FR"/>
        </w:rPr>
        <w:tab/>
        <w:t>•</w:t>
      </w:r>
      <w:r>
        <w:rPr>
          <w:lang w:val="fr-FR"/>
        </w:rPr>
        <w:tab/>
      </w:r>
      <w:r w:rsidR="00F13A4D" w:rsidRPr="00F85844">
        <w:rPr>
          <w:lang w:val="fr-FR"/>
        </w:rPr>
        <w:t>Huit universités publiques ont été dotées de moyens et dispositifs facilitant l</w:t>
      </w:r>
      <w:r w:rsidR="00F1794C" w:rsidRPr="00F85844">
        <w:rPr>
          <w:lang w:val="fr-FR"/>
        </w:rPr>
        <w:t>’</w:t>
      </w:r>
      <w:r w:rsidR="00F13A4D" w:rsidRPr="00F85844">
        <w:rPr>
          <w:lang w:val="fr-FR"/>
        </w:rPr>
        <w:t>utilisation du système d</w:t>
      </w:r>
      <w:r w:rsidR="00F1794C" w:rsidRPr="00F85844">
        <w:rPr>
          <w:lang w:val="fr-FR"/>
        </w:rPr>
        <w:t>’</w:t>
      </w:r>
      <w:r w:rsidR="00F13A4D" w:rsidRPr="00F85844">
        <w:rPr>
          <w:lang w:val="fr-FR"/>
        </w:rPr>
        <w:t>écriture en braille dans le cadre d</w:t>
      </w:r>
      <w:r w:rsidR="00F1794C" w:rsidRPr="00F85844">
        <w:rPr>
          <w:lang w:val="fr-FR"/>
        </w:rPr>
        <w:t>’</w:t>
      </w:r>
      <w:r w:rsidR="00F13A4D" w:rsidRPr="00F85844">
        <w:rPr>
          <w:lang w:val="fr-FR"/>
        </w:rPr>
        <w:t>un partenariat avec l</w:t>
      </w:r>
      <w:r w:rsidR="00F1794C" w:rsidRPr="00F85844">
        <w:rPr>
          <w:lang w:val="fr-FR"/>
        </w:rPr>
        <w:t>’</w:t>
      </w:r>
      <w:r w:rsidR="00F13A4D" w:rsidRPr="00F85844">
        <w:rPr>
          <w:lang w:val="fr-FR"/>
        </w:rPr>
        <w:t>Union européenne (projet Tempus)</w:t>
      </w:r>
      <w:r w:rsidR="00F1794C" w:rsidRPr="00F85844">
        <w:rPr>
          <w:lang w:val="fr-FR"/>
        </w:rPr>
        <w:t> ;</w:t>
      </w:r>
    </w:p>
    <w:p w14:paraId="481A4FE6" w14:textId="38979ACC" w:rsidR="00F13A4D" w:rsidRPr="00F85844" w:rsidRDefault="00F85844" w:rsidP="00F85844">
      <w:pPr>
        <w:pStyle w:val="SingleTxt"/>
        <w:tabs>
          <w:tab w:val="right" w:pos="1685"/>
        </w:tabs>
        <w:ind w:left="1742" w:hanging="475"/>
        <w:rPr>
          <w:lang w:val="fr-FR"/>
        </w:rPr>
      </w:pPr>
      <w:r>
        <w:rPr>
          <w:lang w:val="fr-FR"/>
        </w:rPr>
        <w:tab/>
        <w:t>•</w:t>
      </w:r>
      <w:r>
        <w:rPr>
          <w:lang w:val="fr-FR"/>
        </w:rPr>
        <w:tab/>
      </w:r>
      <w:r w:rsidR="00F13A4D" w:rsidRPr="00F85844">
        <w:rPr>
          <w:lang w:val="fr-FR"/>
        </w:rPr>
        <w:t>Augmentation du nombre de programmes d</w:t>
      </w:r>
      <w:r w:rsidR="00F1794C" w:rsidRPr="00F85844">
        <w:rPr>
          <w:lang w:val="fr-FR"/>
        </w:rPr>
        <w:t>’</w:t>
      </w:r>
      <w:r w:rsidR="00F13A4D" w:rsidRPr="00F85844">
        <w:rPr>
          <w:lang w:val="fr-FR"/>
        </w:rPr>
        <w:t>éducation inclusive accrédités dans les universités publiques, passé de 7 à 14 durant la période 2015-2018</w:t>
      </w:r>
      <w:r w:rsidR="00F1794C" w:rsidRPr="00F85844">
        <w:rPr>
          <w:lang w:val="fr-FR"/>
        </w:rPr>
        <w:t> ;</w:t>
      </w:r>
    </w:p>
    <w:p w14:paraId="3477FEA0" w14:textId="2B1A4FCA" w:rsidR="00F13A4D" w:rsidRPr="00F85844" w:rsidRDefault="00F85844" w:rsidP="00F85844">
      <w:pPr>
        <w:pStyle w:val="SingleTxt"/>
        <w:tabs>
          <w:tab w:val="right" w:pos="1685"/>
        </w:tabs>
        <w:ind w:left="1742" w:hanging="475"/>
        <w:rPr>
          <w:lang w:val="fr-FR"/>
        </w:rPr>
      </w:pPr>
      <w:r>
        <w:rPr>
          <w:lang w:val="fr-FR"/>
        </w:rPr>
        <w:tab/>
        <w:t>•</w:t>
      </w:r>
      <w:r>
        <w:rPr>
          <w:lang w:val="fr-FR"/>
        </w:rPr>
        <w:tab/>
      </w:r>
      <w:r w:rsidR="00F13A4D" w:rsidRPr="00F85844">
        <w:rPr>
          <w:lang w:val="fr-FR"/>
        </w:rPr>
        <w:t>Institutionnalisation de l</w:t>
      </w:r>
      <w:r w:rsidR="00F1794C" w:rsidRPr="00F85844">
        <w:rPr>
          <w:lang w:val="fr-FR"/>
        </w:rPr>
        <w:t>’</w:t>
      </w:r>
      <w:r w:rsidR="00F13A4D" w:rsidRPr="00F85844">
        <w:rPr>
          <w:lang w:val="fr-FR"/>
        </w:rPr>
        <w:t xml:space="preserve">approche participative pour accompagner les étudiants en situation de handicap ou ayant des besoins particuliers. </w:t>
      </w:r>
    </w:p>
    <w:p w14:paraId="7A701251" w14:textId="170AE4B7" w:rsidR="00F13A4D" w:rsidRPr="00F13A4D" w:rsidRDefault="00F13A4D" w:rsidP="00456FC2">
      <w:pPr>
        <w:pStyle w:val="SingleTxt"/>
        <w:numPr>
          <w:ilvl w:val="0"/>
          <w:numId w:val="50"/>
        </w:numPr>
        <w:rPr>
          <w:lang w:val="fr-FR"/>
        </w:rPr>
      </w:pPr>
      <w:r w:rsidRPr="00F13A4D">
        <w:rPr>
          <w:lang w:val="fr-FR"/>
        </w:rPr>
        <w:t>Le taux d</w:t>
      </w:r>
      <w:r w:rsidR="00F1794C" w:rsidRPr="00F1794C">
        <w:rPr>
          <w:lang w:val="fr-FR"/>
        </w:rPr>
        <w:t>’</w:t>
      </w:r>
      <w:r w:rsidRPr="00F13A4D">
        <w:rPr>
          <w:lang w:val="fr-FR"/>
        </w:rPr>
        <w:t>inscription dans l</w:t>
      </w:r>
      <w:r w:rsidR="00F1794C" w:rsidRPr="00F1794C">
        <w:rPr>
          <w:lang w:val="fr-FR"/>
        </w:rPr>
        <w:t>’</w:t>
      </w:r>
      <w:r w:rsidRPr="00F13A4D">
        <w:rPr>
          <w:lang w:val="fr-FR"/>
        </w:rPr>
        <w:t>enseignement supérieur après le baccalauréat est passé de 28,8</w:t>
      </w:r>
      <w:r w:rsidR="00F1794C" w:rsidRPr="00F1794C">
        <w:rPr>
          <w:lang w:val="fr-FR"/>
        </w:rPr>
        <w:t> %</w:t>
      </w:r>
      <w:r w:rsidRPr="00F13A4D">
        <w:rPr>
          <w:lang w:val="fr-FR"/>
        </w:rPr>
        <w:t xml:space="preserve"> (27,5</w:t>
      </w:r>
      <w:r w:rsidR="00F1794C" w:rsidRPr="00F1794C">
        <w:rPr>
          <w:lang w:val="fr-FR"/>
        </w:rPr>
        <w:t> %</w:t>
      </w:r>
      <w:r w:rsidRPr="00F13A4D">
        <w:rPr>
          <w:lang w:val="fr-FR"/>
        </w:rPr>
        <w:t xml:space="preserve"> chez les filles) en 2014-2015 à 37,7</w:t>
      </w:r>
      <w:r w:rsidR="00F1794C" w:rsidRPr="00F1794C">
        <w:rPr>
          <w:lang w:val="fr-FR"/>
        </w:rPr>
        <w:t> %</w:t>
      </w:r>
      <w:r w:rsidRPr="00F13A4D">
        <w:rPr>
          <w:lang w:val="fr-FR"/>
        </w:rPr>
        <w:t xml:space="preserve"> (37,2</w:t>
      </w:r>
      <w:r w:rsidR="00F1794C" w:rsidRPr="00F1794C">
        <w:rPr>
          <w:lang w:val="fr-FR"/>
        </w:rPr>
        <w:t> %</w:t>
      </w:r>
      <w:r w:rsidRPr="00F13A4D">
        <w:rPr>
          <w:lang w:val="fr-FR"/>
        </w:rPr>
        <w:t xml:space="preserve"> chez les filles), soit une hausse de 9 points. Dans l</w:t>
      </w:r>
      <w:r w:rsidR="00F1794C" w:rsidRPr="00F1794C">
        <w:rPr>
          <w:lang w:val="fr-FR"/>
        </w:rPr>
        <w:t>’</w:t>
      </w:r>
      <w:r w:rsidRPr="00F13A4D">
        <w:rPr>
          <w:lang w:val="fr-FR"/>
        </w:rPr>
        <w:t>ensemble de l</w:t>
      </w:r>
      <w:r w:rsidR="00F1794C" w:rsidRPr="00F1794C">
        <w:rPr>
          <w:lang w:val="fr-FR"/>
        </w:rPr>
        <w:t>’</w:t>
      </w:r>
      <w:r w:rsidRPr="00F13A4D">
        <w:rPr>
          <w:lang w:val="fr-FR"/>
        </w:rPr>
        <w:t>enseignement supérieur, on dénombrait 221 768 nouveaux étudiants, dont 47,5</w:t>
      </w:r>
      <w:r w:rsidR="00F1794C" w:rsidRPr="00F1794C">
        <w:rPr>
          <w:lang w:val="fr-FR"/>
        </w:rPr>
        <w:t> %</w:t>
      </w:r>
      <w:r w:rsidRPr="00F13A4D">
        <w:rPr>
          <w:lang w:val="fr-FR"/>
        </w:rPr>
        <w:t xml:space="preserve"> de filles, en 2014-2015 et, 261 575, dont 51,7</w:t>
      </w:r>
      <w:r w:rsidR="00F1794C" w:rsidRPr="00F1794C">
        <w:rPr>
          <w:lang w:val="fr-FR"/>
        </w:rPr>
        <w:t> %</w:t>
      </w:r>
      <w:r w:rsidRPr="00F13A4D">
        <w:rPr>
          <w:lang w:val="fr-FR"/>
        </w:rPr>
        <w:t xml:space="preserve"> de filles, en 2018, ce qui représente une hausse annuelle </w:t>
      </w:r>
      <w:r w:rsidRPr="00F13A4D">
        <w:rPr>
          <w:lang w:val="fr-FR"/>
        </w:rPr>
        <w:lastRenderedPageBreak/>
        <w:t>moyenne de 42</w:t>
      </w:r>
      <w:r w:rsidR="00F1794C" w:rsidRPr="00F1794C">
        <w:rPr>
          <w:lang w:val="fr-FR"/>
        </w:rPr>
        <w:t> %</w:t>
      </w:r>
      <w:r w:rsidRPr="00F13A4D">
        <w:rPr>
          <w:lang w:val="fr-FR"/>
        </w:rPr>
        <w:t>. Le nombre total d</w:t>
      </w:r>
      <w:r w:rsidR="00F1794C" w:rsidRPr="00F1794C">
        <w:rPr>
          <w:lang w:val="fr-FR"/>
        </w:rPr>
        <w:t>’</w:t>
      </w:r>
      <w:r w:rsidRPr="00F13A4D">
        <w:rPr>
          <w:lang w:val="fr-FR"/>
        </w:rPr>
        <w:t>étudiants dans l</w:t>
      </w:r>
      <w:r w:rsidR="00F1794C" w:rsidRPr="00F1794C">
        <w:rPr>
          <w:lang w:val="fr-FR"/>
        </w:rPr>
        <w:t>’</w:t>
      </w:r>
      <w:r w:rsidRPr="00F13A4D">
        <w:rPr>
          <w:lang w:val="fr-FR"/>
        </w:rPr>
        <w:t>ensemble de l</w:t>
      </w:r>
      <w:r w:rsidR="00F1794C" w:rsidRPr="00F1794C">
        <w:rPr>
          <w:lang w:val="fr-FR"/>
        </w:rPr>
        <w:t>’</w:t>
      </w:r>
      <w:r w:rsidRPr="00F13A4D">
        <w:rPr>
          <w:lang w:val="fr-FR"/>
        </w:rPr>
        <w:t>enseignement supérieur est passé de 745 843, dont 48,1</w:t>
      </w:r>
      <w:r w:rsidR="00F1794C" w:rsidRPr="00F1794C">
        <w:rPr>
          <w:lang w:val="fr-FR"/>
        </w:rPr>
        <w:t> %</w:t>
      </w:r>
      <w:r w:rsidRPr="00F13A4D">
        <w:rPr>
          <w:lang w:val="fr-FR"/>
        </w:rPr>
        <w:t xml:space="preserve"> de filles, en 2014-2015 à 938 370, dont 49,9</w:t>
      </w:r>
      <w:r w:rsidR="00F1794C" w:rsidRPr="00F1794C">
        <w:rPr>
          <w:lang w:val="fr-FR"/>
        </w:rPr>
        <w:t> %</w:t>
      </w:r>
      <w:r w:rsidRPr="00F13A4D">
        <w:rPr>
          <w:lang w:val="fr-FR"/>
        </w:rPr>
        <w:t xml:space="preserve"> de filles, en 2018, soit une hausse annuelle moyenne de 5,9</w:t>
      </w:r>
      <w:r w:rsidR="00F1794C" w:rsidRPr="00F1794C">
        <w:rPr>
          <w:lang w:val="fr-FR"/>
        </w:rPr>
        <w:t> %</w:t>
      </w:r>
      <w:r w:rsidRPr="00F13A4D">
        <w:rPr>
          <w:lang w:val="fr-FR"/>
        </w:rPr>
        <w:t xml:space="preserve">. </w:t>
      </w:r>
    </w:p>
    <w:p w14:paraId="387BB798" w14:textId="4A79F29B" w:rsidR="00F13A4D" w:rsidRPr="00F13A4D" w:rsidRDefault="00F13A4D" w:rsidP="00456FC2">
      <w:pPr>
        <w:pStyle w:val="SingleTxt"/>
        <w:numPr>
          <w:ilvl w:val="0"/>
          <w:numId w:val="50"/>
        </w:numPr>
        <w:rPr>
          <w:lang w:val="fr-FR"/>
        </w:rPr>
      </w:pPr>
      <w:r w:rsidRPr="00F13A4D">
        <w:rPr>
          <w:lang w:val="fr-FR"/>
        </w:rPr>
        <w:t>Les femmes et les filles ont accès, sans discrimination, à la formation professionnelle offerte dans les secteurs public et privé. Elles représentaient 33</w:t>
      </w:r>
      <w:r w:rsidR="00F1794C" w:rsidRPr="00F1794C">
        <w:rPr>
          <w:lang w:val="fr-FR"/>
        </w:rPr>
        <w:t> %</w:t>
      </w:r>
      <w:r w:rsidRPr="00F13A4D">
        <w:rPr>
          <w:lang w:val="fr-FR"/>
        </w:rPr>
        <w:t xml:space="preserve"> des stagiaires en 2016-2017</w:t>
      </w:r>
      <w:r w:rsidRPr="00FA086B">
        <w:rPr>
          <w:vertAlign w:val="superscript"/>
          <w:lang w:val="fr-FR"/>
        </w:rPr>
        <w:footnoteReference w:id="76"/>
      </w:r>
      <w:r w:rsidRPr="00F13A4D">
        <w:rPr>
          <w:lang w:val="fr-FR"/>
        </w:rPr>
        <w:t xml:space="preserve"> et 50</w:t>
      </w:r>
      <w:r w:rsidR="00F1794C" w:rsidRPr="00F1794C">
        <w:rPr>
          <w:lang w:val="fr-FR"/>
        </w:rPr>
        <w:t> %</w:t>
      </w:r>
      <w:r w:rsidRPr="00F13A4D">
        <w:rPr>
          <w:lang w:val="fr-FR"/>
        </w:rPr>
        <w:t xml:space="preserve"> des apprentis</w:t>
      </w:r>
      <w:r w:rsidR="00F1794C" w:rsidRPr="00F1794C">
        <w:rPr>
          <w:lang w:val="fr-FR"/>
        </w:rPr>
        <w:t xml:space="preserve"> </w:t>
      </w:r>
      <w:r w:rsidRPr="00F13A4D">
        <w:rPr>
          <w:lang w:val="fr-FR"/>
        </w:rPr>
        <w:t>au cours de la même période, contre 17</w:t>
      </w:r>
      <w:r w:rsidR="00F1794C" w:rsidRPr="00F1794C">
        <w:rPr>
          <w:lang w:val="fr-FR"/>
        </w:rPr>
        <w:t> %</w:t>
      </w:r>
      <w:r w:rsidRPr="00F13A4D">
        <w:rPr>
          <w:lang w:val="fr-FR"/>
        </w:rPr>
        <w:t xml:space="preserve"> en 2005-2006. </w:t>
      </w:r>
    </w:p>
    <w:p w14:paraId="7D3F19F5" w14:textId="2BFAA745" w:rsidR="00F13A4D" w:rsidRPr="00F13A4D" w:rsidRDefault="00F13A4D" w:rsidP="00456FC2">
      <w:pPr>
        <w:pStyle w:val="SingleTxt"/>
        <w:numPr>
          <w:ilvl w:val="0"/>
          <w:numId w:val="50"/>
        </w:numPr>
        <w:rPr>
          <w:lang w:val="fr-FR"/>
        </w:rPr>
      </w:pPr>
      <w:r w:rsidRPr="00F13A4D">
        <w:rPr>
          <w:lang w:val="fr-FR"/>
        </w:rPr>
        <w:t>Le secteur de la jeunesse et des sports gérait 387 établissements réservés aux femmes en 2018 sur l</w:t>
      </w:r>
      <w:r w:rsidR="00F1794C" w:rsidRPr="00F1794C">
        <w:rPr>
          <w:lang w:val="fr-FR"/>
        </w:rPr>
        <w:t>’</w:t>
      </w:r>
      <w:r w:rsidRPr="00F13A4D">
        <w:rPr>
          <w:lang w:val="fr-FR"/>
        </w:rPr>
        <w:t xml:space="preserve">ensemble du territoire national, en milieu rural et urbain. </w:t>
      </w:r>
    </w:p>
    <w:p w14:paraId="78D3C0BD" w14:textId="6CA8D634" w:rsidR="00F13A4D" w:rsidRPr="00F13A4D" w:rsidRDefault="00F13A4D" w:rsidP="00456FC2">
      <w:pPr>
        <w:pStyle w:val="SingleTxt"/>
        <w:numPr>
          <w:ilvl w:val="0"/>
          <w:numId w:val="50"/>
        </w:numPr>
        <w:rPr>
          <w:lang w:val="fr-FR"/>
        </w:rPr>
      </w:pPr>
      <w:r w:rsidRPr="00F13A4D">
        <w:rPr>
          <w:lang w:val="fr-FR"/>
        </w:rPr>
        <w:t>Des partenariats ont été noués avec les entreprises pour l</w:t>
      </w:r>
      <w:r w:rsidR="00F1794C" w:rsidRPr="00F1794C">
        <w:rPr>
          <w:lang w:val="fr-FR"/>
        </w:rPr>
        <w:t>’</w:t>
      </w:r>
      <w:r w:rsidRPr="00F13A4D">
        <w:rPr>
          <w:lang w:val="fr-FR"/>
        </w:rPr>
        <w:t>insertion des diplômées. Ce secteur appuie les coopératives de femmes et les projets générateurs de revenus en matière de production et de services. C</w:t>
      </w:r>
      <w:r w:rsidR="00F1794C" w:rsidRPr="00F1794C">
        <w:rPr>
          <w:lang w:val="fr-FR"/>
        </w:rPr>
        <w:t>’</w:t>
      </w:r>
      <w:r w:rsidRPr="00F13A4D">
        <w:rPr>
          <w:lang w:val="fr-FR"/>
        </w:rPr>
        <w:t>est à cette fin que le projet d</w:t>
      </w:r>
      <w:r w:rsidR="00F1794C" w:rsidRPr="00F1794C">
        <w:rPr>
          <w:lang w:val="fr-FR"/>
        </w:rPr>
        <w:t>’</w:t>
      </w:r>
      <w:r w:rsidRPr="00F13A4D">
        <w:rPr>
          <w:lang w:val="fr-FR"/>
        </w:rPr>
        <w:t>accompagnement des coopératives a été lancé en 2013. Le secteur en question supervise 121 projets générateurs de revenus et coopératives par l</w:t>
      </w:r>
      <w:r w:rsidR="00F1794C" w:rsidRPr="00F1794C">
        <w:rPr>
          <w:lang w:val="fr-FR"/>
        </w:rPr>
        <w:t>’</w:t>
      </w:r>
      <w:r w:rsidRPr="00F13A4D">
        <w:rPr>
          <w:lang w:val="fr-FR"/>
        </w:rPr>
        <w:t xml:space="preserve">intermédiaire de 45 représentantes dans 77 entreprises dirigées par des femmes (55 en milieu urbain et 22 en milieu rural). </w:t>
      </w:r>
    </w:p>
    <w:p w14:paraId="6E9612DC" w14:textId="1C04EA39" w:rsidR="00F13A4D" w:rsidRPr="00F13A4D" w:rsidRDefault="00F13A4D" w:rsidP="00456FC2">
      <w:pPr>
        <w:pStyle w:val="SingleTxt"/>
        <w:numPr>
          <w:ilvl w:val="0"/>
          <w:numId w:val="50"/>
        </w:numPr>
        <w:rPr>
          <w:lang w:val="fr-FR"/>
        </w:rPr>
      </w:pPr>
      <w:r w:rsidRPr="00F13A4D">
        <w:rPr>
          <w:lang w:val="fr-FR"/>
        </w:rPr>
        <w:t>En ce qui concerne l</w:t>
      </w:r>
      <w:r w:rsidR="00F1794C" w:rsidRPr="00F1794C">
        <w:rPr>
          <w:lang w:val="fr-FR"/>
        </w:rPr>
        <w:t>’</w:t>
      </w:r>
      <w:r w:rsidRPr="00F13A4D">
        <w:rPr>
          <w:lang w:val="fr-FR"/>
        </w:rPr>
        <w:t>égalité dans l</w:t>
      </w:r>
      <w:r w:rsidR="00F1794C" w:rsidRPr="00F1794C">
        <w:rPr>
          <w:lang w:val="fr-FR"/>
        </w:rPr>
        <w:t>’</w:t>
      </w:r>
      <w:r w:rsidRPr="00F13A4D">
        <w:rPr>
          <w:lang w:val="fr-FR"/>
        </w:rPr>
        <w:t>éducation et l</w:t>
      </w:r>
      <w:r w:rsidR="00F1794C" w:rsidRPr="00F1794C">
        <w:rPr>
          <w:lang w:val="fr-FR"/>
        </w:rPr>
        <w:t>’</w:t>
      </w:r>
      <w:r w:rsidRPr="00F13A4D">
        <w:rPr>
          <w:lang w:val="fr-FR"/>
        </w:rPr>
        <w:t>enseignement, le secteur concerné a mis en place plusieurs programmes relatifs à l</w:t>
      </w:r>
      <w:r w:rsidR="00F1794C" w:rsidRPr="00F1794C">
        <w:rPr>
          <w:lang w:val="fr-FR"/>
        </w:rPr>
        <w:t>’</w:t>
      </w:r>
      <w:r w:rsidRPr="00F13A4D">
        <w:rPr>
          <w:lang w:val="fr-FR"/>
        </w:rPr>
        <w:t>enfance, comme suit</w:t>
      </w:r>
      <w:r w:rsidR="00F1794C" w:rsidRPr="00F1794C">
        <w:rPr>
          <w:lang w:val="fr-FR"/>
        </w:rPr>
        <w:t> :</w:t>
      </w:r>
      <w:r w:rsidRPr="00F13A4D">
        <w:rPr>
          <w:lang w:val="fr-FR"/>
        </w:rPr>
        <w:t xml:space="preserve"> </w:t>
      </w:r>
    </w:p>
    <w:p w14:paraId="0E5E7A09" w14:textId="4BA61237" w:rsidR="00F13A4D" w:rsidRPr="00975DAD" w:rsidRDefault="00975DAD" w:rsidP="00975DAD">
      <w:pPr>
        <w:pStyle w:val="SingleTxt"/>
        <w:tabs>
          <w:tab w:val="right" w:pos="1685"/>
        </w:tabs>
        <w:ind w:left="1742" w:hanging="475"/>
        <w:rPr>
          <w:lang w:val="fr-FR"/>
        </w:rPr>
      </w:pPr>
      <w:r>
        <w:rPr>
          <w:lang w:val="fr-FR"/>
        </w:rPr>
        <w:tab/>
        <w:t>•</w:t>
      </w:r>
      <w:r>
        <w:rPr>
          <w:lang w:val="fr-FR"/>
        </w:rPr>
        <w:tab/>
      </w:r>
      <w:r w:rsidR="00F13A4D" w:rsidRPr="00975DAD">
        <w:rPr>
          <w:lang w:val="fr-FR"/>
        </w:rPr>
        <w:t>Crèches</w:t>
      </w:r>
      <w:r w:rsidR="00F1794C" w:rsidRPr="00975DAD">
        <w:rPr>
          <w:lang w:val="fr-FR"/>
        </w:rPr>
        <w:t> :</w:t>
      </w:r>
      <w:r w:rsidR="00F13A4D" w:rsidRPr="00975DAD">
        <w:rPr>
          <w:lang w:val="fr-FR"/>
        </w:rPr>
        <w:t xml:space="preserve"> 138 en milieu urbain et 46 en milieu rural qui accueillent 2 841 bénéficiaires des deux sexes</w:t>
      </w:r>
      <w:r w:rsidR="00F1794C" w:rsidRPr="00975DAD">
        <w:rPr>
          <w:lang w:val="fr-FR"/>
        </w:rPr>
        <w:t> ;</w:t>
      </w:r>
    </w:p>
    <w:p w14:paraId="597C6556" w14:textId="3D15A172" w:rsidR="00F13A4D" w:rsidRPr="00975DAD" w:rsidRDefault="00975DAD" w:rsidP="00975DAD">
      <w:pPr>
        <w:pStyle w:val="SingleTxt"/>
        <w:tabs>
          <w:tab w:val="right" w:pos="1685"/>
        </w:tabs>
        <w:ind w:left="1742" w:hanging="475"/>
        <w:rPr>
          <w:lang w:val="fr-FR"/>
        </w:rPr>
      </w:pPr>
      <w:r>
        <w:rPr>
          <w:lang w:val="fr-FR"/>
        </w:rPr>
        <w:tab/>
        <w:t>•</w:t>
      </w:r>
      <w:r>
        <w:rPr>
          <w:lang w:val="fr-FR"/>
        </w:rPr>
        <w:tab/>
      </w:r>
      <w:r w:rsidR="00F13A4D" w:rsidRPr="00975DAD">
        <w:rPr>
          <w:lang w:val="fr-FR"/>
        </w:rPr>
        <w:t>Jardins d</w:t>
      </w:r>
      <w:r w:rsidR="00F1794C" w:rsidRPr="00975DAD">
        <w:rPr>
          <w:lang w:val="fr-FR"/>
        </w:rPr>
        <w:t>’</w:t>
      </w:r>
      <w:r w:rsidR="00F13A4D" w:rsidRPr="00975DAD">
        <w:rPr>
          <w:lang w:val="fr-FR"/>
        </w:rPr>
        <w:t>enfants</w:t>
      </w:r>
      <w:r w:rsidR="00F1794C" w:rsidRPr="00975DAD">
        <w:rPr>
          <w:lang w:val="fr-FR"/>
        </w:rPr>
        <w:t> :</w:t>
      </w:r>
      <w:r w:rsidR="00F13A4D" w:rsidRPr="00975DAD">
        <w:rPr>
          <w:lang w:val="fr-FR"/>
        </w:rPr>
        <w:t xml:space="preserve"> proposent des activités fixes et des activités de rayonnement dont ont bénéficié 61 676 enfants, dont 31 353 filles, en milieu rural et urbain</w:t>
      </w:r>
      <w:r w:rsidR="00F1794C" w:rsidRPr="00975DAD">
        <w:rPr>
          <w:lang w:val="fr-FR"/>
        </w:rPr>
        <w:t> ;</w:t>
      </w:r>
      <w:r w:rsidR="00F13A4D" w:rsidRPr="00975DAD">
        <w:rPr>
          <w:lang w:val="fr-FR"/>
        </w:rPr>
        <w:t xml:space="preserve"> </w:t>
      </w:r>
    </w:p>
    <w:p w14:paraId="14488BAE" w14:textId="01DF679D" w:rsidR="00F13A4D" w:rsidRPr="00975DAD" w:rsidRDefault="00975DAD" w:rsidP="00975DAD">
      <w:pPr>
        <w:pStyle w:val="SingleTxt"/>
        <w:tabs>
          <w:tab w:val="right" w:pos="1685"/>
        </w:tabs>
        <w:ind w:left="1742" w:hanging="475"/>
        <w:rPr>
          <w:lang w:val="fr-FR"/>
        </w:rPr>
      </w:pPr>
      <w:r>
        <w:rPr>
          <w:lang w:val="fr-FR"/>
        </w:rPr>
        <w:tab/>
        <w:t>•</w:t>
      </w:r>
      <w:r>
        <w:rPr>
          <w:lang w:val="fr-FR"/>
        </w:rPr>
        <w:tab/>
      </w:r>
      <w:r w:rsidR="00F13A4D" w:rsidRPr="00975DAD">
        <w:rPr>
          <w:lang w:val="fr-FR"/>
        </w:rPr>
        <w:t>Classes intégrées</w:t>
      </w:r>
      <w:r w:rsidR="00F1794C" w:rsidRPr="00975DAD">
        <w:rPr>
          <w:lang w:val="fr-FR"/>
        </w:rPr>
        <w:t> :</w:t>
      </w:r>
      <w:r w:rsidR="00F13A4D" w:rsidRPr="00975DAD">
        <w:rPr>
          <w:lang w:val="fr-FR"/>
        </w:rPr>
        <w:t xml:space="preserve"> accueillent les enfants en situation de handicap</w:t>
      </w:r>
      <w:r w:rsidR="00F1794C" w:rsidRPr="00975DAD">
        <w:rPr>
          <w:lang w:val="fr-FR"/>
        </w:rPr>
        <w:t> ;</w:t>
      </w:r>
      <w:r w:rsidR="00F13A4D" w:rsidRPr="00975DAD">
        <w:rPr>
          <w:lang w:val="fr-FR"/>
        </w:rPr>
        <w:t xml:space="preserve"> le projet pilote a été mené par 27 directions régionales durant l</w:t>
      </w:r>
      <w:r w:rsidR="00F1794C" w:rsidRPr="00975DAD">
        <w:rPr>
          <w:lang w:val="fr-FR"/>
        </w:rPr>
        <w:t>’</w:t>
      </w:r>
      <w:r w:rsidR="00F13A4D" w:rsidRPr="00975DAD">
        <w:rPr>
          <w:lang w:val="fr-FR"/>
        </w:rPr>
        <w:t xml:space="preserve">année scolaire 2018-2019 et a concerné 45 établissements qui ont intégré 79 enfants, dont 28 filles. </w:t>
      </w:r>
    </w:p>
    <w:p w14:paraId="3E235A38" w14:textId="048D61A7" w:rsidR="00F13A4D" w:rsidRPr="00F13A4D" w:rsidRDefault="00F13A4D" w:rsidP="00456FC2">
      <w:pPr>
        <w:pStyle w:val="SingleTxt"/>
        <w:numPr>
          <w:ilvl w:val="0"/>
          <w:numId w:val="50"/>
        </w:numPr>
        <w:rPr>
          <w:lang w:val="fr-FR"/>
        </w:rPr>
      </w:pPr>
      <w:r w:rsidRPr="00F13A4D">
        <w:rPr>
          <w:lang w:val="fr-FR"/>
        </w:rPr>
        <w:t>En ce qui concerne les programmes destinés à la jeunesse, 3 149 887 jeunes hommes et 1 926 890 jeunes femmes ont bénéficié d</w:t>
      </w:r>
      <w:r w:rsidR="00F1794C" w:rsidRPr="00F1794C">
        <w:rPr>
          <w:lang w:val="fr-FR"/>
        </w:rPr>
        <w:t>’</w:t>
      </w:r>
      <w:r w:rsidRPr="00F13A4D">
        <w:rPr>
          <w:lang w:val="fr-FR"/>
        </w:rPr>
        <w:t>activités organisées à leur intention. De plus, 4 406 516 jeunes hommes et 2 965 002 jeunes femmes ont bénéficié d</w:t>
      </w:r>
      <w:r w:rsidR="00F1794C" w:rsidRPr="00F1794C">
        <w:rPr>
          <w:lang w:val="fr-FR"/>
        </w:rPr>
        <w:t>’</w:t>
      </w:r>
      <w:r w:rsidRPr="00F13A4D">
        <w:rPr>
          <w:lang w:val="fr-FR"/>
        </w:rPr>
        <w:t xml:space="preserve">activités de rayonnement. </w:t>
      </w:r>
    </w:p>
    <w:p w14:paraId="6D48DF2C" w14:textId="641953CF" w:rsidR="00F13A4D" w:rsidRPr="00F13A4D" w:rsidRDefault="00F13A4D" w:rsidP="00456FC2">
      <w:pPr>
        <w:pStyle w:val="SingleTxt"/>
        <w:numPr>
          <w:ilvl w:val="0"/>
          <w:numId w:val="50"/>
        </w:numPr>
        <w:rPr>
          <w:lang w:val="fr-FR"/>
        </w:rPr>
      </w:pPr>
      <w:r w:rsidRPr="00F13A4D">
        <w:rPr>
          <w:lang w:val="fr-FR"/>
        </w:rPr>
        <w:t>Le programme sportif pour femmes propose un ensemble d</w:t>
      </w:r>
      <w:r w:rsidR="00F1794C" w:rsidRPr="00F1794C">
        <w:rPr>
          <w:lang w:val="fr-FR"/>
        </w:rPr>
        <w:t>’</w:t>
      </w:r>
      <w:r w:rsidRPr="00F13A4D">
        <w:rPr>
          <w:lang w:val="fr-FR"/>
        </w:rPr>
        <w:t>activités visant à encourager les femmes à faire du sport, en particulier dans le monde rural. Des associations ont été créées dans toutes les villes et des activités sportives réservées aux femmes ont été organisées ainsi que des cours de sensibilisation sur l</w:t>
      </w:r>
      <w:r w:rsidR="00F1794C" w:rsidRPr="00F1794C">
        <w:rPr>
          <w:lang w:val="fr-FR"/>
        </w:rPr>
        <w:t>’</w:t>
      </w:r>
      <w:r w:rsidRPr="00F13A4D">
        <w:rPr>
          <w:lang w:val="fr-FR"/>
        </w:rPr>
        <w:t>importance de la pratique sportive et des sessions de formation à l</w:t>
      </w:r>
      <w:r w:rsidR="00F1794C" w:rsidRPr="00F1794C">
        <w:rPr>
          <w:lang w:val="fr-FR"/>
        </w:rPr>
        <w:t>’</w:t>
      </w:r>
      <w:r w:rsidRPr="00F13A4D">
        <w:rPr>
          <w:lang w:val="fr-FR"/>
        </w:rPr>
        <w:t xml:space="preserve">intention des porteuses de projets. Quatre fédérations sportives sont présidées par des femmes et quatre autres comptent des vice-présidentes. </w:t>
      </w:r>
    </w:p>
    <w:p w14:paraId="1FA68A1B" w14:textId="7D2EA5C1" w:rsidR="00F13A4D" w:rsidRPr="00F13A4D" w:rsidRDefault="00F13A4D" w:rsidP="00456FC2">
      <w:pPr>
        <w:pStyle w:val="SingleTxt"/>
        <w:numPr>
          <w:ilvl w:val="0"/>
          <w:numId w:val="50"/>
        </w:numPr>
        <w:rPr>
          <w:lang w:val="fr-FR"/>
        </w:rPr>
      </w:pPr>
      <w:r w:rsidRPr="00F13A4D">
        <w:rPr>
          <w:lang w:val="fr-FR"/>
        </w:rPr>
        <w:t>Le secteur compétent s</w:t>
      </w:r>
      <w:r w:rsidR="00F1794C" w:rsidRPr="00F1794C">
        <w:rPr>
          <w:lang w:val="fr-FR"/>
        </w:rPr>
        <w:t>’</w:t>
      </w:r>
      <w:r w:rsidRPr="00F13A4D">
        <w:rPr>
          <w:lang w:val="fr-FR"/>
        </w:rPr>
        <w:t>est employé, dans le cadre des programmes et stratégies touristiques, à intégrer les filles dans les établissements de formation hôtelière et touristique et à mettre en place des programmes d</w:t>
      </w:r>
      <w:r w:rsidR="00F1794C" w:rsidRPr="00F1794C">
        <w:rPr>
          <w:lang w:val="fr-FR"/>
        </w:rPr>
        <w:t>’</w:t>
      </w:r>
      <w:r w:rsidRPr="00F13A4D">
        <w:rPr>
          <w:lang w:val="fr-FR"/>
        </w:rPr>
        <w:t>enseignement appropriés</w:t>
      </w:r>
      <w:r w:rsidR="00F1794C" w:rsidRPr="00F1794C">
        <w:rPr>
          <w:lang w:val="fr-FR"/>
        </w:rPr>
        <w:t> ;</w:t>
      </w:r>
      <w:r w:rsidRPr="00F13A4D">
        <w:rPr>
          <w:lang w:val="fr-FR"/>
        </w:rPr>
        <w:t xml:space="preserve"> 143 étudiantes ont suivi une formation supérieure, 642 une formation de base et 223 un apprentissage. </w:t>
      </w:r>
    </w:p>
    <w:p w14:paraId="530CEFAB" w14:textId="66348490" w:rsidR="00F13A4D" w:rsidRPr="00F13A4D" w:rsidRDefault="00F13A4D" w:rsidP="00456FC2">
      <w:pPr>
        <w:pStyle w:val="SingleTxt"/>
        <w:numPr>
          <w:ilvl w:val="0"/>
          <w:numId w:val="50"/>
        </w:numPr>
        <w:rPr>
          <w:lang w:val="fr-FR"/>
        </w:rPr>
      </w:pPr>
      <w:r w:rsidRPr="00F13A4D">
        <w:rPr>
          <w:lang w:val="fr-FR"/>
        </w:rPr>
        <w:t>En ce qui concerne la formation professionnelle agricole, les filles représentaient 27,1</w:t>
      </w:r>
      <w:r w:rsidR="00F1794C" w:rsidRPr="00F1794C">
        <w:rPr>
          <w:lang w:val="fr-FR"/>
        </w:rPr>
        <w:t> %</w:t>
      </w:r>
      <w:r w:rsidRPr="00F13A4D">
        <w:rPr>
          <w:lang w:val="fr-FR"/>
        </w:rPr>
        <w:t xml:space="preserve"> de l</w:t>
      </w:r>
      <w:r w:rsidR="00F1794C" w:rsidRPr="00F1794C">
        <w:rPr>
          <w:lang w:val="fr-FR"/>
        </w:rPr>
        <w:t>’</w:t>
      </w:r>
      <w:r w:rsidRPr="00F13A4D">
        <w:rPr>
          <w:lang w:val="fr-FR"/>
        </w:rPr>
        <w:t xml:space="preserve">ensemble des diplômés (589 sur 2 174) en 2017-2018. Pour ce qui est de la formation professionnelle, 542 filles rurales ont suivi un </w:t>
      </w:r>
      <w:r w:rsidRPr="00F13A4D">
        <w:rPr>
          <w:lang w:val="fr-FR"/>
        </w:rPr>
        <w:lastRenderedPageBreak/>
        <w:t>apprentissage, sur un total de 2 519 apprentis, soit 21,5</w:t>
      </w:r>
      <w:r w:rsidR="00F1794C" w:rsidRPr="00F1794C">
        <w:rPr>
          <w:lang w:val="fr-FR"/>
        </w:rPr>
        <w:t> %</w:t>
      </w:r>
      <w:r w:rsidRPr="00F13A4D">
        <w:rPr>
          <w:lang w:val="fr-FR"/>
        </w:rPr>
        <w:t>. S</w:t>
      </w:r>
      <w:r w:rsidR="00F1794C" w:rsidRPr="00F1794C">
        <w:rPr>
          <w:lang w:val="fr-FR"/>
        </w:rPr>
        <w:t>’</w:t>
      </w:r>
      <w:r w:rsidRPr="00F13A4D">
        <w:rPr>
          <w:lang w:val="fr-FR"/>
        </w:rPr>
        <w:t>agissant de l</w:t>
      </w:r>
      <w:r w:rsidR="00F1794C" w:rsidRPr="00F1794C">
        <w:rPr>
          <w:lang w:val="fr-FR"/>
        </w:rPr>
        <w:t>’</w:t>
      </w:r>
      <w:r w:rsidRPr="00F13A4D">
        <w:rPr>
          <w:lang w:val="fr-FR"/>
        </w:rPr>
        <w:t>enseignement supérieur, les filles représentaient 23,8</w:t>
      </w:r>
      <w:r w:rsidR="00F1794C" w:rsidRPr="00F1794C">
        <w:rPr>
          <w:lang w:val="fr-FR"/>
        </w:rPr>
        <w:t> %</w:t>
      </w:r>
      <w:r w:rsidRPr="00F13A4D">
        <w:rPr>
          <w:lang w:val="fr-FR"/>
        </w:rPr>
        <w:t xml:space="preserve"> des diplômés (105 sur 440). </w:t>
      </w:r>
    </w:p>
    <w:p w14:paraId="159DE3B1" w14:textId="77777777" w:rsidR="00975DAD" w:rsidRPr="00975DAD" w:rsidRDefault="00975DAD" w:rsidP="00975DAD">
      <w:pPr>
        <w:pStyle w:val="SingleTxt"/>
        <w:spacing w:after="0" w:line="120" w:lineRule="exact"/>
        <w:rPr>
          <w:b/>
          <w:sz w:val="10"/>
          <w:lang w:val="fr-FR"/>
        </w:rPr>
      </w:pPr>
    </w:p>
    <w:p w14:paraId="3253665D" w14:textId="3568262F" w:rsidR="00F13A4D" w:rsidRPr="00F13A4D" w:rsidRDefault="00975DAD" w:rsidP="00975D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F13A4D" w:rsidRPr="00F13A4D">
        <w:rPr>
          <w:lang w:val="fr-FR"/>
        </w:rPr>
        <w:t>Article 11</w:t>
      </w:r>
    </w:p>
    <w:p w14:paraId="448ABF33" w14:textId="778DB169" w:rsidR="00F13A4D" w:rsidRPr="00975DAD" w:rsidRDefault="00F13A4D" w:rsidP="00975DAD">
      <w:pPr>
        <w:pStyle w:val="SingleTxt"/>
        <w:spacing w:after="0" w:line="120" w:lineRule="exact"/>
        <w:rPr>
          <w:sz w:val="10"/>
          <w:lang w:val="fr-FR"/>
        </w:rPr>
      </w:pPr>
    </w:p>
    <w:p w14:paraId="19D5D0F6" w14:textId="66DA8ED1" w:rsidR="00F13A4D" w:rsidRPr="00F13A4D" w:rsidRDefault="00F13A4D" w:rsidP="00456FC2">
      <w:pPr>
        <w:pStyle w:val="SingleTxt"/>
        <w:numPr>
          <w:ilvl w:val="0"/>
          <w:numId w:val="50"/>
        </w:numPr>
        <w:rPr>
          <w:lang w:val="fr-FR"/>
        </w:rPr>
      </w:pPr>
      <w:r w:rsidRPr="00F13A4D">
        <w:rPr>
          <w:lang w:val="fr-FR"/>
        </w:rPr>
        <w:t xml:space="preserve"> Aux termes de l</w:t>
      </w:r>
      <w:r w:rsidR="00F1794C" w:rsidRPr="00F1794C">
        <w:rPr>
          <w:lang w:val="fr-FR"/>
        </w:rPr>
        <w:t>’</w:t>
      </w:r>
      <w:r w:rsidRPr="00F13A4D">
        <w:rPr>
          <w:lang w:val="fr-FR"/>
        </w:rPr>
        <w:t>article 31 de la Constitution, l</w:t>
      </w:r>
      <w:r w:rsidR="00F1794C" w:rsidRPr="00F1794C">
        <w:rPr>
          <w:lang w:val="fr-FR"/>
        </w:rPr>
        <w:t>’</w:t>
      </w:r>
      <w:r w:rsidRPr="00F13A4D">
        <w:rPr>
          <w:lang w:val="fr-FR"/>
        </w:rPr>
        <w:t>État, les établissements publics et les collectivités territoriales œuvrent à la mobilisation de tous les moyens à disposition pour faciliter l</w:t>
      </w:r>
      <w:r w:rsidR="00F1794C" w:rsidRPr="00F1794C">
        <w:rPr>
          <w:lang w:val="fr-FR"/>
        </w:rPr>
        <w:t>’</w:t>
      </w:r>
      <w:r w:rsidRPr="00F13A4D">
        <w:rPr>
          <w:lang w:val="fr-FR"/>
        </w:rPr>
        <w:t>égal accès des citoyennes et des citoyens aux conditions leur permettant de jouir des droits au travail et à l</w:t>
      </w:r>
      <w:r w:rsidR="00F1794C" w:rsidRPr="00F1794C">
        <w:rPr>
          <w:lang w:val="fr-FR"/>
        </w:rPr>
        <w:t>’</w:t>
      </w:r>
      <w:r w:rsidRPr="00F13A4D">
        <w:rPr>
          <w:lang w:val="fr-FR"/>
        </w:rPr>
        <w:t>appui des pouvoirs publics en matière de recherche d</w:t>
      </w:r>
      <w:r w:rsidR="00F1794C" w:rsidRPr="00F1794C">
        <w:rPr>
          <w:lang w:val="fr-FR"/>
        </w:rPr>
        <w:t>’</w:t>
      </w:r>
      <w:r w:rsidRPr="00F13A4D">
        <w:rPr>
          <w:lang w:val="fr-FR"/>
        </w:rPr>
        <w:t>emploi ou d</w:t>
      </w:r>
      <w:r w:rsidR="00F1794C" w:rsidRPr="00F1794C">
        <w:rPr>
          <w:lang w:val="fr-FR"/>
        </w:rPr>
        <w:t>’</w:t>
      </w:r>
      <w:r w:rsidRPr="00F13A4D">
        <w:rPr>
          <w:lang w:val="fr-FR"/>
        </w:rPr>
        <w:t>auto-emploi</w:t>
      </w:r>
      <w:r w:rsidR="00F1794C" w:rsidRPr="00F1794C">
        <w:rPr>
          <w:lang w:val="fr-FR"/>
        </w:rPr>
        <w:t> ;</w:t>
      </w:r>
      <w:r w:rsidRPr="00F13A4D">
        <w:rPr>
          <w:lang w:val="fr-FR"/>
        </w:rPr>
        <w:t xml:space="preserve"> à la protection sociale, à la couverture médicale et à la solidarité mutualiste ou organisée par l</w:t>
      </w:r>
      <w:r w:rsidR="00F1794C" w:rsidRPr="00F1794C">
        <w:rPr>
          <w:lang w:val="fr-FR"/>
        </w:rPr>
        <w:t>’</w:t>
      </w:r>
      <w:r w:rsidRPr="00F13A4D">
        <w:rPr>
          <w:lang w:val="fr-FR"/>
        </w:rPr>
        <w:t>État</w:t>
      </w:r>
      <w:r w:rsidR="00F1794C" w:rsidRPr="00F1794C">
        <w:rPr>
          <w:lang w:val="fr-FR"/>
        </w:rPr>
        <w:t> ;</w:t>
      </w:r>
      <w:r w:rsidRPr="00F13A4D">
        <w:rPr>
          <w:lang w:val="fr-FR"/>
        </w:rPr>
        <w:t xml:space="preserve"> à la formation professionnelle et à l</w:t>
      </w:r>
      <w:r w:rsidR="00F1794C" w:rsidRPr="00F1794C">
        <w:rPr>
          <w:lang w:val="fr-FR"/>
        </w:rPr>
        <w:t>’</w:t>
      </w:r>
      <w:r w:rsidRPr="00F13A4D">
        <w:rPr>
          <w:lang w:val="fr-FR"/>
        </w:rPr>
        <w:t>éducation physique et artistique</w:t>
      </w:r>
      <w:r w:rsidRPr="00FA086B">
        <w:rPr>
          <w:vertAlign w:val="superscript"/>
          <w:lang w:val="fr-FR"/>
        </w:rPr>
        <w:footnoteReference w:id="77"/>
      </w:r>
      <w:r w:rsidRPr="00F13A4D">
        <w:rPr>
          <w:lang w:val="fr-FR"/>
        </w:rPr>
        <w:t>.</w:t>
      </w:r>
    </w:p>
    <w:p w14:paraId="3ABE2125" w14:textId="0CA605DC" w:rsidR="00F13A4D" w:rsidRPr="00F13A4D" w:rsidRDefault="00F13A4D" w:rsidP="00456FC2">
      <w:pPr>
        <w:pStyle w:val="SingleTxt"/>
        <w:numPr>
          <w:ilvl w:val="0"/>
          <w:numId w:val="50"/>
        </w:numPr>
        <w:rPr>
          <w:lang w:val="fr-FR"/>
        </w:rPr>
      </w:pPr>
      <w:r w:rsidRPr="00F13A4D">
        <w:rPr>
          <w:lang w:val="fr-FR"/>
        </w:rPr>
        <w:t>Dans le cadre des réformes législatives et institutionnelles, des dispositions visant à lutter contre la discrimination à l</w:t>
      </w:r>
      <w:r w:rsidR="00F1794C" w:rsidRPr="00F1794C">
        <w:rPr>
          <w:lang w:val="fr-FR"/>
        </w:rPr>
        <w:t>’</w:t>
      </w:r>
      <w:r w:rsidRPr="00F13A4D">
        <w:rPr>
          <w:lang w:val="fr-FR"/>
        </w:rPr>
        <w:t>égard des femmes en matière d</w:t>
      </w:r>
      <w:r w:rsidR="00F1794C" w:rsidRPr="00F1794C">
        <w:rPr>
          <w:lang w:val="fr-FR"/>
        </w:rPr>
        <w:t>’</w:t>
      </w:r>
      <w:r w:rsidRPr="00F13A4D">
        <w:rPr>
          <w:lang w:val="fr-FR"/>
        </w:rPr>
        <w:t>emploi et de profession ont été adoptées. Pour la première fois, le principe de non-discrimination fondée sur le sexe a été consacré par le Code du travail</w:t>
      </w:r>
      <w:r w:rsidRPr="00FA086B">
        <w:rPr>
          <w:vertAlign w:val="superscript"/>
          <w:lang w:val="fr-FR"/>
        </w:rPr>
        <w:footnoteReference w:id="78"/>
      </w:r>
      <w:r w:rsidRPr="00F13A4D">
        <w:rPr>
          <w:lang w:val="fr-FR"/>
        </w:rPr>
        <w:t xml:space="preserve"> pour ce qui est de l</w:t>
      </w:r>
      <w:r w:rsidR="00F1794C" w:rsidRPr="00F1794C">
        <w:rPr>
          <w:lang w:val="fr-FR"/>
        </w:rPr>
        <w:t>’</w:t>
      </w:r>
      <w:r w:rsidRPr="00F13A4D">
        <w:rPr>
          <w:lang w:val="fr-FR"/>
        </w:rPr>
        <w:t>emploi, du salaire et des promotions et tout autre type de discrimination. Par ailleurs, un grand nombre de conventions internationales relatives au travail, notamment la Convention (n</w:t>
      </w:r>
      <w:r w:rsidRPr="00F13A4D">
        <w:rPr>
          <w:vertAlign w:val="superscript"/>
          <w:lang w:val="fr-FR"/>
        </w:rPr>
        <w:t>o</w:t>
      </w:r>
      <w:r w:rsidR="00975DAD">
        <w:rPr>
          <w:lang w:val="fr-FR"/>
        </w:rPr>
        <w:t> </w:t>
      </w:r>
      <w:r w:rsidRPr="00F13A4D">
        <w:rPr>
          <w:lang w:val="fr-FR"/>
        </w:rPr>
        <w:t>100) concernant l</w:t>
      </w:r>
      <w:r w:rsidR="00F1794C" w:rsidRPr="00F1794C">
        <w:rPr>
          <w:lang w:val="fr-FR"/>
        </w:rPr>
        <w:t>’</w:t>
      </w:r>
      <w:r w:rsidRPr="00F13A4D">
        <w:rPr>
          <w:lang w:val="fr-FR"/>
        </w:rPr>
        <w:t>égalité de rémunération entre la main-d</w:t>
      </w:r>
      <w:r w:rsidR="00F1794C" w:rsidRPr="00F1794C">
        <w:rPr>
          <w:lang w:val="fr-FR"/>
        </w:rPr>
        <w:t>’</w:t>
      </w:r>
      <w:r w:rsidRPr="00F13A4D">
        <w:rPr>
          <w:lang w:val="fr-FR"/>
        </w:rPr>
        <w:t>œuvre masculine et la main-d</w:t>
      </w:r>
      <w:r w:rsidR="00F1794C" w:rsidRPr="00F1794C">
        <w:rPr>
          <w:lang w:val="fr-FR"/>
        </w:rPr>
        <w:t>’</w:t>
      </w:r>
      <w:r w:rsidRPr="00F13A4D">
        <w:rPr>
          <w:lang w:val="fr-FR"/>
        </w:rPr>
        <w:t>œuvre féminine pour un travail de valeur égale et la Convention de 1958 concernant la discrimination (emploi et profession) [n</w:t>
      </w:r>
      <w:r w:rsidRPr="00F13A4D">
        <w:rPr>
          <w:vertAlign w:val="superscript"/>
          <w:lang w:val="fr-FR"/>
        </w:rPr>
        <w:t>o</w:t>
      </w:r>
      <w:r w:rsidRPr="00F13A4D">
        <w:rPr>
          <w:lang w:val="fr-FR"/>
        </w:rPr>
        <w:t xml:space="preserve"> 111] (paragraphe 29 des observations finales). </w:t>
      </w:r>
    </w:p>
    <w:p w14:paraId="2B0A4FA0" w14:textId="44764514" w:rsidR="00F13A4D" w:rsidRPr="00F13A4D" w:rsidRDefault="00F13A4D" w:rsidP="00456FC2">
      <w:pPr>
        <w:pStyle w:val="SingleTxt"/>
        <w:numPr>
          <w:ilvl w:val="0"/>
          <w:numId w:val="50"/>
        </w:numPr>
        <w:rPr>
          <w:lang w:val="fr-FR"/>
        </w:rPr>
      </w:pPr>
      <w:r w:rsidRPr="00F13A4D">
        <w:rPr>
          <w:lang w:val="fr-FR"/>
        </w:rPr>
        <w:t>En ce qui concerne les mesures de protection relatives aux femmes qui travaillent, le Code du travail prévoit ce qui suit</w:t>
      </w:r>
      <w:r w:rsidR="00F1794C" w:rsidRPr="00F1794C">
        <w:rPr>
          <w:lang w:val="fr-FR"/>
        </w:rPr>
        <w:t> :</w:t>
      </w:r>
    </w:p>
    <w:p w14:paraId="459D7608" w14:textId="4CF83C67" w:rsidR="00F13A4D" w:rsidRPr="00975DAD" w:rsidRDefault="00975DAD" w:rsidP="00975DAD">
      <w:pPr>
        <w:pStyle w:val="SingleTxt"/>
        <w:tabs>
          <w:tab w:val="right" w:pos="1685"/>
        </w:tabs>
        <w:ind w:left="1742" w:hanging="475"/>
        <w:rPr>
          <w:lang w:val="fr-FR"/>
        </w:rPr>
      </w:pPr>
      <w:r>
        <w:rPr>
          <w:lang w:val="fr-FR"/>
        </w:rPr>
        <w:tab/>
        <w:t>•</w:t>
      </w:r>
      <w:r>
        <w:rPr>
          <w:lang w:val="fr-FR"/>
        </w:rPr>
        <w:tab/>
      </w:r>
      <w:r w:rsidR="00F13A4D" w:rsidRPr="00975DAD">
        <w:rPr>
          <w:lang w:val="fr-FR"/>
        </w:rPr>
        <w:t>Interdiction de la discrimination fondée sur le sexe en matière d</w:t>
      </w:r>
      <w:r w:rsidR="00F1794C" w:rsidRPr="00975DAD">
        <w:rPr>
          <w:lang w:val="fr-FR"/>
        </w:rPr>
        <w:t>’</w:t>
      </w:r>
      <w:r w:rsidR="00F13A4D" w:rsidRPr="00975DAD">
        <w:rPr>
          <w:lang w:val="fr-FR"/>
        </w:rPr>
        <w:t>emploi et le droit de la femme d</w:t>
      </w:r>
      <w:r w:rsidR="00F1794C" w:rsidRPr="00975DAD">
        <w:rPr>
          <w:lang w:val="fr-FR"/>
        </w:rPr>
        <w:t>’</w:t>
      </w:r>
      <w:r w:rsidR="00F13A4D" w:rsidRPr="00975DAD">
        <w:rPr>
          <w:lang w:val="fr-FR"/>
        </w:rPr>
        <w:t>adhérer à un syndicat et de participer à son administration et à sa gestion (article 9)</w:t>
      </w:r>
      <w:r w:rsidR="00F1794C" w:rsidRPr="00975DAD">
        <w:rPr>
          <w:lang w:val="fr-FR"/>
        </w:rPr>
        <w:t> ;</w:t>
      </w:r>
      <w:r w:rsidR="00F13A4D" w:rsidRPr="00975DAD">
        <w:rPr>
          <w:lang w:val="fr-FR"/>
        </w:rPr>
        <w:t xml:space="preserve"> le non-respect de cette disposition est puni d</w:t>
      </w:r>
      <w:r w:rsidR="00F1794C" w:rsidRPr="00975DAD">
        <w:rPr>
          <w:lang w:val="fr-FR"/>
        </w:rPr>
        <w:t>’</w:t>
      </w:r>
      <w:r w:rsidR="00F13A4D" w:rsidRPr="00975DAD">
        <w:rPr>
          <w:lang w:val="fr-FR"/>
        </w:rPr>
        <w:t>une amende de 15 000 à 30 000 dirhams (article 12)</w:t>
      </w:r>
      <w:r w:rsidR="00F1794C" w:rsidRPr="00975DAD">
        <w:rPr>
          <w:lang w:val="fr-FR"/>
        </w:rPr>
        <w:t> ;</w:t>
      </w:r>
    </w:p>
    <w:p w14:paraId="44C5E0A1" w14:textId="09C6F51F" w:rsidR="00F13A4D" w:rsidRPr="00975DAD" w:rsidRDefault="00975DAD" w:rsidP="00975DAD">
      <w:pPr>
        <w:pStyle w:val="SingleTxt"/>
        <w:tabs>
          <w:tab w:val="right" w:pos="1685"/>
        </w:tabs>
        <w:ind w:left="1742" w:hanging="475"/>
        <w:rPr>
          <w:lang w:val="fr-FR"/>
        </w:rPr>
      </w:pPr>
      <w:r>
        <w:rPr>
          <w:lang w:val="fr-FR"/>
        </w:rPr>
        <w:tab/>
        <w:t>•</w:t>
      </w:r>
      <w:r>
        <w:rPr>
          <w:lang w:val="fr-FR"/>
        </w:rPr>
        <w:tab/>
      </w:r>
      <w:r w:rsidR="00F13A4D" w:rsidRPr="00975DAD">
        <w:rPr>
          <w:lang w:val="fr-FR"/>
        </w:rPr>
        <w:t>Interdiction de toute discrimination relative au salaire pour un travail de valeur égale (article 346)</w:t>
      </w:r>
      <w:r w:rsidR="00F1794C" w:rsidRPr="00975DAD">
        <w:rPr>
          <w:lang w:val="fr-FR"/>
        </w:rPr>
        <w:t> ;</w:t>
      </w:r>
      <w:r w:rsidR="00F13A4D" w:rsidRPr="00975DAD">
        <w:rPr>
          <w:lang w:val="fr-FR"/>
        </w:rPr>
        <w:t xml:space="preserve"> interdiction du harcèlement sexuel (article 40)</w:t>
      </w:r>
      <w:r w:rsidR="00F1794C" w:rsidRPr="00975DAD">
        <w:rPr>
          <w:lang w:val="fr-FR"/>
        </w:rPr>
        <w:t> ;</w:t>
      </w:r>
      <w:r w:rsidR="00F13A4D" w:rsidRPr="00975DAD">
        <w:rPr>
          <w:lang w:val="fr-FR"/>
        </w:rPr>
        <w:t xml:space="preserve"> interdiction d</w:t>
      </w:r>
      <w:r w:rsidR="00F1794C" w:rsidRPr="00975DAD">
        <w:rPr>
          <w:lang w:val="fr-FR"/>
        </w:rPr>
        <w:t>’</w:t>
      </w:r>
      <w:r w:rsidR="00F13A4D" w:rsidRPr="00975DAD">
        <w:rPr>
          <w:lang w:val="fr-FR"/>
        </w:rPr>
        <w:t>occuper les femmes à des travaux qui présentent des risques de danger (article</w:t>
      </w:r>
      <w:r w:rsidR="00B307F7">
        <w:rPr>
          <w:lang w:val="fr-FR"/>
        </w:rPr>
        <w:t> </w:t>
      </w:r>
      <w:r w:rsidR="00F13A4D" w:rsidRPr="00975DAD">
        <w:rPr>
          <w:lang w:val="fr-FR"/>
        </w:rPr>
        <w:t>181)</w:t>
      </w:r>
      <w:r w:rsidR="00F1794C" w:rsidRPr="00975DAD">
        <w:rPr>
          <w:lang w:val="fr-FR"/>
        </w:rPr>
        <w:t> ;</w:t>
      </w:r>
    </w:p>
    <w:p w14:paraId="76476484" w14:textId="1F496C6F" w:rsidR="00F13A4D" w:rsidRPr="00975DAD" w:rsidRDefault="00975DAD" w:rsidP="00975DAD">
      <w:pPr>
        <w:pStyle w:val="SingleTxt"/>
        <w:tabs>
          <w:tab w:val="right" w:pos="1685"/>
        </w:tabs>
        <w:ind w:left="1742" w:hanging="475"/>
        <w:rPr>
          <w:lang w:val="fr-FR"/>
        </w:rPr>
      </w:pPr>
      <w:r>
        <w:rPr>
          <w:lang w:val="fr-FR"/>
        </w:rPr>
        <w:tab/>
        <w:t>•</w:t>
      </w:r>
      <w:r>
        <w:rPr>
          <w:lang w:val="fr-FR"/>
        </w:rPr>
        <w:tab/>
      </w:r>
      <w:r w:rsidR="00F13A4D" w:rsidRPr="00975DAD">
        <w:rPr>
          <w:lang w:val="fr-FR"/>
        </w:rPr>
        <w:t>Protection des femmes employées à un travail de nuit (article 172)</w:t>
      </w:r>
      <w:r w:rsidR="00F1794C" w:rsidRPr="00975DAD">
        <w:rPr>
          <w:lang w:val="fr-FR"/>
        </w:rPr>
        <w:t> ;</w:t>
      </w:r>
    </w:p>
    <w:p w14:paraId="2BE8089A" w14:textId="5ED1A50E" w:rsidR="00F13A4D" w:rsidRPr="00975DAD" w:rsidRDefault="00975DAD" w:rsidP="00975DAD">
      <w:pPr>
        <w:pStyle w:val="SingleTxt"/>
        <w:tabs>
          <w:tab w:val="right" w:pos="1685"/>
        </w:tabs>
        <w:ind w:left="1742" w:hanging="475"/>
        <w:rPr>
          <w:lang w:val="fr-FR"/>
        </w:rPr>
      </w:pPr>
      <w:r>
        <w:rPr>
          <w:lang w:val="fr-FR"/>
        </w:rPr>
        <w:tab/>
        <w:t>•</w:t>
      </w:r>
      <w:r>
        <w:rPr>
          <w:lang w:val="fr-FR"/>
        </w:rPr>
        <w:tab/>
      </w:r>
      <w:r w:rsidR="00F13A4D" w:rsidRPr="00975DAD">
        <w:rPr>
          <w:lang w:val="fr-FR"/>
        </w:rPr>
        <w:t>Droit de la femme enceinte de suspendre le contrat de travail et de prolonger le congé pour une durée totale de 22 semaines en cas de maladie liée à la grossesse ou à l</w:t>
      </w:r>
      <w:r w:rsidR="00F1794C" w:rsidRPr="00975DAD">
        <w:rPr>
          <w:lang w:val="fr-FR"/>
        </w:rPr>
        <w:t>’</w:t>
      </w:r>
      <w:r w:rsidR="00F13A4D" w:rsidRPr="00975DAD">
        <w:rPr>
          <w:lang w:val="fr-FR"/>
        </w:rPr>
        <w:t>accouchement (article 154)</w:t>
      </w:r>
      <w:r w:rsidR="00F1794C" w:rsidRPr="00975DAD">
        <w:rPr>
          <w:lang w:val="fr-FR"/>
        </w:rPr>
        <w:t> ;</w:t>
      </w:r>
      <w:r w:rsidR="00F13A4D" w:rsidRPr="00975DAD">
        <w:rPr>
          <w:lang w:val="fr-FR"/>
        </w:rPr>
        <w:t xml:space="preserve"> </w:t>
      </w:r>
    </w:p>
    <w:p w14:paraId="7F9EBE1A" w14:textId="01C0C0B8" w:rsidR="00F13A4D" w:rsidRPr="00975DAD" w:rsidRDefault="00975DAD" w:rsidP="00975DAD">
      <w:pPr>
        <w:pStyle w:val="SingleTxt"/>
        <w:tabs>
          <w:tab w:val="right" w:pos="1685"/>
        </w:tabs>
        <w:ind w:left="1742" w:hanging="475"/>
        <w:rPr>
          <w:lang w:val="fr-FR"/>
        </w:rPr>
      </w:pPr>
      <w:r>
        <w:rPr>
          <w:lang w:val="fr-FR"/>
        </w:rPr>
        <w:tab/>
        <w:t>•</w:t>
      </w:r>
      <w:r>
        <w:rPr>
          <w:lang w:val="fr-FR"/>
        </w:rPr>
        <w:tab/>
      </w:r>
      <w:r w:rsidR="00F13A4D" w:rsidRPr="00975DAD">
        <w:rPr>
          <w:lang w:val="fr-FR"/>
        </w:rPr>
        <w:t>Possibilité offerte à la femme enceinte de quitter son emploi sans préavis (article 158)</w:t>
      </w:r>
      <w:r w:rsidR="00F1794C" w:rsidRPr="00975DAD">
        <w:rPr>
          <w:lang w:val="fr-FR"/>
        </w:rPr>
        <w:t> ;</w:t>
      </w:r>
      <w:r w:rsidR="00F13A4D" w:rsidRPr="00975DAD">
        <w:rPr>
          <w:lang w:val="fr-FR"/>
        </w:rPr>
        <w:t xml:space="preserve"> la mère salariée a droit, pour allaiter son enfant, à un repos spécial d</w:t>
      </w:r>
      <w:r w:rsidR="00F1794C" w:rsidRPr="00975DAD">
        <w:rPr>
          <w:lang w:val="fr-FR"/>
        </w:rPr>
        <w:t>’</w:t>
      </w:r>
      <w:r w:rsidR="00F13A4D" w:rsidRPr="00975DAD">
        <w:rPr>
          <w:lang w:val="fr-FR"/>
        </w:rPr>
        <w:t>une demi-heure le matin et d</w:t>
      </w:r>
      <w:r w:rsidR="00F1794C" w:rsidRPr="00975DAD">
        <w:rPr>
          <w:lang w:val="fr-FR"/>
        </w:rPr>
        <w:t>’</w:t>
      </w:r>
      <w:r w:rsidR="00F13A4D" w:rsidRPr="00975DAD">
        <w:rPr>
          <w:lang w:val="fr-FR"/>
        </w:rPr>
        <w:t>une demi-heure l</w:t>
      </w:r>
      <w:r w:rsidR="00F1794C" w:rsidRPr="00975DAD">
        <w:rPr>
          <w:lang w:val="fr-FR"/>
        </w:rPr>
        <w:t>’</w:t>
      </w:r>
      <w:r w:rsidR="00F13A4D" w:rsidRPr="00975DAD">
        <w:rPr>
          <w:lang w:val="fr-FR"/>
        </w:rPr>
        <w:t xml:space="preserve">après-midi (article 161). </w:t>
      </w:r>
    </w:p>
    <w:p w14:paraId="07EFFA90" w14:textId="70DF4797" w:rsidR="00F13A4D" w:rsidRPr="00F13A4D" w:rsidRDefault="00F13A4D" w:rsidP="00456FC2">
      <w:pPr>
        <w:pStyle w:val="SingleTxt"/>
        <w:numPr>
          <w:ilvl w:val="0"/>
          <w:numId w:val="50"/>
        </w:numPr>
        <w:rPr>
          <w:lang w:val="fr-FR"/>
        </w:rPr>
      </w:pPr>
      <w:r w:rsidRPr="00F13A4D">
        <w:rPr>
          <w:lang w:val="fr-FR"/>
        </w:rPr>
        <w:t>De nombreuses dispositions de la loi n</w:t>
      </w:r>
      <w:r w:rsidRPr="00F13A4D">
        <w:rPr>
          <w:vertAlign w:val="superscript"/>
          <w:lang w:val="fr-FR"/>
        </w:rPr>
        <w:t>o</w:t>
      </w:r>
      <w:r w:rsidRPr="00F13A4D">
        <w:rPr>
          <w:lang w:val="fr-FR"/>
        </w:rPr>
        <w:t xml:space="preserve"> 19-12 d</w:t>
      </w:r>
      <w:r w:rsidR="00F1794C" w:rsidRPr="00F1794C">
        <w:rPr>
          <w:lang w:val="fr-FR"/>
        </w:rPr>
        <w:t>’</w:t>
      </w:r>
      <w:r w:rsidRPr="00F13A4D">
        <w:rPr>
          <w:lang w:val="fr-FR"/>
        </w:rPr>
        <w:t>août 2016 fixant les conditions de travail et d</w:t>
      </w:r>
      <w:r w:rsidR="00F1794C" w:rsidRPr="00F1794C">
        <w:rPr>
          <w:lang w:val="fr-FR"/>
        </w:rPr>
        <w:t>’</w:t>
      </w:r>
      <w:r w:rsidRPr="00F13A4D">
        <w:rPr>
          <w:lang w:val="fr-FR"/>
        </w:rPr>
        <w:t>emploi des travailleuses et travailleurs domestiques garantissent à cette catégorie de travailleurs une protection juridique. Ladite loi définit le travail domestique et les emplois qui lui sont associés et précise les catégories concernées, l</w:t>
      </w:r>
      <w:r w:rsidR="00F1794C" w:rsidRPr="00F1794C">
        <w:rPr>
          <w:lang w:val="fr-FR"/>
        </w:rPr>
        <w:t>’</w:t>
      </w:r>
      <w:r w:rsidRPr="00F13A4D">
        <w:rPr>
          <w:lang w:val="fr-FR"/>
        </w:rPr>
        <w:t>âge minimum d</w:t>
      </w:r>
      <w:r w:rsidR="00F1794C" w:rsidRPr="00F1794C">
        <w:rPr>
          <w:lang w:val="fr-FR"/>
        </w:rPr>
        <w:t>’</w:t>
      </w:r>
      <w:r w:rsidRPr="00F13A4D">
        <w:rPr>
          <w:lang w:val="fr-FR"/>
        </w:rPr>
        <w:t>emploi, les activités interdites aux mineurs, les formalités relatives aux clauses du contrat de travail des travailleuses et travailleurs domestiques, les droits de ces travailleuses et travailleurs, notamment la durée de travail, le droit au repos hebdomadaire, le droit au congé annuel, le salaire et les indemnités</w:t>
      </w:r>
      <w:r w:rsidRPr="00FA086B">
        <w:rPr>
          <w:vertAlign w:val="superscript"/>
          <w:lang w:val="fr-FR"/>
        </w:rPr>
        <w:footnoteReference w:id="79"/>
      </w:r>
      <w:r w:rsidRPr="00F13A4D">
        <w:rPr>
          <w:lang w:val="fr-FR"/>
        </w:rPr>
        <w:t xml:space="preserve">. Le </w:t>
      </w:r>
      <w:r w:rsidRPr="00F13A4D">
        <w:rPr>
          <w:lang w:val="fr-FR"/>
        </w:rPr>
        <w:lastRenderedPageBreak/>
        <w:t>contrôle est assuré par l</w:t>
      </w:r>
      <w:r w:rsidR="00F1794C" w:rsidRPr="00F1794C">
        <w:rPr>
          <w:lang w:val="fr-FR"/>
        </w:rPr>
        <w:t>’</w:t>
      </w:r>
      <w:r w:rsidRPr="00F13A4D">
        <w:rPr>
          <w:lang w:val="fr-FR"/>
        </w:rPr>
        <w:t>inspecteur du travail et les sanctions et infractions prévues sont indiquées aux paragraphes 23 à 25. Les employeurs qui n</w:t>
      </w:r>
      <w:r w:rsidR="00F1794C" w:rsidRPr="00F1794C">
        <w:rPr>
          <w:lang w:val="fr-FR"/>
        </w:rPr>
        <w:t>’</w:t>
      </w:r>
      <w:r w:rsidRPr="00F13A4D">
        <w:rPr>
          <w:lang w:val="fr-FR"/>
        </w:rPr>
        <w:t>observent pas les dispositions de l</w:t>
      </w:r>
      <w:r w:rsidR="00F1794C" w:rsidRPr="00F1794C">
        <w:rPr>
          <w:lang w:val="fr-FR"/>
        </w:rPr>
        <w:t>’</w:t>
      </w:r>
      <w:r w:rsidRPr="00F13A4D">
        <w:rPr>
          <w:lang w:val="fr-FR"/>
        </w:rPr>
        <w:t xml:space="preserve">article 3 de la loi encourent des sanctions. </w:t>
      </w:r>
    </w:p>
    <w:p w14:paraId="1C6C1765" w14:textId="30EB09D6" w:rsidR="00F13A4D" w:rsidRPr="00F13A4D" w:rsidRDefault="00F13A4D" w:rsidP="00456FC2">
      <w:pPr>
        <w:pStyle w:val="SingleTxt"/>
        <w:numPr>
          <w:ilvl w:val="0"/>
          <w:numId w:val="50"/>
        </w:numPr>
        <w:rPr>
          <w:lang w:val="fr-FR"/>
        </w:rPr>
      </w:pPr>
      <w:r w:rsidRPr="00F13A4D">
        <w:rPr>
          <w:lang w:val="fr-FR"/>
        </w:rPr>
        <w:t>Concernant la sécurité sociale, une indemnité pour perte d</w:t>
      </w:r>
      <w:r w:rsidR="00F1794C" w:rsidRPr="00F1794C">
        <w:rPr>
          <w:lang w:val="fr-FR"/>
        </w:rPr>
        <w:t>’</w:t>
      </w:r>
      <w:r w:rsidRPr="00F13A4D">
        <w:rPr>
          <w:lang w:val="fr-FR"/>
        </w:rPr>
        <w:t>emploi est proposée depuis avril 2015, une mesure adoptée en 2014. Fin 2017, 31 905 personnes en avaient bénéficié. Les femmes représentaient environ 20</w:t>
      </w:r>
      <w:r w:rsidR="00F1794C" w:rsidRPr="00F1794C">
        <w:rPr>
          <w:lang w:val="fr-FR"/>
        </w:rPr>
        <w:t> %</w:t>
      </w:r>
      <w:r w:rsidRPr="00F13A4D">
        <w:rPr>
          <w:lang w:val="fr-FR"/>
        </w:rPr>
        <w:t xml:space="preserve"> des bénéficiaires durant la période 2015-2017.</w:t>
      </w:r>
    </w:p>
    <w:p w14:paraId="79CA3031" w14:textId="597C40F5" w:rsidR="00F13A4D" w:rsidRPr="00F13A4D" w:rsidRDefault="00F13A4D" w:rsidP="00456FC2">
      <w:pPr>
        <w:pStyle w:val="SingleTxt"/>
        <w:numPr>
          <w:ilvl w:val="0"/>
          <w:numId w:val="50"/>
        </w:numPr>
        <w:rPr>
          <w:lang w:val="fr-FR"/>
        </w:rPr>
      </w:pPr>
      <w:r w:rsidRPr="00F13A4D">
        <w:rPr>
          <w:lang w:val="fr-FR"/>
        </w:rPr>
        <w:t>Le Gouvernement a pris les mesures suivantes</w:t>
      </w:r>
      <w:r w:rsidR="00F1794C" w:rsidRPr="00F1794C">
        <w:rPr>
          <w:lang w:val="fr-FR"/>
        </w:rPr>
        <w:t> :</w:t>
      </w:r>
    </w:p>
    <w:p w14:paraId="5CA7B1F9" w14:textId="2075F432" w:rsidR="00F13A4D" w:rsidRPr="00975DAD" w:rsidRDefault="00975DAD" w:rsidP="00975DAD">
      <w:pPr>
        <w:pStyle w:val="SingleTxt"/>
        <w:tabs>
          <w:tab w:val="right" w:pos="1685"/>
        </w:tabs>
        <w:ind w:left="1742" w:hanging="475"/>
        <w:rPr>
          <w:lang w:val="fr-FR"/>
        </w:rPr>
      </w:pPr>
      <w:r>
        <w:rPr>
          <w:lang w:val="fr-FR"/>
        </w:rPr>
        <w:tab/>
        <w:t>•</w:t>
      </w:r>
      <w:r>
        <w:rPr>
          <w:lang w:val="fr-FR"/>
        </w:rPr>
        <w:tab/>
      </w:r>
      <w:r w:rsidR="00F13A4D" w:rsidRPr="00975DAD">
        <w:rPr>
          <w:lang w:val="fr-FR"/>
        </w:rPr>
        <w:t>Les salariés des exploitations agricoles et forestières et des services qui en relèvent bénéficient des allocations familiales</w:t>
      </w:r>
      <w:r w:rsidR="00F13A4D" w:rsidRPr="00FA086B">
        <w:rPr>
          <w:vertAlign w:val="superscript"/>
          <w:lang w:val="fr-FR"/>
        </w:rPr>
        <w:footnoteReference w:id="80"/>
      </w:r>
      <w:r w:rsidR="00F1794C" w:rsidRPr="00975DAD">
        <w:rPr>
          <w:lang w:val="fr-FR"/>
        </w:rPr>
        <w:t> ;</w:t>
      </w:r>
    </w:p>
    <w:p w14:paraId="28638622" w14:textId="6825F51C" w:rsidR="00F13A4D" w:rsidRPr="00975DAD" w:rsidRDefault="00975DAD" w:rsidP="00975DAD">
      <w:pPr>
        <w:pStyle w:val="SingleTxt"/>
        <w:tabs>
          <w:tab w:val="right" w:pos="1685"/>
        </w:tabs>
        <w:ind w:left="1742" w:hanging="475"/>
        <w:rPr>
          <w:lang w:val="fr-FR"/>
        </w:rPr>
      </w:pPr>
      <w:r>
        <w:rPr>
          <w:lang w:val="fr-FR"/>
        </w:rPr>
        <w:tab/>
        <w:t>•</w:t>
      </w:r>
      <w:r>
        <w:rPr>
          <w:lang w:val="fr-FR"/>
        </w:rPr>
        <w:tab/>
      </w:r>
      <w:r w:rsidR="00F13A4D" w:rsidRPr="00975DAD">
        <w:rPr>
          <w:lang w:val="fr-FR"/>
        </w:rPr>
        <w:t>Le montant minimal de la pension de retraite versée par la Caisse nationale de sécurité sociale est passé de 600 à 1 000 dirhams par mois en juillet 2011</w:t>
      </w:r>
      <w:r w:rsidR="00F13A4D" w:rsidRPr="00FA086B">
        <w:rPr>
          <w:vertAlign w:val="superscript"/>
          <w:lang w:val="fr-FR"/>
        </w:rPr>
        <w:footnoteReference w:id="81"/>
      </w:r>
      <w:r w:rsidR="00F1794C" w:rsidRPr="00975DAD">
        <w:rPr>
          <w:lang w:val="fr-FR"/>
        </w:rPr>
        <w:t> ;</w:t>
      </w:r>
    </w:p>
    <w:p w14:paraId="0D1D96AE" w14:textId="1D321CF8" w:rsidR="00F13A4D" w:rsidRPr="00975DAD" w:rsidRDefault="00975DAD" w:rsidP="00975DAD">
      <w:pPr>
        <w:pStyle w:val="SingleTxt"/>
        <w:tabs>
          <w:tab w:val="right" w:pos="1685"/>
        </w:tabs>
        <w:ind w:left="1742" w:hanging="475"/>
        <w:rPr>
          <w:lang w:val="fr-FR"/>
        </w:rPr>
      </w:pPr>
      <w:r>
        <w:rPr>
          <w:lang w:val="fr-FR"/>
        </w:rPr>
        <w:tab/>
        <w:t>•</w:t>
      </w:r>
      <w:r>
        <w:rPr>
          <w:lang w:val="fr-FR"/>
        </w:rPr>
        <w:tab/>
      </w:r>
      <w:r w:rsidR="00F13A4D" w:rsidRPr="00975DAD">
        <w:rPr>
          <w:lang w:val="fr-FR"/>
        </w:rPr>
        <w:t>La couverture médicale de base gérée par la Caisse nationale de sécurité sociale est maintenue pour les veuves et les orphelins, quel que soit le montant de la retraite perçu par l</w:t>
      </w:r>
      <w:r w:rsidR="00F1794C" w:rsidRPr="00975DAD">
        <w:rPr>
          <w:lang w:val="fr-FR"/>
        </w:rPr>
        <w:t>’</w:t>
      </w:r>
      <w:r w:rsidR="00F13A4D" w:rsidRPr="00975DAD">
        <w:rPr>
          <w:lang w:val="fr-FR"/>
        </w:rPr>
        <w:t>assuré défunt</w:t>
      </w:r>
      <w:r w:rsidR="00F13A4D" w:rsidRPr="00FA086B">
        <w:rPr>
          <w:vertAlign w:val="superscript"/>
          <w:lang w:val="fr-FR"/>
        </w:rPr>
        <w:footnoteReference w:id="82"/>
      </w:r>
      <w:r w:rsidR="00F1794C" w:rsidRPr="00975DAD">
        <w:rPr>
          <w:lang w:val="fr-FR"/>
        </w:rPr>
        <w:t> ;</w:t>
      </w:r>
    </w:p>
    <w:p w14:paraId="432A39E6" w14:textId="31596622" w:rsidR="00F13A4D" w:rsidRPr="00975DAD" w:rsidRDefault="00975DAD" w:rsidP="00975DAD">
      <w:pPr>
        <w:pStyle w:val="SingleTxt"/>
        <w:tabs>
          <w:tab w:val="right" w:pos="1685"/>
        </w:tabs>
        <w:ind w:left="1742" w:hanging="475"/>
        <w:rPr>
          <w:lang w:val="fr-FR"/>
        </w:rPr>
      </w:pPr>
      <w:r>
        <w:rPr>
          <w:lang w:val="fr-FR"/>
        </w:rPr>
        <w:tab/>
        <w:t>•</w:t>
      </w:r>
      <w:r>
        <w:rPr>
          <w:lang w:val="fr-FR"/>
        </w:rPr>
        <w:tab/>
      </w:r>
      <w:r w:rsidR="00F13A4D" w:rsidRPr="00975DAD">
        <w:rPr>
          <w:lang w:val="fr-FR"/>
        </w:rPr>
        <w:t>Depuis l</w:t>
      </w:r>
      <w:r w:rsidR="00F1794C" w:rsidRPr="00975DAD">
        <w:rPr>
          <w:lang w:val="fr-FR"/>
        </w:rPr>
        <w:t>’</w:t>
      </w:r>
      <w:r w:rsidR="00F13A4D" w:rsidRPr="00975DAD">
        <w:rPr>
          <w:lang w:val="fr-FR"/>
        </w:rPr>
        <w:t>année universitaire 2015-2016,</w:t>
      </w:r>
      <w:r w:rsidR="00F1794C" w:rsidRPr="00975DAD">
        <w:rPr>
          <w:lang w:val="fr-FR"/>
        </w:rPr>
        <w:t xml:space="preserve"> </w:t>
      </w:r>
      <w:r w:rsidR="00F13A4D" w:rsidRPr="00975DAD">
        <w:rPr>
          <w:lang w:val="fr-FR"/>
        </w:rPr>
        <w:t>les étudiants de l</w:t>
      </w:r>
      <w:r w:rsidR="00F1794C" w:rsidRPr="00975DAD">
        <w:rPr>
          <w:lang w:val="fr-FR"/>
        </w:rPr>
        <w:t>’</w:t>
      </w:r>
      <w:r w:rsidR="00F13A4D" w:rsidRPr="00975DAD">
        <w:rPr>
          <w:lang w:val="fr-FR"/>
        </w:rPr>
        <w:t>enseignement supérieur bénéficient de la couverture médicale de base</w:t>
      </w:r>
      <w:r w:rsidR="00F1794C" w:rsidRPr="00975DAD">
        <w:rPr>
          <w:lang w:val="fr-FR"/>
        </w:rPr>
        <w:t> ;</w:t>
      </w:r>
    </w:p>
    <w:p w14:paraId="45FBF83B" w14:textId="41187D6D" w:rsidR="00F13A4D" w:rsidRPr="00975DAD" w:rsidRDefault="00975DAD" w:rsidP="00975DAD">
      <w:pPr>
        <w:pStyle w:val="SingleTxt"/>
        <w:tabs>
          <w:tab w:val="right" w:pos="1685"/>
        </w:tabs>
        <w:ind w:left="1742" w:hanging="475"/>
        <w:rPr>
          <w:lang w:val="fr-FR"/>
        </w:rPr>
      </w:pPr>
      <w:r>
        <w:rPr>
          <w:lang w:val="fr-FR"/>
        </w:rPr>
        <w:tab/>
        <w:t>•</w:t>
      </w:r>
      <w:r>
        <w:rPr>
          <w:lang w:val="fr-FR"/>
        </w:rPr>
        <w:tab/>
      </w:r>
      <w:r w:rsidR="00F13A4D" w:rsidRPr="00975DAD">
        <w:rPr>
          <w:lang w:val="fr-FR"/>
        </w:rPr>
        <w:t>Les textes législatifs et réglementaires relatifs au cadre général portant création des régimes d</w:t>
      </w:r>
      <w:r w:rsidR="00F1794C" w:rsidRPr="00975DAD">
        <w:rPr>
          <w:lang w:val="fr-FR"/>
        </w:rPr>
        <w:t>’</w:t>
      </w:r>
      <w:r w:rsidR="00F13A4D" w:rsidRPr="00975DAD">
        <w:rPr>
          <w:lang w:val="fr-FR"/>
        </w:rPr>
        <w:t>assurance maladie obligatoire et de retraite au profit des professionnels, des travailleurs indépendants et des personnes non-salariés exerçant une activité libérale ont été complétés</w:t>
      </w:r>
      <w:r w:rsidR="00F1794C" w:rsidRPr="00975DAD">
        <w:rPr>
          <w:lang w:val="fr-FR"/>
        </w:rPr>
        <w:t> ;</w:t>
      </w:r>
    </w:p>
    <w:p w14:paraId="6E6EDACE" w14:textId="3244B4F1" w:rsidR="00F13A4D" w:rsidRPr="00975DAD" w:rsidRDefault="00975DAD" w:rsidP="00975DAD">
      <w:pPr>
        <w:pStyle w:val="SingleTxt"/>
        <w:tabs>
          <w:tab w:val="right" w:pos="1685"/>
        </w:tabs>
        <w:ind w:left="1742" w:hanging="475"/>
        <w:rPr>
          <w:lang w:val="fr-FR"/>
        </w:rPr>
      </w:pPr>
      <w:r>
        <w:rPr>
          <w:lang w:val="fr-FR"/>
        </w:rPr>
        <w:tab/>
        <w:t>•</w:t>
      </w:r>
      <w:r>
        <w:rPr>
          <w:lang w:val="fr-FR"/>
        </w:rPr>
        <w:tab/>
      </w:r>
      <w:r w:rsidR="00F13A4D" w:rsidRPr="00975DAD">
        <w:rPr>
          <w:lang w:val="fr-FR"/>
        </w:rPr>
        <w:t>Une indemnité journalière est versée pendant 14 jours à compter de la date de l</w:t>
      </w:r>
      <w:r w:rsidR="00F1794C" w:rsidRPr="00975DAD">
        <w:rPr>
          <w:lang w:val="fr-FR"/>
        </w:rPr>
        <w:t>’</w:t>
      </w:r>
      <w:r w:rsidR="00F13A4D" w:rsidRPr="00975DAD">
        <w:rPr>
          <w:lang w:val="fr-FR"/>
        </w:rPr>
        <w:t>accouchement.</w:t>
      </w:r>
    </w:p>
    <w:p w14:paraId="2DCCF5D7" w14:textId="6054F44E" w:rsidR="00F13A4D" w:rsidRPr="00F13A4D" w:rsidRDefault="00F13A4D" w:rsidP="00456FC2">
      <w:pPr>
        <w:pStyle w:val="SingleTxt"/>
        <w:numPr>
          <w:ilvl w:val="0"/>
          <w:numId w:val="50"/>
        </w:numPr>
        <w:rPr>
          <w:lang w:val="fr-FR"/>
        </w:rPr>
      </w:pPr>
      <w:r w:rsidRPr="00F13A4D">
        <w:rPr>
          <w:lang w:val="fr-FR"/>
        </w:rPr>
        <w:t>Dans le cadre du plan gouvernemental pour l</w:t>
      </w:r>
      <w:r w:rsidR="00F1794C" w:rsidRPr="00F1794C">
        <w:rPr>
          <w:lang w:val="fr-FR"/>
        </w:rPr>
        <w:t>’</w:t>
      </w:r>
      <w:r w:rsidRPr="00F13A4D">
        <w:rPr>
          <w:lang w:val="fr-FR"/>
        </w:rPr>
        <w:t>égalité (2017-2021), le secteur du travail s</w:t>
      </w:r>
      <w:r w:rsidR="00F1794C" w:rsidRPr="00F1794C">
        <w:rPr>
          <w:lang w:val="fr-FR"/>
        </w:rPr>
        <w:t>’</w:t>
      </w:r>
      <w:r w:rsidRPr="00F13A4D">
        <w:rPr>
          <w:lang w:val="fr-FR"/>
        </w:rPr>
        <w:t>est employé à appliquer les mesures relatives à la lutte contre toutes les formes de discrimination et de violence à l</w:t>
      </w:r>
      <w:r w:rsidR="00F1794C" w:rsidRPr="00F1794C">
        <w:rPr>
          <w:lang w:val="fr-FR"/>
        </w:rPr>
        <w:t>’</w:t>
      </w:r>
      <w:r w:rsidRPr="00F13A4D">
        <w:rPr>
          <w:lang w:val="fr-FR"/>
        </w:rPr>
        <w:t>égard des femmes, à l</w:t>
      </w:r>
      <w:r w:rsidR="00F1794C" w:rsidRPr="00F1794C">
        <w:rPr>
          <w:lang w:val="fr-FR"/>
        </w:rPr>
        <w:t>’</w:t>
      </w:r>
      <w:r w:rsidRPr="00F13A4D">
        <w:rPr>
          <w:lang w:val="fr-FR"/>
        </w:rPr>
        <w:t>égalité des chances entre les sexes sur le marché du travail. Une circulaire ministérielle a été adressée à toutes les directions régionales et provinciales chargées de l</w:t>
      </w:r>
      <w:r w:rsidR="00F1794C" w:rsidRPr="00F1794C">
        <w:rPr>
          <w:lang w:val="fr-FR"/>
        </w:rPr>
        <w:t>’</w:t>
      </w:r>
      <w:r w:rsidRPr="00F13A4D">
        <w:rPr>
          <w:lang w:val="fr-FR"/>
        </w:rPr>
        <w:t>emploi et de l</w:t>
      </w:r>
      <w:r w:rsidR="00F1794C" w:rsidRPr="00F1794C">
        <w:rPr>
          <w:lang w:val="fr-FR"/>
        </w:rPr>
        <w:t>’</w:t>
      </w:r>
      <w:r w:rsidRPr="00F13A4D">
        <w:rPr>
          <w:lang w:val="fr-FR"/>
        </w:rPr>
        <w:t>insertion professionnelle afin que les inspecteurs du travail, lors des visites de contrôle, prêtent particulièrement attention à la mesure dans laquelle les dispositions législatives et réglementaires relative aux droits de la femme ayant trait à l</w:t>
      </w:r>
      <w:r w:rsidR="00F1794C" w:rsidRPr="00F1794C">
        <w:rPr>
          <w:lang w:val="fr-FR"/>
        </w:rPr>
        <w:t>’</w:t>
      </w:r>
      <w:r w:rsidRPr="00F13A4D">
        <w:rPr>
          <w:lang w:val="fr-FR"/>
        </w:rPr>
        <w:t>emploi sont respectées. Des efforts ont été déployés pour créer et exploiter une base de données dans ce domaine en faveur des femmes au travail. Des rapports d</w:t>
      </w:r>
      <w:r w:rsidR="00F1794C" w:rsidRPr="00F1794C">
        <w:rPr>
          <w:lang w:val="fr-FR"/>
        </w:rPr>
        <w:t>’</w:t>
      </w:r>
      <w:r w:rsidRPr="00F13A4D">
        <w:rPr>
          <w:lang w:val="fr-FR"/>
        </w:rPr>
        <w:t>évaluation périodiques sont établis afin de surveiller l</w:t>
      </w:r>
      <w:r w:rsidR="00F1794C" w:rsidRPr="00F1794C">
        <w:rPr>
          <w:lang w:val="fr-FR"/>
        </w:rPr>
        <w:t>’</w:t>
      </w:r>
      <w:r w:rsidRPr="00F13A4D">
        <w:rPr>
          <w:lang w:val="fr-FR"/>
        </w:rPr>
        <w:t>état de l</w:t>
      </w:r>
      <w:r w:rsidR="00F1794C" w:rsidRPr="00F1794C">
        <w:rPr>
          <w:lang w:val="fr-FR"/>
        </w:rPr>
        <w:t>’</w:t>
      </w:r>
      <w:r w:rsidRPr="00F13A4D">
        <w:rPr>
          <w:lang w:val="fr-FR"/>
        </w:rPr>
        <w:t>application effective des dispositions juridiques relatives à l</w:t>
      </w:r>
      <w:r w:rsidR="00F1794C" w:rsidRPr="00F1794C">
        <w:rPr>
          <w:lang w:val="fr-FR"/>
        </w:rPr>
        <w:t>’</w:t>
      </w:r>
      <w:r w:rsidRPr="00F13A4D">
        <w:rPr>
          <w:lang w:val="fr-FR"/>
        </w:rPr>
        <w:t xml:space="preserve">égalité et à la lutte contre la discrimination au travail. </w:t>
      </w:r>
    </w:p>
    <w:p w14:paraId="39F264B4" w14:textId="77777777" w:rsidR="00975DAD" w:rsidRPr="00975DAD" w:rsidRDefault="00975DAD" w:rsidP="00975DAD">
      <w:pPr>
        <w:pStyle w:val="SingleTxt"/>
        <w:spacing w:after="0" w:line="120" w:lineRule="exact"/>
        <w:rPr>
          <w:sz w:val="10"/>
          <w:lang w:val="fr-FR"/>
        </w:rPr>
      </w:pPr>
    </w:p>
    <w:p w14:paraId="0CDCC599" w14:textId="1BFB9660" w:rsidR="00975DAD" w:rsidRDefault="00975DAD" w:rsidP="00975DAD">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F13A4D" w:rsidRPr="00F13A4D">
        <w:rPr>
          <w:lang w:val="fr-FR"/>
        </w:rPr>
        <w:t>Tableau 8</w:t>
      </w:r>
    </w:p>
    <w:p w14:paraId="2B000D40" w14:textId="1B19FFBF" w:rsidR="00F13A4D" w:rsidRPr="00F13A4D" w:rsidRDefault="00975DAD" w:rsidP="00975D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N</w:t>
      </w:r>
      <w:r w:rsidR="00F13A4D" w:rsidRPr="00F13A4D">
        <w:rPr>
          <w:lang w:val="fr-FR"/>
        </w:rPr>
        <w:t>ombre de visites d</w:t>
      </w:r>
      <w:r w:rsidR="00F1794C" w:rsidRPr="00F1794C">
        <w:rPr>
          <w:lang w:val="fr-FR"/>
        </w:rPr>
        <w:t>’</w:t>
      </w:r>
      <w:r w:rsidR="00F13A4D" w:rsidRPr="00F13A4D">
        <w:rPr>
          <w:lang w:val="fr-FR"/>
        </w:rPr>
        <w:t>inspection</w:t>
      </w:r>
    </w:p>
    <w:p w14:paraId="6BFB6CBD" w14:textId="30B66BCC" w:rsidR="00F13A4D" w:rsidRPr="00B307F7" w:rsidRDefault="00F13A4D" w:rsidP="00B307F7">
      <w:pPr>
        <w:pStyle w:val="SingleTxt"/>
        <w:spacing w:after="0" w:line="120" w:lineRule="exact"/>
        <w:rPr>
          <w:sz w:val="10"/>
          <w:lang w:val="fr-FR"/>
        </w:rPr>
      </w:pPr>
    </w:p>
    <w:p w14:paraId="61523A2A" w14:textId="2A8E3AEB" w:rsidR="00B307F7" w:rsidRPr="00B307F7" w:rsidRDefault="00B307F7" w:rsidP="00B307F7">
      <w:pPr>
        <w:pStyle w:val="SingleTxt"/>
        <w:spacing w:after="0" w:line="120" w:lineRule="exact"/>
        <w:rPr>
          <w:sz w:val="10"/>
          <w:lang w:val="fr-FR"/>
        </w:rPr>
      </w:pPr>
    </w:p>
    <w:tbl>
      <w:tblPr>
        <w:tblStyle w:val="Grilledutableau51"/>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00"/>
        <w:gridCol w:w="744"/>
        <w:gridCol w:w="744"/>
        <w:gridCol w:w="744"/>
        <w:gridCol w:w="744"/>
        <w:gridCol w:w="744"/>
      </w:tblGrid>
      <w:tr w:rsidR="00975DAD" w:rsidRPr="00975DAD" w14:paraId="5E4F3D61" w14:textId="77777777" w:rsidTr="00975DAD">
        <w:trPr>
          <w:cantSplit/>
          <w:tblHeader/>
        </w:trPr>
        <w:tc>
          <w:tcPr>
            <w:tcW w:w="3600" w:type="dxa"/>
            <w:tcBorders>
              <w:top w:val="single" w:sz="4" w:space="0" w:color="auto"/>
              <w:bottom w:val="single" w:sz="12" w:space="0" w:color="auto"/>
            </w:tcBorders>
            <w:shd w:val="clear" w:color="auto" w:fill="auto"/>
            <w:noWrap/>
            <w:vAlign w:val="bottom"/>
          </w:tcPr>
          <w:p w14:paraId="18DB02F5" w14:textId="77777777" w:rsidR="00F13A4D" w:rsidRPr="00975DAD" w:rsidRDefault="00F13A4D" w:rsidP="00975DAD">
            <w:pPr>
              <w:suppressAutoHyphens/>
              <w:spacing w:before="81" w:after="81" w:line="160" w:lineRule="exact"/>
              <w:ind w:right="40"/>
              <w:rPr>
                <w:i/>
                <w:sz w:val="14"/>
              </w:rPr>
            </w:pPr>
            <w:r w:rsidRPr="00975DAD">
              <w:rPr>
                <w:i/>
                <w:sz w:val="14"/>
              </w:rPr>
              <w:t>Nombre</w:t>
            </w:r>
          </w:p>
        </w:tc>
        <w:tc>
          <w:tcPr>
            <w:tcW w:w="744" w:type="dxa"/>
            <w:tcBorders>
              <w:top w:val="single" w:sz="4" w:space="0" w:color="auto"/>
              <w:bottom w:val="single" w:sz="12" w:space="0" w:color="auto"/>
            </w:tcBorders>
            <w:shd w:val="clear" w:color="auto" w:fill="auto"/>
            <w:noWrap/>
            <w:vAlign w:val="bottom"/>
          </w:tcPr>
          <w:p w14:paraId="250D25AE" w14:textId="77777777" w:rsidR="00F13A4D" w:rsidRPr="00975DAD" w:rsidRDefault="00F13A4D" w:rsidP="00975DAD">
            <w:pPr>
              <w:suppressAutoHyphens/>
              <w:spacing w:before="81" w:after="81" w:line="160" w:lineRule="exact"/>
              <w:ind w:right="43"/>
              <w:jc w:val="right"/>
              <w:rPr>
                <w:i/>
                <w:sz w:val="14"/>
              </w:rPr>
            </w:pPr>
            <w:r w:rsidRPr="00975DAD">
              <w:rPr>
                <w:i/>
                <w:sz w:val="14"/>
              </w:rPr>
              <w:t>2014</w:t>
            </w:r>
          </w:p>
        </w:tc>
        <w:tc>
          <w:tcPr>
            <w:tcW w:w="744" w:type="dxa"/>
            <w:tcBorders>
              <w:top w:val="single" w:sz="4" w:space="0" w:color="auto"/>
              <w:bottom w:val="single" w:sz="12" w:space="0" w:color="auto"/>
            </w:tcBorders>
            <w:shd w:val="clear" w:color="auto" w:fill="auto"/>
            <w:noWrap/>
            <w:vAlign w:val="bottom"/>
          </w:tcPr>
          <w:p w14:paraId="046B524A" w14:textId="77777777" w:rsidR="00F13A4D" w:rsidRPr="00975DAD" w:rsidRDefault="00F13A4D" w:rsidP="00975DAD">
            <w:pPr>
              <w:suppressAutoHyphens/>
              <w:spacing w:before="81" w:after="81" w:line="160" w:lineRule="exact"/>
              <w:ind w:right="43"/>
              <w:jc w:val="right"/>
              <w:rPr>
                <w:i/>
                <w:sz w:val="14"/>
              </w:rPr>
            </w:pPr>
            <w:r w:rsidRPr="00975DAD">
              <w:rPr>
                <w:i/>
                <w:sz w:val="14"/>
              </w:rPr>
              <w:t>2015</w:t>
            </w:r>
          </w:p>
        </w:tc>
        <w:tc>
          <w:tcPr>
            <w:tcW w:w="744" w:type="dxa"/>
            <w:tcBorders>
              <w:top w:val="single" w:sz="4" w:space="0" w:color="auto"/>
              <w:bottom w:val="single" w:sz="12" w:space="0" w:color="auto"/>
            </w:tcBorders>
            <w:shd w:val="clear" w:color="auto" w:fill="auto"/>
            <w:noWrap/>
            <w:vAlign w:val="bottom"/>
          </w:tcPr>
          <w:p w14:paraId="24409EB3" w14:textId="77777777" w:rsidR="00F13A4D" w:rsidRPr="00975DAD" w:rsidRDefault="00F13A4D" w:rsidP="00975DAD">
            <w:pPr>
              <w:suppressAutoHyphens/>
              <w:spacing w:before="81" w:after="81" w:line="160" w:lineRule="exact"/>
              <w:ind w:right="43"/>
              <w:jc w:val="right"/>
              <w:rPr>
                <w:i/>
                <w:sz w:val="14"/>
              </w:rPr>
            </w:pPr>
            <w:r w:rsidRPr="00975DAD">
              <w:rPr>
                <w:i/>
                <w:sz w:val="14"/>
              </w:rPr>
              <w:t>2016</w:t>
            </w:r>
          </w:p>
        </w:tc>
        <w:tc>
          <w:tcPr>
            <w:tcW w:w="744" w:type="dxa"/>
            <w:tcBorders>
              <w:top w:val="single" w:sz="4" w:space="0" w:color="auto"/>
              <w:bottom w:val="single" w:sz="12" w:space="0" w:color="auto"/>
            </w:tcBorders>
            <w:shd w:val="clear" w:color="auto" w:fill="auto"/>
            <w:noWrap/>
            <w:vAlign w:val="bottom"/>
          </w:tcPr>
          <w:p w14:paraId="5E150D3F" w14:textId="77777777" w:rsidR="00F13A4D" w:rsidRPr="00975DAD" w:rsidRDefault="00F13A4D" w:rsidP="00975DAD">
            <w:pPr>
              <w:suppressAutoHyphens/>
              <w:spacing w:before="81" w:after="81" w:line="160" w:lineRule="exact"/>
              <w:ind w:right="43"/>
              <w:jc w:val="right"/>
              <w:rPr>
                <w:i/>
                <w:sz w:val="14"/>
              </w:rPr>
            </w:pPr>
            <w:r w:rsidRPr="00975DAD">
              <w:rPr>
                <w:i/>
                <w:sz w:val="14"/>
              </w:rPr>
              <w:t>2017</w:t>
            </w:r>
          </w:p>
        </w:tc>
        <w:tc>
          <w:tcPr>
            <w:tcW w:w="744" w:type="dxa"/>
            <w:tcBorders>
              <w:top w:val="single" w:sz="4" w:space="0" w:color="auto"/>
              <w:bottom w:val="single" w:sz="12" w:space="0" w:color="auto"/>
            </w:tcBorders>
            <w:shd w:val="clear" w:color="auto" w:fill="auto"/>
            <w:noWrap/>
            <w:vAlign w:val="bottom"/>
          </w:tcPr>
          <w:p w14:paraId="68AA0A04" w14:textId="77777777" w:rsidR="00F13A4D" w:rsidRPr="00975DAD" w:rsidRDefault="00F13A4D" w:rsidP="00975DAD">
            <w:pPr>
              <w:suppressAutoHyphens/>
              <w:spacing w:before="81" w:after="81" w:line="160" w:lineRule="exact"/>
              <w:ind w:right="43"/>
              <w:jc w:val="right"/>
              <w:rPr>
                <w:i/>
                <w:sz w:val="14"/>
              </w:rPr>
            </w:pPr>
            <w:r w:rsidRPr="00975DAD">
              <w:rPr>
                <w:i/>
                <w:sz w:val="14"/>
              </w:rPr>
              <w:t>2018</w:t>
            </w:r>
          </w:p>
        </w:tc>
      </w:tr>
      <w:tr w:rsidR="00975DAD" w:rsidRPr="00975DAD" w14:paraId="2312B2D9" w14:textId="77777777" w:rsidTr="00975DAD">
        <w:trPr>
          <w:cantSplit/>
          <w:trHeight w:hRule="exact" w:val="115"/>
          <w:tblHeader/>
        </w:trPr>
        <w:tc>
          <w:tcPr>
            <w:tcW w:w="3600" w:type="dxa"/>
            <w:tcBorders>
              <w:top w:val="single" w:sz="12" w:space="0" w:color="auto"/>
            </w:tcBorders>
            <w:shd w:val="clear" w:color="auto" w:fill="auto"/>
            <w:noWrap/>
            <w:vAlign w:val="bottom"/>
          </w:tcPr>
          <w:p w14:paraId="316343EA" w14:textId="77777777" w:rsidR="00975DAD" w:rsidRPr="00975DAD" w:rsidRDefault="00975DAD" w:rsidP="00975DAD">
            <w:pPr>
              <w:suppressAutoHyphens/>
              <w:spacing w:before="40" w:after="40" w:line="210" w:lineRule="exact"/>
              <w:ind w:right="40"/>
              <w:rPr>
                <w:sz w:val="17"/>
              </w:rPr>
            </w:pPr>
          </w:p>
        </w:tc>
        <w:tc>
          <w:tcPr>
            <w:tcW w:w="744" w:type="dxa"/>
            <w:tcBorders>
              <w:top w:val="single" w:sz="12" w:space="0" w:color="auto"/>
            </w:tcBorders>
            <w:shd w:val="clear" w:color="auto" w:fill="auto"/>
            <w:noWrap/>
            <w:vAlign w:val="bottom"/>
          </w:tcPr>
          <w:p w14:paraId="48313914" w14:textId="77777777" w:rsidR="00975DAD" w:rsidRPr="00975DAD" w:rsidRDefault="00975DAD" w:rsidP="00975DAD">
            <w:pPr>
              <w:suppressAutoHyphens/>
              <w:spacing w:before="40" w:after="40" w:line="210" w:lineRule="exact"/>
              <w:ind w:right="43"/>
              <w:jc w:val="right"/>
              <w:rPr>
                <w:sz w:val="17"/>
              </w:rPr>
            </w:pPr>
          </w:p>
        </w:tc>
        <w:tc>
          <w:tcPr>
            <w:tcW w:w="744" w:type="dxa"/>
            <w:tcBorders>
              <w:top w:val="single" w:sz="12" w:space="0" w:color="auto"/>
            </w:tcBorders>
            <w:shd w:val="clear" w:color="auto" w:fill="auto"/>
            <w:noWrap/>
            <w:vAlign w:val="bottom"/>
          </w:tcPr>
          <w:p w14:paraId="2367A2A3" w14:textId="77777777" w:rsidR="00975DAD" w:rsidRPr="00975DAD" w:rsidRDefault="00975DAD" w:rsidP="00975DAD">
            <w:pPr>
              <w:suppressAutoHyphens/>
              <w:spacing w:before="40" w:after="40" w:line="210" w:lineRule="exact"/>
              <w:ind w:right="43"/>
              <w:jc w:val="right"/>
              <w:rPr>
                <w:sz w:val="17"/>
              </w:rPr>
            </w:pPr>
          </w:p>
        </w:tc>
        <w:tc>
          <w:tcPr>
            <w:tcW w:w="744" w:type="dxa"/>
            <w:tcBorders>
              <w:top w:val="single" w:sz="12" w:space="0" w:color="auto"/>
            </w:tcBorders>
            <w:shd w:val="clear" w:color="auto" w:fill="auto"/>
            <w:noWrap/>
            <w:vAlign w:val="bottom"/>
          </w:tcPr>
          <w:p w14:paraId="59D7100B" w14:textId="77777777" w:rsidR="00975DAD" w:rsidRPr="00975DAD" w:rsidRDefault="00975DAD" w:rsidP="00975DAD">
            <w:pPr>
              <w:suppressAutoHyphens/>
              <w:spacing w:before="40" w:after="40" w:line="210" w:lineRule="exact"/>
              <w:ind w:right="43"/>
              <w:jc w:val="right"/>
              <w:rPr>
                <w:sz w:val="17"/>
              </w:rPr>
            </w:pPr>
          </w:p>
        </w:tc>
        <w:tc>
          <w:tcPr>
            <w:tcW w:w="744" w:type="dxa"/>
            <w:tcBorders>
              <w:top w:val="single" w:sz="12" w:space="0" w:color="auto"/>
            </w:tcBorders>
            <w:shd w:val="clear" w:color="auto" w:fill="auto"/>
            <w:noWrap/>
            <w:vAlign w:val="bottom"/>
          </w:tcPr>
          <w:p w14:paraId="2A8F651E" w14:textId="77777777" w:rsidR="00975DAD" w:rsidRPr="00975DAD" w:rsidRDefault="00975DAD" w:rsidP="00975DAD">
            <w:pPr>
              <w:suppressAutoHyphens/>
              <w:spacing w:before="40" w:after="40" w:line="210" w:lineRule="exact"/>
              <w:ind w:right="43"/>
              <w:jc w:val="right"/>
              <w:rPr>
                <w:sz w:val="17"/>
              </w:rPr>
            </w:pPr>
          </w:p>
        </w:tc>
        <w:tc>
          <w:tcPr>
            <w:tcW w:w="744" w:type="dxa"/>
            <w:tcBorders>
              <w:top w:val="single" w:sz="12" w:space="0" w:color="auto"/>
            </w:tcBorders>
            <w:shd w:val="clear" w:color="auto" w:fill="auto"/>
            <w:noWrap/>
            <w:vAlign w:val="bottom"/>
          </w:tcPr>
          <w:p w14:paraId="5A26F1AF" w14:textId="77777777" w:rsidR="00975DAD" w:rsidRPr="00975DAD" w:rsidRDefault="00975DAD" w:rsidP="00975DAD">
            <w:pPr>
              <w:suppressAutoHyphens/>
              <w:spacing w:before="40" w:after="40" w:line="210" w:lineRule="exact"/>
              <w:ind w:right="43"/>
              <w:jc w:val="right"/>
              <w:rPr>
                <w:sz w:val="17"/>
              </w:rPr>
            </w:pPr>
          </w:p>
        </w:tc>
      </w:tr>
      <w:tr w:rsidR="00975DAD" w:rsidRPr="00975DAD" w14:paraId="60CE4733" w14:textId="77777777" w:rsidTr="00975DAD">
        <w:trPr>
          <w:cantSplit/>
        </w:trPr>
        <w:tc>
          <w:tcPr>
            <w:tcW w:w="3600" w:type="dxa"/>
            <w:shd w:val="clear" w:color="auto" w:fill="auto"/>
            <w:noWrap/>
            <w:vAlign w:val="bottom"/>
          </w:tcPr>
          <w:p w14:paraId="20F28ABB" w14:textId="17407CCF" w:rsidR="00F13A4D" w:rsidRPr="00975DAD" w:rsidRDefault="00F13A4D" w:rsidP="00975DAD">
            <w:pPr>
              <w:tabs>
                <w:tab w:val="left" w:pos="288"/>
                <w:tab w:val="left" w:pos="576"/>
                <w:tab w:val="left" w:pos="864"/>
                <w:tab w:val="left" w:pos="1152"/>
              </w:tabs>
              <w:suppressAutoHyphens/>
              <w:spacing w:before="40" w:after="40" w:line="210" w:lineRule="exact"/>
              <w:ind w:right="40"/>
              <w:rPr>
                <w:sz w:val="17"/>
              </w:rPr>
            </w:pPr>
            <w:r w:rsidRPr="00975DAD">
              <w:rPr>
                <w:sz w:val="17"/>
              </w:rPr>
              <w:t>Nombre total d</w:t>
            </w:r>
            <w:r w:rsidR="00F1794C" w:rsidRPr="00975DAD">
              <w:rPr>
                <w:sz w:val="17"/>
              </w:rPr>
              <w:t>’</w:t>
            </w:r>
            <w:r w:rsidRPr="00975DAD">
              <w:rPr>
                <w:sz w:val="17"/>
              </w:rPr>
              <w:t xml:space="preserve">inspection annuelles concernant les conditions de travail des femmes </w:t>
            </w:r>
          </w:p>
        </w:tc>
        <w:tc>
          <w:tcPr>
            <w:tcW w:w="744" w:type="dxa"/>
            <w:shd w:val="clear" w:color="auto" w:fill="auto"/>
            <w:noWrap/>
            <w:vAlign w:val="bottom"/>
          </w:tcPr>
          <w:p w14:paraId="13C0EF45" w14:textId="77777777" w:rsidR="00F13A4D" w:rsidRPr="00975DAD" w:rsidRDefault="00F13A4D" w:rsidP="00975DAD">
            <w:pPr>
              <w:tabs>
                <w:tab w:val="left" w:pos="288"/>
                <w:tab w:val="left" w:pos="576"/>
                <w:tab w:val="left" w:pos="864"/>
                <w:tab w:val="left" w:pos="1152"/>
              </w:tabs>
              <w:suppressAutoHyphens/>
              <w:spacing w:before="40" w:after="40" w:line="210" w:lineRule="exact"/>
              <w:ind w:right="43"/>
              <w:jc w:val="right"/>
              <w:rPr>
                <w:sz w:val="17"/>
              </w:rPr>
            </w:pPr>
            <w:r w:rsidRPr="00975DAD">
              <w:rPr>
                <w:sz w:val="17"/>
              </w:rPr>
              <w:t>12 833</w:t>
            </w:r>
          </w:p>
        </w:tc>
        <w:tc>
          <w:tcPr>
            <w:tcW w:w="744" w:type="dxa"/>
            <w:shd w:val="clear" w:color="auto" w:fill="auto"/>
            <w:noWrap/>
            <w:vAlign w:val="bottom"/>
          </w:tcPr>
          <w:p w14:paraId="6BA7DA8B" w14:textId="77777777" w:rsidR="00F13A4D" w:rsidRPr="00975DAD" w:rsidRDefault="00F13A4D" w:rsidP="00975DAD">
            <w:pPr>
              <w:tabs>
                <w:tab w:val="left" w:pos="288"/>
                <w:tab w:val="left" w:pos="576"/>
                <w:tab w:val="left" w:pos="864"/>
                <w:tab w:val="left" w:pos="1152"/>
              </w:tabs>
              <w:suppressAutoHyphens/>
              <w:spacing w:before="40" w:after="40" w:line="210" w:lineRule="exact"/>
              <w:ind w:right="43"/>
              <w:jc w:val="right"/>
              <w:rPr>
                <w:sz w:val="17"/>
              </w:rPr>
            </w:pPr>
            <w:r w:rsidRPr="00975DAD">
              <w:rPr>
                <w:sz w:val="17"/>
              </w:rPr>
              <w:t>17 661</w:t>
            </w:r>
          </w:p>
        </w:tc>
        <w:tc>
          <w:tcPr>
            <w:tcW w:w="744" w:type="dxa"/>
            <w:shd w:val="clear" w:color="auto" w:fill="auto"/>
            <w:noWrap/>
            <w:vAlign w:val="bottom"/>
          </w:tcPr>
          <w:p w14:paraId="2177F458" w14:textId="77777777" w:rsidR="00F13A4D" w:rsidRPr="00975DAD" w:rsidRDefault="00F13A4D" w:rsidP="00975DAD">
            <w:pPr>
              <w:tabs>
                <w:tab w:val="left" w:pos="288"/>
                <w:tab w:val="left" w:pos="576"/>
                <w:tab w:val="left" w:pos="864"/>
                <w:tab w:val="left" w:pos="1152"/>
              </w:tabs>
              <w:suppressAutoHyphens/>
              <w:spacing w:before="40" w:after="40" w:line="210" w:lineRule="exact"/>
              <w:ind w:right="43"/>
              <w:jc w:val="right"/>
              <w:rPr>
                <w:sz w:val="17"/>
              </w:rPr>
            </w:pPr>
            <w:r w:rsidRPr="00975DAD">
              <w:rPr>
                <w:sz w:val="17"/>
              </w:rPr>
              <w:t>16 762</w:t>
            </w:r>
          </w:p>
        </w:tc>
        <w:tc>
          <w:tcPr>
            <w:tcW w:w="744" w:type="dxa"/>
            <w:shd w:val="clear" w:color="auto" w:fill="auto"/>
            <w:noWrap/>
            <w:vAlign w:val="bottom"/>
          </w:tcPr>
          <w:p w14:paraId="11E59289" w14:textId="77777777" w:rsidR="00F13A4D" w:rsidRPr="00975DAD" w:rsidRDefault="00F13A4D" w:rsidP="00975DAD">
            <w:pPr>
              <w:tabs>
                <w:tab w:val="left" w:pos="288"/>
                <w:tab w:val="left" w:pos="576"/>
                <w:tab w:val="left" w:pos="864"/>
                <w:tab w:val="left" w:pos="1152"/>
              </w:tabs>
              <w:suppressAutoHyphens/>
              <w:spacing w:before="40" w:after="40" w:line="210" w:lineRule="exact"/>
              <w:ind w:right="43"/>
              <w:jc w:val="right"/>
              <w:rPr>
                <w:sz w:val="17"/>
              </w:rPr>
            </w:pPr>
            <w:r w:rsidRPr="00975DAD">
              <w:rPr>
                <w:sz w:val="17"/>
              </w:rPr>
              <w:t>19 526</w:t>
            </w:r>
          </w:p>
        </w:tc>
        <w:tc>
          <w:tcPr>
            <w:tcW w:w="744" w:type="dxa"/>
            <w:shd w:val="clear" w:color="auto" w:fill="auto"/>
            <w:noWrap/>
            <w:vAlign w:val="bottom"/>
          </w:tcPr>
          <w:p w14:paraId="2F335EF2" w14:textId="77777777" w:rsidR="00F13A4D" w:rsidRPr="00975DAD" w:rsidRDefault="00F13A4D" w:rsidP="00975DAD">
            <w:pPr>
              <w:tabs>
                <w:tab w:val="left" w:pos="288"/>
                <w:tab w:val="left" w:pos="576"/>
                <w:tab w:val="left" w:pos="864"/>
                <w:tab w:val="left" w:pos="1152"/>
              </w:tabs>
              <w:suppressAutoHyphens/>
              <w:spacing w:before="40" w:after="40" w:line="210" w:lineRule="exact"/>
              <w:ind w:right="43"/>
              <w:jc w:val="right"/>
              <w:rPr>
                <w:sz w:val="17"/>
              </w:rPr>
            </w:pPr>
            <w:r w:rsidRPr="00975DAD">
              <w:rPr>
                <w:sz w:val="17"/>
              </w:rPr>
              <w:t>19 526</w:t>
            </w:r>
          </w:p>
        </w:tc>
      </w:tr>
      <w:tr w:rsidR="00975DAD" w:rsidRPr="00975DAD" w14:paraId="38155DB4" w14:textId="77777777" w:rsidTr="00975DAD">
        <w:trPr>
          <w:cantSplit/>
        </w:trPr>
        <w:tc>
          <w:tcPr>
            <w:tcW w:w="3600" w:type="dxa"/>
            <w:shd w:val="clear" w:color="auto" w:fill="auto"/>
            <w:noWrap/>
            <w:vAlign w:val="bottom"/>
          </w:tcPr>
          <w:p w14:paraId="648E4ED6" w14:textId="585234D9" w:rsidR="00F13A4D" w:rsidRPr="00975DAD" w:rsidRDefault="00F13A4D" w:rsidP="00975DAD">
            <w:pPr>
              <w:tabs>
                <w:tab w:val="left" w:pos="288"/>
                <w:tab w:val="left" w:pos="576"/>
                <w:tab w:val="left" w:pos="864"/>
                <w:tab w:val="left" w:pos="1152"/>
              </w:tabs>
              <w:suppressAutoHyphens/>
              <w:spacing w:before="40" w:after="40" w:line="210" w:lineRule="exact"/>
              <w:ind w:right="40"/>
              <w:rPr>
                <w:sz w:val="17"/>
              </w:rPr>
            </w:pPr>
            <w:r w:rsidRPr="00975DAD">
              <w:rPr>
                <w:sz w:val="17"/>
              </w:rPr>
              <w:t>Nombre total des salariés concernés par des visites d</w:t>
            </w:r>
            <w:r w:rsidR="00F1794C" w:rsidRPr="00975DAD">
              <w:rPr>
                <w:sz w:val="17"/>
              </w:rPr>
              <w:t>’</w:t>
            </w:r>
            <w:r w:rsidRPr="00975DAD">
              <w:rPr>
                <w:sz w:val="17"/>
              </w:rPr>
              <w:t>inspection</w:t>
            </w:r>
          </w:p>
        </w:tc>
        <w:tc>
          <w:tcPr>
            <w:tcW w:w="744" w:type="dxa"/>
            <w:shd w:val="clear" w:color="auto" w:fill="auto"/>
            <w:noWrap/>
            <w:vAlign w:val="bottom"/>
          </w:tcPr>
          <w:p w14:paraId="42734361" w14:textId="77777777" w:rsidR="00F13A4D" w:rsidRPr="00975DAD" w:rsidRDefault="00F13A4D" w:rsidP="00975DAD">
            <w:pPr>
              <w:tabs>
                <w:tab w:val="left" w:pos="288"/>
                <w:tab w:val="left" w:pos="576"/>
                <w:tab w:val="left" w:pos="864"/>
                <w:tab w:val="left" w:pos="1152"/>
              </w:tabs>
              <w:suppressAutoHyphens/>
              <w:spacing w:before="40" w:after="40" w:line="210" w:lineRule="exact"/>
              <w:ind w:right="43"/>
              <w:jc w:val="right"/>
              <w:rPr>
                <w:sz w:val="17"/>
              </w:rPr>
            </w:pPr>
            <w:r w:rsidRPr="00975DAD">
              <w:rPr>
                <w:sz w:val="17"/>
              </w:rPr>
              <w:t>297 886</w:t>
            </w:r>
          </w:p>
        </w:tc>
        <w:tc>
          <w:tcPr>
            <w:tcW w:w="744" w:type="dxa"/>
            <w:shd w:val="clear" w:color="auto" w:fill="auto"/>
            <w:noWrap/>
            <w:vAlign w:val="bottom"/>
          </w:tcPr>
          <w:p w14:paraId="5AECBFB2" w14:textId="77777777" w:rsidR="00F13A4D" w:rsidRPr="00975DAD" w:rsidRDefault="00F13A4D" w:rsidP="00975DAD">
            <w:pPr>
              <w:tabs>
                <w:tab w:val="left" w:pos="288"/>
                <w:tab w:val="left" w:pos="576"/>
                <w:tab w:val="left" w:pos="864"/>
                <w:tab w:val="left" w:pos="1152"/>
              </w:tabs>
              <w:suppressAutoHyphens/>
              <w:spacing w:before="40" w:after="40" w:line="210" w:lineRule="exact"/>
              <w:ind w:right="43"/>
              <w:jc w:val="right"/>
              <w:rPr>
                <w:sz w:val="17"/>
              </w:rPr>
            </w:pPr>
            <w:r w:rsidRPr="00975DAD">
              <w:rPr>
                <w:sz w:val="17"/>
              </w:rPr>
              <w:t>837 230</w:t>
            </w:r>
          </w:p>
        </w:tc>
        <w:tc>
          <w:tcPr>
            <w:tcW w:w="744" w:type="dxa"/>
            <w:shd w:val="clear" w:color="auto" w:fill="auto"/>
            <w:noWrap/>
            <w:vAlign w:val="bottom"/>
          </w:tcPr>
          <w:p w14:paraId="4782F93D" w14:textId="77777777" w:rsidR="00F13A4D" w:rsidRPr="00975DAD" w:rsidRDefault="00F13A4D" w:rsidP="00975DAD">
            <w:pPr>
              <w:tabs>
                <w:tab w:val="left" w:pos="288"/>
                <w:tab w:val="left" w:pos="576"/>
                <w:tab w:val="left" w:pos="864"/>
                <w:tab w:val="left" w:pos="1152"/>
              </w:tabs>
              <w:suppressAutoHyphens/>
              <w:spacing w:before="40" w:after="40" w:line="210" w:lineRule="exact"/>
              <w:ind w:right="43"/>
              <w:jc w:val="right"/>
              <w:rPr>
                <w:sz w:val="17"/>
              </w:rPr>
            </w:pPr>
            <w:r w:rsidRPr="00975DAD">
              <w:rPr>
                <w:sz w:val="17"/>
              </w:rPr>
              <w:t>803 933</w:t>
            </w:r>
          </w:p>
        </w:tc>
        <w:tc>
          <w:tcPr>
            <w:tcW w:w="744" w:type="dxa"/>
            <w:shd w:val="clear" w:color="auto" w:fill="auto"/>
            <w:noWrap/>
            <w:vAlign w:val="bottom"/>
          </w:tcPr>
          <w:p w14:paraId="06A07061" w14:textId="77777777" w:rsidR="00F13A4D" w:rsidRPr="00975DAD" w:rsidRDefault="00F13A4D" w:rsidP="00975DAD">
            <w:pPr>
              <w:tabs>
                <w:tab w:val="left" w:pos="288"/>
                <w:tab w:val="left" w:pos="576"/>
                <w:tab w:val="left" w:pos="864"/>
                <w:tab w:val="left" w:pos="1152"/>
              </w:tabs>
              <w:suppressAutoHyphens/>
              <w:spacing w:before="40" w:after="40" w:line="210" w:lineRule="exact"/>
              <w:ind w:right="43"/>
              <w:jc w:val="right"/>
              <w:rPr>
                <w:sz w:val="17"/>
              </w:rPr>
            </w:pPr>
            <w:r w:rsidRPr="00975DAD">
              <w:rPr>
                <w:sz w:val="17"/>
              </w:rPr>
              <w:t>702 302</w:t>
            </w:r>
          </w:p>
        </w:tc>
        <w:tc>
          <w:tcPr>
            <w:tcW w:w="744" w:type="dxa"/>
            <w:shd w:val="clear" w:color="auto" w:fill="auto"/>
            <w:noWrap/>
            <w:vAlign w:val="bottom"/>
          </w:tcPr>
          <w:p w14:paraId="5403FD33" w14:textId="77777777" w:rsidR="00F13A4D" w:rsidRPr="00975DAD" w:rsidRDefault="00F13A4D" w:rsidP="00975DAD">
            <w:pPr>
              <w:tabs>
                <w:tab w:val="left" w:pos="288"/>
                <w:tab w:val="left" w:pos="576"/>
                <w:tab w:val="left" w:pos="864"/>
                <w:tab w:val="left" w:pos="1152"/>
              </w:tabs>
              <w:suppressAutoHyphens/>
              <w:spacing w:before="40" w:after="40" w:line="210" w:lineRule="exact"/>
              <w:ind w:right="43"/>
              <w:jc w:val="right"/>
              <w:rPr>
                <w:sz w:val="17"/>
              </w:rPr>
            </w:pPr>
            <w:r w:rsidRPr="00975DAD">
              <w:rPr>
                <w:sz w:val="17"/>
              </w:rPr>
              <w:t>460 801</w:t>
            </w:r>
          </w:p>
        </w:tc>
      </w:tr>
      <w:tr w:rsidR="00975DAD" w:rsidRPr="00975DAD" w14:paraId="78B18709" w14:textId="77777777" w:rsidTr="00975DAD">
        <w:trPr>
          <w:cantSplit/>
        </w:trPr>
        <w:tc>
          <w:tcPr>
            <w:tcW w:w="3600" w:type="dxa"/>
            <w:shd w:val="clear" w:color="auto" w:fill="auto"/>
            <w:noWrap/>
            <w:vAlign w:val="bottom"/>
          </w:tcPr>
          <w:p w14:paraId="26B88381" w14:textId="11E660DA" w:rsidR="00F13A4D" w:rsidRPr="00975DAD" w:rsidRDefault="00F13A4D" w:rsidP="00975DAD">
            <w:pPr>
              <w:tabs>
                <w:tab w:val="left" w:pos="288"/>
                <w:tab w:val="left" w:pos="576"/>
                <w:tab w:val="left" w:pos="864"/>
                <w:tab w:val="left" w:pos="1152"/>
              </w:tabs>
              <w:suppressAutoHyphens/>
              <w:spacing w:before="40" w:after="40" w:line="210" w:lineRule="exact"/>
              <w:ind w:right="40"/>
              <w:rPr>
                <w:sz w:val="17"/>
              </w:rPr>
            </w:pPr>
            <w:r w:rsidRPr="00975DAD">
              <w:rPr>
                <w:sz w:val="17"/>
              </w:rPr>
              <w:lastRenderedPageBreak/>
              <w:t>Nombre de femmes travaillant dans les entreprises ayant fait l</w:t>
            </w:r>
            <w:r w:rsidR="00F1794C" w:rsidRPr="00975DAD">
              <w:rPr>
                <w:sz w:val="17"/>
              </w:rPr>
              <w:t>’</w:t>
            </w:r>
            <w:r w:rsidRPr="00975DAD">
              <w:rPr>
                <w:sz w:val="17"/>
              </w:rPr>
              <w:t>objet d</w:t>
            </w:r>
            <w:r w:rsidR="00F1794C" w:rsidRPr="00975DAD">
              <w:rPr>
                <w:sz w:val="17"/>
              </w:rPr>
              <w:t>’</w:t>
            </w:r>
            <w:r w:rsidRPr="00975DAD">
              <w:rPr>
                <w:sz w:val="17"/>
              </w:rPr>
              <w:t>une inspection</w:t>
            </w:r>
          </w:p>
        </w:tc>
        <w:tc>
          <w:tcPr>
            <w:tcW w:w="744" w:type="dxa"/>
            <w:shd w:val="clear" w:color="auto" w:fill="auto"/>
            <w:noWrap/>
            <w:vAlign w:val="bottom"/>
          </w:tcPr>
          <w:p w14:paraId="0F99BFC9" w14:textId="77777777" w:rsidR="00F13A4D" w:rsidRPr="00975DAD" w:rsidRDefault="00F13A4D" w:rsidP="00975DAD">
            <w:pPr>
              <w:tabs>
                <w:tab w:val="left" w:pos="288"/>
                <w:tab w:val="left" w:pos="576"/>
                <w:tab w:val="left" w:pos="864"/>
                <w:tab w:val="left" w:pos="1152"/>
              </w:tabs>
              <w:suppressAutoHyphens/>
              <w:spacing w:before="40" w:after="40" w:line="210" w:lineRule="exact"/>
              <w:ind w:right="43"/>
              <w:jc w:val="right"/>
              <w:rPr>
                <w:sz w:val="17"/>
              </w:rPr>
            </w:pPr>
            <w:r w:rsidRPr="00975DAD">
              <w:rPr>
                <w:sz w:val="17"/>
              </w:rPr>
              <w:t>189 611</w:t>
            </w:r>
          </w:p>
        </w:tc>
        <w:tc>
          <w:tcPr>
            <w:tcW w:w="744" w:type="dxa"/>
            <w:shd w:val="clear" w:color="auto" w:fill="auto"/>
            <w:noWrap/>
            <w:vAlign w:val="bottom"/>
          </w:tcPr>
          <w:p w14:paraId="185F4648" w14:textId="77777777" w:rsidR="00F13A4D" w:rsidRPr="00975DAD" w:rsidRDefault="00F13A4D" w:rsidP="00975DAD">
            <w:pPr>
              <w:tabs>
                <w:tab w:val="left" w:pos="288"/>
                <w:tab w:val="left" w:pos="576"/>
                <w:tab w:val="left" w:pos="864"/>
                <w:tab w:val="left" w:pos="1152"/>
              </w:tabs>
              <w:suppressAutoHyphens/>
              <w:spacing w:before="40" w:after="40" w:line="210" w:lineRule="exact"/>
              <w:ind w:right="43"/>
              <w:jc w:val="right"/>
              <w:rPr>
                <w:sz w:val="17"/>
              </w:rPr>
            </w:pPr>
            <w:r w:rsidRPr="00975DAD">
              <w:rPr>
                <w:sz w:val="17"/>
              </w:rPr>
              <w:t>339 137</w:t>
            </w:r>
          </w:p>
        </w:tc>
        <w:tc>
          <w:tcPr>
            <w:tcW w:w="744" w:type="dxa"/>
            <w:shd w:val="clear" w:color="auto" w:fill="auto"/>
            <w:noWrap/>
            <w:vAlign w:val="bottom"/>
          </w:tcPr>
          <w:p w14:paraId="1A17FDD8" w14:textId="77777777" w:rsidR="00F13A4D" w:rsidRPr="00975DAD" w:rsidRDefault="00F13A4D" w:rsidP="00975DAD">
            <w:pPr>
              <w:tabs>
                <w:tab w:val="left" w:pos="288"/>
                <w:tab w:val="left" w:pos="576"/>
                <w:tab w:val="left" w:pos="864"/>
                <w:tab w:val="left" w:pos="1152"/>
              </w:tabs>
              <w:suppressAutoHyphens/>
              <w:spacing w:before="40" w:after="40" w:line="210" w:lineRule="exact"/>
              <w:ind w:right="43"/>
              <w:jc w:val="right"/>
              <w:rPr>
                <w:sz w:val="17"/>
              </w:rPr>
            </w:pPr>
            <w:r w:rsidRPr="00975DAD">
              <w:rPr>
                <w:sz w:val="17"/>
              </w:rPr>
              <w:t>317 411</w:t>
            </w:r>
          </w:p>
        </w:tc>
        <w:tc>
          <w:tcPr>
            <w:tcW w:w="744" w:type="dxa"/>
            <w:shd w:val="clear" w:color="auto" w:fill="auto"/>
            <w:noWrap/>
            <w:vAlign w:val="bottom"/>
          </w:tcPr>
          <w:p w14:paraId="2571F819" w14:textId="77777777" w:rsidR="00F13A4D" w:rsidRPr="00975DAD" w:rsidRDefault="00F13A4D" w:rsidP="00975DAD">
            <w:pPr>
              <w:tabs>
                <w:tab w:val="left" w:pos="288"/>
                <w:tab w:val="left" w:pos="576"/>
                <w:tab w:val="left" w:pos="864"/>
                <w:tab w:val="left" w:pos="1152"/>
              </w:tabs>
              <w:suppressAutoHyphens/>
              <w:spacing w:before="40" w:after="40" w:line="210" w:lineRule="exact"/>
              <w:ind w:right="43"/>
              <w:jc w:val="right"/>
              <w:rPr>
                <w:sz w:val="17"/>
              </w:rPr>
            </w:pPr>
            <w:r w:rsidRPr="00975DAD">
              <w:rPr>
                <w:sz w:val="17"/>
              </w:rPr>
              <w:t>242 597</w:t>
            </w:r>
          </w:p>
        </w:tc>
        <w:tc>
          <w:tcPr>
            <w:tcW w:w="744" w:type="dxa"/>
            <w:shd w:val="clear" w:color="auto" w:fill="auto"/>
            <w:noWrap/>
            <w:vAlign w:val="bottom"/>
          </w:tcPr>
          <w:p w14:paraId="2047AC81" w14:textId="77777777" w:rsidR="00F13A4D" w:rsidRPr="00975DAD" w:rsidRDefault="00F13A4D" w:rsidP="00975DAD">
            <w:pPr>
              <w:tabs>
                <w:tab w:val="left" w:pos="288"/>
                <w:tab w:val="left" w:pos="576"/>
                <w:tab w:val="left" w:pos="864"/>
                <w:tab w:val="left" w:pos="1152"/>
              </w:tabs>
              <w:suppressAutoHyphens/>
              <w:spacing w:before="40" w:after="40" w:line="210" w:lineRule="exact"/>
              <w:ind w:right="43"/>
              <w:jc w:val="right"/>
              <w:rPr>
                <w:sz w:val="17"/>
              </w:rPr>
            </w:pPr>
            <w:r w:rsidRPr="00975DAD">
              <w:rPr>
                <w:sz w:val="17"/>
              </w:rPr>
              <w:t>186 083</w:t>
            </w:r>
          </w:p>
        </w:tc>
      </w:tr>
      <w:tr w:rsidR="00975DAD" w:rsidRPr="00975DAD" w14:paraId="301E227B" w14:textId="77777777" w:rsidTr="00975DAD">
        <w:trPr>
          <w:cantSplit/>
        </w:trPr>
        <w:tc>
          <w:tcPr>
            <w:tcW w:w="3600" w:type="dxa"/>
            <w:shd w:val="clear" w:color="auto" w:fill="auto"/>
            <w:noWrap/>
            <w:vAlign w:val="bottom"/>
          </w:tcPr>
          <w:p w14:paraId="4D964A9F" w14:textId="37FFB4AB" w:rsidR="00F13A4D" w:rsidRPr="00975DAD" w:rsidRDefault="00F13A4D" w:rsidP="00975DAD">
            <w:pPr>
              <w:tabs>
                <w:tab w:val="left" w:pos="288"/>
                <w:tab w:val="left" w:pos="576"/>
                <w:tab w:val="left" w:pos="864"/>
                <w:tab w:val="left" w:pos="1152"/>
              </w:tabs>
              <w:suppressAutoHyphens/>
              <w:spacing w:before="40" w:after="40" w:line="210" w:lineRule="exact"/>
              <w:ind w:right="40"/>
              <w:rPr>
                <w:sz w:val="17"/>
              </w:rPr>
            </w:pPr>
            <w:r w:rsidRPr="00975DAD">
              <w:rPr>
                <w:sz w:val="17"/>
              </w:rPr>
              <w:t>Nombre de femmes à des postes de responsabilité dans les entreprises ayant fait l</w:t>
            </w:r>
            <w:r w:rsidR="00F1794C" w:rsidRPr="00975DAD">
              <w:rPr>
                <w:sz w:val="17"/>
              </w:rPr>
              <w:t>’</w:t>
            </w:r>
            <w:r w:rsidRPr="00975DAD">
              <w:rPr>
                <w:sz w:val="17"/>
              </w:rPr>
              <w:t>objet d</w:t>
            </w:r>
            <w:r w:rsidR="00F1794C" w:rsidRPr="00975DAD">
              <w:rPr>
                <w:sz w:val="17"/>
              </w:rPr>
              <w:t>’</w:t>
            </w:r>
            <w:r w:rsidRPr="00975DAD">
              <w:rPr>
                <w:sz w:val="17"/>
              </w:rPr>
              <w:t>une inspection</w:t>
            </w:r>
          </w:p>
        </w:tc>
        <w:tc>
          <w:tcPr>
            <w:tcW w:w="744" w:type="dxa"/>
            <w:shd w:val="clear" w:color="auto" w:fill="auto"/>
            <w:noWrap/>
            <w:vAlign w:val="bottom"/>
          </w:tcPr>
          <w:p w14:paraId="19B99466" w14:textId="77777777" w:rsidR="00F13A4D" w:rsidRPr="00975DAD" w:rsidRDefault="00F13A4D" w:rsidP="00975DAD">
            <w:pPr>
              <w:tabs>
                <w:tab w:val="left" w:pos="288"/>
                <w:tab w:val="left" w:pos="576"/>
                <w:tab w:val="left" w:pos="864"/>
                <w:tab w:val="left" w:pos="1152"/>
              </w:tabs>
              <w:suppressAutoHyphens/>
              <w:spacing w:before="40" w:after="40" w:line="210" w:lineRule="exact"/>
              <w:ind w:right="43"/>
              <w:jc w:val="right"/>
              <w:rPr>
                <w:sz w:val="17"/>
              </w:rPr>
            </w:pPr>
            <w:r w:rsidRPr="00975DAD">
              <w:rPr>
                <w:sz w:val="17"/>
              </w:rPr>
              <w:t>7 511</w:t>
            </w:r>
          </w:p>
        </w:tc>
        <w:tc>
          <w:tcPr>
            <w:tcW w:w="744" w:type="dxa"/>
            <w:shd w:val="clear" w:color="auto" w:fill="auto"/>
            <w:noWrap/>
            <w:vAlign w:val="bottom"/>
          </w:tcPr>
          <w:p w14:paraId="7F7ED056" w14:textId="77777777" w:rsidR="00F13A4D" w:rsidRPr="00975DAD" w:rsidRDefault="00F13A4D" w:rsidP="00975DAD">
            <w:pPr>
              <w:tabs>
                <w:tab w:val="left" w:pos="288"/>
                <w:tab w:val="left" w:pos="576"/>
                <w:tab w:val="left" w:pos="864"/>
                <w:tab w:val="left" w:pos="1152"/>
              </w:tabs>
              <w:suppressAutoHyphens/>
              <w:spacing w:before="40" w:after="40" w:line="210" w:lineRule="exact"/>
              <w:ind w:right="43"/>
              <w:jc w:val="right"/>
              <w:rPr>
                <w:sz w:val="17"/>
              </w:rPr>
            </w:pPr>
            <w:r w:rsidRPr="00975DAD">
              <w:rPr>
                <w:sz w:val="17"/>
              </w:rPr>
              <w:t>12 498</w:t>
            </w:r>
          </w:p>
        </w:tc>
        <w:tc>
          <w:tcPr>
            <w:tcW w:w="744" w:type="dxa"/>
            <w:shd w:val="clear" w:color="auto" w:fill="auto"/>
            <w:noWrap/>
            <w:vAlign w:val="bottom"/>
          </w:tcPr>
          <w:p w14:paraId="3F0B77CA" w14:textId="77777777" w:rsidR="00F13A4D" w:rsidRPr="00975DAD" w:rsidRDefault="00F13A4D" w:rsidP="00975DAD">
            <w:pPr>
              <w:tabs>
                <w:tab w:val="left" w:pos="288"/>
                <w:tab w:val="left" w:pos="576"/>
                <w:tab w:val="left" w:pos="864"/>
                <w:tab w:val="left" w:pos="1152"/>
              </w:tabs>
              <w:suppressAutoHyphens/>
              <w:spacing w:before="40" w:after="40" w:line="210" w:lineRule="exact"/>
              <w:ind w:right="43"/>
              <w:jc w:val="right"/>
              <w:rPr>
                <w:sz w:val="17"/>
              </w:rPr>
            </w:pPr>
            <w:r w:rsidRPr="00975DAD">
              <w:rPr>
                <w:sz w:val="17"/>
              </w:rPr>
              <w:t>17 397</w:t>
            </w:r>
          </w:p>
        </w:tc>
        <w:tc>
          <w:tcPr>
            <w:tcW w:w="744" w:type="dxa"/>
            <w:shd w:val="clear" w:color="auto" w:fill="auto"/>
            <w:noWrap/>
            <w:vAlign w:val="bottom"/>
          </w:tcPr>
          <w:p w14:paraId="35FF66A9" w14:textId="77777777" w:rsidR="00F13A4D" w:rsidRPr="00975DAD" w:rsidRDefault="00F13A4D" w:rsidP="00975DAD">
            <w:pPr>
              <w:tabs>
                <w:tab w:val="left" w:pos="288"/>
                <w:tab w:val="left" w:pos="576"/>
                <w:tab w:val="left" w:pos="864"/>
                <w:tab w:val="left" w:pos="1152"/>
              </w:tabs>
              <w:suppressAutoHyphens/>
              <w:spacing w:before="40" w:after="40" w:line="210" w:lineRule="exact"/>
              <w:ind w:right="43"/>
              <w:jc w:val="right"/>
              <w:rPr>
                <w:sz w:val="17"/>
              </w:rPr>
            </w:pPr>
            <w:r w:rsidRPr="00975DAD">
              <w:rPr>
                <w:sz w:val="17"/>
              </w:rPr>
              <w:t>24 177</w:t>
            </w:r>
          </w:p>
        </w:tc>
        <w:tc>
          <w:tcPr>
            <w:tcW w:w="744" w:type="dxa"/>
            <w:shd w:val="clear" w:color="auto" w:fill="auto"/>
            <w:noWrap/>
            <w:vAlign w:val="bottom"/>
          </w:tcPr>
          <w:p w14:paraId="221238EA" w14:textId="77777777" w:rsidR="00F13A4D" w:rsidRPr="00975DAD" w:rsidRDefault="00F13A4D" w:rsidP="00975DAD">
            <w:pPr>
              <w:tabs>
                <w:tab w:val="left" w:pos="288"/>
                <w:tab w:val="left" w:pos="576"/>
                <w:tab w:val="left" w:pos="864"/>
                <w:tab w:val="left" w:pos="1152"/>
              </w:tabs>
              <w:suppressAutoHyphens/>
              <w:spacing w:before="40" w:after="40" w:line="210" w:lineRule="exact"/>
              <w:ind w:right="43"/>
              <w:jc w:val="right"/>
              <w:rPr>
                <w:sz w:val="17"/>
              </w:rPr>
            </w:pPr>
            <w:r w:rsidRPr="00975DAD">
              <w:rPr>
                <w:sz w:val="17"/>
              </w:rPr>
              <w:t>15 907</w:t>
            </w:r>
          </w:p>
        </w:tc>
      </w:tr>
      <w:tr w:rsidR="00975DAD" w:rsidRPr="00975DAD" w14:paraId="2618D181" w14:textId="77777777" w:rsidTr="00975DAD">
        <w:trPr>
          <w:cantSplit/>
        </w:trPr>
        <w:tc>
          <w:tcPr>
            <w:tcW w:w="3600" w:type="dxa"/>
            <w:shd w:val="clear" w:color="auto" w:fill="auto"/>
            <w:noWrap/>
            <w:vAlign w:val="bottom"/>
          </w:tcPr>
          <w:p w14:paraId="0F1D8860" w14:textId="3DF09CE4" w:rsidR="00F13A4D" w:rsidRPr="00975DAD" w:rsidRDefault="00F13A4D" w:rsidP="00975DAD">
            <w:pPr>
              <w:tabs>
                <w:tab w:val="left" w:pos="288"/>
                <w:tab w:val="left" w:pos="576"/>
                <w:tab w:val="left" w:pos="864"/>
                <w:tab w:val="left" w:pos="1152"/>
              </w:tabs>
              <w:suppressAutoHyphens/>
              <w:spacing w:before="40" w:after="40" w:line="210" w:lineRule="exact"/>
              <w:ind w:right="40"/>
              <w:rPr>
                <w:sz w:val="17"/>
              </w:rPr>
            </w:pPr>
            <w:r w:rsidRPr="00975DAD">
              <w:rPr>
                <w:sz w:val="17"/>
              </w:rPr>
              <w:t>Nombre de déléguées des travailleurs dans les entreprises ayant fait l</w:t>
            </w:r>
            <w:r w:rsidR="00F1794C" w:rsidRPr="00975DAD">
              <w:rPr>
                <w:sz w:val="17"/>
              </w:rPr>
              <w:t>’</w:t>
            </w:r>
            <w:r w:rsidRPr="00975DAD">
              <w:rPr>
                <w:sz w:val="17"/>
              </w:rPr>
              <w:t>objet d</w:t>
            </w:r>
            <w:r w:rsidR="00F1794C" w:rsidRPr="00975DAD">
              <w:rPr>
                <w:sz w:val="17"/>
              </w:rPr>
              <w:t>’</w:t>
            </w:r>
            <w:r w:rsidRPr="00975DAD">
              <w:rPr>
                <w:sz w:val="17"/>
              </w:rPr>
              <w:t>une inspection</w:t>
            </w:r>
          </w:p>
        </w:tc>
        <w:tc>
          <w:tcPr>
            <w:tcW w:w="744" w:type="dxa"/>
            <w:shd w:val="clear" w:color="auto" w:fill="auto"/>
            <w:noWrap/>
            <w:vAlign w:val="bottom"/>
          </w:tcPr>
          <w:p w14:paraId="7B058D7C" w14:textId="77777777" w:rsidR="00F13A4D" w:rsidRPr="00975DAD" w:rsidRDefault="00F13A4D" w:rsidP="00975DAD">
            <w:pPr>
              <w:tabs>
                <w:tab w:val="left" w:pos="288"/>
                <w:tab w:val="left" w:pos="576"/>
                <w:tab w:val="left" w:pos="864"/>
                <w:tab w:val="left" w:pos="1152"/>
              </w:tabs>
              <w:suppressAutoHyphens/>
              <w:spacing w:before="40" w:after="40" w:line="210" w:lineRule="exact"/>
              <w:ind w:right="43"/>
              <w:jc w:val="right"/>
              <w:rPr>
                <w:sz w:val="17"/>
              </w:rPr>
            </w:pPr>
            <w:r w:rsidRPr="00975DAD">
              <w:rPr>
                <w:sz w:val="17"/>
              </w:rPr>
              <w:t>620</w:t>
            </w:r>
          </w:p>
        </w:tc>
        <w:tc>
          <w:tcPr>
            <w:tcW w:w="744" w:type="dxa"/>
            <w:shd w:val="clear" w:color="auto" w:fill="auto"/>
            <w:noWrap/>
            <w:vAlign w:val="bottom"/>
          </w:tcPr>
          <w:p w14:paraId="1F11BA3F" w14:textId="77777777" w:rsidR="00F13A4D" w:rsidRPr="00975DAD" w:rsidRDefault="00F13A4D" w:rsidP="00975DAD">
            <w:pPr>
              <w:tabs>
                <w:tab w:val="left" w:pos="288"/>
                <w:tab w:val="left" w:pos="576"/>
                <w:tab w:val="left" w:pos="864"/>
                <w:tab w:val="left" w:pos="1152"/>
              </w:tabs>
              <w:suppressAutoHyphens/>
              <w:spacing w:before="40" w:after="40" w:line="210" w:lineRule="exact"/>
              <w:ind w:right="43"/>
              <w:jc w:val="right"/>
              <w:rPr>
                <w:sz w:val="17"/>
              </w:rPr>
            </w:pPr>
            <w:r w:rsidRPr="00975DAD">
              <w:rPr>
                <w:sz w:val="17"/>
              </w:rPr>
              <w:t>3 855</w:t>
            </w:r>
          </w:p>
        </w:tc>
        <w:tc>
          <w:tcPr>
            <w:tcW w:w="744" w:type="dxa"/>
            <w:shd w:val="clear" w:color="auto" w:fill="auto"/>
            <w:noWrap/>
            <w:vAlign w:val="bottom"/>
          </w:tcPr>
          <w:p w14:paraId="0622C175" w14:textId="77777777" w:rsidR="00F13A4D" w:rsidRPr="00975DAD" w:rsidRDefault="00F13A4D" w:rsidP="00975DAD">
            <w:pPr>
              <w:tabs>
                <w:tab w:val="left" w:pos="288"/>
                <w:tab w:val="left" w:pos="576"/>
                <w:tab w:val="left" w:pos="864"/>
                <w:tab w:val="left" w:pos="1152"/>
              </w:tabs>
              <w:suppressAutoHyphens/>
              <w:spacing w:before="40" w:after="40" w:line="210" w:lineRule="exact"/>
              <w:ind w:right="43"/>
              <w:jc w:val="right"/>
              <w:rPr>
                <w:sz w:val="17"/>
              </w:rPr>
            </w:pPr>
            <w:r w:rsidRPr="00975DAD">
              <w:rPr>
                <w:sz w:val="17"/>
              </w:rPr>
              <w:t>3 890</w:t>
            </w:r>
          </w:p>
        </w:tc>
        <w:tc>
          <w:tcPr>
            <w:tcW w:w="744" w:type="dxa"/>
            <w:shd w:val="clear" w:color="auto" w:fill="auto"/>
            <w:noWrap/>
            <w:vAlign w:val="bottom"/>
          </w:tcPr>
          <w:p w14:paraId="7E644C50" w14:textId="77777777" w:rsidR="00F13A4D" w:rsidRPr="00975DAD" w:rsidRDefault="00F13A4D" w:rsidP="00975DAD">
            <w:pPr>
              <w:tabs>
                <w:tab w:val="left" w:pos="288"/>
                <w:tab w:val="left" w:pos="576"/>
                <w:tab w:val="left" w:pos="864"/>
                <w:tab w:val="left" w:pos="1152"/>
              </w:tabs>
              <w:suppressAutoHyphens/>
              <w:spacing w:before="40" w:after="40" w:line="210" w:lineRule="exact"/>
              <w:ind w:right="43"/>
              <w:jc w:val="right"/>
              <w:rPr>
                <w:sz w:val="17"/>
              </w:rPr>
            </w:pPr>
            <w:r w:rsidRPr="00975DAD">
              <w:rPr>
                <w:sz w:val="17"/>
              </w:rPr>
              <w:t>4 571</w:t>
            </w:r>
          </w:p>
        </w:tc>
        <w:tc>
          <w:tcPr>
            <w:tcW w:w="744" w:type="dxa"/>
            <w:shd w:val="clear" w:color="auto" w:fill="auto"/>
            <w:noWrap/>
            <w:vAlign w:val="bottom"/>
          </w:tcPr>
          <w:p w14:paraId="68D09CB6" w14:textId="77777777" w:rsidR="00F13A4D" w:rsidRPr="00975DAD" w:rsidRDefault="00F13A4D" w:rsidP="00975DAD">
            <w:pPr>
              <w:tabs>
                <w:tab w:val="left" w:pos="288"/>
                <w:tab w:val="left" w:pos="576"/>
                <w:tab w:val="left" w:pos="864"/>
                <w:tab w:val="left" w:pos="1152"/>
              </w:tabs>
              <w:suppressAutoHyphens/>
              <w:spacing w:before="40" w:after="40" w:line="210" w:lineRule="exact"/>
              <w:ind w:right="43"/>
              <w:jc w:val="right"/>
              <w:rPr>
                <w:sz w:val="17"/>
              </w:rPr>
            </w:pPr>
            <w:r w:rsidRPr="00975DAD">
              <w:rPr>
                <w:sz w:val="17"/>
              </w:rPr>
              <w:t>3 782</w:t>
            </w:r>
          </w:p>
        </w:tc>
      </w:tr>
      <w:tr w:rsidR="00975DAD" w:rsidRPr="00975DAD" w14:paraId="7937E9B3" w14:textId="77777777" w:rsidTr="00975DAD">
        <w:trPr>
          <w:cantSplit/>
        </w:trPr>
        <w:tc>
          <w:tcPr>
            <w:tcW w:w="3600" w:type="dxa"/>
            <w:shd w:val="clear" w:color="auto" w:fill="auto"/>
            <w:noWrap/>
            <w:vAlign w:val="bottom"/>
          </w:tcPr>
          <w:p w14:paraId="2129FE1C" w14:textId="2E0055F0" w:rsidR="00F13A4D" w:rsidRPr="00975DAD" w:rsidRDefault="00F13A4D" w:rsidP="00975DAD">
            <w:pPr>
              <w:tabs>
                <w:tab w:val="left" w:pos="288"/>
                <w:tab w:val="left" w:pos="576"/>
                <w:tab w:val="left" w:pos="864"/>
                <w:tab w:val="left" w:pos="1152"/>
              </w:tabs>
              <w:suppressAutoHyphens/>
              <w:spacing w:before="40" w:after="40" w:line="210" w:lineRule="exact"/>
              <w:ind w:right="40"/>
              <w:rPr>
                <w:sz w:val="17"/>
              </w:rPr>
            </w:pPr>
            <w:r w:rsidRPr="00975DAD">
              <w:rPr>
                <w:sz w:val="17"/>
              </w:rPr>
              <w:t>Nombre de femmes responsables syndicales dans les entreprises ayant fait l</w:t>
            </w:r>
            <w:r w:rsidR="00F1794C" w:rsidRPr="00975DAD">
              <w:rPr>
                <w:sz w:val="17"/>
              </w:rPr>
              <w:t>’</w:t>
            </w:r>
            <w:r w:rsidRPr="00975DAD">
              <w:rPr>
                <w:sz w:val="17"/>
              </w:rPr>
              <w:t>objet d</w:t>
            </w:r>
            <w:r w:rsidR="00F1794C" w:rsidRPr="00975DAD">
              <w:rPr>
                <w:sz w:val="17"/>
              </w:rPr>
              <w:t>’</w:t>
            </w:r>
            <w:r w:rsidRPr="00975DAD">
              <w:rPr>
                <w:sz w:val="17"/>
              </w:rPr>
              <w:t>une inspection</w:t>
            </w:r>
          </w:p>
        </w:tc>
        <w:tc>
          <w:tcPr>
            <w:tcW w:w="744" w:type="dxa"/>
            <w:shd w:val="clear" w:color="auto" w:fill="auto"/>
            <w:noWrap/>
            <w:vAlign w:val="bottom"/>
          </w:tcPr>
          <w:p w14:paraId="63062D25" w14:textId="77777777" w:rsidR="00F13A4D" w:rsidRPr="00975DAD" w:rsidRDefault="00F13A4D" w:rsidP="00975DAD">
            <w:pPr>
              <w:tabs>
                <w:tab w:val="left" w:pos="288"/>
                <w:tab w:val="left" w:pos="576"/>
                <w:tab w:val="left" w:pos="864"/>
                <w:tab w:val="left" w:pos="1152"/>
              </w:tabs>
              <w:suppressAutoHyphens/>
              <w:spacing w:before="40" w:after="40" w:line="210" w:lineRule="exact"/>
              <w:ind w:right="43"/>
              <w:jc w:val="right"/>
              <w:rPr>
                <w:sz w:val="17"/>
              </w:rPr>
            </w:pPr>
            <w:r w:rsidRPr="00975DAD">
              <w:rPr>
                <w:sz w:val="17"/>
              </w:rPr>
              <w:t>111</w:t>
            </w:r>
          </w:p>
        </w:tc>
        <w:tc>
          <w:tcPr>
            <w:tcW w:w="744" w:type="dxa"/>
            <w:shd w:val="clear" w:color="auto" w:fill="auto"/>
            <w:noWrap/>
            <w:vAlign w:val="bottom"/>
          </w:tcPr>
          <w:p w14:paraId="7EFECE63" w14:textId="77777777" w:rsidR="00F13A4D" w:rsidRPr="00975DAD" w:rsidRDefault="00F13A4D" w:rsidP="00975DAD">
            <w:pPr>
              <w:tabs>
                <w:tab w:val="left" w:pos="288"/>
                <w:tab w:val="left" w:pos="576"/>
                <w:tab w:val="left" w:pos="864"/>
                <w:tab w:val="left" w:pos="1152"/>
              </w:tabs>
              <w:suppressAutoHyphens/>
              <w:spacing w:before="40" w:after="40" w:line="210" w:lineRule="exact"/>
              <w:ind w:right="43"/>
              <w:jc w:val="right"/>
              <w:rPr>
                <w:sz w:val="17"/>
              </w:rPr>
            </w:pPr>
            <w:r w:rsidRPr="00975DAD">
              <w:rPr>
                <w:sz w:val="17"/>
              </w:rPr>
              <w:t>559</w:t>
            </w:r>
          </w:p>
        </w:tc>
        <w:tc>
          <w:tcPr>
            <w:tcW w:w="744" w:type="dxa"/>
            <w:shd w:val="clear" w:color="auto" w:fill="auto"/>
            <w:noWrap/>
            <w:vAlign w:val="bottom"/>
          </w:tcPr>
          <w:p w14:paraId="1040A607" w14:textId="77777777" w:rsidR="00F13A4D" w:rsidRPr="00975DAD" w:rsidRDefault="00F13A4D" w:rsidP="00975DAD">
            <w:pPr>
              <w:tabs>
                <w:tab w:val="left" w:pos="288"/>
                <w:tab w:val="left" w:pos="576"/>
                <w:tab w:val="left" w:pos="864"/>
                <w:tab w:val="left" w:pos="1152"/>
              </w:tabs>
              <w:suppressAutoHyphens/>
              <w:spacing w:before="40" w:after="40" w:line="210" w:lineRule="exact"/>
              <w:ind w:right="43"/>
              <w:jc w:val="right"/>
              <w:rPr>
                <w:sz w:val="17"/>
              </w:rPr>
            </w:pPr>
            <w:r w:rsidRPr="00975DAD">
              <w:rPr>
                <w:sz w:val="17"/>
              </w:rPr>
              <w:t>125</w:t>
            </w:r>
          </w:p>
        </w:tc>
        <w:tc>
          <w:tcPr>
            <w:tcW w:w="744" w:type="dxa"/>
            <w:shd w:val="clear" w:color="auto" w:fill="auto"/>
            <w:noWrap/>
            <w:vAlign w:val="bottom"/>
          </w:tcPr>
          <w:p w14:paraId="1B2E09FA" w14:textId="77777777" w:rsidR="00F13A4D" w:rsidRPr="00975DAD" w:rsidRDefault="00F13A4D" w:rsidP="00975DAD">
            <w:pPr>
              <w:tabs>
                <w:tab w:val="left" w:pos="288"/>
                <w:tab w:val="left" w:pos="576"/>
                <w:tab w:val="left" w:pos="864"/>
                <w:tab w:val="left" w:pos="1152"/>
              </w:tabs>
              <w:suppressAutoHyphens/>
              <w:spacing w:before="40" w:after="40" w:line="210" w:lineRule="exact"/>
              <w:ind w:right="43"/>
              <w:jc w:val="right"/>
              <w:rPr>
                <w:sz w:val="17"/>
              </w:rPr>
            </w:pPr>
            <w:r w:rsidRPr="00975DAD">
              <w:rPr>
                <w:sz w:val="17"/>
              </w:rPr>
              <w:t>2 494</w:t>
            </w:r>
          </w:p>
        </w:tc>
        <w:tc>
          <w:tcPr>
            <w:tcW w:w="744" w:type="dxa"/>
            <w:shd w:val="clear" w:color="auto" w:fill="auto"/>
            <w:noWrap/>
            <w:vAlign w:val="bottom"/>
          </w:tcPr>
          <w:p w14:paraId="50416E79" w14:textId="77777777" w:rsidR="00F13A4D" w:rsidRPr="00975DAD" w:rsidRDefault="00F13A4D" w:rsidP="00975DAD">
            <w:pPr>
              <w:tabs>
                <w:tab w:val="left" w:pos="288"/>
                <w:tab w:val="left" w:pos="576"/>
                <w:tab w:val="left" w:pos="864"/>
                <w:tab w:val="left" w:pos="1152"/>
              </w:tabs>
              <w:suppressAutoHyphens/>
              <w:spacing w:before="40" w:after="40" w:line="210" w:lineRule="exact"/>
              <w:ind w:right="43"/>
              <w:jc w:val="right"/>
              <w:rPr>
                <w:sz w:val="17"/>
              </w:rPr>
            </w:pPr>
            <w:r w:rsidRPr="00975DAD">
              <w:rPr>
                <w:sz w:val="17"/>
              </w:rPr>
              <w:t>226</w:t>
            </w:r>
          </w:p>
        </w:tc>
      </w:tr>
      <w:tr w:rsidR="00975DAD" w:rsidRPr="00975DAD" w14:paraId="0DF560A1" w14:textId="77777777" w:rsidTr="00975DAD">
        <w:trPr>
          <w:cantSplit/>
        </w:trPr>
        <w:tc>
          <w:tcPr>
            <w:tcW w:w="3600" w:type="dxa"/>
            <w:shd w:val="clear" w:color="auto" w:fill="auto"/>
            <w:noWrap/>
            <w:vAlign w:val="bottom"/>
          </w:tcPr>
          <w:p w14:paraId="710D7EBF" w14:textId="77777777" w:rsidR="00F13A4D" w:rsidRPr="00975DAD" w:rsidRDefault="00F13A4D" w:rsidP="00975DAD">
            <w:pPr>
              <w:tabs>
                <w:tab w:val="left" w:pos="288"/>
                <w:tab w:val="left" w:pos="576"/>
                <w:tab w:val="left" w:pos="864"/>
                <w:tab w:val="left" w:pos="1152"/>
              </w:tabs>
              <w:suppressAutoHyphens/>
              <w:spacing w:before="40" w:after="40" w:line="210" w:lineRule="exact"/>
              <w:ind w:right="40"/>
              <w:rPr>
                <w:sz w:val="17"/>
              </w:rPr>
            </w:pPr>
            <w:r w:rsidRPr="00975DAD">
              <w:rPr>
                <w:sz w:val="17"/>
              </w:rPr>
              <w:t>Observations relatives au salaire</w:t>
            </w:r>
          </w:p>
        </w:tc>
        <w:tc>
          <w:tcPr>
            <w:tcW w:w="744" w:type="dxa"/>
            <w:shd w:val="clear" w:color="auto" w:fill="auto"/>
            <w:noWrap/>
            <w:vAlign w:val="bottom"/>
          </w:tcPr>
          <w:p w14:paraId="2DC45601" w14:textId="77777777" w:rsidR="00F13A4D" w:rsidRPr="00975DAD" w:rsidRDefault="00F13A4D" w:rsidP="00975DAD">
            <w:pPr>
              <w:tabs>
                <w:tab w:val="left" w:pos="288"/>
                <w:tab w:val="left" w:pos="576"/>
                <w:tab w:val="left" w:pos="864"/>
                <w:tab w:val="left" w:pos="1152"/>
              </w:tabs>
              <w:suppressAutoHyphens/>
              <w:spacing w:before="40" w:after="40" w:line="210" w:lineRule="exact"/>
              <w:ind w:right="43"/>
              <w:jc w:val="right"/>
              <w:rPr>
                <w:sz w:val="17"/>
              </w:rPr>
            </w:pPr>
            <w:r w:rsidRPr="00975DAD">
              <w:rPr>
                <w:sz w:val="17"/>
              </w:rPr>
              <w:t>3 732</w:t>
            </w:r>
          </w:p>
        </w:tc>
        <w:tc>
          <w:tcPr>
            <w:tcW w:w="744" w:type="dxa"/>
            <w:shd w:val="clear" w:color="auto" w:fill="auto"/>
            <w:noWrap/>
            <w:vAlign w:val="bottom"/>
          </w:tcPr>
          <w:p w14:paraId="60243E80" w14:textId="77777777" w:rsidR="00F13A4D" w:rsidRPr="00975DAD" w:rsidRDefault="00F13A4D" w:rsidP="00975DAD">
            <w:pPr>
              <w:tabs>
                <w:tab w:val="left" w:pos="288"/>
                <w:tab w:val="left" w:pos="576"/>
                <w:tab w:val="left" w:pos="864"/>
                <w:tab w:val="left" w:pos="1152"/>
              </w:tabs>
              <w:suppressAutoHyphens/>
              <w:spacing w:before="40" w:after="40" w:line="210" w:lineRule="exact"/>
              <w:ind w:right="43"/>
              <w:jc w:val="right"/>
              <w:rPr>
                <w:sz w:val="17"/>
              </w:rPr>
            </w:pPr>
            <w:r w:rsidRPr="00975DAD">
              <w:rPr>
                <w:sz w:val="17"/>
              </w:rPr>
              <w:t>1 627</w:t>
            </w:r>
          </w:p>
        </w:tc>
        <w:tc>
          <w:tcPr>
            <w:tcW w:w="744" w:type="dxa"/>
            <w:shd w:val="clear" w:color="auto" w:fill="auto"/>
            <w:noWrap/>
            <w:vAlign w:val="bottom"/>
          </w:tcPr>
          <w:p w14:paraId="697EA20B" w14:textId="77777777" w:rsidR="00F13A4D" w:rsidRPr="00975DAD" w:rsidRDefault="00F13A4D" w:rsidP="00975DAD">
            <w:pPr>
              <w:tabs>
                <w:tab w:val="left" w:pos="288"/>
                <w:tab w:val="left" w:pos="576"/>
                <w:tab w:val="left" w:pos="864"/>
                <w:tab w:val="left" w:pos="1152"/>
              </w:tabs>
              <w:suppressAutoHyphens/>
              <w:spacing w:before="40" w:after="40" w:line="210" w:lineRule="exact"/>
              <w:ind w:right="43"/>
              <w:jc w:val="right"/>
              <w:rPr>
                <w:sz w:val="17"/>
              </w:rPr>
            </w:pPr>
            <w:r w:rsidRPr="00975DAD">
              <w:rPr>
                <w:sz w:val="17"/>
              </w:rPr>
              <w:t>10 039</w:t>
            </w:r>
          </w:p>
        </w:tc>
        <w:tc>
          <w:tcPr>
            <w:tcW w:w="744" w:type="dxa"/>
            <w:shd w:val="clear" w:color="auto" w:fill="auto"/>
            <w:noWrap/>
            <w:vAlign w:val="bottom"/>
          </w:tcPr>
          <w:p w14:paraId="3A1B6F44" w14:textId="77777777" w:rsidR="00F13A4D" w:rsidRPr="00975DAD" w:rsidRDefault="00F13A4D" w:rsidP="00975DAD">
            <w:pPr>
              <w:tabs>
                <w:tab w:val="left" w:pos="288"/>
                <w:tab w:val="left" w:pos="576"/>
                <w:tab w:val="left" w:pos="864"/>
                <w:tab w:val="left" w:pos="1152"/>
              </w:tabs>
              <w:suppressAutoHyphens/>
              <w:spacing w:before="40" w:after="40" w:line="210" w:lineRule="exact"/>
              <w:ind w:right="43"/>
              <w:jc w:val="right"/>
              <w:rPr>
                <w:sz w:val="17"/>
              </w:rPr>
            </w:pPr>
            <w:r w:rsidRPr="00975DAD">
              <w:rPr>
                <w:sz w:val="17"/>
              </w:rPr>
              <w:t>57 452</w:t>
            </w:r>
          </w:p>
        </w:tc>
        <w:tc>
          <w:tcPr>
            <w:tcW w:w="744" w:type="dxa"/>
            <w:shd w:val="clear" w:color="auto" w:fill="auto"/>
            <w:noWrap/>
            <w:vAlign w:val="bottom"/>
          </w:tcPr>
          <w:p w14:paraId="4988536D" w14:textId="77777777" w:rsidR="00F13A4D" w:rsidRPr="00975DAD" w:rsidRDefault="00F13A4D" w:rsidP="00975DAD">
            <w:pPr>
              <w:tabs>
                <w:tab w:val="left" w:pos="288"/>
                <w:tab w:val="left" w:pos="576"/>
                <w:tab w:val="left" w:pos="864"/>
                <w:tab w:val="left" w:pos="1152"/>
              </w:tabs>
              <w:suppressAutoHyphens/>
              <w:spacing w:before="40" w:after="40" w:line="210" w:lineRule="exact"/>
              <w:ind w:right="43"/>
              <w:jc w:val="right"/>
              <w:rPr>
                <w:sz w:val="17"/>
              </w:rPr>
            </w:pPr>
            <w:r w:rsidRPr="00975DAD">
              <w:rPr>
                <w:sz w:val="17"/>
              </w:rPr>
              <w:t>6 060</w:t>
            </w:r>
          </w:p>
        </w:tc>
      </w:tr>
      <w:tr w:rsidR="00975DAD" w:rsidRPr="00975DAD" w14:paraId="3D10B223" w14:textId="77777777" w:rsidTr="00975DAD">
        <w:trPr>
          <w:cantSplit/>
        </w:trPr>
        <w:tc>
          <w:tcPr>
            <w:tcW w:w="3600" w:type="dxa"/>
            <w:shd w:val="clear" w:color="auto" w:fill="auto"/>
            <w:noWrap/>
            <w:vAlign w:val="bottom"/>
          </w:tcPr>
          <w:p w14:paraId="1988C6C6" w14:textId="77777777" w:rsidR="00F13A4D" w:rsidRPr="00975DAD" w:rsidRDefault="00F13A4D" w:rsidP="00975DAD">
            <w:pPr>
              <w:tabs>
                <w:tab w:val="left" w:pos="288"/>
                <w:tab w:val="left" w:pos="576"/>
                <w:tab w:val="left" w:pos="864"/>
                <w:tab w:val="left" w:pos="1152"/>
              </w:tabs>
              <w:suppressAutoHyphens/>
              <w:spacing w:before="40" w:after="40" w:line="210" w:lineRule="exact"/>
              <w:ind w:right="40"/>
              <w:rPr>
                <w:sz w:val="17"/>
              </w:rPr>
            </w:pPr>
            <w:r w:rsidRPr="00975DAD">
              <w:rPr>
                <w:sz w:val="17"/>
              </w:rPr>
              <w:t>Observations relatives au recrutement</w:t>
            </w:r>
          </w:p>
        </w:tc>
        <w:tc>
          <w:tcPr>
            <w:tcW w:w="744" w:type="dxa"/>
            <w:shd w:val="clear" w:color="auto" w:fill="auto"/>
            <w:noWrap/>
            <w:vAlign w:val="bottom"/>
          </w:tcPr>
          <w:p w14:paraId="2F3E5BF1" w14:textId="77777777" w:rsidR="00F13A4D" w:rsidRPr="00975DAD" w:rsidRDefault="00F13A4D" w:rsidP="00975DAD">
            <w:pPr>
              <w:tabs>
                <w:tab w:val="left" w:pos="288"/>
                <w:tab w:val="left" w:pos="576"/>
                <w:tab w:val="left" w:pos="864"/>
                <w:tab w:val="left" w:pos="1152"/>
              </w:tabs>
              <w:suppressAutoHyphens/>
              <w:spacing w:before="40" w:after="40" w:line="210" w:lineRule="exact"/>
              <w:ind w:right="43"/>
              <w:jc w:val="right"/>
              <w:rPr>
                <w:sz w:val="17"/>
              </w:rPr>
            </w:pPr>
            <w:r w:rsidRPr="00975DAD">
              <w:rPr>
                <w:sz w:val="17"/>
              </w:rPr>
              <w:t>811</w:t>
            </w:r>
          </w:p>
        </w:tc>
        <w:tc>
          <w:tcPr>
            <w:tcW w:w="744" w:type="dxa"/>
            <w:shd w:val="clear" w:color="auto" w:fill="auto"/>
            <w:noWrap/>
            <w:vAlign w:val="bottom"/>
          </w:tcPr>
          <w:p w14:paraId="065A075E" w14:textId="77777777" w:rsidR="00F13A4D" w:rsidRPr="00975DAD" w:rsidRDefault="00F13A4D" w:rsidP="00975DAD">
            <w:pPr>
              <w:tabs>
                <w:tab w:val="left" w:pos="288"/>
                <w:tab w:val="left" w:pos="576"/>
                <w:tab w:val="left" w:pos="864"/>
                <w:tab w:val="left" w:pos="1152"/>
              </w:tabs>
              <w:suppressAutoHyphens/>
              <w:spacing w:before="40" w:after="40" w:line="210" w:lineRule="exact"/>
              <w:ind w:right="43"/>
              <w:jc w:val="right"/>
              <w:rPr>
                <w:sz w:val="17"/>
              </w:rPr>
            </w:pPr>
            <w:r w:rsidRPr="00975DAD">
              <w:rPr>
                <w:sz w:val="17"/>
              </w:rPr>
              <w:t>173</w:t>
            </w:r>
          </w:p>
        </w:tc>
        <w:tc>
          <w:tcPr>
            <w:tcW w:w="744" w:type="dxa"/>
            <w:shd w:val="clear" w:color="auto" w:fill="auto"/>
            <w:noWrap/>
            <w:vAlign w:val="bottom"/>
          </w:tcPr>
          <w:p w14:paraId="46D95A52" w14:textId="77777777" w:rsidR="00F13A4D" w:rsidRPr="00975DAD" w:rsidRDefault="00F13A4D" w:rsidP="00975DAD">
            <w:pPr>
              <w:tabs>
                <w:tab w:val="left" w:pos="288"/>
                <w:tab w:val="left" w:pos="576"/>
                <w:tab w:val="left" w:pos="864"/>
                <w:tab w:val="left" w:pos="1152"/>
              </w:tabs>
              <w:suppressAutoHyphens/>
              <w:spacing w:before="40" w:after="40" w:line="210" w:lineRule="exact"/>
              <w:ind w:right="43"/>
              <w:jc w:val="right"/>
              <w:rPr>
                <w:sz w:val="17"/>
              </w:rPr>
            </w:pPr>
            <w:r w:rsidRPr="00975DAD">
              <w:rPr>
                <w:sz w:val="17"/>
              </w:rPr>
              <w:t>1 208</w:t>
            </w:r>
          </w:p>
        </w:tc>
        <w:tc>
          <w:tcPr>
            <w:tcW w:w="744" w:type="dxa"/>
            <w:shd w:val="clear" w:color="auto" w:fill="auto"/>
            <w:noWrap/>
            <w:vAlign w:val="bottom"/>
          </w:tcPr>
          <w:p w14:paraId="1B6AC5F8" w14:textId="77777777" w:rsidR="00F13A4D" w:rsidRPr="00975DAD" w:rsidRDefault="00F13A4D" w:rsidP="00975DAD">
            <w:pPr>
              <w:tabs>
                <w:tab w:val="left" w:pos="288"/>
                <w:tab w:val="left" w:pos="576"/>
                <w:tab w:val="left" w:pos="864"/>
                <w:tab w:val="left" w:pos="1152"/>
              </w:tabs>
              <w:suppressAutoHyphens/>
              <w:spacing w:before="40" w:after="40" w:line="210" w:lineRule="exact"/>
              <w:ind w:right="43"/>
              <w:jc w:val="right"/>
              <w:rPr>
                <w:sz w:val="17"/>
              </w:rPr>
            </w:pPr>
            <w:r w:rsidRPr="00975DAD">
              <w:rPr>
                <w:sz w:val="17"/>
              </w:rPr>
              <w:t>1 132</w:t>
            </w:r>
          </w:p>
        </w:tc>
        <w:tc>
          <w:tcPr>
            <w:tcW w:w="744" w:type="dxa"/>
            <w:shd w:val="clear" w:color="auto" w:fill="auto"/>
            <w:noWrap/>
            <w:vAlign w:val="bottom"/>
          </w:tcPr>
          <w:p w14:paraId="6A398E30" w14:textId="77777777" w:rsidR="00F13A4D" w:rsidRPr="00975DAD" w:rsidRDefault="00F13A4D" w:rsidP="00975DAD">
            <w:pPr>
              <w:tabs>
                <w:tab w:val="left" w:pos="288"/>
                <w:tab w:val="left" w:pos="576"/>
                <w:tab w:val="left" w:pos="864"/>
                <w:tab w:val="left" w:pos="1152"/>
              </w:tabs>
              <w:suppressAutoHyphens/>
              <w:spacing w:before="40" w:after="40" w:line="210" w:lineRule="exact"/>
              <w:ind w:right="43"/>
              <w:jc w:val="right"/>
              <w:rPr>
                <w:sz w:val="17"/>
              </w:rPr>
            </w:pPr>
            <w:r w:rsidRPr="00975DAD">
              <w:rPr>
                <w:sz w:val="17"/>
              </w:rPr>
              <w:t>1 846</w:t>
            </w:r>
          </w:p>
        </w:tc>
      </w:tr>
      <w:tr w:rsidR="00975DAD" w:rsidRPr="00975DAD" w14:paraId="795C2CCC" w14:textId="77777777" w:rsidTr="00975DAD">
        <w:trPr>
          <w:cantSplit/>
        </w:trPr>
        <w:tc>
          <w:tcPr>
            <w:tcW w:w="3600" w:type="dxa"/>
            <w:shd w:val="clear" w:color="auto" w:fill="auto"/>
            <w:noWrap/>
            <w:vAlign w:val="bottom"/>
          </w:tcPr>
          <w:p w14:paraId="448EB55E" w14:textId="77777777" w:rsidR="00F13A4D" w:rsidRPr="00975DAD" w:rsidRDefault="00F13A4D" w:rsidP="00975DAD">
            <w:pPr>
              <w:tabs>
                <w:tab w:val="left" w:pos="288"/>
                <w:tab w:val="left" w:pos="576"/>
                <w:tab w:val="left" w:pos="864"/>
                <w:tab w:val="left" w:pos="1152"/>
              </w:tabs>
              <w:suppressAutoHyphens/>
              <w:spacing w:before="40" w:after="40" w:line="210" w:lineRule="exact"/>
              <w:ind w:right="40"/>
              <w:rPr>
                <w:sz w:val="17"/>
              </w:rPr>
            </w:pPr>
            <w:r w:rsidRPr="00975DAD">
              <w:rPr>
                <w:sz w:val="17"/>
              </w:rPr>
              <w:t>Observations relatives à la promotion</w:t>
            </w:r>
          </w:p>
        </w:tc>
        <w:tc>
          <w:tcPr>
            <w:tcW w:w="744" w:type="dxa"/>
            <w:shd w:val="clear" w:color="auto" w:fill="auto"/>
            <w:noWrap/>
            <w:vAlign w:val="bottom"/>
          </w:tcPr>
          <w:p w14:paraId="31D0AA05" w14:textId="77777777" w:rsidR="00F13A4D" w:rsidRPr="00975DAD" w:rsidRDefault="00F13A4D" w:rsidP="00975DAD">
            <w:pPr>
              <w:tabs>
                <w:tab w:val="left" w:pos="288"/>
                <w:tab w:val="left" w:pos="576"/>
                <w:tab w:val="left" w:pos="864"/>
                <w:tab w:val="left" w:pos="1152"/>
              </w:tabs>
              <w:suppressAutoHyphens/>
              <w:spacing w:before="40" w:after="40" w:line="210" w:lineRule="exact"/>
              <w:ind w:right="43"/>
              <w:jc w:val="right"/>
              <w:rPr>
                <w:sz w:val="17"/>
              </w:rPr>
            </w:pPr>
            <w:r w:rsidRPr="00975DAD">
              <w:rPr>
                <w:sz w:val="17"/>
              </w:rPr>
              <w:t>222</w:t>
            </w:r>
          </w:p>
        </w:tc>
        <w:tc>
          <w:tcPr>
            <w:tcW w:w="744" w:type="dxa"/>
            <w:shd w:val="clear" w:color="auto" w:fill="auto"/>
            <w:noWrap/>
            <w:vAlign w:val="bottom"/>
          </w:tcPr>
          <w:p w14:paraId="2D17579C" w14:textId="77777777" w:rsidR="00F13A4D" w:rsidRPr="00975DAD" w:rsidRDefault="00F13A4D" w:rsidP="00975DAD">
            <w:pPr>
              <w:tabs>
                <w:tab w:val="left" w:pos="288"/>
                <w:tab w:val="left" w:pos="576"/>
                <w:tab w:val="left" w:pos="864"/>
                <w:tab w:val="left" w:pos="1152"/>
              </w:tabs>
              <w:suppressAutoHyphens/>
              <w:spacing w:before="40" w:after="40" w:line="210" w:lineRule="exact"/>
              <w:ind w:right="43"/>
              <w:jc w:val="right"/>
              <w:rPr>
                <w:sz w:val="17"/>
              </w:rPr>
            </w:pPr>
            <w:r w:rsidRPr="00975DAD">
              <w:rPr>
                <w:sz w:val="17"/>
              </w:rPr>
              <w:t>1 369</w:t>
            </w:r>
          </w:p>
        </w:tc>
        <w:tc>
          <w:tcPr>
            <w:tcW w:w="744" w:type="dxa"/>
            <w:shd w:val="clear" w:color="auto" w:fill="auto"/>
            <w:noWrap/>
            <w:vAlign w:val="bottom"/>
          </w:tcPr>
          <w:p w14:paraId="7388D4AF" w14:textId="77777777" w:rsidR="00F13A4D" w:rsidRPr="00975DAD" w:rsidRDefault="00F13A4D" w:rsidP="00975DAD">
            <w:pPr>
              <w:tabs>
                <w:tab w:val="left" w:pos="288"/>
                <w:tab w:val="left" w:pos="576"/>
                <w:tab w:val="left" w:pos="864"/>
                <w:tab w:val="left" w:pos="1152"/>
              </w:tabs>
              <w:suppressAutoHyphens/>
              <w:spacing w:before="40" w:after="40" w:line="210" w:lineRule="exact"/>
              <w:ind w:right="43"/>
              <w:jc w:val="right"/>
              <w:rPr>
                <w:sz w:val="17"/>
              </w:rPr>
            </w:pPr>
            <w:r w:rsidRPr="00975DAD">
              <w:rPr>
                <w:sz w:val="17"/>
              </w:rPr>
              <w:t>99</w:t>
            </w:r>
          </w:p>
        </w:tc>
        <w:tc>
          <w:tcPr>
            <w:tcW w:w="744" w:type="dxa"/>
            <w:shd w:val="clear" w:color="auto" w:fill="auto"/>
            <w:noWrap/>
            <w:vAlign w:val="bottom"/>
          </w:tcPr>
          <w:p w14:paraId="635435AF" w14:textId="77777777" w:rsidR="00F13A4D" w:rsidRPr="00975DAD" w:rsidRDefault="00F13A4D" w:rsidP="00975DAD">
            <w:pPr>
              <w:tabs>
                <w:tab w:val="left" w:pos="288"/>
                <w:tab w:val="left" w:pos="576"/>
                <w:tab w:val="left" w:pos="864"/>
                <w:tab w:val="left" w:pos="1152"/>
              </w:tabs>
              <w:suppressAutoHyphens/>
              <w:spacing w:before="40" w:after="40" w:line="210" w:lineRule="exact"/>
              <w:ind w:right="43"/>
              <w:jc w:val="right"/>
              <w:rPr>
                <w:sz w:val="17"/>
              </w:rPr>
            </w:pPr>
            <w:r w:rsidRPr="00975DAD">
              <w:rPr>
                <w:sz w:val="17"/>
              </w:rPr>
              <w:t>632</w:t>
            </w:r>
          </w:p>
        </w:tc>
        <w:tc>
          <w:tcPr>
            <w:tcW w:w="744" w:type="dxa"/>
            <w:shd w:val="clear" w:color="auto" w:fill="auto"/>
            <w:noWrap/>
            <w:vAlign w:val="bottom"/>
          </w:tcPr>
          <w:p w14:paraId="309C5B02" w14:textId="77777777" w:rsidR="00F13A4D" w:rsidRPr="00975DAD" w:rsidRDefault="00F13A4D" w:rsidP="00975DAD">
            <w:pPr>
              <w:tabs>
                <w:tab w:val="left" w:pos="288"/>
                <w:tab w:val="left" w:pos="576"/>
                <w:tab w:val="left" w:pos="864"/>
                <w:tab w:val="left" w:pos="1152"/>
              </w:tabs>
              <w:suppressAutoHyphens/>
              <w:spacing w:before="40" w:after="40" w:line="210" w:lineRule="exact"/>
              <w:ind w:right="43"/>
              <w:jc w:val="right"/>
              <w:rPr>
                <w:sz w:val="17"/>
              </w:rPr>
            </w:pPr>
            <w:r w:rsidRPr="00975DAD">
              <w:rPr>
                <w:sz w:val="17"/>
              </w:rPr>
              <w:t>153</w:t>
            </w:r>
          </w:p>
        </w:tc>
      </w:tr>
      <w:tr w:rsidR="00975DAD" w:rsidRPr="00975DAD" w14:paraId="3EC48C34" w14:textId="77777777" w:rsidTr="00975DAD">
        <w:trPr>
          <w:cantSplit/>
        </w:trPr>
        <w:tc>
          <w:tcPr>
            <w:tcW w:w="3600" w:type="dxa"/>
            <w:shd w:val="clear" w:color="auto" w:fill="auto"/>
            <w:noWrap/>
            <w:vAlign w:val="bottom"/>
          </w:tcPr>
          <w:p w14:paraId="602F7C7A" w14:textId="77777777" w:rsidR="00F13A4D" w:rsidRPr="00975DAD" w:rsidRDefault="00F13A4D" w:rsidP="00975DAD">
            <w:pPr>
              <w:tabs>
                <w:tab w:val="left" w:pos="288"/>
                <w:tab w:val="left" w:pos="576"/>
                <w:tab w:val="left" w:pos="864"/>
                <w:tab w:val="left" w:pos="1152"/>
              </w:tabs>
              <w:suppressAutoHyphens/>
              <w:spacing w:before="40" w:after="40" w:line="210" w:lineRule="exact"/>
              <w:ind w:right="40"/>
              <w:rPr>
                <w:sz w:val="17"/>
              </w:rPr>
            </w:pPr>
            <w:r w:rsidRPr="00975DAD">
              <w:rPr>
                <w:sz w:val="17"/>
              </w:rPr>
              <w:t>Observations relatives au travail de nuit</w:t>
            </w:r>
          </w:p>
        </w:tc>
        <w:tc>
          <w:tcPr>
            <w:tcW w:w="744" w:type="dxa"/>
            <w:shd w:val="clear" w:color="auto" w:fill="auto"/>
            <w:noWrap/>
            <w:vAlign w:val="bottom"/>
          </w:tcPr>
          <w:p w14:paraId="18C74397" w14:textId="77777777" w:rsidR="00F13A4D" w:rsidRPr="00975DAD" w:rsidRDefault="00F13A4D" w:rsidP="00975DAD">
            <w:pPr>
              <w:tabs>
                <w:tab w:val="left" w:pos="288"/>
                <w:tab w:val="left" w:pos="576"/>
                <w:tab w:val="left" w:pos="864"/>
                <w:tab w:val="left" w:pos="1152"/>
              </w:tabs>
              <w:suppressAutoHyphens/>
              <w:spacing w:before="40" w:after="40" w:line="210" w:lineRule="exact"/>
              <w:ind w:right="43"/>
              <w:jc w:val="right"/>
              <w:rPr>
                <w:sz w:val="17"/>
              </w:rPr>
            </w:pPr>
            <w:r w:rsidRPr="00975DAD">
              <w:rPr>
                <w:sz w:val="17"/>
              </w:rPr>
              <w:t>54</w:t>
            </w:r>
          </w:p>
        </w:tc>
        <w:tc>
          <w:tcPr>
            <w:tcW w:w="744" w:type="dxa"/>
            <w:shd w:val="clear" w:color="auto" w:fill="auto"/>
            <w:noWrap/>
            <w:vAlign w:val="bottom"/>
          </w:tcPr>
          <w:p w14:paraId="2F78C795" w14:textId="77777777" w:rsidR="00F13A4D" w:rsidRPr="00975DAD" w:rsidRDefault="00F13A4D" w:rsidP="00975DAD">
            <w:pPr>
              <w:tabs>
                <w:tab w:val="left" w:pos="288"/>
                <w:tab w:val="left" w:pos="576"/>
                <w:tab w:val="left" w:pos="864"/>
                <w:tab w:val="left" w:pos="1152"/>
              </w:tabs>
              <w:suppressAutoHyphens/>
              <w:spacing w:before="40" w:after="40" w:line="210" w:lineRule="exact"/>
              <w:ind w:right="43"/>
              <w:jc w:val="right"/>
              <w:rPr>
                <w:sz w:val="17"/>
              </w:rPr>
            </w:pPr>
            <w:r w:rsidRPr="00975DAD">
              <w:rPr>
                <w:sz w:val="17"/>
              </w:rPr>
              <w:t>171</w:t>
            </w:r>
          </w:p>
        </w:tc>
        <w:tc>
          <w:tcPr>
            <w:tcW w:w="744" w:type="dxa"/>
            <w:shd w:val="clear" w:color="auto" w:fill="auto"/>
            <w:noWrap/>
            <w:vAlign w:val="bottom"/>
          </w:tcPr>
          <w:p w14:paraId="478D5CCB" w14:textId="77777777" w:rsidR="00F13A4D" w:rsidRPr="00975DAD" w:rsidRDefault="00F13A4D" w:rsidP="00975DAD">
            <w:pPr>
              <w:tabs>
                <w:tab w:val="left" w:pos="288"/>
                <w:tab w:val="left" w:pos="576"/>
                <w:tab w:val="left" w:pos="864"/>
                <w:tab w:val="left" w:pos="1152"/>
              </w:tabs>
              <w:suppressAutoHyphens/>
              <w:spacing w:before="40" w:after="40" w:line="210" w:lineRule="exact"/>
              <w:ind w:right="43"/>
              <w:jc w:val="right"/>
              <w:rPr>
                <w:sz w:val="17"/>
              </w:rPr>
            </w:pPr>
            <w:r w:rsidRPr="00975DAD">
              <w:rPr>
                <w:sz w:val="17"/>
              </w:rPr>
              <w:t>225</w:t>
            </w:r>
          </w:p>
        </w:tc>
        <w:tc>
          <w:tcPr>
            <w:tcW w:w="744" w:type="dxa"/>
            <w:shd w:val="clear" w:color="auto" w:fill="auto"/>
            <w:noWrap/>
            <w:vAlign w:val="bottom"/>
          </w:tcPr>
          <w:p w14:paraId="152DC465" w14:textId="77777777" w:rsidR="00F13A4D" w:rsidRPr="00975DAD" w:rsidRDefault="00F13A4D" w:rsidP="00975DAD">
            <w:pPr>
              <w:tabs>
                <w:tab w:val="left" w:pos="288"/>
                <w:tab w:val="left" w:pos="576"/>
                <w:tab w:val="left" w:pos="864"/>
                <w:tab w:val="left" w:pos="1152"/>
              </w:tabs>
              <w:suppressAutoHyphens/>
              <w:spacing w:before="40" w:after="40" w:line="210" w:lineRule="exact"/>
              <w:ind w:right="43"/>
              <w:jc w:val="right"/>
              <w:rPr>
                <w:sz w:val="17"/>
              </w:rPr>
            </w:pPr>
            <w:r w:rsidRPr="00975DAD">
              <w:rPr>
                <w:sz w:val="17"/>
              </w:rPr>
              <w:t>3 877</w:t>
            </w:r>
          </w:p>
        </w:tc>
        <w:tc>
          <w:tcPr>
            <w:tcW w:w="744" w:type="dxa"/>
            <w:shd w:val="clear" w:color="auto" w:fill="auto"/>
            <w:noWrap/>
            <w:vAlign w:val="bottom"/>
          </w:tcPr>
          <w:p w14:paraId="17D418B5" w14:textId="77777777" w:rsidR="00F13A4D" w:rsidRPr="00975DAD" w:rsidRDefault="00F13A4D" w:rsidP="00975DAD">
            <w:pPr>
              <w:tabs>
                <w:tab w:val="left" w:pos="288"/>
                <w:tab w:val="left" w:pos="576"/>
                <w:tab w:val="left" w:pos="864"/>
                <w:tab w:val="left" w:pos="1152"/>
              </w:tabs>
              <w:suppressAutoHyphens/>
              <w:spacing w:before="40" w:after="40" w:line="210" w:lineRule="exact"/>
              <w:ind w:right="43"/>
              <w:jc w:val="right"/>
              <w:rPr>
                <w:sz w:val="17"/>
              </w:rPr>
            </w:pPr>
            <w:r w:rsidRPr="00975DAD">
              <w:rPr>
                <w:sz w:val="17"/>
              </w:rPr>
              <w:t>0</w:t>
            </w:r>
          </w:p>
        </w:tc>
      </w:tr>
      <w:tr w:rsidR="00975DAD" w:rsidRPr="00975DAD" w14:paraId="07529640" w14:textId="77777777" w:rsidTr="00975DAD">
        <w:trPr>
          <w:cantSplit/>
        </w:trPr>
        <w:tc>
          <w:tcPr>
            <w:tcW w:w="3600" w:type="dxa"/>
            <w:shd w:val="clear" w:color="auto" w:fill="auto"/>
            <w:noWrap/>
            <w:vAlign w:val="bottom"/>
          </w:tcPr>
          <w:p w14:paraId="1543866D" w14:textId="77777777" w:rsidR="00F13A4D" w:rsidRPr="00975DAD" w:rsidRDefault="00F13A4D" w:rsidP="00975DAD">
            <w:pPr>
              <w:tabs>
                <w:tab w:val="left" w:pos="288"/>
                <w:tab w:val="left" w:pos="576"/>
                <w:tab w:val="left" w:pos="864"/>
                <w:tab w:val="left" w:pos="1152"/>
              </w:tabs>
              <w:suppressAutoHyphens/>
              <w:spacing w:before="40" w:after="40" w:line="210" w:lineRule="exact"/>
              <w:ind w:right="40"/>
              <w:rPr>
                <w:sz w:val="17"/>
              </w:rPr>
            </w:pPr>
            <w:r w:rsidRPr="00975DAD">
              <w:rPr>
                <w:sz w:val="17"/>
              </w:rPr>
              <w:t>Observations relatives à la maternité</w:t>
            </w:r>
          </w:p>
        </w:tc>
        <w:tc>
          <w:tcPr>
            <w:tcW w:w="744" w:type="dxa"/>
            <w:shd w:val="clear" w:color="auto" w:fill="auto"/>
            <w:noWrap/>
            <w:vAlign w:val="bottom"/>
          </w:tcPr>
          <w:p w14:paraId="5A88CDC6" w14:textId="77777777" w:rsidR="00F13A4D" w:rsidRPr="00975DAD" w:rsidRDefault="00F13A4D" w:rsidP="00975DAD">
            <w:pPr>
              <w:tabs>
                <w:tab w:val="left" w:pos="288"/>
                <w:tab w:val="left" w:pos="576"/>
                <w:tab w:val="left" w:pos="864"/>
                <w:tab w:val="left" w:pos="1152"/>
              </w:tabs>
              <w:suppressAutoHyphens/>
              <w:spacing w:before="40" w:after="40" w:line="210" w:lineRule="exact"/>
              <w:ind w:right="43"/>
              <w:jc w:val="right"/>
              <w:rPr>
                <w:sz w:val="17"/>
              </w:rPr>
            </w:pPr>
            <w:r w:rsidRPr="00975DAD">
              <w:rPr>
                <w:sz w:val="17"/>
              </w:rPr>
              <w:t>37</w:t>
            </w:r>
          </w:p>
        </w:tc>
        <w:tc>
          <w:tcPr>
            <w:tcW w:w="744" w:type="dxa"/>
            <w:shd w:val="clear" w:color="auto" w:fill="auto"/>
            <w:noWrap/>
            <w:vAlign w:val="bottom"/>
          </w:tcPr>
          <w:p w14:paraId="4D4B1E63" w14:textId="77777777" w:rsidR="00F13A4D" w:rsidRPr="00975DAD" w:rsidRDefault="00F13A4D" w:rsidP="00975DAD">
            <w:pPr>
              <w:tabs>
                <w:tab w:val="left" w:pos="288"/>
                <w:tab w:val="left" w:pos="576"/>
                <w:tab w:val="left" w:pos="864"/>
                <w:tab w:val="left" w:pos="1152"/>
              </w:tabs>
              <w:suppressAutoHyphens/>
              <w:spacing w:before="40" w:after="40" w:line="210" w:lineRule="exact"/>
              <w:ind w:right="43"/>
              <w:jc w:val="right"/>
              <w:rPr>
                <w:sz w:val="17"/>
              </w:rPr>
            </w:pPr>
            <w:r w:rsidRPr="00975DAD">
              <w:rPr>
                <w:sz w:val="17"/>
              </w:rPr>
              <w:t>174</w:t>
            </w:r>
          </w:p>
        </w:tc>
        <w:tc>
          <w:tcPr>
            <w:tcW w:w="744" w:type="dxa"/>
            <w:shd w:val="clear" w:color="auto" w:fill="auto"/>
            <w:noWrap/>
            <w:vAlign w:val="bottom"/>
          </w:tcPr>
          <w:p w14:paraId="55D9A6A9" w14:textId="77777777" w:rsidR="00F13A4D" w:rsidRPr="00975DAD" w:rsidRDefault="00F13A4D" w:rsidP="00975DAD">
            <w:pPr>
              <w:tabs>
                <w:tab w:val="left" w:pos="288"/>
                <w:tab w:val="left" w:pos="576"/>
                <w:tab w:val="left" w:pos="864"/>
                <w:tab w:val="left" w:pos="1152"/>
              </w:tabs>
              <w:suppressAutoHyphens/>
              <w:spacing w:before="40" w:after="40" w:line="210" w:lineRule="exact"/>
              <w:ind w:right="43"/>
              <w:jc w:val="right"/>
              <w:rPr>
                <w:sz w:val="17"/>
              </w:rPr>
            </w:pPr>
            <w:r w:rsidRPr="00975DAD">
              <w:rPr>
                <w:sz w:val="17"/>
              </w:rPr>
              <w:t>321</w:t>
            </w:r>
          </w:p>
        </w:tc>
        <w:tc>
          <w:tcPr>
            <w:tcW w:w="744" w:type="dxa"/>
            <w:shd w:val="clear" w:color="auto" w:fill="auto"/>
            <w:noWrap/>
            <w:vAlign w:val="bottom"/>
          </w:tcPr>
          <w:p w14:paraId="19DB946A" w14:textId="77777777" w:rsidR="00F13A4D" w:rsidRPr="00975DAD" w:rsidRDefault="00F13A4D" w:rsidP="00975DAD">
            <w:pPr>
              <w:tabs>
                <w:tab w:val="left" w:pos="288"/>
                <w:tab w:val="left" w:pos="576"/>
                <w:tab w:val="left" w:pos="864"/>
                <w:tab w:val="left" w:pos="1152"/>
              </w:tabs>
              <w:suppressAutoHyphens/>
              <w:spacing w:before="40" w:after="40" w:line="210" w:lineRule="exact"/>
              <w:ind w:right="43"/>
              <w:jc w:val="right"/>
              <w:rPr>
                <w:sz w:val="17"/>
              </w:rPr>
            </w:pPr>
            <w:r w:rsidRPr="00975DAD">
              <w:rPr>
                <w:sz w:val="17"/>
              </w:rPr>
              <w:t>1 364</w:t>
            </w:r>
          </w:p>
        </w:tc>
        <w:tc>
          <w:tcPr>
            <w:tcW w:w="744" w:type="dxa"/>
            <w:shd w:val="clear" w:color="auto" w:fill="auto"/>
            <w:noWrap/>
            <w:vAlign w:val="bottom"/>
          </w:tcPr>
          <w:p w14:paraId="17D95305" w14:textId="77777777" w:rsidR="00F13A4D" w:rsidRPr="00975DAD" w:rsidRDefault="00F13A4D" w:rsidP="00975DAD">
            <w:pPr>
              <w:tabs>
                <w:tab w:val="left" w:pos="288"/>
                <w:tab w:val="left" w:pos="576"/>
                <w:tab w:val="left" w:pos="864"/>
                <w:tab w:val="left" w:pos="1152"/>
              </w:tabs>
              <w:suppressAutoHyphens/>
              <w:spacing w:before="40" w:after="40" w:line="210" w:lineRule="exact"/>
              <w:ind w:right="43"/>
              <w:jc w:val="right"/>
              <w:rPr>
                <w:sz w:val="17"/>
              </w:rPr>
            </w:pPr>
            <w:r w:rsidRPr="00975DAD">
              <w:rPr>
                <w:sz w:val="17"/>
              </w:rPr>
              <w:t>1 262</w:t>
            </w:r>
          </w:p>
        </w:tc>
      </w:tr>
      <w:tr w:rsidR="00975DAD" w:rsidRPr="00975DAD" w14:paraId="463D4CEC" w14:textId="77777777" w:rsidTr="00975DAD">
        <w:trPr>
          <w:cantSplit/>
        </w:trPr>
        <w:tc>
          <w:tcPr>
            <w:tcW w:w="3600" w:type="dxa"/>
            <w:tcBorders>
              <w:bottom w:val="single" w:sz="12" w:space="0" w:color="auto"/>
            </w:tcBorders>
            <w:shd w:val="clear" w:color="auto" w:fill="auto"/>
            <w:noWrap/>
            <w:vAlign w:val="bottom"/>
          </w:tcPr>
          <w:p w14:paraId="065AC7E8" w14:textId="7FA32CF1" w:rsidR="00F13A4D" w:rsidRPr="00975DAD" w:rsidRDefault="00F13A4D" w:rsidP="00975DAD">
            <w:pPr>
              <w:tabs>
                <w:tab w:val="left" w:pos="288"/>
                <w:tab w:val="left" w:pos="576"/>
                <w:tab w:val="left" w:pos="864"/>
                <w:tab w:val="left" w:pos="1152"/>
              </w:tabs>
              <w:suppressAutoHyphens/>
              <w:spacing w:before="40" w:after="40" w:line="210" w:lineRule="exact"/>
              <w:ind w:right="40"/>
              <w:rPr>
                <w:sz w:val="17"/>
              </w:rPr>
            </w:pPr>
            <w:r w:rsidRPr="00975DAD">
              <w:rPr>
                <w:sz w:val="17"/>
              </w:rPr>
              <w:t>Nombre total d</w:t>
            </w:r>
            <w:r w:rsidR="00F1794C" w:rsidRPr="00975DAD">
              <w:rPr>
                <w:sz w:val="17"/>
              </w:rPr>
              <w:t>’</w:t>
            </w:r>
            <w:r w:rsidRPr="00975DAD">
              <w:rPr>
                <w:sz w:val="17"/>
              </w:rPr>
              <w:t>observations relatives à la situation des femmes au travail</w:t>
            </w:r>
          </w:p>
        </w:tc>
        <w:tc>
          <w:tcPr>
            <w:tcW w:w="744" w:type="dxa"/>
            <w:tcBorders>
              <w:bottom w:val="single" w:sz="12" w:space="0" w:color="auto"/>
            </w:tcBorders>
            <w:shd w:val="clear" w:color="auto" w:fill="auto"/>
            <w:noWrap/>
            <w:vAlign w:val="bottom"/>
          </w:tcPr>
          <w:p w14:paraId="63B3BAAA" w14:textId="77777777" w:rsidR="00F13A4D" w:rsidRPr="00975DAD" w:rsidRDefault="00F13A4D" w:rsidP="00975DAD">
            <w:pPr>
              <w:tabs>
                <w:tab w:val="left" w:pos="288"/>
                <w:tab w:val="left" w:pos="576"/>
                <w:tab w:val="left" w:pos="864"/>
                <w:tab w:val="left" w:pos="1152"/>
              </w:tabs>
              <w:suppressAutoHyphens/>
              <w:spacing w:before="40" w:after="40" w:line="210" w:lineRule="exact"/>
              <w:ind w:right="43"/>
              <w:jc w:val="right"/>
              <w:rPr>
                <w:sz w:val="17"/>
              </w:rPr>
            </w:pPr>
            <w:r w:rsidRPr="00975DAD">
              <w:rPr>
                <w:sz w:val="17"/>
              </w:rPr>
              <w:t>4 856</w:t>
            </w:r>
          </w:p>
        </w:tc>
        <w:tc>
          <w:tcPr>
            <w:tcW w:w="744" w:type="dxa"/>
            <w:tcBorders>
              <w:bottom w:val="single" w:sz="12" w:space="0" w:color="auto"/>
            </w:tcBorders>
            <w:shd w:val="clear" w:color="auto" w:fill="auto"/>
            <w:noWrap/>
            <w:vAlign w:val="bottom"/>
          </w:tcPr>
          <w:p w14:paraId="010CEC1F" w14:textId="77777777" w:rsidR="00F13A4D" w:rsidRPr="00975DAD" w:rsidRDefault="00F13A4D" w:rsidP="00975DAD">
            <w:pPr>
              <w:tabs>
                <w:tab w:val="left" w:pos="288"/>
                <w:tab w:val="left" w:pos="576"/>
                <w:tab w:val="left" w:pos="864"/>
                <w:tab w:val="left" w:pos="1152"/>
              </w:tabs>
              <w:suppressAutoHyphens/>
              <w:spacing w:before="40" w:after="40" w:line="210" w:lineRule="exact"/>
              <w:ind w:right="43"/>
              <w:jc w:val="right"/>
              <w:rPr>
                <w:sz w:val="17"/>
              </w:rPr>
            </w:pPr>
            <w:r w:rsidRPr="00975DAD">
              <w:rPr>
                <w:sz w:val="17"/>
              </w:rPr>
              <w:t>3 514</w:t>
            </w:r>
          </w:p>
        </w:tc>
        <w:tc>
          <w:tcPr>
            <w:tcW w:w="744" w:type="dxa"/>
            <w:tcBorders>
              <w:bottom w:val="single" w:sz="12" w:space="0" w:color="auto"/>
            </w:tcBorders>
            <w:shd w:val="clear" w:color="auto" w:fill="auto"/>
            <w:noWrap/>
            <w:vAlign w:val="bottom"/>
          </w:tcPr>
          <w:p w14:paraId="67CB0500" w14:textId="77777777" w:rsidR="00F13A4D" w:rsidRPr="00975DAD" w:rsidRDefault="00F13A4D" w:rsidP="00975DAD">
            <w:pPr>
              <w:tabs>
                <w:tab w:val="left" w:pos="288"/>
                <w:tab w:val="left" w:pos="576"/>
                <w:tab w:val="left" w:pos="864"/>
                <w:tab w:val="left" w:pos="1152"/>
              </w:tabs>
              <w:suppressAutoHyphens/>
              <w:spacing w:before="40" w:after="40" w:line="210" w:lineRule="exact"/>
              <w:ind w:right="43"/>
              <w:jc w:val="right"/>
              <w:rPr>
                <w:sz w:val="17"/>
              </w:rPr>
            </w:pPr>
            <w:r w:rsidRPr="00975DAD">
              <w:rPr>
                <w:sz w:val="17"/>
              </w:rPr>
              <w:t>11 892</w:t>
            </w:r>
          </w:p>
        </w:tc>
        <w:tc>
          <w:tcPr>
            <w:tcW w:w="744" w:type="dxa"/>
            <w:tcBorders>
              <w:bottom w:val="single" w:sz="12" w:space="0" w:color="auto"/>
            </w:tcBorders>
            <w:shd w:val="clear" w:color="auto" w:fill="auto"/>
            <w:noWrap/>
            <w:vAlign w:val="bottom"/>
          </w:tcPr>
          <w:p w14:paraId="728BC37D" w14:textId="77777777" w:rsidR="00F13A4D" w:rsidRPr="00975DAD" w:rsidRDefault="00F13A4D" w:rsidP="00975DAD">
            <w:pPr>
              <w:tabs>
                <w:tab w:val="left" w:pos="288"/>
                <w:tab w:val="left" w:pos="576"/>
                <w:tab w:val="left" w:pos="864"/>
                <w:tab w:val="left" w:pos="1152"/>
              </w:tabs>
              <w:suppressAutoHyphens/>
              <w:spacing w:before="40" w:after="40" w:line="210" w:lineRule="exact"/>
              <w:ind w:right="43"/>
              <w:jc w:val="right"/>
              <w:rPr>
                <w:sz w:val="17"/>
              </w:rPr>
            </w:pPr>
            <w:r w:rsidRPr="00975DAD">
              <w:rPr>
                <w:sz w:val="17"/>
              </w:rPr>
              <w:t>64 457</w:t>
            </w:r>
          </w:p>
        </w:tc>
        <w:tc>
          <w:tcPr>
            <w:tcW w:w="744" w:type="dxa"/>
            <w:tcBorders>
              <w:bottom w:val="single" w:sz="12" w:space="0" w:color="auto"/>
            </w:tcBorders>
            <w:shd w:val="clear" w:color="auto" w:fill="auto"/>
            <w:noWrap/>
            <w:vAlign w:val="bottom"/>
          </w:tcPr>
          <w:p w14:paraId="76D78CB1" w14:textId="77777777" w:rsidR="00F13A4D" w:rsidRPr="00975DAD" w:rsidRDefault="00F13A4D" w:rsidP="00975DAD">
            <w:pPr>
              <w:tabs>
                <w:tab w:val="left" w:pos="288"/>
                <w:tab w:val="left" w:pos="576"/>
                <w:tab w:val="left" w:pos="864"/>
                <w:tab w:val="left" w:pos="1152"/>
              </w:tabs>
              <w:suppressAutoHyphens/>
              <w:spacing w:before="40" w:after="40" w:line="210" w:lineRule="exact"/>
              <w:ind w:right="43"/>
              <w:jc w:val="right"/>
              <w:rPr>
                <w:sz w:val="17"/>
              </w:rPr>
            </w:pPr>
            <w:r w:rsidRPr="00975DAD">
              <w:rPr>
                <w:sz w:val="17"/>
              </w:rPr>
              <w:t>9 321</w:t>
            </w:r>
          </w:p>
        </w:tc>
      </w:tr>
    </w:tbl>
    <w:p w14:paraId="679C119B" w14:textId="3A6D4F8F" w:rsidR="00F13A4D" w:rsidRPr="00975DAD" w:rsidRDefault="00F13A4D" w:rsidP="00975DAD">
      <w:pPr>
        <w:pStyle w:val="SingleTxt"/>
        <w:spacing w:after="0" w:line="120" w:lineRule="exact"/>
        <w:rPr>
          <w:sz w:val="10"/>
          <w:lang w:val="fr-FR"/>
        </w:rPr>
      </w:pPr>
    </w:p>
    <w:p w14:paraId="0E91FE17" w14:textId="11CD635E" w:rsidR="00975DAD" w:rsidRPr="00975DAD" w:rsidRDefault="00975DAD" w:rsidP="00975DAD">
      <w:pPr>
        <w:pStyle w:val="SingleTxt"/>
        <w:spacing w:after="0" w:line="120" w:lineRule="exact"/>
        <w:rPr>
          <w:sz w:val="10"/>
          <w:lang w:val="fr-FR"/>
        </w:rPr>
      </w:pPr>
    </w:p>
    <w:p w14:paraId="7EDD03F8" w14:textId="6890BA77" w:rsidR="00F13A4D" w:rsidRPr="00F13A4D" w:rsidRDefault="00975DAD" w:rsidP="00F13A4D">
      <w:pPr>
        <w:pStyle w:val="SingleTxt"/>
        <w:rPr>
          <w:lang w:val="fr-FR"/>
        </w:rPr>
      </w:pPr>
      <w:r>
        <w:rPr>
          <w:lang w:val="fr-FR"/>
        </w:rPr>
        <w:tab/>
      </w:r>
      <w:r w:rsidR="00F13A4D" w:rsidRPr="00F13A4D">
        <w:rPr>
          <w:lang w:val="fr-FR"/>
        </w:rPr>
        <w:t>On trouve dans le tableau 8 le nombre de visites d</w:t>
      </w:r>
      <w:r w:rsidR="00F1794C" w:rsidRPr="00F1794C">
        <w:rPr>
          <w:lang w:val="fr-FR"/>
        </w:rPr>
        <w:t>’</w:t>
      </w:r>
      <w:r w:rsidR="00F13A4D" w:rsidRPr="00F13A4D">
        <w:rPr>
          <w:lang w:val="fr-FR"/>
        </w:rPr>
        <w:t>inspection réalisées chaque année pour mettre en œuvre les priorités du plan national de l</w:t>
      </w:r>
      <w:r w:rsidR="00F1794C" w:rsidRPr="00F1794C">
        <w:rPr>
          <w:lang w:val="fr-FR"/>
        </w:rPr>
        <w:t>’</w:t>
      </w:r>
      <w:r w:rsidR="00F13A4D" w:rsidRPr="00F13A4D">
        <w:rPr>
          <w:lang w:val="fr-FR"/>
        </w:rPr>
        <w:t>inspection du travail. Les données et indicateurs relevés lors de ces visites diffèrent en fonction de la taille des entreprises ayant fait l</w:t>
      </w:r>
      <w:r w:rsidR="00F1794C" w:rsidRPr="00F1794C">
        <w:rPr>
          <w:lang w:val="fr-FR"/>
        </w:rPr>
        <w:t>’</w:t>
      </w:r>
      <w:r w:rsidR="00F13A4D" w:rsidRPr="00F13A4D">
        <w:rPr>
          <w:lang w:val="fr-FR"/>
        </w:rPr>
        <w:t>objet de la visite et selon les secteurs de production concernés, la part des femmes dans les effectifs de ces entreprises et la mesure dans laquelle l</w:t>
      </w:r>
      <w:r w:rsidR="00F1794C" w:rsidRPr="00F1794C">
        <w:rPr>
          <w:lang w:val="fr-FR"/>
        </w:rPr>
        <w:t>’</w:t>
      </w:r>
      <w:r w:rsidR="00F13A4D" w:rsidRPr="00F13A4D">
        <w:rPr>
          <w:lang w:val="fr-FR"/>
        </w:rPr>
        <w:t xml:space="preserve">employeur respecte les dispositions législatives et réglementaires concernant le travail des femmes. </w:t>
      </w:r>
    </w:p>
    <w:p w14:paraId="7FEE353B" w14:textId="275ACC2A" w:rsidR="00F13A4D" w:rsidRPr="00F13A4D" w:rsidRDefault="00F13A4D" w:rsidP="00975DAD">
      <w:pPr>
        <w:pStyle w:val="SingleTxt"/>
        <w:numPr>
          <w:ilvl w:val="0"/>
          <w:numId w:val="50"/>
        </w:numPr>
        <w:spacing w:line="240" w:lineRule="exact"/>
        <w:rPr>
          <w:lang w:val="fr-FR"/>
        </w:rPr>
      </w:pPr>
      <w:r w:rsidRPr="00F13A4D">
        <w:rPr>
          <w:lang w:val="fr-FR"/>
        </w:rPr>
        <w:t>Un ensemble de mesures de sensibilisation axées sur les entreprises du secteur du textile et de l</w:t>
      </w:r>
      <w:r w:rsidR="00F1794C" w:rsidRPr="00F1794C">
        <w:rPr>
          <w:lang w:val="fr-FR"/>
        </w:rPr>
        <w:t>’</w:t>
      </w:r>
      <w:r w:rsidRPr="00F13A4D">
        <w:rPr>
          <w:lang w:val="fr-FR"/>
        </w:rPr>
        <w:t>habillement, ce secteur employant le plus grand nombre de femmes, en vue de l</w:t>
      </w:r>
      <w:r w:rsidR="00F1794C" w:rsidRPr="00F1794C">
        <w:rPr>
          <w:lang w:val="fr-FR"/>
        </w:rPr>
        <w:t>’</w:t>
      </w:r>
      <w:r w:rsidRPr="00F13A4D">
        <w:rPr>
          <w:lang w:val="fr-FR"/>
        </w:rPr>
        <w:t>obtention du label Fibre citoyenne délivré par l</w:t>
      </w:r>
      <w:r w:rsidR="00F1794C" w:rsidRPr="00F1794C">
        <w:rPr>
          <w:lang w:val="fr-FR"/>
        </w:rPr>
        <w:t>’</w:t>
      </w:r>
      <w:r w:rsidRPr="00F13A4D">
        <w:rPr>
          <w:lang w:val="fr-FR"/>
        </w:rPr>
        <w:t>Association marocaine des industries du textile et de l</w:t>
      </w:r>
      <w:r w:rsidR="00F1794C" w:rsidRPr="00F1794C">
        <w:rPr>
          <w:lang w:val="fr-FR"/>
        </w:rPr>
        <w:t>’</w:t>
      </w:r>
      <w:r w:rsidRPr="00F13A4D">
        <w:rPr>
          <w:lang w:val="fr-FR"/>
        </w:rPr>
        <w:t>habillement. Ce label donne la priorité au respect des principes des droits humains et à la lutte contre toutes les formes de discrimination fondée sur le genre.</w:t>
      </w:r>
    </w:p>
    <w:p w14:paraId="707D0740" w14:textId="6902096D" w:rsidR="00F13A4D" w:rsidRPr="00F13A4D" w:rsidRDefault="00F13A4D" w:rsidP="00975DAD">
      <w:pPr>
        <w:pStyle w:val="SingleTxt"/>
        <w:numPr>
          <w:ilvl w:val="0"/>
          <w:numId w:val="50"/>
        </w:numPr>
        <w:rPr>
          <w:lang w:val="fr-FR"/>
        </w:rPr>
      </w:pPr>
      <w:r w:rsidRPr="00F13A4D">
        <w:rPr>
          <w:lang w:val="fr-FR"/>
        </w:rPr>
        <w:t>La législation nationale ne fait pas de distinction entre les femmes et les hommes mais des statistiques et des études ont fait apparaître des disparités criantes entre les sexes pour ce qui est de l</w:t>
      </w:r>
      <w:r w:rsidR="00F1794C" w:rsidRPr="00F1794C">
        <w:rPr>
          <w:lang w:val="fr-FR"/>
        </w:rPr>
        <w:t>’</w:t>
      </w:r>
      <w:r w:rsidRPr="00F13A4D">
        <w:rPr>
          <w:lang w:val="fr-FR"/>
        </w:rPr>
        <w:t>accès au marché du travail, ce qui a des effets notables sur la couverture sociale</w:t>
      </w:r>
      <w:r w:rsidRPr="00FA086B">
        <w:rPr>
          <w:vertAlign w:val="superscript"/>
          <w:lang w:val="fr-FR"/>
        </w:rPr>
        <w:footnoteReference w:id="83"/>
      </w:r>
      <w:r w:rsidRPr="00F13A4D">
        <w:rPr>
          <w:lang w:val="fr-FR"/>
        </w:rPr>
        <w:t>.</w:t>
      </w:r>
    </w:p>
    <w:p w14:paraId="3F8CF9E5" w14:textId="77777777" w:rsidR="00975DAD" w:rsidRPr="00975DAD" w:rsidRDefault="00975DAD" w:rsidP="00975DAD">
      <w:pPr>
        <w:pStyle w:val="SingleTxt"/>
        <w:spacing w:after="0" w:line="120" w:lineRule="exact"/>
        <w:rPr>
          <w:sz w:val="10"/>
          <w:lang w:val="fr-FR"/>
        </w:rPr>
      </w:pPr>
    </w:p>
    <w:p w14:paraId="725431F5" w14:textId="0EBC7D2F" w:rsidR="00975DAD" w:rsidRDefault="00975DAD" w:rsidP="00975DAD">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F13A4D" w:rsidRPr="00F13A4D">
        <w:rPr>
          <w:lang w:val="fr-FR"/>
        </w:rPr>
        <w:t>Tableau 9</w:t>
      </w:r>
    </w:p>
    <w:p w14:paraId="078C14F8" w14:textId="5CFFBB70" w:rsidR="00F13A4D" w:rsidRPr="00F13A4D" w:rsidRDefault="00975DAD" w:rsidP="00975D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T</w:t>
      </w:r>
      <w:r w:rsidR="00F13A4D" w:rsidRPr="00F13A4D">
        <w:rPr>
          <w:lang w:val="fr-FR"/>
        </w:rPr>
        <w:t>aux de chômage</w:t>
      </w:r>
    </w:p>
    <w:p w14:paraId="41CAE085" w14:textId="59C68F94" w:rsidR="00F13A4D" w:rsidRPr="00975DAD" w:rsidRDefault="00F13A4D" w:rsidP="00975DAD">
      <w:pPr>
        <w:pStyle w:val="SingleTxt"/>
        <w:spacing w:after="0" w:line="120" w:lineRule="exact"/>
        <w:rPr>
          <w:sz w:val="10"/>
          <w:lang w:val="fr-FR"/>
        </w:rPr>
      </w:pPr>
    </w:p>
    <w:p w14:paraId="317EFD14" w14:textId="6FBFB9B6" w:rsidR="00975DAD" w:rsidRPr="00975DAD" w:rsidRDefault="00975DAD" w:rsidP="00975DAD">
      <w:pPr>
        <w:pStyle w:val="SingleTxt"/>
        <w:spacing w:after="0" w:line="120" w:lineRule="exact"/>
        <w:rPr>
          <w:sz w:val="10"/>
          <w:lang w:val="fr-FR"/>
        </w:rPr>
      </w:pPr>
    </w:p>
    <w:tbl>
      <w:tblPr>
        <w:tblW w:w="0" w:type="auto"/>
        <w:jc w:val="center"/>
        <w:tblLayout w:type="fixed"/>
        <w:tblCellMar>
          <w:left w:w="0" w:type="dxa"/>
          <w:right w:w="0" w:type="dxa"/>
        </w:tblCellMar>
        <w:tblLook w:val="04A0" w:firstRow="1" w:lastRow="0" w:firstColumn="1" w:lastColumn="0" w:noHBand="0" w:noVBand="1"/>
      </w:tblPr>
      <w:tblGrid>
        <w:gridCol w:w="3150"/>
        <w:gridCol w:w="1390"/>
        <w:gridCol w:w="1390"/>
        <w:gridCol w:w="1390"/>
      </w:tblGrid>
      <w:tr w:rsidR="00A17DCB" w:rsidRPr="00A17DCB" w14:paraId="0C69528C" w14:textId="77777777" w:rsidTr="00A17DCB">
        <w:trPr>
          <w:cantSplit/>
          <w:tblHeader/>
          <w:jc w:val="center"/>
        </w:trPr>
        <w:tc>
          <w:tcPr>
            <w:tcW w:w="3150" w:type="dxa"/>
            <w:tcBorders>
              <w:top w:val="single" w:sz="4" w:space="0" w:color="auto"/>
              <w:bottom w:val="single" w:sz="12" w:space="0" w:color="auto"/>
            </w:tcBorders>
            <w:shd w:val="clear" w:color="auto" w:fill="auto"/>
            <w:noWrap/>
            <w:vAlign w:val="bottom"/>
          </w:tcPr>
          <w:p w14:paraId="61793F2D" w14:textId="77777777" w:rsidR="00F13A4D" w:rsidRPr="00A17DCB" w:rsidRDefault="00F13A4D" w:rsidP="00A17DCB">
            <w:pPr>
              <w:suppressAutoHyphens/>
              <w:spacing w:before="81" w:after="81" w:line="160" w:lineRule="exact"/>
              <w:ind w:right="40"/>
              <w:rPr>
                <w:i/>
                <w:sz w:val="14"/>
              </w:rPr>
            </w:pPr>
            <w:r w:rsidRPr="00A17DCB">
              <w:rPr>
                <w:i/>
                <w:sz w:val="14"/>
              </w:rPr>
              <w:t xml:space="preserve">Taux de chômage en 2018 (en pourcentage) </w:t>
            </w:r>
          </w:p>
        </w:tc>
        <w:tc>
          <w:tcPr>
            <w:tcW w:w="1390" w:type="dxa"/>
            <w:tcBorders>
              <w:top w:val="single" w:sz="4" w:space="0" w:color="auto"/>
              <w:bottom w:val="single" w:sz="12" w:space="0" w:color="auto"/>
            </w:tcBorders>
            <w:shd w:val="clear" w:color="auto" w:fill="auto"/>
            <w:noWrap/>
            <w:vAlign w:val="bottom"/>
          </w:tcPr>
          <w:p w14:paraId="037980BC" w14:textId="77777777" w:rsidR="00F13A4D" w:rsidRPr="00A17DCB" w:rsidRDefault="00F13A4D" w:rsidP="00A17DCB">
            <w:pPr>
              <w:suppressAutoHyphens/>
              <w:spacing w:before="81" w:after="81" w:line="160" w:lineRule="exact"/>
              <w:ind w:right="43"/>
              <w:jc w:val="right"/>
              <w:rPr>
                <w:i/>
                <w:sz w:val="14"/>
              </w:rPr>
            </w:pPr>
            <w:r w:rsidRPr="00A17DCB">
              <w:rPr>
                <w:i/>
                <w:sz w:val="14"/>
              </w:rPr>
              <w:t>En milieu rural</w:t>
            </w:r>
          </w:p>
        </w:tc>
        <w:tc>
          <w:tcPr>
            <w:tcW w:w="1390" w:type="dxa"/>
            <w:tcBorders>
              <w:top w:val="single" w:sz="4" w:space="0" w:color="auto"/>
              <w:bottom w:val="single" w:sz="12" w:space="0" w:color="auto"/>
            </w:tcBorders>
            <w:shd w:val="clear" w:color="auto" w:fill="auto"/>
            <w:noWrap/>
            <w:vAlign w:val="bottom"/>
          </w:tcPr>
          <w:p w14:paraId="674C688A" w14:textId="77777777" w:rsidR="00F13A4D" w:rsidRPr="00A17DCB" w:rsidRDefault="00F13A4D" w:rsidP="00A17DCB">
            <w:pPr>
              <w:suppressAutoHyphens/>
              <w:spacing w:before="81" w:after="81" w:line="160" w:lineRule="exact"/>
              <w:ind w:right="43"/>
              <w:jc w:val="right"/>
              <w:rPr>
                <w:i/>
                <w:sz w:val="14"/>
              </w:rPr>
            </w:pPr>
            <w:r w:rsidRPr="00A17DCB">
              <w:rPr>
                <w:i/>
                <w:sz w:val="14"/>
              </w:rPr>
              <w:t>En milieu urbain</w:t>
            </w:r>
          </w:p>
        </w:tc>
        <w:tc>
          <w:tcPr>
            <w:tcW w:w="1390" w:type="dxa"/>
            <w:tcBorders>
              <w:top w:val="single" w:sz="4" w:space="0" w:color="auto"/>
              <w:bottom w:val="single" w:sz="12" w:space="0" w:color="auto"/>
            </w:tcBorders>
            <w:shd w:val="clear" w:color="auto" w:fill="auto"/>
            <w:noWrap/>
            <w:vAlign w:val="bottom"/>
          </w:tcPr>
          <w:p w14:paraId="79535178" w14:textId="77777777" w:rsidR="00F13A4D" w:rsidRPr="00A17DCB" w:rsidRDefault="00F13A4D" w:rsidP="00A17DCB">
            <w:pPr>
              <w:suppressAutoHyphens/>
              <w:spacing w:before="81" w:after="81" w:line="160" w:lineRule="exact"/>
              <w:ind w:right="43"/>
              <w:jc w:val="right"/>
              <w:rPr>
                <w:i/>
                <w:sz w:val="14"/>
              </w:rPr>
            </w:pPr>
            <w:r w:rsidRPr="00A17DCB">
              <w:rPr>
                <w:i/>
                <w:sz w:val="14"/>
              </w:rPr>
              <w:t>Au niveau national</w:t>
            </w:r>
          </w:p>
        </w:tc>
      </w:tr>
      <w:tr w:rsidR="00A17DCB" w:rsidRPr="00A17DCB" w14:paraId="5A12AF24" w14:textId="77777777" w:rsidTr="00A17DCB">
        <w:trPr>
          <w:cantSplit/>
          <w:trHeight w:hRule="exact" w:val="115"/>
          <w:tblHeader/>
          <w:jc w:val="center"/>
        </w:trPr>
        <w:tc>
          <w:tcPr>
            <w:tcW w:w="3150" w:type="dxa"/>
            <w:tcBorders>
              <w:top w:val="single" w:sz="12" w:space="0" w:color="auto"/>
            </w:tcBorders>
            <w:shd w:val="clear" w:color="auto" w:fill="auto"/>
            <w:noWrap/>
            <w:vAlign w:val="bottom"/>
          </w:tcPr>
          <w:p w14:paraId="6969CB07" w14:textId="77777777" w:rsidR="00A17DCB" w:rsidRPr="00A17DCB" w:rsidRDefault="00A17DCB" w:rsidP="00A17DCB">
            <w:pPr>
              <w:suppressAutoHyphens/>
              <w:spacing w:before="40" w:after="40" w:line="210" w:lineRule="exact"/>
              <w:ind w:right="40"/>
              <w:rPr>
                <w:sz w:val="17"/>
              </w:rPr>
            </w:pPr>
          </w:p>
        </w:tc>
        <w:tc>
          <w:tcPr>
            <w:tcW w:w="1390" w:type="dxa"/>
            <w:tcBorders>
              <w:top w:val="single" w:sz="12" w:space="0" w:color="auto"/>
            </w:tcBorders>
            <w:shd w:val="clear" w:color="auto" w:fill="auto"/>
            <w:noWrap/>
            <w:vAlign w:val="bottom"/>
          </w:tcPr>
          <w:p w14:paraId="1A9ECC0C" w14:textId="77777777" w:rsidR="00A17DCB" w:rsidRPr="00A17DCB" w:rsidRDefault="00A17DCB" w:rsidP="00A17DCB">
            <w:pPr>
              <w:suppressAutoHyphens/>
              <w:spacing w:before="40" w:after="40" w:line="210" w:lineRule="exact"/>
              <w:ind w:right="43"/>
              <w:jc w:val="right"/>
              <w:rPr>
                <w:sz w:val="17"/>
              </w:rPr>
            </w:pPr>
          </w:p>
        </w:tc>
        <w:tc>
          <w:tcPr>
            <w:tcW w:w="1390" w:type="dxa"/>
            <w:tcBorders>
              <w:top w:val="single" w:sz="12" w:space="0" w:color="auto"/>
            </w:tcBorders>
            <w:shd w:val="clear" w:color="auto" w:fill="auto"/>
            <w:noWrap/>
            <w:vAlign w:val="bottom"/>
          </w:tcPr>
          <w:p w14:paraId="5906AF8A" w14:textId="77777777" w:rsidR="00A17DCB" w:rsidRPr="00A17DCB" w:rsidRDefault="00A17DCB" w:rsidP="00A17DCB">
            <w:pPr>
              <w:suppressAutoHyphens/>
              <w:spacing w:before="40" w:after="40" w:line="210" w:lineRule="exact"/>
              <w:ind w:right="43"/>
              <w:jc w:val="right"/>
              <w:rPr>
                <w:sz w:val="17"/>
              </w:rPr>
            </w:pPr>
          </w:p>
        </w:tc>
        <w:tc>
          <w:tcPr>
            <w:tcW w:w="1390" w:type="dxa"/>
            <w:tcBorders>
              <w:top w:val="single" w:sz="12" w:space="0" w:color="auto"/>
            </w:tcBorders>
            <w:shd w:val="clear" w:color="auto" w:fill="auto"/>
            <w:noWrap/>
            <w:vAlign w:val="bottom"/>
          </w:tcPr>
          <w:p w14:paraId="70893066" w14:textId="77777777" w:rsidR="00A17DCB" w:rsidRPr="00A17DCB" w:rsidRDefault="00A17DCB" w:rsidP="00A17DCB">
            <w:pPr>
              <w:suppressAutoHyphens/>
              <w:spacing w:before="40" w:after="40" w:line="210" w:lineRule="exact"/>
              <w:ind w:right="43"/>
              <w:jc w:val="right"/>
              <w:rPr>
                <w:sz w:val="17"/>
              </w:rPr>
            </w:pPr>
          </w:p>
        </w:tc>
      </w:tr>
      <w:tr w:rsidR="00A17DCB" w:rsidRPr="00A17DCB" w14:paraId="592DD963" w14:textId="77777777" w:rsidTr="00A17DCB">
        <w:trPr>
          <w:cantSplit/>
          <w:jc w:val="center"/>
        </w:trPr>
        <w:tc>
          <w:tcPr>
            <w:tcW w:w="3150" w:type="dxa"/>
            <w:shd w:val="clear" w:color="auto" w:fill="auto"/>
            <w:noWrap/>
            <w:vAlign w:val="bottom"/>
          </w:tcPr>
          <w:p w14:paraId="3F907257" w14:textId="77777777" w:rsidR="00F13A4D" w:rsidRPr="00A17DCB" w:rsidRDefault="00F13A4D" w:rsidP="00A17DCB">
            <w:pPr>
              <w:tabs>
                <w:tab w:val="left" w:pos="288"/>
                <w:tab w:val="left" w:pos="576"/>
                <w:tab w:val="left" w:pos="864"/>
                <w:tab w:val="left" w:pos="1152"/>
              </w:tabs>
              <w:suppressAutoHyphens/>
              <w:spacing w:before="40" w:after="40" w:line="210" w:lineRule="exact"/>
              <w:ind w:right="40"/>
              <w:rPr>
                <w:sz w:val="17"/>
              </w:rPr>
            </w:pPr>
            <w:r w:rsidRPr="00A17DCB">
              <w:rPr>
                <w:sz w:val="17"/>
              </w:rPr>
              <w:t>Femmes</w:t>
            </w:r>
          </w:p>
        </w:tc>
        <w:tc>
          <w:tcPr>
            <w:tcW w:w="1390" w:type="dxa"/>
            <w:shd w:val="clear" w:color="auto" w:fill="auto"/>
            <w:noWrap/>
            <w:vAlign w:val="bottom"/>
          </w:tcPr>
          <w:p w14:paraId="237F5743" w14:textId="77777777" w:rsidR="00F13A4D" w:rsidRPr="00A17DCB" w:rsidRDefault="00F13A4D" w:rsidP="00A17DCB">
            <w:pPr>
              <w:tabs>
                <w:tab w:val="left" w:pos="288"/>
                <w:tab w:val="left" w:pos="576"/>
                <w:tab w:val="left" w:pos="864"/>
                <w:tab w:val="left" w:pos="1152"/>
              </w:tabs>
              <w:suppressAutoHyphens/>
              <w:spacing w:before="40" w:after="40" w:line="210" w:lineRule="exact"/>
              <w:ind w:right="43"/>
              <w:jc w:val="right"/>
              <w:rPr>
                <w:sz w:val="17"/>
              </w:rPr>
            </w:pPr>
            <w:r w:rsidRPr="00A17DCB">
              <w:rPr>
                <w:sz w:val="17"/>
              </w:rPr>
              <w:t>2,5</w:t>
            </w:r>
          </w:p>
        </w:tc>
        <w:tc>
          <w:tcPr>
            <w:tcW w:w="1390" w:type="dxa"/>
            <w:shd w:val="clear" w:color="auto" w:fill="auto"/>
            <w:noWrap/>
            <w:vAlign w:val="bottom"/>
          </w:tcPr>
          <w:p w14:paraId="67436F24" w14:textId="77777777" w:rsidR="00F13A4D" w:rsidRPr="00A17DCB" w:rsidRDefault="00F13A4D" w:rsidP="00A17DCB">
            <w:pPr>
              <w:tabs>
                <w:tab w:val="left" w:pos="288"/>
                <w:tab w:val="left" w:pos="576"/>
                <w:tab w:val="left" w:pos="864"/>
                <w:tab w:val="left" w:pos="1152"/>
              </w:tabs>
              <w:suppressAutoHyphens/>
              <w:spacing w:before="40" w:after="40" w:line="210" w:lineRule="exact"/>
              <w:ind w:right="43"/>
              <w:jc w:val="right"/>
              <w:rPr>
                <w:sz w:val="17"/>
              </w:rPr>
            </w:pPr>
            <w:r w:rsidRPr="00A17DCB">
              <w:rPr>
                <w:sz w:val="17"/>
              </w:rPr>
              <w:t>24,3</w:t>
            </w:r>
          </w:p>
        </w:tc>
        <w:tc>
          <w:tcPr>
            <w:tcW w:w="1390" w:type="dxa"/>
            <w:shd w:val="clear" w:color="auto" w:fill="auto"/>
            <w:noWrap/>
            <w:vAlign w:val="bottom"/>
          </w:tcPr>
          <w:p w14:paraId="210BB510" w14:textId="77777777" w:rsidR="00F13A4D" w:rsidRPr="00A17DCB" w:rsidRDefault="00F13A4D" w:rsidP="00A17DCB">
            <w:pPr>
              <w:tabs>
                <w:tab w:val="left" w:pos="288"/>
                <w:tab w:val="left" w:pos="576"/>
                <w:tab w:val="left" w:pos="864"/>
                <w:tab w:val="left" w:pos="1152"/>
              </w:tabs>
              <w:suppressAutoHyphens/>
              <w:spacing w:before="40" w:after="40" w:line="210" w:lineRule="exact"/>
              <w:ind w:right="43"/>
              <w:jc w:val="right"/>
              <w:rPr>
                <w:sz w:val="17"/>
              </w:rPr>
            </w:pPr>
            <w:r w:rsidRPr="00A17DCB">
              <w:rPr>
                <w:sz w:val="17"/>
              </w:rPr>
              <w:t>14</w:t>
            </w:r>
          </w:p>
        </w:tc>
      </w:tr>
      <w:tr w:rsidR="00A17DCB" w:rsidRPr="00A17DCB" w14:paraId="5C9E40A2" w14:textId="77777777" w:rsidTr="00A17DCB">
        <w:trPr>
          <w:cantSplit/>
          <w:jc w:val="center"/>
        </w:trPr>
        <w:tc>
          <w:tcPr>
            <w:tcW w:w="3150" w:type="dxa"/>
            <w:tcBorders>
              <w:bottom w:val="single" w:sz="4" w:space="0" w:color="auto"/>
            </w:tcBorders>
            <w:shd w:val="clear" w:color="auto" w:fill="auto"/>
            <w:noWrap/>
            <w:vAlign w:val="bottom"/>
          </w:tcPr>
          <w:p w14:paraId="4EF99C1B" w14:textId="77777777" w:rsidR="00F13A4D" w:rsidRPr="00A17DCB" w:rsidRDefault="00F13A4D" w:rsidP="00A17DCB">
            <w:pPr>
              <w:tabs>
                <w:tab w:val="left" w:pos="288"/>
                <w:tab w:val="left" w:pos="576"/>
                <w:tab w:val="left" w:pos="864"/>
                <w:tab w:val="left" w:pos="1152"/>
              </w:tabs>
              <w:suppressAutoHyphens/>
              <w:spacing w:before="40" w:after="81" w:line="210" w:lineRule="exact"/>
              <w:ind w:right="40"/>
              <w:rPr>
                <w:sz w:val="17"/>
              </w:rPr>
            </w:pPr>
            <w:r w:rsidRPr="00A17DCB">
              <w:rPr>
                <w:sz w:val="17"/>
              </w:rPr>
              <w:t>Hommes</w:t>
            </w:r>
          </w:p>
        </w:tc>
        <w:tc>
          <w:tcPr>
            <w:tcW w:w="1390" w:type="dxa"/>
            <w:tcBorders>
              <w:bottom w:val="single" w:sz="4" w:space="0" w:color="auto"/>
            </w:tcBorders>
            <w:shd w:val="clear" w:color="auto" w:fill="auto"/>
            <w:noWrap/>
            <w:vAlign w:val="bottom"/>
          </w:tcPr>
          <w:p w14:paraId="58E69C49" w14:textId="77777777" w:rsidR="00F13A4D" w:rsidRPr="00A17DCB" w:rsidRDefault="00F13A4D" w:rsidP="00A17DCB">
            <w:pPr>
              <w:tabs>
                <w:tab w:val="left" w:pos="288"/>
                <w:tab w:val="left" w:pos="576"/>
                <w:tab w:val="left" w:pos="864"/>
                <w:tab w:val="left" w:pos="1152"/>
              </w:tabs>
              <w:suppressAutoHyphens/>
              <w:spacing w:before="40" w:after="81" w:line="210" w:lineRule="exact"/>
              <w:ind w:right="43"/>
              <w:jc w:val="right"/>
              <w:rPr>
                <w:sz w:val="17"/>
              </w:rPr>
            </w:pPr>
            <w:r w:rsidRPr="00A17DCB">
              <w:rPr>
                <w:sz w:val="17"/>
              </w:rPr>
              <w:t>3,9</w:t>
            </w:r>
          </w:p>
        </w:tc>
        <w:tc>
          <w:tcPr>
            <w:tcW w:w="1390" w:type="dxa"/>
            <w:tcBorders>
              <w:bottom w:val="single" w:sz="4" w:space="0" w:color="auto"/>
            </w:tcBorders>
            <w:shd w:val="clear" w:color="auto" w:fill="auto"/>
            <w:noWrap/>
            <w:vAlign w:val="bottom"/>
          </w:tcPr>
          <w:p w14:paraId="22068C9D" w14:textId="77777777" w:rsidR="00F13A4D" w:rsidRPr="00A17DCB" w:rsidRDefault="00F13A4D" w:rsidP="00A17DCB">
            <w:pPr>
              <w:tabs>
                <w:tab w:val="left" w:pos="288"/>
                <w:tab w:val="left" w:pos="576"/>
                <w:tab w:val="left" w:pos="864"/>
                <w:tab w:val="left" w:pos="1152"/>
              </w:tabs>
              <w:suppressAutoHyphens/>
              <w:spacing w:before="40" w:after="81" w:line="210" w:lineRule="exact"/>
              <w:ind w:right="43"/>
              <w:jc w:val="right"/>
              <w:rPr>
                <w:sz w:val="17"/>
              </w:rPr>
            </w:pPr>
            <w:r w:rsidRPr="00A17DCB">
              <w:rPr>
                <w:sz w:val="17"/>
              </w:rPr>
              <w:t>11,4</w:t>
            </w:r>
          </w:p>
        </w:tc>
        <w:tc>
          <w:tcPr>
            <w:tcW w:w="1390" w:type="dxa"/>
            <w:tcBorders>
              <w:bottom w:val="single" w:sz="4" w:space="0" w:color="auto"/>
            </w:tcBorders>
            <w:shd w:val="clear" w:color="auto" w:fill="auto"/>
            <w:noWrap/>
            <w:vAlign w:val="bottom"/>
          </w:tcPr>
          <w:p w14:paraId="704D32AE" w14:textId="77777777" w:rsidR="00F13A4D" w:rsidRPr="00A17DCB" w:rsidRDefault="00F13A4D" w:rsidP="00A17DCB">
            <w:pPr>
              <w:tabs>
                <w:tab w:val="left" w:pos="288"/>
                <w:tab w:val="left" w:pos="576"/>
                <w:tab w:val="left" w:pos="864"/>
                <w:tab w:val="left" w:pos="1152"/>
              </w:tabs>
              <w:suppressAutoHyphens/>
              <w:spacing w:before="40" w:after="81" w:line="210" w:lineRule="exact"/>
              <w:ind w:right="43"/>
              <w:jc w:val="right"/>
              <w:rPr>
                <w:sz w:val="17"/>
              </w:rPr>
            </w:pPr>
            <w:r w:rsidRPr="00A17DCB">
              <w:rPr>
                <w:sz w:val="17"/>
              </w:rPr>
              <w:t>8,4</w:t>
            </w:r>
          </w:p>
        </w:tc>
      </w:tr>
      <w:tr w:rsidR="00A17DCB" w:rsidRPr="00A17DCB" w14:paraId="2F6F93DB" w14:textId="77777777" w:rsidTr="00A17DCB">
        <w:trPr>
          <w:cantSplit/>
          <w:jc w:val="center"/>
        </w:trPr>
        <w:tc>
          <w:tcPr>
            <w:tcW w:w="3150" w:type="dxa"/>
            <w:tcBorders>
              <w:top w:val="single" w:sz="4" w:space="0" w:color="auto"/>
              <w:bottom w:val="single" w:sz="4" w:space="0" w:color="auto"/>
            </w:tcBorders>
            <w:shd w:val="clear" w:color="auto" w:fill="auto"/>
            <w:noWrap/>
            <w:vAlign w:val="bottom"/>
          </w:tcPr>
          <w:p w14:paraId="3E2277C5" w14:textId="3EF2C559" w:rsidR="00F13A4D" w:rsidRPr="00A17DCB" w:rsidRDefault="00A17DCB" w:rsidP="00A17DCB">
            <w:pPr>
              <w:tabs>
                <w:tab w:val="left" w:pos="288"/>
                <w:tab w:val="left" w:pos="576"/>
                <w:tab w:val="left" w:pos="864"/>
                <w:tab w:val="left" w:pos="1152"/>
              </w:tabs>
              <w:suppressAutoHyphens/>
              <w:spacing w:before="81" w:after="81" w:line="210" w:lineRule="exact"/>
              <w:ind w:right="40"/>
              <w:rPr>
                <w:b/>
                <w:sz w:val="17"/>
              </w:rPr>
            </w:pPr>
            <w:r>
              <w:rPr>
                <w:b/>
                <w:sz w:val="17"/>
              </w:rPr>
              <w:tab/>
            </w:r>
            <w:r w:rsidR="00F13A4D" w:rsidRPr="00A17DCB">
              <w:rPr>
                <w:b/>
                <w:sz w:val="17"/>
              </w:rPr>
              <w:t>Total</w:t>
            </w:r>
          </w:p>
        </w:tc>
        <w:tc>
          <w:tcPr>
            <w:tcW w:w="1390" w:type="dxa"/>
            <w:tcBorders>
              <w:top w:val="single" w:sz="4" w:space="0" w:color="auto"/>
              <w:bottom w:val="single" w:sz="4" w:space="0" w:color="auto"/>
            </w:tcBorders>
            <w:shd w:val="clear" w:color="auto" w:fill="auto"/>
            <w:noWrap/>
            <w:vAlign w:val="bottom"/>
          </w:tcPr>
          <w:p w14:paraId="4B599024" w14:textId="77777777" w:rsidR="00F13A4D" w:rsidRPr="00A17DCB" w:rsidRDefault="00F13A4D" w:rsidP="00A17DCB">
            <w:pPr>
              <w:tabs>
                <w:tab w:val="left" w:pos="288"/>
                <w:tab w:val="left" w:pos="576"/>
                <w:tab w:val="left" w:pos="864"/>
                <w:tab w:val="left" w:pos="1152"/>
              </w:tabs>
              <w:suppressAutoHyphens/>
              <w:spacing w:before="81" w:after="81" w:line="210" w:lineRule="exact"/>
              <w:ind w:right="43"/>
              <w:jc w:val="right"/>
              <w:rPr>
                <w:b/>
                <w:sz w:val="17"/>
              </w:rPr>
            </w:pPr>
            <w:r w:rsidRPr="00A17DCB">
              <w:rPr>
                <w:b/>
                <w:sz w:val="17"/>
              </w:rPr>
              <w:t>3,5</w:t>
            </w:r>
          </w:p>
        </w:tc>
        <w:tc>
          <w:tcPr>
            <w:tcW w:w="1390" w:type="dxa"/>
            <w:tcBorders>
              <w:top w:val="single" w:sz="4" w:space="0" w:color="auto"/>
              <w:bottom w:val="single" w:sz="4" w:space="0" w:color="auto"/>
            </w:tcBorders>
            <w:shd w:val="clear" w:color="auto" w:fill="auto"/>
            <w:noWrap/>
            <w:vAlign w:val="bottom"/>
          </w:tcPr>
          <w:p w14:paraId="45FB8B2C" w14:textId="77777777" w:rsidR="00F13A4D" w:rsidRPr="00A17DCB" w:rsidRDefault="00F13A4D" w:rsidP="00A17DCB">
            <w:pPr>
              <w:tabs>
                <w:tab w:val="left" w:pos="288"/>
                <w:tab w:val="left" w:pos="576"/>
                <w:tab w:val="left" w:pos="864"/>
                <w:tab w:val="left" w:pos="1152"/>
              </w:tabs>
              <w:suppressAutoHyphens/>
              <w:spacing w:before="81" w:after="81" w:line="210" w:lineRule="exact"/>
              <w:ind w:right="43"/>
              <w:jc w:val="right"/>
              <w:rPr>
                <w:b/>
                <w:sz w:val="17"/>
              </w:rPr>
            </w:pPr>
            <w:r w:rsidRPr="00A17DCB">
              <w:rPr>
                <w:b/>
                <w:sz w:val="17"/>
              </w:rPr>
              <w:t>14,2</w:t>
            </w:r>
          </w:p>
        </w:tc>
        <w:tc>
          <w:tcPr>
            <w:tcW w:w="1390" w:type="dxa"/>
            <w:tcBorders>
              <w:top w:val="single" w:sz="4" w:space="0" w:color="auto"/>
              <w:bottom w:val="single" w:sz="4" w:space="0" w:color="auto"/>
            </w:tcBorders>
            <w:shd w:val="clear" w:color="auto" w:fill="auto"/>
            <w:noWrap/>
            <w:vAlign w:val="bottom"/>
          </w:tcPr>
          <w:p w14:paraId="5E16E582" w14:textId="77777777" w:rsidR="00F13A4D" w:rsidRPr="00A17DCB" w:rsidRDefault="00F13A4D" w:rsidP="00A17DCB">
            <w:pPr>
              <w:tabs>
                <w:tab w:val="left" w:pos="288"/>
                <w:tab w:val="left" w:pos="576"/>
                <w:tab w:val="left" w:pos="864"/>
                <w:tab w:val="left" w:pos="1152"/>
              </w:tabs>
              <w:suppressAutoHyphens/>
              <w:spacing w:before="81" w:after="81" w:line="210" w:lineRule="exact"/>
              <w:ind w:right="43"/>
              <w:jc w:val="right"/>
              <w:rPr>
                <w:b/>
                <w:sz w:val="17"/>
              </w:rPr>
            </w:pPr>
            <w:r w:rsidRPr="00A17DCB">
              <w:rPr>
                <w:b/>
                <w:sz w:val="17"/>
              </w:rPr>
              <w:t>9,8</w:t>
            </w:r>
          </w:p>
        </w:tc>
      </w:tr>
      <w:tr w:rsidR="00A17DCB" w:rsidRPr="00A17DCB" w14:paraId="281DA588" w14:textId="77777777" w:rsidTr="00A17DCB">
        <w:trPr>
          <w:cantSplit/>
          <w:jc w:val="center"/>
        </w:trPr>
        <w:tc>
          <w:tcPr>
            <w:tcW w:w="3150" w:type="dxa"/>
            <w:tcBorders>
              <w:top w:val="single" w:sz="4" w:space="0" w:color="auto"/>
            </w:tcBorders>
            <w:shd w:val="clear" w:color="auto" w:fill="auto"/>
            <w:noWrap/>
            <w:vAlign w:val="bottom"/>
          </w:tcPr>
          <w:p w14:paraId="6687F40D" w14:textId="798CFDB1" w:rsidR="00F13A4D" w:rsidRPr="00A17DCB" w:rsidRDefault="00F13A4D" w:rsidP="00A17DCB">
            <w:pPr>
              <w:tabs>
                <w:tab w:val="left" w:pos="288"/>
                <w:tab w:val="left" w:pos="576"/>
                <w:tab w:val="left" w:pos="864"/>
                <w:tab w:val="left" w:pos="1152"/>
              </w:tabs>
              <w:suppressAutoHyphens/>
              <w:spacing w:before="81" w:after="40" w:line="210" w:lineRule="exact"/>
              <w:ind w:right="40"/>
              <w:rPr>
                <w:sz w:val="17"/>
              </w:rPr>
            </w:pPr>
            <w:r w:rsidRPr="00A17DCB">
              <w:rPr>
                <w:sz w:val="17"/>
              </w:rPr>
              <w:t>Taux d</w:t>
            </w:r>
            <w:r w:rsidR="00F1794C" w:rsidRPr="00A17DCB">
              <w:rPr>
                <w:sz w:val="17"/>
              </w:rPr>
              <w:t>’</w:t>
            </w:r>
            <w:r w:rsidRPr="00A17DCB">
              <w:rPr>
                <w:sz w:val="17"/>
              </w:rPr>
              <w:t xml:space="preserve">activité en 2018 (en pourcentage) </w:t>
            </w:r>
          </w:p>
        </w:tc>
        <w:tc>
          <w:tcPr>
            <w:tcW w:w="1390" w:type="dxa"/>
            <w:tcBorders>
              <w:top w:val="single" w:sz="4" w:space="0" w:color="auto"/>
            </w:tcBorders>
            <w:shd w:val="clear" w:color="auto" w:fill="auto"/>
            <w:noWrap/>
            <w:vAlign w:val="bottom"/>
          </w:tcPr>
          <w:p w14:paraId="08AA791B" w14:textId="77777777" w:rsidR="00F13A4D" w:rsidRPr="00A17DCB" w:rsidRDefault="00F13A4D" w:rsidP="00A17DCB">
            <w:pPr>
              <w:tabs>
                <w:tab w:val="left" w:pos="288"/>
                <w:tab w:val="left" w:pos="576"/>
                <w:tab w:val="left" w:pos="864"/>
                <w:tab w:val="left" w:pos="1152"/>
              </w:tabs>
              <w:suppressAutoHyphens/>
              <w:spacing w:before="81" w:after="40" w:line="210" w:lineRule="exact"/>
              <w:ind w:right="43"/>
              <w:jc w:val="right"/>
              <w:rPr>
                <w:sz w:val="17"/>
                <w:rtl/>
              </w:rPr>
            </w:pPr>
          </w:p>
        </w:tc>
        <w:tc>
          <w:tcPr>
            <w:tcW w:w="1390" w:type="dxa"/>
            <w:tcBorders>
              <w:top w:val="single" w:sz="4" w:space="0" w:color="auto"/>
            </w:tcBorders>
            <w:shd w:val="clear" w:color="auto" w:fill="auto"/>
            <w:noWrap/>
            <w:vAlign w:val="bottom"/>
          </w:tcPr>
          <w:p w14:paraId="0EF4C73F" w14:textId="77777777" w:rsidR="00F13A4D" w:rsidRPr="00A17DCB" w:rsidRDefault="00F13A4D" w:rsidP="00A17DCB">
            <w:pPr>
              <w:tabs>
                <w:tab w:val="left" w:pos="288"/>
                <w:tab w:val="left" w:pos="576"/>
                <w:tab w:val="left" w:pos="864"/>
                <w:tab w:val="left" w:pos="1152"/>
              </w:tabs>
              <w:suppressAutoHyphens/>
              <w:spacing w:before="81" w:after="40" w:line="210" w:lineRule="exact"/>
              <w:ind w:right="43"/>
              <w:jc w:val="right"/>
              <w:rPr>
                <w:sz w:val="17"/>
                <w:rtl/>
              </w:rPr>
            </w:pPr>
          </w:p>
        </w:tc>
        <w:tc>
          <w:tcPr>
            <w:tcW w:w="1390" w:type="dxa"/>
            <w:tcBorders>
              <w:top w:val="single" w:sz="4" w:space="0" w:color="auto"/>
            </w:tcBorders>
            <w:shd w:val="clear" w:color="auto" w:fill="auto"/>
            <w:noWrap/>
            <w:vAlign w:val="bottom"/>
          </w:tcPr>
          <w:p w14:paraId="5F8C6578" w14:textId="77777777" w:rsidR="00F13A4D" w:rsidRPr="00A17DCB" w:rsidRDefault="00F13A4D" w:rsidP="00A17DCB">
            <w:pPr>
              <w:tabs>
                <w:tab w:val="left" w:pos="288"/>
                <w:tab w:val="left" w:pos="576"/>
                <w:tab w:val="left" w:pos="864"/>
                <w:tab w:val="left" w:pos="1152"/>
              </w:tabs>
              <w:suppressAutoHyphens/>
              <w:spacing w:before="81" w:after="40" w:line="210" w:lineRule="exact"/>
              <w:ind w:right="43"/>
              <w:jc w:val="right"/>
              <w:rPr>
                <w:sz w:val="17"/>
                <w:rtl/>
              </w:rPr>
            </w:pPr>
          </w:p>
        </w:tc>
      </w:tr>
      <w:tr w:rsidR="00A17DCB" w:rsidRPr="00A17DCB" w14:paraId="1BA363F1" w14:textId="77777777" w:rsidTr="00A17DCB">
        <w:trPr>
          <w:cantSplit/>
          <w:jc w:val="center"/>
        </w:trPr>
        <w:tc>
          <w:tcPr>
            <w:tcW w:w="3150" w:type="dxa"/>
            <w:shd w:val="clear" w:color="auto" w:fill="auto"/>
            <w:noWrap/>
            <w:vAlign w:val="bottom"/>
          </w:tcPr>
          <w:p w14:paraId="14640C54" w14:textId="77777777" w:rsidR="00F13A4D" w:rsidRPr="00A17DCB" w:rsidRDefault="00F13A4D" w:rsidP="00A17DCB">
            <w:pPr>
              <w:tabs>
                <w:tab w:val="left" w:pos="288"/>
                <w:tab w:val="left" w:pos="576"/>
                <w:tab w:val="left" w:pos="864"/>
                <w:tab w:val="left" w:pos="1152"/>
              </w:tabs>
              <w:suppressAutoHyphens/>
              <w:spacing w:before="40" w:after="40" w:line="210" w:lineRule="exact"/>
              <w:ind w:right="40"/>
              <w:rPr>
                <w:sz w:val="17"/>
              </w:rPr>
            </w:pPr>
            <w:r w:rsidRPr="00A17DCB">
              <w:rPr>
                <w:sz w:val="17"/>
              </w:rPr>
              <w:t>Femmes</w:t>
            </w:r>
          </w:p>
        </w:tc>
        <w:tc>
          <w:tcPr>
            <w:tcW w:w="1390" w:type="dxa"/>
            <w:shd w:val="clear" w:color="auto" w:fill="auto"/>
            <w:noWrap/>
            <w:vAlign w:val="bottom"/>
          </w:tcPr>
          <w:p w14:paraId="5D39B5A6" w14:textId="77777777" w:rsidR="00F13A4D" w:rsidRPr="00A17DCB" w:rsidRDefault="00F13A4D" w:rsidP="00A17DCB">
            <w:pPr>
              <w:tabs>
                <w:tab w:val="left" w:pos="288"/>
                <w:tab w:val="left" w:pos="576"/>
                <w:tab w:val="left" w:pos="864"/>
                <w:tab w:val="left" w:pos="1152"/>
              </w:tabs>
              <w:suppressAutoHyphens/>
              <w:spacing w:before="40" w:after="40" w:line="210" w:lineRule="exact"/>
              <w:ind w:right="43"/>
              <w:jc w:val="right"/>
              <w:rPr>
                <w:sz w:val="17"/>
              </w:rPr>
            </w:pPr>
            <w:r w:rsidRPr="00A17DCB">
              <w:rPr>
                <w:sz w:val="17"/>
              </w:rPr>
              <w:t>29,7</w:t>
            </w:r>
          </w:p>
        </w:tc>
        <w:tc>
          <w:tcPr>
            <w:tcW w:w="1390" w:type="dxa"/>
            <w:shd w:val="clear" w:color="auto" w:fill="auto"/>
            <w:noWrap/>
            <w:vAlign w:val="bottom"/>
          </w:tcPr>
          <w:p w14:paraId="09FA97EB" w14:textId="77777777" w:rsidR="00F13A4D" w:rsidRPr="00A17DCB" w:rsidRDefault="00F13A4D" w:rsidP="00A17DCB">
            <w:pPr>
              <w:tabs>
                <w:tab w:val="left" w:pos="288"/>
                <w:tab w:val="left" w:pos="576"/>
                <w:tab w:val="left" w:pos="864"/>
                <w:tab w:val="left" w:pos="1152"/>
              </w:tabs>
              <w:suppressAutoHyphens/>
              <w:spacing w:before="40" w:after="40" w:line="210" w:lineRule="exact"/>
              <w:ind w:right="43"/>
              <w:jc w:val="right"/>
              <w:rPr>
                <w:sz w:val="17"/>
              </w:rPr>
            </w:pPr>
            <w:r w:rsidRPr="00A17DCB">
              <w:rPr>
                <w:sz w:val="17"/>
              </w:rPr>
              <w:t>18,1</w:t>
            </w:r>
          </w:p>
        </w:tc>
        <w:tc>
          <w:tcPr>
            <w:tcW w:w="1390" w:type="dxa"/>
            <w:shd w:val="clear" w:color="auto" w:fill="auto"/>
            <w:noWrap/>
            <w:vAlign w:val="bottom"/>
          </w:tcPr>
          <w:p w14:paraId="6DA2DA73" w14:textId="77777777" w:rsidR="00F13A4D" w:rsidRPr="00A17DCB" w:rsidRDefault="00F13A4D" w:rsidP="00A17DCB">
            <w:pPr>
              <w:tabs>
                <w:tab w:val="left" w:pos="288"/>
                <w:tab w:val="left" w:pos="576"/>
                <w:tab w:val="left" w:pos="864"/>
                <w:tab w:val="left" w:pos="1152"/>
              </w:tabs>
              <w:suppressAutoHyphens/>
              <w:spacing w:before="40" w:after="40" w:line="210" w:lineRule="exact"/>
              <w:ind w:right="43"/>
              <w:jc w:val="right"/>
              <w:rPr>
                <w:sz w:val="17"/>
              </w:rPr>
            </w:pPr>
            <w:r w:rsidRPr="00A17DCB">
              <w:rPr>
                <w:sz w:val="17"/>
              </w:rPr>
              <w:t>22,2</w:t>
            </w:r>
          </w:p>
        </w:tc>
      </w:tr>
      <w:tr w:rsidR="00A17DCB" w:rsidRPr="00A17DCB" w14:paraId="1523CC28" w14:textId="77777777" w:rsidTr="00A17DCB">
        <w:trPr>
          <w:cantSplit/>
          <w:jc w:val="center"/>
        </w:trPr>
        <w:tc>
          <w:tcPr>
            <w:tcW w:w="3150" w:type="dxa"/>
            <w:tcBorders>
              <w:bottom w:val="single" w:sz="4" w:space="0" w:color="auto"/>
            </w:tcBorders>
            <w:shd w:val="clear" w:color="auto" w:fill="auto"/>
            <w:noWrap/>
            <w:vAlign w:val="bottom"/>
          </w:tcPr>
          <w:p w14:paraId="663DD942" w14:textId="77777777" w:rsidR="00F13A4D" w:rsidRPr="00A17DCB" w:rsidRDefault="00F13A4D" w:rsidP="00A17DCB">
            <w:pPr>
              <w:tabs>
                <w:tab w:val="left" w:pos="288"/>
                <w:tab w:val="left" w:pos="576"/>
                <w:tab w:val="left" w:pos="864"/>
                <w:tab w:val="left" w:pos="1152"/>
              </w:tabs>
              <w:suppressAutoHyphens/>
              <w:spacing w:before="40" w:after="81" w:line="210" w:lineRule="exact"/>
              <w:ind w:right="40"/>
              <w:rPr>
                <w:sz w:val="17"/>
              </w:rPr>
            </w:pPr>
            <w:r w:rsidRPr="00A17DCB">
              <w:rPr>
                <w:sz w:val="17"/>
              </w:rPr>
              <w:lastRenderedPageBreak/>
              <w:t xml:space="preserve">Hommes </w:t>
            </w:r>
          </w:p>
        </w:tc>
        <w:tc>
          <w:tcPr>
            <w:tcW w:w="1390" w:type="dxa"/>
            <w:tcBorders>
              <w:bottom w:val="single" w:sz="4" w:space="0" w:color="auto"/>
            </w:tcBorders>
            <w:shd w:val="clear" w:color="auto" w:fill="auto"/>
            <w:noWrap/>
            <w:vAlign w:val="bottom"/>
          </w:tcPr>
          <w:p w14:paraId="6DC4A878" w14:textId="77777777" w:rsidR="00F13A4D" w:rsidRPr="00A17DCB" w:rsidRDefault="00F13A4D" w:rsidP="00A17DCB">
            <w:pPr>
              <w:tabs>
                <w:tab w:val="left" w:pos="288"/>
                <w:tab w:val="left" w:pos="576"/>
                <w:tab w:val="left" w:pos="864"/>
                <w:tab w:val="left" w:pos="1152"/>
              </w:tabs>
              <w:suppressAutoHyphens/>
              <w:spacing w:before="40" w:after="81" w:line="210" w:lineRule="exact"/>
              <w:ind w:right="43"/>
              <w:jc w:val="right"/>
              <w:rPr>
                <w:sz w:val="17"/>
              </w:rPr>
            </w:pPr>
            <w:r w:rsidRPr="00A17DCB">
              <w:rPr>
                <w:sz w:val="17"/>
              </w:rPr>
              <w:t>77,9</w:t>
            </w:r>
          </w:p>
        </w:tc>
        <w:tc>
          <w:tcPr>
            <w:tcW w:w="1390" w:type="dxa"/>
            <w:tcBorders>
              <w:bottom w:val="single" w:sz="4" w:space="0" w:color="auto"/>
            </w:tcBorders>
            <w:shd w:val="clear" w:color="auto" w:fill="auto"/>
            <w:noWrap/>
            <w:vAlign w:val="bottom"/>
          </w:tcPr>
          <w:p w14:paraId="2C7FE839" w14:textId="77777777" w:rsidR="00F13A4D" w:rsidRPr="00A17DCB" w:rsidRDefault="00F13A4D" w:rsidP="00A17DCB">
            <w:pPr>
              <w:tabs>
                <w:tab w:val="left" w:pos="288"/>
                <w:tab w:val="left" w:pos="576"/>
                <w:tab w:val="left" w:pos="864"/>
                <w:tab w:val="left" w:pos="1152"/>
              </w:tabs>
              <w:suppressAutoHyphens/>
              <w:spacing w:before="40" w:after="81" w:line="210" w:lineRule="exact"/>
              <w:ind w:right="43"/>
              <w:jc w:val="right"/>
              <w:rPr>
                <w:sz w:val="17"/>
              </w:rPr>
            </w:pPr>
            <w:r w:rsidRPr="00A17DCB">
              <w:rPr>
                <w:sz w:val="17"/>
              </w:rPr>
              <w:t>66,9</w:t>
            </w:r>
          </w:p>
        </w:tc>
        <w:tc>
          <w:tcPr>
            <w:tcW w:w="1390" w:type="dxa"/>
            <w:tcBorders>
              <w:bottom w:val="single" w:sz="4" w:space="0" w:color="auto"/>
            </w:tcBorders>
            <w:shd w:val="clear" w:color="auto" w:fill="auto"/>
            <w:noWrap/>
            <w:vAlign w:val="bottom"/>
          </w:tcPr>
          <w:p w14:paraId="41FCAA73" w14:textId="77777777" w:rsidR="00F13A4D" w:rsidRPr="00A17DCB" w:rsidRDefault="00F13A4D" w:rsidP="00A17DCB">
            <w:pPr>
              <w:tabs>
                <w:tab w:val="left" w:pos="288"/>
                <w:tab w:val="left" w:pos="576"/>
                <w:tab w:val="left" w:pos="864"/>
                <w:tab w:val="left" w:pos="1152"/>
              </w:tabs>
              <w:suppressAutoHyphens/>
              <w:spacing w:before="40" w:after="81" w:line="210" w:lineRule="exact"/>
              <w:ind w:right="43"/>
              <w:jc w:val="right"/>
              <w:rPr>
                <w:sz w:val="17"/>
              </w:rPr>
            </w:pPr>
            <w:r w:rsidRPr="00A17DCB">
              <w:rPr>
                <w:sz w:val="17"/>
              </w:rPr>
              <w:t>70,9</w:t>
            </w:r>
          </w:p>
        </w:tc>
      </w:tr>
      <w:tr w:rsidR="00A17DCB" w:rsidRPr="00A17DCB" w14:paraId="282B7D77" w14:textId="77777777" w:rsidTr="00A17DCB">
        <w:trPr>
          <w:cantSplit/>
          <w:jc w:val="center"/>
        </w:trPr>
        <w:tc>
          <w:tcPr>
            <w:tcW w:w="3150" w:type="dxa"/>
            <w:tcBorders>
              <w:top w:val="single" w:sz="4" w:space="0" w:color="auto"/>
              <w:bottom w:val="single" w:sz="12" w:space="0" w:color="auto"/>
            </w:tcBorders>
            <w:shd w:val="clear" w:color="auto" w:fill="auto"/>
            <w:noWrap/>
            <w:vAlign w:val="bottom"/>
          </w:tcPr>
          <w:p w14:paraId="195BCDDC" w14:textId="0289AEAB" w:rsidR="00F13A4D" w:rsidRPr="00A17DCB" w:rsidRDefault="00A17DCB" w:rsidP="00A17DCB">
            <w:pPr>
              <w:tabs>
                <w:tab w:val="left" w:pos="288"/>
                <w:tab w:val="left" w:pos="576"/>
                <w:tab w:val="left" w:pos="864"/>
                <w:tab w:val="left" w:pos="1152"/>
              </w:tabs>
              <w:suppressAutoHyphens/>
              <w:spacing w:before="81" w:after="81" w:line="210" w:lineRule="exact"/>
              <w:ind w:right="40"/>
              <w:rPr>
                <w:b/>
                <w:sz w:val="17"/>
              </w:rPr>
            </w:pPr>
            <w:r>
              <w:rPr>
                <w:b/>
                <w:sz w:val="17"/>
              </w:rPr>
              <w:tab/>
            </w:r>
            <w:r w:rsidR="00F13A4D" w:rsidRPr="00A17DCB">
              <w:rPr>
                <w:b/>
                <w:sz w:val="17"/>
              </w:rPr>
              <w:t>Total</w:t>
            </w:r>
          </w:p>
        </w:tc>
        <w:tc>
          <w:tcPr>
            <w:tcW w:w="1390" w:type="dxa"/>
            <w:tcBorders>
              <w:top w:val="single" w:sz="4" w:space="0" w:color="auto"/>
              <w:bottom w:val="single" w:sz="12" w:space="0" w:color="auto"/>
            </w:tcBorders>
            <w:shd w:val="clear" w:color="auto" w:fill="auto"/>
            <w:noWrap/>
            <w:vAlign w:val="bottom"/>
          </w:tcPr>
          <w:p w14:paraId="71F534A8" w14:textId="77777777" w:rsidR="00F13A4D" w:rsidRPr="00A17DCB" w:rsidRDefault="00F13A4D" w:rsidP="00A17DCB">
            <w:pPr>
              <w:tabs>
                <w:tab w:val="left" w:pos="288"/>
                <w:tab w:val="left" w:pos="576"/>
                <w:tab w:val="left" w:pos="864"/>
                <w:tab w:val="left" w:pos="1152"/>
              </w:tabs>
              <w:suppressAutoHyphens/>
              <w:spacing w:before="81" w:after="81" w:line="210" w:lineRule="exact"/>
              <w:ind w:right="43"/>
              <w:jc w:val="right"/>
              <w:rPr>
                <w:b/>
                <w:sz w:val="17"/>
              </w:rPr>
            </w:pPr>
            <w:r w:rsidRPr="00A17DCB">
              <w:rPr>
                <w:b/>
                <w:sz w:val="17"/>
              </w:rPr>
              <w:t>53,9</w:t>
            </w:r>
          </w:p>
        </w:tc>
        <w:tc>
          <w:tcPr>
            <w:tcW w:w="1390" w:type="dxa"/>
            <w:tcBorders>
              <w:top w:val="single" w:sz="4" w:space="0" w:color="auto"/>
              <w:bottom w:val="single" w:sz="12" w:space="0" w:color="auto"/>
            </w:tcBorders>
            <w:shd w:val="clear" w:color="auto" w:fill="auto"/>
            <w:noWrap/>
            <w:vAlign w:val="bottom"/>
          </w:tcPr>
          <w:p w14:paraId="66F1F2A9" w14:textId="77777777" w:rsidR="00F13A4D" w:rsidRPr="00A17DCB" w:rsidRDefault="00F13A4D" w:rsidP="00A17DCB">
            <w:pPr>
              <w:tabs>
                <w:tab w:val="left" w:pos="288"/>
                <w:tab w:val="left" w:pos="576"/>
                <w:tab w:val="left" w:pos="864"/>
                <w:tab w:val="left" w:pos="1152"/>
              </w:tabs>
              <w:suppressAutoHyphens/>
              <w:spacing w:before="81" w:after="81" w:line="210" w:lineRule="exact"/>
              <w:ind w:right="43"/>
              <w:jc w:val="right"/>
              <w:rPr>
                <w:b/>
                <w:sz w:val="17"/>
              </w:rPr>
            </w:pPr>
            <w:r w:rsidRPr="00A17DCB">
              <w:rPr>
                <w:b/>
                <w:sz w:val="17"/>
              </w:rPr>
              <w:t>41,8</w:t>
            </w:r>
          </w:p>
        </w:tc>
        <w:tc>
          <w:tcPr>
            <w:tcW w:w="1390" w:type="dxa"/>
            <w:tcBorders>
              <w:top w:val="single" w:sz="4" w:space="0" w:color="auto"/>
              <w:bottom w:val="single" w:sz="12" w:space="0" w:color="auto"/>
            </w:tcBorders>
            <w:shd w:val="clear" w:color="auto" w:fill="auto"/>
            <w:noWrap/>
            <w:vAlign w:val="bottom"/>
          </w:tcPr>
          <w:p w14:paraId="6AF7314E" w14:textId="77777777" w:rsidR="00F13A4D" w:rsidRPr="00A17DCB" w:rsidRDefault="00F13A4D" w:rsidP="00A17DCB">
            <w:pPr>
              <w:tabs>
                <w:tab w:val="left" w:pos="288"/>
                <w:tab w:val="left" w:pos="576"/>
                <w:tab w:val="left" w:pos="864"/>
                <w:tab w:val="left" w:pos="1152"/>
              </w:tabs>
              <w:suppressAutoHyphens/>
              <w:spacing w:before="81" w:after="81" w:line="210" w:lineRule="exact"/>
              <w:ind w:right="43"/>
              <w:jc w:val="right"/>
              <w:rPr>
                <w:b/>
                <w:sz w:val="17"/>
              </w:rPr>
            </w:pPr>
            <w:r w:rsidRPr="00A17DCB">
              <w:rPr>
                <w:b/>
                <w:sz w:val="17"/>
              </w:rPr>
              <w:t>46,2</w:t>
            </w:r>
          </w:p>
        </w:tc>
      </w:tr>
    </w:tbl>
    <w:p w14:paraId="6B9F8333" w14:textId="76FE8699" w:rsidR="00F13A4D" w:rsidRPr="00A17DCB" w:rsidRDefault="00F13A4D" w:rsidP="00A17DCB">
      <w:pPr>
        <w:pStyle w:val="SingleTxt"/>
        <w:spacing w:after="0" w:line="120" w:lineRule="exact"/>
        <w:rPr>
          <w:sz w:val="10"/>
          <w:lang w:val="fr-FR"/>
        </w:rPr>
      </w:pPr>
    </w:p>
    <w:p w14:paraId="1D7E896F" w14:textId="1A6B1675" w:rsidR="00A17DCB" w:rsidRPr="00A17DCB" w:rsidRDefault="00A17DCB" w:rsidP="00A17DCB">
      <w:pPr>
        <w:pStyle w:val="SingleTxt"/>
        <w:spacing w:after="0" w:line="120" w:lineRule="exact"/>
        <w:rPr>
          <w:sz w:val="10"/>
          <w:lang w:val="fr-FR"/>
        </w:rPr>
      </w:pPr>
    </w:p>
    <w:p w14:paraId="194943A6" w14:textId="2AB4F32D" w:rsidR="00A17DCB" w:rsidRPr="00A17DCB" w:rsidRDefault="00A17DCB" w:rsidP="00A17DCB">
      <w:pPr>
        <w:pStyle w:val="SingleTxt"/>
        <w:spacing w:after="0" w:line="120" w:lineRule="exact"/>
        <w:rPr>
          <w:sz w:val="10"/>
          <w:lang w:val="fr-FR"/>
        </w:rPr>
      </w:pPr>
    </w:p>
    <w:p w14:paraId="3A37DF93" w14:textId="6BFA0C7A" w:rsidR="00A17DCB" w:rsidRDefault="00A17DCB" w:rsidP="00A17DCB">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F13A4D" w:rsidRPr="00F13A4D">
        <w:rPr>
          <w:lang w:val="fr-FR"/>
        </w:rPr>
        <w:t>Tableau 10</w:t>
      </w:r>
    </w:p>
    <w:p w14:paraId="347C3062" w14:textId="6DD3D7A7" w:rsidR="00F13A4D" w:rsidRPr="00F13A4D" w:rsidRDefault="00A17DCB" w:rsidP="00A17DC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C</w:t>
      </w:r>
      <w:r w:rsidR="00F13A4D" w:rsidRPr="00F13A4D">
        <w:rPr>
          <w:lang w:val="fr-FR"/>
        </w:rPr>
        <w:t>ouverture sociale</w:t>
      </w:r>
    </w:p>
    <w:p w14:paraId="51901B66" w14:textId="73050CBD" w:rsidR="00F13A4D" w:rsidRPr="00A17DCB" w:rsidRDefault="00F13A4D" w:rsidP="00A17DCB">
      <w:pPr>
        <w:pStyle w:val="SingleTxt"/>
        <w:spacing w:after="0" w:line="120" w:lineRule="exact"/>
        <w:rPr>
          <w:sz w:val="10"/>
          <w:lang w:val="fr-FR"/>
        </w:rPr>
      </w:pPr>
    </w:p>
    <w:p w14:paraId="23C69E3B" w14:textId="15B102BF" w:rsidR="00A17DCB" w:rsidRPr="00A17DCB" w:rsidRDefault="00A17DCB" w:rsidP="00A17DCB">
      <w:pPr>
        <w:pStyle w:val="SingleTxt"/>
        <w:spacing w:after="0" w:line="120" w:lineRule="exact"/>
        <w:rPr>
          <w:sz w:val="10"/>
          <w:lang w:val="fr-FR"/>
        </w:rPr>
      </w:pPr>
    </w:p>
    <w:tbl>
      <w:tblPr>
        <w:tblW w:w="0" w:type="auto"/>
        <w:jc w:val="center"/>
        <w:tblLayout w:type="fixed"/>
        <w:tblCellMar>
          <w:left w:w="0" w:type="dxa"/>
          <w:right w:w="0" w:type="dxa"/>
        </w:tblCellMar>
        <w:tblLook w:val="04A0" w:firstRow="1" w:lastRow="0" w:firstColumn="1" w:lastColumn="0" w:noHBand="0" w:noVBand="1"/>
      </w:tblPr>
      <w:tblGrid>
        <w:gridCol w:w="5220"/>
        <w:gridCol w:w="1050"/>
        <w:gridCol w:w="1050"/>
      </w:tblGrid>
      <w:tr w:rsidR="00A17DCB" w:rsidRPr="00A17DCB" w14:paraId="3078DB42" w14:textId="77777777" w:rsidTr="00A17DCB">
        <w:trPr>
          <w:cantSplit/>
          <w:tblHeader/>
          <w:jc w:val="center"/>
        </w:trPr>
        <w:tc>
          <w:tcPr>
            <w:tcW w:w="5220" w:type="dxa"/>
            <w:tcBorders>
              <w:top w:val="single" w:sz="4" w:space="0" w:color="auto"/>
              <w:bottom w:val="single" w:sz="12" w:space="0" w:color="auto"/>
            </w:tcBorders>
            <w:shd w:val="clear" w:color="auto" w:fill="auto"/>
            <w:noWrap/>
            <w:vAlign w:val="bottom"/>
          </w:tcPr>
          <w:p w14:paraId="678D0CEA" w14:textId="2EC1432D" w:rsidR="00F13A4D" w:rsidRPr="00A17DCB" w:rsidRDefault="00F13A4D" w:rsidP="00A17DCB">
            <w:pPr>
              <w:suppressAutoHyphens/>
              <w:spacing w:before="81" w:after="81" w:line="160" w:lineRule="exact"/>
              <w:ind w:right="40"/>
              <w:rPr>
                <w:i/>
                <w:sz w:val="14"/>
              </w:rPr>
            </w:pPr>
            <w:r w:rsidRPr="00A17DCB">
              <w:rPr>
                <w:i/>
                <w:sz w:val="14"/>
              </w:rPr>
              <w:t>Taux de couverture de la population active occupée âgée de plus de 15 ans (2018)</w:t>
            </w:r>
          </w:p>
        </w:tc>
        <w:tc>
          <w:tcPr>
            <w:tcW w:w="1050" w:type="dxa"/>
            <w:tcBorders>
              <w:top w:val="single" w:sz="4" w:space="0" w:color="auto"/>
              <w:bottom w:val="single" w:sz="12" w:space="0" w:color="auto"/>
            </w:tcBorders>
            <w:shd w:val="clear" w:color="auto" w:fill="auto"/>
            <w:noWrap/>
            <w:vAlign w:val="bottom"/>
          </w:tcPr>
          <w:p w14:paraId="29354BA5" w14:textId="77777777" w:rsidR="00F13A4D" w:rsidRPr="00A17DCB" w:rsidRDefault="00F13A4D" w:rsidP="00A17DCB">
            <w:pPr>
              <w:suppressAutoHyphens/>
              <w:spacing w:before="81" w:after="81" w:line="160" w:lineRule="exact"/>
              <w:ind w:right="43"/>
              <w:jc w:val="right"/>
              <w:rPr>
                <w:i/>
                <w:sz w:val="14"/>
              </w:rPr>
            </w:pPr>
            <w:r w:rsidRPr="00A17DCB">
              <w:rPr>
                <w:i/>
                <w:sz w:val="14"/>
              </w:rPr>
              <w:t>Femmes</w:t>
            </w:r>
          </w:p>
        </w:tc>
        <w:tc>
          <w:tcPr>
            <w:tcW w:w="1050" w:type="dxa"/>
            <w:tcBorders>
              <w:top w:val="single" w:sz="4" w:space="0" w:color="auto"/>
              <w:bottom w:val="single" w:sz="12" w:space="0" w:color="auto"/>
            </w:tcBorders>
            <w:shd w:val="clear" w:color="auto" w:fill="auto"/>
            <w:noWrap/>
            <w:vAlign w:val="bottom"/>
          </w:tcPr>
          <w:p w14:paraId="7CA3BC39" w14:textId="77777777" w:rsidR="00F13A4D" w:rsidRPr="00A17DCB" w:rsidRDefault="00F13A4D" w:rsidP="00A17DCB">
            <w:pPr>
              <w:suppressAutoHyphens/>
              <w:spacing w:before="81" w:after="81" w:line="160" w:lineRule="exact"/>
              <w:ind w:right="43"/>
              <w:jc w:val="right"/>
              <w:rPr>
                <w:i/>
                <w:sz w:val="14"/>
              </w:rPr>
            </w:pPr>
            <w:r w:rsidRPr="00A17DCB">
              <w:rPr>
                <w:i/>
                <w:sz w:val="14"/>
              </w:rPr>
              <w:t>Hommes</w:t>
            </w:r>
          </w:p>
        </w:tc>
      </w:tr>
      <w:tr w:rsidR="00A17DCB" w:rsidRPr="00A17DCB" w14:paraId="7BF582D7" w14:textId="77777777" w:rsidTr="00A17DCB">
        <w:trPr>
          <w:cantSplit/>
          <w:trHeight w:hRule="exact" w:val="115"/>
          <w:tblHeader/>
          <w:jc w:val="center"/>
        </w:trPr>
        <w:tc>
          <w:tcPr>
            <w:tcW w:w="5220" w:type="dxa"/>
            <w:tcBorders>
              <w:top w:val="single" w:sz="12" w:space="0" w:color="auto"/>
            </w:tcBorders>
            <w:shd w:val="clear" w:color="auto" w:fill="auto"/>
            <w:noWrap/>
            <w:vAlign w:val="bottom"/>
          </w:tcPr>
          <w:p w14:paraId="19864C72" w14:textId="77777777" w:rsidR="00A17DCB" w:rsidRPr="00A17DCB" w:rsidRDefault="00A17DCB" w:rsidP="00A17DCB">
            <w:pPr>
              <w:suppressAutoHyphens/>
              <w:spacing w:before="40" w:after="40" w:line="210" w:lineRule="exact"/>
              <w:ind w:right="40"/>
              <w:rPr>
                <w:sz w:val="17"/>
              </w:rPr>
            </w:pPr>
          </w:p>
        </w:tc>
        <w:tc>
          <w:tcPr>
            <w:tcW w:w="1050" w:type="dxa"/>
            <w:tcBorders>
              <w:top w:val="single" w:sz="12" w:space="0" w:color="auto"/>
            </w:tcBorders>
            <w:shd w:val="clear" w:color="auto" w:fill="auto"/>
            <w:noWrap/>
            <w:vAlign w:val="bottom"/>
          </w:tcPr>
          <w:p w14:paraId="502F83C2" w14:textId="77777777" w:rsidR="00A17DCB" w:rsidRPr="00A17DCB" w:rsidRDefault="00A17DCB" w:rsidP="00A17DCB">
            <w:pPr>
              <w:suppressAutoHyphens/>
              <w:spacing w:before="40" w:after="40" w:line="210" w:lineRule="exact"/>
              <w:ind w:right="43"/>
              <w:jc w:val="right"/>
              <w:rPr>
                <w:sz w:val="17"/>
              </w:rPr>
            </w:pPr>
          </w:p>
        </w:tc>
        <w:tc>
          <w:tcPr>
            <w:tcW w:w="1050" w:type="dxa"/>
            <w:tcBorders>
              <w:top w:val="single" w:sz="12" w:space="0" w:color="auto"/>
            </w:tcBorders>
            <w:shd w:val="clear" w:color="auto" w:fill="auto"/>
            <w:noWrap/>
            <w:vAlign w:val="bottom"/>
          </w:tcPr>
          <w:p w14:paraId="49DE9B38" w14:textId="77777777" w:rsidR="00A17DCB" w:rsidRPr="00A17DCB" w:rsidRDefault="00A17DCB" w:rsidP="00A17DCB">
            <w:pPr>
              <w:suppressAutoHyphens/>
              <w:spacing w:before="40" w:after="40" w:line="210" w:lineRule="exact"/>
              <w:ind w:right="43"/>
              <w:jc w:val="right"/>
              <w:rPr>
                <w:sz w:val="17"/>
              </w:rPr>
            </w:pPr>
          </w:p>
        </w:tc>
      </w:tr>
      <w:tr w:rsidR="00A17DCB" w:rsidRPr="00A17DCB" w14:paraId="7ED09D99" w14:textId="77777777" w:rsidTr="00A17DCB">
        <w:trPr>
          <w:cantSplit/>
          <w:jc w:val="center"/>
        </w:trPr>
        <w:tc>
          <w:tcPr>
            <w:tcW w:w="5220" w:type="dxa"/>
            <w:shd w:val="clear" w:color="auto" w:fill="auto"/>
            <w:noWrap/>
            <w:vAlign w:val="bottom"/>
          </w:tcPr>
          <w:p w14:paraId="278032E4" w14:textId="77777777" w:rsidR="00F13A4D" w:rsidRPr="00A17DCB" w:rsidRDefault="00F13A4D" w:rsidP="00A17DCB">
            <w:pPr>
              <w:tabs>
                <w:tab w:val="left" w:pos="288"/>
                <w:tab w:val="left" w:pos="576"/>
                <w:tab w:val="left" w:pos="864"/>
                <w:tab w:val="left" w:pos="1152"/>
              </w:tabs>
              <w:suppressAutoHyphens/>
              <w:spacing w:before="40" w:after="40" w:line="210" w:lineRule="exact"/>
              <w:ind w:right="40"/>
              <w:rPr>
                <w:sz w:val="17"/>
              </w:rPr>
            </w:pPr>
            <w:r w:rsidRPr="00A17DCB">
              <w:rPr>
                <w:sz w:val="17"/>
              </w:rPr>
              <w:t>Couverture santé</w:t>
            </w:r>
          </w:p>
        </w:tc>
        <w:tc>
          <w:tcPr>
            <w:tcW w:w="1050" w:type="dxa"/>
            <w:shd w:val="clear" w:color="auto" w:fill="auto"/>
            <w:noWrap/>
            <w:vAlign w:val="bottom"/>
          </w:tcPr>
          <w:p w14:paraId="7C2D2C57" w14:textId="77777777" w:rsidR="00F13A4D" w:rsidRPr="00A17DCB" w:rsidRDefault="00F13A4D" w:rsidP="00A17DCB">
            <w:pPr>
              <w:tabs>
                <w:tab w:val="left" w:pos="288"/>
                <w:tab w:val="left" w:pos="576"/>
                <w:tab w:val="left" w:pos="864"/>
                <w:tab w:val="left" w:pos="1152"/>
              </w:tabs>
              <w:suppressAutoHyphens/>
              <w:spacing w:before="40" w:after="40" w:line="210" w:lineRule="exact"/>
              <w:ind w:right="43"/>
              <w:jc w:val="right"/>
              <w:rPr>
                <w:sz w:val="17"/>
              </w:rPr>
            </w:pPr>
            <w:r w:rsidRPr="00A17DCB">
              <w:rPr>
                <w:sz w:val="17"/>
              </w:rPr>
              <w:t>53,6</w:t>
            </w:r>
          </w:p>
        </w:tc>
        <w:tc>
          <w:tcPr>
            <w:tcW w:w="1050" w:type="dxa"/>
            <w:shd w:val="clear" w:color="auto" w:fill="auto"/>
            <w:noWrap/>
            <w:vAlign w:val="bottom"/>
          </w:tcPr>
          <w:p w14:paraId="6C0B0BCD" w14:textId="77777777" w:rsidR="00F13A4D" w:rsidRPr="00A17DCB" w:rsidRDefault="00F13A4D" w:rsidP="00A17DCB">
            <w:pPr>
              <w:tabs>
                <w:tab w:val="left" w:pos="288"/>
                <w:tab w:val="left" w:pos="576"/>
                <w:tab w:val="left" w:pos="864"/>
                <w:tab w:val="left" w:pos="1152"/>
              </w:tabs>
              <w:suppressAutoHyphens/>
              <w:spacing w:before="40" w:after="40" w:line="210" w:lineRule="exact"/>
              <w:ind w:right="43"/>
              <w:jc w:val="right"/>
              <w:rPr>
                <w:sz w:val="17"/>
              </w:rPr>
            </w:pPr>
            <w:r w:rsidRPr="00A17DCB">
              <w:rPr>
                <w:sz w:val="17"/>
              </w:rPr>
              <w:t>43,3</w:t>
            </w:r>
          </w:p>
        </w:tc>
      </w:tr>
      <w:tr w:rsidR="00A17DCB" w:rsidRPr="00A17DCB" w14:paraId="15AED3A0" w14:textId="77777777" w:rsidTr="00A17DCB">
        <w:trPr>
          <w:cantSplit/>
          <w:jc w:val="center"/>
        </w:trPr>
        <w:tc>
          <w:tcPr>
            <w:tcW w:w="5220" w:type="dxa"/>
            <w:tcBorders>
              <w:bottom w:val="single" w:sz="12" w:space="0" w:color="auto"/>
            </w:tcBorders>
            <w:shd w:val="clear" w:color="auto" w:fill="auto"/>
            <w:noWrap/>
            <w:vAlign w:val="bottom"/>
          </w:tcPr>
          <w:p w14:paraId="243AE69A" w14:textId="77777777" w:rsidR="00F13A4D" w:rsidRPr="00A17DCB" w:rsidRDefault="00F13A4D" w:rsidP="00A17DCB">
            <w:pPr>
              <w:tabs>
                <w:tab w:val="left" w:pos="288"/>
                <w:tab w:val="left" w:pos="576"/>
                <w:tab w:val="left" w:pos="864"/>
                <w:tab w:val="left" w:pos="1152"/>
              </w:tabs>
              <w:suppressAutoHyphens/>
              <w:spacing w:before="40" w:after="40" w:line="210" w:lineRule="exact"/>
              <w:ind w:right="40"/>
              <w:rPr>
                <w:sz w:val="17"/>
              </w:rPr>
            </w:pPr>
            <w:r w:rsidRPr="00A17DCB">
              <w:rPr>
                <w:sz w:val="17"/>
              </w:rPr>
              <w:t xml:space="preserve">Couverture des systèmes de retraite </w:t>
            </w:r>
          </w:p>
        </w:tc>
        <w:tc>
          <w:tcPr>
            <w:tcW w:w="1050" w:type="dxa"/>
            <w:tcBorders>
              <w:bottom w:val="single" w:sz="12" w:space="0" w:color="auto"/>
            </w:tcBorders>
            <w:shd w:val="clear" w:color="auto" w:fill="auto"/>
            <w:noWrap/>
            <w:vAlign w:val="bottom"/>
          </w:tcPr>
          <w:p w14:paraId="02AD6AB4" w14:textId="77777777" w:rsidR="00F13A4D" w:rsidRPr="00A17DCB" w:rsidRDefault="00F13A4D" w:rsidP="00A17DCB">
            <w:pPr>
              <w:tabs>
                <w:tab w:val="left" w:pos="288"/>
                <w:tab w:val="left" w:pos="576"/>
                <w:tab w:val="left" w:pos="864"/>
                <w:tab w:val="left" w:pos="1152"/>
              </w:tabs>
              <w:suppressAutoHyphens/>
              <w:spacing w:before="40" w:after="40" w:line="210" w:lineRule="exact"/>
              <w:ind w:right="43"/>
              <w:jc w:val="right"/>
              <w:rPr>
                <w:sz w:val="17"/>
              </w:rPr>
            </w:pPr>
            <w:r w:rsidRPr="00A17DCB">
              <w:rPr>
                <w:sz w:val="17"/>
              </w:rPr>
              <w:t>20,7</w:t>
            </w:r>
          </w:p>
        </w:tc>
        <w:tc>
          <w:tcPr>
            <w:tcW w:w="1050" w:type="dxa"/>
            <w:tcBorders>
              <w:bottom w:val="single" w:sz="12" w:space="0" w:color="auto"/>
            </w:tcBorders>
            <w:shd w:val="clear" w:color="auto" w:fill="auto"/>
            <w:noWrap/>
            <w:vAlign w:val="bottom"/>
          </w:tcPr>
          <w:p w14:paraId="51E33D2D" w14:textId="77777777" w:rsidR="00F13A4D" w:rsidRPr="00A17DCB" w:rsidRDefault="00F13A4D" w:rsidP="00A17DCB">
            <w:pPr>
              <w:tabs>
                <w:tab w:val="left" w:pos="288"/>
                <w:tab w:val="left" w:pos="576"/>
                <w:tab w:val="left" w:pos="864"/>
                <w:tab w:val="left" w:pos="1152"/>
              </w:tabs>
              <w:suppressAutoHyphens/>
              <w:spacing w:before="40" w:after="40" w:line="210" w:lineRule="exact"/>
              <w:ind w:right="43"/>
              <w:jc w:val="right"/>
              <w:rPr>
                <w:sz w:val="17"/>
              </w:rPr>
            </w:pPr>
            <w:r w:rsidRPr="00A17DCB">
              <w:rPr>
                <w:sz w:val="17"/>
              </w:rPr>
              <w:t>19,1</w:t>
            </w:r>
          </w:p>
        </w:tc>
      </w:tr>
    </w:tbl>
    <w:p w14:paraId="07B9B725" w14:textId="473AF21C" w:rsidR="00F13A4D" w:rsidRPr="00A17DCB" w:rsidRDefault="00F13A4D" w:rsidP="00A17DCB">
      <w:pPr>
        <w:pStyle w:val="SingleTxt"/>
        <w:spacing w:after="0" w:line="120" w:lineRule="exact"/>
        <w:rPr>
          <w:sz w:val="10"/>
          <w:lang w:val="fr-FR"/>
        </w:rPr>
      </w:pPr>
    </w:p>
    <w:p w14:paraId="68FAA2EF" w14:textId="4ED95CED" w:rsidR="00F13A4D" w:rsidRPr="00F13A4D" w:rsidRDefault="00F13A4D" w:rsidP="00A17DCB">
      <w:pPr>
        <w:pStyle w:val="FootnoteText"/>
        <w:tabs>
          <w:tab w:val="right" w:pos="1476"/>
          <w:tab w:val="left" w:pos="1548"/>
          <w:tab w:val="right" w:pos="1836"/>
          <w:tab w:val="left" w:pos="1908"/>
        </w:tabs>
        <w:ind w:left="1548" w:right="1267" w:hanging="288"/>
        <w:rPr>
          <w:lang w:val="fr-FR"/>
        </w:rPr>
      </w:pPr>
      <w:r w:rsidRPr="00F13A4D">
        <w:rPr>
          <w:lang w:val="fr-FR"/>
        </w:rPr>
        <w:t>Source</w:t>
      </w:r>
      <w:r w:rsidR="00F1794C" w:rsidRPr="00F1794C">
        <w:rPr>
          <w:lang w:val="fr-FR"/>
        </w:rPr>
        <w:t> :</w:t>
      </w:r>
      <w:r w:rsidRPr="00F13A4D">
        <w:rPr>
          <w:lang w:val="fr-FR"/>
        </w:rPr>
        <w:t xml:space="preserve"> Haut-Commissariat au Plan, enquête nationale sur l</w:t>
      </w:r>
      <w:r w:rsidR="00F1794C" w:rsidRPr="00F1794C">
        <w:rPr>
          <w:lang w:val="fr-FR"/>
        </w:rPr>
        <w:t>’</w:t>
      </w:r>
      <w:r w:rsidRPr="00F13A4D">
        <w:rPr>
          <w:lang w:val="fr-FR"/>
        </w:rPr>
        <w:t>emploi, 2018</w:t>
      </w:r>
      <w:r w:rsidR="00B307F7">
        <w:rPr>
          <w:lang w:val="fr-FR"/>
        </w:rPr>
        <w:t>.</w:t>
      </w:r>
    </w:p>
    <w:p w14:paraId="7249A362" w14:textId="7E2EB459" w:rsidR="00F13A4D" w:rsidRPr="00A17DCB" w:rsidRDefault="00F13A4D" w:rsidP="00A17DCB">
      <w:pPr>
        <w:pStyle w:val="SingleTxt"/>
        <w:spacing w:after="0" w:line="120" w:lineRule="exact"/>
        <w:rPr>
          <w:sz w:val="10"/>
          <w:lang w:val="fr-FR"/>
        </w:rPr>
      </w:pPr>
    </w:p>
    <w:p w14:paraId="60C9B5AA" w14:textId="354B1400" w:rsidR="00A17DCB" w:rsidRPr="00A17DCB" w:rsidRDefault="00A17DCB" w:rsidP="00A17DCB">
      <w:pPr>
        <w:pStyle w:val="SingleTxt"/>
        <w:spacing w:after="0" w:line="120" w:lineRule="exact"/>
        <w:rPr>
          <w:sz w:val="10"/>
          <w:lang w:val="fr-FR"/>
        </w:rPr>
      </w:pPr>
    </w:p>
    <w:p w14:paraId="0E0DCA69" w14:textId="4119BF76" w:rsidR="00F13A4D" w:rsidRPr="00F13A4D" w:rsidRDefault="00F13A4D" w:rsidP="00456FC2">
      <w:pPr>
        <w:pStyle w:val="SingleTxt"/>
        <w:numPr>
          <w:ilvl w:val="0"/>
          <w:numId w:val="50"/>
        </w:numPr>
        <w:rPr>
          <w:lang w:val="fr-FR"/>
        </w:rPr>
      </w:pPr>
      <w:r w:rsidRPr="00F13A4D">
        <w:rPr>
          <w:lang w:val="fr-FR"/>
        </w:rPr>
        <w:t>Le plan national de promotion de l</w:t>
      </w:r>
      <w:r w:rsidR="00F1794C" w:rsidRPr="00F1794C">
        <w:rPr>
          <w:lang w:val="fr-FR"/>
        </w:rPr>
        <w:t>’</w:t>
      </w:r>
      <w:r w:rsidRPr="00F13A4D">
        <w:rPr>
          <w:lang w:val="fr-FR"/>
        </w:rPr>
        <w:t>emploi à l</w:t>
      </w:r>
      <w:r w:rsidR="00F1794C" w:rsidRPr="00F1794C">
        <w:rPr>
          <w:lang w:val="fr-FR"/>
        </w:rPr>
        <w:t>’</w:t>
      </w:r>
      <w:r w:rsidRPr="00F13A4D">
        <w:rPr>
          <w:lang w:val="fr-FR"/>
        </w:rPr>
        <w:t>horizon 2021 a été établi et approuvé par le Gouvernement en 2018. Il est axé sur plusieurs leviers</w:t>
      </w:r>
      <w:r w:rsidR="00F1794C" w:rsidRPr="00F1794C">
        <w:rPr>
          <w:lang w:val="fr-FR"/>
        </w:rPr>
        <w:t> :</w:t>
      </w:r>
    </w:p>
    <w:p w14:paraId="421ACF86" w14:textId="767719E2" w:rsidR="00F13A4D" w:rsidRPr="00A17DCB" w:rsidRDefault="00A17DCB" w:rsidP="00A17DCB">
      <w:pPr>
        <w:pStyle w:val="SingleTxt"/>
        <w:tabs>
          <w:tab w:val="right" w:pos="1685"/>
        </w:tabs>
        <w:ind w:left="1742" w:hanging="475"/>
        <w:rPr>
          <w:lang w:val="fr-FR"/>
        </w:rPr>
      </w:pPr>
      <w:r>
        <w:rPr>
          <w:lang w:val="fr-FR"/>
        </w:rPr>
        <w:tab/>
        <w:t>•</w:t>
      </w:r>
      <w:r>
        <w:rPr>
          <w:lang w:val="fr-FR"/>
        </w:rPr>
        <w:tab/>
      </w:r>
      <w:r w:rsidR="00F13A4D" w:rsidRPr="00A17DCB">
        <w:rPr>
          <w:lang w:val="fr-FR"/>
        </w:rPr>
        <w:t>Approche globale et intégrée englobant les dimensions économique, financière et institutionnelle</w:t>
      </w:r>
      <w:r w:rsidR="00F1794C" w:rsidRPr="00A17DCB">
        <w:rPr>
          <w:lang w:val="fr-FR"/>
        </w:rPr>
        <w:t> ;</w:t>
      </w:r>
      <w:r w:rsidR="00F13A4D" w:rsidRPr="00A17DCB">
        <w:rPr>
          <w:lang w:val="fr-FR"/>
        </w:rPr>
        <w:t xml:space="preserve"> </w:t>
      </w:r>
    </w:p>
    <w:p w14:paraId="1998160F" w14:textId="5228DA6D" w:rsidR="00F13A4D" w:rsidRPr="00A17DCB" w:rsidRDefault="00A17DCB" w:rsidP="00A17DCB">
      <w:pPr>
        <w:pStyle w:val="SingleTxt"/>
        <w:tabs>
          <w:tab w:val="right" w:pos="1685"/>
        </w:tabs>
        <w:ind w:left="1742" w:hanging="475"/>
        <w:rPr>
          <w:lang w:val="fr-FR"/>
        </w:rPr>
      </w:pPr>
      <w:r>
        <w:rPr>
          <w:lang w:val="fr-FR"/>
        </w:rPr>
        <w:tab/>
        <w:t>•</w:t>
      </w:r>
      <w:r>
        <w:rPr>
          <w:lang w:val="fr-FR"/>
        </w:rPr>
        <w:tab/>
      </w:r>
      <w:r w:rsidR="00F13A4D" w:rsidRPr="00A17DCB">
        <w:rPr>
          <w:lang w:val="fr-FR"/>
        </w:rPr>
        <w:t>Lancement de la mise en œuvre du plan [programme exécutif Moumkin (c</w:t>
      </w:r>
      <w:r w:rsidR="00F1794C" w:rsidRPr="00A17DCB">
        <w:rPr>
          <w:lang w:val="fr-FR"/>
        </w:rPr>
        <w:t>’</w:t>
      </w:r>
      <w:r w:rsidR="00F13A4D" w:rsidRPr="00A17DCB">
        <w:rPr>
          <w:lang w:val="fr-FR"/>
        </w:rPr>
        <w:t>est possible )] et signature de la charte de mise en œuvre en avril 2018 par les secteurs concernés, la Confédération générale des entreprises du Maroc et l</w:t>
      </w:r>
      <w:r w:rsidR="00F1794C" w:rsidRPr="00A17DCB">
        <w:rPr>
          <w:lang w:val="fr-FR"/>
        </w:rPr>
        <w:t>’</w:t>
      </w:r>
      <w:r w:rsidR="00F13A4D" w:rsidRPr="00A17DCB">
        <w:rPr>
          <w:lang w:val="fr-FR"/>
        </w:rPr>
        <w:t>association des conseils des régions</w:t>
      </w:r>
      <w:r w:rsidR="00F1794C" w:rsidRPr="00A17DCB">
        <w:rPr>
          <w:lang w:val="fr-FR"/>
        </w:rPr>
        <w:t> ;</w:t>
      </w:r>
    </w:p>
    <w:p w14:paraId="7A92F0C6" w14:textId="04507406" w:rsidR="00F13A4D" w:rsidRPr="00A17DCB" w:rsidRDefault="00A17DCB" w:rsidP="00A17DCB">
      <w:pPr>
        <w:pStyle w:val="SingleTxt"/>
        <w:tabs>
          <w:tab w:val="right" w:pos="1685"/>
        </w:tabs>
        <w:ind w:left="1742" w:hanging="475"/>
        <w:rPr>
          <w:lang w:val="fr-FR"/>
        </w:rPr>
      </w:pPr>
      <w:r>
        <w:rPr>
          <w:lang w:val="fr-FR"/>
        </w:rPr>
        <w:tab/>
        <w:t>•</w:t>
      </w:r>
      <w:r>
        <w:rPr>
          <w:lang w:val="fr-FR"/>
        </w:rPr>
        <w:tab/>
      </w:r>
      <w:r w:rsidR="00F13A4D" w:rsidRPr="00A17DCB">
        <w:rPr>
          <w:lang w:val="fr-FR"/>
        </w:rPr>
        <w:t>Emploi placé au centre des politiques publiques, la dimension territoriale étant prise en compte dans la mise en œuvre</w:t>
      </w:r>
      <w:r w:rsidR="00F1794C" w:rsidRPr="00A17DCB">
        <w:rPr>
          <w:lang w:val="fr-FR"/>
        </w:rPr>
        <w:t> ;</w:t>
      </w:r>
      <w:r w:rsidR="00F13A4D" w:rsidRPr="00A17DCB">
        <w:rPr>
          <w:lang w:val="fr-FR"/>
        </w:rPr>
        <w:t xml:space="preserve"> </w:t>
      </w:r>
    </w:p>
    <w:p w14:paraId="722BC607" w14:textId="791C5512" w:rsidR="00F13A4D" w:rsidRPr="00A17DCB" w:rsidRDefault="00A17DCB" w:rsidP="00A17DCB">
      <w:pPr>
        <w:pStyle w:val="SingleTxt"/>
        <w:tabs>
          <w:tab w:val="right" w:pos="1685"/>
        </w:tabs>
        <w:ind w:left="1742" w:hanging="475"/>
        <w:rPr>
          <w:lang w:val="fr-FR"/>
        </w:rPr>
      </w:pPr>
      <w:r>
        <w:rPr>
          <w:lang w:val="fr-FR"/>
        </w:rPr>
        <w:tab/>
        <w:t>•</w:t>
      </w:r>
      <w:r>
        <w:rPr>
          <w:lang w:val="fr-FR"/>
        </w:rPr>
        <w:tab/>
      </w:r>
      <w:r w:rsidR="00F13A4D" w:rsidRPr="00A17DCB">
        <w:rPr>
          <w:lang w:val="fr-FR"/>
        </w:rPr>
        <w:t>Multiplication des catégories visées par la politique d</w:t>
      </w:r>
      <w:r w:rsidR="00F1794C" w:rsidRPr="00A17DCB">
        <w:rPr>
          <w:lang w:val="fr-FR"/>
        </w:rPr>
        <w:t>’</w:t>
      </w:r>
      <w:r w:rsidR="00F13A4D" w:rsidRPr="00A17DCB">
        <w:rPr>
          <w:lang w:val="fr-FR"/>
        </w:rPr>
        <w:t>emploi</w:t>
      </w:r>
      <w:r w:rsidR="00F1794C" w:rsidRPr="00A17DCB">
        <w:rPr>
          <w:lang w:val="fr-FR"/>
        </w:rPr>
        <w:t> :</w:t>
      </w:r>
    </w:p>
    <w:p w14:paraId="1458DC2D" w14:textId="40C034F2" w:rsidR="00F13A4D" w:rsidRPr="00A17DCB" w:rsidRDefault="00A17DCB" w:rsidP="00A17DCB">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rPr>
      </w:pPr>
      <w:r>
        <w:rPr>
          <w:lang w:val="fr-FR"/>
        </w:rPr>
        <w:tab/>
      </w:r>
      <w:r w:rsidR="000040B6">
        <w:rPr>
          <w:lang w:val="fr-FR"/>
        </w:rPr>
        <w:t>–</w:t>
      </w:r>
      <w:r>
        <w:rPr>
          <w:lang w:val="fr-FR"/>
        </w:rPr>
        <w:tab/>
      </w:r>
      <w:r w:rsidR="00F13A4D" w:rsidRPr="00A17DCB">
        <w:rPr>
          <w:lang w:val="fr-FR"/>
        </w:rPr>
        <w:t>Femmes inactives</w:t>
      </w:r>
      <w:r w:rsidR="00F1794C" w:rsidRPr="00A17DCB">
        <w:rPr>
          <w:lang w:val="fr-FR"/>
        </w:rPr>
        <w:t> ;</w:t>
      </w:r>
    </w:p>
    <w:p w14:paraId="300377E6" w14:textId="5184C4CD" w:rsidR="00F13A4D" w:rsidRPr="00A17DCB" w:rsidRDefault="00A17DCB" w:rsidP="00A17DCB">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rPr>
      </w:pPr>
      <w:r>
        <w:rPr>
          <w:lang w:val="fr-FR"/>
        </w:rPr>
        <w:tab/>
      </w:r>
      <w:r w:rsidR="000040B6">
        <w:rPr>
          <w:lang w:val="fr-FR"/>
        </w:rPr>
        <w:t>–</w:t>
      </w:r>
      <w:r>
        <w:rPr>
          <w:lang w:val="fr-FR"/>
        </w:rPr>
        <w:tab/>
      </w:r>
      <w:r w:rsidR="00F13A4D" w:rsidRPr="00A17DCB">
        <w:rPr>
          <w:lang w:val="fr-FR"/>
        </w:rPr>
        <w:t>Jeunes diplômés</w:t>
      </w:r>
      <w:r w:rsidR="00F1794C" w:rsidRPr="00A17DCB">
        <w:rPr>
          <w:lang w:val="fr-FR"/>
        </w:rPr>
        <w:t> ;</w:t>
      </w:r>
    </w:p>
    <w:p w14:paraId="101B8C52" w14:textId="6D7EBBD2" w:rsidR="00F13A4D" w:rsidRPr="00A17DCB" w:rsidRDefault="00A17DCB" w:rsidP="00A17DCB">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rPr>
      </w:pPr>
      <w:r>
        <w:rPr>
          <w:lang w:val="fr-FR"/>
        </w:rPr>
        <w:tab/>
      </w:r>
      <w:r w:rsidR="000040B6">
        <w:rPr>
          <w:lang w:val="fr-FR"/>
        </w:rPr>
        <w:t>–</w:t>
      </w:r>
      <w:r>
        <w:rPr>
          <w:lang w:val="fr-FR"/>
        </w:rPr>
        <w:tab/>
      </w:r>
      <w:r w:rsidR="00F13A4D" w:rsidRPr="00A17DCB">
        <w:rPr>
          <w:lang w:val="fr-FR"/>
        </w:rPr>
        <w:t>Jeunes en décrochage scolaire</w:t>
      </w:r>
      <w:r w:rsidR="00F1794C" w:rsidRPr="00A17DCB">
        <w:rPr>
          <w:lang w:val="fr-FR"/>
        </w:rPr>
        <w:t> ;</w:t>
      </w:r>
    </w:p>
    <w:p w14:paraId="0BE2F07F" w14:textId="31F84ED7" w:rsidR="00F13A4D" w:rsidRPr="00A17DCB" w:rsidRDefault="00A17DCB" w:rsidP="00A17DCB">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rPr>
      </w:pPr>
      <w:r>
        <w:rPr>
          <w:lang w:val="fr-FR"/>
        </w:rPr>
        <w:tab/>
      </w:r>
      <w:r w:rsidR="000040B6">
        <w:rPr>
          <w:lang w:val="fr-FR"/>
        </w:rPr>
        <w:t>–</w:t>
      </w:r>
      <w:r>
        <w:rPr>
          <w:lang w:val="fr-FR"/>
        </w:rPr>
        <w:tab/>
      </w:r>
      <w:r w:rsidR="00F13A4D" w:rsidRPr="00A17DCB">
        <w:rPr>
          <w:lang w:val="fr-FR"/>
        </w:rPr>
        <w:t>Employés des microentreprises et du secteur informel</w:t>
      </w:r>
      <w:r w:rsidR="00F1794C" w:rsidRPr="00A17DCB">
        <w:rPr>
          <w:lang w:val="fr-FR"/>
        </w:rPr>
        <w:t> ;</w:t>
      </w:r>
    </w:p>
    <w:p w14:paraId="1C30EF49" w14:textId="1DF56925" w:rsidR="00F13A4D" w:rsidRPr="00A17DCB" w:rsidRDefault="00A17DCB" w:rsidP="00A17DCB">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rPr>
      </w:pPr>
      <w:r>
        <w:rPr>
          <w:lang w:val="fr-FR"/>
        </w:rPr>
        <w:tab/>
      </w:r>
      <w:r w:rsidR="000040B6">
        <w:rPr>
          <w:lang w:val="fr-FR"/>
        </w:rPr>
        <w:t>–</w:t>
      </w:r>
      <w:r>
        <w:rPr>
          <w:lang w:val="fr-FR"/>
        </w:rPr>
        <w:tab/>
      </w:r>
      <w:r w:rsidR="00F13A4D" w:rsidRPr="00A17DCB">
        <w:rPr>
          <w:lang w:val="fr-FR"/>
        </w:rPr>
        <w:t>Populations rurales et femmes rurales</w:t>
      </w:r>
      <w:r w:rsidR="00F1794C" w:rsidRPr="00A17DCB">
        <w:rPr>
          <w:lang w:val="fr-FR"/>
        </w:rPr>
        <w:t> ;</w:t>
      </w:r>
    </w:p>
    <w:p w14:paraId="1C58915F" w14:textId="6ACF7E84" w:rsidR="00F13A4D" w:rsidRPr="00A17DCB" w:rsidRDefault="00A17DCB" w:rsidP="00A17DCB">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rPr>
      </w:pPr>
      <w:r>
        <w:rPr>
          <w:lang w:val="fr-FR"/>
        </w:rPr>
        <w:tab/>
      </w:r>
      <w:r w:rsidR="000040B6">
        <w:rPr>
          <w:lang w:val="fr-FR"/>
        </w:rPr>
        <w:t>–</w:t>
      </w:r>
      <w:r>
        <w:rPr>
          <w:lang w:val="fr-FR"/>
        </w:rPr>
        <w:tab/>
      </w:r>
      <w:r w:rsidR="00F13A4D" w:rsidRPr="00A17DCB">
        <w:rPr>
          <w:lang w:val="fr-FR"/>
        </w:rPr>
        <w:t>Personnes en situation de handicap</w:t>
      </w:r>
      <w:r w:rsidR="00F1794C" w:rsidRPr="00A17DCB">
        <w:rPr>
          <w:lang w:val="fr-FR"/>
        </w:rPr>
        <w:t> ;</w:t>
      </w:r>
    </w:p>
    <w:p w14:paraId="0CCDB8CA" w14:textId="35357222" w:rsidR="00F13A4D" w:rsidRPr="00A17DCB" w:rsidRDefault="00A17DCB" w:rsidP="00A17DCB">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rPr>
      </w:pPr>
      <w:r>
        <w:rPr>
          <w:lang w:val="fr-FR"/>
        </w:rPr>
        <w:tab/>
      </w:r>
      <w:r w:rsidR="000040B6">
        <w:rPr>
          <w:lang w:val="fr-FR"/>
        </w:rPr>
        <w:t>–</w:t>
      </w:r>
      <w:r>
        <w:rPr>
          <w:lang w:val="fr-FR"/>
        </w:rPr>
        <w:tab/>
      </w:r>
      <w:r w:rsidR="00F13A4D" w:rsidRPr="00A17DCB">
        <w:rPr>
          <w:lang w:val="fr-FR"/>
        </w:rPr>
        <w:t>Migrants en situation régulière.</w:t>
      </w:r>
    </w:p>
    <w:p w14:paraId="4B36D79A" w14:textId="304540EE" w:rsidR="00F13A4D" w:rsidRPr="00F13A4D" w:rsidRDefault="00F13A4D" w:rsidP="00456FC2">
      <w:pPr>
        <w:pStyle w:val="SingleTxt"/>
        <w:numPr>
          <w:ilvl w:val="0"/>
          <w:numId w:val="50"/>
        </w:numPr>
        <w:rPr>
          <w:lang w:val="fr-FR"/>
        </w:rPr>
      </w:pPr>
      <w:r w:rsidRPr="00F13A4D">
        <w:rPr>
          <w:lang w:val="fr-FR"/>
        </w:rPr>
        <w:t>Le plan prévoit un ensemble de mesures pratiques et opérationnelles, dont 20</w:t>
      </w:r>
      <w:r w:rsidR="00B307F7">
        <w:rPr>
          <w:lang w:val="fr-FR"/>
        </w:rPr>
        <w:t> </w:t>
      </w:r>
      <w:r w:rsidRPr="00F13A4D">
        <w:rPr>
          <w:lang w:val="fr-FR"/>
        </w:rPr>
        <w:t>mesures prioritaires (2018-2019) et d</w:t>
      </w:r>
      <w:r w:rsidR="00F1794C" w:rsidRPr="00F1794C">
        <w:rPr>
          <w:lang w:val="fr-FR"/>
        </w:rPr>
        <w:t>’</w:t>
      </w:r>
      <w:r w:rsidRPr="00F13A4D">
        <w:rPr>
          <w:lang w:val="fr-FR"/>
        </w:rPr>
        <w:t>autres mesures qui seront appliquées au niveau territorial.</w:t>
      </w:r>
    </w:p>
    <w:p w14:paraId="11FA0DF5" w14:textId="4305F80B" w:rsidR="00F13A4D" w:rsidRPr="00F13A4D" w:rsidRDefault="00F13A4D" w:rsidP="00456FC2">
      <w:pPr>
        <w:pStyle w:val="SingleTxt"/>
        <w:numPr>
          <w:ilvl w:val="0"/>
          <w:numId w:val="50"/>
        </w:numPr>
        <w:rPr>
          <w:lang w:val="fr-FR"/>
        </w:rPr>
      </w:pPr>
      <w:r w:rsidRPr="00F13A4D">
        <w:rPr>
          <w:lang w:val="fr-FR"/>
        </w:rPr>
        <w:t>Le Ministère compétent supervise des mesures de promotion de l</w:t>
      </w:r>
      <w:r w:rsidR="00F1794C" w:rsidRPr="00F1794C">
        <w:rPr>
          <w:lang w:val="fr-FR"/>
        </w:rPr>
        <w:t>’</w:t>
      </w:r>
      <w:r w:rsidRPr="00F13A4D">
        <w:rPr>
          <w:lang w:val="fr-FR"/>
        </w:rPr>
        <w:t>emploi, dont le programme d</w:t>
      </w:r>
      <w:r w:rsidR="00F1794C" w:rsidRPr="00F1794C">
        <w:rPr>
          <w:lang w:val="fr-FR"/>
        </w:rPr>
        <w:t>’</w:t>
      </w:r>
      <w:r w:rsidRPr="00F13A4D">
        <w:rPr>
          <w:lang w:val="fr-FR"/>
        </w:rPr>
        <w:t>insertion « Idmaj », qui a profité à 102 773 personnes, les femmes représentant la moitié des bénéficiaires. Ces mesures visent à développer les ressources humaines des entreprises en améliorant l</w:t>
      </w:r>
      <w:r w:rsidR="00F1794C" w:rsidRPr="00F1794C">
        <w:rPr>
          <w:lang w:val="fr-FR"/>
        </w:rPr>
        <w:t>’</w:t>
      </w:r>
      <w:r w:rsidRPr="00F13A4D">
        <w:rPr>
          <w:lang w:val="fr-FR"/>
        </w:rPr>
        <w:t>encadrement et en favorisant l</w:t>
      </w:r>
      <w:r w:rsidR="00F1794C" w:rsidRPr="00F1794C">
        <w:rPr>
          <w:lang w:val="fr-FR"/>
        </w:rPr>
        <w:t>’</w:t>
      </w:r>
      <w:r w:rsidRPr="00F13A4D">
        <w:rPr>
          <w:lang w:val="fr-FR"/>
        </w:rPr>
        <w:t xml:space="preserve">emploi des jeunes diplômés en vue de leur insertion dans la vie professionnelle. </w:t>
      </w:r>
    </w:p>
    <w:p w14:paraId="40F62FC5" w14:textId="63D0DF0A" w:rsidR="00F13A4D" w:rsidRPr="00F13A4D" w:rsidRDefault="00F13A4D" w:rsidP="00456FC2">
      <w:pPr>
        <w:pStyle w:val="SingleTxt"/>
        <w:numPr>
          <w:ilvl w:val="0"/>
          <w:numId w:val="50"/>
        </w:numPr>
        <w:rPr>
          <w:lang w:val="fr-FR"/>
        </w:rPr>
      </w:pPr>
      <w:r w:rsidRPr="00F13A4D">
        <w:rPr>
          <w:lang w:val="fr-FR"/>
        </w:rPr>
        <w:t>Le programme de qualification « Taehil » vise à améliorer l</w:t>
      </w:r>
      <w:r w:rsidR="00F1794C" w:rsidRPr="00F1794C">
        <w:rPr>
          <w:lang w:val="fr-FR"/>
        </w:rPr>
        <w:t>’</w:t>
      </w:r>
      <w:r w:rsidRPr="00F13A4D">
        <w:rPr>
          <w:lang w:val="fr-FR"/>
        </w:rPr>
        <w:t>employabilité des diplômés en leur permettant d</w:t>
      </w:r>
      <w:r w:rsidR="00F1794C" w:rsidRPr="00F1794C">
        <w:rPr>
          <w:lang w:val="fr-FR"/>
        </w:rPr>
        <w:t>’</w:t>
      </w:r>
      <w:r w:rsidRPr="00F13A4D">
        <w:rPr>
          <w:lang w:val="fr-FR"/>
        </w:rPr>
        <w:t>acquérir des compétences professionnelles pour occuper des postes dûment identifiés ou potentiels</w:t>
      </w:r>
      <w:r w:rsidR="00F1794C" w:rsidRPr="00F1794C">
        <w:rPr>
          <w:lang w:val="fr-FR"/>
        </w:rPr>
        <w:t> ;</w:t>
      </w:r>
      <w:r w:rsidRPr="00F13A4D">
        <w:rPr>
          <w:lang w:val="fr-FR"/>
        </w:rPr>
        <w:t xml:space="preserve"> 27 125 personnes à la recherche d</w:t>
      </w:r>
      <w:r w:rsidR="00F1794C" w:rsidRPr="00F1794C">
        <w:rPr>
          <w:lang w:val="fr-FR"/>
        </w:rPr>
        <w:t>’</w:t>
      </w:r>
      <w:r w:rsidRPr="00F13A4D">
        <w:rPr>
          <w:lang w:val="fr-FR"/>
        </w:rPr>
        <w:t>emploi, dont 60</w:t>
      </w:r>
      <w:r w:rsidR="00F1794C" w:rsidRPr="00F1794C">
        <w:rPr>
          <w:lang w:val="fr-FR"/>
        </w:rPr>
        <w:t> %</w:t>
      </w:r>
      <w:r w:rsidRPr="00F13A4D">
        <w:rPr>
          <w:lang w:val="fr-FR"/>
        </w:rPr>
        <w:t xml:space="preserve"> de femmes, en ont bénéficié dans le cadre de la formation contractualisée pour l</w:t>
      </w:r>
      <w:r w:rsidR="00F1794C" w:rsidRPr="00F1794C">
        <w:rPr>
          <w:lang w:val="fr-FR"/>
        </w:rPr>
        <w:t>’</w:t>
      </w:r>
      <w:r w:rsidRPr="00F13A4D">
        <w:rPr>
          <w:lang w:val="fr-FR"/>
        </w:rPr>
        <w:t>emploi. Le programme «</w:t>
      </w:r>
      <w:r w:rsidR="000040B6">
        <w:rPr>
          <w:lang w:val="fr-FR"/>
        </w:rPr>
        <w:t> </w:t>
      </w:r>
      <w:r w:rsidRPr="00F13A4D">
        <w:rPr>
          <w:lang w:val="fr-FR"/>
        </w:rPr>
        <w:t xml:space="preserve">Tahfiz » (impulsion) favorise </w:t>
      </w:r>
      <w:r w:rsidRPr="00F13A4D">
        <w:rPr>
          <w:lang w:val="fr-FR"/>
        </w:rPr>
        <w:lastRenderedPageBreak/>
        <w:t>l</w:t>
      </w:r>
      <w:r w:rsidR="00F1794C" w:rsidRPr="00F1794C">
        <w:rPr>
          <w:lang w:val="fr-FR"/>
        </w:rPr>
        <w:t>’</w:t>
      </w:r>
      <w:r w:rsidRPr="00F13A4D">
        <w:rPr>
          <w:lang w:val="fr-FR"/>
        </w:rPr>
        <w:t>emploi dans les entreprises et associations nouvellement créées. Des améliorations ont été apportées à la loi de finances pour l</w:t>
      </w:r>
      <w:r w:rsidR="00F1794C" w:rsidRPr="00F1794C">
        <w:rPr>
          <w:lang w:val="fr-FR"/>
        </w:rPr>
        <w:t>’</w:t>
      </w:r>
      <w:r w:rsidRPr="00F13A4D">
        <w:rPr>
          <w:lang w:val="fr-FR"/>
        </w:rPr>
        <w:t>année 2018</w:t>
      </w:r>
      <w:r w:rsidR="00F1794C" w:rsidRPr="00F1794C">
        <w:rPr>
          <w:lang w:val="fr-FR"/>
        </w:rPr>
        <w:t> :</w:t>
      </w:r>
      <w:r w:rsidRPr="00F13A4D">
        <w:rPr>
          <w:lang w:val="fr-FR"/>
        </w:rPr>
        <w:t xml:space="preserve"> relèvement du nombre d</w:t>
      </w:r>
      <w:r w:rsidR="00F1794C" w:rsidRPr="00F1794C">
        <w:rPr>
          <w:lang w:val="fr-FR"/>
        </w:rPr>
        <w:t>’</w:t>
      </w:r>
      <w:r w:rsidRPr="00F13A4D">
        <w:rPr>
          <w:lang w:val="fr-FR"/>
        </w:rPr>
        <w:t>employés dont le salaire est éligible à une exonération, porté de 5 à 10 salariés</w:t>
      </w:r>
      <w:r w:rsidR="00F1794C" w:rsidRPr="00F1794C">
        <w:rPr>
          <w:lang w:val="fr-FR"/>
        </w:rPr>
        <w:t> ;</w:t>
      </w:r>
      <w:r w:rsidRPr="00F13A4D">
        <w:rPr>
          <w:lang w:val="fr-FR"/>
        </w:rPr>
        <w:t xml:space="preserve"> prolongation de la période de prestations jusqu</w:t>
      </w:r>
      <w:r w:rsidR="00F1794C" w:rsidRPr="00F1794C">
        <w:rPr>
          <w:lang w:val="fr-FR"/>
        </w:rPr>
        <w:t>’</w:t>
      </w:r>
      <w:r w:rsidRPr="00F13A4D">
        <w:rPr>
          <w:lang w:val="fr-FR"/>
        </w:rPr>
        <w:t>à fin décembre 2020</w:t>
      </w:r>
      <w:r w:rsidR="00F1794C" w:rsidRPr="00F1794C">
        <w:rPr>
          <w:lang w:val="fr-FR"/>
        </w:rPr>
        <w:t> ;</w:t>
      </w:r>
      <w:r w:rsidRPr="00F13A4D">
        <w:rPr>
          <w:lang w:val="fr-FR"/>
        </w:rPr>
        <w:t xml:space="preserve"> extension de ces mesures aux coopératives</w:t>
      </w:r>
      <w:r w:rsidR="00F1794C" w:rsidRPr="00F1794C">
        <w:rPr>
          <w:lang w:val="fr-FR"/>
        </w:rPr>
        <w:t> ;</w:t>
      </w:r>
      <w:r w:rsidRPr="00F13A4D">
        <w:rPr>
          <w:lang w:val="fr-FR"/>
        </w:rPr>
        <w:t xml:space="preserve"> 6 180 personnes, dont 38</w:t>
      </w:r>
      <w:r w:rsidR="00F1794C" w:rsidRPr="00F1794C">
        <w:rPr>
          <w:lang w:val="fr-FR"/>
        </w:rPr>
        <w:t> %</w:t>
      </w:r>
      <w:r w:rsidRPr="00F13A4D">
        <w:rPr>
          <w:lang w:val="fr-FR"/>
        </w:rPr>
        <w:t xml:space="preserve"> de femmes, en ont bénéficié dans ce cadre. </w:t>
      </w:r>
    </w:p>
    <w:p w14:paraId="3F936225" w14:textId="510A57D1" w:rsidR="00F13A4D" w:rsidRPr="00F13A4D" w:rsidRDefault="00F13A4D" w:rsidP="00456FC2">
      <w:pPr>
        <w:pStyle w:val="SingleTxt"/>
        <w:numPr>
          <w:ilvl w:val="0"/>
          <w:numId w:val="50"/>
        </w:numPr>
        <w:rPr>
          <w:lang w:val="fr-FR"/>
        </w:rPr>
      </w:pPr>
      <w:r w:rsidRPr="00F13A4D">
        <w:rPr>
          <w:lang w:val="fr-FR"/>
        </w:rPr>
        <w:t>L</w:t>
      </w:r>
      <w:r w:rsidR="00F1794C" w:rsidRPr="00F1794C">
        <w:rPr>
          <w:lang w:val="fr-FR"/>
        </w:rPr>
        <w:t>’</w:t>
      </w:r>
      <w:r w:rsidRPr="00F13A4D">
        <w:rPr>
          <w:lang w:val="fr-FR"/>
        </w:rPr>
        <w:t>agence publique pour l</w:t>
      </w:r>
      <w:r w:rsidR="00F1794C" w:rsidRPr="00F1794C">
        <w:rPr>
          <w:lang w:val="fr-FR"/>
        </w:rPr>
        <w:t>’</w:t>
      </w:r>
      <w:r w:rsidRPr="00F13A4D">
        <w:rPr>
          <w:lang w:val="fr-FR"/>
        </w:rPr>
        <w:t>emploi propose des services de médiation aux demandeurs d</w:t>
      </w:r>
      <w:r w:rsidR="00F1794C" w:rsidRPr="00F1794C">
        <w:rPr>
          <w:lang w:val="fr-FR"/>
        </w:rPr>
        <w:t>’</w:t>
      </w:r>
      <w:r w:rsidRPr="00F13A4D">
        <w:rPr>
          <w:lang w:val="fr-FR"/>
        </w:rPr>
        <w:t>emploi par l</w:t>
      </w:r>
      <w:r w:rsidR="00F1794C" w:rsidRPr="00F1794C">
        <w:rPr>
          <w:lang w:val="fr-FR"/>
        </w:rPr>
        <w:t>’</w:t>
      </w:r>
      <w:r w:rsidRPr="00F13A4D">
        <w:rPr>
          <w:lang w:val="fr-FR"/>
        </w:rPr>
        <w:t>intermédiaire de son réseau de 86 agences locales. Ceux-ci ont accès à des services d</w:t>
      </w:r>
      <w:r w:rsidR="00F1794C" w:rsidRPr="00F1794C">
        <w:rPr>
          <w:lang w:val="fr-FR"/>
        </w:rPr>
        <w:t>’</w:t>
      </w:r>
      <w:r w:rsidRPr="00F13A4D">
        <w:rPr>
          <w:lang w:val="fr-FR"/>
        </w:rPr>
        <w:t>information, d</w:t>
      </w:r>
      <w:r w:rsidR="00F1794C" w:rsidRPr="00F1794C">
        <w:rPr>
          <w:lang w:val="fr-FR"/>
        </w:rPr>
        <w:t>’</w:t>
      </w:r>
      <w:r w:rsidRPr="00F13A4D">
        <w:rPr>
          <w:lang w:val="fr-FR"/>
        </w:rPr>
        <w:t>orientation, des entretiens d</w:t>
      </w:r>
      <w:r w:rsidR="00F1794C" w:rsidRPr="00F1794C">
        <w:rPr>
          <w:lang w:val="fr-FR"/>
        </w:rPr>
        <w:t>’</w:t>
      </w:r>
      <w:r w:rsidRPr="00F13A4D">
        <w:rPr>
          <w:lang w:val="fr-FR"/>
        </w:rPr>
        <w:t>embauche et des ateliers sur la recherche d</w:t>
      </w:r>
      <w:r w:rsidR="00F1794C" w:rsidRPr="00F1794C">
        <w:rPr>
          <w:lang w:val="fr-FR"/>
        </w:rPr>
        <w:t>’</w:t>
      </w:r>
      <w:r w:rsidRPr="00F13A4D">
        <w:rPr>
          <w:lang w:val="fr-FR"/>
        </w:rPr>
        <w:t>emploi. Les femmes bénéficient de l</w:t>
      </w:r>
      <w:r w:rsidR="00F1794C" w:rsidRPr="00F1794C">
        <w:rPr>
          <w:lang w:val="fr-FR"/>
        </w:rPr>
        <w:t>’</w:t>
      </w:r>
      <w:r w:rsidRPr="00F13A4D">
        <w:rPr>
          <w:lang w:val="fr-FR"/>
        </w:rPr>
        <w:t>ensemble des services d</w:t>
      </w:r>
      <w:r w:rsidR="00F1794C" w:rsidRPr="00F1794C">
        <w:rPr>
          <w:lang w:val="fr-FR"/>
        </w:rPr>
        <w:t>’</w:t>
      </w:r>
      <w:r w:rsidRPr="00F13A4D">
        <w:rPr>
          <w:lang w:val="fr-FR"/>
        </w:rPr>
        <w:t>information dans les espaces emploi et des campagnes d</w:t>
      </w:r>
      <w:r w:rsidR="00F1794C" w:rsidRPr="00F1794C">
        <w:rPr>
          <w:lang w:val="fr-FR"/>
        </w:rPr>
        <w:t>’</w:t>
      </w:r>
      <w:r w:rsidRPr="00F13A4D">
        <w:rPr>
          <w:lang w:val="fr-FR"/>
        </w:rPr>
        <w:t xml:space="preserve">information par courriel et texto. </w:t>
      </w:r>
    </w:p>
    <w:p w14:paraId="14290D85" w14:textId="097BA38C" w:rsidR="00F13A4D" w:rsidRPr="00F13A4D" w:rsidRDefault="00F13A4D" w:rsidP="00456FC2">
      <w:pPr>
        <w:pStyle w:val="SingleTxt"/>
        <w:numPr>
          <w:ilvl w:val="0"/>
          <w:numId w:val="50"/>
        </w:numPr>
        <w:rPr>
          <w:lang w:val="fr-FR"/>
        </w:rPr>
      </w:pPr>
      <w:r w:rsidRPr="00F13A4D">
        <w:rPr>
          <w:lang w:val="fr-FR"/>
        </w:rPr>
        <w:t>En 2018, 205 923 nouveaux demandeurs d</w:t>
      </w:r>
      <w:r w:rsidR="00F1794C" w:rsidRPr="00F1794C">
        <w:rPr>
          <w:lang w:val="fr-FR"/>
        </w:rPr>
        <w:t>’</w:t>
      </w:r>
      <w:r w:rsidRPr="00F13A4D">
        <w:rPr>
          <w:lang w:val="fr-FR"/>
        </w:rPr>
        <w:t>emploi, dont 44</w:t>
      </w:r>
      <w:r w:rsidR="00F1794C" w:rsidRPr="00F1794C">
        <w:rPr>
          <w:lang w:val="fr-FR"/>
        </w:rPr>
        <w:t> %</w:t>
      </w:r>
      <w:r w:rsidRPr="00F13A4D">
        <w:rPr>
          <w:lang w:val="fr-FR"/>
        </w:rPr>
        <w:t xml:space="preserve"> de femmes, se sont inscrits à l</w:t>
      </w:r>
      <w:r w:rsidR="00F1794C" w:rsidRPr="00F1794C">
        <w:rPr>
          <w:lang w:val="fr-FR"/>
        </w:rPr>
        <w:t>’</w:t>
      </w:r>
      <w:r w:rsidRPr="00F13A4D">
        <w:rPr>
          <w:lang w:val="fr-FR"/>
        </w:rPr>
        <w:t>Agence nationale de promotion de l</w:t>
      </w:r>
      <w:r w:rsidR="00F1794C" w:rsidRPr="00F1794C">
        <w:rPr>
          <w:lang w:val="fr-FR"/>
        </w:rPr>
        <w:t>’</w:t>
      </w:r>
      <w:r w:rsidRPr="00F13A4D">
        <w:rPr>
          <w:lang w:val="fr-FR"/>
        </w:rPr>
        <w:t>emploi et des compétences. La même année, les femmes représentaient 41</w:t>
      </w:r>
      <w:r w:rsidR="00F1794C" w:rsidRPr="00F1794C">
        <w:rPr>
          <w:lang w:val="fr-FR"/>
        </w:rPr>
        <w:t> %</w:t>
      </w:r>
      <w:r w:rsidRPr="00F13A4D">
        <w:rPr>
          <w:lang w:val="fr-FR"/>
        </w:rPr>
        <w:t xml:space="preserve"> des personnes ayant participé à des entretiens d</w:t>
      </w:r>
      <w:r w:rsidR="00F1794C" w:rsidRPr="00F1794C">
        <w:rPr>
          <w:lang w:val="fr-FR"/>
        </w:rPr>
        <w:t>’</w:t>
      </w:r>
      <w:r w:rsidRPr="00F13A4D">
        <w:rPr>
          <w:lang w:val="fr-FR"/>
        </w:rPr>
        <w:t>embauche (34 650 sur 84 466 bénéficiaires). Plus de la moitié des participants aux ateliers sur la recherche d</w:t>
      </w:r>
      <w:r w:rsidR="00F1794C" w:rsidRPr="00F1794C">
        <w:rPr>
          <w:lang w:val="fr-FR"/>
        </w:rPr>
        <w:t>’</w:t>
      </w:r>
      <w:r w:rsidRPr="00F13A4D">
        <w:rPr>
          <w:lang w:val="fr-FR"/>
        </w:rPr>
        <w:t xml:space="preserve">emploi étaient des femmes (29 700 sur 57 524 participants). </w:t>
      </w:r>
    </w:p>
    <w:p w14:paraId="05F86643" w14:textId="2FA60511" w:rsidR="00F13A4D" w:rsidRPr="00F13A4D" w:rsidRDefault="00F13A4D" w:rsidP="00456FC2">
      <w:pPr>
        <w:pStyle w:val="SingleTxt"/>
        <w:numPr>
          <w:ilvl w:val="0"/>
          <w:numId w:val="50"/>
        </w:numPr>
        <w:rPr>
          <w:lang w:val="fr-FR"/>
        </w:rPr>
      </w:pPr>
      <w:r w:rsidRPr="00F13A4D">
        <w:rPr>
          <w:lang w:val="fr-FR"/>
        </w:rPr>
        <w:t>Le programme Wad3éyati (Ma situation) a été mis en œuvre en 2014-2015 afin que les femmes puissent plus facilement avoir accès au milieu professionnel et poursuivre une carrière afin d</w:t>
      </w:r>
      <w:r w:rsidR="00F1794C" w:rsidRPr="00F1794C">
        <w:rPr>
          <w:lang w:val="fr-FR"/>
        </w:rPr>
        <w:t>’</w:t>
      </w:r>
      <w:r w:rsidRPr="00F13A4D">
        <w:rPr>
          <w:lang w:val="fr-FR"/>
        </w:rPr>
        <w:t>accroître la responsabilité sociale des entreprises par la promotion de l</w:t>
      </w:r>
      <w:r w:rsidR="00F1794C" w:rsidRPr="00F1794C">
        <w:rPr>
          <w:lang w:val="fr-FR"/>
        </w:rPr>
        <w:t>’</w:t>
      </w:r>
      <w:r w:rsidRPr="00F13A4D">
        <w:rPr>
          <w:lang w:val="fr-FR"/>
        </w:rPr>
        <w:t>égalité des sexes dans les entreprises et un meilleur accès des femmes aux infrastructures collectives. Un suivi des activités menées a été effectué en 2015-2017, comme suit</w:t>
      </w:r>
      <w:r w:rsidR="00F1794C" w:rsidRPr="00F1794C">
        <w:rPr>
          <w:lang w:val="fr-FR"/>
        </w:rPr>
        <w:t> :</w:t>
      </w:r>
      <w:r w:rsidRPr="00F13A4D">
        <w:rPr>
          <w:lang w:val="fr-FR"/>
        </w:rPr>
        <w:t xml:space="preserve"> </w:t>
      </w:r>
    </w:p>
    <w:p w14:paraId="2577BBA2" w14:textId="0C614D9B" w:rsidR="00F13A4D" w:rsidRPr="000040B6" w:rsidRDefault="000040B6" w:rsidP="000040B6">
      <w:pPr>
        <w:pStyle w:val="SingleTxt"/>
        <w:tabs>
          <w:tab w:val="right" w:pos="1685"/>
        </w:tabs>
        <w:ind w:left="1742" w:hanging="475"/>
        <w:rPr>
          <w:lang w:val="fr-FR"/>
        </w:rPr>
      </w:pPr>
      <w:r>
        <w:rPr>
          <w:lang w:val="fr-FR"/>
        </w:rPr>
        <w:tab/>
        <w:t>•</w:t>
      </w:r>
      <w:r>
        <w:rPr>
          <w:lang w:val="fr-FR"/>
        </w:rPr>
        <w:tab/>
      </w:r>
      <w:r w:rsidR="00F13A4D" w:rsidRPr="000040B6">
        <w:rPr>
          <w:lang w:val="fr-FR"/>
        </w:rPr>
        <w:t>Environ 400 femmes ont bénéficié d</w:t>
      </w:r>
      <w:r w:rsidR="00F1794C" w:rsidRPr="000040B6">
        <w:rPr>
          <w:lang w:val="fr-FR"/>
        </w:rPr>
        <w:t>’</w:t>
      </w:r>
      <w:r w:rsidR="00F13A4D" w:rsidRPr="000040B6">
        <w:rPr>
          <w:lang w:val="fr-FR"/>
        </w:rPr>
        <w:t>un encadrement pour multiplier leurs chances d</w:t>
      </w:r>
      <w:r w:rsidR="00F1794C" w:rsidRPr="000040B6">
        <w:rPr>
          <w:lang w:val="fr-FR"/>
        </w:rPr>
        <w:t>’</w:t>
      </w:r>
      <w:r w:rsidR="00F13A4D" w:rsidRPr="000040B6">
        <w:rPr>
          <w:lang w:val="fr-FR"/>
        </w:rPr>
        <w:t>obtenir un emploi</w:t>
      </w:r>
      <w:r w:rsidR="00F1794C" w:rsidRPr="000040B6">
        <w:rPr>
          <w:lang w:val="fr-FR"/>
        </w:rPr>
        <w:t> ;</w:t>
      </w:r>
    </w:p>
    <w:p w14:paraId="7D65FE87" w14:textId="0BEAE01F" w:rsidR="00F13A4D" w:rsidRPr="000040B6" w:rsidRDefault="000040B6" w:rsidP="000040B6">
      <w:pPr>
        <w:pStyle w:val="SingleTxt"/>
        <w:tabs>
          <w:tab w:val="right" w:pos="1685"/>
        </w:tabs>
        <w:ind w:left="1742" w:hanging="475"/>
        <w:rPr>
          <w:lang w:val="fr-FR"/>
        </w:rPr>
      </w:pPr>
      <w:r>
        <w:rPr>
          <w:lang w:val="fr-FR"/>
        </w:rPr>
        <w:tab/>
        <w:t>•</w:t>
      </w:r>
      <w:r>
        <w:rPr>
          <w:lang w:val="fr-FR"/>
        </w:rPr>
        <w:tab/>
      </w:r>
      <w:r w:rsidR="00F13A4D" w:rsidRPr="000040B6">
        <w:rPr>
          <w:lang w:val="fr-FR"/>
        </w:rPr>
        <w:t>Audit sur l</w:t>
      </w:r>
      <w:r w:rsidR="00F1794C" w:rsidRPr="000040B6">
        <w:rPr>
          <w:lang w:val="fr-FR"/>
        </w:rPr>
        <w:t>’</w:t>
      </w:r>
      <w:r w:rsidR="00F13A4D" w:rsidRPr="000040B6">
        <w:rPr>
          <w:lang w:val="fr-FR"/>
        </w:rPr>
        <w:t>égalité des sexes dans l</w:t>
      </w:r>
      <w:r w:rsidR="00F1794C" w:rsidRPr="000040B6">
        <w:rPr>
          <w:lang w:val="fr-FR"/>
        </w:rPr>
        <w:t>’</w:t>
      </w:r>
      <w:r w:rsidR="00F13A4D" w:rsidRPr="000040B6">
        <w:rPr>
          <w:lang w:val="fr-FR"/>
        </w:rPr>
        <w:t>entreprise mené dans une dizaine d</w:t>
      </w:r>
      <w:r w:rsidR="00F1794C" w:rsidRPr="000040B6">
        <w:rPr>
          <w:lang w:val="fr-FR"/>
        </w:rPr>
        <w:t>’</w:t>
      </w:r>
      <w:r w:rsidR="00F13A4D" w:rsidRPr="000040B6">
        <w:rPr>
          <w:lang w:val="fr-FR"/>
        </w:rPr>
        <w:t>entreprises.</w:t>
      </w:r>
    </w:p>
    <w:p w14:paraId="4CE28896" w14:textId="40C36972" w:rsidR="00F13A4D" w:rsidRPr="00F13A4D" w:rsidRDefault="00F13A4D" w:rsidP="00456FC2">
      <w:pPr>
        <w:pStyle w:val="SingleTxt"/>
        <w:numPr>
          <w:ilvl w:val="0"/>
          <w:numId w:val="50"/>
        </w:numPr>
        <w:rPr>
          <w:lang w:val="fr-FR"/>
        </w:rPr>
      </w:pPr>
      <w:r w:rsidRPr="00F13A4D">
        <w:rPr>
          <w:lang w:val="fr-FR"/>
        </w:rPr>
        <w:t>Afin d</w:t>
      </w:r>
      <w:r w:rsidR="00F1794C" w:rsidRPr="00F1794C">
        <w:rPr>
          <w:lang w:val="fr-FR"/>
        </w:rPr>
        <w:t>’</w:t>
      </w:r>
      <w:r w:rsidRPr="00F13A4D">
        <w:rPr>
          <w:lang w:val="fr-FR"/>
        </w:rPr>
        <w:t>instaurer une culture de l</w:t>
      </w:r>
      <w:r w:rsidR="00F1794C" w:rsidRPr="00F1794C">
        <w:rPr>
          <w:lang w:val="fr-FR"/>
        </w:rPr>
        <w:t>’</w:t>
      </w:r>
      <w:r w:rsidRPr="00F13A4D">
        <w:rPr>
          <w:lang w:val="fr-FR"/>
        </w:rPr>
        <w:t>égalité professionnelle dans l</w:t>
      </w:r>
      <w:r w:rsidR="00F1794C" w:rsidRPr="00F1794C">
        <w:rPr>
          <w:lang w:val="fr-FR"/>
        </w:rPr>
        <w:t>’</w:t>
      </w:r>
      <w:r w:rsidRPr="00F13A4D">
        <w:rPr>
          <w:lang w:val="fr-FR"/>
        </w:rPr>
        <w:t>entreprise, le secteur concerné a décerné à trois reprises (en 2016, 2017 et 2018) le trophée de l</w:t>
      </w:r>
      <w:r w:rsidR="00F1794C" w:rsidRPr="00F1794C">
        <w:rPr>
          <w:lang w:val="fr-FR"/>
        </w:rPr>
        <w:t>’</w:t>
      </w:r>
      <w:r w:rsidRPr="00F13A4D">
        <w:rPr>
          <w:lang w:val="fr-FR"/>
        </w:rPr>
        <w:t>égalité professionnelle qui récompense les entreprises nationales et internationales opérant sur le territorial national. Les entreprises récompensées ont démontré qu</w:t>
      </w:r>
      <w:r w:rsidR="00F1794C" w:rsidRPr="00F1794C">
        <w:rPr>
          <w:lang w:val="fr-FR"/>
        </w:rPr>
        <w:t>’</w:t>
      </w:r>
      <w:r w:rsidRPr="00F13A4D">
        <w:rPr>
          <w:lang w:val="fr-FR"/>
        </w:rPr>
        <w:t>elles respectaient les critères requis concernant le principe d</w:t>
      </w:r>
      <w:r w:rsidR="00F1794C" w:rsidRPr="00F1794C">
        <w:rPr>
          <w:lang w:val="fr-FR"/>
        </w:rPr>
        <w:t>’</w:t>
      </w:r>
      <w:r w:rsidRPr="00F13A4D">
        <w:rPr>
          <w:lang w:val="fr-FR"/>
        </w:rPr>
        <w:t>égalité, l</w:t>
      </w:r>
      <w:r w:rsidR="00F1794C" w:rsidRPr="00F1794C">
        <w:rPr>
          <w:lang w:val="fr-FR"/>
        </w:rPr>
        <w:t>’</w:t>
      </w:r>
      <w:r w:rsidRPr="00F13A4D">
        <w:rPr>
          <w:lang w:val="fr-FR"/>
        </w:rPr>
        <w:t>égalité des chances entre les sexes dans l</w:t>
      </w:r>
      <w:r w:rsidR="00F1794C" w:rsidRPr="00F1794C">
        <w:rPr>
          <w:lang w:val="fr-FR"/>
        </w:rPr>
        <w:t>’</w:t>
      </w:r>
      <w:r w:rsidRPr="00F13A4D">
        <w:rPr>
          <w:lang w:val="fr-FR"/>
        </w:rPr>
        <w:t>entreprise en matière d</w:t>
      </w:r>
      <w:r w:rsidR="00F1794C" w:rsidRPr="00F1794C">
        <w:rPr>
          <w:lang w:val="fr-FR"/>
        </w:rPr>
        <w:t>’</w:t>
      </w:r>
      <w:r w:rsidRPr="00F13A4D">
        <w:rPr>
          <w:lang w:val="fr-FR"/>
        </w:rPr>
        <w:t xml:space="preserve">emploi, les conditions de travail, la formation continue et la participation des femmes dans les instances représentatives. Au total, 110 entreprises ont participé à cette opération, 34 en 2016, 33 en 2017 et 43 en 2018. </w:t>
      </w:r>
    </w:p>
    <w:p w14:paraId="299ED2F6" w14:textId="2E98948E" w:rsidR="00F13A4D" w:rsidRPr="00F13A4D" w:rsidRDefault="00F13A4D" w:rsidP="00456FC2">
      <w:pPr>
        <w:pStyle w:val="SingleTxt"/>
        <w:numPr>
          <w:ilvl w:val="0"/>
          <w:numId w:val="50"/>
        </w:numPr>
        <w:rPr>
          <w:lang w:val="fr-FR"/>
        </w:rPr>
      </w:pPr>
      <w:r w:rsidRPr="00F13A4D">
        <w:rPr>
          <w:lang w:val="fr-FR"/>
        </w:rPr>
        <w:t>Une enveloppe budgétaire a été allouée au secteur de l</w:t>
      </w:r>
      <w:r w:rsidR="00F1794C" w:rsidRPr="00F1794C">
        <w:rPr>
          <w:lang w:val="fr-FR"/>
        </w:rPr>
        <w:t>’</w:t>
      </w:r>
      <w:r w:rsidRPr="00F13A4D">
        <w:rPr>
          <w:lang w:val="fr-FR"/>
        </w:rPr>
        <w:t>emploi pour appuyer les projets des associations œuvrant à la promotion des droits de la femme au travail et un cahier des charges relatif au processus de candidature et de nomination mené par un comité interministériel chargé de sélectionner les projets des associations candidates. Ce processus s</w:t>
      </w:r>
      <w:r w:rsidR="00F1794C" w:rsidRPr="00F1794C">
        <w:rPr>
          <w:lang w:val="fr-FR"/>
        </w:rPr>
        <w:t>’</w:t>
      </w:r>
      <w:r w:rsidRPr="00F13A4D">
        <w:rPr>
          <w:lang w:val="fr-FR"/>
        </w:rPr>
        <w:t>appuie sur les demandes présentées par les associations, le guide de référence précisant les règles à suivre, les critères retenus dans la stratégie du secteur concerné, à savoir les activités visant à sensibiliser le public à la situation des femmes au profit des entreprises et des salariés,</w:t>
      </w:r>
      <w:r w:rsidR="00F1794C" w:rsidRPr="00F1794C">
        <w:rPr>
          <w:lang w:val="fr-FR"/>
        </w:rPr>
        <w:t xml:space="preserve"> </w:t>
      </w:r>
      <w:r w:rsidRPr="00F13A4D">
        <w:rPr>
          <w:lang w:val="fr-FR"/>
        </w:rPr>
        <w:t>l</w:t>
      </w:r>
      <w:r w:rsidR="00F1794C" w:rsidRPr="00F1794C">
        <w:rPr>
          <w:lang w:val="fr-FR"/>
        </w:rPr>
        <w:t>’</w:t>
      </w:r>
      <w:r w:rsidRPr="00F13A4D">
        <w:rPr>
          <w:lang w:val="fr-FR"/>
        </w:rPr>
        <w:t>autonomisation des femmes dans l</w:t>
      </w:r>
      <w:r w:rsidR="00F1794C" w:rsidRPr="00F1794C">
        <w:rPr>
          <w:lang w:val="fr-FR"/>
        </w:rPr>
        <w:t>’</w:t>
      </w:r>
      <w:r w:rsidRPr="00F13A4D">
        <w:rPr>
          <w:lang w:val="fr-FR"/>
        </w:rPr>
        <w:t>entreprise et l</w:t>
      </w:r>
      <w:r w:rsidR="00F1794C" w:rsidRPr="00F1794C">
        <w:rPr>
          <w:lang w:val="fr-FR"/>
        </w:rPr>
        <w:t>’</w:t>
      </w:r>
      <w:r w:rsidRPr="00F13A4D">
        <w:rPr>
          <w:lang w:val="fr-FR"/>
        </w:rPr>
        <w:t>amélioration des conditions de travail des femmes. En 2017, trois projets d</w:t>
      </w:r>
      <w:r w:rsidR="00F1794C" w:rsidRPr="00F1794C">
        <w:rPr>
          <w:lang w:val="fr-FR"/>
        </w:rPr>
        <w:t>’</w:t>
      </w:r>
      <w:r w:rsidRPr="00F13A4D">
        <w:rPr>
          <w:lang w:val="fr-FR"/>
        </w:rPr>
        <w:t xml:space="preserve">associations ont été retenus, sur neuf proposés, et en 2018, quatre sur 44 ont été sélectionnés. </w:t>
      </w:r>
    </w:p>
    <w:p w14:paraId="4D0FF37E" w14:textId="0A4613AF" w:rsidR="00F13A4D" w:rsidRPr="00F13A4D" w:rsidRDefault="00F13A4D" w:rsidP="00456FC2">
      <w:pPr>
        <w:pStyle w:val="SingleTxt"/>
        <w:numPr>
          <w:ilvl w:val="0"/>
          <w:numId w:val="50"/>
        </w:numPr>
        <w:rPr>
          <w:lang w:val="fr-FR"/>
        </w:rPr>
      </w:pPr>
      <w:r w:rsidRPr="00F13A4D">
        <w:rPr>
          <w:lang w:val="fr-FR"/>
        </w:rPr>
        <w:t xml:space="preserve"> Le plan gouvernemental de l</w:t>
      </w:r>
      <w:r w:rsidR="00F1794C" w:rsidRPr="00F1794C">
        <w:rPr>
          <w:lang w:val="fr-FR"/>
        </w:rPr>
        <w:t>’</w:t>
      </w:r>
      <w:r w:rsidRPr="00F13A4D">
        <w:rPr>
          <w:lang w:val="fr-FR"/>
        </w:rPr>
        <w:t>égalité (ICRAM 1 et ICRAM 2) a accordé une place particulière à l</w:t>
      </w:r>
      <w:r w:rsidR="00F1794C" w:rsidRPr="00F1794C">
        <w:rPr>
          <w:lang w:val="fr-FR"/>
        </w:rPr>
        <w:t>’</w:t>
      </w:r>
      <w:r w:rsidRPr="00F13A4D">
        <w:rPr>
          <w:lang w:val="fr-FR"/>
        </w:rPr>
        <w:t xml:space="preserve">autonomisation économique des femmes. ICRAM 1 proposait </w:t>
      </w:r>
      <w:r w:rsidRPr="00F13A4D">
        <w:rPr>
          <w:lang w:val="fr-FR"/>
        </w:rPr>
        <w:lastRenderedPageBreak/>
        <w:t>des programmes visant à encourager la mise en place de partenariats avec différents acteurs et à multiplier les contacts entre eux afin de permettre aux femmes entrepreneures et responsables de coopératives et d</w:t>
      </w:r>
      <w:r w:rsidR="00F1794C" w:rsidRPr="00F1794C">
        <w:rPr>
          <w:lang w:val="fr-FR"/>
        </w:rPr>
        <w:t>’</w:t>
      </w:r>
      <w:r w:rsidRPr="00F13A4D">
        <w:rPr>
          <w:lang w:val="fr-FR"/>
        </w:rPr>
        <w:t>associations de disposer des moyens nécessaires en matière de commercialisation, d</w:t>
      </w:r>
      <w:r w:rsidR="00F1794C" w:rsidRPr="00F1794C">
        <w:rPr>
          <w:lang w:val="fr-FR"/>
        </w:rPr>
        <w:t>’</w:t>
      </w:r>
      <w:r w:rsidRPr="00F13A4D">
        <w:rPr>
          <w:lang w:val="fr-FR"/>
        </w:rPr>
        <w:t>encadrement, et d</w:t>
      </w:r>
      <w:r w:rsidR="00F1794C" w:rsidRPr="00F1794C">
        <w:rPr>
          <w:lang w:val="fr-FR"/>
        </w:rPr>
        <w:t>’</w:t>
      </w:r>
      <w:r w:rsidRPr="00F13A4D">
        <w:rPr>
          <w:lang w:val="fr-FR"/>
        </w:rPr>
        <w:t>avoir plus facilement accès aux prêts et à la propriété. ICRAM 2 vise à promouvoir l</w:t>
      </w:r>
      <w:r w:rsidR="00F1794C" w:rsidRPr="00F1794C">
        <w:rPr>
          <w:lang w:val="fr-FR"/>
        </w:rPr>
        <w:t>’</w:t>
      </w:r>
      <w:r w:rsidRPr="00F13A4D">
        <w:rPr>
          <w:lang w:val="fr-FR"/>
        </w:rPr>
        <w:t>indépendance et l</w:t>
      </w:r>
      <w:r w:rsidR="00F1794C" w:rsidRPr="00F1794C">
        <w:rPr>
          <w:lang w:val="fr-FR"/>
        </w:rPr>
        <w:t>’</w:t>
      </w:r>
      <w:r w:rsidRPr="00F13A4D">
        <w:rPr>
          <w:lang w:val="fr-FR"/>
        </w:rPr>
        <w:t>autonomisation économiques des femmes en favorisant leur participation au marché de l</w:t>
      </w:r>
      <w:r w:rsidR="00F1794C" w:rsidRPr="00F1794C">
        <w:rPr>
          <w:lang w:val="fr-FR"/>
        </w:rPr>
        <w:t>’</w:t>
      </w:r>
      <w:r w:rsidRPr="00F13A4D">
        <w:rPr>
          <w:lang w:val="fr-FR"/>
        </w:rPr>
        <w:t xml:space="preserve">emploi et à leur garantir un accès égal à la promotion au travail, à améliorer la situation économique des femmes en milieu rural et à appuyer les entreprises dirigées par des femmes. </w:t>
      </w:r>
    </w:p>
    <w:p w14:paraId="77FD1797" w14:textId="27A827D6" w:rsidR="00F13A4D" w:rsidRPr="00F13A4D" w:rsidRDefault="00F13A4D" w:rsidP="00456FC2">
      <w:pPr>
        <w:pStyle w:val="SingleTxt"/>
        <w:numPr>
          <w:ilvl w:val="0"/>
          <w:numId w:val="50"/>
        </w:numPr>
        <w:rPr>
          <w:lang w:val="fr-FR"/>
        </w:rPr>
      </w:pPr>
      <w:r w:rsidRPr="00F13A4D">
        <w:rPr>
          <w:lang w:val="fr-FR"/>
        </w:rPr>
        <w:t>Une étude stratégique sur l</w:t>
      </w:r>
      <w:r w:rsidR="00F1794C" w:rsidRPr="00F1794C">
        <w:rPr>
          <w:lang w:val="fr-FR"/>
        </w:rPr>
        <w:t>’</w:t>
      </w:r>
      <w:r w:rsidRPr="00F13A4D">
        <w:rPr>
          <w:lang w:val="fr-FR"/>
        </w:rPr>
        <w:t>autonomisation des femmes a été préparée et permettra d</w:t>
      </w:r>
      <w:r w:rsidR="00F1794C" w:rsidRPr="00F1794C">
        <w:rPr>
          <w:lang w:val="fr-FR"/>
        </w:rPr>
        <w:t>’</w:t>
      </w:r>
      <w:r w:rsidRPr="00F13A4D">
        <w:rPr>
          <w:lang w:val="fr-FR"/>
        </w:rPr>
        <w:t>élaborer le programme national intégré pour l</w:t>
      </w:r>
      <w:r w:rsidR="00F1794C" w:rsidRPr="00F1794C">
        <w:rPr>
          <w:lang w:val="fr-FR"/>
        </w:rPr>
        <w:t>’</w:t>
      </w:r>
      <w:r w:rsidRPr="00F13A4D">
        <w:rPr>
          <w:lang w:val="fr-FR"/>
        </w:rPr>
        <w:t>autonomisation économique des femmes à l</w:t>
      </w:r>
      <w:r w:rsidR="00F1794C" w:rsidRPr="00F1794C">
        <w:rPr>
          <w:lang w:val="fr-FR"/>
        </w:rPr>
        <w:t>’</w:t>
      </w:r>
      <w:r w:rsidRPr="00F13A4D">
        <w:rPr>
          <w:lang w:val="fr-FR"/>
        </w:rPr>
        <w:t>horizon 2010. Elle s</w:t>
      </w:r>
      <w:r w:rsidR="00F1794C" w:rsidRPr="00F1794C">
        <w:rPr>
          <w:lang w:val="fr-FR"/>
        </w:rPr>
        <w:t>’</w:t>
      </w:r>
      <w:r w:rsidRPr="00F13A4D">
        <w:rPr>
          <w:lang w:val="fr-FR"/>
        </w:rPr>
        <w:t>inscrit dans le cadre du respect de l</w:t>
      </w:r>
      <w:r w:rsidR="00F1794C" w:rsidRPr="00F1794C">
        <w:rPr>
          <w:lang w:val="fr-FR"/>
        </w:rPr>
        <w:t>’</w:t>
      </w:r>
      <w:r w:rsidRPr="00F13A4D">
        <w:rPr>
          <w:lang w:val="fr-FR"/>
        </w:rPr>
        <w:t>engagement pris au titre du programme gouvernemental 2017-2021 relatif à la consolidation de l</w:t>
      </w:r>
      <w:r w:rsidR="00F1794C" w:rsidRPr="00F1794C">
        <w:rPr>
          <w:lang w:val="fr-FR"/>
        </w:rPr>
        <w:t>’</w:t>
      </w:r>
      <w:r w:rsidRPr="00F13A4D">
        <w:rPr>
          <w:lang w:val="fr-FR"/>
        </w:rPr>
        <w:t>intégration économique des femmes en matière de développement et à la mise en œuvre des composantes du plan gouvernemental de l</w:t>
      </w:r>
      <w:r w:rsidR="00F1794C" w:rsidRPr="00F1794C">
        <w:rPr>
          <w:lang w:val="fr-FR"/>
        </w:rPr>
        <w:t>’</w:t>
      </w:r>
      <w:r w:rsidRPr="00F13A4D">
        <w:rPr>
          <w:lang w:val="fr-FR"/>
        </w:rPr>
        <w:t>égalité relatives à l</w:t>
      </w:r>
      <w:r w:rsidR="00F1794C" w:rsidRPr="00F1794C">
        <w:rPr>
          <w:lang w:val="fr-FR"/>
        </w:rPr>
        <w:t>’</w:t>
      </w:r>
      <w:r w:rsidRPr="00F13A4D">
        <w:rPr>
          <w:lang w:val="fr-FR"/>
        </w:rPr>
        <w:t>autonomisation économique.</w:t>
      </w:r>
    </w:p>
    <w:p w14:paraId="437EEE7F" w14:textId="56C51BC7" w:rsidR="00F13A4D" w:rsidRPr="00F13A4D" w:rsidRDefault="00F13A4D" w:rsidP="00456FC2">
      <w:pPr>
        <w:pStyle w:val="SingleTxt"/>
        <w:numPr>
          <w:ilvl w:val="0"/>
          <w:numId w:val="50"/>
        </w:numPr>
        <w:rPr>
          <w:lang w:val="fr-FR"/>
        </w:rPr>
      </w:pPr>
      <w:r w:rsidRPr="00F13A4D">
        <w:rPr>
          <w:lang w:val="fr-FR"/>
        </w:rPr>
        <w:t>Afin de protéger les droits des personnes en situation de handicap, la loi-cadre n</w:t>
      </w:r>
      <w:r w:rsidRPr="00F13A4D">
        <w:rPr>
          <w:vertAlign w:val="superscript"/>
          <w:lang w:val="fr-FR"/>
        </w:rPr>
        <w:t>o</w:t>
      </w:r>
      <w:r w:rsidRPr="00F13A4D">
        <w:rPr>
          <w:lang w:val="fr-FR"/>
        </w:rPr>
        <w:t xml:space="preserve"> 97-13 a été promulguée. Un des chapitres de ladite loi est consacré à l</w:t>
      </w:r>
      <w:r w:rsidR="00F1794C" w:rsidRPr="00F1794C">
        <w:rPr>
          <w:lang w:val="fr-FR"/>
        </w:rPr>
        <w:t>’</w:t>
      </w:r>
      <w:r w:rsidRPr="00F13A4D">
        <w:rPr>
          <w:lang w:val="fr-FR"/>
        </w:rPr>
        <w:t>emploi et à l</w:t>
      </w:r>
      <w:r w:rsidR="00F1794C" w:rsidRPr="00F1794C">
        <w:rPr>
          <w:lang w:val="fr-FR"/>
        </w:rPr>
        <w:t>’</w:t>
      </w:r>
      <w:r w:rsidRPr="00F13A4D">
        <w:rPr>
          <w:lang w:val="fr-FR"/>
        </w:rPr>
        <w:t>insertion professionnelle. En 2016, deux nouveaux décrets ont été publiés afin de garantir l</w:t>
      </w:r>
      <w:r w:rsidR="00F1794C" w:rsidRPr="00F1794C">
        <w:rPr>
          <w:lang w:val="fr-FR"/>
        </w:rPr>
        <w:t>’</w:t>
      </w:r>
      <w:r w:rsidRPr="00F13A4D">
        <w:rPr>
          <w:lang w:val="fr-FR"/>
        </w:rPr>
        <w:t>accès de ces personnes à la fonction publique en renforçant le système de quotas. Ainsi, un quota de 7</w:t>
      </w:r>
      <w:r w:rsidR="00F1794C" w:rsidRPr="00F1794C">
        <w:rPr>
          <w:lang w:val="fr-FR"/>
        </w:rPr>
        <w:t> %</w:t>
      </w:r>
      <w:r w:rsidRPr="00F13A4D">
        <w:rPr>
          <w:lang w:val="fr-FR"/>
        </w:rPr>
        <w:t xml:space="preserve"> leur est réservé dans tous les cas et le contrôle de l</w:t>
      </w:r>
      <w:r w:rsidR="00F1794C" w:rsidRPr="00F1794C">
        <w:rPr>
          <w:lang w:val="fr-FR"/>
        </w:rPr>
        <w:t>’</w:t>
      </w:r>
      <w:r w:rsidRPr="00F13A4D">
        <w:rPr>
          <w:lang w:val="fr-FR"/>
        </w:rPr>
        <w:t>application de ces différentes nouvelles dispositions réglementaires a été institutionnalisé par la création d</w:t>
      </w:r>
      <w:r w:rsidR="00F1794C" w:rsidRPr="00F1794C">
        <w:rPr>
          <w:lang w:val="fr-FR"/>
        </w:rPr>
        <w:t>’</w:t>
      </w:r>
      <w:r w:rsidRPr="00F13A4D">
        <w:rPr>
          <w:lang w:val="fr-FR"/>
        </w:rPr>
        <w:t>une commission nationale permanente chargée d</w:t>
      </w:r>
      <w:r w:rsidR="00F1794C" w:rsidRPr="00F1794C">
        <w:rPr>
          <w:lang w:val="fr-FR"/>
        </w:rPr>
        <w:t>’</w:t>
      </w:r>
      <w:r w:rsidRPr="00F13A4D">
        <w:rPr>
          <w:lang w:val="fr-FR"/>
        </w:rPr>
        <w:t xml:space="preserve">assurer le suivi des concours réservés aux personnes en situation de handicap. </w:t>
      </w:r>
    </w:p>
    <w:p w14:paraId="6422556B" w14:textId="77777777" w:rsidR="000040B6" w:rsidRPr="000040B6" w:rsidRDefault="000040B6" w:rsidP="000040B6">
      <w:pPr>
        <w:pStyle w:val="SingleTxt"/>
        <w:spacing w:after="0" w:line="120" w:lineRule="exact"/>
        <w:rPr>
          <w:b/>
          <w:sz w:val="10"/>
          <w:lang w:val="fr-FR"/>
        </w:rPr>
      </w:pPr>
    </w:p>
    <w:p w14:paraId="779054AD" w14:textId="25AAB7F5" w:rsidR="00F13A4D" w:rsidRPr="00F13A4D" w:rsidRDefault="000040B6" w:rsidP="000040B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F13A4D" w:rsidRPr="00F13A4D">
        <w:rPr>
          <w:lang w:val="fr-FR"/>
        </w:rPr>
        <w:t>Article 12</w:t>
      </w:r>
    </w:p>
    <w:p w14:paraId="770D692E" w14:textId="215FF66A" w:rsidR="00F13A4D" w:rsidRPr="000040B6" w:rsidRDefault="00F13A4D" w:rsidP="000040B6">
      <w:pPr>
        <w:pStyle w:val="SingleTxt"/>
        <w:spacing w:after="0" w:line="120" w:lineRule="exact"/>
        <w:rPr>
          <w:sz w:val="10"/>
          <w:lang w:val="fr-FR"/>
        </w:rPr>
      </w:pPr>
    </w:p>
    <w:p w14:paraId="5888FF1F" w14:textId="36032BF2" w:rsidR="00F13A4D" w:rsidRPr="00F13A4D" w:rsidRDefault="00F13A4D" w:rsidP="00456FC2">
      <w:pPr>
        <w:pStyle w:val="SingleTxt"/>
        <w:numPr>
          <w:ilvl w:val="0"/>
          <w:numId w:val="50"/>
        </w:numPr>
        <w:rPr>
          <w:lang w:val="fr-FR"/>
        </w:rPr>
      </w:pPr>
      <w:r w:rsidRPr="00F13A4D">
        <w:rPr>
          <w:lang w:val="fr-FR"/>
        </w:rPr>
        <w:t>Comme suite à la recommandation figurant au paragraphe 31 des observations finales, le Maroc a fait des progrès notables en ce qui concerne l</w:t>
      </w:r>
      <w:r w:rsidR="00F1794C" w:rsidRPr="00F1794C">
        <w:rPr>
          <w:lang w:val="fr-FR"/>
        </w:rPr>
        <w:t>’</w:t>
      </w:r>
      <w:r w:rsidRPr="00F13A4D">
        <w:rPr>
          <w:lang w:val="fr-FR"/>
        </w:rPr>
        <w:t>amélioration de la santé des habitants, de la santé procréative en particulier. Ces progrès ont eu des effets positifs sur les indicateurs relatifs à l</w:t>
      </w:r>
      <w:r w:rsidR="00F1794C" w:rsidRPr="00F1794C">
        <w:rPr>
          <w:lang w:val="fr-FR"/>
        </w:rPr>
        <w:t>’</w:t>
      </w:r>
      <w:r w:rsidRPr="00F13A4D">
        <w:rPr>
          <w:lang w:val="fr-FR"/>
        </w:rPr>
        <w:t>espérance de vie à la naissance et à la mortalité maternelle et post-infantile.</w:t>
      </w:r>
    </w:p>
    <w:p w14:paraId="3A149CE7" w14:textId="77777777" w:rsidR="000040B6" w:rsidRPr="000040B6" w:rsidRDefault="000040B6" w:rsidP="000040B6">
      <w:pPr>
        <w:pStyle w:val="SingleTxt"/>
        <w:spacing w:after="0" w:line="120" w:lineRule="exact"/>
        <w:rPr>
          <w:sz w:val="10"/>
          <w:lang w:val="fr-FR"/>
        </w:rPr>
      </w:pPr>
    </w:p>
    <w:p w14:paraId="4C25FFFF" w14:textId="28386B99" w:rsidR="000040B6" w:rsidRDefault="000040B6" w:rsidP="000040B6">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F13A4D" w:rsidRPr="00F13A4D">
        <w:rPr>
          <w:lang w:val="fr-FR"/>
        </w:rPr>
        <w:t>Tableau 11</w:t>
      </w:r>
    </w:p>
    <w:p w14:paraId="1AB03A61" w14:textId="35D1EF0B" w:rsidR="00F13A4D" w:rsidRDefault="000040B6" w:rsidP="000040B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F13A4D" w:rsidRPr="00F13A4D">
        <w:rPr>
          <w:lang w:val="fr-FR"/>
        </w:rPr>
        <w:t>Espérance de vie à la naissance entre 2014 et 2050</w:t>
      </w:r>
    </w:p>
    <w:p w14:paraId="51CC469F" w14:textId="24BE227F" w:rsidR="000040B6" w:rsidRPr="000040B6" w:rsidRDefault="000040B6" w:rsidP="000040B6">
      <w:pPr>
        <w:pStyle w:val="SingleTxt"/>
        <w:spacing w:after="0" w:line="120" w:lineRule="exact"/>
        <w:rPr>
          <w:sz w:val="10"/>
          <w:lang w:val="fr-FR"/>
        </w:rPr>
      </w:pPr>
    </w:p>
    <w:p w14:paraId="2D3E28B8" w14:textId="44ACF8BB" w:rsidR="000040B6" w:rsidRPr="000040B6" w:rsidRDefault="000040B6" w:rsidP="000040B6">
      <w:pPr>
        <w:pStyle w:val="SingleTxt"/>
        <w:spacing w:after="0" w:line="120" w:lineRule="exact"/>
        <w:rPr>
          <w:sz w:val="10"/>
          <w:lang w:val="fr-FR"/>
        </w:rPr>
      </w:pPr>
    </w:p>
    <w:tbl>
      <w:tblPr>
        <w:tblStyle w:val="Grilledutableau61"/>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64"/>
        <w:gridCol w:w="1464"/>
        <w:gridCol w:w="1464"/>
        <w:gridCol w:w="1464"/>
        <w:gridCol w:w="1464"/>
      </w:tblGrid>
      <w:tr w:rsidR="00F13A4D" w:rsidRPr="000040B6" w14:paraId="07073640" w14:textId="77777777" w:rsidTr="000040B6">
        <w:trPr>
          <w:cantSplit/>
          <w:tblHeader/>
        </w:trPr>
        <w:tc>
          <w:tcPr>
            <w:tcW w:w="1464" w:type="dxa"/>
            <w:tcBorders>
              <w:top w:val="single" w:sz="4" w:space="0" w:color="auto"/>
              <w:bottom w:val="single" w:sz="12" w:space="0" w:color="auto"/>
            </w:tcBorders>
            <w:shd w:val="clear" w:color="auto" w:fill="auto"/>
            <w:noWrap/>
            <w:vAlign w:val="bottom"/>
          </w:tcPr>
          <w:p w14:paraId="55631A4E" w14:textId="77777777" w:rsidR="00F13A4D" w:rsidRPr="000040B6" w:rsidRDefault="00F13A4D" w:rsidP="000040B6">
            <w:pPr>
              <w:suppressAutoHyphens/>
              <w:spacing w:before="81" w:after="81" w:line="160" w:lineRule="exact"/>
              <w:ind w:right="40"/>
              <w:rPr>
                <w:i/>
                <w:sz w:val="14"/>
              </w:rPr>
            </w:pPr>
          </w:p>
        </w:tc>
        <w:tc>
          <w:tcPr>
            <w:tcW w:w="1464" w:type="dxa"/>
            <w:tcBorders>
              <w:top w:val="single" w:sz="4" w:space="0" w:color="auto"/>
              <w:bottom w:val="single" w:sz="12" w:space="0" w:color="auto"/>
            </w:tcBorders>
            <w:shd w:val="clear" w:color="auto" w:fill="auto"/>
            <w:noWrap/>
            <w:vAlign w:val="bottom"/>
          </w:tcPr>
          <w:p w14:paraId="55F4FE92" w14:textId="77777777" w:rsidR="00F13A4D" w:rsidRPr="000040B6" w:rsidRDefault="00F13A4D" w:rsidP="000040B6">
            <w:pPr>
              <w:suppressAutoHyphens/>
              <w:spacing w:before="81" w:after="81" w:line="160" w:lineRule="exact"/>
              <w:ind w:right="43"/>
              <w:jc w:val="right"/>
              <w:rPr>
                <w:i/>
                <w:sz w:val="14"/>
              </w:rPr>
            </w:pPr>
            <w:r w:rsidRPr="000040B6">
              <w:rPr>
                <w:i/>
                <w:sz w:val="14"/>
              </w:rPr>
              <w:t>2014</w:t>
            </w:r>
          </w:p>
        </w:tc>
        <w:tc>
          <w:tcPr>
            <w:tcW w:w="1464" w:type="dxa"/>
            <w:tcBorders>
              <w:top w:val="single" w:sz="4" w:space="0" w:color="auto"/>
              <w:bottom w:val="single" w:sz="12" w:space="0" w:color="auto"/>
            </w:tcBorders>
            <w:shd w:val="clear" w:color="auto" w:fill="auto"/>
            <w:noWrap/>
            <w:vAlign w:val="bottom"/>
          </w:tcPr>
          <w:p w14:paraId="32D717E2" w14:textId="77777777" w:rsidR="00F13A4D" w:rsidRPr="000040B6" w:rsidRDefault="00F13A4D" w:rsidP="000040B6">
            <w:pPr>
              <w:suppressAutoHyphens/>
              <w:spacing w:before="81" w:after="81" w:line="160" w:lineRule="exact"/>
              <w:ind w:right="43"/>
              <w:jc w:val="right"/>
              <w:rPr>
                <w:i/>
                <w:sz w:val="14"/>
              </w:rPr>
            </w:pPr>
            <w:r w:rsidRPr="000040B6">
              <w:rPr>
                <w:i/>
                <w:sz w:val="14"/>
              </w:rPr>
              <w:t>2020</w:t>
            </w:r>
          </w:p>
        </w:tc>
        <w:tc>
          <w:tcPr>
            <w:tcW w:w="1464" w:type="dxa"/>
            <w:tcBorders>
              <w:top w:val="single" w:sz="4" w:space="0" w:color="auto"/>
              <w:bottom w:val="single" w:sz="12" w:space="0" w:color="auto"/>
            </w:tcBorders>
            <w:shd w:val="clear" w:color="auto" w:fill="auto"/>
            <w:noWrap/>
            <w:vAlign w:val="bottom"/>
          </w:tcPr>
          <w:p w14:paraId="00BC01B6" w14:textId="77777777" w:rsidR="00F13A4D" w:rsidRPr="000040B6" w:rsidRDefault="00F13A4D" w:rsidP="000040B6">
            <w:pPr>
              <w:suppressAutoHyphens/>
              <w:spacing w:before="81" w:after="81" w:line="160" w:lineRule="exact"/>
              <w:ind w:right="43"/>
              <w:jc w:val="right"/>
              <w:rPr>
                <w:i/>
                <w:sz w:val="14"/>
              </w:rPr>
            </w:pPr>
            <w:r w:rsidRPr="000040B6">
              <w:rPr>
                <w:i/>
                <w:sz w:val="14"/>
              </w:rPr>
              <w:t>2030</w:t>
            </w:r>
          </w:p>
        </w:tc>
        <w:tc>
          <w:tcPr>
            <w:tcW w:w="1464" w:type="dxa"/>
            <w:tcBorders>
              <w:top w:val="single" w:sz="4" w:space="0" w:color="auto"/>
              <w:bottom w:val="single" w:sz="12" w:space="0" w:color="auto"/>
            </w:tcBorders>
            <w:shd w:val="clear" w:color="auto" w:fill="auto"/>
            <w:noWrap/>
            <w:vAlign w:val="bottom"/>
          </w:tcPr>
          <w:p w14:paraId="479A56F8" w14:textId="77777777" w:rsidR="00F13A4D" w:rsidRPr="000040B6" w:rsidRDefault="00F13A4D" w:rsidP="000040B6">
            <w:pPr>
              <w:suppressAutoHyphens/>
              <w:spacing w:before="81" w:after="81" w:line="160" w:lineRule="exact"/>
              <w:ind w:right="43"/>
              <w:jc w:val="right"/>
              <w:rPr>
                <w:i/>
                <w:sz w:val="14"/>
              </w:rPr>
            </w:pPr>
            <w:r w:rsidRPr="000040B6">
              <w:rPr>
                <w:i/>
                <w:sz w:val="14"/>
              </w:rPr>
              <w:t>2050</w:t>
            </w:r>
          </w:p>
        </w:tc>
      </w:tr>
      <w:tr w:rsidR="000040B6" w:rsidRPr="000040B6" w14:paraId="5A1287F0" w14:textId="77777777" w:rsidTr="000040B6">
        <w:trPr>
          <w:cantSplit/>
          <w:trHeight w:hRule="exact" w:val="115"/>
          <w:tblHeader/>
        </w:trPr>
        <w:tc>
          <w:tcPr>
            <w:tcW w:w="1464" w:type="dxa"/>
            <w:tcBorders>
              <w:top w:val="single" w:sz="12" w:space="0" w:color="auto"/>
            </w:tcBorders>
            <w:shd w:val="clear" w:color="auto" w:fill="auto"/>
            <w:noWrap/>
            <w:vAlign w:val="bottom"/>
          </w:tcPr>
          <w:p w14:paraId="0F70D19D" w14:textId="77777777" w:rsidR="000040B6" w:rsidRPr="000040B6" w:rsidRDefault="000040B6" w:rsidP="000040B6">
            <w:pPr>
              <w:suppressAutoHyphens/>
              <w:spacing w:before="40" w:after="40" w:line="210" w:lineRule="exact"/>
              <w:ind w:right="40"/>
              <w:rPr>
                <w:sz w:val="17"/>
              </w:rPr>
            </w:pPr>
          </w:p>
        </w:tc>
        <w:tc>
          <w:tcPr>
            <w:tcW w:w="1464" w:type="dxa"/>
            <w:tcBorders>
              <w:top w:val="single" w:sz="12" w:space="0" w:color="auto"/>
            </w:tcBorders>
            <w:shd w:val="clear" w:color="auto" w:fill="auto"/>
            <w:noWrap/>
            <w:vAlign w:val="bottom"/>
          </w:tcPr>
          <w:p w14:paraId="76263FEF" w14:textId="77777777" w:rsidR="000040B6" w:rsidRPr="000040B6" w:rsidRDefault="000040B6" w:rsidP="000040B6">
            <w:pPr>
              <w:suppressAutoHyphens/>
              <w:spacing w:before="40" w:after="40" w:line="210" w:lineRule="exact"/>
              <w:ind w:right="43"/>
              <w:jc w:val="right"/>
              <w:rPr>
                <w:sz w:val="17"/>
              </w:rPr>
            </w:pPr>
          </w:p>
        </w:tc>
        <w:tc>
          <w:tcPr>
            <w:tcW w:w="1464" w:type="dxa"/>
            <w:tcBorders>
              <w:top w:val="single" w:sz="12" w:space="0" w:color="auto"/>
            </w:tcBorders>
            <w:shd w:val="clear" w:color="auto" w:fill="auto"/>
            <w:noWrap/>
            <w:vAlign w:val="bottom"/>
          </w:tcPr>
          <w:p w14:paraId="346FB41A" w14:textId="77777777" w:rsidR="000040B6" w:rsidRPr="000040B6" w:rsidRDefault="000040B6" w:rsidP="000040B6">
            <w:pPr>
              <w:suppressAutoHyphens/>
              <w:spacing w:before="40" w:after="40" w:line="210" w:lineRule="exact"/>
              <w:ind w:right="43"/>
              <w:jc w:val="right"/>
              <w:rPr>
                <w:sz w:val="17"/>
              </w:rPr>
            </w:pPr>
          </w:p>
        </w:tc>
        <w:tc>
          <w:tcPr>
            <w:tcW w:w="1464" w:type="dxa"/>
            <w:tcBorders>
              <w:top w:val="single" w:sz="12" w:space="0" w:color="auto"/>
            </w:tcBorders>
            <w:shd w:val="clear" w:color="auto" w:fill="auto"/>
            <w:noWrap/>
            <w:vAlign w:val="bottom"/>
          </w:tcPr>
          <w:p w14:paraId="3C5D2216" w14:textId="77777777" w:rsidR="000040B6" w:rsidRPr="000040B6" w:rsidRDefault="000040B6" w:rsidP="000040B6">
            <w:pPr>
              <w:suppressAutoHyphens/>
              <w:spacing w:before="40" w:after="40" w:line="210" w:lineRule="exact"/>
              <w:ind w:right="43"/>
              <w:jc w:val="right"/>
              <w:rPr>
                <w:sz w:val="17"/>
              </w:rPr>
            </w:pPr>
          </w:p>
        </w:tc>
        <w:tc>
          <w:tcPr>
            <w:tcW w:w="1464" w:type="dxa"/>
            <w:tcBorders>
              <w:top w:val="single" w:sz="12" w:space="0" w:color="auto"/>
            </w:tcBorders>
            <w:shd w:val="clear" w:color="auto" w:fill="auto"/>
            <w:noWrap/>
            <w:vAlign w:val="bottom"/>
          </w:tcPr>
          <w:p w14:paraId="5BF17B42" w14:textId="77777777" w:rsidR="000040B6" w:rsidRPr="000040B6" w:rsidRDefault="000040B6" w:rsidP="000040B6">
            <w:pPr>
              <w:suppressAutoHyphens/>
              <w:spacing w:before="40" w:after="40" w:line="210" w:lineRule="exact"/>
              <w:ind w:right="43"/>
              <w:jc w:val="right"/>
              <w:rPr>
                <w:sz w:val="17"/>
              </w:rPr>
            </w:pPr>
          </w:p>
        </w:tc>
      </w:tr>
      <w:tr w:rsidR="00F13A4D" w:rsidRPr="000040B6" w14:paraId="3ABE8D2D" w14:textId="77777777" w:rsidTr="000040B6">
        <w:trPr>
          <w:cantSplit/>
        </w:trPr>
        <w:tc>
          <w:tcPr>
            <w:tcW w:w="1464" w:type="dxa"/>
            <w:shd w:val="clear" w:color="auto" w:fill="auto"/>
            <w:noWrap/>
            <w:vAlign w:val="bottom"/>
          </w:tcPr>
          <w:p w14:paraId="3AB8DF23" w14:textId="77777777" w:rsidR="00F13A4D" w:rsidRPr="000040B6" w:rsidRDefault="00F13A4D" w:rsidP="000040B6">
            <w:pPr>
              <w:tabs>
                <w:tab w:val="left" w:pos="288"/>
                <w:tab w:val="left" w:pos="576"/>
                <w:tab w:val="left" w:pos="864"/>
                <w:tab w:val="left" w:pos="1152"/>
              </w:tabs>
              <w:suppressAutoHyphens/>
              <w:spacing w:before="40" w:after="40" w:line="210" w:lineRule="exact"/>
              <w:ind w:right="40"/>
              <w:rPr>
                <w:sz w:val="17"/>
              </w:rPr>
            </w:pPr>
            <w:r w:rsidRPr="000040B6">
              <w:rPr>
                <w:sz w:val="17"/>
              </w:rPr>
              <w:t>Hommes</w:t>
            </w:r>
          </w:p>
        </w:tc>
        <w:tc>
          <w:tcPr>
            <w:tcW w:w="1464" w:type="dxa"/>
            <w:shd w:val="clear" w:color="auto" w:fill="auto"/>
            <w:noWrap/>
            <w:vAlign w:val="bottom"/>
          </w:tcPr>
          <w:p w14:paraId="615509CB" w14:textId="77777777" w:rsidR="00F13A4D" w:rsidRPr="000040B6" w:rsidRDefault="00F13A4D" w:rsidP="000040B6">
            <w:pPr>
              <w:tabs>
                <w:tab w:val="left" w:pos="288"/>
                <w:tab w:val="left" w:pos="576"/>
                <w:tab w:val="left" w:pos="864"/>
                <w:tab w:val="left" w:pos="1152"/>
              </w:tabs>
              <w:suppressAutoHyphens/>
              <w:spacing w:before="40" w:after="40" w:line="210" w:lineRule="exact"/>
              <w:ind w:right="43"/>
              <w:jc w:val="right"/>
              <w:rPr>
                <w:sz w:val="17"/>
              </w:rPr>
            </w:pPr>
            <w:r w:rsidRPr="000040B6">
              <w:rPr>
                <w:sz w:val="17"/>
              </w:rPr>
              <w:t>74,0</w:t>
            </w:r>
          </w:p>
        </w:tc>
        <w:tc>
          <w:tcPr>
            <w:tcW w:w="1464" w:type="dxa"/>
            <w:shd w:val="clear" w:color="auto" w:fill="auto"/>
            <w:noWrap/>
            <w:vAlign w:val="bottom"/>
          </w:tcPr>
          <w:p w14:paraId="1665A6E9" w14:textId="77777777" w:rsidR="00F13A4D" w:rsidRPr="000040B6" w:rsidRDefault="00F13A4D" w:rsidP="000040B6">
            <w:pPr>
              <w:tabs>
                <w:tab w:val="left" w:pos="288"/>
                <w:tab w:val="left" w:pos="576"/>
                <w:tab w:val="left" w:pos="864"/>
                <w:tab w:val="left" w:pos="1152"/>
              </w:tabs>
              <w:suppressAutoHyphens/>
              <w:spacing w:before="40" w:after="40" w:line="210" w:lineRule="exact"/>
              <w:ind w:right="43"/>
              <w:jc w:val="right"/>
              <w:rPr>
                <w:sz w:val="17"/>
              </w:rPr>
            </w:pPr>
            <w:r w:rsidRPr="000040B6">
              <w:rPr>
                <w:sz w:val="17"/>
              </w:rPr>
              <w:t>74,9</w:t>
            </w:r>
          </w:p>
        </w:tc>
        <w:tc>
          <w:tcPr>
            <w:tcW w:w="1464" w:type="dxa"/>
            <w:shd w:val="clear" w:color="auto" w:fill="auto"/>
            <w:noWrap/>
            <w:vAlign w:val="bottom"/>
          </w:tcPr>
          <w:p w14:paraId="54C0FD47" w14:textId="77777777" w:rsidR="00F13A4D" w:rsidRPr="000040B6" w:rsidRDefault="00F13A4D" w:rsidP="000040B6">
            <w:pPr>
              <w:tabs>
                <w:tab w:val="left" w:pos="288"/>
                <w:tab w:val="left" w:pos="576"/>
                <w:tab w:val="left" w:pos="864"/>
                <w:tab w:val="left" w:pos="1152"/>
              </w:tabs>
              <w:suppressAutoHyphens/>
              <w:spacing w:before="40" w:after="40" w:line="210" w:lineRule="exact"/>
              <w:ind w:right="43"/>
              <w:jc w:val="right"/>
              <w:rPr>
                <w:sz w:val="17"/>
              </w:rPr>
            </w:pPr>
            <w:r w:rsidRPr="000040B6">
              <w:rPr>
                <w:sz w:val="17"/>
              </w:rPr>
              <w:t>76,3</w:t>
            </w:r>
          </w:p>
        </w:tc>
        <w:tc>
          <w:tcPr>
            <w:tcW w:w="1464" w:type="dxa"/>
            <w:shd w:val="clear" w:color="auto" w:fill="auto"/>
            <w:noWrap/>
            <w:vAlign w:val="bottom"/>
          </w:tcPr>
          <w:p w14:paraId="0AC17552" w14:textId="77777777" w:rsidR="00F13A4D" w:rsidRPr="000040B6" w:rsidRDefault="00F13A4D" w:rsidP="000040B6">
            <w:pPr>
              <w:tabs>
                <w:tab w:val="left" w:pos="288"/>
                <w:tab w:val="left" w:pos="576"/>
                <w:tab w:val="left" w:pos="864"/>
                <w:tab w:val="left" w:pos="1152"/>
              </w:tabs>
              <w:suppressAutoHyphens/>
              <w:spacing w:before="40" w:after="40" w:line="210" w:lineRule="exact"/>
              <w:ind w:right="43"/>
              <w:jc w:val="right"/>
              <w:rPr>
                <w:sz w:val="17"/>
              </w:rPr>
            </w:pPr>
            <w:r w:rsidRPr="000040B6">
              <w:rPr>
                <w:sz w:val="17"/>
              </w:rPr>
              <w:t>78,6</w:t>
            </w:r>
          </w:p>
        </w:tc>
      </w:tr>
      <w:tr w:rsidR="00F13A4D" w:rsidRPr="000040B6" w14:paraId="2579FBA0" w14:textId="77777777" w:rsidTr="000040B6">
        <w:trPr>
          <w:cantSplit/>
        </w:trPr>
        <w:tc>
          <w:tcPr>
            <w:tcW w:w="1464" w:type="dxa"/>
            <w:tcBorders>
              <w:bottom w:val="single" w:sz="4" w:space="0" w:color="auto"/>
            </w:tcBorders>
            <w:shd w:val="clear" w:color="auto" w:fill="auto"/>
            <w:noWrap/>
            <w:vAlign w:val="bottom"/>
          </w:tcPr>
          <w:p w14:paraId="3B3ACEA4" w14:textId="77777777" w:rsidR="00F13A4D" w:rsidRPr="000040B6" w:rsidRDefault="00F13A4D" w:rsidP="000040B6">
            <w:pPr>
              <w:tabs>
                <w:tab w:val="left" w:pos="288"/>
                <w:tab w:val="left" w:pos="576"/>
                <w:tab w:val="left" w:pos="864"/>
                <w:tab w:val="left" w:pos="1152"/>
              </w:tabs>
              <w:suppressAutoHyphens/>
              <w:spacing w:before="40" w:after="81" w:line="210" w:lineRule="exact"/>
              <w:ind w:right="40"/>
              <w:rPr>
                <w:sz w:val="17"/>
              </w:rPr>
            </w:pPr>
            <w:r w:rsidRPr="000040B6">
              <w:rPr>
                <w:sz w:val="17"/>
              </w:rPr>
              <w:t>Femmes</w:t>
            </w:r>
          </w:p>
        </w:tc>
        <w:tc>
          <w:tcPr>
            <w:tcW w:w="1464" w:type="dxa"/>
            <w:tcBorders>
              <w:bottom w:val="single" w:sz="4" w:space="0" w:color="auto"/>
            </w:tcBorders>
            <w:shd w:val="clear" w:color="auto" w:fill="auto"/>
            <w:noWrap/>
            <w:vAlign w:val="bottom"/>
          </w:tcPr>
          <w:p w14:paraId="5A163481" w14:textId="77777777" w:rsidR="00F13A4D" w:rsidRPr="000040B6" w:rsidRDefault="00F13A4D" w:rsidP="000040B6">
            <w:pPr>
              <w:tabs>
                <w:tab w:val="left" w:pos="288"/>
                <w:tab w:val="left" w:pos="576"/>
                <w:tab w:val="left" w:pos="864"/>
                <w:tab w:val="left" w:pos="1152"/>
              </w:tabs>
              <w:suppressAutoHyphens/>
              <w:spacing w:before="40" w:after="81" w:line="210" w:lineRule="exact"/>
              <w:ind w:right="43"/>
              <w:jc w:val="right"/>
              <w:rPr>
                <w:sz w:val="17"/>
              </w:rPr>
            </w:pPr>
            <w:r w:rsidRPr="000040B6">
              <w:rPr>
                <w:sz w:val="17"/>
              </w:rPr>
              <w:t>77,3</w:t>
            </w:r>
          </w:p>
        </w:tc>
        <w:tc>
          <w:tcPr>
            <w:tcW w:w="1464" w:type="dxa"/>
            <w:tcBorders>
              <w:bottom w:val="single" w:sz="4" w:space="0" w:color="auto"/>
            </w:tcBorders>
            <w:shd w:val="clear" w:color="auto" w:fill="auto"/>
            <w:noWrap/>
            <w:vAlign w:val="bottom"/>
          </w:tcPr>
          <w:p w14:paraId="20E92B48" w14:textId="77777777" w:rsidR="00F13A4D" w:rsidRPr="000040B6" w:rsidRDefault="00F13A4D" w:rsidP="000040B6">
            <w:pPr>
              <w:tabs>
                <w:tab w:val="left" w:pos="288"/>
                <w:tab w:val="left" w:pos="576"/>
                <w:tab w:val="left" w:pos="864"/>
                <w:tab w:val="left" w:pos="1152"/>
              </w:tabs>
              <w:suppressAutoHyphens/>
              <w:spacing w:before="40" w:after="81" w:line="210" w:lineRule="exact"/>
              <w:ind w:right="43"/>
              <w:jc w:val="right"/>
              <w:rPr>
                <w:sz w:val="17"/>
              </w:rPr>
            </w:pPr>
            <w:r w:rsidRPr="000040B6">
              <w:rPr>
                <w:sz w:val="17"/>
              </w:rPr>
              <w:t>78,3</w:t>
            </w:r>
          </w:p>
        </w:tc>
        <w:tc>
          <w:tcPr>
            <w:tcW w:w="1464" w:type="dxa"/>
            <w:tcBorders>
              <w:bottom w:val="single" w:sz="4" w:space="0" w:color="auto"/>
            </w:tcBorders>
            <w:shd w:val="clear" w:color="auto" w:fill="auto"/>
            <w:noWrap/>
            <w:vAlign w:val="bottom"/>
          </w:tcPr>
          <w:p w14:paraId="2C2E2AA5" w14:textId="77777777" w:rsidR="00F13A4D" w:rsidRPr="000040B6" w:rsidRDefault="00F13A4D" w:rsidP="000040B6">
            <w:pPr>
              <w:tabs>
                <w:tab w:val="left" w:pos="288"/>
                <w:tab w:val="left" w:pos="576"/>
                <w:tab w:val="left" w:pos="864"/>
                <w:tab w:val="left" w:pos="1152"/>
              </w:tabs>
              <w:suppressAutoHyphens/>
              <w:spacing w:before="40" w:after="81" w:line="210" w:lineRule="exact"/>
              <w:ind w:right="43"/>
              <w:jc w:val="right"/>
              <w:rPr>
                <w:sz w:val="17"/>
              </w:rPr>
            </w:pPr>
            <w:r w:rsidRPr="000040B6">
              <w:rPr>
                <w:sz w:val="17"/>
              </w:rPr>
              <w:t>79,8</w:t>
            </w:r>
          </w:p>
        </w:tc>
        <w:tc>
          <w:tcPr>
            <w:tcW w:w="1464" w:type="dxa"/>
            <w:tcBorders>
              <w:bottom w:val="single" w:sz="4" w:space="0" w:color="auto"/>
            </w:tcBorders>
            <w:shd w:val="clear" w:color="auto" w:fill="auto"/>
            <w:noWrap/>
            <w:vAlign w:val="bottom"/>
          </w:tcPr>
          <w:p w14:paraId="0226CC58" w14:textId="77777777" w:rsidR="00F13A4D" w:rsidRPr="000040B6" w:rsidRDefault="00F13A4D" w:rsidP="000040B6">
            <w:pPr>
              <w:tabs>
                <w:tab w:val="left" w:pos="288"/>
                <w:tab w:val="left" w:pos="576"/>
                <w:tab w:val="left" w:pos="864"/>
                <w:tab w:val="left" w:pos="1152"/>
              </w:tabs>
              <w:suppressAutoHyphens/>
              <w:spacing w:before="40" w:after="81" w:line="210" w:lineRule="exact"/>
              <w:ind w:right="43"/>
              <w:jc w:val="right"/>
              <w:rPr>
                <w:sz w:val="17"/>
              </w:rPr>
            </w:pPr>
            <w:r w:rsidRPr="000040B6">
              <w:rPr>
                <w:sz w:val="17"/>
              </w:rPr>
              <w:t>82,3</w:t>
            </w:r>
          </w:p>
        </w:tc>
      </w:tr>
      <w:tr w:rsidR="00F13A4D" w:rsidRPr="000040B6" w14:paraId="704398C8" w14:textId="77777777" w:rsidTr="000040B6">
        <w:trPr>
          <w:cantSplit/>
        </w:trPr>
        <w:tc>
          <w:tcPr>
            <w:tcW w:w="1464" w:type="dxa"/>
            <w:tcBorders>
              <w:top w:val="single" w:sz="4" w:space="0" w:color="auto"/>
              <w:bottom w:val="single" w:sz="12" w:space="0" w:color="auto"/>
            </w:tcBorders>
            <w:shd w:val="clear" w:color="auto" w:fill="auto"/>
            <w:noWrap/>
            <w:vAlign w:val="bottom"/>
          </w:tcPr>
          <w:p w14:paraId="53B6F0AF" w14:textId="13F5F0C9" w:rsidR="00F13A4D" w:rsidRPr="000040B6" w:rsidRDefault="000040B6" w:rsidP="000040B6">
            <w:pPr>
              <w:tabs>
                <w:tab w:val="left" w:pos="288"/>
                <w:tab w:val="left" w:pos="576"/>
                <w:tab w:val="left" w:pos="864"/>
                <w:tab w:val="left" w:pos="1152"/>
              </w:tabs>
              <w:suppressAutoHyphens/>
              <w:spacing w:before="81" w:after="81" w:line="210" w:lineRule="exact"/>
              <w:ind w:right="40"/>
              <w:rPr>
                <w:b/>
                <w:sz w:val="17"/>
              </w:rPr>
            </w:pPr>
            <w:r>
              <w:rPr>
                <w:b/>
                <w:sz w:val="17"/>
              </w:rPr>
              <w:tab/>
            </w:r>
            <w:r w:rsidR="00F13A4D" w:rsidRPr="000040B6">
              <w:rPr>
                <w:b/>
                <w:sz w:val="17"/>
              </w:rPr>
              <w:t>Total</w:t>
            </w:r>
          </w:p>
        </w:tc>
        <w:tc>
          <w:tcPr>
            <w:tcW w:w="1464" w:type="dxa"/>
            <w:tcBorders>
              <w:top w:val="single" w:sz="4" w:space="0" w:color="auto"/>
              <w:bottom w:val="single" w:sz="12" w:space="0" w:color="auto"/>
            </w:tcBorders>
            <w:shd w:val="clear" w:color="auto" w:fill="auto"/>
            <w:noWrap/>
            <w:vAlign w:val="bottom"/>
          </w:tcPr>
          <w:p w14:paraId="2C3C45F6" w14:textId="77777777" w:rsidR="00F13A4D" w:rsidRPr="000040B6" w:rsidRDefault="00F13A4D" w:rsidP="000040B6">
            <w:pPr>
              <w:tabs>
                <w:tab w:val="left" w:pos="288"/>
                <w:tab w:val="left" w:pos="576"/>
                <w:tab w:val="left" w:pos="864"/>
                <w:tab w:val="left" w:pos="1152"/>
              </w:tabs>
              <w:suppressAutoHyphens/>
              <w:spacing w:before="81" w:after="81" w:line="210" w:lineRule="exact"/>
              <w:ind w:right="43"/>
              <w:jc w:val="right"/>
              <w:rPr>
                <w:b/>
                <w:sz w:val="17"/>
              </w:rPr>
            </w:pPr>
            <w:r w:rsidRPr="000040B6">
              <w:rPr>
                <w:b/>
                <w:sz w:val="17"/>
              </w:rPr>
              <w:t>75,6</w:t>
            </w:r>
          </w:p>
        </w:tc>
        <w:tc>
          <w:tcPr>
            <w:tcW w:w="1464" w:type="dxa"/>
            <w:tcBorders>
              <w:top w:val="single" w:sz="4" w:space="0" w:color="auto"/>
              <w:bottom w:val="single" w:sz="12" w:space="0" w:color="auto"/>
            </w:tcBorders>
            <w:shd w:val="clear" w:color="auto" w:fill="auto"/>
            <w:noWrap/>
            <w:vAlign w:val="bottom"/>
          </w:tcPr>
          <w:p w14:paraId="1F54C6C9" w14:textId="77777777" w:rsidR="00F13A4D" w:rsidRPr="000040B6" w:rsidRDefault="00F13A4D" w:rsidP="000040B6">
            <w:pPr>
              <w:tabs>
                <w:tab w:val="left" w:pos="288"/>
                <w:tab w:val="left" w:pos="576"/>
                <w:tab w:val="left" w:pos="864"/>
                <w:tab w:val="left" w:pos="1152"/>
              </w:tabs>
              <w:suppressAutoHyphens/>
              <w:spacing w:before="81" w:after="81" w:line="210" w:lineRule="exact"/>
              <w:ind w:right="43"/>
              <w:jc w:val="right"/>
              <w:rPr>
                <w:b/>
                <w:sz w:val="17"/>
              </w:rPr>
            </w:pPr>
            <w:r w:rsidRPr="000040B6">
              <w:rPr>
                <w:b/>
                <w:sz w:val="17"/>
              </w:rPr>
              <w:t>76,6</w:t>
            </w:r>
          </w:p>
        </w:tc>
        <w:tc>
          <w:tcPr>
            <w:tcW w:w="1464" w:type="dxa"/>
            <w:tcBorders>
              <w:top w:val="single" w:sz="4" w:space="0" w:color="auto"/>
              <w:bottom w:val="single" w:sz="12" w:space="0" w:color="auto"/>
            </w:tcBorders>
            <w:shd w:val="clear" w:color="auto" w:fill="auto"/>
            <w:noWrap/>
            <w:vAlign w:val="bottom"/>
          </w:tcPr>
          <w:p w14:paraId="125ACD63" w14:textId="77777777" w:rsidR="00F13A4D" w:rsidRPr="000040B6" w:rsidRDefault="00F13A4D" w:rsidP="000040B6">
            <w:pPr>
              <w:tabs>
                <w:tab w:val="left" w:pos="288"/>
                <w:tab w:val="left" w:pos="576"/>
                <w:tab w:val="left" w:pos="864"/>
                <w:tab w:val="left" w:pos="1152"/>
              </w:tabs>
              <w:suppressAutoHyphens/>
              <w:spacing w:before="81" w:after="81" w:line="210" w:lineRule="exact"/>
              <w:ind w:right="43"/>
              <w:jc w:val="right"/>
              <w:rPr>
                <w:b/>
                <w:sz w:val="17"/>
              </w:rPr>
            </w:pPr>
            <w:r w:rsidRPr="000040B6">
              <w:rPr>
                <w:b/>
                <w:sz w:val="17"/>
              </w:rPr>
              <w:t>78,0</w:t>
            </w:r>
          </w:p>
        </w:tc>
        <w:tc>
          <w:tcPr>
            <w:tcW w:w="1464" w:type="dxa"/>
            <w:tcBorders>
              <w:top w:val="single" w:sz="4" w:space="0" w:color="auto"/>
              <w:bottom w:val="single" w:sz="12" w:space="0" w:color="auto"/>
            </w:tcBorders>
            <w:shd w:val="clear" w:color="auto" w:fill="auto"/>
            <w:noWrap/>
            <w:vAlign w:val="bottom"/>
          </w:tcPr>
          <w:p w14:paraId="40860391" w14:textId="77777777" w:rsidR="00F13A4D" w:rsidRPr="000040B6" w:rsidRDefault="00F13A4D" w:rsidP="000040B6">
            <w:pPr>
              <w:tabs>
                <w:tab w:val="left" w:pos="288"/>
                <w:tab w:val="left" w:pos="576"/>
                <w:tab w:val="left" w:pos="864"/>
                <w:tab w:val="left" w:pos="1152"/>
              </w:tabs>
              <w:suppressAutoHyphens/>
              <w:spacing w:before="81" w:after="81" w:line="210" w:lineRule="exact"/>
              <w:ind w:right="43"/>
              <w:jc w:val="right"/>
              <w:rPr>
                <w:b/>
                <w:sz w:val="17"/>
              </w:rPr>
            </w:pPr>
            <w:r w:rsidRPr="000040B6">
              <w:rPr>
                <w:b/>
                <w:sz w:val="17"/>
              </w:rPr>
              <w:t>80,4</w:t>
            </w:r>
          </w:p>
        </w:tc>
      </w:tr>
    </w:tbl>
    <w:p w14:paraId="34D339BA" w14:textId="5D230664" w:rsidR="00F13A4D" w:rsidRPr="000040B6" w:rsidRDefault="00F13A4D" w:rsidP="000040B6">
      <w:pPr>
        <w:pStyle w:val="SingleTxt"/>
        <w:spacing w:after="0" w:line="120" w:lineRule="exact"/>
        <w:rPr>
          <w:sz w:val="10"/>
          <w:lang w:val="fr-FR"/>
        </w:rPr>
      </w:pPr>
    </w:p>
    <w:p w14:paraId="4F8FBE3A" w14:textId="3713E126" w:rsidR="000040B6" w:rsidRPr="000040B6" w:rsidRDefault="000040B6" w:rsidP="000040B6">
      <w:pPr>
        <w:pStyle w:val="FootnoteText"/>
        <w:tabs>
          <w:tab w:val="right" w:pos="1476"/>
          <w:tab w:val="left" w:pos="1548"/>
          <w:tab w:val="right" w:pos="1836"/>
          <w:tab w:val="left" w:pos="1908"/>
        </w:tabs>
        <w:ind w:left="1548" w:right="1267" w:hanging="288"/>
        <w:rPr>
          <w:lang w:val="fr-FR"/>
        </w:rPr>
      </w:pPr>
      <w:r w:rsidRPr="000040B6">
        <w:rPr>
          <w:lang w:val="fr-FR"/>
        </w:rPr>
        <w:t>Source : Haut-Commissariat au Plan, projections de la population et des ménages de 2014 à 2050</w:t>
      </w:r>
      <w:r>
        <w:rPr>
          <w:lang w:val="fr-FR"/>
        </w:rPr>
        <w:t>.</w:t>
      </w:r>
      <w:r w:rsidRPr="000040B6">
        <w:rPr>
          <w:lang w:val="fr-FR"/>
        </w:rPr>
        <w:t xml:space="preserve"> </w:t>
      </w:r>
    </w:p>
    <w:p w14:paraId="72B21FB6" w14:textId="10B14008" w:rsidR="000040B6" w:rsidRPr="000040B6" w:rsidRDefault="000040B6" w:rsidP="000040B6">
      <w:pPr>
        <w:pStyle w:val="SingleTxt"/>
        <w:spacing w:after="0" w:line="120" w:lineRule="exact"/>
        <w:rPr>
          <w:sz w:val="10"/>
          <w:lang w:val="fr-FR"/>
        </w:rPr>
      </w:pPr>
    </w:p>
    <w:p w14:paraId="7AF2227C" w14:textId="3621D600" w:rsidR="000040B6" w:rsidRPr="000040B6" w:rsidRDefault="000040B6" w:rsidP="000040B6">
      <w:pPr>
        <w:pStyle w:val="SingleTxt"/>
        <w:spacing w:after="0" w:line="120" w:lineRule="exact"/>
        <w:rPr>
          <w:sz w:val="10"/>
          <w:lang w:val="fr-FR"/>
        </w:rPr>
      </w:pPr>
    </w:p>
    <w:tbl>
      <w:tblPr>
        <w:tblW w:w="7321" w:type="dxa"/>
        <w:tblInd w:w="126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321"/>
      </w:tblGrid>
      <w:tr w:rsidR="00F13A4D" w:rsidRPr="00F1794C" w14:paraId="456B2145" w14:textId="77777777">
        <w:tc>
          <w:tcPr>
            <w:tcW w:w="7321" w:type="dxa"/>
            <w:shd w:val="clear" w:color="auto" w:fill="auto"/>
          </w:tcPr>
          <w:p w14:paraId="00903E65" w14:textId="77777777" w:rsidR="00F13A4D" w:rsidRPr="00F1794C" w:rsidRDefault="00F13A4D" w:rsidP="00F1794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475" w:right="475"/>
              <w:rPr>
                <w:sz w:val="10"/>
              </w:rPr>
            </w:pPr>
          </w:p>
          <w:p w14:paraId="38B651C1" w14:textId="26B45BBA" w:rsidR="00F13A4D" w:rsidRPr="00F1794C" w:rsidRDefault="00F13A4D" w:rsidP="005D40D4">
            <w:pPr>
              <w:pStyle w:val="SingleTxt"/>
              <w:tabs>
                <w:tab w:val="left" w:pos="475"/>
                <w:tab w:val="left" w:pos="965"/>
                <w:tab w:val="left" w:pos="1440"/>
                <w:tab w:val="left" w:pos="1915"/>
                <w:tab w:val="left" w:pos="2405"/>
                <w:tab w:val="left" w:pos="2880"/>
                <w:tab w:val="left" w:pos="3355"/>
              </w:tabs>
              <w:ind w:left="475" w:right="475"/>
              <w:rPr>
                <w:lang w:val="fr-CH"/>
              </w:rPr>
            </w:pPr>
            <w:r w:rsidRPr="000040B6">
              <w:rPr>
                <w:b/>
                <w:bCs/>
                <w:lang w:val="fr-CH"/>
              </w:rPr>
              <w:t>Évolution des principaux indicateurs relatifs à la santé maternelle et infantile</w:t>
            </w:r>
            <w:r w:rsidR="00F1794C" w:rsidRPr="00F1794C">
              <w:rPr>
                <w:lang w:val="fr-CH"/>
              </w:rPr>
              <w:t> :</w:t>
            </w:r>
          </w:p>
        </w:tc>
      </w:tr>
      <w:tr w:rsidR="005D40D4" w:rsidRPr="00F1794C" w14:paraId="21D9C6BB" w14:textId="77777777" w:rsidTr="00F1794C">
        <w:tc>
          <w:tcPr>
            <w:tcW w:w="7321" w:type="dxa"/>
            <w:shd w:val="clear" w:color="auto" w:fill="auto"/>
          </w:tcPr>
          <w:p w14:paraId="39919A50" w14:textId="4F37B6EB" w:rsidR="005D40D4" w:rsidRPr="00F1794C" w:rsidRDefault="005D40D4" w:rsidP="005D40D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right" w:pos="907"/>
                <w:tab w:val="left" w:pos="965"/>
                <w:tab w:val="left" w:pos="1440"/>
                <w:tab w:val="left" w:pos="1915"/>
                <w:tab w:val="left" w:pos="2405"/>
                <w:tab w:val="left" w:pos="2880"/>
                <w:tab w:val="left" w:pos="3355"/>
              </w:tabs>
              <w:ind w:left="965" w:right="475" w:hanging="490"/>
            </w:pPr>
            <w:r w:rsidRPr="00F1794C">
              <w:tab/>
              <w:t>–</w:t>
            </w:r>
            <w:r w:rsidRPr="00F1794C">
              <w:tab/>
            </w:r>
            <w:r w:rsidRPr="00F1794C">
              <w:rPr>
                <w:lang w:val="fr-CH"/>
              </w:rPr>
              <w:t>Hausse de l</w:t>
            </w:r>
            <w:r w:rsidR="00F1794C" w:rsidRPr="00F1794C">
              <w:rPr>
                <w:lang w:val="fr-CH"/>
              </w:rPr>
              <w:t>’</w:t>
            </w:r>
            <w:r w:rsidRPr="00F1794C">
              <w:rPr>
                <w:lang w:val="fr-CH"/>
              </w:rPr>
              <w:t>espérance de vie à la naissance, de 47 ans en 1962 à 74,8</w:t>
            </w:r>
            <w:r w:rsidR="00867021">
              <w:rPr>
                <w:lang w:val="fr-CH"/>
              </w:rPr>
              <w:t> </w:t>
            </w:r>
            <w:r w:rsidRPr="00F1794C">
              <w:rPr>
                <w:lang w:val="fr-CH"/>
              </w:rPr>
              <w:t>ans en 2010</w:t>
            </w:r>
            <w:r w:rsidR="00F1794C" w:rsidRPr="00F1794C">
              <w:rPr>
                <w:lang w:val="fr-CH"/>
              </w:rPr>
              <w:t> ;</w:t>
            </w:r>
          </w:p>
        </w:tc>
      </w:tr>
      <w:tr w:rsidR="005D40D4" w:rsidRPr="00F1794C" w14:paraId="1C84D66B" w14:textId="77777777" w:rsidTr="00F1794C">
        <w:tc>
          <w:tcPr>
            <w:tcW w:w="7321" w:type="dxa"/>
            <w:shd w:val="clear" w:color="auto" w:fill="auto"/>
          </w:tcPr>
          <w:p w14:paraId="3AA9BB57" w14:textId="376962BD" w:rsidR="005D40D4" w:rsidRPr="00F1794C" w:rsidRDefault="005D40D4" w:rsidP="005D40D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right" w:pos="907"/>
                <w:tab w:val="left" w:pos="965"/>
                <w:tab w:val="left" w:pos="1440"/>
                <w:tab w:val="left" w:pos="1915"/>
                <w:tab w:val="left" w:pos="2405"/>
                <w:tab w:val="left" w:pos="2880"/>
                <w:tab w:val="left" w:pos="3355"/>
              </w:tabs>
              <w:ind w:left="965" w:right="475" w:hanging="490"/>
            </w:pPr>
            <w:r w:rsidRPr="00F1794C">
              <w:tab/>
              <w:t>–</w:t>
            </w:r>
            <w:r w:rsidRPr="00F1794C">
              <w:tab/>
            </w:r>
            <w:r w:rsidRPr="00F1794C">
              <w:rPr>
                <w:lang w:val="fr-CH"/>
              </w:rPr>
              <w:t xml:space="preserve">Baisse du taux de mortalité maternelle, passé de 112 décès pour 100 000 naissances vivantes en 2010 à 72,6 décès pour 100 000 </w:t>
            </w:r>
            <w:r w:rsidRPr="00F1794C">
              <w:rPr>
                <w:lang w:val="fr-CH"/>
              </w:rPr>
              <w:lastRenderedPageBreak/>
              <w:t>naissances vivantes en 2017, soit une baisse de 35</w:t>
            </w:r>
            <w:r w:rsidR="00F1794C" w:rsidRPr="00F1794C">
              <w:rPr>
                <w:lang w:val="fr-CH"/>
              </w:rPr>
              <w:t> %</w:t>
            </w:r>
            <w:r w:rsidRPr="00F1794C">
              <w:rPr>
                <w:lang w:val="fr-CH"/>
              </w:rPr>
              <w:t xml:space="preserve"> (39</w:t>
            </w:r>
            <w:r w:rsidR="00F1794C" w:rsidRPr="00F1794C">
              <w:rPr>
                <w:lang w:val="fr-CH"/>
              </w:rPr>
              <w:t> %</w:t>
            </w:r>
            <w:r w:rsidRPr="00F1794C">
              <w:rPr>
                <w:lang w:val="fr-CH"/>
              </w:rPr>
              <w:t xml:space="preserve"> en milieu urbain et 32</w:t>
            </w:r>
            <w:r w:rsidR="00F1794C" w:rsidRPr="00F1794C">
              <w:rPr>
                <w:lang w:val="fr-CH"/>
              </w:rPr>
              <w:t> %</w:t>
            </w:r>
            <w:r w:rsidRPr="00F1794C">
              <w:rPr>
                <w:lang w:val="fr-CH"/>
              </w:rPr>
              <w:t xml:space="preserve"> en milieu rural)</w:t>
            </w:r>
            <w:r w:rsidR="00F1794C" w:rsidRPr="00F1794C">
              <w:rPr>
                <w:lang w:val="fr-CH"/>
              </w:rPr>
              <w:t> ;</w:t>
            </w:r>
          </w:p>
        </w:tc>
      </w:tr>
      <w:tr w:rsidR="00F13A4D" w:rsidRPr="00F1794C" w14:paraId="032E77D8" w14:textId="77777777">
        <w:tc>
          <w:tcPr>
            <w:tcW w:w="7321" w:type="dxa"/>
            <w:shd w:val="clear" w:color="auto" w:fill="auto"/>
          </w:tcPr>
          <w:p w14:paraId="3DEB33C9" w14:textId="1A268E45" w:rsidR="00F13A4D" w:rsidRPr="00F1794C" w:rsidRDefault="00F13A4D" w:rsidP="005D40D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right" w:pos="907"/>
                <w:tab w:val="left" w:pos="965"/>
                <w:tab w:val="left" w:pos="1440"/>
                <w:tab w:val="left" w:pos="1915"/>
                <w:tab w:val="left" w:pos="2405"/>
                <w:tab w:val="left" w:pos="2880"/>
                <w:tab w:val="left" w:pos="3355"/>
              </w:tabs>
              <w:ind w:left="965" w:right="475" w:hanging="490"/>
            </w:pPr>
            <w:r w:rsidRPr="00F1794C">
              <w:lastRenderedPageBreak/>
              <w:tab/>
              <w:t>–</w:t>
            </w:r>
            <w:r w:rsidRPr="00F1794C">
              <w:tab/>
            </w:r>
            <w:r w:rsidR="005D40D4" w:rsidRPr="00F1794C">
              <w:rPr>
                <w:lang w:val="fr-CH"/>
              </w:rPr>
              <w:t xml:space="preserve">Baisse du taux de mortalité infantile, passé de 63 décès pour 1 000 naissances en 1992 à 28,8 décès pour 1 000 naissances en 2011. </w:t>
            </w:r>
          </w:p>
        </w:tc>
      </w:tr>
      <w:tr w:rsidR="00F13A4D" w:rsidRPr="00F1794C" w14:paraId="54355BA5" w14:textId="77777777">
        <w:trPr>
          <w:trHeight w:hRule="exact" w:val="115"/>
        </w:trPr>
        <w:tc>
          <w:tcPr>
            <w:tcW w:w="7321" w:type="dxa"/>
            <w:shd w:val="clear" w:color="auto" w:fill="auto"/>
          </w:tcPr>
          <w:p w14:paraId="6574FDB1" w14:textId="77777777" w:rsidR="00F13A4D" w:rsidRPr="00F1794C" w:rsidRDefault="00F13A4D" w:rsidP="00F1794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p>
        </w:tc>
      </w:tr>
    </w:tbl>
    <w:p w14:paraId="1E09BBCF" w14:textId="27713D99" w:rsidR="00F13A4D" w:rsidRPr="00867021" w:rsidRDefault="00F13A4D" w:rsidP="00867021">
      <w:pPr>
        <w:pStyle w:val="SingleTxt"/>
        <w:tabs>
          <w:tab w:val="right" w:pos="1685"/>
        </w:tabs>
        <w:spacing w:after="0" w:line="120" w:lineRule="exact"/>
        <w:ind w:left="1742" w:hanging="475"/>
        <w:rPr>
          <w:sz w:val="10"/>
        </w:rPr>
      </w:pPr>
    </w:p>
    <w:p w14:paraId="3E54E375" w14:textId="59A6E747" w:rsidR="00867021" w:rsidRPr="00867021" w:rsidRDefault="00867021" w:rsidP="00867021">
      <w:pPr>
        <w:pStyle w:val="SingleTxt"/>
        <w:tabs>
          <w:tab w:val="right" w:pos="1685"/>
        </w:tabs>
        <w:spacing w:after="0" w:line="120" w:lineRule="exact"/>
        <w:ind w:left="1742" w:hanging="475"/>
        <w:rPr>
          <w:sz w:val="10"/>
        </w:rPr>
      </w:pPr>
    </w:p>
    <w:p w14:paraId="18441A72" w14:textId="2DC1608C" w:rsidR="005D40D4" w:rsidRPr="005D40D4" w:rsidRDefault="005D40D4" w:rsidP="00867021">
      <w:pPr>
        <w:pStyle w:val="SingleTxt"/>
        <w:numPr>
          <w:ilvl w:val="0"/>
          <w:numId w:val="50"/>
        </w:numPr>
        <w:tabs>
          <w:tab w:val="right" w:pos="1685"/>
        </w:tabs>
        <w:spacing w:line="240" w:lineRule="exact"/>
        <w:rPr>
          <w:lang w:val="fr-FR"/>
        </w:rPr>
      </w:pPr>
      <w:r w:rsidRPr="005D40D4">
        <w:rPr>
          <w:lang w:val="fr-FR"/>
        </w:rPr>
        <w:t>Depuis 2008, un ensemble de réformes législatives engagées au Maroc ont amélioré l</w:t>
      </w:r>
      <w:r w:rsidR="00F1794C" w:rsidRPr="00F1794C">
        <w:rPr>
          <w:lang w:val="fr-FR"/>
        </w:rPr>
        <w:t>’</w:t>
      </w:r>
      <w:r w:rsidRPr="005D40D4">
        <w:rPr>
          <w:lang w:val="fr-FR"/>
        </w:rPr>
        <w:t>accès des femmes aux services de santé. La Constitution de 2011 affirme le principe d</w:t>
      </w:r>
      <w:r w:rsidR="00F1794C" w:rsidRPr="00F1794C">
        <w:rPr>
          <w:lang w:val="fr-FR"/>
        </w:rPr>
        <w:t>’</w:t>
      </w:r>
      <w:r w:rsidRPr="005D40D4">
        <w:rPr>
          <w:lang w:val="fr-FR"/>
        </w:rPr>
        <w:t>égal accès aux services de santé</w:t>
      </w:r>
      <w:r w:rsidRPr="00FA086B">
        <w:rPr>
          <w:vertAlign w:val="superscript"/>
          <w:lang w:val="fr-FR"/>
        </w:rPr>
        <w:footnoteReference w:id="84"/>
      </w:r>
      <w:r w:rsidRPr="005D40D4">
        <w:rPr>
          <w:lang w:val="fr-FR"/>
        </w:rPr>
        <w:t>. La loi-cadre n</w:t>
      </w:r>
      <w:r w:rsidRPr="005D40D4">
        <w:rPr>
          <w:vertAlign w:val="superscript"/>
          <w:lang w:val="fr-FR"/>
        </w:rPr>
        <w:t>o</w:t>
      </w:r>
      <w:r w:rsidRPr="005D40D4">
        <w:rPr>
          <w:lang w:val="fr-FR"/>
        </w:rPr>
        <w:t xml:space="preserve"> 34-09 de 2011 relative au système de santé et à l</w:t>
      </w:r>
      <w:r w:rsidR="00F1794C" w:rsidRPr="00F1794C">
        <w:rPr>
          <w:lang w:val="fr-FR"/>
        </w:rPr>
        <w:t>’</w:t>
      </w:r>
      <w:r w:rsidRPr="005D40D4">
        <w:rPr>
          <w:lang w:val="fr-FR"/>
        </w:rPr>
        <w:t>offre de soins affirme les principes suivants</w:t>
      </w:r>
      <w:r w:rsidR="00F1794C" w:rsidRPr="00F1794C">
        <w:rPr>
          <w:lang w:val="fr-FR"/>
        </w:rPr>
        <w:t> :</w:t>
      </w:r>
      <w:r w:rsidRPr="005D40D4">
        <w:rPr>
          <w:lang w:val="fr-FR"/>
        </w:rPr>
        <w:t xml:space="preserve"> l</w:t>
      </w:r>
      <w:r w:rsidR="00F1794C" w:rsidRPr="00F1794C">
        <w:rPr>
          <w:lang w:val="fr-FR"/>
        </w:rPr>
        <w:t>’</w:t>
      </w:r>
      <w:r w:rsidRPr="005D40D4">
        <w:rPr>
          <w:lang w:val="fr-FR"/>
        </w:rPr>
        <w:t>égalité d</w:t>
      </w:r>
      <w:r w:rsidR="00F1794C" w:rsidRPr="00F1794C">
        <w:rPr>
          <w:lang w:val="fr-FR"/>
        </w:rPr>
        <w:t>’</w:t>
      </w:r>
      <w:r w:rsidRPr="005D40D4">
        <w:rPr>
          <w:lang w:val="fr-FR"/>
        </w:rPr>
        <w:t>accès aux soins et aux services de santé, l</w:t>
      </w:r>
      <w:r w:rsidR="00F1794C" w:rsidRPr="00F1794C">
        <w:rPr>
          <w:lang w:val="fr-FR"/>
        </w:rPr>
        <w:t>’</w:t>
      </w:r>
      <w:r w:rsidRPr="005D40D4">
        <w:rPr>
          <w:lang w:val="fr-FR"/>
        </w:rPr>
        <w:t>équité dans la répartition spatiale des ressources sanitaires et l</w:t>
      </w:r>
      <w:r w:rsidR="00F1794C" w:rsidRPr="00F1794C">
        <w:rPr>
          <w:lang w:val="fr-FR"/>
        </w:rPr>
        <w:t>’</w:t>
      </w:r>
      <w:r w:rsidRPr="005D40D4">
        <w:rPr>
          <w:lang w:val="fr-FR"/>
        </w:rPr>
        <w:t>adoption de l</w:t>
      </w:r>
      <w:r w:rsidR="00F1794C" w:rsidRPr="00F1794C">
        <w:rPr>
          <w:lang w:val="fr-FR"/>
        </w:rPr>
        <w:t>’</w:t>
      </w:r>
      <w:r w:rsidRPr="005D40D4">
        <w:rPr>
          <w:lang w:val="fr-FR"/>
        </w:rPr>
        <w:t>approche genre en matière de services de santé (article 2)</w:t>
      </w:r>
      <w:r w:rsidR="00F1794C" w:rsidRPr="00F1794C">
        <w:rPr>
          <w:lang w:val="fr-FR"/>
        </w:rPr>
        <w:t> ;</w:t>
      </w:r>
      <w:r w:rsidRPr="005D40D4">
        <w:rPr>
          <w:lang w:val="fr-FR"/>
        </w:rPr>
        <w:t xml:space="preserve"> la lutte contre toute forme de discrimination (article 7). La mise en œuvre du décret d</w:t>
      </w:r>
      <w:r w:rsidR="00F1794C" w:rsidRPr="00F1794C">
        <w:rPr>
          <w:lang w:val="fr-FR"/>
        </w:rPr>
        <w:t>’</w:t>
      </w:r>
      <w:r w:rsidRPr="005D40D4">
        <w:rPr>
          <w:lang w:val="fr-FR"/>
        </w:rPr>
        <w:t>application n</w:t>
      </w:r>
      <w:r w:rsidRPr="005D40D4">
        <w:rPr>
          <w:vertAlign w:val="superscript"/>
          <w:lang w:val="fr-FR"/>
        </w:rPr>
        <w:t>o</w:t>
      </w:r>
      <w:r w:rsidRPr="005D40D4">
        <w:rPr>
          <w:lang w:val="fr-FR"/>
        </w:rPr>
        <w:t> 2-14-562 de juillet 2015 concernant l</w:t>
      </w:r>
      <w:r w:rsidR="00F1794C" w:rsidRPr="00F1794C">
        <w:rPr>
          <w:lang w:val="fr-FR"/>
        </w:rPr>
        <w:t>’</w:t>
      </w:r>
      <w:r w:rsidRPr="005D40D4">
        <w:rPr>
          <w:lang w:val="fr-FR"/>
        </w:rPr>
        <w:t>organisation de l</w:t>
      </w:r>
      <w:r w:rsidR="00F1794C" w:rsidRPr="00F1794C">
        <w:rPr>
          <w:lang w:val="fr-FR"/>
        </w:rPr>
        <w:t>’</w:t>
      </w:r>
      <w:r w:rsidRPr="005D40D4">
        <w:rPr>
          <w:lang w:val="fr-FR"/>
        </w:rPr>
        <w:t>offre de soins, la carte sanitaire et les schémas régionaux de l</w:t>
      </w:r>
      <w:r w:rsidR="00F1794C" w:rsidRPr="00F1794C">
        <w:rPr>
          <w:lang w:val="fr-FR"/>
        </w:rPr>
        <w:t>’</w:t>
      </w:r>
      <w:r w:rsidRPr="005D40D4">
        <w:rPr>
          <w:lang w:val="fr-FR"/>
        </w:rPr>
        <w:t>offre de soins contribuera à la démocratisation de l</w:t>
      </w:r>
      <w:r w:rsidR="00F1794C" w:rsidRPr="00F1794C">
        <w:rPr>
          <w:lang w:val="fr-FR"/>
        </w:rPr>
        <w:t>’</w:t>
      </w:r>
      <w:r w:rsidRPr="005D40D4">
        <w:rPr>
          <w:lang w:val="fr-FR"/>
        </w:rPr>
        <w:t>accès aux établissements sanitaires grâce à une répartition optimale des ressources sanitaires.</w:t>
      </w:r>
      <w:r w:rsidR="00F1794C" w:rsidRPr="00F1794C">
        <w:rPr>
          <w:lang w:val="fr-FR"/>
        </w:rPr>
        <w:t xml:space="preserve"> </w:t>
      </w:r>
    </w:p>
    <w:p w14:paraId="07B737E5" w14:textId="520D78DE" w:rsidR="005D40D4" w:rsidRPr="005D40D4" w:rsidRDefault="005D40D4" w:rsidP="00867021">
      <w:pPr>
        <w:pStyle w:val="SingleTxt"/>
        <w:numPr>
          <w:ilvl w:val="0"/>
          <w:numId w:val="50"/>
        </w:numPr>
        <w:tabs>
          <w:tab w:val="right" w:pos="1685"/>
        </w:tabs>
        <w:rPr>
          <w:lang w:val="fr-FR"/>
        </w:rPr>
      </w:pPr>
      <w:r w:rsidRPr="005D40D4">
        <w:rPr>
          <w:lang w:val="fr-FR"/>
        </w:rPr>
        <w:t>Le système de couverture santé de base au Maroc comprend deux régimes indépendants</w:t>
      </w:r>
      <w:r w:rsidR="00F1794C" w:rsidRPr="00F1794C">
        <w:rPr>
          <w:lang w:val="fr-FR"/>
        </w:rPr>
        <w:t> :</w:t>
      </w:r>
      <w:r w:rsidRPr="005D40D4">
        <w:rPr>
          <w:lang w:val="fr-FR"/>
        </w:rPr>
        <w:t xml:space="preserve"> l</w:t>
      </w:r>
      <w:r w:rsidR="00F1794C" w:rsidRPr="00F1794C">
        <w:rPr>
          <w:lang w:val="fr-FR"/>
        </w:rPr>
        <w:t>’</w:t>
      </w:r>
      <w:r w:rsidRPr="005D40D4">
        <w:rPr>
          <w:lang w:val="fr-FR"/>
        </w:rPr>
        <w:t>assurance maladie obligatoire et le régime d</w:t>
      </w:r>
      <w:r w:rsidR="00F1794C" w:rsidRPr="00F1794C">
        <w:rPr>
          <w:lang w:val="fr-FR"/>
        </w:rPr>
        <w:t>’</w:t>
      </w:r>
      <w:r w:rsidRPr="005D40D4">
        <w:rPr>
          <w:lang w:val="fr-FR"/>
        </w:rPr>
        <w:t>assistance médicale. Ce système a permis au Maroc d</w:t>
      </w:r>
      <w:r w:rsidR="00F1794C" w:rsidRPr="00F1794C">
        <w:rPr>
          <w:lang w:val="fr-FR"/>
        </w:rPr>
        <w:t>’</w:t>
      </w:r>
      <w:r w:rsidRPr="005D40D4">
        <w:rPr>
          <w:lang w:val="fr-FR"/>
        </w:rPr>
        <w:t>atteindre un taux de couverture santé effective de 62</w:t>
      </w:r>
      <w:r w:rsidR="00F1794C" w:rsidRPr="00F1794C">
        <w:rPr>
          <w:lang w:val="fr-FR"/>
        </w:rPr>
        <w:t> %</w:t>
      </w:r>
      <w:r w:rsidRPr="005D40D4">
        <w:rPr>
          <w:lang w:val="fr-FR"/>
        </w:rPr>
        <w:t>, dont 34</w:t>
      </w:r>
      <w:r w:rsidR="00F1794C" w:rsidRPr="00F1794C">
        <w:rPr>
          <w:lang w:val="fr-FR"/>
        </w:rPr>
        <w:t> %</w:t>
      </w:r>
      <w:r w:rsidRPr="005D40D4">
        <w:rPr>
          <w:lang w:val="fr-FR"/>
        </w:rPr>
        <w:t xml:space="preserve"> au titre de l</w:t>
      </w:r>
      <w:r w:rsidR="00F1794C" w:rsidRPr="00F1794C">
        <w:rPr>
          <w:lang w:val="fr-FR"/>
        </w:rPr>
        <w:t>’</w:t>
      </w:r>
      <w:r w:rsidRPr="005D40D4">
        <w:rPr>
          <w:lang w:val="fr-FR"/>
        </w:rPr>
        <w:t>assurance maladie obligatoire et 28</w:t>
      </w:r>
      <w:r w:rsidR="00F1794C" w:rsidRPr="00F1794C">
        <w:rPr>
          <w:lang w:val="fr-FR"/>
        </w:rPr>
        <w:t> %</w:t>
      </w:r>
      <w:r w:rsidRPr="005D40D4">
        <w:rPr>
          <w:lang w:val="fr-FR"/>
        </w:rPr>
        <w:t xml:space="preserve"> au titre du régime d</w:t>
      </w:r>
      <w:r w:rsidR="00F1794C" w:rsidRPr="00F1794C">
        <w:rPr>
          <w:lang w:val="fr-FR"/>
        </w:rPr>
        <w:t>’</w:t>
      </w:r>
      <w:r w:rsidRPr="005D40D4">
        <w:rPr>
          <w:lang w:val="fr-FR"/>
        </w:rPr>
        <w:t>assistance médicale. L</w:t>
      </w:r>
      <w:r w:rsidR="00F1794C" w:rsidRPr="00F1794C">
        <w:rPr>
          <w:lang w:val="fr-FR"/>
        </w:rPr>
        <w:t>’</w:t>
      </w:r>
      <w:r w:rsidRPr="005D40D4">
        <w:rPr>
          <w:lang w:val="fr-FR"/>
        </w:rPr>
        <w:t>objectif est d</w:t>
      </w:r>
      <w:r w:rsidR="00F1794C" w:rsidRPr="00F1794C">
        <w:rPr>
          <w:lang w:val="fr-FR"/>
        </w:rPr>
        <w:t>’</w:t>
      </w:r>
      <w:r w:rsidRPr="005D40D4">
        <w:rPr>
          <w:lang w:val="fr-FR"/>
        </w:rPr>
        <w:t>étendre la couverture à 90</w:t>
      </w:r>
      <w:r w:rsidR="00F1794C" w:rsidRPr="00F1794C">
        <w:rPr>
          <w:lang w:val="fr-FR"/>
        </w:rPr>
        <w:t> %</w:t>
      </w:r>
      <w:r w:rsidRPr="005D40D4">
        <w:rPr>
          <w:lang w:val="fr-FR"/>
        </w:rPr>
        <w:t xml:space="preserve"> de la population d</w:t>
      </w:r>
      <w:r w:rsidR="00F1794C" w:rsidRPr="00F1794C">
        <w:rPr>
          <w:lang w:val="fr-FR"/>
        </w:rPr>
        <w:t>’</w:t>
      </w:r>
      <w:r w:rsidRPr="005D40D4">
        <w:rPr>
          <w:lang w:val="fr-FR"/>
        </w:rPr>
        <w:t xml:space="preserve">ici à 2021. </w:t>
      </w:r>
    </w:p>
    <w:p w14:paraId="1AE813AD" w14:textId="0173E61A" w:rsidR="005D40D4" w:rsidRPr="005D40D4" w:rsidRDefault="005D40D4" w:rsidP="00867021">
      <w:pPr>
        <w:pStyle w:val="SingleTxt"/>
        <w:numPr>
          <w:ilvl w:val="0"/>
          <w:numId w:val="50"/>
        </w:numPr>
        <w:tabs>
          <w:tab w:val="right" w:pos="1685"/>
        </w:tabs>
        <w:rPr>
          <w:lang w:val="fr-FR"/>
        </w:rPr>
      </w:pPr>
      <w:r w:rsidRPr="005D40D4">
        <w:rPr>
          <w:lang w:val="fr-FR"/>
        </w:rPr>
        <w:t>En vertu de l</w:t>
      </w:r>
      <w:r w:rsidR="00F1794C" w:rsidRPr="00F1794C">
        <w:rPr>
          <w:lang w:val="fr-FR"/>
        </w:rPr>
        <w:t>’</w:t>
      </w:r>
      <w:r w:rsidRPr="005D40D4">
        <w:rPr>
          <w:lang w:val="fr-FR"/>
        </w:rPr>
        <w:t>article 5 de la loi n</w:t>
      </w:r>
      <w:r w:rsidRPr="005D40D4">
        <w:rPr>
          <w:vertAlign w:val="superscript"/>
          <w:lang w:val="fr-FR"/>
        </w:rPr>
        <w:t>o</w:t>
      </w:r>
      <w:r w:rsidRPr="005D40D4">
        <w:rPr>
          <w:lang w:val="fr-FR"/>
        </w:rPr>
        <w:t xml:space="preserve"> 65-00 relative à l</w:t>
      </w:r>
      <w:r w:rsidR="00F1794C" w:rsidRPr="00F1794C">
        <w:rPr>
          <w:lang w:val="fr-FR"/>
        </w:rPr>
        <w:t>’</w:t>
      </w:r>
      <w:r w:rsidRPr="005D40D4">
        <w:rPr>
          <w:lang w:val="fr-FR"/>
        </w:rPr>
        <w:t>assurance maladie obligatoire de base, outre la personne assujettie à l</w:t>
      </w:r>
      <w:r w:rsidR="00F1794C" w:rsidRPr="00F1794C">
        <w:rPr>
          <w:lang w:val="fr-FR"/>
        </w:rPr>
        <w:t>’</w:t>
      </w:r>
      <w:r w:rsidRPr="005D40D4">
        <w:rPr>
          <w:lang w:val="fr-FR"/>
        </w:rPr>
        <w:t>obligation d</w:t>
      </w:r>
      <w:r w:rsidR="00F1794C" w:rsidRPr="00F1794C">
        <w:rPr>
          <w:lang w:val="fr-FR"/>
        </w:rPr>
        <w:t>’</w:t>
      </w:r>
      <w:r w:rsidRPr="005D40D4">
        <w:rPr>
          <w:lang w:val="fr-FR"/>
        </w:rPr>
        <w:t>assurance, ce régime couvre les membres de sa famille qui sont à sa charge. Les articles 35 et 36 de ladite loi prévoient que la femme non inscrite bénéficie pendant une période de deux années des prestations du régime que percevait l</w:t>
      </w:r>
      <w:r w:rsidR="00F1794C" w:rsidRPr="00F1794C">
        <w:rPr>
          <w:lang w:val="fr-FR"/>
        </w:rPr>
        <w:t>’</w:t>
      </w:r>
      <w:r w:rsidRPr="005D40D4">
        <w:rPr>
          <w:lang w:val="fr-FR"/>
        </w:rPr>
        <w:t>époux décédé et pendant une période d</w:t>
      </w:r>
      <w:r w:rsidR="00F1794C" w:rsidRPr="00F1794C">
        <w:rPr>
          <w:lang w:val="fr-FR"/>
        </w:rPr>
        <w:t>’</w:t>
      </w:r>
      <w:r w:rsidRPr="005D40D4">
        <w:rPr>
          <w:lang w:val="fr-FR"/>
        </w:rPr>
        <w:t xml:space="preserve">une année si le défunt est son ex-conjoint. </w:t>
      </w:r>
    </w:p>
    <w:p w14:paraId="54479243" w14:textId="1936801C" w:rsidR="005D40D4" w:rsidRPr="005D40D4" w:rsidRDefault="005D40D4" w:rsidP="00867021">
      <w:pPr>
        <w:pStyle w:val="SingleTxt"/>
        <w:numPr>
          <w:ilvl w:val="0"/>
          <w:numId w:val="50"/>
        </w:numPr>
        <w:tabs>
          <w:tab w:val="right" w:pos="1685"/>
        </w:tabs>
        <w:rPr>
          <w:lang w:val="fr-FR"/>
        </w:rPr>
      </w:pPr>
      <w:r w:rsidRPr="005D40D4">
        <w:rPr>
          <w:lang w:val="fr-FR"/>
        </w:rPr>
        <w:t>En 2012, le régime d</w:t>
      </w:r>
      <w:r w:rsidR="00F1794C" w:rsidRPr="00F1794C">
        <w:rPr>
          <w:lang w:val="fr-FR"/>
        </w:rPr>
        <w:t>’</w:t>
      </w:r>
      <w:r w:rsidRPr="005D40D4">
        <w:rPr>
          <w:lang w:val="fr-FR"/>
        </w:rPr>
        <w:t>assistance médicale aux économiquement démunis (RAMED) a été généralisé, ce qui a permis d</w:t>
      </w:r>
      <w:r w:rsidR="00F1794C" w:rsidRPr="00F1794C">
        <w:rPr>
          <w:lang w:val="fr-FR"/>
        </w:rPr>
        <w:t>’</w:t>
      </w:r>
      <w:r w:rsidRPr="005D40D4">
        <w:rPr>
          <w:lang w:val="fr-FR"/>
        </w:rPr>
        <w:t>élargir l</w:t>
      </w:r>
      <w:r w:rsidR="00F1794C" w:rsidRPr="00F1794C">
        <w:rPr>
          <w:lang w:val="fr-FR"/>
        </w:rPr>
        <w:t>’</w:t>
      </w:r>
      <w:r w:rsidRPr="005D40D4">
        <w:rPr>
          <w:lang w:val="fr-FR"/>
        </w:rPr>
        <w:t>accès aux soins. La carte RAMED est délivrée à égalité aux personnes (hommes et femmes) en situation de précarité ou de pauvreté, sans discrimination. Ces personnes peuvent ainsi bénéficier des services proposés par les structures hospitalières publiques. En 2018, 12 millions d</w:t>
      </w:r>
      <w:r w:rsidR="00F1794C" w:rsidRPr="00F1794C">
        <w:rPr>
          <w:lang w:val="fr-FR"/>
        </w:rPr>
        <w:t>’</w:t>
      </w:r>
      <w:r w:rsidRPr="005D40D4">
        <w:rPr>
          <w:lang w:val="fr-FR"/>
        </w:rPr>
        <w:t>habitants avaient bénéficié du régime d</w:t>
      </w:r>
      <w:r w:rsidR="00F1794C" w:rsidRPr="00F1794C">
        <w:rPr>
          <w:lang w:val="fr-FR"/>
        </w:rPr>
        <w:t>’</w:t>
      </w:r>
      <w:r w:rsidRPr="005D40D4">
        <w:rPr>
          <w:lang w:val="fr-FR"/>
        </w:rPr>
        <w:t>assistance médicale, depuis la mise en place de ce régime. En 2016, on avait dénombré 10,3 millions de bénéficiaires, dont 7,4</w:t>
      </w:r>
      <w:r w:rsidR="00867021">
        <w:rPr>
          <w:lang w:val="fr-FR"/>
        </w:rPr>
        <w:t> </w:t>
      </w:r>
      <w:r w:rsidRPr="005D40D4">
        <w:rPr>
          <w:lang w:val="fr-FR"/>
        </w:rPr>
        <w:t>millions détiennent des cartes en cours de validité. Le taux de couverture était donc de 142</w:t>
      </w:r>
      <w:r w:rsidR="00F1794C" w:rsidRPr="00F1794C">
        <w:rPr>
          <w:lang w:val="fr-FR"/>
        </w:rPr>
        <w:t> % :</w:t>
      </w:r>
      <w:r w:rsidRPr="005D40D4">
        <w:rPr>
          <w:lang w:val="fr-FR"/>
        </w:rPr>
        <w:t xml:space="preserve"> </w:t>
      </w:r>
    </w:p>
    <w:p w14:paraId="58C2F9F1" w14:textId="765D2224" w:rsidR="005D40D4" w:rsidRPr="00867021" w:rsidRDefault="00867021" w:rsidP="00867021">
      <w:pPr>
        <w:pStyle w:val="SingleTxt"/>
        <w:tabs>
          <w:tab w:val="right" w:pos="1685"/>
        </w:tabs>
        <w:ind w:left="1742" w:hanging="475"/>
        <w:rPr>
          <w:lang w:val="fr-FR"/>
        </w:rPr>
      </w:pPr>
      <w:r>
        <w:rPr>
          <w:lang w:val="fr-FR"/>
        </w:rPr>
        <w:tab/>
        <w:t>•</w:t>
      </w:r>
      <w:r>
        <w:rPr>
          <w:lang w:val="fr-FR"/>
        </w:rPr>
        <w:tab/>
      </w:r>
      <w:r w:rsidR="005D40D4" w:rsidRPr="00867021">
        <w:rPr>
          <w:lang w:val="fr-FR"/>
        </w:rPr>
        <w:t>91</w:t>
      </w:r>
      <w:r w:rsidR="00F1794C" w:rsidRPr="00867021">
        <w:rPr>
          <w:lang w:val="fr-FR"/>
        </w:rPr>
        <w:t> %</w:t>
      </w:r>
      <w:r w:rsidR="005D40D4" w:rsidRPr="00867021">
        <w:rPr>
          <w:lang w:val="fr-FR"/>
        </w:rPr>
        <w:t xml:space="preserve"> de personnes pauvres et 9</w:t>
      </w:r>
      <w:r w:rsidR="00F1794C" w:rsidRPr="00867021">
        <w:rPr>
          <w:lang w:val="fr-FR"/>
        </w:rPr>
        <w:t> %</w:t>
      </w:r>
      <w:r w:rsidR="005D40D4" w:rsidRPr="00867021">
        <w:rPr>
          <w:lang w:val="fr-FR"/>
        </w:rPr>
        <w:t xml:space="preserve"> de personnes en situation précaire</w:t>
      </w:r>
      <w:r w:rsidR="00F1794C" w:rsidRPr="00867021">
        <w:rPr>
          <w:lang w:val="fr-FR"/>
        </w:rPr>
        <w:t> ;</w:t>
      </w:r>
    </w:p>
    <w:p w14:paraId="4AFB7814" w14:textId="6DF3C460" w:rsidR="005D40D4" w:rsidRPr="00867021" w:rsidRDefault="00867021" w:rsidP="00867021">
      <w:pPr>
        <w:pStyle w:val="SingleTxt"/>
        <w:tabs>
          <w:tab w:val="right" w:pos="1685"/>
        </w:tabs>
        <w:ind w:left="1742" w:hanging="475"/>
        <w:rPr>
          <w:lang w:val="fr-FR"/>
        </w:rPr>
      </w:pPr>
      <w:r>
        <w:rPr>
          <w:lang w:val="fr-FR"/>
        </w:rPr>
        <w:tab/>
        <w:t>•</w:t>
      </w:r>
      <w:r>
        <w:rPr>
          <w:lang w:val="fr-FR"/>
        </w:rPr>
        <w:tab/>
      </w:r>
      <w:r w:rsidR="005D40D4" w:rsidRPr="00867021">
        <w:rPr>
          <w:lang w:val="fr-FR"/>
        </w:rPr>
        <w:t>53</w:t>
      </w:r>
      <w:r w:rsidR="00F1794C" w:rsidRPr="00867021">
        <w:rPr>
          <w:lang w:val="fr-FR"/>
        </w:rPr>
        <w:t> %</w:t>
      </w:r>
      <w:r w:rsidR="005D40D4" w:rsidRPr="00867021">
        <w:rPr>
          <w:lang w:val="fr-FR"/>
        </w:rPr>
        <w:t xml:space="preserve"> de femmes et 47</w:t>
      </w:r>
      <w:r w:rsidR="00F1794C" w:rsidRPr="00867021">
        <w:rPr>
          <w:lang w:val="fr-FR"/>
        </w:rPr>
        <w:t> %</w:t>
      </w:r>
      <w:r w:rsidR="005D40D4" w:rsidRPr="00867021">
        <w:rPr>
          <w:lang w:val="fr-FR"/>
        </w:rPr>
        <w:t xml:space="preserve"> d</w:t>
      </w:r>
      <w:r w:rsidR="00F1794C" w:rsidRPr="00867021">
        <w:rPr>
          <w:lang w:val="fr-FR"/>
        </w:rPr>
        <w:t>’</w:t>
      </w:r>
      <w:r w:rsidR="005D40D4" w:rsidRPr="00867021">
        <w:rPr>
          <w:lang w:val="fr-FR"/>
        </w:rPr>
        <w:t>hommes bénéficiaires</w:t>
      </w:r>
      <w:r w:rsidR="00F1794C" w:rsidRPr="00867021">
        <w:rPr>
          <w:lang w:val="fr-FR"/>
        </w:rPr>
        <w:t> ;</w:t>
      </w:r>
    </w:p>
    <w:p w14:paraId="2C3A75D4" w14:textId="3BC1761C" w:rsidR="005D40D4" w:rsidRPr="00867021" w:rsidRDefault="00867021" w:rsidP="00867021">
      <w:pPr>
        <w:pStyle w:val="SingleTxt"/>
        <w:tabs>
          <w:tab w:val="right" w:pos="1685"/>
        </w:tabs>
        <w:ind w:left="1742" w:hanging="475"/>
        <w:rPr>
          <w:lang w:val="fr-FR"/>
        </w:rPr>
      </w:pPr>
      <w:r>
        <w:rPr>
          <w:lang w:val="fr-FR"/>
        </w:rPr>
        <w:tab/>
        <w:t>•</w:t>
      </w:r>
      <w:r>
        <w:rPr>
          <w:lang w:val="fr-FR"/>
        </w:rPr>
        <w:tab/>
      </w:r>
      <w:r w:rsidR="005D40D4" w:rsidRPr="00867021">
        <w:rPr>
          <w:lang w:val="fr-FR"/>
        </w:rPr>
        <w:t>51</w:t>
      </w:r>
      <w:r w:rsidR="00F1794C" w:rsidRPr="00867021">
        <w:rPr>
          <w:lang w:val="fr-FR"/>
        </w:rPr>
        <w:t> %</w:t>
      </w:r>
      <w:r w:rsidR="005D40D4" w:rsidRPr="00867021">
        <w:rPr>
          <w:lang w:val="fr-FR"/>
        </w:rPr>
        <w:t xml:space="preserve"> de personnes vivant en milieu rural et 41</w:t>
      </w:r>
      <w:r w:rsidR="00F1794C" w:rsidRPr="00867021">
        <w:rPr>
          <w:lang w:val="fr-FR"/>
        </w:rPr>
        <w:t> %</w:t>
      </w:r>
      <w:r w:rsidR="005D40D4" w:rsidRPr="00867021">
        <w:rPr>
          <w:lang w:val="fr-FR"/>
        </w:rPr>
        <w:t xml:space="preserve"> en milieu urbain. </w:t>
      </w:r>
    </w:p>
    <w:p w14:paraId="59C70255" w14:textId="66B04309" w:rsidR="005D40D4" w:rsidRPr="005D40D4" w:rsidRDefault="005D40D4" w:rsidP="00867021">
      <w:pPr>
        <w:pStyle w:val="SingleTxt"/>
        <w:numPr>
          <w:ilvl w:val="0"/>
          <w:numId w:val="50"/>
        </w:numPr>
        <w:tabs>
          <w:tab w:val="right" w:pos="1685"/>
        </w:tabs>
        <w:rPr>
          <w:lang w:val="fr-FR"/>
        </w:rPr>
      </w:pPr>
      <w:r w:rsidRPr="005D40D4">
        <w:rPr>
          <w:lang w:val="fr-FR"/>
        </w:rPr>
        <w:t>Le système de protection sociale a été étendu comme suit</w:t>
      </w:r>
      <w:r w:rsidR="00F1794C" w:rsidRPr="00F1794C">
        <w:rPr>
          <w:lang w:val="fr-FR"/>
        </w:rPr>
        <w:t> :</w:t>
      </w:r>
      <w:r w:rsidRPr="005D40D4">
        <w:rPr>
          <w:lang w:val="fr-FR"/>
        </w:rPr>
        <w:t xml:space="preserve"> </w:t>
      </w:r>
    </w:p>
    <w:p w14:paraId="42B1592F" w14:textId="729F9ED4" w:rsidR="005D40D4" w:rsidRPr="00867021" w:rsidRDefault="00867021" w:rsidP="00867021">
      <w:pPr>
        <w:pStyle w:val="SingleTxt"/>
        <w:tabs>
          <w:tab w:val="right" w:pos="1685"/>
        </w:tabs>
        <w:ind w:left="1742" w:hanging="475"/>
        <w:rPr>
          <w:lang w:val="fr-FR"/>
        </w:rPr>
      </w:pPr>
      <w:r>
        <w:rPr>
          <w:lang w:val="fr-FR"/>
        </w:rPr>
        <w:tab/>
        <w:t>•</w:t>
      </w:r>
      <w:r>
        <w:rPr>
          <w:lang w:val="fr-FR"/>
        </w:rPr>
        <w:tab/>
      </w:r>
      <w:r w:rsidR="005D40D4" w:rsidRPr="00867021">
        <w:rPr>
          <w:lang w:val="fr-FR"/>
        </w:rPr>
        <w:t>régime de couverture santé destiné aux étudiants, en application de la loi n</w:t>
      </w:r>
      <w:r w:rsidR="005D40D4" w:rsidRPr="00867021">
        <w:rPr>
          <w:vertAlign w:val="superscript"/>
          <w:lang w:val="fr-FR"/>
        </w:rPr>
        <w:t>o</w:t>
      </w:r>
      <w:r>
        <w:rPr>
          <w:lang w:val="fr-FR"/>
        </w:rPr>
        <w:t> </w:t>
      </w:r>
      <w:r w:rsidR="005D40D4" w:rsidRPr="00867021">
        <w:rPr>
          <w:lang w:val="fr-FR"/>
        </w:rPr>
        <w:t>116</w:t>
      </w:r>
      <w:r>
        <w:rPr>
          <w:lang w:val="fr-FR"/>
        </w:rPr>
        <w:noBreakHyphen/>
      </w:r>
      <w:r w:rsidR="005D40D4" w:rsidRPr="00867021">
        <w:rPr>
          <w:lang w:val="fr-FR"/>
        </w:rPr>
        <w:t>12 de 2016 relative au régime de l</w:t>
      </w:r>
      <w:r w:rsidR="00F1794C" w:rsidRPr="00867021">
        <w:rPr>
          <w:lang w:val="fr-FR"/>
        </w:rPr>
        <w:t>’</w:t>
      </w:r>
      <w:r w:rsidR="005D40D4" w:rsidRPr="00867021">
        <w:rPr>
          <w:lang w:val="fr-FR"/>
        </w:rPr>
        <w:t>assurance maladie obligatoire de base des étudiants</w:t>
      </w:r>
      <w:r w:rsidR="00F1794C" w:rsidRPr="00867021">
        <w:rPr>
          <w:lang w:val="fr-FR"/>
        </w:rPr>
        <w:t> ;</w:t>
      </w:r>
    </w:p>
    <w:p w14:paraId="28B745E7" w14:textId="719A0190" w:rsidR="005D40D4" w:rsidRPr="00867021" w:rsidRDefault="00867021" w:rsidP="00867021">
      <w:pPr>
        <w:pStyle w:val="SingleTxt"/>
        <w:tabs>
          <w:tab w:val="right" w:pos="1685"/>
        </w:tabs>
        <w:ind w:left="1742" w:hanging="475"/>
        <w:rPr>
          <w:lang w:val="fr-FR"/>
        </w:rPr>
      </w:pPr>
      <w:r>
        <w:rPr>
          <w:lang w:val="fr-FR"/>
        </w:rPr>
        <w:lastRenderedPageBreak/>
        <w:tab/>
        <w:t>•</w:t>
      </w:r>
      <w:r>
        <w:rPr>
          <w:lang w:val="fr-FR"/>
        </w:rPr>
        <w:tab/>
      </w:r>
      <w:r w:rsidR="005D40D4" w:rsidRPr="00867021">
        <w:rPr>
          <w:lang w:val="fr-FR"/>
        </w:rPr>
        <w:t>régime de l</w:t>
      </w:r>
      <w:r w:rsidR="00F1794C" w:rsidRPr="00867021">
        <w:rPr>
          <w:lang w:val="fr-FR"/>
        </w:rPr>
        <w:t>’</w:t>
      </w:r>
      <w:r w:rsidR="005D40D4" w:rsidRPr="00867021">
        <w:rPr>
          <w:lang w:val="fr-FR"/>
        </w:rPr>
        <w:t>assurance maladie obligatoire de base pour les indépendants</w:t>
      </w:r>
      <w:r w:rsidR="005D40D4" w:rsidRPr="00FA086B">
        <w:rPr>
          <w:vertAlign w:val="superscript"/>
          <w:lang w:val="fr-FR"/>
        </w:rPr>
        <w:footnoteReference w:id="85"/>
      </w:r>
      <w:r w:rsidR="005D40D4" w:rsidRPr="00867021">
        <w:rPr>
          <w:lang w:val="fr-FR"/>
        </w:rPr>
        <w:t xml:space="preserve"> créé en 2017 garantissant la prise en charge des frais afférents aux soins médicaux selon le même barème de soins garantis aux salariés du secteur privé</w:t>
      </w:r>
      <w:r w:rsidR="00F1794C" w:rsidRPr="00867021">
        <w:rPr>
          <w:lang w:val="fr-FR"/>
        </w:rPr>
        <w:t> ;</w:t>
      </w:r>
      <w:r w:rsidR="005D40D4" w:rsidRPr="00867021">
        <w:rPr>
          <w:lang w:val="fr-FR"/>
        </w:rPr>
        <w:t xml:space="preserve"> la loi n</w:t>
      </w:r>
      <w:r w:rsidR="005D40D4" w:rsidRPr="00867021">
        <w:rPr>
          <w:vertAlign w:val="superscript"/>
          <w:lang w:val="fr-FR"/>
        </w:rPr>
        <w:t>o</w:t>
      </w:r>
      <w:r w:rsidR="00B307F7">
        <w:rPr>
          <w:lang w:val="fr-FR"/>
        </w:rPr>
        <w:t> </w:t>
      </w:r>
      <w:r w:rsidR="005D40D4" w:rsidRPr="00867021">
        <w:rPr>
          <w:lang w:val="fr-FR"/>
        </w:rPr>
        <w:t>99-15 de décembre 2017 a institué un régime de pensions auxquelles ces catégories de personnes ont droit au plus tôt à l</w:t>
      </w:r>
      <w:r w:rsidR="00F1794C" w:rsidRPr="00867021">
        <w:rPr>
          <w:lang w:val="fr-FR"/>
        </w:rPr>
        <w:t>’</w:t>
      </w:r>
      <w:r w:rsidR="005D40D4" w:rsidRPr="00867021">
        <w:rPr>
          <w:lang w:val="fr-FR"/>
        </w:rPr>
        <w:t>âge de 65 ans ou au plus tard à 75 ans</w:t>
      </w:r>
      <w:r w:rsidR="00F1794C" w:rsidRPr="00867021">
        <w:rPr>
          <w:lang w:val="fr-FR"/>
        </w:rPr>
        <w:t> ;</w:t>
      </w:r>
      <w:r w:rsidR="005D40D4" w:rsidRPr="00867021">
        <w:rPr>
          <w:lang w:val="fr-FR"/>
        </w:rPr>
        <w:t xml:space="preserve"> la pension de l</w:t>
      </w:r>
      <w:r w:rsidR="00F1794C" w:rsidRPr="00867021">
        <w:rPr>
          <w:lang w:val="fr-FR"/>
        </w:rPr>
        <w:t>’</w:t>
      </w:r>
      <w:r w:rsidR="005D40D4" w:rsidRPr="00867021">
        <w:rPr>
          <w:lang w:val="fr-FR"/>
        </w:rPr>
        <w:t>adhérent décédé est versée aux membres de sa famille de l</w:t>
      </w:r>
      <w:r w:rsidR="00F1794C" w:rsidRPr="00867021">
        <w:rPr>
          <w:lang w:val="fr-FR"/>
        </w:rPr>
        <w:t>’</w:t>
      </w:r>
      <w:r w:rsidR="005D40D4" w:rsidRPr="00867021">
        <w:rPr>
          <w:lang w:val="fr-FR"/>
        </w:rPr>
        <w:t>adhérent</w:t>
      </w:r>
      <w:r w:rsidR="00F1794C" w:rsidRPr="00867021">
        <w:rPr>
          <w:lang w:val="fr-FR"/>
        </w:rPr>
        <w:t> ;</w:t>
      </w:r>
    </w:p>
    <w:p w14:paraId="1A0182FD" w14:textId="467E3F9E" w:rsidR="005D40D4" w:rsidRPr="00867021" w:rsidRDefault="00867021" w:rsidP="00867021">
      <w:pPr>
        <w:pStyle w:val="SingleTxt"/>
        <w:tabs>
          <w:tab w:val="right" w:pos="1685"/>
        </w:tabs>
        <w:ind w:left="1742" w:hanging="475"/>
        <w:rPr>
          <w:lang w:val="fr-FR"/>
        </w:rPr>
      </w:pPr>
      <w:r>
        <w:rPr>
          <w:lang w:val="fr-FR"/>
        </w:rPr>
        <w:tab/>
        <w:t>•</w:t>
      </w:r>
      <w:r>
        <w:rPr>
          <w:lang w:val="fr-FR"/>
        </w:rPr>
        <w:tab/>
      </w:r>
      <w:r w:rsidR="005D40D4" w:rsidRPr="00867021">
        <w:rPr>
          <w:lang w:val="fr-FR"/>
        </w:rPr>
        <w:t>couverture sanitaire des migrantes et migrants</w:t>
      </w:r>
      <w:r w:rsidR="00F1794C" w:rsidRPr="00867021">
        <w:rPr>
          <w:lang w:val="fr-FR"/>
        </w:rPr>
        <w:t> :</w:t>
      </w:r>
      <w:r w:rsidR="005D40D4" w:rsidRPr="00867021">
        <w:rPr>
          <w:lang w:val="fr-FR"/>
        </w:rPr>
        <w:t xml:space="preserve"> le secteur chargé des questions relatives aux Marocains résidant à l</w:t>
      </w:r>
      <w:r w:rsidR="00F1794C" w:rsidRPr="00867021">
        <w:rPr>
          <w:lang w:val="fr-FR"/>
        </w:rPr>
        <w:t>’</w:t>
      </w:r>
      <w:r w:rsidR="005D40D4" w:rsidRPr="00867021">
        <w:rPr>
          <w:lang w:val="fr-FR"/>
        </w:rPr>
        <w:t>étranger et aux questions de migration, le Ministère de l</w:t>
      </w:r>
      <w:r w:rsidR="00F1794C" w:rsidRPr="00867021">
        <w:rPr>
          <w:lang w:val="fr-FR"/>
        </w:rPr>
        <w:t>’</w:t>
      </w:r>
      <w:r w:rsidR="005D40D4" w:rsidRPr="00867021">
        <w:rPr>
          <w:lang w:val="fr-FR"/>
        </w:rPr>
        <w:t>intérieur et le Ministère de l</w:t>
      </w:r>
      <w:r w:rsidR="00F1794C" w:rsidRPr="00867021">
        <w:rPr>
          <w:lang w:val="fr-FR"/>
        </w:rPr>
        <w:t>’</w:t>
      </w:r>
      <w:r w:rsidR="005D40D4" w:rsidRPr="00867021">
        <w:rPr>
          <w:lang w:val="fr-FR"/>
        </w:rPr>
        <w:t>économie et des finances et le Ministère de la santé ont signé un accord-cadre général pour établir un partenariat et une coopération visant à faciliter l</w:t>
      </w:r>
      <w:r w:rsidR="00F1794C" w:rsidRPr="00867021">
        <w:rPr>
          <w:lang w:val="fr-FR"/>
        </w:rPr>
        <w:t>’</w:t>
      </w:r>
      <w:r w:rsidR="005D40D4" w:rsidRPr="00867021">
        <w:rPr>
          <w:lang w:val="fr-FR"/>
        </w:rPr>
        <w:t>accès des migrants et des réfugiés résidant au Maroc aux services de santé</w:t>
      </w:r>
      <w:r w:rsidR="00F1794C" w:rsidRPr="00867021">
        <w:rPr>
          <w:lang w:val="fr-FR"/>
        </w:rPr>
        <w:t> ;</w:t>
      </w:r>
      <w:r w:rsidR="005D40D4" w:rsidRPr="00867021">
        <w:rPr>
          <w:lang w:val="fr-FR"/>
        </w:rPr>
        <w:t xml:space="preserve"> </w:t>
      </w:r>
    </w:p>
    <w:p w14:paraId="470AF61B" w14:textId="11941808" w:rsidR="005D40D4" w:rsidRPr="00867021" w:rsidRDefault="00867021" w:rsidP="00867021">
      <w:pPr>
        <w:pStyle w:val="SingleTxt"/>
        <w:tabs>
          <w:tab w:val="right" w:pos="1685"/>
        </w:tabs>
        <w:ind w:left="1742" w:hanging="475"/>
        <w:rPr>
          <w:lang w:val="fr-FR"/>
        </w:rPr>
      </w:pPr>
      <w:r>
        <w:rPr>
          <w:lang w:val="fr-FR"/>
        </w:rPr>
        <w:tab/>
        <w:t>•</w:t>
      </w:r>
      <w:r>
        <w:rPr>
          <w:lang w:val="fr-FR"/>
        </w:rPr>
        <w:tab/>
      </w:r>
      <w:r w:rsidR="005D40D4" w:rsidRPr="00867021">
        <w:rPr>
          <w:lang w:val="fr-FR"/>
        </w:rPr>
        <w:t>services de soins de santé en milieu rural</w:t>
      </w:r>
      <w:r w:rsidR="00F1794C" w:rsidRPr="00867021">
        <w:rPr>
          <w:lang w:val="fr-FR"/>
        </w:rPr>
        <w:t> :</w:t>
      </w:r>
      <w:r w:rsidR="005D40D4" w:rsidRPr="00867021">
        <w:rPr>
          <w:lang w:val="fr-FR"/>
        </w:rPr>
        <w:t xml:space="preserve"> conformément à la recommandation figurant au paragraphe 33 des observations finales, le plan national de promotion de la santé en milieu rural a permis d</w:t>
      </w:r>
      <w:r w:rsidR="00F1794C" w:rsidRPr="00867021">
        <w:rPr>
          <w:lang w:val="fr-FR"/>
        </w:rPr>
        <w:t>’</w:t>
      </w:r>
      <w:r w:rsidR="005D40D4" w:rsidRPr="00867021">
        <w:rPr>
          <w:lang w:val="fr-FR"/>
        </w:rPr>
        <w:t>améliorer l</w:t>
      </w:r>
      <w:r w:rsidR="00F1794C" w:rsidRPr="00867021">
        <w:rPr>
          <w:lang w:val="fr-FR"/>
        </w:rPr>
        <w:t>’</w:t>
      </w:r>
      <w:r w:rsidR="005D40D4" w:rsidRPr="00867021">
        <w:rPr>
          <w:lang w:val="fr-FR"/>
        </w:rPr>
        <w:t>accès des femmes rurales aux services de santé, notamment en ce qui concerne la baisse des taux de mortalité maternelle et de morbidité maternelle, en renforçant l</w:t>
      </w:r>
      <w:r w:rsidR="00F1794C" w:rsidRPr="00867021">
        <w:rPr>
          <w:lang w:val="fr-FR"/>
        </w:rPr>
        <w:t>’</w:t>
      </w:r>
      <w:r w:rsidR="005D40D4" w:rsidRPr="00867021">
        <w:rPr>
          <w:lang w:val="fr-FR"/>
        </w:rPr>
        <w:t>offre de santé dans le réseau des établissements de services de santé de base qui compte 2 865 établissements, dont 2 034 en milieu rural</w:t>
      </w:r>
      <w:r w:rsidR="00F1794C" w:rsidRPr="00867021">
        <w:rPr>
          <w:lang w:val="fr-FR"/>
        </w:rPr>
        <w:t> ;</w:t>
      </w:r>
      <w:r w:rsidR="005D40D4" w:rsidRPr="00867021">
        <w:rPr>
          <w:lang w:val="fr-FR"/>
        </w:rPr>
        <w:t xml:space="preserve"> en 2017, 3 308 médecins et 9 799 infirmiers travaillaient dans ces établissements</w:t>
      </w:r>
      <w:r w:rsidR="00F1794C" w:rsidRPr="00867021">
        <w:rPr>
          <w:lang w:val="fr-FR"/>
        </w:rPr>
        <w:t> ;</w:t>
      </w:r>
      <w:r w:rsidR="005D40D4" w:rsidRPr="00867021">
        <w:rPr>
          <w:lang w:val="fr-FR"/>
        </w:rPr>
        <w:t xml:space="preserve"> la même année, on dénombrait 158 établissements de services de santé hospitaliers</w:t>
      </w:r>
      <w:r w:rsidR="00F1794C" w:rsidRPr="00867021">
        <w:rPr>
          <w:lang w:val="fr-FR"/>
        </w:rPr>
        <w:t> ;</w:t>
      </w:r>
      <w:r w:rsidR="005D40D4" w:rsidRPr="00867021">
        <w:rPr>
          <w:lang w:val="fr-FR"/>
        </w:rPr>
        <w:t xml:space="preserve"> en 2018, cinq hôpitaux et deux centres de dialyse ont été rendus opérationnels</w:t>
      </w:r>
      <w:r w:rsidR="00F1794C" w:rsidRPr="00867021">
        <w:rPr>
          <w:lang w:val="fr-FR"/>
        </w:rPr>
        <w:t> ;</w:t>
      </w:r>
      <w:r w:rsidR="005D40D4" w:rsidRPr="00867021">
        <w:rPr>
          <w:lang w:val="fr-FR"/>
        </w:rPr>
        <w:t xml:space="preserve"> un réseau intégré des soins d</w:t>
      </w:r>
      <w:r w:rsidR="00F1794C" w:rsidRPr="00867021">
        <w:rPr>
          <w:lang w:val="fr-FR"/>
        </w:rPr>
        <w:t>’</w:t>
      </w:r>
      <w:r w:rsidR="005D40D4" w:rsidRPr="00867021">
        <w:rPr>
          <w:lang w:val="fr-FR"/>
        </w:rPr>
        <w:t>urgences médicales a été créé en tenant compte de la carte sanitaire, fixe et mobile.</w:t>
      </w:r>
    </w:p>
    <w:p w14:paraId="0A904D9E" w14:textId="155113F9" w:rsidR="005D40D4" w:rsidRPr="005D40D4" w:rsidRDefault="005D40D4" w:rsidP="00867021">
      <w:pPr>
        <w:pStyle w:val="SingleTxt"/>
        <w:numPr>
          <w:ilvl w:val="0"/>
          <w:numId w:val="50"/>
        </w:numPr>
        <w:tabs>
          <w:tab w:val="right" w:pos="1685"/>
        </w:tabs>
        <w:rPr>
          <w:lang w:val="fr-FR"/>
        </w:rPr>
      </w:pPr>
      <w:r w:rsidRPr="005D40D4">
        <w:rPr>
          <w:lang w:val="fr-FR"/>
        </w:rPr>
        <w:t>En ce qui concerne les unités mobiles, des améliorations ont été apportées à la prise en charge des urgences médicales avant l</w:t>
      </w:r>
      <w:r w:rsidR="00F1794C" w:rsidRPr="00F1794C">
        <w:rPr>
          <w:lang w:val="fr-FR"/>
        </w:rPr>
        <w:t>’</w:t>
      </w:r>
      <w:r w:rsidRPr="005D40D4">
        <w:rPr>
          <w:lang w:val="fr-FR"/>
        </w:rPr>
        <w:t>hospitalisation, comme suit</w:t>
      </w:r>
      <w:r w:rsidR="00F1794C" w:rsidRPr="00F1794C">
        <w:rPr>
          <w:lang w:val="fr-FR"/>
        </w:rPr>
        <w:t> :</w:t>
      </w:r>
    </w:p>
    <w:p w14:paraId="5CFE57C6" w14:textId="039B07E8" w:rsidR="005D40D4" w:rsidRPr="00867021" w:rsidRDefault="00867021" w:rsidP="00867021">
      <w:pPr>
        <w:pStyle w:val="SingleTxt"/>
        <w:tabs>
          <w:tab w:val="right" w:pos="1685"/>
        </w:tabs>
        <w:ind w:left="1742" w:hanging="475"/>
        <w:rPr>
          <w:lang w:val="fr-FR"/>
        </w:rPr>
      </w:pPr>
      <w:r>
        <w:rPr>
          <w:lang w:val="fr-FR"/>
        </w:rPr>
        <w:tab/>
        <w:t>•</w:t>
      </w:r>
      <w:r>
        <w:rPr>
          <w:lang w:val="fr-FR"/>
        </w:rPr>
        <w:tab/>
      </w:r>
      <w:r w:rsidR="005D40D4" w:rsidRPr="00867021">
        <w:rPr>
          <w:lang w:val="fr-FR"/>
        </w:rPr>
        <w:t>mise en service de 96 unités médicales d</w:t>
      </w:r>
      <w:r w:rsidR="00F1794C" w:rsidRPr="00867021">
        <w:rPr>
          <w:lang w:val="fr-FR"/>
        </w:rPr>
        <w:t>’</w:t>
      </w:r>
      <w:r w:rsidR="005D40D4" w:rsidRPr="00867021">
        <w:rPr>
          <w:lang w:val="fr-FR"/>
        </w:rPr>
        <w:t>urgence à proximité des centres de santé</w:t>
      </w:r>
      <w:r w:rsidR="00F1794C" w:rsidRPr="00867021">
        <w:rPr>
          <w:lang w:val="fr-FR"/>
        </w:rPr>
        <w:t> ;</w:t>
      </w:r>
      <w:r w:rsidR="005D40D4" w:rsidRPr="00867021">
        <w:rPr>
          <w:lang w:val="fr-FR"/>
        </w:rPr>
        <w:t xml:space="preserve"> </w:t>
      </w:r>
    </w:p>
    <w:p w14:paraId="247A3BAC" w14:textId="6BDEBCA0" w:rsidR="005D40D4" w:rsidRPr="00867021" w:rsidRDefault="00867021" w:rsidP="00867021">
      <w:pPr>
        <w:pStyle w:val="SingleTxt"/>
        <w:tabs>
          <w:tab w:val="right" w:pos="1685"/>
        </w:tabs>
        <w:ind w:left="1742" w:hanging="475"/>
        <w:rPr>
          <w:lang w:val="fr-FR"/>
        </w:rPr>
      </w:pPr>
      <w:r>
        <w:rPr>
          <w:lang w:val="fr-FR"/>
        </w:rPr>
        <w:tab/>
        <w:t>•</w:t>
      </w:r>
      <w:r>
        <w:rPr>
          <w:lang w:val="fr-FR"/>
        </w:rPr>
        <w:tab/>
      </w:r>
      <w:r w:rsidR="005D40D4" w:rsidRPr="00867021">
        <w:rPr>
          <w:lang w:val="fr-FR"/>
        </w:rPr>
        <w:t>remise en état de 48 services d</w:t>
      </w:r>
      <w:r w:rsidR="00F1794C" w:rsidRPr="00867021">
        <w:rPr>
          <w:lang w:val="fr-FR"/>
        </w:rPr>
        <w:t>’</w:t>
      </w:r>
      <w:r w:rsidR="005D40D4" w:rsidRPr="00867021">
        <w:rPr>
          <w:lang w:val="fr-FR"/>
        </w:rPr>
        <w:t>accueil des urgences de centres hospitaliers</w:t>
      </w:r>
      <w:r w:rsidR="00F1794C" w:rsidRPr="00867021">
        <w:rPr>
          <w:lang w:val="fr-FR"/>
        </w:rPr>
        <w:t> ;</w:t>
      </w:r>
    </w:p>
    <w:p w14:paraId="004FE8D1" w14:textId="143F590D" w:rsidR="005D40D4" w:rsidRPr="00867021" w:rsidRDefault="00867021" w:rsidP="00867021">
      <w:pPr>
        <w:pStyle w:val="SingleTxt"/>
        <w:tabs>
          <w:tab w:val="right" w:pos="1685"/>
        </w:tabs>
        <w:ind w:left="1742" w:hanging="475"/>
        <w:rPr>
          <w:lang w:val="fr-FR"/>
        </w:rPr>
      </w:pPr>
      <w:r>
        <w:rPr>
          <w:lang w:val="fr-FR"/>
        </w:rPr>
        <w:tab/>
        <w:t>•</w:t>
      </w:r>
      <w:r>
        <w:rPr>
          <w:lang w:val="fr-FR"/>
        </w:rPr>
        <w:tab/>
      </w:r>
      <w:r w:rsidR="005D40D4" w:rsidRPr="00867021">
        <w:rPr>
          <w:lang w:val="fr-FR"/>
        </w:rPr>
        <w:t>création de 11 services d</w:t>
      </w:r>
      <w:r w:rsidR="00F1794C" w:rsidRPr="00867021">
        <w:rPr>
          <w:lang w:val="fr-FR"/>
        </w:rPr>
        <w:t>’</w:t>
      </w:r>
      <w:r w:rsidR="005D40D4" w:rsidRPr="00867021">
        <w:rPr>
          <w:lang w:val="fr-FR"/>
        </w:rPr>
        <w:t>aide médicale d</w:t>
      </w:r>
      <w:r w:rsidR="00F1794C" w:rsidRPr="00867021">
        <w:rPr>
          <w:lang w:val="fr-FR"/>
        </w:rPr>
        <w:t>’</w:t>
      </w:r>
      <w:r w:rsidR="005D40D4" w:rsidRPr="00867021">
        <w:rPr>
          <w:lang w:val="fr-FR"/>
        </w:rPr>
        <w:t>urgence selon le nouveau découpage régional</w:t>
      </w:r>
      <w:r w:rsidR="00F1794C" w:rsidRPr="00867021">
        <w:rPr>
          <w:lang w:val="fr-FR"/>
        </w:rPr>
        <w:t> ;</w:t>
      </w:r>
    </w:p>
    <w:p w14:paraId="14A3374D" w14:textId="54B269F5" w:rsidR="005D40D4" w:rsidRPr="00867021" w:rsidRDefault="00867021" w:rsidP="00867021">
      <w:pPr>
        <w:pStyle w:val="SingleTxt"/>
        <w:tabs>
          <w:tab w:val="right" w:pos="1685"/>
        </w:tabs>
        <w:ind w:left="1742" w:hanging="475"/>
        <w:rPr>
          <w:lang w:val="fr-FR"/>
        </w:rPr>
      </w:pPr>
      <w:r>
        <w:rPr>
          <w:lang w:val="fr-FR"/>
        </w:rPr>
        <w:tab/>
        <w:t>•</w:t>
      </w:r>
      <w:r>
        <w:rPr>
          <w:lang w:val="fr-FR"/>
        </w:rPr>
        <w:tab/>
      </w:r>
      <w:r w:rsidR="005D40D4" w:rsidRPr="00867021">
        <w:rPr>
          <w:lang w:val="fr-FR"/>
        </w:rPr>
        <w:t>mise en service d</w:t>
      </w:r>
      <w:r w:rsidR="00F1794C" w:rsidRPr="00867021">
        <w:rPr>
          <w:lang w:val="fr-FR"/>
        </w:rPr>
        <w:t>’</w:t>
      </w:r>
      <w:r w:rsidR="005D40D4" w:rsidRPr="00867021">
        <w:rPr>
          <w:lang w:val="fr-FR"/>
        </w:rPr>
        <w:t>un numéro d</w:t>
      </w:r>
      <w:r w:rsidR="00F1794C" w:rsidRPr="00867021">
        <w:rPr>
          <w:lang w:val="fr-FR"/>
        </w:rPr>
        <w:t>’</w:t>
      </w:r>
      <w:r w:rsidR="005D40D4" w:rsidRPr="00867021">
        <w:rPr>
          <w:lang w:val="fr-FR"/>
        </w:rPr>
        <w:t>appel (141) gratuit unique à l</w:t>
      </w:r>
      <w:r w:rsidR="00F1794C" w:rsidRPr="00867021">
        <w:rPr>
          <w:lang w:val="fr-FR"/>
        </w:rPr>
        <w:t>’</w:t>
      </w:r>
      <w:r w:rsidR="005D40D4" w:rsidRPr="00867021">
        <w:rPr>
          <w:lang w:val="fr-FR"/>
        </w:rPr>
        <w:t>échelle nationale pour les urgences médicales</w:t>
      </w:r>
      <w:r w:rsidR="00F1794C" w:rsidRPr="00867021">
        <w:rPr>
          <w:lang w:val="fr-FR"/>
        </w:rPr>
        <w:t> ;</w:t>
      </w:r>
    </w:p>
    <w:p w14:paraId="548D403E" w14:textId="79310A80" w:rsidR="005D40D4" w:rsidRPr="00867021" w:rsidRDefault="00867021" w:rsidP="00867021">
      <w:pPr>
        <w:pStyle w:val="SingleTxt"/>
        <w:tabs>
          <w:tab w:val="right" w:pos="1685"/>
        </w:tabs>
        <w:ind w:left="1742" w:hanging="475"/>
        <w:rPr>
          <w:lang w:val="fr-FR"/>
        </w:rPr>
      </w:pPr>
      <w:r>
        <w:rPr>
          <w:lang w:val="fr-FR"/>
        </w:rPr>
        <w:tab/>
        <w:t>•</w:t>
      </w:r>
      <w:r>
        <w:rPr>
          <w:lang w:val="fr-FR"/>
        </w:rPr>
        <w:tab/>
      </w:r>
      <w:r w:rsidR="005D40D4" w:rsidRPr="00867021">
        <w:rPr>
          <w:lang w:val="fr-FR"/>
        </w:rPr>
        <w:t>mobilisation de quatre hélicoptères pour les services médicaux d</w:t>
      </w:r>
      <w:r w:rsidR="00F1794C" w:rsidRPr="00867021">
        <w:rPr>
          <w:lang w:val="fr-FR"/>
        </w:rPr>
        <w:t>’</w:t>
      </w:r>
      <w:r w:rsidR="005D40D4" w:rsidRPr="00867021">
        <w:rPr>
          <w:lang w:val="fr-FR"/>
        </w:rPr>
        <w:t>urgence</w:t>
      </w:r>
      <w:r w:rsidR="00F1794C" w:rsidRPr="00867021">
        <w:rPr>
          <w:lang w:val="fr-FR"/>
        </w:rPr>
        <w:t> ;</w:t>
      </w:r>
      <w:r w:rsidR="005D40D4" w:rsidRPr="00867021">
        <w:rPr>
          <w:lang w:val="fr-FR"/>
        </w:rPr>
        <w:t xml:space="preserve"> </w:t>
      </w:r>
    </w:p>
    <w:p w14:paraId="49E6665E" w14:textId="24C5F7DA" w:rsidR="005D40D4" w:rsidRPr="00867021" w:rsidRDefault="00867021" w:rsidP="00867021">
      <w:pPr>
        <w:pStyle w:val="SingleTxt"/>
        <w:tabs>
          <w:tab w:val="right" w:pos="1685"/>
        </w:tabs>
        <w:ind w:left="1742" w:hanging="475"/>
        <w:rPr>
          <w:lang w:val="fr-FR"/>
        </w:rPr>
      </w:pPr>
      <w:r>
        <w:rPr>
          <w:lang w:val="fr-FR"/>
        </w:rPr>
        <w:tab/>
        <w:t>•</w:t>
      </w:r>
      <w:r>
        <w:rPr>
          <w:lang w:val="fr-FR"/>
        </w:rPr>
        <w:tab/>
      </w:r>
      <w:r w:rsidR="005D40D4" w:rsidRPr="00867021">
        <w:rPr>
          <w:lang w:val="fr-FR"/>
        </w:rPr>
        <w:t>acquisition de deux hôpitaux de campagne mobiles au profit de la population des zones isolées où les conditions climatiques sont extrêmes dans lesquels travaille une équipe composée de médecins de différentes spécialités, d</w:t>
      </w:r>
      <w:r w:rsidR="00F1794C" w:rsidRPr="00867021">
        <w:rPr>
          <w:lang w:val="fr-FR"/>
        </w:rPr>
        <w:t>’</w:t>
      </w:r>
      <w:r w:rsidR="005D40D4" w:rsidRPr="00867021">
        <w:rPr>
          <w:lang w:val="fr-FR"/>
        </w:rPr>
        <w:t>infirmiers, de personnel paramédical et de personnel technique chargé de la maintenance et de l</w:t>
      </w:r>
      <w:r w:rsidR="00F1794C" w:rsidRPr="00867021">
        <w:rPr>
          <w:lang w:val="fr-FR"/>
        </w:rPr>
        <w:t>’</w:t>
      </w:r>
      <w:r w:rsidR="005D40D4" w:rsidRPr="00867021">
        <w:rPr>
          <w:lang w:val="fr-FR"/>
        </w:rPr>
        <w:t>appui</w:t>
      </w:r>
      <w:r w:rsidR="00F1794C" w:rsidRPr="00867021">
        <w:rPr>
          <w:lang w:val="fr-FR"/>
        </w:rPr>
        <w:t> ;</w:t>
      </w:r>
    </w:p>
    <w:p w14:paraId="26F1FA05" w14:textId="1D535138" w:rsidR="005D40D4" w:rsidRPr="00867021" w:rsidRDefault="00867021" w:rsidP="00867021">
      <w:pPr>
        <w:pStyle w:val="SingleTxt"/>
        <w:tabs>
          <w:tab w:val="right" w:pos="1685"/>
        </w:tabs>
        <w:ind w:left="1742" w:hanging="475"/>
        <w:rPr>
          <w:lang w:val="fr-FR"/>
        </w:rPr>
      </w:pPr>
      <w:r>
        <w:rPr>
          <w:lang w:val="fr-FR"/>
        </w:rPr>
        <w:tab/>
        <w:t>•</w:t>
      </w:r>
      <w:r>
        <w:rPr>
          <w:lang w:val="fr-FR"/>
        </w:rPr>
        <w:tab/>
      </w:r>
      <w:r w:rsidR="005D40D4" w:rsidRPr="00867021">
        <w:rPr>
          <w:lang w:val="fr-FR"/>
        </w:rPr>
        <w:t>mise en place du système d</w:t>
      </w:r>
      <w:r w:rsidR="00F1794C" w:rsidRPr="00867021">
        <w:rPr>
          <w:lang w:val="fr-FR"/>
        </w:rPr>
        <w:t>’</w:t>
      </w:r>
      <w:r w:rsidR="005D40D4" w:rsidRPr="00867021">
        <w:rPr>
          <w:lang w:val="fr-FR"/>
        </w:rPr>
        <w:t>assistance médicale obstétrique dans les zones éloignées (systèmes d</w:t>
      </w:r>
      <w:r w:rsidR="00F1794C" w:rsidRPr="00867021">
        <w:rPr>
          <w:lang w:val="fr-FR"/>
        </w:rPr>
        <w:t>’</w:t>
      </w:r>
      <w:r w:rsidR="005D40D4" w:rsidRPr="00867021">
        <w:rPr>
          <w:lang w:val="fr-FR"/>
        </w:rPr>
        <w:t>urgence génésique)</w:t>
      </w:r>
      <w:r w:rsidR="00F1794C" w:rsidRPr="00867021">
        <w:rPr>
          <w:lang w:val="fr-FR"/>
        </w:rPr>
        <w:t> ;</w:t>
      </w:r>
    </w:p>
    <w:p w14:paraId="2C114B70" w14:textId="520607CA" w:rsidR="005D40D4" w:rsidRPr="00867021" w:rsidRDefault="00867021" w:rsidP="00867021">
      <w:pPr>
        <w:pStyle w:val="SingleTxt"/>
        <w:tabs>
          <w:tab w:val="right" w:pos="1685"/>
        </w:tabs>
        <w:ind w:left="1742" w:hanging="475"/>
        <w:rPr>
          <w:lang w:val="fr-FR"/>
        </w:rPr>
      </w:pPr>
      <w:r>
        <w:rPr>
          <w:lang w:val="fr-FR"/>
        </w:rPr>
        <w:tab/>
        <w:t>•</w:t>
      </w:r>
      <w:r>
        <w:rPr>
          <w:lang w:val="fr-FR"/>
        </w:rPr>
        <w:tab/>
      </w:r>
      <w:r w:rsidR="005D40D4" w:rsidRPr="00867021">
        <w:rPr>
          <w:lang w:val="fr-FR"/>
        </w:rPr>
        <w:t>création de cinq instituts de formation des techniciens dans le domaine du transport médical et des secours sanitaires</w:t>
      </w:r>
      <w:r w:rsidR="00F1794C" w:rsidRPr="00867021">
        <w:rPr>
          <w:lang w:val="fr-FR"/>
        </w:rPr>
        <w:t> ;</w:t>
      </w:r>
      <w:r w:rsidR="005D40D4" w:rsidRPr="00867021">
        <w:rPr>
          <w:lang w:val="fr-FR"/>
        </w:rPr>
        <w:t xml:space="preserve"> </w:t>
      </w:r>
    </w:p>
    <w:p w14:paraId="2E87D551" w14:textId="3B0B649D" w:rsidR="005D40D4" w:rsidRPr="00867021" w:rsidRDefault="00867021" w:rsidP="00867021">
      <w:pPr>
        <w:pStyle w:val="SingleTxt"/>
        <w:tabs>
          <w:tab w:val="right" w:pos="1685"/>
        </w:tabs>
        <w:ind w:left="1742" w:hanging="475"/>
        <w:rPr>
          <w:lang w:val="fr-FR"/>
        </w:rPr>
      </w:pPr>
      <w:r>
        <w:rPr>
          <w:lang w:val="fr-FR"/>
        </w:rPr>
        <w:lastRenderedPageBreak/>
        <w:tab/>
        <w:t>•</w:t>
      </w:r>
      <w:r>
        <w:rPr>
          <w:lang w:val="fr-FR"/>
        </w:rPr>
        <w:tab/>
      </w:r>
      <w:r w:rsidR="005D40D4" w:rsidRPr="00867021">
        <w:rPr>
          <w:lang w:val="fr-FR"/>
        </w:rPr>
        <w:t>élaboration de cinq parcours de formation à l</w:t>
      </w:r>
      <w:r w:rsidR="00F1794C" w:rsidRPr="00867021">
        <w:rPr>
          <w:lang w:val="fr-FR"/>
        </w:rPr>
        <w:t>’</w:t>
      </w:r>
      <w:r w:rsidR="005D40D4" w:rsidRPr="00867021">
        <w:rPr>
          <w:lang w:val="fr-FR"/>
        </w:rPr>
        <w:t>intention des infirmiers spécialisés dans les services d</w:t>
      </w:r>
      <w:r w:rsidR="00F1794C" w:rsidRPr="00867021">
        <w:rPr>
          <w:lang w:val="fr-FR"/>
        </w:rPr>
        <w:t>’</w:t>
      </w:r>
      <w:r w:rsidR="005D40D4" w:rsidRPr="00867021">
        <w:rPr>
          <w:lang w:val="fr-FR"/>
        </w:rPr>
        <w:t>urgence et les soins intensifs dans sept instituts supérieurs des professions infirmières et techniques de santé</w:t>
      </w:r>
    </w:p>
    <w:p w14:paraId="2C0F3ECC" w14:textId="47BC557E" w:rsidR="005D40D4" w:rsidRPr="00867021" w:rsidRDefault="00867021" w:rsidP="00867021">
      <w:pPr>
        <w:pStyle w:val="SingleTxt"/>
        <w:tabs>
          <w:tab w:val="right" w:pos="1685"/>
        </w:tabs>
        <w:ind w:left="1742" w:hanging="475"/>
        <w:rPr>
          <w:lang w:val="fr-FR"/>
        </w:rPr>
      </w:pPr>
      <w:r>
        <w:rPr>
          <w:lang w:val="fr-FR"/>
        </w:rPr>
        <w:tab/>
        <w:t>•</w:t>
      </w:r>
      <w:r>
        <w:rPr>
          <w:lang w:val="fr-FR"/>
        </w:rPr>
        <w:tab/>
      </w:r>
      <w:r w:rsidR="005D40D4" w:rsidRPr="00867021">
        <w:rPr>
          <w:lang w:val="fr-FR"/>
        </w:rPr>
        <w:t>nouvelle unité de formation ajouté dans le domaine de la médecine d</w:t>
      </w:r>
      <w:r w:rsidR="00F1794C" w:rsidRPr="00867021">
        <w:rPr>
          <w:lang w:val="fr-FR"/>
        </w:rPr>
        <w:t>’</w:t>
      </w:r>
      <w:r w:rsidR="005D40D4" w:rsidRPr="00867021">
        <w:rPr>
          <w:lang w:val="fr-FR"/>
        </w:rPr>
        <w:t>urgence dans le cycle de santé familiale et de santé communautaire à l</w:t>
      </w:r>
      <w:r w:rsidR="00F1794C" w:rsidRPr="00867021">
        <w:rPr>
          <w:lang w:val="fr-FR"/>
        </w:rPr>
        <w:t>’</w:t>
      </w:r>
      <w:r w:rsidR="005D40D4" w:rsidRPr="00867021">
        <w:rPr>
          <w:lang w:val="fr-FR"/>
        </w:rPr>
        <w:t>École nationale de santé publique.</w:t>
      </w:r>
    </w:p>
    <w:p w14:paraId="5FE8DEB1" w14:textId="21E19E6C" w:rsidR="005D40D4" w:rsidRPr="005D40D4" w:rsidRDefault="005D40D4" w:rsidP="00867021">
      <w:pPr>
        <w:pStyle w:val="SingleTxt"/>
        <w:numPr>
          <w:ilvl w:val="0"/>
          <w:numId w:val="50"/>
        </w:numPr>
        <w:tabs>
          <w:tab w:val="right" w:pos="1685"/>
        </w:tabs>
        <w:rPr>
          <w:lang w:val="fr-FR"/>
        </w:rPr>
      </w:pPr>
      <w:r w:rsidRPr="005D40D4">
        <w:rPr>
          <w:lang w:val="fr-FR"/>
        </w:rPr>
        <w:t>Les unités mobiles proposent un ensemble de services de santé (soins préventifs, traitements et sensibilisation). La priorité est donnée aux programmes de santé maternelle et infantile et à la santé procréative par l</w:t>
      </w:r>
      <w:r w:rsidR="00F1794C" w:rsidRPr="00F1794C">
        <w:rPr>
          <w:lang w:val="fr-FR"/>
        </w:rPr>
        <w:t>’</w:t>
      </w:r>
      <w:r w:rsidRPr="005D40D4">
        <w:rPr>
          <w:lang w:val="fr-FR"/>
        </w:rPr>
        <w:t xml:space="preserve">organisation régulière de visites sur le terrain. En 2017, 12 037 visites ont été effectuées. </w:t>
      </w:r>
    </w:p>
    <w:p w14:paraId="7304909A" w14:textId="77777777" w:rsidR="00867021" w:rsidRPr="00867021" w:rsidRDefault="00867021" w:rsidP="00867021">
      <w:pPr>
        <w:pStyle w:val="SingleTxt"/>
        <w:tabs>
          <w:tab w:val="right" w:pos="1685"/>
        </w:tabs>
        <w:spacing w:after="0" w:line="120" w:lineRule="exact"/>
        <w:ind w:left="1742" w:hanging="475"/>
        <w:rPr>
          <w:sz w:val="10"/>
          <w:lang w:val="fr-FR"/>
        </w:rPr>
      </w:pPr>
    </w:p>
    <w:p w14:paraId="77722591" w14:textId="0C11885B" w:rsidR="00867021" w:rsidRDefault="00867021" w:rsidP="00867021">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5D40D4" w:rsidRPr="005D40D4">
        <w:rPr>
          <w:lang w:val="fr-FR"/>
        </w:rPr>
        <w:t>Tableau 12</w:t>
      </w:r>
    </w:p>
    <w:p w14:paraId="03B40A31" w14:textId="3E047211" w:rsidR="005D40D4" w:rsidRPr="005D40D4" w:rsidRDefault="00867021" w:rsidP="0086702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rPr>
        <w:tab/>
      </w:r>
      <w:r>
        <w:rPr>
          <w:lang/>
        </w:rPr>
        <w:tab/>
        <w:t>V</w:t>
      </w:r>
      <w:r w:rsidR="005D40D4" w:rsidRPr="005D40D4">
        <w:rPr>
          <w:lang w:val="fr-FR"/>
        </w:rPr>
        <w:t>isites sur le terrain effectuées par les unités médicales mobiles (2012-2017)</w:t>
      </w:r>
    </w:p>
    <w:p w14:paraId="7676B921" w14:textId="4B98BB2F" w:rsidR="00F13A4D" w:rsidRPr="00867021" w:rsidRDefault="00F13A4D" w:rsidP="00867021">
      <w:pPr>
        <w:pStyle w:val="SingleTxt"/>
        <w:tabs>
          <w:tab w:val="right" w:pos="1685"/>
        </w:tabs>
        <w:spacing w:after="0" w:line="120" w:lineRule="exact"/>
        <w:ind w:left="1742" w:hanging="475"/>
        <w:rPr>
          <w:sz w:val="10"/>
          <w:lang w:val="fr-FR"/>
        </w:rPr>
      </w:pPr>
    </w:p>
    <w:p w14:paraId="3D51DF14" w14:textId="08E7D66A" w:rsidR="00867021" w:rsidRPr="00867021" w:rsidRDefault="00867021" w:rsidP="00867021">
      <w:pPr>
        <w:pStyle w:val="SingleTxt"/>
        <w:tabs>
          <w:tab w:val="right" w:pos="1685"/>
        </w:tabs>
        <w:spacing w:after="0" w:line="120" w:lineRule="exact"/>
        <w:ind w:left="1742" w:hanging="475"/>
        <w:rPr>
          <w:sz w:val="10"/>
          <w:lang w:val="fr-FR"/>
        </w:rPr>
      </w:pPr>
    </w:p>
    <w:tbl>
      <w:tblPr>
        <w:tblStyle w:val="Grilledutableau8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620"/>
        <w:gridCol w:w="950"/>
        <w:gridCol w:w="950"/>
        <w:gridCol w:w="951"/>
        <w:gridCol w:w="950"/>
        <w:gridCol w:w="950"/>
        <w:gridCol w:w="951"/>
      </w:tblGrid>
      <w:tr w:rsidR="00867021" w:rsidRPr="00867021" w14:paraId="12F0C242" w14:textId="77777777" w:rsidTr="00867021">
        <w:trPr>
          <w:cantSplit/>
          <w:tblHeader/>
          <w:jc w:val="center"/>
        </w:trPr>
        <w:tc>
          <w:tcPr>
            <w:tcW w:w="1620" w:type="dxa"/>
            <w:tcBorders>
              <w:top w:val="single" w:sz="4" w:space="0" w:color="auto"/>
              <w:bottom w:val="single" w:sz="12" w:space="0" w:color="auto"/>
            </w:tcBorders>
            <w:shd w:val="clear" w:color="auto" w:fill="auto"/>
            <w:noWrap/>
            <w:vAlign w:val="bottom"/>
          </w:tcPr>
          <w:p w14:paraId="094470DD" w14:textId="77777777" w:rsidR="005D40D4" w:rsidRPr="00867021" w:rsidRDefault="005D40D4" w:rsidP="00867021">
            <w:pPr>
              <w:suppressAutoHyphens/>
              <w:spacing w:before="81" w:after="81" w:line="160" w:lineRule="exact"/>
              <w:ind w:right="40"/>
              <w:rPr>
                <w:i/>
                <w:sz w:val="14"/>
              </w:rPr>
            </w:pPr>
            <w:r w:rsidRPr="00867021">
              <w:rPr>
                <w:i/>
                <w:sz w:val="14"/>
              </w:rPr>
              <w:t>Année</w:t>
            </w:r>
          </w:p>
        </w:tc>
        <w:tc>
          <w:tcPr>
            <w:tcW w:w="950" w:type="dxa"/>
            <w:tcBorders>
              <w:top w:val="single" w:sz="4" w:space="0" w:color="auto"/>
              <w:bottom w:val="single" w:sz="12" w:space="0" w:color="auto"/>
            </w:tcBorders>
            <w:shd w:val="clear" w:color="auto" w:fill="auto"/>
            <w:noWrap/>
            <w:vAlign w:val="bottom"/>
          </w:tcPr>
          <w:p w14:paraId="21AA904D" w14:textId="77777777" w:rsidR="005D40D4" w:rsidRPr="00867021" w:rsidRDefault="005D40D4" w:rsidP="00867021">
            <w:pPr>
              <w:suppressAutoHyphens/>
              <w:spacing w:before="81" w:after="81" w:line="160" w:lineRule="exact"/>
              <w:ind w:right="43"/>
              <w:jc w:val="right"/>
              <w:rPr>
                <w:i/>
                <w:sz w:val="14"/>
              </w:rPr>
            </w:pPr>
            <w:r w:rsidRPr="00867021">
              <w:rPr>
                <w:i/>
                <w:sz w:val="14"/>
              </w:rPr>
              <w:t>2012</w:t>
            </w:r>
          </w:p>
        </w:tc>
        <w:tc>
          <w:tcPr>
            <w:tcW w:w="950" w:type="dxa"/>
            <w:tcBorders>
              <w:top w:val="single" w:sz="4" w:space="0" w:color="auto"/>
              <w:bottom w:val="single" w:sz="12" w:space="0" w:color="auto"/>
            </w:tcBorders>
            <w:shd w:val="clear" w:color="auto" w:fill="auto"/>
            <w:noWrap/>
            <w:vAlign w:val="bottom"/>
          </w:tcPr>
          <w:p w14:paraId="276E8E6D" w14:textId="77777777" w:rsidR="005D40D4" w:rsidRPr="00867021" w:rsidRDefault="005D40D4" w:rsidP="00867021">
            <w:pPr>
              <w:suppressAutoHyphens/>
              <w:spacing w:before="81" w:after="81" w:line="160" w:lineRule="exact"/>
              <w:ind w:right="43"/>
              <w:jc w:val="right"/>
              <w:rPr>
                <w:i/>
                <w:sz w:val="14"/>
              </w:rPr>
            </w:pPr>
            <w:r w:rsidRPr="00867021">
              <w:rPr>
                <w:i/>
                <w:sz w:val="14"/>
              </w:rPr>
              <w:t>2013</w:t>
            </w:r>
          </w:p>
        </w:tc>
        <w:tc>
          <w:tcPr>
            <w:tcW w:w="951" w:type="dxa"/>
            <w:tcBorders>
              <w:top w:val="single" w:sz="4" w:space="0" w:color="auto"/>
              <w:bottom w:val="single" w:sz="12" w:space="0" w:color="auto"/>
            </w:tcBorders>
            <w:shd w:val="clear" w:color="auto" w:fill="auto"/>
            <w:noWrap/>
            <w:vAlign w:val="bottom"/>
          </w:tcPr>
          <w:p w14:paraId="575AA4C4" w14:textId="77777777" w:rsidR="005D40D4" w:rsidRPr="00867021" w:rsidRDefault="005D40D4" w:rsidP="00867021">
            <w:pPr>
              <w:suppressAutoHyphens/>
              <w:spacing w:before="81" w:after="81" w:line="160" w:lineRule="exact"/>
              <w:ind w:right="43"/>
              <w:jc w:val="right"/>
              <w:rPr>
                <w:i/>
                <w:sz w:val="14"/>
              </w:rPr>
            </w:pPr>
            <w:r w:rsidRPr="00867021">
              <w:rPr>
                <w:i/>
                <w:sz w:val="14"/>
              </w:rPr>
              <w:t>2014</w:t>
            </w:r>
          </w:p>
        </w:tc>
        <w:tc>
          <w:tcPr>
            <w:tcW w:w="950" w:type="dxa"/>
            <w:tcBorders>
              <w:top w:val="single" w:sz="4" w:space="0" w:color="auto"/>
              <w:bottom w:val="single" w:sz="12" w:space="0" w:color="auto"/>
            </w:tcBorders>
            <w:shd w:val="clear" w:color="auto" w:fill="auto"/>
            <w:noWrap/>
            <w:vAlign w:val="bottom"/>
          </w:tcPr>
          <w:p w14:paraId="4B6FE3BF" w14:textId="77777777" w:rsidR="005D40D4" w:rsidRPr="00867021" w:rsidRDefault="005D40D4" w:rsidP="00867021">
            <w:pPr>
              <w:suppressAutoHyphens/>
              <w:spacing w:before="81" w:after="81" w:line="160" w:lineRule="exact"/>
              <w:ind w:right="43"/>
              <w:jc w:val="right"/>
              <w:rPr>
                <w:i/>
                <w:sz w:val="14"/>
              </w:rPr>
            </w:pPr>
            <w:r w:rsidRPr="00867021">
              <w:rPr>
                <w:i/>
                <w:sz w:val="14"/>
              </w:rPr>
              <w:t>2015</w:t>
            </w:r>
          </w:p>
        </w:tc>
        <w:tc>
          <w:tcPr>
            <w:tcW w:w="950" w:type="dxa"/>
            <w:tcBorders>
              <w:top w:val="single" w:sz="4" w:space="0" w:color="auto"/>
              <w:bottom w:val="single" w:sz="12" w:space="0" w:color="auto"/>
            </w:tcBorders>
            <w:shd w:val="clear" w:color="auto" w:fill="auto"/>
            <w:noWrap/>
            <w:vAlign w:val="bottom"/>
          </w:tcPr>
          <w:p w14:paraId="1E80E97C" w14:textId="77777777" w:rsidR="005D40D4" w:rsidRPr="00867021" w:rsidRDefault="005D40D4" w:rsidP="00867021">
            <w:pPr>
              <w:suppressAutoHyphens/>
              <w:spacing w:before="81" w:after="81" w:line="160" w:lineRule="exact"/>
              <w:ind w:right="43"/>
              <w:jc w:val="right"/>
              <w:rPr>
                <w:i/>
                <w:sz w:val="14"/>
              </w:rPr>
            </w:pPr>
            <w:r w:rsidRPr="00867021">
              <w:rPr>
                <w:i/>
                <w:sz w:val="14"/>
              </w:rPr>
              <w:t>2016</w:t>
            </w:r>
          </w:p>
        </w:tc>
        <w:tc>
          <w:tcPr>
            <w:tcW w:w="951" w:type="dxa"/>
            <w:tcBorders>
              <w:top w:val="single" w:sz="4" w:space="0" w:color="auto"/>
              <w:bottom w:val="single" w:sz="12" w:space="0" w:color="auto"/>
            </w:tcBorders>
            <w:shd w:val="clear" w:color="auto" w:fill="auto"/>
            <w:noWrap/>
            <w:vAlign w:val="bottom"/>
          </w:tcPr>
          <w:p w14:paraId="5289FE61" w14:textId="77777777" w:rsidR="005D40D4" w:rsidRPr="00867021" w:rsidRDefault="005D40D4" w:rsidP="00867021">
            <w:pPr>
              <w:suppressAutoHyphens/>
              <w:spacing w:before="81" w:after="81" w:line="160" w:lineRule="exact"/>
              <w:ind w:right="43"/>
              <w:jc w:val="right"/>
              <w:rPr>
                <w:i/>
                <w:sz w:val="14"/>
              </w:rPr>
            </w:pPr>
            <w:r w:rsidRPr="00867021">
              <w:rPr>
                <w:i/>
                <w:sz w:val="14"/>
              </w:rPr>
              <w:t>2017</w:t>
            </w:r>
          </w:p>
        </w:tc>
      </w:tr>
      <w:tr w:rsidR="00867021" w:rsidRPr="00867021" w14:paraId="4A3AC98E" w14:textId="77777777" w:rsidTr="00867021">
        <w:trPr>
          <w:cantSplit/>
          <w:trHeight w:hRule="exact" w:val="115"/>
          <w:tblHeader/>
          <w:jc w:val="center"/>
        </w:trPr>
        <w:tc>
          <w:tcPr>
            <w:tcW w:w="1620" w:type="dxa"/>
            <w:tcBorders>
              <w:top w:val="single" w:sz="12" w:space="0" w:color="auto"/>
            </w:tcBorders>
            <w:shd w:val="clear" w:color="auto" w:fill="auto"/>
            <w:noWrap/>
            <w:vAlign w:val="bottom"/>
          </w:tcPr>
          <w:p w14:paraId="192D21BB" w14:textId="77777777" w:rsidR="00867021" w:rsidRPr="00867021" w:rsidRDefault="00867021" w:rsidP="00867021">
            <w:pPr>
              <w:suppressAutoHyphens/>
              <w:spacing w:before="40" w:after="40" w:line="210" w:lineRule="exact"/>
              <w:ind w:right="40"/>
              <w:rPr>
                <w:sz w:val="17"/>
              </w:rPr>
            </w:pPr>
          </w:p>
        </w:tc>
        <w:tc>
          <w:tcPr>
            <w:tcW w:w="950" w:type="dxa"/>
            <w:tcBorders>
              <w:top w:val="single" w:sz="12" w:space="0" w:color="auto"/>
            </w:tcBorders>
            <w:shd w:val="clear" w:color="auto" w:fill="auto"/>
            <w:noWrap/>
            <w:vAlign w:val="bottom"/>
          </w:tcPr>
          <w:p w14:paraId="7373C671" w14:textId="77777777" w:rsidR="00867021" w:rsidRPr="00867021" w:rsidRDefault="00867021" w:rsidP="00867021">
            <w:pPr>
              <w:suppressAutoHyphens/>
              <w:spacing w:before="40" w:after="40" w:line="210" w:lineRule="exact"/>
              <w:ind w:right="43"/>
              <w:jc w:val="right"/>
              <w:rPr>
                <w:sz w:val="17"/>
              </w:rPr>
            </w:pPr>
          </w:p>
        </w:tc>
        <w:tc>
          <w:tcPr>
            <w:tcW w:w="950" w:type="dxa"/>
            <w:tcBorders>
              <w:top w:val="single" w:sz="12" w:space="0" w:color="auto"/>
            </w:tcBorders>
            <w:shd w:val="clear" w:color="auto" w:fill="auto"/>
            <w:noWrap/>
            <w:vAlign w:val="bottom"/>
          </w:tcPr>
          <w:p w14:paraId="3B90D024" w14:textId="77777777" w:rsidR="00867021" w:rsidRPr="00867021" w:rsidRDefault="00867021" w:rsidP="00867021">
            <w:pPr>
              <w:suppressAutoHyphens/>
              <w:spacing w:before="40" w:after="40" w:line="210" w:lineRule="exact"/>
              <w:ind w:right="43"/>
              <w:jc w:val="right"/>
              <w:rPr>
                <w:sz w:val="17"/>
              </w:rPr>
            </w:pPr>
          </w:p>
        </w:tc>
        <w:tc>
          <w:tcPr>
            <w:tcW w:w="951" w:type="dxa"/>
            <w:tcBorders>
              <w:top w:val="single" w:sz="12" w:space="0" w:color="auto"/>
            </w:tcBorders>
            <w:shd w:val="clear" w:color="auto" w:fill="auto"/>
            <w:noWrap/>
            <w:vAlign w:val="bottom"/>
          </w:tcPr>
          <w:p w14:paraId="3D8DCEEB" w14:textId="77777777" w:rsidR="00867021" w:rsidRPr="00867021" w:rsidRDefault="00867021" w:rsidP="00867021">
            <w:pPr>
              <w:suppressAutoHyphens/>
              <w:spacing w:before="40" w:after="40" w:line="210" w:lineRule="exact"/>
              <w:ind w:right="43"/>
              <w:jc w:val="right"/>
              <w:rPr>
                <w:sz w:val="17"/>
              </w:rPr>
            </w:pPr>
          </w:p>
        </w:tc>
        <w:tc>
          <w:tcPr>
            <w:tcW w:w="950" w:type="dxa"/>
            <w:tcBorders>
              <w:top w:val="single" w:sz="12" w:space="0" w:color="auto"/>
            </w:tcBorders>
            <w:shd w:val="clear" w:color="auto" w:fill="auto"/>
            <w:noWrap/>
            <w:vAlign w:val="bottom"/>
          </w:tcPr>
          <w:p w14:paraId="0447DF0C" w14:textId="77777777" w:rsidR="00867021" w:rsidRPr="00867021" w:rsidRDefault="00867021" w:rsidP="00867021">
            <w:pPr>
              <w:suppressAutoHyphens/>
              <w:spacing w:before="40" w:after="40" w:line="210" w:lineRule="exact"/>
              <w:ind w:right="43"/>
              <w:jc w:val="right"/>
              <w:rPr>
                <w:sz w:val="17"/>
              </w:rPr>
            </w:pPr>
          </w:p>
        </w:tc>
        <w:tc>
          <w:tcPr>
            <w:tcW w:w="950" w:type="dxa"/>
            <w:tcBorders>
              <w:top w:val="single" w:sz="12" w:space="0" w:color="auto"/>
            </w:tcBorders>
            <w:shd w:val="clear" w:color="auto" w:fill="auto"/>
            <w:noWrap/>
            <w:vAlign w:val="bottom"/>
          </w:tcPr>
          <w:p w14:paraId="54448262" w14:textId="77777777" w:rsidR="00867021" w:rsidRPr="00867021" w:rsidRDefault="00867021" w:rsidP="00867021">
            <w:pPr>
              <w:suppressAutoHyphens/>
              <w:spacing w:before="40" w:after="40" w:line="210" w:lineRule="exact"/>
              <w:ind w:right="43"/>
              <w:jc w:val="right"/>
              <w:rPr>
                <w:sz w:val="17"/>
              </w:rPr>
            </w:pPr>
          </w:p>
        </w:tc>
        <w:tc>
          <w:tcPr>
            <w:tcW w:w="951" w:type="dxa"/>
            <w:tcBorders>
              <w:top w:val="single" w:sz="12" w:space="0" w:color="auto"/>
            </w:tcBorders>
            <w:shd w:val="clear" w:color="auto" w:fill="auto"/>
            <w:noWrap/>
            <w:vAlign w:val="bottom"/>
          </w:tcPr>
          <w:p w14:paraId="634ADE30" w14:textId="77777777" w:rsidR="00867021" w:rsidRPr="00867021" w:rsidRDefault="00867021" w:rsidP="00867021">
            <w:pPr>
              <w:suppressAutoHyphens/>
              <w:spacing w:before="40" w:after="40" w:line="210" w:lineRule="exact"/>
              <w:ind w:right="43"/>
              <w:jc w:val="right"/>
              <w:rPr>
                <w:sz w:val="17"/>
              </w:rPr>
            </w:pPr>
          </w:p>
        </w:tc>
      </w:tr>
      <w:tr w:rsidR="00867021" w:rsidRPr="00867021" w14:paraId="13EF9613" w14:textId="77777777" w:rsidTr="00867021">
        <w:trPr>
          <w:cantSplit/>
          <w:jc w:val="center"/>
        </w:trPr>
        <w:tc>
          <w:tcPr>
            <w:tcW w:w="1620" w:type="dxa"/>
            <w:tcBorders>
              <w:bottom w:val="single" w:sz="12" w:space="0" w:color="auto"/>
            </w:tcBorders>
            <w:shd w:val="clear" w:color="auto" w:fill="auto"/>
            <w:noWrap/>
            <w:vAlign w:val="bottom"/>
          </w:tcPr>
          <w:p w14:paraId="39590A7C" w14:textId="77777777" w:rsidR="005D40D4" w:rsidRPr="00867021" w:rsidRDefault="005D40D4" w:rsidP="00867021">
            <w:pPr>
              <w:tabs>
                <w:tab w:val="left" w:pos="288"/>
                <w:tab w:val="left" w:pos="576"/>
                <w:tab w:val="left" w:pos="864"/>
                <w:tab w:val="left" w:pos="1152"/>
              </w:tabs>
              <w:suppressAutoHyphens/>
              <w:spacing w:before="40" w:after="40" w:line="210" w:lineRule="exact"/>
              <w:ind w:right="40"/>
              <w:rPr>
                <w:sz w:val="17"/>
              </w:rPr>
            </w:pPr>
            <w:r w:rsidRPr="00867021">
              <w:rPr>
                <w:sz w:val="17"/>
              </w:rPr>
              <w:t>Visites sur le terrain</w:t>
            </w:r>
          </w:p>
        </w:tc>
        <w:tc>
          <w:tcPr>
            <w:tcW w:w="950" w:type="dxa"/>
            <w:tcBorders>
              <w:bottom w:val="single" w:sz="12" w:space="0" w:color="auto"/>
            </w:tcBorders>
            <w:shd w:val="clear" w:color="auto" w:fill="auto"/>
            <w:noWrap/>
            <w:vAlign w:val="bottom"/>
          </w:tcPr>
          <w:p w14:paraId="27F40CD7" w14:textId="77777777" w:rsidR="005D40D4" w:rsidRPr="00867021" w:rsidRDefault="005D40D4" w:rsidP="00867021">
            <w:pPr>
              <w:tabs>
                <w:tab w:val="left" w:pos="288"/>
                <w:tab w:val="left" w:pos="576"/>
                <w:tab w:val="left" w:pos="864"/>
                <w:tab w:val="left" w:pos="1152"/>
              </w:tabs>
              <w:suppressAutoHyphens/>
              <w:spacing w:before="40" w:after="40" w:line="210" w:lineRule="exact"/>
              <w:ind w:right="43"/>
              <w:jc w:val="right"/>
              <w:rPr>
                <w:sz w:val="17"/>
              </w:rPr>
            </w:pPr>
            <w:r w:rsidRPr="00867021">
              <w:rPr>
                <w:sz w:val="17"/>
              </w:rPr>
              <w:t>10 045</w:t>
            </w:r>
          </w:p>
        </w:tc>
        <w:tc>
          <w:tcPr>
            <w:tcW w:w="950" w:type="dxa"/>
            <w:tcBorders>
              <w:bottom w:val="single" w:sz="12" w:space="0" w:color="auto"/>
            </w:tcBorders>
            <w:shd w:val="clear" w:color="auto" w:fill="auto"/>
            <w:noWrap/>
            <w:vAlign w:val="bottom"/>
          </w:tcPr>
          <w:p w14:paraId="589D6D1E" w14:textId="77777777" w:rsidR="005D40D4" w:rsidRPr="00867021" w:rsidRDefault="005D40D4" w:rsidP="00867021">
            <w:pPr>
              <w:tabs>
                <w:tab w:val="left" w:pos="288"/>
                <w:tab w:val="left" w:pos="576"/>
                <w:tab w:val="left" w:pos="864"/>
                <w:tab w:val="left" w:pos="1152"/>
              </w:tabs>
              <w:suppressAutoHyphens/>
              <w:spacing w:before="40" w:after="40" w:line="210" w:lineRule="exact"/>
              <w:ind w:right="43"/>
              <w:jc w:val="right"/>
              <w:rPr>
                <w:sz w:val="17"/>
              </w:rPr>
            </w:pPr>
            <w:r w:rsidRPr="00867021">
              <w:rPr>
                <w:sz w:val="17"/>
              </w:rPr>
              <w:t>11 589</w:t>
            </w:r>
          </w:p>
        </w:tc>
        <w:tc>
          <w:tcPr>
            <w:tcW w:w="951" w:type="dxa"/>
            <w:tcBorders>
              <w:bottom w:val="single" w:sz="12" w:space="0" w:color="auto"/>
            </w:tcBorders>
            <w:shd w:val="clear" w:color="auto" w:fill="auto"/>
            <w:noWrap/>
            <w:vAlign w:val="bottom"/>
          </w:tcPr>
          <w:p w14:paraId="2A701003" w14:textId="77777777" w:rsidR="005D40D4" w:rsidRPr="00867021" w:rsidRDefault="005D40D4" w:rsidP="00867021">
            <w:pPr>
              <w:tabs>
                <w:tab w:val="left" w:pos="288"/>
                <w:tab w:val="left" w:pos="576"/>
                <w:tab w:val="left" w:pos="864"/>
                <w:tab w:val="left" w:pos="1152"/>
              </w:tabs>
              <w:suppressAutoHyphens/>
              <w:spacing w:before="40" w:after="40" w:line="210" w:lineRule="exact"/>
              <w:ind w:right="43"/>
              <w:jc w:val="right"/>
              <w:rPr>
                <w:sz w:val="17"/>
              </w:rPr>
            </w:pPr>
            <w:r w:rsidRPr="00867021">
              <w:rPr>
                <w:sz w:val="17"/>
              </w:rPr>
              <w:t>12 032</w:t>
            </w:r>
          </w:p>
        </w:tc>
        <w:tc>
          <w:tcPr>
            <w:tcW w:w="950" w:type="dxa"/>
            <w:tcBorders>
              <w:bottom w:val="single" w:sz="12" w:space="0" w:color="auto"/>
            </w:tcBorders>
            <w:shd w:val="clear" w:color="auto" w:fill="auto"/>
            <w:noWrap/>
            <w:vAlign w:val="bottom"/>
          </w:tcPr>
          <w:p w14:paraId="2822FD16" w14:textId="77777777" w:rsidR="005D40D4" w:rsidRPr="00867021" w:rsidRDefault="005D40D4" w:rsidP="00867021">
            <w:pPr>
              <w:tabs>
                <w:tab w:val="left" w:pos="288"/>
                <w:tab w:val="left" w:pos="576"/>
                <w:tab w:val="left" w:pos="864"/>
                <w:tab w:val="left" w:pos="1152"/>
              </w:tabs>
              <w:suppressAutoHyphens/>
              <w:spacing w:before="40" w:after="40" w:line="210" w:lineRule="exact"/>
              <w:ind w:right="43"/>
              <w:jc w:val="right"/>
              <w:rPr>
                <w:sz w:val="17"/>
              </w:rPr>
            </w:pPr>
            <w:r w:rsidRPr="00867021">
              <w:rPr>
                <w:sz w:val="17"/>
              </w:rPr>
              <w:t>12 618</w:t>
            </w:r>
          </w:p>
        </w:tc>
        <w:tc>
          <w:tcPr>
            <w:tcW w:w="950" w:type="dxa"/>
            <w:tcBorders>
              <w:bottom w:val="single" w:sz="12" w:space="0" w:color="auto"/>
            </w:tcBorders>
            <w:shd w:val="clear" w:color="auto" w:fill="auto"/>
            <w:noWrap/>
            <w:vAlign w:val="bottom"/>
          </w:tcPr>
          <w:p w14:paraId="6153FF18" w14:textId="77777777" w:rsidR="005D40D4" w:rsidRPr="00867021" w:rsidRDefault="005D40D4" w:rsidP="00867021">
            <w:pPr>
              <w:tabs>
                <w:tab w:val="left" w:pos="288"/>
                <w:tab w:val="left" w:pos="576"/>
                <w:tab w:val="left" w:pos="864"/>
                <w:tab w:val="left" w:pos="1152"/>
              </w:tabs>
              <w:suppressAutoHyphens/>
              <w:spacing w:before="40" w:after="40" w:line="210" w:lineRule="exact"/>
              <w:ind w:right="43"/>
              <w:jc w:val="right"/>
              <w:rPr>
                <w:sz w:val="17"/>
              </w:rPr>
            </w:pPr>
            <w:r w:rsidRPr="00867021">
              <w:rPr>
                <w:sz w:val="17"/>
              </w:rPr>
              <w:t>12 859</w:t>
            </w:r>
          </w:p>
        </w:tc>
        <w:tc>
          <w:tcPr>
            <w:tcW w:w="951" w:type="dxa"/>
            <w:tcBorders>
              <w:bottom w:val="single" w:sz="12" w:space="0" w:color="auto"/>
            </w:tcBorders>
            <w:shd w:val="clear" w:color="auto" w:fill="auto"/>
            <w:noWrap/>
            <w:vAlign w:val="bottom"/>
          </w:tcPr>
          <w:p w14:paraId="6E6E2E35" w14:textId="77777777" w:rsidR="005D40D4" w:rsidRPr="00867021" w:rsidRDefault="005D40D4" w:rsidP="00867021">
            <w:pPr>
              <w:tabs>
                <w:tab w:val="left" w:pos="288"/>
                <w:tab w:val="left" w:pos="576"/>
                <w:tab w:val="left" w:pos="864"/>
                <w:tab w:val="left" w:pos="1152"/>
              </w:tabs>
              <w:suppressAutoHyphens/>
              <w:spacing w:before="40" w:after="40" w:line="210" w:lineRule="exact"/>
              <w:ind w:right="43"/>
              <w:jc w:val="right"/>
              <w:rPr>
                <w:sz w:val="17"/>
              </w:rPr>
            </w:pPr>
            <w:r w:rsidRPr="00867021">
              <w:rPr>
                <w:sz w:val="17"/>
              </w:rPr>
              <w:t>12 037</w:t>
            </w:r>
          </w:p>
        </w:tc>
      </w:tr>
    </w:tbl>
    <w:p w14:paraId="4650150D" w14:textId="7F81A56B" w:rsidR="005D40D4" w:rsidRPr="00867021" w:rsidRDefault="005D40D4" w:rsidP="00867021">
      <w:pPr>
        <w:pStyle w:val="SingleTxt"/>
        <w:tabs>
          <w:tab w:val="right" w:pos="1685"/>
        </w:tabs>
        <w:spacing w:after="0" w:line="120" w:lineRule="exact"/>
        <w:ind w:left="1742" w:hanging="475"/>
        <w:rPr>
          <w:sz w:val="10"/>
          <w:lang w:val="fr-FR"/>
        </w:rPr>
      </w:pPr>
    </w:p>
    <w:p w14:paraId="2BB405FD" w14:textId="3456882A" w:rsidR="00867021" w:rsidRPr="00867021" w:rsidRDefault="00867021" w:rsidP="00867021">
      <w:pPr>
        <w:pStyle w:val="SingleTxt"/>
        <w:tabs>
          <w:tab w:val="right" w:pos="1685"/>
        </w:tabs>
        <w:spacing w:after="0" w:line="120" w:lineRule="exact"/>
        <w:ind w:left="1742" w:hanging="475"/>
        <w:rPr>
          <w:sz w:val="10"/>
          <w:lang w:val="fr-FR"/>
        </w:rPr>
      </w:pPr>
    </w:p>
    <w:p w14:paraId="673BA3BB" w14:textId="5DE55347" w:rsidR="005D40D4" w:rsidRPr="005D40D4" w:rsidRDefault="005D40D4" w:rsidP="00867021">
      <w:pPr>
        <w:pStyle w:val="SingleTxt"/>
        <w:numPr>
          <w:ilvl w:val="0"/>
          <w:numId w:val="50"/>
        </w:numPr>
        <w:tabs>
          <w:tab w:val="right" w:pos="1685"/>
        </w:tabs>
        <w:spacing w:line="240" w:lineRule="exact"/>
        <w:rPr>
          <w:lang w:val="fr-FR"/>
        </w:rPr>
      </w:pPr>
      <w:r w:rsidRPr="005D40D4">
        <w:rPr>
          <w:lang w:val="fr-FR"/>
        </w:rPr>
        <w:t>Le nombre de visites sur le terrain des convois médicaux multidisciplinaires n</w:t>
      </w:r>
      <w:r w:rsidR="00F1794C" w:rsidRPr="00F1794C">
        <w:rPr>
          <w:lang w:val="fr-FR"/>
        </w:rPr>
        <w:t>’</w:t>
      </w:r>
      <w:r w:rsidRPr="005D40D4">
        <w:rPr>
          <w:lang w:val="fr-FR"/>
        </w:rPr>
        <w:t>a cessé d</w:t>
      </w:r>
      <w:r w:rsidR="00F1794C" w:rsidRPr="00F1794C">
        <w:rPr>
          <w:lang w:val="fr-FR"/>
        </w:rPr>
        <w:t>’</w:t>
      </w:r>
      <w:r w:rsidRPr="005D40D4">
        <w:rPr>
          <w:lang w:val="fr-FR"/>
        </w:rPr>
        <w:t>augmenter depuis que le régime d</w:t>
      </w:r>
      <w:r w:rsidR="00F1794C" w:rsidRPr="00F1794C">
        <w:rPr>
          <w:lang w:val="fr-FR"/>
        </w:rPr>
        <w:t>’</w:t>
      </w:r>
      <w:r w:rsidRPr="005D40D4">
        <w:rPr>
          <w:lang w:val="fr-FR"/>
        </w:rPr>
        <w:t xml:space="preserve">assistance médicale a été généralisé. En 2018, 437 campagnes médicales ont été menées. Pour faire en sorte que la population des zones isolées exposées aux effets des vagues de froid ait accès aux services de santé, les opérations de prise en charge médicale « Riaya » sont menées depuis 2014, dans 28 provinces entre novembre 2018 et mars 2019. Les unités médicales mobiles ont effectué 4 558 visites et 233 convois médicaux ont été envoyés. Au total, 650 112 services médicaux ont été dispensés. </w:t>
      </w:r>
    </w:p>
    <w:p w14:paraId="703F815C" w14:textId="77777777" w:rsidR="00867021" w:rsidRPr="00867021" w:rsidRDefault="00867021" w:rsidP="00867021">
      <w:pPr>
        <w:pStyle w:val="SingleTxt"/>
        <w:tabs>
          <w:tab w:val="right" w:pos="1685"/>
        </w:tabs>
        <w:spacing w:after="0" w:line="120" w:lineRule="exact"/>
        <w:ind w:left="1742" w:hanging="475"/>
        <w:rPr>
          <w:sz w:val="10"/>
          <w:lang w:val="fr-FR"/>
        </w:rPr>
      </w:pPr>
    </w:p>
    <w:p w14:paraId="282FC60C" w14:textId="2559941A" w:rsidR="00867021" w:rsidRDefault="00867021" w:rsidP="00867021">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5D40D4" w:rsidRPr="005D40D4">
        <w:rPr>
          <w:lang w:val="fr-FR"/>
        </w:rPr>
        <w:t>Tableau 13</w:t>
      </w:r>
    </w:p>
    <w:p w14:paraId="76053ACF" w14:textId="4946910F" w:rsidR="005D40D4" w:rsidRPr="005D40D4" w:rsidRDefault="00867021" w:rsidP="0086702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rPr>
        <w:tab/>
      </w:r>
      <w:r>
        <w:rPr>
          <w:lang/>
        </w:rPr>
        <w:tab/>
        <w:t>C</w:t>
      </w:r>
      <w:r w:rsidR="005D40D4" w:rsidRPr="005D40D4">
        <w:rPr>
          <w:lang w:val="fr-FR"/>
        </w:rPr>
        <w:t>ampagnes médicales</w:t>
      </w:r>
    </w:p>
    <w:p w14:paraId="43A92B63" w14:textId="3337D593" w:rsidR="00F13A4D" w:rsidRPr="00867021" w:rsidRDefault="00F13A4D" w:rsidP="00867021">
      <w:pPr>
        <w:pStyle w:val="SingleTxt"/>
        <w:tabs>
          <w:tab w:val="right" w:pos="1685"/>
        </w:tabs>
        <w:spacing w:after="0" w:line="120" w:lineRule="exact"/>
        <w:ind w:left="1742" w:hanging="475"/>
        <w:rPr>
          <w:sz w:val="10"/>
        </w:rPr>
      </w:pPr>
    </w:p>
    <w:p w14:paraId="00093C2D" w14:textId="7D5640AB" w:rsidR="00867021" w:rsidRPr="00867021" w:rsidRDefault="00867021" w:rsidP="00867021">
      <w:pPr>
        <w:pStyle w:val="SingleTxt"/>
        <w:tabs>
          <w:tab w:val="right" w:pos="1685"/>
        </w:tabs>
        <w:spacing w:after="0" w:line="120" w:lineRule="exact"/>
        <w:ind w:left="1742" w:hanging="475"/>
        <w:rPr>
          <w:sz w:val="10"/>
        </w:rPr>
      </w:pPr>
    </w:p>
    <w:tbl>
      <w:tblPr>
        <w:tblStyle w:val="Grilledutableau9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610"/>
        <w:gridCol w:w="672"/>
        <w:gridCol w:w="673"/>
        <w:gridCol w:w="673"/>
        <w:gridCol w:w="673"/>
        <w:gridCol w:w="673"/>
        <w:gridCol w:w="673"/>
        <w:gridCol w:w="673"/>
      </w:tblGrid>
      <w:tr w:rsidR="00E8382C" w:rsidRPr="00E8382C" w14:paraId="2E905454" w14:textId="77777777" w:rsidTr="00E8382C">
        <w:trPr>
          <w:cantSplit/>
          <w:tblHeader/>
          <w:jc w:val="center"/>
        </w:trPr>
        <w:tc>
          <w:tcPr>
            <w:tcW w:w="2610" w:type="dxa"/>
            <w:tcBorders>
              <w:top w:val="single" w:sz="4" w:space="0" w:color="auto"/>
              <w:bottom w:val="single" w:sz="12" w:space="0" w:color="auto"/>
            </w:tcBorders>
            <w:shd w:val="clear" w:color="auto" w:fill="auto"/>
            <w:noWrap/>
            <w:vAlign w:val="bottom"/>
          </w:tcPr>
          <w:p w14:paraId="4705E68C" w14:textId="77777777" w:rsidR="005D40D4" w:rsidRPr="00E8382C" w:rsidRDefault="005D40D4" w:rsidP="00E8382C">
            <w:pPr>
              <w:suppressAutoHyphens/>
              <w:spacing w:before="81" w:after="81" w:line="160" w:lineRule="exact"/>
              <w:ind w:right="40"/>
              <w:rPr>
                <w:i/>
                <w:sz w:val="14"/>
              </w:rPr>
            </w:pPr>
            <w:r w:rsidRPr="00E8382C">
              <w:rPr>
                <w:i/>
                <w:sz w:val="14"/>
              </w:rPr>
              <w:t>Année</w:t>
            </w:r>
          </w:p>
        </w:tc>
        <w:tc>
          <w:tcPr>
            <w:tcW w:w="672" w:type="dxa"/>
            <w:tcBorders>
              <w:top w:val="single" w:sz="4" w:space="0" w:color="auto"/>
              <w:bottom w:val="single" w:sz="12" w:space="0" w:color="auto"/>
            </w:tcBorders>
            <w:shd w:val="clear" w:color="auto" w:fill="auto"/>
            <w:noWrap/>
            <w:vAlign w:val="bottom"/>
          </w:tcPr>
          <w:p w14:paraId="486A74FB" w14:textId="77777777" w:rsidR="005D40D4" w:rsidRPr="00E8382C" w:rsidRDefault="005D40D4" w:rsidP="00E8382C">
            <w:pPr>
              <w:suppressAutoHyphens/>
              <w:spacing w:before="81" w:after="81" w:line="160" w:lineRule="exact"/>
              <w:ind w:right="43"/>
              <w:jc w:val="right"/>
              <w:rPr>
                <w:i/>
                <w:sz w:val="14"/>
              </w:rPr>
            </w:pPr>
            <w:r w:rsidRPr="00E8382C">
              <w:rPr>
                <w:i/>
                <w:sz w:val="14"/>
              </w:rPr>
              <w:t>2012</w:t>
            </w:r>
          </w:p>
        </w:tc>
        <w:tc>
          <w:tcPr>
            <w:tcW w:w="673" w:type="dxa"/>
            <w:tcBorders>
              <w:top w:val="single" w:sz="4" w:space="0" w:color="auto"/>
              <w:bottom w:val="single" w:sz="12" w:space="0" w:color="auto"/>
            </w:tcBorders>
            <w:shd w:val="clear" w:color="auto" w:fill="auto"/>
            <w:noWrap/>
            <w:vAlign w:val="bottom"/>
          </w:tcPr>
          <w:p w14:paraId="37169F25" w14:textId="77777777" w:rsidR="005D40D4" w:rsidRPr="00E8382C" w:rsidRDefault="005D40D4" w:rsidP="00E8382C">
            <w:pPr>
              <w:suppressAutoHyphens/>
              <w:spacing w:before="81" w:after="81" w:line="160" w:lineRule="exact"/>
              <w:ind w:right="43"/>
              <w:jc w:val="right"/>
              <w:rPr>
                <w:i/>
                <w:sz w:val="14"/>
              </w:rPr>
            </w:pPr>
            <w:r w:rsidRPr="00E8382C">
              <w:rPr>
                <w:i/>
                <w:sz w:val="14"/>
              </w:rPr>
              <w:t>2013</w:t>
            </w:r>
          </w:p>
        </w:tc>
        <w:tc>
          <w:tcPr>
            <w:tcW w:w="673" w:type="dxa"/>
            <w:tcBorders>
              <w:top w:val="single" w:sz="4" w:space="0" w:color="auto"/>
              <w:bottom w:val="single" w:sz="12" w:space="0" w:color="auto"/>
            </w:tcBorders>
            <w:shd w:val="clear" w:color="auto" w:fill="auto"/>
            <w:noWrap/>
            <w:vAlign w:val="bottom"/>
          </w:tcPr>
          <w:p w14:paraId="79E41FBC" w14:textId="77777777" w:rsidR="005D40D4" w:rsidRPr="00E8382C" w:rsidRDefault="005D40D4" w:rsidP="00E8382C">
            <w:pPr>
              <w:suppressAutoHyphens/>
              <w:spacing w:before="81" w:after="81" w:line="160" w:lineRule="exact"/>
              <w:ind w:right="43"/>
              <w:jc w:val="right"/>
              <w:rPr>
                <w:i/>
                <w:sz w:val="14"/>
              </w:rPr>
            </w:pPr>
            <w:r w:rsidRPr="00E8382C">
              <w:rPr>
                <w:i/>
                <w:sz w:val="14"/>
              </w:rPr>
              <w:t>2014</w:t>
            </w:r>
          </w:p>
        </w:tc>
        <w:tc>
          <w:tcPr>
            <w:tcW w:w="673" w:type="dxa"/>
            <w:tcBorders>
              <w:top w:val="single" w:sz="4" w:space="0" w:color="auto"/>
              <w:bottom w:val="single" w:sz="12" w:space="0" w:color="auto"/>
            </w:tcBorders>
            <w:shd w:val="clear" w:color="auto" w:fill="auto"/>
            <w:noWrap/>
            <w:vAlign w:val="bottom"/>
          </w:tcPr>
          <w:p w14:paraId="3FA27292" w14:textId="77777777" w:rsidR="005D40D4" w:rsidRPr="00E8382C" w:rsidRDefault="005D40D4" w:rsidP="00E8382C">
            <w:pPr>
              <w:suppressAutoHyphens/>
              <w:spacing w:before="81" w:after="81" w:line="160" w:lineRule="exact"/>
              <w:ind w:right="43"/>
              <w:jc w:val="right"/>
              <w:rPr>
                <w:i/>
                <w:sz w:val="14"/>
              </w:rPr>
            </w:pPr>
            <w:r w:rsidRPr="00E8382C">
              <w:rPr>
                <w:i/>
                <w:sz w:val="14"/>
              </w:rPr>
              <w:t>2015</w:t>
            </w:r>
          </w:p>
        </w:tc>
        <w:tc>
          <w:tcPr>
            <w:tcW w:w="673" w:type="dxa"/>
            <w:tcBorders>
              <w:top w:val="single" w:sz="4" w:space="0" w:color="auto"/>
              <w:bottom w:val="single" w:sz="12" w:space="0" w:color="auto"/>
            </w:tcBorders>
            <w:shd w:val="clear" w:color="auto" w:fill="auto"/>
            <w:noWrap/>
            <w:vAlign w:val="bottom"/>
          </w:tcPr>
          <w:p w14:paraId="56122DDE" w14:textId="77777777" w:rsidR="005D40D4" w:rsidRPr="00E8382C" w:rsidRDefault="005D40D4" w:rsidP="00E8382C">
            <w:pPr>
              <w:suppressAutoHyphens/>
              <w:spacing w:before="81" w:after="81" w:line="160" w:lineRule="exact"/>
              <w:ind w:right="43"/>
              <w:jc w:val="right"/>
              <w:rPr>
                <w:i/>
                <w:sz w:val="14"/>
              </w:rPr>
            </w:pPr>
            <w:r w:rsidRPr="00E8382C">
              <w:rPr>
                <w:i/>
                <w:sz w:val="14"/>
              </w:rPr>
              <w:t>2016</w:t>
            </w:r>
          </w:p>
        </w:tc>
        <w:tc>
          <w:tcPr>
            <w:tcW w:w="673" w:type="dxa"/>
            <w:tcBorders>
              <w:top w:val="single" w:sz="4" w:space="0" w:color="auto"/>
              <w:bottom w:val="single" w:sz="12" w:space="0" w:color="auto"/>
            </w:tcBorders>
            <w:shd w:val="clear" w:color="auto" w:fill="auto"/>
            <w:noWrap/>
            <w:vAlign w:val="bottom"/>
          </w:tcPr>
          <w:p w14:paraId="12768DE5" w14:textId="77777777" w:rsidR="005D40D4" w:rsidRPr="00E8382C" w:rsidRDefault="005D40D4" w:rsidP="00E8382C">
            <w:pPr>
              <w:suppressAutoHyphens/>
              <w:spacing w:before="81" w:after="81" w:line="160" w:lineRule="exact"/>
              <w:ind w:right="43"/>
              <w:jc w:val="right"/>
              <w:rPr>
                <w:i/>
                <w:sz w:val="14"/>
              </w:rPr>
            </w:pPr>
            <w:r w:rsidRPr="00E8382C">
              <w:rPr>
                <w:i/>
                <w:sz w:val="14"/>
              </w:rPr>
              <w:t>2017</w:t>
            </w:r>
          </w:p>
        </w:tc>
        <w:tc>
          <w:tcPr>
            <w:tcW w:w="673" w:type="dxa"/>
            <w:tcBorders>
              <w:top w:val="single" w:sz="4" w:space="0" w:color="auto"/>
              <w:bottom w:val="single" w:sz="12" w:space="0" w:color="auto"/>
            </w:tcBorders>
            <w:shd w:val="clear" w:color="auto" w:fill="auto"/>
            <w:noWrap/>
            <w:vAlign w:val="bottom"/>
          </w:tcPr>
          <w:p w14:paraId="692E4169" w14:textId="77777777" w:rsidR="005D40D4" w:rsidRPr="00E8382C" w:rsidRDefault="005D40D4" w:rsidP="00E8382C">
            <w:pPr>
              <w:suppressAutoHyphens/>
              <w:spacing w:before="81" w:after="81" w:line="160" w:lineRule="exact"/>
              <w:ind w:right="43"/>
              <w:jc w:val="right"/>
              <w:rPr>
                <w:i/>
                <w:sz w:val="14"/>
              </w:rPr>
            </w:pPr>
            <w:r w:rsidRPr="00E8382C">
              <w:rPr>
                <w:i/>
                <w:sz w:val="14"/>
              </w:rPr>
              <w:t>2018</w:t>
            </w:r>
          </w:p>
        </w:tc>
      </w:tr>
      <w:tr w:rsidR="00E8382C" w:rsidRPr="00E8382C" w14:paraId="0ADE4664" w14:textId="77777777" w:rsidTr="00E8382C">
        <w:trPr>
          <w:cantSplit/>
          <w:trHeight w:hRule="exact" w:val="115"/>
          <w:tblHeader/>
          <w:jc w:val="center"/>
        </w:trPr>
        <w:tc>
          <w:tcPr>
            <w:tcW w:w="2610" w:type="dxa"/>
            <w:tcBorders>
              <w:top w:val="single" w:sz="12" w:space="0" w:color="auto"/>
            </w:tcBorders>
            <w:shd w:val="clear" w:color="auto" w:fill="auto"/>
            <w:noWrap/>
            <w:vAlign w:val="bottom"/>
          </w:tcPr>
          <w:p w14:paraId="79780384" w14:textId="77777777" w:rsidR="00E8382C" w:rsidRPr="00E8382C" w:rsidRDefault="00E8382C" w:rsidP="00E8382C">
            <w:pPr>
              <w:suppressAutoHyphens/>
              <w:spacing w:before="40" w:after="40" w:line="210" w:lineRule="exact"/>
              <w:ind w:right="40"/>
              <w:rPr>
                <w:sz w:val="17"/>
              </w:rPr>
            </w:pPr>
          </w:p>
        </w:tc>
        <w:tc>
          <w:tcPr>
            <w:tcW w:w="672" w:type="dxa"/>
            <w:tcBorders>
              <w:top w:val="single" w:sz="12" w:space="0" w:color="auto"/>
            </w:tcBorders>
            <w:shd w:val="clear" w:color="auto" w:fill="auto"/>
            <w:noWrap/>
            <w:vAlign w:val="bottom"/>
          </w:tcPr>
          <w:p w14:paraId="0C2BD2B9" w14:textId="77777777" w:rsidR="00E8382C" w:rsidRPr="00E8382C" w:rsidRDefault="00E8382C" w:rsidP="00E8382C">
            <w:pPr>
              <w:suppressAutoHyphens/>
              <w:spacing w:before="40" w:after="40" w:line="210" w:lineRule="exact"/>
              <w:ind w:right="43"/>
              <w:jc w:val="right"/>
              <w:rPr>
                <w:sz w:val="17"/>
              </w:rPr>
            </w:pPr>
          </w:p>
        </w:tc>
        <w:tc>
          <w:tcPr>
            <w:tcW w:w="673" w:type="dxa"/>
            <w:tcBorders>
              <w:top w:val="single" w:sz="12" w:space="0" w:color="auto"/>
            </w:tcBorders>
            <w:shd w:val="clear" w:color="auto" w:fill="auto"/>
            <w:noWrap/>
            <w:vAlign w:val="bottom"/>
          </w:tcPr>
          <w:p w14:paraId="083FA8C0" w14:textId="77777777" w:rsidR="00E8382C" w:rsidRPr="00E8382C" w:rsidRDefault="00E8382C" w:rsidP="00E8382C">
            <w:pPr>
              <w:suppressAutoHyphens/>
              <w:spacing w:before="40" w:after="40" w:line="210" w:lineRule="exact"/>
              <w:ind w:right="43"/>
              <w:jc w:val="right"/>
              <w:rPr>
                <w:sz w:val="17"/>
              </w:rPr>
            </w:pPr>
          </w:p>
        </w:tc>
        <w:tc>
          <w:tcPr>
            <w:tcW w:w="673" w:type="dxa"/>
            <w:tcBorders>
              <w:top w:val="single" w:sz="12" w:space="0" w:color="auto"/>
            </w:tcBorders>
            <w:shd w:val="clear" w:color="auto" w:fill="auto"/>
            <w:noWrap/>
            <w:vAlign w:val="bottom"/>
          </w:tcPr>
          <w:p w14:paraId="0D39814E" w14:textId="77777777" w:rsidR="00E8382C" w:rsidRPr="00E8382C" w:rsidRDefault="00E8382C" w:rsidP="00E8382C">
            <w:pPr>
              <w:suppressAutoHyphens/>
              <w:spacing w:before="40" w:after="40" w:line="210" w:lineRule="exact"/>
              <w:ind w:right="43"/>
              <w:jc w:val="right"/>
              <w:rPr>
                <w:sz w:val="17"/>
              </w:rPr>
            </w:pPr>
          </w:p>
        </w:tc>
        <w:tc>
          <w:tcPr>
            <w:tcW w:w="673" w:type="dxa"/>
            <w:tcBorders>
              <w:top w:val="single" w:sz="12" w:space="0" w:color="auto"/>
            </w:tcBorders>
            <w:shd w:val="clear" w:color="auto" w:fill="auto"/>
            <w:noWrap/>
            <w:vAlign w:val="bottom"/>
          </w:tcPr>
          <w:p w14:paraId="72223F9C" w14:textId="77777777" w:rsidR="00E8382C" w:rsidRPr="00E8382C" w:rsidRDefault="00E8382C" w:rsidP="00E8382C">
            <w:pPr>
              <w:suppressAutoHyphens/>
              <w:spacing w:before="40" w:after="40" w:line="210" w:lineRule="exact"/>
              <w:ind w:right="43"/>
              <w:jc w:val="right"/>
              <w:rPr>
                <w:sz w:val="17"/>
              </w:rPr>
            </w:pPr>
          </w:p>
        </w:tc>
        <w:tc>
          <w:tcPr>
            <w:tcW w:w="673" w:type="dxa"/>
            <w:tcBorders>
              <w:top w:val="single" w:sz="12" w:space="0" w:color="auto"/>
            </w:tcBorders>
            <w:shd w:val="clear" w:color="auto" w:fill="auto"/>
            <w:noWrap/>
            <w:vAlign w:val="bottom"/>
          </w:tcPr>
          <w:p w14:paraId="26EF3F4E" w14:textId="77777777" w:rsidR="00E8382C" w:rsidRPr="00E8382C" w:rsidRDefault="00E8382C" w:rsidP="00E8382C">
            <w:pPr>
              <w:suppressAutoHyphens/>
              <w:spacing w:before="40" w:after="40" w:line="210" w:lineRule="exact"/>
              <w:ind w:right="43"/>
              <w:jc w:val="right"/>
              <w:rPr>
                <w:sz w:val="17"/>
              </w:rPr>
            </w:pPr>
          </w:p>
        </w:tc>
        <w:tc>
          <w:tcPr>
            <w:tcW w:w="673" w:type="dxa"/>
            <w:tcBorders>
              <w:top w:val="single" w:sz="12" w:space="0" w:color="auto"/>
            </w:tcBorders>
            <w:shd w:val="clear" w:color="auto" w:fill="auto"/>
            <w:noWrap/>
            <w:vAlign w:val="bottom"/>
          </w:tcPr>
          <w:p w14:paraId="435C6216" w14:textId="77777777" w:rsidR="00E8382C" w:rsidRPr="00E8382C" w:rsidRDefault="00E8382C" w:rsidP="00E8382C">
            <w:pPr>
              <w:suppressAutoHyphens/>
              <w:spacing w:before="40" w:after="40" w:line="210" w:lineRule="exact"/>
              <w:ind w:right="43"/>
              <w:jc w:val="right"/>
              <w:rPr>
                <w:sz w:val="17"/>
              </w:rPr>
            </w:pPr>
          </w:p>
        </w:tc>
        <w:tc>
          <w:tcPr>
            <w:tcW w:w="673" w:type="dxa"/>
            <w:tcBorders>
              <w:top w:val="single" w:sz="12" w:space="0" w:color="auto"/>
            </w:tcBorders>
            <w:shd w:val="clear" w:color="auto" w:fill="auto"/>
            <w:noWrap/>
            <w:vAlign w:val="bottom"/>
          </w:tcPr>
          <w:p w14:paraId="4A2BBC29" w14:textId="77777777" w:rsidR="00E8382C" w:rsidRPr="00E8382C" w:rsidRDefault="00E8382C" w:rsidP="00E8382C">
            <w:pPr>
              <w:suppressAutoHyphens/>
              <w:spacing w:before="40" w:after="40" w:line="210" w:lineRule="exact"/>
              <w:ind w:right="43"/>
              <w:jc w:val="right"/>
              <w:rPr>
                <w:sz w:val="17"/>
              </w:rPr>
            </w:pPr>
          </w:p>
        </w:tc>
      </w:tr>
      <w:tr w:rsidR="00E8382C" w:rsidRPr="00E8382C" w14:paraId="5A9E586A" w14:textId="77777777" w:rsidTr="00E8382C">
        <w:trPr>
          <w:cantSplit/>
          <w:jc w:val="center"/>
        </w:trPr>
        <w:tc>
          <w:tcPr>
            <w:tcW w:w="2610" w:type="dxa"/>
            <w:tcBorders>
              <w:bottom w:val="single" w:sz="12" w:space="0" w:color="auto"/>
            </w:tcBorders>
            <w:shd w:val="clear" w:color="auto" w:fill="auto"/>
            <w:noWrap/>
            <w:vAlign w:val="bottom"/>
          </w:tcPr>
          <w:p w14:paraId="71FFE5AA" w14:textId="77777777" w:rsidR="005D40D4" w:rsidRPr="00E8382C" w:rsidRDefault="005D40D4" w:rsidP="00E8382C">
            <w:pPr>
              <w:tabs>
                <w:tab w:val="left" w:pos="288"/>
                <w:tab w:val="left" w:pos="576"/>
                <w:tab w:val="left" w:pos="864"/>
                <w:tab w:val="left" w:pos="1152"/>
              </w:tabs>
              <w:suppressAutoHyphens/>
              <w:spacing w:before="40" w:after="40" w:line="210" w:lineRule="exact"/>
              <w:ind w:right="40"/>
              <w:rPr>
                <w:sz w:val="17"/>
              </w:rPr>
            </w:pPr>
            <w:r w:rsidRPr="00E8382C">
              <w:rPr>
                <w:sz w:val="17"/>
              </w:rPr>
              <w:t>Nombre de campagnes médicales</w:t>
            </w:r>
          </w:p>
        </w:tc>
        <w:tc>
          <w:tcPr>
            <w:tcW w:w="672" w:type="dxa"/>
            <w:tcBorders>
              <w:bottom w:val="single" w:sz="12" w:space="0" w:color="auto"/>
            </w:tcBorders>
            <w:shd w:val="clear" w:color="auto" w:fill="auto"/>
            <w:noWrap/>
            <w:vAlign w:val="bottom"/>
          </w:tcPr>
          <w:p w14:paraId="011AB215" w14:textId="77777777" w:rsidR="005D40D4" w:rsidRPr="00E8382C" w:rsidRDefault="005D40D4" w:rsidP="00E8382C">
            <w:pPr>
              <w:tabs>
                <w:tab w:val="left" w:pos="288"/>
                <w:tab w:val="left" w:pos="576"/>
                <w:tab w:val="left" w:pos="864"/>
                <w:tab w:val="left" w:pos="1152"/>
              </w:tabs>
              <w:suppressAutoHyphens/>
              <w:spacing w:before="40" w:after="40" w:line="210" w:lineRule="exact"/>
              <w:ind w:right="43"/>
              <w:jc w:val="right"/>
              <w:rPr>
                <w:sz w:val="17"/>
              </w:rPr>
            </w:pPr>
            <w:r w:rsidRPr="00E8382C">
              <w:rPr>
                <w:sz w:val="17"/>
              </w:rPr>
              <w:t>83</w:t>
            </w:r>
          </w:p>
        </w:tc>
        <w:tc>
          <w:tcPr>
            <w:tcW w:w="673" w:type="dxa"/>
            <w:tcBorders>
              <w:bottom w:val="single" w:sz="12" w:space="0" w:color="auto"/>
            </w:tcBorders>
            <w:shd w:val="clear" w:color="auto" w:fill="auto"/>
            <w:noWrap/>
            <w:vAlign w:val="bottom"/>
          </w:tcPr>
          <w:p w14:paraId="782E84E6" w14:textId="77777777" w:rsidR="005D40D4" w:rsidRPr="00E8382C" w:rsidRDefault="005D40D4" w:rsidP="00E8382C">
            <w:pPr>
              <w:tabs>
                <w:tab w:val="left" w:pos="288"/>
                <w:tab w:val="left" w:pos="576"/>
                <w:tab w:val="left" w:pos="864"/>
                <w:tab w:val="left" w:pos="1152"/>
              </w:tabs>
              <w:suppressAutoHyphens/>
              <w:spacing w:before="40" w:after="40" w:line="210" w:lineRule="exact"/>
              <w:ind w:right="43"/>
              <w:jc w:val="right"/>
              <w:rPr>
                <w:sz w:val="17"/>
              </w:rPr>
            </w:pPr>
            <w:r w:rsidRPr="00E8382C">
              <w:rPr>
                <w:sz w:val="17"/>
              </w:rPr>
              <w:t>117</w:t>
            </w:r>
          </w:p>
        </w:tc>
        <w:tc>
          <w:tcPr>
            <w:tcW w:w="673" w:type="dxa"/>
            <w:tcBorders>
              <w:bottom w:val="single" w:sz="12" w:space="0" w:color="auto"/>
            </w:tcBorders>
            <w:shd w:val="clear" w:color="auto" w:fill="auto"/>
            <w:noWrap/>
            <w:vAlign w:val="bottom"/>
          </w:tcPr>
          <w:p w14:paraId="2BAD7161" w14:textId="77777777" w:rsidR="005D40D4" w:rsidRPr="00E8382C" w:rsidRDefault="005D40D4" w:rsidP="00E8382C">
            <w:pPr>
              <w:tabs>
                <w:tab w:val="left" w:pos="288"/>
                <w:tab w:val="left" w:pos="576"/>
                <w:tab w:val="left" w:pos="864"/>
                <w:tab w:val="left" w:pos="1152"/>
              </w:tabs>
              <w:suppressAutoHyphens/>
              <w:spacing w:before="40" w:after="40" w:line="210" w:lineRule="exact"/>
              <w:ind w:right="43"/>
              <w:jc w:val="right"/>
              <w:rPr>
                <w:sz w:val="17"/>
              </w:rPr>
            </w:pPr>
            <w:r w:rsidRPr="00E8382C">
              <w:rPr>
                <w:sz w:val="17"/>
              </w:rPr>
              <w:t>87</w:t>
            </w:r>
          </w:p>
        </w:tc>
        <w:tc>
          <w:tcPr>
            <w:tcW w:w="673" w:type="dxa"/>
            <w:tcBorders>
              <w:bottom w:val="single" w:sz="12" w:space="0" w:color="auto"/>
            </w:tcBorders>
            <w:shd w:val="clear" w:color="auto" w:fill="auto"/>
            <w:noWrap/>
            <w:vAlign w:val="bottom"/>
          </w:tcPr>
          <w:p w14:paraId="37E364FD" w14:textId="77777777" w:rsidR="005D40D4" w:rsidRPr="00E8382C" w:rsidRDefault="005D40D4" w:rsidP="00E8382C">
            <w:pPr>
              <w:tabs>
                <w:tab w:val="left" w:pos="288"/>
                <w:tab w:val="left" w:pos="576"/>
                <w:tab w:val="left" w:pos="864"/>
                <w:tab w:val="left" w:pos="1152"/>
              </w:tabs>
              <w:suppressAutoHyphens/>
              <w:spacing w:before="40" w:after="40" w:line="210" w:lineRule="exact"/>
              <w:ind w:right="43"/>
              <w:jc w:val="right"/>
              <w:rPr>
                <w:sz w:val="17"/>
              </w:rPr>
            </w:pPr>
            <w:r w:rsidRPr="00E8382C">
              <w:rPr>
                <w:sz w:val="17"/>
              </w:rPr>
              <w:t>94</w:t>
            </w:r>
          </w:p>
        </w:tc>
        <w:tc>
          <w:tcPr>
            <w:tcW w:w="673" w:type="dxa"/>
            <w:tcBorders>
              <w:bottom w:val="single" w:sz="12" w:space="0" w:color="auto"/>
            </w:tcBorders>
            <w:shd w:val="clear" w:color="auto" w:fill="auto"/>
            <w:noWrap/>
            <w:vAlign w:val="bottom"/>
          </w:tcPr>
          <w:p w14:paraId="29A61414" w14:textId="77777777" w:rsidR="005D40D4" w:rsidRPr="00E8382C" w:rsidRDefault="005D40D4" w:rsidP="00E8382C">
            <w:pPr>
              <w:tabs>
                <w:tab w:val="left" w:pos="288"/>
                <w:tab w:val="left" w:pos="576"/>
                <w:tab w:val="left" w:pos="864"/>
                <w:tab w:val="left" w:pos="1152"/>
              </w:tabs>
              <w:suppressAutoHyphens/>
              <w:spacing w:before="40" w:after="40" w:line="210" w:lineRule="exact"/>
              <w:ind w:right="43"/>
              <w:jc w:val="right"/>
              <w:rPr>
                <w:sz w:val="17"/>
              </w:rPr>
            </w:pPr>
            <w:r w:rsidRPr="00E8382C">
              <w:rPr>
                <w:sz w:val="17"/>
              </w:rPr>
              <w:t>282</w:t>
            </w:r>
          </w:p>
        </w:tc>
        <w:tc>
          <w:tcPr>
            <w:tcW w:w="673" w:type="dxa"/>
            <w:tcBorders>
              <w:bottom w:val="single" w:sz="12" w:space="0" w:color="auto"/>
            </w:tcBorders>
            <w:shd w:val="clear" w:color="auto" w:fill="auto"/>
            <w:noWrap/>
            <w:vAlign w:val="bottom"/>
          </w:tcPr>
          <w:p w14:paraId="635D18C2" w14:textId="77777777" w:rsidR="005D40D4" w:rsidRPr="00E8382C" w:rsidRDefault="005D40D4" w:rsidP="00E8382C">
            <w:pPr>
              <w:tabs>
                <w:tab w:val="left" w:pos="288"/>
                <w:tab w:val="left" w:pos="576"/>
                <w:tab w:val="left" w:pos="864"/>
                <w:tab w:val="left" w:pos="1152"/>
              </w:tabs>
              <w:suppressAutoHyphens/>
              <w:spacing w:before="40" w:after="40" w:line="210" w:lineRule="exact"/>
              <w:ind w:right="43"/>
              <w:jc w:val="right"/>
              <w:rPr>
                <w:sz w:val="17"/>
              </w:rPr>
            </w:pPr>
            <w:r w:rsidRPr="00E8382C">
              <w:rPr>
                <w:sz w:val="17"/>
              </w:rPr>
              <w:t>564</w:t>
            </w:r>
          </w:p>
        </w:tc>
        <w:tc>
          <w:tcPr>
            <w:tcW w:w="673" w:type="dxa"/>
            <w:tcBorders>
              <w:bottom w:val="single" w:sz="12" w:space="0" w:color="auto"/>
            </w:tcBorders>
            <w:shd w:val="clear" w:color="auto" w:fill="auto"/>
            <w:noWrap/>
            <w:vAlign w:val="bottom"/>
          </w:tcPr>
          <w:p w14:paraId="058BADFC" w14:textId="77777777" w:rsidR="005D40D4" w:rsidRPr="00E8382C" w:rsidRDefault="005D40D4" w:rsidP="00E8382C">
            <w:pPr>
              <w:tabs>
                <w:tab w:val="left" w:pos="288"/>
                <w:tab w:val="left" w:pos="576"/>
                <w:tab w:val="left" w:pos="864"/>
                <w:tab w:val="left" w:pos="1152"/>
              </w:tabs>
              <w:suppressAutoHyphens/>
              <w:spacing w:before="40" w:after="40" w:line="210" w:lineRule="exact"/>
              <w:ind w:right="43"/>
              <w:jc w:val="right"/>
              <w:rPr>
                <w:sz w:val="17"/>
              </w:rPr>
            </w:pPr>
            <w:r w:rsidRPr="00E8382C">
              <w:rPr>
                <w:sz w:val="17"/>
              </w:rPr>
              <w:t>437</w:t>
            </w:r>
          </w:p>
        </w:tc>
      </w:tr>
    </w:tbl>
    <w:p w14:paraId="18EBABDC" w14:textId="62488C85" w:rsidR="005D40D4" w:rsidRPr="00E8382C" w:rsidRDefault="005D40D4" w:rsidP="00E8382C">
      <w:pPr>
        <w:pStyle w:val="SingleTxt"/>
        <w:tabs>
          <w:tab w:val="right" w:pos="1685"/>
        </w:tabs>
        <w:spacing w:after="0" w:line="120" w:lineRule="exact"/>
        <w:ind w:left="1742" w:hanging="475"/>
        <w:rPr>
          <w:sz w:val="10"/>
        </w:rPr>
      </w:pPr>
    </w:p>
    <w:p w14:paraId="1443A92E" w14:textId="02BDFB8B" w:rsidR="00E8382C" w:rsidRPr="00E8382C" w:rsidRDefault="00E8382C" w:rsidP="00E8382C">
      <w:pPr>
        <w:pStyle w:val="SingleTxt"/>
        <w:tabs>
          <w:tab w:val="right" w:pos="1685"/>
        </w:tabs>
        <w:spacing w:after="0" w:line="120" w:lineRule="exact"/>
        <w:ind w:left="1742" w:hanging="475"/>
        <w:rPr>
          <w:sz w:val="10"/>
        </w:rPr>
      </w:pPr>
    </w:p>
    <w:p w14:paraId="6F4B72BB" w14:textId="7DEE4910" w:rsidR="005D40D4" w:rsidRPr="005D40D4" w:rsidRDefault="00E8382C" w:rsidP="00E8382C">
      <w:pPr>
        <w:pStyle w:val="SingleTxt"/>
        <w:rPr>
          <w:lang w:val="fr-FR"/>
        </w:rPr>
      </w:pPr>
      <w:r>
        <w:rPr>
          <w:lang w:val="fr-FR"/>
        </w:rPr>
        <w:tab/>
      </w:r>
      <w:r w:rsidR="005D40D4" w:rsidRPr="005D40D4">
        <w:rPr>
          <w:lang w:val="fr-FR"/>
        </w:rPr>
        <w:t>D</w:t>
      </w:r>
      <w:r w:rsidR="00F1794C" w:rsidRPr="00F1794C">
        <w:rPr>
          <w:lang w:val="fr-FR"/>
        </w:rPr>
        <w:t>’</w:t>
      </w:r>
      <w:r w:rsidR="005D40D4" w:rsidRPr="005D40D4">
        <w:rPr>
          <w:lang w:val="fr-FR"/>
        </w:rPr>
        <w:t>après les résultats de l</w:t>
      </w:r>
      <w:r w:rsidR="00F1794C" w:rsidRPr="00F1794C">
        <w:rPr>
          <w:lang w:val="fr-FR"/>
        </w:rPr>
        <w:t>’</w:t>
      </w:r>
      <w:r w:rsidR="005D40D4" w:rsidRPr="005D40D4">
        <w:rPr>
          <w:lang w:val="fr-FR"/>
        </w:rPr>
        <w:t>enquête nationale sur la population et la santé familiale, les indicateurs de santé en milieu rural se sont améliorés entre 2011 et 2018. Le taux de mortalité maternelle est passé de 112 décès pour 100 000 naissances vivantes en 2010 à 72,6 décès pour 100 000 naissances vivantes en 2017. Ce taux a enregistré une baisse de 37 points en milieu rural, passant de 148 à 111,1, et de 28</w:t>
      </w:r>
      <w:r>
        <w:rPr>
          <w:lang/>
        </w:rPr>
        <w:t> </w:t>
      </w:r>
      <w:r w:rsidR="005D40D4" w:rsidRPr="005D40D4">
        <w:rPr>
          <w:lang w:val="fr-FR"/>
        </w:rPr>
        <w:t xml:space="preserve">points en milieu urbain, passant de 73 à 44,6. </w:t>
      </w:r>
    </w:p>
    <w:p w14:paraId="3C7D71A3" w14:textId="1E151BB0" w:rsidR="005D40D4" w:rsidRPr="005D40D4" w:rsidRDefault="005D40D4" w:rsidP="00456FC2">
      <w:pPr>
        <w:pStyle w:val="SingleTxt"/>
        <w:numPr>
          <w:ilvl w:val="0"/>
          <w:numId w:val="50"/>
        </w:numPr>
        <w:tabs>
          <w:tab w:val="right" w:pos="1685"/>
        </w:tabs>
        <w:rPr>
          <w:lang w:val="fr-FR"/>
        </w:rPr>
      </w:pPr>
      <w:r w:rsidRPr="005D40D4">
        <w:rPr>
          <w:lang w:val="fr-FR"/>
        </w:rPr>
        <w:t>Malgré le taux réduit de mortalité maternelle, des disparités persistent entre les zones urbaines et rurales, notamment en ce qui concerne les services de soins prénatals. Des efforts supplémentaires doivent être déployés pour garantir l</w:t>
      </w:r>
      <w:r w:rsidR="00F1794C" w:rsidRPr="00F1794C">
        <w:rPr>
          <w:lang w:val="fr-FR"/>
        </w:rPr>
        <w:t>’</w:t>
      </w:r>
      <w:r w:rsidRPr="005D40D4">
        <w:rPr>
          <w:lang w:val="fr-FR"/>
        </w:rPr>
        <w:t xml:space="preserve">accès équitable aux services de santé. </w:t>
      </w:r>
    </w:p>
    <w:p w14:paraId="337D54CE" w14:textId="77777777" w:rsidR="005D40D4" w:rsidRPr="005D40D4" w:rsidRDefault="005D40D4" w:rsidP="00456FC2">
      <w:pPr>
        <w:pStyle w:val="SingleTxt"/>
        <w:numPr>
          <w:ilvl w:val="0"/>
          <w:numId w:val="50"/>
        </w:numPr>
        <w:tabs>
          <w:tab w:val="right" w:pos="1685"/>
        </w:tabs>
        <w:rPr>
          <w:lang w:val="fr-FR"/>
        </w:rPr>
      </w:pPr>
      <w:r w:rsidRPr="005D40D4">
        <w:rPr>
          <w:lang w:val="fr-FR"/>
        </w:rPr>
        <w:t xml:space="preserve">Le réseau des établissements médico-sociaux a été créé en 2013, conformément à la carte sanitaire pour répondre aux besoins particuliers de certaines catégories sociales. Il comprend notamment les établissements de santé prenant en charge les personnes en situation de handicap et les établissements de santé destinés aux jeunes et aux étudiants. </w:t>
      </w:r>
    </w:p>
    <w:p w14:paraId="6A2B2D76" w14:textId="093EEE05" w:rsidR="005D40D4" w:rsidRPr="005D40D4" w:rsidRDefault="005D40D4" w:rsidP="00456FC2">
      <w:pPr>
        <w:pStyle w:val="SingleTxt"/>
        <w:numPr>
          <w:ilvl w:val="0"/>
          <w:numId w:val="50"/>
        </w:numPr>
        <w:tabs>
          <w:tab w:val="right" w:pos="1685"/>
        </w:tabs>
        <w:rPr>
          <w:lang w:val="fr-FR"/>
        </w:rPr>
      </w:pPr>
      <w:r w:rsidRPr="005D40D4">
        <w:rPr>
          <w:lang w:val="fr-FR"/>
        </w:rPr>
        <w:t>Le Gouvernement s</w:t>
      </w:r>
      <w:r w:rsidR="00F1794C" w:rsidRPr="00F1794C">
        <w:rPr>
          <w:lang w:val="fr-FR"/>
        </w:rPr>
        <w:t>’</w:t>
      </w:r>
      <w:r w:rsidRPr="005D40D4">
        <w:rPr>
          <w:lang w:val="fr-FR"/>
        </w:rPr>
        <w:t xml:space="preserve">emploie actuellement à renforcer les services de santé proposés aux personnes âgées. À cette fin, il a lancé un projet stratégique national de santé pour les personnes âgées intitulé « Vision 20-30 », correspondant à la période </w:t>
      </w:r>
      <w:r w:rsidRPr="005D40D4">
        <w:rPr>
          <w:lang w:val="fr-FR"/>
        </w:rPr>
        <w:lastRenderedPageBreak/>
        <w:t>couverte par les plans d</w:t>
      </w:r>
      <w:r w:rsidR="00F1794C" w:rsidRPr="00F1794C">
        <w:rPr>
          <w:lang w:val="fr-FR"/>
        </w:rPr>
        <w:t>’</w:t>
      </w:r>
      <w:r w:rsidRPr="005D40D4">
        <w:rPr>
          <w:lang w:val="fr-FR"/>
        </w:rPr>
        <w:t>action pour 2020-2025 et 2025-2030. Des unités de médecine gériatrique et une unité de psychiatrie et de santé mentale pour les personnes âgées ont été créées dans deux hôpitaux universitaires spécialisés dans les troubles mentaux. Des règles et des critères ont été définis pour la création d</w:t>
      </w:r>
      <w:r w:rsidR="00F1794C" w:rsidRPr="00F1794C">
        <w:rPr>
          <w:lang w:val="fr-FR"/>
        </w:rPr>
        <w:t>’</w:t>
      </w:r>
      <w:r w:rsidRPr="005D40D4">
        <w:rPr>
          <w:lang w:val="fr-FR"/>
        </w:rPr>
        <w:t xml:space="preserve">unités de gériatrie de court séjour. La gériatrie figure maintenant dans les manuels de formation de base des infirmiers multidisciplinaires depuis 2012. </w:t>
      </w:r>
    </w:p>
    <w:p w14:paraId="157C04C7" w14:textId="0E3962ED" w:rsidR="005D40D4" w:rsidRPr="005D40D4" w:rsidRDefault="005D40D4" w:rsidP="00456FC2">
      <w:pPr>
        <w:pStyle w:val="SingleTxt"/>
        <w:numPr>
          <w:ilvl w:val="0"/>
          <w:numId w:val="50"/>
        </w:numPr>
        <w:tabs>
          <w:tab w:val="right" w:pos="1685"/>
        </w:tabs>
        <w:rPr>
          <w:lang w:val="fr-FR"/>
        </w:rPr>
      </w:pPr>
      <w:r w:rsidRPr="005D40D4">
        <w:rPr>
          <w:lang w:val="fr-FR"/>
        </w:rPr>
        <w:t>Afin d</w:t>
      </w:r>
      <w:r w:rsidR="00F1794C" w:rsidRPr="00F1794C">
        <w:rPr>
          <w:lang w:val="fr-FR"/>
        </w:rPr>
        <w:t>’</w:t>
      </w:r>
      <w:r w:rsidRPr="005D40D4">
        <w:rPr>
          <w:lang w:val="fr-FR"/>
        </w:rPr>
        <w:t>améliorer les services de santé maternelle et infantile, le plan stratégique national de santé procréative 2011-2020 prévoit la prestation de services complets, faciles d</w:t>
      </w:r>
      <w:r w:rsidR="00F1794C" w:rsidRPr="00F1794C">
        <w:rPr>
          <w:lang w:val="fr-FR"/>
        </w:rPr>
        <w:t>’</w:t>
      </w:r>
      <w:r w:rsidRPr="005D40D4">
        <w:rPr>
          <w:lang w:val="fr-FR"/>
        </w:rPr>
        <w:t>accès et d</w:t>
      </w:r>
      <w:r w:rsidR="00F1794C" w:rsidRPr="00F1794C">
        <w:rPr>
          <w:lang w:val="fr-FR"/>
        </w:rPr>
        <w:t>’</w:t>
      </w:r>
      <w:r w:rsidRPr="005D40D4">
        <w:rPr>
          <w:lang w:val="fr-FR"/>
        </w:rPr>
        <w:t>un coût raisonnable. Par ailleurs les services existants ont été renforcés afin de contribuer à l</w:t>
      </w:r>
      <w:r w:rsidR="00F1794C" w:rsidRPr="00F1794C">
        <w:rPr>
          <w:lang w:val="fr-FR"/>
        </w:rPr>
        <w:t>’</w:t>
      </w:r>
      <w:r w:rsidRPr="005D40D4">
        <w:rPr>
          <w:lang w:val="fr-FR"/>
        </w:rPr>
        <w:t>amélioration de la santé procréative des mères. Les indicateurs relatifs à l</w:t>
      </w:r>
      <w:r w:rsidR="00F1794C" w:rsidRPr="00F1794C">
        <w:rPr>
          <w:lang w:val="fr-FR"/>
        </w:rPr>
        <w:t>’</w:t>
      </w:r>
      <w:r w:rsidRPr="005D40D4">
        <w:rPr>
          <w:lang w:val="fr-FR"/>
        </w:rPr>
        <w:t>utilisation par les femmes de moyens de planification familiale font apparaître une évolution positive. Le taux d</w:t>
      </w:r>
      <w:r w:rsidR="00F1794C" w:rsidRPr="00F1794C">
        <w:rPr>
          <w:lang w:val="fr-FR"/>
        </w:rPr>
        <w:t>’</w:t>
      </w:r>
      <w:r w:rsidRPr="005D40D4">
        <w:rPr>
          <w:lang w:val="fr-FR"/>
        </w:rPr>
        <w:t>utilisation est passé de 63</w:t>
      </w:r>
      <w:r w:rsidR="00F1794C" w:rsidRPr="00F1794C">
        <w:rPr>
          <w:lang w:val="fr-FR"/>
        </w:rPr>
        <w:t> %</w:t>
      </w:r>
      <w:r w:rsidRPr="005D40D4">
        <w:rPr>
          <w:lang w:val="fr-FR"/>
        </w:rPr>
        <w:t xml:space="preserve"> en 2004 à 70,8</w:t>
      </w:r>
      <w:r w:rsidR="00F1794C" w:rsidRPr="00F1794C">
        <w:rPr>
          <w:lang w:val="fr-FR"/>
        </w:rPr>
        <w:t> %</w:t>
      </w:r>
      <w:r w:rsidRPr="005D40D4">
        <w:rPr>
          <w:lang w:val="fr-FR"/>
        </w:rPr>
        <w:t xml:space="preserve"> en 2018, et la part des besoins non couverts en matière de planification de la famille a diminué, pour s</w:t>
      </w:r>
      <w:r w:rsidR="00F1794C" w:rsidRPr="00F1794C">
        <w:rPr>
          <w:lang w:val="fr-FR"/>
        </w:rPr>
        <w:t>’</w:t>
      </w:r>
      <w:r w:rsidRPr="005D40D4">
        <w:rPr>
          <w:lang w:val="fr-FR"/>
        </w:rPr>
        <w:t>établir à 11,3</w:t>
      </w:r>
      <w:r w:rsidR="00F1794C" w:rsidRPr="00F1794C">
        <w:rPr>
          <w:lang w:val="fr-FR"/>
        </w:rPr>
        <w:t> %</w:t>
      </w:r>
      <w:r w:rsidRPr="005D40D4">
        <w:rPr>
          <w:lang w:val="fr-FR"/>
        </w:rPr>
        <w:t xml:space="preserve">. </w:t>
      </w:r>
    </w:p>
    <w:p w14:paraId="51CFF1E7" w14:textId="09B469A9" w:rsidR="005D40D4" w:rsidRPr="005D40D4" w:rsidRDefault="005D40D4" w:rsidP="00456FC2">
      <w:pPr>
        <w:pStyle w:val="SingleTxt"/>
        <w:numPr>
          <w:ilvl w:val="0"/>
          <w:numId w:val="50"/>
        </w:numPr>
        <w:tabs>
          <w:tab w:val="right" w:pos="1685"/>
        </w:tabs>
        <w:rPr>
          <w:lang w:val="fr-FR"/>
        </w:rPr>
      </w:pPr>
      <w:r w:rsidRPr="005D40D4">
        <w:rPr>
          <w:lang w:val="fr-FR"/>
        </w:rPr>
        <w:t>Dans le cadre du programme national pour la surveillance de la grossesse et de l</w:t>
      </w:r>
      <w:r w:rsidR="00F1794C" w:rsidRPr="00F1794C">
        <w:rPr>
          <w:lang w:val="fr-FR"/>
        </w:rPr>
        <w:t>’</w:t>
      </w:r>
      <w:r w:rsidRPr="005D40D4">
        <w:rPr>
          <w:lang w:val="fr-FR"/>
        </w:rPr>
        <w:t>accouchement, un ensemble de mesures a été pris à partir de 2012 afin de renforcer la politique d</w:t>
      </w:r>
      <w:r w:rsidR="00F1794C" w:rsidRPr="00F1794C">
        <w:rPr>
          <w:lang w:val="fr-FR"/>
        </w:rPr>
        <w:t>’</w:t>
      </w:r>
      <w:r w:rsidRPr="005D40D4">
        <w:rPr>
          <w:lang w:val="fr-FR"/>
        </w:rPr>
        <w:t>exonération des frais concernant les soins relatifs à l</w:t>
      </w:r>
      <w:r w:rsidR="00F1794C" w:rsidRPr="00F1794C">
        <w:rPr>
          <w:lang w:val="fr-FR"/>
        </w:rPr>
        <w:t>’</w:t>
      </w:r>
      <w:r w:rsidRPr="005D40D4">
        <w:rPr>
          <w:lang w:val="fr-FR"/>
        </w:rPr>
        <w:t>obstétrique d</w:t>
      </w:r>
      <w:r w:rsidR="00F1794C" w:rsidRPr="00F1794C">
        <w:rPr>
          <w:lang w:val="fr-FR"/>
        </w:rPr>
        <w:t>’</w:t>
      </w:r>
      <w:r w:rsidRPr="005D40D4">
        <w:rPr>
          <w:lang w:val="fr-FR"/>
        </w:rPr>
        <w:t>urgence et aux nouveau-nés, les services de santé dispensés dans les structures de santé de base, la césarienne et les tests de laboratoire de base. Le transport des femmes enceintes entre les établissements de santé est pris en charge et un appui est apportée aux unités de secours médical au profit des femmes enceintes dans les zones isolées et les zones les moins couvertes. La qualité de la prise en charge des complications liées à la grossesse s</w:t>
      </w:r>
      <w:r w:rsidR="00F1794C" w:rsidRPr="00F1794C">
        <w:rPr>
          <w:lang w:val="fr-FR"/>
        </w:rPr>
        <w:t>’</w:t>
      </w:r>
      <w:r w:rsidRPr="005D40D4">
        <w:rPr>
          <w:lang w:val="fr-FR"/>
        </w:rPr>
        <w:t>est améliorée. Par ailleurs, un programme de formation annuelle sur les urgences obstétriques a été élaboré à l</w:t>
      </w:r>
      <w:r w:rsidR="00F1794C" w:rsidRPr="00F1794C">
        <w:rPr>
          <w:lang w:val="fr-FR"/>
        </w:rPr>
        <w:t>’</w:t>
      </w:r>
      <w:r w:rsidRPr="005D40D4">
        <w:rPr>
          <w:lang w:val="fr-FR"/>
        </w:rPr>
        <w:t>intention des médecins et des obstétriciens. La loi n</w:t>
      </w:r>
      <w:r w:rsidRPr="005D40D4">
        <w:rPr>
          <w:vertAlign w:val="superscript"/>
          <w:lang w:val="fr-FR"/>
        </w:rPr>
        <w:t>o</w:t>
      </w:r>
      <w:r w:rsidRPr="005D40D4">
        <w:rPr>
          <w:lang w:val="fr-FR"/>
        </w:rPr>
        <w:t> 44-13 relative à l</w:t>
      </w:r>
      <w:r w:rsidR="00F1794C" w:rsidRPr="00F1794C">
        <w:rPr>
          <w:lang w:val="fr-FR"/>
        </w:rPr>
        <w:t>’</w:t>
      </w:r>
      <w:r w:rsidRPr="005D40D4">
        <w:rPr>
          <w:lang w:val="fr-FR"/>
        </w:rPr>
        <w:t>exercice de la profession de sage-femme vise à valoriser, redéfinir et protéger cette profession. D</w:t>
      </w:r>
      <w:r w:rsidR="00F1794C" w:rsidRPr="00F1794C">
        <w:rPr>
          <w:lang w:val="fr-FR"/>
        </w:rPr>
        <w:t>’</w:t>
      </w:r>
      <w:r w:rsidRPr="005D40D4">
        <w:rPr>
          <w:lang w:val="fr-FR"/>
        </w:rPr>
        <w:t>après les résultats de l</w:t>
      </w:r>
      <w:r w:rsidR="00F1794C" w:rsidRPr="00F1794C">
        <w:rPr>
          <w:lang w:val="fr-FR"/>
        </w:rPr>
        <w:t>’</w:t>
      </w:r>
      <w:r w:rsidRPr="005D40D4">
        <w:rPr>
          <w:lang w:val="fr-FR"/>
        </w:rPr>
        <w:t>enquête nationale sur la population et la santé familiale 2018, des améliorations notables ont été observées pour d</w:t>
      </w:r>
      <w:r w:rsidR="00F1794C" w:rsidRPr="00F1794C">
        <w:rPr>
          <w:lang w:val="fr-FR"/>
        </w:rPr>
        <w:t>’</w:t>
      </w:r>
      <w:r w:rsidRPr="005D40D4">
        <w:rPr>
          <w:lang w:val="fr-FR"/>
        </w:rPr>
        <w:t>autres indicateurs, notamment les suivants</w:t>
      </w:r>
      <w:r w:rsidR="00F1794C" w:rsidRPr="00F1794C">
        <w:rPr>
          <w:lang w:val="fr-FR"/>
        </w:rPr>
        <w:t> :</w:t>
      </w:r>
      <w:r w:rsidRPr="005D40D4">
        <w:rPr>
          <w:lang w:val="fr-FR"/>
        </w:rPr>
        <w:t xml:space="preserve"> </w:t>
      </w:r>
    </w:p>
    <w:p w14:paraId="317FF9D2" w14:textId="50986217" w:rsidR="005D40D4" w:rsidRPr="00E8382C" w:rsidRDefault="00E8382C" w:rsidP="00E8382C">
      <w:pPr>
        <w:pStyle w:val="SingleTxt"/>
        <w:tabs>
          <w:tab w:val="right" w:pos="1685"/>
        </w:tabs>
        <w:ind w:left="1742" w:hanging="475"/>
        <w:rPr>
          <w:lang w:val="fr-FR"/>
        </w:rPr>
      </w:pPr>
      <w:r>
        <w:rPr>
          <w:lang w:val="fr-FR"/>
        </w:rPr>
        <w:tab/>
      </w:r>
      <w:r>
        <w:rPr>
          <w:lang/>
        </w:rPr>
        <w:t>•</w:t>
      </w:r>
      <w:r>
        <w:rPr>
          <w:lang w:val="fr-FR"/>
        </w:rPr>
        <w:tab/>
      </w:r>
      <w:r w:rsidR="005D40D4" w:rsidRPr="00E8382C">
        <w:rPr>
          <w:lang w:val="fr-FR"/>
        </w:rPr>
        <w:t>plus de 88,6</w:t>
      </w:r>
      <w:r w:rsidR="00F1794C" w:rsidRPr="00E8382C">
        <w:rPr>
          <w:lang w:val="fr-FR"/>
        </w:rPr>
        <w:t> %</w:t>
      </w:r>
      <w:r w:rsidR="005D40D4" w:rsidRPr="00E8382C">
        <w:rPr>
          <w:lang w:val="fr-FR"/>
        </w:rPr>
        <w:t xml:space="preserve"> des femmes enceintes ont été suivies par des établissements de santé en 2018, contre 76</w:t>
      </w:r>
      <w:r w:rsidR="00F1794C" w:rsidRPr="00E8382C">
        <w:rPr>
          <w:lang w:val="fr-FR"/>
        </w:rPr>
        <w:t> %</w:t>
      </w:r>
      <w:r w:rsidR="005D40D4" w:rsidRPr="00E8382C">
        <w:rPr>
          <w:lang w:val="fr-FR"/>
        </w:rPr>
        <w:t xml:space="preserve"> en 2011</w:t>
      </w:r>
      <w:r w:rsidR="00F1794C" w:rsidRPr="00E8382C">
        <w:rPr>
          <w:lang w:val="fr-FR"/>
        </w:rPr>
        <w:t> ;</w:t>
      </w:r>
    </w:p>
    <w:p w14:paraId="159FAB08" w14:textId="5593B2E3" w:rsidR="005D40D4" w:rsidRPr="00E8382C" w:rsidRDefault="00E8382C" w:rsidP="00E8382C">
      <w:pPr>
        <w:pStyle w:val="SingleTxt"/>
        <w:tabs>
          <w:tab w:val="right" w:pos="1685"/>
        </w:tabs>
        <w:ind w:left="1742" w:hanging="475"/>
        <w:rPr>
          <w:lang w:val="fr-FR"/>
        </w:rPr>
      </w:pPr>
      <w:r>
        <w:rPr>
          <w:lang w:val="fr-FR"/>
        </w:rPr>
        <w:tab/>
      </w:r>
      <w:r>
        <w:rPr>
          <w:lang/>
        </w:rPr>
        <w:t>•</w:t>
      </w:r>
      <w:r>
        <w:rPr>
          <w:lang w:val="fr-FR"/>
        </w:rPr>
        <w:tab/>
      </w:r>
      <w:r w:rsidR="005D40D4" w:rsidRPr="00E8382C">
        <w:rPr>
          <w:lang w:val="fr-FR"/>
        </w:rPr>
        <w:t>plus de 86</w:t>
      </w:r>
      <w:r w:rsidR="00F1794C" w:rsidRPr="00E8382C">
        <w:rPr>
          <w:lang w:val="fr-FR"/>
        </w:rPr>
        <w:t> %</w:t>
      </w:r>
      <w:r w:rsidR="005D40D4" w:rsidRPr="00E8382C">
        <w:rPr>
          <w:lang w:val="fr-FR"/>
        </w:rPr>
        <w:t xml:space="preserve"> des naissances ont eu lieu dans des établissements de santé en 2018, contre 73</w:t>
      </w:r>
      <w:r w:rsidR="00F1794C" w:rsidRPr="00E8382C">
        <w:rPr>
          <w:lang w:val="fr-FR"/>
        </w:rPr>
        <w:t> %</w:t>
      </w:r>
      <w:r w:rsidR="005D40D4" w:rsidRPr="00E8382C">
        <w:rPr>
          <w:lang w:val="fr-FR"/>
        </w:rPr>
        <w:t xml:space="preserve"> en 2011. </w:t>
      </w:r>
    </w:p>
    <w:p w14:paraId="29711F29" w14:textId="6949D7E5" w:rsidR="005D40D4" w:rsidRPr="005D40D4" w:rsidRDefault="005D40D4" w:rsidP="00456FC2">
      <w:pPr>
        <w:pStyle w:val="SingleTxt"/>
        <w:numPr>
          <w:ilvl w:val="0"/>
          <w:numId w:val="50"/>
        </w:numPr>
        <w:tabs>
          <w:tab w:val="right" w:pos="1685"/>
        </w:tabs>
        <w:rPr>
          <w:lang w:val="fr-FR"/>
        </w:rPr>
      </w:pPr>
      <w:r w:rsidRPr="005D40D4">
        <w:rPr>
          <w:lang w:val="fr-FR"/>
        </w:rPr>
        <w:t>Afin de promouvoir le rôle de la maternité, le Gouvernement a continué d</w:t>
      </w:r>
      <w:r w:rsidR="00F1794C" w:rsidRPr="00F1794C">
        <w:rPr>
          <w:lang w:val="fr-FR"/>
        </w:rPr>
        <w:t>’</w:t>
      </w:r>
      <w:r w:rsidRPr="005D40D4">
        <w:rPr>
          <w:lang w:val="fr-FR"/>
        </w:rPr>
        <w:t>organiser des campagnes nationales visant à encourager les femmes enceintes, en particulier celles venant des zones isolées, à utiliser les services de santé pour le suivi de la grossesse et l</w:t>
      </w:r>
      <w:r w:rsidR="00F1794C" w:rsidRPr="00F1794C">
        <w:rPr>
          <w:lang w:val="fr-FR"/>
        </w:rPr>
        <w:t>’</w:t>
      </w:r>
      <w:r w:rsidRPr="005D40D4">
        <w:rPr>
          <w:lang w:val="fr-FR"/>
        </w:rPr>
        <w:t>accouchement. Des « classes des mères » sont proposées dans 60</w:t>
      </w:r>
      <w:r w:rsidR="00F1794C" w:rsidRPr="00F1794C">
        <w:rPr>
          <w:lang w:val="fr-FR"/>
        </w:rPr>
        <w:t> %</w:t>
      </w:r>
      <w:r w:rsidRPr="005D40D4">
        <w:rPr>
          <w:lang w:val="fr-FR"/>
        </w:rPr>
        <w:t xml:space="preserve"> des établissements concernés. </w:t>
      </w:r>
    </w:p>
    <w:p w14:paraId="73C525C8" w14:textId="4EACEDA7" w:rsidR="005D40D4" w:rsidRPr="005D40D4" w:rsidRDefault="005D40D4" w:rsidP="00456FC2">
      <w:pPr>
        <w:pStyle w:val="SingleTxt"/>
        <w:numPr>
          <w:ilvl w:val="0"/>
          <w:numId w:val="50"/>
        </w:numPr>
        <w:tabs>
          <w:tab w:val="right" w:pos="1685"/>
        </w:tabs>
        <w:rPr>
          <w:lang w:val="fr-FR"/>
        </w:rPr>
      </w:pPr>
      <w:r w:rsidRPr="005D40D4">
        <w:rPr>
          <w:lang w:val="fr-FR"/>
        </w:rPr>
        <w:t>Dans le cadre du Plan national de prévention et de contrôle du cancer (2010-2019), les activités de dépistage précoce du cancer du sein et du cancer du col de l</w:t>
      </w:r>
      <w:r w:rsidR="00F1794C" w:rsidRPr="00F1794C">
        <w:rPr>
          <w:lang w:val="fr-FR"/>
        </w:rPr>
        <w:t>’</w:t>
      </w:r>
      <w:r w:rsidRPr="005D40D4">
        <w:rPr>
          <w:lang w:val="fr-FR"/>
        </w:rPr>
        <w:t>utérus ont été renforcées. En 2017, plus de 1 832 000 femmes âgées de 40 à 69 ans ont bénéficié de services de dépistage précoce du cancer du sein. Durant la campagne nationale, 1 504 cas de cancer du sein ont été diagnostiqués, 920 000 femmes ayant bénéficié d</w:t>
      </w:r>
      <w:r w:rsidR="00F1794C" w:rsidRPr="00F1794C">
        <w:rPr>
          <w:lang w:val="fr-FR"/>
        </w:rPr>
        <w:t>’</w:t>
      </w:r>
      <w:r w:rsidRPr="005D40D4">
        <w:rPr>
          <w:lang w:val="fr-FR"/>
        </w:rPr>
        <w:t>un dépistage précoce en 2017 et, en 2018, 133 cas de cancer du sein, plus de 145 500 femmes ayant bénéficié d</w:t>
      </w:r>
      <w:r w:rsidR="00F1794C" w:rsidRPr="00F1794C">
        <w:rPr>
          <w:lang w:val="fr-FR"/>
        </w:rPr>
        <w:t>’</w:t>
      </w:r>
      <w:r w:rsidRPr="005D40D4">
        <w:rPr>
          <w:lang w:val="fr-FR"/>
        </w:rPr>
        <w:t>un dépistage précoce. En 2018, le dépistage de plus de 145 500 femmes a permis de diagnostiquer 455 cas de lésions précancéreuses du col de l</w:t>
      </w:r>
      <w:r w:rsidR="00F1794C" w:rsidRPr="00F1794C">
        <w:rPr>
          <w:lang w:val="fr-FR"/>
        </w:rPr>
        <w:t>’</w:t>
      </w:r>
      <w:r w:rsidRPr="005D40D4">
        <w:rPr>
          <w:lang w:val="fr-FR"/>
        </w:rPr>
        <w:t>utérus et 23 de cancer du col de l</w:t>
      </w:r>
      <w:r w:rsidR="00F1794C" w:rsidRPr="00F1794C">
        <w:rPr>
          <w:lang w:val="fr-FR"/>
        </w:rPr>
        <w:t>’</w:t>
      </w:r>
      <w:r w:rsidRPr="005D40D4">
        <w:rPr>
          <w:lang w:val="fr-FR"/>
        </w:rPr>
        <w:t xml:space="preserve">utérus. </w:t>
      </w:r>
    </w:p>
    <w:p w14:paraId="6D476B34" w14:textId="77777777" w:rsidR="005D40D4" w:rsidRPr="005D40D4" w:rsidRDefault="005D40D4" w:rsidP="00456FC2">
      <w:pPr>
        <w:pStyle w:val="SingleTxt"/>
        <w:numPr>
          <w:ilvl w:val="0"/>
          <w:numId w:val="50"/>
        </w:numPr>
        <w:tabs>
          <w:tab w:val="right" w:pos="1685"/>
        </w:tabs>
        <w:rPr>
          <w:lang w:val="fr-FR"/>
        </w:rPr>
      </w:pPr>
      <w:r w:rsidRPr="005D40D4">
        <w:rPr>
          <w:lang w:val="fr-FR"/>
        </w:rPr>
        <w:t xml:space="preserve">Dans le cadre de la stratégie nationale de lutte contre les maladies sexuellement transmissibles curables, plus de 350 000 femmes sont prises en charge chaque année. Des tests de détection du VIH sont proposés, en particulier aux femmes en âge de procréer et aux femmes enceintes. Le nombre de femmes ayant bénéficié de cet examen a augmenté, passant de 43 000 en 2012 à plus de 120 000 en 2018. </w:t>
      </w:r>
    </w:p>
    <w:p w14:paraId="67E8AC57" w14:textId="479E2E54" w:rsidR="005D40D4" w:rsidRPr="005D40D4" w:rsidRDefault="005D40D4" w:rsidP="00456FC2">
      <w:pPr>
        <w:pStyle w:val="SingleTxt"/>
        <w:numPr>
          <w:ilvl w:val="0"/>
          <w:numId w:val="50"/>
        </w:numPr>
        <w:tabs>
          <w:tab w:val="right" w:pos="1685"/>
        </w:tabs>
        <w:rPr>
          <w:lang w:val="fr-FR"/>
        </w:rPr>
      </w:pPr>
      <w:r w:rsidRPr="005D40D4">
        <w:rPr>
          <w:lang w:val="fr-FR"/>
        </w:rPr>
        <w:lastRenderedPageBreak/>
        <w:t>Dans le cadre du plan national d</w:t>
      </w:r>
      <w:r w:rsidR="00F1794C" w:rsidRPr="00F1794C">
        <w:rPr>
          <w:lang w:val="fr-FR"/>
        </w:rPr>
        <w:t>’</w:t>
      </w:r>
      <w:r w:rsidRPr="005D40D4">
        <w:rPr>
          <w:lang w:val="fr-FR"/>
        </w:rPr>
        <w:t>élimination de la transmission mère-enfant du VIH et de la syphilis congénitale à l</w:t>
      </w:r>
      <w:r w:rsidR="00F1794C" w:rsidRPr="00F1794C">
        <w:rPr>
          <w:lang w:val="fr-FR"/>
        </w:rPr>
        <w:t>’</w:t>
      </w:r>
      <w:r w:rsidRPr="005D40D4">
        <w:rPr>
          <w:lang w:val="fr-FR"/>
        </w:rPr>
        <w:t>horizon 2020, des activités de sensibilisation ont été menées à l</w:t>
      </w:r>
      <w:r w:rsidR="00F1794C" w:rsidRPr="00F1794C">
        <w:rPr>
          <w:lang w:val="fr-FR"/>
        </w:rPr>
        <w:t>’</w:t>
      </w:r>
      <w:r w:rsidRPr="005D40D4">
        <w:rPr>
          <w:lang w:val="fr-FR"/>
        </w:rPr>
        <w:t>intention des femmes en âge de procréer afin que celles-ci prennent conscience des risques de transmission du virus et de la bactérie à l</w:t>
      </w:r>
      <w:r w:rsidR="00F1794C" w:rsidRPr="00F1794C">
        <w:rPr>
          <w:lang w:val="fr-FR"/>
        </w:rPr>
        <w:t>’</w:t>
      </w:r>
      <w:r w:rsidRPr="005D40D4">
        <w:rPr>
          <w:lang w:val="fr-FR"/>
        </w:rPr>
        <w:t>origine de la syphilis et que les femmes séropositives évitent les grossesses non désirées. Dans le cadre d</w:t>
      </w:r>
      <w:r w:rsidR="00F1794C" w:rsidRPr="00F1794C">
        <w:rPr>
          <w:lang w:val="fr-FR"/>
        </w:rPr>
        <w:t>’</w:t>
      </w:r>
      <w:r w:rsidRPr="005D40D4">
        <w:rPr>
          <w:lang w:val="fr-FR"/>
        </w:rPr>
        <w:t>un programme de prévention de la transmission du virus et de toutes les infections sexuellement transmissibles de la mère à l</w:t>
      </w:r>
      <w:r w:rsidR="00F1794C" w:rsidRPr="00F1794C">
        <w:rPr>
          <w:lang w:val="fr-FR"/>
        </w:rPr>
        <w:t>’</w:t>
      </w:r>
      <w:r w:rsidRPr="005D40D4">
        <w:rPr>
          <w:lang w:val="fr-FR"/>
        </w:rPr>
        <w:t>enfant un dépistage précoce est proposé et un traitement offert aux femmes séropositives. La part des femmes enceintes vivant avec le VIH bénéficiant de la trithérapie est passé de 12</w:t>
      </w:r>
      <w:r w:rsidR="00F1794C" w:rsidRPr="00F1794C">
        <w:rPr>
          <w:lang w:val="fr-FR"/>
        </w:rPr>
        <w:t> %</w:t>
      </w:r>
      <w:r w:rsidRPr="005D40D4">
        <w:rPr>
          <w:lang w:val="fr-FR"/>
        </w:rPr>
        <w:t xml:space="preserve"> à 2007 à 65</w:t>
      </w:r>
      <w:r w:rsidR="00F1794C" w:rsidRPr="00F1794C">
        <w:rPr>
          <w:lang w:val="fr-FR"/>
        </w:rPr>
        <w:t> %</w:t>
      </w:r>
      <w:r w:rsidRPr="005D40D4">
        <w:rPr>
          <w:lang w:val="fr-FR"/>
        </w:rPr>
        <w:t xml:space="preserve"> en 2018. </w:t>
      </w:r>
    </w:p>
    <w:p w14:paraId="64286895" w14:textId="28B21EB2" w:rsidR="005D40D4" w:rsidRPr="005D40D4" w:rsidRDefault="005D40D4" w:rsidP="00456FC2">
      <w:pPr>
        <w:pStyle w:val="SingleTxt"/>
        <w:numPr>
          <w:ilvl w:val="0"/>
          <w:numId w:val="50"/>
        </w:numPr>
        <w:tabs>
          <w:tab w:val="right" w:pos="1685"/>
        </w:tabs>
        <w:rPr>
          <w:lang w:val="fr-FR"/>
        </w:rPr>
      </w:pPr>
      <w:r w:rsidRPr="005D40D4">
        <w:rPr>
          <w:lang w:val="fr-FR"/>
        </w:rPr>
        <w:t>La dimension de genre a été adoptée dans le programme de prise en charge des personnes en situation de handicap. En 2016, 68 450 femmes et filles ont bénéficié d</w:t>
      </w:r>
      <w:r w:rsidR="00F1794C" w:rsidRPr="00F1794C">
        <w:rPr>
          <w:lang w:val="fr-FR"/>
        </w:rPr>
        <w:t>’</w:t>
      </w:r>
      <w:r w:rsidRPr="005D40D4">
        <w:rPr>
          <w:lang w:val="fr-FR"/>
        </w:rPr>
        <w:t>une formation médicale dans différentes spécialités dans les centres régionaux et provinciaux, contre 62 161 en 2012, soit une hausse de 10</w:t>
      </w:r>
      <w:r w:rsidR="00F1794C" w:rsidRPr="00F1794C">
        <w:rPr>
          <w:lang w:val="fr-FR"/>
        </w:rPr>
        <w:t> %</w:t>
      </w:r>
      <w:r w:rsidRPr="005D40D4">
        <w:rPr>
          <w:lang w:val="fr-FR"/>
        </w:rPr>
        <w:t>. En 2016, 1 944 femmes et filles en situation de handicap ont bénéficié d</w:t>
      </w:r>
      <w:r w:rsidR="00F1794C" w:rsidRPr="00F1794C">
        <w:rPr>
          <w:lang w:val="fr-FR"/>
        </w:rPr>
        <w:t>’</w:t>
      </w:r>
      <w:r w:rsidRPr="005D40D4">
        <w:rPr>
          <w:lang w:val="fr-FR"/>
        </w:rPr>
        <w:t>orthèses et de prothèses dans les centres régionaux, contre 650 en 2012, soit une hausse de 199</w:t>
      </w:r>
      <w:r w:rsidR="00F1794C" w:rsidRPr="00F1794C">
        <w:rPr>
          <w:lang w:val="fr-FR"/>
        </w:rPr>
        <w:t> %</w:t>
      </w:r>
      <w:r w:rsidRPr="005D40D4">
        <w:rPr>
          <w:lang w:val="fr-FR"/>
        </w:rPr>
        <w:t xml:space="preserve"> grâce à la multiplication de tels centres, dont le nombre est passé de 12 en 2012 à 15 en 2016. Un plan national de santé des personnes en situation de handicap</w:t>
      </w:r>
      <w:r w:rsidRPr="00FA086B">
        <w:rPr>
          <w:vertAlign w:val="superscript"/>
          <w:lang w:val="fr-CH"/>
        </w:rPr>
        <w:footnoteReference w:id="86"/>
      </w:r>
      <w:r w:rsidRPr="005D40D4">
        <w:rPr>
          <w:lang w:val="fr-FR"/>
        </w:rPr>
        <w:t xml:space="preserve"> a été élaboré pour la période 2015-2021.</w:t>
      </w:r>
    </w:p>
    <w:p w14:paraId="7D411A4E" w14:textId="7F84E30F" w:rsidR="005D40D4" w:rsidRPr="005D40D4" w:rsidRDefault="005D40D4" w:rsidP="00456FC2">
      <w:pPr>
        <w:pStyle w:val="SingleTxt"/>
        <w:numPr>
          <w:ilvl w:val="0"/>
          <w:numId w:val="50"/>
        </w:numPr>
        <w:tabs>
          <w:tab w:val="right" w:pos="1685"/>
        </w:tabs>
        <w:rPr>
          <w:lang w:val="fr-FR"/>
        </w:rPr>
      </w:pPr>
      <w:r w:rsidRPr="005D40D4">
        <w:rPr>
          <w:lang w:val="fr-FR"/>
        </w:rPr>
        <w:t>Pour promouvoir le partenariat avec les acteurs locaux, des projets pilotes de participation collective ont été menés, notamment des activités de sensibilisation concernant les grands problèmes de santé. Les cas obstétriques urgents sont transférés vers les services sanitaires appropriés dans le cadre du régime d</w:t>
      </w:r>
      <w:r w:rsidR="00F1794C" w:rsidRPr="00F1794C">
        <w:rPr>
          <w:lang w:val="fr-FR"/>
        </w:rPr>
        <w:t>’</w:t>
      </w:r>
      <w:r w:rsidRPr="005D40D4">
        <w:rPr>
          <w:lang w:val="fr-FR"/>
        </w:rPr>
        <w:t>assistance médicale d</w:t>
      </w:r>
      <w:r w:rsidR="00F1794C" w:rsidRPr="00F1794C">
        <w:rPr>
          <w:lang w:val="fr-FR"/>
        </w:rPr>
        <w:t>’</w:t>
      </w:r>
      <w:r w:rsidRPr="005D40D4">
        <w:rPr>
          <w:lang w:val="fr-FR"/>
        </w:rPr>
        <w:t>urgence pour les mères et les nouveau-nés, proposé dans 31 sites. Des services de santé ont été installés à proximité des populations des zones isolées (une trentaine de maternités). La société civile participe à l</w:t>
      </w:r>
      <w:r w:rsidR="00F1794C" w:rsidRPr="00F1794C">
        <w:rPr>
          <w:lang w:val="fr-FR"/>
        </w:rPr>
        <w:t>’</w:t>
      </w:r>
      <w:r w:rsidRPr="005D40D4">
        <w:rPr>
          <w:lang w:val="fr-FR"/>
        </w:rPr>
        <w:t>élaboration de projets et de programmes de promotion de la santé de la femme. Ces initiatives ciblent les zones rurales. À cette fin, la notion de maternité a été élargie et l</w:t>
      </w:r>
      <w:r w:rsidR="00F1794C" w:rsidRPr="00F1794C">
        <w:rPr>
          <w:lang w:val="fr-FR"/>
        </w:rPr>
        <w:t>’</w:t>
      </w:r>
      <w:r w:rsidRPr="005D40D4">
        <w:rPr>
          <w:lang w:val="fr-FR"/>
        </w:rPr>
        <w:t xml:space="preserve">éducation parentale renforcée grâce à la participation des agences de développement locales qui encouragent les femmes à accoucher dans un établissement de santé. En 2018, 20 accords de partenariat ont été signé avec les différents acteurs, dont 9 avec des associations œuvrant dans le domaine de la santé. </w:t>
      </w:r>
    </w:p>
    <w:p w14:paraId="459B1E0B" w14:textId="1E42A05C" w:rsidR="005D40D4" w:rsidRPr="00E8382C" w:rsidRDefault="005D40D4" w:rsidP="00E8382C">
      <w:pPr>
        <w:pStyle w:val="SingleTxt"/>
        <w:tabs>
          <w:tab w:val="right" w:pos="1685"/>
        </w:tabs>
        <w:spacing w:after="0" w:line="120" w:lineRule="exact"/>
        <w:ind w:left="1742" w:hanging="475"/>
        <w:rPr>
          <w:sz w:val="10"/>
          <w:lang w:val="fr-FR"/>
        </w:rPr>
      </w:pPr>
    </w:p>
    <w:p w14:paraId="6ADC61A3" w14:textId="0AF1665D" w:rsidR="005D40D4" w:rsidRPr="005D40D4" w:rsidRDefault="00E8382C" w:rsidP="00E8382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2" w:name="_Hlk37972853"/>
      <w:r>
        <w:rPr>
          <w:lang w:val="fr-FR"/>
        </w:rPr>
        <w:tab/>
      </w:r>
      <w:r>
        <w:rPr>
          <w:lang w:val="fr-FR"/>
        </w:rPr>
        <w:tab/>
      </w:r>
      <w:r w:rsidR="005D40D4" w:rsidRPr="005D40D4">
        <w:rPr>
          <w:lang w:val="fr-FR"/>
        </w:rPr>
        <w:t>Article 13</w:t>
      </w:r>
    </w:p>
    <w:bookmarkEnd w:id="2"/>
    <w:p w14:paraId="239A9BA9" w14:textId="69F0C590" w:rsidR="005D40D4" w:rsidRPr="00E8382C" w:rsidRDefault="005D40D4" w:rsidP="00E8382C">
      <w:pPr>
        <w:pStyle w:val="SingleTxt"/>
        <w:tabs>
          <w:tab w:val="right" w:pos="1685"/>
        </w:tabs>
        <w:spacing w:after="0" w:line="120" w:lineRule="exact"/>
        <w:ind w:left="1742" w:hanging="475"/>
        <w:rPr>
          <w:sz w:val="10"/>
          <w:lang w:val="fr-FR"/>
        </w:rPr>
      </w:pPr>
    </w:p>
    <w:p w14:paraId="7D52562B" w14:textId="70459674" w:rsidR="005D40D4" w:rsidRPr="005D40D4" w:rsidRDefault="005D40D4" w:rsidP="00456FC2">
      <w:pPr>
        <w:pStyle w:val="SingleTxt"/>
        <w:numPr>
          <w:ilvl w:val="0"/>
          <w:numId w:val="50"/>
        </w:numPr>
        <w:tabs>
          <w:tab w:val="right" w:pos="1685"/>
        </w:tabs>
        <w:rPr>
          <w:lang w:val="fr-FR"/>
        </w:rPr>
      </w:pPr>
      <w:r w:rsidRPr="005D40D4">
        <w:rPr>
          <w:lang w:val="fr-FR"/>
        </w:rPr>
        <w:t>Les conditions de vie des ménages dont le chef de famille est une femme se sont améliorées, ce qui s</w:t>
      </w:r>
      <w:r w:rsidR="00F1794C" w:rsidRPr="00F1794C">
        <w:rPr>
          <w:lang w:val="fr-FR"/>
        </w:rPr>
        <w:t>’</w:t>
      </w:r>
      <w:r w:rsidRPr="005D40D4">
        <w:rPr>
          <w:lang w:val="fr-FR"/>
        </w:rPr>
        <w:t>est traduit par une baisse de l</w:t>
      </w:r>
      <w:r w:rsidR="00F1794C" w:rsidRPr="00F1794C">
        <w:rPr>
          <w:lang w:val="fr-FR"/>
        </w:rPr>
        <w:t>’</w:t>
      </w:r>
      <w:r w:rsidRPr="005D40D4">
        <w:rPr>
          <w:lang w:val="fr-FR"/>
        </w:rPr>
        <w:t>incidence de la pauvreté et de la précarité entre 2007 et 2014.</w:t>
      </w:r>
    </w:p>
    <w:p w14:paraId="56282EAE" w14:textId="392B4AE9" w:rsidR="00B307F7" w:rsidRDefault="00B307F7">
      <w:pPr>
        <w:spacing w:after="200" w:line="276" w:lineRule="auto"/>
        <w:rPr>
          <w:sz w:val="10"/>
          <w:lang w:val="fr-FR"/>
        </w:rPr>
      </w:pPr>
      <w:r>
        <w:rPr>
          <w:sz w:val="10"/>
          <w:lang w:val="fr-FR"/>
        </w:rPr>
        <w:br w:type="page"/>
      </w:r>
    </w:p>
    <w:p w14:paraId="407FB579" w14:textId="357CC6A8" w:rsidR="00E8382C" w:rsidRDefault="00E8382C" w:rsidP="00E8382C">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lastRenderedPageBreak/>
        <w:tab/>
      </w:r>
      <w:r>
        <w:rPr>
          <w:lang w:val="fr-FR"/>
        </w:rPr>
        <w:tab/>
      </w:r>
      <w:r w:rsidR="005D40D4" w:rsidRPr="005D40D4">
        <w:rPr>
          <w:lang w:val="fr-FR"/>
        </w:rPr>
        <w:t>Tableau 14</w:t>
      </w:r>
    </w:p>
    <w:p w14:paraId="5AC09D2A" w14:textId="7102A378" w:rsidR="005D40D4" w:rsidRPr="005D40D4" w:rsidRDefault="00E8382C" w:rsidP="00E8382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rPr>
        <w:tab/>
      </w:r>
      <w:r>
        <w:rPr>
          <w:lang/>
        </w:rPr>
        <w:tab/>
        <w:t>I</w:t>
      </w:r>
      <w:r w:rsidR="005D40D4" w:rsidRPr="005D40D4">
        <w:rPr>
          <w:lang w:val="fr-FR"/>
        </w:rPr>
        <w:t>ncidence de la pauvreté chez les femmes</w:t>
      </w:r>
    </w:p>
    <w:p w14:paraId="6E7E2356" w14:textId="78CC3F2B" w:rsidR="005D40D4" w:rsidRPr="00870B98" w:rsidRDefault="005D40D4" w:rsidP="00870B98">
      <w:pPr>
        <w:pStyle w:val="SingleTxt"/>
        <w:tabs>
          <w:tab w:val="right" w:pos="1685"/>
        </w:tabs>
        <w:spacing w:after="0" w:line="120" w:lineRule="exact"/>
        <w:ind w:left="1742" w:hanging="475"/>
        <w:rPr>
          <w:sz w:val="10"/>
          <w:lang w:val="fr-FR"/>
        </w:rPr>
      </w:pPr>
    </w:p>
    <w:p w14:paraId="4EA05054" w14:textId="77367C28" w:rsidR="00870B98" w:rsidRPr="00870B98" w:rsidRDefault="00870B98" w:rsidP="00870B98">
      <w:pPr>
        <w:pStyle w:val="SingleTxt"/>
        <w:tabs>
          <w:tab w:val="right" w:pos="1685"/>
        </w:tabs>
        <w:spacing w:after="0" w:line="120" w:lineRule="exact"/>
        <w:ind w:left="1742" w:hanging="475"/>
        <w:rPr>
          <w:sz w:val="10"/>
          <w:lang w:val="fr-FR"/>
        </w:rPr>
      </w:pPr>
    </w:p>
    <w:tbl>
      <w:tblPr>
        <w:tblStyle w:val="Grilledutableau101"/>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790"/>
        <w:gridCol w:w="45"/>
        <w:gridCol w:w="710"/>
        <w:gridCol w:w="755"/>
        <w:gridCol w:w="65"/>
        <w:gridCol w:w="691"/>
        <w:gridCol w:w="755"/>
        <w:gridCol w:w="39"/>
        <w:gridCol w:w="716"/>
        <w:gridCol w:w="756"/>
      </w:tblGrid>
      <w:tr w:rsidR="00870B98" w:rsidRPr="00E8382C" w14:paraId="3FEB542D" w14:textId="77777777" w:rsidTr="00FA086B">
        <w:trPr>
          <w:cantSplit/>
          <w:tblHeader/>
        </w:trPr>
        <w:tc>
          <w:tcPr>
            <w:tcW w:w="2790" w:type="dxa"/>
            <w:vMerge w:val="restart"/>
            <w:tcBorders>
              <w:top w:val="single" w:sz="4" w:space="0" w:color="auto"/>
            </w:tcBorders>
            <w:shd w:val="clear" w:color="auto" w:fill="auto"/>
            <w:noWrap/>
            <w:vAlign w:val="bottom"/>
          </w:tcPr>
          <w:p w14:paraId="08A42AC0" w14:textId="2FF8A615" w:rsidR="00870B98" w:rsidRPr="00E8382C" w:rsidRDefault="00870B98" w:rsidP="00E8382C">
            <w:pPr>
              <w:suppressAutoHyphens/>
              <w:spacing w:before="81" w:after="81" w:line="160" w:lineRule="exact"/>
              <w:ind w:right="40"/>
              <w:rPr>
                <w:i/>
                <w:sz w:val="14"/>
              </w:rPr>
            </w:pPr>
            <w:r w:rsidRPr="00E8382C">
              <w:rPr>
                <w:i/>
                <w:sz w:val="14"/>
              </w:rPr>
              <w:t>Incidence de la pauvreté et de la précarité</w:t>
            </w:r>
            <w:r>
              <w:rPr>
                <w:i/>
                <w:sz w:val="14"/>
                <w:lang/>
              </w:rPr>
              <w:t xml:space="preserve"> </w:t>
            </w:r>
            <w:r w:rsidRPr="00E8382C">
              <w:rPr>
                <w:i/>
                <w:sz w:val="14"/>
              </w:rPr>
              <w:t>chez les femmes chefs de famille</w:t>
            </w:r>
          </w:p>
        </w:tc>
        <w:tc>
          <w:tcPr>
            <w:tcW w:w="45" w:type="dxa"/>
            <w:tcBorders>
              <w:top w:val="single" w:sz="4" w:space="0" w:color="auto"/>
            </w:tcBorders>
            <w:shd w:val="clear" w:color="auto" w:fill="auto"/>
            <w:noWrap/>
            <w:vAlign w:val="bottom"/>
          </w:tcPr>
          <w:p w14:paraId="665C2B81" w14:textId="77777777" w:rsidR="00870B98" w:rsidRPr="00E8382C" w:rsidRDefault="00870B98" w:rsidP="00E8382C">
            <w:pPr>
              <w:suppressAutoHyphens/>
              <w:spacing w:before="81" w:after="81" w:line="160" w:lineRule="exact"/>
              <w:ind w:right="43"/>
              <w:jc w:val="right"/>
              <w:rPr>
                <w:i/>
                <w:sz w:val="14"/>
              </w:rPr>
            </w:pPr>
          </w:p>
        </w:tc>
        <w:tc>
          <w:tcPr>
            <w:tcW w:w="1465" w:type="dxa"/>
            <w:gridSpan w:val="2"/>
            <w:tcBorders>
              <w:top w:val="single" w:sz="4" w:space="0" w:color="auto"/>
              <w:bottom w:val="single" w:sz="4" w:space="0" w:color="auto"/>
            </w:tcBorders>
            <w:shd w:val="clear" w:color="auto" w:fill="auto"/>
            <w:vAlign w:val="bottom"/>
          </w:tcPr>
          <w:p w14:paraId="1D08AF8A" w14:textId="44FFEB93" w:rsidR="00870B98" w:rsidRPr="00E8382C" w:rsidRDefault="00870B98" w:rsidP="00870B98">
            <w:pPr>
              <w:suppressAutoHyphens/>
              <w:spacing w:before="81" w:after="81" w:line="160" w:lineRule="exact"/>
              <w:ind w:right="43"/>
              <w:jc w:val="center"/>
              <w:rPr>
                <w:i/>
                <w:sz w:val="14"/>
              </w:rPr>
            </w:pPr>
            <w:r w:rsidRPr="00E8382C">
              <w:rPr>
                <w:i/>
                <w:sz w:val="14"/>
              </w:rPr>
              <w:t>Milieu rural</w:t>
            </w:r>
          </w:p>
        </w:tc>
        <w:tc>
          <w:tcPr>
            <w:tcW w:w="65" w:type="dxa"/>
            <w:tcBorders>
              <w:top w:val="single" w:sz="4" w:space="0" w:color="auto"/>
            </w:tcBorders>
            <w:shd w:val="clear" w:color="auto" w:fill="auto"/>
            <w:noWrap/>
            <w:vAlign w:val="bottom"/>
          </w:tcPr>
          <w:p w14:paraId="46727E74" w14:textId="77777777" w:rsidR="00870B98" w:rsidRPr="00E8382C" w:rsidRDefault="00870B98" w:rsidP="00E8382C">
            <w:pPr>
              <w:suppressAutoHyphens/>
              <w:spacing w:before="81" w:after="81" w:line="160" w:lineRule="exact"/>
              <w:ind w:right="43"/>
              <w:jc w:val="right"/>
              <w:rPr>
                <w:i/>
                <w:sz w:val="14"/>
              </w:rPr>
            </w:pPr>
          </w:p>
        </w:tc>
        <w:tc>
          <w:tcPr>
            <w:tcW w:w="1446" w:type="dxa"/>
            <w:gridSpan w:val="2"/>
            <w:tcBorders>
              <w:top w:val="single" w:sz="4" w:space="0" w:color="auto"/>
              <w:bottom w:val="single" w:sz="4" w:space="0" w:color="auto"/>
            </w:tcBorders>
            <w:shd w:val="clear" w:color="auto" w:fill="auto"/>
            <w:vAlign w:val="bottom"/>
          </w:tcPr>
          <w:p w14:paraId="714305EA" w14:textId="4206FBAC" w:rsidR="00870B98" w:rsidRPr="00E8382C" w:rsidRDefault="00870B98" w:rsidP="00870B98">
            <w:pPr>
              <w:suppressAutoHyphens/>
              <w:spacing w:before="81" w:after="81" w:line="160" w:lineRule="exact"/>
              <w:ind w:right="43"/>
              <w:jc w:val="center"/>
              <w:rPr>
                <w:i/>
                <w:sz w:val="14"/>
              </w:rPr>
            </w:pPr>
            <w:r w:rsidRPr="00E8382C">
              <w:rPr>
                <w:i/>
                <w:sz w:val="14"/>
              </w:rPr>
              <w:t>Milieu urbain</w:t>
            </w:r>
          </w:p>
        </w:tc>
        <w:tc>
          <w:tcPr>
            <w:tcW w:w="39" w:type="dxa"/>
            <w:tcBorders>
              <w:top w:val="single" w:sz="4" w:space="0" w:color="auto"/>
            </w:tcBorders>
            <w:shd w:val="clear" w:color="auto" w:fill="auto"/>
            <w:noWrap/>
            <w:vAlign w:val="bottom"/>
          </w:tcPr>
          <w:p w14:paraId="7F446D66" w14:textId="724C058E" w:rsidR="00870B98" w:rsidRPr="00E8382C" w:rsidRDefault="00870B98" w:rsidP="00E8382C">
            <w:pPr>
              <w:suppressAutoHyphens/>
              <w:spacing w:before="81" w:after="81" w:line="160" w:lineRule="exact"/>
              <w:ind w:right="43"/>
              <w:jc w:val="right"/>
              <w:rPr>
                <w:i/>
                <w:sz w:val="14"/>
              </w:rPr>
            </w:pPr>
          </w:p>
        </w:tc>
        <w:tc>
          <w:tcPr>
            <w:tcW w:w="1472" w:type="dxa"/>
            <w:gridSpan w:val="2"/>
            <w:tcBorders>
              <w:top w:val="single" w:sz="4" w:space="0" w:color="auto"/>
              <w:bottom w:val="single" w:sz="4" w:space="0" w:color="auto"/>
            </w:tcBorders>
            <w:shd w:val="clear" w:color="auto" w:fill="auto"/>
            <w:vAlign w:val="bottom"/>
          </w:tcPr>
          <w:p w14:paraId="3346D878" w14:textId="697E14D1" w:rsidR="00870B98" w:rsidRPr="00E8382C" w:rsidRDefault="00870B98" w:rsidP="00870B98">
            <w:pPr>
              <w:suppressAutoHyphens/>
              <w:spacing w:before="81" w:after="81" w:line="160" w:lineRule="exact"/>
              <w:ind w:right="43"/>
              <w:jc w:val="center"/>
              <w:rPr>
                <w:i/>
                <w:sz w:val="14"/>
              </w:rPr>
            </w:pPr>
            <w:r w:rsidRPr="00E8382C">
              <w:rPr>
                <w:i/>
                <w:sz w:val="14"/>
              </w:rPr>
              <w:t>Total</w:t>
            </w:r>
          </w:p>
        </w:tc>
      </w:tr>
      <w:tr w:rsidR="00870B98" w:rsidRPr="00E8382C" w14:paraId="24DD97C7" w14:textId="77777777" w:rsidTr="00870B98">
        <w:trPr>
          <w:cantSplit/>
          <w:tblHeader/>
        </w:trPr>
        <w:tc>
          <w:tcPr>
            <w:tcW w:w="2790" w:type="dxa"/>
            <w:vMerge/>
            <w:tcBorders>
              <w:bottom w:val="single" w:sz="12" w:space="0" w:color="auto"/>
            </w:tcBorders>
            <w:shd w:val="clear" w:color="auto" w:fill="auto"/>
            <w:noWrap/>
            <w:vAlign w:val="bottom"/>
          </w:tcPr>
          <w:p w14:paraId="4209215B" w14:textId="1F4EE01E" w:rsidR="00870B98" w:rsidRPr="00E8382C" w:rsidRDefault="00870B98" w:rsidP="00E8382C">
            <w:pPr>
              <w:suppressAutoHyphens/>
              <w:spacing w:before="81" w:after="81" w:line="160" w:lineRule="exact"/>
              <w:ind w:right="40"/>
              <w:rPr>
                <w:i/>
                <w:sz w:val="14"/>
              </w:rPr>
            </w:pPr>
          </w:p>
        </w:tc>
        <w:tc>
          <w:tcPr>
            <w:tcW w:w="755" w:type="dxa"/>
            <w:gridSpan w:val="2"/>
            <w:tcBorders>
              <w:bottom w:val="single" w:sz="12" w:space="0" w:color="auto"/>
            </w:tcBorders>
            <w:shd w:val="clear" w:color="auto" w:fill="auto"/>
            <w:noWrap/>
            <w:vAlign w:val="bottom"/>
          </w:tcPr>
          <w:p w14:paraId="7351862F" w14:textId="77777777" w:rsidR="00870B98" w:rsidRPr="00E8382C" w:rsidRDefault="00870B98" w:rsidP="00E8382C">
            <w:pPr>
              <w:suppressAutoHyphens/>
              <w:spacing w:before="81" w:after="81" w:line="160" w:lineRule="exact"/>
              <w:ind w:right="43"/>
              <w:jc w:val="right"/>
              <w:rPr>
                <w:i/>
                <w:sz w:val="14"/>
              </w:rPr>
            </w:pPr>
            <w:r w:rsidRPr="00E8382C">
              <w:rPr>
                <w:i/>
                <w:sz w:val="14"/>
              </w:rPr>
              <w:t>2007</w:t>
            </w:r>
          </w:p>
        </w:tc>
        <w:tc>
          <w:tcPr>
            <w:tcW w:w="755" w:type="dxa"/>
            <w:tcBorders>
              <w:bottom w:val="single" w:sz="12" w:space="0" w:color="auto"/>
            </w:tcBorders>
            <w:shd w:val="clear" w:color="auto" w:fill="auto"/>
            <w:noWrap/>
            <w:vAlign w:val="bottom"/>
          </w:tcPr>
          <w:p w14:paraId="1995A905" w14:textId="77777777" w:rsidR="00870B98" w:rsidRPr="00E8382C" w:rsidRDefault="00870B98" w:rsidP="00E8382C">
            <w:pPr>
              <w:suppressAutoHyphens/>
              <w:spacing w:before="81" w:after="81" w:line="160" w:lineRule="exact"/>
              <w:ind w:right="43"/>
              <w:jc w:val="right"/>
              <w:rPr>
                <w:i/>
                <w:sz w:val="14"/>
              </w:rPr>
            </w:pPr>
            <w:r w:rsidRPr="00E8382C">
              <w:rPr>
                <w:i/>
                <w:sz w:val="14"/>
              </w:rPr>
              <w:t>2014</w:t>
            </w:r>
          </w:p>
        </w:tc>
        <w:tc>
          <w:tcPr>
            <w:tcW w:w="756" w:type="dxa"/>
            <w:gridSpan w:val="2"/>
            <w:tcBorders>
              <w:bottom w:val="single" w:sz="12" w:space="0" w:color="auto"/>
            </w:tcBorders>
            <w:shd w:val="clear" w:color="auto" w:fill="auto"/>
            <w:noWrap/>
            <w:vAlign w:val="bottom"/>
          </w:tcPr>
          <w:p w14:paraId="1D81E6AE" w14:textId="77777777" w:rsidR="00870B98" w:rsidRPr="00E8382C" w:rsidRDefault="00870B98" w:rsidP="00E8382C">
            <w:pPr>
              <w:suppressAutoHyphens/>
              <w:spacing w:before="81" w:after="81" w:line="160" w:lineRule="exact"/>
              <w:ind w:right="43"/>
              <w:jc w:val="right"/>
              <w:rPr>
                <w:i/>
                <w:sz w:val="14"/>
              </w:rPr>
            </w:pPr>
            <w:r w:rsidRPr="00E8382C">
              <w:rPr>
                <w:i/>
                <w:sz w:val="14"/>
              </w:rPr>
              <w:t>2007</w:t>
            </w:r>
          </w:p>
        </w:tc>
        <w:tc>
          <w:tcPr>
            <w:tcW w:w="755" w:type="dxa"/>
            <w:tcBorders>
              <w:bottom w:val="single" w:sz="12" w:space="0" w:color="auto"/>
            </w:tcBorders>
            <w:shd w:val="clear" w:color="auto" w:fill="auto"/>
            <w:noWrap/>
            <w:vAlign w:val="bottom"/>
          </w:tcPr>
          <w:p w14:paraId="1B7B6E17" w14:textId="77777777" w:rsidR="00870B98" w:rsidRPr="00E8382C" w:rsidRDefault="00870B98" w:rsidP="00E8382C">
            <w:pPr>
              <w:suppressAutoHyphens/>
              <w:spacing w:before="81" w:after="81" w:line="160" w:lineRule="exact"/>
              <w:ind w:right="43"/>
              <w:jc w:val="right"/>
              <w:rPr>
                <w:i/>
                <w:sz w:val="14"/>
              </w:rPr>
            </w:pPr>
            <w:r w:rsidRPr="00E8382C">
              <w:rPr>
                <w:i/>
                <w:sz w:val="14"/>
              </w:rPr>
              <w:t>2014</w:t>
            </w:r>
          </w:p>
        </w:tc>
        <w:tc>
          <w:tcPr>
            <w:tcW w:w="755" w:type="dxa"/>
            <w:gridSpan w:val="2"/>
            <w:tcBorders>
              <w:bottom w:val="single" w:sz="12" w:space="0" w:color="auto"/>
            </w:tcBorders>
            <w:shd w:val="clear" w:color="auto" w:fill="auto"/>
            <w:noWrap/>
            <w:vAlign w:val="bottom"/>
          </w:tcPr>
          <w:p w14:paraId="693B29C4" w14:textId="77777777" w:rsidR="00870B98" w:rsidRPr="00E8382C" w:rsidRDefault="00870B98" w:rsidP="00E8382C">
            <w:pPr>
              <w:suppressAutoHyphens/>
              <w:spacing w:before="81" w:after="81" w:line="160" w:lineRule="exact"/>
              <w:ind w:right="43"/>
              <w:jc w:val="right"/>
              <w:rPr>
                <w:i/>
                <w:sz w:val="14"/>
              </w:rPr>
            </w:pPr>
            <w:r w:rsidRPr="00E8382C">
              <w:rPr>
                <w:i/>
                <w:sz w:val="14"/>
              </w:rPr>
              <w:t>2007</w:t>
            </w:r>
          </w:p>
        </w:tc>
        <w:tc>
          <w:tcPr>
            <w:tcW w:w="756" w:type="dxa"/>
            <w:tcBorders>
              <w:bottom w:val="single" w:sz="12" w:space="0" w:color="auto"/>
            </w:tcBorders>
            <w:shd w:val="clear" w:color="auto" w:fill="auto"/>
            <w:noWrap/>
            <w:vAlign w:val="bottom"/>
          </w:tcPr>
          <w:p w14:paraId="1DBE3400" w14:textId="77777777" w:rsidR="00870B98" w:rsidRPr="00E8382C" w:rsidRDefault="00870B98" w:rsidP="00E8382C">
            <w:pPr>
              <w:suppressAutoHyphens/>
              <w:spacing w:before="81" w:after="81" w:line="160" w:lineRule="exact"/>
              <w:ind w:right="43"/>
              <w:jc w:val="right"/>
              <w:rPr>
                <w:i/>
                <w:sz w:val="14"/>
              </w:rPr>
            </w:pPr>
            <w:r w:rsidRPr="00E8382C">
              <w:rPr>
                <w:i/>
                <w:sz w:val="14"/>
              </w:rPr>
              <w:t>2014</w:t>
            </w:r>
          </w:p>
        </w:tc>
      </w:tr>
      <w:tr w:rsidR="00E8382C" w:rsidRPr="00E8382C" w14:paraId="180078F5" w14:textId="77777777" w:rsidTr="00870B98">
        <w:trPr>
          <w:cantSplit/>
          <w:trHeight w:hRule="exact" w:val="115"/>
          <w:tblHeader/>
        </w:trPr>
        <w:tc>
          <w:tcPr>
            <w:tcW w:w="2790" w:type="dxa"/>
            <w:tcBorders>
              <w:top w:val="single" w:sz="12" w:space="0" w:color="auto"/>
            </w:tcBorders>
            <w:shd w:val="clear" w:color="auto" w:fill="auto"/>
            <w:noWrap/>
            <w:vAlign w:val="bottom"/>
          </w:tcPr>
          <w:p w14:paraId="59BDA47A" w14:textId="77777777" w:rsidR="00E8382C" w:rsidRPr="00E8382C" w:rsidRDefault="00E8382C" w:rsidP="00E8382C">
            <w:pPr>
              <w:suppressAutoHyphens/>
              <w:spacing w:before="40" w:after="40" w:line="210" w:lineRule="exact"/>
              <w:ind w:right="40"/>
              <w:rPr>
                <w:sz w:val="17"/>
              </w:rPr>
            </w:pPr>
          </w:p>
        </w:tc>
        <w:tc>
          <w:tcPr>
            <w:tcW w:w="755" w:type="dxa"/>
            <w:gridSpan w:val="2"/>
            <w:tcBorders>
              <w:top w:val="single" w:sz="12" w:space="0" w:color="auto"/>
            </w:tcBorders>
            <w:shd w:val="clear" w:color="auto" w:fill="auto"/>
            <w:noWrap/>
            <w:vAlign w:val="bottom"/>
          </w:tcPr>
          <w:p w14:paraId="5B5BC12C" w14:textId="77777777" w:rsidR="00E8382C" w:rsidRPr="00E8382C" w:rsidRDefault="00E8382C" w:rsidP="00E8382C">
            <w:pPr>
              <w:suppressAutoHyphens/>
              <w:spacing w:before="40" w:after="40" w:line="210" w:lineRule="exact"/>
              <w:ind w:right="43"/>
              <w:jc w:val="right"/>
              <w:rPr>
                <w:sz w:val="17"/>
              </w:rPr>
            </w:pPr>
          </w:p>
        </w:tc>
        <w:tc>
          <w:tcPr>
            <w:tcW w:w="755" w:type="dxa"/>
            <w:tcBorders>
              <w:top w:val="single" w:sz="12" w:space="0" w:color="auto"/>
            </w:tcBorders>
            <w:shd w:val="clear" w:color="auto" w:fill="auto"/>
            <w:noWrap/>
            <w:vAlign w:val="bottom"/>
          </w:tcPr>
          <w:p w14:paraId="6A0EA18E" w14:textId="77777777" w:rsidR="00E8382C" w:rsidRPr="00E8382C" w:rsidRDefault="00E8382C" w:rsidP="00E8382C">
            <w:pPr>
              <w:suppressAutoHyphens/>
              <w:spacing w:before="40" w:after="40" w:line="210" w:lineRule="exact"/>
              <w:ind w:right="43"/>
              <w:jc w:val="right"/>
              <w:rPr>
                <w:sz w:val="17"/>
              </w:rPr>
            </w:pPr>
          </w:p>
        </w:tc>
        <w:tc>
          <w:tcPr>
            <w:tcW w:w="756" w:type="dxa"/>
            <w:gridSpan w:val="2"/>
            <w:tcBorders>
              <w:top w:val="single" w:sz="12" w:space="0" w:color="auto"/>
            </w:tcBorders>
            <w:shd w:val="clear" w:color="auto" w:fill="auto"/>
            <w:noWrap/>
            <w:vAlign w:val="bottom"/>
          </w:tcPr>
          <w:p w14:paraId="4E58A5FE" w14:textId="77777777" w:rsidR="00E8382C" w:rsidRPr="00E8382C" w:rsidRDefault="00E8382C" w:rsidP="00E8382C">
            <w:pPr>
              <w:suppressAutoHyphens/>
              <w:spacing w:before="40" w:after="40" w:line="210" w:lineRule="exact"/>
              <w:ind w:right="43"/>
              <w:jc w:val="right"/>
              <w:rPr>
                <w:sz w:val="17"/>
              </w:rPr>
            </w:pPr>
          </w:p>
        </w:tc>
        <w:tc>
          <w:tcPr>
            <w:tcW w:w="755" w:type="dxa"/>
            <w:tcBorders>
              <w:top w:val="single" w:sz="12" w:space="0" w:color="auto"/>
            </w:tcBorders>
            <w:shd w:val="clear" w:color="auto" w:fill="auto"/>
            <w:noWrap/>
            <w:vAlign w:val="bottom"/>
          </w:tcPr>
          <w:p w14:paraId="39E4E035" w14:textId="77777777" w:rsidR="00E8382C" w:rsidRPr="00E8382C" w:rsidRDefault="00E8382C" w:rsidP="00E8382C">
            <w:pPr>
              <w:suppressAutoHyphens/>
              <w:spacing w:before="40" w:after="40" w:line="210" w:lineRule="exact"/>
              <w:ind w:right="43"/>
              <w:jc w:val="right"/>
              <w:rPr>
                <w:sz w:val="17"/>
              </w:rPr>
            </w:pPr>
          </w:p>
        </w:tc>
        <w:tc>
          <w:tcPr>
            <w:tcW w:w="755" w:type="dxa"/>
            <w:gridSpan w:val="2"/>
            <w:tcBorders>
              <w:top w:val="single" w:sz="12" w:space="0" w:color="auto"/>
            </w:tcBorders>
            <w:shd w:val="clear" w:color="auto" w:fill="auto"/>
            <w:noWrap/>
            <w:vAlign w:val="bottom"/>
          </w:tcPr>
          <w:p w14:paraId="1C7A306A" w14:textId="77777777" w:rsidR="00E8382C" w:rsidRPr="00E8382C" w:rsidRDefault="00E8382C" w:rsidP="00E8382C">
            <w:pPr>
              <w:suppressAutoHyphens/>
              <w:spacing w:before="40" w:after="40" w:line="210" w:lineRule="exact"/>
              <w:ind w:right="43"/>
              <w:jc w:val="right"/>
              <w:rPr>
                <w:sz w:val="17"/>
              </w:rPr>
            </w:pPr>
          </w:p>
        </w:tc>
        <w:tc>
          <w:tcPr>
            <w:tcW w:w="756" w:type="dxa"/>
            <w:tcBorders>
              <w:top w:val="single" w:sz="12" w:space="0" w:color="auto"/>
            </w:tcBorders>
            <w:shd w:val="clear" w:color="auto" w:fill="auto"/>
            <w:noWrap/>
            <w:vAlign w:val="bottom"/>
          </w:tcPr>
          <w:p w14:paraId="16A02036" w14:textId="77777777" w:rsidR="00E8382C" w:rsidRPr="00E8382C" w:rsidRDefault="00E8382C" w:rsidP="00E8382C">
            <w:pPr>
              <w:suppressAutoHyphens/>
              <w:spacing w:before="40" w:after="40" w:line="210" w:lineRule="exact"/>
              <w:ind w:right="43"/>
              <w:jc w:val="right"/>
              <w:rPr>
                <w:sz w:val="17"/>
              </w:rPr>
            </w:pPr>
          </w:p>
        </w:tc>
      </w:tr>
      <w:tr w:rsidR="0066312C" w:rsidRPr="00E8382C" w14:paraId="66138F57" w14:textId="77777777" w:rsidTr="00870B98">
        <w:trPr>
          <w:cantSplit/>
        </w:trPr>
        <w:tc>
          <w:tcPr>
            <w:tcW w:w="2790" w:type="dxa"/>
            <w:shd w:val="clear" w:color="auto" w:fill="auto"/>
            <w:noWrap/>
            <w:vAlign w:val="bottom"/>
          </w:tcPr>
          <w:p w14:paraId="64147479" w14:textId="77777777" w:rsidR="005D40D4" w:rsidRPr="00E8382C" w:rsidRDefault="005D40D4" w:rsidP="00E8382C">
            <w:pPr>
              <w:tabs>
                <w:tab w:val="left" w:pos="288"/>
                <w:tab w:val="left" w:pos="576"/>
                <w:tab w:val="left" w:pos="864"/>
                <w:tab w:val="left" w:pos="1152"/>
              </w:tabs>
              <w:suppressAutoHyphens/>
              <w:spacing w:before="40" w:after="40" w:line="210" w:lineRule="exact"/>
              <w:ind w:right="40"/>
              <w:rPr>
                <w:sz w:val="17"/>
              </w:rPr>
            </w:pPr>
            <w:r w:rsidRPr="00E8382C">
              <w:rPr>
                <w:sz w:val="17"/>
              </w:rPr>
              <w:t>Pauvreté monétaire</w:t>
            </w:r>
          </w:p>
        </w:tc>
        <w:tc>
          <w:tcPr>
            <w:tcW w:w="755" w:type="dxa"/>
            <w:gridSpan w:val="2"/>
            <w:shd w:val="clear" w:color="auto" w:fill="auto"/>
            <w:noWrap/>
            <w:vAlign w:val="bottom"/>
          </w:tcPr>
          <w:p w14:paraId="7FC53539" w14:textId="77777777" w:rsidR="005D40D4" w:rsidRPr="00E8382C" w:rsidRDefault="005D40D4" w:rsidP="00E8382C">
            <w:pPr>
              <w:tabs>
                <w:tab w:val="left" w:pos="288"/>
                <w:tab w:val="left" w:pos="576"/>
                <w:tab w:val="left" w:pos="864"/>
                <w:tab w:val="left" w:pos="1152"/>
              </w:tabs>
              <w:suppressAutoHyphens/>
              <w:spacing w:before="40" w:after="40" w:line="210" w:lineRule="exact"/>
              <w:ind w:right="43"/>
              <w:jc w:val="right"/>
              <w:rPr>
                <w:sz w:val="17"/>
              </w:rPr>
            </w:pPr>
            <w:r w:rsidRPr="00E8382C">
              <w:rPr>
                <w:sz w:val="17"/>
              </w:rPr>
              <w:t>15,1</w:t>
            </w:r>
          </w:p>
        </w:tc>
        <w:tc>
          <w:tcPr>
            <w:tcW w:w="755" w:type="dxa"/>
            <w:shd w:val="clear" w:color="auto" w:fill="auto"/>
            <w:noWrap/>
            <w:vAlign w:val="bottom"/>
          </w:tcPr>
          <w:p w14:paraId="4B97C1CB" w14:textId="77777777" w:rsidR="005D40D4" w:rsidRPr="00E8382C" w:rsidRDefault="005D40D4" w:rsidP="00E8382C">
            <w:pPr>
              <w:tabs>
                <w:tab w:val="left" w:pos="288"/>
                <w:tab w:val="left" w:pos="576"/>
                <w:tab w:val="left" w:pos="864"/>
                <w:tab w:val="left" w:pos="1152"/>
              </w:tabs>
              <w:suppressAutoHyphens/>
              <w:spacing w:before="40" w:after="40" w:line="210" w:lineRule="exact"/>
              <w:ind w:right="43"/>
              <w:jc w:val="right"/>
              <w:rPr>
                <w:sz w:val="17"/>
              </w:rPr>
            </w:pPr>
            <w:r w:rsidRPr="00E8382C">
              <w:rPr>
                <w:sz w:val="17"/>
              </w:rPr>
              <w:t>9,6</w:t>
            </w:r>
          </w:p>
        </w:tc>
        <w:tc>
          <w:tcPr>
            <w:tcW w:w="756" w:type="dxa"/>
            <w:gridSpan w:val="2"/>
            <w:shd w:val="clear" w:color="auto" w:fill="auto"/>
            <w:noWrap/>
            <w:vAlign w:val="bottom"/>
          </w:tcPr>
          <w:p w14:paraId="17F26CC7" w14:textId="77777777" w:rsidR="005D40D4" w:rsidRPr="00E8382C" w:rsidRDefault="005D40D4" w:rsidP="00E8382C">
            <w:pPr>
              <w:tabs>
                <w:tab w:val="left" w:pos="288"/>
                <w:tab w:val="left" w:pos="576"/>
                <w:tab w:val="left" w:pos="864"/>
                <w:tab w:val="left" w:pos="1152"/>
              </w:tabs>
              <w:suppressAutoHyphens/>
              <w:spacing w:before="40" w:after="40" w:line="210" w:lineRule="exact"/>
              <w:ind w:right="43"/>
              <w:jc w:val="right"/>
              <w:rPr>
                <w:sz w:val="17"/>
              </w:rPr>
            </w:pPr>
            <w:r w:rsidRPr="00E8382C">
              <w:rPr>
                <w:sz w:val="17"/>
              </w:rPr>
              <w:t>4</w:t>
            </w:r>
          </w:p>
        </w:tc>
        <w:tc>
          <w:tcPr>
            <w:tcW w:w="755" w:type="dxa"/>
            <w:shd w:val="clear" w:color="auto" w:fill="auto"/>
            <w:noWrap/>
            <w:vAlign w:val="bottom"/>
          </w:tcPr>
          <w:p w14:paraId="4A43D493" w14:textId="77777777" w:rsidR="005D40D4" w:rsidRPr="00E8382C" w:rsidRDefault="005D40D4" w:rsidP="00E8382C">
            <w:pPr>
              <w:tabs>
                <w:tab w:val="left" w:pos="288"/>
                <w:tab w:val="left" w:pos="576"/>
                <w:tab w:val="left" w:pos="864"/>
                <w:tab w:val="left" w:pos="1152"/>
              </w:tabs>
              <w:suppressAutoHyphens/>
              <w:spacing w:before="40" w:after="40" w:line="210" w:lineRule="exact"/>
              <w:ind w:right="43"/>
              <w:jc w:val="right"/>
              <w:rPr>
                <w:sz w:val="17"/>
              </w:rPr>
            </w:pPr>
            <w:r w:rsidRPr="00E8382C">
              <w:rPr>
                <w:sz w:val="17"/>
              </w:rPr>
              <w:t>1,9</w:t>
            </w:r>
          </w:p>
        </w:tc>
        <w:tc>
          <w:tcPr>
            <w:tcW w:w="755" w:type="dxa"/>
            <w:gridSpan w:val="2"/>
            <w:shd w:val="clear" w:color="auto" w:fill="auto"/>
            <w:noWrap/>
            <w:vAlign w:val="bottom"/>
          </w:tcPr>
          <w:p w14:paraId="273EF3C7" w14:textId="77777777" w:rsidR="005D40D4" w:rsidRPr="00E8382C" w:rsidRDefault="005D40D4" w:rsidP="00E8382C">
            <w:pPr>
              <w:tabs>
                <w:tab w:val="left" w:pos="288"/>
                <w:tab w:val="left" w:pos="576"/>
                <w:tab w:val="left" w:pos="864"/>
                <w:tab w:val="left" w:pos="1152"/>
              </w:tabs>
              <w:suppressAutoHyphens/>
              <w:spacing w:before="40" w:after="40" w:line="210" w:lineRule="exact"/>
              <w:ind w:right="43"/>
              <w:jc w:val="right"/>
              <w:rPr>
                <w:sz w:val="17"/>
              </w:rPr>
            </w:pPr>
            <w:r w:rsidRPr="00E8382C">
              <w:rPr>
                <w:sz w:val="17"/>
              </w:rPr>
              <w:t>7,4</w:t>
            </w:r>
          </w:p>
        </w:tc>
        <w:tc>
          <w:tcPr>
            <w:tcW w:w="756" w:type="dxa"/>
            <w:shd w:val="clear" w:color="auto" w:fill="auto"/>
            <w:noWrap/>
            <w:vAlign w:val="bottom"/>
          </w:tcPr>
          <w:p w14:paraId="351AF41B" w14:textId="77777777" w:rsidR="005D40D4" w:rsidRPr="00E8382C" w:rsidRDefault="005D40D4" w:rsidP="00E8382C">
            <w:pPr>
              <w:tabs>
                <w:tab w:val="left" w:pos="288"/>
                <w:tab w:val="left" w:pos="576"/>
                <w:tab w:val="left" w:pos="864"/>
                <w:tab w:val="left" w:pos="1152"/>
              </w:tabs>
              <w:suppressAutoHyphens/>
              <w:spacing w:before="40" w:after="40" w:line="210" w:lineRule="exact"/>
              <w:ind w:right="43"/>
              <w:jc w:val="right"/>
              <w:rPr>
                <w:sz w:val="17"/>
              </w:rPr>
            </w:pPr>
            <w:r w:rsidRPr="00E8382C">
              <w:rPr>
                <w:sz w:val="17"/>
              </w:rPr>
              <w:t>3,9</w:t>
            </w:r>
          </w:p>
        </w:tc>
      </w:tr>
      <w:tr w:rsidR="0066312C" w:rsidRPr="00E8382C" w14:paraId="4CC29E75" w14:textId="77777777" w:rsidTr="00870B98">
        <w:trPr>
          <w:cantSplit/>
        </w:trPr>
        <w:tc>
          <w:tcPr>
            <w:tcW w:w="2790" w:type="dxa"/>
            <w:tcBorders>
              <w:bottom w:val="single" w:sz="12" w:space="0" w:color="auto"/>
            </w:tcBorders>
            <w:shd w:val="clear" w:color="auto" w:fill="auto"/>
            <w:noWrap/>
            <w:vAlign w:val="bottom"/>
          </w:tcPr>
          <w:p w14:paraId="176EED27" w14:textId="77777777" w:rsidR="005D40D4" w:rsidRPr="00E8382C" w:rsidRDefault="005D40D4" w:rsidP="00E8382C">
            <w:pPr>
              <w:tabs>
                <w:tab w:val="left" w:pos="288"/>
                <w:tab w:val="left" w:pos="576"/>
                <w:tab w:val="left" w:pos="864"/>
                <w:tab w:val="left" w:pos="1152"/>
              </w:tabs>
              <w:suppressAutoHyphens/>
              <w:spacing w:before="40" w:after="40" w:line="210" w:lineRule="exact"/>
              <w:ind w:right="40"/>
              <w:rPr>
                <w:sz w:val="17"/>
              </w:rPr>
            </w:pPr>
            <w:r w:rsidRPr="00E8382C">
              <w:rPr>
                <w:sz w:val="17"/>
              </w:rPr>
              <w:t>Précarité</w:t>
            </w:r>
          </w:p>
        </w:tc>
        <w:tc>
          <w:tcPr>
            <w:tcW w:w="755" w:type="dxa"/>
            <w:gridSpan w:val="2"/>
            <w:tcBorders>
              <w:bottom w:val="single" w:sz="12" w:space="0" w:color="auto"/>
            </w:tcBorders>
            <w:shd w:val="clear" w:color="auto" w:fill="auto"/>
            <w:noWrap/>
            <w:vAlign w:val="bottom"/>
          </w:tcPr>
          <w:p w14:paraId="158C9DE7" w14:textId="77777777" w:rsidR="005D40D4" w:rsidRPr="00E8382C" w:rsidRDefault="005D40D4" w:rsidP="00E8382C">
            <w:pPr>
              <w:tabs>
                <w:tab w:val="left" w:pos="288"/>
                <w:tab w:val="left" w:pos="576"/>
                <w:tab w:val="left" w:pos="864"/>
                <w:tab w:val="left" w:pos="1152"/>
              </w:tabs>
              <w:suppressAutoHyphens/>
              <w:spacing w:before="40" w:after="40" w:line="210" w:lineRule="exact"/>
              <w:ind w:right="43"/>
              <w:jc w:val="right"/>
              <w:rPr>
                <w:sz w:val="17"/>
              </w:rPr>
            </w:pPr>
            <w:r w:rsidRPr="00E8382C">
              <w:rPr>
                <w:sz w:val="17"/>
              </w:rPr>
              <w:t>23,2</w:t>
            </w:r>
          </w:p>
        </w:tc>
        <w:tc>
          <w:tcPr>
            <w:tcW w:w="755" w:type="dxa"/>
            <w:tcBorders>
              <w:bottom w:val="single" w:sz="12" w:space="0" w:color="auto"/>
            </w:tcBorders>
            <w:shd w:val="clear" w:color="auto" w:fill="auto"/>
            <w:noWrap/>
            <w:vAlign w:val="bottom"/>
          </w:tcPr>
          <w:p w14:paraId="4E926B41" w14:textId="77777777" w:rsidR="005D40D4" w:rsidRPr="00E8382C" w:rsidRDefault="005D40D4" w:rsidP="00E8382C">
            <w:pPr>
              <w:tabs>
                <w:tab w:val="left" w:pos="288"/>
                <w:tab w:val="left" w:pos="576"/>
                <w:tab w:val="left" w:pos="864"/>
                <w:tab w:val="left" w:pos="1152"/>
              </w:tabs>
              <w:suppressAutoHyphens/>
              <w:spacing w:before="40" w:after="40" w:line="210" w:lineRule="exact"/>
              <w:ind w:right="43"/>
              <w:jc w:val="right"/>
              <w:rPr>
                <w:sz w:val="17"/>
              </w:rPr>
            </w:pPr>
            <w:r w:rsidRPr="00E8382C">
              <w:rPr>
                <w:sz w:val="17"/>
              </w:rPr>
              <w:t>17,4</w:t>
            </w:r>
          </w:p>
        </w:tc>
        <w:tc>
          <w:tcPr>
            <w:tcW w:w="756" w:type="dxa"/>
            <w:gridSpan w:val="2"/>
            <w:tcBorders>
              <w:bottom w:val="single" w:sz="12" w:space="0" w:color="auto"/>
            </w:tcBorders>
            <w:shd w:val="clear" w:color="auto" w:fill="auto"/>
            <w:noWrap/>
            <w:vAlign w:val="bottom"/>
          </w:tcPr>
          <w:p w14:paraId="62296943" w14:textId="77777777" w:rsidR="005D40D4" w:rsidRPr="00E8382C" w:rsidRDefault="005D40D4" w:rsidP="00E8382C">
            <w:pPr>
              <w:tabs>
                <w:tab w:val="left" w:pos="288"/>
                <w:tab w:val="left" w:pos="576"/>
                <w:tab w:val="left" w:pos="864"/>
                <w:tab w:val="left" w:pos="1152"/>
              </w:tabs>
              <w:suppressAutoHyphens/>
              <w:spacing w:before="40" w:after="40" w:line="210" w:lineRule="exact"/>
              <w:ind w:right="43"/>
              <w:jc w:val="right"/>
              <w:rPr>
                <w:sz w:val="17"/>
              </w:rPr>
            </w:pPr>
            <w:r w:rsidRPr="00E8382C">
              <w:rPr>
                <w:sz w:val="17"/>
              </w:rPr>
              <w:t>13,4</w:t>
            </w:r>
          </w:p>
        </w:tc>
        <w:tc>
          <w:tcPr>
            <w:tcW w:w="755" w:type="dxa"/>
            <w:tcBorders>
              <w:bottom w:val="single" w:sz="12" w:space="0" w:color="auto"/>
            </w:tcBorders>
            <w:shd w:val="clear" w:color="auto" w:fill="auto"/>
            <w:noWrap/>
            <w:vAlign w:val="bottom"/>
          </w:tcPr>
          <w:p w14:paraId="69B82892" w14:textId="77777777" w:rsidR="005D40D4" w:rsidRPr="00E8382C" w:rsidRDefault="005D40D4" w:rsidP="00E8382C">
            <w:pPr>
              <w:tabs>
                <w:tab w:val="left" w:pos="288"/>
                <w:tab w:val="left" w:pos="576"/>
                <w:tab w:val="left" w:pos="864"/>
                <w:tab w:val="left" w:pos="1152"/>
              </w:tabs>
              <w:suppressAutoHyphens/>
              <w:spacing w:before="40" w:after="40" w:line="210" w:lineRule="exact"/>
              <w:ind w:right="43"/>
              <w:jc w:val="right"/>
              <w:rPr>
                <w:sz w:val="17"/>
              </w:rPr>
            </w:pPr>
            <w:r w:rsidRPr="00E8382C">
              <w:rPr>
                <w:sz w:val="17"/>
              </w:rPr>
              <w:t>8,2</w:t>
            </w:r>
          </w:p>
        </w:tc>
        <w:tc>
          <w:tcPr>
            <w:tcW w:w="755" w:type="dxa"/>
            <w:gridSpan w:val="2"/>
            <w:tcBorders>
              <w:bottom w:val="single" w:sz="12" w:space="0" w:color="auto"/>
            </w:tcBorders>
            <w:shd w:val="clear" w:color="auto" w:fill="auto"/>
            <w:noWrap/>
            <w:vAlign w:val="bottom"/>
          </w:tcPr>
          <w:p w14:paraId="58F96532" w14:textId="77777777" w:rsidR="005D40D4" w:rsidRPr="00E8382C" w:rsidRDefault="005D40D4" w:rsidP="00E8382C">
            <w:pPr>
              <w:tabs>
                <w:tab w:val="left" w:pos="288"/>
                <w:tab w:val="left" w:pos="576"/>
                <w:tab w:val="left" w:pos="864"/>
                <w:tab w:val="left" w:pos="1152"/>
              </w:tabs>
              <w:suppressAutoHyphens/>
              <w:spacing w:before="40" w:after="40" w:line="210" w:lineRule="exact"/>
              <w:ind w:right="43"/>
              <w:jc w:val="right"/>
              <w:rPr>
                <w:sz w:val="17"/>
              </w:rPr>
            </w:pPr>
            <w:r w:rsidRPr="00E8382C">
              <w:rPr>
                <w:sz w:val="17"/>
              </w:rPr>
              <w:t>16,4</w:t>
            </w:r>
          </w:p>
        </w:tc>
        <w:tc>
          <w:tcPr>
            <w:tcW w:w="756" w:type="dxa"/>
            <w:tcBorders>
              <w:bottom w:val="single" w:sz="12" w:space="0" w:color="auto"/>
            </w:tcBorders>
            <w:shd w:val="clear" w:color="auto" w:fill="auto"/>
            <w:noWrap/>
            <w:vAlign w:val="bottom"/>
          </w:tcPr>
          <w:p w14:paraId="72AC082D" w14:textId="77777777" w:rsidR="005D40D4" w:rsidRPr="00E8382C" w:rsidRDefault="005D40D4" w:rsidP="00E8382C">
            <w:pPr>
              <w:tabs>
                <w:tab w:val="left" w:pos="288"/>
                <w:tab w:val="left" w:pos="576"/>
                <w:tab w:val="left" w:pos="864"/>
                <w:tab w:val="left" w:pos="1152"/>
              </w:tabs>
              <w:suppressAutoHyphens/>
              <w:spacing w:before="40" w:after="40" w:line="210" w:lineRule="exact"/>
              <w:ind w:right="43"/>
              <w:jc w:val="right"/>
              <w:rPr>
                <w:sz w:val="17"/>
              </w:rPr>
            </w:pPr>
            <w:r w:rsidRPr="00E8382C">
              <w:rPr>
                <w:sz w:val="17"/>
              </w:rPr>
              <w:t>10,6</w:t>
            </w:r>
          </w:p>
        </w:tc>
      </w:tr>
    </w:tbl>
    <w:p w14:paraId="4B4F42D9" w14:textId="17E05999" w:rsidR="00F13A4D" w:rsidRPr="00870B98" w:rsidRDefault="00F13A4D" w:rsidP="00870B98">
      <w:pPr>
        <w:pStyle w:val="SingleTxt"/>
        <w:spacing w:after="0" w:line="120" w:lineRule="exact"/>
        <w:rPr>
          <w:sz w:val="10"/>
          <w:lang w:val="fr-FR"/>
        </w:rPr>
      </w:pPr>
    </w:p>
    <w:p w14:paraId="5DA1E9B4" w14:textId="3C3ADC89" w:rsidR="005D40D4" w:rsidRDefault="005D40D4" w:rsidP="00870B98">
      <w:pPr>
        <w:pStyle w:val="FootnoteText"/>
        <w:tabs>
          <w:tab w:val="right" w:pos="1476"/>
          <w:tab w:val="left" w:pos="1548"/>
          <w:tab w:val="right" w:pos="1836"/>
          <w:tab w:val="left" w:pos="1908"/>
        </w:tabs>
        <w:ind w:left="1548" w:right="1267" w:hanging="288"/>
        <w:rPr>
          <w:lang w:val="fr-FR"/>
        </w:rPr>
      </w:pPr>
      <w:r w:rsidRPr="005D40D4">
        <w:rPr>
          <w:lang w:val="fr-FR"/>
        </w:rPr>
        <w:t>Source</w:t>
      </w:r>
      <w:r w:rsidR="00F1794C" w:rsidRPr="00F1794C">
        <w:rPr>
          <w:lang w:val="fr-FR"/>
        </w:rPr>
        <w:t> :</w:t>
      </w:r>
      <w:r w:rsidRPr="005D40D4">
        <w:rPr>
          <w:lang w:val="fr-FR"/>
        </w:rPr>
        <w:t xml:space="preserve"> Haut-Commissariat au plan, cartographie de la pauvreté 2014</w:t>
      </w:r>
      <w:r w:rsidR="00B307F7">
        <w:rPr>
          <w:lang w:val="fr-FR"/>
        </w:rPr>
        <w:t>.</w:t>
      </w:r>
    </w:p>
    <w:p w14:paraId="00E97CCF" w14:textId="1865B11F" w:rsidR="00870B98" w:rsidRPr="00870B98" w:rsidRDefault="00870B98" w:rsidP="00870B98">
      <w:pPr>
        <w:pStyle w:val="FootnoteText"/>
        <w:tabs>
          <w:tab w:val="right" w:pos="1476"/>
          <w:tab w:val="left" w:pos="1548"/>
          <w:tab w:val="right" w:pos="1836"/>
          <w:tab w:val="left" w:pos="1908"/>
        </w:tabs>
        <w:spacing w:line="120" w:lineRule="exact"/>
        <w:ind w:left="1548" w:right="1267" w:hanging="288"/>
        <w:rPr>
          <w:sz w:val="10"/>
          <w:lang w:val="fr-FR"/>
        </w:rPr>
      </w:pPr>
    </w:p>
    <w:p w14:paraId="1048B447" w14:textId="5038C7BE" w:rsidR="00870B98" w:rsidRPr="00870B98" w:rsidRDefault="00870B98" w:rsidP="00870B98">
      <w:pPr>
        <w:pStyle w:val="FootnoteText"/>
        <w:tabs>
          <w:tab w:val="right" w:pos="1476"/>
          <w:tab w:val="left" w:pos="1548"/>
          <w:tab w:val="right" w:pos="1836"/>
          <w:tab w:val="left" w:pos="1908"/>
        </w:tabs>
        <w:spacing w:line="120" w:lineRule="exact"/>
        <w:ind w:left="1548" w:right="1267" w:hanging="288"/>
        <w:rPr>
          <w:sz w:val="10"/>
          <w:lang w:val="fr-FR"/>
        </w:rPr>
      </w:pPr>
    </w:p>
    <w:p w14:paraId="278F911C" w14:textId="4E9F2100" w:rsidR="005D40D4" w:rsidRPr="005D40D4" w:rsidRDefault="005D40D4" w:rsidP="00456FC2">
      <w:pPr>
        <w:pStyle w:val="SingleTxt"/>
        <w:numPr>
          <w:ilvl w:val="0"/>
          <w:numId w:val="50"/>
        </w:numPr>
        <w:rPr>
          <w:lang w:val="fr-FR"/>
        </w:rPr>
      </w:pPr>
      <w:r w:rsidRPr="005D40D4">
        <w:rPr>
          <w:lang w:val="fr-FR"/>
        </w:rPr>
        <w:t>Pour promouvoir la protection sociale et l</w:t>
      </w:r>
      <w:r w:rsidR="00F1794C" w:rsidRPr="00F1794C">
        <w:rPr>
          <w:lang w:val="fr-FR"/>
        </w:rPr>
        <w:t>’</w:t>
      </w:r>
      <w:r w:rsidRPr="005D40D4">
        <w:rPr>
          <w:lang w:val="fr-FR"/>
        </w:rPr>
        <w:t>autonomisation économique des femmes, le décret n</w:t>
      </w:r>
      <w:r w:rsidRPr="005D40D4">
        <w:rPr>
          <w:vertAlign w:val="superscript"/>
          <w:lang w:val="fr-FR"/>
        </w:rPr>
        <w:t>o</w:t>
      </w:r>
      <w:r w:rsidRPr="005D40D4">
        <w:rPr>
          <w:lang w:val="fr-FR"/>
        </w:rPr>
        <w:t xml:space="preserve"> 2-14-791 de décembre 2014 a été pris afin d</w:t>
      </w:r>
      <w:r w:rsidR="00F1794C" w:rsidRPr="00F1794C">
        <w:rPr>
          <w:lang w:val="fr-FR"/>
        </w:rPr>
        <w:t>’</w:t>
      </w:r>
      <w:r w:rsidRPr="005D40D4">
        <w:rPr>
          <w:lang w:val="fr-FR"/>
        </w:rPr>
        <w:t>apporter une aide directe aux femmes veuves en situation précaire ayant à charge leurs enfants âgés de moins de 21 ans. L</w:t>
      </w:r>
      <w:r w:rsidR="00F1794C" w:rsidRPr="00F1794C">
        <w:rPr>
          <w:lang w:val="fr-FR"/>
        </w:rPr>
        <w:t>’</w:t>
      </w:r>
      <w:r w:rsidRPr="005D40D4">
        <w:rPr>
          <w:lang w:val="fr-FR"/>
        </w:rPr>
        <w:t>obtention de l</w:t>
      </w:r>
      <w:r w:rsidR="00F1794C" w:rsidRPr="00F1794C">
        <w:rPr>
          <w:lang w:val="fr-FR"/>
        </w:rPr>
        <w:t>’</w:t>
      </w:r>
      <w:r w:rsidRPr="005D40D4">
        <w:rPr>
          <w:lang w:val="fr-FR"/>
        </w:rPr>
        <w:t>aide est subordonnée à la poursuite des études ou de la formation professionnelle des enfants d</w:t>
      </w:r>
      <w:r w:rsidR="00F1794C" w:rsidRPr="00F1794C">
        <w:rPr>
          <w:lang w:val="fr-FR"/>
        </w:rPr>
        <w:t>’</w:t>
      </w:r>
      <w:r w:rsidRPr="005D40D4">
        <w:rPr>
          <w:lang w:val="fr-FR"/>
        </w:rPr>
        <w:t>âge scolaire, à l</w:t>
      </w:r>
      <w:r w:rsidR="00F1794C" w:rsidRPr="00F1794C">
        <w:rPr>
          <w:lang w:val="fr-FR"/>
        </w:rPr>
        <w:t>’</w:t>
      </w:r>
      <w:r w:rsidRPr="005D40D4">
        <w:rPr>
          <w:lang w:val="fr-FR"/>
        </w:rPr>
        <w:t>exception des enfants orphelins en situation de handicap. Le montant de l</w:t>
      </w:r>
      <w:r w:rsidR="00F1794C" w:rsidRPr="00F1794C">
        <w:rPr>
          <w:lang w:val="fr-FR"/>
        </w:rPr>
        <w:t>’</w:t>
      </w:r>
      <w:r w:rsidRPr="005D40D4">
        <w:rPr>
          <w:lang w:val="fr-FR"/>
        </w:rPr>
        <w:t>aide est fixé à 350 dirhams par mois pour chaque enfant orphelin, le montant mensuel total de l</w:t>
      </w:r>
      <w:r w:rsidR="00F1794C" w:rsidRPr="00F1794C">
        <w:rPr>
          <w:lang w:val="fr-FR"/>
        </w:rPr>
        <w:t>’</w:t>
      </w:r>
      <w:r w:rsidRPr="005D40D4">
        <w:rPr>
          <w:lang w:val="fr-FR"/>
        </w:rPr>
        <w:t xml:space="preserve">aide versée ne pouvant dépasser 1 050 dirhams par famille. </w:t>
      </w:r>
    </w:p>
    <w:p w14:paraId="49BE962B" w14:textId="77777777" w:rsidR="005D40D4" w:rsidRPr="005D40D4" w:rsidRDefault="005D40D4" w:rsidP="00456FC2">
      <w:pPr>
        <w:pStyle w:val="SingleTxt"/>
        <w:numPr>
          <w:ilvl w:val="0"/>
          <w:numId w:val="50"/>
        </w:numPr>
        <w:rPr>
          <w:lang w:val="fr-FR"/>
        </w:rPr>
      </w:pPr>
      <w:r w:rsidRPr="005D40D4">
        <w:rPr>
          <w:lang w:val="fr-FR"/>
        </w:rPr>
        <w:t xml:space="preserve">Fin 2018, on dénombrait plus de 90 000 familles bénéficiaires, dont 91 126 veuves ayant à charge plus de 156 000 orphelines et orphelins au total. Les montants affectés à ce programme ont augmenté, passant de 196 millions de dirhams en 2015 à 587 millions de dirhams en 2017. </w:t>
      </w:r>
    </w:p>
    <w:p w14:paraId="2F93D5E6" w14:textId="62A0CB1C" w:rsidR="005D40D4" w:rsidRPr="005D40D4" w:rsidRDefault="005D40D4" w:rsidP="00456FC2">
      <w:pPr>
        <w:pStyle w:val="SingleTxt"/>
        <w:numPr>
          <w:ilvl w:val="0"/>
          <w:numId w:val="50"/>
        </w:numPr>
        <w:rPr>
          <w:lang w:val="fr-FR"/>
        </w:rPr>
      </w:pPr>
      <w:r w:rsidRPr="005D40D4">
        <w:rPr>
          <w:lang w:val="fr-FR"/>
        </w:rPr>
        <w:t>Le Fonds d</w:t>
      </w:r>
      <w:r w:rsidR="00F1794C" w:rsidRPr="00F1794C">
        <w:rPr>
          <w:lang w:val="fr-FR"/>
        </w:rPr>
        <w:t>’</w:t>
      </w:r>
      <w:r w:rsidRPr="005D40D4">
        <w:rPr>
          <w:lang w:val="fr-FR"/>
        </w:rPr>
        <w:t>appui à la cohésion sociale, créé en application de l</w:t>
      </w:r>
      <w:r w:rsidR="00F1794C" w:rsidRPr="00F1794C">
        <w:rPr>
          <w:lang w:val="fr-FR"/>
        </w:rPr>
        <w:t>’</w:t>
      </w:r>
      <w:r w:rsidRPr="005D40D4">
        <w:rPr>
          <w:lang w:val="fr-FR"/>
        </w:rPr>
        <w:t>article 18 de la loi de finances pour l</w:t>
      </w:r>
      <w:r w:rsidR="00F1794C" w:rsidRPr="00F1794C">
        <w:rPr>
          <w:lang w:val="fr-FR"/>
        </w:rPr>
        <w:t>’</w:t>
      </w:r>
      <w:r w:rsidRPr="005D40D4">
        <w:rPr>
          <w:lang w:val="fr-FR"/>
        </w:rPr>
        <w:t>année budgétaire 2012, vise à renforcer les dispositifs de cohésion sociale au profit des personnes en situation précaire, en particulier les femmes et les filles. Les dépenses liées à la mise en œuvre du régime d</w:t>
      </w:r>
      <w:r w:rsidR="00F1794C" w:rsidRPr="00F1794C">
        <w:rPr>
          <w:lang w:val="fr-FR"/>
        </w:rPr>
        <w:t>’</w:t>
      </w:r>
      <w:r w:rsidRPr="005D40D4">
        <w:rPr>
          <w:lang w:val="fr-FR"/>
        </w:rPr>
        <w:t>assistance médicale et à la généralisation de ce régime sont prises en charge. Une aide est également fournie aux personnes en situation de handicap au moyen de l</w:t>
      </w:r>
      <w:r w:rsidR="00F1794C" w:rsidRPr="00F1794C">
        <w:rPr>
          <w:lang w:val="fr-FR"/>
        </w:rPr>
        <w:t>’</w:t>
      </w:r>
      <w:r w:rsidRPr="005D40D4">
        <w:rPr>
          <w:lang w:val="fr-FR"/>
        </w:rPr>
        <w:t>acquisition d</w:t>
      </w:r>
      <w:r w:rsidR="00F1794C" w:rsidRPr="00F1794C">
        <w:rPr>
          <w:lang w:val="fr-FR"/>
        </w:rPr>
        <w:t>’</w:t>
      </w:r>
      <w:r w:rsidRPr="005D40D4">
        <w:rPr>
          <w:lang w:val="fr-FR"/>
        </w:rPr>
        <w:t xml:space="preserve"> appareils spécifiques. Des subventions sont accordées aux programmes sociaux depuis 2014</w:t>
      </w:r>
      <w:r w:rsidRPr="00FA086B">
        <w:rPr>
          <w:vertAlign w:val="superscript"/>
          <w:lang w:val="fr-FR"/>
        </w:rPr>
        <w:footnoteReference w:id="87"/>
      </w:r>
      <w:r w:rsidRPr="005D40D4">
        <w:rPr>
          <w:lang w:val="fr-FR"/>
        </w:rPr>
        <w:t>.</w:t>
      </w:r>
    </w:p>
    <w:p w14:paraId="5581B012" w14:textId="02086320" w:rsidR="005D40D4" w:rsidRPr="005D40D4" w:rsidRDefault="005D40D4" w:rsidP="00456FC2">
      <w:pPr>
        <w:pStyle w:val="SingleTxt"/>
        <w:numPr>
          <w:ilvl w:val="0"/>
          <w:numId w:val="50"/>
        </w:numPr>
        <w:rPr>
          <w:lang w:val="fr-FR"/>
        </w:rPr>
      </w:pPr>
      <w:r w:rsidRPr="005D40D4">
        <w:rPr>
          <w:lang w:val="fr-FR"/>
        </w:rPr>
        <w:t>Le Fonds d</w:t>
      </w:r>
      <w:r w:rsidR="00F1794C" w:rsidRPr="00F1794C">
        <w:rPr>
          <w:lang w:val="fr-FR"/>
        </w:rPr>
        <w:t>’</w:t>
      </w:r>
      <w:r w:rsidRPr="005D40D4">
        <w:rPr>
          <w:lang w:val="fr-FR"/>
        </w:rPr>
        <w:t>entraide familiale vise à protéger les femmes divorcées et leurs enfants contre l</w:t>
      </w:r>
      <w:r w:rsidR="00F1794C" w:rsidRPr="00F1794C">
        <w:rPr>
          <w:lang w:val="fr-FR"/>
        </w:rPr>
        <w:t>’</w:t>
      </w:r>
      <w:r w:rsidRPr="005D40D4">
        <w:rPr>
          <w:lang w:val="fr-FR"/>
        </w:rPr>
        <w:t>indigence que peut entraîner l</w:t>
      </w:r>
      <w:r w:rsidR="00F1794C" w:rsidRPr="00F1794C">
        <w:rPr>
          <w:lang w:val="fr-FR"/>
        </w:rPr>
        <w:t>’</w:t>
      </w:r>
      <w:r w:rsidRPr="005D40D4">
        <w:rPr>
          <w:lang w:val="fr-FR"/>
        </w:rPr>
        <w:t>insolvabilité de l</w:t>
      </w:r>
      <w:r w:rsidR="00F1794C" w:rsidRPr="00F1794C">
        <w:rPr>
          <w:lang w:val="fr-FR"/>
        </w:rPr>
        <w:t>’</w:t>
      </w:r>
      <w:r w:rsidRPr="005D40D4">
        <w:rPr>
          <w:lang w:val="fr-FR"/>
        </w:rPr>
        <w:t>ex-conjoint. Le secteur de la justice s</w:t>
      </w:r>
      <w:r w:rsidR="00F1794C" w:rsidRPr="00F1794C">
        <w:rPr>
          <w:lang w:val="fr-FR"/>
        </w:rPr>
        <w:t>’</w:t>
      </w:r>
      <w:r w:rsidRPr="005D40D4">
        <w:rPr>
          <w:lang w:val="fr-FR"/>
        </w:rPr>
        <w:t>est employé à combler les lacunes observées dans les faits à la suite de l</w:t>
      </w:r>
      <w:r w:rsidR="00F1794C" w:rsidRPr="00F1794C">
        <w:rPr>
          <w:lang w:val="fr-FR"/>
        </w:rPr>
        <w:t>’</w:t>
      </w:r>
      <w:r w:rsidRPr="005D40D4">
        <w:rPr>
          <w:lang w:val="fr-FR"/>
        </w:rPr>
        <w:t>application de la loi fixant les conditions et procédures pour bénéficier des prestations du Fonds</w:t>
      </w:r>
      <w:r w:rsidRPr="00FA086B">
        <w:rPr>
          <w:vertAlign w:val="superscript"/>
          <w:lang w:val="fr-FR"/>
        </w:rPr>
        <w:footnoteReference w:id="88"/>
      </w:r>
      <w:r w:rsidRPr="005D40D4">
        <w:rPr>
          <w:lang w:val="fr-FR"/>
        </w:rPr>
        <w:t>. En outre, des dispositions du décret d</w:t>
      </w:r>
      <w:r w:rsidR="00F1794C" w:rsidRPr="00F1794C">
        <w:rPr>
          <w:lang w:val="fr-FR"/>
        </w:rPr>
        <w:t>’</w:t>
      </w:r>
      <w:r w:rsidRPr="005D40D4">
        <w:rPr>
          <w:lang w:val="fr-FR"/>
        </w:rPr>
        <w:t>application des dispositions de la loi ont été modifiées. Elles ont principalement trait aux pièces demandées pour bénéficier des prestations du Fonds et au plafond du montant accordé</w:t>
      </w:r>
      <w:r w:rsidRPr="00FA086B">
        <w:rPr>
          <w:vertAlign w:val="superscript"/>
          <w:lang w:val="fr-FR"/>
        </w:rPr>
        <w:footnoteReference w:id="89"/>
      </w:r>
      <w:r w:rsidRPr="005D40D4">
        <w:rPr>
          <w:lang w:val="fr-FR"/>
        </w:rPr>
        <w:t>. La liste des bénéficiaires, femmes et hommes, a été augmentée pour inclure les femmes démunies, les mères livrées à elles-mêmes, les enfants ayant droit à une pension alimentaire dans le cadre d</w:t>
      </w:r>
      <w:r w:rsidR="00F1794C" w:rsidRPr="00F1794C">
        <w:rPr>
          <w:lang w:val="fr-FR"/>
        </w:rPr>
        <w:t>’</w:t>
      </w:r>
      <w:r w:rsidRPr="005D40D4">
        <w:rPr>
          <w:lang w:val="fr-FR"/>
        </w:rPr>
        <w:t xml:space="preserve">un mariage non dissolu et après la dissolution du </w:t>
      </w:r>
      <w:r w:rsidRPr="005D40D4">
        <w:rPr>
          <w:lang w:val="fr-FR"/>
        </w:rPr>
        <w:lastRenderedPageBreak/>
        <w:t xml:space="preserve">mariage. Le Conseil de gouvernement a approuvé les modifications apportées au projet de loi en décembre 2017. </w:t>
      </w:r>
    </w:p>
    <w:p w14:paraId="6B4C825F" w14:textId="71A60827" w:rsidR="005D40D4" w:rsidRPr="005D40D4" w:rsidRDefault="005D40D4" w:rsidP="00456FC2">
      <w:pPr>
        <w:pStyle w:val="SingleTxt"/>
        <w:numPr>
          <w:ilvl w:val="0"/>
          <w:numId w:val="50"/>
        </w:numPr>
        <w:rPr>
          <w:lang w:val="fr-FR"/>
        </w:rPr>
      </w:pPr>
      <w:r w:rsidRPr="005D40D4">
        <w:rPr>
          <w:lang w:val="fr-FR"/>
        </w:rPr>
        <w:t>En 2017, une commission ministérielle a été créée pour assurer le suivi de l</w:t>
      </w:r>
      <w:r w:rsidR="00F1794C" w:rsidRPr="00F1794C">
        <w:rPr>
          <w:lang w:val="fr-FR"/>
        </w:rPr>
        <w:t>’</w:t>
      </w:r>
      <w:r w:rsidRPr="005D40D4">
        <w:rPr>
          <w:lang w:val="fr-FR"/>
        </w:rPr>
        <w:t>application de la circulaire du Chef de gouvernement relative à l</w:t>
      </w:r>
      <w:r w:rsidR="00F1794C" w:rsidRPr="00F1794C">
        <w:rPr>
          <w:lang w:val="fr-FR"/>
        </w:rPr>
        <w:t>’</w:t>
      </w:r>
      <w:r w:rsidRPr="005D40D4">
        <w:rPr>
          <w:lang w:val="fr-FR"/>
        </w:rPr>
        <w:t>inscription des enfants non inscrits dans les registres de l</w:t>
      </w:r>
      <w:r w:rsidR="00F1794C" w:rsidRPr="00F1794C">
        <w:rPr>
          <w:lang w:val="fr-FR"/>
        </w:rPr>
        <w:t>’</w:t>
      </w:r>
      <w:r w:rsidRPr="005D40D4">
        <w:rPr>
          <w:lang w:val="fr-FR"/>
        </w:rPr>
        <w:t>état civil. Par la suite, deux campagnes d</w:t>
      </w:r>
      <w:r w:rsidR="00F1794C" w:rsidRPr="00F1794C">
        <w:rPr>
          <w:lang w:val="fr-FR"/>
        </w:rPr>
        <w:t>’</w:t>
      </w:r>
      <w:r w:rsidRPr="005D40D4">
        <w:rPr>
          <w:lang w:val="fr-FR"/>
        </w:rPr>
        <w:t>inscription des enfants ont été menées. La première a eu lieu entre 2017 et 2018 et la deuxième a été lancée en 2019. Au total, 23 151 personnes (enfants et adultes) ont été inscrites sur les registres de l</w:t>
      </w:r>
      <w:r w:rsidR="00F1794C" w:rsidRPr="00F1794C">
        <w:rPr>
          <w:lang w:val="fr-FR"/>
        </w:rPr>
        <w:t>’</w:t>
      </w:r>
      <w:r w:rsidRPr="005D40D4">
        <w:rPr>
          <w:lang w:val="fr-FR"/>
        </w:rPr>
        <w:t>état civil. La justice a été saisie de 39 481 dossiers et 16 808 jugements déclaratifs ont été prononcés</w:t>
      </w:r>
      <w:r w:rsidRPr="00FA086B">
        <w:rPr>
          <w:vertAlign w:val="superscript"/>
          <w:lang w:val="fr-FR"/>
        </w:rPr>
        <w:footnoteReference w:id="90"/>
      </w:r>
      <w:r w:rsidRPr="005D40D4">
        <w:rPr>
          <w:lang w:val="fr-FR"/>
        </w:rPr>
        <w:t>.</w:t>
      </w:r>
    </w:p>
    <w:p w14:paraId="71325C90" w14:textId="442D4950" w:rsidR="005D40D4" w:rsidRPr="005D40D4" w:rsidRDefault="005D40D4" w:rsidP="00456FC2">
      <w:pPr>
        <w:pStyle w:val="SingleTxt"/>
        <w:numPr>
          <w:ilvl w:val="0"/>
          <w:numId w:val="50"/>
        </w:numPr>
        <w:rPr>
          <w:lang w:val="fr-FR"/>
        </w:rPr>
      </w:pPr>
      <w:r w:rsidRPr="005D40D4">
        <w:rPr>
          <w:lang w:val="fr-FR"/>
        </w:rPr>
        <w:t>En ce qui concerne le paragraphe 43 des observations finales, et dans le cadre de l</w:t>
      </w:r>
      <w:r w:rsidR="00F1794C" w:rsidRPr="00F1794C">
        <w:rPr>
          <w:lang w:val="fr-FR"/>
        </w:rPr>
        <w:t>’</w:t>
      </w:r>
      <w:r w:rsidRPr="005D40D4">
        <w:rPr>
          <w:lang w:val="fr-FR"/>
        </w:rPr>
        <w:t>Initiative nationale pour le développement humain, des mesures ont été prises à l</w:t>
      </w:r>
      <w:r w:rsidR="00F1794C" w:rsidRPr="00F1794C">
        <w:rPr>
          <w:lang w:val="fr-FR"/>
        </w:rPr>
        <w:t>’</w:t>
      </w:r>
      <w:r w:rsidRPr="005D40D4">
        <w:rPr>
          <w:lang w:val="fr-FR"/>
        </w:rPr>
        <w:t>intention des femmes en situation précaire dans quatre domaines principaux</w:t>
      </w:r>
      <w:r w:rsidR="00F1794C" w:rsidRPr="00F1794C">
        <w:rPr>
          <w:lang w:val="fr-FR"/>
        </w:rPr>
        <w:t> :</w:t>
      </w:r>
      <w:r w:rsidRPr="005D40D4">
        <w:rPr>
          <w:lang w:val="fr-FR"/>
        </w:rPr>
        <w:t xml:space="preserve"> appui aux activités génératrices de revenus, amélioration de l</w:t>
      </w:r>
      <w:r w:rsidR="00F1794C" w:rsidRPr="00F1794C">
        <w:rPr>
          <w:lang w:val="fr-FR"/>
        </w:rPr>
        <w:t>’</w:t>
      </w:r>
      <w:r w:rsidRPr="005D40D4">
        <w:rPr>
          <w:lang w:val="fr-FR"/>
        </w:rPr>
        <w:t>accès aux services éducatifs, mise en place de structures pour les activités socioculturelles et sportives et appui aux centres d</w:t>
      </w:r>
      <w:r w:rsidR="00F1794C" w:rsidRPr="00F1794C">
        <w:rPr>
          <w:lang w:val="fr-FR"/>
        </w:rPr>
        <w:t>’</w:t>
      </w:r>
      <w:r w:rsidRPr="005D40D4">
        <w:rPr>
          <w:lang w:val="fr-FR"/>
        </w:rPr>
        <w:t>accueil. Entre 2005</w:t>
      </w:r>
      <w:r w:rsidRPr="00FA086B">
        <w:rPr>
          <w:vertAlign w:val="superscript"/>
          <w:lang w:val="fr-FR"/>
        </w:rPr>
        <w:footnoteReference w:id="91"/>
      </w:r>
      <w:r w:rsidRPr="005D40D4">
        <w:rPr>
          <w:lang w:val="fr-FR"/>
        </w:rPr>
        <w:t>, année du lancement de l</w:t>
      </w:r>
      <w:r w:rsidR="00F1794C" w:rsidRPr="00F1794C">
        <w:rPr>
          <w:lang w:val="fr-FR"/>
        </w:rPr>
        <w:t>’</w:t>
      </w:r>
      <w:r w:rsidRPr="005D40D4">
        <w:rPr>
          <w:lang w:val="fr-FR"/>
        </w:rPr>
        <w:t>initiative, et 2017, la situation sociale et économique de 4,2 millions de femmes s</w:t>
      </w:r>
      <w:r w:rsidR="00F1794C" w:rsidRPr="00F1794C">
        <w:rPr>
          <w:lang w:val="fr-FR"/>
        </w:rPr>
        <w:t>’</w:t>
      </w:r>
      <w:r w:rsidRPr="005D40D4">
        <w:rPr>
          <w:lang w:val="fr-FR"/>
        </w:rPr>
        <w:t>est améliorée. En 2017, plus de 7764 activités génératrices de revenus (65</w:t>
      </w:r>
      <w:r w:rsidR="00F1794C" w:rsidRPr="00F1794C">
        <w:rPr>
          <w:lang w:val="fr-FR"/>
        </w:rPr>
        <w:t> %</w:t>
      </w:r>
      <w:r w:rsidRPr="005D40D4">
        <w:rPr>
          <w:lang w:val="fr-FR"/>
        </w:rPr>
        <w:t xml:space="preserve"> dans le monde rural) ont été enregistrées, représentant un investissement total de près 2,4 milliards de dirhams, dont 1,4 milliards de dirhams au titre de l</w:t>
      </w:r>
      <w:r w:rsidR="00F1794C" w:rsidRPr="00F1794C">
        <w:rPr>
          <w:lang w:val="fr-FR"/>
        </w:rPr>
        <w:t>’</w:t>
      </w:r>
      <w:r w:rsidRPr="005D40D4">
        <w:rPr>
          <w:lang w:val="fr-FR"/>
        </w:rPr>
        <w:t xml:space="preserve">Initiative nationale au profit de 118 000 bénéficiaires des deux sexes. </w:t>
      </w:r>
    </w:p>
    <w:p w14:paraId="349965A5" w14:textId="77777777" w:rsidR="00870B98" w:rsidRPr="00870B98" w:rsidRDefault="00870B98" w:rsidP="00870B98">
      <w:pPr>
        <w:pStyle w:val="SingleTxt"/>
        <w:spacing w:after="0" w:line="120" w:lineRule="exact"/>
        <w:rPr>
          <w:sz w:val="10"/>
          <w:lang w:val="fr-FR"/>
        </w:rPr>
      </w:pPr>
    </w:p>
    <w:p w14:paraId="2EDE2342" w14:textId="00962E73" w:rsidR="00870B98" w:rsidRDefault="00870B98" w:rsidP="00870B98">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5D40D4" w:rsidRPr="005D40D4">
        <w:rPr>
          <w:lang w:val="fr-FR"/>
        </w:rPr>
        <w:t>Tableau 15</w:t>
      </w:r>
    </w:p>
    <w:p w14:paraId="3415E970" w14:textId="407DCC7F" w:rsidR="005D40D4" w:rsidRPr="005D40D4" w:rsidRDefault="00E8389F" w:rsidP="00E8389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870B98">
        <w:rPr>
          <w:lang w:val="fr-FR"/>
        </w:rPr>
        <w:t>N</w:t>
      </w:r>
      <w:r w:rsidR="005D40D4" w:rsidRPr="005D40D4">
        <w:rPr>
          <w:lang w:val="fr-FR"/>
        </w:rPr>
        <w:t>ombre de bénéficiaires, par domaine d</w:t>
      </w:r>
      <w:r w:rsidR="00F1794C" w:rsidRPr="00F1794C">
        <w:rPr>
          <w:lang w:val="fr-FR"/>
        </w:rPr>
        <w:t>’</w:t>
      </w:r>
      <w:r w:rsidR="005D40D4" w:rsidRPr="005D40D4">
        <w:rPr>
          <w:lang w:val="fr-FR"/>
        </w:rPr>
        <w:t>activités génératrices de revenus</w:t>
      </w:r>
    </w:p>
    <w:p w14:paraId="4E209E42" w14:textId="351B052B" w:rsidR="005D40D4" w:rsidRPr="00E8389F" w:rsidRDefault="005D40D4" w:rsidP="00E8389F">
      <w:pPr>
        <w:pStyle w:val="SingleTxt"/>
        <w:spacing w:after="0" w:line="120" w:lineRule="exact"/>
        <w:rPr>
          <w:sz w:val="10"/>
          <w:lang w:val="fr-FR"/>
        </w:rPr>
      </w:pPr>
    </w:p>
    <w:p w14:paraId="68A22513" w14:textId="2F753DAB" w:rsidR="00E8389F" w:rsidRPr="00E8389F" w:rsidRDefault="00E8389F" w:rsidP="00E8389F">
      <w:pPr>
        <w:pStyle w:val="SingleTxt"/>
        <w:spacing w:after="0" w:line="120" w:lineRule="exact"/>
        <w:rPr>
          <w:sz w:val="10"/>
          <w:lang w:val="fr-FR"/>
        </w:rPr>
      </w:pPr>
    </w:p>
    <w:tbl>
      <w:tblPr>
        <w:tblStyle w:val="Grilledutableau11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40"/>
        <w:gridCol w:w="2440"/>
        <w:gridCol w:w="2440"/>
      </w:tblGrid>
      <w:tr w:rsidR="005D40D4" w:rsidRPr="00E8389F" w14:paraId="04BDBAB2" w14:textId="77777777" w:rsidTr="00E8389F">
        <w:trPr>
          <w:cantSplit/>
          <w:tblHeader/>
          <w:jc w:val="center"/>
        </w:trPr>
        <w:tc>
          <w:tcPr>
            <w:tcW w:w="2440" w:type="dxa"/>
            <w:tcBorders>
              <w:top w:val="single" w:sz="4" w:space="0" w:color="auto"/>
              <w:bottom w:val="single" w:sz="12" w:space="0" w:color="auto"/>
            </w:tcBorders>
            <w:shd w:val="clear" w:color="auto" w:fill="auto"/>
            <w:noWrap/>
            <w:vAlign w:val="bottom"/>
          </w:tcPr>
          <w:p w14:paraId="28AEEEEB" w14:textId="77777777" w:rsidR="005D40D4" w:rsidRPr="00E8389F" w:rsidRDefault="005D40D4" w:rsidP="00E8389F">
            <w:pPr>
              <w:suppressAutoHyphens/>
              <w:spacing w:before="81" w:after="81" w:line="160" w:lineRule="exact"/>
              <w:ind w:right="40"/>
              <w:rPr>
                <w:i/>
                <w:sz w:val="14"/>
              </w:rPr>
            </w:pPr>
            <w:r w:rsidRPr="00E8389F">
              <w:rPr>
                <w:i/>
                <w:sz w:val="14"/>
              </w:rPr>
              <w:t>Domaine</w:t>
            </w:r>
          </w:p>
        </w:tc>
        <w:tc>
          <w:tcPr>
            <w:tcW w:w="2440" w:type="dxa"/>
            <w:tcBorders>
              <w:top w:val="single" w:sz="4" w:space="0" w:color="auto"/>
              <w:bottom w:val="single" w:sz="12" w:space="0" w:color="auto"/>
            </w:tcBorders>
            <w:shd w:val="clear" w:color="auto" w:fill="auto"/>
            <w:noWrap/>
            <w:vAlign w:val="bottom"/>
          </w:tcPr>
          <w:p w14:paraId="5A108170" w14:textId="77777777" w:rsidR="005D40D4" w:rsidRPr="00E8389F" w:rsidRDefault="005D40D4" w:rsidP="00E8389F">
            <w:pPr>
              <w:suppressAutoHyphens/>
              <w:spacing w:before="81" w:after="81" w:line="160" w:lineRule="exact"/>
              <w:ind w:right="43"/>
              <w:jc w:val="right"/>
              <w:rPr>
                <w:i/>
                <w:sz w:val="14"/>
              </w:rPr>
            </w:pPr>
            <w:r w:rsidRPr="00E8389F">
              <w:rPr>
                <w:i/>
                <w:sz w:val="14"/>
              </w:rPr>
              <w:t>Nombre de projets</w:t>
            </w:r>
          </w:p>
        </w:tc>
        <w:tc>
          <w:tcPr>
            <w:tcW w:w="2440" w:type="dxa"/>
            <w:tcBorders>
              <w:top w:val="single" w:sz="4" w:space="0" w:color="auto"/>
              <w:bottom w:val="single" w:sz="12" w:space="0" w:color="auto"/>
            </w:tcBorders>
            <w:shd w:val="clear" w:color="auto" w:fill="auto"/>
            <w:noWrap/>
            <w:vAlign w:val="bottom"/>
          </w:tcPr>
          <w:p w14:paraId="46429E3F" w14:textId="77777777" w:rsidR="005D40D4" w:rsidRPr="00E8389F" w:rsidRDefault="005D40D4" w:rsidP="00E8389F">
            <w:pPr>
              <w:suppressAutoHyphens/>
              <w:spacing w:before="81" w:after="81" w:line="160" w:lineRule="exact"/>
              <w:ind w:right="43"/>
              <w:jc w:val="right"/>
              <w:rPr>
                <w:i/>
                <w:sz w:val="14"/>
              </w:rPr>
            </w:pPr>
            <w:r w:rsidRPr="00E8389F">
              <w:rPr>
                <w:i/>
                <w:sz w:val="14"/>
              </w:rPr>
              <w:t>Nombre de bénéficiaires</w:t>
            </w:r>
          </w:p>
        </w:tc>
      </w:tr>
      <w:tr w:rsidR="00E8389F" w:rsidRPr="00E8389F" w14:paraId="6D75D251" w14:textId="77777777" w:rsidTr="00E8389F">
        <w:trPr>
          <w:cantSplit/>
          <w:trHeight w:hRule="exact" w:val="115"/>
          <w:tblHeader/>
          <w:jc w:val="center"/>
        </w:trPr>
        <w:tc>
          <w:tcPr>
            <w:tcW w:w="2440" w:type="dxa"/>
            <w:tcBorders>
              <w:top w:val="single" w:sz="12" w:space="0" w:color="auto"/>
            </w:tcBorders>
            <w:shd w:val="clear" w:color="auto" w:fill="auto"/>
            <w:noWrap/>
            <w:vAlign w:val="bottom"/>
          </w:tcPr>
          <w:p w14:paraId="36680FE6" w14:textId="77777777" w:rsidR="00E8389F" w:rsidRPr="00E8389F" w:rsidRDefault="00E8389F" w:rsidP="00E8389F">
            <w:pPr>
              <w:suppressAutoHyphens/>
              <w:spacing w:before="40" w:after="40" w:line="210" w:lineRule="exact"/>
              <w:ind w:right="40"/>
              <w:rPr>
                <w:sz w:val="17"/>
              </w:rPr>
            </w:pPr>
          </w:p>
        </w:tc>
        <w:tc>
          <w:tcPr>
            <w:tcW w:w="2440" w:type="dxa"/>
            <w:tcBorders>
              <w:top w:val="single" w:sz="12" w:space="0" w:color="auto"/>
            </w:tcBorders>
            <w:shd w:val="clear" w:color="auto" w:fill="auto"/>
            <w:noWrap/>
            <w:vAlign w:val="bottom"/>
          </w:tcPr>
          <w:p w14:paraId="5136CA76" w14:textId="77777777" w:rsidR="00E8389F" w:rsidRPr="00E8389F" w:rsidRDefault="00E8389F" w:rsidP="00E8389F">
            <w:pPr>
              <w:suppressAutoHyphens/>
              <w:spacing w:before="40" w:after="40" w:line="210" w:lineRule="exact"/>
              <w:ind w:right="43"/>
              <w:jc w:val="right"/>
              <w:rPr>
                <w:sz w:val="17"/>
              </w:rPr>
            </w:pPr>
          </w:p>
        </w:tc>
        <w:tc>
          <w:tcPr>
            <w:tcW w:w="2440" w:type="dxa"/>
            <w:tcBorders>
              <w:top w:val="single" w:sz="12" w:space="0" w:color="auto"/>
            </w:tcBorders>
            <w:shd w:val="clear" w:color="auto" w:fill="auto"/>
            <w:noWrap/>
            <w:vAlign w:val="bottom"/>
          </w:tcPr>
          <w:p w14:paraId="3E01FDE3" w14:textId="77777777" w:rsidR="00E8389F" w:rsidRPr="00E8389F" w:rsidRDefault="00E8389F" w:rsidP="00E8389F">
            <w:pPr>
              <w:suppressAutoHyphens/>
              <w:spacing w:before="40" w:after="40" w:line="210" w:lineRule="exact"/>
              <w:ind w:right="43"/>
              <w:jc w:val="right"/>
              <w:rPr>
                <w:sz w:val="17"/>
              </w:rPr>
            </w:pPr>
          </w:p>
        </w:tc>
      </w:tr>
      <w:tr w:rsidR="005D40D4" w:rsidRPr="00E8389F" w14:paraId="2722105E" w14:textId="77777777" w:rsidTr="00E8389F">
        <w:trPr>
          <w:cantSplit/>
          <w:jc w:val="center"/>
        </w:trPr>
        <w:tc>
          <w:tcPr>
            <w:tcW w:w="2440" w:type="dxa"/>
            <w:shd w:val="clear" w:color="auto" w:fill="auto"/>
            <w:noWrap/>
            <w:vAlign w:val="bottom"/>
          </w:tcPr>
          <w:p w14:paraId="7DAFF00A" w14:textId="77777777" w:rsidR="005D40D4" w:rsidRPr="00E8389F" w:rsidRDefault="005D40D4" w:rsidP="00E8389F">
            <w:pPr>
              <w:tabs>
                <w:tab w:val="left" w:pos="288"/>
                <w:tab w:val="left" w:pos="576"/>
                <w:tab w:val="left" w:pos="864"/>
                <w:tab w:val="left" w:pos="1152"/>
              </w:tabs>
              <w:suppressAutoHyphens/>
              <w:spacing w:before="40" w:after="40" w:line="210" w:lineRule="exact"/>
              <w:ind w:right="40"/>
              <w:rPr>
                <w:sz w:val="17"/>
              </w:rPr>
            </w:pPr>
            <w:r w:rsidRPr="00E8389F">
              <w:rPr>
                <w:sz w:val="17"/>
              </w:rPr>
              <w:t>Agriculture</w:t>
            </w:r>
          </w:p>
        </w:tc>
        <w:tc>
          <w:tcPr>
            <w:tcW w:w="2440" w:type="dxa"/>
            <w:shd w:val="clear" w:color="auto" w:fill="auto"/>
            <w:noWrap/>
            <w:vAlign w:val="bottom"/>
          </w:tcPr>
          <w:p w14:paraId="6198A45F" w14:textId="77777777" w:rsidR="005D40D4" w:rsidRPr="00E8389F" w:rsidRDefault="005D40D4" w:rsidP="00E8389F">
            <w:pPr>
              <w:tabs>
                <w:tab w:val="left" w:pos="288"/>
                <w:tab w:val="left" w:pos="576"/>
                <w:tab w:val="left" w:pos="864"/>
                <w:tab w:val="left" w:pos="1152"/>
              </w:tabs>
              <w:suppressAutoHyphens/>
              <w:spacing w:before="40" w:after="40" w:line="210" w:lineRule="exact"/>
              <w:ind w:right="43"/>
              <w:jc w:val="right"/>
              <w:rPr>
                <w:sz w:val="17"/>
              </w:rPr>
            </w:pPr>
            <w:r w:rsidRPr="00E8389F">
              <w:rPr>
                <w:sz w:val="17"/>
              </w:rPr>
              <w:t xml:space="preserve">4 320 </w:t>
            </w:r>
          </w:p>
        </w:tc>
        <w:tc>
          <w:tcPr>
            <w:tcW w:w="2440" w:type="dxa"/>
            <w:shd w:val="clear" w:color="auto" w:fill="auto"/>
            <w:noWrap/>
            <w:vAlign w:val="bottom"/>
          </w:tcPr>
          <w:p w14:paraId="37E6AA5A" w14:textId="77777777" w:rsidR="005D40D4" w:rsidRPr="00E8389F" w:rsidRDefault="005D40D4" w:rsidP="00E8389F">
            <w:pPr>
              <w:tabs>
                <w:tab w:val="left" w:pos="288"/>
                <w:tab w:val="left" w:pos="576"/>
                <w:tab w:val="left" w:pos="864"/>
                <w:tab w:val="left" w:pos="1152"/>
              </w:tabs>
              <w:suppressAutoHyphens/>
              <w:spacing w:before="40" w:after="40" w:line="210" w:lineRule="exact"/>
              <w:ind w:right="43"/>
              <w:jc w:val="right"/>
              <w:rPr>
                <w:sz w:val="17"/>
              </w:rPr>
            </w:pPr>
            <w:r w:rsidRPr="00E8389F">
              <w:rPr>
                <w:sz w:val="17"/>
              </w:rPr>
              <w:t>26 477</w:t>
            </w:r>
          </w:p>
        </w:tc>
      </w:tr>
      <w:tr w:rsidR="005D40D4" w:rsidRPr="00E8389F" w14:paraId="262DC254" w14:textId="77777777" w:rsidTr="00E8389F">
        <w:trPr>
          <w:cantSplit/>
          <w:jc w:val="center"/>
        </w:trPr>
        <w:tc>
          <w:tcPr>
            <w:tcW w:w="2440" w:type="dxa"/>
            <w:shd w:val="clear" w:color="auto" w:fill="auto"/>
            <w:noWrap/>
            <w:vAlign w:val="bottom"/>
          </w:tcPr>
          <w:p w14:paraId="60DABF89" w14:textId="77777777" w:rsidR="005D40D4" w:rsidRPr="00E8389F" w:rsidRDefault="005D40D4" w:rsidP="00E8389F">
            <w:pPr>
              <w:tabs>
                <w:tab w:val="left" w:pos="288"/>
                <w:tab w:val="left" w:pos="576"/>
                <w:tab w:val="left" w:pos="864"/>
                <w:tab w:val="left" w:pos="1152"/>
              </w:tabs>
              <w:suppressAutoHyphens/>
              <w:spacing w:before="40" w:after="40" w:line="210" w:lineRule="exact"/>
              <w:ind w:right="40"/>
              <w:rPr>
                <w:sz w:val="17"/>
              </w:rPr>
            </w:pPr>
            <w:r w:rsidRPr="00E8389F">
              <w:rPr>
                <w:sz w:val="17"/>
              </w:rPr>
              <w:t>Artisanat</w:t>
            </w:r>
          </w:p>
        </w:tc>
        <w:tc>
          <w:tcPr>
            <w:tcW w:w="2440" w:type="dxa"/>
            <w:shd w:val="clear" w:color="auto" w:fill="auto"/>
            <w:noWrap/>
            <w:vAlign w:val="bottom"/>
          </w:tcPr>
          <w:p w14:paraId="42F2DF5C" w14:textId="77777777" w:rsidR="005D40D4" w:rsidRPr="00E8389F" w:rsidRDefault="005D40D4" w:rsidP="00E8389F">
            <w:pPr>
              <w:tabs>
                <w:tab w:val="left" w:pos="288"/>
                <w:tab w:val="left" w:pos="576"/>
                <w:tab w:val="left" w:pos="864"/>
                <w:tab w:val="left" w:pos="1152"/>
              </w:tabs>
              <w:suppressAutoHyphens/>
              <w:spacing w:before="40" w:after="40" w:line="210" w:lineRule="exact"/>
              <w:ind w:right="43"/>
              <w:jc w:val="right"/>
              <w:rPr>
                <w:sz w:val="17"/>
              </w:rPr>
            </w:pPr>
            <w:r w:rsidRPr="00E8389F">
              <w:rPr>
                <w:sz w:val="17"/>
              </w:rPr>
              <w:t>1 102</w:t>
            </w:r>
          </w:p>
        </w:tc>
        <w:tc>
          <w:tcPr>
            <w:tcW w:w="2440" w:type="dxa"/>
            <w:shd w:val="clear" w:color="auto" w:fill="auto"/>
            <w:noWrap/>
            <w:vAlign w:val="bottom"/>
          </w:tcPr>
          <w:p w14:paraId="7A6F982C" w14:textId="77777777" w:rsidR="005D40D4" w:rsidRPr="00E8389F" w:rsidRDefault="005D40D4" w:rsidP="00E8389F">
            <w:pPr>
              <w:tabs>
                <w:tab w:val="left" w:pos="288"/>
                <w:tab w:val="left" w:pos="576"/>
                <w:tab w:val="left" w:pos="864"/>
                <w:tab w:val="left" w:pos="1152"/>
              </w:tabs>
              <w:suppressAutoHyphens/>
              <w:spacing w:before="40" w:after="40" w:line="210" w:lineRule="exact"/>
              <w:ind w:right="43"/>
              <w:jc w:val="right"/>
              <w:rPr>
                <w:sz w:val="17"/>
              </w:rPr>
            </w:pPr>
            <w:r w:rsidRPr="00E8389F">
              <w:rPr>
                <w:sz w:val="17"/>
              </w:rPr>
              <w:t>10 624</w:t>
            </w:r>
          </w:p>
        </w:tc>
      </w:tr>
      <w:tr w:rsidR="005D40D4" w:rsidRPr="00E8389F" w14:paraId="14DB9308" w14:textId="77777777" w:rsidTr="00E8389F">
        <w:trPr>
          <w:cantSplit/>
          <w:jc w:val="center"/>
        </w:trPr>
        <w:tc>
          <w:tcPr>
            <w:tcW w:w="2440" w:type="dxa"/>
            <w:shd w:val="clear" w:color="auto" w:fill="auto"/>
            <w:noWrap/>
            <w:vAlign w:val="bottom"/>
          </w:tcPr>
          <w:p w14:paraId="4484CB2F" w14:textId="77777777" w:rsidR="005D40D4" w:rsidRPr="00E8389F" w:rsidRDefault="005D40D4" w:rsidP="00E8389F">
            <w:pPr>
              <w:tabs>
                <w:tab w:val="left" w:pos="288"/>
                <w:tab w:val="left" w:pos="576"/>
                <w:tab w:val="left" w:pos="864"/>
                <w:tab w:val="left" w:pos="1152"/>
              </w:tabs>
              <w:suppressAutoHyphens/>
              <w:spacing w:before="40" w:after="40" w:line="210" w:lineRule="exact"/>
              <w:ind w:right="40"/>
              <w:rPr>
                <w:sz w:val="17"/>
              </w:rPr>
            </w:pPr>
            <w:r w:rsidRPr="00E8389F">
              <w:rPr>
                <w:sz w:val="17"/>
              </w:rPr>
              <w:t>Commerce de proximité</w:t>
            </w:r>
          </w:p>
        </w:tc>
        <w:tc>
          <w:tcPr>
            <w:tcW w:w="2440" w:type="dxa"/>
            <w:shd w:val="clear" w:color="auto" w:fill="auto"/>
            <w:noWrap/>
            <w:vAlign w:val="bottom"/>
          </w:tcPr>
          <w:p w14:paraId="3573AC88" w14:textId="77777777" w:rsidR="005D40D4" w:rsidRPr="00E8389F" w:rsidRDefault="005D40D4" w:rsidP="00E8389F">
            <w:pPr>
              <w:tabs>
                <w:tab w:val="left" w:pos="288"/>
                <w:tab w:val="left" w:pos="576"/>
                <w:tab w:val="left" w:pos="864"/>
                <w:tab w:val="left" w:pos="1152"/>
              </w:tabs>
              <w:suppressAutoHyphens/>
              <w:spacing w:before="40" w:after="40" w:line="210" w:lineRule="exact"/>
              <w:ind w:right="43"/>
              <w:jc w:val="right"/>
              <w:rPr>
                <w:sz w:val="17"/>
              </w:rPr>
            </w:pPr>
            <w:r w:rsidRPr="00E8389F">
              <w:rPr>
                <w:sz w:val="17"/>
              </w:rPr>
              <w:t>1 914</w:t>
            </w:r>
          </w:p>
        </w:tc>
        <w:tc>
          <w:tcPr>
            <w:tcW w:w="2440" w:type="dxa"/>
            <w:shd w:val="clear" w:color="auto" w:fill="auto"/>
            <w:noWrap/>
            <w:vAlign w:val="bottom"/>
          </w:tcPr>
          <w:p w14:paraId="31AEAACF" w14:textId="77777777" w:rsidR="005D40D4" w:rsidRPr="00E8389F" w:rsidRDefault="005D40D4" w:rsidP="00E8389F">
            <w:pPr>
              <w:tabs>
                <w:tab w:val="left" w:pos="288"/>
                <w:tab w:val="left" w:pos="576"/>
                <w:tab w:val="left" w:pos="864"/>
                <w:tab w:val="left" w:pos="1152"/>
              </w:tabs>
              <w:suppressAutoHyphens/>
              <w:spacing w:before="40" w:after="40" w:line="210" w:lineRule="exact"/>
              <w:ind w:right="43"/>
              <w:jc w:val="right"/>
              <w:rPr>
                <w:sz w:val="17"/>
              </w:rPr>
            </w:pPr>
            <w:r w:rsidRPr="00E8389F">
              <w:rPr>
                <w:sz w:val="17"/>
              </w:rPr>
              <w:t>12 351</w:t>
            </w:r>
          </w:p>
        </w:tc>
      </w:tr>
      <w:tr w:rsidR="005D40D4" w:rsidRPr="00E8389F" w14:paraId="44307BDC" w14:textId="77777777" w:rsidTr="00E8389F">
        <w:trPr>
          <w:cantSplit/>
          <w:jc w:val="center"/>
        </w:trPr>
        <w:tc>
          <w:tcPr>
            <w:tcW w:w="2440" w:type="dxa"/>
            <w:shd w:val="clear" w:color="auto" w:fill="auto"/>
            <w:noWrap/>
            <w:vAlign w:val="bottom"/>
          </w:tcPr>
          <w:p w14:paraId="46A4467D" w14:textId="77777777" w:rsidR="005D40D4" w:rsidRPr="00E8389F" w:rsidRDefault="005D40D4" w:rsidP="00E8389F">
            <w:pPr>
              <w:tabs>
                <w:tab w:val="left" w:pos="288"/>
                <w:tab w:val="left" w:pos="576"/>
                <w:tab w:val="left" w:pos="864"/>
                <w:tab w:val="left" w:pos="1152"/>
              </w:tabs>
              <w:suppressAutoHyphens/>
              <w:spacing w:before="40" w:after="40" w:line="210" w:lineRule="exact"/>
              <w:ind w:right="40"/>
              <w:rPr>
                <w:sz w:val="17"/>
              </w:rPr>
            </w:pPr>
            <w:r w:rsidRPr="00E8389F">
              <w:rPr>
                <w:sz w:val="17"/>
              </w:rPr>
              <w:t>Pêche artisanale</w:t>
            </w:r>
          </w:p>
        </w:tc>
        <w:tc>
          <w:tcPr>
            <w:tcW w:w="2440" w:type="dxa"/>
            <w:shd w:val="clear" w:color="auto" w:fill="auto"/>
            <w:noWrap/>
            <w:vAlign w:val="bottom"/>
          </w:tcPr>
          <w:p w14:paraId="2731062C" w14:textId="77777777" w:rsidR="005D40D4" w:rsidRPr="00E8389F" w:rsidRDefault="005D40D4" w:rsidP="00E8389F">
            <w:pPr>
              <w:tabs>
                <w:tab w:val="left" w:pos="288"/>
                <w:tab w:val="left" w:pos="576"/>
                <w:tab w:val="left" w:pos="864"/>
                <w:tab w:val="left" w:pos="1152"/>
              </w:tabs>
              <w:suppressAutoHyphens/>
              <w:spacing w:before="40" w:after="40" w:line="210" w:lineRule="exact"/>
              <w:ind w:right="43"/>
              <w:jc w:val="right"/>
              <w:rPr>
                <w:sz w:val="17"/>
              </w:rPr>
            </w:pPr>
            <w:r w:rsidRPr="00E8389F">
              <w:rPr>
                <w:sz w:val="17"/>
              </w:rPr>
              <w:t xml:space="preserve">315 </w:t>
            </w:r>
          </w:p>
        </w:tc>
        <w:tc>
          <w:tcPr>
            <w:tcW w:w="2440" w:type="dxa"/>
            <w:shd w:val="clear" w:color="auto" w:fill="auto"/>
            <w:noWrap/>
            <w:vAlign w:val="bottom"/>
          </w:tcPr>
          <w:p w14:paraId="1EC69AE1" w14:textId="77777777" w:rsidR="005D40D4" w:rsidRPr="00E8389F" w:rsidRDefault="005D40D4" w:rsidP="00E8389F">
            <w:pPr>
              <w:tabs>
                <w:tab w:val="left" w:pos="288"/>
                <w:tab w:val="left" w:pos="576"/>
                <w:tab w:val="left" w:pos="864"/>
                <w:tab w:val="left" w:pos="1152"/>
              </w:tabs>
              <w:suppressAutoHyphens/>
              <w:spacing w:before="40" w:after="40" w:line="210" w:lineRule="exact"/>
              <w:ind w:right="43"/>
              <w:jc w:val="right"/>
              <w:rPr>
                <w:sz w:val="17"/>
              </w:rPr>
            </w:pPr>
            <w:r w:rsidRPr="00E8389F">
              <w:rPr>
                <w:sz w:val="17"/>
              </w:rPr>
              <w:t>816</w:t>
            </w:r>
          </w:p>
        </w:tc>
      </w:tr>
      <w:tr w:rsidR="005D40D4" w:rsidRPr="00E8389F" w14:paraId="42A99F85" w14:textId="77777777" w:rsidTr="00E8389F">
        <w:trPr>
          <w:cantSplit/>
          <w:jc w:val="center"/>
        </w:trPr>
        <w:tc>
          <w:tcPr>
            <w:tcW w:w="2440" w:type="dxa"/>
            <w:tcBorders>
              <w:bottom w:val="single" w:sz="4" w:space="0" w:color="auto"/>
            </w:tcBorders>
            <w:shd w:val="clear" w:color="auto" w:fill="auto"/>
            <w:noWrap/>
            <w:vAlign w:val="bottom"/>
          </w:tcPr>
          <w:p w14:paraId="130C83C3" w14:textId="77777777" w:rsidR="005D40D4" w:rsidRPr="00E8389F" w:rsidRDefault="005D40D4" w:rsidP="00E8389F">
            <w:pPr>
              <w:tabs>
                <w:tab w:val="left" w:pos="288"/>
                <w:tab w:val="left" w:pos="576"/>
                <w:tab w:val="left" w:pos="864"/>
                <w:tab w:val="left" w:pos="1152"/>
              </w:tabs>
              <w:suppressAutoHyphens/>
              <w:spacing w:before="40" w:after="81" w:line="210" w:lineRule="exact"/>
              <w:ind w:right="40"/>
              <w:rPr>
                <w:sz w:val="17"/>
              </w:rPr>
            </w:pPr>
            <w:r w:rsidRPr="00E8389F">
              <w:rPr>
                <w:sz w:val="17"/>
              </w:rPr>
              <w:t>Tourisme</w:t>
            </w:r>
          </w:p>
        </w:tc>
        <w:tc>
          <w:tcPr>
            <w:tcW w:w="2440" w:type="dxa"/>
            <w:tcBorders>
              <w:bottom w:val="single" w:sz="4" w:space="0" w:color="auto"/>
            </w:tcBorders>
            <w:shd w:val="clear" w:color="auto" w:fill="auto"/>
            <w:noWrap/>
            <w:vAlign w:val="bottom"/>
          </w:tcPr>
          <w:p w14:paraId="62278556" w14:textId="77777777" w:rsidR="005D40D4" w:rsidRPr="00E8389F" w:rsidRDefault="005D40D4" w:rsidP="00E8389F">
            <w:pPr>
              <w:tabs>
                <w:tab w:val="left" w:pos="288"/>
                <w:tab w:val="left" w:pos="576"/>
                <w:tab w:val="left" w:pos="864"/>
                <w:tab w:val="left" w:pos="1152"/>
              </w:tabs>
              <w:suppressAutoHyphens/>
              <w:spacing w:before="40" w:after="81" w:line="210" w:lineRule="exact"/>
              <w:ind w:right="43"/>
              <w:jc w:val="right"/>
              <w:rPr>
                <w:sz w:val="17"/>
              </w:rPr>
            </w:pPr>
            <w:r w:rsidRPr="00E8389F">
              <w:rPr>
                <w:sz w:val="17"/>
              </w:rPr>
              <w:t>113</w:t>
            </w:r>
          </w:p>
        </w:tc>
        <w:tc>
          <w:tcPr>
            <w:tcW w:w="2440" w:type="dxa"/>
            <w:tcBorders>
              <w:bottom w:val="single" w:sz="4" w:space="0" w:color="auto"/>
            </w:tcBorders>
            <w:shd w:val="clear" w:color="auto" w:fill="auto"/>
            <w:noWrap/>
            <w:vAlign w:val="bottom"/>
          </w:tcPr>
          <w:p w14:paraId="2133289C" w14:textId="77777777" w:rsidR="005D40D4" w:rsidRPr="00E8389F" w:rsidRDefault="005D40D4" w:rsidP="00E8389F">
            <w:pPr>
              <w:tabs>
                <w:tab w:val="left" w:pos="288"/>
                <w:tab w:val="left" w:pos="576"/>
                <w:tab w:val="left" w:pos="864"/>
                <w:tab w:val="left" w:pos="1152"/>
              </w:tabs>
              <w:suppressAutoHyphens/>
              <w:spacing w:before="40" w:after="81" w:line="210" w:lineRule="exact"/>
              <w:ind w:right="43"/>
              <w:jc w:val="right"/>
              <w:rPr>
                <w:sz w:val="17"/>
              </w:rPr>
            </w:pPr>
            <w:r w:rsidRPr="00E8389F">
              <w:rPr>
                <w:sz w:val="17"/>
              </w:rPr>
              <w:t>799</w:t>
            </w:r>
          </w:p>
        </w:tc>
      </w:tr>
      <w:tr w:rsidR="005D40D4" w:rsidRPr="00E8389F" w14:paraId="1CA5FDB3" w14:textId="77777777" w:rsidTr="00E8389F">
        <w:trPr>
          <w:cantSplit/>
          <w:jc w:val="center"/>
        </w:trPr>
        <w:tc>
          <w:tcPr>
            <w:tcW w:w="2440" w:type="dxa"/>
            <w:tcBorders>
              <w:top w:val="single" w:sz="4" w:space="0" w:color="auto"/>
              <w:bottom w:val="single" w:sz="12" w:space="0" w:color="auto"/>
            </w:tcBorders>
            <w:shd w:val="clear" w:color="auto" w:fill="auto"/>
            <w:noWrap/>
            <w:vAlign w:val="bottom"/>
          </w:tcPr>
          <w:p w14:paraId="005989A9" w14:textId="5C1259FF" w:rsidR="005D40D4" w:rsidRPr="00E8389F" w:rsidRDefault="00E8389F" w:rsidP="00E8389F">
            <w:pPr>
              <w:tabs>
                <w:tab w:val="left" w:pos="288"/>
                <w:tab w:val="left" w:pos="576"/>
                <w:tab w:val="left" w:pos="864"/>
                <w:tab w:val="left" w:pos="1152"/>
              </w:tabs>
              <w:suppressAutoHyphens/>
              <w:spacing w:before="81" w:after="81" w:line="210" w:lineRule="exact"/>
              <w:ind w:right="40"/>
              <w:rPr>
                <w:b/>
                <w:sz w:val="17"/>
              </w:rPr>
            </w:pPr>
            <w:r>
              <w:rPr>
                <w:b/>
                <w:sz w:val="17"/>
              </w:rPr>
              <w:tab/>
            </w:r>
            <w:r w:rsidR="005D40D4" w:rsidRPr="00E8389F">
              <w:rPr>
                <w:b/>
                <w:sz w:val="17"/>
              </w:rPr>
              <w:t>Total</w:t>
            </w:r>
          </w:p>
        </w:tc>
        <w:tc>
          <w:tcPr>
            <w:tcW w:w="2440" w:type="dxa"/>
            <w:tcBorders>
              <w:top w:val="single" w:sz="4" w:space="0" w:color="auto"/>
              <w:bottom w:val="single" w:sz="12" w:space="0" w:color="auto"/>
            </w:tcBorders>
            <w:shd w:val="clear" w:color="auto" w:fill="auto"/>
            <w:noWrap/>
            <w:vAlign w:val="bottom"/>
          </w:tcPr>
          <w:p w14:paraId="0602D1CB" w14:textId="77777777" w:rsidR="005D40D4" w:rsidRPr="00E8389F" w:rsidRDefault="005D40D4" w:rsidP="00E8389F">
            <w:pPr>
              <w:tabs>
                <w:tab w:val="left" w:pos="288"/>
                <w:tab w:val="left" w:pos="576"/>
                <w:tab w:val="left" w:pos="864"/>
                <w:tab w:val="left" w:pos="1152"/>
              </w:tabs>
              <w:suppressAutoHyphens/>
              <w:spacing w:before="81" w:after="81" w:line="210" w:lineRule="exact"/>
              <w:ind w:right="43"/>
              <w:jc w:val="right"/>
              <w:rPr>
                <w:b/>
                <w:sz w:val="17"/>
              </w:rPr>
            </w:pPr>
            <w:r w:rsidRPr="00E8389F">
              <w:rPr>
                <w:b/>
                <w:sz w:val="17"/>
              </w:rPr>
              <w:t>7 764</w:t>
            </w:r>
          </w:p>
        </w:tc>
        <w:tc>
          <w:tcPr>
            <w:tcW w:w="2440" w:type="dxa"/>
            <w:tcBorders>
              <w:top w:val="single" w:sz="4" w:space="0" w:color="auto"/>
              <w:bottom w:val="single" w:sz="12" w:space="0" w:color="auto"/>
            </w:tcBorders>
            <w:shd w:val="clear" w:color="auto" w:fill="auto"/>
            <w:noWrap/>
            <w:vAlign w:val="bottom"/>
          </w:tcPr>
          <w:p w14:paraId="35371178" w14:textId="77777777" w:rsidR="005D40D4" w:rsidRPr="00E8389F" w:rsidRDefault="005D40D4" w:rsidP="00E8389F">
            <w:pPr>
              <w:tabs>
                <w:tab w:val="left" w:pos="288"/>
                <w:tab w:val="left" w:pos="576"/>
                <w:tab w:val="left" w:pos="864"/>
                <w:tab w:val="left" w:pos="1152"/>
              </w:tabs>
              <w:suppressAutoHyphens/>
              <w:spacing w:before="81" w:after="81" w:line="210" w:lineRule="exact"/>
              <w:ind w:right="43"/>
              <w:jc w:val="right"/>
              <w:rPr>
                <w:b/>
                <w:sz w:val="17"/>
              </w:rPr>
            </w:pPr>
            <w:r w:rsidRPr="00E8389F">
              <w:rPr>
                <w:b/>
                <w:sz w:val="17"/>
              </w:rPr>
              <w:t>51 067</w:t>
            </w:r>
          </w:p>
        </w:tc>
      </w:tr>
    </w:tbl>
    <w:p w14:paraId="26302458" w14:textId="47136D1E" w:rsidR="005D40D4" w:rsidRPr="00E8389F" w:rsidRDefault="005D40D4" w:rsidP="00E8389F">
      <w:pPr>
        <w:pStyle w:val="SingleTxt"/>
        <w:spacing w:after="0" w:line="120" w:lineRule="exact"/>
        <w:rPr>
          <w:sz w:val="10"/>
          <w:lang w:val="fr-FR"/>
        </w:rPr>
      </w:pPr>
    </w:p>
    <w:p w14:paraId="4F4DFDCD" w14:textId="7E0E7C82" w:rsidR="00E8389F" w:rsidRPr="00E8389F" w:rsidRDefault="00E8389F" w:rsidP="00E8389F">
      <w:pPr>
        <w:pStyle w:val="SingleTxt"/>
        <w:spacing w:after="0" w:line="120" w:lineRule="exact"/>
        <w:rPr>
          <w:sz w:val="10"/>
          <w:lang w:val="fr-FR"/>
        </w:rPr>
      </w:pPr>
    </w:p>
    <w:p w14:paraId="5FDFE741" w14:textId="776995B5" w:rsidR="005D40D4" w:rsidRPr="005D40D4" w:rsidRDefault="005D40D4" w:rsidP="00456FC2">
      <w:pPr>
        <w:pStyle w:val="SingleTxt"/>
        <w:numPr>
          <w:ilvl w:val="0"/>
          <w:numId w:val="50"/>
        </w:numPr>
        <w:rPr>
          <w:lang w:val="fr-FR"/>
        </w:rPr>
      </w:pPr>
      <w:r w:rsidRPr="005D40D4">
        <w:rPr>
          <w:lang w:val="fr-FR"/>
        </w:rPr>
        <w:t>L</w:t>
      </w:r>
      <w:r w:rsidR="00F1794C" w:rsidRPr="00F1794C">
        <w:rPr>
          <w:lang w:val="fr-FR"/>
        </w:rPr>
        <w:t>’</w:t>
      </w:r>
      <w:r w:rsidRPr="005D40D4">
        <w:rPr>
          <w:lang w:val="fr-FR"/>
        </w:rPr>
        <w:t>Initiative vise à faire jouer aux femmes un rôle central dans la mise en œuvre de ses programmes. Environ 9 400 activités génératrices de revenus ont été menées durant la période 2005-2018 en faveur des titulaires de diplômes des différents groupes visés, dont 50</w:t>
      </w:r>
      <w:r w:rsidR="00F1794C" w:rsidRPr="00F1794C">
        <w:rPr>
          <w:lang w:val="fr-FR"/>
        </w:rPr>
        <w:t> %</w:t>
      </w:r>
      <w:r w:rsidRPr="005D40D4">
        <w:rPr>
          <w:lang w:val="fr-FR"/>
        </w:rPr>
        <w:t xml:space="preserve"> de femmes, ce qui a permis à ces dernières d</w:t>
      </w:r>
      <w:r w:rsidR="00F1794C" w:rsidRPr="00F1794C">
        <w:rPr>
          <w:lang w:val="fr-FR"/>
        </w:rPr>
        <w:t>’</w:t>
      </w:r>
      <w:r w:rsidRPr="005D40D4">
        <w:rPr>
          <w:lang w:val="fr-FR"/>
        </w:rPr>
        <w:t xml:space="preserve">améliorer leur situation sociale et économique. </w:t>
      </w:r>
    </w:p>
    <w:p w14:paraId="2BB78AB2" w14:textId="49CAB0D7" w:rsidR="005D40D4" w:rsidRPr="005D40D4" w:rsidRDefault="005D40D4" w:rsidP="00456FC2">
      <w:pPr>
        <w:pStyle w:val="SingleTxt"/>
        <w:numPr>
          <w:ilvl w:val="0"/>
          <w:numId w:val="50"/>
        </w:numPr>
        <w:rPr>
          <w:lang w:val="fr-FR"/>
        </w:rPr>
      </w:pPr>
      <w:r w:rsidRPr="005D40D4">
        <w:rPr>
          <w:lang w:val="fr-FR"/>
        </w:rPr>
        <w:t>Un ensemble de projets ont été élaborés pour lutter contre le décrochage scolaire et promouvoir la scolarisation des filles rurales en particulier. Dans le cadre de cette initiative, un ensemble de maisons de l</w:t>
      </w:r>
      <w:r w:rsidR="00F1794C" w:rsidRPr="00F1794C">
        <w:rPr>
          <w:lang w:val="fr-FR"/>
        </w:rPr>
        <w:t>’</w:t>
      </w:r>
      <w:r w:rsidRPr="005D40D4">
        <w:rPr>
          <w:lang w:val="fr-FR"/>
        </w:rPr>
        <w:t xml:space="preserve">étudiante ont été construites et équipées et des moyens de transport scolaire acquis. </w:t>
      </w:r>
    </w:p>
    <w:p w14:paraId="3B509F96" w14:textId="1CADB611" w:rsidR="005D40D4" w:rsidRPr="005D40D4" w:rsidRDefault="005D40D4" w:rsidP="00456FC2">
      <w:pPr>
        <w:pStyle w:val="SingleTxt"/>
        <w:numPr>
          <w:ilvl w:val="0"/>
          <w:numId w:val="50"/>
        </w:numPr>
        <w:rPr>
          <w:lang w:val="fr-FR"/>
        </w:rPr>
      </w:pPr>
      <w:r w:rsidRPr="005D40D4">
        <w:rPr>
          <w:lang w:val="fr-FR"/>
        </w:rPr>
        <w:t>Pour améliorer l</w:t>
      </w:r>
      <w:r w:rsidR="00F1794C" w:rsidRPr="00F1794C">
        <w:rPr>
          <w:lang w:val="fr-FR"/>
        </w:rPr>
        <w:t>’</w:t>
      </w:r>
      <w:r w:rsidRPr="005D40D4">
        <w:rPr>
          <w:lang w:val="fr-FR"/>
        </w:rPr>
        <w:t>accès des femmes aux services de santé, des centres de santé ont été mis à disposition et rénovés. Des convois médicaux et des campagnes de sensibilisation ont été organisées et 240 maternités et salles d</w:t>
      </w:r>
      <w:r w:rsidR="00F1794C" w:rsidRPr="00F1794C">
        <w:rPr>
          <w:lang w:val="fr-FR"/>
        </w:rPr>
        <w:t>’</w:t>
      </w:r>
      <w:r w:rsidRPr="005D40D4">
        <w:rPr>
          <w:lang w:val="fr-FR"/>
        </w:rPr>
        <w:t xml:space="preserve">accouchement ouvertes, ce qui a contribué à faire baisser le taux de mortalité maternelle et infantile. Par </w:t>
      </w:r>
      <w:r w:rsidRPr="005D40D4">
        <w:rPr>
          <w:lang w:val="fr-FR"/>
        </w:rPr>
        <w:lastRenderedPageBreak/>
        <w:t>ailleurs, il existe 1 134 centres spécialisés dans la prise en charge des femmes en situation difficile.</w:t>
      </w:r>
    </w:p>
    <w:p w14:paraId="1F071DED" w14:textId="4BD4D1C0" w:rsidR="005D40D4" w:rsidRPr="005D40D4" w:rsidRDefault="005D40D4" w:rsidP="00456FC2">
      <w:pPr>
        <w:pStyle w:val="SingleTxt"/>
        <w:numPr>
          <w:ilvl w:val="0"/>
          <w:numId w:val="50"/>
        </w:numPr>
        <w:rPr>
          <w:lang w:val="fr-FR"/>
        </w:rPr>
      </w:pPr>
      <w:r w:rsidRPr="005D40D4">
        <w:rPr>
          <w:lang w:val="fr-FR"/>
        </w:rPr>
        <w:t>La troisième phase de l</w:t>
      </w:r>
      <w:r w:rsidR="00F1794C" w:rsidRPr="00F1794C">
        <w:rPr>
          <w:lang w:val="fr-FR"/>
        </w:rPr>
        <w:t>’</w:t>
      </w:r>
      <w:r w:rsidRPr="005D40D4">
        <w:rPr>
          <w:lang w:val="fr-FR"/>
        </w:rPr>
        <w:t>Initiative nationale pour le développement humain (2019-2023) a été lancée le 18 septembre 2018. Elle est mise en œuvre selon un ensemble précis de cibles correspondant au volet du programme visant à promouvoir le capital humain. Les missions des instances de gouvernance territoriale ont été redéfinies en tenant compte des enjeux de la régionalisation avancée et de la décentralisation administrative. Le taux de représentation des femmes dans ces instances a augmenté et s</w:t>
      </w:r>
      <w:r w:rsidR="00F1794C" w:rsidRPr="00F1794C">
        <w:rPr>
          <w:lang w:val="fr-FR"/>
        </w:rPr>
        <w:t>’</w:t>
      </w:r>
      <w:r w:rsidRPr="005D40D4">
        <w:rPr>
          <w:lang w:val="fr-FR"/>
        </w:rPr>
        <w:t>établit à 20</w:t>
      </w:r>
      <w:r w:rsidR="00F1794C" w:rsidRPr="00F1794C">
        <w:rPr>
          <w:lang w:val="fr-FR"/>
        </w:rPr>
        <w:t> %</w:t>
      </w:r>
      <w:r w:rsidRPr="005D40D4">
        <w:rPr>
          <w:lang w:val="fr-FR"/>
        </w:rPr>
        <w:t>. Une enveloppe budgétaire de 18 milliards de dirhams a été allouée afin de financer les quatre programmes</w:t>
      </w:r>
      <w:r w:rsidR="00F1794C" w:rsidRPr="00F1794C">
        <w:rPr>
          <w:lang w:val="fr-FR"/>
        </w:rPr>
        <w:t xml:space="preserve"> </w:t>
      </w:r>
      <w:r w:rsidRPr="005D40D4">
        <w:rPr>
          <w:lang w:val="fr-FR"/>
        </w:rPr>
        <w:t>suivants</w:t>
      </w:r>
      <w:r w:rsidR="00F1794C" w:rsidRPr="00F1794C">
        <w:rPr>
          <w:lang w:val="fr-FR"/>
        </w:rPr>
        <w:t> :</w:t>
      </w:r>
    </w:p>
    <w:p w14:paraId="6F13DE2B" w14:textId="2B18980D" w:rsidR="005D40D4" w:rsidRPr="00E8389F" w:rsidRDefault="00E8389F" w:rsidP="00E8389F">
      <w:pPr>
        <w:pStyle w:val="SingleTxt"/>
        <w:tabs>
          <w:tab w:val="right" w:pos="1685"/>
        </w:tabs>
        <w:ind w:left="1742" w:hanging="475"/>
        <w:rPr>
          <w:lang w:val="fr-FR"/>
        </w:rPr>
      </w:pPr>
      <w:r>
        <w:rPr>
          <w:lang w:val="fr-FR"/>
        </w:rPr>
        <w:tab/>
        <w:t>•</w:t>
      </w:r>
      <w:r>
        <w:rPr>
          <w:lang w:val="fr-FR"/>
        </w:rPr>
        <w:tab/>
      </w:r>
      <w:r w:rsidR="005D40D4" w:rsidRPr="00E8389F">
        <w:rPr>
          <w:lang w:val="fr-FR"/>
        </w:rPr>
        <w:t>un programme de rattrapage des déficits en infrastructures et services de base dans les zones territoriales les moins équipées, doté d</w:t>
      </w:r>
      <w:r w:rsidR="00F1794C" w:rsidRPr="00E8389F">
        <w:rPr>
          <w:lang w:val="fr-FR"/>
        </w:rPr>
        <w:t>’</w:t>
      </w:r>
      <w:r w:rsidR="005D40D4" w:rsidRPr="00E8389F">
        <w:rPr>
          <w:lang w:val="fr-FR"/>
        </w:rPr>
        <w:t>un budget de 4 milliards de dirhams</w:t>
      </w:r>
      <w:r w:rsidR="00F1794C" w:rsidRPr="00E8389F">
        <w:rPr>
          <w:lang w:val="fr-FR"/>
        </w:rPr>
        <w:t> ;</w:t>
      </w:r>
    </w:p>
    <w:p w14:paraId="683F05FD" w14:textId="2C549DCA" w:rsidR="005D40D4" w:rsidRPr="00E8389F" w:rsidRDefault="00E8389F" w:rsidP="00E8389F">
      <w:pPr>
        <w:pStyle w:val="SingleTxt"/>
        <w:tabs>
          <w:tab w:val="right" w:pos="1685"/>
        </w:tabs>
        <w:ind w:left="1742" w:hanging="475"/>
        <w:rPr>
          <w:lang w:val="fr-FR"/>
        </w:rPr>
      </w:pPr>
      <w:r>
        <w:rPr>
          <w:lang w:val="fr-FR"/>
        </w:rPr>
        <w:tab/>
        <w:t>•</w:t>
      </w:r>
      <w:r>
        <w:rPr>
          <w:lang w:val="fr-FR"/>
        </w:rPr>
        <w:tab/>
      </w:r>
      <w:r w:rsidR="005D40D4" w:rsidRPr="00E8389F">
        <w:rPr>
          <w:lang w:val="fr-FR"/>
        </w:rPr>
        <w:t>un programme d</w:t>
      </w:r>
      <w:r w:rsidR="00F1794C" w:rsidRPr="00E8389F">
        <w:rPr>
          <w:lang w:val="fr-FR"/>
        </w:rPr>
        <w:t>’</w:t>
      </w:r>
      <w:r w:rsidR="005D40D4" w:rsidRPr="00E8389F">
        <w:rPr>
          <w:lang w:val="fr-FR"/>
        </w:rPr>
        <w:t>accompagnement des personnes en situation de précarité ciblant 11 catégories de personnes, doté d</w:t>
      </w:r>
      <w:r w:rsidR="00F1794C" w:rsidRPr="00E8389F">
        <w:rPr>
          <w:lang w:val="fr-FR"/>
        </w:rPr>
        <w:t>’</w:t>
      </w:r>
      <w:r w:rsidR="005D40D4" w:rsidRPr="00E8389F">
        <w:rPr>
          <w:lang w:val="fr-FR"/>
        </w:rPr>
        <w:t>un budget de 4 milliards de dirhams</w:t>
      </w:r>
      <w:r w:rsidR="00F1794C" w:rsidRPr="00E8389F">
        <w:rPr>
          <w:lang w:val="fr-FR"/>
        </w:rPr>
        <w:t> ;</w:t>
      </w:r>
    </w:p>
    <w:p w14:paraId="54D5AA2D" w14:textId="343F6840" w:rsidR="005D40D4" w:rsidRPr="00E8389F" w:rsidRDefault="00E8389F" w:rsidP="00E8389F">
      <w:pPr>
        <w:pStyle w:val="SingleTxt"/>
        <w:tabs>
          <w:tab w:val="right" w:pos="1685"/>
        </w:tabs>
        <w:ind w:left="1742" w:hanging="475"/>
        <w:rPr>
          <w:lang w:val="fr-FR"/>
        </w:rPr>
      </w:pPr>
      <w:r>
        <w:rPr>
          <w:lang w:val="fr-FR"/>
        </w:rPr>
        <w:tab/>
        <w:t>•</w:t>
      </w:r>
      <w:r>
        <w:rPr>
          <w:lang w:val="fr-FR"/>
        </w:rPr>
        <w:tab/>
      </w:r>
      <w:r w:rsidR="005D40D4" w:rsidRPr="00E8389F">
        <w:rPr>
          <w:lang w:val="fr-FR"/>
        </w:rPr>
        <w:t>un programme d</w:t>
      </w:r>
      <w:r w:rsidR="00F1794C" w:rsidRPr="00E8389F">
        <w:rPr>
          <w:lang w:val="fr-FR"/>
        </w:rPr>
        <w:t>’</w:t>
      </w:r>
      <w:r w:rsidR="005D40D4" w:rsidRPr="00E8389F">
        <w:rPr>
          <w:lang w:val="fr-FR"/>
        </w:rPr>
        <w:t>amélioration du revenu et d</w:t>
      </w:r>
      <w:r w:rsidR="00F1794C" w:rsidRPr="00E8389F">
        <w:rPr>
          <w:lang w:val="fr-FR"/>
        </w:rPr>
        <w:t>’</w:t>
      </w:r>
      <w:r w:rsidR="005D40D4" w:rsidRPr="00E8389F">
        <w:rPr>
          <w:lang w:val="fr-FR"/>
        </w:rPr>
        <w:t>inclusion économique des jeunes visant à offrir des possibilités d</w:t>
      </w:r>
      <w:r w:rsidR="00F1794C" w:rsidRPr="00E8389F">
        <w:rPr>
          <w:lang w:val="fr-FR"/>
        </w:rPr>
        <w:t>’</w:t>
      </w:r>
      <w:r w:rsidR="005D40D4" w:rsidRPr="00E8389F">
        <w:rPr>
          <w:lang w:val="fr-FR"/>
        </w:rPr>
        <w:t>emploi aux jeunes en renforçant la formation et l</w:t>
      </w:r>
      <w:r w:rsidR="00F1794C" w:rsidRPr="00E8389F">
        <w:rPr>
          <w:lang w:val="fr-FR"/>
        </w:rPr>
        <w:t>’</w:t>
      </w:r>
      <w:r w:rsidR="005D40D4" w:rsidRPr="00E8389F">
        <w:rPr>
          <w:lang w:val="fr-FR"/>
        </w:rPr>
        <w:t>accompagnement, doté d</w:t>
      </w:r>
      <w:r w:rsidR="00F1794C" w:rsidRPr="00E8389F">
        <w:rPr>
          <w:lang w:val="fr-FR"/>
        </w:rPr>
        <w:t>’</w:t>
      </w:r>
      <w:r w:rsidR="005D40D4" w:rsidRPr="00E8389F">
        <w:rPr>
          <w:lang w:val="fr-FR"/>
        </w:rPr>
        <w:t>un budget de près de 4 milliards de dirhams</w:t>
      </w:r>
      <w:r w:rsidR="00F1794C" w:rsidRPr="00E8389F">
        <w:rPr>
          <w:lang w:val="fr-FR"/>
        </w:rPr>
        <w:t> ;</w:t>
      </w:r>
    </w:p>
    <w:p w14:paraId="23EE7670" w14:textId="0A561BED" w:rsidR="005D40D4" w:rsidRPr="00E8389F" w:rsidRDefault="00E8389F" w:rsidP="00E8389F">
      <w:pPr>
        <w:pStyle w:val="SingleTxt"/>
        <w:tabs>
          <w:tab w:val="right" w:pos="1685"/>
        </w:tabs>
        <w:ind w:left="1742" w:hanging="475"/>
        <w:rPr>
          <w:lang w:val="fr-FR"/>
        </w:rPr>
      </w:pPr>
      <w:r>
        <w:rPr>
          <w:lang w:val="fr-FR"/>
        </w:rPr>
        <w:tab/>
        <w:t>•</w:t>
      </w:r>
      <w:r>
        <w:rPr>
          <w:lang w:val="fr-FR"/>
        </w:rPr>
        <w:tab/>
      </w:r>
      <w:r w:rsidR="005D40D4" w:rsidRPr="00E8389F">
        <w:rPr>
          <w:lang w:val="fr-FR"/>
        </w:rPr>
        <w:t>un programme d</w:t>
      </w:r>
      <w:r w:rsidR="00F1794C" w:rsidRPr="00E8389F">
        <w:rPr>
          <w:lang w:val="fr-FR"/>
        </w:rPr>
        <w:t>’</w:t>
      </w:r>
      <w:r w:rsidR="005D40D4" w:rsidRPr="00E8389F">
        <w:rPr>
          <w:lang w:val="fr-FR"/>
        </w:rPr>
        <w:t>impulsion du capital humain des générations montantes visant à assurer un meilleur suivi de la petite enfance et de la jeunesse, doté d</w:t>
      </w:r>
      <w:r w:rsidR="00F1794C" w:rsidRPr="00E8389F">
        <w:rPr>
          <w:lang w:val="fr-FR"/>
        </w:rPr>
        <w:t>’</w:t>
      </w:r>
      <w:r w:rsidR="005D40D4" w:rsidRPr="00E8389F">
        <w:rPr>
          <w:lang w:val="fr-FR"/>
        </w:rPr>
        <w:t>un budget de 6 milliards de dirhams, ce qui permettra de renforcer et d</w:t>
      </w:r>
      <w:r w:rsidR="00F1794C" w:rsidRPr="00E8389F">
        <w:rPr>
          <w:lang w:val="fr-FR"/>
        </w:rPr>
        <w:t>’</w:t>
      </w:r>
      <w:r w:rsidR="005D40D4" w:rsidRPr="00E8389F">
        <w:rPr>
          <w:lang w:val="fr-FR"/>
        </w:rPr>
        <w:t>améliorer la santé et la nutrition de la mère et de l</w:t>
      </w:r>
      <w:r w:rsidR="00F1794C" w:rsidRPr="00E8389F">
        <w:rPr>
          <w:lang w:val="fr-FR"/>
        </w:rPr>
        <w:t>’</w:t>
      </w:r>
      <w:r w:rsidR="005D40D4" w:rsidRPr="00E8389F">
        <w:rPr>
          <w:lang w:val="fr-FR"/>
        </w:rPr>
        <w:t xml:space="preserve">enfant. </w:t>
      </w:r>
    </w:p>
    <w:p w14:paraId="0E42645B" w14:textId="21ED9911" w:rsidR="005D40D4" w:rsidRPr="005D40D4" w:rsidRDefault="005D40D4" w:rsidP="00456FC2">
      <w:pPr>
        <w:pStyle w:val="SingleTxt"/>
        <w:numPr>
          <w:ilvl w:val="0"/>
          <w:numId w:val="50"/>
        </w:numPr>
        <w:rPr>
          <w:lang w:val="fr-FR"/>
        </w:rPr>
      </w:pPr>
      <w:r w:rsidRPr="005D40D4">
        <w:rPr>
          <w:lang w:val="fr-FR"/>
        </w:rPr>
        <w:t>Pour créer un environnement propice à l</w:t>
      </w:r>
      <w:r w:rsidR="00F1794C" w:rsidRPr="00F1794C">
        <w:rPr>
          <w:lang w:val="fr-FR"/>
        </w:rPr>
        <w:t>’</w:t>
      </w:r>
      <w:r w:rsidRPr="005D40D4">
        <w:rPr>
          <w:lang w:val="fr-FR"/>
        </w:rPr>
        <w:t>emploi des femmes et à l</w:t>
      </w:r>
      <w:r w:rsidR="00F1794C" w:rsidRPr="00F1794C">
        <w:rPr>
          <w:lang w:val="fr-FR"/>
        </w:rPr>
        <w:t>’</w:t>
      </w:r>
      <w:r w:rsidRPr="005D40D4">
        <w:rPr>
          <w:lang w:val="fr-FR"/>
        </w:rPr>
        <w:t>entrepreneuriat féminin, plusieurs initiatives ont été mises en œuvre en partenariat avec les associations, le secteur privé et les partenaires internationaux de développement, notamment les suivantes</w:t>
      </w:r>
      <w:r w:rsidR="00F1794C" w:rsidRPr="00F1794C">
        <w:rPr>
          <w:lang w:val="fr-FR"/>
        </w:rPr>
        <w:t> :</w:t>
      </w:r>
    </w:p>
    <w:p w14:paraId="2410BD58" w14:textId="5369B11E" w:rsidR="005D40D4" w:rsidRPr="00E8389F" w:rsidRDefault="00E8389F" w:rsidP="00E8389F">
      <w:pPr>
        <w:pStyle w:val="SingleTxt"/>
        <w:tabs>
          <w:tab w:val="right" w:pos="1685"/>
        </w:tabs>
        <w:ind w:left="1742" w:hanging="475"/>
        <w:rPr>
          <w:lang w:val="fr-FR"/>
        </w:rPr>
      </w:pPr>
      <w:r>
        <w:rPr>
          <w:lang w:val="fr-FR"/>
        </w:rPr>
        <w:tab/>
        <w:t>•</w:t>
      </w:r>
      <w:r w:rsidR="005D40D4" w:rsidRPr="005D40D4">
        <w:rPr>
          <w:lang w:val="fr-FR"/>
        </w:rPr>
        <w:tab/>
      </w:r>
      <w:r w:rsidR="005D40D4" w:rsidRPr="00E8389F">
        <w:rPr>
          <w:lang w:val="fr-FR"/>
        </w:rPr>
        <w:t>Le Fonds de garantie Ilayki, qui vise à encourager les femmes à créer une entreprise à l</w:t>
      </w:r>
      <w:r w:rsidR="00F1794C" w:rsidRPr="00E8389F">
        <w:rPr>
          <w:lang w:val="fr-FR"/>
        </w:rPr>
        <w:t>’</w:t>
      </w:r>
      <w:r w:rsidR="005D40D4" w:rsidRPr="00E8389F">
        <w:rPr>
          <w:lang w:val="fr-FR"/>
        </w:rPr>
        <w:t>aide de crédits bancaires garantis à hauteur de 80</w:t>
      </w:r>
      <w:r w:rsidR="00F1794C" w:rsidRPr="00E8389F">
        <w:rPr>
          <w:lang w:val="fr-FR"/>
        </w:rPr>
        <w:t> %</w:t>
      </w:r>
      <w:r w:rsidR="005D40D4" w:rsidRPr="00E8389F">
        <w:rPr>
          <w:lang w:val="fr-FR"/>
        </w:rPr>
        <w:t>. Entre mars 2013, date de sa mise en service, et novembre 2019, 3 643 projets ont été approuvés, pour un montant total de 773 millions de dirhams, notamment dans les secteurs de la santé et de l</w:t>
      </w:r>
      <w:r w:rsidR="00F1794C" w:rsidRPr="00E8389F">
        <w:rPr>
          <w:lang w:val="fr-FR"/>
        </w:rPr>
        <w:t>’</w:t>
      </w:r>
      <w:r w:rsidR="005D40D4" w:rsidRPr="00E8389F">
        <w:rPr>
          <w:lang w:val="fr-FR"/>
        </w:rPr>
        <w:t>action sociale (36</w:t>
      </w:r>
      <w:r w:rsidR="00F1794C" w:rsidRPr="00E8389F">
        <w:rPr>
          <w:lang w:val="fr-FR"/>
        </w:rPr>
        <w:t> %</w:t>
      </w:r>
      <w:r w:rsidR="005D40D4" w:rsidRPr="00E8389F">
        <w:rPr>
          <w:lang w:val="fr-FR"/>
        </w:rPr>
        <w:t>), du commerce (27</w:t>
      </w:r>
      <w:r w:rsidR="00F1794C" w:rsidRPr="00E8389F">
        <w:rPr>
          <w:lang w:val="fr-FR"/>
        </w:rPr>
        <w:t> %</w:t>
      </w:r>
      <w:r w:rsidR="005D40D4" w:rsidRPr="00E8389F">
        <w:rPr>
          <w:lang w:val="fr-FR"/>
        </w:rPr>
        <w:t>), des services (16</w:t>
      </w:r>
      <w:r w:rsidR="00F1794C" w:rsidRPr="00E8389F">
        <w:rPr>
          <w:lang w:val="fr-FR"/>
        </w:rPr>
        <w:t> %</w:t>
      </w:r>
      <w:r w:rsidR="005D40D4" w:rsidRPr="00E8389F">
        <w:rPr>
          <w:lang w:val="fr-FR"/>
        </w:rPr>
        <w:t>), de l</w:t>
      </w:r>
      <w:r w:rsidR="00F1794C" w:rsidRPr="00E8389F">
        <w:rPr>
          <w:lang w:val="fr-FR"/>
        </w:rPr>
        <w:t>’</w:t>
      </w:r>
      <w:r w:rsidR="005D40D4" w:rsidRPr="00E8389F">
        <w:rPr>
          <w:lang w:val="fr-FR"/>
        </w:rPr>
        <w:t>hôtellerie et de la restauration (6</w:t>
      </w:r>
      <w:r w:rsidR="00F1794C" w:rsidRPr="00E8389F">
        <w:rPr>
          <w:lang w:val="fr-FR"/>
        </w:rPr>
        <w:t> %</w:t>
      </w:r>
      <w:r w:rsidR="005D40D4" w:rsidRPr="00E8389F">
        <w:rPr>
          <w:lang w:val="fr-FR"/>
        </w:rPr>
        <w:t>), de l</w:t>
      </w:r>
      <w:r w:rsidR="00F1794C" w:rsidRPr="00E8389F">
        <w:rPr>
          <w:lang w:val="fr-FR"/>
        </w:rPr>
        <w:t>’</w:t>
      </w:r>
      <w:r w:rsidR="005D40D4" w:rsidRPr="00E8389F">
        <w:rPr>
          <w:lang w:val="fr-FR"/>
        </w:rPr>
        <w:t>industrie (5</w:t>
      </w:r>
      <w:r w:rsidR="00F1794C" w:rsidRPr="00E8389F">
        <w:rPr>
          <w:lang w:val="fr-FR"/>
        </w:rPr>
        <w:t> %</w:t>
      </w:r>
      <w:r w:rsidR="005D40D4" w:rsidRPr="00E8389F">
        <w:rPr>
          <w:lang w:val="fr-FR"/>
        </w:rPr>
        <w:t>) et de l</w:t>
      </w:r>
      <w:r w:rsidR="00F1794C" w:rsidRPr="00E8389F">
        <w:rPr>
          <w:lang w:val="fr-FR"/>
        </w:rPr>
        <w:t>’</w:t>
      </w:r>
      <w:r w:rsidR="005D40D4" w:rsidRPr="00E8389F">
        <w:rPr>
          <w:lang w:val="fr-FR"/>
        </w:rPr>
        <w:t>éducation (4</w:t>
      </w:r>
      <w:r w:rsidR="00F1794C" w:rsidRPr="00E8389F">
        <w:rPr>
          <w:lang w:val="fr-FR"/>
        </w:rPr>
        <w:t> %</w:t>
      </w:r>
      <w:r w:rsidR="005D40D4" w:rsidRPr="00E8389F">
        <w:rPr>
          <w:lang w:val="fr-FR"/>
        </w:rPr>
        <w:t>)</w:t>
      </w:r>
      <w:r w:rsidR="00F1794C" w:rsidRPr="00E8389F">
        <w:rPr>
          <w:lang w:val="fr-FR"/>
        </w:rPr>
        <w:t> ;</w:t>
      </w:r>
    </w:p>
    <w:p w14:paraId="313C9AFB" w14:textId="48FE4749" w:rsidR="005D40D4" w:rsidRPr="00E8389F" w:rsidRDefault="00E8389F" w:rsidP="00E8389F">
      <w:pPr>
        <w:pStyle w:val="SingleTxt"/>
        <w:tabs>
          <w:tab w:val="right" w:pos="1685"/>
        </w:tabs>
        <w:ind w:left="1742" w:hanging="475"/>
        <w:rPr>
          <w:lang w:val="fr-FR"/>
        </w:rPr>
      </w:pPr>
      <w:r>
        <w:rPr>
          <w:lang w:val="fr-FR"/>
        </w:rPr>
        <w:tab/>
        <w:t>•</w:t>
      </w:r>
      <w:r>
        <w:rPr>
          <w:lang w:val="fr-FR"/>
        </w:rPr>
        <w:tab/>
      </w:r>
      <w:r w:rsidR="005D40D4" w:rsidRPr="00E8389F">
        <w:rPr>
          <w:lang w:val="fr-FR"/>
        </w:rPr>
        <w:t>Le statut d</w:t>
      </w:r>
      <w:r w:rsidR="00F1794C" w:rsidRPr="00E8389F">
        <w:rPr>
          <w:lang w:val="fr-FR"/>
        </w:rPr>
        <w:t>’</w:t>
      </w:r>
      <w:r w:rsidR="005D40D4" w:rsidRPr="00E8389F">
        <w:rPr>
          <w:lang w:val="fr-FR"/>
        </w:rPr>
        <w:t>auto-entrepreneur, au titre duquel 103 160 entreprises ont été créées entre 2015 et fin avril 2019, dont 31</w:t>
      </w:r>
      <w:r w:rsidR="00F1794C" w:rsidRPr="00E8389F">
        <w:rPr>
          <w:lang w:val="fr-FR"/>
        </w:rPr>
        <w:t> %</w:t>
      </w:r>
      <w:r w:rsidR="005D40D4" w:rsidRPr="00E8389F">
        <w:rPr>
          <w:lang w:val="fr-FR"/>
        </w:rPr>
        <w:t xml:space="preserve"> par des femmes</w:t>
      </w:r>
      <w:r w:rsidR="00F1794C" w:rsidRPr="00E8389F">
        <w:rPr>
          <w:lang w:val="fr-FR"/>
        </w:rPr>
        <w:t> ;</w:t>
      </w:r>
    </w:p>
    <w:p w14:paraId="7D1269FE" w14:textId="0D4C3188" w:rsidR="005D40D4" w:rsidRPr="00E8389F" w:rsidRDefault="00E8389F" w:rsidP="00E8389F">
      <w:pPr>
        <w:pStyle w:val="SingleTxt"/>
        <w:tabs>
          <w:tab w:val="right" w:pos="1685"/>
        </w:tabs>
        <w:ind w:left="1742" w:hanging="475"/>
        <w:rPr>
          <w:lang w:val="fr-FR"/>
        </w:rPr>
      </w:pPr>
      <w:r>
        <w:rPr>
          <w:lang w:val="fr-FR"/>
        </w:rPr>
        <w:tab/>
        <w:t>•</w:t>
      </w:r>
      <w:r>
        <w:rPr>
          <w:lang w:val="fr-FR"/>
        </w:rPr>
        <w:tab/>
      </w:r>
      <w:r w:rsidR="005D40D4" w:rsidRPr="00E8389F">
        <w:rPr>
          <w:lang w:val="fr-FR"/>
        </w:rPr>
        <w:t>Pour promouvoir l</w:t>
      </w:r>
      <w:r w:rsidR="00F1794C" w:rsidRPr="00E8389F">
        <w:rPr>
          <w:lang w:val="fr-FR"/>
        </w:rPr>
        <w:t>’</w:t>
      </w:r>
      <w:r w:rsidR="005D40D4" w:rsidRPr="00E8389F">
        <w:rPr>
          <w:lang w:val="fr-FR"/>
        </w:rPr>
        <w:t>entrepreneuriat des femmes, les petites et moyennes entreprises ont accès à un appui et à un accompagnement et des données ventilées par sexe sont produites</w:t>
      </w:r>
      <w:r w:rsidR="00F1794C" w:rsidRPr="00E8389F">
        <w:rPr>
          <w:lang w:val="fr-FR"/>
        </w:rPr>
        <w:t> ;</w:t>
      </w:r>
    </w:p>
    <w:p w14:paraId="46793B2C" w14:textId="42D10DE1" w:rsidR="005D40D4" w:rsidRPr="00E8389F" w:rsidRDefault="00E8389F" w:rsidP="00E8389F">
      <w:pPr>
        <w:pStyle w:val="SingleTxt"/>
        <w:tabs>
          <w:tab w:val="right" w:pos="1685"/>
        </w:tabs>
        <w:ind w:left="1742" w:hanging="475"/>
        <w:rPr>
          <w:lang w:val="fr-FR"/>
        </w:rPr>
      </w:pPr>
      <w:r>
        <w:rPr>
          <w:lang w:val="fr-FR"/>
        </w:rPr>
        <w:tab/>
        <w:t>•</w:t>
      </w:r>
      <w:r>
        <w:rPr>
          <w:lang w:val="fr-FR"/>
        </w:rPr>
        <w:tab/>
      </w:r>
      <w:r w:rsidR="005D40D4" w:rsidRPr="00E8389F">
        <w:rPr>
          <w:lang w:val="fr-FR"/>
        </w:rPr>
        <w:t>Des programmes de coopération internationale relatifs à l</w:t>
      </w:r>
      <w:r w:rsidR="00F1794C" w:rsidRPr="00E8389F">
        <w:rPr>
          <w:lang w:val="fr-FR"/>
        </w:rPr>
        <w:t>’</w:t>
      </w:r>
      <w:r w:rsidR="005D40D4" w:rsidRPr="00E8389F">
        <w:rPr>
          <w:lang w:val="fr-FR"/>
        </w:rPr>
        <w:t>autonomisation économique des femmes visent à faciliter l</w:t>
      </w:r>
      <w:r w:rsidR="00F1794C" w:rsidRPr="00E8389F">
        <w:rPr>
          <w:lang w:val="fr-FR"/>
        </w:rPr>
        <w:t>’</w:t>
      </w:r>
      <w:r w:rsidR="005D40D4" w:rsidRPr="00E8389F">
        <w:rPr>
          <w:lang w:val="fr-FR"/>
        </w:rPr>
        <w:t>élaboration et le développement de projets menés par des femmes, à favoriser l</w:t>
      </w:r>
      <w:r w:rsidR="00F1794C" w:rsidRPr="00E8389F">
        <w:rPr>
          <w:lang w:val="fr-FR"/>
        </w:rPr>
        <w:t>’</w:t>
      </w:r>
      <w:r w:rsidR="005D40D4" w:rsidRPr="00E8389F">
        <w:rPr>
          <w:lang w:val="fr-FR"/>
        </w:rPr>
        <w:t>esprit d</w:t>
      </w:r>
      <w:r w:rsidR="00F1794C" w:rsidRPr="00E8389F">
        <w:rPr>
          <w:lang w:val="fr-FR"/>
        </w:rPr>
        <w:t>’</w:t>
      </w:r>
      <w:r w:rsidR="005D40D4" w:rsidRPr="00E8389F">
        <w:rPr>
          <w:lang w:val="fr-FR"/>
        </w:rPr>
        <w:t>initiative chez les femmes et à renforcer les capacités des associations professionnelles nationales de femmes en proposant une aide technique à ces associations</w:t>
      </w:r>
      <w:r w:rsidR="00F1794C" w:rsidRPr="00E8389F">
        <w:rPr>
          <w:lang w:val="fr-FR"/>
        </w:rPr>
        <w:t> ;</w:t>
      </w:r>
      <w:r w:rsidR="005D40D4" w:rsidRPr="00E8389F">
        <w:rPr>
          <w:lang w:val="fr-FR"/>
        </w:rPr>
        <w:t xml:space="preserve"> l</w:t>
      </w:r>
      <w:r w:rsidR="00F1794C" w:rsidRPr="00E8389F">
        <w:rPr>
          <w:lang w:val="fr-FR"/>
        </w:rPr>
        <w:t>’</w:t>
      </w:r>
      <w:r w:rsidR="005D40D4" w:rsidRPr="00E8389F">
        <w:rPr>
          <w:lang w:val="fr-FR"/>
        </w:rPr>
        <w:t>Organisation des Nations Unies pour le développement industriel supervise l</w:t>
      </w:r>
      <w:r w:rsidR="00F1794C" w:rsidRPr="00E8389F">
        <w:rPr>
          <w:lang w:val="fr-FR"/>
        </w:rPr>
        <w:t>’</w:t>
      </w:r>
      <w:r w:rsidR="005D40D4" w:rsidRPr="00E8389F">
        <w:rPr>
          <w:lang w:val="fr-FR"/>
        </w:rPr>
        <w:t>exécution du projet intitulé «</w:t>
      </w:r>
      <w:r>
        <w:rPr>
          <w:lang w:val="fr-FR"/>
        </w:rPr>
        <w:t> </w:t>
      </w:r>
      <w:r w:rsidR="005D40D4" w:rsidRPr="00E8389F">
        <w:rPr>
          <w:lang w:val="fr-FR"/>
        </w:rPr>
        <w:t>Promouvoir l</w:t>
      </w:r>
      <w:r w:rsidR="00F1794C" w:rsidRPr="00E8389F">
        <w:rPr>
          <w:lang w:val="fr-FR"/>
        </w:rPr>
        <w:t>’</w:t>
      </w:r>
      <w:r w:rsidR="005D40D4" w:rsidRPr="00E8389F">
        <w:rPr>
          <w:lang w:val="fr-FR"/>
        </w:rPr>
        <w:t>autonomisation des femmes pour un développement industriel inclusif et durable dans la région Moyen-Orient et Afrique du Nord ».</w:t>
      </w:r>
    </w:p>
    <w:p w14:paraId="33DFD13D" w14:textId="0359A944" w:rsidR="005D40D4" w:rsidRPr="005D40D4" w:rsidRDefault="005D40D4" w:rsidP="00456FC2">
      <w:pPr>
        <w:pStyle w:val="SingleTxt"/>
        <w:numPr>
          <w:ilvl w:val="0"/>
          <w:numId w:val="50"/>
        </w:numPr>
        <w:rPr>
          <w:lang w:val="fr-FR"/>
        </w:rPr>
      </w:pPr>
      <w:r w:rsidRPr="005D40D4">
        <w:rPr>
          <w:lang w:val="fr-FR"/>
        </w:rPr>
        <w:t>En partenariat avec ONU-Femmes, des activités visant à intégrer la dimension de genre dans l</w:t>
      </w:r>
      <w:r w:rsidR="00F1794C" w:rsidRPr="00F1794C">
        <w:rPr>
          <w:lang w:val="fr-FR"/>
        </w:rPr>
        <w:t>’</w:t>
      </w:r>
      <w:r w:rsidRPr="005D40D4">
        <w:rPr>
          <w:lang w:val="fr-FR"/>
        </w:rPr>
        <w:t>urbanisme ont été menées, en tenant compte du droit des femmes d</w:t>
      </w:r>
      <w:r w:rsidR="00F1794C" w:rsidRPr="00F1794C">
        <w:rPr>
          <w:lang w:val="fr-FR"/>
        </w:rPr>
        <w:t>’</w:t>
      </w:r>
      <w:r w:rsidRPr="005D40D4">
        <w:rPr>
          <w:lang w:val="fr-FR"/>
        </w:rPr>
        <w:t xml:space="preserve">avoir accès aux installations et services publics. Ce partenariat a facilité la </w:t>
      </w:r>
      <w:r w:rsidRPr="005D40D4">
        <w:rPr>
          <w:lang w:val="fr-FR"/>
        </w:rPr>
        <w:lastRenderedPageBreak/>
        <w:t>recherche de solutions offertes par des expériences internationales qui a précédé l</w:t>
      </w:r>
      <w:r w:rsidR="00F1794C" w:rsidRPr="00F1794C">
        <w:rPr>
          <w:lang w:val="fr-FR"/>
        </w:rPr>
        <w:t>’</w:t>
      </w:r>
      <w:r w:rsidRPr="005D40D4">
        <w:rPr>
          <w:lang w:val="fr-FR"/>
        </w:rPr>
        <w:t>élaboration d</w:t>
      </w:r>
      <w:r w:rsidR="00F1794C" w:rsidRPr="00F1794C">
        <w:rPr>
          <w:lang w:val="fr-FR"/>
        </w:rPr>
        <w:t>’</w:t>
      </w:r>
      <w:r w:rsidRPr="005D40D4">
        <w:rPr>
          <w:lang w:val="fr-FR"/>
        </w:rPr>
        <w:t>un manuel de référence pour la prise en compte de la dimension de genre dans les projets de politique de la ville.</w:t>
      </w:r>
    </w:p>
    <w:p w14:paraId="2C6AEB3A" w14:textId="729338F3" w:rsidR="005D40D4" w:rsidRPr="005D40D4" w:rsidRDefault="005D40D4" w:rsidP="00456FC2">
      <w:pPr>
        <w:pStyle w:val="SingleTxt"/>
        <w:numPr>
          <w:ilvl w:val="0"/>
          <w:numId w:val="50"/>
        </w:numPr>
        <w:rPr>
          <w:lang w:val="fr-FR"/>
        </w:rPr>
      </w:pPr>
      <w:r w:rsidRPr="005D40D4">
        <w:rPr>
          <w:lang w:val="fr-FR"/>
        </w:rPr>
        <w:t>En 2018, le secteur du travail a mis en œuvre un programme de formation (18</w:t>
      </w:r>
      <w:r w:rsidR="00E8389F">
        <w:rPr>
          <w:lang w:val="fr-FR"/>
        </w:rPr>
        <w:t> </w:t>
      </w:r>
      <w:r w:rsidRPr="005D40D4">
        <w:rPr>
          <w:lang w:val="fr-FR"/>
        </w:rPr>
        <w:t>sessions) sur les droits fondamentaux au travail et fait connaître la loi n</w:t>
      </w:r>
      <w:r w:rsidRPr="005D40D4">
        <w:rPr>
          <w:vertAlign w:val="superscript"/>
          <w:lang w:val="fr-FR"/>
        </w:rPr>
        <w:t>o</w:t>
      </w:r>
      <w:r w:rsidR="00E8389F">
        <w:rPr>
          <w:lang w:val="fr-FR"/>
        </w:rPr>
        <w:t> </w:t>
      </w:r>
      <w:r w:rsidRPr="005D40D4">
        <w:rPr>
          <w:lang w:val="fr-FR"/>
        </w:rPr>
        <w:t>19-12 fixant les conditions de travail et d</w:t>
      </w:r>
      <w:r w:rsidR="00F1794C" w:rsidRPr="00F1794C">
        <w:rPr>
          <w:lang w:val="fr-FR"/>
        </w:rPr>
        <w:t>’</w:t>
      </w:r>
      <w:r w:rsidRPr="005D40D4">
        <w:rPr>
          <w:lang w:val="fr-FR"/>
        </w:rPr>
        <w:t>emploi des travailleuses et travailleurs domestiques. Dans le cadre de la mobilisation des ressources humaines, il a proposé une nouvelle formation de mise à niveau des compétences à 30 cadres administratifs afin que ceux-ci obtiennent le grade d</w:t>
      </w:r>
      <w:r w:rsidR="00F1794C" w:rsidRPr="00F1794C">
        <w:rPr>
          <w:lang w:val="fr-FR"/>
        </w:rPr>
        <w:t>’</w:t>
      </w:r>
      <w:r w:rsidRPr="005D40D4">
        <w:rPr>
          <w:lang w:val="fr-FR"/>
        </w:rPr>
        <w:t xml:space="preserve">inspecteurs du travail. </w:t>
      </w:r>
    </w:p>
    <w:p w14:paraId="1CCED049" w14:textId="2A45DAA4" w:rsidR="005D40D4" w:rsidRPr="005D40D4" w:rsidRDefault="005D40D4" w:rsidP="00456FC2">
      <w:pPr>
        <w:pStyle w:val="SingleTxt"/>
        <w:numPr>
          <w:ilvl w:val="0"/>
          <w:numId w:val="50"/>
        </w:numPr>
        <w:rPr>
          <w:lang w:val="fr-FR"/>
        </w:rPr>
      </w:pPr>
      <w:r w:rsidRPr="005D40D4">
        <w:rPr>
          <w:lang w:val="fr-FR"/>
        </w:rPr>
        <w:t>Dans le cadre de la coopération internationale établie avec le Département du travail des États-Unis d</w:t>
      </w:r>
      <w:r w:rsidR="00F1794C" w:rsidRPr="00F1794C">
        <w:rPr>
          <w:lang w:val="fr-FR"/>
        </w:rPr>
        <w:t>’</w:t>
      </w:r>
      <w:r w:rsidRPr="005D40D4">
        <w:rPr>
          <w:lang w:val="fr-FR"/>
        </w:rPr>
        <w:t>Amérique et avec la participation de la Confédération générale des entreprises du Maroc, le Ministère compétent a assuré le suivi des activités menées au titre du projet Wad3éyati durant la période 2015-2017 dans la région de Casablanca. Ce projet visait à faire participer les femmes à la vie politique et économique et à renforcer leurs responsabilités sociales dans l</w:t>
      </w:r>
      <w:r w:rsidR="00F1794C" w:rsidRPr="00F1794C">
        <w:rPr>
          <w:lang w:val="fr-FR"/>
        </w:rPr>
        <w:t>’</w:t>
      </w:r>
      <w:r w:rsidRPr="005D40D4">
        <w:rPr>
          <w:lang w:val="fr-FR"/>
        </w:rPr>
        <w:t>entreprise. Les activités ci-après ont été réalisées à cet égard</w:t>
      </w:r>
      <w:r w:rsidR="00F1794C" w:rsidRPr="00F1794C">
        <w:rPr>
          <w:lang w:val="fr-FR"/>
        </w:rPr>
        <w:t> :</w:t>
      </w:r>
      <w:r w:rsidRPr="005D40D4">
        <w:rPr>
          <w:lang w:val="fr-FR"/>
        </w:rPr>
        <w:t xml:space="preserve"> </w:t>
      </w:r>
    </w:p>
    <w:p w14:paraId="45194D8C" w14:textId="2A53FB3C" w:rsidR="005D40D4" w:rsidRPr="00E8389F" w:rsidRDefault="00E8389F" w:rsidP="00E8389F">
      <w:pPr>
        <w:pStyle w:val="SingleTxt"/>
        <w:tabs>
          <w:tab w:val="right" w:pos="1685"/>
        </w:tabs>
        <w:ind w:left="1742" w:hanging="475"/>
        <w:rPr>
          <w:lang w:val="fr-FR"/>
        </w:rPr>
      </w:pPr>
      <w:r>
        <w:rPr>
          <w:lang w:val="fr-FR"/>
        </w:rPr>
        <w:tab/>
        <w:t>•</w:t>
      </w:r>
      <w:r>
        <w:rPr>
          <w:lang w:val="fr-FR"/>
        </w:rPr>
        <w:tab/>
      </w:r>
      <w:r w:rsidR="005D40D4" w:rsidRPr="00E8389F">
        <w:rPr>
          <w:lang w:val="fr-FR"/>
        </w:rPr>
        <w:t>400 femmes ont bénéficié d</w:t>
      </w:r>
      <w:r w:rsidR="00F1794C" w:rsidRPr="00E8389F">
        <w:rPr>
          <w:lang w:val="fr-FR"/>
        </w:rPr>
        <w:t>’</w:t>
      </w:r>
      <w:r w:rsidR="005D40D4" w:rsidRPr="00E8389F">
        <w:rPr>
          <w:lang w:val="fr-FR"/>
        </w:rPr>
        <w:t>un encadrement en vue d</w:t>
      </w:r>
      <w:r w:rsidR="00F1794C" w:rsidRPr="00E8389F">
        <w:rPr>
          <w:lang w:val="fr-FR"/>
        </w:rPr>
        <w:t>’</w:t>
      </w:r>
      <w:r w:rsidR="005D40D4" w:rsidRPr="00E8389F">
        <w:rPr>
          <w:lang w:val="fr-FR"/>
        </w:rPr>
        <w:t>accroître leurs chances d</w:t>
      </w:r>
      <w:r w:rsidR="00F1794C" w:rsidRPr="00E8389F">
        <w:rPr>
          <w:lang w:val="fr-FR"/>
        </w:rPr>
        <w:t>’</w:t>
      </w:r>
      <w:r w:rsidR="005D40D4" w:rsidRPr="00E8389F">
        <w:rPr>
          <w:lang w:val="fr-FR"/>
        </w:rPr>
        <w:t>obtenir un emploi</w:t>
      </w:r>
      <w:r w:rsidR="00F1794C" w:rsidRPr="00E8389F">
        <w:rPr>
          <w:lang w:val="fr-FR"/>
        </w:rPr>
        <w:t> ;</w:t>
      </w:r>
      <w:r w:rsidR="005D40D4" w:rsidRPr="00E8389F">
        <w:rPr>
          <w:lang w:val="fr-FR"/>
        </w:rPr>
        <w:t xml:space="preserve"> </w:t>
      </w:r>
    </w:p>
    <w:p w14:paraId="76C0C335" w14:textId="72D9F613" w:rsidR="005D40D4" w:rsidRPr="00E8389F" w:rsidRDefault="00E8389F" w:rsidP="00E8389F">
      <w:pPr>
        <w:pStyle w:val="SingleTxt"/>
        <w:tabs>
          <w:tab w:val="right" w:pos="1685"/>
        </w:tabs>
        <w:ind w:left="1742" w:hanging="475"/>
        <w:rPr>
          <w:lang w:val="fr-FR"/>
        </w:rPr>
      </w:pPr>
      <w:r>
        <w:rPr>
          <w:lang w:val="fr-FR"/>
        </w:rPr>
        <w:tab/>
        <w:t>•</w:t>
      </w:r>
      <w:r>
        <w:rPr>
          <w:lang w:val="fr-FR"/>
        </w:rPr>
        <w:tab/>
      </w:r>
      <w:r w:rsidR="005D40D4" w:rsidRPr="00E8389F">
        <w:rPr>
          <w:lang w:val="fr-FR"/>
        </w:rPr>
        <w:t>Mise en œuvre d</w:t>
      </w:r>
      <w:r w:rsidR="00F1794C" w:rsidRPr="00E8389F">
        <w:rPr>
          <w:lang w:val="fr-FR"/>
        </w:rPr>
        <w:t>’</w:t>
      </w:r>
      <w:r w:rsidR="005D40D4" w:rsidRPr="00E8389F">
        <w:rPr>
          <w:lang w:val="fr-FR"/>
        </w:rPr>
        <w:t>un programme d</w:t>
      </w:r>
      <w:r w:rsidR="00F1794C" w:rsidRPr="00E8389F">
        <w:rPr>
          <w:lang w:val="fr-FR"/>
        </w:rPr>
        <w:t>’</w:t>
      </w:r>
      <w:r w:rsidR="005D40D4" w:rsidRPr="00E8389F">
        <w:rPr>
          <w:lang w:val="fr-FR"/>
        </w:rPr>
        <w:t>audit de genre au travail dans 10 entreprises, sur 15 entreprises avec lesquelles un contrat a été conclu, dont les entreprises implantées dans la région de Rabat-Salé-Kénitra</w:t>
      </w:r>
      <w:r w:rsidR="00F1794C" w:rsidRPr="00E8389F">
        <w:rPr>
          <w:lang w:val="fr-FR"/>
        </w:rPr>
        <w:t> ;</w:t>
      </w:r>
    </w:p>
    <w:p w14:paraId="5C0DAFCE" w14:textId="2EC22978" w:rsidR="005D40D4" w:rsidRPr="00E8389F" w:rsidRDefault="00E8389F" w:rsidP="00E8389F">
      <w:pPr>
        <w:pStyle w:val="SingleTxt"/>
        <w:tabs>
          <w:tab w:val="right" w:pos="1685"/>
        </w:tabs>
        <w:ind w:left="1742" w:hanging="475"/>
        <w:rPr>
          <w:lang w:val="fr-FR"/>
        </w:rPr>
      </w:pPr>
      <w:r>
        <w:rPr>
          <w:lang w:val="fr-FR"/>
        </w:rPr>
        <w:tab/>
        <w:t>•</w:t>
      </w:r>
      <w:r>
        <w:rPr>
          <w:lang w:val="fr-FR"/>
        </w:rPr>
        <w:tab/>
      </w:r>
      <w:r w:rsidR="005D40D4" w:rsidRPr="00E8389F">
        <w:rPr>
          <w:lang w:val="fr-FR"/>
        </w:rPr>
        <w:t>Préparation d</w:t>
      </w:r>
      <w:r w:rsidR="00F1794C" w:rsidRPr="00E8389F">
        <w:rPr>
          <w:lang w:val="fr-FR"/>
        </w:rPr>
        <w:t>’</w:t>
      </w:r>
      <w:r w:rsidR="005D40D4" w:rsidRPr="00E8389F">
        <w:rPr>
          <w:lang w:val="fr-FR"/>
        </w:rPr>
        <w:t>un guide sur l</w:t>
      </w:r>
      <w:r w:rsidR="00F1794C" w:rsidRPr="00E8389F">
        <w:rPr>
          <w:lang w:val="fr-FR"/>
        </w:rPr>
        <w:t>’</w:t>
      </w:r>
      <w:r w:rsidR="005D40D4" w:rsidRPr="00E8389F">
        <w:rPr>
          <w:lang w:val="fr-FR"/>
        </w:rPr>
        <w:t>audit de genre dans l</w:t>
      </w:r>
      <w:r w:rsidR="00F1794C" w:rsidRPr="00E8389F">
        <w:rPr>
          <w:lang w:val="fr-FR"/>
        </w:rPr>
        <w:t>’</w:t>
      </w:r>
      <w:r w:rsidR="005D40D4" w:rsidRPr="00E8389F">
        <w:rPr>
          <w:lang w:val="fr-FR"/>
        </w:rPr>
        <w:t>entreprise accessible à l</w:t>
      </w:r>
      <w:r w:rsidR="00F1794C" w:rsidRPr="00E8389F">
        <w:rPr>
          <w:lang w:val="fr-FR"/>
        </w:rPr>
        <w:t>’</w:t>
      </w:r>
      <w:r w:rsidR="005D40D4" w:rsidRPr="00E8389F">
        <w:rPr>
          <w:lang w:val="fr-FR"/>
        </w:rPr>
        <w:t xml:space="preserve">ensemble des entreprises sur le site Web consacré au projet. </w:t>
      </w:r>
    </w:p>
    <w:p w14:paraId="141E4CE0" w14:textId="2D1957D8" w:rsidR="005D40D4" w:rsidRPr="005D40D4" w:rsidRDefault="005D40D4" w:rsidP="00456FC2">
      <w:pPr>
        <w:pStyle w:val="SingleTxt"/>
        <w:numPr>
          <w:ilvl w:val="0"/>
          <w:numId w:val="50"/>
        </w:numPr>
        <w:rPr>
          <w:lang w:val="fr-FR"/>
        </w:rPr>
      </w:pPr>
      <w:r w:rsidRPr="005D40D4">
        <w:rPr>
          <w:lang w:val="fr-FR"/>
        </w:rPr>
        <w:t>Le programme « Entre Elles » a été mis en route dans les régions dans le cadre d</w:t>
      </w:r>
      <w:r w:rsidR="00F1794C" w:rsidRPr="00F1794C">
        <w:rPr>
          <w:lang w:val="fr-FR"/>
        </w:rPr>
        <w:t>’</w:t>
      </w:r>
      <w:r w:rsidRPr="005D40D4">
        <w:rPr>
          <w:lang w:val="fr-FR"/>
        </w:rPr>
        <w:t>un accord conclu entre l</w:t>
      </w:r>
      <w:r w:rsidR="00F1794C" w:rsidRPr="00F1794C">
        <w:rPr>
          <w:lang w:val="fr-FR"/>
        </w:rPr>
        <w:t>’</w:t>
      </w:r>
      <w:r w:rsidRPr="005D40D4">
        <w:rPr>
          <w:lang w:val="fr-FR"/>
        </w:rPr>
        <w:t>Agence nationale pour la promotion de la petite et moyenne entreprise, les centres régionaux d</w:t>
      </w:r>
      <w:r w:rsidR="00F1794C" w:rsidRPr="00F1794C">
        <w:rPr>
          <w:lang w:val="fr-FR"/>
        </w:rPr>
        <w:t>’</w:t>
      </w:r>
      <w:r w:rsidRPr="005D40D4">
        <w:rPr>
          <w:lang w:val="fr-FR"/>
        </w:rPr>
        <w:t>investissement et l</w:t>
      </w:r>
      <w:r w:rsidR="00F1794C" w:rsidRPr="00F1794C">
        <w:rPr>
          <w:lang w:val="fr-FR"/>
        </w:rPr>
        <w:t>’</w:t>
      </w:r>
      <w:r w:rsidRPr="005D40D4">
        <w:rPr>
          <w:lang w:val="fr-FR"/>
        </w:rPr>
        <w:t>Agence allemande de coopération internationale. Il vise à aider et à accompagner les femmes chefs de petites entreprises et de microentreprises durant la phase suivant la création de l</w:t>
      </w:r>
      <w:r w:rsidR="00F1794C" w:rsidRPr="00F1794C">
        <w:rPr>
          <w:lang w:val="fr-FR"/>
        </w:rPr>
        <w:t>’</w:t>
      </w:r>
      <w:r w:rsidRPr="005D40D4">
        <w:rPr>
          <w:lang w:val="fr-FR"/>
        </w:rPr>
        <w:t>entreprise. Fin 2013, 120 entreprises en avaient bénéficié, dont 80 durant la première phase du programme et 40 durant la deuxième phase. La troisième phase a ciblé 70</w:t>
      </w:r>
      <w:r w:rsidR="00E8389F">
        <w:rPr>
          <w:lang w:val="fr-FR"/>
        </w:rPr>
        <w:t> </w:t>
      </w:r>
      <w:r w:rsidRPr="005D40D4">
        <w:rPr>
          <w:lang w:val="fr-FR"/>
        </w:rPr>
        <w:t xml:space="preserve">entreprises dirigées par des femmes. </w:t>
      </w:r>
    </w:p>
    <w:p w14:paraId="6977FB73" w14:textId="1C83F089" w:rsidR="005D40D4" w:rsidRPr="005D40D4" w:rsidRDefault="005D40D4" w:rsidP="00456FC2">
      <w:pPr>
        <w:pStyle w:val="SingleTxt"/>
        <w:numPr>
          <w:ilvl w:val="0"/>
          <w:numId w:val="50"/>
        </w:numPr>
        <w:rPr>
          <w:lang w:val="fr-FR"/>
        </w:rPr>
      </w:pPr>
      <w:r w:rsidRPr="005D40D4">
        <w:rPr>
          <w:lang w:val="fr-FR"/>
        </w:rPr>
        <w:t>Dans le cadre du programme d</w:t>
      </w:r>
      <w:r w:rsidR="00F1794C" w:rsidRPr="00F1794C">
        <w:rPr>
          <w:lang w:val="fr-FR"/>
        </w:rPr>
        <w:t>’</w:t>
      </w:r>
      <w:r w:rsidRPr="005D40D4">
        <w:rPr>
          <w:lang w:val="fr-FR"/>
        </w:rPr>
        <w:t>appui à l</w:t>
      </w:r>
      <w:r w:rsidR="00F1794C" w:rsidRPr="00F1794C">
        <w:rPr>
          <w:lang w:val="fr-FR"/>
        </w:rPr>
        <w:t>’</w:t>
      </w:r>
      <w:r w:rsidRPr="005D40D4">
        <w:rPr>
          <w:lang w:val="fr-FR"/>
        </w:rPr>
        <w:t>entrepreneuriat, qui vise à favoriser la création de microentreprises, 2 785 porteurs de projets, dont 30</w:t>
      </w:r>
      <w:r w:rsidR="00F1794C" w:rsidRPr="00F1794C">
        <w:rPr>
          <w:lang w:val="fr-FR"/>
        </w:rPr>
        <w:t> %</w:t>
      </w:r>
      <w:r w:rsidRPr="005D40D4">
        <w:rPr>
          <w:lang w:val="fr-FR"/>
        </w:rPr>
        <w:t xml:space="preserve"> de femmes, ont bénéficié d</w:t>
      </w:r>
      <w:r w:rsidR="00F1794C" w:rsidRPr="00F1794C">
        <w:rPr>
          <w:lang w:val="fr-FR"/>
        </w:rPr>
        <w:t>’</w:t>
      </w:r>
      <w:r w:rsidRPr="005D40D4">
        <w:rPr>
          <w:lang w:val="fr-FR"/>
        </w:rPr>
        <w:t>un accompagnement en 2018, contre 27</w:t>
      </w:r>
      <w:r w:rsidR="00F1794C" w:rsidRPr="00F1794C">
        <w:rPr>
          <w:lang w:val="fr-FR"/>
        </w:rPr>
        <w:t> %</w:t>
      </w:r>
      <w:r w:rsidRPr="005D40D4">
        <w:rPr>
          <w:lang w:val="fr-FR"/>
        </w:rPr>
        <w:t xml:space="preserve"> en 2017. En outre, 1 351 microentreprises ou activités génératrices de revenus en ont bénéficié, ce qui a conduit à la création de 4 526 emplois. </w:t>
      </w:r>
    </w:p>
    <w:p w14:paraId="3AF64EF5" w14:textId="412CACE7" w:rsidR="005D40D4" w:rsidRPr="005D40D4" w:rsidRDefault="005D40D4" w:rsidP="00456FC2">
      <w:pPr>
        <w:pStyle w:val="SingleTxt"/>
        <w:numPr>
          <w:ilvl w:val="0"/>
          <w:numId w:val="50"/>
        </w:numPr>
        <w:rPr>
          <w:lang w:val="fr-FR"/>
        </w:rPr>
      </w:pPr>
      <w:r w:rsidRPr="005D40D4">
        <w:rPr>
          <w:lang w:val="fr-FR"/>
        </w:rPr>
        <w:t>Dans le cadre de la coopération établie entre le Maroc et la Belgique, le secteur du travail met en œuvre, en avril 2017, en partenariat avec l</w:t>
      </w:r>
      <w:r w:rsidR="00F1794C" w:rsidRPr="00F1794C">
        <w:rPr>
          <w:lang w:val="fr-FR"/>
        </w:rPr>
        <w:t>’</w:t>
      </w:r>
      <w:r w:rsidRPr="005D40D4">
        <w:rPr>
          <w:lang w:val="fr-FR"/>
        </w:rPr>
        <w:t>Association pour la promotion de l</w:t>
      </w:r>
      <w:r w:rsidR="00F1794C" w:rsidRPr="00F1794C">
        <w:rPr>
          <w:lang w:val="fr-FR"/>
        </w:rPr>
        <w:t>’</w:t>
      </w:r>
      <w:r w:rsidRPr="005D40D4">
        <w:rPr>
          <w:lang w:val="fr-FR"/>
        </w:rPr>
        <w:t>éducation et de la formation à l</w:t>
      </w:r>
      <w:r w:rsidR="00F1794C" w:rsidRPr="00F1794C">
        <w:rPr>
          <w:lang w:val="fr-FR"/>
        </w:rPr>
        <w:t>’</w:t>
      </w:r>
      <w:r w:rsidRPr="005D40D4">
        <w:rPr>
          <w:lang w:val="fr-FR"/>
        </w:rPr>
        <w:t>étranger</w:t>
      </w:r>
      <w:r w:rsidR="00F1794C" w:rsidRPr="00F1794C">
        <w:rPr>
          <w:lang w:val="fr-FR"/>
        </w:rPr>
        <w:t xml:space="preserve"> </w:t>
      </w:r>
      <w:r w:rsidRPr="005D40D4">
        <w:rPr>
          <w:lang w:val="fr-FR"/>
        </w:rPr>
        <w:t>la deuxième phase du projet Min Ajliki pour une période de cinq ans (2017-2021). Ce projet est destiné aux femmes et vise à garantir l</w:t>
      </w:r>
      <w:r w:rsidR="00F1794C" w:rsidRPr="00F1794C">
        <w:rPr>
          <w:lang w:val="fr-FR"/>
        </w:rPr>
        <w:t>’</w:t>
      </w:r>
      <w:r w:rsidRPr="005D40D4">
        <w:rPr>
          <w:lang w:val="fr-FR"/>
        </w:rPr>
        <w:t>autonomisation économique des femmes au Maroc par une augmentation du nombre d</w:t>
      </w:r>
      <w:r w:rsidR="00F1794C" w:rsidRPr="00F1794C">
        <w:rPr>
          <w:lang w:val="fr-FR"/>
        </w:rPr>
        <w:t>’</w:t>
      </w:r>
      <w:r w:rsidRPr="005D40D4">
        <w:rPr>
          <w:lang w:val="fr-FR"/>
        </w:rPr>
        <w:t>entrepreneures et l</w:t>
      </w:r>
      <w:r w:rsidR="00F1794C" w:rsidRPr="00F1794C">
        <w:rPr>
          <w:lang w:val="fr-FR"/>
        </w:rPr>
        <w:t>’</w:t>
      </w:r>
      <w:r w:rsidRPr="005D40D4">
        <w:rPr>
          <w:lang w:val="fr-FR"/>
        </w:rPr>
        <w:t>amélioration la qualité de l</w:t>
      </w:r>
      <w:r w:rsidR="00F1794C" w:rsidRPr="00F1794C">
        <w:rPr>
          <w:lang w:val="fr-FR"/>
        </w:rPr>
        <w:t>’</w:t>
      </w:r>
      <w:r w:rsidRPr="005D40D4">
        <w:rPr>
          <w:lang w:val="fr-FR"/>
        </w:rPr>
        <w:t>entrepreneuriat et de l</w:t>
      </w:r>
      <w:r w:rsidR="00F1794C" w:rsidRPr="00F1794C">
        <w:rPr>
          <w:lang w:val="fr-FR"/>
        </w:rPr>
        <w:t>’</w:t>
      </w:r>
      <w:r w:rsidRPr="005D40D4">
        <w:rPr>
          <w:lang w:val="fr-FR"/>
        </w:rPr>
        <w:t>employabilité des femmes. Il cible</w:t>
      </w:r>
      <w:r w:rsidR="00F1794C" w:rsidRPr="00F1794C">
        <w:rPr>
          <w:lang w:val="fr-FR"/>
        </w:rPr>
        <w:t> :</w:t>
      </w:r>
    </w:p>
    <w:p w14:paraId="163FE13A" w14:textId="3FF274B8" w:rsidR="005D40D4" w:rsidRPr="00E8389F" w:rsidRDefault="00E8389F" w:rsidP="00E8389F">
      <w:pPr>
        <w:pStyle w:val="SingleTxt"/>
        <w:tabs>
          <w:tab w:val="right" w:pos="1685"/>
        </w:tabs>
        <w:ind w:left="1742" w:hanging="475"/>
        <w:rPr>
          <w:lang w:val="fr-FR"/>
        </w:rPr>
      </w:pPr>
      <w:r>
        <w:rPr>
          <w:lang w:val="fr-FR"/>
        </w:rPr>
        <w:tab/>
        <w:t>•</w:t>
      </w:r>
      <w:r>
        <w:rPr>
          <w:lang w:val="fr-FR"/>
        </w:rPr>
        <w:tab/>
      </w:r>
      <w:r w:rsidR="005D40D4" w:rsidRPr="00E8389F">
        <w:rPr>
          <w:lang w:val="fr-FR"/>
        </w:rPr>
        <w:t>Les porteuses de projets souhaitant avoir accès au monde de l</w:t>
      </w:r>
      <w:r w:rsidR="00F1794C" w:rsidRPr="00E8389F">
        <w:rPr>
          <w:lang w:val="fr-FR"/>
        </w:rPr>
        <w:t>’</w:t>
      </w:r>
      <w:r w:rsidR="005D40D4" w:rsidRPr="00E8389F">
        <w:rPr>
          <w:lang w:val="fr-FR"/>
        </w:rPr>
        <w:t>entreprise</w:t>
      </w:r>
      <w:r w:rsidR="00F1794C" w:rsidRPr="00E8389F">
        <w:rPr>
          <w:lang w:val="fr-FR"/>
        </w:rPr>
        <w:t> ;</w:t>
      </w:r>
    </w:p>
    <w:p w14:paraId="2BB027D7" w14:textId="537493FB" w:rsidR="005D40D4" w:rsidRPr="00E8389F" w:rsidRDefault="00E8389F" w:rsidP="00E8389F">
      <w:pPr>
        <w:pStyle w:val="SingleTxt"/>
        <w:tabs>
          <w:tab w:val="right" w:pos="1685"/>
        </w:tabs>
        <w:ind w:left="1742" w:hanging="475"/>
        <w:rPr>
          <w:lang w:val="fr-FR"/>
        </w:rPr>
      </w:pPr>
      <w:r>
        <w:rPr>
          <w:lang w:val="fr-FR"/>
        </w:rPr>
        <w:tab/>
        <w:t>•</w:t>
      </w:r>
      <w:r>
        <w:rPr>
          <w:lang w:val="fr-FR"/>
        </w:rPr>
        <w:tab/>
      </w:r>
      <w:r w:rsidR="005D40D4" w:rsidRPr="00E8389F">
        <w:rPr>
          <w:lang w:val="fr-FR"/>
        </w:rPr>
        <w:t>Les femmes qui mènent des activités dans le secteur informel</w:t>
      </w:r>
      <w:r w:rsidR="00F1794C" w:rsidRPr="00E8389F">
        <w:rPr>
          <w:lang w:val="fr-FR"/>
        </w:rPr>
        <w:t> ;</w:t>
      </w:r>
    </w:p>
    <w:p w14:paraId="1FF53EAC" w14:textId="3A5DD58E" w:rsidR="005D40D4" w:rsidRPr="00E8389F" w:rsidRDefault="00E8389F" w:rsidP="00E8389F">
      <w:pPr>
        <w:pStyle w:val="SingleTxt"/>
        <w:tabs>
          <w:tab w:val="right" w:pos="1685"/>
        </w:tabs>
        <w:ind w:left="1742" w:hanging="475"/>
        <w:rPr>
          <w:lang w:val="fr-FR"/>
        </w:rPr>
      </w:pPr>
      <w:r>
        <w:rPr>
          <w:lang w:val="fr-FR"/>
        </w:rPr>
        <w:tab/>
        <w:t>•</w:t>
      </w:r>
      <w:r>
        <w:rPr>
          <w:lang w:val="fr-FR"/>
        </w:rPr>
        <w:tab/>
      </w:r>
      <w:r w:rsidR="005D40D4" w:rsidRPr="00E8389F">
        <w:rPr>
          <w:lang w:val="fr-FR"/>
        </w:rPr>
        <w:t>Les chefs d</w:t>
      </w:r>
      <w:r w:rsidR="00F1794C" w:rsidRPr="00E8389F">
        <w:rPr>
          <w:lang w:val="fr-FR"/>
        </w:rPr>
        <w:t>’</w:t>
      </w:r>
      <w:r w:rsidR="005D40D4" w:rsidRPr="00E8389F">
        <w:rPr>
          <w:lang w:val="fr-FR"/>
        </w:rPr>
        <w:t>entreprise souhaitant développer leur entreprise</w:t>
      </w:r>
      <w:r w:rsidR="00F1794C" w:rsidRPr="00E8389F">
        <w:rPr>
          <w:lang w:val="fr-FR"/>
        </w:rPr>
        <w:t> ;</w:t>
      </w:r>
    </w:p>
    <w:p w14:paraId="1E71FE9D" w14:textId="3CD68C77" w:rsidR="005D40D4" w:rsidRPr="00E8389F" w:rsidRDefault="00E8389F" w:rsidP="00E8389F">
      <w:pPr>
        <w:pStyle w:val="SingleTxt"/>
        <w:tabs>
          <w:tab w:val="right" w:pos="1685"/>
        </w:tabs>
        <w:ind w:left="1742" w:hanging="475"/>
        <w:rPr>
          <w:lang w:val="fr-FR"/>
        </w:rPr>
      </w:pPr>
      <w:r>
        <w:rPr>
          <w:lang w:val="fr-FR"/>
        </w:rPr>
        <w:tab/>
        <w:t>•</w:t>
      </w:r>
      <w:r>
        <w:rPr>
          <w:lang w:val="fr-FR"/>
        </w:rPr>
        <w:tab/>
      </w:r>
      <w:r w:rsidR="005D40D4" w:rsidRPr="00E8389F">
        <w:rPr>
          <w:lang w:val="fr-FR"/>
        </w:rPr>
        <w:t>Les femmes qui mènent des activités à caractère social ou des actions de solidarité (coopératives).</w:t>
      </w:r>
    </w:p>
    <w:p w14:paraId="1641945F" w14:textId="0DD78FF1" w:rsidR="005D40D4" w:rsidRPr="005D40D4" w:rsidRDefault="00E8389F" w:rsidP="005D40D4">
      <w:pPr>
        <w:pStyle w:val="SingleTxt"/>
        <w:rPr>
          <w:lang w:val="fr-FR"/>
        </w:rPr>
      </w:pPr>
      <w:r>
        <w:rPr>
          <w:lang w:val="fr-FR"/>
        </w:rPr>
        <w:lastRenderedPageBreak/>
        <w:tab/>
      </w:r>
      <w:r w:rsidR="005D40D4" w:rsidRPr="005D40D4">
        <w:rPr>
          <w:lang w:val="fr-FR"/>
        </w:rPr>
        <w:t>Depuis le lancement de la deuxième phase du projet, les résultats ci-après ont été obtenus</w:t>
      </w:r>
      <w:r w:rsidR="00F1794C" w:rsidRPr="00F1794C">
        <w:rPr>
          <w:lang w:val="fr-FR"/>
        </w:rPr>
        <w:t> :</w:t>
      </w:r>
    </w:p>
    <w:p w14:paraId="6CE5B0FD" w14:textId="3DD10015" w:rsidR="005D40D4" w:rsidRPr="00E8389F" w:rsidRDefault="00E8389F" w:rsidP="00E8389F">
      <w:pPr>
        <w:pStyle w:val="SingleTxt"/>
        <w:tabs>
          <w:tab w:val="right" w:pos="1685"/>
        </w:tabs>
        <w:ind w:left="1742" w:hanging="475"/>
        <w:rPr>
          <w:lang w:val="fr-FR"/>
        </w:rPr>
      </w:pPr>
      <w:r>
        <w:rPr>
          <w:lang w:val="fr-FR"/>
        </w:rPr>
        <w:tab/>
        <w:t>•</w:t>
      </w:r>
      <w:r>
        <w:rPr>
          <w:lang w:val="fr-FR"/>
        </w:rPr>
        <w:tab/>
      </w:r>
      <w:r w:rsidR="005D40D4" w:rsidRPr="00E8389F">
        <w:rPr>
          <w:lang w:val="fr-FR"/>
        </w:rPr>
        <w:t>13 500 personnes ont été informées de l</w:t>
      </w:r>
      <w:r w:rsidR="00F1794C" w:rsidRPr="00E8389F">
        <w:rPr>
          <w:lang w:val="fr-FR"/>
        </w:rPr>
        <w:t>’</w:t>
      </w:r>
      <w:r w:rsidR="005D40D4" w:rsidRPr="00E8389F">
        <w:rPr>
          <w:lang w:val="fr-FR"/>
        </w:rPr>
        <w:t>existence du programme et 1 650 femmes ont participé à des ateliers de sensibilisation concernant la création d</w:t>
      </w:r>
      <w:r w:rsidR="00F1794C" w:rsidRPr="00E8389F">
        <w:rPr>
          <w:lang w:val="fr-FR"/>
        </w:rPr>
        <w:t>’</w:t>
      </w:r>
      <w:r w:rsidR="005D40D4" w:rsidRPr="00E8389F">
        <w:rPr>
          <w:lang w:val="fr-FR"/>
        </w:rPr>
        <w:t>entreprises</w:t>
      </w:r>
      <w:r w:rsidR="00F1794C" w:rsidRPr="00E8389F">
        <w:rPr>
          <w:lang w:val="fr-FR"/>
        </w:rPr>
        <w:t> ;</w:t>
      </w:r>
    </w:p>
    <w:p w14:paraId="42C3C7C1" w14:textId="15FD02C5" w:rsidR="005D40D4" w:rsidRPr="00E8389F" w:rsidRDefault="00E8389F" w:rsidP="00E8389F">
      <w:pPr>
        <w:pStyle w:val="SingleTxt"/>
        <w:tabs>
          <w:tab w:val="right" w:pos="1685"/>
        </w:tabs>
        <w:ind w:left="1742" w:hanging="475"/>
        <w:rPr>
          <w:lang w:val="fr-FR"/>
        </w:rPr>
      </w:pPr>
      <w:r>
        <w:rPr>
          <w:lang w:val="fr-FR"/>
        </w:rPr>
        <w:tab/>
        <w:t>•</w:t>
      </w:r>
      <w:r>
        <w:rPr>
          <w:lang w:val="fr-FR"/>
        </w:rPr>
        <w:tab/>
      </w:r>
      <w:r w:rsidR="005D40D4" w:rsidRPr="00E8389F">
        <w:rPr>
          <w:lang w:val="fr-FR"/>
        </w:rPr>
        <w:t>1 670 femmes ont bénéficié d</w:t>
      </w:r>
      <w:r w:rsidR="00F1794C" w:rsidRPr="00E8389F">
        <w:rPr>
          <w:lang w:val="fr-FR"/>
        </w:rPr>
        <w:t>’</w:t>
      </w:r>
      <w:r w:rsidR="005D40D4" w:rsidRPr="00E8389F">
        <w:rPr>
          <w:lang w:val="fr-FR"/>
        </w:rPr>
        <w:t>un accompagnement préalable à la création d</w:t>
      </w:r>
      <w:r w:rsidR="00F1794C" w:rsidRPr="00E8389F">
        <w:rPr>
          <w:lang w:val="fr-FR"/>
        </w:rPr>
        <w:t>’</w:t>
      </w:r>
      <w:r w:rsidR="005D40D4" w:rsidRPr="00E8389F">
        <w:rPr>
          <w:lang w:val="fr-FR"/>
        </w:rPr>
        <w:t>entreprise et 557 d</w:t>
      </w:r>
      <w:r w:rsidR="00F1794C" w:rsidRPr="00E8389F">
        <w:rPr>
          <w:lang w:val="fr-FR"/>
        </w:rPr>
        <w:t>’</w:t>
      </w:r>
      <w:r w:rsidR="005D40D4" w:rsidRPr="00E8389F">
        <w:rPr>
          <w:lang w:val="fr-FR"/>
        </w:rPr>
        <w:t>un accompagnement après la création de l</w:t>
      </w:r>
      <w:r w:rsidR="00F1794C" w:rsidRPr="00E8389F">
        <w:rPr>
          <w:lang w:val="fr-FR"/>
        </w:rPr>
        <w:t>’</w:t>
      </w:r>
      <w:r w:rsidR="005D40D4" w:rsidRPr="00E8389F">
        <w:rPr>
          <w:lang w:val="fr-FR"/>
        </w:rPr>
        <w:t>entreprise</w:t>
      </w:r>
      <w:r w:rsidR="00F1794C" w:rsidRPr="00E8389F">
        <w:rPr>
          <w:lang w:val="fr-FR"/>
        </w:rPr>
        <w:t> ;</w:t>
      </w:r>
      <w:r w:rsidR="005D40D4" w:rsidRPr="00E8389F">
        <w:rPr>
          <w:lang w:val="fr-FR"/>
        </w:rPr>
        <w:t xml:space="preserve"> la création de 59 entreprises a été facilitée</w:t>
      </w:r>
      <w:r w:rsidR="00F1794C" w:rsidRPr="00E8389F">
        <w:rPr>
          <w:lang w:val="fr-FR"/>
        </w:rPr>
        <w:t> ;</w:t>
      </w:r>
    </w:p>
    <w:p w14:paraId="6BD31C0A" w14:textId="265FEA94" w:rsidR="005D40D4" w:rsidRPr="00E8389F" w:rsidRDefault="00E8389F" w:rsidP="00E8389F">
      <w:pPr>
        <w:pStyle w:val="SingleTxt"/>
        <w:tabs>
          <w:tab w:val="right" w:pos="1685"/>
        </w:tabs>
        <w:ind w:left="1742" w:hanging="475"/>
        <w:rPr>
          <w:lang w:val="fr-FR"/>
        </w:rPr>
      </w:pPr>
      <w:r>
        <w:rPr>
          <w:lang w:val="fr-FR"/>
        </w:rPr>
        <w:tab/>
        <w:t>•</w:t>
      </w:r>
      <w:r>
        <w:rPr>
          <w:lang w:val="fr-FR"/>
        </w:rPr>
        <w:tab/>
      </w:r>
      <w:r w:rsidR="005D40D4" w:rsidRPr="00E8389F">
        <w:rPr>
          <w:lang w:val="fr-FR"/>
        </w:rPr>
        <w:t>567 entreprises de femmes ont bénéficié d</w:t>
      </w:r>
      <w:r w:rsidR="00F1794C" w:rsidRPr="00E8389F">
        <w:rPr>
          <w:lang w:val="fr-FR"/>
        </w:rPr>
        <w:t>’</w:t>
      </w:r>
      <w:r w:rsidR="005D40D4" w:rsidRPr="00E8389F">
        <w:rPr>
          <w:lang w:val="fr-FR"/>
        </w:rPr>
        <w:t>un accompagnement en matière de commercialisation</w:t>
      </w:r>
      <w:r w:rsidR="00F1794C" w:rsidRPr="00E8389F">
        <w:rPr>
          <w:lang w:val="fr-FR"/>
        </w:rPr>
        <w:t> ;</w:t>
      </w:r>
    </w:p>
    <w:p w14:paraId="1CE79F2D" w14:textId="48B6ED48" w:rsidR="005D40D4" w:rsidRPr="00E8389F" w:rsidRDefault="00E8389F" w:rsidP="00E8389F">
      <w:pPr>
        <w:pStyle w:val="SingleTxt"/>
        <w:tabs>
          <w:tab w:val="right" w:pos="1685"/>
        </w:tabs>
        <w:ind w:left="1742" w:hanging="475"/>
        <w:rPr>
          <w:lang w:val="fr-FR"/>
        </w:rPr>
      </w:pPr>
      <w:r>
        <w:rPr>
          <w:lang w:val="fr-FR"/>
        </w:rPr>
        <w:tab/>
        <w:t>•</w:t>
      </w:r>
      <w:r>
        <w:rPr>
          <w:lang w:val="fr-FR"/>
        </w:rPr>
        <w:tab/>
      </w:r>
      <w:r w:rsidR="005D40D4" w:rsidRPr="00E8389F">
        <w:rPr>
          <w:lang w:val="fr-FR"/>
        </w:rPr>
        <w:t>231 entreprises ont été créées par des partenaires du programme</w:t>
      </w:r>
      <w:r w:rsidR="00F1794C" w:rsidRPr="00E8389F">
        <w:rPr>
          <w:lang w:val="fr-FR"/>
        </w:rPr>
        <w:t> ;</w:t>
      </w:r>
    </w:p>
    <w:p w14:paraId="7CD2386B" w14:textId="47E8C574" w:rsidR="005D40D4" w:rsidRPr="00E8389F" w:rsidRDefault="00E8389F" w:rsidP="00E8389F">
      <w:pPr>
        <w:pStyle w:val="SingleTxt"/>
        <w:tabs>
          <w:tab w:val="right" w:pos="1685"/>
        </w:tabs>
        <w:ind w:left="1742" w:hanging="475"/>
        <w:rPr>
          <w:lang w:val="fr-FR"/>
        </w:rPr>
      </w:pPr>
      <w:r>
        <w:rPr>
          <w:lang w:val="fr-FR"/>
        </w:rPr>
        <w:tab/>
        <w:t>•</w:t>
      </w:r>
      <w:r>
        <w:rPr>
          <w:lang w:val="fr-FR"/>
        </w:rPr>
        <w:tab/>
      </w:r>
      <w:r w:rsidR="005D40D4" w:rsidRPr="00E8389F">
        <w:rPr>
          <w:lang w:val="fr-FR"/>
        </w:rPr>
        <w:t>298 entreprises ont été créées au titre du statut d</w:t>
      </w:r>
      <w:r w:rsidR="00F1794C" w:rsidRPr="00E8389F">
        <w:rPr>
          <w:lang w:val="fr-FR"/>
        </w:rPr>
        <w:t>’</w:t>
      </w:r>
      <w:r w:rsidR="005D40D4" w:rsidRPr="00E8389F">
        <w:rPr>
          <w:lang w:val="fr-FR"/>
        </w:rPr>
        <w:t>auto-entrepreneur et 50</w:t>
      </w:r>
      <w:r w:rsidR="00DE1A4C">
        <w:rPr>
          <w:lang w:val="fr-FR"/>
        </w:rPr>
        <w:t> </w:t>
      </w:r>
      <w:r w:rsidR="005D40D4" w:rsidRPr="00E8389F">
        <w:rPr>
          <w:lang w:val="fr-FR"/>
        </w:rPr>
        <w:t>activités informelles ont bénéficié d</w:t>
      </w:r>
      <w:r w:rsidR="00F1794C" w:rsidRPr="00E8389F">
        <w:rPr>
          <w:lang w:val="fr-FR"/>
        </w:rPr>
        <w:t>’</w:t>
      </w:r>
      <w:r w:rsidR="005D40D4" w:rsidRPr="00E8389F">
        <w:rPr>
          <w:lang w:val="fr-FR"/>
        </w:rPr>
        <w:t>un accompagnement afin d</w:t>
      </w:r>
      <w:r w:rsidR="00F1794C" w:rsidRPr="00E8389F">
        <w:rPr>
          <w:lang w:val="fr-FR"/>
        </w:rPr>
        <w:t>’</w:t>
      </w:r>
      <w:r w:rsidR="005D40D4" w:rsidRPr="00E8389F">
        <w:rPr>
          <w:lang w:val="fr-FR"/>
        </w:rPr>
        <w:t>assurer leur passage dans le secteur formel</w:t>
      </w:r>
      <w:r w:rsidR="00F1794C" w:rsidRPr="00E8389F">
        <w:rPr>
          <w:lang w:val="fr-FR"/>
        </w:rPr>
        <w:t> ;</w:t>
      </w:r>
    </w:p>
    <w:p w14:paraId="27CB4E1E" w14:textId="6D4F2BE6" w:rsidR="005D40D4" w:rsidRPr="00E8389F" w:rsidRDefault="00E8389F" w:rsidP="00E8389F">
      <w:pPr>
        <w:pStyle w:val="SingleTxt"/>
        <w:tabs>
          <w:tab w:val="right" w:pos="1685"/>
        </w:tabs>
        <w:ind w:left="1742" w:hanging="475"/>
        <w:rPr>
          <w:lang w:val="fr-FR"/>
        </w:rPr>
      </w:pPr>
      <w:r>
        <w:rPr>
          <w:lang w:val="fr-FR"/>
        </w:rPr>
        <w:tab/>
        <w:t>•</w:t>
      </w:r>
      <w:r>
        <w:rPr>
          <w:lang w:val="fr-FR"/>
        </w:rPr>
        <w:tab/>
      </w:r>
      <w:r w:rsidR="005D40D4" w:rsidRPr="00E8389F">
        <w:rPr>
          <w:lang w:val="fr-FR"/>
        </w:rPr>
        <w:t>792 offres d</w:t>
      </w:r>
      <w:r w:rsidR="00F1794C" w:rsidRPr="00E8389F">
        <w:rPr>
          <w:lang w:val="fr-FR"/>
        </w:rPr>
        <w:t>’</w:t>
      </w:r>
      <w:r w:rsidR="005D40D4" w:rsidRPr="00E8389F">
        <w:rPr>
          <w:lang w:val="fr-FR"/>
        </w:rPr>
        <w:t xml:space="preserve">emploi ont été créées. </w:t>
      </w:r>
    </w:p>
    <w:p w14:paraId="3D80A872" w14:textId="0E47DF87" w:rsidR="005D40D4" w:rsidRPr="005D40D4" w:rsidRDefault="005D40D4" w:rsidP="00456FC2">
      <w:pPr>
        <w:pStyle w:val="SingleTxt"/>
        <w:numPr>
          <w:ilvl w:val="0"/>
          <w:numId w:val="50"/>
        </w:numPr>
        <w:rPr>
          <w:lang w:val="fr-FR"/>
        </w:rPr>
      </w:pPr>
      <w:r w:rsidRPr="005D40D4">
        <w:rPr>
          <w:lang w:val="fr-FR"/>
        </w:rPr>
        <w:t>Le projet « Jeunes au travail »</w:t>
      </w:r>
      <w:r w:rsidRPr="00FA086B">
        <w:rPr>
          <w:vertAlign w:val="superscript"/>
          <w:lang w:val="fr-FR"/>
        </w:rPr>
        <w:footnoteReference w:id="92"/>
      </w:r>
      <w:r w:rsidRPr="005D40D4">
        <w:rPr>
          <w:lang w:val="fr-FR"/>
        </w:rPr>
        <w:t>, dont l</w:t>
      </w:r>
      <w:r w:rsidR="00F1794C" w:rsidRPr="00F1794C">
        <w:rPr>
          <w:lang w:val="fr-FR"/>
        </w:rPr>
        <w:t>’</w:t>
      </w:r>
      <w:r w:rsidRPr="005D40D4">
        <w:rPr>
          <w:lang w:val="fr-FR"/>
        </w:rPr>
        <w:t>exécution a continué en 2018, met un accent particulier sur la question de l</w:t>
      </w:r>
      <w:r w:rsidR="00F1794C" w:rsidRPr="00F1794C">
        <w:rPr>
          <w:lang w:val="fr-FR"/>
        </w:rPr>
        <w:t>’</w:t>
      </w:r>
      <w:r w:rsidRPr="005D40D4">
        <w:rPr>
          <w:lang w:val="fr-FR"/>
        </w:rPr>
        <w:t>égalité des sexes et définit des objectifs et des indicateurs concernant les femmes dans tous les domaines d</w:t>
      </w:r>
      <w:r w:rsidR="00F1794C" w:rsidRPr="00F1794C">
        <w:rPr>
          <w:lang w:val="fr-FR"/>
        </w:rPr>
        <w:t>’</w:t>
      </w:r>
      <w:r w:rsidRPr="005D40D4">
        <w:rPr>
          <w:lang w:val="fr-FR"/>
        </w:rPr>
        <w:t>intervention. Une attention est accordée à la recherche scientifique pour ce qui est de l</w:t>
      </w:r>
      <w:r w:rsidR="00F1794C" w:rsidRPr="00F1794C">
        <w:rPr>
          <w:lang w:val="fr-FR"/>
        </w:rPr>
        <w:t>’</w:t>
      </w:r>
      <w:r w:rsidRPr="005D40D4">
        <w:rPr>
          <w:lang w:val="fr-FR"/>
        </w:rPr>
        <w:t>accès des femmes au monde de l</w:t>
      </w:r>
      <w:r w:rsidR="00F1794C" w:rsidRPr="00F1794C">
        <w:rPr>
          <w:lang w:val="fr-FR"/>
        </w:rPr>
        <w:t>’</w:t>
      </w:r>
      <w:r w:rsidRPr="005D40D4">
        <w:rPr>
          <w:lang w:val="fr-FR"/>
        </w:rPr>
        <w:t>entreprise. À cet égard, une étude nationale sur le développement des entreprises dirigées par des femmes au Maroc a été réalisée.</w:t>
      </w:r>
    </w:p>
    <w:p w14:paraId="0BCAE533" w14:textId="2A863293" w:rsidR="005D40D4" w:rsidRPr="005D40D4" w:rsidRDefault="005D40D4" w:rsidP="00456FC2">
      <w:pPr>
        <w:pStyle w:val="SingleTxt"/>
        <w:numPr>
          <w:ilvl w:val="0"/>
          <w:numId w:val="50"/>
        </w:numPr>
        <w:rPr>
          <w:lang w:val="fr-FR"/>
        </w:rPr>
      </w:pPr>
      <w:r w:rsidRPr="005D40D4">
        <w:rPr>
          <w:lang w:val="fr-FR"/>
        </w:rPr>
        <w:t>En août 2016, le Ministère de la solidarité, du développement social, de l</w:t>
      </w:r>
      <w:r w:rsidR="00F1794C" w:rsidRPr="00F1794C">
        <w:rPr>
          <w:lang w:val="fr-FR"/>
        </w:rPr>
        <w:t>’</w:t>
      </w:r>
      <w:r w:rsidRPr="005D40D4">
        <w:rPr>
          <w:lang w:val="fr-FR"/>
        </w:rPr>
        <w:t>égalité et de la famille a signé un accord de partenariat avec l</w:t>
      </w:r>
      <w:r w:rsidR="00F1794C" w:rsidRPr="00F1794C">
        <w:rPr>
          <w:lang w:val="fr-FR"/>
        </w:rPr>
        <w:t>’</w:t>
      </w:r>
      <w:r w:rsidRPr="005D40D4">
        <w:rPr>
          <w:lang w:val="fr-FR"/>
        </w:rPr>
        <w:t>Association des femmes chefs d</w:t>
      </w:r>
      <w:r w:rsidR="00F1794C" w:rsidRPr="00F1794C">
        <w:rPr>
          <w:lang w:val="fr-FR"/>
        </w:rPr>
        <w:t>’</w:t>
      </w:r>
      <w:r w:rsidRPr="005D40D4">
        <w:rPr>
          <w:lang w:val="fr-FR"/>
        </w:rPr>
        <w:t>entreprise du Maroc (AFEM) concernant un projet de développement des entreprises dirigées par des femmes en milieu urbain, semi-urbain et rural par l</w:t>
      </w:r>
      <w:r w:rsidR="00F1794C" w:rsidRPr="00F1794C">
        <w:rPr>
          <w:lang w:val="fr-FR"/>
        </w:rPr>
        <w:t>’</w:t>
      </w:r>
      <w:r w:rsidRPr="005D40D4">
        <w:rPr>
          <w:lang w:val="fr-FR"/>
        </w:rPr>
        <w:t>intermédiaire d</w:t>
      </w:r>
      <w:r w:rsidR="00F1794C" w:rsidRPr="00F1794C">
        <w:rPr>
          <w:lang w:val="fr-FR"/>
        </w:rPr>
        <w:t>’</w:t>
      </w:r>
      <w:r w:rsidRPr="005D40D4">
        <w:rPr>
          <w:lang w:val="fr-FR"/>
        </w:rPr>
        <w:t>accélérateurs et de pépinières d</w:t>
      </w:r>
      <w:r w:rsidR="00F1794C" w:rsidRPr="00F1794C">
        <w:rPr>
          <w:lang w:val="fr-FR"/>
        </w:rPr>
        <w:t>’</w:t>
      </w:r>
      <w:r w:rsidRPr="005D40D4">
        <w:rPr>
          <w:lang w:val="fr-FR"/>
        </w:rPr>
        <w:t>entreprises dans trois régions au Maroc.</w:t>
      </w:r>
    </w:p>
    <w:p w14:paraId="01C78975" w14:textId="43D9E31C" w:rsidR="005D40D4" w:rsidRPr="005D40D4" w:rsidRDefault="005D40D4" w:rsidP="00456FC2">
      <w:pPr>
        <w:pStyle w:val="SingleTxt"/>
        <w:numPr>
          <w:ilvl w:val="0"/>
          <w:numId w:val="50"/>
        </w:numPr>
        <w:rPr>
          <w:lang w:val="fr-FR"/>
        </w:rPr>
      </w:pPr>
      <w:r w:rsidRPr="005D40D4">
        <w:rPr>
          <w:lang w:val="fr-FR"/>
        </w:rPr>
        <w:t>En 2016, un mémorandum d</w:t>
      </w:r>
      <w:r w:rsidR="00F1794C" w:rsidRPr="00F1794C">
        <w:rPr>
          <w:lang w:val="fr-FR"/>
        </w:rPr>
        <w:t>’</w:t>
      </w:r>
      <w:r w:rsidRPr="005D40D4">
        <w:rPr>
          <w:lang w:val="fr-FR"/>
        </w:rPr>
        <w:t>accord a été conclu avec l</w:t>
      </w:r>
      <w:r w:rsidR="00F1794C" w:rsidRPr="00F1794C">
        <w:rPr>
          <w:lang w:val="fr-FR"/>
        </w:rPr>
        <w:t>’</w:t>
      </w:r>
      <w:r w:rsidRPr="005D40D4">
        <w:rPr>
          <w:lang w:val="fr-FR"/>
        </w:rPr>
        <w:t>Organisation mondiale du tourisme, la Confédération nationale du tourisme et ONU-Femmes en ce qui concerne le projet d</w:t>
      </w:r>
      <w:r w:rsidR="00F1794C" w:rsidRPr="00F1794C">
        <w:rPr>
          <w:lang w:val="fr-FR"/>
        </w:rPr>
        <w:t>’</w:t>
      </w:r>
      <w:r w:rsidRPr="005D40D4">
        <w:rPr>
          <w:lang w:val="fr-FR"/>
        </w:rPr>
        <w:t>autonomisation sociale et économique des femmes. Il vise à renforcer les effets positifs du tourisme sur la vie des femmes et ses contributions à la réalisation de l</w:t>
      </w:r>
      <w:r w:rsidR="00F1794C" w:rsidRPr="00F1794C">
        <w:rPr>
          <w:lang w:val="fr-FR"/>
        </w:rPr>
        <w:t>’</w:t>
      </w:r>
      <w:r w:rsidRPr="005D40D4">
        <w:rPr>
          <w:lang w:val="fr-FR"/>
        </w:rPr>
        <w:t>égalité des sexes, à multiplier les possibilités de créer de petites entreprises dans ce domaine à l</w:t>
      </w:r>
      <w:r w:rsidR="00F1794C" w:rsidRPr="00F1794C">
        <w:rPr>
          <w:lang w:val="fr-FR"/>
        </w:rPr>
        <w:t>’</w:t>
      </w:r>
      <w:r w:rsidRPr="005D40D4">
        <w:rPr>
          <w:lang w:val="fr-FR"/>
        </w:rPr>
        <w:t>aide du microfinancement et à encourager la participation des femmes à la planification touristique, à l</w:t>
      </w:r>
      <w:r w:rsidR="00F1794C" w:rsidRPr="00F1794C">
        <w:rPr>
          <w:lang w:val="fr-FR"/>
        </w:rPr>
        <w:t>’</w:t>
      </w:r>
      <w:r w:rsidRPr="005D40D4">
        <w:rPr>
          <w:lang w:val="fr-FR"/>
        </w:rPr>
        <w:t xml:space="preserve">administration locale et à la prise de décisions. </w:t>
      </w:r>
    </w:p>
    <w:p w14:paraId="5EF0FC42" w14:textId="71E852CD" w:rsidR="005D40D4" w:rsidRPr="005D40D4" w:rsidRDefault="005D40D4" w:rsidP="00456FC2">
      <w:pPr>
        <w:pStyle w:val="SingleTxt"/>
        <w:numPr>
          <w:ilvl w:val="0"/>
          <w:numId w:val="50"/>
        </w:numPr>
        <w:rPr>
          <w:lang w:val="fr-FR"/>
        </w:rPr>
      </w:pPr>
      <w:r w:rsidRPr="005D40D4">
        <w:rPr>
          <w:lang w:val="fr-FR"/>
        </w:rPr>
        <w:t>Dans le cadre de la stratégie nationale « Maroc Innovation » lancée en 2011, la Caisse centrale de garantie a fourni, jusqu</w:t>
      </w:r>
      <w:r w:rsidR="00F1794C" w:rsidRPr="00F1794C">
        <w:rPr>
          <w:lang w:val="fr-FR"/>
        </w:rPr>
        <w:t>’</w:t>
      </w:r>
      <w:r w:rsidRPr="005D40D4">
        <w:rPr>
          <w:lang w:val="fr-FR"/>
        </w:rPr>
        <w:t>en décembre 2014, un appui à 60 projets novateurs, dont 10</w:t>
      </w:r>
      <w:r w:rsidR="00F1794C" w:rsidRPr="00F1794C">
        <w:rPr>
          <w:lang w:val="fr-FR"/>
        </w:rPr>
        <w:t> %</w:t>
      </w:r>
      <w:r w:rsidRPr="005D40D4">
        <w:rPr>
          <w:lang w:val="fr-FR"/>
        </w:rPr>
        <w:t xml:space="preserve"> menés par des femmes. Le Gouvernement s</w:t>
      </w:r>
      <w:r w:rsidR="00F1794C" w:rsidRPr="00F1794C">
        <w:rPr>
          <w:lang w:val="fr-FR"/>
        </w:rPr>
        <w:t>’</w:t>
      </w:r>
      <w:r w:rsidRPr="005D40D4">
        <w:rPr>
          <w:lang w:val="fr-FR"/>
        </w:rPr>
        <w:t>emploie à stimuler l</w:t>
      </w:r>
      <w:r w:rsidR="00F1794C" w:rsidRPr="00F1794C">
        <w:rPr>
          <w:lang w:val="fr-FR"/>
        </w:rPr>
        <w:t>’</w:t>
      </w:r>
      <w:r w:rsidRPr="005D40D4">
        <w:rPr>
          <w:lang w:val="fr-FR"/>
        </w:rPr>
        <w:t>esprit d</w:t>
      </w:r>
      <w:r w:rsidR="00F1794C" w:rsidRPr="00F1794C">
        <w:rPr>
          <w:lang w:val="fr-FR"/>
        </w:rPr>
        <w:t>’</w:t>
      </w:r>
      <w:r w:rsidRPr="005D40D4">
        <w:rPr>
          <w:lang w:val="fr-FR"/>
        </w:rPr>
        <w:t>entreprise et l</w:t>
      </w:r>
      <w:r w:rsidR="00F1794C" w:rsidRPr="00F1794C">
        <w:rPr>
          <w:lang w:val="fr-FR"/>
        </w:rPr>
        <w:t>’</w:t>
      </w:r>
      <w:r w:rsidRPr="005D40D4">
        <w:rPr>
          <w:lang w:val="fr-FR"/>
        </w:rPr>
        <w:t>investissement chez les femmes porteuses de projets à l</w:t>
      </w:r>
      <w:r w:rsidR="00F1794C" w:rsidRPr="00F1794C">
        <w:rPr>
          <w:lang w:val="fr-FR"/>
        </w:rPr>
        <w:t>’</w:t>
      </w:r>
      <w:r w:rsidRPr="005D40D4">
        <w:rPr>
          <w:lang w:val="fr-FR"/>
        </w:rPr>
        <w:t>aide de plusieurs programmes dont ont bénéficié</w:t>
      </w:r>
      <w:r w:rsidR="00F1794C" w:rsidRPr="00F1794C">
        <w:rPr>
          <w:lang w:val="fr-FR"/>
        </w:rPr>
        <w:t> :</w:t>
      </w:r>
    </w:p>
    <w:p w14:paraId="5E0A5701" w14:textId="1EDE1798" w:rsidR="005D40D4" w:rsidRPr="00E8389F" w:rsidRDefault="00E8389F" w:rsidP="00E8389F">
      <w:pPr>
        <w:pStyle w:val="SingleTxt"/>
        <w:tabs>
          <w:tab w:val="right" w:pos="1685"/>
        </w:tabs>
        <w:ind w:left="1742" w:hanging="475"/>
        <w:rPr>
          <w:lang w:val="fr-FR"/>
        </w:rPr>
      </w:pPr>
      <w:r>
        <w:rPr>
          <w:lang w:val="fr-FR"/>
        </w:rPr>
        <w:tab/>
        <w:t>•</w:t>
      </w:r>
      <w:r>
        <w:rPr>
          <w:lang w:val="fr-FR"/>
        </w:rPr>
        <w:tab/>
      </w:r>
      <w:r w:rsidR="005D40D4" w:rsidRPr="00E8389F">
        <w:rPr>
          <w:lang w:val="fr-FR"/>
        </w:rPr>
        <w:t>128 339 filles dans le domaine des entreprises et projets générateurs de revenus dans les structures dirigées par des femmes</w:t>
      </w:r>
      <w:r w:rsidR="00F1794C" w:rsidRPr="00E8389F">
        <w:rPr>
          <w:lang w:val="fr-FR"/>
        </w:rPr>
        <w:t> ;</w:t>
      </w:r>
      <w:r w:rsidR="005D40D4" w:rsidRPr="00E8389F">
        <w:rPr>
          <w:lang w:val="fr-FR"/>
        </w:rPr>
        <w:t xml:space="preserve"> </w:t>
      </w:r>
    </w:p>
    <w:p w14:paraId="4DB8A8D7" w14:textId="6BD3D26D" w:rsidR="005D40D4" w:rsidRPr="00E8389F" w:rsidRDefault="00E8389F" w:rsidP="00E8389F">
      <w:pPr>
        <w:pStyle w:val="SingleTxt"/>
        <w:tabs>
          <w:tab w:val="right" w:pos="1685"/>
        </w:tabs>
        <w:ind w:left="1742" w:hanging="475"/>
        <w:rPr>
          <w:lang w:val="fr-FR"/>
        </w:rPr>
      </w:pPr>
      <w:r>
        <w:rPr>
          <w:lang w:val="fr-FR"/>
        </w:rPr>
        <w:tab/>
        <w:t>•</w:t>
      </w:r>
      <w:r>
        <w:rPr>
          <w:lang w:val="fr-FR"/>
        </w:rPr>
        <w:tab/>
      </w:r>
      <w:r w:rsidR="005D40D4" w:rsidRPr="00E8389F">
        <w:rPr>
          <w:lang w:val="fr-FR"/>
        </w:rPr>
        <w:t>quelque 11 000 jeunes, dont environ 5 000 jeunes filles, dans le cadre d</w:t>
      </w:r>
      <w:r w:rsidR="00F1794C" w:rsidRPr="00E8389F">
        <w:rPr>
          <w:lang w:val="fr-FR"/>
        </w:rPr>
        <w:t>’</w:t>
      </w:r>
      <w:r w:rsidR="005D40D4" w:rsidRPr="00E8389F">
        <w:rPr>
          <w:lang w:val="fr-FR"/>
        </w:rPr>
        <w:t>un programme en faveur de l</w:t>
      </w:r>
      <w:r w:rsidR="00F1794C" w:rsidRPr="00E8389F">
        <w:rPr>
          <w:lang w:val="fr-FR"/>
        </w:rPr>
        <w:t>’</w:t>
      </w:r>
      <w:r w:rsidR="005D40D4" w:rsidRPr="00E8389F">
        <w:rPr>
          <w:lang w:val="fr-FR"/>
        </w:rPr>
        <w:t>auto-entrepreneuriat appuyé par la Banque mondiale</w:t>
      </w:r>
      <w:r w:rsidR="00F1794C" w:rsidRPr="00E8389F">
        <w:rPr>
          <w:lang w:val="fr-FR"/>
        </w:rPr>
        <w:t> ;</w:t>
      </w:r>
      <w:r w:rsidR="005D40D4" w:rsidRPr="00E8389F">
        <w:rPr>
          <w:lang w:val="fr-FR"/>
        </w:rPr>
        <w:t xml:space="preserve"> </w:t>
      </w:r>
    </w:p>
    <w:p w14:paraId="40321407" w14:textId="06750075" w:rsidR="005D40D4" w:rsidRPr="00E8389F" w:rsidRDefault="00E8389F" w:rsidP="00E8389F">
      <w:pPr>
        <w:pStyle w:val="SingleTxt"/>
        <w:tabs>
          <w:tab w:val="right" w:pos="1685"/>
        </w:tabs>
        <w:ind w:left="1742" w:hanging="475"/>
        <w:rPr>
          <w:lang w:val="fr-FR"/>
        </w:rPr>
      </w:pPr>
      <w:r>
        <w:rPr>
          <w:lang w:val="fr-FR"/>
        </w:rPr>
        <w:lastRenderedPageBreak/>
        <w:tab/>
        <w:t>•</w:t>
      </w:r>
      <w:r>
        <w:rPr>
          <w:lang w:val="fr-FR"/>
        </w:rPr>
        <w:tab/>
      </w:r>
      <w:r w:rsidR="005D40D4" w:rsidRPr="00E8389F">
        <w:rPr>
          <w:lang w:val="fr-FR"/>
        </w:rPr>
        <w:t>200 étudiants, dont 50</w:t>
      </w:r>
      <w:r w:rsidR="00F1794C" w:rsidRPr="00E8389F">
        <w:rPr>
          <w:lang w:val="fr-FR"/>
        </w:rPr>
        <w:t> %</w:t>
      </w:r>
      <w:r w:rsidR="005D40D4" w:rsidRPr="00E8389F">
        <w:rPr>
          <w:lang w:val="fr-FR"/>
        </w:rPr>
        <w:t xml:space="preserve"> d</w:t>
      </w:r>
      <w:r w:rsidR="00F1794C" w:rsidRPr="00E8389F">
        <w:rPr>
          <w:lang w:val="fr-FR"/>
        </w:rPr>
        <w:t>’</w:t>
      </w:r>
      <w:r w:rsidR="005D40D4" w:rsidRPr="00E8389F">
        <w:rPr>
          <w:lang w:val="fr-FR"/>
        </w:rPr>
        <w:t>étudiantes, ont été porteurs de 50 projets novateurs chaque année, de 2011 à 2014, dans le cadre du cours de formation sur la création d</w:t>
      </w:r>
      <w:r w:rsidR="00F1794C" w:rsidRPr="00E8389F">
        <w:rPr>
          <w:lang w:val="fr-FR"/>
        </w:rPr>
        <w:t>’</w:t>
      </w:r>
      <w:r w:rsidR="005D40D4" w:rsidRPr="00E8389F">
        <w:rPr>
          <w:lang w:val="fr-FR"/>
        </w:rPr>
        <w:t>entreprises innovantes proposé dans cinq établissements d</w:t>
      </w:r>
      <w:r w:rsidR="00F1794C" w:rsidRPr="00E8389F">
        <w:rPr>
          <w:lang w:val="fr-FR"/>
        </w:rPr>
        <w:t>’</w:t>
      </w:r>
      <w:r w:rsidR="005D40D4" w:rsidRPr="00E8389F">
        <w:rPr>
          <w:lang w:val="fr-FR"/>
        </w:rPr>
        <w:t>enseignement supérieur</w:t>
      </w:r>
      <w:r w:rsidR="00F1794C" w:rsidRPr="00E8389F">
        <w:rPr>
          <w:lang w:val="fr-FR"/>
        </w:rPr>
        <w:t> ;</w:t>
      </w:r>
    </w:p>
    <w:p w14:paraId="5C3714CD" w14:textId="38EFB08E" w:rsidR="005D40D4" w:rsidRPr="00E8389F" w:rsidRDefault="00E8389F" w:rsidP="00E8389F">
      <w:pPr>
        <w:pStyle w:val="SingleTxt"/>
        <w:tabs>
          <w:tab w:val="right" w:pos="1685"/>
        </w:tabs>
        <w:ind w:left="1742" w:hanging="475"/>
        <w:rPr>
          <w:lang w:val="fr-FR"/>
        </w:rPr>
      </w:pPr>
      <w:r>
        <w:rPr>
          <w:lang w:val="fr-FR"/>
        </w:rPr>
        <w:tab/>
        <w:t>•</w:t>
      </w:r>
      <w:r>
        <w:rPr>
          <w:lang w:val="fr-FR"/>
        </w:rPr>
        <w:tab/>
      </w:r>
      <w:r w:rsidR="005D40D4" w:rsidRPr="00E8389F">
        <w:rPr>
          <w:lang w:val="fr-FR"/>
        </w:rPr>
        <w:t>113 projets, dont 48</w:t>
      </w:r>
      <w:r w:rsidR="00F1794C" w:rsidRPr="00E8389F">
        <w:rPr>
          <w:lang w:val="fr-FR"/>
        </w:rPr>
        <w:t> %</w:t>
      </w:r>
      <w:r w:rsidR="005D40D4" w:rsidRPr="00E8389F">
        <w:rPr>
          <w:lang w:val="fr-FR"/>
        </w:rPr>
        <w:t xml:space="preserve"> concernant les femmes, ont été menés dans le cadre du programme du fonds d</w:t>
      </w:r>
      <w:r w:rsidR="00F1794C" w:rsidRPr="00E8389F">
        <w:rPr>
          <w:lang w:val="fr-FR"/>
        </w:rPr>
        <w:t>’</w:t>
      </w:r>
      <w:r w:rsidR="005D40D4" w:rsidRPr="00E8389F">
        <w:rPr>
          <w:lang w:val="fr-FR"/>
        </w:rPr>
        <w:t xml:space="preserve">insertion des jeunes. </w:t>
      </w:r>
    </w:p>
    <w:p w14:paraId="4825E885" w14:textId="6DD8E0A7" w:rsidR="005D40D4" w:rsidRPr="005D40D4" w:rsidRDefault="005D40D4" w:rsidP="00456FC2">
      <w:pPr>
        <w:pStyle w:val="SingleTxt"/>
        <w:numPr>
          <w:ilvl w:val="0"/>
          <w:numId w:val="50"/>
        </w:numPr>
        <w:rPr>
          <w:lang w:val="fr-FR"/>
        </w:rPr>
      </w:pPr>
      <w:r w:rsidRPr="005D40D4">
        <w:rPr>
          <w:lang w:val="fr-FR"/>
        </w:rPr>
        <w:t>En ce qui concerne le programme de modernisation du commerce de proximité, plus de 24 480 points de vente ont été modernisés dans plus d</w:t>
      </w:r>
      <w:r w:rsidR="00F1794C" w:rsidRPr="00F1794C">
        <w:rPr>
          <w:lang w:val="fr-FR"/>
        </w:rPr>
        <w:t>’</w:t>
      </w:r>
      <w:r w:rsidRPr="005D40D4">
        <w:rPr>
          <w:lang w:val="fr-FR"/>
        </w:rPr>
        <w:t>une centaine de villes et villages, dans différentes régions. Ce programme a bénéficié à 2 452 commerçantes (10</w:t>
      </w:r>
      <w:r w:rsidR="00F1794C" w:rsidRPr="00F1794C">
        <w:rPr>
          <w:lang w:val="fr-FR"/>
        </w:rPr>
        <w:t> %</w:t>
      </w:r>
      <w:r w:rsidRPr="005D40D4">
        <w:rPr>
          <w:lang w:val="fr-FR"/>
        </w:rPr>
        <w:t xml:space="preserve"> des bénéficiaires).</w:t>
      </w:r>
    </w:p>
    <w:p w14:paraId="71560D4E" w14:textId="25FD6EA4" w:rsidR="005D40D4" w:rsidRPr="005D40D4" w:rsidRDefault="005D40D4" w:rsidP="00456FC2">
      <w:pPr>
        <w:pStyle w:val="SingleTxt"/>
        <w:numPr>
          <w:ilvl w:val="0"/>
          <w:numId w:val="50"/>
        </w:numPr>
        <w:rPr>
          <w:lang w:val="fr-FR"/>
        </w:rPr>
      </w:pPr>
      <w:r w:rsidRPr="005D40D4">
        <w:rPr>
          <w:lang w:val="fr-FR"/>
        </w:rPr>
        <w:t>La Constitution de 2011 a consacré la notion de développement durable, auquel chaque citoyen et citoyenne a droit. Une nouvelle liste d</w:t>
      </w:r>
      <w:r w:rsidR="00F1794C" w:rsidRPr="00F1794C">
        <w:rPr>
          <w:lang w:val="fr-FR"/>
        </w:rPr>
        <w:t>’</w:t>
      </w:r>
      <w:r w:rsidRPr="005D40D4">
        <w:rPr>
          <w:lang w:val="fr-FR"/>
        </w:rPr>
        <w:t>indicateurs de développement durable a été établie. Elle comprend 56 indicateurs qui correspondent davantage aux préoccupations actuelles et aux exigences de suivi et d</w:t>
      </w:r>
      <w:r w:rsidR="00F1794C" w:rsidRPr="00F1794C">
        <w:rPr>
          <w:lang w:val="fr-FR"/>
        </w:rPr>
        <w:t>’</w:t>
      </w:r>
      <w:r w:rsidRPr="005D40D4">
        <w:rPr>
          <w:lang w:val="fr-FR"/>
        </w:rPr>
        <w:t xml:space="preserve">évaluation des politiques de développement durable suivies par les différents acteurs. Il apparaît que la notion de dimension de genre est un indicateur important dans le domaine du développement durable. </w:t>
      </w:r>
    </w:p>
    <w:p w14:paraId="0D49651F" w14:textId="6E295909" w:rsidR="005D40D4" w:rsidRPr="005D40D4" w:rsidRDefault="005D40D4" w:rsidP="00456FC2">
      <w:pPr>
        <w:pStyle w:val="SingleTxt"/>
        <w:numPr>
          <w:ilvl w:val="0"/>
          <w:numId w:val="50"/>
        </w:numPr>
        <w:rPr>
          <w:lang w:val="fr-FR"/>
        </w:rPr>
      </w:pPr>
      <w:r w:rsidRPr="005D40D4">
        <w:rPr>
          <w:lang w:val="fr-FR"/>
        </w:rPr>
        <w:t>Une stratégie d</w:t>
      </w:r>
      <w:r w:rsidR="00F1794C" w:rsidRPr="00F1794C">
        <w:rPr>
          <w:lang w:val="fr-FR"/>
        </w:rPr>
        <w:t>’</w:t>
      </w:r>
      <w:r w:rsidRPr="005D40D4">
        <w:rPr>
          <w:lang w:val="fr-FR"/>
        </w:rPr>
        <w:t>institutionnalisation de la prise en compte des questions de genre dans les domaines de l</w:t>
      </w:r>
      <w:r w:rsidR="00F1794C" w:rsidRPr="00F1794C">
        <w:rPr>
          <w:lang w:val="fr-FR"/>
        </w:rPr>
        <w:t>’</w:t>
      </w:r>
      <w:r w:rsidRPr="005D40D4">
        <w:rPr>
          <w:lang w:val="fr-FR"/>
        </w:rPr>
        <w:t>environnement et du développement a été définie dans le cadre d</w:t>
      </w:r>
      <w:r w:rsidR="00F1794C" w:rsidRPr="00F1794C">
        <w:rPr>
          <w:lang w:val="fr-FR"/>
        </w:rPr>
        <w:t>’</w:t>
      </w:r>
      <w:r w:rsidRPr="005D40D4">
        <w:rPr>
          <w:lang w:val="fr-FR"/>
        </w:rPr>
        <w:t>un accord de partenariat avec ONU-Femmes en mars 2018. Elle repose sur les lignes directrices suivantes</w:t>
      </w:r>
      <w:r w:rsidR="00F1794C" w:rsidRPr="00F1794C">
        <w:rPr>
          <w:lang w:val="fr-FR"/>
        </w:rPr>
        <w:t> :</w:t>
      </w:r>
      <w:r w:rsidRPr="005D40D4">
        <w:rPr>
          <w:lang w:val="fr-FR"/>
        </w:rPr>
        <w:t xml:space="preserve"> </w:t>
      </w:r>
    </w:p>
    <w:p w14:paraId="53B90C6F" w14:textId="63DFB909" w:rsidR="005D40D4" w:rsidRPr="00E8389F" w:rsidRDefault="00E8389F" w:rsidP="00E8389F">
      <w:pPr>
        <w:pStyle w:val="SingleTxt"/>
        <w:tabs>
          <w:tab w:val="right" w:pos="1685"/>
        </w:tabs>
        <w:ind w:left="1742" w:hanging="475"/>
        <w:rPr>
          <w:lang w:val="fr-FR"/>
        </w:rPr>
      </w:pPr>
      <w:r>
        <w:rPr>
          <w:lang w:val="fr-FR"/>
        </w:rPr>
        <w:tab/>
        <w:t>•</w:t>
      </w:r>
      <w:r>
        <w:rPr>
          <w:lang w:val="fr-FR"/>
        </w:rPr>
        <w:tab/>
      </w:r>
      <w:r w:rsidR="005D40D4" w:rsidRPr="00E8389F">
        <w:rPr>
          <w:lang w:val="fr-FR"/>
        </w:rPr>
        <w:t>Contribution à la mise en œuvre de la stratégie nationale pour l</w:t>
      </w:r>
      <w:r w:rsidR="00F1794C" w:rsidRPr="00E8389F">
        <w:rPr>
          <w:lang w:val="fr-FR"/>
        </w:rPr>
        <w:t>’</w:t>
      </w:r>
      <w:r w:rsidR="005D40D4" w:rsidRPr="00E8389F">
        <w:rPr>
          <w:lang w:val="fr-FR"/>
        </w:rPr>
        <w:t>équité et l</w:t>
      </w:r>
      <w:r w:rsidR="00F1794C" w:rsidRPr="00E8389F">
        <w:rPr>
          <w:lang w:val="fr-FR"/>
        </w:rPr>
        <w:t>’</w:t>
      </w:r>
      <w:r w:rsidR="005D40D4" w:rsidRPr="00E8389F">
        <w:rPr>
          <w:lang w:val="fr-FR"/>
        </w:rPr>
        <w:t>égalité entre les sexes, conformément aux objectifs et programmes d</w:t>
      </w:r>
      <w:r w:rsidR="00F1794C" w:rsidRPr="00E8389F">
        <w:rPr>
          <w:lang w:val="fr-FR"/>
        </w:rPr>
        <w:t>’</w:t>
      </w:r>
      <w:r w:rsidR="005D40D4" w:rsidRPr="00E8389F">
        <w:rPr>
          <w:lang w:val="fr-FR"/>
        </w:rPr>
        <w:t>action énoncés dans la Stratégie nationale de développement durable</w:t>
      </w:r>
      <w:r w:rsidR="00F1794C" w:rsidRPr="00E8389F">
        <w:rPr>
          <w:lang w:val="fr-FR"/>
        </w:rPr>
        <w:t> ;</w:t>
      </w:r>
    </w:p>
    <w:p w14:paraId="7D1EE4AC" w14:textId="18CA76B9" w:rsidR="005D40D4" w:rsidRPr="00E8389F" w:rsidRDefault="00E8389F" w:rsidP="00E8389F">
      <w:pPr>
        <w:pStyle w:val="SingleTxt"/>
        <w:tabs>
          <w:tab w:val="right" w:pos="1685"/>
        </w:tabs>
        <w:ind w:left="1742" w:hanging="475"/>
        <w:rPr>
          <w:lang w:val="fr-FR"/>
        </w:rPr>
      </w:pPr>
      <w:r>
        <w:rPr>
          <w:lang w:val="fr-FR"/>
        </w:rPr>
        <w:tab/>
        <w:t>•</w:t>
      </w:r>
      <w:r>
        <w:rPr>
          <w:lang w:val="fr-FR"/>
        </w:rPr>
        <w:tab/>
      </w:r>
      <w:r w:rsidR="005D40D4" w:rsidRPr="00E8389F">
        <w:rPr>
          <w:lang w:val="fr-FR"/>
        </w:rPr>
        <w:t>Intégration du principe d</w:t>
      </w:r>
      <w:r w:rsidR="00F1794C" w:rsidRPr="00E8389F">
        <w:rPr>
          <w:lang w:val="fr-FR"/>
        </w:rPr>
        <w:t>’</w:t>
      </w:r>
      <w:r w:rsidR="005D40D4" w:rsidRPr="00E8389F">
        <w:rPr>
          <w:lang w:val="fr-FR"/>
        </w:rPr>
        <w:t>égalité dans la gestion des ressources humaines et des compétences</w:t>
      </w:r>
      <w:r w:rsidR="00F1794C" w:rsidRPr="00E8389F">
        <w:rPr>
          <w:lang w:val="fr-FR"/>
        </w:rPr>
        <w:t> ;</w:t>
      </w:r>
    </w:p>
    <w:p w14:paraId="25379F56" w14:textId="2A3952A0" w:rsidR="005D40D4" w:rsidRPr="00E8389F" w:rsidRDefault="00E8389F" w:rsidP="00E8389F">
      <w:pPr>
        <w:pStyle w:val="SingleTxt"/>
        <w:tabs>
          <w:tab w:val="right" w:pos="1685"/>
        </w:tabs>
        <w:ind w:left="1742" w:hanging="475"/>
        <w:rPr>
          <w:lang w:val="fr-FR"/>
        </w:rPr>
      </w:pPr>
      <w:r>
        <w:rPr>
          <w:lang w:val="fr-FR"/>
        </w:rPr>
        <w:tab/>
        <w:t>•</w:t>
      </w:r>
      <w:r>
        <w:rPr>
          <w:lang w:val="fr-FR"/>
        </w:rPr>
        <w:tab/>
      </w:r>
      <w:r w:rsidR="005D40D4" w:rsidRPr="00E8389F">
        <w:rPr>
          <w:lang w:val="fr-FR"/>
        </w:rPr>
        <w:t>Institutionnalisation de l</w:t>
      </w:r>
      <w:r w:rsidR="00F1794C" w:rsidRPr="00E8389F">
        <w:rPr>
          <w:lang w:val="fr-FR"/>
        </w:rPr>
        <w:t>’</w:t>
      </w:r>
      <w:r w:rsidR="005D40D4" w:rsidRPr="00E8389F">
        <w:rPr>
          <w:lang w:val="fr-FR"/>
        </w:rPr>
        <w:t>unité Genre et égalité des sexes garantie dans les pratiques, comportements, programmes et plans d</w:t>
      </w:r>
      <w:r w:rsidR="00F1794C" w:rsidRPr="00E8389F">
        <w:rPr>
          <w:lang w:val="fr-FR"/>
        </w:rPr>
        <w:t>’</w:t>
      </w:r>
      <w:r w:rsidR="005D40D4" w:rsidRPr="00E8389F">
        <w:rPr>
          <w:lang w:val="fr-FR"/>
        </w:rPr>
        <w:t>action dans le domaine de l</w:t>
      </w:r>
      <w:r w:rsidR="00F1794C" w:rsidRPr="00E8389F">
        <w:rPr>
          <w:lang w:val="fr-FR"/>
        </w:rPr>
        <w:t>’</w:t>
      </w:r>
      <w:r w:rsidR="005D40D4" w:rsidRPr="00E8389F">
        <w:rPr>
          <w:lang w:val="fr-FR"/>
        </w:rPr>
        <w:t>environnement et du développement durable.</w:t>
      </w:r>
    </w:p>
    <w:p w14:paraId="61E85BAA" w14:textId="02776746" w:rsidR="005D40D4" w:rsidRPr="005D40D4" w:rsidRDefault="005D40D4" w:rsidP="00456FC2">
      <w:pPr>
        <w:pStyle w:val="SingleTxt"/>
        <w:numPr>
          <w:ilvl w:val="0"/>
          <w:numId w:val="50"/>
        </w:numPr>
        <w:rPr>
          <w:lang w:val="fr-FR"/>
        </w:rPr>
      </w:pPr>
      <w:r w:rsidRPr="005D40D4">
        <w:rPr>
          <w:lang w:val="fr-FR"/>
        </w:rPr>
        <w:t>Pour jeter les bases d</w:t>
      </w:r>
      <w:r w:rsidR="00F1794C" w:rsidRPr="00F1794C">
        <w:rPr>
          <w:lang w:val="fr-FR"/>
        </w:rPr>
        <w:t>’</w:t>
      </w:r>
      <w:r w:rsidRPr="005D40D4">
        <w:rPr>
          <w:lang w:val="fr-FR"/>
        </w:rPr>
        <w:t>une économie verte à l</w:t>
      </w:r>
      <w:r w:rsidR="00F1794C" w:rsidRPr="00F1794C">
        <w:rPr>
          <w:lang w:val="fr-FR"/>
        </w:rPr>
        <w:t>’</w:t>
      </w:r>
      <w:r w:rsidRPr="005D40D4">
        <w:rPr>
          <w:lang w:val="fr-FR"/>
        </w:rPr>
        <w:t>horizon 2020, une stratégie nationale de développement durable a été adoptée. Dans ce cadre, un programme pour l</w:t>
      </w:r>
      <w:r w:rsidR="00F1794C" w:rsidRPr="00F1794C">
        <w:rPr>
          <w:lang w:val="fr-FR"/>
        </w:rPr>
        <w:t>’</w:t>
      </w:r>
      <w:r w:rsidRPr="005D40D4">
        <w:rPr>
          <w:lang w:val="fr-FR"/>
        </w:rPr>
        <w:t>innovation dans les technologies propres et l</w:t>
      </w:r>
      <w:r w:rsidR="00F1794C" w:rsidRPr="00F1794C">
        <w:rPr>
          <w:lang w:val="fr-FR"/>
        </w:rPr>
        <w:t>’</w:t>
      </w:r>
      <w:r w:rsidRPr="005D40D4">
        <w:rPr>
          <w:lang w:val="fr-FR"/>
        </w:rPr>
        <w:t>emploi vert (Cleantech Maroc) a été mis en place pour promouvoir l</w:t>
      </w:r>
      <w:r w:rsidR="00F1794C" w:rsidRPr="00F1794C">
        <w:rPr>
          <w:lang w:val="fr-FR"/>
        </w:rPr>
        <w:t>’</w:t>
      </w:r>
      <w:r w:rsidRPr="005D40D4">
        <w:rPr>
          <w:lang w:val="fr-FR"/>
        </w:rPr>
        <w:t>économie verte. Il est mené en partenariat avec le Fonds pour l</w:t>
      </w:r>
      <w:r w:rsidR="00F1794C" w:rsidRPr="00F1794C">
        <w:rPr>
          <w:lang w:val="fr-FR"/>
        </w:rPr>
        <w:t>’</w:t>
      </w:r>
      <w:r w:rsidRPr="005D40D4">
        <w:rPr>
          <w:lang w:val="fr-FR"/>
        </w:rPr>
        <w:t>environnement mondial et l</w:t>
      </w:r>
      <w:r w:rsidR="00F1794C" w:rsidRPr="00F1794C">
        <w:rPr>
          <w:lang w:val="fr-FR"/>
        </w:rPr>
        <w:t>’</w:t>
      </w:r>
      <w:r w:rsidRPr="005D40D4">
        <w:rPr>
          <w:lang w:val="fr-FR"/>
        </w:rPr>
        <w:t>Organisation des Nations Unies pour le développement industriel en vue d</w:t>
      </w:r>
      <w:r w:rsidR="00F1794C" w:rsidRPr="00F1794C">
        <w:rPr>
          <w:lang w:val="fr-FR"/>
        </w:rPr>
        <w:t>’</w:t>
      </w:r>
      <w:r w:rsidRPr="005D40D4">
        <w:rPr>
          <w:lang w:val="fr-FR"/>
        </w:rPr>
        <w:t>accroître la participation des femmes à la réalisation du développement durable. En marge de la vingt-deuxième Conférence des Parties à la Convention-cadre des Nations Unies sur les changements climatiques (Conférence de Marrakech),</w:t>
      </w:r>
      <w:r w:rsidR="00F1794C" w:rsidRPr="00F1794C">
        <w:rPr>
          <w:lang w:val="fr-FR"/>
        </w:rPr>
        <w:t xml:space="preserve"> </w:t>
      </w:r>
      <w:r w:rsidRPr="005D40D4">
        <w:rPr>
          <w:lang w:val="fr-FR"/>
        </w:rPr>
        <w:t>6 projets ont été sélectionnés et bénéficieront d</w:t>
      </w:r>
      <w:r w:rsidR="00F1794C" w:rsidRPr="00F1794C">
        <w:rPr>
          <w:lang w:val="fr-FR"/>
        </w:rPr>
        <w:t>’</w:t>
      </w:r>
      <w:r w:rsidRPr="005D40D4">
        <w:rPr>
          <w:lang w:val="fr-FR"/>
        </w:rPr>
        <w:t>une aide financière et d</w:t>
      </w:r>
      <w:r w:rsidR="00F1794C" w:rsidRPr="00F1794C">
        <w:rPr>
          <w:lang w:val="fr-FR"/>
        </w:rPr>
        <w:t>’</w:t>
      </w:r>
      <w:r w:rsidRPr="005D40D4">
        <w:rPr>
          <w:lang w:val="fr-FR"/>
        </w:rPr>
        <w:t xml:space="preserve">un accompagnement technique. </w:t>
      </w:r>
    </w:p>
    <w:p w14:paraId="2A117628" w14:textId="6D54DF93" w:rsidR="005D40D4" w:rsidRPr="005D40D4" w:rsidRDefault="005D40D4" w:rsidP="00456FC2">
      <w:pPr>
        <w:pStyle w:val="SingleTxt"/>
        <w:numPr>
          <w:ilvl w:val="0"/>
          <w:numId w:val="50"/>
        </w:numPr>
        <w:rPr>
          <w:lang w:val="fr-FR"/>
        </w:rPr>
      </w:pPr>
      <w:r w:rsidRPr="005D40D4">
        <w:rPr>
          <w:lang w:val="fr-FR"/>
        </w:rPr>
        <w:t>Les associations reçoivent un appui afin de mettre au point et de présenter des initiatives et des projets relatifs à l</w:t>
      </w:r>
      <w:r w:rsidR="00F1794C" w:rsidRPr="00F1794C">
        <w:rPr>
          <w:lang w:val="fr-FR"/>
        </w:rPr>
        <w:t>’</w:t>
      </w:r>
      <w:r w:rsidRPr="005D40D4">
        <w:rPr>
          <w:lang w:val="fr-FR"/>
        </w:rPr>
        <w:t>environnement. À cet égard, les questions de genre doivent être prises en compte lors de la sélection des projets, en prêtant attention aux éléments suivants</w:t>
      </w:r>
      <w:r w:rsidR="00F1794C" w:rsidRPr="00F1794C">
        <w:rPr>
          <w:lang w:val="fr-FR"/>
        </w:rPr>
        <w:t> :</w:t>
      </w:r>
    </w:p>
    <w:p w14:paraId="7AEE977F" w14:textId="0B7A9E97" w:rsidR="005D40D4" w:rsidRPr="00E8389F" w:rsidRDefault="00E8389F" w:rsidP="00E8389F">
      <w:pPr>
        <w:pStyle w:val="SingleTxt"/>
        <w:tabs>
          <w:tab w:val="right" w:pos="1685"/>
        </w:tabs>
        <w:ind w:left="1742" w:hanging="475"/>
        <w:rPr>
          <w:lang w:val="fr-FR"/>
        </w:rPr>
      </w:pPr>
      <w:r>
        <w:rPr>
          <w:lang w:val="fr-FR"/>
        </w:rPr>
        <w:tab/>
        <w:t>•</w:t>
      </w:r>
      <w:r>
        <w:rPr>
          <w:lang w:val="fr-FR"/>
        </w:rPr>
        <w:tab/>
      </w:r>
      <w:r w:rsidR="005D40D4" w:rsidRPr="00E8389F">
        <w:rPr>
          <w:lang w:val="fr-FR"/>
        </w:rPr>
        <w:t>Représentation des associations de femmes</w:t>
      </w:r>
      <w:r w:rsidR="00F1794C" w:rsidRPr="00E8389F">
        <w:rPr>
          <w:lang w:val="fr-FR"/>
        </w:rPr>
        <w:t> ;</w:t>
      </w:r>
    </w:p>
    <w:p w14:paraId="2E36E178" w14:textId="12E863FD" w:rsidR="005D40D4" w:rsidRPr="00E8389F" w:rsidRDefault="00E8389F" w:rsidP="00E8389F">
      <w:pPr>
        <w:pStyle w:val="SingleTxt"/>
        <w:tabs>
          <w:tab w:val="right" w:pos="1685"/>
        </w:tabs>
        <w:ind w:left="1742" w:hanging="475"/>
        <w:rPr>
          <w:lang w:val="fr-FR"/>
        </w:rPr>
      </w:pPr>
      <w:r>
        <w:rPr>
          <w:lang w:val="fr-FR"/>
        </w:rPr>
        <w:tab/>
        <w:t>•</w:t>
      </w:r>
      <w:r>
        <w:rPr>
          <w:lang w:val="fr-FR"/>
        </w:rPr>
        <w:tab/>
      </w:r>
      <w:r w:rsidR="005D40D4" w:rsidRPr="00E8389F">
        <w:rPr>
          <w:lang w:val="fr-FR"/>
        </w:rPr>
        <w:t>Attention accordée aux jeunes et aux femmes durant les phases d</w:t>
      </w:r>
      <w:r w:rsidR="00F1794C" w:rsidRPr="00E8389F">
        <w:rPr>
          <w:lang w:val="fr-FR"/>
        </w:rPr>
        <w:t>’</w:t>
      </w:r>
      <w:r w:rsidR="005D40D4" w:rsidRPr="00E8389F">
        <w:rPr>
          <w:lang w:val="fr-FR"/>
        </w:rPr>
        <w:t>élaboration et d</w:t>
      </w:r>
      <w:r w:rsidR="00F1794C" w:rsidRPr="00E8389F">
        <w:rPr>
          <w:lang w:val="fr-FR"/>
        </w:rPr>
        <w:t>’</w:t>
      </w:r>
      <w:r w:rsidR="005D40D4" w:rsidRPr="00E8389F">
        <w:rPr>
          <w:lang w:val="fr-FR"/>
        </w:rPr>
        <w:t>exécution du projet</w:t>
      </w:r>
      <w:r w:rsidR="00F1794C" w:rsidRPr="00E8389F">
        <w:rPr>
          <w:lang w:val="fr-FR"/>
        </w:rPr>
        <w:t> ;</w:t>
      </w:r>
    </w:p>
    <w:p w14:paraId="0A7475AA" w14:textId="57986EF3" w:rsidR="005D40D4" w:rsidRPr="00E8389F" w:rsidRDefault="00E8389F" w:rsidP="00E8389F">
      <w:pPr>
        <w:pStyle w:val="SingleTxt"/>
        <w:tabs>
          <w:tab w:val="right" w:pos="1685"/>
        </w:tabs>
        <w:ind w:left="1742" w:hanging="475"/>
        <w:rPr>
          <w:lang w:val="fr-FR"/>
        </w:rPr>
      </w:pPr>
      <w:r>
        <w:rPr>
          <w:lang w:val="fr-FR"/>
        </w:rPr>
        <w:lastRenderedPageBreak/>
        <w:tab/>
        <w:t>•</w:t>
      </w:r>
      <w:r>
        <w:rPr>
          <w:lang w:val="fr-FR"/>
        </w:rPr>
        <w:tab/>
      </w:r>
      <w:r w:rsidR="005D40D4" w:rsidRPr="00E8389F">
        <w:rPr>
          <w:lang w:val="fr-FR"/>
        </w:rPr>
        <w:t>Répercussions positives du projet sur les femmes, en particulier dans le monde rural, notamment pour ce qui est de la scolarisation des filles et la sensibilisation à l</w:t>
      </w:r>
      <w:r w:rsidR="00F1794C" w:rsidRPr="00E8389F">
        <w:rPr>
          <w:lang w:val="fr-FR"/>
        </w:rPr>
        <w:t>’</w:t>
      </w:r>
      <w:r w:rsidR="005D40D4" w:rsidRPr="00E8389F">
        <w:rPr>
          <w:lang w:val="fr-FR"/>
        </w:rPr>
        <w:t>environnement et au développement durable</w:t>
      </w:r>
      <w:r w:rsidR="00F1794C" w:rsidRPr="00E8389F">
        <w:rPr>
          <w:lang w:val="fr-FR"/>
        </w:rPr>
        <w:t> ;</w:t>
      </w:r>
    </w:p>
    <w:p w14:paraId="30D2AFA9" w14:textId="33A2558C" w:rsidR="005D40D4" w:rsidRPr="00E8389F" w:rsidRDefault="00E8389F" w:rsidP="00E8389F">
      <w:pPr>
        <w:pStyle w:val="SingleTxt"/>
        <w:tabs>
          <w:tab w:val="right" w:pos="1685"/>
        </w:tabs>
        <w:ind w:left="1742" w:hanging="475"/>
        <w:rPr>
          <w:lang w:val="fr-FR"/>
        </w:rPr>
      </w:pPr>
      <w:r>
        <w:rPr>
          <w:lang w:val="fr-FR"/>
        </w:rPr>
        <w:tab/>
        <w:t>•</w:t>
      </w:r>
      <w:r>
        <w:rPr>
          <w:lang w:val="fr-FR"/>
        </w:rPr>
        <w:tab/>
      </w:r>
      <w:r w:rsidR="005D40D4" w:rsidRPr="00E8389F">
        <w:rPr>
          <w:lang w:val="fr-FR"/>
        </w:rPr>
        <w:t>Multiplication des activités génératrices des revenus par la création et la promotion de coopératives gérées des femmes visant à valoriser des produits locaux. Durant le cycle de 2016, un appui a été apporté aux projets et initiatives de la société civile relatifs aux changements climatiques. Un indicateur de genre a été retenu, en tenant compte de la contribution des activités de ces projets à l</w:t>
      </w:r>
      <w:r w:rsidR="00F1794C" w:rsidRPr="00E8389F">
        <w:rPr>
          <w:lang w:val="fr-FR"/>
        </w:rPr>
        <w:t>’</w:t>
      </w:r>
      <w:r w:rsidR="005D40D4" w:rsidRPr="00E8389F">
        <w:rPr>
          <w:lang w:val="fr-FR"/>
        </w:rPr>
        <w:t>application du principe d</w:t>
      </w:r>
      <w:r w:rsidR="00F1794C" w:rsidRPr="00E8389F">
        <w:rPr>
          <w:lang w:val="fr-FR"/>
        </w:rPr>
        <w:t>’</w:t>
      </w:r>
      <w:r w:rsidR="005D40D4" w:rsidRPr="00E8389F">
        <w:rPr>
          <w:lang w:val="fr-FR"/>
        </w:rPr>
        <w:t>égalité des sexes et à l</w:t>
      </w:r>
      <w:r w:rsidR="00F1794C" w:rsidRPr="00E8389F">
        <w:rPr>
          <w:lang w:val="fr-FR"/>
        </w:rPr>
        <w:t>’</w:t>
      </w:r>
      <w:r w:rsidR="005D40D4" w:rsidRPr="00E8389F">
        <w:rPr>
          <w:lang w:val="fr-FR"/>
        </w:rPr>
        <w:t xml:space="preserve">autonomisation des femmes au moyen des activités génératrices de revenus. </w:t>
      </w:r>
    </w:p>
    <w:p w14:paraId="1DA9A304" w14:textId="212619A6" w:rsidR="005D40D4" w:rsidRPr="005D40D4" w:rsidRDefault="005D40D4" w:rsidP="00456FC2">
      <w:pPr>
        <w:pStyle w:val="SingleTxt"/>
        <w:numPr>
          <w:ilvl w:val="0"/>
          <w:numId w:val="50"/>
        </w:numPr>
        <w:rPr>
          <w:lang w:val="fr-FR"/>
        </w:rPr>
      </w:pPr>
      <w:r w:rsidRPr="005D40D4">
        <w:rPr>
          <w:lang w:val="fr-FR"/>
        </w:rPr>
        <w:t>Le secteur de la jeunesse et des sports a mis en route un programme d</w:t>
      </w:r>
      <w:r w:rsidR="00F1794C" w:rsidRPr="00F1794C">
        <w:rPr>
          <w:lang w:val="fr-FR"/>
        </w:rPr>
        <w:t>’</w:t>
      </w:r>
      <w:r w:rsidRPr="005D40D4">
        <w:rPr>
          <w:lang w:val="fr-FR"/>
        </w:rPr>
        <w:t>accompagnement des coopératives en 2013</w:t>
      </w:r>
      <w:r w:rsidR="00F1794C" w:rsidRPr="00F1794C">
        <w:rPr>
          <w:lang w:val="fr-FR"/>
        </w:rPr>
        <w:t> ;</w:t>
      </w:r>
      <w:r w:rsidRPr="005D40D4">
        <w:rPr>
          <w:lang w:val="fr-FR"/>
        </w:rPr>
        <w:t xml:space="preserve"> 121 projets générateurs de revenus et projets de coopératives sont concernés. Les établissements de formation professionnelle s</w:t>
      </w:r>
      <w:r w:rsidR="00F1794C" w:rsidRPr="00F1794C">
        <w:rPr>
          <w:lang w:val="fr-FR"/>
        </w:rPr>
        <w:t>’</w:t>
      </w:r>
      <w:r w:rsidRPr="005D40D4">
        <w:rPr>
          <w:lang w:val="fr-FR"/>
        </w:rPr>
        <w:t>emploient à aider les femmes et les filles à devenir auto-entrepreneures, à intégrer la vie socio-économique et à avoir accès au marché du travail. Il est prévu de faciliter l</w:t>
      </w:r>
      <w:r w:rsidR="00F1794C" w:rsidRPr="00F1794C">
        <w:rPr>
          <w:lang w:val="fr-FR"/>
        </w:rPr>
        <w:t>’</w:t>
      </w:r>
      <w:r w:rsidRPr="005D40D4">
        <w:rPr>
          <w:lang w:val="fr-FR"/>
        </w:rPr>
        <w:t>insertion de 2 000 diplômées dans le domaine des pièces détachées automobiles en partenariat avec l</w:t>
      </w:r>
      <w:r w:rsidR="00F1794C" w:rsidRPr="00F1794C">
        <w:rPr>
          <w:lang w:val="fr-FR"/>
        </w:rPr>
        <w:t>’</w:t>
      </w:r>
      <w:r w:rsidRPr="005D40D4">
        <w:rPr>
          <w:lang w:val="fr-FR"/>
        </w:rPr>
        <w:t>Agence nationale de promotion de l</w:t>
      </w:r>
      <w:r w:rsidR="00F1794C" w:rsidRPr="00F1794C">
        <w:rPr>
          <w:lang w:val="fr-FR"/>
        </w:rPr>
        <w:t>’</w:t>
      </w:r>
      <w:r w:rsidRPr="005D40D4">
        <w:rPr>
          <w:lang w:val="fr-FR"/>
        </w:rPr>
        <w:t>emploi et des compétences (ANAPEC).</w:t>
      </w:r>
    </w:p>
    <w:p w14:paraId="0FDF81E9" w14:textId="3AA27DEF" w:rsidR="005D40D4" w:rsidRPr="005D40D4" w:rsidRDefault="005D40D4" w:rsidP="00456FC2">
      <w:pPr>
        <w:pStyle w:val="SingleTxt"/>
        <w:numPr>
          <w:ilvl w:val="0"/>
          <w:numId w:val="50"/>
        </w:numPr>
        <w:rPr>
          <w:lang w:val="fr-FR"/>
        </w:rPr>
      </w:pPr>
      <w:r w:rsidRPr="005D40D4">
        <w:rPr>
          <w:lang w:val="fr-FR"/>
        </w:rPr>
        <w:t>Un programme de renforcement des capacités entrepreneuriales des jeunes en situation précaire dans le secteur informel propose une formation afin qu</w:t>
      </w:r>
      <w:r w:rsidR="00F1794C" w:rsidRPr="00F1794C">
        <w:rPr>
          <w:lang w:val="fr-FR"/>
        </w:rPr>
        <w:t>’</w:t>
      </w:r>
      <w:r w:rsidRPr="005D40D4">
        <w:rPr>
          <w:lang w:val="fr-FR"/>
        </w:rPr>
        <w:t>environ 5 000 jeunes, dont 40</w:t>
      </w:r>
      <w:r w:rsidR="00F1794C" w:rsidRPr="00F1794C">
        <w:rPr>
          <w:lang w:val="fr-FR"/>
        </w:rPr>
        <w:t> %</w:t>
      </w:r>
      <w:r w:rsidRPr="005D40D4">
        <w:rPr>
          <w:lang w:val="fr-FR"/>
        </w:rPr>
        <w:t xml:space="preserve"> de jeunes femmes qui ont bénéficié d</w:t>
      </w:r>
      <w:r w:rsidR="00F1794C" w:rsidRPr="00F1794C">
        <w:rPr>
          <w:lang w:val="fr-FR"/>
        </w:rPr>
        <w:t>’</w:t>
      </w:r>
      <w:r w:rsidRPr="005D40D4">
        <w:rPr>
          <w:lang w:val="fr-FR"/>
        </w:rPr>
        <w:t>une aide financière, créent des entreprises dans le cadre du Programme de promotion de l</w:t>
      </w:r>
      <w:r w:rsidR="00F1794C" w:rsidRPr="00F1794C">
        <w:rPr>
          <w:lang w:val="fr-FR"/>
        </w:rPr>
        <w:t>’</w:t>
      </w:r>
      <w:r w:rsidRPr="005D40D4">
        <w:rPr>
          <w:lang w:val="fr-FR"/>
        </w:rPr>
        <w:t>entrepreneuriat des jeunes (PPEJ).</w:t>
      </w:r>
    </w:p>
    <w:p w14:paraId="0C8776A1" w14:textId="79B63DDD" w:rsidR="005D40D4" w:rsidRPr="005D40D4" w:rsidRDefault="005D40D4" w:rsidP="00456FC2">
      <w:pPr>
        <w:pStyle w:val="SingleTxt"/>
        <w:numPr>
          <w:ilvl w:val="0"/>
          <w:numId w:val="50"/>
        </w:numPr>
        <w:rPr>
          <w:lang w:val="fr-FR"/>
        </w:rPr>
      </w:pPr>
      <w:r w:rsidRPr="005D40D4">
        <w:rPr>
          <w:lang w:val="fr-FR"/>
        </w:rPr>
        <w:t>Pour améliorer l</w:t>
      </w:r>
      <w:r w:rsidR="00F1794C" w:rsidRPr="00F1794C">
        <w:rPr>
          <w:lang w:val="fr-FR"/>
        </w:rPr>
        <w:t>’</w:t>
      </w:r>
      <w:r w:rsidRPr="005D40D4">
        <w:rPr>
          <w:lang w:val="fr-FR"/>
        </w:rPr>
        <w:t>accès des femmes aux droits culturels, les mesures ci-après ont été prises</w:t>
      </w:r>
      <w:r w:rsidR="00F1794C" w:rsidRPr="00F1794C">
        <w:rPr>
          <w:lang w:val="fr-FR"/>
        </w:rPr>
        <w:t> :</w:t>
      </w:r>
    </w:p>
    <w:p w14:paraId="43DEADB1" w14:textId="02E019A1" w:rsidR="005D40D4" w:rsidRPr="00E8389F" w:rsidRDefault="00E8389F" w:rsidP="00E8389F">
      <w:pPr>
        <w:pStyle w:val="SingleTxt"/>
        <w:tabs>
          <w:tab w:val="right" w:pos="1685"/>
        </w:tabs>
        <w:ind w:left="1742" w:hanging="475"/>
        <w:rPr>
          <w:lang w:val="fr-FR"/>
        </w:rPr>
      </w:pPr>
      <w:r>
        <w:rPr>
          <w:lang w:val="fr-FR"/>
        </w:rPr>
        <w:tab/>
        <w:t>•</w:t>
      </w:r>
      <w:r>
        <w:rPr>
          <w:lang w:val="fr-FR"/>
        </w:rPr>
        <w:tab/>
      </w:r>
      <w:r w:rsidR="005D40D4" w:rsidRPr="00E8389F">
        <w:rPr>
          <w:lang w:val="fr-FR"/>
        </w:rPr>
        <w:t>Institutionnalisation de la dimension de genre dans le secteur de la culture par la création d</w:t>
      </w:r>
      <w:r w:rsidR="00F1794C" w:rsidRPr="00E8389F">
        <w:rPr>
          <w:lang w:val="fr-FR"/>
        </w:rPr>
        <w:t>’</w:t>
      </w:r>
      <w:r w:rsidR="005D40D4" w:rsidRPr="00E8389F">
        <w:rPr>
          <w:lang w:val="fr-FR"/>
        </w:rPr>
        <w:t>une unité Genre</w:t>
      </w:r>
      <w:r w:rsidR="005D40D4" w:rsidRPr="00FA086B">
        <w:rPr>
          <w:vertAlign w:val="superscript"/>
          <w:lang w:val="fr-FR"/>
        </w:rPr>
        <w:footnoteReference w:id="93"/>
      </w:r>
      <w:r w:rsidR="00F1794C" w:rsidRPr="00E8389F">
        <w:rPr>
          <w:lang w:val="fr-FR"/>
        </w:rPr>
        <w:t> ;</w:t>
      </w:r>
    </w:p>
    <w:p w14:paraId="50BA49C6" w14:textId="6A43F5D9" w:rsidR="005D40D4" w:rsidRPr="00E8389F" w:rsidRDefault="00E8389F" w:rsidP="00E8389F">
      <w:pPr>
        <w:pStyle w:val="SingleTxt"/>
        <w:tabs>
          <w:tab w:val="right" w:pos="1685"/>
        </w:tabs>
        <w:ind w:left="1742" w:hanging="475"/>
        <w:rPr>
          <w:lang w:val="fr-FR"/>
        </w:rPr>
      </w:pPr>
      <w:r>
        <w:rPr>
          <w:lang w:val="fr-FR"/>
        </w:rPr>
        <w:tab/>
        <w:t>•</w:t>
      </w:r>
      <w:r>
        <w:rPr>
          <w:lang w:val="fr-FR"/>
        </w:rPr>
        <w:tab/>
      </w:r>
      <w:r w:rsidR="005D40D4" w:rsidRPr="00E8389F">
        <w:rPr>
          <w:lang w:val="fr-FR"/>
        </w:rPr>
        <w:t>Promotion et multiplication des cursus offerts aux femmes dans l</w:t>
      </w:r>
      <w:r w:rsidR="00F1794C" w:rsidRPr="00E8389F">
        <w:rPr>
          <w:lang w:val="fr-FR"/>
        </w:rPr>
        <w:t>’</w:t>
      </w:r>
      <w:r w:rsidR="005D40D4" w:rsidRPr="00E8389F">
        <w:rPr>
          <w:lang w:val="fr-FR"/>
        </w:rPr>
        <w:t>éducation artistique et les métiers liés au patrimoine</w:t>
      </w:r>
      <w:r w:rsidR="00F1794C" w:rsidRPr="00E8389F">
        <w:rPr>
          <w:lang w:val="fr-FR"/>
        </w:rPr>
        <w:t> ;</w:t>
      </w:r>
      <w:r w:rsidR="005D40D4" w:rsidRPr="00E8389F">
        <w:rPr>
          <w:lang w:val="fr-FR"/>
        </w:rPr>
        <w:t xml:space="preserve"> le nombre de filles inscrites dans les établissements d</w:t>
      </w:r>
      <w:r w:rsidR="00F1794C" w:rsidRPr="00E8389F">
        <w:rPr>
          <w:lang w:val="fr-FR"/>
        </w:rPr>
        <w:t>’</w:t>
      </w:r>
      <w:r w:rsidR="005D40D4" w:rsidRPr="00E8389F">
        <w:rPr>
          <w:lang w:val="fr-FR"/>
        </w:rPr>
        <w:t>enseignement supérieurs et les conservatoires de musique a augmenté, passant de 6 250 en 2016 à 7 114 durant l</w:t>
      </w:r>
      <w:r w:rsidR="00F1794C" w:rsidRPr="00E8389F">
        <w:rPr>
          <w:lang w:val="fr-FR"/>
        </w:rPr>
        <w:t>’</w:t>
      </w:r>
      <w:r w:rsidR="005D40D4" w:rsidRPr="00E8389F">
        <w:rPr>
          <w:lang w:val="fr-FR"/>
        </w:rPr>
        <w:t>année scolaire 2017-2018</w:t>
      </w:r>
      <w:r w:rsidR="00F1794C" w:rsidRPr="00E8389F">
        <w:rPr>
          <w:lang w:val="fr-FR"/>
        </w:rPr>
        <w:t> ;</w:t>
      </w:r>
    </w:p>
    <w:p w14:paraId="15AD0F0B" w14:textId="4C3B8729" w:rsidR="005D40D4" w:rsidRPr="00E8389F" w:rsidRDefault="00E8389F" w:rsidP="00E8389F">
      <w:pPr>
        <w:pStyle w:val="SingleTxt"/>
        <w:tabs>
          <w:tab w:val="right" w:pos="1685"/>
        </w:tabs>
        <w:ind w:left="1742" w:hanging="475"/>
        <w:rPr>
          <w:lang w:val="fr-FR"/>
        </w:rPr>
      </w:pPr>
      <w:r>
        <w:rPr>
          <w:lang w:val="fr-FR"/>
        </w:rPr>
        <w:tab/>
        <w:t>•</w:t>
      </w:r>
      <w:r>
        <w:rPr>
          <w:lang w:val="fr-FR"/>
        </w:rPr>
        <w:tab/>
      </w:r>
      <w:r w:rsidR="005D40D4" w:rsidRPr="00E8389F">
        <w:rPr>
          <w:lang w:val="fr-FR"/>
        </w:rPr>
        <w:t>Même possibilités offertes aux hommes et aux femmes pour faciliter l</w:t>
      </w:r>
      <w:r w:rsidR="00F1794C" w:rsidRPr="00E8389F">
        <w:rPr>
          <w:lang w:val="fr-FR"/>
        </w:rPr>
        <w:t>’</w:t>
      </w:r>
      <w:r w:rsidR="005D40D4" w:rsidRPr="00E8389F">
        <w:rPr>
          <w:lang w:val="fr-FR"/>
        </w:rPr>
        <w:t>autonomisation économique de la femme dans le cadre de la politique visant à soutenir les projets culturels dans les domaines suivants</w:t>
      </w:r>
      <w:r w:rsidR="00F1794C" w:rsidRPr="00E8389F">
        <w:rPr>
          <w:lang w:val="fr-FR"/>
        </w:rPr>
        <w:t> :</w:t>
      </w:r>
      <w:r w:rsidR="005D40D4" w:rsidRPr="00E8389F">
        <w:rPr>
          <w:lang w:val="fr-FR"/>
        </w:rPr>
        <w:t xml:space="preserve"> théâtre, musique, chant, arts plastiques et visuels, art patrimonial, festivals, publication et monde du livre. </w:t>
      </w:r>
    </w:p>
    <w:p w14:paraId="49CF1B99" w14:textId="47EBD9F1" w:rsidR="00DE1A4C" w:rsidRDefault="00DE1A4C">
      <w:pPr>
        <w:spacing w:after="200" w:line="276" w:lineRule="auto"/>
        <w:rPr>
          <w:sz w:val="10"/>
          <w:lang w:val="fr-FR"/>
        </w:rPr>
      </w:pPr>
      <w:r>
        <w:rPr>
          <w:sz w:val="10"/>
          <w:lang w:val="fr-FR"/>
        </w:rPr>
        <w:br w:type="page"/>
      </w:r>
    </w:p>
    <w:p w14:paraId="6E7C8468" w14:textId="224FE302" w:rsidR="00E8389F" w:rsidRDefault="001D2AA7" w:rsidP="001D2AA7">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lastRenderedPageBreak/>
        <w:tab/>
      </w:r>
      <w:r>
        <w:rPr>
          <w:lang w:val="fr-FR"/>
        </w:rPr>
        <w:tab/>
      </w:r>
      <w:r w:rsidR="005D40D4" w:rsidRPr="005D40D4">
        <w:rPr>
          <w:lang w:val="fr-FR"/>
        </w:rPr>
        <w:t>Tableau 16</w:t>
      </w:r>
    </w:p>
    <w:p w14:paraId="2B26D1DE" w14:textId="27A1BA98" w:rsidR="005D40D4" w:rsidRPr="005D40D4" w:rsidRDefault="001D2AA7" w:rsidP="001D2AA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E8389F">
        <w:rPr>
          <w:lang w:val="fr-FR"/>
        </w:rPr>
        <w:t>A</w:t>
      </w:r>
      <w:r w:rsidR="005D40D4" w:rsidRPr="005D40D4">
        <w:rPr>
          <w:lang w:val="fr-FR"/>
        </w:rPr>
        <w:t>ppui aux projets menés par des femmes</w:t>
      </w:r>
    </w:p>
    <w:p w14:paraId="27C7F812" w14:textId="0280305D" w:rsidR="005D40D4" w:rsidRPr="001D2AA7" w:rsidRDefault="005D40D4" w:rsidP="001D2AA7">
      <w:pPr>
        <w:pStyle w:val="SingleTxt"/>
        <w:spacing w:after="0" w:line="120" w:lineRule="exact"/>
        <w:rPr>
          <w:sz w:val="10"/>
          <w:lang w:val="fr-FR"/>
        </w:rPr>
      </w:pPr>
    </w:p>
    <w:p w14:paraId="0ACC1CC8" w14:textId="5378D297" w:rsidR="001D2AA7" w:rsidRPr="001D2AA7" w:rsidRDefault="001D2AA7" w:rsidP="001D2AA7">
      <w:pPr>
        <w:pStyle w:val="SingleTxt"/>
        <w:spacing w:after="0" w:line="120" w:lineRule="exact"/>
        <w:rPr>
          <w:sz w:val="10"/>
          <w:lang w:val="fr-FR"/>
        </w:rPr>
      </w:pPr>
    </w:p>
    <w:tbl>
      <w:tblPr>
        <w:tblStyle w:val="Grilledutableau121"/>
        <w:tblW w:w="9481" w:type="dxa"/>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03"/>
        <w:gridCol w:w="90"/>
        <w:gridCol w:w="1080"/>
        <w:gridCol w:w="720"/>
        <w:gridCol w:w="90"/>
        <w:gridCol w:w="1170"/>
        <w:gridCol w:w="720"/>
        <w:gridCol w:w="90"/>
        <w:gridCol w:w="1170"/>
        <w:gridCol w:w="720"/>
        <w:gridCol w:w="90"/>
        <w:gridCol w:w="1170"/>
        <w:gridCol w:w="668"/>
      </w:tblGrid>
      <w:tr w:rsidR="00044750" w:rsidRPr="001D2AA7" w14:paraId="2DADFF82" w14:textId="77777777" w:rsidTr="00044750">
        <w:trPr>
          <w:cantSplit/>
          <w:tblHeader/>
        </w:trPr>
        <w:tc>
          <w:tcPr>
            <w:tcW w:w="1703" w:type="dxa"/>
            <w:vMerge w:val="restart"/>
            <w:tcBorders>
              <w:top w:val="single" w:sz="4" w:space="0" w:color="auto"/>
            </w:tcBorders>
            <w:shd w:val="clear" w:color="auto" w:fill="auto"/>
            <w:noWrap/>
            <w:vAlign w:val="bottom"/>
          </w:tcPr>
          <w:p w14:paraId="77CEB3C9" w14:textId="4281BD1A" w:rsidR="00044750" w:rsidRPr="001D2AA7" w:rsidRDefault="00044750" w:rsidP="001D2AA7">
            <w:pPr>
              <w:suppressAutoHyphens/>
              <w:spacing w:before="81" w:after="81" w:line="160" w:lineRule="exact"/>
              <w:ind w:right="40"/>
              <w:rPr>
                <w:i/>
                <w:sz w:val="14"/>
              </w:rPr>
            </w:pPr>
            <w:r w:rsidRPr="001D2AA7">
              <w:rPr>
                <w:i/>
                <w:sz w:val="14"/>
              </w:rPr>
              <w:t>Domaine d’appui</w:t>
            </w:r>
          </w:p>
        </w:tc>
        <w:tc>
          <w:tcPr>
            <w:tcW w:w="90" w:type="dxa"/>
            <w:tcBorders>
              <w:top w:val="single" w:sz="4" w:space="0" w:color="auto"/>
            </w:tcBorders>
            <w:shd w:val="clear" w:color="auto" w:fill="auto"/>
            <w:noWrap/>
            <w:vAlign w:val="bottom"/>
          </w:tcPr>
          <w:p w14:paraId="5582F4EC" w14:textId="77777777" w:rsidR="00044750" w:rsidRPr="001D2AA7" w:rsidRDefault="00044750" w:rsidP="001D2AA7">
            <w:pPr>
              <w:suppressAutoHyphens/>
              <w:spacing w:before="81" w:after="81" w:line="160" w:lineRule="exact"/>
              <w:ind w:right="43"/>
              <w:jc w:val="right"/>
              <w:rPr>
                <w:i/>
                <w:sz w:val="14"/>
              </w:rPr>
            </w:pPr>
          </w:p>
        </w:tc>
        <w:tc>
          <w:tcPr>
            <w:tcW w:w="1800" w:type="dxa"/>
            <w:gridSpan w:val="2"/>
            <w:tcBorders>
              <w:top w:val="single" w:sz="4" w:space="0" w:color="auto"/>
              <w:bottom w:val="single" w:sz="4" w:space="0" w:color="auto"/>
            </w:tcBorders>
            <w:shd w:val="clear" w:color="auto" w:fill="auto"/>
            <w:vAlign w:val="bottom"/>
          </w:tcPr>
          <w:p w14:paraId="4FD42878" w14:textId="620D825D" w:rsidR="00044750" w:rsidRPr="001D2AA7" w:rsidRDefault="00044750" w:rsidP="00044750">
            <w:pPr>
              <w:suppressAutoHyphens/>
              <w:spacing w:before="81" w:after="81" w:line="160" w:lineRule="exact"/>
              <w:ind w:right="43"/>
              <w:jc w:val="center"/>
              <w:rPr>
                <w:i/>
                <w:sz w:val="14"/>
              </w:rPr>
            </w:pPr>
            <w:r w:rsidRPr="001D2AA7">
              <w:rPr>
                <w:i/>
                <w:sz w:val="14"/>
              </w:rPr>
              <w:t>2014</w:t>
            </w:r>
          </w:p>
        </w:tc>
        <w:tc>
          <w:tcPr>
            <w:tcW w:w="90" w:type="dxa"/>
            <w:tcBorders>
              <w:top w:val="single" w:sz="4" w:space="0" w:color="auto"/>
            </w:tcBorders>
            <w:shd w:val="clear" w:color="auto" w:fill="auto"/>
            <w:noWrap/>
            <w:vAlign w:val="bottom"/>
          </w:tcPr>
          <w:p w14:paraId="177DCE24" w14:textId="77777777" w:rsidR="00044750" w:rsidRPr="001D2AA7" w:rsidRDefault="00044750" w:rsidP="001D2AA7">
            <w:pPr>
              <w:suppressAutoHyphens/>
              <w:spacing w:before="81" w:after="81" w:line="160" w:lineRule="exact"/>
              <w:ind w:right="43"/>
              <w:jc w:val="right"/>
              <w:rPr>
                <w:i/>
                <w:sz w:val="14"/>
              </w:rPr>
            </w:pPr>
          </w:p>
        </w:tc>
        <w:tc>
          <w:tcPr>
            <w:tcW w:w="1890" w:type="dxa"/>
            <w:gridSpan w:val="2"/>
            <w:tcBorders>
              <w:top w:val="single" w:sz="4" w:space="0" w:color="auto"/>
              <w:bottom w:val="single" w:sz="4" w:space="0" w:color="auto"/>
            </w:tcBorders>
            <w:shd w:val="clear" w:color="auto" w:fill="auto"/>
            <w:vAlign w:val="bottom"/>
          </w:tcPr>
          <w:p w14:paraId="19216694" w14:textId="22657B96" w:rsidR="00044750" w:rsidRPr="001D2AA7" w:rsidRDefault="00044750" w:rsidP="00044750">
            <w:pPr>
              <w:suppressAutoHyphens/>
              <w:spacing w:before="81" w:after="81" w:line="160" w:lineRule="exact"/>
              <w:ind w:right="43"/>
              <w:jc w:val="center"/>
              <w:rPr>
                <w:i/>
                <w:sz w:val="14"/>
              </w:rPr>
            </w:pPr>
            <w:r w:rsidRPr="001D2AA7">
              <w:rPr>
                <w:i/>
                <w:sz w:val="14"/>
              </w:rPr>
              <w:t>2015</w:t>
            </w:r>
          </w:p>
        </w:tc>
        <w:tc>
          <w:tcPr>
            <w:tcW w:w="90" w:type="dxa"/>
            <w:tcBorders>
              <w:top w:val="single" w:sz="4" w:space="0" w:color="auto"/>
            </w:tcBorders>
            <w:shd w:val="clear" w:color="auto" w:fill="auto"/>
            <w:noWrap/>
            <w:vAlign w:val="bottom"/>
          </w:tcPr>
          <w:p w14:paraId="5ECB98C0" w14:textId="77777777" w:rsidR="00044750" w:rsidRPr="001D2AA7" w:rsidRDefault="00044750" w:rsidP="001D2AA7">
            <w:pPr>
              <w:suppressAutoHyphens/>
              <w:spacing w:before="81" w:after="81" w:line="160" w:lineRule="exact"/>
              <w:ind w:right="43"/>
              <w:jc w:val="right"/>
              <w:rPr>
                <w:i/>
                <w:sz w:val="14"/>
              </w:rPr>
            </w:pPr>
          </w:p>
        </w:tc>
        <w:tc>
          <w:tcPr>
            <w:tcW w:w="1890" w:type="dxa"/>
            <w:gridSpan w:val="2"/>
            <w:tcBorders>
              <w:top w:val="single" w:sz="4" w:space="0" w:color="auto"/>
              <w:bottom w:val="single" w:sz="4" w:space="0" w:color="auto"/>
            </w:tcBorders>
            <w:shd w:val="clear" w:color="auto" w:fill="auto"/>
            <w:vAlign w:val="bottom"/>
          </w:tcPr>
          <w:p w14:paraId="3168ED38" w14:textId="118017B1" w:rsidR="00044750" w:rsidRPr="001D2AA7" w:rsidRDefault="00044750" w:rsidP="00044750">
            <w:pPr>
              <w:suppressAutoHyphens/>
              <w:spacing w:before="81" w:after="81" w:line="160" w:lineRule="exact"/>
              <w:ind w:right="43"/>
              <w:jc w:val="center"/>
              <w:rPr>
                <w:i/>
                <w:sz w:val="14"/>
              </w:rPr>
            </w:pPr>
            <w:r w:rsidRPr="001D2AA7">
              <w:rPr>
                <w:i/>
                <w:sz w:val="14"/>
              </w:rPr>
              <w:t>2016</w:t>
            </w:r>
          </w:p>
        </w:tc>
        <w:tc>
          <w:tcPr>
            <w:tcW w:w="90" w:type="dxa"/>
            <w:tcBorders>
              <w:top w:val="single" w:sz="4" w:space="0" w:color="auto"/>
            </w:tcBorders>
            <w:shd w:val="clear" w:color="auto" w:fill="auto"/>
            <w:noWrap/>
            <w:vAlign w:val="bottom"/>
          </w:tcPr>
          <w:p w14:paraId="0D188207" w14:textId="77777777" w:rsidR="00044750" w:rsidRPr="001D2AA7" w:rsidRDefault="00044750" w:rsidP="001D2AA7">
            <w:pPr>
              <w:suppressAutoHyphens/>
              <w:spacing w:before="81" w:after="81" w:line="160" w:lineRule="exact"/>
              <w:ind w:right="43"/>
              <w:jc w:val="right"/>
              <w:rPr>
                <w:i/>
                <w:sz w:val="14"/>
              </w:rPr>
            </w:pPr>
          </w:p>
        </w:tc>
        <w:tc>
          <w:tcPr>
            <w:tcW w:w="1838" w:type="dxa"/>
            <w:gridSpan w:val="2"/>
            <w:tcBorders>
              <w:top w:val="single" w:sz="4" w:space="0" w:color="auto"/>
              <w:bottom w:val="single" w:sz="4" w:space="0" w:color="auto"/>
            </w:tcBorders>
            <w:shd w:val="clear" w:color="auto" w:fill="auto"/>
            <w:vAlign w:val="bottom"/>
          </w:tcPr>
          <w:p w14:paraId="216152B0" w14:textId="6AB4D0E8" w:rsidR="00044750" w:rsidRPr="001D2AA7" w:rsidRDefault="00044750" w:rsidP="00044750">
            <w:pPr>
              <w:suppressAutoHyphens/>
              <w:spacing w:before="81" w:after="81" w:line="160" w:lineRule="exact"/>
              <w:ind w:right="43"/>
              <w:jc w:val="center"/>
              <w:rPr>
                <w:i/>
                <w:sz w:val="14"/>
              </w:rPr>
            </w:pPr>
            <w:r w:rsidRPr="001D2AA7">
              <w:rPr>
                <w:i/>
                <w:sz w:val="14"/>
              </w:rPr>
              <w:t>2017</w:t>
            </w:r>
          </w:p>
        </w:tc>
      </w:tr>
      <w:tr w:rsidR="00044750" w:rsidRPr="001D2AA7" w14:paraId="153F12AF" w14:textId="77777777" w:rsidTr="00044750">
        <w:trPr>
          <w:cantSplit/>
          <w:tblHeader/>
        </w:trPr>
        <w:tc>
          <w:tcPr>
            <w:tcW w:w="1703" w:type="dxa"/>
            <w:vMerge/>
            <w:tcBorders>
              <w:bottom w:val="single" w:sz="12" w:space="0" w:color="auto"/>
            </w:tcBorders>
            <w:shd w:val="clear" w:color="auto" w:fill="auto"/>
            <w:noWrap/>
            <w:vAlign w:val="bottom"/>
          </w:tcPr>
          <w:p w14:paraId="072FE257" w14:textId="77777777" w:rsidR="00044750" w:rsidRPr="001D2AA7" w:rsidRDefault="00044750" w:rsidP="001D2AA7">
            <w:pPr>
              <w:suppressAutoHyphens/>
              <w:spacing w:before="81" w:after="81" w:line="160" w:lineRule="exact"/>
              <w:ind w:right="40"/>
              <w:rPr>
                <w:i/>
                <w:sz w:val="14"/>
              </w:rPr>
            </w:pPr>
          </w:p>
        </w:tc>
        <w:tc>
          <w:tcPr>
            <w:tcW w:w="1170" w:type="dxa"/>
            <w:gridSpan w:val="2"/>
            <w:tcBorders>
              <w:bottom w:val="single" w:sz="12" w:space="0" w:color="auto"/>
            </w:tcBorders>
            <w:shd w:val="clear" w:color="auto" w:fill="auto"/>
            <w:noWrap/>
            <w:vAlign w:val="bottom"/>
          </w:tcPr>
          <w:p w14:paraId="530ADB5A" w14:textId="7A649BF1" w:rsidR="00044750" w:rsidRPr="001D2AA7" w:rsidRDefault="00044750" w:rsidP="001D2AA7">
            <w:pPr>
              <w:suppressAutoHyphens/>
              <w:spacing w:before="81" w:after="81" w:line="160" w:lineRule="exact"/>
              <w:ind w:right="43"/>
              <w:jc w:val="right"/>
              <w:rPr>
                <w:i/>
                <w:sz w:val="14"/>
              </w:rPr>
            </w:pPr>
            <w:r w:rsidRPr="001D2AA7">
              <w:rPr>
                <w:i/>
                <w:sz w:val="14"/>
              </w:rPr>
              <w:t>Nombre</w:t>
            </w:r>
            <w:r>
              <w:rPr>
                <w:i/>
                <w:sz w:val="14"/>
              </w:rPr>
              <w:br/>
            </w:r>
            <w:r w:rsidRPr="001D2AA7">
              <w:rPr>
                <w:i/>
                <w:sz w:val="14"/>
              </w:rPr>
              <w:t xml:space="preserve"> de projets menés par des femmes</w:t>
            </w:r>
          </w:p>
        </w:tc>
        <w:tc>
          <w:tcPr>
            <w:tcW w:w="720" w:type="dxa"/>
            <w:tcBorders>
              <w:bottom w:val="single" w:sz="12" w:space="0" w:color="auto"/>
            </w:tcBorders>
            <w:shd w:val="clear" w:color="auto" w:fill="auto"/>
            <w:noWrap/>
            <w:vAlign w:val="bottom"/>
          </w:tcPr>
          <w:p w14:paraId="628DEAED" w14:textId="77777777" w:rsidR="00044750" w:rsidRPr="001D2AA7" w:rsidRDefault="00044750" w:rsidP="001D2AA7">
            <w:pPr>
              <w:suppressAutoHyphens/>
              <w:spacing w:before="81" w:after="81" w:line="160" w:lineRule="exact"/>
              <w:ind w:right="43"/>
              <w:jc w:val="right"/>
              <w:rPr>
                <w:i/>
                <w:sz w:val="14"/>
              </w:rPr>
            </w:pPr>
            <w:r w:rsidRPr="001D2AA7">
              <w:rPr>
                <w:i/>
                <w:sz w:val="14"/>
              </w:rPr>
              <w:t>Total</w:t>
            </w:r>
          </w:p>
        </w:tc>
        <w:tc>
          <w:tcPr>
            <w:tcW w:w="1260" w:type="dxa"/>
            <w:gridSpan w:val="2"/>
            <w:tcBorders>
              <w:bottom w:val="single" w:sz="12" w:space="0" w:color="auto"/>
            </w:tcBorders>
            <w:shd w:val="clear" w:color="auto" w:fill="auto"/>
            <w:noWrap/>
            <w:vAlign w:val="bottom"/>
          </w:tcPr>
          <w:p w14:paraId="797A8120" w14:textId="614E6FB4" w:rsidR="00044750" w:rsidRPr="001D2AA7" w:rsidRDefault="00044750" w:rsidP="001D2AA7">
            <w:pPr>
              <w:suppressAutoHyphens/>
              <w:spacing w:before="81" w:after="81" w:line="160" w:lineRule="exact"/>
              <w:ind w:right="43"/>
              <w:jc w:val="right"/>
              <w:rPr>
                <w:i/>
                <w:sz w:val="14"/>
              </w:rPr>
            </w:pPr>
            <w:r w:rsidRPr="001D2AA7">
              <w:rPr>
                <w:i/>
                <w:sz w:val="14"/>
              </w:rPr>
              <w:t>Nombre</w:t>
            </w:r>
            <w:r>
              <w:rPr>
                <w:i/>
                <w:sz w:val="14"/>
              </w:rPr>
              <w:br/>
            </w:r>
            <w:r w:rsidRPr="001D2AA7">
              <w:rPr>
                <w:i/>
                <w:sz w:val="14"/>
              </w:rPr>
              <w:t xml:space="preserve"> de projets menés par des femmes</w:t>
            </w:r>
          </w:p>
        </w:tc>
        <w:tc>
          <w:tcPr>
            <w:tcW w:w="720" w:type="dxa"/>
            <w:tcBorders>
              <w:bottom w:val="single" w:sz="12" w:space="0" w:color="auto"/>
            </w:tcBorders>
            <w:shd w:val="clear" w:color="auto" w:fill="auto"/>
            <w:noWrap/>
            <w:vAlign w:val="bottom"/>
          </w:tcPr>
          <w:p w14:paraId="6BB8B291" w14:textId="77777777" w:rsidR="00044750" w:rsidRPr="001D2AA7" w:rsidRDefault="00044750" w:rsidP="001D2AA7">
            <w:pPr>
              <w:suppressAutoHyphens/>
              <w:spacing w:before="81" w:after="81" w:line="160" w:lineRule="exact"/>
              <w:ind w:right="43"/>
              <w:jc w:val="right"/>
              <w:rPr>
                <w:i/>
                <w:sz w:val="14"/>
              </w:rPr>
            </w:pPr>
            <w:r w:rsidRPr="001D2AA7">
              <w:rPr>
                <w:i/>
                <w:sz w:val="14"/>
              </w:rPr>
              <w:t>Total</w:t>
            </w:r>
          </w:p>
        </w:tc>
        <w:tc>
          <w:tcPr>
            <w:tcW w:w="1260" w:type="dxa"/>
            <w:gridSpan w:val="2"/>
            <w:tcBorders>
              <w:bottom w:val="single" w:sz="12" w:space="0" w:color="auto"/>
            </w:tcBorders>
            <w:shd w:val="clear" w:color="auto" w:fill="auto"/>
            <w:noWrap/>
            <w:vAlign w:val="bottom"/>
          </w:tcPr>
          <w:p w14:paraId="27A74DF4" w14:textId="7EA4A95E" w:rsidR="00044750" w:rsidRPr="001D2AA7" w:rsidRDefault="00044750" w:rsidP="001D2AA7">
            <w:pPr>
              <w:suppressAutoHyphens/>
              <w:spacing w:before="81" w:after="81" w:line="160" w:lineRule="exact"/>
              <w:ind w:right="43"/>
              <w:jc w:val="right"/>
              <w:rPr>
                <w:i/>
                <w:sz w:val="14"/>
              </w:rPr>
            </w:pPr>
            <w:r w:rsidRPr="001D2AA7">
              <w:rPr>
                <w:i/>
                <w:sz w:val="14"/>
              </w:rPr>
              <w:t>Nombre</w:t>
            </w:r>
            <w:r>
              <w:rPr>
                <w:i/>
                <w:sz w:val="14"/>
              </w:rPr>
              <w:br/>
            </w:r>
            <w:r w:rsidRPr="001D2AA7">
              <w:rPr>
                <w:i/>
                <w:sz w:val="14"/>
              </w:rPr>
              <w:t xml:space="preserve"> de projets menés par des femmes</w:t>
            </w:r>
          </w:p>
        </w:tc>
        <w:tc>
          <w:tcPr>
            <w:tcW w:w="720" w:type="dxa"/>
            <w:tcBorders>
              <w:bottom w:val="single" w:sz="12" w:space="0" w:color="auto"/>
            </w:tcBorders>
            <w:shd w:val="clear" w:color="auto" w:fill="auto"/>
            <w:noWrap/>
            <w:vAlign w:val="bottom"/>
          </w:tcPr>
          <w:p w14:paraId="5866450F" w14:textId="77777777" w:rsidR="00044750" w:rsidRPr="001D2AA7" w:rsidRDefault="00044750" w:rsidP="001D2AA7">
            <w:pPr>
              <w:suppressAutoHyphens/>
              <w:spacing w:before="81" w:after="81" w:line="160" w:lineRule="exact"/>
              <w:ind w:right="43"/>
              <w:jc w:val="right"/>
              <w:rPr>
                <w:i/>
                <w:sz w:val="14"/>
              </w:rPr>
            </w:pPr>
            <w:r w:rsidRPr="001D2AA7">
              <w:rPr>
                <w:i/>
                <w:sz w:val="14"/>
              </w:rPr>
              <w:t>Total</w:t>
            </w:r>
          </w:p>
        </w:tc>
        <w:tc>
          <w:tcPr>
            <w:tcW w:w="1260" w:type="dxa"/>
            <w:gridSpan w:val="2"/>
            <w:tcBorders>
              <w:bottom w:val="single" w:sz="12" w:space="0" w:color="auto"/>
            </w:tcBorders>
            <w:shd w:val="clear" w:color="auto" w:fill="auto"/>
            <w:noWrap/>
            <w:vAlign w:val="bottom"/>
          </w:tcPr>
          <w:p w14:paraId="66742BDC" w14:textId="711EE198" w:rsidR="00044750" w:rsidRPr="001D2AA7" w:rsidRDefault="00044750" w:rsidP="001D2AA7">
            <w:pPr>
              <w:suppressAutoHyphens/>
              <w:spacing w:before="81" w:after="81" w:line="160" w:lineRule="exact"/>
              <w:ind w:right="43"/>
              <w:jc w:val="right"/>
              <w:rPr>
                <w:i/>
                <w:sz w:val="14"/>
              </w:rPr>
            </w:pPr>
            <w:r w:rsidRPr="001D2AA7">
              <w:rPr>
                <w:i/>
                <w:sz w:val="14"/>
              </w:rPr>
              <w:t xml:space="preserve">Nombre </w:t>
            </w:r>
            <w:r>
              <w:rPr>
                <w:i/>
                <w:sz w:val="14"/>
              </w:rPr>
              <w:br/>
            </w:r>
            <w:r w:rsidRPr="001D2AA7">
              <w:rPr>
                <w:i/>
                <w:sz w:val="14"/>
              </w:rPr>
              <w:t>de projets menés par des femmes</w:t>
            </w:r>
          </w:p>
        </w:tc>
        <w:tc>
          <w:tcPr>
            <w:tcW w:w="668" w:type="dxa"/>
            <w:tcBorders>
              <w:bottom w:val="single" w:sz="12" w:space="0" w:color="auto"/>
            </w:tcBorders>
            <w:shd w:val="clear" w:color="auto" w:fill="auto"/>
            <w:noWrap/>
            <w:vAlign w:val="bottom"/>
          </w:tcPr>
          <w:p w14:paraId="11C387D8" w14:textId="77777777" w:rsidR="00044750" w:rsidRPr="001D2AA7" w:rsidRDefault="00044750" w:rsidP="001D2AA7">
            <w:pPr>
              <w:suppressAutoHyphens/>
              <w:spacing w:before="81" w:after="81" w:line="160" w:lineRule="exact"/>
              <w:ind w:right="43"/>
              <w:jc w:val="right"/>
              <w:rPr>
                <w:i/>
                <w:sz w:val="14"/>
              </w:rPr>
            </w:pPr>
            <w:r w:rsidRPr="001D2AA7">
              <w:rPr>
                <w:i/>
                <w:sz w:val="14"/>
              </w:rPr>
              <w:t>Total</w:t>
            </w:r>
          </w:p>
        </w:tc>
      </w:tr>
      <w:tr w:rsidR="001D2AA7" w:rsidRPr="001D2AA7" w14:paraId="6F0E71BF" w14:textId="77777777" w:rsidTr="00044750">
        <w:trPr>
          <w:cantSplit/>
          <w:trHeight w:hRule="exact" w:val="115"/>
          <w:tblHeader/>
        </w:trPr>
        <w:tc>
          <w:tcPr>
            <w:tcW w:w="1703" w:type="dxa"/>
            <w:tcBorders>
              <w:top w:val="single" w:sz="12" w:space="0" w:color="auto"/>
            </w:tcBorders>
            <w:shd w:val="clear" w:color="auto" w:fill="auto"/>
            <w:noWrap/>
            <w:vAlign w:val="bottom"/>
          </w:tcPr>
          <w:p w14:paraId="175660E5" w14:textId="77777777" w:rsidR="001D2AA7" w:rsidRPr="001D2AA7" w:rsidRDefault="001D2AA7" w:rsidP="001D2AA7">
            <w:pPr>
              <w:suppressAutoHyphens/>
              <w:spacing w:before="40" w:after="40" w:line="210" w:lineRule="exact"/>
              <w:ind w:right="40"/>
              <w:rPr>
                <w:sz w:val="17"/>
              </w:rPr>
            </w:pPr>
          </w:p>
        </w:tc>
        <w:tc>
          <w:tcPr>
            <w:tcW w:w="1170" w:type="dxa"/>
            <w:gridSpan w:val="2"/>
            <w:tcBorders>
              <w:top w:val="single" w:sz="12" w:space="0" w:color="auto"/>
            </w:tcBorders>
            <w:shd w:val="clear" w:color="auto" w:fill="auto"/>
            <w:noWrap/>
            <w:vAlign w:val="bottom"/>
          </w:tcPr>
          <w:p w14:paraId="67CFDE72" w14:textId="77777777" w:rsidR="001D2AA7" w:rsidRPr="001D2AA7" w:rsidRDefault="001D2AA7" w:rsidP="001D2AA7">
            <w:pPr>
              <w:suppressAutoHyphens/>
              <w:spacing w:before="40" w:after="40" w:line="210" w:lineRule="exact"/>
              <w:ind w:right="43"/>
              <w:jc w:val="right"/>
              <w:rPr>
                <w:sz w:val="17"/>
              </w:rPr>
            </w:pPr>
          </w:p>
        </w:tc>
        <w:tc>
          <w:tcPr>
            <w:tcW w:w="720" w:type="dxa"/>
            <w:tcBorders>
              <w:top w:val="single" w:sz="12" w:space="0" w:color="auto"/>
            </w:tcBorders>
            <w:shd w:val="clear" w:color="auto" w:fill="auto"/>
            <w:noWrap/>
            <w:vAlign w:val="bottom"/>
          </w:tcPr>
          <w:p w14:paraId="2C95B087" w14:textId="77777777" w:rsidR="001D2AA7" w:rsidRPr="001D2AA7" w:rsidRDefault="001D2AA7" w:rsidP="001D2AA7">
            <w:pPr>
              <w:suppressAutoHyphens/>
              <w:spacing w:before="40" w:after="40" w:line="210" w:lineRule="exact"/>
              <w:ind w:right="43"/>
              <w:jc w:val="right"/>
              <w:rPr>
                <w:sz w:val="17"/>
              </w:rPr>
            </w:pPr>
          </w:p>
        </w:tc>
        <w:tc>
          <w:tcPr>
            <w:tcW w:w="1260" w:type="dxa"/>
            <w:gridSpan w:val="2"/>
            <w:tcBorders>
              <w:top w:val="single" w:sz="12" w:space="0" w:color="auto"/>
            </w:tcBorders>
            <w:shd w:val="clear" w:color="auto" w:fill="auto"/>
            <w:noWrap/>
            <w:vAlign w:val="bottom"/>
          </w:tcPr>
          <w:p w14:paraId="05A20137" w14:textId="77777777" w:rsidR="001D2AA7" w:rsidRPr="001D2AA7" w:rsidRDefault="001D2AA7" w:rsidP="001D2AA7">
            <w:pPr>
              <w:suppressAutoHyphens/>
              <w:spacing w:before="40" w:after="40" w:line="210" w:lineRule="exact"/>
              <w:ind w:right="43"/>
              <w:jc w:val="right"/>
              <w:rPr>
                <w:sz w:val="17"/>
              </w:rPr>
            </w:pPr>
          </w:p>
        </w:tc>
        <w:tc>
          <w:tcPr>
            <w:tcW w:w="720" w:type="dxa"/>
            <w:tcBorders>
              <w:top w:val="single" w:sz="12" w:space="0" w:color="auto"/>
            </w:tcBorders>
            <w:shd w:val="clear" w:color="auto" w:fill="auto"/>
            <w:noWrap/>
            <w:vAlign w:val="bottom"/>
          </w:tcPr>
          <w:p w14:paraId="33154A1D" w14:textId="77777777" w:rsidR="001D2AA7" w:rsidRPr="001D2AA7" w:rsidRDefault="001D2AA7" w:rsidP="001D2AA7">
            <w:pPr>
              <w:suppressAutoHyphens/>
              <w:spacing w:before="40" w:after="40" w:line="210" w:lineRule="exact"/>
              <w:ind w:right="43"/>
              <w:jc w:val="right"/>
              <w:rPr>
                <w:sz w:val="17"/>
              </w:rPr>
            </w:pPr>
          </w:p>
        </w:tc>
        <w:tc>
          <w:tcPr>
            <w:tcW w:w="1260" w:type="dxa"/>
            <w:gridSpan w:val="2"/>
            <w:tcBorders>
              <w:top w:val="single" w:sz="12" w:space="0" w:color="auto"/>
            </w:tcBorders>
            <w:shd w:val="clear" w:color="auto" w:fill="auto"/>
            <w:noWrap/>
            <w:vAlign w:val="bottom"/>
          </w:tcPr>
          <w:p w14:paraId="52C8F7AD" w14:textId="77777777" w:rsidR="001D2AA7" w:rsidRPr="001D2AA7" w:rsidRDefault="001D2AA7" w:rsidP="001D2AA7">
            <w:pPr>
              <w:suppressAutoHyphens/>
              <w:spacing w:before="40" w:after="40" w:line="210" w:lineRule="exact"/>
              <w:ind w:right="43"/>
              <w:jc w:val="right"/>
              <w:rPr>
                <w:sz w:val="17"/>
              </w:rPr>
            </w:pPr>
          </w:p>
        </w:tc>
        <w:tc>
          <w:tcPr>
            <w:tcW w:w="720" w:type="dxa"/>
            <w:tcBorders>
              <w:top w:val="single" w:sz="12" w:space="0" w:color="auto"/>
            </w:tcBorders>
            <w:shd w:val="clear" w:color="auto" w:fill="auto"/>
            <w:noWrap/>
            <w:vAlign w:val="bottom"/>
          </w:tcPr>
          <w:p w14:paraId="02D28A15" w14:textId="77777777" w:rsidR="001D2AA7" w:rsidRPr="001D2AA7" w:rsidRDefault="001D2AA7" w:rsidP="001D2AA7">
            <w:pPr>
              <w:suppressAutoHyphens/>
              <w:spacing w:before="40" w:after="40" w:line="210" w:lineRule="exact"/>
              <w:ind w:right="43"/>
              <w:jc w:val="right"/>
              <w:rPr>
                <w:sz w:val="17"/>
              </w:rPr>
            </w:pPr>
          </w:p>
        </w:tc>
        <w:tc>
          <w:tcPr>
            <w:tcW w:w="1260" w:type="dxa"/>
            <w:gridSpan w:val="2"/>
            <w:tcBorders>
              <w:top w:val="single" w:sz="12" w:space="0" w:color="auto"/>
            </w:tcBorders>
            <w:shd w:val="clear" w:color="auto" w:fill="auto"/>
            <w:noWrap/>
            <w:vAlign w:val="bottom"/>
          </w:tcPr>
          <w:p w14:paraId="62080020" w14:textId="77777777" w:rsidR="001D2AA7" w:rsidRPr="001D2AA7" w:rsidRDefault="001D2AA7" w:rsidP="001D2AA7">
            <w:pPr>
              <w:suppressAutoHyphens/>
              <w:spacing w:before="40" w:after="40" w:line="210" w:lineRule="exact"/>
              <w:ind w:right="43"/>
              <w:jc w:val="right"/>
              <w:rPr>
                <w:sz w:val="17"/>
              </w:rPr>
            </w:pPr>
          </w:p>
        </w:tc>
        <w:tc>
          <w:tcPr>
            <w:tcW w:w="668" w:type="dxa"/>
            <w:tcBorders>
              <w:top w:val="single" w:sz="12" w:space="0" w:color="auto"/>
            </w:tcBorders>
            <w:shd w:val="clear" w:color="auto" w:fill="auto"/>
            <w:noWrap/>
            <w:vAlign w:val="bottom"/>
          </w:tcPr>
          <w:p w14:paraId="67F9A3D1" w14:textId="77777777" w:rsidR="001D2AA7" w:rsidRPr="001D2AA7" w:rsidRDefault="001D2AA7" w:rsidP="001D2AA7">
            <w:pPr>
              <w:suppressAutoHyphens/>
              <w:spacing w:before="40" w:after="40" w:line="210" w:lineRule="exact"/>
              <w:ind w:right="43"/>
              <w:jc w:val="right"/>
              <w:rPr>
                <w:sz w:val="17"/>
              </w:rPr>
            </w:pPr>
          </w:p>
        </w:tc>
      </w:tr>
      <w:tr w:rsidR="001D2AA7" w:rsidRPr="001D2AA7" w14:paraId="60F6AB34" w14:textId="77777777" w:rsidTr="00044750">
        <w:trPr>
          <w:cantSplit/>
        </w:trPr>
        <w:tc>
          <w:tcPr>
            <w:tcW w:w="1703" w:type="dxa"/>
            <w:shd w:val="clear" w:color="auto" w:fill="auto"/>
            <w:noWrap/>
            <w:vAlign w:val="bottom"/>
          </w:tcPr>
          <w:p w14:paraId="2FBC734E" w14:textId="77777777" w:rsidR="005D40D4" w:rsidRPr="001D2AA7" w:rsidRDefault="005D40D4" w:rsidP="001D2AA7">
            <w:pPr>
              <w:tabs>
                <w:tab w:val="left" w:pos="288"/>
                <w:tab w:val="left" w:pos="576"/>
                <w:tab w:val="left" w:pos="864"/>
                <w:tab w:val="left" w:pos="1152"/>
              </w:tabs>
              <w:suppressAutoHyphens/>
              <w:spacing w:before="40" w:after="40" w:line="210" w:lineRule="exact"/>
              <w:ind w:right="40"/>
              <w:rPr>
                <w:sz w:val="17"/>
              </w:rPr>
            </w:pPr>
            <w:r w:rsidRPr="001D2AA7">
              <w:rPr>
                <w:sz w:val="17"/>
              </w:rPr>
              <w:t>Publication de livres</w:t>
            </w:r>
          </w:p>
        </w:tc>
        <w:tc>
          <w:tcPr>
            <w:tcW w:w="1170" w:type="dxa"/>
            <w:gridSpan w:val="2"/>
            <w:shd w:val="clear" w:color="auto" w:fill="auto"/>
            <w:noWrap/>
            <w:vAlign w:val="bottom"/>
          </w:tcPr>
          <w:p w14:paraId="6BA045DC" w14:textId="77777777" w:rsidR="005D40D4" w:rsidRPr="001D2AA7" w:rsidRDefault="005D40D4" w:rsidP="001D2AA7">
            <w:pPr>
              <w:tabs>
                <w:tab w:val="left" w:pos="288"/>
                <w:tab w:val="left" w:pos="576"/>
                <w:tab w:val="left" w:pos="864"/>
                <w:tab w:val="left" w:pos="1152"/>
              </w:tabs>
              <w:suppressAutoHyphens/>
              <w:spacing w:before="40" w:after="40" w:line="210" w:lineRule="exact"/>
              <w:ind w:right="43"/>
              <w:jc w:val="right"/>
              <w:rPr>
                <w:sz w:val="17"/>
              </w:rPr>
            </w:pPr>
            <w:r w:rsidRPr="001D2AA7">
              <w:rPr>
                <w:sz w:val="17"/>
              </w:rPr>
              <w:t>24</w:t>
            </w:r>
          </w:p>
        </w:tc>
        <w:tc>
          <w:tcPr>
            <w:tcW w:w="720" w:type="dxa"/>
            <w:shd w:val="clear" w:color="auto" w:fill="auto"/>
            <w:noWrap/>
            <w:vAlign w:val="bottom"/>
          </w:tcPr>
          <w:p w14:paraId="7EA4F08B" w14:textId="77777777" w:rsidR="005D40D4" w:rsidRPr="001D2AA7" w:rsidRDefault="005D40D4" w:rsidP="001D2AA7">
            <w:pPr>
              <w:tabs>
                <w:tab w:val="left" w:pos="288"/>
                <w:tab w:val="left" w:pos="576"/>
                <w:tab w:val="left" w:pos="864"/>
                <w:tab w:val="left" w:pos="1152"/>
              </w:tabs>
              <w:suppressAutoHyphens/>
              <w:spacing w:before="40" w:after="40" w:line="210" w:lineRule="exact"/>
              <w:ind w:right="43"/>
              <w:jc w:val="right"/>
              <w:rPr>
                <w:sz w:val="17"/>
              </w:rPr>
            </w:pPr>
            <w:r w:rsidRPr="001D2AA7">
              <w:rPr>
                <w:sz w:val="17"/>
              </w:rPr>
              <w:t>204</w:t>
            </w:r>
          </w:p>
        </w:tc>
        <w:tc>
          <w:tcPr>
            <w:tcW w:w="1260" w:type="dxa"/>
            <w:gridSpan w:val="2"/>
            <w:shd w:val="clear" w:color="auto" w:fill="auto"/>
            <w:noWrap/>
            <w:vAlign w:val="bottom"/>
          </w:tcPr>
          <w:p w14:paraId="18AD0CCB" w14:textId="77777777" w:rsidR="005D40D4" w:rsidRPr="001D2AA7" w:rsidRDefault="005D40D4" w:rsidP="001D2AA7">
            <w:pPr>
              <w:tabs>
                <w:tab w:val="left" w:pos="288"/>
                <w:tab w:val="left" w:pos="576"/>
                <w:tab w:val="left" w:pos="864"/>
                <w:tab w:val="left" w:pos="1152"/>
              </w:tabs>
              <w:suppressAutoHyphens/>
              <w:spacing w:before="40" w:after="40" w:line="210" w:lineRule="exact"/>
              <w:ind w:right="43"/>
              <w:jc w:val="right"/>
              <w:rPr>
                <w:sz w:val="17"/>
              </w:rPr>
            </w:pPr>
            <w:r w:rsidRPr="001D2AA7">
              <w:rPr>
                <w:sz w:val="17"/>
              </w:rPr>
              <w:t>43</w:t>
            </w:r>
          </w:p>
        </w:tc>
        <w:tc>
          <w:tcPr>
            <w:tcW w:w="720" w:type="dxa"/>
            <w:shd w:val="clear" w:color="auto" w:fill="auto"/>
            <w:noWrap/>
            <w:vAlign w:val="bottom"/>
          </w:tcPr>
          <w:p w14:paraId="41D08ACF" w14:textId="77777777" w:rsidR="005D40D4" w:rsidRPr="001D2AA7" w:rsidRDefault="005D40D4" w:rsidP="001D2AA7">
            <w:pPr>
              <w:tabs>
                <w:tab w:val="left" w:pos="288"/>
                <w:tab w:val="left" w:pos="576"/>
                <w:tab w:val="left" w:pos="864"/>
                <w:tab w:val="left" w:pos="1152"/>
              </w:tabs>
              <w:suppressAutoHyphens/>
              <w:spacing w:before="40" w:after="40" w:line="210" w:lineRule="exact"/>
              <w:ind w:right="43"/>
              <w:jc w:val="right"/>
              <w:rPr>
                <w:sz w:val="17"/>
              </w:rPr>
            </w:pPr>
            <w:r w:rsidRPr="001D2AA7">
              <w:rPr>
                <w:sz w:val="17"/>
              </w:rPr>
              <w:t>350</w:t>
            </w:r>
          </w:p>
        </w:tc>
        <w:tc>
          <w:tcPr>
            <w:tcW w:w="1260" w:type="dxa"/>
            <w:gridSpan w:val="2"/>
            <w:shd w:val="clear" w:color="auto" w:fill="auto"/>
            <w:noWrap/>
            <w:vAlign w:val="bottom"/>
          </w:tcPr>
          <w:p w14:paraId="7869F07A" w14:textId="77777777" w:rsidR="005D40D4" w:rsidRPr="001D2AA7" w:rsidRDefault="005D40D4" w:rsidP="001D2AA7">
            <w:pPr>
              <w:tabs>
                <w:tab w:val="left" w:pos="288"/>
                <w:tab w:val="left" w:pos="576"/>
                <w:tab w:val="left" w:pos="864"/>
                <w:tab w:val="left" w:pos="1152"/>
              </w:tabs>
              <w:suppressAutoHyphens/>
              <w:spacing w:before="40" w:after="40" w:line="210" w:lineRule="exact"/>
              <w:ind w:right="43"/>
              <w:jc w:val="right"/>
              <w:rPr>
                <w:sz w:val="17"/>
              </w:rPr>
            </w:pPr>
            <w:r w:rsidRPr="001D2AA7">
              <w:rPr>
                <w:sz w:val="17"/>
              </w:rPr>
              <w:t>84</w:t>
            </w:r>
          </w:p>
        </w:tc>
        <w:tc>
          <w:tcPr>
            <w:tcW w:w="720" w:type="dxa"/>
            <w:shd w:val="clear" w:color="auto" w:fill="auto"/>
            <w:noWrap/>
            <w:vAlign w:val="bottom"/>
          </w:tcPr>
          <w:p w14:paraId="133B6AE4" w14:textId="77777777" w:rsidR="005D40D4" w:rsidRPr="001D2AA7" w:rsidRDefault="005D40D4" w:rsidP="001D2AA7">
            <w:pPr>
              <w:tabs>
                <w:tab w:val="left" w:pos="288"/>
                <w:tab w:val="left" w:pos="576"/>
                <w:tab w:val="left" w:pos="864"/>
                <w:tab w:val="left" w:pos="1152"/>
              </w:tabs>
              <w:suppressAutoHyphens/>
              <w:spacing w:before="40" w:after="40" w:line="210" w:lineRule="exact"/>
              <w:ind w:right="43"/>
              <w:jc w:val="right"/>
              <w:rPr>
                <w:sz w:val="17"/>
              </w:rPr>
            </w:pPr>
            <w:r w:rsidRPr="001D2AA7">
              <w:rPr>
                <w:sz w:val="17"/>
              </w:rPr>
              <w:t>459</w:t>
            </w:r>
          </w:p>
        </w:tc>
        <w:tc>
          <w:tcPr>
            <w:tcW w:w="1260" w:type="dxa"/>
            <w:gridSpan w:val="2"/>
            <w:shd w:val="clear" w:color="auto" w:fill="auto"/>
            <w:noWrap/>
            <w:vAlign w:val="bottom"/>
          </w:tcPr>
          <w:p w14:paraId="698055F6" w14:textId="77777777" w:rsidR="005D40D4" w:rsidRPr="001D2AA7" w:rsidRDefault="005D40D4" w:rsidP="001D2AA7">
            <w:pPr>
              <w:tabs>
                <w:tab w:val="left" w:pos="288"/>
                <w:tab w:val="left" w:pos="576"/>
                <w:tab w:val="left" w:pos="864"/>
                <w:tab w:val="left" w:pos="1152"/>
              </w:tabs>
              <w:suppressAutoHyphens/>
              <w:spacing w:before="40" w:after="40" w:line="210" w:lineRule="exact"/>
              <w:ind w:right="43"/>
              <w:jc w:val="right"/>
              <w:rPr>
                <w:sz w:val="17"/>
              </w:rPr>
            </w:pPr>
            <w:r w:rsidRPr="001D2AA7">
              <w:rPr>
                <w:sz w:val="17"/>
              </w:rPr>
              <w:t>37</w:t>
            </w:r>
          </w:p>
        </w:tc>
        <w:tc>
          <w:tcPr>
            <w:tcW w:w="668" w:type="dxa"/>
            <w:shd w:val="clear" w:color="auto" w:fill="auto"/>
            <w:noWrap/>
            <w:vAlign w:val="bottom"/>
          </w:tcPr>
          <w:p w14:paraId="7B6EB3DA" w14:textId="77777777" w:rsidR="005D40D4" w:rsidRPr="001D2AA7" w:rsidRDefault="005D40D4" w:rsidP="001D2AA7">
            <w:pPr>
              <w:tabs>
                <w:tab w:val="left" w:pos="288"/>
                <w:tab w:val="left" w:pos="576"/>
                <w:tab w:val="left" w:pos="864"/>
                <w:tab w:val="left" w:pos="1152"/>
              </w:tabs>
              <w:suppressAutoHyphens/>
              <w:spacing w:before="40" w:after="40" w:line="210" w:lineRule="exact"/>
              <w:ind w:right="43"/>
              <w:jc w:val="right"/>
              <w:rPr>
                <w:sz w:val="17"/>
              </w:rPr>
            </w:pPr>
            <w:r w:rsidRPr="001D2AA7">
              <w:rPr>
                <w:sz w:val="17"/>
              </w:rPr>
              <w:t>315</w:t>
            </w:r>
          </w:p>
        </w:tc>
      </w:tr>
      <w:tr w:rsidR="001D2AA7" w:rsidRPr="001D2AA7" w14:paraId="3B3F9438" w14:textId="77777777" w:rsidTr="00044750">
        <w:trPr>
          <w:cantSplit/>
        </w:trPr>
        <w:tc>
          <w:tcPr>
            <w:tcW w:w="1703" w:type="dxa"/>
            <w:shd w:val="clear" w:color="auto" w:fill="auto"/>
            <w:noWrap/>
            <w:vAlign w:val="bottom"/>
          </w:tcPr>
          <w:p w14:paraId="7212D137" w14:textId="77777777" w:rsidR="005D40D4" w:rsidRPr="001D2AA7" w:rsidRDefault="005D40D4" w:rsidP="001D2AA7">
            <w:pPr>
              <w:tabs>
                <w:tab w:val="left" w:pos="288"/>
                <w:tab w:val="left" w:pos="576"/>
                <w:tab w:val="left" w:pos="864"/>
                <w:tab w:val="left" w:pos="1152"/>
              </w:tabs>
              <w:suppressAutoHyphens/>
              <w:spacing w:before="40" w:after="40" w:line="210" w:lineRule="exact"/>
              <w:ind w:right="40"/>
              <w:rPr>
                <w:sz w:val="17"/>
              </w:rPr>
            </w:pPr>
            <w:r w:rsidRPr="001D2AA7">
              <w:rPr>
                <w:sz w:val="17"/>
              </w:rPr>
              <w:t>Publication de magazines</w:t>
            </w:r>
          </w:p>
        </w:tc>
        <w:tc>
          <w:tcPr>
            <w:tcW w:w="1170" w:type="dxa"/>
            <w:gridSpan w:val="2"/>
            <w:shd w:val="clear" w:color="auto" w:fill="auto"/>
            <w:noWrap/>
            <w:vAlign w:val="bottom"/>
          </w:tcPr>
          <w:p w14:paraId="56F11753" w14:textId="77777777" w:rsidR="005D40D4" w:rsidRPr="001D2AA7" w:rsidRDefault="005D40D4" w:rsidP="001D2AA7">
            <w:pPr>
              <w:tabs>
                <w:tab w:val="left" w:pos="288"/>
                <w:tab w:val="left" w:pos="576"/>
                <w:tab w:val="left" w:pos="864"/>
                <w:tab w:val="left" w:pos="1152"/>
              </w:tabs>
              <w:suppressAutoHyphens/>
              <w:spacing w:before="40" w:after="40" w:line="210" w:lineRule="exact"/>
              <w:ind w:right="43"/>
              <w:jc w:val="right"/>
              <w:rPr>
                <w:sz w:val="17"/>
              </w:rPr>
            </w:pPr>
            <w:r w:rsidRPr="001D2AA7">
              <w:rPr>
                <w:sz w:val="17"/>
              </w:rPr>
              <w:t>2</w:t>
            </w:r>
          </w:p>
        </w:tc>
        <w:tc>
          <w:tcPr>
            <w:tcW w:w="720" w:type="dxa"/>
            <w:shd w:val="clear" w:color="auto" w:fill="auto"/>
            <w:noWrap/>
            <w:vAlign w:val="bottom"/>
          </w:tcPr>
          <w:p w14:paraId="7A18BE2A" w14:textId="77777777" w:rsidR="005D40D4" w:rsidRPr="001D2AA7" w:rsidRDefault="005D40D4" w:rsidP="001D2AA7">
            <w:pPr>
              <w:tabs>
                <w:tab w:val="left" w:pos="288"/>
                <w:tab w:val="left" w:pos="576"/>
                <w:tab w:val="left" w:pos="864"/>
                <w:tab w:val="left" w:pos="1152"/>
              </w:tabs>
              <w:suppressAutoHyphens/>
              <w:spacing w:before="40" w:after="40" w:line="210" w:lineRule="exact"/>
              <w:ind w:right="43"/>
              <w:jc w:val="right"/>
              <w:rPr>
                <w:sz w:val="17"/>
              </w:rPr>
            </w:pPr>
            <w:r w:rsidRPr="001D2AA7">
              <w:rPr>
                <w:sz w:val="17"/>
              </w:rPr>
              <w:t>63</w:t>
            </w:r>
          </w:p>
        </w:tc>
        <w:tc>
          <w:tcPr>
            <w:tcW w:w="1260" w:type="dxa"/>
            <w:gridSpan w:val="2"/>
            <w:shd w:val="clear" w:color="auto" w:fill="auto"/>
            <w:noWrap/>
            <w:vAlign w:val="bottom"/>
          </w:tcPr>
          <w:p w14:paraId="22444A7E" w14:textId="77777777" w:rsidR="005D40D4" w:rsidRPr="001D2AA7" w:rsidRDefault="005D40D4" w:rsidP="001D2AA7">
            <w:pPr>
              <w:tabs>
                <w:tab w:val="left" w:pos="288"/>
                <w:tab w:val="left" w:pos="576"/>
                <w:tab w:val="left" w:pos="864"/>
                <w:tab w:val="left" w:pos="1152"/>
              </w:tabs>
              <w:suppressAutoHyphens/>
              <w:spacing w:before="40" w:after="40" w:line="210" w:lineRule="exact"/>
              <w:ind w:right="43"/>
              <w:jc w:val="right"/>
              <w:rPr>
                <w:sz w:val="17"/>
              </w:rPr>
            </w:pPr>
            <w:r w:rsidRPr="001D2AA7">
              <w:rPr>
                <w:sz w:val="17"/>
              </w:rPr>
              <w:t>3</w:t>
            </w:r>
          </w:p>
        </w:tc>
        <w:tc>
          <w:tcPr>
            <w:tcW w:w="720" w:type="dxa"/>
            <w:shd w:val="clear" w:color="auto" w:fill="auto"/>
            <w:noWrap/>
            <w:vAlign w:val="bottom"/>
          </w:tcPr>
          <w:p w14:paraId="30EA99B8" w14:textId="77777777" w:rsidR="005D40D4" w:rsidRPr="001D2AA7" w:rsidRDefault="005D40D4" w:rsidP="001D2AA7">
            <w:pPr>
              <w:tabs>
                <w:tab w:val="left" w:pos="288"/>
                <w:tab w:val="left" w:pos="576"/>
                <w:tab w:val="left" w:pos="864"/>
                <w:tab w:val="left" w:pos="1152"/>
              </w:tabs>
              <w:suppressAutoHyphens/>
              <w:spacing w:before="40" w:after="40" w:line="210" w:lineRule="exact"/>
              <w:ind w:right="43"/>
              <w:jc w:val="right"/>
              <w:rPr>
                <w:sz w:val="17"/>
              </w:rPr>
            </w:pPr>
            <w:r w:rsidRPr="001D2AA7">
              <w:rPr>
                <w:sz w:val="17"/>
              </w:rPr>
              <w:t>83</w:t>
            </w:r>
          </w:p>
        </w:tc>
        <w:tc>
          <w:tcPr>
            <w:tcW w:w="1260" w:type="dxa"/>
            <w:gridSpan w:val="2"/>
            <w:shd w:val="clear" w:color="auto" w:fill="auto"/>
            <w:noWrap/>
            <w:vAlign w:val="bottom"/>
          </w:tcPr>
          <w:p w14:paraId="3317E86F" w14:textId="77777777" w:rsidR="005D40D4" w:rsidRPr="001D2AA7" w:rsidRDefault="005D40D4" w:rsidP="001D2AA7">
            <w:pPr>
              <w:tabs>
                <w:tab w:val="left" w:pos="288"/>
                <w:tab w:val="left" w:pos="576"/>
                <w:tab w:val="left" w:pos="864"/>
                <w:tab w:val="left" w:pos="1152"/>
              </w:tabs>
              <w:suppressAutoHyphens/>
              <w:spacing w:before="40" w:after="40" w:line="210" w:lineRule="exact"/>
              <w:ind w:right="43"/>
              <w:jc w:val="right"/>
              <w:rPr>
                <w:sz w:val="17"/>
              </w:rPr>
            </w:pPr>
            <w:r w:rsidRPr="001D2AA7">
              <w:rPr>
                <w:sz w:val="17"/>
              </w:rPr>
              <w:t>2</w:t>
            </w:r>
          </w:p>
        </w:tc>
        <w:tc>
          <w:tcPr>
            <w:tcW w:w="720" w:type="dxa"/>
            <w:shd w:val="clear" w:color="auto" w:fill="auto"/>
            <w:noWrap/>
            <w:vAlign w:val="bottom"/>
          </w:tcPr>
          <w:p w14:paraId="373CB3D4" w14:textId="77777777" w:rsidR="005D40D4" w:rsidRPr="001D2AA7" w:rsidRDefault="005D40D4" w:rsidP="001D2AA7">
            <w:pPr>
              <w:tabs>
                <w:tab w:val="left" w:pos="288"/>
                <w:tab w:val="left" w:pos="576"/>
                <w:tab w:val="left" w:pos="864"/>
                <w:tab w:val="left" w:pos="1152"/>
              </w:tabs>
              <w:suppressAutoHyphens/>
              <w:spacing w:before="40" w:after="40" w:line="210" w:lineRule="exact"/>
              <w:ind w:right="43"/>
              <w:jc w:val="right"/>
              <w:rPr>
                <w:sz w:val="17"/>
              </w:rPr>
            </w:pPr>
            <w:r w:rsidRPr="001D2AA7">
              <w:rPr>
                <w:sz w:val="17"/>
              </w:rPr>
              <w:t>113</w:t>
            </w:r>
          </w:p>
        </w:tc>
        <w:tc>
          <w:tcPr>
            <w:tcW w:w="1260" w:type="dxa"/>
            <w:gridSpan w:val="2"/>
            <w:shd w:val="clear" w:color="auto" w:fill="auto"/>
            <w:noWrap/>
            <w:vAlign w:val="bottom"/>
          </w:tcPr>
          <w:p w14:paraId="2ECBAD20" w14:textId="77777777" w:rsidR="005D40D4" w:rsidRPr="001D2AA7" w:rsidRDefault="005D40D4" w:rsidP="001D2AA7">
            <w:pPr>
              <w:tabs>
                <w:tab w:val="left" w:pos="288"/>
                <w:tab w:val="left" w:pos="576"/>
                <w:tab w:val="left" w:pos="864"/>
                <w:tab w:val="left" w:pos="1152"/>
              </w:tabs>
              <w:suppressAutoHyphens/>
              <w:spacing w:before="40" w:after="40" w:line="210" w:lineRule="exact"/>
              <w:ind w:right="43"/>
              <w:jc w:val="right"/>
              <w:rPr>
                <w:sz w:val="17"/>
              </w:rPr>
            </w:pPr>
            <w:r w:rsidRPr="001D2AA7">
              <w:rPr>
                <w:sz w:val="17"/>
              </w:rPr>
              <w:t>7</w:t>
            </w:r>
          </w:p>
        </w:tc>
        <w:tc>
          <w:tcPr>
            <w:tcW w:w="668" w:type="dxa"/>
            <w:shd w:val="clear" w:color="auto" w:fill="auto"/>
            <w:noWrap/>
            <w:vAlign w:val="bottom"/>
          </w:tcPr>
          <w:p w14:paraId="56BD67AF" w14:textId="77777777" w:rsidR="005D40D4" w:rsidRPr="001D2AA7" w:rsidRDefault="005D40D4" w:rsidP="001D2AA7">
            <w:pPr>
              <w:tabs>
                <w:tab w:val="left" w:pos="288"/>
                <w:tab w:val="left" w:pos="576"/>
                <w:tab w:val="left" w:pos="864"/>
                <w:tab w:val="left" w:pos="1152"/>
              </w:tabs>
              <w:suppressAutoHyphens/>
              <w:spacing w:before="40" w:after="40" w:line="210" w:lineRule="exact"/>
              <w:ind w:right="43"/>
              <w:jc w:val="right"/>
              <w:rPr>
                <w:sz w:val="17"/>
              </w:rPr>
            </w:pPr>
            <w:r w:rsidRPr="001D2AA7">
              <w:rPr>
                <w:sz w:val="17"/>
              </w:rPr>
              <w:t>86</w:t>
            </w:r>
          </w:p>
        </w:tc>
      </w:tr>
      <w:tr w:rsidR="001D2AA7" w:rsidRPr="001D2AA7" w14:paraId="7579DD04" w14:textId="77777777" w:rsidTr="00044750">
        <w:trPr>
          <w:cantSplit/>
        </w:trPr>
        <w:tc>
          <w:tcPr>
            <w:tcW w:w="1703" w:type="dxa"/>
            <w:shd w:val="clear" w:color="auto" w:fill="auto"/>
            <w:noWrap/>
            <w:vAlign w:val="bottom"/>
          </w:tcPr>
          <w:p w14:paraId="1125F48D" w14:textId="77777777" w:rsidR="005D40D4" w:rsidRPr="001D2AA7" w:rsidRDefault="005D40D4" w:rsidP="001D2AA7">
            <w:pPr>
              <w:tabs>
                <w:tab w:val="left" w:pos="288"/>
                <w:tab w:val="left" w:pos="576"/>
                <w:tab w:val="left" w:pos="864"/>
                <w:tab w:val="left" w:pos="1152"/>
              </w:tabs>
              <w:suppressAutoHyphens/>
              <w:spacing w:before="40" w:after="40" w:line="210" w:lineRule="exact"/>
              <w:ind w:right="40"/>
              <w:rPr>
                <w:sz w:val="17"/>
              </w:rPr>
            </w:pPr>
            <w:r w:rsidRPr="001D2AA7">
              <w:rPr>
                <w:sz w:val="17"/>
              </w:rPr>
              <w:t>Sensibilisation à la lecture</w:t>
            </w:r>
          </w:p>
        </w:tc>
        <w:tc>
          <w:tcPr>
            <w:tcW w:w="1170" w:type="dxa"/>
            <w:gridSpan w:val="2"/>
            <w:shd w:val="clear" w:color="auto" w:fill="auto"/>
            <w:noWrap/>
            <w:vAlign w:val="bottom"/>
          </w:tcPr>
          <w:p w14:paraId="78236E48" w14:textId="77777777" w:rsidR="005D40D4" w:rsidRPr="001D2AA7" w:rsidRDefault="005D40D4" w:rsidP="001D2AA7">
            <w:pPr>
              <w:tabs>
                <w:tab w:val="left" w:pos="288"/>
                <w:tab w:val="left" w:pos="576"/>
                <w:tab w:val="left" w:pos="864"/>
                <w:tab w:val="left" w:pos="1152"/>
              </w:tabs>
              <w:suppressAutoHyphens/>
              <w:spacing w:before="40" w:after="40" w:line="210" w:lineRule="exact"/>
              <w:ind w:right="43"/>
              <w:jc w:val="right"/>
              <w:rPr>
                <w:sz w:val="17"/>
              </w:rPr>
            </w:pPr>
            <w:r w:rsidRPr="001D2AA7">
              <w:rPr>
                <w:sz w:val="17"/>
              </w:rPr>
              <w:t>2</w:t>
            </w:r>
          </w:p>
        </w:tc>
        <w:tc>
          <w:tcPr>
            <w:tcW w:w="720" w:type="dxa"/>
            <w:shd w:val="clear" w:color="auto" w:fill="auto"/>
            <w:noWrap/>
            <w:vAlign w:val="bottom"/>
          </w:tcPr>
          <w:p w14:paraId="024AAEAE" w14:textId="77777777" w:rsidR="005D40D4" w:rsidRPr="001D2AA7" w:rsidRDefault="005D40D4" w:rsidP="001D2AA7">
            <w:pPr>
              <w:tabs>
                <w:tab w:val="left" w:pos="288"/>
                <w:tab w:val="left" w:pos="576"/>
                <w:tab w:val="left" w:pos="864"/>
                <w:tab w:val="left" w:pos="1152"/>
              </w:tabs>
              <w:suppressAutoHyphens/>
              <w:spacing w:before="40" w:after="40" w:line="210" w:lineRule="exact"/>
              <w:ind w:right="43"/>
              <w:jc w:val="right"/>
              <w:rPr>
                <w:sz w:val="17"/>
              </w:rPr>
            </w:pPr>
            <w:r w:rsidRPr="001D2AA7">
              <w:rPr>
                <w:sz w:val="17"/>
              </w:rPr>
              <w:t>18</w:t>
            </w:r>
          </w:p>
        </w:tc>
        <w:tc>
          <w:tcPr>
            <w:tcW w:w="1260" w:type="dxa"/>
            <w:gridSpan w:val="2"/>
            <w:shd w:val="clear" w:color="auto" w:fill="auto"/>
            <w:noWrap/>
            <w:vAlign w:val="bottom"/>
          </w:tcPr>
          <w:p w14:paraId="061BF9B2" w14:textId="77777777" w:rsidR="005D40D4" w:rsidRPr="001D2AA7" w:rsidRDefault="005D40D4" w:rsidP="001D2AA7">
            <w:pPr>
              <w:tabs>
                <w:tab w:val="left" w:pos="288"/>
                <w:tab w:val="left" w:pos="576"/>
                <w:tab w:val="left" w:pos="864"/>
                <w:tab w:val="left" w:pos="1152"/>
              </w:tabs>
              <w:suppressAutoHyphens/>
              <w:spacing w:before="40" w:after="40" w:line="210" w:lineRule="exact"/>
              <w:ind w:right="43"/>
              <w:jc w:val="right"/>
              <w:rPr>
                <w:sz w:val="17"/>
              </w:rPr>
            </w:pPr>
            <w:r w:rsidRPr="001D2AA7">
              <w:rPr>
                <w:sz w:val="17"/>
              </w:rPr>
              <w:t>7</w:t>
            </w:r>
          </w:p>
        </w:tc>
        <w:tc>
          <w:tcPr>
            <w:tcW w:w="720" w:type="dxa"/>
            <w:shd w:val="clear" w:color="auto" w:fill="auto"/>
            <w:noWrap/>
            <w:vAlign w:val="bottom"/>
          </w:tcPr>
          <w:p w14:paraId="7A46C2C8" w14:textId="77777777" w:rsidR="005D40D4" w:rsidRPr="001D2AA7" w:rsidRDefault="005D40D4" w:rsidP="001D2AA7">
            <w:pPr>
              <w:tabs>
                <w:tab w:val="left" w:pos="288"/>
                <w:tab w:val="left" w:pos="576"/>
                <w:tab w:val="left" w:pos="864"/>
                <w:tab w:val="left" w:pos="1152"/>
              </w:tabs>
              <w:suppressAutoHyphens/>
              <w:spacing w:before="40" w:after="40" w:line="210" w:lineRule="exact"/>
              <w:ind w:right="43"/>
              <w:jc w:val="right"/>
              <w:rPr>
                <w:sz w:val="17"/>
              </w:rPr>
            </w:pPr>
            <w:r w:rsidRPr="001D2AA7">
              <w:rPr>
                <w:sz w:val="17"/>
              </w:rPr>
              <w:t>31</w:t>
            </w:r>
          </w:p>
        </w:tc>
        <w:tc>
          <w:tcPr>
            <w:tcW w:w="1260" w:type="dxa"/>
            <w:gridSpan w:val="2"/>
            <w:shd w:val="clear" w:color="auto" w:fill="auto"/>
            <w:noWrap/>
            <w:vAlign w:val="bottom"/>
          </w:tcPr>
          <w:p w14:paraId="07AB6E6F" w14:textId="77777777" w:rsidR="005D40D4" w:rsidRPr="001D2AA7" w:rsidRDefault="005D40D4" w:rsidP="001D2AA7">
            <w:pPr>
              <w:tabs>
                <w:tab w:val="left" w:pos="288"/>
                <w:tab w:val="left" w:pos="576"/>
                <w:tab w:val="left" w:pos="864"/>
                <w:tab w:val="left" w:pos="1152"/>
              </w:tabs>
              <w:suppressAutoHyphens/>
              <w:spacing w:before="40" w:after="40" w:line="210" w:lineRule="exact"/>
              <w:ind w:right="43"/>
              <w:jc w:val="right"/>
              <w:rPr>
                <w:sz w:val="17"/>
              </w:rPr>
            </w:pPr>
            <w:r w:rsidRPr="001D2AA7">
              <w:rPr>
                <w:sz w:val="17"/>
              </w:rPr>
              <w:t>12</w:t>
            </w:r>
          </w:p>
        </w:tc>
        <w:tc>
          <w:tcPr>
            <w:tcW w:w="720" w:type="dxa"/>
            <w:shd w:val="clear" w:color="auto" w:fill="auto"/>
            <w:noWrap/>
            <w:vAlign w:val="bottom"/>
          </w:tcPr>
          <w:p w14:paraId="56B83F5C" w14:textId="77777777" w:rsidR="005D40D4" w:rsidRPr="001D2AA7" w:rsidRDefault="005D40D4" w:rsidP="001D2AA7">
            <w:pPr>
              <w:tabs>
                <w:tab w:val="left" w:pos="288"/>
                <w:tab w:val="left" w:pos="576"/>
                <w:tab w:val="left" w:pos="864"/>
                <w:tab w:val="left" w:pos="1152"/>
              </w:tabs>
              <w:suppressAutoHyphens/>
              <w:spacing w:before="40" w:after="40" w:line="210" w:lineRule="exact"/>
              <w:ind w:right="43"/>
              <w:jc w:val="right"/>
              <w:rPr>
                <w:sz w:val="17"/>
              </w:rPr>
            </w:pPr>
            <w:r w:rsidRPr="001D2AA7">
              <w:rPr>
                <w:sz w:val="17"/>
              </w:rPr>
              <w:t>56</w:t>
            </w:r>
          </w:p>
        </w:tc>
        <w:tc>
          <w:tcPr>
            <w:tcW w:w="1260" w:type="dxa"/>
            <w:gridSpan w:val="2"/>
            <w:shd w:val="clear" w:color="auto" w:fill="auto"/>
            <w:noWrap/>
            <w:vAlign w:val="bottom"/>
          </w:tcPr>
          <w:p w14:paraId="75639E9C" w14:textId="77777777" w:rsidR="005D40D4" w:rsidRPr="001D2AA7" w:rsidRDefault="005D40D4" w:rsidP="001D2AA7">
            <w:pPr>
              <w:tabs>
                <w:tab w:val="left" w:pos="288"/>
                <w:tab w:val="left" w:pos="576"/>
                <w:tab w:val="left" w:pos="864"/>
                <w:tab w:val="left" w:pos="1152"/>
              </w:tabs>
              <w:suppressAutoHyphens/>
              <w:spacing w:before="40" w:after="40" w:line="210" w:lineRule="exact"/>
              <w:ind w:right="43"/>
              <w:jc w:val="right"/>
              <w:rPr>
                <w:sz w:val="17"/>
              </w:rPr>
            </w:pPr>
            <w:r w:rsidRPr="001D2AA7">
              <w:rPr>
                <w:sz w:val="17"/>
              </w:rPr>
              <w:t>9</w:t>
            </w:r>
          </w:p>
        </w:tc>
        <w:tc>
          <w:tcPr>
            <w:tcW w:w="668" w:type="dxa"/>
            <w:shd w:val="clear" w:color="auto" w:fill="auto"/>
            <w:noWrap/>
            <w:vAlign w:val="bottom"/>
          </w:tcPr>
          <w:p w14:paraId="09C8BFFC" w14:textId="77777777" w:rsidR="005D40D4" w:rsidRPr="001D2AA7" w:rsidRDefault="005D40D4" w:rsidP="001D2AA7">
            <w:pPr>
              <w:tabs>
                <w:tab w:val="left" w:pos="288"/>
                <w:tab w:val="left" w:pos="576"/>
                <w:tab w:val="left" w:pos="864"/>
                <w:tab w:val="left" w:pos="1152"/>
              </w:tabs>
              <w:suppressAutoHyphens/>
              <w:spacing w:before="40" w:after="40" w:line="210" w:lineRule="exact"/>
              <w:ind w:right="43"/>
              <w:jc w:val="right"/>
              <w:rPr>
                <w:sz w:val="17"/>
              </w:rPr>
            </w:pPr>
            <w:r w:rsidRPr="001D2AA7">
              <w:rPr>
                <w:sz w:val="17"/>
              </w:rPr>
              <w:t>37</w:t>
            </w:r>
          </w:p>
        </w:tc>
      </w:tr>
      <w:tr w:rsidR="001D2AA7" w:rsidRPr="001D2AA7" w14:paraId="206DF0EC" w14:textId="77777777" w:rsidTr="00044750">
        <w:trPr>
          <w:cantSplit/>
        </w:trPr>
        <w:tc>
          <w:tcPr>
            <w:tcW w:w="1703" w:type="dxa"/>
            <w:tcBorders>
              <w:bottom w:val="single" w:sz="12" w:space="0" w:color="auto"/>
            </w:tcBorders>
            <w:shd w:val="clear" w:color="auto" w:fill="auto"/>
            <w:noWrap/>
            <w:vAlign w:val="bottom"/>
          </w:tcPr>
          <w:p w14:paraId="5F20E4AD" w14:textId="77777777" w:rsidR="005D40D4" w:rsidRPr="001D2AA7" w:rsidRDefault="005D40D4" w:rsidP="001D2AA7">
            <w:pPr>
              <w:tabs>
                <w:tab w:val="left" w:pos="288"/>
                <w:tab w:val="left" w:pos="576"/>
                <w:tab w:val="left" w:pos="864"/>
                <w:tab w:val="left" w:pos="1152"/>
              </w:tabs>
              <w:suppressAutoHyphens/>
              <w:spacing w:before="40" w:after="40" w:line="210" w:lineRule="exact"/>
              <w:ind w:right="40"/>
              <w:rPr>
                <w:sz w:val="17"/>
              </w:rPr>
            </w:pPr>
            <w:r w:rsidRPr="001D2AA7">
              <w:rPr>
                <w:sz w:val="17"/>
              </w:rPr>
              <w:t>Salons internationaux</w:t>
            </w:r>
          </w:p>
        </w:tc>
        <w:tc>
          <w:tcPr>
            <w:tcW w:w="1170" w:type="dxa"/>
            <w:gridSpan w:val="2"/>
            <w:tcBorders>
              <w:bottom w:val="single" w:sz="12" w:space="0" w:color="auto"/>
            </w:tcBorders>
            <w:shd w:val="clear" w:color="auto" w:fill="auto"/>
            <w:noWrap/>
            <w:vAlign w:val="bottom"/>
          </w:tcPr>
          <w:p w14:paraId="0BF1B55D" w14:textId="77777777" w:rsidR="005D40D4" w:rsidRPr="001D2AA7" w:rsidRDefault="005D40D4" w:rsidP="001D2AA7">
            <w:pPr>
              <w:tabs>
                <w:tab w:val="left" w:pos="288"/>
                <w:tab w:val="left" w:pos="576"/>
                <w:tab w:val="left" w:pos="864"/>
                <w:tab w:val="left" w:pos="1152"/>
              </w:tabs>
              <w:suppressAutoHyphens/>
              <w:spacing w:before="40" w:after="40" w:line="210" w:lineRule="exact"/>
              <w:ind w:right="43"/>
              <w:jc w:val="right"/>
              <w:rPr>
                <w:sz w:val="17"/>
              </w:rPr>
            </w:pPr>
            <w:r w:rsidRPr="001D2AA7">
              <w:rPr>
                <w:sz w:val="17"/>
              </w:rPr>
              <w:t>10</w:t>
            </w:r>
          </w:p>
        </w:tc>
        <w:tc>
          <w:tcPr>
            <w:tcW w:w="720" w:type="dxa"/>
            <w:tcBorders>
              <w:bottom w:val="single" w:sz="12" w:space="0" w:color="auto"/>
            </w:tcBorders>
            <w:shd w:val="clear" w:color="auto" w:fill="auto"/>
            <w:noWrap/>
            <w:vAlign w:val="bottom"/>
          </w:tcPr>
          <w:p w14:paraId="52C77592" w14:textId="77777777" w:rsidR="005D40D4" w:rsidRPr="001D2AA7" w:rsidRDefault="005D40D4" w:rsidP="001D2AA7">
            <w:pPr>
              <w:tabs>
                <w:tab w:val="left" w:pos="288"/>
                <w:tab w:val="left" w:pos="576"/>
                <w:tab w:val="left" w:pos="864"/>
                <w:tab w:val="left" w:pos="1152"/>
              </w:tabs>
              <w:suppressAutoHyphens/>
              <w:spacing w:before="40" w:after="40" w:line="210" w:lineRule="exact"/>
              <w:ind w:right="43"/>
              <w:jc w:val="right"/>
              <w:rPr>
                <w:sz w:val="17"/>
              </w:rPr>
            </w:pPr>
            <w:r w:rsidRPr="001D2AA7">
              <w:rPr>
                <w:sz w:val="17"/>
              </w:rPr>
              <w:t>43</w:t>
            </w:r>
          </w:p>
        </w:tc>
        <w:tc>
          <w:tcPr>
            <w:tcW w:w="1260" w:type="dxa"/>
            <w:gridSpan w:val="2"/>
            <w:tcBorders>
              <w:bottom w:val="single" w:sz="12" w:space="0" w:color="auto"/>
            </w:tcBorders>
            <w:shd w:val="clear" w:color="auto" w:fill="auto"/>
            <w:noWrap/>
            <w:vAlign w:val="bottom"/>
          </w:tcPr>
          <w:p w14:paraId="48F63223" w14:textId="77777777" w:rsidR="005D40D4" w:rsidRPr="001D2AA7" w:rsidRDefault="005D40D4" w:rsidP="001D2AA7">
            <w:pPr>
              <w:tabs>
                <w:tab w:val="left" w:pos="288"/>
                <w:tab w:val="left" w:pos="576"/>
                <w:tab w:val="left" w:pos="864"/>
                <w:tab w:val="left" w:pos="1152"/>
              </w:tabs>
              <w:suppressAutoHyphens/>
              <w:spacing w:before="40" w:after="40" w:line="210" w:lineRule="exact"/>
              <w:ind w:right="43"/>
              <w:jc w:val="right"/>
              <w:rPr>
                <w:sz w:val="17"/>
              </w:rPr>
            </w:pPr>
            <w:r w:rsidRPr="001D2AA7">
              <w:rPr>
                <w:sz w:val="17"/>
              </w:rPr>
              <w:t>21</w:t>
            </w:r>
          </w:p>
        </w:tc>
        <w:tc>
          <w:tcPr>
            <w:tcW w:w="720" w:type="dxa"/>
            <w:tcBorders>
              <w:bottom w:val="single" w:sz="12" w:space="0" w:color="auto"/>
            </w:tcBorders>
            <w:shd w:val="clear" w:color="auto" w:fill="auto"/>
            <w:noWrap/>
            <w:vAlign w:val="bottom"/>
          </w:tcPr>
          <w:p w14:paraId="27EE4939" w14:textId="77777777" w:rsidR="005D40D4" w:rsidRPr="001D2AA7" w:rsidRDefault="005D40D4" w:rsidP="001D2AA7">
            <w:pPr>
              <w:tabs>
                <w:tab w:val="left" w:pos="288"/>
                <w:tab w:val="left" w:pos="576"/>
                <w:tab w:val="left" w:pos="864"/>
                <w:tab w:val="left" w:pos="1152"/>
              </w:tabs>
              <w:suppressAutoHyphens/>
              <w:spacing w:before="40" w:after="40" w:line="210" w:lineRule="exact"/>
              <w:ind w:right="43"/>
              <w:jc w:val="right"/>
              <w:rPr>
                <w:sz w:val="17"/>
              </w:rPr>
            </w:pPr>
            <w:r w:rsidRPr="001D2AA7">
              <w:rPr>
                <w:sz w:val="17"/>
              </w:rPr>
              <w:t>104</w:t>
            </w:r>
          </w:p>
        </w:tc>
        <w:tc>
          <w:tcPr>
            <w:tcW w:w="1260" w:type="dxa"/>
            <w:gridSpan w:val="2"/>
            <w:tcBorders>
              <w:bottom w:val="single" w:sz="12" w:space="0" w:color="auto"/>
            </w:tcBorders>
            <w:shd w:val="clear" w:color="auto" w:fill="auto"/>
            <w:noWrap/>
            <w:vAlign w:val="bottom"/>
          </w:tcPr>
          <w:p w14:paraId="7B7BE7BF" w14:textId="77777777" w:rsidR="005D40D4" w:rsidRPr="001D2AA7" w:rsidRDefault="005D40D4" w:rsidP="001D2AA7">
            <w:pPr>
              <w:tabs>
                <w:tab w:val="left" w:pos="288"/>
                <w:tab w:val="left" w:pos="576"/>
                <w:tab w:val="left" w:pos="864"/>
                <w:tab w:val="left" w:pos="1152"/>
              </w:tabs>
              <w:suppressAutoHyphens/>
              <w:spacing w:before="40" w:after="40" w:line="210" w:lineRule="exact"/>
              <w:ind w:right="43"/>
              <w:jc w:val="right"/>
              <w:rPr>
                <w:sz w:val="17"/>
              </w:rPr>
            </w:pPr>
            <w:r w:rsidRPr="001D2AA7">
              <w:rPr>
                <w:sz w:val="17"/>
              </w:rPr>
              <w:t>48</w:t>
            </w:r>
          </w:p>
        </w:tc>
        <w:tc>
          <w:tcPr>
            <w:tcW w:w="720" w:type="dxa"/>
            <w:tcBorders>
              <w:bottom w:val="single" w:sz="12" w:space="0" w:color="auto"/>
            </w:tcBorders>
            <w:shd w:val="clear" w:color="auto" w:fill="auto"/>
            <w:noWrap/>
            <w:vAlign w:val="bottom"/>
          </w:tcPr>
          <w:p w14:paraId="5B7674A2" w14:textId="77777777" w:rsidR="005D40D4" w:rsidRPr="001D2AA7" w:rsidRDefault="005D40D4" w:rsidP="001D2AA7">
            <w:pPr>
              <w:tabs>
                <w:tab w:val="left" w:pos="288"/>
                <w:tab w:val="left" w:pos="576"/>
                <w:tab w:val="left" w:pos="864"/>
                <w:tab w:val="left" w:pos="1152"/>
              </w:tabs>
              <w:suppressAutoHyphens/>
              <w:spacing w:before="40" w:after="40" w:line="210" w:lineRule="exact"/>
              <w:ind w:right="43"/>
              <w:jc w:val="right"/>
              <w:rPr>
                <w:sz w:val="17"/>
              </w:rPr>
            </w:pPr>
            <w:r w:rsidRPr="001D2AA7">
              <w:rPr>
                <w:sz w:val="17"/>
              </w:rPr>
              <w:t>138</w:t>
            </w:r>
          </w:p>
        </w:tc>
        <w:tc>
          <w:tcPr>
            <w:tcW w:w="1260" w:type="dxa"/>
            <w:gridSpan w:val="2"/>
            <w:tcBorders>
              <w:bottom w:val="single" w:sz="12" w:space="0" w:color="auto"/>
            </w:tcBorders>
            <w:shd w:val="clear" w:color="auto" w:fill="auto"/>
            <w:noWrap/>
            <w:vAlign w:val="bottom"/>
          </w:tcPr>
          <w:p w14:paraId="6A655A91" w14:textId="77777777" w:rsidR="005D40D4" w:rsidRPr="001D2AA7" w:rsidRDefault="005D40D4" w:rsidP="001D2AA7">
            <w:pPr>
              <w:tabs>
                <w:tab w:val="left" w:pos="288"/>
                <w:tab w:val="left" w:pos="576"/>
                <w:tab w:val="left" w:pos="864"/>
                <w:tab w:val="left" w:pos="1152"/>
              </w:tabs>
              <w:suppressAutoHyphens/>
              <w:spacing w:before="40" w:after="40" w:line="210" w:lineRule="exact"/>
              <w:ind w:right="43"/>
              <w:jc w:val="right"/>
              <w:rPr>
                <w:sz w:val="17"/>
              </w:rPr>
            </w:pPr>
            <w:r w:rsidRPr="001D2AA7">
              <w:rPr>
                <w:sz w:val="17"/>
              </w:rPr>
              <w:t>46</w:t>
            </w:r>
          </w:p>
        </w:tc>
        <w:tc>
          <w:tcPr>
            <w:tcW w:w="668" w:type="dxa"/>
            <w:tcBorders>
              <w:bottom w:val="single" w:sz="12" w:space="0" w:color="auto"/>
            </w:tcBorders>
            <w:shd w:val="clear" w:color="auto" w:fill="auto"/>
            <w:noWrap/>
            <w:vAlign w:val="bottom"/>
          </w:tcPr>
          <w:p w14:paraId="4D506635" w14:textId="77777777" w:rsidR="005D40D4" w:rsidRPr="001D2AA7" w:rsidRDefault="005D40D4" w:rsidP="001D2AA7">
            <w:pPr>
              <w:tabs>
                <w:tab w:val="left" w:pos="288"/>
                <w:tab w:val="left" w:pos="576"/>
                <w:tab w:val="left" w:pos="864"/>
                <w:tab w:val="left" w:pos="1152"/>
              </w:tabs>
              <w:suppressAutoHyphens/>
              <w:spacing w:before="40" w:after="40" w:line="210" w:lineRule="exact"/>
              <w:ind w:right="43"/>
              <w:jc w:val="right"/>
              <w:rPr>
                <w:sz w:val="17"/>
              </w:rPr>
            </w:pPr>
            <w:r w:rsidRPr="001D2AA7">
              <w:rPr>
                <w:sz w:val="17"/>
              </w:rPr>
              <w:t>144</w:t>
            </w:r>
          </w:p>
        </w:tc>
      </w:tr>
    </w:tbl>
    <w:p w14:paraId="2E30F59D" w14:textId="0A2BF20C" w:rsidR="005D40D4" w:rsidRPr="00044750" w:rsidRDefault="005D40D4" w:rsidP="00044750">
      <w:pPr>
        <w:pStyle w:val="SingleTxt"/>
        <w:spacing w:after="0" w:line="120" w:lineRule="exact"/>
        <w:rPr>
          <w:sz w:val="10"/>
          <w:lang w:val="fr-FR"/>
        </w:rPr>
      </w:pPr>
    </w:p>
    <w:p w14:paraId="40B76BC6" w14:textId="68AF00F6" w:rsidR="005D40D4" w:rsidRDefault="005D40D4" w:rsidP="00044750">
      <w:pPr>
        <w:pStyle w:val="FootnoteText"/>
        <w:tabs>
          <w:tab w:val="right" w:pos="1476"/>
          <w:tab w:val="left" w:pos="1548"/>
          <w:tab w:val="right" w:pos="1836"/>
          <w:tab w:val="left" w:pos="1908"/>
        </w:tabs>
        <w:ind w:left="1548" w:hanging="288"/>
        <w:rPr>
          <w:lang w:val="fr-FR"/>
        </w:rPr>
      </w:pPr>
      <w:r w:rsidRPr="005D40D4">
        <w:rPr>
          <w:lang w:val="fr-FR"/>
        </w:rPr>
        <w:t>Source</w:t>
      </w:r>
      <w:r w:rsidR="00F1794C" w:rsidRPr="00F1794C">
        <w:rPr>
          <w:lang w:val="fr-FR"/>
        </w:rPr>
        <w:t> :</w:t>
      </w:r>
      <w:r w:rsidRPr="005D40D4">
        <w:rPr>
          <w:lang w:val="fr-FR"/>
        </w:rPr>
        <w:t xml:space="preserve"> Ministère de la culture</w:t>
      </w:r>
      <w:r w:rsidR="00044750">
        <w:rPr>
          <w:lang w:val="fr-FR"/>
        </w:rPr>
        <w:t>.</w:t>
      </w:r>
    </w:p>
    <w:p w14:paraId="1CC4D10F" w14:textId="4594F14F" w:rsidR="00044750" w:rsidRPr="00044750" w:rsidRDefault="00044750" w:rsidP="00044750">
      <w:pPr>
        <w:pStyle w:val="FootnoteText"/>
        <w:tabs>
          <w:tab w:val="right" w:pos="1476"/>
          <w:tab w:val="left" w:pos="1548"/>
          <w:tab w:val="right" w:pos="1836"/>
          <w:tab w:val="left" w:pos="1908"/>
        </w:tabs>
        <w:spacing w:line="120" w:lineRule="exact"/>
        <w:ind w:left="1548" w:hanging="288"/>
        <w:rPr>
          <w:sz w:val="10"/>
          <w:lang w:val="fr-FR"/>
        </w:rPr>
      </w:pPr>
    </w:p>
    <w:p w14:paraId="7DFA3AC3" w14:textId="03AD4D98" w:rsidR="00044750" w:rsidRPr="00044750" w:rsidRDefault="00044750" w:rsidP="00044750">
      <w:pPr>
        <w:pStyle w:val="FootnoteText"/>
        <w:tabs>
          <w:tab w:val="right" w:pos="1476"/>
          <w:tab w:val="left" w:pos="1548"/>
          <w:tab w:val="right" w:pos="1836"/>
          <w:tab w:val="left" w:pos="1908"/>
        </w:tabs>
        <w:spacing w:line="120" w:lineRule="exact"/>
        <w:ind w:left="1548" w:hanging="288"/>
        <w:rPr>
          <w:sz w:val="10"/>
          <w:lang w:val="fr-FR"/>
        </w:rPr>
      </w:pPr>
    </w:p>
    <w:p w14:paraId="57AE52A3" w14:textId="6D37D8F7" w:rsidR="005D40D4" w:rsidRPr="00044750" w:rsidRDefault="00044750" w:rsidP="00044750">
      <w:pPr>
        <w:pStyle w:val="SingleTxt"/>
        <w:tabs>
          <w:tab w:val="right" w:pos="1685"/>
        </w:tabs>
        <w:ind w:left="1742" w:hanging="475"/>
        <w:rPr>
          <w:lang w:val="fr-FR"/>
        </w:rPr>
      </w:pPr>
      <w:r>
        <w:rPr>
          <w:lang w:val="fr-FR"/>
        </w:rPr>
        <w:tab/>
        <w:t>•</w:t>
      </w:r>
      <w:r>
        <w:rPr>
          <w:lang w:val="fr-FR"/>
        </w:rPr>
        <w:tab/>
      </w:r>
      <w:r w:rsidR="005D40D4" w:rsidRPr="00044750">
        <w:rPr>
          <w:lang w:val="fr-FR"/>
        </w:rPr>
        <w:t>Représentation des femmes et présence de la créativité des femmes dans toutes ses manifestations garanties lors des expositions et semaines culturelles marocaines organisées à l</w:t>
      </w:r>
      <w:r w:rsidR="00F1794C" w:rsidRPr="00044750">
        <w:rPr>
          <w:lang w:val="fr-FR"/>
        </w:rPr>
        <w:t>’</w:t>
      </w:r>
      <w:r w:rsidR="005D40D4" w:rsidRPr="00044750">
        <w:rPr>
          <w:lang w:val="fr-FR"/>
        </w:rPr>
        <w:t>étranger</w:t>
      </w:r>
      <w:r w:rsidR="00F1794C" w:rsidRPr="00044750">
        <w:rPr>
          <w:lang w:val="fr-FR"/>
        </w:rPr>
        <w:t> ;</w:t>
      </w:r>
    </w:p>
    <w:p w14:paraId="55A50A89" w14:textId="0A97332C" w:rsidR="005D40D4" w:rsidRPr="00044750" w:rsidRDefault="00044750" w:rsidP="00044750">
      <w:pPr>
        <w:pStyle w:val="SingleTxt"/>
        <w:tabs>
          <w:tab w:val="right" w:pos="1685"/>
        </w:tabs>
        <w:ind w:left="1742" w:hanging="475"/>
        <w:rPr>
          <w:lang w:val="fr-FR"/>
        </w:rPr>
      </w:pPr>
      <w:r>
        <w:rPr>
          <w:lang w:val="fr-FR"/>
        </w:rPr>
        <w:tab/>
        <w:t>•</w:t>
      </w:r>
      <w:r>
        <w:rPr>
          <w:lang w:val="fr-FR"/>
        </w:rPr>
        <w:tab/>
      </w:r>
      <w:r w:rsidR="005D40D4" w:rsidRPr="00044750">
        <w:rPr>
          <w:lang w:val="fr-FR"/>
        </w:rPr>
        <w:t>Participation aux différentes rencontres intellectuelles et études sur les questions relatives aux femmes</w:t>
      </w:r>
      <w:r w:rsidR="00F1794C" w:rsidRPr="00044750">
        <w:rPr>
          <w:lang w:val="fr-FR"/>
        </w:rPr>
        <w:t> ;</w:t>
      </w:r>
    </w:p>
    <w:p w14:paraId="37920303" w14:textId="1FD9DF6B" w:rsidR="005D40D4" w:rsidRPr="00044750" w:rsidRDefault="00044750" w:rsidP="00044750">
      <w:pPr>
        <w:pStyle w:val="SingleTxt"/>
        <w:tabs>
          <w:tab w:val="right" w:pos="1685"/>
        </w:tabs>
        <w:ind w:left="1742" w:hanging="475"/>
        <w:rPr>
          <w:lang w:val="fr-FR"/>
        </w:rPr>
      </w:pPr>
      <w:r>
        <w:rPr>
          <w:lang w:val="fr-FR"/>
        </w:rPr>
        <w:tab/>
        <w:t>•</w:t>
      </w:r>
      <w:r>
        <w:rPr>
          <w:lang w:val="fr-FR"/>
        </w:rPr>
        <w:tab/>
      </w:r>
      <w:r w:rsidR="005D40D4" w:rsidRPr="00044750">
        <w:rPr>
          <w:lang w:val="fr-FR"/>
        </w:rPr>
        <w:t>Collecte des données et recensement des coutumes, des traditions, du savoir-faire, de l</w:t>
      </w:r>
      <w:r w:rsidR="00F1794C" w:rsidRPr="00044750">
        <w:rPr>
          <w:lang w:val="fr-FR"/>
        </w:rPr>
        <w:t>’</w:t>
      </w:r>
      <w:r w:rsidR="005D40D4" w:rsidRPr="00044750">
        <w:rPr>
          <w:lang w:val="fr-FR"/>
        </w:rPr>
        <w:t>artisanat et des arts créés par des femmes</w:t>
      </w:r>
      <w:r w:rsidR="00F1794C" w:rsidRPr="00044750">
        <w:rPr>
          <w:lang w:val="fr-FR"/>
        </w:rPr>
        <w:t> ;</w:t>
      </w:r>
    </w:p>
    <w:p w14:paraId="778A4A60" w14:textId="543CC8C8" w:rsidR="005D40D4" w:rsidRPr="00044750" w:rsidRDefault="00044750" w:rsidP="00044750">
      <w:pPr>
        <w:pStyle w:val="SingleTxt"/>
        <w:tabs>
          <w:tab w:val="right" w:pos="1685"/>
        </w:tabs>
        <w:ind w:left="1742" w:hanging="475"/>
        <w:rPr>
          <w:lang w:val="fr-FR"/>
        </w:rPr>
      </w:pPr>
      <w:r>
        <w:rPr>
          <w:lang w:val="fr-FR"/>
        </w:rPr>
        <w:tab/>
        <w:t>•</w:t>
      </w:r>
      <w:r>
        <w:rPr>
          <w:lang w:val="fr-FR"/>
        </w:rPr>
        <w:tab/>
      </w:r>
      <w:r w:rsidR="005D40D4" w:rsidRPr="00044750">
        <w:rPr>
          <w:lang w:val="fr-FR"/>
        </w:rPr>
        <w:t>Remise du prix de l</w:t>
      </w:r>
      <w:r w:rsidR="00F1794C" w:rsidRPr="00044750">
        <w:rPr>
          <w:lang w:val="fr-FR"/>
        </w:rPr>
        <w:t>’</w:t>
      </w:r>
      <w:r w:rsidR="005D40D4" w:rsidRPr="00044750">
        <w:rPr>
          <w:lang w:val="fr-FR"/>
        </w:rPr>
        <w:t>interprétation féminine lors du Festival national du théâtre</w:t>
      </w:r>
      <w:r w:rsidR="00F1794C" w:rsidRPr="00044750">
        <w:rPr>
          <w:lang w:val="fr-FR"/>
        </w:rPr>
        <w:t> ;</w:t>
      </w:r>
    </w:p>
    <w:p w14:paraId="0F543F3C" w14:textId="4ADB2552" w:rsidR="005D40D4" w:rsidRPr="00044750" w:rsidRDefault="00044750" w:rsidP="00044750">
      <w:pPr>
        <w:pStyle w:val="SingleTxt"/>
        <w:tabs>
          <w:tab w:val="right" w:pos="1685"/>
        </w:tabs>
        <w:ind w:left="1742" w:hanging="475"/>
        <w:rPr>
          <w:lang w:val="fr-FR"/>
        </w:rPr>
      </w:pPr>
      <w:r>
        <w:rPr>
          <w:lang w:val="fr-FR"/>
        </w:rPr>
        <w:tab/>
        <w:t>•</w:t>
      </w:r>
      <w:r>
        <w:rPr>
          <w:lang w:val="fr-FR"/>
        </w:rPr>
        <w:tab/>
      </w:r>
      <w:r w:rsidR="005D40D4" w:rsidRPr="00044750">
        <w:rPr>
          <w:lang w:val="fr-FR"/>
        </w:rPr>
        <w:t xml:space="preserve">Hommage rendu aux femmes artistes et chef de file lors de chaque manifestation culturelle. </w:t>
      </w:r>
    </w:p>
    <w:p w14:paraId="2E0AAC1A" w14:textId="54339441" w:rsidR="005D40D4" w:rsidRPr="00044750" w:rsidRDefault="005D40D4" w:rsidP="00044750">
      <w:pPr>
        <w:pStyle w:val="SingleTxt"/>
        <w:spacing w:after="0" w:line="120" w:lineRule="exact"/>
        <w:rPr>
          <w:sz w:val="10"/>
          <w:lang w:val="fr-FR"/>
        </w:rPr>
      </w:pPr>
    </w:p>
    <w:p w14:paraId="6A7929F9" w14:textId="438259BB" w:rsidR="005D40D4" w:rsidRPr="005D40D4" w:rsidRDefault="00044750" w:rsidP="0004475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5D40D4" w:rsidRPr="005D40D4">
        <w:rPr>
          <w:lang w:val="fr-FR"/>
        </w:rPr>
        <w:t>Article 14</w:t>
      </w:r>
    </w:p>
    <w:p w14:paraId="454C2F11" w14:textId="7AB9384A" w:rsidR="005D40D4" w:rsidRPr="00044750" w:rsidRDefault="005D40D4" w:rsidP="00044750">
      <w:pPr>
        <w:pStyle w:val="SingleTxt"/>
        <w:spacing w:after="0" w:line="120" w:lineRule="exact"/>
        <w:rPr>
          <w:sz w:val="10"/>
          <w:lang w:val="fr-FR"/>
        </w:rPr>
      </w:pPr>
    </w:p>
    <w:p w14:paraId="16B67173" w14:textId="3F790B5E" w:rsidR="005D40D4" w:rsidRPr="005D40D4" w:rsidRDefault="005D40D4" w:rsidP="00456FC2">
      <w:pPr>
        <w:pStyle w:val="SingleTxt"/>
        <w:numPr>
          <w:ilvl w:val="0"/>
          <w:numId w:val="50"/>
        </w:numPr>
        <w:rPr>
          <w:lang w:val="fr-FR"/>
        </w:rPr>
      </w:pPr>
      <w:r w:rsidRPr="005D40D4">
        <w:rPr>
          <w:lang w:val="fr-FR"/>
        </w:rPr>
        <w:t>Les autorités publiques ont pris des mesures et des initiatives selon une approche participative en vue d</w:t>
      </w:r>
      <w:r w:rsidR="00F1794C" w:rsidRPr="00F1794C">
        <w:rPr>
          <w:lang w:val="fr-FR"/>
        </w:rPr>
        <w:t>’</w:t>
      </w:r>
      <w:r w:rsidRPr="005D40D4">
        <w:rPr>
          <w:lang w:val="fr-FR"/>
        </w:rPr>
        <w:t>améliorer la situation des femmes rurales. Des programmes de développement local sont réservés aux femmes rurales et les divers acteurs concernés participent à l</w:t>
      </w:r>
      <w:r w:rsidR="00F1794C" w:rsidRPr="00F1794C">
        <w:rPr>
          <w:lang w:val="fr-FR"/>
        </w:rPr>
        <w:t>’</w:t>
      </w:r>
      <w:r w:rsidRPr="005D40D4">
        <w:rPr>
          <w:lang w:val="fr-FR"/>
        </w:rPr>
        <w:t>élaboration des politiques et programmes publics.</w:t>
      </w:r>
    </w:p>
    <w:p w14:paraId="702B0D2F" w14:textId="1B6CE874" w:rsidR="005D40D4" w:rsidRPr="005D40D4" w:rsidRDefault="005D40D4" w:rsidP="00456FC2">
      <w:pPr>
        <w:pStyle w:val="SingleTxt"/>
        <w:numPr>
          <w:ilvl w:val="0"/>
          <w:numId w:val="50"/>
        </w:numPr>
        <w:rPr>
          <w:lang w:val="fr-FR"/>
        </w:rPr>
      </w:pPr>
      <w:r w:rsidRPr="005D40D4">
        <w:rPr>
          <w:lang w:val="fr-FR"/>
        </w:rPr>
        <w:t>L</w:t>
      </w:r>
      <w:r w:rsidR="00F1794C" w:rsidRPr="00F1794C">
        <w:rPr>
          <w:lang w:val="fr-FR"/>
        </w:rPr>
        <w:t>’</w:t>
      </w:r>
      <w:r w:rsidRPr="005D40D4">
        <w:rPr>
          <w:lang w:val="fr-FR"/>
        </w:rPr>
        <w:t>exécution du Programme d</w:t>
      </w:r>
      <w:r w:rsidR="00F1794C" w:rsidRPr="00F1794C">
        <w:rPr>
          <w:lang w:val="fr-FR"/>
        </w:rPr>
        <w:t>’</w:t>
      </w:r>
      <w:r w:rsidRPr="005D40D4">
        <w:rPr>
          <w:lang w:val="fr-FR"/>
        </w:rPr>
        <w:t>approvisionnement groupé en eau potable des populations rurales (PAGER) a permis d</w:t>
      </w:r>
      <w:r w:rsidR="00F1794C" w:rsidRPr="00F1794C">
        <w:rPr>
          <w:lang w:val="fr-FR"/>
        </w:rPr>
        <w:t>’</w:t>
      </w:r>
      <w:r w:rsidRPr="005D40D4">
        <w:rPr>
          <w:lang w:val="fr-FR"/>
        </w:rPr>
        <w:t>accroître le taux d</w:t>
      </w:r>
      <w:r w:rsidR="00F1794C" w:rsidRPr="00F1794C">
        <w:rPr>
          <w:lang w:val="fr-FR"/>
        </w:rPr>
        <w:t>’</w:t>
      </w:r>
      <w:r w:rsidRPr="005D40D4">
        <w:rPr>
          <w:lang w:val="fr-FR"/>
        </w:rPr>
        <w:t>alimentation en eau, passé de 87</w:t>
      </w:r>
      <w:r w:rsidR="00F1794C" w:rsidRPr="00F1794C">
        <w:rPr>
          <w:lang w:val="fr-FR"/>
        </w:rPr>
        <w:t> %</w:t>
      </w:r>
      <w:r w:rsidRPr="005D40D4">
        <w:rPr>
          <w:lang w:val="fr-FR"/>
        </w:rPr>
        <w:t xml:space="preserve"> en 2008 à 97</w:t>
      </w:r>
      <w:r w:rsidR="00F1794C" w:rsidRPr="00F1794C">
        <w:rPr>
          <w:lang w:val="fr-FR"/>
        </w:rPr>
        <w:t> %</w:t>
      </w:r>
      <w:r w:rsidRPr="005D40D4">
        <w:rPr>
          <w:lang w:val="fr-FR"/>
        </w:rPr>
        <w:t xml:space="preserve"> en 2018. Ainsi, 13 745 197 habitants ont accès à l</w:t>
      </w:r>
      <w:r w:rsidR="00F1794C" w:rsidRPr="00F1794C">
        <w:rPr>
          <w:lang w:val="fr-FR"/>
        </w:rPr>
        <w:t>’</w:t>
      </w:r>
      <w:r w:rsidRPr="005D40D4">
        <w:rPr>
          <w:lang w:val="fr-FR"/>
        </w:rPr>
        <w:t>alimentation en eau, dont 6 825 481 de femmes et de filles, ce qui a conduit à la scolarisation d</w:t>
      </w:r>
      <w:r w:rsidR="00F1794C" w:rsidRPr="00F1794C">
        <w:rPr>
          <w:lang w:val="fr-FR"/>
        </w:rPr>
        <w:t>’</w:t>
      </w:r>
      <w:r w:rsidRPr="005D40D4">
        <w:rPr>
          <w:lang w:val="fr-FR"/>
        </w:rPr>
        <w:t xml:space="preserve">un plus grand nombre de filles et donné aux femmes plus de temps pour mener des activités génératrices de revenus. </w:t>
      </w:r>
    </w:p>
    <w:p w14:paraId="3EA5BE0F" w14:textId="34F6CA23" w:rsidR="005D40D4" w:rsidRPr="005D40D4" w:rsidRDefault="005D40D4" w:rsidP="00456FC2">
      <w:pPr>
        <w:pStyle w:val="SingleTxt"/>
        <w:numPr>
          <w:ilvl w:val="0"/>
          <w:numId w:val="50"/>
        </w:numPr>
        <w:rPr>
          <w:lang w:val="fr-FR"/>
        </w:rPr>
      </w:pPr>
      <w:r w:rsidRPr="005D40D4">
        <w:rPr>
          <w:lang w:val="fr-FR"/>
        </w:rPr>
        <w:t>La mise en œuvre du Programme d</w:t>
      </w:r>
      <w:r w:rsidR="00F1794C" w:rsidRPr="00F1794C">
        <w:rPr>
          <w:lang w:val="fr-FR"/>
        </w:rPr>
        <w:t>’</w:t>
      </w:r>
      <w:r w:rsidRPr="005D40D4">
        <w:rPr>
          <w:lang w:val="fr-FR"/>
        </w:rPr>
        <w:t>électrification rurale global (PERG) a contribué à l</w:t>
      </w:r>
      <w:r w:rsidR="00F1794C" w:rsidRPr="00F1794C">
        <w:rPr>
          <w:lang w:val="fr-FR"/>
        </w:rPr>
        <w:t>’</w:t>
      </w:r>
      <w:r w:rsidRPr="005D40D4">
        <w:rPr>
          <w:lang w:val="fr-FR"/>
        </w:rPr>
        <w:t>amélioration du mode de vie des femmes dans les zones rurales. L</w:t>
      </w:r>
      <w:r w:rsidR="00F1794C" w:rsidRPr="00F1794C">
        <w:rPr>
          <w:lang w:val="fr-FR"/>
        </w:rPr>
        <w:t>’</w:t>
      </w:r>
      <w:r w:rsidRPr="005D40D4">
        <w:rPr>
          <w:lang w:val="fr-FR"/>
        </w:rPr>
        <w:t>utilisation d</w:t>
      </w:r>
      <w:r w:rsidR="00F1794C" w:rsidRPr="00F1794C">
        <w:rPr>
          <w:lang w:val="fr-FR"/>
        </w:rPr>
        <w:t>’</w:t>
      </w:r>
      <w:r w:rsidRPr="005D40D4">
        <w:rPr>
          <w:lang w:val="fr-FR"/>
        </w:rPr>
        <w:t>appareils électriques pour effectuer des tâches ménagères a fait gagner beaucoup de temps. Le temps gagné est consacré à l</w:t>
      </w:r>
      <w:r w:rsidR="00F1794C" w:rsidRPr="00F1794C">
        <w:rPr>
          <w:lang w:val="fr-FR"/>
        </w:rPr>
        <w:t>’</w:t>
      </w:r>
      <w:r w:rsidRPr="005D40D4">
        <w:rPr>
          <w:lang w:val="fr-FR"/>
        </w:rPr>
        <w:t>éducation des filles rurales, à la lutte contre l</w:t>
      </w:r>
      <w:r w:rsidR="00F1794C" w:rsidRPr="00F1794C">
        <w:rPr>
          <w:lang w:val="fr-FR"/>
        </w:rPr>
        <w:t>’</w:t>
      </w:r>
      <w:r w:rsidRPr="005D40D4">
        <w:rPr>
          <w:lang w:val="fr-FR"/>
        </w:rPr>
        <w:t>analphabétisme, à la promotion d</w:t>
      </w:r>
      <w:r w:rsidR="00F1794C" w:rsidRPr="00F1794C">
        <w:rPr>
          <w:lang w:val="fr-FR"/>
        </w:rPr>
        <w:t>’</w:t>
      </w:r>
      <w:r w:rsidRPr="005D40D4">
        <w:rPr>
          <w:lang w:val="fr-FR"/>
        </w:rPr>
        <w:t>activités génératrices de revenus (création de coopératives) et à l</w:t>
      </w:r>
      <w:r w:rsidR="00F1794C" w:rsidRPr="00F1794C">
        <w:rPr>
          <w:lang w:val="fr-FR"/>
        </w:rPr>
        <w:t>’</w:t>
      </w:r>
      <w:r w:rsidRPr="005D40D4">
        <w:rPr>
          <w:lang w:val="fr-FR"/>
        </w:rPr>
        <w:t>acquisition de nouvelles compétences. Des programmes télévisés sont diffusés pour faire mieux connaître les questions de santé. Le raccordement des centres de traitement de proximité au réseau électrique facilite le suivi des grossesses, ce qui a entraîné une baisse du taux de mortalité des femmes enceintes et des mères qui allaitent et une meilleure prise en charge dans ces centres.</w:t>
      </w:r>
    </w:p>
    <w:p w14:paraId="77791432" w14:textId="1F4DE9B5" w:rsidR="005D40D4" w:rsidRPr="005D40D4" w:rsidRDefault="005D40D4" w:rsidP="00456FC2">
      <w:pPr>
        <w:pStyle w:val="SingleTxt"/>
        <w:numPr>
          <w:ilvl w:val="0"/>
          <w:numId w:val="50"/>
        </w:numPr>
        <w:rPr>
          <w:lang w:val="fr-FR"/>
        </w:rPr>
      </w:pPr>
      <w:r w:rsidRPr="005D40D4">
        <w:rPr>
          <w:lang w:val="fr-FR"/>
        </w:rPr>
        <w:lastRenderedPageBreak/>
        <w:t>Entre 1996, année de sa mise en route, et fin novembre 2018, ce programme a contribué à la hausse du taux d</w:t>
      </w:r>
      <w:r w:rsidR="00F1794C" w:rsidRPr="00F1794C">
        <w:rPr>
          <w:lang w:val="fr-FR"/>
        </w:rPr>
        <w:t>’</w:t>
      </w:r>
      <w:r w:rsidRPr="005D40D4">
        <w:rPr>
          <w:lang w:val="fr-FR"/>
        </w:rPr>
        <w:t>électrification des zones rurales, passé de 18</w:t>
      </w:r>
      <w:r w:rsidR="00F1794C" w:rsidRPr="00F1794C">
        <w:rPr>
          <w:lang w:val="fr-FR"/>
        </w:rPr>
        <w:t> %</w:t>
      </w:r>
      <w:r w:rsidRPr="005D40D4">
        <w:rPr>
          <w:lang w:val="fr-FR"/>
        </w:rPr>
        <w:t xml:space="preserve"> en 1995 à 99,63</w:t>
      </w:r>
      <w:r w:rsidR="00F1794C" w:rsidRPr="00F1794C">
        <w:rPr>
          <w:lang w:val="fr-FR"/>
        </w:rPr>
        <w:t> %</w:t>
      </w:r>
      <w:r w:rsidRPr="005D40D4">
        <w:rPr>
          <w:lang w:val="fr-FR"/>
        </w:rPr>
        <w:t xml:space="preserve"> fin novembre 2018. Les résultats ci-après ont été obtenus</w:t>
      </w:r>
      <w:r w:rsidR="00F1794C" w:rsidRPr="00F1794C">
        <w:rPr>
          <w:lang w:val="fr-FR"/>
        </w:rPr>
        <w:t> :</w:t>
      </w:r>
      <w:r w:rsidRPr="005D40D4">
        <w:rPr>
          <w:lang w:val="fr-FR"/>
        </w:rPr>
        <w:t xml:space="preserve"> </w:t>
      </w:r>
    </w:p>
    <w:p w14:paraId="7B08BEB1" w14:textId="75182E35" w:rsidR="005D40D4" w:rsidRPr="00044750" w:rsidRDefault="00044750" w:rsidP="00044750">
      <w:pPr>
        <w:pStyle w:val="SingleTxt"/>
        <w:tabs>
          <w:tab w:val="right" w:pos="1685"/>
        </w:tabs>
        <w:ind w:left="1742" w:hanging="475"/>
        <w:rPr>
          <w:lang w:val="fr-FR"/>
        </w:rPr>
      </w:pPr>
      <w:r>
        <w:rPr>
          <w:lang w:val="fr-FR"/>
        </w:rPr>
        <w:tab/>
        <w:t>•</w:t>
      </w:r>
      <w:r>
        <w:rPr>
          <w:lang w:val="fr-FR"/>
        </w:rPr>
        <w:tab/>
      </w:r>
      <w:r w:rsidR="005D40D4" w:rsidRPr="00044750">
        <w:rPr>
          <w:lang w:val="fr-FR"/>
        </w:rPr>
        <w:t>40 393 villages, comptant 2 911 232 habitations, raccordés au réseau national</w:t>
      </w:r>
      <w:r w:rsidR="00F1794C" w:rsidRPr="00044750">
        <w:rPr>
          <w:lang w:val="fr-FR"/>
        </w:rPr>
        <w:t> ;</w:t>
      </w:r>
      <w:r w:rsidR="005D40D4" w:rsidRPr="00044750">
        <w:rPr>
          <w:lang w:val="fr-FR"/>
        </w:rPr>
        <w:t xml:space="preserve"> </w:t>
      </w:r>
    </w:p>
    <w:p w14:paraId="1988884F" w14:textId="380067ED" w:rsidR="005D40D4" w:rsidRPr="00044750" w:rsidRDefault="00044750" w:rsidP="00044750">
      <w:pPr>
        <w:pStyle w:val="SingleTxt"/>
        <w:tabs>
          <w:tab w:val="right" w:pos="1685"/>
        </w:tabs>
        <w:ind w:left="1742" w:hanging="475"/>
        <w:rPr>
          <w:lang w:val="fr-FR"/>
        </w:rPr>
      </w:pPr>
      <w:r>
        <w:rPr>
          <w:lang w:val="fr-FR"/>
        </w:rPr>
        <w:tab/>
        <w:t>•</w:t>
      </w:r>
      <w:r>
        <w:rPr>
          <w:lang w:val="fr-FR"/>
        </w:rPr>
        <w:tab/>
      </w:r>
      <w:r w:rsidR="005D40D4" w:rsidRPr="00044750">
        <w:rPr>
          <w:lang w:val="fr-FR"/>
        </w:rPr>
        <w:t>55 951 panneaux solaires installés dans 3 663 villages</w:t>
      </w:r>
      <w:r w:rsidR="005D40D4" w:rsidRPr="00FA086B">
        <w:rPr>
          <w:vertAlign w:val="superscript"/>
          <w:lang w:val="fr-FR"/>
        </w:rPr>
        <w:footnoteReference w:id="94"/>
      </w:r>
      <w:r w:rsidR="005D40D4" w:rsidRPr="00044750">
        <w:rPr>
          <w:lang w:val="fr-FR"/>
        </w:rPr>
        <w:t xml:space="preserve"> (</w:t>
      </w:r>
      <w:r w:rsidR="005D40D4" w:rsidRPr="00044750">
        <w:rPr>
          <w:i/>
          <w:iCs/>
          <w:lang w:val="fr-FR"/>
        </w:rPr>
        <w:t>douar</w:t>
      </w:r>
      <w:r w:rsidR="005D40D4" w:rsidRPr="00044750">
        <w:rPr>
          <w:lang w:val="fr-FR"/>
        </w:rPr>
        <w:t>) pendant la période 1998-2009</w:t>
      </w:r>
      <w:r w:rsidR="00F1794C" w:rsidRPr="00044750">
        <w:rPr>
          <w:lang w:val="fr-FR"/>
        </w:rPr>
        <w:t> :</w:t>
      </w:r>
    </w:p>
    <w:p w14:paraId="25E209DB" w14:textId="1BB24B00" w:rsidR="005D40D4" w:rsidRPr="00044750" w:rsidRDefault="00044750" w:rsidP="00044750">
      <w:pPr>
        <w:pStyle w:val="SingleTxt"/>
        <w:tabs>
          <w:tab w:val="right" w:pos="1685"/>
        </w:tabs>
        <w:ind w:left="1742" w:hanging="475"/>
        <w:rPr>
          <w:lang w:val="fr-FR"/>
        </w:rPr>
      </w:pPr>
      <w:r>
        <w:rPr>
          <w:lang w:val="fr-FR"/>
        </w:rPr>
        <w:tab/>
        <w:t>•</w:t>
      </w:r>
      <w:r>
        <w:rPr>
          <w:lang w:val="fr-FR"/>
        </w:rPr>
        <w:tab/>
      </w:r>
      <w:r w:rsidR="005D40D4" w:rsidRPr="00044750">
        <w:rPr>
          <w:lang w:val="fr-FR"/>
        </w:rPr>
        <w:t xml:space="preserve">43 819 capteurs solaires installés dans 900 villages entre 2016 et janvier 2017. </w:t>
      </w:r>
    </w:p>
    <w:p w14:paraId="6BA0D126" w14:textId="6DF8E3DB" w:rsidR="005D40D4" w:rsidRPr="005D40D4" w:rsidRDefault="005D40D4" w:rsidP="00456FC2">
      <w:pPr>
        <w:pStyle w:val="SingleTxt"/>
        <w:numPr>
          <w:ilvl w:val="0"/>
          <w:numId w:val="50"/>
        </w:numPr>
        <w:rPr>
          <w:lang w:val="fr-FR"/>
        </w:rPr>
      </w:pPr>
      <w:r w:rsidRPr="005D40D4">
        <w:rPr>
          <w:lang w:val="fr-FR"/>
        </w:rPr>
        <w:t>Dans le cadre de l</w:t>
      </w:r>
      <w:r w:rsidR="00F1794C" w:rsidRPr="00F1794C">
        <w:rPr>
          <w:lang w:val="fr-FR"/>
        </w:rPr>
        <w:t>’</w:t>
      </w:r>
      <w:r w:rsidRPr="005D40D4">
        <w:rPr>
          <w:lang w:val="fr-FR"/>
        </w:rPr>
        <w:t>exécution du premier programme national des routes rurales (PNRR I) (1995-2005), 11 000 kilomètres de routes ont été construits pour un coût de 7 milliards de dirhams. En conséquence, le taux d</w:t>
      </w:r>
      <w:r w:rsidR="00F1794C" w:rsidRPr="00F1794C">
        <w:rPr>
          <w:lang w:val="fr-FR"/>
        </w:rPr>
        <w:t>’</w:t>
      </w:r>
      <w:r w:rsidRPr="005D40D4">
        <w:rPr>
          <w:lang w:val="fr-FR"/>
        </w:rPr>
        <w:t>accès des villageois aux équipements routiers est passé de 34</w:t>
      </w:r>
      <w:r w:rsidR="00F1794C" w:rsidRPr="00F1794C">
        <w:rPr>
          <w:lang w:val="fr-FR"/>
        </w:rPr>
        <w:t> %</w:t>
      </w:r>
      <w:r w:rsidRPr="005D40D4">
        <w:rPr>
          <w:lang w:val="fr-FR"/>
        </w:rPr>
        <w:t xml:space="preserve"> à 54</w:t>
      </w:r>
      <w:r w:rsidR="00F1794C" w:rsidRPr="00F1794C">
        <w:rPr>
          <w:lang w:val="fr-FR"/>
        </w:rPr>
        <w:t> %</w:t>
      </w:r>
      <w:r w:rsidRPr="005D40D4">
        <w:rPr>
          <w:lang w:val="fr-FR"/>
        </w:rPr>
        <w:t>. Dans le prolongement de ces efforts, le deuxième programme national des routes rurales (PNRR II) (2006-2016) a été mis en œuvre. Fin juin 2016, 13 871 kilomètres de routes rurales avaient été construites, ce qui a fait sortir de l</w:t>
      </w:r>
      <w:r w:rsidR="00F1794C" w:rsidRPr="00F1794C">
        <w:rPr>
          <w:lang w:val="fr-FR"/>
        </w:rPr>
        <w:t>’</w:t>
      </w:r>
      <w:r w:rsidRPr="005D40D4">
        <w:rPr>
          <w:lang w:val="fr-FR"/>
        </w:rPr>
        <w:t>isolement 2 885 000 habitants des zones rurales, dont 1 462 695 de femmes (50,7</w:t>
      </w:r>
      <w:r w:rsidR="00F1794C" w:rsidRPr="00F1794C">
        <w:rPr>
          <w:lang w:val="fr-FR"/>
        </w:rPr>
        <w:t> %</w:t>
      </w:r>
      <w:r w:rsidRPr="005D40D4">
        <w:rPr>
          <w:lang w:val="fr-FR"/>
        </w:rPr>
        <w:t>), d</w:t>
      </w:r>
      <w:r w:rsidR="00F1794C" w:rsidRPr="00F1794C">
        <w:rPr>
          <w:lang w:val="fr-FR"/>
        </w:rPr>
        <w:t>’</w:t>
      </w:r>
      <w:r w:rsidRPr="005D40D4">
        <w:rPr>
          <w:lang w:val="fr-FR"/>
        </w:rPr>
        <w:t>après les données du recensement de 2014.</w:t>
      </w:r>
    </w:p>
    <w:p w14:paraId="1384A0A9" w14:textId="3D7FCB08" w:rsidR="005D40D4" w:rsidRPr="005D40D4" w:rsidRDefault="005D40D4" w:rsidP="00456FC2">
      <w:pPr>
        <w:pStyle w:val="SingleTxt"/>
        <w:numPr>
          <w:ilvl w:val="0"/>
          <w:numId w:val="50"/>
        </w:numPr>
        <w:rPr>
          <w:lang w:val="fr-FR"/>
        </w:rPr>
      </w:pPr>
      <w:r w:rsidRPr="005D40D4">
        <w:rPr>
          <w:lang w:val="fr-FR"/>
        </w:rPr>
        <w:t>Une étude d</w:t>
      </w:r>
      <w:r w:rsidR="00F1794C" w:rsidRPr="00F1794C">
        <w:rPr>
          <w:lang w:val="fr-FR"/>
        </w:rPr>
        <w:t>’</w:t>
      </w:r>
      <w:r w:rsidRPr="005D40D4">
        <w:rPr>
          <w:lang w:val="fr-FR"/>
        </w:rPr>
        <w:t>impact des deux programmes réalisés en 2013 a fait ressortir des indicateurs encourageants, comme suit</w:t>
      </w:r>
      <w:r w:rsidR="00F1794C" w:rsidRPr="00F1794C">
        <w:rPr>
          <w:lang w:val="fr-FR"/>
        </w:rPr>
        <w:t> :</w:t>
      </w:r>
      <w:r w:rsidRPr="005D40D4">
        <w:rPr>
          <w:lang w:val="fr-FR"/>
        </w:rPr>
        <w:t xml:space="preserve"> </w:t>
      </w:r>
    </w:p>
    <w:p w14:paraId="62141EA0" w14:textId="2D856F7B" w:rsidR="005D40D4" w:rsidRPr="00044750" w:rsidRDefault="00044750" w:rsidP="00044750">
      <w:pPr>
        <w:pStyle w:val="SingleTxt"/>
        <w:tabs>
          <w:tab w:val="right" w:pos="1685"/>
        </w:tabs>
        <w:ind w:left="1742" w:hanging="475"/>
        <w:rPr>
          <w:lang w:val="fr-FR"/>
        </w:rPr>
      </w:pPr>
      <w:r>
        <w:rPr>
          <w:lang w:val="fr-FR"/>
        </w:rPr>
        <w:tab/>
        <w:t>•</w:t>
      </w:r>
      <w:r>
        <w:rPr>
          <w:lang w:val="fr-FR"/>
        </w:rPr>
        <w:tab/>
      </w:r>
      <w:r w:rsidR="005D40D4" w:rsidRPr="00044750">
        <w:rPr>
          <w:lang w:val="fr-FR"/>
        </w:rPr>
        <w:t>Accroissement de 7,4 points de la scolarisation des filles (de 65</w:t>
      </w:r>
      <w:r w:rsidR="00F1794C" w:rsidRPr="00044750">
        <w:rPr>
          <w:lang w:val="fr-FR"/>
        </w:rPr>
        <w:t> %</w:t>
      </w:r>
      <w:r w:rsidR="005D40D4" w:rsidRPr="00044750">
        <w:rPr>
          <w:lang w:val="fr-FR"/>
        </w:rPr>
        <w:t xml:space="preserve"> à 72,4</w:t>
      </w:r>
      <w:r w:rsidR="00F1794C" w:rsidRPr="00044750">
        <w:rPr>
          <w:lang w:val="fr-FR"/>
        </w:rPr>
        <w:t> %</w:t>
      </w:r>
      <w:r w:rsidR="005D40D4" w:rsidRPr="00044750">
        <w:rPr>
          <w:lang w:val="fr-FR"/>
        </w:rPr>
        <w:t>)</w:t>
      </w:r>
      <w:r w:rsidR="00F1794C" w:rsidRPr="00044750">
        <w:rPr>
          <w:lang w:val="fr-FR"/>
        </w:rPr>
        <w:t> ;</w:t>
      </w:r>
    </w:p>
    <w:p w14:paraId="38E7D8E9" w14:textId="3F038DFD" w:rsidR="005D40D4" w:rsidRPr="00044750" w:rsidRDefault="00044750" w:rsidP="00044750">
      <w:pPr>
        <w:pStyle w:val="SingleTxt"/>
        <w:tabs>
          <w:tab w:val="right" w:pos="1685"/>
        </w:tabs>
        <w:ind w:left="1742" w:hanging="475"/>
        <w:rPr>
          <w:lang w:val="fr-FR"/>
        </w:rPr>
      </w:pPr>
      <w:r>
        <w:rPr>
          <w:lang w:val="fr-FR"/>
        </w:rPr>
        <w:tab/>
        <w:t>•</w:t>
      </w:r>
      <w:r>
        <w:rPr>
          <w:lang w:val="fr-FR"/>
        </w:rPr>
        <w:tab/>
      </w:r>
      <w:r w:rsidR="005D40D4" w:rsidRPr="00044750">
        <w:rPr>
          <w:lang w:val="fr-FR"/>
        </w:rPr>
        <w:t>Hausse de 32,3</w:t>
      </w:r>
      <w:r w:rsidR="00F1794C" w:rsidRPr="00044750">
        <w:rPr>
          <w:lang w:val="fr-FR"/>
        </w:rPr>
        <w:t> %</w:t>
      </w:r>
      <w:r w:rsidR="005D40D4" w:rsidRPr="00044750">
        <w:rPr>
          <w:lang w:val="fr-FR"/>
        </w:rPr>
        <w:t xml:space="preserve"> du taux annuel moyen de visites des familles dans les centres de santé (de 6,4 à 8,5 visites par an par famille)</w:t>
      </w:r>
      <w:r w:rsidR="00F1794C" w:rsidRPr="00044750">
        <w:rPr>
          <w:lang w:val="fr-FR"/>
        </w:rPr>
        <w:t> ;</w:t>
      </w:r>
    </w:p>
    <w:p w14:paraId="317934FE" w14:textId="1FD31F8B" w:rsidR="005D40D4" w:rsidRPr="00044750" w:rsidRDefault="00044750" w:rsidP="00044750">
      <w:pPr>
        <w:pStyle w:val="SingleTxt"/>
        <w:tabs>
          <w:tab w:val="right" w:pos="1685"/>
        </w:tabs>
        <w:ind w:left="1742" w:hanging="475"/>
        <w:rPr>
          <w:lang w:val="fr-FR"/>
        </w:rPr>
      </w:pPr>
      <w:r>
        <w:rPr>
          <w:lang w:val="fr-FR"/>
        </w:rPr>
        <w:tab/>
        <w:t>•</w:t>
      </w:r>
      <w:r>
        <w:rPr>
          <w:lang w:val="fr-FR"/>
        </w:rPr>
        <w:tab/>
      </w:r>
      <w:r w:rsidR="005D40D4" w:rsidRPr="00044750">
        <w:rPr>
          <w:lang w:val="fr-FR"/>
        </w:rPr>
        <w:t>Baisse de 35,1</w:t>
      </w:r>
      <w:r w:rsidR="00F1794C" w:rsidRPr="00044750">
        <w:rPr>
          <w:lang w:val="fr-FR"/>
        </w:rPr>
        <w:t> %</w:t>
      </w:r>
      <w:r w:rsidR="005D40D4" w:rsidRPr="00044750">
        <w:rPr>
          <w:lang w:val="fr-FR"/>
        </w:rPr>
        <w:t xml:space="preserve"> de la durée du transport entre le domicile et le centre de santé le plus proche (de 57 à 37 minutes) durant la saison sèche et de 35,7</w:t>
      </w:r>
      <w:r w:rsidR="00F1794C" w:rsidRPr="00044750">
        <w:rPr>
          <w:lang w:val="fr-FR"/>
        </w:rPr>
        <w:t> %</w:t>
      </w:r>
      <w:r w:rsidR="005D40D4" w:rsidRPr="00044750">
        <w:rPr>
          <w:lang w:val="fr-FR"/>
        </w:rPr>
        <w:t xml:space="preserve"> (de 70 à 45 minutes) en hiver</w:t>
      </w:r>
      <w:r w:rsidR="00F1794C" w:rsidRPr="00044750">
        <w:rPr>
          <w:lang w:val="fr-FR"/>
        </w:rPr>
        <w:t> ;</w:t>
      </w:r>
    </w:p>
    <w:p w14:paraId="11F2BFA8" w14:textId="152025F3" w:rsidR="005D40D4" w:rsidRPr="00044750" w:rsidRDefault="00044750" w:rsidP="00044750">
      <w:pPr>
        <w:pStyle w:val="SingleTxt"/>
        <w:tabs>
          <w:tab w:val="right" w:pos="1685"/>
        </w:tabs>
        <w:ind w:left="1742" w:hanging="475"/>
        <w:rPr>
          <w:lang w:val="fr-FR"/>
        </w:rPr>
      </w:pPr>
      <w:r>
        <w:rPr>
          <w:lang w:val="fr-FR"/>
        </w:rPr>
        <w:tab/>
        <w:t>•</w:t>
      </w:r>
      <w:r>
        <w:rPr>
          <w:lang w:val="fr-FR"/>
        </w:rPr>
        <w:tab/>
      </w:r>
      <w:r w:rsidR="005D40D4" w:rsidRPr="00044750">
        <w:rPr>
          <w:lang w:val="fr-FR"/>
        </w:rPr>
        <w:t>Baisse de 26</w:t>
      </w:r>
      <w:r w:rsidR="00F1794C" w:rsidRPr="00044750">
        <w:rPr>
          <w:lang w:val="fr-FR"/>
        </w:rPr>
        <w:t> %</w:t>
      </w:r>
      <w:r w:rsidR="005D40D4" w:rsidRPr="00044750">
        <w:rPr>
          <w:lang w:val="fr-FR"/>
        </w:rPr>
        <w:t xml:space="preserve"> du coût du transport des personnes (de 0,88 à 0,65 dirham par personne et par kilomètre)</w:t>
      </w:r>
      <w:r w:rsidR="00F1794C" w:rsidRPr="00044750">
        <w:rPr>
          <w:lang w:val="fr-FR"/>
        </w:rPr>
        <w:t> ;</w:t>
      </w:r>
    </w:p>
    <w:p w14:paraId="28AF392B" w14:textId="7302A6A5" w:rsidR="005D40D4" w:rsidRPr="00044750" w:rsidRDefault="00044750" w:rsidP="00044750">
      <w:pPr>
        <w:pStyle w:val="SingleTxt"/>
        <w:tabs>
          <w:tab w:val="right" w:pos="1685"/>
        </w:tabs>
        <w:ind w:left="1742" w:hanging="475"/>
        <w:rPr>
          <w:lang w:val="fr-FR"/>
        </w:rPr>
      </w:pPr>
      <w:r>
        <w:rPr>
          <w:lang w:val="fr-FR"/>
        </w:rPr>
        <w:tab/>
        <w:t>•</w:t>
      </w:r>
      <w:r>
        <w:rPr>
          <w:lang w:val="fr-FR"/>
        </w:rPr>
        <w:tab/>
      </w:r>
      <w:r w:rsidR="005D40D4" w:rsidRPr="00044750">
        <w:rPr>
          <w:lang w:val="fr-FR"/>
        </w:rPr>
        <w:t>Baisse de 14,7</w:t>
      </w:r>
      <w:r w:rsidR="00F1794C" w:rsidRPr="00044750">
        <w:rPr>
          <w:lang w:val="fr-FR"/>
        </w:rPr>
        <w:t> %</w:t>
      </w:r>
      <w:r w:rsidR="005D40D4" w:rsidRPr="00044750">
        <w:rPr>
          <w:lang w:val="fr-FR"/>
        </w:rPr>
        <w:t xml:space="preserve"> du coût du transport des marchandises (de 3,24 à 2,76 dirhams par tonne et par kilomètre).</w:t>
      </w:r>
    </w:p>
    <w:p w14:paraId="6530F5BE" w14:textId="24643406" w:rsidR="005D40D4" w:rsidRPr="005D40D4" w:rsidRDefault="005D40D4" w:rsidP="00456FC2">
      <w:pPr>
        <w:pStyle w:val="SingleTxt"/>
        <w:numPr>
          <w:ilvl w:val="0"/>
          <w:numId w:val="50"/>
        </w:numPr>
        <w:rPr>
          <w:lang w:val="fr-FR"/>
        </w:rPr>
      </w:pPr>
      <w:r w:rsidRPr="005D40D4">
        <w:rPr>
          <w:lang w:val="fr-FR"/>
        </w:rPr>
        <w:t>En 2015, un plan d</w:t>
      </w:r>
      <w:r w:rsidR="00F1794C" w:rsidRPr="00F1794C">
        <w:rPr>
          <w:lang w:val="fr-FR"/>
        </w:rPr>
        <w:t>’</w:t>
      </w:r>
      <w:r w:rsidRPr="005D40D4">
        <w:rPr>
          <w:lang w:val="fr-FR"/>
        </w:rPr>
        <w:t>action intégré a été élaboré pour financer les projets d</w:t>
      </w:r>
      <w:r w:rsidR="00F1794C" w:rsidRPr="00F1794C">
        <w:rPr>
          <w:lang w:val="fr-FR"/>
        </w:rPr>
        <w:t>’</w:t>
      </w:r>
      <w:r w:rsidRPr="005D40D4">
        <w:rPr>
          <w:lang w:val="fr-FR"/>
        </w:rPr>
        <w:t>infrastructures dans les collectivités territoriales et les zones isolées. À cet égard, un programme destiné à réduire les disparités territoriales dans le cadre de la stratégie nationale de développement de l</w:t>
      </w:r>
      <w:r w:rsidR="00F1794C" w:rsidRPr="00F1794C">
        <w:rPr>
          <w:lang w:val="fr-FR"/>
        </w:rPr>
        <w:t>’</w:t>
      </w:r>
      <w:r w:rsidRPr="005D40D4">
        <w:rPr>
          <w:lang w:val="fr-FR"/>
        </w:rPr>
        <w:t>espace rural et des zones de montagne. Ce programme vise à atteindre les objectifs suivants</w:t>
      </w:r>
      <w:r w:rsidR="00F1794C" w:rsidRPr="00F1794C">
        <w:rPr>
          <w:lang w:val="fr-FR"/>
        </w:rPr>
        <w:t> :</w:t>
      </w:r>
    </w:p>
    <w:p w14:paraId="22507309" w14:textId="1A313655" w:rsidR="005D40D4" w:rsidRPr="00044750" w:rsidRDefault="00044750" w:rsidP="00044750">
      <w:pPr>
        <w:pStyle w:val="SingleTxt"/>
        <w:tabs>
          <w:tab w:val="right" w:pos="1685"/>
        </w:tabs>
        <w:ind w:left="1742" w:hanging="475"/>
        <w:rPr>
          <w:lang w:val="fr-FR"/>
        </w:rPr>
      </w:pPr>
      <w:r>
        <w:rPr>
          <w:lang w:val="fr-FR"/>
        </w:rPr>
        <w:tab/>
        <w:t>•</w:t>
      </w:r>
      <w:r>
        <w:rPr>
          <w:lang w:val="fr-FR"/>
        </w:rPr>
        <w:tab/>
      </w:r>
      <w:r w:rsidR="005D40D4" w:rsidRPr="00044750">
        <w:rPr>
          <w:lang w:val="fr-FR"/>
        </w:rPr>
        <w:t>Désenclaver les zones isolées et montagneuses par la construction de routes, de voies et de points de passage</w:t>
      </w:r>
      <w:r w:rsidR="00F1794C" w:rsidRPr="00044750">
        <w:rPr>
          <w:lang w:val="fr-FR"/>
        </w:rPr>
        <w:t> ;</w:t>
      </w:r>
    </w:p>
    <w:p w14:paraId="0359E129" w14:textId="6CFE0F8D" w:rsidR="005D40D4" w:rsidRPr="00044750" w:rsidRDefault="00044750" w:rsidP="00044750">
      <w:pPr>
        <w:pStyle w:val="SingleTxt"/>
        <w:tabs>
          <w:tab w:val="right" w:pos="1685"/>
        </w:tabs>
        <w:ind w:left="1742" w:hanging="475"/>
        <w:rPr>
          <w:lang w:val="fr-FR"/>
        </w:rPr>
      </w:pPr>
      <w:r>
        <w:rPr>
          <w:lang w:val="fr-FR"/>
        </w:rPr>
        <w:tab/>
        <w:t>•</w:t>
      </w:r>
      <w:r>
        <w:rPr>
          <w:lang w:val="fr-FR"/>
        </w:rPr>
        <w:tab/>
      </w:r>
      <w:r w:rsidR="005D40D4" w:rsidRPr="00044750">
        <w:rPr>
          <w:lang w:val="fr-FR"/>
        </w:rPr>
        <w:t>Améliorer et généraliser l</w:t>
      </w:r>
      <w:r w:rsidR="00F1794C" w:rsidRPr="00044750">
        <w:rPr>
          <w:lang w:val="fr-FR"/>
        </w:rPr>
        <w:t>’</w:t>
      </w:r>
      <w:r w:rsidR="005D40D4" w:rsidRPr="00044750">
        <w:rPr>
          <w:lang w:val="fr-FR"/>
        </w:rPr>
        <w:t>accès des villageois aux services essentiels (électricité, eau potable, éducation et santé)</w:t>
      </w:r>
      <w:r w:rsidR="00F1794C" w:rsidRPr="00044750">
        <w:rPr>
          <w:lang w:val="fr-FR"/>
        </w:rPr>
        <w:t> ;</w:t>
      </w:r>
    </w:p>
    <w:p w14:paraId="2A1FA0E9" w14:textId="69A788A9" w:rsidR="005D40D4" w:rsidRPr="00044750" w:rsidRDefault="00044750" w:rsidP="00044750">
      <w:pPr>
        <w:pStyle w:val="SingleTxt"/>
        <w:tabs>
          <w:tab w:val="right" w:pos="1685"/>
        </w:tabs>
        <w:ind w:left="1742" w:hanging="475"/>
        <w:rPr>
          <w:lang w:val="fr-FR"/>
        </w:rPr>
      </w:pPr>
      <w:r>
        <w:rPr>
          <w:lang w:val="fr-FR"/>
        </w:rPr>
        <w:tab/>
        <w:t>•</w:t>
      </w:r>
      <w:r>
        <w:rPr>
          <w:lang w:val="fr-FR"/>
        </w:rPr>
        <w:tab/>
      </w:r>
      <w:r w:rsidR="005D40D4" w:rsidRPr="00044750">
        <w:rPr>
          <w:lang w:val="fr-FR"/>
        </w:rPr>
        <w:t>Mettre en place les conditions nécessaires au renforcement et à la diversification du potentiel économique des zones rurales et montagneuses.</w:t>
      </w:r>
    </w:p>
    <w:p w14:paraId="1A6CDB45" w14:textId="5B329FB9" w:rsidR="005D40D4" w:rsidRPr="005D40D4" w:rsidRDefault="00044750" w:rsidP="005D40D4">
      <w:pPr>
        <w:pStyle w:val="SingleTxt"/>
        <w:rPr>
          <w:lang w:val="fr-FR"/>
        </w:rPr>
      </w:pPr>
      <w:r>
        <w:rPr>
          <w:lang w:val="fr-FR"/>
        </w:rPr>
        <w:tab/>
      </w:r>
      <w:r w:rsidR="005D40D4" w:rsidRPr="005D40D4">
        <w:rPr>
          <w:lang w:val="fr-FR"/>
        </w:rPr>
        <w:t>Une enveloppe budgétaire d</w:t>
      </w:r>
      <w:r w:rsidR="00F1794C" w:rsidRPr="00F1794C">
        <w:rPr>
          <w:lang w:val="fr-FR"/>
        </w:rPr>
        <w:t>’</w:t>
      </w:r>
      <w:r w:rsidR="005D40D4" w:rsidRPr="005D40D4">
        <w:rPr>
          <w:lang w:val="fr-FR"/>
        </w:rPr>
        <w:t>environ 50 milliards de dirhams sur sept ans a été affectée à la mise en œuvre de ce programme. Les installations construites grâce à ce programme permettront de désenclaver 5 190 villages et de donner accès aux services de santé, à l</w:t>
      </w:r>
      <w:r w:rsidR="00F1794C" w:rsidRPr="00F1794C">
        <w:rPr>
          <w:lang w:val="fr-FR"/>
        </w:rPr>
        <w:t>’</w:t>
      </w:r>
      <w:r w:rsidR="005D40D4" w:rsidRPr="005D40D4">
        <w:rPr>
          <w:lang w:val="fr-FR"/>
        </w:rPr>
        <w:t>éducation, à l</w:t>
      </w:r>
      <w:r w:rsidR="00F1794C" w:rsidRPr="00F1794C">
        <w:rPr>
          <w:lang w:val="fr-FR"/>
        </w:rPr>
        <w:t>’</w:t>
      </w:r>
      <w:r w:rsidR="005D40D4" w:rsidRPr="005D40D4">
        <w:rPr>
          <w:lang w:val="fr-FR"/>
        </w:rPr>
        <w:t xml:space="preserve">électricité dans les zones rurales à plus de 6 millions de personnes dans 1 100 communes. </w:t>
      </w:r>
    </w:p>
    <w:p w14:paraId="5D24AAA0" w14:textId="1AFEEDAE" w:rsidR="005D40D4" w:rsidRPr="005D40D4" w:rsidRDefault="005D40D4" w:rsidP="00456FC2">
      <w:pPr>
        <w:pStyle w:val="SingleTxt"/>
        <w:numPr>
          <w:ilvl w:val="0"/>
          <w:numId w:val="50"/>
        </w:numPr>
        <w:rPr>
          <w:lang w:val="fr-FR"/>
        </w:rPr>
      </w:pPr>
      <w:r w:rsidRPr="005D40D4">
        <w:rPr>
          <w:lang w:val="fr-FR"/>
        </w:rPr>
        <w:lastRenderedPageBreak/>
        <w:t>Dans le cadre du programme de mise à niveau territoriale (2005-2011), élaboré par le Gouvernement et doté d</w:t>
      </w:r>
      <w:r w:rsidR="00F1794C" w:rsidRPr="00F1794C">
        <w:rPr>
          <w:lang w:val="fr-FR"/>
        </w:rPr>
        <w:t>’</w:t>
      </w:r>
      <w:r w:rsidRPr="005D40D4">
        <w:rPr>
          <w:lang w:val="fr-FR"/>
        </w:rPr>
        <w:t>un financement de 2,5 milliards de dirhams, 2 313 kilomètres de routes et 90 points de passage, dont 68 installations isolées. Ces travaux ont bénéficié à 810 960 habitants répartis dans 207 collectivités locales dans 22</w:t>
      </w:r>
      <w:r w:rsidR="00044750">
        <w:rPr>
          <w:lang w:val="fr-FR"/>
        </w:rPr>
        <w:t> </w:t>
      </w:r>
      <w:r w:rsidRPr="005D40D4">
        <w:rPr>
          <w:lang w:val="fr-FR"/>
        </w:rPr>
        <w:t>provinces. Le taux d</w:t>
      </w:r>
      <w:r w:rsidR="00F1794C" w:rsidRPr="00F1794C">
        <w:rPr>
          <w:lang w:val="fr-FR"/>
        </w:rPr>
        <w:t>’</w:t>
      </w:r>
      <w:r w:rsidRPr="005D40D4">
        <w:rPr>
          <w:lang w:val="fr-FR"/>
        </w:rPr>
        <w:t>accès est passé de 50</w:t>
      </w:r>
      <w:r w:rsidR="00F1794C" w:rsidRPr="00F1794C">
        <w:rPr>
          <w:lang w:val="fr-FR"/>
        </w:rPr>
        <w:t> %</w:t>
      </w:r>
      <w:r w:rsidRPr="005D40D4">
        <w:rPr>
          <w:lang w:val="fr-FR"/>
        </w:rPr>
        <w:t xml:space="preserve"> à 85</w:t>
      </w:r>
      <w:r w:rsidR="00F1794C" w:rsidRPr="00F1794C">
        <w:rPr>
          <w:lang w:val="fr-FR"/>
        </w:rPr>
        <w:t> %</w:t>
      </w:r>
      <w:r w:rsidRPr="005D40D4">
        <w:rPr>
          <w:lang w:val="fr-FR"/>
        </w:rPr>
        <w:t xml:space="preserve"> à la fin de la mise en œuvre du deuxième programme national des routes rurales et du programme de mise à niveau territoriale. </w:t>
      </w:r>
    </w:p>
    <w:p w14:paraId="62B29DAE" w14:textId="0124604E" w:rsidR="005D40D4" w:rsidRPr="005D40D4" w:rsidRDefault="005D40D4" w:rsidP="00456FC2">
      <w:pPr>
        <w:pStyle w:val="SingleTxt"/>
        <w:numPr>
          <w:ilvl w:val="0"/>
          <w:numId w:val="50"/>
        </w:numPr>
        <w:rPr>
          <w:lang w:val="fr-FR"/>
        </w:rPr>
      </w:pPr>
      <w:r w:rsidRPr="005D40D4">
        <w:rPr>
          <w:lang w:val="fr-FR"/>
        </w:rPr>
        <w:t>En application des dispositions de la loi-cadre n</w:t>
      </w:r>
      <w:r w:rsidRPr="005D40D4">
        <w:rPr>
          <w:vertAlign w:val="superscript"/>
          <w:lang w:val="fr-FR"/>
        </w:rPr>
        <w:t>o</w:t>
      </w:r>
      <w:r w:rsidRPr="005D40D4">
        <w:rPr>
          <w:lang w:val="fr-FR"/>
        </w:rPr>
        <w:t xml:space="preserve"> 34-09 relative au système de santé, un ensemble de programmes ont été mis en œuvre dans les zones rurales</w:t>
      </w:r>
      <w:r w:rsidR="00F1794C" w:rsidRPr="00F1794C">
        <w:rPr>
          <w:lang w:val="fr-FR"/>
        </w:rPr>
        <w:t> :</w:t>
      </w:r>
      <w:r w:rsidRPr="005D40D4">
        <w:rPr>
          <w:lang w:val="fr-FR"/>
        </w:rPr>
        <w:t xml:space="preserve"> un plan d</w:t>
      </w:r>
      <w:r w:rsidR="00F1794C" w:rsidRPr="00F1794C">
        <w:rPr>
          <w:lang w:val="fr-FR"/>
        </w:rPr>
        <w:t>’</w:t>
      </w:r>
      <w:r w:rsidRPr="005D40D4">
        <w:rPr>
          <w:lang w:val="fr-FR"/>
        </w:rPr>
        <w:t>action visant à accélérer le recul de la mortalité maternelle et infantile, un plan d</w:t>
      </w:r>
      <w:r w:rsidR="00F1794C" w:rsidRPr="00F1794C">
        <w:rPr>
          <w:lang w:val="fr-FR"/>
        </w:rPr>
        <w:t>’</w:t>
      </w:r>
      <w:r w:rsidRPr="005D40D4">
        <w:rPr>
          <w:lang w:val="fr-FR"/>
        </w:rPr>
        <w:t>action intitulé « Sauver les vies des mères et des enfants » (2011-2013), le plan national de la santé de l</w:t>
      </w:r>
      <w:r w:rsidR="00F1794C" w:rsidRPr="00F1794C">
        <w:rPr>
          <w:lang w:val="fr-FR"/>
        </w:rPr>
        <w:t>’</w:t>
      </w:r>
      <w:r w:rsidRPr="005D40D4">
        <w:rPr>
          <w:lang w:val="fr-FR"/>
        </w:rPr>
        <w:t>enfant, la Stratégie nationale de nutrition (2011-2019), la stratégie nationale de santé procréative et le plan santé pour le monde rural. Le modèle mobile de couverture sanitaire a été renforcé et l</w:t>
      </w:r>
      <w:r w:rsidR="00F1794C" w:rsidRPr="00F1794C">
        <w:rPr>
          <w:lang w:val="fr-FR"/>
        </w:rPr>
        <w:t>’</w:t>
      </w:r>
      <w:r w:rsidRPr="005D40D4">
        <w:rPr>
          <w:lang w:val="fr-FR"/>
        </w:rPr>
        <w:t>opération « Riâya » (protection sociale) ciblant les régions touchées par les changements climatiques, notamment les fortes précipitations lancée</w:t>
      </w:r>
      <w:r w:rsidRPr="00FA086B">
        <w:rPr>
          <w:vertAlign w:val="superscript"/>
          <w:lang w:val="fr-FR"/>
        </w:rPr>
        <w:footnoteReference w:id="95"/>
      </w:r>
      <w:r w:rsidRPr="005D40D4">
        <w:rPr>
          <w:lang w:val="fr-FR"/>
        </w:rPr>
        <w:t xml:space="preserve"> a été lancée.</w:t>
      </w:r>
    </w:p>
    <w:p w14:paraId="79580914" w14:textId="350C4D0C" w:rsidR="005D40D4" w:rsidRPr="005D40D4" w:rsidRDefault="005D40D4" w:rsidP="00456FC2">
      <w:pPr>
        <w:pStyle w:val="SingleTxt"/>
        <w:numPr>
          <w:ilvl w:val="0"/>
          <w:numId w:val="50"/>
        </w:numPr>
        <w:rPr>
          <w:lang w:val="fr-FR"/>
        </w:rPr>
      </w:pPr>
      <w:r w:rsidRPr="005D40D4">
        <w:rPr>
          <w:lang w:val="fr-FR"/>
        </w:rPr>
        <w:t>En ce qui concerne l</w:t>
      </w:r>
      <w:r w:rsidR="00F1794C" w:rsidRPr="00F1794C">
        <w:rPr>
          <w:lang w:val="fr-FR"/>
        </w:rPr>
        <w:t>’</w:t>
      </w:r>
      <w:r w:rsidRPr="005D40D4">
        <w:rPr>
          <w:lang w:val="fr-FR"/>
        </w:rPr>
        <w:t>éducation, compte tenu des recommandations figurant aux paragraphes 27 et 33 des observations finales, la scolarisation des filles en milieu rural a été facilitée. Les établissements de protection sociale (maison de l</w:t>
      </w:r>
      <w:r w:rsidR="00F1794C" w:rsidRPr="00F1794C">
        <w:rPr>
          <w:lang w:val="fr-FR"/>
        </w:rPr>
        <w:t>’</w:t>
      </w:r>
      <w:r w:rsidRPr="005D40D4">
        <w:rPr>
          <w:lang w:val="fr-FR"/>
        </w:rPr>
        <w:t>étudiante et maison de la fille) ont accru l</w:t>
      </w:r>
      <w:r w:rsidR="00F1794C" w:rsidRPr="00F1794C">
        <w:rPr>
          <w:lang w:val="fr-FR"/>
        </w:rPr>
        <w:t>’</w:t>
      </w:r>
      <w:r w:rsidRPr="005D40D4">
        <w:rPr>
          <w:lang w:val="fr-FR"/>
        </w:rPr>
        <w:t>offre et les services proposés</w:t>
      </w:r>
      <w:r w:rsidR="00F1794C" w:rsidRPr="00F1794C">
        <w:rPr>
          <w:lang w:val="fr-FR"/>
        </w:rPr>
        <w:t> :</w:t>
      </w:r>
      <w:r w:rsidRPr="005D40D4">
        <w:rPr>
          <w:lang w:val="fr-FR"/>
        </w:rPr>
        <w:t xml:space="preserve"> alimentation, hébergement, cours de soutien, camps d</w:t>
      </w:r>
      <w:r w:rsidR="00F1794C" w:rsidRPr="00F1794C">
        <w:rPr>
          <w:lang w:val="fr-FR"/>
        </w:rPr>
        <w:t>’</w:t>
      </w:r>
      <w:r w:rsidRPr="005D40D4">
        <w:rPr>
          <w:lang w:val="fr-FR"/>
        </w:rPr>
        <w:t>été, activités culturelles et sportives et soutien psychosocial. En 2014, 46 675 filles ont bénéficié de ces services. Elles représentaient 45,08</w:t>
      </w:r>
      <w:r w:rsidR="00F1794C" w:rsidRPr="00F1794C">
        <w:rPr>
          <w:lang w:val="fr-FR"/>
        </w:rPr>
        <w:t> %</w:t>
      </w:r>
      <w:r w:rsidRPr="005D40D4">
        <w:rPr>
          <w:lang w:val="fr-FR"/>
        </w:rPr>
        <w:t xml:space="preserve"> du nombre total de bénéficiaires. La même année, 80</w:t>
      </w:r>
      <w:r w:rsidR="00F1794C" w:rsidRPr="00F1794C">
        <w:rPr>
          <w:lang w:val="fr-FR"/>
        </w:rPr>
        <w:t> %</w:t>
      </w:r>
      <w:r w:rsidRPr="005D40D4">
        <w:rPr>
          <w:lang w:val="fr-FR"/>
        </w:rPr>
        <w:t xml:space="preserve"> des filles bénéficiaires ont obtenu de bons résultats scolaires.</w:t>
      </w:r>
    </w:p>
    <w:p w14:paraId="4161418C" w14:textId="12051F21" w:rsidR="005D40D4" w:rsidRPr="005D40D4" w:rsidRDefault="005D40D4" w:rsidP="00456FC2">
      <w:pPr>
        <w:pStyle w:val="SingleTxt"/>
        <w:numPr>
          <w:ilvl w:val="0"/>
          <w:numId w:val="50"/>
        </w:numPr>
        <w:rPr>
          <w:lang w:val="fr-FR"/>
        </w:rPr>
      </w:pPr>
      <w:r w:rsidRPr="005D40D4">
        <w:rPr>
          <w:lang w:val="fr-FR"/>
        </w:rPr>
        <w:t>De nombreuses coopératives gérées par des femmes, dans les secteurs de l</w:t>
      </w:r>
      <w:r w:rsidR="00F1794C" w:rsidRPr="00F1794C">
        <w:rPr>
          <w:lang w:val="fr-FR"/>
        </w:rPr>
        <w:t>’</w:t>
      </w:r>
      <w:r w:rsidRPr="005D40D4">
        <w:rPr>
          <w:lang w:val="fr-FR"/>
        </w:rPr>
        <w:t>agriculture, de l</w:t>
      </w:r>
      <w:r w:rsidR="00F1794C" w:rsidRPr="00F1794C">
        <w:rPr>
          <w:lang w:val="fr-FR"/>
        </w:rPr>
        <w:t>’</w:t>
      </w:r>
      <w:r w:rsidRPr="005D40D4">
        <w:rPr>
          <w:lang w:val="fr-FR"/>
        </w:rPr>
        <w:t>artisanat et du tourisme, ont reçu un appui. Leur nombre a augmenté de manière notable, passant de 738 en 2008 à 2 021 en 2014, ce qui représente 14,6</w:t>
      </w:r>
      <w:r w:rsidR="00F1794C" w:rsidRPr="00F1794C">
        <w:rPr>
          <w:lang w:val="fr-FR"/>
        </w:rPr>
        <w:t> %</w:t>
      </w:r>
      <w:r w:rsidRPr="005D40D4">
        <w:rPr>
          <w:lang w:val="fr-FR"/>
        </w:rPr>
        <w:t xml:space="preserve"> du nombre total de coopératives. En 2016, ces coopératives comptaient 34 877 femmes membres</w:t>
      </w:r>
      <w:r w:rsidR="00F1794C" w:rsidRPr="00F1794C">
        <w:rPr>
          <w:lang w:val="fr-FR"/>
        </w:rPr>
        <w:t> :</w:t>
      </w:r>
      <w:r w:rsidRPr="005D40D4">
        <w:rPr>
          <w:lang w:val="fr-FR"/>
        </w:rPr>
        <w:t xml:space="preserve"> 12 662 dans le secteur agricole, 12 582 dans l</w:t>
      </w:r>
      <w:r w:rsidR="00F1794C" w:rsidRPr="00F1794C">
        <w:rPr>
          <w:lang w:val="fr-FR"/>
        </w:rPr>
        <w:t>’</w:t>
      </w:r>
      <w:r w:rsidRPr="005D40D4">
        <w:rPr>
          <w:lang w:val="fr-FR"/>
        </w:rPr>
        <w:t>artisanat et 6 860 dans la culture de l</w:t>
      </w:r>
      <w:r w:rsidR="00F1794C" w:rsidRPr="00F1794C">
        <w:rPr>
          <w:lang w:val="fr-FR"/>
        </w:rPr>
        <w:t>’</w:t>
      </w:r>
      <w:r w:rsidRPr="005D40D4">
        <w:rPr>
          <w:lang w:val="fr-FR"/>
        </w:rPr>
        <w:t xml:space="preserve">arganier. </w:t>
      </w:r>
    </w:p>
    <w:p w14:paraId="4B1C664F" w14:textId="77777777" w:rsidR="005D40D4" w:rsidRPr="005D40D4" w:rsidRDefault="005D40D4" w:rsidP="00456FC2">
      <w:pPr>
        <w:pStyle w:val="SingleTxt"/>
        <w:numPr>
          <w:ilvl w:val="0"/>
          <w:numId w:val="50"/>
        </w:numPr>
        <w:rPr>
          <w:lang w:val="fr-FR"/>
        </w:rPr>
      </w:pPr>
      <w:r w:rsidRPr="005D40D4">
        <w:rPr>
          <w:lang w:val="fr-FR"/>
        </w:rPr>
        <w:t>Dans le domaine agricole</w:t>
      </w:r>
      <w:r w:rsidRPr="00FA086B">
        <w:rPr>
          <w:vertAlign w:val="superscript"/>
          <w:lang w:val="fr-FR"/>
        </w:rPr>
        <w:footnoteReference w:id="96"/>
      </w:r>
      <w:r w:rsidRPr="005D40D4">
        <w:rPr>
          <w:lang w:val="fr-FR"/>
        </w:rPr>
        <w:t xml:space="preserve">, le plan « Maroc vert » accorde une attention particulière aux femmes rurales. Des politiques de développement inclusif ont été mises en place pour combler le fossé entre les sexes et garantir les mêmes chances aux femmes afin que celles-ci puissent tirer parti des programmes et projets de développement agricole, qui prennent en compte les questions de genre. </w:t>
      </w:r>
    </w:p>
    <w:p w14:paraId="1B8DC55C" w14:textId="1FE21867" w:rsidR="005D40D4" w:rsidRPr="005D40D4" w:rsidRDefault="005D40D4" w:rsidP="00456FC2">
      <w:pPr>
        <w:pStyle w:val="SingleTxt"/>
        <w:numPr>
          <w:ilvl w:val="0"/>
          <w:numId w:val="50"/>
        </w:numPr>
        <w:rPr>
          <w:lang w:val="fr-FR"/>
        </w:rPr>
      </w:pPr>
      <w:r w:rsidRPr="005D40D4">
        <w:rPr>
          <w:lang w:val="fr-FR"/>
        </w:rPr>
        <w:t>Pour contribuer à l</w:t>
      </w:r>
      <w:r w:rsidR="00F1794C" w:rsidRPr="00F1794C">
        <w:rPr>
          <w:lang w:val="fr-FR"/>
        </w:rPr>
        <w:t>’</w:t>
      </w:r>
      <w:r w:rsidRPr="005D40D4">
        <w:rPr>
          <w:lang w:val="fr-FR"/>
        </w:rPr>
        <w:t>autonomisation socioéconomique des femmes, le secteur concerté déploie les efforts suivants</w:t>
      </w:r>
      <w:r w:rsidR="00F1794C" w:rsidRPr="00F1794C">
        <w:rPr>
          <w:lang w:val="fr-FR"/>
        </w:rPr>
        <w:t> :</w:t>
      </w:r>
      <w:r w:rsidRPr="005D40D4">
        <w:rPr>
          <w:lang w:val="fr-FR"/>
        </w:rPr>
        <w:t xml:space="preserve"> </w:t>
      </w:r>
    </w:p>
    <w:p w14:paraId="28D91A0A" w14:textId="37BC404E" w:rsidR="005D40D4" w:rsidRPr="00044750" w:rsidRDefault="00044750" w:rsidP="00044750">
      <w:pPr>
        <w:pStyle w:val="SingleTxt"/>
        <w:tabs>
          <w:tab w:val="right" w:pos="1685"/>
        </w:tabs>
        <w:ind w:left="1742" w:hanging="475"/>
        <w:rPr>
          <w:lang w:val="fr-FR"/>
        </w:rPr>
      </w:pPr>
      <w:r>
        <w:rPr>
          <w:lang w:val="fr-FR"/>
        </w:rPr>
        <w:tab/>
        <w:t>•</w:t>
      </w:r>
      <w:r>
        <w:rPr>
          <w:lang w:val="fr-FR"/>
        </w:rPr>
        <w:tab/>
      </w:r>
      <w:r w:rsidR="005D40D4" w:rsidRPr="00044750">
        <w:rPr>
          <w:lang w:val="fr-FR"/>
        </w:rPr>
        <w:t>Mise au point d</w:t>
      </w:r>
      <w:r w:rsidR="00F1794C" w:rsidRPr="00044750">
        <w:rPr>
          <w:lang w:val="fr-FR"/>
        </w:rPr>
        <w:t>’</w:t>
      </w:r>
      <w:r w:rsidR="005D40D4" w:rsidRPr="00044750">
        <w:rPr>
          <w:lang w:val="fr-FR"/>
        </w:rPr>
        <w:t>outils d</w:t>
      </w:r>
      <w:r w:rsidR="00F1794C" w:rsidRPr="00044750">
        <w:rPr>
          <w:lang w:val="fr-FR"/>
        </w:rPr>
        <w:t>’</w:t>
      </w:r>
      <w:r w:rsidR="005D40D4" w:rsidRPr="00044750">
        <w:rPr>
          <w:lang w:val="fr-FR"/>
        </w:rPr>
        <w:t>application afin de favoriser l</w:t>
      </w:r>
      <w:r w:rsidR="00F1794C" w:rsidRPr="00044750">
        <w:rPr>
          <w:lang w:val="fr-FR"/>
        </w:rPr>
        <w:t>’</w:t>
      </w:r>
      <w:r w:rsidR="005D40D4" w:rsidRPr="00044750">
        <w:rPr>
          <w:lang w:val="fr-FR"/>
        </w:rPr>
        <w:t>esprit d</w:t>
      </w:r>
      <w:r w:rsidR="00F1794C" w:rsidRPr="00044750">
        <w:rPr>
          <w:lang w:val="fr-FR"/>
        </w:rPr>
        <w:t>’</w:t>
      </w:r>
      <w:r w:rsidR="005D40D4" w:rsidRPr="00044750">
        <w:rPr>
          <w:lang w:val="fr-FR"/>
        </w:rPr>
        <w:t>initiative et l</w:t>
      </w:r>
      <w:r w:rsidR="00F1794C" w:rsidRPr="00044750">
        <w:rPr>
          <w:lang w:val="fr-FR"/>
        </w:rPr>
        <w:t>’</w:t>
      </w:r>
      <w:r w:rsidR="005D40D4" w:rsidRPr="00044750">
        <w:rPr>
          <w:lang w:val="fr-FR"/>
        </w:rPr>
        <w:t>investissement, d</w:t>
      </w:r>
      <w:r w:rsidR="00F1794C" w:rsidRPr="00044750">
        <w:rPr>
          <w:lang w:val="fr-FR"/>
        </w:rPr>
        <w:t>’</w:t>
      </w:r>
      <w:r w:rsidR="005D40D4" w:rsidRPr="00044750">
        <w:rPr>
          <w:lang w:val="fr-FR"/>
        </w:rPr>
        <w:t>encourager les femmes à créer des entreprises agricoles grâce aux projets prévus dans le cadre du pilier II du plan Maroc vert</w:t>
      </w:r>
      <w:r w:rsidR="00F1794C" w:rsidRPr="00044750">
        <w:rPr>
          <w:lang w:val="fr-FR"/>
        </w:rPr>
        <w:t> ;</w:t>
      </w:r>
    </w:p>
    <w:p w14:paraId="2BC8AD47" w14:textId="0E9AE99D" w:rsidR="005D40D4" w:rsidRPr="00044750" w:rsidRDefault="00044750" w:rsidP="00044750">
      <w:pPr>
        <w:pStyle w:val="SingleTxt"/>
        <w:tabs>
          <w:tab w:val="right" w:pos="1685"/>
        </w:tabs>
        <w:ind w:left="1742" w:hanging="475"/>
        <w:rPr>
          <w:lang w:val="fr-FR"/>
        </w:rPr>
      </w:pPr>
      <w:r>
        <w:rPr>
          <w:lang w:val="fr-FR"/>
        </w:rPr>
        <w:tab/>
        <w:t>•</w:t>
      </w:r>
      <w:r>
        <w:rPr>
          <w:lang w:val="fr-FR"/>
        </w:rPr>
        <w:tab/>
      </w:r>
      <w:r w:rsidR="005D40D4" w:rsidRPr="00044750">
        <w:rPr>
          <w:lang w:val="fr-FR"/>
        </w:rPr>
        <w:t>Élaboration d</w:t>
      </w:r>
      <w:r w:rsidR="00F1794C" w:rsidRPr="00044750">
        <w:rPr>
          <w:lang w:val="fr-FR"/>
        </w:rPr>
        <w:t>’</w:t>
      </w:r>
      <w:r w:rsidR="005D40D4" w:rsidRPr="00044750">
        <w:rPr>
          <w:lang w:val="fr-FR"/>
        </w:rPr>
        <w:t>un guide fixant les priorités de l</w:t>
      </w:r>
      <w:r w:rsidR="00F1794C" w:rsidRPr="00044750">
        <w:rPr>
          <w:lang w:val="fr-FR"/>
        </w:rPr>
        <w:t>’</w:t>
      </w:r>
      <w:r w:rsidR="005D40D4" w:rsidRPr="00044750">
        <w:rPr>
          <w:lang w:val="fr-FR"/>
        </w:rPr>
        <w:t>agriculture solidaire</w:t>
      </w:r>
      <w:r w:rsidR="00F1794C" w:rsidRPr="00044750">
        <w:rPr>
          <w:lang w:val="fr-FR"/>
        </w:rPr>
        <w:t xml:space="preserve"> </w:t>
      </w:r>
      <w:r w:rsidR="005D40D4" w:rsidRPr="00044750">
        <w:rPr>
          <w:lang w:val="fr-FR"/>
        </w:rPr>
        <w:t>et énonçant des critères relatifs à la dimension de genre</w:t>
      </w:r>
      <w:r w:rsidR="00F1794C" w:rsidRPr="00044750">
        <w:rPr>
          <w:lang w:val="fr-FR"/>
        </w:rPr>
        <w:t> ;</w:t>
      </w:r>
      <w:r w:rsidR="005D40D4" w:rsidRPr="00044750">
        <w:rPr>
          <w:lang w:val="fr-FR"/>
        </w:rPr>
        <w:t xml:space="preserve"> adoption d</w:t>
      </w:r>
      <w:r w:rsidR="00F1794C" w:rsidRPr="00044750">
        <w:rPr>
          <w:lang w:val="fr-FR"/>
        </w:rPr>
        <w:t>’</w:t>
      </w:r>
      <w:r w:rsidR="005D40D4" w:rsidRPr="00044750">
        <w:rPr>
          <w:lang w:val="fr-FR"/>
        </w:rPr>
        <w:t>un indicateur de genre dans le cadre du programme d</w:t>
      </w:r>
      <w:r w:rsidR="00F1794C" w:rsidRPr="00044750">
        <w:rPr>
          <w:lang w:val="fr-FR"/>
        </w:rPr>
        <w:t>’</w:t>
      </w:r>
      <w:r w:rsidR="005D40D4" w:rsidRPr="00044750">
        <w:rPr>
          <w:lang w:val="fr-FR"/>
        </w:rPr>
        <w:t>appui à la politique du secteur agricole par l</w:t>
      </w:r>
      <w:r w:rsidR="00F1794C" w:rsidRPr="00044750">
        <w:rPr>
          <w:lang w:val="fr-FR"/>
        </w:rPr>
        <w:t>’</w:t>
      </w:r>
      <w:r w:rsidR="005D40D4" w:rsidRPr="00044750">
        <w:rPr>
          <w:lang w:val="fr-FR"/>
        </w:rPr>
        <w:t>Union européenne depuis 2017</w:t>
      </w:r>
      <w:r w:rsidR="00F1794C" w:rsidRPr="00044750">
        <w:rPr>
          <w:lang w:val="fr-FR"/>
        </w:rPr>
        <w:t> ;</w:t>
      </w:r>
      <w:r w:rsidR="005D40D4" w:rsidRPr="00044750">
        <w:rPr>
          <w:lang w:val="fr-FR"/>
        </w:rPr>
        <w:t xml:space="preserve"> il s</w:t>
      </w:r>
      <w:r w:rsidR="00F1794C" w:rsidRPr="00044750">
        <w:rPr>
          <w:lang w:val="fr-FR"/>
        </w:rPr>
        <w:t>’</w:t>
      </w:r>
      <w:r w:rsidR="005D40D4" w:rsidRPr="00044750">
        <w:rPr>
          <w:lang w:val="fr-FR"/>
        </w:rPr>
        <w:t>agit d</w:t>
      </w:r>
      <w:r w:rsidR="00F1794C" w:rsidRPr="00044750">
        <w:rPr>
          <w:lang w:val="fr-FR"/>
        </w:rPr>
        <w:t>’</w:t>
      </w:r>
      <w:r w:rsidR="005D40D4" w:rsidRPr="00044750">
        <w:rPr>
          <w:lang w:val="fr-FR"/>
        </w:rPr>
        <w:t>accroitre la représentation des femmes dans les structures des organisations professionnelles</w:t>
      </w:r>
      <w:r w:rsidR="00F1794C" w:rsidRPr="00044750">
        <w:rPr>
          <w:lang w:val="fr-FR"/>
        </w:rPr>
        <w:t> ;</w:t>
      </w:r>
    </w:p>
    <w:p w14:paraId="4CAC46BF" w14:textId="0C90C383" w:rsidR="005D40D4" w:rsidRPr="00044750" w:rsidRDefault="00044750" w:rsidP="00044750">
      <w:pPr>
        <w:pStyle w:val="SingleTxt"/>
        <w:tabs>
          <w:tab w:val="right" w:pos="1685"/>
        </w:tabs>
        <w:ind w:left="1742" w:hanging="475"/>
        <w:rPr>
          <w:lang w:val="fr-FR"/>
        </w:rPr>
      </w:pPr>
      <w:r>
        <w:rPr>
          <w:lang w:val="fr-FR"/>
        </w:rPr>
        <w:tab/>
        <w:t>•</w:t>
      </w:r>
      <w:r>
        <w:rPr>
          <w:lang w:val="fr-FR"/>
        </w:rPr>
        <w:tab/>
      </w:r>
      <w:r w:rsidR="005D40D4" w:rsidRPr="00044750">
        <w:rPr>
          <w:lang w:val="fr-FR"/>
        </w:rPr>
        <w:t>Conseils dispensés aux femmes rurales par le Conseil agricole (accompagnement de 217 567 femmes)</w:t>
      </w:r>
      <w:r w:rsidR="00F1794C" w:rsidRPr="00044750">
        <w:rPr>
          <w:lang w:val="fr-FR"/>
        </w:rPr>
        <w:t> ;</w:t>
      </w:r>
    </w:p>
    <w:p w14:paraId="0822F1F2" w14:textId="41E0283F" w:rsidR="005D40D4" w:rsidRPr="00044750" w:rsidRDefault="00044750" w:rsidP="00044750">
      <w:pPr>
        <w:pStyle w:val="SingleTxt"/>
        <w:tabs>
          <w:tab w:val="right" w:pos="1685"/>
        </w:tabs>
        <w:ind w:left="1742" w:hanging="475"/>
        <w:rPr>
          <w:lang w:val="fr-FR"/>
        </w:rPr>
      </w:pPr>
      <w:r>
        <w:rPr>
          <w:lang w:val="fr-FR"/>
        </w:rPr>
        <w:lastRenderedPageBreak/>
        <w:tab/>
        <w:t>•</w:t>
      </w:r>
      <w:r>
        <w:rPr>
          <w:lang w:val="fr-FR"/>
        </w:rPr>
        <w:tab/>
      </w:r>
      <w:r w:rsidR="005D40D4" w:rsidRPr="00044750">
        <w:rPr>
          <w:lang w:val="fr-FR"/>
        </w:rPr>
        <w:t>Promotion et accompagnement des organisations professionnelles agricoles de femmes (1 410 coopératives agricoles de femmes, dont 25</w:t>
      </w:r>
      <w:r w:rsidR="00F1794C" w:rsidRPr="00044750">
        <w:rPr>
          <w:lang w:val="fr-FR"/>
        </w:rPr>
        <w:t> %</w:t>
      </w:r>
      <w:r w:rsidR="005D40D4" w:rsidRPr="00044750">
        <w:rPr>
          <w:lang w:val="fr-FR"/>
        </w:rPr>
        <w:t xml:space="preserve"> relatives à la culture de l</w:t>
      </w:r>
      <w:r w:rsidR="00F1794C" w:rsidRPr="00044750">
        <w:rPr>
          <w:lang w:val="fr-FR"/>
        </w:rPr>
        <w:t>’</w:t>
      </w:r>
      <w:r w:rsidR="005D40D4" w:rsidRPr="00044750">
        <w:rPr>
          <w:lang w:val="fr-FR"/>
        </w:rPr>
        <w:t>arganier</w:t>
      </w:r>
      <w:r w:rsidR="00DE1A4C">
        <w:rPr>
          <w:lang w:val="fr-FR"/>
        </w:rPr>
        <w:t>)</w:t>
      </w:r>
      <w:r w:rsidR="00F1794C" w:rsidRPr="00044750">
        <w:rPr>
          <w:lang w:val="fr-FR"/>
        </w:rPr>
        <w:t> ;</w:t>
      </w:r>
    </w:p>
    <w:p w14:paraId="3FA87B40" w14:textId="53964260" w:rsidR="005D40D4" w:rsidRPr="00044750" w:rsidRDefault="00044750" w:rsidP="00044750">
      <w:pPr>
        <w:pStyle w:val="SingleTxt"/>
        <w:tabs>
          <w:tab w:val="right" w:pos="1685"/>
        </w:tabs>
        <w:ind w:left="1742" w:hanging="475"/>
        <w:rPr>
          <w:lang w:val="fr-FR"/>
        </w:rPr>
      </w:pPr>
      <w:r>
        <w:rPr>
          <w:lang w:val="fr-FR"/>
        </w:rPr>
        <w:tab/>
        <w:t>•</w:t>
      </w:r>
      <w:r>
        <w:rPr>
          <w:lang w:val="fr-FR"/>
        </w:rPr>
        <w:tab/>
      </w:r>
      <w:r w:rsidR="005D40D4" w:rsidRPr="00044750">
        <w:rPr>
          <w:lang w:val="fr-FR"/>
        </w:rPr>
        <w:t>Appui à la valorisation, à la commercialisation et à la distribution des produits agricoles et accès aux salons régionaux, nationales et internationales (plus de 8 000 femmes bénéficiaires)</w:t>
      </w:r>
      <w:r w:rsidR="00F1794C" w:rsidRPr="00044750">
        <w:rPr>
          <w:lang w:val="fr-FR"/>
        </w:rPr>
        <w:t> ;</w:t>
      </w:r>
      <w:r w:rsidR="005D40D4" w:rsidRPr="00044750">
        <w:rPr>
          <w:lang w:val="fr-FR"/>
        </w:rPr>
        <w:t xml:space="preserve"> création d</w:t>
      </w:r>
      <w:r w:rsidR="00F1794C" w:rsidRPr="00044750">
        <w:rPr>
          <w:lang w:val="fr-FR"/>
        </w:rPr>
        <w:t>’</w:t>
      </w:r>
      <w:r w:rsidR="005D40D4" w:rsidRPr="00044750">
        <w:rPr>
          <w:lang w:val="fr-FR"/>
        </w:rPr>
        <w:t>espaces de commercialisation des produits dans certaines régions du Maroc</w:t>
      </w:r>
      <w:r w:rsidR="00F1794C" w:rsidRPr="00044750">
        <w:rPr>
          <w:lang w:val="fr-FR"/>
        </w:rPr>
        <w:t> ;</w:t>
      </w:r>
      <w:r w:rsidR="005D40D4" w:rsidRPr="00044750">
        <w:rPr>
          <w:lang w:val="fr-FR"/>
        </w:rPr>
        <w:t xml:space="preserve"> partenariats régionaux avec de grandes surfaces, création de 8 points de vente en ligne et codage au profit de 34 groupes dirigés par des femmes</w:t>
      </w:r>
      <w:r w:rsidR="00F1794C" w:rsidRPr="00044750">
        <w:rPr>
          <w:lang w:val="fr-FR"/>
        </w:rPr>
        <w:t> ;</w:t>
      </w:r>
    </w:p>
    <w:p w14:paraId="3D8D11C7" w14:textId="41EFBC7E" w:rsidR="005D40D4" w:rsidRPr="00044750" w:rsidRDefault="00044750" w:rsidP="00044750">
      <w:pPr>
        <w:pStyle w:val="SingleTxt"/>
        <w:tabs>
          <w:tab w:val="right" w:pos="1685"/>
        </w:tabs>
        <w:ind w:left="1742" w:hanging="475"/>
        <w:rPr>
          <w:lang w:val="fr-FR"/>
        </w:rPr>
      </w:pPr>
      <w:r>
        <w:rPr>
          <w:lang w:val="fr-FR"/>
        </w:rPr>
        <w:tab/>
        <w:t>•</w:t>
      </w:r>
      <w:r>
        <w:rPr>
          <w:lang w:val="fr-FR"/>
        </w:rPr>
        <w:tab/>
      </w:r>
      <w:r w:rsidR="005D40D4" w:rsidRPr="00044750">
        <w:rPr>
          <w:lang w:val="fr-FR"/>
        </w:rPr>
        <w:t>52</w:t>
      </w:r>
      <w:r w:rsidR="00F1794C" w:rsidRPr="00044750">
        <w:rPr>
          <w:lang w:val="fr-FR"/>
        </w:rPr>
        <w:t> %</w:t>
      </w:r>
      <w:r w:rsidR="005D40D4" w:rsidRPr="00044750">
        <w:rPr>
          <w:lang w:val="fr-FR"/>
        </w:rPr>
        <w:t xml:space="preserve"> des femmes bénéficiaires travaillent dans les champs d</w:t>
      </w:r>
      <w:r w:rsidR="00F1794C" w:rsidRPr="00044750">
        <w:rPr>
          <w:lang w:val="fr-FR"/>
        </w:rPr>
        <w:t>’</w:t>
      </w:r>
      <w:r w:rsidR="005D40D4" w:rsidRPr="00044750">
        <w:rPr>
          <w:lang w:val="fr-FR"/>
        </w:rPr>
        <w:t>arganiers et les oasis</w:t>
      </w:r>
      <w:r w:rsidR="00F1794C" w:rsidRPr="00044750">
        <w:rPr>
          <w:lang w:val="fr-FR"/>
        </w:rPr>
        <w:t> ;</w:t>
      </w:r>
    </w:p>
    <w:p w14:paraId="67EFDCBA" w14:textId="3BE6377A" w:rsidR="005D40D4" w:rsidRPr="00044750" w:rsidRDefault="00044750" w:rsidP="00044750">
      <w:pPr>
        <w:pStyle w:val="SingleTxt"/>
        <w:tabs>
          <w:tab w:val="right" w:pos="1685"/>
        </w:tabs>
        <w:ind w:left="1742" w:hanging="475"/>
        <w:rPr>
          <w:lang w:val="fr-FR"/>
        </w:rPr>
      </w:pPr>
      <w:r>
        <w:rPr>
          <w:lang w:val="fr-FR"/>
        </w:rPr>
        <w:tab/>
        <w:t>•</w:t>
      </w:r>
      <w:r>
        <w:rPr>
          <w:lang w:val="fr-FR"/>
        </w:rPr>
        <w:tab/>
      </w:r>
      <w:r w:rsidR="005D40D4" w:rsidRPr="00044750">
        <w:rPr>
          <w:lang w:val="fr-FR"/>
        </w:rPr>
        <w:t>Diffusion de 31 programmes radiophoniques et annonces afin de faire mieux connaître la dimension de genre</w:t>
      </w:r>
      <w:r w:rsidR="00F1794C" w:rsidRPr="00044750">
        <w:rPr>
          <w:lang w:val="fr-FR"/>
        </w:rPr>
        <w:t> ;</w:t>
      </w:r>
    </w:p>
    <w:p w14:paraId="77F3B8D0" w14:textId="4B0B4DAA" w:rsidR="005D40D4" w:rsidRPr="00044750" w:rsidRDefault="00044750" w:rsidP="00044750">
      <w:pPr>
        <w:pStyle w:val="SingleTxt"/>
        <w:tabs>
          <w:tab w:val="right" w:pos="1685"/>
        </w:tabs>
        <w:ind w:left="1742" w:hanging="475"/>
        <w:rPr>
          <w:lang w:val="fr-FR"/>
        </w:rPr>
      </w:pPr>
      <w:r>
        <w:rPr>
          <w:lang w:val="fr-FR"/>
        </w:rPr>
        <w:tab/>
        <w:t>•</w:t>
      </w:r>
      <w:r>
        <w:rPr>
          <w:lang w:val="fr-FR"/>
        </w:rPr>
        <w:tab/>
      </w:r>
      <w:r w:rsidR="005D40D4" w:rsidRPr="00044750">
        <w:rPr>
          <w:lang w:val="fr-FR"/>
        </w:rPr>
        <w:t>75 femmes exercent la profession de conseillère agricole, sur 883 habilitées à le faire (8,5</w:t>
      </w:r>
      <w:r w:rsidR="00F1794C" w:rsidRPr="00044750">
        <w:rPr>
          <w:lang w:val="fr-FR"/>
        </w:rPr>
        <w:t> %</w:t>
      </w:r>
      <w:r w:rsidR="005D40D4" w:rsidRPr="00044750">
        <w:rPr>
          <w:lang w:val="fr-FR"/>
        </w:rPr>
        <w:t>)</w:t>
      </w:r>
      <w:r w:rsidR="00F1794C" w:rsidRPr="00044750">
        <w:rPr>
          <w:lang w:val="fr-FR"/>
        </w:rPr>
        <w:t> ;</w:t>
      </w:r>
    </w:p>
    <w:p w14:paraId="5C05FD52" w14:textId="2C4AA4E1" w:rsidR="005D40D4" w:rsidRPr="005D40D4" w:rsidRDefault="005D40D4" w:rsidP="00456FC2">
      <w:pPr>
        <w:pStyle w:val="SingleTxt"/>
        <w:numPr>
          <w:ilvl w:val="0"/>
          <w:numId w:val="50"/>
        </w:numPr>
        <w:rPr>
          <w:lang w:val="fr-FR"/>
        </w:rPr>
      </w:pPr>
      <w:r w:rsidRPr="005D40D4">
        <w:rPr>
          <w:lang w:val="fr-FR"/>
        </w:rPr>
        <w:t>Dans le cadre de la vision stratégique pour l</w:t>
      </w:r>
      <w:r w:rsidR="00F1794C" w:rsidRPr="00F1794C">
        <w:rPr>
          <w:lang w:val="fr-FR"/>
        </w:rPr>
        <w:t>’</w:t>
      </w:r>
      <w:r w:rsidRPr="005D40D4">
        <w:rPr>
          <w:lang w:val="fr-FR"/>
        </w:rPr>
        <w:t>intégration de la dimension de genre dans le secteur agricole, les mesures ci-après ont été prises</w:t>
      </w:r>
      <w:r w:rsidR="00F1794C" w:rsidRPr="00F1794C">
        <w:rPr>
          <w:lang w:val="fr-FR"/>
        </w:rPr>
        <w:t> :</w:t>
      </w:r>
    </w:p>
    <w:p w14:paraId="6CD41312" w14:textId="5EB1BBDC" w:rsidR="005D40D4" w:rsidRPr="00044750" w:rsidRDefault="00044750" w:rsidP="00044750">
      <w:pPr>
        <w:pStyle w:val="SingleTxt"/>
        <w:tabs>
          <w:tab w:val="right" w:pos="1685"/>
        </w:tabs>
        <w:ind w:left="1742" w:hanging="475"/>
        <w:rPr>
          <w:lang w:val="fr-FR"/>
        </w:rPr>
      </w:pPr>
      <w:r>
        <w:rPr>
          <w:lang w:val="fr-FR"/>
        </w:rPr>
        <w:tab/>
        <w:t>•</w:t>
      </w:r>
      <w:r>
        <w:rPr>
          <w:lang w:val="fr-FR"/>
        </w:rPr>
        <w:tab/>
      </w:r>
      <w:r w:rsidR="005D40D4" w:rsidRPr="00044750">
        <w:rPr>
          <w:lang w:val="fr-FR"/>
        </w:rPr>
        <w:t>Réalisation d</w:t>
      </w:r>
      <w:r w:rsidR="00F1794C" w:rsidRPr="00044750">
        <w:rPr>
          <w:lang w:val="fr-FR"/>
        </w:rPr>
        <w:t>’</w:t>
      </w:r>
      <w:r w:rsidR="005D40D4" w:rsidRPr="00044750">
        <w:rPr>
          <w:lang w:val="fr-FR"/>
        </w:rPr>
        <w:t>une étude sur la promotion des entreprises agricoles dirigées par des femmes au Maroc</w:t>
      </w:r>
      <w:r w:rsidR="00F1794C" w:rsidRPr="00044750">
        <w:rPr>
          <w:lang w:val="fr-FR"/>
        </w:rPr>
        <w:t> ;</w:t>
      </w:r>
    </w:p>
    <w:p w14:paraId="1EEC830A" w14:textId="557CCD66" w:rsidR="005D40D4" w:rsidRPr="00044750" w:rsidRDefault="00044750" w:rsidP="00044750">
      <w:pPr>
        <w:pStyle w:val="SingleTxt"/>
        <w:tabs>
          <w:tab w:val="right" w:pos="1685"/>
        </w:tabs>
        <w:ind w:left="1742" w:hanging="475"/>
        <w:rPr>
          <w:lang w:val="fr-FR"/>
        </w:rPr>
      </w:pPr>
      <w:r>
        <w:rPr>
          <w:lang w:val="fr-FR"/>
        </w:rPr>
        <w:tab/>
        <w:t>•</w:t>
      </w:r>
      <w:r>
        <w:rPr>
          <w:lang w:val="fr-FR"/>
        </w:rPr>
        <w:tab/>
      </w:r>
      <w:r w:rsidR="005D40D4" w:rsidRPr="00044750">
        <w:rPr>
          <w:lang w:val="fr-FR"/>
        </w:rPr>
        <w:t>Remise à niveau du système d</w:t>
      </w:r>
      <w:r w:rsidR="00F1794C" w:rsidRPr="00044750">
        <w:rPr>
          <w:lang w:val="fr-FR"/>
        </w:rPr>
        <w:t>’</w:t>
      </w:r>
      <w:r w:rsidR="005D40D4" w:rsidRPr="00044750">
        <w:rPr>
          <w:lang w:val="fr-FR"/>
        </w:rPr>
        <w:t>enseignement et de formation agricole en s</w:t>
      </w:r>
      <w:r w:rsidR="00F1794C" w:rsidRPr="00044750">
        <w:rPr>
          <w:lang w:val="fr-FR"/>
        </w:rPr>
        <w:t>’</w:t>
      </w:r>
      <w:r w:rsidR="005D40D4" w:rsidRPr="00044750">
        <w:rPr>
          <w:lang w:val="fr-FR"/>
        </w:rPr>
        <w:t>appuyant sur les principes d</w:t>
      </w:r>
      <w:r w:rsidR="00F1794C" w:rsidRPr="00044750">
        <w:rPr>
          <w:lang w:val="fr-FR"/>
        </w:rPr>
        <w:t>’</w:t>
      </w:r>
      <w:r w:rsidR="005D40D4" w:rsidRPr="00044750">
        <w:rPr>
          <w:lang w:val="fr-FR"/>
        </w:rPr>
        <w:t>égalité et d</w:t>
      </w:r>
      <w:r w:rsidR="00F1794C" w:rsidRPr="00044750">
        <w:rPr>
          <w:lang w:val="fr-FR"/>
        </w:rPr>
        <w:t>’</w:t>
      </w:r>
      <w:r w:rsidR="005D40D4" w:rsidRPr="00044750">
        <w:rPr>
          <w:lang w:val="fr-FR"/>
        </w:rPr>
        <w:t>équité et instauration d</w:t>
      </w:r>
      <w:r w:rsidR="00F1794C" w:rsidRPr="00044750">
        <w:rPr>
          <w:lang w:val="fr-FR"/>
        </w:rPr>
        <w:t>’</w:t>
      </w:r>
      <w:r w:rsidR="005D40D4" w:rsidRPr="00044750">
        <w:rPr>
          <w:lang w:val="fr-FR"/>
        </w:rPr>
        <w:t>une culture de l</w:t>
      </w:r>
      <w:r w:rsidR="00F1794C" w:rsidRPr="00044750">
        <w:rPr>
          <w:lang w:val="fr-FR"/>
        </w:rPr>
        <w:t>’</w:t>
      </w:r>
      <w:r w:rsidR="005D40D4" w:rsidRPr="00044750">
        <w:rPr>
          <w:lang w:val="fr-FR"/>
        </w:rPr>
        <w:t>entreprise agricole</w:t>
      </w:r>
      <w:r w:rsidR="00F1794C" w:rsidRPr="00044750">
        <w:rPr>
          <w:lang w:val="fr-FR"/>
        </w:rPr>
        <w:t> ;</w:t>
      </w:r>
      <w:r w:rsidR="005D40D4" w:rsidRPr="00044750">
        <w:rPr>
          <w:lang w:val="fr-FR"/>
        </w:rPr>
        <w:t xml:space="preserve"> </w:t>
      </w:r>
    </w:p>
    <w:p w14:paraId="726BE6E1" w14:textId="1A01AFED" w:rsidR="005D40D4" w:rsidRPr="00044750" w:rsidRDefault="00044750" w:rsidP="00044750">
      <w:pPr>
        <w:pStyle w:val="SingleTxt"/>
        <w:tabs>
          <w:tab w:val="right" w:pos="1685"/>
        </w:tabs>
        <w:ind w:left="1742" w:hanging="475"/>
        <w:rPr>
          <w:lang w:val="fr-FR"/>
        </w:rPr>
      </w:pPr>
      <w:r>
        <w:rPr>
          <w:lang w:val="fr-FR"/>
        </w:rPr>
        <w:tab/>
        <w:t>•</w:t>
      </w:r>
      <w:r>
        <w:rPr>
          <w:lang w:val="fr-FR"/>
        </w:rPr>
        <w:tab/>
      </w:r>
      <w:r w:rsidR="005D40D4" w:rsidRPr="00044750">
        <w:rPr>
          <w:lang w:val="fr-FR"/>
        </w:rPr>
        <w:t>Organisation de sessions de formation visant à ce que les points focaux rattachés au Ministère renforcent leurs capacités et se dotent des outils nécessaires à la prise en compte des questions de genre dans les programmes et projets de développement des chaînes de production agricole.</w:t>
      </w:r>
    </w:p>
    <w:p w14:paraId="3085342F" w14:textId="7D3DEB8B" w:rsidR="005D40D4" w:rsidRPr="005D40D4" w:rsidRDefault="005D40D4" w:rsidP="00456FC2">
      <w:pPr>
        <w:pStyle w:val="SingleTxt"/>
        <w:numPr>
          <w:ilvl w:val="0"/>
          <w:numId w:val="50"/>
        </w:numPr>
        <w:rPr>
          <w:lang w:val="fr-FR"/>
        </w:rPr>
      </w:pPr>
      <w:r w:rsidRPr="005D40D4">
        <w:rPr>
          <w:lang w:val="fr-FR"/>
        </w:rPr>
        <w:t>En ce qui concerne la pêche maritime, un appui a été apporté à deux projets visant à construire et à équiper deux unités de valorisation des produits halieutiques. Une unité concerne les coopératives de femmes. Un des points de débarquement aménagé a pour activité principale la collecte, la transformation et la conservation des produits halieutiques côtiers ainsi que la collecte, la déshydratation et la conservation des algues. Les coopératives de femmes bénéficient aussi d</w:t>
      </w:r>
      <w:r w:rsidR="00F1794C" w:rsidRPr="00F1794C">
        <w:rPr>
          <w:lang w:val="fr-FR"/>
        </w:rPr>
        <w:t>’</w:t>
      </w:r>
      <w:r w:rsidRPr="005D40D4">
        <w:rPr>
          <w:lang w:val="fr-FR"/>
        </w:rPr>
        <w:t>une autre unité spécialisée dans le salage et le fumage des poissons pélagiques. En 2013, le réseau pour la femme marocaine travaillant dans le secteur de la pêche maritime a été créé.</w:t>
      </w:r>
    </w:p>
    <w:p w14:paraId="012FBF07" w14:textId="10A76719" w:rsidR="005D40D4" w:rsidRPr="005D40D4" w:rsidRDefault="005D40D4" w:rsidP="00456FC2">
      <w:pPr>
        <w:pStyle w:val="SingleTxt"/>
        <w:numPr>
          <w:ilvl w:val="0"/>
          <w:numId w:val="50"/>
        </w:numPr>
        <w:rPr>
          <w:lang w:val="fr-FR"/>
        </w:rPr>
      </w:pPr>
      <w:r w:rsidRPr="005D40D4">
        <w:rPr>
          <w:lang w:val="fr-FR"/>
        </w:rPr>
        <w:t>Dans le domaine de l</w:t>
      </w:r>
      <w:r w:rsidR="00F1794C" w:rsidRPr="00F1794C">
        <w:rPr>
          <w:lang w:val="fr-FR"/>
        </w:rPr>
        <w:t>’</w:t>
      </w:r>
      <w:r w:rsidRPr="005D40D4">
        <w:rPr>
          <w:lang w:val="fr-FR"/>
        </w:rPr>
        <w:t>artisanat, 64 maisons de l</w:t>
      </w:r>
      <w:r w:rsidR="00F1794C" w:rsidRPr="00F1794C">
        <w:rPr>
          <w:lang w:val="fr-FR"/>
        </w:rPr>
        <w:t>’</w:t>
      </w:r>
      <w:r w:rsidRPr="005D40D4">
        <w:rPr>
          <w:lang w:val="fr-FR"/>
        </w:rPr>
        <w:t>artisane ont été ouvertes en milieu rural fin 2014 afin d</w:t>
      </w:r>
      <w:r w:rsidR="00F1794C" w:rsidRPr="00F1794C">
        <w:rPr>
          <w:lang w:val="fr-FR"/>
        </w:rPr>
        <w:t>’</w:t>
      </w:r>
      <w:r w:rsidRPr="005D40D4">
        <w:rPr>
          <w:lang w:val="fr-FR"/>
        </w:rPr>
        <w:t>aider les artisanes</w:t>
      </w:r>
      <w:r w:rsidR="00F1794C" w:rsidRPr="00F1794C">
        <w:rPr>
          <w:lang w:val="fr-FR"/>
        </w:rPr>
        <w:t> ;</w:t>
      </w:r>
      <w:r w:rsidRPr="005D40D4">
        <w:rPr>
          <w:lang w:val="fr-FR"/>
        </w:rPr>
        <w:t xml:space="preserve"> 3 650 femmes travaillant dans le domaine en ont fait partie. En 2015, 11 maisons de l</w:t>
      </w:r>
      <w:r w:rsidR="00F1794C" w:rsidRPr="00F1794C">
        <w:rPr>
          <w:lang w:val="fr-FR"/>
        </w:rPr>
        <w:t>’</w:t>
      </w:r>
      <w:r w:rsidRPr="005D40D4">
        <w:rPr>
          <w:lang w:val="fr-FR"/>
        </w:rPr>
        <w:t>artisane ont été créées. Ce projet vise à inclure le commerce équitable dans les coopératives de femmes et à prendre en compte les questions de genre dans la stratégie de positionnement de l</w:t>
      </w:r>
      <w:r w:rsidR="00F1794C" w:rsidRPr="00F1794C">
        <w:rPr>
          <w:lang w:val="fr-FR"/>
        </w:rPr>
        <w:t>’</w:t>
      </w:r>
      <w:r w:rsidRPr="005D40D4">
        <w:rPr>
          <w:lang w:val="fr-FR"/>
        </w:rPr>
        <w:t>artisanat et de commercialisation des marques créées. Fin 2014, 839 coopératives de femmes ont été créées et comprenaient 34 877 membres. Elles représentaient 41,5</w:t>
      </w:r>
      <w:r w:rsidR="00F1794C" w:rsidRPr="00F1794C">
        <w:rPr>
          <w:lang w:val="fr-FR"/>
        </w:rPr>
        <w:t> %</w:t>
      </w:r>
      <w:r w:rsidRPr="005D40D4">
        <w:rPr>
          <w:lang w:val="fr-FR"/>
        </w:rPr>
        <w:t xml:space="preserve"> du nombre total de coopératives. Par ailleurs, 15 marques commerciales</w:t>
      </w:r>
      <w:r w:rsidR="00F1794C" w:rsidRPr="00F1794C">
        <w:rPr>
          <w:lang w:val="fr-FR"/>
        </w:rPr>
        <w:t xml:space="preserve"> </w:t>
      </w:r>
      <w:r w:rsidRPr="005D40D4">
        <w:rPr>
          <w:lang w:val="fr-FR"/>
        </w:rPr>
        <w:t>(40</w:t>
      </w:r>
      <w:r w:rsidR="00F1794C" w:rsidRPr="00F1794C">
        <w:rPr>
          <w:lang w:val="fr-FR"/>
        </w:rPr>
        <w:t> %</w:t>
      </w:r>
      <w:r w:rsidRPr="005D40D4">
        <w:rPr>
          <w:lang w:val="fr-FR"/>
        </w:rPr>
        <w:t xml:space="preserve"> de l</w:t>
      </w:r>
      <w:r w:rsidR="00F1794C" w:rsidRPr="00F1794C">
        <w:rPr>
          <w:lang w:val="fr-FR"/>
        </w:rPr>
        <w:t>’</w:t>
      </w:r>
      <w:r w:rsidRPr="005D40D4">
        <w:rPr>
          <w:lang w:val="fr-FR"/>
        </w:rPr>
        <w:t>ensemble des marques) ont été créées dans l</w:t>
      </w:r>
      <w:r w:rsidR="00F1794C" w:rsidRPr="00F1794C">
        <w:rPr>
          <w:lang w:val="fr-FR"/>
        </w:rPr>
        <w:t>’</w:t>
      </w:r>
      <w:r w:rsidRPr="005D40D4">
        <w:rPr>
          <w:lang w:val="fr-FR"/>
        </w:rPr>
        <w:t xml:space="preserve">artisanat. </w:t>
      </w:r>
    </w:p>
    <w:p w14:paraId="1FC01BC1" w14:textId="7439498B" w:rsidR="005D40D4" w:rsidRPr="005D40D4" w:rsidRDefault="005D40D4" w:rsidP="00456FC2">
      <w:pPr>
        <w:pStyle w:val="SingleTxt"/>
        <w:numPr>
          <w:ilvl w:val="0"/>
          <w:numId w:val="50"/>
        </w:numPr>
        <w:rPr>
          <w:lang w:val="fr-FR"/>
        </w:rPr>
      </w:pPr>
      <w:r w:rsidRPr="005D40D4">
        <w:rPr>
          <w:lang w:val="fr-FR"/>
        </w:rPr>
        <w:t>En ce qui concerne l</w:t>
      </w:r>
      <w:r w:rsidR="00F1794C" w:rsidRPr="00F1794C">
        <w:rPr>
          <w:lang w:val="fr-FR"/>
        </w:rPr>
        <w:t>’</w:t>
      </w:r>
      <w:r w:rsidRPr="005D40D4">
        <w:rPr>
          <w:lang w:val="fr-FR"/>
        </w:rPr>
        <w:t>inclusion sociale par l</w:t>
      </w:r>
      <w:r w:rsidR="00F1794C" w:rsidRPr="00F1794C">
        <w:rPr>
          <w:lang w:val="fr-FR"/>
        </w:rPr>
        <w:t>’</w:t>
      </w:r>
      <w:r w:rsidRPr="005D40D4">
        <w:rPr>
          <w:lang w:val="fr-FR"/>
        </w:rPr>
        <w:t>autonomisation économique des femmes, en 2015, dans le monde rural, le secteur concerné a appuyé 276 projets pour l</w:t>
      </w:r>
      <w:r w:rsidR="00F1794C" w:rsidRPr="00F1794C">
        <w:rPr>
          <w:lang w:val="fr-FR"/>
        </w:rPr>
        <w:t>’</w:t>
      </w:r>
      <w:r w:rsidRPr="005D40D4">
        <w:rPr>
          <w:lang w:val="fr-FR"/>
        </w:rPr>
        <w:t>ensemble desquels une enveloppe budgétaire de 50 878 338 dirhams a été allouée.</w:t>
      </w:r>
    </w:p>
    <w:p w14:paraId="27F57509" w14:textId="57F6A95F" w:rsidR="005D40D4" w:rsidRPr="005D40D4" w:rsidRDefault="005D40D4" w:rsidP="00456FC2">
      <w:pPr>
        <w:pStyle w:val="SingleTxt"/>
        <w:numPr>
          <w:ilvl w:val="0"/>
          <w:numId w:val="50"/>
        </w:numPr>
        <w:rPr>
          <w:lang w:val="fr-FR"/>
        </w:rPr>
      </w:pPr>
      <w:r w:rsidRPr="005D40D4">
        <w:rPr>
          <w:lang w:val="fr-FR"/>
        </w:rPr>
        <w:t>Dans le cadre de la coopération entre le Maroc et l</w:t>
      </w:r>
      <w:r w:rsidR="00F1794C" w:rsidRPr="00F1794C">
        <w:rPr>
          <w:lang w:val="fr-FR"/>
        </w:rPr>
        <w:t>’</w:t>
      </w:r>
      <w:r w:rsidRPr="005D40D4">
        <w:rPr>
          <w:lang w:val="fr-FR"/>
        </w:rPr>
        <w:t>Allemagne, un programme d</w:t>
      </w:r>
      <w:r w:rsidR="00F1794C" w:rsidRPr="00F1794C">
        <w:rPr>
          <w:lang w:val="fr-FR"/>
        </w:rPr>
        <w:t>’</w:t>
      </w:r>
      <w:r w:rsidRPr="005D40D4">
        <w:rPr>
          <w:lang w:val="fr-FR"/>
        </w:rPr>
        <w:t>amélioration de l</w:t>
      </w:r>
      <w:r w:rsidR="00F1794C" w:rsidRPr="00F1794C">
        <w:rPr>
          <w:lang w:val="fr-FR"/>
        </w:rPr>
        <w:t>’</w:t>
      </w:r>
      <w:r w:rsidRPr="005D40D4">
        <w:rPr>
          <w:lang w:val="fr-FR"/>
        </w:rPr>
        <w:t xml:space="preserve">employabilité de la femme rurale a été mise en œuvre en 2015. </w:t>
      </w:r>
      <w:r w:rsidRPr="005D40D4">
        <w:rPr>
          <w:lang w:val="fr-FR"/>
        </w:rPr>
        <w:lastRenderedPageBreak/>
        <w:t>Ce programme visait à renforcer les services de proximité. À cet effet, l</w:t>
      </w:r>
      <w:r w:rsidR="00F1794C" w:rsidRPr="00F1794C">
        <w:rPr>
          <w:lang w:val="fr-FR"/>
        </w:rPr>
        <w:t>’</w:t>
      </w:r>
      <w:r w:rsidRPr="005D40D4">
        <w:rPr>
          <w:lang w:val="fr-FR"/>
        </w:rPr>
        <w:t>ANAPEC a exécuté un projet d</w:t>
      </w:r>
      <w:r w:rsidR="00F1794C" w:rsidRPr="00F1794C">
        <w:rPr>
          <w:lang w:val="fr-FR"/>
        </w:rPr>
        <w:t>’</w:t>
      </w:r>
      <w:r w:rsidRPr="005D40D4">
        <w:rPr>
          <w:lang w:val="fr-FR"/>
        </w:rPr>
        <w:t>unités mobiles afin d</w:t>
      </w:r>
      <w:r w:rsidR="00F1794C" w:rsidRPr="00F1794C">
        <w:rPr>
          <w:lang w:val="fr-FR"/>
        </w:rPr>
        <w:t>’</w:t>
      </w:r>
      <w:r w:rsidRPr="005D40D4">
        <w:rPr>
          <w:lang w:val="fr-FR"/>
        </w:rPr>
        <w:t>améliorer l</w:t>
      </w:r>
      <w:r w:rsidR="00F1794C" w:rsidRPr="00F1794C">
        <w:rPr>
          <w:lang w:val="fr-FR"/>
        </w:rPr>
        <w:t>’</w:t>
      </w:r>
      <w:r w:rsidRPr="005D40D4">
        <w:rPr>
          <w:lang w:val="fr-FR"/>
        </w:rPr>
        <w:t>employabilité de la population rurale au Maroc, en coopération avec l</w:t>
      </w:r>
      <w:r w:rsidR="00F1794C" w:rsidRPr="00F1794C">
        <w:rPr>
          <w:lang w:val="fr-FR"/>
        </w:rPr>
        <w:t>’</w:t>
      </w:r>
      <w:r w:rsidRPr="005D40D4">
        <w:rPr>
          <w:lang w:val="fr-FR"/>
        </w:rPr>
        <w:t>Agence allemande de coopération internationale. Elle a été dotée de 4 unités mobiles dans 4 provinces. Ces unités visent à répondre aux besoins de la population rurale, à qui une série de services sont proposés, notamment les suivants</w:t>
      </w:r>
      <w:r w:rsidR="00F1794C" w:rsidRPr="00F1794C">
        <w:rPr>
          <w:lang w:val="fr-FR"/>
        </w:rPr>
        <w:t> :</w:t>
      </w:r>
      <w:r w:rsidRPr="005D40D4">
        <w:rPr>
          <w:lang w:val="fr-FR"/>
        </w:rPr>
        <w:t xml:space="preserve"> </w:t>
      </w:r>
    </w:p>
    <w:p w14:paraId="0E97A8E9" w14:textId="12338554" w:rsidR="005D40D4" w:rsidRPr="00044750" w:rsidRDefault="00382F52" w:rsidP="00382F52">
      <w:pPr>
        <w:pStyle w:val="SingleTxt"/>
        <w:tabs>
          <w:tab w:val="right" w:pos="1685"/>
        </w:tabs>
        <w:ind w:left="1742" w:hanging="475"/>
        <w:rPr>
          <w:lang w:val="fr-FR"/>
        </w:rPr>
      </w:pPr>
      <w:r>
        <w:rPr>
          <w:lang w:val="fr-FR"/>
        </w:rPr>
        <w:tab/>
        <w:t>•</w:t>
      </w:r>
      <w:r>
        <w:rPr>
          <w:lang w:val="fr-FR"/>
        </w:rPr>
        <w:tab/>
      </w:r>
      <w:r w:rsidR="005D40D4" w:rsidRPr="00044750">
        <w:rPr>
          <w:lang w:val="fr-FR"/>
        </w:rPr>
        <w:t>Traduction en arabe d</w:t>
      </w:r>
      <w:r w:rsidR="00F1794C" w:rsidRPr="00044750">
        <w:rPr>
          <w:lang w:val="fr-FR"/>
        </w:rPr>
        <w:t>’</w:t>
      </w:r>
      <w:r w:rsidR="005D40D4" w:rsidRPr="00044750">
        <w:rPr>
          <w:lang w:val="fr-FR"/>
        </w:rPr>
        <w:t>une partie du guide des emplois et professions et diffusion des informations relatives à la création d</w:t>
      </w:r>
      <w:r w:rsidR="00F1794C" w:rsidRPr="00044750">
        <w:rPr>
          <w:lang w:val="fr-FR"/>
        </w:rPr>
        <w:t>’</w:t>
      </w:r>
      <w:r w:rsidR="005D40D4" w:rsidRPr="00044750">
        <w:rPr>
          <w:lang w:val="fr-FR"/>
        </w:rPr>
        <w:t>entreprises et aux formations offertes</w:t>
      </w:r>
      <w:r w:rsidR="00F1794C" w:rsidRPr="00044750">
        <w:rPr>
          <w:lang w:val="fr-FR"/>
        </w:rPr>
        <w:t> ;</w:t>
      </w:r>
    </w:p>
    <w:p w14:paraId="6B37AB2D" w14:textId="5D8E8FAD" w:rsidR="005D40D4" w:rsidRPr="00044750" w:rsidRDefault="00382F52" w:rsidP="00382F52">
      <w:pPr>
        <w:pStyle w:val="SingleTxt"/>
        <w:tabs>
          <w:tab w:val="right" w:pos="1685"/>
        </w:tabs>
        <w:ind w:left="1742" w:hanging="475"/>
        <w:rPr>
          <w:lang w:val="fr-FR"/>
        </w:rPr>
      </w:pPr>
      <w:r>
        <w:rPr>
          <w:lang w:val="fr-FR"/>
        </w:rPr>
        <w:tab/>
        <w:t>•</w:t>
      </w:r>
      <w:r>
        <w:rPr>
          <w:lang w:val="fr-FR"/>
        </w:rPr>
        <w:tab/>
      </w:r>
      <w:r w:rsidR="005D40D4" w:rsidRPr="00044750">
        <w:rPr>
          <w:lang w:val="fr-FR"/>
        </w:rPr>
        <w:t>Développement de nouveaux services axés sur l</w:t>
      </w:r>
      <w:r w:rsidR="00F1794C" w:rsidRPr="00044750">
        <w:rPr>
          <w:lang w:val="fr-FR"/>
        </w:rPr>
        <w:t>’</w:t>
      </w:r>
      <w:r w:rsidR="005D40D4" w:rsidRPr="00044750">
        <w:rPr>
          <w:lang w:val="fr-FR"/>
        </w:rPr>
        <w:t>amélioration des compétences psychosociales et comportementales et organisations d</w:t>
      </w:r>
      <w:r w:rsidR="00F1794C" w:rsidRPr="00044750">
        <w:rPr>
          <w:lang w:val="fr-FR"/>
        </w:rPr>
        <w:t>’</w:t>
      </w:r>
      <w:r w:rsidR="005D40D4" w:rsidRPr="00044750">
        <w:rPr>
          <w:lang w:val="fr-FR"/>
        </w:rPr>
        <w:t>ateliers de sensibilisation à l</w:t>
      </w:r>
      <w:r w:rsidR="00F1794C" w:rsidRPr="00044750">
        <w:rPr>
          <w:lang w:val="fr-FR"/>
        </w:rPr>
        <w:t>’</w:t>
      </w:r>
      <w:r w:rsidR="005D40D4" w:rsidRPr="00044750">
        <w:rPr>
          <w:lang w:val="fr-FR"/>
        </w:rPr>
        <w:t>intention de la population rurale</w:t>
      </w:r>
      <w:r w:rsidR="00F1794C" w:rsidRPr="00044750">
        <w:rPr>
          <w:lang w:val="fr-FR"/>
        </w:rPr>
        <w:t> ;</w:t>
      </w:r>
      <w:r w:rsidR="005D40D4" w:rsidRPr="00044750">
        <w:rPr>
          <w:lang w:val="fr-FR"/>
        </w:rPr>
        <w:t xml:space="preserve"> les femmes représentent jusqu</w:t>
      </w:r>
      <w:r w:rsidR="00F1794C" w:rsidRPr="00044750">
        <w:rPr>
          <w:lang w:val="fr-FR"/>
        </w:rPr>
        <w:t>’</w:t>
      </w:r>
      <w:r w:rsidR="005D40D4" w:rsidRPr="00044750">
        <w:rPr>
          <w:lang w:val="fr-FR"/>
        </w:rPr>
        <w:t>à 40</w:t>
      </w:r>
      <w:r w:rsidR="00F1794C" w:rsidRPr="00044750">
        <w:rPr>
          <w:lang w:val="fr-FR"/>
        </w:rPr>
        <w:t> %</w:t>
      </w:r>
      <w:r w:rsidR="005D40D4" w:rsidRPr="00044750">
        <w:rPr>
          <w:lang w:val="fr-FR"/>
        </w:rPr>
        <w:t xml:space="preserve"> des bénéficiaires du programme.</w:t>
      </w:r>
    </w:p>
    <w:p w14:paraId="51AECC34" w14:textId="412AC779" w:rsidR="005D40D4" w:rsidRPr="00382F52" w:rsidRDefault="005D40D4" w:rsidP="00382F52">
      <w:pPr>
        <w:pStyle w:val="SingleTxt"/>
        <w:spacing w:after="0" w:line="120" w:lineRule="exact"/>
        <w:rPr>
          <w:sz w:val="10"/>
          <w:lang w:val="fr-FR"/>
        </w:rPr>
      </w:pPr>
    </w:p>
    <w:p w14:paraId="21334ED1" w14:textId="486363F1" w:rsidR="00382F52" w:rsidRPr="00382F52" w:rsidRDefault="00382F52" w:rsidP="00382F52">
      <w:pPr>
        <w:pStyle w:val="SingleTxt"/>
        <w:spacing w:after="0" w:line="120" w:lineRule="exact"/>
        <w:rPr>
          <w:sz w:val="10"/>
          <w:lang w:val="fr-FR"/>
        </w:rPr>
      </w:pPr>
    </w:p>
    <w:p w14:paraId="39DCC9DF" w14:textId="016733BB" w:rsidR="005D40D4" w:rsidRPr="005D40D4" w:rsidRDefault="00382F52" w:rsidP="00382F5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5D40D4" w:rsidRPr="005D40D4">
        <w:rPr>
          <w:lang w:val="fr-FR"/>
        </w:rPr>
        <w:t>Quatrième partie</w:t>
      </w:r>
    </w:p>
    <w:p w14:paraId="663947D3" w14:textId="6F3846DA" w:rsidR="005D40D4" w:rsidRPr="00382F52" w:rsidRDefault="005D40D4" w:rsidP="00382F52">
      <w:pPr>
        <w:pStyle w:val="SingleTxt"/>
        <w:spacing w:after="0" w:line="120" w:lineRule="exact"/>
        <w:rPr>
          <w:sz w:val="10"/>
          <w:lang w:val="fr-FR"/>
        </w:rPr>
      </w:pPr>
    </w:p>
    <w:p w14:paraId="5D0302B2" w14:textId="578B4273" w:rsidR="00382F52" w:rsidRPr="00382F52" w:rsidRDefault="00382F52" w:rsidP="00382F52">
      <w:pPr>
        <w:pStyle w:val="SingleTxt"/>
        <w:spacing w:after="0" w:line="120" w:lineRule="exact"/>
        <w:rPr>
          <w:sz w:val="10"/>
          <w:lang w:val="fr-FR"/>
        </w:rPr>
      </w:pPr>
    </w:p>
    <w:p w14:paraId="3E85655C" w14:textId="625D6B64" w:rsidR="005D40D4" w:rsidRPr="005D40D4" w:rsidRDefault="00382F52" w:rsidP="00382F5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5D40D4" w:rsidRPr="005D40D4">
        <w:rPr>
          <w:lang w:val="fr-FR"/>
        </w:rPr>
        <w:t>Article 15</w:t>
      </w:r>
    </w:p>
    <w:p w14:paraId="1E8E4FFE" w14:textId="34EDBE9C" w:rsidR="005D40D4" w:rsidRPr="00382F52" w:rsidRDefault="005D40D4" w:rsidP="00382F52">
      <w:pPr>
        <w:pStyle w:val="SingleTxt"/>
        <w:spacing w:after="0" w:line="120" w:lineRule="exact"/>
        <w:rPr>
          <w:sz w:val="10"/>
          <w:lang w:val="fr-FR"/>
        </w:rPr>
      </w:pPr>
    </w:p>
    <w:p w14:paraId="549F8762" w14:textId="05DDD532" w:rsidR="005D40D4" w:rsidRPr="005D40D4" w:rsidRDefault="005D40D4" w:rsidP="005D40D4">
      <w:pPr>
        <w:pStyle w:val="SingleTxt"/>
        <w:rPr>
          <w:lang w:val="fr-FR"/>
        </w:rPr>
      </w:pPr>
      <w:r w:rsidRPr="005D40D4">
        <w:rPr>
          <w:lang w:val="fr-FR"/>
        </w:rPr>
        <w:tab/>
        <w:t>La loi fixant les conditions et procédures pour bénéficier des prestations du Fonds d</w:t>
      </w:r>
      <w:r w:rsidR="00F1794C" w:rsidRPr="00F1794C">
        <w:rPr>
          <w:lang w:val="fr-FR"/>
        </w:rPr>
        <w:t>’</w:t>
      </w:r>
      <w:r w:rsidRPr="005D40D4">
        <w:rPr>
          <w:lang w:val="fr-FR"/>
        </w:rPr>
        <w:t>entraide familiale et le décret d</w:t>
      </w:r>
      <w:r w:rsidR="00F1794C" w:rsidRPr="00F1794C">
        <w:rPr>
          <w:lang w:val="fr-FR"/>
        </w:rPr>
        <w:t>’</w:t>
      </w:r>
      <w:r w:rsidRPr="005D40D4">
        <w:rPr>
          <w:lang w:val="fr-FR"/>
        </w:rPr>
        <w:t>application des dispositions de cette loi ont été modifiés. En outre, le Ministre de la justice et le Ministre de l</w:t>
      </w:r>
      <w:r w:rsidR="00F1794C" w:rsidRPr="00F1794C">
        <w:rPr>
          <w:lang w:val="fr-FR"/>
        </w:rPr>
        <w:t>’</w:t>
      </w:r>
      <w:r w:rsidRPr="005D40D4">
        <w:rPr>
          <w:lang w:val="fr-FR"/>
        </w:rPr>
        <w:t>économie et des finances ont pris une décision en vue d</w:t>
      </w:r>
      <w:r w:rsidR="00F1794C" w:rsidRPr="00F1794C">
        <w:rPr>
          <w:lang w:val="fr-FR"/>
        </w:rPr>
        <w:t>’</w:t>
      </w:r>
      <w:r w:rsidRPr="005D40D4">
        <w:rPr>
          <w:lang w:val="fr-FR"/>
        </w:rPr>
        <w:t>atteindre les objectifs suivants</w:t>
      </w:r>
      <w:r w:rsidR="00F1794C" w:rsidRPr="00F1794C">
        <w:rPr>
          <w:lang w:val="fr-FR"/>
        </w:rPr>
        <w:t> :</w:t>
      </w:r>
    </w:p>
    <w:p w14:paraId="071998B7" w14:textId="3D7F0258" w:rsidR="005D40D4" w:rsidRPr="000E0CA0" w:rsidRDefault="000E0CA0" w:rsidP="000E0CA0">
      <w:pPr>
        <w:pStyle w:val="SingleTxt"/>
        <w:tabs>
          <w:tab w:val="right" w:pos="1685"/>
        </w:tabs>
        <w:ind w:left="1742" w:hanging="475"/>
        <w:rPr>
          <w:lang w:val="fr-FR"/>
        </w:rPr>
      </w:pPr>
      <w:r>
        <w:rPr>
          <w:lang w:val="fr-FR"/>
        </w:rPr>
        <w:tab/>
        <w:t>•</w:t>
      </w:r>
      <w:r>
        <w:rPr>
          <w:lang w:val="fr-FR"/>
        </w:rPr>
        <w:tab/>
      </w:r>
      <w:r w:rsidR="005D40D4" w:rsidRPr="000E0CA0">
        <w:rPr>
          <w:lang w:val="fr-FR"/>
        </w:rPr>
        <w:t>Multiplication des catégories de bénéficiaires des prestations du Fonds, notamment au profit des enfants auxquels une pension alimentaire est due pendant la relation conjugale et à la suite de la dissolution des liens du mariage</w:t>
      </w:r>
      <w:r w:rsidR="00F1794C" w:rsidRPr="000E0CA0">
        <w:rPr>
          <w:lang w:val="fr-FR"/>
        </w:rPr>
        <w:t> ;</w:t>
      </w:r>
    </w:p>
    <w:p w14:paraId="7C045D59" w14:textId="6393FCCD" w:rsidR="005D40D4" w:rsidRPr="000E0CA0" w:rsidRDefault="000E0CA0" w:rsidP="000E0CA0">
      <w:pPr>
        <w:pStyle w:val="SingleTxt"/>
        <w:tabs>
          <w:tab w:val="right" w:pos="1685"/>
        </w:tabs>
        <w:ind w:left="1742" w:hanging="475"/>
        <w:rPr>
          <w:lang w:val="fr-FR"/>
        </w:rPr>
      </w:pPr>
      <w:r>
        <w:rPr>
          <w:lang w:val="fr-FR"/>
        </w:rPr>
        <w:tab/>
        <w:t>•</w:t>
      </w:r>
      <w:r>
        <w:rPr>
          <w:lang w:val="fr-FR"/>
        </w:rPr>
        <w:tab/>
      </w:r>
      <w:r w:rsidR="005D40D4" w:rsidRPr="000E0CA0">
        <w:rPr>
          <w:lang w:val="fr-FR"/>
        </w:rPr>
        <w:t>Simplification des procédures relatives à l</w:t>
      </w:r>
      <w:r w:rsidR="00F1794C" w:rsidRPr="000E0CA0">
        <w:rPr>
          <w:lang w:val="fr-FR"/>
        </w:rPr>
        <w:t>’</w:t>
      </w:r>
      <w:r w:rsidR="005D40D4" w:rsidRPr="000E0CA0">
        <w:rPr>
          <w:lang w:val="fr-FR"/>
        </w:rPr>
        <w:t>obtention d</w:t>
      </w:r>
      <w:r w:rsidR="00F1794C" w:rsidRPr="000E0CA0">
        <w:rPr>
          <w:lang w:val="fr-FR"/>
        </w:rPr>
        <w:t>’</w:t>
      </w:r>
      <w:r w:rsidR="005D40D4" w:rsidRPr="000E0CA0">
        <w:rPr>
          <w:lang w:val="fr-FR"/>
        </w:rPr>
        <w:t>allocations financières</w:t>
      </w:r>
      <w:r w:rsidR="00F1794C" w:rsidRPr="000E0CA0">
        <w:rPr>
          <w:lang w:val="fr-FR"/>
        </w:rPr>
        <w:t> ;</w:t>
      </w:r>
      <w:r w:rsidR="005D40D4" w:rsidRPr="000E0CA0">
        <w:rPr>
          <w:lang w:val="fr-FR"/>
        </w:rPr>
        <w:t xml:space="preserve"> </w:t>
      </w:r>
    </w:p>
    <w:p w14:paraId="4E7E1A5D" w14:textId="2BB0C957" w:rsidR="005D40D4" w:rsidRPr="000E0CA0" w:rsidRDefault="000E0CA0" w:rsidP="000E0CA0">
      <w:pPr>
        <w:pStyle w:val="SingleTxt"/>
        <w:tabs>
          <w:tab w:val="right" w:pos="1685"/>
        </w:tabs>
        <w:ind w:left="1742" w:hanging="475"/>
        <w:rPr>
          <w:lang w:val="fr-FR"/>
        </w:rPr>
      </w:pPr>
      <w:r>
        <w:rPr>
          <w:lang w:val="fr-FR"/>
        </w:rPr>
        <w:tab/>
        <w:t>•</w:t>
      </w:r>
      <w:r>
        <w:rPr>
          <w:lang w:val="fr-FR"/>
        </w:rPr>
        <w:tab/>
      </w:r>
      <w:r w:rsidR="005D40D4" w:rsidRPr="000E0CA0">
        <w:rPr>
          <w:lang w:val="fr-FR"/>
        </w:rPr>
        <w:t>Élargissement du champ d</w:t>
      </w:r>
      <w:r w:rsidR="00F1794C" w:rsidRPr="000E0CA0">
        <w:rPr>
          <w:lang w:val="fr-FR"/>
        </w:rPr>
        <w:t>’</w:t>
      </w:r>
      <w:r w:rsidR="005D40D4" w:rsidRPr="000E0CA0">
        <w:rPr>
          <w:lang w:val="fr-FR"/>
        </w:rPr>
        <w:t>intervention du Fonds, les montants des pensions arrêtés par une décision de justice tiennent compte des 12 mois précédant la présentation de la demande de prestations</w:t>
      </w:r>
      <w:r w:rsidR="00F1794C" w:rsidRPr="000E0CA0">
        <w:rPr>
          <w:lang w:val="fr-FR"/>
        </w:rPr>
        <w:t> ;</w:t>
      </w:r>
      <w:r w:rsidR="005D40D4" w:rsidRPr="000E0CA0">
        <w:rPr>
          <w:lang w:val="fr-FR"/>
        </w:rPr>
        <w:t xml:space="preserve"> </w:t>
      </w:r>
    </w:p>
    <w:p w14:paraId="56C64583" w14:textId="059422A1" w:rsidR="005D40D4" w:rsidRPr="000E0CA0" w:rsidRDefault="000E0CA0" w:rsidP="000E0CA0">
      <w:pPr>
        <w:pStyle w:val="SingleTxt"/>
        <w:tabs>
          <w:tab w:val="right" w:pos="1685"/>
        </w:tabs>
        <w:ind w:left="1742" w:hanging="475"/>
        <w:rPr>
          <w:lang w:val="fr-FR"/>
        </w:rPr>
      </w:pPr>
      <w:r>
        <w:rPr>
          <w:lang w:val="fr-FR"/>
        </w:rPr>
        <w:tab/>
        <w:t>•</w:t>
      </w:r>
      <w:r>
        <w:rPr>
          <w:lang w:val="fr-FR"/>
        </w:rPr>
        <w:tab/>
      </w:r>
      <w:r w:rsidR="005D40D4" w:rsidRPr="000E0CA0">
        <w:rPr>
          <w:lang w:val="fr-FR"/>
        </w:rPr>
        <w:t>Renforcement du mécanisme de protection des ressources financières du Fonds contre tout type de fraude</w:t>
      </w:r>
      <w:r w:rsidR="00F1794C" w:rsidRPr="000E0CA0">
        <w:rPr>
          <w:lang w:val="fr-FR"/>
        </w:rPr>
        <w:t> ;</w:t>
      </w:r>
      <w:r w:rsidR="005D40D4" w:rsidRPr="000E0CA0">
        <w:rPr>
          <w:lang w:val="fr-FR"/>
        </w:rPr>
        <w:t xml:space="preserve"> </w:t>
      </w:r>
    </w:p>
    <w:p w14:paraId="0F65A9BB" w14:textId="751CAFBF" w:rsidR="005D40D4" w:rsidRPr="000E0CA0" w:rsidRDefault="000E0CA0" w:rsidP="000E0CA0">
      <w:pPr>
        <w:pStyle w:val="SingleTxt"/>
        <w:tabs>
          <w:tab w:val="right" w:pos="1685"/>
        </w:tabs>
        <w:ind w:left="1742" w:hanging="475"/>
        <w:rPr>
          <w:lang w:val="fr-FR"/>
        </w:rPr>
      </w:pPr>
      <w:r>
        <w:rPr>
          <w:lang w:val="fr-FR"/>
        </w:rPr>
        <w:tab/>
        <w:t>•</w:t>
      </w:r>
      <w:r>
        <w:rPr>
          <w:lang w:val="fr-FR"/>
        </w:rPr>
        <w:tab/>
      </w:r>
      <w:r w:rsidR="005D40D4" w:rsidRPr="000E0CA0">
        <w:rPr>
          <w:lang w:val="fr-FR"/>
        </w:rPr>
        <w:t>Augmentation du montant de l</w:t>
      </w:r>
      <w:r w:rsidR="00F1794C" w:rsidRPr="000E0CA0">
        <w:rPr>
          <w:lang w:val="fr-FR"/>
        </w:rPr>
        <w:t>’</w:t>
      </w:r>
      <w:r w:rsidR="005D40D4" w:rsidRPr="000E0CA0">
        <w:rPr>
          <w:lang w:val="fr-FR"/>
        </w:rPr>
        <w:t>avance accordée à la famille composée d</w:t>
      </w:r>
      <w:r w:rsidR="00F1794C" w:rsidRPr="000E0CA0">
        <w:rPr>
          <w:lang w:val="fr-FR"/>
        </w:rPr>
        <w:t>’</w:t>
      </w:r>
      <w:r w:rsidR="005D40D4" w:rsidRPr="000E0CA0">
        <w:rPr>
          <w:lang w:val="fr-FR"/>
        </w:rPr>
        <w:t xml:space="preserve">une épouse démunie et de ses enfants, passé de 1 050 à 1 400 dirhams par mois. </w:t>
      </w:r>
    </w:p>
    <w:p w14:paraId="4A2D1711" w14:textId="77777777" w:rsidR="005D40D4" w:rsidRPr="005D40D4" w:rsidRDefault="005D40D4" w:rsidP="00456FC2">
      <w:pPr>
        <w:pStyle w:val="SingleTxt"/>
        <w:numPr>
          <w:ilvl w:val="0"/>
          <w:numId w:val="50"/>
        </w:numPr>
        <w:rPr>
          <w:lang w:val="fr-FR"/>
        </w:rPr>
      </w:pPr>
      <w:r w:rsidRPr="005D40D4">
        <w:rPr>
          <w:lang w:val="fr-FR"/>
        </w:rPr>
        <w:t xml:space="preserve">Afin de faire connaître le Fonds, ses objectifs et les prestations offertes, un plan de communication a été établi avec les différents intervenants et acteurs et les organisations de la société civile. À la suite des modifications susmentionnées, le nombre de décisions de justice en faveur des catégories visées par le Fonds a augmenté. En 2018, 4 542 décisions favorables ont été rendues et un montant total de 46 699 409,58 dirhams a été accordé. </w:t>
      </w:r>
    </w:p>
    <w:p w14:paraId="3EDAC07E" w14:textId="03762394" w:rsidR="005D40D4" w:rsidRPr="005D40D4" w:rsidRDefault="005D40D4" w:rsidP="00456FC2">
      <w:pPr>
        <w:pStyle w:val="SingleTxt"/>
        <w:numPr>
          <w:ilvl w:val="0"/>
          <w:numId w:val="50"/>
        </w:numPr>
        <w:rPr>
          <w:lang w:val="fr-FR"/>
        </w:rPr>
      </w:pPr>
      <w:r w:rsidRPr="005D40D4">
        <w:rPr>
          <w:lang w:val="fr-FR"/>
        </w:rPr>
        <w:t>Conformément à la recommandation formulée au paragraphe 17 des observations finales, des mesures de discrimination positive en faveur des femmes ont été prises. Les femmes ont accès à une assistance juridique et à des cellules de prise en charge. Les femmes divorcées sont exonérées des frais relatifs aux affaires liées au statut personnel instruites à leur demande. Une structure d</w:t>
      </w:r>
      <w:r w:rsidR="00F1794C" w:rsidRPr="00F1794C">
        <w:rPr>
          <w:lang w:val="fr-FR"/>
        </w:rPr>
        <w:t>’</w:t>
      </w:r>
      <w:r w:rsidRPr="005D40D4">
        <w:rPr>
          <w:lang w:val="fr-FR"/>
        </w:rPr>
        <w:t xml:space="preserve">accueil leur apporte un soutien et leur accès aux tribunaux est facilité. Des assistantes sociales ont été chargées de faire appliquer le Code de la famille. Des campagnes ont été organisées sur le terrain afin que les contrats de mariage soient consignés dans différentes régions du Royaume. </w:t>
      </w:r>
    </w:p>
    <w:p w14:paraId="69176907" w14:textId="30F131FF" w:rsidR="005D40D4" w:rsidRPr="005D40D4" w:rsidRDefault="005D40D4" w:rsidP="00456FC2">
      <w:pPr>
        <w:pStyle w:val="SingleTxt"/>
        <w:numPr>
          <w:ilvl w:val="0"/>
          <w:numId w:val="50"/>
        </w:numPr>
        <w:rPr>
          <w:lang w:val="fr-FR"/>
        </w:rPr>
      </w:pPr>
      <w:r w:rsidRPr="005D40D4">
        <w:rPr>
          <w:lang w:val="fr-FR"/>
        </w:rPr>
        <w:t xml:space="preserve">En ce qui concerne les affaires familiales, le Ministère de la justice a généralisé la création de sections indépendantes rattachées aux tribunaux de première instance </w:t>
      </w:r>
      <w:r w:rsidRPr="005D40D4">
        <w:rPr>
          <w:lang w:val="fr-FR"/>
        </w:rPr>
        <w:lastRenderedPageBreak/>
        <w:t>afin de faciliter l</w:t>
      </w:r>
      <w:r w:rsidR="00F1794C" w:rsidRPr="00F1794C">
        <w:rPr>
          <w:lang w:val="fr-FR"/>
        </w:rPr>
        <w:t>’</w:t>
      </w:r>
      <w:r w:rsidRPr="005D40D4">
        <w:rPr>
          <w:lang w:val="fr-FR"/>
        </w:rPr>
        <w:t>accès des femmes à la justice familiale. Les femmes et les enfants y sont pris en charge par des assistantes sociales.</w:t>
      </w:r>
    </w:p>
    <w:p w14:paraId="422527C8" w14:textId="6D23F82E" w:rsidR="005D40D4" w:rsidRPr="005D40D4" w:rsidRDefault="005D40D4" w:rsidP="00456FC2">
      <w:pPr>
        <w:pStyle w:val="SingleTxt"/>
        <w:numPr>
          <w:ilvl w:val="0"/>
          <w:numId w:val="50"/>
        </w:numPr>
        <w:rPr>
          <w:lang w:val="fr-FR"/>
        </w:rPr>
      </w:pPr>
      <w:r w:rsidRPr="005D40D4">
        <w:rPr>
          <w:lang w:val="fr-FR"/>
        </w:rPr>
        <w:t>Les autorités publiques se sont efforcées de promouvoir l</w:t>
      </w:r>
      <w:r w:rsidR="00F1794C" w:rsidRPr="00F1794C">
        <w:rPr>
          <w:lang w:val="fr-FR"/>
        </w:rPr>
        <w:t>’</w:t>
      </w:r>
      <w:r w:rsidRPr="005D40D4">
        <w:rPr>
          <w:lang w:val="fr-FR"/>
        </w:rPr>
        <w:t>égalité des sexes pour ce qui est des terres des collectivités ethniques. À cette fin, elles ont assuré le suivi de l</w:t>
      </w:r>
      <w:r w:rsidR="00F1794C" w:rsidRPr="00F1794C">
        <w:rPr>
          <w:lang w:val="fr-FR"/>
        </w:rPr>
        <w:t>’</w:t>
      </w:r>
      <w:r w:rsidRPr="005D40D4">
        <w:rPr>
          <w:lang w:val="fr-FR"/>
        </w:rPr>
        <w:t>application des circulaires du Ministère de l</w:t>
      </w:r>
      <w:r w:rsidR="00F1794C" w:rsidRPr="00F1794C">
        <w:rPr>
          <w:lang w:val="fr-FR"/>
        </w:rPr>
        <w:t>’</w:t>
      </w:r>
      <w:r w:rsidRPr="005D40D4">
        <w:rPr>
          <w:lang w:val="fr-FR"/>
        </w:rPr>
        <w:t>intérieur en 2010 et 2012 encourageant les représentants des collectivités ethniques à rendre obligatoire l</w:t>
      </w:r>
      <w:r w:rsidR="00F1794C" w:rsidRPr="00F1794C">
        <w:rPr>
          <w:lang w:val="fr-FR"/>
        </w:rPr>
        <w:t>’</w:t>
      </w:r>
      <w:r w:rsidRPr="005D40D4">
        <w:rPr>
          <w:lang w:val="fr-FR"/>
        </w:rPr>
        <w:t>inscription des femmes sur les listes des ayants droit qui bénéficient d</w:t>
      </w:r>
      <w:r w:rsidR="00F1794C" w:rsidRPr="00F1794C">
        <w:rPr>
          <w:lang w:val="fr-FR"/>
        </w:rPr>
        <w:t>’</w:t>
      </w:r>
      <w:r w:rsidRPr="005D40D4">
        <w:rPr>
          <w:lang w:val="fr-FR"/>
        </w:rPr>
        <w:t>une compensation en nature et matérielle.</w:t>
      </w:r>
      <w:r w:rsidRPr="005D40D4">
        <w:rPr>
          <w:rtl/>
          <w:lang w:val="fr-FR"/>
        </w:rPr>
        <w:t xml:space="preserve"> </w:t>
      </w:r>
      <w:r w:rsidRPr="005D40D4">
        <w:rPr>
          <w:lang w:val="fr-FR"/>
        </w:rPr>
        <w:t>En 2010, le Conseil supérieur des oulémas a émis un avis dans lequel il a affirmé que les femmes avaient droit aux mêmes indemnités que les hommes, en nature et matérielles, que celles que les hommes perçoivent à la suite des transactions immobilières relatives aux terres collectives. Le Code des habous de 2010 supprime la discrimination en faveur des hommes et au détriment des femmes en ce qui concerne les biens habous transmis. L</w:t>
      </w:r>
      <w:r w:rsidR="00F1794C" w:rsidRPr="00F1794C">
        <w:rPr>
          <w:lang w:val="fr-FR"/>
        </w:rPr>
        <w:t>’</w:t>
      </w:r>
      <w:r w:rsidRPr="005D40D4">
        <w:rPr>
          <w:lang w:val="fr-FR"/>
        </w:rPr>
        <w:t>article 113, notamment, prévoit que les revenus des biens habous sont transmis à part égale aux ayants droit de sexe masculin et féminin, sauf indication contraire de la personne qui a établi le habous</w:t>
      </w:r>
      <w:r w:rsidRPr="00FA086B">
        <w:rPr>
          <w:vertAlign w:val="superscript"/>
          <w:lang w:val="fr-FR"/>
        </w:rPr>
        <w:footnoteReference w:id="97"/>
      </w:r>
      <w:r w:rsidRPr="005D40D4">
        <w:rPr>
          <w:lang w:val="fr-FR"/>
        </w:rPr>
        <w:t>.</w:t>
      </w:r>
    </w:p>
    <w:p w14:paraId="2673EF43" w14:textId="77E6B2BB" w:rsidR="005D40D4" w:rsidRPr="005D40D4" w:rsidRDefault="005D40D4" w:rsidP="00456FC2">
      <w:pPr>
        <w:pStyle w:val="SingleTxt"/>
        <w:numPr>
          <w:ilvl w:val="0"/>
          <w:numId w:val="50"/>
        </w:numPr>
        <w:rPr>
          <w:lang w:val="fr-FR"/>
        </w:rPr>
      </w:pPr>
      <w:r w:rsidRPr="005D40D4">
        <w:rPr>
          <w:lang w:val="fr-FR"/>
        </w:rPr>
        <w:t>Le Conseil de gouvernement a ratifié trois textes de loi, notamment la loi n</w:t>
      </w:r>
      <w:r w:rsidRPr="005D40D4">
        <w:rPr>
          <w:vertAlign w:val="superscript"/>
          <w:lang w:val="fr-FR"/>
        </w:rPr>
        <w:t>o</w:t>
      </w:r>
      <w:r w:rsidR="000E0CA0">
        <w:rPr>
          <w:lang w:val="fr-FR"/>
        </w:rPr>
        <w:t> </w:t>
      </w:r>
      <w:r w:rsidRPr="005D40D4">
        <w:rPr>
          <w:lang w:val="fr-FR"/>
        </w:rPr>
        <w:t>17</w:t>
      </w:r>
      <w:r w:rsidR="000E0CA0">
        <w:rPr>
          <w:lang w:val="fr-FR"/>
        </w:rPr>
        <w:noBreakHyphen/>
      </w:r>
      <w:r w:rsidRPr="005D40D4">
        <w:rPr>
          <w:lang w:val="fr-FR"/>
        </w:rPr>
        <w:t>62 (août 2019) concernant la tutelle administrative des collectivités ethniques qui consacre le principe d</w:t>
      </w:r>
      <w:r w:rsidR="00F1794C" w:rsidRPr="00F1794C">
        <w:rPr>
          <w:lang w:val="fr-FR"/>
        </w:rPr>
        <w:t>’</w:t>
      </w:r>
      <w:r w:rsidRPr="005D40D4">
        <w:rPr>
          <w:lang w:val="fr-FR"/>
        </w:rPr>
        <w:t>égalité entre la femme et l</w:t>
      </w:r>
      <w:r w:rsidR="00F1794C" w:rsidRPr="00F1794C">
        <w:rPr>
          <w:lang w:val="fr-FR"/>
        </w:rPr>
        <w:t>’</w:t>
      </w:r>
      <w:r w:rsidRPr="005D40D4">
        <w:rPr>
          <w:lang w:val="fr-FR"/>
        </w:rPr>
        <w:t>homme s</w:t>
      </w:r>
      <w:r w:rsidR="00F1794C" w:rsidRPr="00F1794C">
        <w:rPr>
          <w:lang w:val="fr-FR"/>
        </w:rPr>
        <w:t>’</w:t>
      </w:r>
      <w:r w:rsidRPr="005D40D4">
        <w:rPr>
          <w:lang w:val="fr-FR"/>
        </w:rPr>
        <w:t xml:space="preserve">agissant des droits et des devoirs. </w:t>
      </w:r>
    </w:p>
    <w:p w14:paraId="48AE9B61" w14:textId="6863B53B" w:rsidR="005D40D4" w:rsidRPr="000E0CA0" w:rsidRDefault="005D40D4" w:rsidP="000E0CA0">
      <w:pPr>
        <w:pStyle w:val="SingleTxt"/>
        <w:spacing w:after="0" w:line="120" w:lineRule="exact"/>
        <w:rPr>
          <w:sz w:val="10"/>
          <w:lang w:val="fr-FR"/>
        </w:rPr>
      </w:pPr>
    </w:p>
    <w:p w14:paraId="6D8BC15C" w14:textId="611FBBF6" w:rsidR="005D40D4" w:rsidRPr="005D40D4" w:rsidRDefault="000E0CA0" w:rsidP="000E0CA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5D40D4" w:rsidRPr="005D40D4">
        <w:rPr>
          <w:lang w:val="fr-FR"/>
        </w:rPr>
        <w:t>Article 16</w:t>
      </w:r>
    </w:p>
    <w:p w14:paraId="2585E08F" w14:textId="197AB592" w:rsidR="005D40D4" w:rsidRPr="000E0CA0" w:rsidRDefault="005D40D4" w:rsidP="000E0CA0">
      <w:pPr>
        <w:pStyle w:val="SingleTxt"/>
        <w:spacing w:after="0" w:line="120" w:lineRule="exact"/>
        <w:rPr>
          <w:sz w:val="10"/>
          <w:lang w:val="fr-FR"/>
        </w:rPr>
      </w:pPr>
    </w:p>
    <w:p w14:paraId="1C04846D" w14:textId="685C7C43" w:rsidR="005D40D4" w:rsidRPr="005D40D4" w:rsidRDefault="005D40D4" w:rsidP="00456FC2">
      <w:pPr>
        <w:pStyle w:val="SingleTxt"/>
        <w:numPr>
          <w:ilvl w:val="0"/>
          <w:numId w:val="50"/>
        </w:numPr>
        <w:rPr>
          <w:lang w:val="fr-FR"/>
        </w:rPr>
      </w:pPr>
      <w:r w:rsidRPr="005D40D4">
        <w:rPr>
          <w:lang w:val="fr-FR"/>
        </w:rPr>
        <w:t>Le Code de la famille a consacré un ensemble de droits, tel le droit au mariage et la liberté pour l</w:t>
      </w:r>
      <w:r w:rsidR="00F1794C" w:rsidRPr="00F1794C">
        <w:rPr>
          <w:lang w:val="fr-FR"/>
        </w:rPr>
        <w:t>’</w:t>
      </w:r>
      <w:r w:rsidRPr="005D40D4">
        <w:rPr>
          <w:lang w:val="fr-FR"/>
        </w:rPr>
        <w:t>homme et la femme, à égalité, de choisir son conjoint (article 25). Il garantit l</w:t>
      </w:r>
      <w:r w:rsidR="00F1794C" w:rsidRPr="00F1794C">
        <w:rPr>
          <w:lang w:val="fr-FR"/>
        </w:rPr>
        <w:t>’</w:t>
      </w:r>
      <w:r w:rsidRPr="005D40D4">
        <w:rPr>
          <w:lang w:val="fr-FR"/>
        </w:rPr>
        <w:t>égalité des droits pendant le mariage et lors de la dissolution du mariage ainsi que la responsabilité partagée des deux époux à l</w:t>
      </w:r>
      <w:r w:rsidR="00F1794C" w:rsidRPr="00F1794C">
        <w:rPr>
          <w:lang w:val="fr-FR"/>
        </w:rPr>
        <w:t>’</w:t>
      </w:r>
      <w:r w:rsidRPr="005D40D4">
        <w:rPr>
          <w:lang w:val="fr-FR"/>
        </w:rPr>
        <w:t>égard des enfants (article 4). Il affirme le droit de la femme divorcée de bénéficier des biens qu</w:t>
      </w:r>
      <w:r w:rsidR="00F1794C" w:rsidRPr="00F1794C">
        <w:rPr>
          <w:lang w:val="fr-FR"/>
        </w:rPr>
        <w:t>’</w:t>
      </w:r>
      <w:r w:rsidRPr="005D40D4">
        <w:rPr>
          <w:lang w:val="fr-FR"/>
        </w:rPr>
        <w:t>elle aura acquis au cours de la vie maritale (article 49), le droit de répartir les biens à la dissolution du mariage. L</w:t>
      </w:r>
      <w:r w:rsidR="00F1794C" w:rsidRPr="00F1794C">
        <w:rPr>
          <w:lang w:val="fr-FR"/>
        </w:rPr>
        <w:t>’</w:t>
      </w:r>
      <w:r w:rsidRPr="005D40D4">
        <w:rPr>
          <w:lang w:val="fr-FR"/>
        </w:rPr>
        <w:t>âge minimum du mariage a été relevé et a été fixé à 18 ans pour les deux époux (article 19). Des restrictions à la polygamie ont été imposées (articles 40 et 41). Le divorce sous contrôle judiciaire a été institué et l</w:t>
      </w:r>
      <w:r w:rsidR="00F1794C" w:rsidRPr="00F1794C">
        <w:rPr>
          <w:lang w:val="fr-FR"/>
        </w:rPr>
        <w:t>’</w:t>
      </w:r>
      <w:r w:rsidRPr="005D40D4">
        <w:rPr>
          <w:lang w:val="fr-FR"/>
        </w:rPr>
        <w:t>époux comme l</w:t>
      </w:r>
      <w:r w:rsidR="00F1794C" w:rsidRPr="00F1794C">
        <w:rPr>
          <w:lang w:val="fr-FR"/>
        </w:rPr>
        <w:t>’</w:t>
      </w:r>
      <w:r w:rsidRPr="005D40D4">
        <w:rPr>
          <w:lang w:val="fr-FR"/>
        </w:rPr>
        <w:t>épouse ont le droit de demander le divorce, à égalité (article 78). Il est interdit au mari de prendre une autre épouse sans le consentement de la première épouse (article 43). La procédure de divorce pour discorde qui permet à l</w:t>
      </w:r>
      <w:r w:rsidR="00F1794C" w:rsidRPr="00F1794C">
        <w:rPr>
          <w:lang w:val="fr-FR"/>
        </w:rPr>
        <w:t>’</w:t>
      </w:r>
      <w:r w:rsidRPr="005D40D4">
        <w:rPr>
          <w:lang w:val="fr-FR"/>
        </w:rPr>
        <w:t>un des époux, l</w:t>
      </w:r>
      <w:r w:rsidR="00F1794C" w:rsidRPr="00F1794C">
        <w:rPr>
          <w:lang w:val="fr-FR"/>
        </w:rPr>
        <w:t>’</w:t>
      </w:r>
      <w:r w:rsidRPr="005D40D4">
        <w:rPr>
          <w:lang w:val="fr-FR"/>
        </w:rPr>
        <w:t>homme comme la femme,</w:t>
      </w:r>
      <w:r w:rsidR="00F1794C" w:rsidRPr="00F1794C">
        <w:rPr>
          <w:lang w:val="fr-FR"/>
        </w:rPr>
        <w:t xml:space="preserve"> </w:t>
      </w:r>
      <w:r w:rsidRPr="005D40D4">
        <w:rPr>
          <w:lang w:val="fr-FR"/>
        </w:rPr>
        <w:t>à égalité, de demander le divorce pour cause de discorde a été adoptée. Les dispositions relatives à la garde sont fondées sur le principe de l</w:t>
      </w:r>
      <w:r w:rsidR="00F1794C" w:rsidRPr="00F1794C">
        <w:rPr>
          <w:lang w:val="fr-FR"/>
        </w:rPr>
        <w:t>’</w:t>
      </w:r>
      <w:r w:rsidRPr="005D40D4">
        <w:rPr>
          <w:lang w:val="fr-FR"/>
        </w:rPr>
        <w:t>intérêt supérieur de l</w:t>
      </w:r>
      <w:r w:rsidR="00F1794C" w:rsidRPr="00F1794C">
        <w:rPr>
          <w:lang w:val="fr-FR"/>
        </w:rPr>
        <w:t>’</w:t>
      </w:r>
      <w:r w:rsidRPr="005D40D4">
        <w:rPr>
          <w:lang w:val="fr-FR"/>
        </w:rPr>
        <w:t xml:space="preserve">enfant et les mêmes dispositions sont prévues pour les enfants des deux sexes (articles 166 et 171). </w:t>
      </w:r>
    </w:p>
    <w:p w14:paraId="7458FF18" w14:textId="31726D28" w:rsidR="005D40D4" w:rsidRPr="005D40D4" w:rsidRDefault="005D40D4" w:rsidP="00456FC2">
      <w:pPr>
        <w:pStyle w:val="SingleTxt"/>
        <w:numPr>
          <w:ilvl w:val="0"/>
          <w:numId w:val="50"/>
        </w:numPr>
        <w:rPr>
          <w:lang w:val="fr-FR"/>
        </w:rPr>
      </w:pPr>
      <w:r w:rsidRPr="005D40D4">
        <w:rPr>
          <w:lang w:val="fr-FR"/>
        </w:rPr>
        <w:t>Plusieurs mesures ont été prises pour garantir la bonne application des dispositions du Code de la famille, notamment les suivantes</w:t>
      </w:r>
      <w:r w:rsidR="00F1794C" w:rsidRPr="00F1794C">
        <w:rPr>
          <w:lang w:val="fr-FR"/>
        </w:rPr>
        <w:t> :</w:t>
      </w:r>
    </w:p>
    <w:p w14:paraId="153F3016" w14:textId="74FF3328" w:rsidR="005D40D4" w:rsidRPr="000E0CA0" w:rsidRDefault="000E0CA0" w:rsidP="000E0CA0">
      <w:pPr>
        <w:pStyle w:val="SingleTxt"/>
        <w:tabs>
          <w:tab w:val="right" w:pos="1685"/>
        </w:tabs>
        <w:ind w:left="1742" w:hanging="475"/>
        <w:rPr>
          <w:lang w:val="fr-FR"/>
        </w:rPr>
      </w:pPr>
      <w:r>
        <w:rPr>
          <w:lang w:val="fr-FR"/>
        </w:rPr>
        <w:tab/>
        <w:t>•</w:t>
      </w:r>
      <w:r>
        <w:rPr>
          <w:lang w:val="fr-FR"/>
        </w:rPr>
        <w:tab/>
      </w:r>
      <w:r w:rsidR="005D40D4" w:rsidRPr="000E0CA0">
        <w:rPr>
          <w:lang w:val="fr-FR"/>
        </w:rPr>
        <w:t>Création de sections des affaires familiales dans les tribunaux</w:t>
      </w:r>
      <w:r w:rsidR="00F1794C" w:rsidRPr="000E0CA0">
        <w:rPr>
          <w:lang w:val="fr-FR"/>
        </w:rPr>
        <w:t> ;</w:t>
      </w:r>
      <w:r w:rsidR="005D40D4" w:rsidRPr="000E0CA0">
        <w:rPr>
          <w:lang w:val="fr-FR"/>
        </w:rPr>
        <w:t xml:space="preserve"> </w:t>
      </w:r>
    </w:p>
    <w:p w14:paraId="342472EA" w14:textId="6B08AA6B" w:rsidR="005D40D4" w:rsidRPr="000E0CA0" w:rsidRDefault="000E0CA0" w:rsidP="000E0CA0">
      <w:pPr>
        <w:pStyle w:val="SingleTxt"/>
        <w:tabs>
          <w:tab w:val="right" w:pos="1685"/>
        </w:tabs>
        <w:ind w:left="1742" w:hanging="475"/>
        <w:rPr>
          <w:lang w:val="fr-FR"/>
        </w:rPr>
      </w:pPr>
      <w:r>
        <w:rPr>
          <w:lang w:val="fr-FR"/>
        </w:rPr>
        <w:tab/>
        <w:t>•</w:t>
      </w:r>
      <w:r>
        <w:rPr>
          <w:lang w:val="fr-FR"/>
        </w:rPr>
        <w:tab/>
      </w:r>
      <w:r w:rsidR="005D40D4" w:rsidRPr="000E0CA0">
        <w:rPr>
          <w:lang w:val="fr-FR"/>
        </w:rPr>
        <w:t>Formation des magistrats spécialisés dans les droits des femmes à l</w:t>
      </w:r>
      <w:r w:rsidR="00F1794C" w:rsidRPr="000E0CA0">
        <w:rPr>
          <w:lang w:val="fr-FR"/>
        </w:rPr>
        <w:t>’</w:t>
      </w:r>
      <w:r w:rsidR="005D40D4" w:rsidRPr="000E0CA0">
        <w:rPr>
          <w:lang w:val="fr-FR"/>
        </w:rPr>
        <w:t>intention desquels mesures d</w:t>
      </w:r>
      <w:r w:rsidR="00F1794C" w:rsidRPr="000E0CA0">
        <w:rPr>
          <w:lang w:val="fr-FR"/>
        </w:rPr>
        <w:t>’</w:t>
      </w:r>
      <w:r w:rsidR="005D40D4" w:rsidRPr="000E0CA0">
        <w:rPr>
          <w:lang w:val="fr-FR"/>
        </w:rPr>
        <w:t>incitation ont été prises</w:t>
      </w:r>
      <w:r w:rsidR="00F1794C" w:rsidRPr="000E0CA0">
        <w:rPr>
          <w:lang w:val="fr-FR"/>
        </w:rPr>
        <w:t> ;</w:t>
      </w:r>
      <w:r w:rsidR="005D40D4" w:rsidRPr="000E0CA0">
        <w:rPr>
          <w:lang w:val="fr-FR"/>
        </w:rPr>
        <w:t xml:space="preserve"> </w:t>
      </w:r>
    </w:p>
    <w:p w14:paraId="75595A50" w14:textId="119EA8C9" w:rsidR="005D40D4" w:rsidRPr="000E0CA0" w:rsidRDefault="000E0CA0" w:rsidP="000E0CA0">
      <w:pPr>
        <w:pStyle w:val="SingleTxt"/>
        <w:tabs>
          <w:tab w:val="right" w:pos="1685"/>
        </w:tabs>
        <w:ind w:left="1742" w:hanging="475"/>
        <w:rPr>
          <w:lang w:val="fr-FR"/>
        </w:rPr>
      </w:pPr>
      <w:r>
        <w:rPr>
          <w:lang w:val="fr-FR"/>
        </w:rPr>
        <w:tab/>
        <w:t>•</w:t>
      </w:r>
      <w:r>
        <w:rPr>
          <w:lang w:val="fr-FR"/>
        </w:rPr>
        <w:tab/>
      </w:r>
      <w:r w:rsidR="005D40D4" w:rsidRPr="000E0CA0">
        <w:rPr>
          <w:lang w:val="fr-FR"/>
        </w:rPr>
        <w:t>Organisation de la formation continue des magistrats afin que ces derniers puissent mieux s</w:t>
      </w:r>
      <w:r w:rsidR="00F1794C" w:rsidRPr="000E0CA0">
        <w:rPr>
          <w:lang w:val="fr-FR"/>
        </w:rPr>
        <w:t>’</w:t>
      </w:r>
      <w:r w:rsidR="005D40D4" w:rsidRPr="000E0CA0">
        <w:rPr>
          <w:lang w:val="fr-FR"/>
        </w:rPr>
        <w:t>acquitter de leur mission en ce qui concerne la protection des droits des femmes</w:t>
      </w:r>
      <w:r w:rsidR="00F1794C" w:rsidRPr="000E0CA0">
        <w:rPr>
          <w:lang w:val="fr-FR"/>
        </w:rPr>
        <w:t> ;</w:t>
      </w:r>
    </w:p>
    <w:p w14:paraId="7FEAB10F" w14:textId="01B0BA6B" w:rsidR="005D40D4" w:rsidRPr="000E0CA0" w:rsidRDefault="000E0CA0" w:rsidP="000E0CA0">
      <w:pPr>
        <w:pStyle w:val="SingleTxt"/>
        <w:tabs>
          <w:tab w:val="right" w:pos="1685"/>
        </w:tabs>
        <w:ind w:left="1742" w:hanging="475"/>
        <w:rPr>
          <w:lang w:val="fr-FR"/>
        </w:rPr>
      </w:pPr>
      <w:r>
        <w:rPr>
          <w:lang w:val="fr-FR"/>
        </w:rPr>
        <w:lastRenderedPageBreak/>
        <w:tab/>
        <w:t>•</w:t>
      </w:r>
      <w:r>
        <w:rPr>
          <w:lang w:val="fr-FR"/>
        </w:rPr>
        <w:tab/>
      </w:r>
      <w:r w:rsidR="005D40D4" w:rsidRPr="000E0CA0">
        <w:rPr>
          <w:lang w:val="fr-FR"/>
        </w:rPr>
        <w:t>Publication annuelle de statistiques concernant l</w:t>
      </w:r>
      <w:r w:rsidR="00F1794C" w:rsidRPr="000E0CA0">
        <w:rPr>
          <w:lang w:val="fr-FR"/>
        </w:rPr>
        <w:t>’</w:t>
      </w:r>
      <w:r w:rsidR="005D40D4" w:rsidRPr="000E0CA0">
        <w:rPr>
          <w:lang w:val="fr-FR"/>
        </w:rPr>
        <w:t>application des dispositions du Code de la famille afin que les associations et les acteurs puissent en assurer le suivi</w:t>
      </w:r>
      <w:r w:rsidR="00F1794C" w:rsidRPr="000E0CA0">
        <w:rPr>
          <w:lang w:val="fr-FR"/>
        </w:rPr>
        <w:t> ;</w:t>
      </w:r>
    </w:p>
    <w:p w14:paraId="69979258" w14:textId="5451650E" w:rsidR="005D40D4" w:rsidRPr="000E0CA0" w:rsidRDefault="000E0CA0" w:rsidP="000E0CA0">
      <w:pPr>
        <w:pStyle w:val="SingleTxt"/>
        <w:tabs>
          <w:tab w:val="right" w:pos="1685"/>
        </w:tabs>
        <w:ind w:left="1742" w:hanging="475"/>
        <w:rPr>
          <w:lang w:val="fr-FR"/>
        </w:rPr>
      </w:pPr>
      <w:r>
        <w:rPr>
          <w:lang w:val="fr-FR"/>
        </w:rPr>
        <w:tab/>
        <w:t>•</w:t>
      </w:r>
      <w:r>
        <w:rPr>
          <w:lang w:val="fr-FR"/>
        </w:rPr>
        <w:tab/>
      </w:r>
      <w:r w:rsidR="005D40D4" w:rsidRPr="000E0CA0">
        <w:rPr>
          <w:lang w:val="fr-FR"/>
        </w:rPr>
        <w:t>Notes adressées à tous les représentants du ministère public afin de faire appliquer les dispositions relatives à la lutte contre la violence faite aux femmes</w:t>
      </w:r>
      <w:r w:rsidR="00F1794C" w:rsidRPr="000E0CA0">
        <w:rPr>
          <w:lang w:val="fr-FR"/>
        </w:rPr>
        <w:t> ;</w:t>
      </w:r>
    </w:p>
    <w:p w14:paraId="76D62A95" w14:textId="55A09742" w:rsidR="005D40D4" w:rsidRPr="000E0CA0" w:rsidRDefault="000E0CA0" w:rsidP="000E0CA0">
      <w:pPr>
        <w:pStyle w:val="SingleTxt"/>
        <w:tabs>
          <w:tab w:val="right" w:pos="1685"/>
        </w:tabs>
        <w:ind w:left="1742" w:hanging="475"/>
        <w:rPr>
          <w:lang w:val="fr-FR"/>
        </w:rPr>
      </w:pPr>
      <w:r>
        <w:rPr>
          <w:lang w:val="fr-FR"/>
        </w:rPr>
        <w:tab/>
        <w:t>•</w:t>
      </w:r>
      <w:r>
        <w:rPr>
          <w:lang w:val="fr-FR"/>
        </w:rPr>
        <w:tab/>
      </w:r>
      <w:r w:rsidR="005D40D4" w:rsidRPr="000E0CA0">
        <w:rPr>
          <w:lang w:val="fr-FR"/>
        </w:rPr>
        <w:t>Création de cellules de communication, des centres d</w:t>
      </w:r>
      <w:r w:rsidR="00F1794C" w:rsidRPr="000E0CA0">
        <w:rPr>
          <w:lang w:val="fr-FR"/>
        </w:rPr>
        <w:t>’</w:t>
      </w:r>
      <w:r w:rsidR="005D40D4" w:rsidRPr="000E0CA0">
        <w:rPr>
          <w:lang w:val="fr-FR"/>
        </w:rPr>
        <w:t>écoute rattachés au ministère public sont placés sous la supervision d</w:t>
      </w:r>
      <w:r w:rsidR="00F1794C" w:rsidRPr="000E0CA0">
        <w:rPr>
          <w:lang w:val="fr-FR"/>
        </w:rPr>
        <w:t>’</w:t>
      </w:r>
      <w:r w:rsidR="005D40D4" w:rsidRPr="000E0CA0">
        <w:rPr>
          <w:lang w:val="fr-FR"/>
        </w:rPr>
        <w:t>une procureure générale adjointe ou d</w:t>
      </w:r>
      <w:r w:rsidR="00F1794C" w:rsidRPr="000E0CA0">
        <w:rPr>
          <w:lang w:val="fr-FR"/>
        </w:rPr>
        <w:t>’</w:t>
      </w:r>
      <w:r w:rsidR="005D40D4" w:rsidRPr="000E0CA0">
        <w:rPr>
          <w:lang w:val="fr-FR"/>
        </w:rPr>
        <w:t>une procureure du Roi adjointe</w:t>
      </w:r>
      <w:r w:rsidR="00F1794C" w:rsidRPr="000E0CA0">
        <w:rPr>
          <w:lang w:val="fr-FR"/>
        </w:rPr>
        <w:t> ;</w:t>
      </w:r>
    </w:p>
    <w:p w14:paraId="112C968F" w14:textId="6120D6D1" w:rsidR="005D40D4" w:rsidRPr="000E0CA0" w:rsidRDefault="000E0CA0" w:rsidP="000E0CA0">
      <w:pPr>
        <w:pStyle w:val="SingleTxt"/>
        <w:tabs>
          <w:tab w:val="right" w:pos="1685"/>
        </w:tabs>
        <w:ind w:left="1742" w:hanging="475"/>
        <w:rPr>
          <w:lang w:val="fr-FR"/>
        </w:rPr>
      </w:pPr>
      <w:r>
        <w:rPr>
          <w:lang w:val="fr-FR"/>
        </w:rPr>
        <w:tab/>
        <w:t>•</w:t>
      </w:r>
      <w:r>
        <w:rPr>
          <w:lang w:val="fr-FR"/>
        </w:rPr>
        <w:tab/>
      </w:r>
      <w:r w:rsidR="005D40D4" w:rsidRPr="000E0CA0">
        <w:rPr>
          <w:lang w:val="fr-FR"/>
        </w:rPr>
        <w:t>Organisation de campagnes visant à obtenir la preuve du mariage et à consigner les actes de mariage pour préserver les droits des femmes, ce qui a entraîné une baisse du nombre de mariages sans acte d</w:t>
      </w:r>
      <w:r w:rsidR="00F1794C" w:rsidRPr="000E0CA0">
        <w:rPr>
          <w:lang w:val="fr-FR"/>
        </w:rPr>
        <w:t>’</w:t>
      </w:r>
      <w:r w:rsidR="005D40D4" w:rsidRPr="000E0CA0">
        <w:rPr>
          <w:lang w:val="fr-FR"/>
        </w:rPr>
        <w:t>état civil</w:t>
      </w:r>
      <w:r w:rsidR="00F1794C" w:rsidRPr="000E0CA0">
        <w:rPr>
          <w:lang w:val="fr-FR"/>
        </w:rPr>
        <w:t> ;</w:t>
      </w:r>
    </w:p>
    <w:p w14:paraId="7698AC4F" w14:textId="2EBD0077" w:rsidR="005D40D4" w:rsidRPr="000E0CA0" w:rsidRDefault="000E0CA0" w:rsidP="000E0CA0">
      <w:pPr>
        <w:pStyle w:val="SingleTxt"/>
        <w:tabs>
          <w:tab w:val="right" w:pos="1685"/>
        </w:tabs>
        <w:ind w:left="1742" w:hanging="475"/>
        <w:rPr>
          <w:lang w:val="fr-FR"/>
        </w:rPr>
      </w:pPr>
      <w:r>
        <w:rPr>
          <w:lang w:val="fr-FR"/>
        </w:rPr>
        <w:tab/>
        <w:t>•</w:t>
      </w:r>
      <w:r>
        <w:rPr>
          <w:lang w:val="fr-FR"/>
        </w:rPr>
        <w:tab/>
      </w:r>
      <w:r w:rsidR="005D40D4" w:rsidRPr="000E0CA0">
        <w:rPr>
          <w:lang w:val="fr-FR"/>
        </w:rPr>
        <w:t>Baisse du nombre de jugements rendus concernant la preuve du mariage, passé de 16 332 en 2014 à 1 871 en 2016.</w:t>
      </w:r>
    </w:p>
    <w:p w14:paraId="5A175406" w14:textId="45963856" w:rsidR="005D40D4" w:rsidRPr="005D40D4" w:rsidRDefault="005D40D4" w:rsidP="00456FC2">
      <w:pPr>
        <w:pStyle w:val="SingleTxt"/>
        <w:numPr>
          <w:ilvl w:val="0"/>
          <w:numId w:val="50"/>
        </w:numPr>
        <w:rPr>
          <w:lang w:val="fr-FR"/>
        </w:rPr>
      </w:pPr>
      <w:r w:rsidRPr="005D40D4">
        <w:rPr>
          <w:lang w:val="fr-FR"/>
        </w:rPr>
        <w:t>De nombreux gains ont été réalisés à la suite de l</w:t>
      </w:r>
      <w:r w:rsidR="00F1794C" w:rsidRPr="00F1794C">
        <w:rPr>
          <w:lang w:val="fr-FR"/>
        </w:rPr>
        <w:t>’</w:t>
      </w:r>
      <w:r w:rsidRPr="005D40D4">
        <w:rPr>
          <w:lang w:val="fr-FR"/>
        </w:rPr>
        <w:t>application des dispositions du Code de la famille. L</w:t>
      </w:r>
      <w:r w:rsidR="00F1794C" w:rsidRPr="00F1794C">
        <w:rPr>
          <w:lang w:val="fr-FR"/>
        </w:rPr>
        <w:t>’</w:t>
      </w:r>
      <w:r w:rsidRPr="005D40D4">
        <w:rPr>
          <w:lang w:val="fr-FR"/>
        </w:rPr>
        <w:t>enregistrement des actes de mariage est en hausse. Le nombre de mariages contractés est passé de 237 000 en 2014 à 280 000 en 2017.</w:t>
      </w:r>
    </w:p>
    <w:p w14:paraId="4BFF57CD" w14:textId="17659C71" w:rsidR="005D40D4" w:rsidRPr="005D40D4" w:rsidRDefault="005D40D4" w:rsidP="00456FC2">
      <w:pPr>
        <w:pStyle w:val="SingleTxt"/>
        <w:numPr>
          <w:ilvl w:val="0"/>
          <w:numId w:val="50"/>
        </w:numPr>
        <w:rPr>
          <w:lang w:val="fr-FR"/>
        </w:rPr>
      </w:pPr>
      <w:r w:rsidRPr="005D40D4">
        <w:rPr>
          <w:lang w:val="fr-FR"/>
        </w:rPr>
        <w:t>Conformément à la recommandation formulée au paragraphe 37 des observations finales, l</w:t>
      </w:r>
      <w:r w:rsidR="00F1794C" w:rsidRPr="00F1794C">
        <w:rPr>
          <w:lang w:val="fr-FR"/>
        </w:rPr>
        <w:t>’</w:t>
      </w:r>
      <w:r w:rsidRPr="005D40D4">
        <w:rPr>
          <w:lang w:val="fr-FR"/>
        </w:rPr>
        <w:t>application des dispositions du Code de la famille a contribué à assurer un meilleur équilibre pour ce qui est de la polygamie, qui concernait 0,38</w:t>
      </w:r>
      <w:r w:rsidR="00F1794C" w:rsidRPr="00F1794C">
        <w:rPr>
          <w:lang w:val="fr-FR"/>
        </w:rPr>
        <w:t> %</w:t>
      </w:r>
      <w:r w:rsidRPr="005D40D4">
        <w:rPr>
          <w:lang w:val="fr-FR"/>
        </w:rPr>
        <w:t xml:space="preserve"> des mariages contractés en 2016, 0,26</w:t>
      </w:r>
      <w:r w:rsidR="00F1794C" w:rsidRPr="00F1794C">
        <w:rPr>
          <w:lang w:val="fr-FR"/>
        </w:rPr>
        <w:t> %</w:t>
      </w:r>
      <w:r w:rsidRPr="005D40D4">
        <w:rPr>
          <w:lang w:val="fr-FR"/>
        </w:rPr>
        <w:t xml:space="preserve"> des actes de mariage enregistrés en 2012, en 2013 et en 2017, 0,28</w:t>
      </w:r>
      <w:r w:rsidR="00F1794C" w:rsidRPr="00F1794C">
        <w:rPr>
          <w:lang w:val="fr-FR"/>
        </w:rPr>
        <w:t> %</w:t>
      </w:r>
      <w:r w:rsidRPr="005D40D4">
        <w:rPr>
          <w:lang w:val="fr-FR"/>
        </w:rPr>
        <w:t xml:space="preserve"> en 2014 et 0,32</w:t>
      </w:r>
      <w:r w:rsidR="00F1794C" w:rsidRPr="00F1794C">
        <w:rPr>
          <w:lang w:val="fr-FR"/>
        </w:rPr>
        <w:t> %</w:t>
      </w:r>
      <w:r w:rsidRPr="005D40D4">
        <w:rPr>
          <w:lang w:val="fr-FR"/>
        </w:rPr>
        <w:t xml:space="preserve"> en 2015.</w:t>
      </w:r>
    </w:p>
    <w:p w14:paraId="1DD82359" w14:textId="18B48871" w:rsidR="005D40D4" w:rsidRPr="005D40D4" w:rsidRDefault="005D40D4" w:rsidP="00456FC2">
      <w:pPr>
        <w:pStyle w:val="SingleTxt"/>
        <w:numPr>
          <w:ilvl w:val="0"/>
          <w:numId w:val="50"/>
        </w:numPr>
        <w:rPr>
          <w:lang w:val="fr-FR"/>
        </w:rPr>
      </w:pPr>
      <w:r w:rsidRPr="005D40D4">
        <w:rPr>
          <w:lang w:val="fr-FR"/>
        </w:rPr>
        <w:t>Les tribunaux ont eu recours à la procédure de conciliation pour 20 278 familles en 2016 dans des affaires de divorce et de divorce judiciaire. Au total, les sections des affaires familiales ont été saisies de 114 352 affaires. Le nombre total (262 098) de certificats de mariage garçons et de filles, n</w:t>
      </w:r>
      <w:r w:rsidR="00F1794C" w:rsidRPr="00F1794C">
        <w:rPr>
          <w:lang w:val="fr-FR"/>
        </w:rPr>
        <w:t>’</w:t>
      </w:r>
      <w:r w:rsidRPr="005D40D4">
        <w:rPr>
          <w:lang w:val="fr-FR"/>
        </w:rPr>
        <w:t>ayant pas atteint l</w:t>
      </w:r>
      <w:r w:rsidR="00F1794C" w:rsidRPr="00F1794C">
        <w:rPr>
          <w:lang w:val="fr-FR"/>
        </w:rPr>
        <w:t>’</w:t>
      </w:r>
      <w:r w:rsidRPr="005D40D4">
        <w:rPr>
          <w:lang w:val="fr-FR"/>
        </w:rPr>
        <w:t>âge légal du mariage a baissé de plus de trois points en 2017 par rapport à 2016 (9,72</w:t>
      </w:r>
      <w:r w:rsidR="00F1794C" w:rsidRPr="00F1794C">
        <w:rPr>
          <w:lang w:val="fr-FR"/>
        </w:rPr>
        <w:t> %</w:t>
      </w:r>
      <w:r w:rsidRPr="005D40D4">
        <w:rPr>
          <w:lang w:val="fr-FR"/>
        </w:rPr>
        <w:t xml:space="preserve">). </w:t>
      </w:r>
    </w:p>
    <w:p w14:paraId="07D0D8F0" w14:textId="1D847332" w:rsidR="005D40D4" w:rsidRPr="005D40D4" w:rsidRDefault="005D40D4" w:rsidP="00456FC2">
      <w:pPr>
        <w:pStyle w:val="SingleTxt"/>
        <w:numPr>
          <w:ilvl w:val="0"/>
          <w:numId w:val="50"/>
        </w:numPr>
        <w:rPr>
          <w:lang w:val="fr-FR"/>
        </w:rPr>
      </w:pPr>
      <w:r w:rsidRPr="005D40D4">
        <w:rPr>
          <w:lang w:val="fr-FR"/>
        </w:rPr>
        <w:t>Comme suite à la recommandation formulée au paragraphe 39 des observations finales, le nombre de titres de propriété concernant des biens acquis durant le mariage a relativement augmenté, passant de 312 en 2004 à 537 en 2017</w:t>
      </w:r>
      <w:r w:rsidR="00F1794C" w:rsidRPr="00F1794C">
        <w:rPr>
          <w:lang w:val="fr-FR"/>
        </w:rPr>
        <w:t> ;</w:t>
      </w:r>
      <w:r w:rsidRPr="005D40D4">
        <w:rPr>
          <w:lang w:val="fr-FR"/>
        </w:rPr>
        <w:t xml:space="preserve"> 1 607 ont été recensés en 2014.</w:t>
      </w:r>
    </w:p>
    <w:p w14:paraId="721F2D3A" w14:textId="62D7C920" w:rsidR="005D40D4" w:rsidRPr="005D40D4" w:rsidRDefault="005D40D4" w:rsidP="00456FC2">
      <w:pPr>
        <w:pStyle w:val="SingleTxt"/>
        <w:numPr>
          <w:ilvl w:val="0"/>
          <w:numId w:val="50"/>
        </w:numPr>
        <w:rPr>
          <w:lang w:val="fr-FR"/>
        </w:rPr>
      </w:pPr>
      <w:r w:rsidRPr="005D40D4">
        <w:rPr>
          <w:lang w:val="fr-FR"/>
        </w:rPr>
        <w:t>L</w:t>
      </w:r>
      <w:r w:rsidR="00F1794C" w:rsidRPr="00F1794C">
        <w:rPr>
          <w:lang w:val="fr-FR"/>
        </w:rPr>
        <w:t>’</w:t>
      </w:r>
      <w:r w:rsidRPr="005D40D4">
        <w:rPr>
          <w:lang w:val="fr-FR"/>
        </w:rPr>
        <w:t>article 16 de la loi portant Code de la famille a été modifié de sorte que la période transitoire pour l</w:t>
      </w:r>
      <w:r w:rsidR="00F1794C" w:rsidRPr="00F1794C">
        <w:rPr>
          <w:lang w:val="fr-FR"/>
        </w:rPr>
        <w:t>’</w:t>
      </w:r>
      <w:r w:rsidRPr="005D40D4">
        <w:rPr>
          <w:lang w:val="fr-FR"/>
        </w:rPr>
        <w:t>action en reconnaissance de mariage a été prolongée de cinq ans, en application de l</w:t>
      </w:r>
      <w:r w:rsidR="00F1794C" w:rsidRPr="00F1794C">
        <w:rPr>
          <w:lang w:val="fr-FR"/>
        </w:rPr>
        <w:t>’</w:t>
      </w:r>
      <w:r w:rsidRPr="005D40D4">
        <w:rPr>
          <w:lang w:val="fr-FR"/>
        </w:rPr>
        <w:t>article unique de la loi n</w:t>
      </w:r>
      <w:r w:rsidRPr="005D40D4">
        <w:rPr>
          <w:vertAlign w:val="superscript"/>
          <w:lang w:val="fr-FR"/>
        </w:rPr>
        <w:t>o</w:t>
      </w:r>
      <w:r w:rsidRPr="005D40D4">
        <w:rPr>
          <w:lang w:val="fr-FR"/>
        </w:rPr>
        <w:t xml:space="preserve"> 102-15 portant modification de l</w:t>
      </w:r>
      <w:r w:rsidR="00F1794C" w:rsidRPr="00F1794C">
        <w:rPr>
          <w:lang w:val="fr-FR"/>
        </w:rPr>
        <w:t>’</w:t>
      </w:r>
      <w:r w:rsidRPr="005D40D4">
        <w:rPr>
          <w:lang w:val="fr-FR"/>
        </w:rPr>
        <w:t>article 16 de la loi n</w:t>
      </w:r>
      <w:r w:rsidRPr="005D40D4">
        <w:rPr>
          <w:vertAlign w:val="superscript"/>
          <w:lang w:val="fr-FR"/>
        </w:rPr>
        <w:t>o</w:t>
      </w:r>
      <w:r w:rsidRPr="005D40D4">
        <w:rPr>
          <w:lang w:val="fr-FR"/>
        </w:rPr>
        <w:t xml:space="preserve"> 70-03 portant Code de la famille, promulguée en vertu du dahir n</w:t>
      </w:r>
      <w:r w:rsidRPr="005D40D4">
        <w:rPr>
          <w:vertAlign w:val="superscript"/>
          <w:lang w:val="fr-FR"/>
        </w:rPr>
        <w:t>o</w:t>
      </w:r>
      <w:r w:rsidRPr="005D40D4">
        <w:rPr>
          <w:lang w:val="fr-FR"/>
        </w:rPr>
        <w:t xml:space="preserve"> 1-16-2 du 12 janvier 2016 et publiée au Bulletin officiel n</w:t>
      </w:r>
      <w:r w:rsidRPr="005D40D4">
        <w:rPr>
          <w:vertAlign w:val="superscript"/>
          <w:lang w:val="fr-FR"/>
        </w:rPr>
        <w:t>o</w:t>
      </w:r>
      <w:r w:rsidRPr="005D40D4">
        <w:rPr>
          <w:lang w:val="fr-FR"/>
        </w:rPr>
        <w:t xml:space="preserve"> 6433 (janvier 2016).</w:t>
      </w:r>
    </w:p>
    <w:p w14:paraId="3116F332" w14:textId="1537C869" w:rsidR="005D40D4" w:rsidRPr="005D40D4" w:rsidRDefault="005D40D4" w:rsidP="00456FC2">
      <w:pPr>
        <w:pStyle w:val="SingleTxt"/>
        <w:numPr>
          <w:ilvl w:val="0"/>
          <w:numId w:val="50"/>
        </w:numPr>
        <w:rPr>
          <w:lang w:val="fr-FR"/>
        </w:rPr>
      </w:pPr>
      <w:r w:rsidRPr="005D40D4">
        <w:rPr>
          <w:lang w:val="fr-FR"/>
        </w:rPr>
        <w:t>Comme suite à la recommandation formulée au paragraphe 35 des observations finales, la présidence du Ministère public a adressé la circulaire n</w:t>
      </w:r>
      <w:r w:rsidRPr="005D40D4">
        <w:rPr>
          <w:vertAlign w:val="superscript"/>
          <w:lang w:val="fr-FR"/>
        </w:rPr>
        <w:t>o</w:t>
      </w:r>
      <w:r w:rsidRPr="005D40D4">
        <w:rPr>
          <w:lang w:val="fr-FR"/>
        </w:rPr>
        <w:t xml:space="preserve"> 20/3/29 (2018)</w:t>
      </w:r>
      <w:r w:rsidRPr="00FA086B">
        <w:rPr>
          <w:vertAlign w:val="superscript"/>
          <w:lang w:val="fr-FR"/>
        </w:rPr>
        <w:footnoteReference w:id="98"/>
      </w:r>
      <w:r w:rsidRPr="005D40D4">
        <w:rPr>
          <w:lang w:val="fr-FR"/>
        </w:rPr>
        <w:t xml:space="preserve"> à tous les représentants du ministère public afin de les encourager à présenter des requêtes en gardant à l</w:t>
      </w:r>
      <w:r w:rsidR="00F1794C" w:rsidRPr="00F1794C">
        <w:rPr>
          <w:lang w:val="fr-FR"/>
        </w:rPr>
        <w:t>’</w:t>
      </w:r>
      <w:r w:rsidRPr="005D40D4">
        <w:rPr>
          <w:lang w:val="fr-FR"/>
        </w:rPr>
        <w:t>esprit l</w:t>
      </w:r>
      <w:r w:rsidR="00F1794C" w:rsidRPr="00F1794C">
        <w:rPr>
          <w:lang w:val="fr-FR"/>
        </w:rPr>
        <w:t>’</w:t>
      </w:r>
      <w:r w:rsidRPr="005D40D4">
        <w:rPr>
          <w:lang w:val="fr-FR"/>
        </w:rPr>
        <w:t>objectif fixé par le législateur, à savoir faire en sorte que le mariage de mineurs ne puisse être autorisé que par un juge, et à</w:t>
      </w:r>
      <w:r w:rsidR="00F1794C" w:rsidRPr="00F1794C">
        <w:rPr>
          <w:lang w:val="fr-FR"/>
        </w:rPr>
        <w:t xml:space="preserve"> </w:t>
      </w:r>
      <w:r w:rsidRPr="005D40D4">
        <w:rPr>
          <w:lang w:val="fr-FR"/>
        </w:rPr>
        <w:t>ne pas hésiter à rejeter les demandes de mariage contraires à l</w:t>
      </w:r>
      <w:r w:rsidR="00F1794C" w:rsidRPr="00F1794C">
        <w:rPr>
          <w:lang w:val="fr-FR"/>
        </w:rPr>
        <w:t>’</w:t>
      </w:r>
      <w:r w:rsidRPr="005D40D4">
        <w:rPr>
          <w:lang w:val="fr-FR"/>
        </w:rPr>
        <w:t>intérêt supérieur de l</w:t>
      </w:r>
      <w:r w:rsidR="00F1794C" w:rsidRPr="00F1794C">
        <w:rPr>
          <w:lang w:val="fr-FR"/>
        </w:rPr>
        <w:t>’</w:t>
      </w:r>
      <w:r w:rsidRPr="005D40D4">
        <w:rPr>
          <w:lang w:val="fr-FR"/>
        </w:rPr>
        <w:t>enfant. Les magistrats sont encouragés également à demander la tenue d</w:t>
      </w:r>
      <w:r w:rsidR="00F1794C" w:rsidRPr="00F1794C">
        <w:rPr>
          <w:lang w:val="fr-FR"/>
        </w:rPr>
        <w:t>’</w:t>
      </w:r>
      <w:r w:rsidRPr="005D40D4">
        <w:rPr>
          <w:lang w:val="fr-FR"/>
        </w:rPr>
        <w:t>audiences visant à sensibiliser le mineur concerné aux dangers posés par le mariage précoce, avec l</w:t>
      </w:r>
      <w:r w:rsidR="00F1794C" w:rsidRPr="00F1794C">
        <w:rPr>
          <w:lang w:val="fr-FR"/>
        </w:rPr>
        <w:t>’</w:t>
      </w:r>
      <w:r w:rsidRPr="005D40D4">
        <w:rPr>
          <w:lang w:val="fr-FR"/>
        </w:rPr>
        <w:t xml:space="preserve">aide des assistantes sociales. </w:t>
      </w:r>
    </w:p>
    <w:p w14:paraId="587C9902" w14:textId="653B27DD" w:rsidR="005D40D4" w:rsidRPr="005D40D4" w:rsidRDefault="005D40D4" w:rsidP="00456FC2">
      <w:pPr>
        <w:pStyle w:val="SingleTxt"/>
        <w:numPr>
          <w:ilvl w:val="0"/>
          <w:numId w:val="50"/>
        </w:numPr>
        <w:rPr>
          <w:lang w:val="fr-FR"/>
        </w:rPr>
      </w:pPr>
      <w:r w:rsidRPr="005D40D4">
        <w:rPr>
          <w:lang w:val="fr-FR"/>
        </w:rPr>
        <w:lastRenderedPageBreak/>
        <w:t>Le Ministère de la justice a réagi favorablement à une proposition de loi visant à modifier et compléter l</w:t>
      </w:r>
      <w:r w:rsidR="00F1794C" w:rsidRPr="00F1794C">
        <w:rPr>
          <w:lang w:val="fr-FR"/>
        </w:rPr>
        <w:t>’</w:t>
      </w:r>
      <w:r w:rsidRPr="005D40D4">
        <w:rPr>
          <w:lang w:val="fr-FR"/>
        </w:rPr>
        <w:t>article 20 de la loi n</w:t>
      </w:r>
      <w:r w:rsidRPr="005D40D4">
        <w:rPr>
          <w:vertAlign w:val="superscript"/>
          <w:lang w:val="fr-FR"/>
        </w:rPr>
        <w:t>o</w:t>
      </w:r>
      <w:r w:rsidRPr="005D40D4">
        <w:rPr>
          <w:lang w:val="fr-FR"/>
        </w:rPr>
        <w:t xml:space="preserve"> 70-03 portant Code de la famille de sorte que des restrictions soient imposées au mariage des mineurs, comme suit</w:t>
      </w:r>
      <w:r w:rsidR="00F1794C" w:rsidRPr="00F1794C">
        <w:rPr>
          <w:lang w:val="fr-FR"/>
        </w:rPr>
        <w:t> :</w:t>
      </w:r>
      <w:r w:rsidRPr="005D40D4">
        <w:rPr>
          <w:lang w:val="fr-FR"/>
        </w:rPr>
        <w:t xml:space="preserve"> </w:t>
      </w:r>
    </w:p>
    <w:p w14:paraId="3F06C562" w14:textId="3947FC44" w:rsidR="005D40D4" w:rsidRPr="000E0CA0" w:rsidRDefault="000E0CA0" w:rsidP="000E0CA0">
      <w:pPr>
        <w:pStyle w:val="SingleTxt"/>
        <w:tabs>
          <w:tab w:val="right" w:pos="1685"/>
        </w:tabs>
        <w:ind w:left="1742" w:hanging="475"/>
        <w:rPr>
          <w:lang w:val="fr-FR"/>
        </w:rPr>
      </w:pPr>
      <w:r>
        <w:rPr>
          <w:lang w:val="fr-FR"/>
        </w:rPr>
        <w:tab/>
        <w:t>•</w:t>
      </w:r>
      <w:r>
        <w:rPr>
          <w:lang w:val="fr-FR"/>
        </w:rPr>
        <w:tab/>
      </w:r>
      <w:r w:rsidR="005D40D4" w:rsidRPr="000E0CA0">
        <w:rPr>
          <w:lang w:val="fr-FR"/>
        </w:rPr>
        <w:t>Fixer l</w:t>
      </w:r>
      <w:r w:rsidR="00F1794C" w:rsidRPr="000E0CA0">
        <w:rPr>
          <w:lang w:val="fr-FR"/>
        </w:rPr>
        <w:t>’</w:t>
      </w:r>
      <w:r w:rsidR="005D40D4" w:rsidRPr="000E0CA0">
        <w:rPr>
          <w:lang w:val="fr-FR"/>
        </w:rPr>
        <w:t>âge minimum du mariage, en-dessous de l</w:t>
      </w:r>
      <w:r w:rsidR="00F1794C" w:rsidRPr="000E0CA0">
        <w:rPr>
          <w:lang w:val="fr-FR"/>
        </w:rPr>
        <w:t>’</w:t>
      </w:r>
      <w:r w:rsidR="005D40D4" w:rsidRPr="000E0CA0">
        <w:rPr>
          <w:lang w:val="fr-FR"/>
        </w:rPr>
        <w:t>âge l</w:t>
      </w:r>
      <w:r w:rsidR="00F1794C" w:rsidRPr="000E0CA0">
        <w:rPr>
          <w:lang w:val="fr-FR"/>
        </w:rPr>
        <w:t>’</w:t>
      </w:r>
      <w:r w:rsidR="005D40D4" w:rsidRPr="000E0CA0">
        <w:rPr>
          <w:lang w:val="fr-FR"/>
        </w:rPr>
        <w:t>égal, à 16 ans, à la seule discrétion des juges des affaires familiales compétents</w:t>
      </w:r>
      <w:r w:rsidR="00F1794C" w:rsidRPr="000E0CA0">
        <w:rPr>
          <w:lang w:val="fr-FR"/>
        </w:rPr>
        <w:t> ;</w:t>
      </w:r>
      <w:r w:rsidR="005D40D4" w:rsidRPr="000E0CA0">
        <w:rPr>
          <w:lang w:val="fr-FR"/>
        </w:rPr>
        <w:t xml:space="preserve"> </w:t>
      </w:r>
    </w:p>
    <w:p w14:paraId="01CF0A69" w14:textId="4DA6A0D8" w:rsidR="005D40D4" w:rsidRPr="000E0CA0" w:rsidRDefault="000E0CA0" w:rsidP="000E0CA0">
      <w:pPr>
        <w:pStyle w:val="SingleTxt"/>
        <w:tabs>
          <w:tab w:val="right" w:pos="1685"/>
        </w:tabs>
        <w:ind w:left="1742" w:hanging="475"/>
        <w:rPr>
          <w:lang w:val="fr-FR"/>
        </w:rPr>
      </w:pPr>
      <w:r>
        <w:rPr>
          <w:lang w:val="fr-FR"/>
        </w:rPr>
        <w:tab/>
        <w:t>•</w:t>
      </w:r>
      <w:r>
        <w:rPr>
          <w:lang w:val="fr-FR"/>
        </w:rPr>
        <w:tab/>
      </w:r>
      <w:r w:rsidR="005D40D4" w:rsidRPr="000E0CA0">
        <w:rPr>
          <w:lang w:val="fr-FR"/>
        </w:rPr>
        <w:t>Autoriser exclusivement le mariage de mineurs âgés de 16 à 18 ans</w:t>
      </w:r>
      <w:r w:rsidR="00F1794C" w:rsidRPr="000E0CA0">
        <w:rPr>
          <w:lang w:val="fr-FR"/>
        </w:rPr>
        <w:t> ;</w:t>
      </w:r>
      <w:r w:rsidR="005D40D4" w:rsidRPr="000E0CA0">
        <w:rPr>
          <w:lang w:val="fr-FR"/>
        </w:rPr>
        <w:t xml:space="preserve"> </w:t>
      </w:r>
    </w:p>
    <w:p w14:paraId="7ECF0E65" w14:textId="744423FA" w:rsidR="005D40D4" w:rsidRPr="000E0CA0" w:rsidRDefault="000E0CA0" w:rsidP="000E0CA0">
      <w:pPr>
        <w:pStyle w:val="SingleTxt"/>
        <w:tabs>
          <w:tab w:val="right" w:pos="1685"/>
        </w:tabs>
        <w:ind w:left="1742" w:hanging="475"/>
        <w:rPr>
          <w:lang w:val="fr-FR"/>
        </w:rPr>
      </w:pPr>
      <w:r>
        <w:rPr>
          <w:lang w:val="fr-FR"/>
        </w:rPr>
        <w:tab/>
        <w:t>•</w:t>
      </w:r>
      <w:r>
        <w:rPr>
          <w:lang w:val="fr-FR"/>
        </w:rPr>
        <w:tab/>
      </w:r>
      <w:r w:rsidR="005D40D4" w:rsidRPr="000E0CA0">
        <w:rPr>
          <w:lang w:val="fr-FR"/>
        </w:rPr>
        <w:t>Rendre obligatoire une expertise médicale et une enquête sociale avant que les juges n</w:t>
      </w:r>
      <w:r w:rsidR="00F1794C" w:rsidRPr="000E0CA0">
        <w:rPr>
          <w:lang w:val="fr-FR"/>
        </w:rPr>
        <w:t>’</w:t>
      </w:r>
      <w:r w:rsidR="005D40D4" w:rsidRPr="000E0CA0">
        <w:rPr>
          <w:lang w:val="fr-FR"/>
        </w:rPr>
        <w:t>autorisent le mariage</w:t>
      </w:r>
      <w:r w:rsidR="00F1794C" w:rsidRPr="000E0CA0">
        <w:rPr>
          <w:lang w:val="fr-FR"/>
        </w:rPr>
        <w:t> ;</w:t>
      </w:r>
    </w:p>
    <w:p w14:paraId="686837FF" w14:textId="249DFA4A" w:rsidR="005D40D4" w:rsidRPr="000E0CA0" w:rsidRDefault="000E0CA0" w:rsidP="000E0CA0">
      <w:pPr>
        <w:pStyle w:val="SingleTxt"/>
        <w:tabs>
          <w:tab w:val="right" w:pos="1685"/>
        </w:tabs>
        <w:ind w:left="1742" w:hanging="475"/>
        <w:rPr>
          <w:lang w:val="fr-FR"/>
        </w:rPr>
      </w:pPr>
      <w:r>
        <w:rPr>
          <w:lang w:val="fr-FR"/>
        </w:rPr>
        <w:tab/>
        <w:t>•</w:t>
      </w:r>
      <w:r>
        <w:rPr>
          <w:lang w:val="fr-FR"/>
        </w:rPr>
        <w:tab/>
      </w:r>
      <w:r w:rsidR="005D40D4" w:rsidRPr="000E0CA0">
        <w:rPr>
          <w:lang w:val="fr-FR"/>
        </w:rPr>
        <w:t>Prendre obligatoirement en compte la différence d</w:t>
      </w:r>
      <w:r w:rsidR="00F1794C" w:rsidRPr="000E0CA0">
        <w:rPr>
          <w:lang w:val="fr-FR"/>
        </w:rPr>
        <w:t>’</w:t>
      </w:r>
      <w:r w:rsidR="005D40D4" w:rsidRPr="000E0CA0">
        <w:rPr>
          <w:lang w:val="fr-FR"/>
        </w:rPr>
        <w:t>âge entre les parties lorsque l</w:t>
      </w:r>
      <w:r w:rsidR="00F1794C" w:rsidRPr="000E0CA0">
        <w:rPr>
          <w:lang w:val="fr-FR"/>
        </w:rPr>
        <w:t>’</w:t>
      </w:r>
      <w:r w:rsidR="005D40D4" w:rsidRPr="000E0CA0">
        <w:rPr>
          <w:lang w:val="fr-FR"/>
        </w:rPr>
        <w:t>une d</w:t>
      </w:r>
      <w:r w:rsidR="00F1794C" w:rsidRPr="000E0CA0">
        <w:rPr>
          <w:lang w:val="fr-FR"/>
        </w:rPr>
        <w:t>’</w:t>
      </w:r>
      <w:r w:rsidR="005D40D4" w:rsidRPr="000E0CA0">
        <w:rPr>
          <w:lang w:val="fr-FR"/>
        </w:rPr>
        <w:t xml:space="preserve">elles est un mineur. </w:t>
      </w:r>
    </w:p>
    <w:p w14:paraId="0139136C" w14:textId="7FE7A5D6" w:rsidR="005D40D4" w:rsidRPr="005D40D4" w:rsidRDefault="005D40D4" w:rsidP="00456FC2">
      <w:pPr>
        <w:pStyle w:val="SingleTxt"/>
        <w:numPr>
          <w:ilvl w:val="0"/>
          <w:numId w:val="50"/>
        </w:numPr>
        <w:rPr>
          <w:lang w:val="fr-FR"/>
        </w:rPr>
      </w:pPr>
      <w:r w:rsidRPr="005D40D4">
        <w:rPr>
          <w:lang w:val="fr-FR"/>
        </w:rPr>
        <w:t>En ce qui concerne la protection économique de l</w:t>
      </w:r>
      <w:r w:rsidR="00F1794C" w:rsidRPr="00F1794C">
        <w:rPr>
          <w:lang w:val="fr-FR"/>
        </w:rPr>
        <w:t>’</w:t>
      </w:r>
      <w:r w:rsidRPr="005D40D4">
        <w:rPr>
          <w:lang w:val="fr-FR"/>
        </w:rPr>
        <w:t>épouse, la jurisprudence a montré la voie, notamment le jugement rendu par le tribunal de première instance de Rabat en octobre 2010 (n</w:t>
      </w:r>
      <w:r w:rsidRPr="005D40D4">
        <w:rPr>
          <w:vertAlign w:val="superscript"/>
          <w:lang w:val="fr-FR"/>
        </w:rPr>
        <w:t>o</w:t>
      </w:r>
      <w:r w:rsidRPr="005D40D4">
        <w:rPr>
          <w:lang w:val="fr-FR"/>
        </w:rPr>
        <w:t xml:space="preserve"> 94 – dossier 2010/1/10). Cette décision reconnaît le droit de l</w:t>
      </w:r>
      <w:r w:rsidR="00F1794C" w:rsidRPr="00F1794C">
        <w:rPr>
          <w:lang w:val="fr-FR"/>
        </w:rPr>
        <w:t>’</w:t>
      </w:r>
      <w:r w:rsidRPr="005D40D4">
        <w:rPr>
          <w:lang w:val="fr-FR"/>
        </w:rPr>
        <w:t>épouse d</w:t>
      </w:r>
      <w:r w:rsidR="00F1794C" w:rsidRPr="00F1794C">
        <w:rPr>
          <w:lang w:val="fr-FR"/>
        </w:rPr>
        <w:t>’</w:t>
      </w:r>
      <w:r w:rsidRPr="005D40D4">
        <w:rPr>
          <w:lang w:val="fr-FR"/>
        </w:rPr>
        <w:t>obtenir 50</w:t>
      </w:r>
      <w:r w:rsidR="00F1794C" w:rsidRPr="00F1794C">
        <w:rPr>
          <w:lang w:val="fr-FR"/>
        </w:rPr>
        <w:t> %</w:t>
      </w:r>
      <w:r w:rsidRPr="005D40D4">
        <w:rPr>
          <w:lang w:val="fr-FR"/>
        </w:rPr>
        <w:t xml:space="preserve"> de la part du défendeur après qu</w:t>
      </w:r>
      <w:r w:rsidR="00F1794C" w:rsidRPr="00F1794C">
        <w:rPr>
          <w:lang w:val="fr-FR"/>
        </w:rPr>
        <w:t>’</w:t>
      </w:r>
      <w:r w:rsidRPr="005D40D4">
        <w:rPr>
          <w:lang w:val="fr-FR"/>
        </w:rPr>
        <w:t>il a été démontré qu</w:t>
      </w:r>
      <w:r w:rsidR="00F1794C" w:rsidRPr="00F1794C">
        <w:rPr>
          <w:lang w:val="fr-FR"/>
        </w:rPr>
        <w:t>’</w:t>
      </w:r>
      <w:r w:rsidRPr="005D40D4">
        <w:rPr>
          <w:lang w:val="fr-FR"/>
        </w:rPr>
        <w:t>elle avait durement travaillé et déployé des efforts soutenus</w:t>
      </w:r>
      <w:r w:rsidRPr="00FA086B">
        <w:rPr>
          <w:vertAlign w:val="superscript"/>
          <w:lang w:val="fr-FR"/>
        </w:rPr>
        <w:footnoteReference w:id="99"/>
      </w:r>
      <w:r w:rsidRPr="005D40D4">
        <w:rPr>
          <w:lang w:val="fr-FR"/>
        </w:rPr>
        <w:t xml:space="preserve"> afin de faire fructifier le patrimoine de la famille en créant une entreprise. Par ailleurs, le jugement rendu par le tribunal de première instance de Casablanca en avril 2016 (n</w:t>
      </w:r>
      <w:r w:rsidRPr="005D40D4">
        <w:rPr>
          <w:vertAlign w:val="superscript"/>
          <w:lang w:val="fr-FR"/>
        </w:rPr>
        <w:t>o</w:t>
      </w:r>
      <w:r w:rsidRPr="005D40D4">
        <w:rPr>
          <w:lang w:val="fr-FR"/>
        </w:rPr>
        <w:t xml:space="preserve"> 98-685/4) a affirmé que le travail quotidien de l</w:t>
      </w:r>
      <w:r w:rsidR="00F1794C" w:rsidRPr="00F1794C">
        <w:rPr>
          <w:lang w:val="fr-FR"/>
        </w:rPr>
        <w:t>’</w:t>
      </w:r>
      <w:r w:rsidRPr="005D40D4">
        <w:rPr>
          <w:lang w:val="fr-FR"/>
        </w:rPr>
        <w:t>épouse, même lorsqu</w:t>
      </w:r>
      <w:r w:rsidR="00F1794C" w:rsidRPr="00F1794C">
        <w:rPr>
          <w:lang w:val="fr-FR"/>
        </w:rPr>
        <w:t>’</w:t>
      </w:r>
      <w:r w:rsidRPr="005D40D4">
        <w:rPr>
          <w:lang w:val="fr-FR"/>
        </w:rPr>
        <w:t>il est effectué au domicile, constitue une contribution productive, étant entendu que le contrat de mariage n</w:t>
      </w:r>
      <w:r w:rsidR="00F1794C" w:rsidRPr="00F1794C">
        <w:rPr>
          <w:lang w:val="fr-FR"/>
        </w:rPr>
        <w:t>’</w:t>
      </w:r>
      <w:r w:rsidRPr="005D40D4">
        <w:rPr>
          <w:lang w:val="fr-FR"/>
        </w:rPr>
        <w:t>oblige pas l</w:t>
      </w:r>
      <w:r w:rsidR="00F1794C" w:rsidRPr="00F1794C">
        <w:rPr>
          <w:lang w:val="fr-FR"/>
        </w:rPr>
        <w:t>’</w:t>
      </w:r>
      <w:r w:rsidRPr="005D40D4">
        <w:rPr>
          <w:lang w:val="fr-FR"/>
        </w:rPr>
        <w:t xml:space="preserve">épouse à effectuer des tâches ménagères. </w:t>
      </w:r>
    </w:p>
    <w:p w14:paraId="05AACB4A" w14:textId="66D9D31A" w:rsidR="005D40D4" w:rsidRPr="005D40D4" w:rsidRDefault="005D40D4" w:rsidP="00456FC2">
      <w:pPr>
        <w:pStyle w:val="SingleTxt"/>
        <w:numPr>
          <w:ilvl w:val="0"/>
          <w:numId w:val="50"/>
        </w:numPr>
        <w:rPr>
          <w:lang w:val="fr-FR"/>
        </w:rPr>
      </w:pPr>
      <w:r w:rsidRPr="005D40D4">
        <w:rPr>
          <w:lang w:val="fr-FR"/>
        </w:rPr>
        <w:t>Afin de promouvoir l</w:t>
      </w:r>
      <w:r w:rsidR="00F1794C" w:rsidRPr="00F1794C">
        <w:rPr>
          <w:lang w:val="fr-FR"/>
        </w:rPr>
        <w:t>’</w:t>
      </w:r>
      <w:r w:rsidRPr="005D40D4">
        <w:rPr>
          <w:lang w:val="fr-FR"/>
        </w:rPr>
        <w:t>égalité de droits au sein de la famille, un programme de promotion des services de médiation familiale a été élaboré afin de gérer les conflits familiaux avant de saisir les tribunaux. Ce programme vise à renforcer la prise de conscience de l</w:t>
      </w:r>
      <w:r w:rsidR="00F1794C" w:rsidRPr="00F1794C">
        <w:rPr>
          <w:lang w:val="fr-FR"/>
        </w:rPr>
        <w:t>’</w:t>
      </w:r>
      <w:r w:rsidRPr="005D40D4">
        <w:rPr>
          <w:lang w:val="fr-FR"/>
        </w:rPr>
        <w:t>importance de la médiation familiale, à définir des techniques professionnelles de la pratique de la médiation, à fournir des services d</w:t>
      </w:r>
      <w:r w:rsidR="00F1794C" w:rsidRPr="00F1794C">
        <w:rPr>
          <w:lang w:val="fr-FR"/>
        </w:rPr>
        <w:t>’</w:t>
      </w:r>
      <w:r w:rsidRPr="005D40D4">
        <w:rPr>
          <w:lang w:val="fr-FR"/>
        </w:rPr>
        <w:t>orientation pour préserver la cohésion familiale, à appuyer la création et la généralisation de centres de médiation familiale et à promouvoir le partenariat avec les associations œuvrant dans ce domaine. À cet égard, en 2014, 15 projets d</w:t>
      </w:r>
      <w:r w:rsidR="00F1794C" w:rsidRPr="00F1794C">
        <w:rPr>
          <w:lang w:val="fr-FR"/>
        </w:rPr>
        <w:t>’</w:t>
      </w:r>
      <w:r w:rsidRPr="005D40D4">
        <w:rPr>
          <w:lang w:val="fr-FR"/>
        </w:rPr>
        <w:t>associations spécialisées dans la médiation familiale ont bénéficié d</w:t>
      </w:r>
      <w:r w:rsidR="00F1794C" w:rsidRPr="00F1794C">
        <w:rPr>
          <w:lang w:val="fr-FR"/>
        </w:rPr>
        <w:t>’</w:t>
      </w:r>
      <w:r w:rsidRPr="005D40D4">
        <w:rPr>
          <w:lang w:val="fr-FR"/>
        </w:rPr>
        <w:t>un montant total de 2 536 600,00 dirhams et, en 2015, une enveloppe budgétaire totale de 15 412 977 dirhams a été allouée à 43</w:t>
      </w:r>
      <w:r w:rsidR="000E0CA0">
        <w:rPr>
          <w:lang w:val="fr-FR"/>
        </w:rPr>
        <w:t> </w:t>
      </w:r>
      <w:r w:rsidRPr="005D40D4">
        <w:rPr>
          <w:lang w:val="fr-FR"/>
        </w:rPr>
        <w:t xml:space="preserve">projets relatifs à des centres de médiation familiale. </w:t>
      </w:r>
    </w:p>
    <w:p w14:paraId="04457A14" w14:textId="20B6AA29" w:rsidR="005D40D4" w:rsidRPr="005D40D4" w:rsidRDefault="005D40D4" w:rsidP="00456FC2">
      <w:pPr>
        <w:pStyle w:val="SingleTxt"/>
        <w:numPr>
          <w:ilvl w:val="0"/>
          <w:numId w:val="50"/>
        </w:numPr>
        <w:rPr>
          <w:lang w:val="fr-FR"/>
        </w:rPr>
      </w:pPr>
      <w:r w:rsidRPr="005D40D4">
        <w:rPr>
          <w:lang w:val="fr-FR"/>
        </w:rPr>
        <w:t>En application des dispositions de la Constitution, la loi relative au Conseil consultatif de la famille et de l</w:t>
      </w:r>
      <w:r w:rsidR="00F1794C" w:rsidRPr="00F1794C">
        <w:rPr>
          <w:lang w:val="fr-FR"/>
        </w:rPr>
        <w:t>’</w:t>
      </w:r>
      <w:r w:rsidRPr="005D40D4">
        <w:rPr>
          <w:lang w:val="fr-FR"/>
        </w:rPr>
        <w:t>enfance a été promulguée</w:t>
      </w:r>
      <w:r w:rsidRPr="00FA086B">
        <w:rPr>
          <w:vertAlign w:val="superscript"/>
          <w:lang w:val="fr-FR"/>
        </w:rPr>
        <w:footnoteReference w:id="100"/>
      </w:r>
      <w:r w:rsidRPr="005D40D4">
        <w:rPr>
          <w:lang w:val="fr-FR"/>
        </w:rPr>
        <w:t>. Une démarche participative a été adoptée afin d</w:t>
      </w:r>
      <w:r w:rsidR="00F1794C" w:rsidRPr="00F1794C">
        <w:rPr>
          <w:lang w:val="fr-FR"/>
        </w:rPr>
        <w:t>’</w:t>
      </w:r>
      <w:r w:rsidRPr="005D40D4">
        <w:rPr>
          <w:lang w:val="fr-FR"/>
        </w:rPr>
        <w:t>assurer un contrôle et un suivi de la situation de la famille et de l</w:t>
      </w:r>
      <w:r w:rsidR="00F1794C" w:rsidRPr="00F1794C">
        <w:rPr>
          <w:lang w:val="fr-FR"/>
        </w:rPr>
        <w:t>’</w:t>
      </w:r>
      <w:r w:rsidRPr="005D40D4">
        <w:rPr>
          <w:lang w:val="fr-FR"/>
        </w:rPr>
        <w:t>enfance sur les plans social et économique et en matière de droits. On veille également à ce que les programmes nationaux relatifs à la famille et à l</w:t>
      </w:r>
      <w:r w:rsidR="00F1794C" w:rsidRPr="00F1794C">
        <w:rPr>
          <w:lang w:val="fr-FR"/>
        </w:rPr>
        <w:t>’</w:t>
      </w:r>
      <w:r w:rsidRPr="005D40D4">
        <w:rPr>
          <w:lang w:val="fr-FR"/>
        </w:rPr>
        <w:t>enfance correspondent aux obligations internationales du Maroc. De plus, le Conseil est chargé d</w:t>
      </w:r>
      <w:r w:rsidR="00F1794C" w:rsidRPr="00F1794C">
        <w:rPr>
          <w:lang w:val="fr-FR"/>
        </w:rPr>
        <w:t>’</w:t>
      </w:r>
      <w:r w:rsidRPr="005D40D4">
        <w:rPr>
          <w:lang w:val="fr-FR"/>
        </w:rPr>
        <w:t>émettre des avis sur les plans nationaux relatifs à ces domaines, d</w:t>
      </w:r>
      <w:r w:rsidR="00F1794C" w:rsidRPr="00F1794C">
        <w:rPr>
          <w:lang w:val="fr-FR"/>
        </w:rPr>
        <w:t>’</w:t>
      </w:r>
      <w:r w:rsidRPr="005D40D4">
        <w:rPr>
          <w:lang w:val="fr-FR"/>
        </w:rPr>
        <w:t>enrichir le débat public relatif à la politique publique concernant la famille et l</w:t>
      </w:r>
      <w:r w:rsidR="00F1794C" w:rsidRPr="00F1794C">
        <w:rPr>
          <w:lang w:val="fr-FR"/>
        </w:rPr>
        <w:t>’</w:t>
      </w:r>
      <w:r w:rsidRPr="005D40D4">
        <w:rPr>
          <w:lang w:val="fr-FR"/>
        </w:rPr>
        <w:t xml:space="preserve">enfance et de veiller à ce que les différents secteurs, structures et organismes concernés exécutent les programmes nationaux. </w:t>
      </w:r>
    </w:p>
    <w:p w14:paraId="786905F8" w14:textId="4D848527" w:rsidR="005D40D4" w:rsidRPr="000E0CA0" w:rsidRDefault="005D40D4" w:rsidP="000E0CA0">
      <w:pPr>
        <w:pStyle w:val="SingleTxt"/>
        <w:spacing w:after="0" w:line="120" w:lineRule="exact"/>
        <w:rPr>
          <w:b/>
          <w:sz w:val="10"/>
          <w:lang w:val="fr-FR"/>
        </w:rPr>
      </w:pPr>
    </w:p>
    <w:p w14:paraId="7016FE91" w14:textId="52A856A4" w:rsidR="005D40D4" w:rsidRPr="005D40D4" w:rsidRDefault="000E0CA0" w:rsidP="000E0CA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5D40D4" w:rsidRPr="005D40D4">
        <w:rPr>
          <w:lang w:val="fr-FR"/>
        </w:rPr>
        <w:t>Lutte contre la violence à l</w:t>
      </w:r>
      <w:r w:rsidR="00F1794C" w:rsidRPr="00F1794C">
        <w:rPr>
          <w:lang w:val="fr-FR"/>
        </w:rPr>
        <w:t>’</w:t>
      </w:r>
      <w:r w:rsidR="005D40D4" w:rsidRPr="005D40D4">
        <w:rPr>
          <w:lang w:val="fr-FR"/>
        </w:rPr>
        <w:t>égard des femmes</w:t>
      </w:r>
    </w:p>
    <w:p w14:paraId="3D30F8A3" w14:textId="1F10AB32" w:rsidR="005D40D4" w:rsidRPr="000E0CA0" w:rsidRDefault="005D40D4" w:rsidP="000E0CA0">
      <w:pPr>
        <w:pStyle w:val="SingleTxt"/>
        <w:spacing w:after="0" w:line="120" w:lineRule="exact"/>
        <w:rPr>
          <w:sz w:val="10"/>
          <w:lang w:val="fr-FR"/>
        </w:rPr>
      </w:pPr>
    </w:p>
    <w:p w14:paraId="1ABF57B7" w14:textId="3C0B0493" w:rsidR="005D40D4" w:rsidRPr="005D40D4" w:rsidRDefault="005D40D4" w:rsidP="00456FC2">
      <w:pPr>
        <w:pStyle w:val="SingleTxt"/>
        <w:numPr>
          <w:ilvl w:val="0"/>
          <w:numId w:val="50"/>
        </w:numPr>
        <w:rPr>
          <w:lang w:val="fr-FR"/>
        </w:rPr>
      </w:pPr>
      <w:r w:rsidRPr="005D40D4">
        <w:rPr>
          <w:lang w:val="fr-FR"/>
        </w:rPr>
        <w:t>Concernant les recommandations figurant aux paragraphes 17 et 21 des observations finales, le Royaume du Maroc s</w:t>
      </w:r>
      <w:r w:rsidR="00F1794C" w:rsidRPr="00F1794C">
        <w:rPr>
          <w:lang w:val="fr-FR"/>
        </w:rPr>
        <w:t>’</w:t>
      </w:r>
      <w:r w:rsidRPr="005D40D4">
        <w:rPr>
          <w:lang w:val="fr-FR"/>
        </w:rPr>
        <w:t>est engagé très tôt dans la lutte contre la violence à l</w:t>
      </w:r>
      <w:r w:rsidR="00F1794C" w:rsidRPr="00F1794C">
        <w:rPr>
          <w:lang w:val="fr-FR"/>
        </w:rPr>
        <w:t>’</w:t>
      </w:r>
      <w:r w:rsidRPr="005D40D4">
        <w:rPr>
          <w:lang w:val="fr-FR"/>
        </w:rPr>
        <w:t xml:space="preserve">égard des femmes et des filles. Le programme Tamkine (2008-2012) </w:t>
      </w:r>
      <w:r w:rsidRPr="005D40D4">
        <w:rPr>
          <w:lang w:val="fr-FR"/>
        </w:rPr>
        <w:lastRenderedPageBreak/>
        <w:t>est un programme multisectoriel de lutte contre la violence fondée sur le genre</w:t>
      </w:r>
      <w:r w:rsidR="00F1794C" w:rsidRPr="00F1794C">
        <w:rPr>
          <w:lang w:val="fr-FR"/>
        </w:rPr>
        <w:t xml:space="preserve"> </w:t>
      </w:r>
      <w:r w:rsidRPr="005D40D4">
        <w:rPr>
          <w:lang w:val="fr-FR"/>
        </w:rPr>
        <w:t>par l</w:t>
      </w:r>
      <w:r w:rsidR="00F1794C" w:rsidRPr="00F1794C">
        <w:rPr>
          <w:lang w:val="fr-FR"/>
        </w:rPr>
        <w:t>’</w:t>
      </w:r>
      <w:r w:rsidRPr="005D40D4">
        <w:rPr>
          <w:lang w:val="fr-FR"/>
        </w:rPr>
        <w:t>autonomisation des femmes et des filles victimes de violence. Il propose des services aux femmes et filles victimes de violence et constitue un modèle de partenariat multipartite</w:t>
      </w:r>
      <w:r w:rsidRPr="00FA086B">
        <w:rPr>
          <w:vertAlign w:val="superscript"/>
          <w:lang w:val="fr-FR"/>
        </w:rPr>
        <w:footnoteReference w:id="101"/>
      </w:r>
      <w:r w:rsidRPr="005D40D4">
        <w:rPr>
          <w:lang w:val="fr-FR"/>
        </w:rPr>
        <w:t xml:space="preserve">. </w:t>
      </w:r>
    </w:p>
    <w:p w14:paraId="3994BA6F" w14:textId="32347258" w:rsidR="005D40D4" w:rsidRPr="005D40D4" w:rsidRDefault="005D40D4" w:rsidP="00456FC2">
      <w:pPr>
        <w:pStyle w:val="SingleTxt"/>
        <w:numPr>
          <w:ilvl w:val="0"/>
          <w:numId w:val="50"/>
        </w:numPr>
        <w:rPr>
          <w:lang w:val="fr-FR"/>
        </w:rPr>
      </w:pPr>
      <w:r w:rsidRPr="005D40D4">
        <w:rPr>
          <w:lang w:val="fr-FR"/>
        </w:rPr>
        <w:t>Le Ministère de la solidarité, du développement social, de l</w:t>
      </w:r>
      <w:r w:rsidR="00F1794C" w:rsidRPr="00F1794C">
        <w:rPr>
          <w:lang w:val="fr-FR"/>
        </w:rPr>
        <w:t>’</w:t>
      </w:r>
      <w:r w:rsidRPr="005D40D4">
        <w:rPr>
          <w:lang w:val="fr-FR"/>
        </w:rPr>
        <w:t>égalité et de la famille a élaboré le projet de loi n</w:t>
      </w:r>
      <w:r w:rsidR="000E0CA0">
        <w:rPr>
          <w:vertAlign w:val="superscript"/>
          <w:lang w:val="fr-FR"/>
        </w:rPr>
        <w:t>o</w:t>
      </w:r>
      <w:r w:rsidRPr="005D40D4">
        <w:rPr>
          <w:lang w:val="fr-FR"/>
        </w:rPr>
        <w:t xml:space="preserve"> 103-13 relative à la lutte contre les violences faites aux femmes selon une approche participative faisant intervenir les différents acteurs. La loi a été publiée au Bulletin officiel le 12 mars 2018</w:t>
      </w:r>
      <w:r w:rsidRPr="00FA086B">
        <w:rPr>
          <w:vertAlign w:val="superscript"/>
          <w:lang w:val="fr-FR"/>
        </w:rPr>
        <w:footnoteReference w:id="102"/>
      </w:r>
      <w:r w:rsidRPr="005D40D4">
        <w:rPr>
          <w:lang w:val="fr-FR"/>
        </w:rPr>
        <w:t>. Elle est fondée sur les principes de base ci-après, en vue de lutter contre ce phénomène</w:t>
      </w:r>
      <w:r w:rsidR="00F1794C" w:rsidRPr="00F1794C">
        <w:rPr>
          <w:lang w:val="fr-FR"/>
        </w:rPr>
        <w:t> :</w:t>
      </w:r>
      <w:r w:rsidRPr="005D40D4">
        <w:rPr>
          <w:lang w:val="fr-FR"/>
        </w:rPr>
        <w:t xml:space="preserve"> éloignement des auteurs d</w:t>
      </w:r>
      <w:r w:rsidR="00F1794C" w:rsidRPr="00F1794C">
        <w:rPr>
          <w:lang w:val="fr-FR"/>
        </w:rPr>
        <w:t>’</w:t>
      </w:r>
      <w:r w:rsidRPr="005D40D4">
        <w:rPr>
          <w:lang w:val="fr-FR"/>
        </w:rPr>
        <w:t>actes de violence, prévention de la violence, protection des victimes de la violence et prise en charge des victimes. Un ensemble de dispositions juridiques ont trait à la protection des femmes contre la violence, notamment les suivantes</w:t>
      </w:r>
      <w:r w:rsidR="00F1794C" w:rsidRPr="00F1794C">
        <w:rPr>
          <w:lang w:val="fr-FR"/>
        </w:rPr>
        <w:t> :</w:t>
      </w:r>
    </w:p>
    <w:p w14:paraId="19C0FB95" w14:textId="3C1E36B5" w:rsidR="005D40D4" w:rsidRPr="000E0CA0" w:rsidRDefault="000E0CA0" w:rsidP="000E0CA0">
      <w:pPr>
        <w:pStyle w:val="SingleTxt"/>
        <w:tabs>
          <w:tab w:val="right" w:pos="1685"/>
        </w:tabs>
        <w:ind w:left="1742" w:hanging="475"/>
        <w:rPr>
          <w:lang w:val="fr-FR"/>
        </w:rPr>
      </w:pPr>
      <w:r>
        <w:rPr>
          <w:lang w:val="fr-FR"/>
        </w:rPr>
        <w:tab/>
        <w:t>•</w:t>
      </w:r>
      <w:r>
        <w:rPr>
          <w:lang w:val="fr-FR"/>
        </w:rPr>
        <w:tab/>
      </w:r>
      <w:r w:rsidR="005D40D4" w:rsidRPr="000E0CA0">
        <w:rPr>
          <w:lang w:val="fr-FR"/>
        </w:rPr>
        <w:t>un cadre conceptuel précis a été établi afin d</w:t>
      </w:r>
      <w:r w:rsidR="00F1794C" w:rsidRPr="000E0CA0">
        <w:rPr>
          <w:lang w:val="fr-FR"/>
        </w:rPr>
        <w:t>’</w:t>
      </w:r>
      <w:r w:rsidR="005D40D4" w:rsidRPr="000E0CA0">
        <w:rPr>
          <w:lang w:val="fr-FR"/>
        </w:rPr>
        <w:t>aider les intervenants à repérer et recenser les actes et les comportements caractéristiques de la violence à l</w:t>
      </w:r>
      <w:r w:rsidR="00F1794C" w:rsidRPr="000E0CA0">
        <w:rPr>
          <w:lang w:val="fr-FR"/>
        </w:rPr>
        <w:t>’</w:t>
      </w:r>
      <w:r w:rsidR="005D40D4" w:rsidRPr="000E0CA0">
        <w:rPr>
          <w:lang w:val="fr-FR"/>
        </w:rPr>
        <w:t>égard des femmes et définit la notion de violence et de ses différentes formes</w:t>
      </w:r>
      <w:r w:rsidR="005D40D4" w:rsidRPr="00FA086B">
        <w:rPr>
          <w:vertAlign w:val="superscript"/>
          <w:lang w:val="fr-FR"/>
        </w:rPr>
        <w:footnoteReference w:id="103"/>
      </w:r>
      <w:r w:rsidR="00F1794C" w:rsidRPr="000E0CA0">
        <w:rPr>
          <w:lang w:val="fr-FR"/>
        </w:rPr>
        <w:t> ;</w:t>
      </w:r>
    </w:p>
    <w:p w14:paraId="1B805301" w14:textId="37BE9BF4" w:rsidR="005D40D4" w:rsidRPr="000E0CA0" w:rsidRDefault="000E0CA0" w:rsidP="000E0CA0">
      <w:pPr>
        <w:pStyle w:val="SingleTxt"/>
        <w:tabs>
          <w:tab w:val="right" w:pos="1685"/>
        </w:tabs>
        <w:ind w:left="1742" w:hanging="475"/>
        <w:rPr>
          <w:lang w:val="fr-FR"/>
        </w:rPr>
      </w:pPr>
      <w:r>
        <w:rPr>
          <w:lang w:val="fr-FR"/>
        </w:rPr>
        <w:tab/>
        <w:t>•</w:t>
      </w:r>
      <w:r>
        <w:rPr>
          <w:lang w:val="fr-FR"/>
        </w:rPr>
        <w:tab/>
      </w:r>
      <w:r w:rsidR="005D40D4" w:rsidRPr="000E0CA0">
        <w:rPr>
          <w:lang w:val="fr-FR"/>
        </w:rPr>
        <w:t>certains actes ont été érigés en infraction car ils sont considérés comme des actes de violence portant atteinte aux femmes tels que l</w:t>
      </w:r>
      <w:r w:rsidR="00F1794C" w:rsidRPr="000E0CA0">
        <w:rPr>
          <w:lang w:val="fr-FR"/>
        </w:rPr>
        <w:t>’</w:t>
      </w:r>
      <w:r w:rsidR="005D40D4" w:rsidRPr="000E0CA0">
        <w:rPr>
          <w:lang w:val="fr-FR"/>
        </w:rPr>
        <w:t>interdiction pour l</w:t>
      </w:r>
      <w:r w:rsidR="00F1794C" w:rsidRPr="000E0CA0">
        <w:rPr>
          <w:lang w:val="fr-FR"/>
        </w:rPr>
        <w:t>’</w:t>
      </w:r>
      <w:r w:rsidR="005D40D4" w:rsidRPr="000E0CA0">
        <w:rPr>
          <w:lang w:val="fr-FR"/>
        </w:rPr>
        <w:t>épouse expulsée de retourner dans le foyer conjugal, le mariage forcé, les atteintes portées à l</w:t>
      </w:r>
      <w:r w:rsidR="00F1794C" w:rsidRPr="000E0CA0">
        <w:rPr>
          <w:lang w:val="fr-FR"/>
        </w:rPr>
        <w:t>’</w:t>
      </w:r>
      <w:r w:rsidR="005D40D4" w:rsidRPr="000E0CA0">
        <w:rPr>
          <w:lang w:val="fr-FR"/>
        </w:rPr>
        <w:t>intégrité physique de la femme, la dilapidation de l</w:t>
      </w:r>
      <w:r w:rsidR="00F1794C" w:rsidRPr="000E0CA0">
        <w:rPr>
          <w:lang w:val="fr-FR"/>
        </w:rPr>
        <w:t>’</w:t>
      </w:r>
      <w:r w:rsidR="005D40D4" w:rsidRPr="000E0CA0">
        <w:rPr>
          <w:lang w:val="fr-FR"/>
        </w:rPr>
        <w:t>argent de la famille ou l</w:t>
      </w:r>
      <w:r w:rsidR="00F1794C" w:rsidRPr="000E0CA0">
        <w:rPr>
          <w:lang w:val="fr-FR"/>
        </w:rPr>
        <w:t>’</w:t>
      </w:r>
      <w:r w:rsidR="005D40D4" w:rsidRPr="000E0CA0">
        <w:rPr>
          <w:lang w:val="fr-FR"/>
        </w:rPr>
        <w:t>aliénation de cet argent de mauvaise foi</w:t>
      </w:r>
      <w:r w:rsidR="00F1794C" w:rsidRPr="000E0CA0">
        <w:rPr>
          <w:lang w:val="fr-FR"/>
        </w:rPr>
        <w:t> ;</w:t>
      </w:r>
    </w:p>
    <w:p w14:paraId="24FD18F8" w14:textId="35EBBC3F" w:rsidR="005D40D4" w:rsidRPr="000E0CA0" w:rsidRDefault="000E0CA0" w:rsidP="000E0CA0">
      <w:pPr>
        <w:pStyle w:val="SingleTxt"/>
        <w:tabs>
          <w:tab w:val="right" w:pos="1685"/>
        </w:tabs>
        <w:ind w:left="1742" w:hanging="475"/>
        <w:rPr>
          <w:lang w:val="fr-FR"/>
        </w:rPr>
      </w:pPr>
      <w:r>
        <w:rPr>
          <w:lang w:val="fr-FR"/>
        </w:rPr>
        <w:tab/>
        <w:t>•</w:t>
      </w:r>
      <w:r>
        <w:rPr>
          <w:lang w:val="fr-FR"/>
        </w:rPr>
        <w:tab/>
      </w:r>
      <w:r w:rsidR="005D40D4" w:rsidRPr="000E0CA0">
        <w:rPr>
          <w:lang w:val="fr-FR"/>
        </w:rPr>
        <w:t>le harcèlement sexuel a été érigé en infraction</w:t>
      </w:r>
      <w:r w:rsidR="00F1794C" w:rsidRPr="000E0CA0">
        <w:rPr>
          <w:lang w:val="fr-FR"/>
        </w:rPr>
        <w:t> ;</w:t>
      </w:r>
      <w:r w:rsidR="005D40D4" w:rsidRPr="000E0CA0">
        <w:rPr>
          <w:lang w:val="fr-FR"/>
        </w:rPr>
        <w:t xml:space="preserve"> de lourdes sanctions sont prévues si un tel acte est commis dans des circonstances spécifiques et par certains types de personnes, tel un des ascendants ou proches, un collègue de travail ou une personne chargée du maintien de l</w:t>
      </w:r>
      <w:r w:rsidR="00F1794C" w:rsidRPr="000E0CA0">
        <w:rPr>
          <w:lang w:val="fr-FR"/>
        </w:rPr>
        <w:t>’</w:t>
      </w:r>
      <w:r w:rsidR="005D40D4" w:rsidRPr="000E0CA0">
        <w:rPr>
          <w:lang w:val="fr-FR"/>
        </w:rPr>
        <w:t>ordre</w:t>
      </w:r>
      <w:r w:rsidR="00F1794C" w:rsidRPr="000E0CA0">
        <w:rPr>
          <w:lang w:val="fr-FR"/>
        </w:rPr>
        <w:t> ;</w:t>
      </w:r>
    </w:p>
    <w:p w14:paraId="1CB3A023" w14:textId="66E33817" w:rsidR="005D40D4" w:rsidRPr="000E0CA0" w:rsidRDefault="000E0CA0" w:rsidP="000E0CA0">
      <w:pPr>
        <w:pStyle w:val="SingleTxt"/>
        <w:tabs>
          <w:tab w:val="right" w:pos="1685"/>
        </w:tabs>
        <w:ind w:left="1742" w:hanging="475"/>
        <w:rPr>
          <w:lang w:val="fr-FR"/>
        </w:rPr>
      </w:pPr>
      <w:r>
        <w:rPr>
          <w:lang w:val="fr-FR"/>
        </w:rPr>
        <w:tab/>
        <w:t>•</w:t>
      </w:r>
      <w:r>
        <w:rPr>
          <w:lang w:val="fr-FR"/>
        </w:rPr>
        <w:tab/>
      </w:r>
      <w:r w:rsidR="005D40D4" w:rsidRPr="000E0CA0">
        <w:rPr>
          <w:lang w:val="fr-FR"/>
        </w:rPr>
        <w:t>des sanctions plus sévères ont été prévus pour certains actes commis contre des femmes en situation particulière, notamment la violence à l</w:t>
      </w:r>
      <w:r w:rsidR="00F1794C" w:rsidRPr="000E0CA0">
        <w:rPr>
          <w:lang w:val="fr-FR"/>
        </w:rPr>
        <w:t>’</w:t>
      </w:r>
      <w:r w:rsidR="005D40D4" w:rsidRPr="000E0CA0">
        <w:rPr>
          <w:lang w:val="fr-FR"/>
        </w:rPr>
        <w:t>égard d</w:t>
      </w:r>
      <w:r w:rsidR="00F1794C" w:rsidRPr="000E0CA0">
        <w:rPr>
          <w:lang w:val="fr-FR"/>
        </w:rPr>
        <w:t>’</w:t>
      </w:r>
      <w:r w:rsidR="005D40D4" w:rsidRPr="000E0CA0">
        <w:rPr>
          <w:lang w:val="fr-FR"/>
        </w:rPr>
        <w:t>une femme en situation de handicap, d</w:t>
      </w:r>
      <w:r w:rsidR="00F1794C" w:rsidRPr="000E0CA0">
        <w:rPr>
          <w:lang w:val="fr-FR"/>
        </w:rPr>
        <w:t>’</w:t>
      </w:r>
      <w:r w:rsidR="005D40D4" w:rsidRPr="000E0CA0">
        <w:rPr>
          <w:lang w:val="fr-FR"/>
        </w:rPr>
        <w:t>une mineure, d</w:t>
      </w:r>
      <w:r w:rsidR="00F1794C" w:rsidRPr="000E0CA0">
        <w:rPr>
          <w:lang w:val="fr-FR"/>
        </w:rPr>
        <w:t>’</w:t>
      </w:r>
      <w:r w:rsidR="005D40D4" w:rsidRPr="000E0CA0">
        <w:rPr>
          <w:lang w:val="fr-FR"/>
        </w:rPr>
        <w:t>une femme enceinte, d</w:t>
      </w:r>
      <w:r w:rsidR="00F1794C" w:rsidRPr="000E0CA0">
        <w:rPr>
          <w:lang w:val="fr-FR"/>
        </w:rPr>
        <w:t>’</w:t>
      </w:r>
      <w:r w:rsidR="005D40D4" w:rsidRPr="000E0CA0">
        <w:rPr>
          <w:lang w:val="fr-FR"/>
        </w:rPr>
        <w:t>une épouse ou d</w:t>
      </w:r>
      <w:r w:rsidR="00F1794C" w:rsidRPr="000E0CA0">
        <w:rPr>
          <w:lang w:val="fr-FR"/>
        </w:rPr>
        <w:t>’</w:t>
      </w:r>
      <w:r w:rsidR="005D40D4" w:rsidRPr="000E0CA0">
        <w:rPr>
          <w:lang w:val="fr-FR"/>
        </w:rPr>
        <w:t>une femme divorcée en présence des enfants ou des parents</w:t>
      </w:r>
      <w:r w:rsidR="00F1794C" w:rsidRPr="000E0CA0">
        <w:rPr>
          <w:lang w:val="fr-FR"/>
        </w:rPr>
        <w:t> ;</w:t>
      </w:r>
    </w:p>
    <w:p w14:paraId="3213217A" w14:textId="7AB2B98A" w:rsidR="005D40D4" w:rsidRPr="000E0CA0" w:rsidRDefault="000E0CA0" w:rsidP="000E0CA0">
      <w:pPr>
        <w:pStyle w:val="SingleTxt"/>
        <w:tabs>
          <w:tab w:val="right" w:pos="1685"/>
        </w:tabs>
        <w:ind w:left="1742" w:hanging="475"/>
        <w:rPr>
          <w:lang w:val="fr-FR"/>
        </w:rPr>
      </w:pPr>
      <w:r>
        <w:rPr>
          <w:lang w:val="fr-FR"/>
        </w:rPr>
        <w:tab/>
        <w:t>•</w:t>
      </w:r>
      <w:r>
        <w:rPr>
          <w:lang w:val="fr-FR"/>
        </w:rPr>
        <w:tab/>
      </w:r>
      <w:r w:rsidR="005D40D4" w:rsidRPr="000E0CA0">
        <w:rPr>
          <w:lang w:val="fr-FR"/>
        </w:rPr>
        <w:t>de nouvelles mesures de protection ont été prises telles que l</w:t>
      </w:r>
      <w:r w:rsidR="00F1794C" w:rsidRPr="000E0CA0">
        <w:rPr>
          <w:lang w:val="fr-FR"/>
        </w:rPr>
        <w:t>’</w:t>
      </w:r>
      <w:r w:rsidR="005D40D4" w:rsidRPr="000E0CA0">
        <w:rPr>
          <w:lang w:val="fr-FR"/>
        </w:rPr>
        <w:t>éloignement de l</w:t>
      </w:r>
      <w:r w:rsidR="00F1794C" w:rsidRPr="000E0CA0">
        <w:rPr>
          <w:lang w:val="fr-FR"/>
        </w:rPr>
        <w:t>’</w:t>
      </w:r>
      <w:r w:rsidR="005D40D4" w:rsidRPr="000E0CA0">
        <w:rPr>
          <w:lang w:val="fr-FR"/>
        </w:rPr>
        <w:t>époux maltraitant, qui doit s</w:t>
      </w:r>
      <w:r w:rsidR="00F1794C" w:rsidRPr="000E0CA0">
        <w:rPr>
          <w:lang w:val="fr-FR"/>
        </w:rPr>
        <w:t>’</w:t>
      </w:r>
      <w:r w:rsidR="005D40D4" w:rsidRPr="000E0CA0">
        <w:rPr>
          <w:lang w:val="fr-FR"/>
        </w:rPr>
        <w:t>engager à ne pas commettre d</w:t>
      </w:r>
      <w:r w:rsidR="00F1794C" w:rsidRPr="000E0CA0">
        <w:rPr>
          <w:lang w:val="fr-FR"/>
        </w:rPr>
        <w:t>’</w:t>
      </w:r>
      <w:r w:rsidR="005D40D4" w:rsidRPr="000E0CA0">
        <w:rPr>
          <w:lang w:val="fr-FR"/>
        </w:rPr>
        <w:t>agression lorsqu</w:t>
      </w:r>
      <w:r w:rsidR="00F1794C" w:rsidRPr="000E0CA0">
        <w:rPr>
          <w:lang w:val="fr-FR"/>
        </w:rPr>
        <w:t>’</w:t>
      </w:r>
      <w:r w:rsidR="005D40D4" w:rsidRPr="000E0CA0">
        <w:rPr>
          <w:lang w:val="fr-FR"/>
        </w:rPr>
        <w:t>un tel risque existe</w:t>
      </w:r>
      <w:r w:rsidR="00F1794C" w:rsidRPr="000E0CA0">
        <w:rPr>
          <w:lang w:val="fr-FR"/>
        </w:rPr>
        <w:t> ;</w:t>
      </w:r>
      <w:r w:rsidR="005D40D4" w:rsidRPr="000E0CA0">
        <w:rPr>
          <w:lang w:val="fr-FR"/>
        </w:rPr>
        <w:t xml:space="preserve"> le nourrisson et sa mère retrouvent leur domicile et il est interdit à l</w:t>
      </w:r>
      <w:r w:rsidR="00F1794C" w:rsidRPr="000E0CA0">
        <w:rPr>
          <w:lang w:val="fr-FR"/>
        </w:rPr>
        <w:t>’</w:t>
      </w:r>
      <w:r w:rsidR="005D40D4" w:rsidRPr="000E0CA0">
        <w:rPr>
          <w:lang w:val="fr-FR"/>
        </w:rPr>
        <w:t>auteur de s</w:t>
      </w:r>
      <w:r w:rsidR="00F1794C" w:rsidRPr="000E0CA0">
        <w:rPr>
          <w:lang w:val="fr-FR"/>
        </w:rPr>
        <w:t>’</w:t>
      </w:r>
      <w:r w:rsidR="005D40D4" w:rsidRPr="000E0CA0">
        <w:rPr>
          <w:lang w:val="fr-FR"/>
        </w:rPr>
        <w:t>approcher de la victime ou du domicile de cette dernière</w:t>
      </w:r>
      <w:r w:rsidR="00F1794C" w:rsidRPr="000E0CA0">
        <w:rPr>
          <w:lang w:val="fr-FR"/>
        </w:rPr>
        <w:t> ;</w:t>
      </w:r>
      <w:r w:rsidR="005D40D4" w:rsidRPr="000E0CA0">
        <w:rPr>
          <w:lang w:val="fr-FR"/>
        </w:rPr>
        <w:t xml:space="preserve"> l</w:t>
      </w:r>
      <w:r w:rsidR="00F1794C" w:rsidRPr="000E0CA0">
        <w:rPr>
          <w:lang w:val="fr-FR"/>
        </w:rPr>
        <w:t>’</w:t>
      </w:r>
      <w:r w:rsidR="005D40D4" w:rsidRPr="000E0CA0">
        <w:rPr>
          <w:lang w:val="fr-FR"/>
        </w:rPr>
        <w:t>auteur de l</w:t>
      </w:r>
      <w:r w:rsidR="00F1794C" w:rsidRPr="000E0CA0">
        <w:rPr>
          <w:lang w:val="fr-FR"/>
        </w:rPr>
        <w:t>’</w:t>
      </w:r>
      <w:r w:rsidR="005D40D4" w:rsidRPr="000E0CA0">
        <w:rPr>
          <w:lang w:val="fr-FR"/>
        </w:rPr>
        <w:t>acte de violence est informé qu</w:t>
      </w:r>
      <w:r w:rsidR="00F1794C" w:rsidRPr="000E0CA0">
        <w:rPr>
          <w:lang w:val="fr-FR"/>
        </w:rPr>
        <w:t>’</w:t>
      </w:r>
      <w:r w:rsidR="005D40D4" w:rsidRPr="000E0CA0">
        <w:rPr>
          <w:lang w:val="fr-FR"/>
        </w:rPr>
        <w:t>il lui est interdit d</w:t>
      </w:r>
      <w:r w:rsidR="00F1794C" w:rsidRPr="000E0CA0">
        <w:rPr>
          <w:lang w:val="fr-FR"/>
        </w:rPr>
        <w:t>’</w:t>
      </w:r>
      <w:r w:rsidR="005D40D4" w:rsidRPr="000E0CA0">
        <w:rPr>
          <w:lang w:val="fr-FR"/>
        </w:rPr>
        <w:t>utiliser l</w:t>
      </w:r>
      <w:r w:rsidR="00F1794C" w:rsidRPr="000E0CA0">
        <w:rPr>
          <w:lang w:val="fr-FR"/>
        </w:rPr>
        <w:t>’</w:t>
      </w:r>
      <w:r w:rsidR="005D40D4" w:rsidRPr="000E0CA0">
        <w:rPr>
          <w:lang w:val="fr-FR"/>
        </w:rPr>
        <w:t>argent déposé sur le compte conjoint</w:t>
      </w:r>
      <w:r w:rsidR="00F1794C" w:rsidRPr="000E0CA0">
        <w:rPr>
          <w:lang w:val="fr-FR"/>
        </w:rPr>
        <w:t> ;</w:t>
      </w:r>
    </w:p>
    <w:p w14:paraId="22F81918" w14:textId="2A2A32D7" w:rsidR="005D40D4" w:rsidRPr="000E0CA0" w:rsidRDefault="00802880" w:rsidP="000E0CA0">
      <w:pPr>
        <w:pStyle w:val="SingleTxt"/>
        <w:tabs>
          <w:tab w:val="right" w:pos="1685"/>
        </w:tabs>
        <w:ind w:left="1742" w:hanging="475"/>
        <w:rPr>
          <w:lang w:val="fr-FR"/>
        </w:rPr>
      </w:pPr>
      <w:r>
        <w:rPr>
          <w:lang w:val="fr-FR"/>
        </w:rPr>
        <w:tab/>
        <w:t>•</w:t>
      </w:r>
      <w:r>
        <w:rPr>
          <w:lang w:val="fr-FR"/>
        </w:rPr>
        <w:tab/>
      </w:r>
      <w:r w:rsidR="005D40D4" w:rsidRPr="000E0CA0">
        <w:rPr>
          <w:lang w:val="fr-FR"/>
        </w:rPr>
        <w:t>les mesures de protection doivent être prises immédiatement et des sanctions imposées si ces mesures ne sont pas respectées</w:t>
      </w:r>
      <w:r w:rsidR="00F1794C" w:rsidRPr="000E0CA0">
        <w:rPr>
          <w:lang w:val="fr-FR"/>
        </w:rPr>
        <w:t> ;</w:t>
      </w:r>
    </w:p>
    <w:p w14:paraId="22E7640B" w14:textId="27645A7C" w:rsidR="005D40D4" w:rsidRPr="000E0CA0" w:rsidRDefault="00802880" w:rsidP="000E0CA0">
      <w:pPr>
        <w:pStyle w:val="SingleTxt"/>
        <w:tabs>
          <w:tab w:val="right" w:pos="1685"/>
        </w:tabs>
        <w:ind w:left="1742" w:hanging="475"/>
        <w:rPr>
          <w:lang w:val="fr-FR"/>
        </w:rPr>
      </w:pPr>
      <w:r>
        <w:rPr>
          <w:lang w:val="fr-FR"/>
        </w:rPr>
        <w:tab/>
        <w:t>•</w:t>
      </w:r>
      <w:r>
        <w:rPr>
          <w:lang w:val="fr-FR"/>
        </w:rPr>
        <w:tab/>
      </w:r>
      <w:r w:rsidR="005D40D4" w:rsidRPr="000E0CA0">
        <w:rPr>
          <w:lang w:val="fr-FR"/>
        </w:rPr>
        <w:t>des cadres institutionnels ont été adoptés pour assurer la coordination entre les différents intervenants dans la lutte contre la violence à l</w:t>
      </w:r>
      <w:r w:rsidR="00F1794C" w:rsidRPr="000E0CA0">
        <w:rPr>
          <w:lang w:val="fr-FR"/>
        </w:rPr>
        <w:t>’</w:t>
      </w:r>
      <w:r w:rsidR="005D40D4" w:rsidRPr="000E0CA0">
        <w:rPr>
          <w:lang w:val="fr-FR"/>
        </w:rPr>
        <w:t>égard des femmes et la protection des femmes, dont les autorités judiciaires, la Sûreté nationale, la Gendarmerie royale et les départements ministériels concernés</w:t>
      </w:r>
      <w:r w:rsidR="00F1794C" w:rsidRPr="000E0CA0">
        <w:rPr>
          <w:lang w:val="fr-FR"/>
        </w:rPr>
        <w:t> ;</w:t>
      </w:r>
    </w:p>
    <w:p w14:paraId="21F5C7EC" w14:textId="0B5D42F5" w:rsidR="005D40D4" w:rsidRPr="000E0CA0" w:rsidRDefault="00802880" w:rsidP="000E0CA0">
      <w:pPr>
        <w:pStyle w:val="SingleTxt"/>
        <w:tabs>
          <w:tab w:val="right" w:pos="1685"/>
        </w:tabs>
        <w:ind w:left="1742" w:hanging="475"/>
        <w:rPr>
          <w:lang w:val="fr-FR"/>
        </w:rPr>
      </w:pPr>
      <w:r>
        <w:rPr>
          <w:lang w:val="fr-FR"/>
        </w:rPr>
        <w:tab/>
        <w:t>•</w:t>
      </w:r>
      <w:r>
        <w:rPr>
          <w:lang w:val="fr-FR"/>
        </w:rPr>
        <w:tab/>
      </w:r>
      <w:r w:rsidR="005D40D4" w:rsidRPr="000E0CA0">
        <w:rPr>
          <w:lang w:val="fr-FR"/>
        </w:rPr>
        <w:t>un système de prise en charge des femmes victimes de violence a été mis en place</w:t>
      </w:r>
      <w:r w:rsidR="00F1794C" w:rsidRPr="000E0CA0">
        <w:rPr>
          <w:lang w:val="fr-FR"/>
        </w:rPr>
        <w:t> ;</w:t>
      </w:r>
    </w:p>
    <w:p w14:paraId="6D037EF9" w14:textId="3F76C06B" w:rsidR="005D40D4" w:rsidRPr="000E0CA0" w:rsidRDefault="00802880" w:rsidP="000E0CA0">
      <w:pPr>
        <w:pStyle w:val="SingleTxt"/>
        <w:tabs>
          <w:tab w:val="right" w:pos="1685"/>
        </w:tabs>
        <w:ind w:left="1742" w:hanging="475"/>
        <w:rPr>
          <w:lang w:val="fr-FR"/>
        </w:rPr>
      </w:pPr>
      <w:r>
        <w:rPr>
          <w:lang w:val="fr-FR"/>
        </w:rPr>
        <w:lastRenderedPageBreak/>
        <w:tab/>
        <w:t>•</w:t>
      </w:r>
      <w:r>
        <w:rPr>
          <w:lang w:val="fr-FR"/>
        </w:rPr>
        <w:tab/>
      </w:r>
      <w:r w:rsidR="005D40D4" w:rsidRPr="000E0CA0">
        <w:rPr>
          <w:lang w:val="fr-FR"/>
        </w:rPr>
        <w:t>un chapitre de la loi est consacré à la prévention</w:t>
      </w:r>
      <w:r w:rsidR="00F1794C" w:rsidRPr="000E0CA0">
        <w:rPr>
          <w:lang w:val="fr-FR"/>
        </w:rPr>
        <w:t> ;</w:t>
      </w:r>
      <w:r w:rsidR="005D40D4" w:rsidRPr="000E0CA0">
        <w:rPr>
          <w:lang w:val="fr-FR"/>
        </w:rPr>
        <w:t xml:space="preserve"> il incombe aux autorités publiques de prendre les mesures nécessaires pour prévenir les violences faites aux femmes.</w:t>
      </w:r>
    </w:p>
    <w:p w14:paraId="3A2B1948" w14:textId="4E3B3049" w:rsidR="005D40D4" w:rsidRPr="005D40D4" w:rsidRDefault="005D40D4" w:rsidP="00456FC2">
      <w:pPr>
        <w:pStyle w:val="SingleTxt"/>
        <w:numPr>
          <w:ilvl w:val="0"/>
          <w:numId w:val="50"/>
        </w:numPr>
        <w:rPr>
          <w:lang w:val="fr-FR"/>
        </w:rPr>
      </w:pPr>
      <w:r w:rsidRPr="005D40D4">
        <w:rPr>
          <w:lang w:val="fr-FR"/>
        </w:rPr>
        <w:t>Le Conseil de gouvernement réuni le 28 mars 2019 a approuvé un décret d</w:t>
      </w:r>
      <w:r w:rsidR="00F1794C" w:rsidRPr="00F1794C">
        <w:rPr>
          <w:lang w:val="fr-FR"/>
        </w:rPr>
        <w:t>’</w:t>
      </w:r>
      <w:r w:rsidRPr="005D40D4">
        <w:rPr>
          <w:lang w:val="fr-FR"/>
        </w:rPr>
        <w:t>application de ladite loi. Ce texte comprend un ensemble de dispositions réglementaires ayant trait aux fondements et aux mécanismes de prise en charge des femmes victimes de la violence. Le décret prévoit la création des entités suivantes</w:t>
      </w:r>
      <w:r w:rsidR="00F1794C" w:rsidRPr="00F1794C">
        <w:rPr>
          <w:lang w:val="fr-FR"/>
        </w:rPr>
        <w:t> :</w:t>
      </w:r>
      <w:r w:rsidRPr="005D40D4">
        <w:rPr>
          <w:lang w:val="fr-FR"/>
        </w:rPr>
        <w:t xml:space="preserve"> </w:t>
      </w:r>
    </w:p>
    <w:p w14:paraId="2275BEB1" w14:textId="1F955F98" w:rsidR="005D40D4" w:rsidRPr="00802880" w:rsidRDefault="00802880" w:rsidP="00802880">
      <w:pPr>
        <w:pStyle w:val="SingleTxt"/>
        <w:tabs>
          <w:tab w:val="right" w:pos="1685"/>
        </w:tabs>
        <w:ind w:left="1742" w:hanging="475"/>
        <w:rPr>
          <w:lang w:val="fr-FR"/>
        </w:rPr>
      </w:pPr>
      <w:r>
        <w:rPr>
          <w:lang w:val="fr-FR"/>
        </w:rPr>
        <w:tab/>
        <w:t>•</w:t>
      </w:r>
      <w:r>
        <w:rPr>
          <w:lang w:val="fr-FR"/>
        </w:rPr>
        <w:tab/>
      </w:r>
      <w:r w:rsidR="005D40D4" w:rsidRPr="00802880">
        <w:rPr>
          <w:lang w:val="fr-FR"/>
        </w:rPr>
        <w:t>Des commissions nationales, régionales et locales pour la prise en charge des femmes victimes de violences</w:t>
      </w:r>
      <w:r w:rsidR="00F1794C" w:rsidRPr="00802880">
        <w:rPr>
          <w:lang w:val="fr-FR"/>
        </w:rPr>
        <w:t> ;</w:t>
      </w:r>
      <w:r w:rsidR="005D40D4" w:rsidRPr="00802880">
        <w:rPr>
          <w:lang w:val="fr-FR"/>
        </w:rPr>
        <w:t xml:space="preserve"> </w:t>
      </w:r>
    </w:p>
    <w:p w14:paraId="1A21567C" w14:textId="05CA2BEC" w:rsidR="005D40D4" w:rsidRPr="00802880" w:rsidRDefault="00802880" w:rsidP="00802880">
      <w:pPr>
        <w:pStyle w:val="SingleTxt"/>
        <w:tabs>
          <w:tab w:val="right" w:pos="1685"/>
        </w:tabs>
        <w:ind w:left="1742" w:hanging="475"/>
        <w:rPr>
          <w:lang w:val="fr-FR"/>
        </w:rPr>
      </w:pPr>
      <w:r>
        <w:rPr>
          <w:lang w:val="fr-FR"/>
        </w:rPr>
        <w:tab/>
        <w:t>•</w:t>
      </w:r>
      <w:r>
        <w:rPr>
          <w:lang w:val="fr-FR"/>
        </w:rPr>
        <w:tab/>
      </w:r>
      <w:r w:rsidR="005D40D4" w:rsidRPr="00802880">
        <w:rPr>
          <w:lang w:val="fr-FR"/>
        </w:rPr>
        <w:t xml:space="preserve">Des cellules centralisées et décentralisées de prise en charge dans les tribunaux, et les départements chargés de la justice, de la santé, de la jeunesse et des femmes ainsi que la Direction générale de la Sûreté nationale et le Haut Commandement de la Gendarmerie royale. </w:t>
      </w:r>
    </w:p>
    <w:p w14:paraId="0BFF7FC8" w14:textId="765D7DEF" w:rsidR="005D40D4" w:rsidRPr="005D40D4" w:rsidRDefault="005D40D4" w:rsidP="00456FC2">
      <w:pPr>
        <w:pStyle w:val="SingleTxt"/>
        <w:numPr>
          <w:ilvl w:val="0"/>
          <w:numId w:val="50"/>
        </w:numPr>
        <w:rPr>
          <w:lang w:val="fr-FR"/>
        </w:rPr>
      </w:pPr>
      <w:r w:rsidRPr="005D40D4">
        <w:rPr>
          <w:lang w:val="fr-FR"/>
        </w:rPr>
        <w:t>En vertu de la loi relative à la lutte contre les violences faites aux femmes et au décret d</w:t>
      </w:r>
      <w:r w:rsidR="00F1794C" w:rsidRPr="00F1794C">
        <w:rPr>
          <w:lang w:val="fr-FR"/>
        </w:rPr>
        <w:t>’</w:t>
      </w:r>
      <w:r w:rsidRPr="005D40D4">
        <w:rPr>
          <w:lang w:val="fr-FR"/>
        </w:rPr>
        <w:t>application de ladite loi, la Commission nationale pour la prise en charge des femmes victimes de violences a des prérogatives importantes. Elle a notamment pour mission d</w:t>
      </w:r>
      <w:r w:rsidR="00F1794C" w:rsidRPr="00F1794C">
        <w:rPr>
          <w:lang w:val="fr-FR"/>
        </w:rPr>
        <w:t>’</w:t>
      </w:r>
      <w:r w:rsidRPr="005D40D4">
        <w:rPr>
          <w:lang w:val="fr-FR"/>
        </w:rPr>
        <w:t>assurer la communication et la coordination entre les différentes interventions visant à lutter contre les violences faites aux femmes et de contribuer à la mise en place de mécanismes visant à améliorer le fonctionnement du système de prise en charge des victimes. Elle est chargée également de renforcer des mécanismes de coopération entre les différents acteurs et d</w:t>
      </w:r>
      <w:r w:rsidR="00F1794C" w:rsidRPr="00F1794C">
        <w:rPr>
          <w:lang w:val="fr-FR"/>
        </w:rPr>
        <w:t>’</w:t>
      </w:r>
      <w:r w:rsidRPr="005D40D4">
        <w:rPr>
          <w:lang w:val="fr-FR"/>
        </w:rPr>
        <w:t xml:space="preserve">établir des rapports. </w:t>
      </w:r>
    </w:p>
    <w:p w14:paraId="63D5DFFD" w14:textId="00217E14" w:rsidR="005D40D4" w:rsidRPr="005D40D4" w:rsidRDefault="005D40D4" w:rsidP="00456FC2">
      <w:pPr>
        <w:pStyle w:val="SingleTxt"/>
        <w:numPr>
          <w:ilvl w:val="0"/>
          <w:numId w:val="50"/>
        </w:numPr>
        <w:rPr>
          <w:lang w:val="fr-FR"/>
        </w:rPr>
      </w:pPr>
      <w:r w:rsidRPr="005D40D4">
        <w:rPr>
          <w:lang w:val="fr-FR"/>
        </w:rPr>
        <w:t>En plus de ce travail législatif continu, le Royaume du Maroc déploie des efforts en parallèle pour lutter contre la violence à l</w:t>
      </w:r>
      <w:r w:rsidR="00F1794C" w:rsidRPr="00F1794C">
        <w:rPr>
          <w:lang w:val="fr-FR"/>
        </w:rPr>
        <w:t>’</w:t>
      </w:r>
      <w:r w:rsidRPr="005D40D4">
        <w:rPr>
          <w:lang w:val="fr-FR"/>
        </w:rPr>
        <w:t>égard des femmes. Ce phénomène est observé, une protection juridique est proposée aux victimes, des poursuites sont engagées contre les auteurs, comme le montre le suivi de l</w:t>
      </w:r>
      <w:r w:rsidR="00F1794C" w:rsidRPr="00F1794C">
        <w:rPr>
          <w:lang w:val="fr-FR"/>
        </w:rPr>
        <w:t>’</w:t>
      </w:r>
      <w:r w:rsidRPr="005D40D4">
        <w:rPr>
          <w:lang w:val="fr-FR"/>
        </w:rPr>
        <w:t>activité judiciaire. Les magistrats sont maintenant convaincus qu</w:t>
      </w:r>
      <w:r w:rsidR="00F1794C" w:rsidRPr="00F1794C">
        <w:rPr>
          <w:lang w:val="fr-FR"/>
        </w:rPr>
        <w:t>’</w:t>
      </w:r>
      <w:r w:rsidRPr="005D40D4">
        <w:rPr>
          <w:lang w:val="fr-FR"/>
        </w:rPr>
        <w:t>il est possible de démontrer, par tous les moyens, que des actes de violence conjugale ont été commis, à l</w:t>
      </w:r>
      <w:r w:rsidR="00F1794C" w:rsidRPr="00F1794C">
        <w:rPr>
          <w:lang w:val="fr-FR"/>
        </w:rPr>
        <w:t>’</w:t>
      </w:r>
      <w:r w:rsidRPr="005D40D4">
        <w:rPr>
          <w:lang w:val="fr-FR"/>
        </w:rPr>
        <w:t>aide d</w:t>
      </w:r>
      <w:r w:rsidR="00F1794C" w:rsidRPr="00F1794C">
        <w:rPr>
          <w:lang w:val="fr-FR"/>
        </w:rPr>
        <w:t>’</w:t>
      </w:r>
      <w:r w:rsidRPr="005D40D4">
        <w:rPr>
          <w:lang w:val="fr-FR"/>
        </w:rPr>
        <w:t>une attestation médicale, de photographies, de constats ou de tout autre moyen disponible (article</w:t>
      </w:r>
      <w:r w:rsidR="00802880">
        <w:rPr>
          <w:lang w:val="fr-FR"/>
        </w:rPr>
        <w:t> </w:t>
      </w:r>
      <w:r w:rsidRPr="005D40D4">
        <w:rPr>
          <w:lang w:val="fr-FR"/>
        </w:rPr>
        <w:t>286 du Code de procédure pénale).</w:t>
      </w:r>
    </w:p>
    <w:p w14:paraId="1EFEDFED" w14:textId="2A5C9B72" w:rsidR="005D40D4" w:rsidRPr="005D40D4" w:rsidRDefault="005D40D4" w:rsidP="00456FC2">
      <w:pPr>
        <w:pStyle w:val="SingleTxt"/>
        <w:numPr>
          <w:ilvl w:val="0"/>
          <w:numId w:val="50"/>
        </w:numPr>
        <w:rPr>
          <w:lang w:val="fr-FR"/>
        </w:rPr>
      </w:pPr>
      <w:r w:rsidRPr="005D40D4">
        <w:rPr>
          <w:lang w:val="fr-FR"/>
        </w:rPr>
        <w:t>En 2011, une modification importante a été apportée au Code de procédure pénale en ce qui concerne la protection prévue contre les infractions liées à la violence à l</w:t>
      </w:r>
      <w:r w:rsidR="00F1794C" w:rsidRPr="00F1794C">
        <w:rPr>
          <w:lang w:val="fr-FR"/>
        </w:rPr>
        <w:t>’</w:t>
      </w:r>
      <w:r w:rsidRPr="005D40D4">
        <w:rPr>
          <w:lang w:val="fr-FR"/>
        </w:rPr>
        <w:t>égard des femmes. Une section consacrée à la protection des victimes et des témoins a été ajoutée. Des mesures de protection sont prévues afin de garantir la protection physique de la victime et des membres de sa famille</w:t>
      </w:r>
      <w:r w:rsidR="00F1794C" w:rsidRPr="00F1794C">
        <w:rPr>
          <w:lang w:val="fr-FR"/>
        </w:rPr>
        <w:t> ;</w:t>
      </w:r>
      <w:r w:rsidRPr="005D40D4">
        <w:rPr>
          <w:lang w:val="fr-FR"/>
        </w:rPr>
        <w:t xml:space="preserve"> changement de domicile et non-divulgation de l</w:t>
      </w:r>
      <w:r w:rsidR="00F1794C" w:rsidRPr="00F1794C">
        <w:rPr>
          <w:lang w:val="fr-FR"/>
        </w:rPr>
        <w:t>’</w:t>
      </w:r>
      <w:r w:rsidRPr="005D40D4">
        <w:rPr>
          <w:lang w:val="fr-FR"/>
        </w:rPr>
        <w:t>identité de la personne</w:t>
      </w:r>
      <w:r w:rsidR="00F1794C" w:rsidRPr="00F1794C">
        <w:rPr>
          <w:lang w:val="fr-FR"/>
        </w:rPr>
        <w:t> ;</w:t>
      </w:r>
      <w:r w:rsidRPr="005D40D4">
        <w:rPr>
          <w:lang w:val="fr-FR"/>
        </w:rPr>
        <w:t xml:space="preserve"> rétablissement physique et psychologique de la victime assuré grâce à des consultations médicales effectuées par des spécialistes et à une assistance sociale</w:t>
      </w:r>
      <w:r w:rsidR="00F1794C" w:rsidRPr="00F1794C">
        <w:rPr>
          <w:lang w:val="fr-FR"/>
        </w:rPr>
        <w:t> ;</w:t>
      </w:r>
      <w:r w:rsidRPr="005D40D4">
        <w:rPr>
          <w:lang w:val="fr-FR"/>
        </w:rPr>
        <w:t xml:space="preserve"> la victime de l</w:t>
      </w:r>
      <w:r w:rsidR="00F1794C" w:rsidRPr="00F1794C">
        <w:rPr>
          <w:lang w:val="fr-FR"/>
        </w:rPr>
        <w:t>’</w:t>
      </w:r>
      <w:r w:rsidRPr="005D40D4">
        <w:rPr>
          <w:lang w:val="fr-FR"/>
        </w:rPr>
        <w:t>infraction est informée de son droit de demander que des poursuites civiles soient engagées par le juge d</w:t>
      </w:r>
      <w:r w:rsidR="00F1794C" w:rsidRPr="00F1794C">
        <w:rPr>
          <w:lang w:val="fr-FR"/>
        </w:rPr>
        <w:t>’</w:t>
      </w:r>
      <w:r w:rsidRPr="005D40D4">
        <w:rPr>
          <w:lang w:val="fr-FR"/>
        </w:rPr>
        <w:t>instruction ou de saisir le tribunal</w:t>
      </w:r>
      <w:r w:rsidR="00F1794C" w:rsidRPr="00F1794C">
        <w:rPr>
          <w:lang w:val="fr-FR"/>
        </w:rPr>
        <w:t> ;</w:t>
      </w:r>
      <w:r w:rsidRPr="005D40D4">
        <w:rPr>
          <w:lang w:val="fr-FR"/>
        </w:rPr>
        <w:t xml:space="preserve"> la victime est également informée des droits que lui confère la loi. </w:t>
      </w:r>
    </w:p>
    <w:p w14:paraId="32E159F8" w14:textId="5C3CBF1F" w:rsidR="005D40D4" w:rsidRPr="005D40D4" w:rsidRDefault="005D40D4" w:rsidP="00456FC2">
      <w:pPr>
        <w:pStyle w:val="SingleTxt"/>
        <w:numPr>
          <w:ilvl w:val="0"/>
          <w:numId w:val="50"/>
        </w:numPr>
        <w:rPr>
          <w:lang w:val="fr-FR"/>
        </w:rPr>
      </w:pPr>
      <w:r w:rsidRPr="005D40D4">
        <w:rPr>
          <w:lang w:val="fr-FR"/>
        </w:rPr>
        <w:t>Des mesures ont été prises pour observer le phénomène de la violence à l</w:t>
      </w:r>
      <w:r w:rsidR="00F1794C" w:rsidRPr="00F1794C">
        <w:rPr>
          <w:lang w:val="fr-FR"/>
        </w:rPr>
        <w:t>’</w:t>
      </w:r>
      <w:r w:rsidRPr="005D40D4">
        <w:rPr>
          <w:lang w:val="fr-FR"/>
        </w:rPr>
        <w:t>égard des femmes. Un système d</w:t>
      </w:r>
      <w:r w:rsidR="00F1794C" w:rsidRPr="00F1794C">
        <w:rPr>
          <w:lang w:val="fr-FR"/>
        </w:rPr>
        <w:t>’</w:t>
      </w:r>
      <w:r w:rsidRPr="005D40D4">
        <w:rPr>
          <w:lang w:val="fr-FR"/>
        </w:rPr>
        <w:t>information institutionnel a été mis en place afin de recueillir, sur les plans régional et national, les données relatives aux femmes et aux filles victimes de violences. Pour renforcer ce système, en 2014, le Ministère de la solidarité, du développement social, de l</w:t>
      </w:r>
      <w:r w:rsidR="00F1794C" w:rsidRPr="00F1794C">
        <w:rPr>
          <w:lang w:val="fr-FR"/>
        </w:rPr>
        <w:t>’</w:t>
      </w:r>
      <w:r w:rsidRPr="005D40D4">
        <w:rPr>
          <w:lang w:val="fr-FR"/>
        </w:rPr>
        <w:t>égalité et de la famille, le Ministère de la justice, le Ministère de la santé, la Direction générale de la Sûreté nationale et la Gendarmerie royale ont signé un protocole d</w:t>
      </w:r>
      <w:r w:rsidR="00F1794C" w:rsidRPr="00F1794C">
        <w:rPr>
          <w:lang w:val="fr-FR"/>
        </w:rPr>
        <w:t>’</w:t>
      </w:r>
      <w:r w:rsidRPr="005D40D4">
        <w:rPr>
          <w:lang w:val="fr-FR"/>
        </w:rPr>
        <w:t xml:space="preserve">échange de données. </w:t>
      </w:r>
    </w:p>
    <w:p w14:paraId="0A4554E4" w14:textId="56B13F8B" w:rsidR="005D40D4" w:rsidRPr="005D40D4" w:rsidRDefault="005D40D4" w:rsidP="00456FC2">
      <w:pPr>
        <w:pStyle w:val="SingleTxt"/>
        <w:numPr>
          <w:ilvl w:val="0"/>
          <w:numId w:val="50"/>
        </w:numPr>
        <w:rPr>
          <w:lang w:val="fr-FR"/>
        </w:rPr>
      </w:pPr>
      <w:r w:rsidRPr="005D40D4">
        <w:rPr>
          <w:lang w:val="fr-FR"/>
        </w:rPr>
        <w:t>De juin 2009 à janvier 2010, le Haut-Commissariat au Plan a réalisé une enquête nationale sur la violence à l</w:t>
      </w:r>
      <w:r w:rsidR="00F1794C" w:rsidRPr="00F1794C">
        <w:rPr>
          <w:lang w:val="fr-FR"/>
        </w:rPr>
        <w:t>’</w:t>
      </w:r>
      <w:r w:rsidRPr="005D40D4">
        <w:rPr>
          <w:lang w:val="fr-FR"/>
        </w:rPr>
        <w:t>égard des femmes sur l</w:t>
      </w:r>
      <w:r w:rsidR="00F1794C" w:rsidRPr="00F1794C">
        <w:rPr>
          <w:lang w:val="fr-FR"/>
        </w:rPr>
        <w:t>’</w:t>
      </w:r>
      <w:r w:rsidRPr="005D40D4">
        <w:rPr>
          <w:lang w:val="fr-FR"/>
        </w:rPr>
        <w:t>ensemble du territoire auprès d</w:t>
      </w:r>
      <w:r w:rsidR="00F1794C" w:rsidRPr="00F1794C">
        <w:rPr>
          <w:lang w:val="fr-FR"/>
        </w:rPr>
        <w:t>’</w:t>
      </w:r>
      <w:r w:rsidRPr="005D40D4">
        <w:rPr>
          <w:lang w:val="fr-FR"/>
        </w:rPr>
        <w:t xml:space="preserve">un échantillon de 9 534 femmes âgées de 18 à 64 ans. Pour actualiser les données </w:t>
      </w:r>
      <w:r w:rsidRPr="005D40D4">
        <w:rPr>
          <w:lang w:val="fr-FR"/>
        </w:rPr>
        <w:lastRenderedPageBreak/>
        <w:t>et les statistiques relatives à ce phénomène et mesurer les indicateurs de la violence conformément aux objectifs de développement durable, en 2019, le Haut-Commissariat au Plan a lancé une deuxième enquête sur le terrain qui permettra de recueillir des données sur la prévalence de la violence à l</w:t>
      </w:r>
      <w:r w:rsidR="00F1794C" w:rsidRPr="00F1794C">
        <w:rPr>
          <w:lang w:val="fr-FR"/>
        </w:rPr>
        <w:t>’</w:t>
      </w:r>
      <w:r w:rsidRPr="005D40D4">
        <w:rPr>
          <w:lang w:val="fr-FR"/>
        </w:rPr>
        <w:t xml:space="preserve">échelle nationale et régionale chez les personnes âgées de 15 à 74 ans, et son coût économique et social. </w:t>
      </w:r>
    </w:p>
    <w:p w14:paraId="20D6617B" w14:textId="658C4E41" w:rsidR="005D40D4" w:rsidRPr="005D40D4" w:rsidRDefault="005D40D4" w:rsidP="00456FC2">
      <w:pPr>
        <w:pStyle w:val="SingleTxt"/>
        <w:numPr>
          <w:ilvl w:val="0"/>
          <w:numId w:val="50"/>
        </w:numPr>
        <w:rPr>
          <w:lang w:val="fr-FR"/>
        </w:rPr>
      </w:pPr>
      <w:r w:rsidRPr="005D40D4">
        <w:rPr>
          <w:lang w:val="fr-FR"/>
        </w:rPr>
        <w:t>En 2019, le ministère compétent a réalisé une deuxième enquête nationale sur la prévalence de la violence à l</w:t>
      </w:r>
      <w:r w:rsidR="00F1794C" w:rsidRPr="00F1794C">
        <w:rPr>
          <w:lang w:val="fr-FR"/>
        </w:rPr>
        <w:t>’</w:t>
      </w:r>
      <w:r w:rsidRPr="005D40D4">
        <w:rPr>
          <w:lang w:val="fr-FR"/>
        </w:rPr>
        <w:t>égard des femmes en vue de</w:t>
      </w:r>
      <w:r w:rsidR="00F1794C" w:rsidRPr="00F1794C">
        <w:rPr>
          <w:lang w:val="fr-FR"/>
        </w:rPr>
        <w:t> :</w:t>
      </w:r>
    </w:p>
    <w:p w14:paraId="5B667D6E" w14:textId="2238C2D0" w:rsidR="005D40D4" w:rsidRPr="00802880" w:rsidRDefault="00802880" w:rsidP="00802880">
      <w:pPr>
        <w:pStyle w:val="SingleTxt"/>
        <w:tabs>
          <w:tab w:val="right" w:pos="1685"/>
        </w:tabs>
        <w:ind w:left="1742" w:hanging="475"/>
        <w:rPr>
          <w:lang w:val="fr-FR"/>
        </w:rPr>
      </w:pPr>
      <w:r>
        <w:rPr>
          <w:lang w:val="fr-FR"/>
        </w:rPr>
        <w:tab/>
        <w:t>•</w:t>
      </w:r>
      <w:r>
        <w:rPr>
          <w:lang w:val="fr-FR"/>
        </w:rPr>
        <w:tab/>
      </w:r>
      <w:r w:rsidR="005D40D4" w:rsidRPr="00802880">
        <w:rPr>
          <w:lang w:val="fr-FR"/>
        </w:rPr>
        <w:t>recueillir des données et statistiques récentes sur les violences faites aux femmes</w:t>
      </w:r>
      <w:r w:rsidR="00F1794C" w:rsidRPr="00802880">
        <w:rPr>
          <w:lang w:val="fr-FR"/>
        </w:rPr>
        <w:t> ;</w:t>
      </w:r>
    </w:p>
    <w:p w14:paraId="05E6C553" w14:textId="1E21C1CD" w:rsidR="005D40D4" w:rsidRPr="00802880" w:rsidRDefault="00802880" w:rsidP="00802880">
      <w:pPr>
        <w:pStyle w:val="SingleTxt"/>
        <w:tabs>
          <w:tab w:val="right" w:pos="1685"/>
        </w:tabs>
        <w:ind w:left="1742" w:hanging="475"/>
        <w:rPr>
          <w:lang w:val="fr-FR"/>
        </w:rPr>
      </w:pPr>
      <w:r>
        <w:rPr>
          <w:lang w:val="fr-FR"/>
        </w:rPr>
        <w:tab/>
        <w:t>•</w:t>
      </w:r>
      <w:r>
        <w:rPr>
          <w:lang w:val="fr-FR"/>
        </w:rPr>
        <w:tab/>
      </w:r>
      <w:r w:rsidR="005D40D4" w:rsidRPr="00802880">
        <w:rPr>
          <w:lang w:val="fr-FR"/>
        </w:rPr>
        <w:t>mesurer le taux de prévalence de la violence à l</w:t>
      </w:r>
      <w:r w:rsidR="00F1794C" w:rsidRPr="00802880">
        <w:rPr>
          <w:lang w:val="fr-FR"/>
        </w:rPr>
        <w:t>’</w:t>
      </w:r>
      <w:r w:rsidR="005D40D4" w:rsidRPr="00802880">
        <w:rPr>
          <w:lang w:val="fr-FR"/>
        </w:rPr>
        <w:t>égard des femmes sur le plan national, en tenant compte du milieu dans lequel les violences sont commises et des formes de violence indiquées dans la loi n</w:t>
      </w:r>
      <w:r w:rsidRPr="00802880">
        <w:rPr>
          <w:vertAlign w:val="superscript"/>
          <w:lang w:val="fr-FR"/>
        </w:rPr>
        <w:t>o</w:t>
      </w:r>
      <w:r w:rsidR="005D40D4" w:rsidRPr="00802880">
        <w:rPr>
          <w:lang w:val="fr-FR"/>
        </w:rPr>
        <w:t xml:space="preserve"> 103-13 relative à la lutte contre les violences faites aux femmes</w:t>
      </w:r>
      <w:r w:rsidR="00F1794C" w:rsidRPr="00802880">
        <w:rPr>
          <w:lang w:val="fr-FR"/>
        </w:rPr>
        <w:t> ;</w:t>
      </w:r>
    </w:p>
    <w:p w14:paraId="012CA4E6" w14:textId="116D4D81" w:rsidR="005D40D4" w:rsidRPr="00802880" w:rsidRDefault="00802880" w:rsidP="00802880">
      <w:pPr>
        <w:pStyle w:val="SingleTxt"/>
        <w:tabs>
          <w:tab w:val="right" w:pos="1685"/>
        </w:tabs>
        <w:ind w:left="1742" w:hanging="475"/>
        <w:rPr>
          <w:lang w:val="fr-FR"/>
        </w:rPr>
      </w:pPr>
      <w:r>
        <w:rPr>
          <w:lang w:val="fr-FR"/>
        </w:rPr>
        <w:tab/>
        <w:t>•</w:t>
      </w:r>
      <w:r>
        <w:rPr>
          <w:lang w:val="fr-FR"/>
        </w:rPr>
        <w:tab/>
      </w:r>
      <w:r w:rsidR="005D40D4" w:rsidRPr="00802880">
        <w:rPr>
          <w:lang w:val="fr-FR"/>
        </w:rPr>
        <w:t>déterminer les caractéristiques et le milieu socioéconomique de toutes les femmes victimes de violence et de tous les auteurs d</w:t>
      </w:r>
      <w:r w:rsidR="00F1794C" w:rsidRPr="00802880">
        <w:rPr>
          <w:lang w:val="fr-FR"/>
        </w:rPr>
        <w:t>’</w:t>
      </w:r>
      <w:r w:rsidR="005D40D4" w:rsidRPr="00802880">
        <w:rPr>
          <w:lang w:val="fr-FR"/>
        </w:rPr>
        <w:t>actes de violence</w:t>
      </w:r>
      <w:r w:rsidR="00F1794C" w:rsidRPr="00802880">
        <w:rPr>
          <w:lang w:val="fr-FR"/>
        </w:rPr>
        <w:t> ;</w:t>
      </w:r>
    </w:p>
    <w:p w14:paraId="28BEB152" w14:textId="195FB5BE" w:rsidR="005D40D4" w:rsidRPr="00802880" w:rsidRDefault="00802880" w:rsidP="00802880">
      <w:pPr>
        <w:pStyle w:val="SingleTxt"/>
        <w:tabs>
          <w:tab w:val="right" w:pos="1685"/>
        </w:tabs>
        <w:ind w:left="1742" w:hanging="475"/>
        <w:rPr>
          <w:lang w:val="fr-FR"/>
        </w:rPr>
      </w:pPr>
      <w:r>
        <w:rPr>
          <w:lang w:val="fr-FR"/>
        </w:rPr>
        <w:tab/>
        <w:t>•</w:t>
      </w:r>
      <w:r>
        <w:rPr>
          <w:lang w:val="fr-FR"/>
        </w:rPr>
        <w:tab/>
      </w:r>
      <w:r w:rsidR="005D40D4" w:rsidRPr="00802880">
        <w:rPr>
          <w:lang w:val="fr-FR"/>
        </w:rPr>
        <w:t>tirer parti des résultats de l</w:t>
      </w:r>
      <w:r w:rsidR="00F1794C" w:rsidRPr="00802880">
        <w:rPr>
          <w:lang w:val="fr-FR"/>
        </w:rPr>
        <w:t>’</w:t>
      </w:r>
      <w:r w:rsidR="005D40D4" w:rsidRPr="00802880">
        <w:rPr>
          <w:lang w:val="fr-FR"/>
        </w:rPr>
        <w:t>enquête nationale pour proposer des mesures adaptées afin d</w:t>
      </w:r>
      <w:r w:rsidR="00F1794C" w:rsidRPr="00802880">
        <w:rPr>
          <w:lang w:val="fr-FR"/>
        </w:rPr>
        <w:t>’</w:t>
      </w:r>
      <w:r w:rsidR="005D40D4" w:rsidRPr="00802880">
        <w:rPr>
          <w:lang w:val="fr-FR"/>
        </w:rPr>
        <w:t xml:space="preserve">éradiquer ce phénomène. </w:t>
      </w:r>
    </w:p>
    <w:p w14:paraId="36A55F3F" w14:textId="188C8FEF" w:rsidR="005D40D4" w:rsidRPr="005D40D4" w:rsidRDefault="005D40D4" w:rsidP="00456FC2">
      <w:pPr>
        <w:pStyle w:val="SingleTxt"/>
        <w:numPr>
          <w:ilvl w:val="0"/>
          <w:numId w:val="50"/>
        </w:numPr>
        <w:rPr>
          <w:lang w:val="fr-FR"/>
        </w:rPr>
      </w:pPr>
      <w:r w:rsidRPr="005D40D4">
        <w:rPr>
          <w:lang w:val="fr-FR"/>
        </w:rPr>
        <w:t>Au total, 13 543 femmes âgées de 18 à 64 ans ont participé à l</w:t>
      </w:r>
      <w:r w:rsidR="00F1794C" w:rsidRPr="00F1794C">
        <w:rPr>
          <w:lang w:val="fr-FR"/>
        </w:rPr>
        <w:t>’</w:t>
      </w:r>
      <w:r w:rsidRPr="005D40D4">
        <w:rPr>
          <w:lang w:val="fr-FR"/>
        </w:rPr>
        <w:t>enquête dans les différentes régions. Le ministère concerné a annoncé les résultats préliminaires de cette enquête en 2019. Le taux de prévalence de la violence était de 54,4</w:t>
      </w:r>
      <w:r w:rsidR="00F1794C" w:rsidRPr="00F1794C">
        <w:rPr>
          <w:lang w:val="fr-FR"/>
        </w:rPr>
        <w:t> %</w:t>
      </w:r>
      <w:r w:rsidRPr="005D40D4">
        <w:rPr>
          <w:lang w:val="fr-FR"/>
        </w:rPr>
        <w:t xml:space="preserve"> en 2018, contre 62,8</w:t>
      </w:r>
      <w:r w:rsidR="00F1794C" w:rsidRPr="00F1794C">
        <w:rPr>
          <w:lang w:val="fr-FR"/>
        </w:rPr>
        <w:t> %</w:t>
      </w:r>
      <w:r w:rsidRPr="005D40D4">
        <w:rPr>
          <w:lang w:val="fr-FR"/>
        </w:rPr>
        <w:t xml:space="preserve"> en 2009. La ventilation des résultats par milieu montre que les femmes sont plus exposées aux violences en milieu urbain (55,8</w:t>
      </w:r>
      <w:r w:rsidR="00F1794C" w:rsidRPr="00F1794C">
        <w:rPr>
          <w:lang w:val="fr-FR"/>
        </w:rPr>
        <w:t> %</w:t>
      </w:r>
      <w:r w:rsidRPr="005D40D4">
        <w:rPr>
          <w:lang w:val="fr-FR"/>
        </w:rPr>
        <w:t>) qu</w:t>
      </w:r>
      <w:r w:rsidR="00F1794C" w:rsidRPr="00F1794C">
        <w:rPr>
          <w:lang w:val="fr-FR"/>
        </w:rPr>
        <w:t>’</w:t>
      </w:r>
      <w:r w:rsidRPr="005D40D4">
        <w:rPr>
          <w:lang w:val="fr-FR"/>
        </w:rPr>
        <w:t>en milieu rural (51,6</w:t>
      </w:r>
      <w:r w:rsidR="00F1794C" w:rsidRPr="00F1794C">
        <w:rPr>
          <w:lang w:val="fr-FR"/>
        </w:rPr>
        <w:t> %</w:t>
      </w:r>
      <w:r w:rsidRPr="005D40D4">
        <w:rPr>
          <w:lang w:val="fr-FR"/>
        </w:rPr>
        <w:t>). Il ressort également des résultats de l</w:t>
      </w:r>
      <w:r w:rsidR="00F1794C" w:rsidRPr="00F1794C">
        <w:rPr>
          <w:lang w:val="fr-FR"/>
        </w:rPr>
        <w:t>’</w:t>
      </w:r>
      <w:r w:rsidRPr="005D40D4">
        <w:rPr>
          <w:lang w:val="fr-FR"/>
        </w:rPr>
        <w:t>enquête que la violence psychologique domine. Environ la moitié des femmes interrogées ont déclaré avoir été exposées à la violence psychologique (49,1</w:t>
      </w:r>
      <w:r w:rsidR="00F1794C" w:rsidRPr="00F1794C">
        <w:rPr>
          <w:lang w:val="fr-FR"/>
        </w:rPr>
        <w:t> %</w:t>
      </w:r>
      <w:r w:rsidRPr="005D40D4">
        <w:rPr>
          <w:lang w:val="fr-FR"/>
        </w:rPr>
        <w:t>), à la violence économique (16,7</w:t>
      </w:r>
      <w:r w:rsidR="00F1794C" w:rsidRPr="00F1794C">
        <w:rPr>
          <w:lang w:val="fr-FR"/>
        </w:rPr>
        <w:t> %</w:t>
      </w:r>
      <w:r w:rsidRPr="005D40D4">
        <w:rPr>
          <w:lang w:val="fr-FR"/>
        </w:rPr>
        <w:t>), à la violence physique (15,9</w:t>
      </w:r>
      <w:r w:rsidR="00F1794C" w:rsidRPr="00F1794C">
        <w:rPr>
          <w:lang w:val="fr-FR"/>
        </w:rPr>
        <w:t> %</w:t>
      </w:r>
      <w:r w:rsidRPr="005D40D4">
        <w:rPr>
          <w:lang w:val="fr-FR"/>
        </w:rPr>
        <w:t>) et à la violence sexuelle (14,3</w:t>
      </w:r>
      <w:r w:rsidR="00F1794C" w:rsidRPr="00F1794C">
        <w:rPr>
          <w:lang w:val="fr-FR"/>
        </w:rPr>
        <w:t> %</w:t>
      </w:r>
      <w:r w:rsidRPr="005D40D4">
        <w:rPr>
          <w:lang w:val="fr-FR"/>
        </w:rPr>
        <w:t xml:space="preserve">). </w:t>
      </w:r>
    </w:p>
    <w:p w14:paraId="0143CBAB" w14:textId="08EAE498" w:rsidR="005D40D4" w:rsidRPr="005D40D4" w:rsidRDefault="005D40D4" w:rsidP="00456FC2">
      <w:pPr>
        <w:pStyle w:val="SingleTxt"/>
        <w:numPr>
          <w:ilvl w:val="0"/>
          <w:numId w:val="50"/>
        </w:numPr>
        <w:rPr>
          <w:lang w:val="fr-FR"/>
        </w:rPr>
      </w:pPr>
      <w:r w:rsidRPr="005D40D4">
        <w:rPr>
          <w:lang w:val="fr-FR"/>
        </w:rPr>
        <w:t>L</w:t>
      </w:r>
      <w:r w:rsidR="00F1794C" w:rsidRPr="00F1794C">
        <w:rPr>
          <w:lang w:val="fr-FR"/>
        </w:rPr>
        <w:t>’</w:t>
      </w:r>
      <w:r w:rsidRPr="005D40D4">
        <w:rPr>
          <w:lang w:val="fr-FR"/>
        </w:rPr>
        <w:t>Observatoire national de la violence à l</w:t>
      </w:r>
      <w:r w:rsidR="00F1794C" w:rsidRPr="00F1794C">
        <w:rPr>
          <w:lang w:val="fr-FR"/>
        </w:rPr>
        <w:t>’</w:t>
      </w:r>
      <w:r w:rsidRPr="005D40D4">
        <w:rPr>
          <w:lang w:val="fr-FR"/>
        </w:rPr>
        <w:t>égard des femmes, créé en 2014, est un mécanisme institutionnel et national qui rassemble les départements ministériels, la société civile et les centres de recherche et d</w:t>
      </w:r>
      <w:r w:rsidR="00F1794C" w:rsidRPr="00F1794C">
        <w:rPr>
          <w:lang w:val="fr-FR"/>
        </w:rPr>
        <w:t>’</w:t>
      </w:r>
      <w:r w:rsidRPr="005D40D4">
        <w:rPr>
          <w:lang w:val="fr-FR"/>
        </w:rPr>
        <w:t>études universitaires. Il a pour mission principale l</w:t>
      </w:r>
      <w:r w:rsidR="00F1794C" w:rsidRPr="00F1794C">
        <w:rPr>
          <w:lang w:val="fr-FR"/>
        </w:rPr>
        <w:t>’</w:t>
      </w:r>
      <w:r w:rsidRPr="005D40D4">
        <w:rPr>
          <w:lang w:val="fr-FR"/>
        </w:rPr>
        <w:t>observation et la veille par la collecte des données et des statistiques régionales et nationales.</w:t>
      </w:r>
    </w:p>
    <w:p w14:paraId="20E91DC3" w14:textId="21EA6205" w:rsidR="005D40D4" w:rsidRPr="005D40D4" w:rsidRDefault="005D40D4" w:rsidP="00456FC2">
      <w:pPr>
        <w:pStyle w:val="SingleTxt"/>
        <w:numPr>
          <w:ilvl w:val="0"/>
          <w:numId w:val="50"/>
        </w:numPr>
        <w:rPr>
          <w:lang w:val="fr-FR"/>
        </w:rPr>
      </w:pPr>
      <w:r w:rsidRPr="005D40D4">
        <w:rPr>
          <w:lang w:val="fr-FR"/>
        </w:rPr>
        <w:t>L</w:t>
      </w:r>
      <w:r w:rsidR="00F1794C" w:rsidRPr="00F1794C">
        <w:rPr>
          <w:lang w:val="fr-FR"/>
        </w:rPr>
        <w:t>’</w:t>
      </w:r>
      <w:r w:rsidRPr="005D40D4">
        <w:rPr>
          <w:lang w:val="fr-FR"/>
        </w:rPr>
        <w:t>Observatoire a publié deux rapports annuels, en 2015 et en 2016</w:t>
      </w:r>
      <w:r w:rsidRPr="00FA086B">
        <w:rPr>
          <w:vertAlign w:val="superscript"/>
          <w:lang w:val="fr-FR"/>
        </w:rPr>
        <w:footnoteReference w:id="104"/>
      </w:r>
      <w:r w:rsidRPr="005D40D4">
        <w:rPr>
          <w:lang w:val="fr-FR"/>
        </w:rPr>
        <w:t xml:space="preserve"> fondés sur les données communiquées par les cellules institutionnelles d</w:t>
      </w:r>
      <w:r w:rsidR="00F1794C" w:rsidRPr="00F1794C">
        <w:rPr>
          <w:lang w:val="fr-FR"/>
        </w:rPr>
        <w:t>’</w:t>
      </w:r>
      <w:r w:rsidRPr="005D40D4">
        <w:rPr>
          <w:lang w:val="fr-FR"/>
        </w:rPr>
        <w:t>accueil des femmes victimes de violence des tribunaux du Royaume, des hôpitaux, de la Direction générale de la Sûreté nationale et de la Gendarmerie royale. Les données figurant dans le deuxième rapport (2016) indique une tendance à la baisse, le nombre de cas de violence physique recensés par les tribunaux ayant diminué de 28</w:t>
      </w:r>
      <w:r w:rsidR="00F1794C" w:rsidRPr="00F1794C">
        <w:rPr>
          <w:lang w:val="fr-FR"/>
        </w:rPr>
        <w:t> % :</w:t>
      </w:r>
      <w:r w:rsidRPr="005D40D4">
        <w:rPr>
          <w:lang w:val="fr-FR"/>
        </w:rPr>
        <w:t xml:space="preserve"> 12 148 en 2014, 10 455 en 2015, 8 717 en 2016.</w:t>
      </w:r>
    </w:p>
    <w:p w14:paraId="2A2795FD" w14:textId="0652AA86" w:rsidR="005D40D4" w:rsidRPr="005D40D4" w:rsidRDefault="005D40D4" w:rsidP="00456FC2">
      <w:pPr>
        <w:pStyle w:val="SingleTxt"/>
        <w:numPr>
          <w:ilvl w:val="0"/>
          <w:numId w:val="50"/>
        </w:numPr>
        <w:rPr>
          <w:lang w:val="fr-FR"/>
        </w:rPr>
      </w:pPr>
      <w:r w:rsidRPr="005D40D4">
        <w:rPr>
          <w:lang w:val="fr-FR"/>
        </w:rPr>
        <w:t>La Gendarmerie royale a apporté un renfort aux membres de la police judiciaire présents dans les centres qui lui sont rattachés, notamment aux femmes chargées de prendre en charge les femmes victimes de violence. En 2017, 9 376 cas ont été recensés, dont 8 339 ont été réglés. En 2016, sur 9 801 enregistrés, 8 656 ont été réglés. En 2015, 12 122 cas avaient été enregistrés. En 2018, 9 433 affaires ont été consignées, dont 8 390 ont été tranchées</w:t>
      </w:r>
      <w:r w:rsidR="00F1794C" w:rsidRPr="00F1794C">
        <w:rPr>
          <w:lang w:val="fr-FR"/>
        </w:rPr>
        <w:t> ;</w:t>
      </w:r>
      <w:r w:rsidRPr="005D40D4">
        <w:rPr>
          <w:lang w:val="fr-FR"/>
        </w:rPr>
        <w:t xml:space="preserve"> 1 303 personnes ont été arrêtées et traduites en justice et 5 472 ont été entendues. On a dénombré 9 789 victimes, dont 1 263 mineurs. </w:t>
      </w:r>
    </w:p>
    <w:p w14:paraId="4BB1C936" w14:textId="38F4B655" w:rsidR="005D40D4" w:rsidRPr="005D40D4" w:rsidRDefault="005D40D4" w:rsidP="00456FC2">
      <w:pPr>
        <w:pStyle w:val="SingleTxt"/>
        <w:numPr>
          <w:ilvl w:val="0"/>
          <w:numId w:val="50"/>
        </w:numPr>
        <w:rPr>
          <w:lang w:val="fr-FR"/>
        </w:rPr>
      </w:pPr>
      <w:r w:rsidRPr="005D40D4">
        <w:rPr>
          <w:lang w:val="fr-FR"/>
        </w:rPr>
        <w:lastRenderedPageBreak/>
        <w:t>Les services de la Gendarmerie royale ont recueilli des données ventilées comme suit</w:t>
      </w:r>
      <w:r w:rsidR="00F1794C" w:rsidRPr="00F1794C">
        <w:rPr>
          <w:lang w:val="fr-FR"/>
        </w:rPr>
        <w:t> :</w:t>
      </w:r>
      <w:r w:rsidRPr="005D40D4">
        <w:rPr>
          <w:lang w:val="fr-FR"/>
        </w:rPr>
        <w:t xml:space="preserve"> type et forme de violence, répartition géographique, âge de la victime et lieu de l</w:t>
      </w:r>
      <w:r w:rsidR="00F1794C" w:rsidRPr="00F1794C">
        <w:rPr>
          <w:lang w:val="fr-FR"/>
        </w:rPr>
        <w:t>’</w:t>
      </w:r>
      <w:r w:rsidRPr="005D40D4">
        <w:rPr>
          <w:lang w:val="fr-FR"/>
        </w:rPr>
        <w:t xml:space="preserve">agression. </w:t>
      </w:r>
    </w:p>
    <w:p w14:paraId="355A7990" w14:textId="77777777" w:rsidR="00802880" w:rsidRPr="00802880" w:rsidRDefault="00802880" w:rsidP="00802880">
      <w:pPr>
        <w:pStyle w:val="SingleTxt"/>
        <w:spacing w:after="0" w:line="120" w:lineRule="exact"/>
        <w:rPr>
          <w:sz w:val="10"/>
          <w:lang w:val="fr-FR"/>
        </w:rPr>
      </w:pPr>
    </w:p>
    <w:p w14:paraId="003D632D" w14:textId="30A720D9" w:rsidR="00802880" w:rsidRDefault="00802880" w:rsidP="00802880">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5D40D4" w:rsidRPr="005D40D4">
        <w:rPr>
          <w:lang w:val="fr-FR"/>
        </w:rPr>
        <w:t>Tableau 17</w:t>
      </w:r>
    </w:p>
    <w:p w14:paraId="7E810AF2" w14:textId="28298F4D" w:rsidR="005D40D4" w:rsidRPr="005D40D4" w:rsidRDefault="00802880" w:rsidP="0080288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D</w:t>
      </w:r>
      <w:r w:rsidR="005D40D4" w:rsidRPr="005D40D4">
        <w:rPr>
          <w:lang w:val="fr-FR"/>
        </w:rPr>
        <w:t>onnées statistiques sur les actes de violence commis contre les femmes recueillies par les services de la Gendarmerie royale (2018)</w:t>
      </w:r>
    </w:p>
    <w:p w14:paraId="51BA41F3" w14:textId="5D6B4F78" w:rsidR="005D40D4" w:rsidRPr="00802880" w:rsidRDefault="005D40D4" w:rsidP="00802880">
      <w:pPr>
        <w:pStyle w:val="SingleTxt"/>
        <w:spacing w:after="0" w:line="120" w:lineRule="exact"/>
        <w:rPr>
          <w:sz w:val="10"/>
          <w:lang w:val="fr-FR"/>
        </w:rPr>
      </w:pPr>
    </w:p>
    <w:p w14:paraId="78D487E8" w14:textId="0C6EBCE8" w:rsidR="00802880" w:rsidRPr="00802880" w:rsidRDefault="00802880" w:rsidP="00802880">
      <w:pPr>
        <w:pStyle w:val="SingleTxt"/>
        <w:spacing w:after="0" w:line="120" w:lineRule="exact"/>
        <w:rPr>
          <w:sz w:val="10"/>
          <w:lang w:val="fr-FR"/>
        </w:rPr>
      </w:pPr>
    </w:p>
    <w:tbl>
      <w:tblPr>
        <w:tblStyle w:val="Grilledutableau1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40"/>
        <w:gridCol w:w="2440"/>
        <w:gridCol w:w="2440"/>
      </w:tblGrid>
      <w:tr w:rsidR="005D40D4" w:rsidRPr="00802880" w14:paraId="54B3F670" w14:textId="77777777" w:rsidTr="00802880">
        <w:trPr>
          <w:cantSplit/>
          <w:tblHeader/>
          <w:jc w:val="center"/>
        </w:trPr>
        <w:tc>
          <w:tcPr>
            <w:tcW w:w="2440" w:type="dxa"/>
            <w:tcBorders>
              <w:top w:val="single" w:sz="4" w:space="0" w:color="auto"/>
              <w:bottom w:val="single" w:sz="12" w:space="0" w:color="auto"/>
            </w:tcBorders>
            <w:shd w:val="clear" w:color="auto" w:fill="auto"/>
            <w:noWrap/>
            <w:vAlign w:val="bottom"/>
          </w:tcPr>
          <w:p w14:paraId="002B5E48" w14:textId="68A6B1A4" w:rsidR="005D40D4" w:rsidRPr="00802880" w:rsidRDefault="005D40D4" w:rsidP="00802880">
            <w:pPr>
              <w:suppressAutoHyphens/>
              <w:spacing w:before="81" w:after="81" w:line="160" w:lineRule="exact"/>
              <w:ind w:right="40"/>
              <w:rPr>
                <w:i/>
                <w:sz w:val="14"/>
              </w:rPr>
            </w:pPr>
            <w:r w:rsidRPr="00802880">
              <w:rPr>
                <w:i/>
                <w:sz w:val="14"/>
              </w:rPr>
              <w:t>Tranche d</w:t>
            </w:r>
            <w:r w:rsidR="00F1794C" w:rsidRPr="00802880">
              <w:rPr>
                <w:i/>
                <w:sz w:val="14"/>
              </w:rPr>
              <w:t>’</w:t>
            </w:r>
            <w:r w:rsidRPr="00802880">
              <w:rPr>
                <w:i/>
                <w:sz w:val="14"/>
              </w:rPr>
              <w:t>âge de la victime</w:t>
            </w:r>
          </w:p>
        </w:tc>
        <w:tc>
          <w:tcPr>
            <w:tcW w:w="2440" w:type="dxa"/>
            <w:tcBorders>
              <w:top w:val="single" w:sz="4" w:space="0" w:color="auto"/>
              <w:bottom w:val="single" w:sz="12" w:space="0" w:color="auto"/>
            </w:tcBorders>
            <w:shd w:val="clear" w:color="auto" w:fill="auto"/>
            <w:noWrap/>
            <w:vAlign w:val="bottom"/>
          </w:tcPr>
          <w:p w14:paraId="1ACCA2F6" w14:textId="77777777" w:rsidR="005D40D4" w:rsidRPr="00802880" w:rsidRDefault="005D40D4" w:rsidP="00802880">
            <w:pPr>
              <w:suppressAutoHyphens/>
              <w:spacing w:before="81" w:after="81" w:line="160" w:lineRule="exact"/>
              <w:ind w:right="43"/>
              <w:jc w:val="right"/>
              <w:rPr>
                <w:i/>
                <w:sz w:val="14"/>
              </w:rPr>
            </w:pPr>
            <w:r w:rsidRPr="00802880">
              <w:rPr>
                <w:i/>
                <w:sz w:val="14"/>
              </w:rPr>
              <w:t>Violence sexuelle</w:t>
            </w:r>
          </w:p>
        </w:tc>
        <w:tc>
          <w:tcPr>
            <w:tcW w:w="2440" w:type="dxa"/>
            <w:tcBorders>
              <w:top w:val="single" w:sz="4" w:space="0" w:color="auto"/>
              <w:bottom w:val="single" w:sz="12" w:space="0" w:color="auto"/>
            </w:tcBorders>
            <w:shd w:val="clear" w:color="auto" w:fill="auto"/>
            <w:noWrap/>
            <w:vAlign w:val="bottom"/>
          </w:tcPr>
          <w:p w14:paraId="379470B1" w14:textId="77777777" w:rsidR="005D40D4" w:rsidRPr="00802880" w:rsidRDefault="005D40D4" w:rsidP="00802880">
            <w:pPr>
              <w:suppressAutoHyphens/>
              <w:spacing w:before="81" w:after="81" w:line="160" w:lineRule="exact"/>
              <w:ind w:right="43"/>
              <w:jc w:val="right"/>
              <w:rPr>
                <w:i/>
                <w:sz w:val="14"/>
              </w:rPr>
            </w:pPr>
            <w:r w:rsidRPr="00802880">
              <w:rPr>
                <w:i/>
                <w:sz w:val="14"/>
              </w:rPr>
              <w:t>Violence physique</w:t>
            </w:r>
          </w:p>
        </w:tc>
      </w:tr>
      <w:tr w:rsidR="00802880" w:rsidRPr="00802880" w14:paraId="15F8F079" w14:textId="77777777" w:rsidTr="00802880">
        <w:trPr>
          <w:cantSplit/>
          <w:trHeight w:hRule="exact" w:val="115"/>
          <w:tblHeader/>
          <w:jc w:val="center"/>
        </w:trPr>
        <w:tc>
          <w:tcPr>
            <w:tcW w:w="2440" w:type="dxa"/>
            <w:tcBorders>
              <w:top w:val="single" w:sz="12" w:space="0" w:color="auto"/>
            </w:tcBorders>
            <w:shd w:val="clear" w:color="auto" w:fill="auto"/>
            <w:noWrap/>
            <w:vAlign w:val="bottom"/>
          </w:tcPr>
          <w:p w14:paraId="26292160" w14:textId="77777777" w:rsidR="00802880" w:rsidRPr="00802880" w:rsidRDefault="00802880" w:rsidP="00802880">
            <w:pPr>
              <w:suppressAutoHyphens/>
              <w:spacing w:before="40" w:after="40" w:line="210" w:lineRule="exact"/>
              <w:ind w:right="40"/>
              <w:rPr>
                <w:sz w:val="17"/>
              </w:rPr>
            </w:pPr>
          </w:p>
        </w:tc>
        <w:tc>
          <w:tcPr>
            <w:tcW w:w="2440" w:type="dxa"/>
            <w:tcBorders>
              <w:top w:val="single" w:sz="12" w:space="0" w:color="auto"/>
            </w:tcBorders>
            <w:shd w:val="clear" w:color="auto" w:fill="auto"/>
            <w:noWrap/>
            <w:vAlign w:val="bottom"/>
          </w:tcPr>
          <w:p w14:paraId="12F227F6" w14:textId="77777777" w:rsidR="00802880" w:rsidRPr="00802880" w:rsidRDefault="00802880" w:rsidP="00802880">
            <w:pPr>
              <w:suppressAutoHyphens/>
              <w:spacing w:before="40" w:after="40" w:line="210" w:lineRule="exact"/>
              <w:ind w:right="43"/>
              <w:jc w:val="right"/>
              <w:rPr>
                <w:sz w:val="17"/>
              </w:rPr>
            </w:pPr>
          </w:p>
        </w:tc>
        <w:tc>
          <w:tcPr>
            <w:tcW w:w="2440" w:type="dxa"/>
            <w:tcBorders>
              <w:top w:val="single" w:sz="12" w:space="0" w:color="auto"/>
            </w:tcBorders>
            <w:shd w:val="clear" w:color="auto" w:fill="auto"/>
            <w:noWrap/>
            <w:vAlign w:val="bottom"/>
          </w:tcPr>
          <w:p w14:paraId="6EF3B1CD" w14:textId="77777777" w:rsidR="00802880" w:rsidRPr="00802880" w:rsidRDefault="00802880" w:rsidP="00802880">
            <w:pPr>
              <w:suppressAutoHyphens/>
              <w:spacing w:before="40" w:after="40" w:line="210" w:lineRule="exact"/>
              <w:ind w:right="43"/>
              <w:jc w:val="right"/>
              <w:rPr>
                <w:sz w:val="17"/>
              </w:rPr>
            </w:pPr>
          </w:p>
        </w:tc>
      </w:tr>
      <w:tr w:rsidR="005D40D4" w:rsidRPr="00802880" w14:paraId="4ED36886" w14:textId="77777777" w:rsidTr="00802880">
        <w:trPr>
          <w:cantSplit/>
          <w:jc w:val="center"/>
        </w:trPr>
        <w:tc>
          <w:tcPr>
            <w:tcW w:w="2440" w:type="dxa"/>
            <w:shd w:val="clear" w:color="auto" w:fill="auto"/>
            <w:noWrap/>
            <w:vAlign w:val="bottom"/>
          </w:tcPr>
          <w:p w14:paraId="1702131D" w14:textId="77777777" w:rsidR="005D40D4" w:rsidRPr="00802880" w:rsidRDefault="005D40D4" w:rsidP="00802880">
            <w:pPr>
              <w:tabs>
                <w:tab w:val="left" w:pos="288"/>
                <w:tab w:val="left" w:pos="576"/>
                <w:tab w:val="left" w:pos="864"/>
                <w:tab w:val="left" w:pos="1152"/>
              </w:tabs>
              <w:suppressAutoHyphens/>
              <w:spacing w:before="40" w:after="40" w:line="210" w:lineRule="exact"/>
              <w:ind w:right="40"/>
              <w:rPr>
                <w:sz w:val="17"/>
              </w:rPr>
            </w:pPr>
            <w:r w:rsidRPr="00802880">
              <w:rPr>
                <w:sz w:val="17"/>
              </w:rPr>
              <w:t>18-</w:t>
            </w:r>
          </w:p>
        </w:tc>
        <w:tc>
          <w:tcPr>
            <w:tcW w:w="2440" w:type="dxa"/>
            <w:shd w:val="clear" w:color="auto" w:fill="auto"/>
            <w:noWrap/>
            <w:vAlign w:val="bottom"/>
          </w:tcPr>
          <w:p w14:paraId="45A3ECA4" w14:textId="77777777" w:rsidR="005D40D4" w:rsidRPr="00802880" w:rsidRDefault="005D40D4" w:rsidP="00802880">
            <w:pPr>
              <w:tabs>
                <w:tab w:val="left" w:pos="288"/>
                <w:tab w:val="left" w:pos="576"/>
                <w:tab w:val="left" w:pos="864"/>
                <w:tab w:val="left" w:pos="1152"/>
              </w:tabs>
              <w:suppressAutoHyphens/>
              <w:spacing w:before="40" w:after="40" w:line="210" w:lineRule="exact"/>
              <w:ind w:right="43"/>
              <w:jc w:val="right"/>
              <w:rPr>
                <w:sz w:val="17"/>
              </w:rPr>
            </w:pPr>
            <w:r w:rsidRPr="00802880">
              <w:rPr>
                <w:sz w:val="17"/>
              </w:rPr>
              <w:t>623</w:t>
            </w:r>
          </w:p>
        </w:tc>
        <w:tc>
          <w:tcPr>
            <w:tcW w:w="2440" w:type="dxa"/>
            <w:shd w:val="clear" w:color="auto" w:fill="auto"/>
            <w:noWrap/>
            <w:vAlign w:val="bottom"/>
          </w:tcPr>
          <w:p w14:paraId="3CBA36C1" w14:textId="77777777" w:rsidR="005D40D4" w:rsidRPr="00802880" w:rsidRDefault="005D40D4" w:rsidP="00802880">
            <w:pPr>
              <w:tabs>
                <w:tab w:val="left" w:pos="288"/>
                <w:tab w:val="left" w:pos="576"/>
                <w:tab w:val="left" w:pos="864"/>
                <w:tab w:val="left" w:pos="1152"/>
              </w:tabs>
              <w:suppressAutoHyphens/>
              <w:spacing w:before="40" w:after="40" w:line="210" w:lineRule="exact"/>
              <w:ind w:right="43"/>
              <w:jc w:val="right"/>
              <w:rPr>
                <w:sz w:val="17"/>
              </w:rPr>
            </w:pPr>
            <w:r w:rsidRPr="00802880">
              <w:rPr>
                <w:sz w:val="17"/>
              </w:rPr>
              <w:t>640</w:t>
            </w:r>
          </w:p>
        </w:tc>
      </w:tr>
      <w:tr w:rsidR="005D40D4" w:rsidRPr="00802880" w14:paraId="74F36668" w14:textId="77777777" w:rsidTr="00802880">
        <w:trPr>
          <w:cantSplit/>
          <w:jc w:val="center"/>
        </w:trPr>
        <w:tc>
          <w:tcPr>
            <w:tcW w:w="2440" w:type="dxa"/>
            <w:shd w:val="clear" w:color="auto" w:fill="auto"/>
            <w:noWrap/>
            <w:vAlign w:val="bottom"/>
          </w:tcPr>
          <w:p w14:paraId="1F5DB16D" w14:textId="77777777" w:rsidR="005D40D4" w:rsidRPr="00802880" w:rsidRDefault="005D40D4" w:rsidP="00802880">
            <w:pPr>
              <w:tabs>
                <w:tab w:val="left" w:pos="288"/>
                <w:tab w:val="left" w:pos="576"/>
                <w:tab w:val="left" w:pos="864"/>
                <w:tab w:val="left" w:pos="1152"/>
              </w:tabs>
              <w:suppressAutoHyphens/>
              <w:spacing w:before="40" w:after="40" w:line="210" w:lineRule="exact"/>
              <w:ind w:right="40"/>
              <w:rPr>
                <w:sz w:val="17"/>
              </w:rPr>
            </w:pPr>
            <w:r w:rsidRPr="00802880">
              <w:rPr>
                <w:sz w:val="17"/>
              </w:rPr>
              <w:t>18-30</w:t>
            </w:r>
          </w:p>
        </w:tc>
        <w:tc>
          <w:tcPr>
            <w:tcW w:w="2440" w:type="dxa"/>
            <w:shd w:val="clear" w:color="auto" w:fill="auto"/>
            <w:noWrap/>
            <w:vAlign w:val="bottom"/>
          </w:tcPr>
          <w:p w14:paraId="686C66C8" w14:textId="77777777" w:rsidR="005D40D4" w:rsidRPr="00802880" w:rsidRDefault="005D40D4" w:rsidP="00802880">
            <w:pPr>
              <w:tabs>
                <w:tab w:val="left" w:pos="288"/>
                <w:tab w:val="left" w:pos="576"/>
                <w:tab w:val="left" w:pos="864"/>
                <w:tab w:val="left" w:pos="1152"/>
              </w:tabs>
              <w:suppressAutoHyphens/>
              <w:spacing w:before="40" w:after="40" w:line="210" w:lineRule="exact"/>
              <w:ind w:right="43"/>
              <w:jc w:val="right"/>
              <w:rPr>
                <w:sz w:val="17"/>
              </w:rPr>
            </w:pPr>
            <w:r w:rsidRPr="00802880">
              <w:rPr>
                <w:sz w:val="17"/>
              </w:rPr>
              <w:t>425</w:t>
            </w:r>
          </w:p>
        </w:tc>
        <w:tc>
          <w:tcPr>
            <w:tcW w:w="2440" w:type="dxa"/>
            <w:shd w:val="clear" w:color="auto" w:fill="auto"/>
            <w:noWrap/>
            <w:vAlign w:val="bottom"/>
          </w:tcPr>
          <w:p w14:paraId="21AFEBBD" w14:textId="77777777" w:rsidR="005D40D4" w:rsidRPr="00802880" w:rsidRDefault="005D40D4" w:rsidP="00802880">
            <w:pPr>
              <w:tabs>
                <w:tab w:val="left" w:pos="288"/>
                <w:tab w:val="left" w:pos="576"/>
                <w:tab w:val="left" w:pos="864"/>
                <w:tab w:val="left" w:pos="1152"/>
              </w:tabs>
              <w:suppressAutoHyphens/>
              <w:spacing w:before="40" w:after="40" w:line="210" w:lineRule="exact"/>
              <w:ind w:right="43"/>
              <w:jc w:val="right"/>
              <w:rPr>
                <w:sz w:val="17"/>
              </w:rPr>
            </w:pPr>
            <w:r w:rsidRPr="00802880">
              <w:rPr>
                <w:sz w:val="17"/>
              </w:rPr>
              <w:t>2 177</w:t>
            </w:r>
          </w:p>
        </w:tc>
      </w:tr>
      <w:tr w:rsidR="005D40D4" w:rsidRPr="00802880" w14:paraId="658FAC6F" w14:textId="77777777" w:rsidTr="00802880">
        <w:trPr>
          <w:cantSplit/>
          <w:jc w:val="center"/>
        </w:trPr>
        <w:tc>
          <w:tcPr>
            <w:tcW w:w="2440" w:type="dxa"/>
            <w:shd w:val="clear" w:color="auto" w:fill="auto"/>
            <w:noWrap/>
            <w:vAlign w:val="bottom"/>
          </w:tcPr>
          <w:p w14:paraId="38AC9F30" w14:textId="77777777" w:rsidR="005D40D4" w:rsidRPr="00802880" w:rsidRDefault="005D40D4" w:rsidP="00802880">
            <w:pPr>
              <w:tabs>
                <w:tab w:val="left" w:pos="288"/>
                <w:tab w:val="left" w:pos="576"/>
                <w:tab w:val="left" w:pos="864"/>
                <w:tab w:val="left" w:pos="1152"/>
              </w:tabs>
              <w:suppressAutoHyphens/>
              <w:spacing w:before="40" w:after="40" w:line="210" w:lineRule="exact"/>
              <w:ind w:right="40"/>
              <w:rPr>
                <w:sz w:val="17"/>
              </w:rPr>
            </w:pPr>
            <w:r w:rsidRPr="00802880">
              <w:rPr>
                <w:sz w:val="17"/>
              </w:rPr>
              <w:t>30-45</w:t>
            </w:r>
          </w:p>
        </w:tc>
        <w:tc>
          <w:tcPr>
            <w:tcW w:w="2440" w:type="dxa"/>
            <w:shd w:val="clear" w:color="auto" w:fill="auto"/>
            <w:noWrap/>
            <w:vAlign w:val="bottom"/>
          </w:tcPr>
          <w:p w14:paraId="5163D492" w14:textId="77777777" w:rsidR="005D40D4" w:rsidRPr="00802880" w:rsidRDefault="005D40D4" w:rsidP="00802880">
            <w:pPr>
              <w:tabs>
                <w:tab w:val="left" w:pos="288"/>
                <w:tab w:val="left" w:pos="576"/>
                <w:tab w:val="left" w:pos="864"/>
                <w:tab w:val="left" w:pos="1152"/>
              </w:tabs>
              <w:suppressAutoHyphens/>
              <w:spacing w:before="40" w:after="40" w:line="210" w:lineRule="exact"/>
              <w:ind w:right="43"/>
              <w:jc w:val="right"/>
              <w:rPr>
                <w:sz w:val="17"/>
              </w:rPr>
            </w:pPr>
            <w:r w:rsidRPr="00802880">
              <w:rPr>
                <w:sz w:val="17"/>
              </w:rPr>
              <w:t>319</w:t>
            </w:r>
          </w:p>
        </w:tc>
        <w:tc>
          <w:tcPr>
            <w:tcW w:w="2440" w:type="dxa"/>
            <w:shd w:val="clear" w:color="auto" w:fill="auto"/>
            <w:noWrap/>
            <w:vAlign w:val="bottom"/>
          </w:tcPr>
          <w:p w14:paraId="7DDEC099" w14:textId="77777777" w:rsidR="005D40D4" w:rsidRPr="00802880" w:rsidRDefault="005D40D4" w:rsidP="00802880">
            <w:pPr>
              <w:tabs>
                <w:tab w:val="left" w:pos="288"/>
                <w:tab w:val="left" w:pos="576"/>
                <w:tab w:val="left" w:pos="864"/>
                <w:tab w:val="left" w:pos="1152"/>
              </w:tabs>
              <w:suppressAutoHyphens/>
              <w:spacing w:before="40" w:after="40" w:line="210" w:lineRule="exact"/>
              <w:ind w:right="43"/>
              <w:jc w:val="right"/>
              <w:rPr>
                <w:sz w:val="17"/>
              </w:rPr>
            </w:pPr>
            <w:r w:rsidRPr="00802880">
              <w:rPr>
                <w:sz w:val="17"/>
              </w:rPr>
              <w:t>3 441</w:t>
            </w:r>
          </w:p>
        </w:tc>
      </w:tr>
      <w:tr w:rsidR="005D40D4" w:rsidRPr="00802880" w14:paraId="5B2A3A6E" w14:textId="77777777" w:rsidTr="00802880">
        <w:trPr>
          <w:cantSplit/>
          <w:jc w:val="center"/>
        </w:trPr>
        <w:tc>
          <w:tcPr>
            <w:tcW w:w="2440" w:type="dxa"/>
            <w:tcBorders>
              <w:bottom w:val="single" w:sz="4" w:space="0" w:color="auto"/>
            </w:tcBorders>
            <w:shd w:val="clear" w:color="auto" w:fill="auto"/>
            <w:noWrap/>
            <w:vAlign w:val="bottom"/>
          </w:tcPr>
          <w:p w14:paraId="53D70C18" w14:textId="77777777" w:rsidR="005D40D4" w:rsidRPr="00802880" w:rsidRDefault="005D40D4" w:rsidP="00802880">
            <w:pPr>
              <w:tabs>
                <w:tab w:val="left" w:pos="288"/>
                <w:tab w:val="left" w:pos="576"/>
                <w:tab w:val="left" w:pos="864"/>
                <w:tab w:val="left" w:pos="1152"/>
              </w:tabs>
              <w:suppressAutoHyphens/>
              <w:spacing w:before="40" w:after="81" w:line="210" w:lineRule="exact"/>
              <w:ind w:right="40"/>
              <w:rPr>
                <w:sz w:val="17"/>
              </w:rPr>
            </w:pPr>
            <w:r w:rsidRPr="00802880">
              <w:rPr>
                <w:sz w:val="17"/>
              </w:rPr>
              <w:t>45+</w:t>
            </w:r>
          </w:p>
        </w:tc>
        <w:tc>
          <w:tcPr>
            <w:tcW w:w="2440" w:type="dxa"/>
            <w:tcBorders>
              <w:bottom w:val="single" w:sz="4" w:space="0" w:color="auto"/>
            </w:tcBorders>
            <w:shd w:val="clear" w:color="auto" w:fill="auto"/>
            <w:noWrap/>
            <w:vAlign w:val="bottom"/>
          </w:tcPr>
          <w:p w14:paraId="7BF7D287" w14:textId="77777777" w:rsidR="005D40D4" w:rsidRPr="00802880" w:rsidRDefault="005D40D4" w:rsidP="00802880">
            <w:pPr>
              <w:tabs>
                <w:tab w:val="left" w:pos="288"/>
                <w:tab w:val="left" w:pos="576"/>
                <w:tab w:val="left" w:pos="864"/>
                <w:tab w:val="left" w:pos="1152"/>
              </w:tabs>
              <w:suppressAutoHyphens/>
              <w:spacing w:before="40" w:after="81" w:line="210" w:lineRule="exact"/>
              <w:ind w:right="43"/>
              <w:jc w:val="right"/>
              <w:rPr>
                <w:sz w:val="17"/>
              </w:rPr>
            </w:pPr>
            <w:r w:rsidRPr="00802880">
              <w:rPr>
                <w:sz w:val="17"/>
              </w:rPr>
              <w:t>131</w:t>
            </w:r>
          </w:p>
        </w:tc>
        <w:tc>
          <w:tcPr>
            <w:tcW w:w="2440" w:type="dxa"/>
            <w:tcBorders>
              <w:bottom w:val="single" w:sz="4" w:space="0" w:color="auto"/>
            </w:tcBorders>
            <w:shd w:val="clear" w:color="auto" w:fill="auto"/>
            <w:noWrap/>
            <w:vAlign w:val="bottom"/>
          </w:tcPr>
          <w:p w14:paraId="6D546EC4" w14:textId="77777777" w:rsidR="005D40D4" w:rsidRPr="00802880" w:rsidRDefault="005D40D4" w:rsidP="00802880">
            <w:pPr>
              <w:tabs>
                <w:tab w:val="left" w:pos="288"/>
                <w:tab w:val="left" w:pos="576"/>
                <w:tab w:val="left" w:pos="864"/>
                <w:tab w:val="left" w:pos="1152"/>
              </w:tabs>
              <w:suppressAutoHyphens/>
              <w:spacing w:before="40" w:after="81" w:line="210" w:lineRule="exact"/>
              <w:ind w:right="43"/>
              <w:jc w:val="right"/>
              <w:rPr>
                <w:sz w:val="17"/>
              </w:rPr>
            </w:pPr>
            <w:r w:rsidRPr="00802880">
              <w:rPr>
                <w:sz w:val="17"/>
              </w:rPr>
              <w:t>2 033</w:t>
            </w:r>
          </w:p>
        </w:tc>
      </w:tr>
      <w:tr w:rsidR="005D40D4" w:rsidRPr="00802880" w14:paraId="686413B5" w14:textId="77777777" w:rsidTr="00802880">
        <w:trPr>
          <w:cantSplit/>
          <w:jc w:val="center"/>
        </w:trPr>
        <w:tc>
          <w:tcPr>
            <w:tcW w:w="2440" w:type="dxa"/>
            <w:tcBorders>
              <w:top w:val="single" w:sz="4" w:space="0" w:color="auto"/>
              <w:bottom w:val="single" w:sz="12" w:space="0" w:color="auto"/>
            </w:tcBorders>
            <w:shd w:val="clear" w:color="auto" w:fill="auto"/>
            <w:noWrap/>
            <w:vAlign w:val="bottom"/>
          </w:tcPr>
          <w:p w14:paraId="7E107715" w14:textId="0A2E141F" w:rsidR="005D40D4" w:rsidRPr="00802880" w:rsidRDefault="00802880" w:rsidP="00802880">
            <w:pPr>
              <w:tabs>
                <w:tab w:val="left" w:pos="288"/>
                <w:tab w:val="left" w:pos="576"/>
                <w:tab w:val="left" w:pos="864"/>
                <w:tab w:val="left" w:pos="1152"/>
              </w:tabs>
              <w:suppressAutoHyphens/>
              <w:spacing w:before="81" w:after="81" w:line="210" w:lineRule="exact"/>
              <w:ind w:right="40"/>
              <w:rPr>
                <w:b/>
                <w:sz w:val="17"/>
              </w:rPr>
            </w:pPr>
            <w:r>
              <w:rPr>
                <w:b/>
                <w:sz w:val="17"/>
              </w:rPr>
              <w:tab/>
            </w:r>
            <w:r w:rsidR="005D40D4" w:rsidRPr="00802880">
              <w:rPr>
                <w:b/>
                <w:sz w:val="17"/>
              </w:rPr>
              <w:t>Total</w:t>
            </w:r>
          </w:p>
        </w:tc>
        <w:tc>
          <w:tcPr>
            <w:tcW w:w="2440" w:type="dxa"/>
            <w:tcBorders>
              <w:top w:val="single" w:sz="4" w:space="0" w:color="auto"/>
              <w:bottom w:val="single" w:sz="12" w:space="0" w:color="auto"/>
            </w:tcBorders>
            <w:shd w:val="clear" w:color="auto" w:fill="auto"/>
            <w:noWrap/>
            <w:vAlign w:val="bottom"/>
          </w:tcPr>
          <w:p w14:paraId="58B55AC3" w14:textId="77777777" w:rsidR="005D40D4" w:rsidRPr="00802880" w:rsidRDefault="005D40D4" w:rsidP="00802880">
            <w:pPr>
              <w:tabs>
                <w:tab w:val="left" w:pos="288"/>
                <w:tab w:val="left" w:pos="576"/>
                <w:tab w:val="left" w:pos="864"/>
                <w:tab w:val="left" w:pos="1152"/>
              </w:tabs>
              <w:suppressAutoHyphens/>
              <w:spacing w:before="81" w:after="81" w:line="210" w:lineRule="exact"/>
              <w:ind w:right="43"/>
              <w:jc w:val="right"/>
              <w:rPr>
                <w:b/>
                <w:sz w:val="17"/>
              </w:rPr>
            </w:pPr>
            <w:r w:rsidRPr="00802880">
              <w:rPr>
                <w:b/>
                <w:sz w:val="17"/>
              </w:rPr>
              <w:t>1 498</w:t>
            </w:r>
          </w:p>
        </w:tc>
        <w:tc>
          <w:tcPr>
            <w:tcW w:w="2440" w:type="dxa"/>
            <w:tcBorders>
              <w:top w:val="single" w:sz="4" w:space="0" w:color="auto"/>
              <w:bottom w:val="single" w:sz="12" w:space="0" w:color="auto"/>
            </w:tcBorders>
            <w:shd w:val="clear" w:color="auto" w:fill="auto"/>
            <w:noWrap/>
            <w:vAlign w:val="bottom"/>
          </w:tcPr>
          <w:p w14:paraId="4067C7AD" w14:textId="77777777" w:rsidR="005D40D4" w:rsidRPr="00802880" w:rsidRDefault="005D40D4" w:rsidP="00802880">
            <w:pPr>
              <w:tabs>
                <w:tab w:val="left" w:pos="288"/>
                <w:tab w:val="left" w:pos="576"/>
                <w:tab w:val="left" w:pos="864"/>
                <w:tab w:val="left" w:pos="1152"/>
              </w:tabs>
              <w:suppressAutoHyphens/>
              <w:spacing w:before="81" w:after="81" w:line="210" w:lineRule="exact"/>
              <w:ind w:right="43"/>
              <w:jc w:val="right"/>
              <w:rPr>
                <w:b/>
                <w:sz w:val="17"/>
              </w:rPr>
            </w:pPr>
            <w:r w:rsidRPr="00802880">
              <w:rPr>
                <w:b/>
                <w:sz w:val="17"/>
              </w:rPr>
              <w:t>8 291</w:t>
            </w:r>
          </w:p>
        </w:tc>
      </w:tr>
    </w:tbl>
    <w:p w14:paraId="77907480" w14:textId="24C6ABA6" w:rsidR="005D40D4" w:rsidRPr="00802880" w:rsidRDefault="005D40D4" w:rsidP="00802880">
      <w:pPr>
        <w:pStyle w:val="SingleTxt"/>
        <w:spacing w:after="0" w:line="120" w:lineRule="exact"/>
        <w:rPr>
          <w:sz w:val="10"/>
          <w:lang w:val="fr-FR"/>
        </w:rPr>
      </w:pPr>
    </w:p>
    <w:p w14:paraId="74B3D698" w14:textId="323C7683" w:rsidR="00802880" w:rsidRPr="00802880" w:rsidRDefault="00802880" w:rsidP="00802880">
      <w:pPr>
        <w:pStyle w:val="SingleTxt"/>
        <w:spacing w:after="0" w:line="120" w:lineRule="exact"/>
        <w:rPr>
          <w:sz w:val="10"/>
          <w:lang w:val="fr-FR"/>
        </w:rPr>
      </w:pPr>
    </w:p>
    <w:p w14:paraId="57698349" w14:textId="411AD357" w:rsidR="005D40D4" w:rsidRPr="005D40D4" w:rsidRDefault="005D40D4" w:rsidP="00802880">
      <w:pPr>
        <w:pStyle w:val="SingleTxt"/>
        <w:numPr>
          <w:ilvl w:val="0"/>
          <w:numId w:val="50"/>
        </w:numPr>
        <w:spacing w:line="240" w:lineRule="exact"/>
        <w:rPr>
          <w:lang w:val="fr-FR"/>
        </w:rPr>
      </w:pPr>
      <w:r w:rsidRPr="005D40D4">
        <w:rPr>
          <w:lang w:val="fr-FR"/>
        </w:rPr>
        <w:t>Des mécanismes de prise en charge des femmes victimes de violence ont été mise en place. À l</w:t>
      </w:r>
      <w:r w:rsidR="00F1794C" w:rsidRPr="00F1794C">
        <w:rPr>
          <w:lang w:val="fr-FR"/>
        </w:rPr>
        <w:t>’</w:t>
      </w:r>
      <w:r w:rsidRPr="005D40D4">
        <w:rPr>
          <w:lang w:val="fr-FR"/>
        </w:rPr>
        <w:t>échelle nationale, 88 cellules d</w:t>
      </w:r>
      <w:r w:rsidR="00F1794C" w:rsidRPr="00F1794C">
        <w:rPr>
          <w:lang w:val="fr-FR"/>
        </w:rPr>
        <w:t>’</w:t>
      </w:r>
      <w:r w:rsidRPr="005D40D4">
        <w:rPr>
          <w:lang w:val="fr-FR"/>
        </w:rPr>
        <w:t>accueil ont été créées dans les tribunaux de première instance. Elles proposent des services d</w:t>
      </w:r>
      <w:r w:rsidR="00F1794C" w:rsidRPr="00F1794C">
        <w:rPr>
          <w:lang w:val="fr-FR"/>
        </w:rPr>
        <w:t>’</w:t>
      </w:r>
      <w:r w:rsidRPr="005D40D4">
        <w:rPr>
          <w:lang w:val="fr-FR"/>
        </w:rPr>
        <w:t>écoute et un soutien psychologique aux victimes. Un plan visant à améliorer l</w:t>
      </w:r>
      <w:r w:rsidR="00F1794C" w:rsidRPr="00F1794C">
        <w:rPr>
          <w:lang w:val="fr-FR"/>
        </w:rPr>
        <w:t>’</w:t>
      </w:r>
      <w:r w:rsidRPr="005D40D4">
        <w:rPr>
          <w:lang w:val="fr-FR"/>
        </w:rPr>
        <w:t>activité judiciaire est appliqué et actualisé chaque année. Il est axé sur le renforcement des capacités des personnes travaillant dans les cellules de prise en charge. De plus, des assistants sociaux ont été nommés. Leur nombre est passé de 81 en 2008 à 298 en 2015, soit une hausse de 268</w:t>
      </w:r>
      <w:r w:rsidR="00F1794C" w:rsidRPr="00F1794C">
        <w:rPr>
          <w:lang w:val="fr-FR"/>
        </w:rPr>
        <w:t> %</w:t>
      </w:r>
      <w:r w:rsidRPr="005D40D4">
        <w:rPr>
          <w:lang w:val="fr-FR"/>
        </w:rPr>
        <w:t xml:space="preserve">. Dans les sections des affaires familiales, des espaces sont réservés aux enfants. Les assistantes sociales partagent leur expérience dans les différentes sections et suivent une formation continue dans le domaine des enquêtes sociales, notamment en ce qui concerne le mariage des mineurs. </w:t>
      </w:r>
    </w:p>
    <w:p w14:paraId="48696574" w14:textId="75A538EF" w:rsidR="00802880" w:rsidRPr="00802880" w:rsidRDefault="00802880" w:rsidP="00802880">
      <w:pPr>
        <w:pStyle w:val="SingleTxt"/>
        <w:spacing w:after="0" w:line="120" w:lineRule="exact"/>
        <w:rPr>
          <w:sz w:val="10"/>
          <w:lang w:val="fr-FR"/>
        </w:rPr>
      </w:pPr>
    </w:p>
    <w:p w14:paraId="741E710D" w14:textId="492A7507" w:rsidR="00802880" w:rsidRDefault="00802880" w:rsidP="00802880">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5D40D4" w:rsidRPr="005D40D4">
        <w:rPr>
          <w:lang w:val="fr-FR"/>
        </w:rPr>
        <w:t>Tableau 18</w:t>
      </w:r>
    </w:p>
    <w:p w14:paraId="05DE707F" w14:textId="7D71F528" w:rsidR="005D40D4" w:rsidRPr="005D40D4" w:rsidRDefault="00802880" w:rsidP="0080288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5D40D4" w:rsidRPr="005D40D4">
        <w:rPr>
          <w:lang w:val="fr-FR"/>
        </w:rPr>
        <w:t>Augmentation du nombre d</w:t>
      </w:r>
      <w:r w:rsidR="00F1794C" w:rsidRPr="00F1794C">
        <w:rPr>
          <w:lang w:val="fr-FR"/>
        </w:rPr>
        <w:t>’</w:t>
      </w:r>
      <w:r w:rsidR="005D40D4" w:rsidRPr="005D40D4">
        <w:rPr>
          <w:lang w:val="fr-FR"/>
        </w:rPr>
        <w:t>assistants sociaux employés au Ministère de</w:t>
      </w:r>
      <w:r>
        <w:rPr>
          <w:lang w:val="fr-FR"/>
        </w:rPr>
        <w:t> </w:t>
      </w:r>
      <w:r w:rsidR="005D40D4" w:rsidRPr="00802880">
        <w:t>la</w:t>
      </w:r>
      <w:r>
        <w:t> </w:t>
      </w:r>
      <w:r w:rsidR="005D40D4" w:rsidRPr="00802880">
        <w:t>justice</w:t>
      </w:r>
    </w:p>
    <w:p w14:paraId="71328B1B" w14:textId="17D6ECC8" w:rsidR="005D40D4" w:rsidRPr="00802880" w:rsidRDefault="005D40D4" w:rsidP="00802880">
      <w:pPr>
        <w:pStyle w:val="SingleTxt"/>
        <w:spacing w:after="0" w:line="120" w:lineRule="exact"/>
        <w:rPr>
          <w:sz w:val="10"/>
          <w:lang w:val="fr-FR"/>
        </w:rPr>
      </w:pPr>
    </w:p>
    <w:p w14:paraId="2B4661D7" w14:textId="46243CE3" w:rsidR="00802880" w:rsidRPr="00802880" w:rsidRDefault="00802880" w:rsidP="00802880">
      <w:pPr>
        <w:pStyle w:val="SingleTxt"/>
        <w:spacing w:after="0" w:line="120" w:lineRule="exact"/>
        <w:rPr>
          <w:sz w:val="10"/>
          <w:lang w:val="fr-FR"/>
        </w:rPr>
      </w:pPr>
    </w:p>
    <w:tbl>
      <w:tblPr>
        <w:tblStyle w:val="Grilledutableau1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40"/>
        <w:gridCol w:w="2440"/>
        <w:gridCol w:w="2440"/>
      </w:tblGrid>
      <w:tr w:rsidR="005D40D4" w:rsidRPr="00802880" w14:paraId="65997EBA" w14:textId="77777777" w:rsidTr="00802880">
        <w:trPr>
          <w:cantSplit/>
          <w:tblHeader/>
          <w:jc w:val="center"/>
        </w:trPr>
        <w:tc>
          <w:tcPr>
            <w:tcW w:w="2440" w:type="dxa"/>
            <w:tcBorders>
              <w:top w:val="single" w:sz="4" w:space="0" w:color="auto"/>
              <w:bottom w:val="single" w:sz="12" w:space="0" w:color="auto"/>
            </w:tcBorders>
            <w:shd w:val="clear" w:color="auto" w:fill="auto"/>
            <w:noWrap/>
            <w:vAlign w:val="bottom"/>
          </w:tcPr>
          <w:p w14:paraId="61265E1D" w14:textId="77777777" w:rsidR="005D40D4" w:rsidRPr="00802880" w:rsidRDefault="005D40D4" w:rsidP="00802880">
            <w:pPr>
              <w:suppressAutoHyphens/>
              <w:spacing w:before="81" w:after="81" w:line="160" w:lineRule="exact"/>
              <w:ind w:right="40"/>
              <w:rPr>
                <w:i/>
                <w:sz w:val="14"/>
              </w:rPr>
            </w:pPr>
            <w:r w:rsidRPr="00802880">
              <w:rPr>
                <w:i/>
                <w:sz w:val="14"/>
              </w:rPr>
              <w:t>Année</w:t>
            </w:r>
          </w:p>
        </w:tc>
        <w:tc>
          <w:tcPr>
            <w:tcW w:w="2440" w:type="dxa"/>
            <w:tcBorders>
              <w:top w:val="single" w:sz="4" w:space="0" w:color="auto"/>
              <w:bottom w:val="single" w:sz="12" w:space="0" w:color="auto"/>
            </w:tcBorders>
            <w:shd w:val="clear" w:color="auto" w:fill="auto"/>
            <w:noWrap/>
            <w:vAlign w:val="bottom"/>
          </w:tcPr>
          <w:p w14:paraId="17F56C9C" w14:textId="53EF29ED" w:rsidR="005D40D4" w:rsidRPr="00802880" w:rsidRDefault="005D40D4" w:rsidP="00802880">
            <w:pPr>
              <w:suppressAutoHyphens/>
              <w:spacing w:before="81" w:after="81" w:line="160" w:lineRule="exact"/>
              <w:ind w:right="43"/>
              <w:jc w:val="right"/>
              <w:rPr>
                <w:i/>
                <w:sz w:val="14"/>
              </w:rPr>
            </w:pPr>
            <w:r w:rsidRPr="00802880">
              <w:rPr>
                <w:i/>
                <w:sz w:val="14"/>
              </w:rPr>
              <w:t>Nombre d</w:t>
            </w:r>
            <w:r w:rsidR="00F1794C" w:rsidRPr="00802880">
              <w:rPr>
                <w:i/>
                <w:sz w:val="14"/>
              </w:rPr>
              <w:t>’</w:t>
            </w:r>
            <w:r w:rsidRPr="00802880">
              <w:rPr>
                <w:i/>
                <w:sz w:val="14"/>
              </w:rPr>
              <w:t>assistants sociaux</w:t>
            </w:r>
          </w:p>
        </w:tc>
        <w:tc>
          <w:tcPr>
            <w:tcW w:w="2440" w:type="dxa"/>
            <w:tcBorders>
              <w:top w:val="single" w:sz="4" w:space="0" w:color="auto"/>
              <w:bottom w:val="single" w:sz="12" w:space="0" w:color="auto"/>
            </w:tcBorders>
            <w:shd w:val="clear" w:color="auto" w:fill="auto"/>
            <w:noWrap/>
            <w:vAlign w:val="bottom"/>
          </w:tcPr>
          <w:p w14:paraId="3D5449A1" w14:textId="77777777" w:rsidR="005D40D4" w:rsidRPr="00802880" w:rsidRDefault="005D40D4" w:rsidP="00802880">
            <w:pPr>
              <w:suppressAutoHyphens/>
              <w:spacing w:before="81" w:after="81" w:line="160" w:lineRule="exact"/>
              <w:ind w:right="43"/>
              <w:jc w:val="right"/>
              <w:rPr>
                <w:i/>
                <w:sz w:val="14"/>
              </w:rPr>
            </w:pPr>
            <w:r w:rsidRPr="00802880">
              <w:rPr>
                <w:i/>
                <w:sz w:val="14"/>
              </w:rPr>
              <w:t>Augmentation (en pourcentage)</w:t>
            </w:r>
          </w:p>
        </w:tc>
      </w:tr>
      <w:tr w:rsidR="00802880" w:rsidRPr="00802880" w14:paraId="7E2A4557" w14:textId="77777777" w:rsidTr="00802880">
        <w:trPr>
          <w:cantSplit/>
          <w:trHeight w:hRule="exact" w:val="115"/>
          <w:tblHeader/>
          <w:jc w:val="center"/>
        </w:trPr>
        <w:tc>
          <w:tcPr>
            <w:tcW w:w="2440" w:type="dxa"/>
            <w:tcBorders>
              <w:top w:val="single" w:sz="12" w:space="0" w:color="auto"/>
            </w:tcBorders>
            <w:shd w:val="clear" w:color="auto" w:fill="auto"/>
            <w:noWrap/>
            <w:vAlign w:val="bottom"/>
          </w:tcPr>
          <w:p w14:paraId="6929C697" w14:textId="77777777" w:rsidR="00802880" w:rsidRPr="00802880" w:rsidRDefault="00802880" w:rsidP="00802880">
            <w:pPr>
              <w:suppressAutoHyphens/>
              <w:spacing w:before="40" w:after="40" w:line="210" w:lineRule="exact"/>
              <w:ind w:right="40"/>
              <w:rPr>
                <w:sz w:val="17"/>
              </w:rPr>
            </w:pPr>
          </w:p>
        </w:tc>
        <w:tc>
          <w:tcPr>
            <w:tcW w:w="2440" w:type="dxa"/>
            <w:tcBorders>
              <w:top w:val="single" w:sz="12" w:space="0" w:color="auto"/>
            </w:tcBorders>
            <w:shd w:val="clear" w:color="auto" w:fill="auto"/>
            <w:noWrap/>
            <w:vAlign w:val="bottom"/>
          </w:tcPr>
          <w:p w14:paraId="02B478A9" w14:textId="77777777" w:rsidR="00802880" w:rsidRPr="00802880" w:rsidRDefault="00802880" w:rsidP="00802880">
            <w:pPr>
              <w:suppressAutoHyphens/>
              <w:spacing w:before="40" w:after="40" w:line="210" w:lineRule="exact"/>
              <w:ind w:right="43"/>
              <w:jc w:val="right"/>
              <w:rPr>
                <w:sz w:val="17"/>
              </w:rPr>
            </w:pPr>
          </w:p>
        </w:tc>
        <w:tc>
          <w:tcPr>
            <w:tcW w:w="2440" w:type="dxa"/>
            <w:tcBorders>
              <w:top w:val="single" w:sz="12" w:space="0" w:color="auto"/>
            </w:tcBorders>
            <w:shd w:val="clear" w:color="auto" w:fill="auto"/>
            <w:noWrap/>
            <w:vAlign w:val="bottom"/>
          </w:tcPr>
          <w:p w14:paraId="60858ACA" w14:textId="77777777" w:rsidR="00802880" w:rsidRPr="00802880" w:rsidRDefault="00802880" w:rsidP="00802880">
            <w:pPr>
              <w:suppressAutoHyphens/>
              <w:spacing w:before="40" w:after="40" w:line="210" w:lineRule="exact"/>
              <w:ind w:right="43"/>
              <w:jc w:val="right"/>
              <w:rPr>
                <w:sz w:val="17"/>
              </w:rPr>
            </w:pPr>
          </w:p>
        </w:tc>
      </w:tr>
      <w:tr w:rsidR="005D40D4" w:rsidRPr="00802880" w14:paraId="14595354" w14:textId="77777777" w:rsidTr="00802880">
        <w:trPr>
          <w:cantSplit/>
          <w:jc w:val="center"/>
        </w:trPr>
        <w:tc>
          <w:tcPr>
            <w:tcW w:w="2440" w:type="dxa"/>
            <w:shd w:val="clear" w:color="auto" w:fill="auto"/>
            <w:noWrap/>
            <w:vAlign w:val="bottom"/>
          </w:tcPr>
          <w:p w14:paraId="4C9F8C39" w14:textId="77777777" w:rsidR="005D40D4" w:rsidRPr="00802880" w:rsidRDefault="005D40D4" w:rsidP="00802880">
            <w:pPr>
              <w:tabs>
                <w:tab w:val="left" w:pos="288"/>
                <w:tab w:val="left" w:pos="576"/>
                <w:tab w:val="left" w:pos="864"/>
                <w:tab w:val="left" w:pos="1152"/>
              </w:tabs>
              <w:suppressAutoHyphens/>
              <w:spacing w:before="40" w:after="40" w:line="210" w:lineRule="exact"/>
              <w:ind w:right="40"/>
              <w:rPr>
                <w:sz w:val="17"/>
              </w:rPr>
            </w:pPr>
            <w:r w:rsidRPr="00802880">
              <w:rPr>
                <w:sz w:val="17"/>
              </w:rPr>
              <w:t>2008</w:t>
            </w:r>
          </w:p>
        </w:tc>
        <w:tc>
          <w:tcPr>
            <w:tcW w:w="2440" w:type="dxa"/>
            <w:shd w:val="clear" w:color="auto" w:fill="auto"/>
            <w:noWrap/>
            <w:vAlign w:val="bottom"/>
          </w:tcPr>
          <w:p w14:paraId="1FD33AB4" w14:textId="77777777" w:rsidR="005D40D4" w:rsidRPr="00802880" w:rsidRDefault="005D40D4" w:rsidP="00802880">
            <w:pPr>
              <w:tabs>
                <w:tab w:val="left" w:pos="288"/>
                <w:tab w:val="left" w:pos="576"/>
                <w:tab w:val="left" w:pos="864"/>
                <w:tab w:val="left" w:pos="1152"/>
              </w:tabs>
              <w:suppressAutoHyphens/>
              <w:spacing w:before="40" w:after="40" w:line="210" w:lineRule="exact"/>
              <w:ind w:right="43"/>
              <w:jc w:val="right"/>
              <w:rPr>
                <w:sz w:val="17"/>
              </w:rPr>
            </w:pPr>
            <w:r w:rsidRPr="00802880">
              <w:rPr>
                <w:sz w:val="17"/>
              </w:rPr>
              <w:t>81</w:t>
            </w:r>
          </w:p>
        </w:tc>
        <w:tc>
          <w:tcPr>
            <w:tcW w:w="2440" w:type="dxa"/>
            <w:shd w:val="clear" w:color="auto" w:fill="auto"/>
            <w:noWrap/>
            <w:vAlign w:val="bottom"/>
          </w:tcPr>
          <w:p w14:paraId="057FD69F" w14:textId="77777777" w:rsidR="005D40D4" w:rsidRPr="00802880" w:rsidRDefault="005D40D4" w:rsidP="00802880">
            <w:pPr>
              <w:tabs>
                <w:tab w:val="left" w:pos="288"/>
                <w:tab w:val="left" w:pos="576"/>
                <w:tab w:val="left" w:pos="864"/>
                <w:tab w:val="left" w:pos="1152"/>
              </w:tabs>
              <w:suppressAutoHyphens/>
              <w:spacing w:before="40" w:after="40" w:line="210" w:lineRule="exact"/>
              <w:ind w:right="43"/>
              <w:jc w:val="right"/>
              <w:rPr>
                <w:sz w:val="17"/>
              </w:rPr>
            </w:pPr>
          </w:p>
        </w:tc>
      </w:tr>
      <w:tr w:rsidR="005D40D4" w:rsidRPr="00802880" w14:paraId="044F89E0" w14:textId="77777777" w:rsidTr="00802880">
        <w:trPr>
          <w:cantSplit/>
          <w:jc w:val="center"/>
        </w:trPr>
        <w:tc>
          <w:tcPr>
            <w:tcW w:w="2440" w:type="dxa"/>
            <w:shd w:val="clear" w:color="auto" w:fill="auto"/>
            <w:noWrap/>
            <w:vAlign w:val="bottom"/>
          </w:tcPr>
          <w:p w14:paraId="41DE6E85" w14:textId="77777777" w:rsidR="005D40D4" w:rsidRPr="00802880" w:rsidRDefault="005D40D4" w:rsidP="00802880">
            <w:pPr>
              <w:tabs>
                <w:tab w:val="left" w:pos="288"/>
                <w:tab w:val="left" w:pos="576"/>
                <w:tab w:val="left" w:pos="864"/>
                <w:tab w:val="left" w:pos="1152"/>
              </w:tabs>
              <w:suppressAutoHyphens/>
              <w:spacing w:before="40" w:after="40" w:line="210" w:lineRule="exact"/>
              <w:ind w:right="40"/>
              <w:rPr>
                <w:sz w:val="17"/>
              </w:rPr>
            </w:pPr>
            <w:r w:rsidRPr="00802880">
              <w:rPr>
                <w:sz w:val="17"/>
              </w:rPr>
              <w:t>2010</w:t>
            </w:r>
          </w:p>
        </w:tc>
        <w:tc>
          <w:tcPr>
            <w:tcW w:w="2440" w:type="dxa"/>
            <w:shd w:val="clear" w:color="auto" w:fill="auto"/>
            <w:noWrap/>
            <w:vAlign w:val="bottom"/>
          </w:tcPr>
          <w:p w14:paraId="0D42B637" w14:textId="77777777" w:rsidR="005D40D4" w:rsidRPr="00802880" w:rsidRDefault="005D40D4" w:rsidP="00802880">
            <w:pPr>
              <w:tabs>
                <w:tab w:val="left" w:pos="288"/>
                <w:tab w:val="left" w:pos="576"/>
                <w:tab w:val="left" w:pos="864"/>
                <w:tab w:val="left" w:pos="1152"/>
              </w:tabs>
              <w:suppressAutoHyphens/>
              <w:spacing w:before="40" w:after="40" w:line="210" w:lineRule="exact"/>
              <w:ind w:right="43"/>
              <w:jc w:val="right"/>
              <w:rPr>
                <w:sz w:val="17"/>
              </w:rPr>
            </w:pPr>
            <w:r w:rsidRPr="00802880">
              <w:rPr>
                <w:sz w:val="17"/>
              </w:rPr>
              <w:t>105</w:t>
            </w:r>
          </w:p>
        </w:tc>
        <w:tc>
          <w:tcPr>
            <w:tcW w:w="2440" w:type="dxa"/>
            <w:shd w:val="clear" w:color="auto" w:fill="auto"/>
            <w:noWrap/>
            <w:vAlign w:val="bottom"/>
          </w:tcPr>
          <w:p w14:paraId="535523E9" w14:textId="77777777" w:rsidR="005D40D4" w:rsidRPr="00802880" w:rsidRDefault="005D40D4" w:rsidP="00802880">
            <w:pPr>
              <w:tabs>
                <w:tab w:val="left" w:pos="288"/>
                <w:tab w:val="left" w:pos="576"/>
                <w:tab w:val="left" w:pos="864"/>
                <w:tab w:val="left" w:pos="1152"/>
              </w:tabs>
              <w:suppressAutoHyphens/>
              <w:spacing w:before="40" w:after="40" w:line="210" w:lineRule="exact"/>
              <w:ind w:right="43"/>
              <w:jc w:val="right"/>
              <w:rPr>
                <w:sz w:val="17"/>
              </w:rPr>
            </w:pPr>
            <w:r w:rsidRPr="00802880">
              <w:rPr>
                <w:sz w:val="17"/>
              </w:rPr>
              <w:t>30</w:t>
            </w:r>
          </w:p>
        </w:tc>
      </w:tr>
      <w:tr w:rsidR="005D40D4" w:rsidRPr="00802880" w14:paraId="660B69A6" w14:textId="77777777" w:rsidTr="00802880">
        <w:trPr>
          <w:cantSplit/>
          <w:jc w:val="center"/>
        </w:trPr>
        <w:tc>
          <w:tcPr>
            <w:tcW w:w="2440" w:type="dxa"/>
            <w:shd w:val="clear" w:color="auto" w:fill="auto"/>
            <w:noWrap/>
            <w:vAlign w:val="bottom"/>
          </w:tcPr>
          <w:p w14:paraId="7A68FCE3" w14:textId="77777777" w:rsidR="005D40D4" w:rsidRPr="00802880" w:rsidRDefault="005D40D4" w:rsidP="00802880">
            <w:pPr>
              <w:tabs>
                <w:tab w:val="left" w:pos="288"/>
                <w:tab w:val="left" w:pos="576"/>
                <w:tab w:val="left" w:pos="864"/>
                <w:tab w:val="left" w:pos="1152"/>
              </w:tabs>
              <w:suppressAutoHyphens/>
              <w:spacing w:before="40" w:after="40" w:line="210" w:lineRule="exact"/>
              <w:ind w:right="40"/>
              <w:rPr>
                <w:sz w:val="17"/>
              </w:rPr>
            </w:pPr>
            <w:r w:rsidRPr="00802880">
              <w:rPr>
                <w:sz w:val="17"/>
              </w:rPr>
              <w:t>2011</w:t>
            </w:r>
          </w:p>
        </w:tc>
        <w:tc>
          <w:tcPr>
            <w:tcW w:w="2440" w:type="dxa"/>
            <w:shd w:val="clear" w:color="auto" w:fill="auto"/>
            <w:noWrap/>
            <w:vAlign w:val="bottom"/>
          </w:tcPr>
          <w:p w14:paraId="28BA783E" w14:textId="77777777" w:rsidR="005D40D4" w:rsidRPr="00802880" w:rsidRDefault="005D40D4" w:rsidP="00802880">
            <w:pPr>
              <w:tabs>
                <w:tab w:val="left" w:pos="288"/>
                <w:tab w:val="left" w:pos="576"/>
                <w:tab w:val="left" w:pos="864"/>
                <w:tab w:val="left" w:pos="1152"/>
              </w:tabs>
              <w:suppressAutoHyphens/>
              <w:spacing w:before="40" w:after="40" w:line="210" w:lineRule="exact"/>
              <w:ind w:right="43"/>
              <w:jc w:val="right"/>
              <w:rPr>
                <w:sz w:val="17"/>
              </w:rPr>
            </w:pPr>
            <w:r w:rsidRPr="00802880">
              <w:rPr>
                <w:sz w:val="17"/>
              </w:rPr>
              <w:t>202</w:t>
            </w:r>
          </w:p>
        </w:tc>
        <w:tc>
          <w:tcPr>
            <w:tcW w:w="2440" w:type="dxa"/>
            <w:shd w:val="clear" w:color="auto" w:fill="auto"/>
            <w:noWrap/>
            <w:vAlign w:val="bottom"/>
          </w:tcPr>
          <w:p w14:paraId="14A3AC08" w14:textId="77777777" w:rsidR="005D40D4" w:rsidRPr="00802880" w:rsidRDefault="005D40D4" w:rsidP="00802880">
            <w:pPr>
              <w:tabs>
                <w:tab w:val="left" w:pos="288"/>
                <w:tab w:val="left" w:pos="576"/>
                <w:tab w:val="left" w:pos="864"/>
                <w:tab w:val="left" w:pos="1152"/>
              </w:tabs>
              <w:suppressAutoHyphens/>
              <w:spacing w:before="40" w:after="40" w:line="210" w:lineRule="exact"/>
              <w:ind w:right="43"/>
              <w:jc w:val="right"/>
              <w:rPr>
                <w:sz w:val="17"/>
              </w:rPr>
            </w:pPr>
            <w:r w:rsidRPr="00802880">
              <w:rPr>
                <w:sz w:val="17"/>
              </w:rPr>
              <w:t>149</w:t>
            </w:r>
          </w:p>
        </w:tc>
      </w:tr>
      <w:tr w:rsidR="005D40D4" w:rsidRPr="00802880" w14:paraId="3466A993" w14:textId="77777777" w:rsidTr="00802880">
        <w:trPr>
          <w:cantSplit/>
          <w:jc w:val="center"/>
        </w:trPr>
        <w:tc>
          <w:tcPr>
            <w:tcW w:w="2440" w:type="dxa"/>
            <w:shd w:val="clear" w:color="auto" w:fill="auto"/>
            <w:noWrap/>
            <w:vAlign w:val="bottom"/>
          </w:tcPr>
          <w:p w14:paraId="5EE0EEBA" w14:textId="77777777" w:rsidR="005D40D4" w:rsidRPr="00802880" w:rsidRDefault="005D40D4" w:rsidP="00802880">
            <w:pPr>
              <w:tabs>
                <w:tab w:val="left" w:pos="288"/>
                <w:tab w:val="left" w:pos="576"/>
                <w:tab w:val="left" w:pos="864"/>
                <w:tab w:val="left" w:pos="1152"/>
              </w:tabs>
              <w:suppressAutoHyphens/>
              <w:spacing w:before="40" w:after="40" w:line="210" w:lineRule="exact"/>
              <w:ind w:right="40"/>
              <w:rPr>
                <w:sz w:val="17"/>
              </w:rPr>
            </w:pPr>
            <w:r w:rsidRPr="00802880">
              <w:rPr>
                <w:sz w:val="17"/>
              </w:rPr>
              <w:t>2013</w:t>
            </w:r>
          </w:p>
        </w:tc>
        <w:tc>
          <w:tcPr>
            <w:tcW w:w="2440" w:type="dxa"/>
            <w:shd w:val="clear" w:color="auto" w:fill="auto"/>
            <w:noWrap/>
            <w:vAlign w:val="bottom"/>
          </w:tcPr>
          <w:p w14:paraId="76334536" w14:textId="77777777" w:rsidR="005D40D4" w:rsidRPr="00802880" w:rsidRDefault="005D40D4" w:rsidP="00802880">
            <w:pPr>
              <w:tabs>
                <w:tab w:val="left" w:pos="288"/>
                <w:tab w:val="left" w:pos="576"/>
                <w:tab w:val="left" w:pos="864"/>
                <w:tab w:val="left" w:pos="1152"/>
              </w:tabs>
              <w:suppressAutoHyphens/>
              <w:spacing w:before="40" w:after="40" w:line="210" w:lineRule="exact"/>
              <w:ind w:right="43"/>
              <w:jc w:val="right"/>
              <w:rPr>
                <w:sz w:val="17"/>
              </w:rPr>
            </w:pPr>
            <w:r w:rsidRPr="00802880">
              <w:rPr>
                <w:sz w:val="17"/>
              </w:rPr>
              <w:t>273</w:t>
            </w:r>
          </w:p>
        </w:tc>
        <w:tc>
          <w:tcPr>
            <w:tcW w:w="2440" w:type="dxa"/>
            <w:shd w:val="clear" w:color="auto" w:fill="auto"/>
            <w:noWrap/>
            <w:vAlign w:val="bottom"/>
          </w:tcPr>
          <w:p w14:paraId="27F31B2F" w14:textId="77777777" w:rsidR="005D40D4" w:rsidRPr="00802880" w:rsidRDefault="005D40D4" w:rsidP="00802880">
            <w:pPr>
              <w:tabs>
                <w:tab w:val="left" w:pos="288"/>
                <w:tab w:val="left" w:pos="576"/>
                <w:tab w:val="left" w:pos="864"/>
                <w:tab w:val="left" w:pos="1152"/>
              </w:tabs>
              <w:suppressAutoHyphens/>
              <w:spacing w:before="40" w:after="40" w:line="210" w:lineRule="exact"/>
              <w:ind w:right="43"/>
              <w:jc w:val="right"/>
              <w:rPr>
                <w:sz w:val="17"/>
              </w:rPr>
            </w:pPr>
            <w:r w:rsidRPr="00802880">
              <w:rPr>
                <w:sz w:val="17"/>
              </w:rPr>
              <w:t>237</w:t>
            </w:r>
          </w:p>
        </w:tc>
      </w:tr>
      <w:tr w:rsidR="005D40D4" w:rsidRPr="00802880" w14:paraId="0A1C3DD2" w14:textId="77777777" w:rsidTr="00802880">
        <w:trPr>
          <w:cantSplit/>
          <w:jc w:val="center"/>
        </w:trPr>
        <w:tc>
          <w:tcPr>
            <w:tcW w:w="2440" w:type="dxa"/>
            <w:tcBorders>
              <w:bottom w:val="single" w:sz="12" w:space="0" w:color="auto"/>
            </w:tcBorders>
            <w:shd w:val="clear" w:color="auto" w:fill="auto"/>
            <w:noWrap/>
            <w:vAlign w:val="bottom"/>
          </w:tcPr>
          <w:p w14:paraId="61843B86" w14:textId="77777777" w:rsidR="005D40D4" w:rsidRPr="00802880" w:rsidRDefault="005D40D4" w:rsidP="00802880">
            <w:pPr>
              <w:tabs>
                <w:tab w:val="left" w:pos="288"/>
                <w:tab w:val="left" w:pos="576"/>
                <w:tab w:val="left" w:pos="864"/>
                <w:tab w:val="left" w:pos="1152"/>
              </w:tabs>
              <w:suppressAutoHyphens/>
              <w:spacing w:before="40" w:after="40" w:line="210" w:lineRule="exact"/>
              <w:ind w:right="40"/>
              <w:rPr>
                <w:sz w:val="17"/>
              </w:rPr>
            </w:pPr>
            <w:r w:rsidRPr="00802880">
              <w:rPr>
                <w:sz w:val="17"/>
              </w:rPr>
              <w:t>2015</w:t>
            </w:r>
          </w:p>
        </w:tc>
        <w:tc>
          <w:tcPr>
            <w:tcW w:w="2440" w:type="dxa"/>
            <w:tcBorders>
              <w:bottom w:val="single" w:sz="12" w:space="0" w:color="auto"/>
            </w:tcBorders>
            <w:shd w:val="clear" w:color="auto" w:fill="auto"/>
            <w:noWrap/>
            <w:vAlign w:val="bottom"/>
          </w:tcPr>
          <w:p w14:paraId="28EC7CB1" w14:textId="77777777" w:rsidR="005D40D4" w:rsidRPr="00802880" w:rsidRDefault="005D40D4" w:rsidP="00802880">
            <w:pPr>
              <w:tabs>
                <w:tab w:val="left" w:pos="288"/>
                <w:tab w:val="left" w:pos="576"/>
                <w:tab w:val="left" w:pos="864"/>
                <w:tab w:val="left" w:pos="1152"/>
              </w:tabs>
              <w:suppressAutoHyphens/>
              <w:spacing w:before="40" w:after="40" w:line="210" w:lineRule="exact"/>
              <w:ind w:right="43"/>
              <w:jc w:val="right"/>
              <w:rPr>
                <w:sz w:val="17"/>
              </w:rPr>
            </w:pPr>
            <w:r w:rsidRPr="00802880">
              <w:rPr>
                <w:sz w:val="17"/>
              </w:rPr>
              <w:t>298</w:t>
            </w:r>
          </w:p>
        </w:tc>
        <w:tc>
          <w:tcPr>
            <w:tcW w:w="2440" w:type="dxa"/>
            <w:tcBorders>
              <w:bottom w:val="single" w:sz="12" w:space="0" w:color="auto"/>
            </w:tcBorders>
            <w:shd w:val="clear" w:color="auto" w:fill="auto"/>
            <w:noWrap/>
            <w:vAlign w:val="bottom"/>
          </w:tcPr>
          <w:p w14:paraId="13785331" w14:textId="77777777" w:rsidR="005D40D4" w:rsidRPr="00802880" w:rsidRDefault="005D40D4" w:rsidP="00802880">
            <w:pPr>
              <w:tabs>
                <w:tab w:val="left" w:pos="288"/>
                <w:tab w:val="left" w:pos="576"/>
                <w:tab w:val="left" w:pos="864"/>
                <w:tab w:val="left" w:pos="1152"/>
              </w:tabs>
              <w:suppressAutoHyphens/>
              <w:spacing w:before="40" w:after="40" w:line="210" w:lineRule="exact"/>
              <w:ind w:right="43"/>
              <w:jc w:val="right"/>
              <w:rPr>
                <w:sz w:val="17"/>
              </w:rPr>
            </w:pPr>
            <w:r w:rsidRPr="00802880">
              <w:rPr>
                <w:sz w:val="17"/>
              </w:rPr>
              <w:t>268</w:t>
            </w:r>
          </w:p>
        </w:tc>
      </w:tr>
    </w:tbl>
    <w:p w14:paraId="7754F298" w14:textId="36B32945" w:rsidR="005D40D4" w:rsidRPr="00802880" w:rsidRDefault="005D40D4" w:rsidP="00802880">
      <w:pPr>
        <w:pStyle w:val="SingleTxt"/>
        <w:spacing w:after="0" w:line="120" w:lineRule="exact"/>
        <w:rPr>
          <w:sz w:val="10"/>
          <w:lang w:val="fr-FR"/>
        </w:rPr>
      </w:pPr>
    </w:p>
    <w:p w14:paraId="12430FEA" w14:textId="31C6414D" w:rsidR="00802880" w:rsidRPr="00802880" w:rsidRDefault="00802880" w:rsidP="00802880">
      <w:pPr>
        <w:pStyle w:val="SingleTxt"/>
        <w:spacing w:after="0" w:line="120" w:lineRule="exact"/>
        <w:rPr>
          <w:sz w:val="10"/>
          <w:lang w:val="fr-FR"/>
        </w:rPr>
      </w:pPr>
    </w:p>
    <w:p w14:paraId="59C919ED" w14:textId="4F89C310" w:rsidR="005D40D4" w:rsidRPr="005D40D4" w:rsidRDefault="005D40D4" w:rsidP="00802880">
      <w:pPr>
        <w:pStyle w:val="SingleTxt"/>
        <w:numPr>
          <w:ilvl w:val="0"/>
          <w:numId w:val="50"/>
        </w:numPr>
        <w:spacing w:line="240" w:lineRule="exact"/>
        <w:rPr>
          <w:lang w:val="fr-FR"/>
        </w:rPr>
      </w:pPr>
      <w:r w:rsidRPr="005D40D4">
        <w:rPr>
          <w:lang w:val="fr-FR"/>
        </w:rPr>
        <w:t>Des services de prise en charge médicale et psychologique des femmes victimes de violence ont été généralisés dans les établissements de santé. Des attestations médicales y sont délivrées gratuitement</w:t>
      </w:r>
      <w:r w:rsidRPr="00FA086B">
        <w:rPr>
          <w:vertAlign w:val="superscript"/>
          <w:lang w:val="fr-FR"/>
        </w:rPr>
        <w:footnoteReference w:id="105"/>
      </w:r>
      <w:r w:rsidRPr="005D40D4">
        <w:rPr>
          <w:lang w:val="fr-FR"/>
        </w:rPr>
        <w:t>. Il existe 99 services intégrés, 16 dans des hôpitaux locaux, 64 dans des hôpitaux de province, 11 dans les hôpitaux régionaux et 5 dans des centres universitaires. En 2016, 17 290 femmes battues et 5 244 enfants battus ont été pris en charge. Par ailleurs, les critères et règles concernant la prise en charge des femmes victimes de violence ont été mis à jour, y compris le protocole de prise en charge. Le système d</w:t>
      </w:r>
      <w:r w:rsidR="00F1794C" w:rsidRPr="00F1794C">
        <w:rPr>
          <w:lang w:val="fr-FR"/>
        </w:rPr>
        <w:t>’</w:t>
      </w:r>
      <w:r w:rsidRPr="005D40D4">
        <w:rPr>
          <w:lang w:val="fr-FR"/>
        </w:rPr>
        <w:t>échange des informations entre les partenaires institutionnels intervenant dans la lutte contre la violence à l</w:t>
      </w:r>
      <w:r w:rsidR="00F1794C" w:rsidRPr="00F1794C">
        <w:rPr>
          <w:lang w:val="fr-FR"/>
        </w:rPr>
        <w:t>’</w:t>
      </w:r>
      <w:r w:rsidRPr="005D40D4">
        <w:rPr>
          <w:lang w:val="fr-FR"/>
        </w:rPr>
        <w:t xml:space="preserve">égard des femmes a été </w:t>
      </w:r>
      <w:r w:rsidRPr="005D40D4">
        <w:rPr>
          <w:lang w:val="fr-FR"/>
        </w:rPr>
        <w:lastRenderedPageBreak/>
        <w:t xml:space="preserve">consolidé et les capacités professionnelles des soignants et des assistantes et assistants sociaux renforcées. </w:t>
      </w:r>
    </w:p>
    <w:p w14:paraId="12F46D8B" w14:textId="00F8D8EA" w:rsidR="005D40D4" w:rsidRPr="005D40D4" w:rsidRDefault="00802880" w:rsidP="005D40D4">
      <w:pPr>
        <w:pStyle w:val="SingleTxt"/>
        <w:rPr>
          <w:lang w:val="fr-FR"/>
        </w:rPr>
      </w:pPr>
      <w:r>
        <w:rPr>
          <w:lang w:val="fr-FR"/>
        </w:rPr>
        <w:tab/>
      </w:r>
      <w:r w:rsidR="005D40D4" w:rsidRPr="005D40D4">
        <w:rPr>
          <w:lang w:val="fr-FR"/>
        </w:rPr>
        <w:t>En octobre 2007, des cellules d</w:t>
      </w:r>
      <w:r w:rsidR="00F1794C" w:rsidRPr="00F1794C">
        <w:rPr>
          <w:lang w:val="fr-FR"/>
        </w:rPr>
        <w:t>’</w:t>
      </w:r>
      <w:r w:rsidR="005D40D4" w:rsidRPr="005D40D4">
        <w:rPr>
          <w:lang w:val="fr-FR"/>
        </w:rPr>
        <w:t xml:space="preserve">accueil des femmes victimes de violence ont été créées dans les services de la police judiciaire. Elles ont été réorganisées afin de nommer en priorité des femmes à leur tête en vue de proposer de meilleurs services, notamment à la suite de la promulgation de la loi relative à la lutte contre les violences faites aux femmes. </w:t>
      </w:r>
    </w:p>
    <w:p w14:paraId="3548B446" w14:textId="77777777" w:rsidR="00802880" w:rsidRPr="00802880" w:rsidRDefault="00802880" w:rsidP="00802880">
      <w:pPr>
        <w:pStyle w:val="SingleTxt"/>
        <w:spacing w:after="0" w:line="120" w:lineRule="exact"/>
        <w:rPr>
          <w:sz w:val="10"/>
          <w:lang w:val="fr-FR"/>
        </w:rPr>
      </w:pPr>
    </w:p>
    <w:p w14:paraId="2D696A34" w14:textId="4F74D0DA" w:rsidR="00802880" w:rsidRDefault="00802880" w:rsidP="00802880">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5D40D4" w:rsidRPr="005D40D4">
        <w:rPr>
          <w:lang w:val="fr-FR"/>
        </w:rPr>
        <w:t>Tableau 1</w:t>
      </w:r>
      <w:r w:rsidR="00DE1A4C">
        <w:rPr>
          <w:lang w:val="fr-FR"/>
        </w:rPr>
        <w:t>9</w:t>
      </w:r>
    </w:p>
    <w:p w14:paraId="461B3C2C" w14:textId="1A6CA800" w:rsidR="005D40D4" w:rsidRPr="005D40D4" w:rsidRDefault="00802880" w:rsidP="0080288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N</w:t>
      </w:r>
      <w:r w:rsidR="005D40D4" w:rsidRPr="005D40D4">
        <w:rPr>
          <w:lang w:val="fr-FR"/>
        </w:rPr>
        <w:t>ombre d</w:t>
      </w:r>
      <w:r w:rsidR="00F1794C" w:rsidRPr="00F1794C">
        <w:rPr>
          <w:lang w:val="fr-FR"/>
        </w:rPr>
        <w:t>’</w:t>
      </w:r>
      <w:r w:rsidR="005D40D4" w:rsidRPr="005D40D4">
        <w:rPr>
          <w:lang w:val="fr-FR"/>
        </w:rPr>
        <w:t>affaires enregistrées concernant la violence faite aux femmes</w:t>
      </w:r>
    </w:p>
    <w:p w14:paraId="536B24C8" w14:textId="5575CE35" w:rsidR="005D40D4" w:rsidRPr="00802880" w:rsidRDefault="005D40D4" w:rsidP="00802880">
      <w:pPr>
        <w:pStyle w:val="SingleTxt"/>
        <w:spacing w:after="0" w:line="120" w:lineRule="exact"/>
        <w:rPr>
          <w:sz w:val="10"/>
          <w:lang w:val="fr-FR"/>
        </w:rPr>
      </w:pPr>
    </w:p>
    <w:p w14:paraId="2374A8AA" w14:textId="4D773A54" w:rsidR="00802880" w:rsidRPr="00802880" w:rsidRDefault="00802880" w:rsidP="00802880">
      <w:pPr>
        <w:pStyle w:val="SingleTxt"/>
        <w:spacing w:after="0" w:line="120" w:lineRule="exact"/>
        <w:rPr>
          <w:sz w:val="10"/>
          <w:lang w:val="fr-FR"/>
        </w:rPr>
      </w:pPr>
    </w:p>
    <w:tbl>
      <w:tblPr>
        <w:tblStyle w:val="Grilledutableau16"/>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30"/>
        <w:gridCol w:w="827"/>
        <w:gridCol w:w="827"/>
        <w:gridCol w:w="827"/>
        <w:gridCol w:w="827"/>
        <w:gridCol w:w="827"/>
        <w:gridCol w:w="827"/>
        <w:gridCol w:w="828"/>
      </w:tblGrid>
      <w:tr w:rsidR="00802880" w:rsidRPr="00802880" w14:paraId="41FFACC0" w14:textId="77777777" w:rsidTr="00A75600">
        <w:trPr>
          <w:cantSplit/>
          <w:tblHeader/>
          <w:jc w:val="center"/>
        </w:trPr>
        <w:tc>
          <w:tcPr>
            <w:tcW w:w="1530" w:type="dxa"/>
            <w:tcBorders>
              <w:top w:val="single" w:sz="4" w:space="0" w:color="auto"/>
              <w:bottom w:val="single" w:sz="12" w:space="0" w:color="auto"/>
            </w:tcBorders>
            <w:shd w:val="clear" w:color="auto" w:fill="auto"/>
            <w:noWrap/>
            <w:vAlign w:val="bottom"/>
          </w:tcPr>
          <w:p w14:paraId="57520968" w14:textId="77777777" w:rsidR="005D40D4" w:rsidRPr="00802880" w:rsidRDefault="005D40D4" w:rsidP="00802880">
            <w:pPr>
              <w:suppressAutoHyphens/>
              <w:spacing w:before="81" w:after="81" w:line="160" w:lineRule="exact"/>
              <w:ind w:right="40"/>
              <w:rPr>
                <w:i/>
                <w:sz w:val="14"/>
              </w:rPr>
            </w:pPr>
            <w:r w:rsidRPr="00802880">
              <w:rPr>
                <w:i/>
                <w:sz w:val="14"/>
              </w:rPr>
              <w:t>Année</w:t>
            </w:r>
          </w:p>
        </w:tc>
        <w:tc>
          <w:tcPr>
            <w:tcW w:w="827" w:type="dxa"/>
            <w:tcBorders>
              <w:top w:val="single" w:sz="4" w:space="0" w:color="auto"/>
              <w:bottom w:val="single" w:sz="12" w:space="0" w:color="auto"/>
            </w:tcBorders>
            <w:shd w:val="clear" w:color="auto" w:fill="auto"/>
            <w:noWrap/>
            <w:vAlign w:val="bottom"/>
          </w:tcPr>
          <w:p w14:paraId="013FD106" w14:textId="77777777" w:rsidR="005D40D4" w:rsidRPr="00802880" w:rsidRDefault="005D40D4" w:rsidP="00802880">
            <w:pPr>
              <w:suppressAutoHyphens/>
              <w:spacing w:before="81" w:after="81" w:line="160" w:lineRule="exact"/>
              <w:ind w:right="43"/>
              <w:jc w:val="right"/>
              <w:rPr>
                <w:i/>
                <w:sz w:val="14"/>
              </w:rPr>
            </w:pPr>
            <w:r w:rsidRPr="00802880">
              <w:rPr>
                <w:i/>
                <w:sz w:val="14"/>
              </w:rPr>
              <w:t>2011</w:t>
            </w:r>
          </w:p>
        </w:tc>
        <w:tc>
          <w:tcPr>
            <w:tcW w:w="827" w:type="dxa"/>
            <w:tcBorders>
              <w:top w:val="single" w:sz="4" w:space="0" w:color="auto"/>
              <w:bottom w:val="single" w:sz="12" w:space="0" w:color="auto"/>
            </w:tcBorders>
            <w:shd w:val="clear" w:color="auto" w:fill="auto"/>
            <w:noWrap/>
            <w:vAlign w:val="bottom"/>
          </w:tcPr>
          <w:p w14:paraId="0842786C" w14:textId="77777777" w:rsidR="005D40D4" w:rsidRPr="00802880" w:rsidRDefault="005D40D4" w:rsidP="00802880">
            <w:pPr>
              <w:suppressAutoHyphens/>
              <w:spacing w:before="81" w:after="81" w:line="160" w:lineRule="exact"/>
              <w:ind w:right="43"/>
              <w:jc w:val="right"/>
              <w:rPr>
                <w:i/>
                <w:sz w:val="14"/>
              </w:rPr>
            </w:pPr>
            <w:r w:rsidRPr="00802880">
              <w:rPr>
                <w:i/>
                <w:sz w:val="14"/>
              </w:rPr>
              <w:t>2012</w:t>
            </w:r>
          </w:p>
        </w:tc>
        <w:tc>
          <w:tcPr>
            <w:tcW w:w="827" w:type="dxa"/>
            <w:tcBorders>
              <w:top w:val="single" w:sz="4" w:space="0" w:color="auto"/>
              <w:bottom w:val="single" w:sz="12" w:space="0" w:color="auto"/>
            </w:tcBorders>
            <w:shd w:val="clear" w:color="auto" w:fill="auto"/>
            <w:noWrap/>
            <w:vAlign w:val="bottom"/>
          </w:tcPr>
          <w:p w14:paraId="79128546" w14:textId="77777777" w:rsidR="005D40D4" w:rsidRPr="00802880" w:rsidRDefault="005D40D4" w:rsidP="00802880">
            <w:pPr>
              <w:suppressAutoHyphens/>
              <w:spacing w:before="81" w:after="81" w:line="160" w:lineRule="exact"/>
              <w:ind w:right="43"/>
              <w:jc w:val="right"/>
              <w:rPr>
                <w:i/>
                <w:sz w:val="14"/>
              </w:rPr>
            </w:pPr>
            <w:r w:rsidRPr="00802880">
              <w:rPr>
                <w:i/>
                <w:sz w:val="14"/>
              </w:rPr>
              <w:t>2013</w:t>
            </w:r>
          </w:p>
        </w:tc>
        <w:tc>
          <w:tcPr>
            <w:tcW w:w="827" w:type="dxa"/>
            <w:tcBorders>
              <w:top w:val="single" w:sz="4" w:space="0" w:color="auto"/>
              <w:bottom w:val="single" w:sz="12" w:space="0" w:color="auto"/>
            </w:tcBorders>
            <w:shd w:val="clear" w:color="auto" w:fill="auto"/>
            <w:noWrap/>
            <w:vAlign w:val="bottom"/>
          </w:tcPr>
          <w:p w14:paraId="568FC30E" w14:textId="77777777" w:rsidR="005D40D4" w:rsidRPr="00802880" w:rsidRDefault="005D40D4" w:rsidP="00802880">
            <w:pPr>
              <w:suppressAutoHyphens/>
              <w:spacing w:before="81" w:after="81" w:line="160" w:lineRule="exact"/>
              <w:ind w:right="43"/>
              <w:jc w:val="right"/>
              <w:rPr>
                <w:i/>
                <w:sz w:val="14"/>
              </w:rPr>
            </w:pPr>
            <w:r w:rsidRPr="00802880">
              <w:rPr>
                <w:i/>
                <w:sz w:val="14"/>
              </w:rPr>
              <w:t>2014</w:t>
            </w:r>
          </w:p>
        </w:tc>
        <w:tc>
          <w:tcPr>
            <w:tcW w:w="827" w:type="dxa"/>
            <w:tcBorders>
              <w:top w:val="single" w:sz="4" w:space="0" w:color="auto"/>
              <w:bottom w:val="single" w:sz="12" w:space="0" w:color="auto"/>
            </w:tcBorders>
            <w:shd w:val="clear" w:color="auto" w:fill="auto"/>
            <w:noWrap/>
            <w:vAlign w:val="bottom"/>
          </w:tcPr>
          <w:p w14:paraId="643AD29D" w14:textId="77777777" w:rsidR="005D40D4" w:rsidRPr="00802880" w:rsidRDefault="005D40D4" w:rsidP="00802880">
            <w:pPr>
              <w:suppressAutoHyphens/>
              <w:spacing w:before="81" w:after="81" w:line="160" w:lineRule="exact"/>
              <w:ind w:right="43"/>
              <w:jc w:val="right"/>
              <w:rPr>
                <w:i/>
                <w:sz w:val="14"/>
              </w:rPr>
            </w:pPr>
            <w:r w:rsidRPr="00802880">
              <w:rPr>
                <w:i/>
                <w:sz w:val="14"/>
              </w:rPr>
              <w:t>2015</w:t>
            </w:r>
          </w:p>
        </w:tc>
        <w:tc>
          <w:tcPr>
            <w:tcW w:w="827" w:type="dxa"/>
            <w:tcBorders>
              <w:top w:val="single" w:sz="4" w:space="0" w:color="auto"/>
              <w:bottom w:val="single" w:sz="12" w:space="0" w:color="auto"/>
            </w:tcBorders>
            <w:shd w:val="clear" w:color="auto" w:fill="auto"/>
            <w:noWrap/>
            <w:vAlign w:val="bottom"/>
          </w:tcPr>
          <w:p w14:paraId="3FAECBC5" w14:textId="77777777" w:rsidR="005D40D4" w:rsidRPr="00802880" w:rsidRDefault="005D40D4" w:rsidP="00802880">
            <w:pPr>
              <w:suppressAutoHyphens/>
              <w:spacing w:before="81" w:after="81" w:line="160" w:lineRule="exact"/>
              <w:ind w:right="43"/>
              <w:jc w:val="right"/>
              <w:rPr>
                <w:i/>
                <w:sz w:val="14"/>
              </w:rPr>
            </w:pPr>
            <w:r w:rsidRPr="00802880">
              <w:rPr>
                <w:i/>
                <w:sz w:val="14"/>
              </w:rPr>
              <w:t>2016</w:t>
            </w:r>
          </w:p>
        </w:tc>
        <w:tc>
          <w:tcPr>
            <w:tcW w:w="828" w:type="dxa"/>
            <w:tcBorders>
              <w:top w:val="single" w:sz="4" w:space="0" w:color="auto"/>
              <w:bottom w:val="single" w:sz="12" w:space="0" w:color="auto"/>
            </w:tcBorders>
            <w:shd w:val="clear" w:color="auto" w:fill="auto"/>
            <w:noWrap/>
            <w:vAlign w:val="bottom"/>
          </w:tcPr>
          <w:p w14:paraId="2FCC0C46" w14:textId="77777777" w:rsidR="005D40D4" w:rsidRPr="00802880" w:rsidRDefault="005D40D4" w:rsidP="00802880">
            <w:pPr>
              <w:suppressAutoHyphens/>
              <w:spacing w:before="81" w:after="81" w:line="160" w:lineRule="exact"/>
              <w:ind w:right="43"/>
              <w:jc w:val="right"/>
              <w:rPr>
                <w:i/>
                <w:sz w:val="14"/>
              </w:rPr>
            </w:pPr>
            <w:r w:rsidRPr="00802880">
              <w:rPr>
                <w:i/>
                <w:sz w:val="14"/>
              </w:rPr>
              <w:t>2017</w:t>
            </w:r>
          </w:p>
        </w:tc>
      </w:tr>
      <w:tr w:rsidR="00802880" w:rsidRPr="00802880" w14:paraId="79EDE46D" w14:textId="77777777" w:rsidTr="00A75600">
        <w:trPr>
          <w:cantSplit/>
          <w:trHeight w:hRule="exact" w:val="115"/>
          <w:tblHeader/>
          <w:jc w:val="center"/>
        </w:trPr>
        <w:tc>
          <w:tcPr>
            <w:tcW w:w="1530" w:type="dxa"/>
            <w:tcBorders>
              <w:top w:val="single" w:sz="12" w:space="0" w:color="auto"/>
            </w:tcBorders>
            <w:shd w:val="clear" w:color="auto" w:fill="auto"/>
            <w:noWrap/>
            <w:vAlign w:val="bottom"/>
          </w:tcPr>
          <w:p w14:paraId="05043D29" w14:textId="77777777" w:rsidR="00802880" w:rsidRPr="00802880" w:rsidRDefault="00802880" w:rsidP="00802880">
            <w:pPr>
              <w:suppressAutoHyphens/>
              <w:spacing w:before="40" w:after="40" w:line="210" w:lineRule="exact"/>
              <w:ind w:right="40"/>
              <w:rPr>
                <w:sz w:val="17"/>
              </w:rPr>
            </w:pPr>
          </w:p>
        </w:tc>
        <w:tc>
          <w:tcPr>
            <w:tcW w:w="827" w:type="dxa"/>
            <w:tcBorders>
              <w:top w:val="single" w:sz="12" w:space="0" w:color="auto"/>
            </w:tcBorders>
            <w:shd w:val="clear" w:color="auto" w:fill="auto"/>
            <w:noWrap/>
            <w:vAlign w:val="bottom"/>
          </w:tcPr>
          <w:p w14:paraId="0EAAFB4E" w14:textId="77777777" w:rsidR="00802880" w:rsidRPr="00802880" w:rsidRDefault="00802880" w:rsidP="00802880">
            <w:pPr>
              <w:suppressAutoHyphens/>
              <w:spacing w:before="40" w:after="40" w:line="210" w:lineRule="exact"/>
              <w:ind w:right="43"/>
              <w:jc w:val="right"/>
              <w:rPr>
                <w:sz w:val="17"/>
              </w:rPr>
            </w:pPr>
          </w:p>
        </w:tc>
        <w:tc>
          <w:tcPr>
            <w:tcW w:w="827" w:type="dxa"/>
            <w:tcBorders>
              <w:top w:val="single" w:sz="12" w:space="0" w:color="auto"/>
            </w:tcBorders>
            <w:shd w:val="clear" w:color="auto" w:fill="auto"/>
            <w:noWrap/>
            <w:vAlign w:val="bottom"/>
          </w:tcPr>
          <w:p w14:paraId="507795A9" w14:textId="77777777" w:rsidR="00802880" w:rsidRPr="00802880" w:rsidRDefault="00802880" w:rsidP="00802880">
            <w:pPr>
              <w:suppressAutoHyphens/>
              <w:spacing w:before="40" w:after="40" w:line="210" w:lineRule="exact"/>
              <w:ind w:right="43"/>
              <w:jc w:val="right"/>
              <w:rPr>
                <w:sz w:val="17"/>
              </w:rPr>
            </w:pPr>
          </w:p>
        </w:tc>
        <w:tc>
          <w:tcPr>
            <w:tcW w:w="827" w:type="dxa"/>
            <w:tcBorders>
              <w:top w:val="single" w:sz="12" w:space="0" w:color="auto"/>
            </w:tcBorders>
            <w:shd w:val="clear" w:color="auto" w:fill="auto"/>
            <w:noWrap/>
            <w:vAlign w:val="bottom"/>
          </w:tcPr>
          <w:p w14:paraId="16B54253" w14:textId="77777777" w:rsidR="00802880" w:rsidRPr="00802880" w:rsidRDefault="00802880" w:rsidP="00802880">
            <w:pPr>
              <w:suppressAutoHyphens/>
              <w:spacing w:before="40" w:after="40" w:line="210" w:lineRule="exact"/>
              <w:ind w:right="43"/>
              <w:jc w:val="right"/>
              <w:rPr>
                <w:sz w:val="17"/>
              </w:rPr>
            </w:pPr>
          </w:p>
        </w:tc>
        <w:tc>
          <w:tcPr>
            <w:tcW w:w="827" w:type="dxa"/>
            <w:tcBorders>
              <w:top w:val="single" w:sz="12" w:space="0" w:color="auto"/>
            </w:tcBorders>
            <w:shd w:val="clear" w:color="auto" w:fill="auto"/>
            <w:noWrap/>
            <w:vAlign w:val="bottom"/>
          </w:tcPr>
          <w:p w14:paraId="42BE1A08" w14:textId="77777777" w:rsidR="00802880" w:rsidRPr="00802880" w:rsidRDefault="00802880" w:rsidP="00802880">
            <w:pPr>
              <w:suppressAutoHyphens/>
              <w:spacing w:before="40" w:after="40" w:line="210" w:lineRule="exact"/>
              <w:ind w:right="43"/>
              <w:jc w:val="right"/>
              <w:rPr>
                <w:sz w:val="17"/>
              </w:rPr>
            </w:pPr>
          </w:p>
        </w:tc>
        <w:tc>
          <w:tcPr>
            <w:tcW w:w="827" w:type="dxa"/>
            <w:tcBorders>
              <w:top w:val="single" w:sz="12" w:space="0" w:color="auto"/>
            </w:tcBorders>
            <w:shd w:val="clear" w:color="auto" w:fill="auto"/>
            <w:noWrap/>
            <w:vAlign w:val="bottom"/>
          </w:tcPr>
          <w:p w14:paraId="11F9815F" w14:textId="77777777" w:rsidR="00802880" w:rsidRPr="00802880" w:rsidRDefault="00802880" w:rsidP="00802880">
            <w:pPr>
              <w:suppressAutoHyphens/>
              <w:spacing w:before="40" w:after="40" w:line="210" w:lineRule="exact"/>
              <w:ind w:right="43"/>
              <w:jc w:val="right"/>
              <w:rPr>
                <w:sz w:val="17"/>
              </w:rPr>
            </w:pPr>
          </w:p>
        </w:tc>
        <w:tc>
          <w:tcPr>
            <w:tcW w:w="827" w:type="dxa"/>
            <w:tcBorders>
              <w:top w:val="single" w:sz="12" w:space="0" w:color="auto"/>
            </w:tcBorders>
            <w:shd w:val="clear" w:color="auto" w:fill="auto"/>
            <w:noWrap/>
            <w:vAlign w:val="bottom"/>
          </w:tcPr>
          <w:p w14:paraId="2BE4D289" w14:textId="77777777" w:rsidR="00802880" w:rsidRPr="00802880" w:rsidRDefault="00802880" w:rsidP="00802880">
            <w:pPr>
              <w:suppressAutoHyphens/>
              <w:spacing w:before="40" w:after="40" w:line="210" w:lineRule="exact"/>
              <w:ind w:right="43"/>
              <w:jc w:val="right"/>
              <w:rPr>
                <w:sz w:val="17"/>
              </w:rPr>
            </w:pPr>
          </w:p>
        </w:tc>
        <w:tc>
          <w:tcPr>
            <w:tcW w:w="828" w:type="dxa"/>
            <w:tcBorders>
              <w:top w:val="single" w:sz="12" w:space="0" w:color="auto"/>
            </w:tcBorders>
            <w:shd w:val="clear" w:color="auto" w:fill="auto"/>
            <w:noWrap/>
            <w:vAlign w:val="bottom"/>
          </w:tcPr>
          <w:p w14:paraId="046D8E04" w14:textId="77777777" w:rsidR="00802880" w:rsidRPr="00802880" w:rsidRDefault="00802880" w:rsidP="00802880">
            <w:pPr>
              <w:suppressAutoHyphens/>
              <w:spacing w:before="40" w:after="40" w:line="210" w:lineRule="exact"/>
              <w:ind w:right="43"/>
              <w:jc w:val="right"/>
              <w:rPr>
                <w:sz w:val="17"/>
              </w:rPr>
            </w:pPr>
          </w:p>
        </w:tc>
      </w:tr>
      <w:tr w:rsidR="00802880" w:rsidRPr="00802880" w14:paraId="12E0D04E" w14:textId="77777777" w:rsidTr="00A75600">
        <w:trPr>
          <w:cantSplit/>
          <w:jc w:val="center"/>
        </w:trPr>
        <w:tc>
          <w:tcPr>
            <w:tcW w:w="1530" w:type="dxa"/>
            <w:tcBorders>
              <w:bottom w:val="single" w:sz="12" w:space="0" w:color="auto"/>
            </w:tcBorders>
            <w:shd w:val="clear" w:color="auto" w:fill="auto"/>
            <w:noWrap/>
            <w:vAlign w:val="bottom"/>
          </w:tcPr>
          <w:p w14:paraId="08931AFE" w14:textId="21DB8921" w:rsidR="005D40D4" w:rsidRPr="00802880" w:rsidRDefault="005D40D4" w:rsidP="00802880">
            <w:pPr>
              <w:tabs>
                <w:tab w:val="left" w:pos="288"/>
                <w:tab w:val="left" w:pos="576"/>
                <w:tab w:val="left" w:pos="864"/>
                <w:tab w:val="left" w:pos="1152"/>
              </w:tabs>
              <w:suppressAutoHyphens/>
              <w:spacing w:before="40" w:after="40" w:line="210" w:lineRule="exact"/>
              <w:ind w:right="40"/>
              <w:rPr>
                <w:sz w:val="17"/>
              </w:rPr>
            </w:pPr>
            <w:r w:rsidRPr="00802880">
              <w:rPr>
                <w:sz w:val="17"/>
              </w:rPr>
              <w:t>Nombre d</w:t>
            </w:r>
            <w:r w:rsidR="00F1794C" w:rsidRPr="00802880">
              <w:rPr>
                <w:sz w:val="17"/>
              </w:rPr>
              <w:t>’</w:t>
            </w:r>
            <w:r w:rsidRPr="00802880">
              <w:rPr>
                <w:sz w:val="17"/>
              </w:rPr>
              <w:t>affaires</w:t>
            </w:r>
          </w:p>
        </w:tc>
        <w:tc>
          <w:tcPr>
            <w:tcW w:w="827" w:type="dxa"/>
            <w:tcBorders>
              <w:bottom w:val="single" w:sz="12" w:space="0" w:color="auto"/>
            </w:tcBorders>
            <w:shd w:val="clear" w:color="auto" w:fill="auto"/>
            <w:noWrap/>
            <w:vAlign w:val="bottom"/>
          </w:tcPr>
          <w:p w14:paraId="0E7F4291" w14:textId="77777777" w:rsidR="005D40D4" w:rsidRPr="00802880" w:rsidRDefault="005D40D4" w:rsidP="00802880">
            <w:pPr>
              <w:tabs>
                <w:tab w:val="left" w:pos="288"/>
                <w:tab w:val="left" w:pos="576"/>
                <w:tab w:val="left" w:pos="864"/>
                <w:tab w:val="left" w:pos="1152"/>
              </w:tabs>
              <w:suppressAutoHyphens/>
              <w:spacing w:before="40" w:after="40" w:line="210" w:lineRule="exact"/>
              <w:ind w:right="43"/>
              <w:jc w:val="right"/>
              <w:rPr>
                <w:sz w:val="17"/>
              </w:rPr>
            </w:pPr>
            <w:r w:rsidRPr="00802880">
              <w:rPr>
                <w:sz w:val="17"/>
              </w:rPr>
              <w:t xml:space="preserve">15 573 </w:t>
            </w:r>
          </w:p>
        </w:tc>
        <w:tc>
          <w:tcPr>
            <w:tcW w:w="827" w:type="dxa"/>
            <w:tcBorders>
              <w:bottom w:val="single" w:sz="12" w:space="0" w:color="auto"/>
            </w:tcBorders>
            <w:shd w:val="clear" w:color="auto" w:fill="auto"/>
            <w:noWrap/>
            <w:vAlign w:val="bottom"/>
          </w:tcPr>
          <w:p w14:paraId="4329624F" w14:textId="77777777" w:rsidR="005D40D4" w:rsidRPr="00802880" w:rsidRDefault="005D40D4" w:rsidP="00802880">
            <w:pPr>
              <w:tabs>
                <w:tab w:val="left" w:pos="288"/>
                <w:tab w:val="left" w:pos="576"/>
                <w:tab w:val="left" w:pos="864"/>
                <w:tab w:val="left" w:pos="1152"/>
              </w:tabs>
              <w:suppressAutoHyphens/>
              <w:spacing w:before="40" w:after="40" w:line="210" w:lineRule="exact"/>
              <w:ind w:right="43"/>
              <w:jc w:val="right"/>
              <w:rPr>
                <w:sz w:val="17"/>
              </w:rPr>
            </w:pPr>
            <w:r w:rsidRPr="00802880">
              <w:rPr>
                <w:sz w:val="17"/>
              </w:rPr>
              <w:t>18 110</w:t>
            </w:r>
          </w:p>
        </w:tc>
        <w:tc>
          <w:tcPr>
            <w:tcW w:w="827" w:type="dxa"/>
            <w:tcBorders>
              <w:bottom w:val="single" w:sz="12" w:space="0" w:color="auto"/>
            </w:tcBorders>
            <w:shd w:val="clear" w:color="auto" w:fill="auto"/>
            <w:noWrap/>
            <w:vAlign w:val="bottom"/>
          </w:tcPr>
          <w:p w14:paraId="25AD3BEE" w14:textId="77777777" w:rsidR="005D40D4" w:rsidRPr="00802880" w:rsidRDefault="005D40D4" w:rsidP="00802880">
            <w:pPr>
              <w:tabs>
                <w:tab w:val="left" w:pos="288"/>
                <w:tab w:val="left" w:pos="576"/>
                <w:tab w:val="left" w:pos="864"/>
                <w:tab w:val="left" w:pos="1152"/>
              </w:tabs>
              <w:suppressAutoHyphens/>
              <w:spacing w:before="40" w:after="40" w:line="210" w:lineRule="exact"/>
              <w:ind w:right="43"/>
              <w:jc w:val="right"/>
              <w:rPr>
                <w:sz w:val="17"/>
              </w:rPr>
            </w:pPr>
            <w:r w:rsidRPr="00802880">
              <w:rPr>
                <w:sz w:val="17"/>
              </w:rPr>
              <w:t>20488</w:t>
            </w:r>
          </w:p>
        </w:tc>
        <w:tc>
          <w:tcPr>
            <w:tcW w:w="827" w:type="dxa"/>
            <w:tcBorders>
              <w:bottom w:val="single" w:sz="12" w:space="0" w:color="auto"/>
            </w:tcBorders>
            <w:shd w:val="clear" w:color="auto" w:fill="auto"/>
            <w:noWrap/>
            <w:vAlign w:val="bottom"/>
          </w:tcPr>
          <w:p w14:paraId="01E0DB07" w14:textId="77777777" w:rsidR="005D40D4" w:rsidRPr="00802880" w:rsidRDefault="005D40D4" w:rsidP="00802880">
            <w:pPr>
              <w:tabs>
                <w:tab w:val="left" w:pos="288"/>
                <w:tab w:val="left" w:pos="576"/>
                <w:tab w:val="left" w:pos="864"/>
                <w:tab w:val="left" w:pos="1152"/>
              </w:tabs>
              <w:suppressAutoHyphens/>
              <w:spacing w:before="40" w:after="40" w:line="210" w:lineRule="exact"/>
              <w:ind w:right="43"/>
              <w:jc w:val="right"/>
              <w:rPr>
                <w:sz w:val="17"/>
              </w:rPr>
            </w:pPr>
            <w:r w:rsidRPr="00802880">
              <w:rPr>
                <w:sz w:val="17"/>
              </w:rPr>
              <w:t>19 199</w:t>
            </w:r>
          </w:p>
        </w:tc>
        <w:tc>
          <w:tcPr>
            <w:tcW w:w="827" w:type="dxa"/>
            <w:tcBorders>
              <w:bottom w:val="single" w:sz="12" w:space="0" w:color="auto"/>
            </w:tcBorders>
            <w:shd w:val="clear" w:color="auto" w:fill="auto"/>
            <w:noWrap/>
            <w:vAlign w:val="bottom"/>
          </w:tcPr>
          <w:p w14:paraId="2A3F4C8C" w14:textId="77777777" w:rsidR="005D40D4" w:rsidRPr="00802880" w:rsidRDefault="005D40D4" w:rsidP="00802880">
            <w:pPr>
              <w:tabs>
                <w:tab w:val="left" w:pos="288"/>
                <w:tab w:val="left" w:pos="576"/>
                <w:tab w:val="left" w:pos="864"/>
                <w:tab w:val="left" w:pos="1152"/>
              </w:tabs>
              <w:suppressAutoHyphens/>
              <w:spacing w:before="40" w:after="40" w:line="210" w:lineRule="exact"/>
              <w:ind w:right="43"/>
              <w:jc w:val="right"/>
              <w:rPr>
                <w:sz w:val="17"/>
              </w:rPr>
            </w:pPr>
            <w:r w:rsidRPr="00802880">
              <w:rPr>
                <w:sz w:val="17"/>
              </w:rPr>
              <w:t>16 501</w:t>
            </w:r>
          </w:p>
        </w:tc>
        <w:tc>
          <w:tcPr>
            <w:tcW w:w="827" w:type="dxa"/>
            <w:tcBorders>
              <w:bottom w:val="single" w:sz="12" w:space="0" w:color="auto"/>
            </w:tcBorders>
            <w:shd w:val="clear" w:color="auto" w:fill="auto"/>
            <w:noWrap/>
            <w:vAlign w:val="bottom"/>
          </w:tcPr>
          <w:p w14:paraId="596868C2" w14:textId="77777777" w:rsidR="005D40D4" w:rsidRPr="00802880" w:rsidRDefault="005D40D4" w:rsidP="00802880">
            <w:pPr>
              <w:tabs>
                <w:tab w:val="left" w:pos="288"/>
                <w:tab w:val="left" w:pos="576"/>
                <w:tab w:val="left" w:pos="864"/>
                <w:tab w:val="left" w:pos="1152"/>
              </w:tabs>
              <w:suppressAutoHyphens/>
              <w:spacing w:before="40" w:after="40" w:line="210" w:lineRule="exact"/>
              <w:ind w:right="43"/>
              <w:jc w:val="right"/>
              <w:rPr>
                <w:sz w:val="17"/>
              </w:rPr>
            </w:pPr>
            <w:r w:rsidRPr="00802880">
              <w:rPr>
                <w:sz w:val="17"/>
              </w:rPr>
              <w:t>15 012</w:t>
            </w:r>
          </w:p>
        </w:tc>
        <w:tc>
          <w:tcPr>
            <w:tcW w:w="828" w:type="dxa"/>
            <w:tcBorders>
              <w:bottom w:val="single" w:sz="12" w:space="0" w:color="auto"/>
            </w:tcBorders>
            <w:shd w:val="clear" w:color="auto" w:fill="auto"/>
            <w:noWrap/>
            <w:vAlign w:val="bottom"/>
          </w:tcPr>
          <w:p w14:paraId="1587B96A" w14:textId="77777777" w:rsidR="005D40D4" w:rsidRPr="00802880" w:rsidRDefault="005D40D4" w:rsidP="00802880">
            <w:pPr>
              <w:tabs>
                <w:tab w:val="left" w:pos="288"/>
                <w:tab w:val="left" w:pos="576"/>
                <w:tab w:val="left" w:pos="864"/>
                <w:tab w:val="left" w:pos="1152"/>
              </w:tabs>
              <w:suppressAutoHyphens/>
              <w:spacing w:before="40" w:after="40" w:line="210" w:lineRule="exact"/>
              <w:ind w:right="43"/>
              <w:jc w:val="right"/>
              <w:rPr>
                <w:sz w:val="17"/>
              </w:rPr>
            </w:pPr>
            <w:r w:rsidRPr="00802880">
              <w:rPr>
                <w:sz w:val="17"/>
              </w:rPr>
              <w:t>16 873</w:t>
            </w:r>
          </w:p>
        </w:tc>
      </w:tr>
    </w:tbl>
    <w:p w14:paraId="29B1C5A1" w14:textId="26365FCE" w:rsidR="005D40D4" w:rsidRPr="00A75600" w:rsidRDefault="005D40D4" w:rsidP="00A75600">
      <w:pPr>
        <w:pStyle w:val="SingleTxt"/>
        <w:spacing w:after="0" w:line="120" w:lineRule="exact"/>
        <w:rPr>
          <w:sz w:val="10"/>
          <w:lang w:val="fr-FR"/>
        </w:rPr>
      </w:pPr>
    </w:p>
    <w:p w14:paraId="0F0630E3" w14:textId="7B8E4024" w:rsidR="00A75600" w:rsidRPr="00A75600" w:rsidRDefault="00A75600" w:rsidP="00A75600">
      <w:pPr>
        <w:pStyle w:val="SingleTxt"/>
        <w:spacing w:after="0" w:line="120" w:lineRule="exact"/>
        <w:rPr>
          <w:sz w:val="10"/>
          <w:lang w:val="fr-FR"/>
        </w:rPr>
      </w:pPr>
    </w:p>
    <w:p w14:paraId="1B3F9074" w14:textId="709570DA" w:rsidR="00A75600" w:rsidRPr="00A75600" w:rsidRDefault="00A75600" w:rsidP="00A75600">
      <w:pPr>
        <w:pStyle w:val="SingleTxt"/>
        <w:spacing w:after="0" w:line="120" w:lineRule="exact"/>
        <w:rPr>
          <w:sz w:val="10"/>
          <w:lang w:val="fr-FR"/>
        </w:rPr>
      </w:pPr>
    </w:p>
    <w:p w14:paraId="5E38EBD8" w14:textId="0619A278" w:rsidR="00A75600" w:rsidRDefault="00A75600" w:rsidP="00A75600">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5D40D4" w:rsidRPr="005D40D4">
        <w:rPr>
          <w:lang w:val="fr-FR"/>
        </w:rPr>
        <w:t>Tableau 20</w:t>
      </w:r>
    </w:p>
    <w:p w14:paraId="4FA125A1" w14:textId="19451991" w:rsidR="005D40D4" w:rsidRPr="005D40D4" w:rsidRDefault="00A75600" w:rsidP="00A756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5D40D4" w:rsidRPr="005D40D4">
        <w:rPr>
          <w:lang w:val="fr-FR"/>
        </w:rPr>
        <w:t>Cas de violence ventilés par tranche d</w:t>
      </w:r>
      <w:r w:rsidR="00F1794C" w:rsidRPr="00F1794C">
        <w:rPr>
          <w:lang w:val="fr-FR"/>
        </w:rPr>
        <w:t>’</w:t>
      </w:r>
      <w:r w:rsidR="005D40D4" w:rsidRPr="005D40D4">
        <w:rPr>
          <w:lang w:val="fr-FR"/>
        </w:rPr>
        <w:t>âge</w:t>
      </w:r>
    </w:p>
    <w:p w14:paraId="11BB56F9" w14:textId="0AF282C8" w:rsidR="005D40D4" w:rsidRPr="00A75600" w:rsidRDefault="005D40D4" w:rsidP="00A75600">
      <w:pPr>
        <w:pStyle w:val="SingleTxt"/>
        <w:spacing w:after="0" w:line="120" w:lineRule="exact"/>
        <w:rPr>
          <w:sz w:val="10"/>
          <w:lang w:val="fr-FR"/>
        </w:rPr>
      </w:pPr>
    </w:p>
    <w:p w14:paraId="148FE17D" w14:textId="6ECA400A" w:rsidR="00A75600" w:rsidRPr="00A75600" w:rsidRDefault="00A75600" w:rsidP="00A75600">
      <w:pPr>
        <w:pStyle w:val="SingleTxt"/>
        <w:spacing w:after="0" w:line="120" w:lineRule="exact"/>
        <w:rPr>
          <w:sz w:val="10"/>
          <w:lang w:val="fr-FR"/>
        </w:rPr>
      </w:pPr>
    </w:p>
    <w:tbl>
      <w:tblPr>
        <w:tblStyle w:val="Grilledutableau13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40"/>
        <w:gridCol w:w="2440"/>
        <w:gridCol w:w="2440"/>
      </w:tblGrid>
      <w:tr w:rsidR="005D40D4" w:rsidRPr="00A75600" w14:paraId="0B91DFE0" w14:textId="77777777" w:rsidTr="00A75600">
        <w:trPr>
          <w:cantSplit/>
          <w:tblHeader/>
          <w:jc w:val="center"/>
        </w:trPr>
        <w:tc>
          <w:tcPr>
            <w:tcW w:w="2440" w:type="dxa"/>
            <w:tcBorders>
              <w:top w:val="single" w:sz="4" w:space="0" w:color="auto"/>
              <w:bottom w:val="single" w:sz="12" w:space="0" w:color="auto"/>
            </w:tcBorders>
            <w:shd w:val="clear" w:color="auto" w:fill="auto"/>
            <w:noWrap/>
            <w:vAlign w:val="bottom"/>
          </w:tcPr>
          <w:p w14:paraId="4A57B8BD" w14:textId="6265AAD6" w:rsidR="005D40D4" w:rsidRPr="00A75600" w:rsidRDefault="005D40D4" w:rsidP="00A75600">
            <w:pPr>
              <w:suppressAutoHyphens/>
              <w:spacing w:before="81" w:after="81" w:line="160" w:lineRule="exact"/>
              <w:ind w:right="40"/>
              <w:rPr>
                <w:i/>
                <w:sz w:val="14"/>
              </w:rPr>
            </w:pPr>
            <w:r w:rsidRPr="00A75600">
              <w:rPr>
                <w:i/>
                <w:sz w:val="14"/>
              </w:rPr>
              <w:t>Tranche d</w:t>
            </w:r>
            <w:r w:rsidR="00F1794C" w:rsidRPr="00A75600">
              <w:rPr>
                <w:i/>
                <w:sz w:val="14"/>
              </w:rPr>
              <w:t>’</w:t>
            </w:r>
            <w:r w:rsidRPr="00A75600">
              <w:rPr>
                <w:i/>
                <w:sz w:val="14"/>
              </w:rPr>
              <w:t>âge de la victime</w:t>
            </w:r>
          </w:p>
        </w:tc>
        <w:tc>
          <w:tcPr>
            <w:tcW w:w="2440" w:type="dxa"/>
            <w:tcBorders>
              <w:top w:val="single" w:sz="4" w:space="0" w:color="auto"/>
              <w:bottom w:val="single" w:sz="12" w:space="0" w:color="auto"/>
            </w:tcBorders>
            <w:shd w:val="clear" w:color="auto" w:fill="auto"/>
            <w:noWrap/>
            <w:vAlign w:val="bottom"/>
          </w:tcPr>
          <w:p w14:paraId="2256FD4F" w14:textId="77777777" w:rsidR="005D40D4" w:rsidRPr="00A75600" w:rsidRDefault="005D40D4" w:rsidP="00A75600">
            <w:pPr>
              <w:suppressAutoHyphens/>
              <w:spacing w:before="81" w:after="81" w:line="160" w:lineRule="exact"/>
              <w:ind w:right="43"/>
              <w:jc w:val="right"/>
              <w:rPr>
                <w:i/>
                <w:sz w:val="14"/>
              </w:rPr>
            </w:pPr>
            <w:r w:rsidRPr="00A75600">
              <w:rPr>
                <w:i/>
                <w:sz w:val="14"/>
              </w:rPr>
              <w:t>Violence sexuelle</w:t>
            </w:r>
          </w:p>
        </w:tc>
        <w:tc>
          <w:tcPr>
            <w:tcW w:w="2440" w:type="dxa"/>
            <w:tcBorders>
              <w:top w:val="single" w:sz="4" w:space="0" w:color="auto"/>
              <w:bottom w:val="single" w:sz="12" w:space="0" w:color="auto"/>
            </w:tcBorders>
            <w:shd w:val="clear" w:color="auto" w:fill="auto"/>
            <w:noWrap/>
            <w:vAlign w:val="bottom"/>
          </w:tcPr>
          <w:p w14:paraId="7E408095" w14:textId="77777777" w:rsidR="005D40D4" w:rsidRPr="00A75600" w:rsidRDefault="005D40D4" w:rsidP="00A75600">
            <w:pPr>
              <w:suppressAutoHyphens/>
              <w:spacing w:before="81" w:after="81" w:line="160" w:lineRule="exact"/>
              <w:ind w:right="43"/>
              <w:jc w:val="right"/>
              <w:rPr>
                <w:i/>
                <w:sz w:val="14"/>
              </w:rPr>
            </w:pPr>
            <w:r w:rsidRPr="00A75600">
              <w:rPr>
                <w:i/>
                <w:sz w:val="14"/>
              </w:rPr>
              <w:t>Violence physique</w:t>
            </w:r>
          </w:p>
        </w:tc>
      </w:tr>
      <w:tr w:rsidR="00A75600" w:rsidRPr="00A75600" w14:paraId="03D7FDD5" w14:textId="77777777" w:rsidTr="00A75600">
        <w:trPr>
          <w:cantSplit/>
          <w:trHeight w:hRule="exact" w:val="115"/>
          <w:tblHeader/>
          <w:jc w:val="center"/>
        </w:trPr>
        <w:tc>
          <w:tcPr>
            <w:tcW w:w="2440" w:type="dxa"/>
            <w:tcBorders>
              <w:top w:val="single" w:sz="12" w:space="0" w:color="auto"/>
            </w:tcBorders>
            <w:shd w:val="clear" w:color="auto" w:fill="auto"/>
            <w:noWrap/>
            <w:vAlign w:val="bottom"/>
          </w:tcPr>
          <w:p w14:paraId="74CBE830" w14:textId="77777777" w:rsidR="00A75600" w:rsidRPr="00A75600" w:rsidRDefault="00A75600" w:rsidP="00A75600">
            <w:pPr>
              <w:suppressAutoHyphens/>
              <w:spacing w:before="40" w:after="40" w:line="210" w:lineRule="exact"/>
              <w:ind w:right="40"/>
              <w:rPr>
                <w:sz w:val="17"/>
              </w:rPr>
            </w:pPr>
          </w:p>
        </w:tc>
        <w:tc>
          <w:tcPr>
            <w:tcW w:w="2440" w:type="dxa"/>
            <w:tcBorders>
              <w:top w:val="single" w:sz="12" w:space="0" w:color="auto"/>
            </w:tcBorders>
            <w:shd w:val="clear" w:color="auto" w:fill="auto"/>
            <w:noWrap/>
            <w:vAlign w:val="bottom"/>
          </w:tcPr>
          <w:p w14:paraId="4D978255" w14:textId="77777777" w:rsidR="00A75600" w:rsidRPr="00A75600" w:rsidRDefault="00A75600" w:rsidP="00A75600">
            <w:pPr>
              <w:suppressAutoHyphens/>
              <w:spacing w:before="40" w:after="40" w:line="210" w:lineRule="exact"/>
              <w:ind w:right="43"/>
              <w:jc w:val="right"/>
              <w:rPr>
                <w:sz w:val="17"/>
              </w:rPr>
            </w:pPr>
          </w:p>
        </w:tc>
        <w:tc>
          <w:tcPr>
            <w:tcW w:w="2440" w:type="dxa"/>
            <w:tcBorders>
              <w:top w:val="single" w:sz="12" w:space="0" w:color="auto"/>
            </w:tcBorders>
            <w:shd w:val="clear" w:color="auto" w:fill="auto"/>
            <w:noWrap/>
            <w:vAlign w:val="bottom"/>
          </w:tcPr>
          <w:p w14:paraId="486FCB53" w14:textId="77777777" w:rsidR="00A75600" w:rsidRPr="00A75600" w:rsidRDefault="00A75600" w:rsidP="00A75600">
            <w:pPr>
              <w:suppressAutoHyphens/>
              <w:spacing w:before="40" w:after="40" w:line="210" w:lineRule="exact"/>
              <w:ind w:right="43"/>
              <w:jc w:val="right"/>
              <w:rPr>
                <w:sz w:val="17"/>
              </w:rPr>
            </w:pPr>
          </w:p>
        </w:tc>
      </w:tr>
      <w:tr w:rsidR="005D40D4" w:rsidRPr="00A75600" w14:paraId="6BFEBA31" w14:textId="77777777" w:rsidTr="00A75600">
        <w:trPr>
          <w:cantSplit/>
          <w:jc w:val="center"/>
        </w:trPr>
        <w:tc>
          <w:tcPr>
            <w:tcW w:w="2440" w:type="dxa"/>
            <w:shd w:val="clear" w:color="auto" w:fill="auto"/>
            <w:noWrap/>
            <w:vAlign w:val="bottom"/>
          </w:tcPr>
          <w:p w14:paraId="76463EB5" w14:textId="77777777" w:rsidR="005D40D4" w:rsidRPr="00A75600" w:rsidRDefault="005D40D4" w:rsidP="00A75600">
            <w:pPr>
              <w:tabs>
                <w:tab w:val="left" w:pos="288"/>
                <w:tab w:val="left" w:pos="576"/>
                <w:tab w:val="left" w:pos="864"/>
                <w:tab w:val="left" w:pos="1152"/>
              </w:tabs>
              <w:suppressAutoHyphens/>
              <w:spacing w:before="40" w:after="40" w:line="210" w:lineRule="exact"/>
              <w:ind w:right="40"/>
              <w:rPr>
                <w:sz w:val="17"/>
              </w:rPr>
            </w:pPr>
            <w:r w:rsidRPr="00A75600">
              <w:rPr>
                <w:sz w:val="17"/>
              </w:rPr>
              <w:t>18-30</w:t>
            </w:r>
          </w:p>
        </w:tc>
        <w:tc>
          <w:tcPr>
            <w:tcW w:w="2440" w:type="dxa"/>
            <w:shd w:val="clear" w:color="auto" w:fill="auto"/>
            <w:noWrap/>
            <w:vAlign w:val="bottom"/>
          </w:tcPr>
          <w:p w14:paraId="7FE097A4" w14:textId="77777777" w:rsidR="005D40D4" w:rsidRPr="00A75600" w:rsidRDefault="005D40D4" w:rsidP="00A75600">
            <w:pPr>
              <w:tabs>
                <w:tab w:val="left" w:pos="288"/>
                <w:tab w:val="left" w:pos="576"/>
                <w:tab w:val="left" w:pos="864"/>
                <w:tab w:val="left" w:pos="1152"/>
              </w:tabs>
              <w:suppressAutoHyphens/>
              <w:spacing w:before="40" w:after="40" w:line="210" w:lineRule="exact"/>
              <w:ind w:right="43"/>
              <w:jc w:val="right"/>
              <w:rPr>
                <w:sz w:val="17"/>
              </w:rPr>
            </w:pPr>
            <w:r w:rsidRPr="00A75600">
              <w:rPr>
                <w:sz w:val="17"/>
              </w:rPr>
              <w:t>623</w:t>
            </w:r>
          </w:p>
        </w:tc>
        <w:tc>
          <w:tcPr>
            <w:tcW w:w="2440" w:type="dxa"/>
            <w:shd w:val="clear" w:color="auto" w:fill="auto"/>
            <w:noWrap/>
            <w:vAlign w:val="bottom"/>
          </w:tcPr>
          <w:p w14:paraId="66267260" w14:textId="77777777" w:rsidR="005D40D4" w:rsidRPr="00A75600" w:rsidRDefault="005D40D4" w:rsidP="00A75600">
            <w:pPr>
              <w:tabs>
                <w:tab w:val="left" w:pos="288"/>
                <w:tab w:val="left" w:pos="576"/>
                <w:tab w:val="left" w:pos="864"/>
                <w:tab w:val="left" w:pos="1152"/>
              </w:tabs>
              <w:suppressAutoHyphens/>
              <w:spacing w:before="40" w:after="40" w:line="210" w:lineRule="exact"/>
              <w:ind w:right="43"/>
              <w:jc w:val="right"/>
              <w:rPr>
                <w:sz w:val="17"/>
              </w:rPr>
            </w:pPr>
            <w:r w:rsidRPr="00A75600">
              <w:rPr>
                <w:sz w:val="17"/>
              </w:rPr>
              <w:t>6 940</w:t>
            </w:r>
          </w:p>
        </w:tc>
      </w:tr>
      <w:tr w:rsidR="005D40D4" w:rsidRPr="00A75600" w14:paraId="32959AD2" w14:textId="77777777" w:rsidTr="00A75600">
        <w:trPr>
          <w:cantSplit/>
          <w:jc w:val="center"/>
        </w:trPr>
        <w:tc>
          <w:tcPr>
            <w:tcW w:w="2440" w:type="dxa"/>
            <w:shd w:val="clear" w:color="auto" w:fill="auto"/>
            <w:noWrap/>
            <w:vAlign w:val="bottom"/>
          </w:tcPr>
          <w:p w14:paraId="2639EA88" w14:textId="77777777" w:rsidR="005D40D4" w:rsidRPr="00A75600" w:rsidRDefault="005D40D4" w:rsidP="00A75600">
            <w:pPr>
              <w:tabs>
                <w:tab w:val="left" w:pos="288"/>
                <w:tab w:val="left" w:pos="576"/>
                <w:tab w:val="left" w:pos="864"/>
                <w:tab w:val="left" w:pos="1152"/>
              </w:tabs>
              <w:suppressAutoHyphens/>
              <w:spacing w:before="40" w:after="40" w:line="210" w:lineRule="exact"/>
              <w:ind w:right="40"/>
              <w:rPr>
                <w:sz w:val="17"/>
              </w:rPr>
            </w:pPr>
            <w:r w:rsidRPr="00A75600">
              <w:rPr>
                <w:sz w:val="17"/>
              </w:rPr>
              <w:t>31-45</w:t>
            </w:r>
          </w:p>
        </w:tc>
        <w:tc>
          <w:tcPr>
            <w:tcW w:w="2440" w:type="dxa"/>
            <w:shd w:val="clear" w:color="auto" w:fill="auto"/>
            <w:noWrap/>
            <w:vAlign w:val="bottom"/>
          </w:tcPr>
          <w:p w14:paraId="16E71948" w14:textId="77777777" w:rsidR="005D40D4" w:rsidRPr="00A75600" w:rsidRDefault="005D40D4" w:rsidP="00A75600">
            <w:pPr>
              <w:tabs>
                <w:tab w:val="left" w:pos="288"/>
                <w:tab w:val="left" w:pos="576"/>
                <w:tab w:val="left" w:pos="864"/>
                <w:tab w:val="left" w:pos="1152"/>
              </w:tabs>
              <w:suppressAutoHyphens/>
              <w:spacing w:before="40" w:after="40" w:line="210" w:lineRule="exact"/>
              <w:ind w:right="43"/>
              <w:jc w:val="right"/>
              <w:rPr>
                <w:sz w:val="17"/>
              </w:rPr>
            </w:pPr>
            <w:r w:rsidRPr="00A75600">
              <w:rPr>
                <w:sz w:val="17"/>
              </w:rPr>
              <w:t>283</w:t>
            </w:r>
          </w:p>
        </w:tc>
        <w:tc>
          <w:tcPr>
            <w:tcW w:w="2440" w:type="dxa"/>
            <w:shd w:val="clear" w:color="auto" w:fill="auto"/>
            <w:noWrap/>
            <w:vAlign w:val="bottom"/>
          </w:tcPr>
          <w:p w14:paraId="3AC1A9A3" w14:textId="77777777" w:rsidR="005D40D4" w:rsidRPr="00A75600" w:rsidRDefault="005D40D4" w:rsidP="00A75600">
            <w:pPr>
              <w:tabs>
                <w:tab w:val="left" w:pos="288"/>
                <w:tab w:val="left" w:pos="576"/>
                <w:tab w:val="left" w:pos="864"/>
                <w:tab w:val="left" w:pos="1152"/>
              </w:tabs>
              <w:suppressAutoHyphens/>
              <w:spacing w:before="40" w:after="40" w:line="210" w:lineRule="exact"/>
              <w:ind w:right="43"/>
              <w:jc w:val="right"/>
              <w:rPr>
                <w:sz w:val="17"/>
              </w:rPr>
            </w:pPr>
            <w:r w:rsidRPr="00A75600">
              <w:rPr>
                <w:sz w:val="17"/>
              </w:rPr>
              <w:t>6 600</w:t>
            </w:r>
          </w:p>
        </w:tc>
      </w:tr>
      <w:tr w:rsidR="005D40D4" w:rsidRPr="00A75600" w14:paraId="08FDE943" w14:textId="77777777" w:rsidTr="00A75600">
        <w:trPr>
          <w:cantSplit/>
          <w:jc w:val="center"/>
        </w:trPr>
        <w:tc>
          <w:tcPr>
            <w:tcW w:w="2440" w:type="dxa"/>
            <w:shd w:val="clear" w:color="auto" w:fill="auto"/>
            <w:noWrap/>
            <w:vAlign w:val="bottom"/>
          </w:tcPr>
          <w:p w14:paraId="30614481" w14:textId="77777777" w:rsidR="005D40D4" w:rsidRPr="00A75600" w:rsidRDefault="005D40D4" w:rsidP="00A75600">
            <w:pPr>
              <w:tabs>
                <w:tab w:val="left" w:pos="288"/>
                <w:tab w:val="left" w:pos="576"/>
                <w:tab w:val="left" w:pos="864"/>
                <w:tab w:val="left" w:pos="1152"/>
              </w:tabs>
              <w:suppressAutoHyphens/>
              <w:spacing w:before="40" w:after="40" w:line="210" w:lineRule="exact"/>
              <w:ind w:right="40"/>
              <w:rPr>
                <w:sz w:val="17"/>
              </w:rPr>
            </w:pPr>
            <w:r w:rsidRPr="00A75600">
              <w:rPr>
                <w:sz w:val="17"/>
              </w:rPr>
              <w:t>46-60</w:t>
            </w:r>
          </w:p>
        </w:tc>
        <w:tc>
          <w:tcPr>
            <w:tcW w:w="2440" w:type="dxa"/>
            <w:shd w:val="clear" w:color="auto" w:fill="auto"/>
            <w:noWrap/>
            <w:vAlign w:val="bottom"/>
          </w:tcPr>
          <w:p w14:paraId="1E8DD704" w14:textId="77777777" w:rsidR="005D40D4" w:rsidRPr="00A75600" w:rsidRDefault="005D40D4" w:rsidP="00A75600">
            <w:pPr>
              <w:tabs>
                <w:tab w:val="left" w:pos="288"/>
                <w:tab w:val="left" w:pos="576"/>
                <w:tab w:val="left" w:pos="864"/>
                <w:tab w:val="left" w:pos="1152"/>
              </w:tabs>
              <w:suppressAutoHyphens/>
              <w:spacing w:before="40" w:after="40" w:line="210" w:lineRule="exact"/>
              <w:ind w:right="43"/>
              <w:jc w:val="right"/>
              <w:rPr>
                <w:sz w:val="17"/>
              </w:rPr>
            </w:pPr>
            <w:r w:rsidRPr="00A75600">
              <w:rPr>
                <w:sz w:val="17"/>
              </w:rPr>
              <w:t>58</w:t>
            </w:r>
          </w:p>
        </w:tc>
        <w:tc>
          <w:tcPr>
            <w:tcW w:w="2440" w:type="dxa"/>
            <w:shd w:val="clear" w:color="auto" w:fill="auto"/>
            <w:noWrap/>
            <w:vAlign w:val="bottom"/>
          </w:tcPr>
          <w:p w14:paraId="427E793D" w14:textId="77777777" w:rsidR="005D40D4" w:rsidRPr="00A75600" w:rsidRDefault="005D40D4" w:rsidP="00A75600">
            <w:pPr>
              <w:tabs>
                <w:tab w:val="left" w:pos="288"/>
                <w:tab w:val="left" w:pos="576"/>
                <w:tab w:val="left" w:pos="864"/>
                <w:tab w:val="left" w:pos="1152"/>
              </w:tabs>
              <w:suppressAutoHyphens/>
              <w:spacing w:before="40" w:after="40" w:line="210" w:lineRule="exact"/>
              <w:ind w:right="43"/>
              <w:jc w:val="right"/>
              <w:rPr>
                <w:sz w:val="17"/>
              </w:rPr>
            </w:pPr>
            <w:r w:rsidRPr="00A75600">
              <w:rPr>
                <w:sz w:val="17"/>
              </w:rPr>
              <w:t>3 052</w:t>
            </w:r>
          </w:p>
        </w:tc>
      </w:tr>
      <w:tr w:rsidR="005D40D4" w:rsidRPr="00A75600" w14:paraId="26BF53BB" w14:textId="77777777" w:rsidTr="00A75600">
        <w:trPr>
          <w:cantSplit/>
          <w:jc w:val="center"/>
        </w:trPr>
        <w:tc>
          <w:tcPr>
            <w:tcW w:w="2440" w:type="dxa"/>
            <w:tcBorders>
              <w:bottom w:val="single" w:sz="4" w:space="0" w:color="auto"/>
            </w:tcBorders>
            <w:shd w:val="clear" w:color="auto" w:fill="auto"/>
            <w:noWrap/>
            <w:vAlign w:val="bottom"/>
          </w:tcPr>
          <w:p w14:paraId="0FEA697D" w14:textId="10317D38" w:rsidR="005D40D4" w:rsidRPr="00A75600" w:rsidRDefault="005D40D4" w:rsidP="00A75600">
            <w:pPr>
              <w:tabs>
                <w:tab w:val="left" w:pos="288"/>
                <w:tab w:val="left" w:pos="576"/>
                <w:tab w:val="left" w:pos="864"/>
                <w:tab w:val="left" w:pos="1152"/>
              </w:tabs>
              <w:suppressAutoHyphens/>
              <w:spacing w:before="40" w:after="81" w:line="210" w:lineRule="exact"/>
              <w:ind w:right="40"/>
              <w:rPr>
                <w:sz w:val="17"/>
              </w:rPr>
            </w:pPr>
            <w:r w:rsidRPr="00A75600">
              <w:rPr>
                <w:sz w:val="17"/>
              </w:rPr>
              <w:t>61+</w:t>
            </w:r>
            <w:r w:rsidRPr="00A75600">
              <w:rPr>
                <w:sz w:val="17"/>
              </w:rPr>
              <w:tab/>
            </w:r>
          </w:p>
        </w:tc>
        <w:tc>
          <w:tcPr>
            <w:tcW w:w="2440" w:type="dxa"/>
            <w:tcBorders>
              <w:bottom w:val="single" w:sz="4" w:space="0" w:color="auto"/>
            </w:tcBorders>
            <w:shd w:val="clear" w:color="auto" w:fill="auto"/>
            <w:noWrap/>
            <w:vAlign w:val="bottom"/>
          </w:tcPr>
          <w:p w14:paraId="2EDD9217" w14:textId="77777777" w:rsidR="005D40D4" w:rsidRPr="00A75600" w:rsidRDefault="005D40D4" w:rsidP="00A75600">
            <w:pPr>
              <w:tabs>
                <w:tab w:val="left" w:pos="288"/>
                <w:tab w:val="left" w:pos="576"/>
                <w:tab w:val="left" w:pos="864"/>
                <w:tab w:val="left" w:pos="1152"/>
              </w:tabs>
              <w:suppressAutoHyphens/>
              <w:spacing w:before="40" w:after="81" w:line="210" w:lineRule="exact"/>
              <w:ind w:right="43"/>
              <w:jc w:val="right"/>
              <w:rPr>
                <w:sz w:val="17"/>
              </w:rPr>
            </w:pPr>
            <w:r w:rsidRPr="00A75600">
              <w:rPr>
                <w:sz w:val="17"/>
              </w:rPr>
              <w:t>14</w:t>
            </w:r>
          </w:p>
        </w:tc>
        <w:tc>
          <w:tcPr>
            <w:tcW w:w="2440" w:type="dxa"/>
            <w:tcBorders>
              <w:bottom w:val="single" w:sz="4" w:space="0" w:color="auto"/>
            </w:tcBorders>
            <w:shd w:val="clear" w:color="auto" w:fill="auto"/>
            <w:noWrap/>
            <w:vAlign w:val="bottom"/>
          </w:tcPr>
          <w:p w14:paraId="053A403F" w14:textId="77777777" w:rsidR="005D40D4" w:rsidRPr="00A75600" w:rsidRDefault="005D40D4" w:rsidP="00A75600">
            <w:pPr>
              <w:tabs>
                <w:tab w:val="left" w:pos="288"/>
                <w:tab w:val="left" w:pos="576"/>
                <w:tab w:val="left" w:pos="864"/>
                <w:tab w:val="left" w:pos="1152"/>
              </w:tabs>
              <w:suppressAutoHyphens/>
              <w:spacing w:before="40" w:after="81" w:line="210" w:lineRule="exact"/>
              <w:ind w:right="43"/>
              <w:jc w:val="right"/>
              <w:rPr>
                <w:sz w:val="17"/>
              </w:rPr>
            </w:pPr>
            <w:r w:rsidRPr="00A75600">
              <w:rPr>
                <w:sz w:val="17"/>
              </w:rPr>
              <w:t>610</w:t>
            </w:r>
          </w:p>
        </w:tc>
      </w:tr>
      <w:tr w:rsidR="005D40D4" w:rsidRPr="00A75600" w14:paraId="769BE5B4" w14:textId="77777777" w:rsidTr="00A75600">
        <w:trPr>
          <w:cantSplit/>
          <w:jc w:val="center"/>
        </w:trPr>
        <w:tc>
          <w:tcPr>
            <w:tcW w:w="2440" w:type="dxa"/>
            <w:tcBorders>
              <w:top w:val="single" w:sz="4" w:space="0" w:color="auto"/>
              <w:bottom w:val="single" w:sz="12" w:space="0" w:color="auto"/>
            </w:tcBorders>
            <w:shd w:val="clear" w:color="auto" w:fill="auto"/>
            <w:noWrap/>
            <w:vAlign w:val="bottom"/>
          </w:tcPr>
          <w:p w14:paraId="14FBF22C" w14:textId="559D8098" w:rsidR="005D40D4" w:rsidRPr="00A75600" w:rsidRDefault="00A75600" w:rsidP="00A75600">
            <w:pPr>
              <w:tabs>
                <w:tab w:val="left" w:pos="288"/>
                <w:tab w:val="left" w:pos="576"/>
                <w:tab w:val="left" w:pos="864"/>
                <w:tab w:val="left" w:pos="1152"/>
              </w:tabs>
              <w:suppressAutoHyphens/>
              <w:spacing w:before="81" w:after="81" w:line="210" w:lineRule="exact"/>
              <w:ind w:right="40"/>
              <w:rPr>
                <w:b/>
                <w:sz w:val="17"/>
              </w:rPr>
            </w:pPr>
            <w:r>
              <w:rPr>
                <w:b/>
                <w:sz w:val="17"/>
              </w:rPr>
              <w:tab/>
            </w:r>
            <w:r w:rsidR="005D40D4" w:rsidRPr="00A75600">
              <w:rPr>
                <w:b/>
                <w:sz w:val="17"/>
              </w:rPr>
              <w:t>Total</w:t>
            </w:r>
          </w:p>
        </w:tc>
        <w:tc>
          <w:tcPr>
            <w:tcW w:w="2440" w:type="dxa"/>
            <w:tcBorders>
              <w:top w:val="single" w:sz="4" w:space="0" w:color="auto"/>
              <w:bottom w:val="single" w:sz="12" w:space="0" w:color="auto"/>
            </w:tcBorders>
            <w:shd w:val="clear" w:color="auto" w:fill="auto"/>
            <w:noWrap/>
            <w:vAlign w:val="bottom"/>
          </w:tcPr>
          <w:p w14:paraId="20862F2B" w14:textId="77777777" w:rsidR="005D40D4" w:rsidRPr="00A75600" w:rsidRDefault="005D40D4" w:rsidP="00A75600">
            <w:pPr>
              <w:tabs>
                <w:tab w:val="left" w:pos="288"/>
                <w:tab w:val="left" w:pos="576"/>
                <w:tab w:val="left" w:pos="864"/>
                <w:tab w:val="left" w:pos="1152"/>
              </w:tabs>
              <w:suppressAutoHyphens/>
              <w:spacing w:before="81" w:after="81" w:line="210" w:lineRule="exact"/>
              <w:ind w:right="43"/>
              <w:jc w:val="right"/>
              <w:rPr>
                <w:b/>
                <w:sz w:val="17"/>
              </w:rPr>
            </w:pPr>
            <w:r w:rsidRPr="00A75600">
              <w:rPr>
                <w:b/>
                <w:sz w:val="17"/>
              </w:rPr>
              <w:t>978</w:t>
            </w:r>
          </w:p>
        </w:tc>
        <w:tc>
          <w:tcPr>
            <w:tcW w:w="2440" w:type="dxa"/>
            <w:tcBorders>
              <w:top w:val="single" w:sz="4" w:space="0" w:color="auto"/>
              <w:bottom w:val="single" w:sz="12" w:space="0" w:color="auto"/>
            </w:tcBorders>
            <w:shd w:val="clear" w:color="auto" w:fill="auto"/>
            <w:noWrap/>
            <w:vAlign w:val="bottom"/>
          </w:tcPr>
          <w:p w14:paraId="56CC4C67" w14:textId="77777777" w:rsidR="005D40D4" w:rsidRPr="00A75600" w:rsidRDefault="005D40D4" w:rsidP="00A75600">
            <w:pPr>
              <w:tabs>
                <w:tab w:val="left" w:pos="288"/>
                <w:tab w:val="left" w:pos="576"/>
                <w:tab w:val="left" w:pos="864"/>
                <w:tab w:val="left" w:pos="1152"/>
              </w:tabs>
              <w:suppressAutoHyphens/>
              <w:spacing w:before="81" w:after="81" w:line="210" w:lineRule="exact"/>
              <w:ind w:right="43"/>
              <w:jc w:val="right"/>
              <w:rPr>
                <w:b/>
                <w:sz w:val="17"/>
              </w:rPr>
            </w:pPr>
            <w:r w:rsidRPr="00A75600">
              <w:rPr>
                <w:b/>
                <w:sz w:val="17"/>
              </w:rPr>
              <w:t>17 202</w:t>
            </w:r>
          </w:p>
        </w:tc>
      </w:tr>
    </w:tbl>
    <w:p w14:paraId="6230C7A0" w14:textId="165B2A5A" w:rsidR="005D40D4" w:rsidRPr="00A75600" w:rsidRDefault="005D40D4" w:rsidP="00A75600">
      <w:pPr>
        <w:pStyle w:val="SingleTxt"/>
        <w:spacing w:after="0" w:line="120" w:lineRule="exact"/>
        <w:rPr>
          <w:sz w:val="10"/>
          <w:lang w:val="fr-FR"/>
        </w:rPr>
      </w:pPr>
    </w:p>
    <w:p w14:paraId="42747E16" w14:textId="0A15DF19" w:rsidR="00A75600" w:rsidRPr="00A75600" w:rsidRDefault="00A75600" w:rsidP="00A75600">
      <w:pPr>
        <w:pStyle w:val="SingleTxt"/>
        <w:spacing w:after="0" w:line="120" w:lineRule="exact"/>
        <w:rPr>
          <w:sz w:val="10"/>
          <w:lang w:val="fr-FR"/>
        </w:rPr>
      </w:pPr>
    </w:p>
    <w:p w14:paraId="041C720A" w14:textId="524FA6B3" w:rsidR="00A75600" w:rsidRPr="00A75600" w:rsidRDefault="00A75600" w:rsidP="00A75600">
      <w:pPr>
        <w:pStyle w:val="SingleTxt"/>
        <w:spacing w:after="0" w:line="120" w:lineRule="exact"/>
        <w:rPr>
          <w:sz w:val="10"/>
          <w:lang w:val="fr-FR"/>
        </w:rPr>
      </w:pPr>
    </w:p>
    <w:p w14:paraId="5F2C33E6" w14:textId="6C67ECEF" w:rsidR="00A75600" w:rsidRDefault="00A75600" w:rsidP="00A75600">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5D40D4" w:rsidRPr="005D40D4">
        <w:rPr>
          <w:lang w:val="fr-FR"/>
        </w:rPr>
        <w:t>Tableau 21</w:t>
      </w:r>
    </w:p>
    <w:p w14:paraId="4FDD13F2" w14:textId="24FA7ED9" w:rsidR="005D40D4" w:rsidRPr="005D40D4" w:rsidRDefault="00A75600" w:rsidP="00A756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5D40D4" w:rsidRPr="005D40D4">
        <w:rPr>
          <w:lang w:val="fr-FR"/>
        </w:rPr>
        <w:t>Jugements rendus contre les défendeurs dans des affaires de violence</w:t>
      </w:r>
    </w:p>
    <w:p w14:paraId="7A61C309" w14:textId="38E10AD2" w:rsidR="005D40D4" w:rsidRPr="00A75600" w:rsidRDefault="005D40D4" w:rsidP="00A75600">
      <w:pPr>
        <w:pStyle w:val="SingleTxt"/>
        <w:spacing w:after="0" w:line="120" w:lineRule="exact"/>
        <w:rPr>
          <w:sz w:val="10"/>
          <w:lang w:val="fr-FR"/>
        </w:rPr>
      </w:pPr>
    </w:p>
    <w:p w14:paraId="2C68F8C6" w14:textId="521C9FA4" w:rsidR="00A75600" w:rsidRPr="00A75600" w:rsidRDefault="00A75600" w:rsidP="00A75600">
      <w:pPr>
        <w:pStyle w:val="SingleTxt"/>
        <w:spacing w:after="0" w:line="120" w:lineRule="exact"/>
        <w:rPr>
          <w:sz w:val="10"/>
          <w:lang w:val="fr-FR"/>
        </w:rPr>
      </w:pPr>
    </w:p>
    <w:tbl>
      <w:tblPr>
        <w:tblStyle w:val="Grilledutableau1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50"/>
        <w:gridCol w:w="724"/>
        <w:gridCol w:w="724"/>
        <w:gridCol w:w="724"/>
        <w:gridCol w:w="725"/>
        <w:gridCol w:w="724"/>
        <w:gridCol w:w="724"/>
        <w:gridCol w:w="725"/>
      </w:tblGrid>
      <w:tr w:rsidR="00A75600" w:rsidRPr="00A75600" w14:paraId="40182D24" w14:textId="77777777" w:rsidTr="00A75600">
        <w:trPr>
          <w:cantSplit/>
          <w:tblHeader/>
          <w:jc w:val="center"/>
        </w:trPr>
        <w:tc>
          <w:tcPr>
            <w:tcW w:w="2250" w:type="dxa"/>
            <w:tcBorders>
              <w:top w:val="single" w:sz="4" w:space="0" w:color="auto"/>
              <w:bottom w:val="single" w:sz="12" w:space="0" w:color="auto"/>
            </w:tcBorders>
            <w:shd w:val="clear" w:color="auto" w:fill="auto"/>
            <w:noWrap/>
            <w:vAlign w:val="bottom"/>
          </w:tcPr>
          <w:p w14:paraId="2B06241E" w14:textId="77777777" w:rsidR="00F1794C" w:rsidRPr="00A75600" w:rsidRDefault="00F1794C" w:rsidP="00A75600">
            <w:pPr>
              <w:suppressAutoHyphens/>
              <w:spacing w:before="81" w:after="81" w:line="160" w:lineRule="exact"/>
              <w:ind w:right="40"/>
              <w:rPr>
                <w:i/>
                <w:sz w:val="14"/>
              </w:rPr>
            </w:pPr>
            <w:r w:rsidRPr="00A75600">
              <w:rPr>
                <w:i/>
                <w:sz w:val="14"/>
              </w:rPr>
              <w:t>Année</w:t>
            </w:r>
          </w:p>
        </w:tc>
        <w:tc>
          <w:tcPr>
            <w:tcW w:w="724" w:type="dxa"/>
            <w:tcBorders>
              <w:top w:val="single" w:sz="4" w:space="0" w:color="auto"/>
              <w:bottom w:val="single" w:sz="12" w:space="0" w:color="auto"/>
            </w:tcBorders>
            <w:shd w:val="clear" w:color="auto" w:fill="auto"/>
            <w:noWrap/>
            <w:vAlign w:val="bottom"/>
          </w:tcPr>
          <w:p w14:paraId="25A46D7D" w14:textId="77777777" w:rsidR="00F1794C" w:rsidRPr="00A75600" w:rsidRDefault="00F1794C" w:rsidP="00A75600">
            <w:pPr>
              <w:suppressAutoHyphens/>
              <w:spacing w:before="81" w:after="81" w:line="160" w:lineRule="exact"/>
              <w:ind w:right="43"/>
              <w:jc w:val="right"/>
              <w:rPr>
                <w:i/>
                <w:sz w:val="14"/>
              </w:rPr>
            </w:pPr>
            <w:r w:rsidRPr="00A75600">
              <w:rPr>
                <w:i/>
                <w:sz w:val="14"/>
              </w:rPr>
              <w:t>2011</w:t>
            </w:r>
          </w:p>
        </w:tc>
        <w:tc>
          <w:tcPr>
            <w:tcW w:w="724" w:type="dxa"/>
            <w:tcBorders>
              <w:top w:val="single" w:sz="4" w:space="0" w:color="auto"/>
              <w:bottom w:val="single" w:sz="12" w:space="0" w:color="auto"/>
            </w:tcBorders>
            <w:shd w:val="clear" w:color="auto" w:fill="auto"/>
            <w:noWrap/>
            <w:vAlign w:val="bottom"/>
          </w:tcPr>
          <w:p w14:paraId="30091F0A" w14:textId="77777777" w:rsidR="00F1794C" w:rsidRPr="00A75600" w:rsidRDefault="00F1794C" w:rsidP="00A75600">
            <w:pPr>
              <w:suppressAutoHyphens/>
              <w:spacing w:before="81" w:after="81" w:line="160" w:lineRule="exact"/>
              <w:ind w:right="43"/>
              <w:jc w:val="right"/>
              <w:rPr>
                <w:i/>
                <w:sz w:val="14"/>
              </w:rPr>
            </w:pPr>
            <w:r w:rsidRPr="00A75600">
              <w:rPr>
                <w:i/>
                <w:sz w:val="14"/>
              </w:rPr>
              <w:t>2012</w:t>
            </w:r>
          </w:p>
        </w:tc>
        <w:tc>
          <w:tcPr>
            <w:tcW w:w="724" w:type="dxa"/>
            <w:tcBorders>
              <w:top w:val="single" w:sz="4" w:space="0" w:color="auto"/>
              <w:bottom w:val="single" w:sz="12" w:space="0" w:color="auto"/>
            </w:tcBorders>
            <w:shd w:val="clear" w:color="auto" w:fill="auto"/>
            <w:noWrap/>
            <w:vAlign w:val="bottom"/>
          </w:tcPr>
          <w:p w14:paraId="68F8992C" w14:textId="77777777" w:rsidR="00F1794C" w:rsidRPr="00A75600" w:rsidRDefault="00F1794C" w:rsidP="00A75600">
            <w:pPr>
              <w:suppressAutoHyphens/>
              <w:spacing w:before="81" w:after="81" w:line="160" w:lineRule="exact"/>
              <w:ind w:right="43"/>
              <w:jc w:val="right"/>
              <w:rPr>
                <w:i/>
                <w:sz w:val="14"/>
              </w:rPr>
            </w:pPr>
            <w:r w:rsidRPr="00A75600">
              <w:rPr>
                <w:i/>
                <w:sz w:val="14"/>
              </w:rPr>
              <w:t>2013</w:t>
            </w:r>
          </w:p>
        </w:tc>
        <w:tc>
          <w:tcPr>
            <w:tcW w:w="725" w:type="dxa"/>
            <w:tcBorders>
              <w:top w:val="single" w:sz="4" w:space="0" w:color="auto"/>
              <w:bottom w:val="single" w:sz="12" w:space="0" w:color="auto"/>
            </w:tcBorders>
            <w:shd w:val="clear" w:color="auto" w:fill="auto"/>
            <w:noWrap/>
            <w:vAlign w:val="bottom"/>
          </w:tcPr>
          <w:p w14:paraId="24192552" w14:textId="77777777" w:rsidR="00F1794C" w:rsidRPr="00A75600" w:rsidRDefault="00F1794C" w:rsidP="00A75600">
            <w:pPr>
              <w:suppressAutoHyphens/>
              <w:spacing w:before="81" w:after="81" w:line="160" w:lineRule="exact"/>
              <w:ind w:right="43"/>
              <w:jc w:val="right"/>
              <w:rPr>
                <w:i/>
                <w:sz w:val="14"/>
              </w:rPr>
            </w:pPr>
            <w:r w:rsidRPr="00A75600">
              <w:rPr>
                <w:i/>
                <w:sz w:val="14"/>
              </w:rPr>
              <w:t>2014</w:t>
            </w:r>
          </w:p>
        </w:tc>
        <w:tc>
          <w:tcPr>
            <w:tcW w:w="724" w:type="dxa"/>
            <w:tcBorders>
              <w:top w:val="single" w:sz="4" w:space="0" w:color="auto"/>
              <w:bottom w:val="single" w:sz="12" w:space="0" w:color="auto"/>
            </w:tcBorders>
            <w:shd w:val="clear" w:color="auto" w:fill="auto"/>
            <w:noWrap/>
            <w:vAlign w:val="bottom"/>
          </w:tcPr>
          <w:p w14:paraId="73B989B0" w14:textId="77777777" w:rsidR="00F1794C" w:rsidRPr="00A75600" w:rsidRDefault="00F1794C" w:rsidP="00A75600">
            <w:pPr>
              <w:suppressAutoHyphens/>
              <w:spacing w:before="81" w:after="81" w:line="160" w:lineRule="exact"/>
              <w:ind w:right="43"/>
              <w:jc w:val="right"/>
              <w:rPr>
                <w:i/>
                <w:sz w:val="14"/>
              </w:rPr>
            </w:pPr>
            <w:r w:rsidRPr="00A75600">
              <w:rPr>
                <w:i/>
                <w:sz w:val="14"/>
              </w:rPr>
              <w:t>2015</w:t>
            </w:r>
          </w:p>
        </w:tc>
        <w:tc>
          <w:tcPr>
            <w:tcW w:w="724" w:type="dxa"/>
            <w:tcBorders>
              <w:top w:val="single" w:sz="4" w:space="0" w:color="auto"/>
              <w:bottom w:val="single" w:sz="12" w:space="0" w:color="auto"/>
            </w:tcBorders>
            <w:shd w:val="clear" w:color="auto" w:fill="auto"/>
            <w:noWrap/>
            <w:vAlign w:val="bottom"/>
          </w:tcPr>
          <w:p w14:paraId="2FE4090B" w14:textId="77777777" w:rsidR="00F1794C" w:rsidRPr="00A75600" w:rsidRDefault="00F1794C" w:rsidP="00A75600">
            <w:pPr>
              <w:suppressAutoHyphens/>
              <w:spacing w:before="81" w:after="81" w:line="160" w:lineRule="exact"/>
              <w:ind w:right="43"/>
              <w:jc w:val="right"/>
              <w:rPr>
                <w:i/>
                <w:sz w:val="14"/>
              </w:rPr>
            </w:pPr>
            <w:r w:rsidRPr="00A75600">
              <w:rPr>
                <w:i/>
                <w:sz w:val="14"/>
              </w:rPr>
              <w:t>2016</w:t>
            </w:r>
          </w:p>
        </w:tc>
        <w:tc>
          <w:tcPr>
            <w:tcW w:w="725" w:type="dxa"/>
            <w:tcBorders>
              <w:top w:val="single" w:sz="4" w:space="0" w:color="auto"/>
              <w:bottom w:val="single" w:sz="12" w:space="0" w:color="auto"/>
            </w:tcBorders>
            <w:shd w:val="clear" w:color="auto" w:fill="auto"/>
            <w:noWrap/>
            <w:vAlign w:val="bottom"/>
          </w:tcPr>
          <w:p w14:paraId="5A3BB83F" w14:textId="77777777" w:rsidR="00F1794C" w:rsidRPr="00A75600" w:rsidRDefault="00F1794C" w:rsidP="00A75600">
            <w:pPr>
              <w:suppressAutoHyphens/>
              <w:spacing w:before="81" w:after="81" w:line="160" w:lineRule="exact"/>
              <w:ind w:right="43"/>
              <w:jc w:val="right"/>
              <w:rPr>
                <w:i/>
                <w:sz w:val="14"/>
              </w:rPr>
            </w:pPr>
            <w:r w:rsidRPr="00A75600">
              <w:rPr>
                <w:i/>
                <w:sz w:val="14"/>
              </w:rPr>
              <w:t>2017</w:t>
            </w:r>
          </w:p>
        </w:tc>
      </w:tr>
      <w:tr w:rsidR="00A75600" w:rsidRPr="00A75600" w14:paraId="1ABCEB76" w14:textId="77777777" w:rsidTr="00A75600">
        <w:trPr>
          <w:cantSplit/>
          <w:trHeight w:hRule="exact" w:val="115"/>
          <w:tblHeader/>
          <w:jc w:val="center"/>
        </w:trPr>
        <w:tc>
          <w:tcPr>
            <w:tcW w:w="2250" w:type="dxa"/>
            <w:tcBorders>
              <w:top w:val="single" w:sz="12" w:space="0" w:color="auto"/>
            </w:tcBorders>
            <w:shd w:val="clear" w:color="auto" w:fill="auto"/>
            <w:noWrap/>
            <w:vAlign w:val="bottom"/>
          </w:tcPr>
          <w:p w14:paraId="081DB0CB" w14:textId="77777777" w:rsidR="00A75600" w:rsidRPr="00A75600" w:rsidRDefault="00A75600" w:rsidP="00A75600">
            <w:pPr>
              <w:suppressAutoHyphens/>
              <w:spacing w:before="40" w:after="40" w:line="210" w:lineRule="exact"/>
              <w:ind w:right="40"/>
              <w:rPr>
                <w:sz w:val="17"/>
              </w:rPr>
            </w:pPr>
          </w:p>
        </w:tc>
        <w:tc>
          <w:tcPr>
            <w:tcW w:w="724" w:type="dxa"/>
            <w:tcBorders>
              <w:top w:val="single" w:sz="12" w:space="0" w:color="auto"/>
            </w:tcBorders>
            <w:shd w:val="clear" w:color="auto" w:fill="auto"/>
            <w:noWrap/>
            <w:vAlign w:val="bottom"/>
          </w:tcPr>
          <w:p w14:paraId="761420C1" w14:textId="77777777" w:rsidR="00A75600" w:rsidRPr="00A75600" w:rsidRDefault="00A75600" w:rsidP="00A75600">
            <w:pPr>
              <w:suppressAutoHyphens/>
              <w:spacing w:before="40" w:after="40" w:line="210" w:lineRule="exact"/>
              <w:ind w:right="43"/>
              <w:jc w:val="right"/>
              <w:rPr>
                <w:sz w:val="17"/>
              </w:rPr>
            </w:pPr>
          </w:p>
        </w:tc>
        <w:tc>
          <w:tcPr>
            <w:tcW w:w="724" w:type="dxa"/>
            <w:tcBorders>
              <w:top w:val="single" w:sz="12" w:space="0" w:color="auto"/>
            </w:tcBorders>
            <w:shd w:val="clear" w:color="auto" w:fill="auto"/>
            <w:noWrap/>
            <w:vAlign w:val="bottom"/>
          </w:tcPr>
          <w:p w14:paraId="7D39711D" w14:textId="77777777" w:rsidR="00A75600" w:rsidRPr="00A75600" w:rsidRDefault="00A75600" w:rsidP="00A75600">
            <w:pPr>
              <w:suppressAutoHyphens/>
              <w:spacing w:before="40" w:after="40" w:line="210" w:lineRule="exact"/>
              <w:ind w:right="43"/>
              <w:jc w:val="right"/>
              <w:rPr>
                <w:sz w:val="17"/>
              </w:rPr>
            </w:pPr>
          </w:p>
        </w:tc>
        <w:tc>
          <w:tcPr>
            <w:tcW w:w="724" w:type="dxa"/>
            <w:tcBorders>
              <w:top w:val="single" w:sz="12" w:space="0" w:color="auto"/>
            </w:tcBorders>
            <w:shd w:val="clear" w:color="auto" w:fill="auto"/>
            <w:noWrap/>
            <w:vAlign w:val="bottom"/>
          </w:tcPr>
          <w:p w14:paraId="1FB5600C" w14:textId="77777777" w:rsidR="00A75600" w:rsidRPr="00A75600" w:rsidRDefault="00A75600" w:rsidP="00A75600">
            <w:pPr>
              <w:suppressAutoHyphens/>
              <w:spacing w:before="40" w:after="40" w:line="210" w:lineRule="exact"/>
              <w:ind w:right="43"/>
              <w:jc w:val="right"/>
              <w:rPr>
                <w:sz w:val="17"/>
              </w:rPr>
            </w:pPr>
          </w:p>
        </w:tc>
        <w:tc>
          <w:tcPr>
            <w:tcW w:w="725" w:type="dxa"/>
            <w:tcBorders>
              <w:top w:val="single" w:sz="12" w:space="0" w:color="auto"/>
            </w:tcBorders>
            <w:shd w:val="clear" w:color="auto" w:fill="auto"/>
            <w:noWrap/>
            <w:vAlign w:val="bottom"/>
          </w:tcPr>
          <w:p w14:paraId="0C325F3D" w14:textId="77777777" w:rsidR="00A75600" w:rsidRPr="00A75600" w:rsidRDefault="00A75600" w:rsidP="00A75600">
            <w:pPr>
              <w:suppressAutoHyphens/>
              <w:spacing w:before="40" w:after="40" w:line="210" w:lineRule="exact"/>
              <w:ind w:right="43"/>
              <w:jc w:val="right"/>
              <w:rPr>
                <w:sz w:val="17"/>
              </w:rPr>
            </w:pPr>
          </w:p>
        </w:tc>
        <w:tc>
          <w:tcPr>
            <w:tcW w:w="724" w:type="dxa"/>
            <w:tcBorders>
              <w:top w:val="single" w:sz="12" w:space="0" w:color="auto"/>
            </w:tcBorders>
            <w:shd w:val="clear" w:color="auto" w:fill="auto"/>
            <w:noWrap/>
            <w:vAlign w:val="bottom"/>
          </w:tcPr>
          <w:p w14:paraId="037C6774" w14:textId="77777777" w:rsidR="00A75600" w:rsidRPr="00A75600" w:rsidRDefault="00A75600" w:rsidP="00A75600">
            <w:pPr>
              <w:suppressAutoHyphens/>
              <w:spacing w:before="40" w:after="40" w:line="210" w:lineRule="exact"/>
              <w:ind w:right="43"/>
              <w:jc w:val="right"/>
              <w:rPr>
                <w:sz w:val="17"/>
              </w:rPr>
            </w:pPr>
          </w:p>
        </w:tc>
        <w:tc>
          <w:tcPr>
            <w:tcW w:w="724" w:type="dxa"/>
            <w:tcBorders>
              <w:top w:val="single" w:sz="12" w:space="0" w:color="auto"/>
            </w:tcBorders>
            <w:shd w:val="clear" w:color="auto" w:fill="auto"/>
            <w:noWrap/>
            <w:vAlign w:val="bottom"/>
          </w:tcPr>
          <w:p w14:paraId="56997AC5" w14:textId="77777777" w:rsidR="00A75600" w:rsidRPr="00A75600" w:rsidRDefault="00A75600" w:rsidP="00A75600">
            <w:pPr>
              <w:suppressAutoHyphens/>
              <w:spacing w:before="40" w:after="40" w:line="210" w:lineRule="exact"/>
              <w:ind w:right="43"/>
              <w:jc w:val="right"/>
              <w:rPr>
                <w:sz w:val="17"/>
              </w:rPr>
            </w:pPr>
          </w:p>
        </w:tc>
        <w:tc>
          <w:tcPr>
            <w:tcW w:w="725" w:type="dxa"/>
            <w:tcBorders>
              <w:top w:val="single" w:sz="12" w:space="0" w:color="auto"/>
            </w:tcBorders>
            <w:shd w:val="clear" w:color="auto" w:fill="auto"/>
            <w:noWrap/>
            <w:vAlign w:val="bottom"/>
          </w:tcPr>
          <w:p w14:paraId="5907C928" w14:textId="77777777" w:rsidR="00A75600" w:rsidRPr="00A75600" w:rsidRDefault="00A75600" w:rsidP="00A75600">
            <w:pPr>
              <w:suppressAutoHyphens/>
              <w:spacing w:before="40" w:after="40" w:line="210" w:lineRule="exact"/>
              <w:ind w:right="43"/>
              <w:jc w:val="right"/>
              <w:rPr>
                <w:sz w:val="17"/>
              </w:rPr>
            </w:pPr>
          </w:p>
        </w:tc>
      </w:tr>
      <w:tr w:rsidR="00A75600" w:rsidRPr="00A75600" w14:paraId="3A5BBFBB" w14:textId="77777777" w:rsidTr="00A75600">
        <w:trPr>
          <w:cantSplit/>
          <w:jc w:val="center"/>
        </w:trPr>
        <w:tc>
          <w:tcPr>
            <w:tcW w:w="2250" w:type="dxa"/>
            <w:tcBorders>
              <w:bottom w:val="single" w:sz="12" w:space="0" w:color="auto"/>
            </w:tcBorders>
            <w:shd w:val="clear" w:color="auto" w:fill="auto"/>
            <w:noWrap/>
            <w:vAlign w:val="bottom"/>
          </w:tcPr>
          <w:p w14:paraId="7A889943" w14:textId="77777777" w:rsidR="00F1794C" w:rsidRPr="00A75600" w:rsidRDefault="00F1794C" w:rsidP="00A75600">
            <w:pPr>
              <w:tabs>
                <w:tab w:val="left" w:pos="288"/>
                <w:tab w:val="left" w:pos="576"/>
                <w:tab w:val="left" w:pos="864"/>
                <w:tab w:val="left" w:pos="1152"/>
              </w:tabs>
              <w:suppressAutoHyphens/>
              <w:spacing w:before="40" w:after="40" w:line="210" w:lineRule="exact"/>
              <w:ind w:right="40"/>
              <w:rPr>
                <w:sz w:val="17"/>
              </w:rPr>
            </w:pPr>
            <w:r w:rsidRPr="00A75600">
              <w:rPr>
                <w:sz w:val="17"/>
              </w:rPr>
              <w:t>Nombre de jugements rendus</w:t>
            </w:r>
          </w:p>
        </w:tc>
        <w:tc>
          <w:tcPr>
            <w:tcW w:w="724" w:type="dxa"/>
            <w:tcBorders>
              <w:bottom w:val="single" w:sz="12" w:space="0" w:color="auto"/>
            </w:tcBorders>
            <w:shd w:val="clear" w:color="auto" w:fill="auto"/>
            <w:noWrap/>
            <w:vAlign w:val="bottom"/>
          </w:tcPr>
          <w:p w14:paraId="656CA1B7" w14:textId="77777777" w:rsidR="00F1794C" w:rsidRPr="00A75600" w:rsidRDefault="00F1794C" w:rsidP="00A75600">
            <w:pPr>
              <w:tabs>
                <w:tab w:val="left" w:pos="288"/>
                <w:tab w:val="left" w:pos="576"/>
                <w:tab w:val="left" w:pos="864"/>
                <w:tab w:val="left" w:pos="1152"/>
              </w:tabs>
              <w:suppressAutoHyphens/>
              <w:spacing w:before="40" w:after="40" w:line="210" w:lineRule="exact"/>
              <w:ind w:right="43"/>
              <w:jc w:val="right"/>
              <w:rPr>
                <w:sz w:val="17"/>
              </w:rPr>
            </w:pPr>
            <w:r w:rsidRPr="00A75600">
              <w:rPr>
                <w:sz w:val="17"/>
              </w:rPr>
              <w:t xml:space="preserve">11 001 </w:t>
            </w:r>
          </w:p>
        </w:tc>
        <w:tc>
          <w:tcPr>
            <w:tcW w:w="724" w:type="dxa"/>
            <w:tcBorders>
              <w:bottom w:val="single" w:sz="12" w:space="0" w:color="auto"/>
            </w:tcBorders>
            <w:shd w:val="clear" w:color="auto" w:fill="auto"/>
            <w:noWrap/>
            <w:vAlign w:val="bottom"/>
          </w:tcPr>
          <w:p w14:paraId="1384C56C" w14:textId="77777777" w:rsidR="00F1794C" w:rsidRPr="00A75600" w:rsidRDefault="00F1794C" w:rsidP="00A75600">
            <w:pPr>
              <w:tabs>
                <w:tab w:val="left" w:pos="288"/>
                <w:tab w:val="left" w:pos="576"/>
                <w:tab w:val="left" w:pos="864"/>
                <w:tab w:val="left" w:pos="1152"/>
              </w:tabs>
              <w:suppressAutoHyphens/>
              <w:spacing w:before="40" w:after="40" w:line="210" w:lineRule="exact"/>
              <w:ind w:right="43"/>
              <w:jc w:val="right"/>
              <w:rPr>
                <w:sz w:val="17"/>
              </w:rPr>
            </w:pPr>
            <w:r w:rsidRPr="00A75600">
              <w:rPr>
                <w:sz w:val="17"/>
              </w:rPr>
              <w:t>10 684</w:t>
            </w:r>
          </w:p>
        </w:tc>
        <w:tc>
          <w:tcPr>
            <w:tcW w:w="724" w:type="dxa"/>
            <w:tcBorders>
              <w:bottom w:val="single" w:sz="12" w:space="0" w:color="auto"/>
            </w:tcBorders>
            <w:shd w:val="clear" w:color="auto" w:fill="auto"/>
            <w:noWrap/>
            <w:vAlign w:val="bottom"/>
          </w:tcPr>
          <w:p w14:paraId="67966ED6" w14:textId="77777777" w:rsidR="00F1794C" w:rsidRPr="00A75600" w:rsidRDefault="00F1794C" w:rsidP="00A75600">
            <w:pPr>
              <w:tabs>
                <w:tab w:val="left" w:pos="288"/>
                <w:tab w:val="left" w:pos="576"/>
                <w:tab w:val="left" w:pos="864"/>
                <w:tab w:val="left" w:pos="1152"/>
              </w:tabs>
              <w:suppressAutoHyphens/>
              <w:spacing w:before="40" w:after="40" w:line="210" w:lineRule="exact"/>
              <w:ind w:right="43"/>
              <w:jc w:val="right"/>
              <w:rPr>
                <w:sz w:val="17"/>
              </w:rPr>
            </w:pPr>
            <w:r w:rsidRPr="00A75600">
              <w:rPr>
                <w:sz w:val="17"/>
              </w:rPr>
              <w:t>11 786</w:t>
            </w:r>
          </w:p>
        </w:tc>
        <w:tc>
          <w:tcPr>
            <w:tcW w:w="725" w:type="dxa"/>
            <w:tcBorders>
              <w:bottom w:val="single" w:sz="12" w:space="0" w:color="auto"/>
            </w:tcBorders>
            <w:shd w:val="clear" w:color="auto" w:fill="auto"/>
            <w:noWrap/>
            <w:vAlign w:val="bottom"/>
          </w:tcPr>
          <w:p w14:paraId="11270733" w14:textId="77777777" w:rsidR="00F1794C" w:rsidRPr="00A75600" w:rsidRDefault="00F1794C" w:rsidP="00A75600">
            <w:pPr>
              <w:tabs>
                <w:tab w:val="left" w:pos="288"/>
                <w:tab w:val="left" w:pos="576"/>
                <w:tab w:val="left" w:pos="864"/>
                <w:tab w:val="left" w:pos="1152"/>
              </w:tabs>
              <w:suppressAutoHyphens/>
              <w:spacing w:before="40" w:after="40" w:line="210" w:lineRule="exact"/>
              <w:ind w:right="43"/>
              <w:jc w:val="right"/>
              <w:rPr>
                <w:sz w:val="17"/>
              </w:rPr>
            </w:pPr>
            <w:r w:rsidRPr="00A75600">
              <w:rPr>
                <w:sz w:val="17"/>
              </w:rPr>
              <w:t>11 851</w:t>
            </w:r>
          </w:p>
        </w:tc>
        <w:tc>
          <w:tcPr>
            <w:tcW w:w="724" w:type="dxa"/>
            <w:tcBorders>
              <w:bottom w:val="single" w:sz="12" w:space="0" w:color="auto"/>
            </w:tcBorders>
            <w:shd w:val="clear" w:color="auto" w:fill="auto"/>
            <w:noWrap/>
            <w:vAlign w:val="bottom"/>
          </w:tcPr>
          <w:p w14:paraId="214BE1E2" w14:textId="77777777" w:rsidR="00F1794C" w:rsidRPr="00A75600" w:rsidRDefault="00F1794C" w:rsidP="00A75600">
            <w:pPr>
              <w:tabs>
                <w:tab w:val="left" w:pos="288"/>
                <w:tab w:val="left" w:pos="576"/>
                <w:tab w:val="left" w:pos="864"/>
                <w:tab w:val="left" w:pos="1152"/>
              </w:tabs>
              <w:suppressAutoHyphens/>
              <w:spacing w:before="40" w:after="40" w:line="210" w:lineRule="exact"/>
              <w:ind w:right="43"/>
              <w:jc w:val="right"/>
              <w:rPr>
                <w:sz w:val="17"/>
              </w:rPr>
            </w:pPr>
            <w:r w:rsidRPr="00A75600">
              <w:rPr>
                <w:sz w:val="17"/>
              </w:rPr>
              <w:t>12 062</w:t>
            </w:r>
          </w:p>
        </w:tc>
        <w:tc>
          <w:tcPr>
            <w:tcW w:w="724" w:type="dxa"/>
            <w:tcBorders>
              <w:bottom w:val="single" w:sz="12" w:space="0" w:color="auto"/>
            </w:tcBorders>
            <w:shd w:val="clear" w:color="auto" w:fill="auto"/>
            <w:noWrap/>
            <w:vAlign w:val="bottom"/>
          </w:tcPr>
          <w:p w14:paraId="772550F9" w14:textId="77777777" w:rsidR="00F1794C" w:rsidRPr="00A75600" w:rsidRDefault="00F1794C" w:rsidP="00A75600">
            <w:pPr>
              <w:tabs>
                <w:tab w:val="left" w:pos="288"/>
                <w:tab w:val="left" w:pos="576"/>
                <w:tab w:val="left" w:pos="864"/>
                <w:tab w:val="left" w:pos="1152"/>
              </w:tabs>
              <w:suppressAutoHyphens/>
              <w:spacing w:before="40" w:after="40" w:line="210" w:lineRule="exact"/>
              <w:ind w:right="43"/>
              <w:jc w:val="right"/>
              <w:rPr>
                <w:sz w:val="17"/>
              </w:rPr>
            </w:pPr>
            <w:r w:rsidRPr="00A75600">
              <w:rPr>
                <w:sz w:val="17"/>
              </w:rPr>
              <w:t>12 461</w:t>
            </w:r>
          </w:p>
        </w:tc>
        <w:tc>
          <w:tcPr>
            <w:tcW w:w="725" w:type="dxa"/>
            <w:tcBorders>
              <w:bottom w:val="single" w:sz="12" w:space="0" w:color="auto"/>
            </w:tcBorders>
            <w:shd w:val="clear" w:color="auto" w:fill="auto"/>
            <w:noWrap/>
            <w:vAlign w:val="bottom"/>
          </w:tcPr>
          <w:p w14:paraId="6DA0514C" w14:textId="77777777" w:rsidR="00F1794C" w:rsidRPr="00A75600" w:rsidRDefault="00F1794C" w:rsidP="00A75600">
            <w:pPr>
              <w:tabs>
                <w:tab w:val="left" w:pos="288"/>
                <w:tab w:val="left" w:pos="576"/>
                <w:tab w:val="left" w:pos="864"/>
                <w:tab w:val="left" w:pos="1152"/>
              </w:tabs>
              <w:suppressAutoHyphens/>
              <w:spacing w:before="40" w:after="40" w:line="210" w:lineRule="exact"/>
              <w:ind w:right="43"/>
              <w:jc w:val="right"/>
              <w:rPr>
                <w:sz w:val="17"/>
              </w:rPr>
            </w:pPr>
            <w:r w:rsidRPr="00A75600">
              <w:rPr>
                <w:sz w:val="17"/>
              </w:rPr>
              <w:t>13 525</w:t>
            </w:r>
          </w:p>
        </w:tc>
      </w:tr>
    </w:tbl>
    <w:p w14:paraId="7BEC3074" w14:textId="4AFAD95B" w:rsidR="005D40D4" w:rsidRPr="00A75600" w:rsidRDefault="005D40D4" w:rsidP="00A75600">
      <w:pPr>
        <w:pStyle w:val="SingleTxt"/>
        <w:spacing w:after="0" w:line="120" w:lineRule="exact"/>
        <w:rPr>
          <w:sz w:val="10"/>
          <w:lang w:val="fr-FR"/>
        </w:rPr>
      </w:pPr>
    </w:p>
    <w:p w14:paraId="14714A7C" w14:textId="59432307" w:rsidR="00A75600" w:rsidRPr="00A75600" w:rsidRDefault="00A75600" w:rsidP="00A75600">
      <w:pPr>
        <w:pStyle w:val="SingleTxt"/>
        <w:spacing w:after="0" w:line="120" w:lineRule="exact"/>
        <w:rPr>
          <w:sz w:val="10"/>
          <w:lang w:val="fr-FR"/>
        </w:rPr>
      </w:pPr>
    </w:p>
    <w:p w14:paraId="6F414111" w14:textId="6374E337" w:rsidR="00F1794C" w:rsidRPr="00F1794C" w:rsidRDefault="00F1794C" w:rsidP="00A75600">
      <w:pPr>
        <w:pStyle w:val="SingleTxt"/>
        <w:numPr>
          <w:ilvl w:val="0"/>
          <w:numId w:val="50"/>
        </w:numPr>
        <w:spacing w:line="240" w:lineRule="exact"/>
        <w:rPr>
          <w:lang w:val="fr-FR"/>
        </w:rPr>
      </w:pPr>
      <w:r w:rsidRPr="00F1794C">
        <w:rPr>
          <w:lang w:val="fr-FR"/>
        </w:rPr>
        <w:t xml:space="preserve">En 2015, 40 nouveaux espaces multidisciplinaires ont été créés au niveau territorial. Ces espaces assurent la prise en charge des femmes victimes de violence (écoute, orientation, accompagnement, hébergement provisoire) et encadrent et orientent les femmes en situation difficile. À cet effet, un cahier des charges consacré à ces questions a été établi conformément aux normes internationales. Dans le cadre du partenariat noué avec les associations œuvrant dans ce domaine, les centres d’écoute et de conseil juridique pour les femmes victimes de violence bénéficient d’un appui, apporté pendant trois ans au lieu d’une seule année, afin de garantir la continuité de l’offre et de la prestation de services proposés à ces femmes. Entre 2012 et 2018, 264 centres ont bénéficié d’un appui d’un montant total de 80,3 millions de dirhams. </w:t>
      </w:r>
    </w:p>
    <w:p w14:paraId="356A29AE" w14:textId="04FEE4F3" w:rsidR="00F1794C" w:rsidRPr="00F1794C" w:rsidRDefault="00F1794C" w:rsidP="00A75600">
      <w:pPr>
        <w:pStyle w:val="SingleTxt"/>
        <w:numPr>
          <w:ilvl w:val="0"/>
          <w:numId w:val="50"/>
        </w:numPr>
        <w:rPr>
          <w:lang w:val="fr-FR"/>
        </w:rPr>
      </w:pPr>
      <w:r w:rsidRPr="00F1794C">
        <w:rPr>
          <w:lang w:val="fr-FR"/>
        </w:rPr>
        <w:t xml:space="preserve">Le programme intégré intersectoriel de sensibilisation à la lutte contre la violence à l’égard des femmes, lancé en 2013 et mis en œuvre sur quatre ans, visait à faire prendre conscience des risques liés à la violence et à la discrimination dont sont victimes les femmes, à accroître la synergie entre les différents acteurs en matière de mobilisation sociale inclusive et à institutionnaliser le partenariat intersectoriel de sensibilisation à la lutte contre la violence faite aux femmes. </w:t>
      </w:r>
    </w:p>
    <w:p w14:paraId="44CDBF78" w14:textId="18586C05" w:rsidR="00F1794C" w:rsidRPr="00F1794C" w:rsidRDefault="00F1794C" w:rsidP="00A75600">
      <w:pPr>
        <w:pStyle w:val="SingleTxt"/>
        <w:numPr>
          <w:ilvl w:val="0"/>
          <w:numId w:val="50"/>
        </w:numPr>
        <w:rPr>
          <w:lang w:val="fr-FR"/>
        </w:rPr>
      </w:pPr>
      <w:r w:rsidRPr="00F1794C">
        <w:rPr>
          <w:lang w:val="fr-FR"/>
        </w:rPr>
        <w:lastRenderedPageBreak/>
        <w:t>La campagne nationale de lutte contre la violence à l’égard des femmes est organisée chaque année afin de sensibiliser l’ensemble des citoyens et citoyennes dans les différentes régions du Royaume. En 2012, l’accent a été mis sur les problématiques relatives à ce phénomène. En 2013, la campagne s’adressait aux salariées. En 2014, elle était axée sur la sensibilisation aux diverses formes de violence et d’exploitation dont sont victimes les femmes. Des rencontres régionales ont eu lieu avec la participation de l’Entraide nationale et d’organisations non gouvernementales locales. En 2015, la treizième campagne, dont le thème était « Dernier avertissement... Sanctionner les auteurs d’actes de violence » a donné un coup de projecteur sur les auteurs d’actes de violence contre les femmes ; 12</w:t>
      </w:r>
      <w:r w:rsidR="00A75600">
        <w:rPr>
          <w:lang w:val="fr-FR"/>
        </w:rPr>
        <w:t> </w:t>
      </w:r>
      <w:r w:rsidRPr="00F1794C">
        <w:rPr>
          <w:lang w:val="fr-FR"/>
        </w:rPr>
        <w:t>rencontres régionales ont été organisées sur l’ensemble du territoire en coopération avec les composantes du pôle social. En 2016 et 2017, la campagne était axée sur la violence à l’égard des femmes dans les lieux publics. L’analyse des résultats figurant dans les deux premiers rapports établis par l’Observatoire national de la violence à l’égard des femmes a fait apparaître une hausse de la prévalence de la violence dans les lieux publics, sous diverses formes. La quinzième campagne était de meilleure qualité que les précédentes car elle s’adressait à un public plus large. Des efforts ont été faits pour que les préoccupations relatives à la lutte contre la violence à l’égard des femmes soient transmises, du centre vers les régions puis vers les collectivités territoriales. La déclaration de Rabat pour mettre fin à la violence à l’égard des femmes dans les lieux publics a été adoptée à l’issue de cette campagne. Elle ouvre la voie à la coopération avec les différentes parties nationales et territoriales. En 2018, la campagne a eu pour thème la mobilisation collective et communautaire pour l’élimination de la violence à l’égard des femmes.</w:t>
      </w:r>
    </w:p>
    <w:p w14:paraId="24372E78" w14:textId="6B254B9C" w:rsidR="00F1794C" w:rsidRPr="00F1794C" w:rsidRDefault="00F1794C" w:rsidP="00A75600">
      <w:pPr>
        <w:pStyle w:val="SingleTxt"/>
        <w:numPr>
          <w:ilvl w:val="0"/>
          <w:numId w:val="50"/>
        </w:numPr>
        <w:rPr>
          <w:lang w:val="fr-FR"/>
        </w:rPr>
      </w:pPr>
      <w:r w:rsidRPr="00F1794C">
        <w:rPr>
          <w:lang w:val="fr-FR"/>
        </w:rPr>
        <w:t xml:space="preserve">Des programmes ont été élaborés pour les colloques et conférences axés sur les enseignements religieux qui ont trait à la femme et à la famille et dans lesquels sont rejetées toutes les formes de violence. Ils couvrent l’ensemble du territoire national, en coordination avec les conseils locaux des oulémas. En outre, des cours sont consacrés au rejet de la violence psychologique et physique contre les femmes. En 2015, 589 728 cours ont été dispensés sur cette question par 5 280 prédicateurs et 863 prédicatrices. Le sermon du vendredi 30 novembre 2018 était axé sur la lutte contre la discrimination et la violence à l’égard des femmes. Il a été prononcé dans 24 500 mosquées dans tout le pays. </w:t>
      </w:r>
    </w:p>
    <w:p w14:paraId="73FE7D32" w14:textId="2F1690E9" w:rsidR="00F1794C" w:rsidRPr="00F1794C" w:rsidRDefault="00F1794C" w:rsidP="00A75600">
      <w:pPr>
        <w:pStyle w:val="SingleTxt"/>
        <w:numPr>
          <w:ilvl w:val="0"/>
          <w:numId w:val="50"/>
        </w:numPr>
        <w:rPr>
          <w:lang w:val="fr-FR"/>
        </w:rPr>
      </w:pPr>
      <w:r w:rsidRPr="00F1794C">
        <w:rPr>
          <w:lang w:val="fr-FR"/>
        </w:rPr>
        <w:t xml:space="preserve">Le Ministère de la justice renforce les capacités des agents chargés de la lutte contre la violence à l’égard des femmes. La question des droits humains est intégrée dans les programmes de formation initiale des magistrats. Entre 2012 et 2015, 852 attachés de justice ont suivi une formation sur les droits humains et l’égalité des sexes. Les fonctionnaires et les cadres ont bénéficié de programmes de formation, suivis notamment par 1 523 fonctionnaires travaillant dans des cellules de prise en charge des femmes et des enfants en place dans les tribunaux et les sections des affaires familiales. La Gendarmerie royale a préparé un programme de formation à l’intention de 1 000 bénéficiaires. La formation portait sur la normalisation de la procédure de prise en charge des femmes victimes de violence. Un guide méthodologique concernant les officiers de police judiciaire a été transmis à l’ensemble des centres et services de la Gendarmerie royale. </w:t>
      </w:r>
    </w:p>
    <w:p w14:paraId="0515CB92" w14:textId="672D024E" w:rsidR="00F1794C" w:rsidRPr="00F1794C" w:rsidRDefault="00F1794C" w:rsidP="00A75600">
      <w:pPr>
        <w:pStyle w:val="SingleTxt"/>
        <w:numPr>
          <w:ilvl w:val="0"/>
          <w:numId w:val="50"/>
        </w:numPr>
        <w:rPr>
          <w:lang w:val="fr-FR"/>
        </w:rPr>
      </w:pPr>
      <w:r w:rsidRPr="00F1794C">
        <w:rPr>
          <w:lang w:val="fr-FR"/>
        </w:rPr>
        <w:t>Entre 2009 et 2018, la Direction générale de la Sûreté nationale a organisé 55</w:t>
      </w:r>
      <w:r w:rsidR="00A75600">
        <w:rPr>
          <w:lang w:val="fr-FR"/>
        </w:rPr>
        <w:t> </w:t>
      </w:r>
      <w:r w:rsidRPr="00F1794C">
        <w:rPr>
          <w:lang w:val="fr-FR"/>
        </w:rPr>
        <w:t xml:space="preserve">sessions de formation dans le cadre de la formation continue à l’intention de 1 029 cadres. La formation était axée sur une approche juridique (loi et droits), des techniques d’intervention, le rôle du médecin légiste dans le traitement des affaires relatives à des actes de violence commis contre les femmes, des techniques d’écoute, les faits nouveaux relatifs au système d’information sur la violence à l’égard des femmes. </w:t>
      </w:r>
    </w:p>
    <w:p w14:paraId="302F62CD" w14:textId="2CA488B8" w:rsidR="00F1794C" w:rsidRPr="00F1794C" w:rsidRDefault="00F1794C" w:rsidP="00A75600">
      <w:pPr>
        <w:pStyle w:val="SingleTxt"/>
        <w:numPr>
          <w:ilvl w:val="0"/>
          <w:numId w:val="50"/>
        </w:numPr>
        <w:rPr>
          <w:lang w:val="fr-FR"/>
        </w:rPr>
      </w:pPr>
      <w:r w:rsidRPr="00F1794C">
        <w:rPr>
          <w:lang w:val="fr-FR"/>
        </w:rPr>
        <w:lastRenderedPageBreak/>
        <w:t>Le Ministère de la justice s’emploie à renforcer les capacités des professionnels de la justice (magistrats, cadres, secrétaires greffiers, assistantes et assistants sociaux) à qui sont proposés des programmes de formation et des journées de communication consacrés à la lutte contre la violence à l’égard des femmes. Le Ministère public veille au renforcement des capacités des magistrats du parquet dans le domaine de la protection des droits des femmes. En novembre 2018, il a organisé à Rabat une journée d’études sur la protection pénale des femmes compte tenu de la loi n</w:t>
      </w:r>
      <w:r w:rsidRPr="00F1794C">
        <w:rPr>
          <w:vertAlign w:val="superscript"/>
          <w:lang w:val="fr-FR"/>
        </w:rPr>
        <w:t>o</w:t>
      </w:r>
      <w:r w:rsidRPr="00F1794C">
        <w:rPr>
          <w:lang w:val="fr-FR"/>
        </w:rPr>
        <w:t xml:space="preserve"> 103</w:t>
      </w:r>
      <w:r w:rsidR="00A75600">
        <w:rPr>
          <w:lang w:val="fr-FR"/>
        </w:rPr>
        <w:noBreakHyphen/>
      </w:r>
      <w:r w:rsidRPr="00F1794C">
        <w:rPr>
          <w:lang w:val="fr-FR"/>
        </w:rPr>
        <w:t>13. Au paragraphe 17 de ses observations finales, le Comité pour l’élimination de la discrimination à l’égard des femmes a recommandé que soient intensifiées les campagnes de sensibilisation et la formation relative à la législation adoptée dans ce domaine dispensée à l’intention des procureurs, des avocats et des magistrats, de façon à ancrer dans le pays une culture juridique favorisant l’égalité des sexes et la non-discrimination. Le Ministère public a adressé la circulaire n</w:t>
      </w:r>
      <w:r w:rsidRPr="00F1794C">
        <w:rPr>
          <w:vertAlign w:val="superscript"/>
          <w:lang w:val="fr-FR"/>
        </w:rPr>
        <w:t>o</w:t>
      </w:r>
      <w:r w:rsidRPr="00F1794C">
        <w:rPr>
          <w:lang w:val="fr-FR"/>
        </w:rPr>
        <w:t xml:space="preserve"> 31 </w:t>
      </w:r>
      <w:r w:rsidRPr="00F1794C">
        <w:rPr>
          <w:i/>
          <w:iCs/>
          <w:lang w:val="fr-FR"/>
        </w:rPr>
        <w:t>sin ra’ nun ayn</w:t>
      </w:r>
      <w:r w:rsidRPr="00F1794C">
        <w:rPr>
          <w:lang w:val="fr-FR"/>
        </w:rPr>
        <w:t xml:space="preserve"> de juin 2018 à tous les représentants du ministère public dans les différentes juridictions. La circulaire a trait à l’application des nouvelles dispositions de la loi n</w:t>
      </w:r>
      <w:r w:rsidRPr="00F1794C">
        <w:rPr>
          <w:vertAlign w:val="superscript"/>
          <w:lang w:val="fr-FR"/>
        </w:rPr>
        <w:t>o</w:t>
      </w:r>
      <w:r w:rsidR="00A75600">
        <w:rPr>
          <w:lang w:val="fr-FR"/>
        </w:rPr>
        <w:t> </w:t>
      </w:r>
      <w:r w:rsidRPr="00F1794C">
        <w:rPr>
          <w:lang w:val="fr-FR"/>
        </w:rPr>
        <w:t xml:space="preserve">103-13. </w:t>
      </w:r>
    </w:p>
    <w:p w14:paraId="1591A0FD" w14:textId="4719EDBD" w:rsidR="00F1794C" w:rsidRPr="00F1794C" w:rsidRDefault="00F1794C" w:rsidP="00F1794C">
      <w:pPr>
        <w:pStyle w:val="SingleTxt"/>
        <w:spacing w:after="0" w:line="240" w:lineRule="auto"/>
        <w:rPr>
          <w:lang w:val="fr-FR"/>
        </w:rPr>
      </w:pPr>
      <w:r w:rsidRPr="00F1794C">
        <w:rPr>
          <w:noProof/>
          <w:w w:val="100"/>
          <w:lang w:val="fr-FR"/>
        </w:rPr>
        <mc:AlternateContent>
          <mc:Choice Requires="wps">
            <w:drawing>
              <wp:anchor distT="0" distB="0" distL="114300" distR="114300" simplePos="0" relativeHeight="251660288" behindDoc="0" locked="0" layoutInCell="1" allowOverlap="1" wp14:anchorId="48C24C18" wp14:editId="2797C856">
                <wp:simplePos x="0" y="0"/>
                <wp:positionH relativeFrom="page">
                  <wp:posOffset>3429000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1E02EC" id="Straight Connector 5"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" strokecolor="#010000" strokeweight=".25pt">
                <w10:wrap anchorx="page"/>
              </v:line>
            </w:pict>
          </mc:Fallback>
        </mc:AlternateContent>
      </w:r>
    </w:p>
    <w:sectPr w:rsidR="00F1794C" w:rsidRPr="00F1794C" w:rsidSect="00B35EE7">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20-07-10T10:26:00Z" w:initials="Start">
    <w:p w14:paraId="0069DB30" w14:textId="77777777" w:rsidR="00FA086B" w:rsidRPr="00B35EE7" w:rsidRDefault="00FA086B">
      <w:pPr>
        <w:pStyle w:val="CommentText"/>
        <w:rPr>
          <w:lang w:val="en-US"/>
        </w:rPr>
      </w:pPr>
      <w:r>
        <w:rPr>
          <w:rStyle w:val="CommentReference"/>
        </w:rPr>
        <w:annotationRef/>
      </w:r>
      <w:r w:rsidRPr="00B35EE7">
        <w:rPr>
          <w:lang w:val="en-US"/>
        </w:rPr>
        <w:t>&lt;&lt;ODS JOB NO&gt;&gt;N2004356F&lt;&lt;ODS JOB NO&gt;&gt;</w:t>
      </w:r>
    </w:p>
    <w:p w14:paraId="780A6A3F" w14:textId="77777777" w:rsidR="00FA086B" w:rsidRDefault="00FA086B">
      <w:pPr>
        <w:pStyle w:val="CommentText"/>
      </w:pPr>
      <w:r>
        <w:t>&lt;&lt;ODS DOC SYMBOL1&gt;&gt;CEDAW/C/MAR/5-6&lt;&lt;ODS DOC SYMBOL1&gt;&gt;</w:t>
      </w:r>
    </w:p>
    <w:p w14:paraId="429ADA5D" w14:textId="77777777" w:rsidR="00FA086B" w:rsidRDefault="00FA086B">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29ADA5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9ADA5D" w16cid:durableId="22B2C0D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C33377" w14:textId="77777777" w:rsidR="00FA086B" w:rsidRDefault="00FA086B" w:rsidP="00101B18">
      <w:pPr>
        <w:spacing w:line="240" w:lineRule="auto"/>
      </w:pPr>
      <w:r>
        <w:separator/>
      </w:r>
    </w:p>
  </w:endnote>
  <w:endnote w:type="continuationSeparator" w:id="0">
    <w:p w14:paraId="09A932C5" w14:textId="77777777" w:rsidR="00FA086B" w:rsidRDefault="00FA086B"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FA086B" w14:paraId="342AED87" w14:textId="77777777" w:rsidTr="00EB668C">
      <w:tc>
        <w:tcPr>
          <w:tcW w:w="4920" w:type="dxa"/>
          <w:shd w:val="clear" w:color="auto" w:fill="auto"/>
        </w:tcPr>
        <w:p w14:paraId="6A644E03" w14:textId="544D0990" w:rsidR="00FA086B" w:rsidRPr="00EB668C" w:rsidRDefault="00FA086B" w:rsidP="00EB668C">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B73376">
            <w:rPr>
              <w:b w:val="0"/>
              <w:w w:val="103"/>
              <w:sz w:val="14"/>
            </w:rPr>
            <w:t>20-02608</w:t>
          </w:r>
          <w:r>
            <w:rPr>
              <w:b w:val="0"/>
              <w:w w:val="103"/>
              <w:sz w:val="14"/>
            </w:rPr>
            <w:fldChar w:fldCharType="end"/>
          </w:r>
        </w:p>
      </w:tc>
      <w:tc>
        <w:tcPr>
          <w:tcW w:w="4920" w:type="dxa"/>
          <w:shd w:val="clear" w:color="auto" w:fill="auto"/>
        </w:tcPr>
        <w:p w14:paraId="2511BA75" w14:textId="77777777" w:rsidR="00FA086B" w:rsidRPr="00EB668C" w:rsidRDefault="00FA086B" w:rsidP="00EB668C">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6DE71168" w14:textId="77777777" w:rsidR="00FA086B" w:rsidRPr="00EB668C" w:rsidRDefault="00FA086B" w:rsidP="00EB66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FA086B" w14:paraId="4093D5C5" w14:textId="77777777" w:rsidTr="00EB668C">
      <w:tc>
        <w:tcPr>
          <w:tcW w:w="4920" w:type="dxa"/>
          <w:shd w:val="clear" w:color="auto" w:fill="auto"/>
        </w:tcPr>
        <w:p w14:paraId="42503F04" w14:textId="77777777" w:rsidR="00FA086B" w:rsidRPr="00EB668C" w:rsidRDefault="00FA086B" w:rsidP="00EB668C">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3</w:t>
          </w:r>
          <w:r>
            <w:rPr>
              <w:w w:val="103"/>
            </w:rPr>
            <w:fldChar w:fldCharType="end"/>
          </w:r>
        </w:p>
      </w:tc>
      <w:tc>
        <w:tcPr>
          <w:tcW w:w="4920" w:type="dxa"/>
          <w:shd w:val="clear" w:color="auto" w:fill="auto"/>
        </w:tcPr>
        <w:p w14:paraId="1B8E63B5" w14:textId="5C3A379F" w:rsidR="00FA086B" w:rsidRPr="00EB668C" w:rsidRDefault="00FA086B" w:rsidP="00EB668C">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B73376">
            <w:rPr>
              <w:b w:val="0"/>
              <w:w w:val="103"/>
              <w:sz w:val="14"/>
            </w:rPr>
            <w:t>20-02608</w:t>
          </w:r>
          <w:r>
            <w:rPr>
              <w:b w:val="0"/>
              <w:w w:val="103"/>
              <w:sz w:val="14"/>
            </w:rPr>
            <w:fldChar w:fldCharType="end"/>
          </w:r>
        </w:p>
      </w:tc>
    </w:tr>
  </w:tbl>
  <w:p w14:paraId="027CB731" w14:textId="77777777" w:rsidR="00FA086B" w:rsidRPr="00EB668C" w:rsidRDefault="00FA086B" w:rsidP="00EB66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DCBEF" w14:textId="77777777" w:rsidR="00FA086B" w:rsidRDefault="00FA086B">
    <w:pPr>
      <w:pStyle w:val="Footer"/>
    </w:pPr>
    <w:r>
      <w:rPr>
        <w:noProof/>
      </w:rPr>
      <w:drawing>
        <wp:anchor distT="0" distB="0" distL="114300" distR="114300" simplePos="0" relativeHeight="251658240" behindDoc="0" locked="0" layoutInCell="1" allowOverlap="1" wp14:anchorId="5AB71546" wp14:editId="3CB8071B">
          <wp:simplePos x="0" y="0"/>
          <wp:positionH relativeFrom="column">
            <wp:posOffset>5532120</wp:posOffset>
          </wp:positionH>
          <wp:positionV relativeFrom="paragraph">
            <wp:posOffset>-228600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FA086B" w14:paraId="1BB9B929" w14:textId="77777777" w:rsidTr="00EB668C">
      <w:tc>
        <w:tcPr>
          <w:tcW w:w="3758" w:type="dxa"/>
        </w:tcPr>
        <w:p w14:paraId="04C5804C" w14:textId="56B14AE6" w:rsidR="00FA086B" w:rsidRDefault="00FA086B" w:rsidP="00EB668C">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B73376">
            <w:rPr>
              <w:b w:val="0"/>
              <w:sz w:val="20"/>
            </w:rPr>
            <w:t>20-02608 (F)</w:t>
          </w:r>
          <w:r>
            <w:rPr>
              <w:b w:val="0"/>
              <w:sz w:val="20"/>
            </w:rPr>
            <w:fldChar w:fldCharType="end"/>
          </w:r>
          <w:r>
            <w:rPr>
              <w:b w:val="0"/>
              <w:sz w:val="20"/>
            </w:rPr>
            <w:t xml:space="preserve">    050620    290720</w:t>
          </w:r>
        </w:p>
        <w:p w14:paraId="27D78960" w14:textId="305D6ADE" w:rsidR="00FA086B" w:rsidRPr="00EB668C" w:rsidRDefault="00FA086B" w:rsidP="00EB668C">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B73376">
            <w:rPr>
              <w:rFonts w:ascii="Barcode 3 of 9 by request" w:hAnsi="Barcode 3 of 9 by request"/>
              <w:spacing w:val="0"/>
              <w:w w:val="100"/>
              <w:sz w:val="24"/>
            </w:rPr>
            <w:t>*2002608*</w:t>
          </w:r>
          <w:r>
            <w:rPr>
              <w:rFonts w:ascii="Barcode 3 of 9 by request" w:hAnsi="Barcode 3 of 9 by request"/>
              <w:spacing w:val="0"/>
              <w:w w:val="100"/>
              <w:sz w:val="24"/>
            </w:rPr>
            <w:fldChar w:fldCharType="end"/>
          </w:r>
        </w:p>
      </w:tc>
      <w:tc>
        <w:tcPr>
          <w:tcW w:w="4920" w:type="dxa"/>
        </w:tcPr>
        <w:p w14:paraId="12BDF055" w14:textId="77777777" w:rsidR="00FA086B" w:rsidRDefault="00FA086B" w:rsidP="00EB668C">
          <w:pPr>
            <w:pStyle w:val="Footer"/>
            <w:spacing w:line="240" w:lineRule="atLeast"/>
            <w:jc w:val="right"/>
            <w:rPr>
              <w:b w:val="0"/>
              <w:sz w:val="20"/>
            </w:rPr>
          </w:pPr>
          <w:r>
            <w:rPr>
              <w:b w:val="0"/>
              <w:noProof/>
              <w:sz w:val="20"/>
            </w:rPr>
            <w:drawing>
              <wp:inline distT="0" distB="0" distL="0" distR="0" wp14:anchorId="7AF56721" wp14:editId="33825267">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109474" cy="231648"/>
                        </a:xfrm>
                        <a:prstGeom prst="rect">
                          <a:avLst/>
                        </a:prstGeom>
                      </pic:spPr>
                    </pic:pic>
                  </a:graphicData>
                </a:graphic>
              </wp:inline>
            </w:drawing>
          </w:r>
        </w:p>
      </w:tc>
    </w:tr>
  </w:tbl>
  <w:p w14:paraId="3F0109ED" w14:textId="77777777" w:rsidR="00FA086B" w:rsidRPr="00EB668C" w:rsidRDefault="00FA086B" w:rsidP="00EB668C">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84AC0E" w14:textId="68129574" w:rsidR="00FA086B" w:rsidRPr="00FA086B" w:rsidRDefault="00FA086B" w:rsidP="00FA086B">
      <w:pPr>
        <w:pStyle w:val="Footer"/>
        <w:spacing w:after="80"/>
        <w:ind w:left="792"/>
        <w:rPr>
          <w:sz w:val="16"/>
        </w:rPr>
      </w:pPr>
      <w:r w:rsidRPr="00FA086B">
        <w:rPr>
          <w:sz w:val="16"/>
        </w:rPr>
        <w:t>__________________</w:t>
      </w:r>
    </w:p>
  </w:footnote>
  <w:footnote w:type="continuationSeparator" w:id="0">
    <w:p w14:paraId="6035DCD7" w14:textId="10E5DD0A" w:rsidR="00FA086B" w:rsidRPr="00FA086B" w:rsidRDefault="00FA086B" w:rsidP="00FA086B">
      <w:pPr>
        <w:pStyle w:val="Footer"/>
        <w:spacing w:after="80"/>
        <w:ind w:left="792"/>
        <w:rPr>
          <w:sz w:val="16"/>
        </w:rPr>
      </w:pPr>
      <w:r w:rsidRPr="00FA086B">
        <w:rPr>
          <w:sz w:val="16"/>
        </w:rPr>
        <w:t>__________________</w:t>
      </w:r>
    </w:p>
  </w:footnote>
  <w:footnote w:id="1">
    <w:p w14:paraId="43CF62A7" w14:textId="621B14AC" w:rsidR="00FA086B" w:rsidRPr="00FA086B" w:rsidRDefault="00FA086B" w:rsidP="00FA086B">
      <w:pPr>
        <w:pStyle w:val="FootnoteText"/>
        <w:tabs>
          <w:tab w:val="right" w:pos="1195"/>
          <w:tab w:val="left" w:pos="1267"/>
          <w:tab w:val="left" w:pos="1742"/>
          <w:tab w:val="left" w:pos="2218"/>
          <w:tab w:val="left" w:pos="2693"/>
        </w:tabs>
        <w:ind w:left="1267" w:right="1260" w:hanging="576"/>
      </w:pPr>
      <w:r>
        <w:tab/>
      </w:r>
      <w:r w:rsidRPr="00FA086B">
        <w:rPr>
          <w:rStyle w:val="FootnoteReference"/>
          <w:spacing w:val="4"/>
        </w:rPr>
        <w:t>*</w:t>
      </w:r>
      <w:r w:rsidRPr="00FA086B">
        <w:tab/>
        <w:t>La version originale du présent document n’a pas été revue par les services d’édition.</w:t>
      </w:r>
    </w:p>
  </w:footnote>
  <w:footnote w:id="2">
    <w:p w14:paraId="3E03990B" w14:textId="73D1C5C5" w:rsidR="00FA086B" w:rsidRPr="001267DF" w:rsidRDefault="00D97201" w:rsidP="00FA086B">
      <w:pPr>
        <w:pStyle w:val="FootnoteText"/>
        <w:tabs>
          <w:tab w:val="right" w:pos="1195"/>
          <w:tab w:val="left" w:pos="1267"/>
          <w:tab w:val="left" w:pos="1742"/>
          <w:tab w:val="left" w:pos="2218"/>
          <w:tab w:val="left" w:pos="2693"/>
        </w:tabs>
        <w:ind w:left="1267" w:right="1260" w:hanging="576"/>
        <w:rPr>
          <w:lang w:val="fr-FR"/>
        </w:rPr>
      </w:pPr>
      <w:r>
        <w:tab/>
      </w:r>
      <w:r w:rsidR="00FA086B">
        <w:rPr>
          <w:rStyle w:val="FootnoteReference"/>
        </w:rPr>
        <w:footnoteRef/>
      </w:r>
      <w:r>
        <w:tab/>
      </w:r>
      <w:r w:rsidR="00FA086B" w:rsidRPr="00FA086B">
        <w:rPr>
          <w:lang w:val="fr-FR"/>
        </w:rPr>
        <w:t>Rapport national Beijing+25.</w:t>
      </w:r>
    </w:p>
  </w:footnote>
  <w:footnote w:id="3">
    <w:p w14:paraId="2B130A32" w14:textId="10F40967" w:rsidR="00FA086B" w:rsidRPr="0028570E" w:rsidRDefault="00D97201" w:rsidP="00FA086B">
      <w:pPr>
        <w:pStyle w:val="FootnoteText"/>
        <w:tabs>
          <w:tab w:val="right" w:pos="1195"/>
          <w:tab w:val="left" w:pos="1267"/>
          <w:tab w:val="left" w:pos="1742"/>
          <w:tab w:val="left" w:pos="2218"/>
          <w:tab w:val="left" w:pos="2693"/>
        </w:tabs>
        <w:ind w:left="1267" w:right="1260" w:hanging="576"/>
        <w:rPr>
          <w:lang w:val="fr-FR"/>
        </w:rPr>
      </w:pPr>
      <w:r>
        <w:tab/>
      </w:r>
      <w:r w:rsidR="00FA086B">
        <w:rPr>
          <w:rStyle w:val="FootnoteReference"/>
        </w:rPr>
        <w:footnoteRef/>
      </w:r>
      <w:r>
        <w:tab/>
      </w:r>
      <w:r w:rsidR="00FA086B" w:rsidRPr="00FA086B">
        <w:t>Préambule de la Constitution de 2011 (annexe 1).</w:t>
      </w:r>
    </w:p>
  </w:footnote>
  <w:footnote w:id="4">
    <w:p w14:paraId="147AF9C8" w14:textId="33123E97" w:rsidR="00FA086B" w:rsidRPr="0028570E" w:rsidRDefault="00D97201" w:rsidP="00FA086B">
      <w:pPr>
        <w:pStyle w:val="FootnoteText"/>
        <w:tabs>
          <w:tab w:val="right" w:pos="1195"/>
          <w:tab w:val="left" w:pos="1267"/>
          <w:tab w:val="left" w:pos="1742"/>
          <w:tab w:val="left" w:pos="2218"/>
          <w:tab w:val="left" w:pos="2693"/>
        </w:tabs>
        <w:ind w:left="1267" w:right="1260" w:hanging="576"/>
        <w:rPr>
          <w:lang w:val="fr-FR"/>
        </w:rPr>
      </w:pPr>
      <w:r>
        <w:tab/>
      </w:r>
      <w:r w:rsidR="00FA086B" w:rsidRPr="0028570E">
        <w:rPr>
          <w:rStyle w:val="FootnoteReference"/>
        </w:rPr>
        <w:footnoteRef/>
      </w:r>
      <w:r>
        <w:tab/>
      </w:r>
      <w:r w:rsidR="00FA086B" w:rsidRPr="00FA086B">
        <w:rPr>
          <w:lang w:val="fr-FR"/>
        </w:rPr>
        <w:t>Préambule de la Constitution (annexe 1)</w:t>
      </w:r>
      <w:r w:rsidR="00DC4ABD">
        <w:rPr>
          <w:lang w:val="fr-FR"/>
        </w:rPr>
        <w:t>.</w:t>
      </w:r>
    </w:p>
  </w:footnote>
  <w:footnote w:id="5">
    <w:p w14:paraId="4CCD2A6C" w14:textId="2F600F28" w:rsidR="00FA086B" w:rsidRPr="00EB7190" w:rsidRDefault="00D97201" w:rsidP="00FA086B">
      <w:pPr>
        <w:pStyle w:val="FootnoteText"/>
        <w:tabs>
          <w:tab w:val="right" w:pos="1195"/>
          <w:tab w:val="left" w:pos="1267"/>
          <w:tab w:val="left" w:pos="1742"/>
          <w:tab w:val="left" w:pos="2218"/>
          <w:tab w:val="left" w:pos="2693"/>
        </w:tabs>
        <w:ind w:left="1267" w:right="1260" w:hanging="576"/>
        <w:rPr>
          <w:lang w:val="fr-FR"/>
        </w:rPr>
      </w:pPr>
      <w:r>
        <w:tab/>
      </w:r>
      <w:r w:rsidR="00FA086B" w:rsidRPr="0028570E">
        <w:rPr>
          <w:rStyle w:val="FootnoteReference"/>
        </w:rPr>
        <w:footnoteRef/>
      </w:r>
      <w:r>
        <w:tab/>
      </w:r>
      <w:r w:rsidR="00FA086B" w:rsidRPr="00FA086B">
        <w:rPr>
          <w:lang w:val="fr-FR"/>
        </w:rPr>
        <w:t>Article 19 de la Constitution (annexe 1).</w:t>
      </w:r>
    </w:p>
  </w:footnote>
  <w:footnote w:id="6">
    <w:p w14:paraId="75E156FC" w14:textId="205315DF" w:rsidR="00FA086B" w:rsidRPr="00D07690" w:rsidRDefault="00D97201" w:rsidP="00FA086B">
      <w:pPr>
        <w:pStyle w:val="FootnoteText"/>
        <w:tabs>
          <w:tab w:val="right" w:pos="1195"/>
          <w:tab w:val="left" w:pos="1267"/>
          <w:tab w:val="left" w:pos="1742"/>
          <w:tab w:val="left" w:pos="2218"/>
          <w:tab w:val="left" w:pos="2693"/>
        </w:tabs>
        <w:ind w:left="1267" w:right="1260" w:hanging="576"/>
        <w:rPr>
          <w:lang w:val="fr-FR"/>
        </w:rPr>
      </w:pPr>
      <w:r>
        <w:tab/>
      </w:r>
      <w:r w:rsidR="00FA086B" w:rsidRPr="009D16F8">
        <w:rPr>
          <w:rStyle w:val="FootnoteReference"/>
        </w:rPr>
        <w:footnoteRef/>
      </w:r>
      <w:r>
        <w:tab/>
      </w:r>
      <w:r w:rsidR="00FA086B" w:rsidRPr="00FA086B">
        <w:rPr>
          <w:lang w:val="fr-FR"/>
        </w:rPr>
        <w:t>Bulletin officiel n</w:t>
      </w:r>
      <w:r w:rsidR="00FA086B" w:rsidRPr="00FA086B">
        <w:rPr>
          <w:vertAlign w:val="superscript"/>
          <w:lang w:val="fr-FR"/>
        </w:rPr>
        <w:t>o</w:t>
      </w:r>
      <w:r w:rsidR="00FA086B" w:rsidRPr="00FA086B">
        <w:rPr>
          <w:lang w:val="fr-FR"/>
        </w:rPr>
        <w:t xml:space="preserve"> 6387 (annexe 2).</w:t>
      </w:r>
    </w:p>
  </w:footnote>
  <w:footnote w:id="7">
    <w:p w14:paraId="60D2F502" w14:textId="37D1A7AC" w:rsidR="00FA086B" w:rsidRPr="00B07FBE" w:rsidRDefault="00D97201" w:rsidP="00FA086B">
      <w:pPr>
        <w:pStyle w:val="FootnoteText"/>
        <w:tabs>
          <w:tab w:val="right" w:pos="1195"/>
          <w:tab w:val="left" w:pos="1267"/>
          <w:tab w:val="left" w:pos="1742"/>
          <w:tab w:val="left" w:pos="2218"/>
          <w:tab w:val="left" w:pos="2693"/>
        </w:tabs>
        <w:ind w:left="1267" w:right="1260" w:hanging="576"/>
      </w:pPr>
      <w:r>
        <w:tab/>
      </w:r>
      <w:r w:rsidR="00FA086B" w:rsidRPr="009D16F8">
        <w:rPr>
          <w:rStyle w:val="FootnoteReference"/>
        </w:rPr>
        <w:footnoteRef/>
      </w:r>
      <w:r>
        <w:tab/>
      </w:r>
      <w:r w:rsidR="00FA086B" w:rsidRPr="00FA086B">
        <w:t xml:space="preserve">Documents relatifs à la levée des réserves déposés le 8 avril 2011 (annexe 3). </w:t>
      </w:r>
    </w:p>
  </w:footnote>
  <w:footnote w:id="8">
    <w:p w14:paraId="180E4A7C" w14:textId="5DF7F2FB" w:rsidR="00FA086B" w:rsidRPr="00B07FBE" w:rsidRDefault="00D97201" w:rsidP="00FA086B">
      <w:pPr>
        <w:pStyle w:val="FootnoteText"/>
        <w:tabs>
          <w:tab w:val="right" w:pos="1195"/>
          <w:tab w:val="left" w:pos="1267"/>
          <w:tab w:val="left" w:pos="1742"/>
          <w:tab w:val="left" w:pos="2218"/>
          <w:tab w:val="left" w:pos="2693"/>
        </w:tabs>
        <w:ind w:left="1267" w:right="1260" w:hanging="576"/>
        <w:rPr>
          <w:lang w:val="fr-FR"/>
        </w:rPr>
      </w:pPr>
      <w:r>
        <w:tab/>
      </w:r>
      <w:r w:rsidR="00FA086B">
        <w:rPr>
          <w:rStyle w:val="FootnoteReference"/>
        </w:rPr>
        <w:footnoteRef/>
      </w:r>
      <w:r>
        <w:tab/>
      </w:r>
      <w:r w:rsidR="00FA086B" w:rsidRPr="00FA086B">
        <w:t>La levée de ces réserves a pris effet le 8 avril 2011 et a été enregistrée dans le Bulletin officiel du Royaume n</w:t>
      </w:r>
      <w:r w:rsidR="00FA086B" w:rsidRPr="00FA086B">
        <w:rPr>
          <w:vertAlign w:val="superscript"/>
        </w:rPr>
        <w:t xml:space="preserve">o </w:t>
      </w:r>
      <w:r w:rsidR="00FA086B" w:rsidRPr="00FA086B">
        <w:t>5974 (septembre 2011) (annexe 3)</w:t>
      </w:r>
      <w:r w:rsidR="00DC4ABD">
        <w:t>.</w:t>
      </w:r>
    </w:p>
  </w:footnote>
  <w:footnote w:id="9">
    <w:p w14:paraId="774C3B14" w14:textId="759C15BE" w:rsidR="00FA086B" w:rsidRPr="006D5778" w:rsidRDefault="00D97201" w:rsidP="00FA086B">
      <w:pPr>
        <w:pStyle w:val="FootnoteText"/>
        <w:tabs>
          <w:tab w:val="right" w:pos="1195"/>
          <w:tab w:val="left" w:pos="1267"/>
          <w:tab w:val="left" w:pos="1742"/>
          <w:tab w:val="left" w:pos="2218"/>
          <w:tab w:val="left" w:pos="2693"/>
        </w:tabs>
        <w:ind w:left="1267" w:right="1260" w:hanging="576"/>
        <w:rPr>
          <w:lang w:val="fr-FR"/>
        </w:rPr>
      </w:pPr>
      <w:r>
        <w:tab/>
      </w:r>
      <w:r w:rsidR="00FA086B" w:rsidRPr="00806297">
        <w:rPr>
          <w:rStyle w:val="FootnoteReference"/>
        </w:rPr>
        <w:footnoteRef/>
      </w:r>
      <w:r>
        <w:tab/>
      </w:r>
      <w:r w:rsidR="00FA086B" w:rsidRPr="00FA086B">
        <w:rPr>
          <w:lang w:val="fr-FR"/>
        </w:rPr>
        <w:t>Constitution, préambule et articles 6, 14, 15, 19, 31, 32, 115, 154 et 164 (annexe 1).</w:t>
      </w:r>
    </w:p>
  </w:footnote>
  <w:footnote w:id="10">
    <w:p w14:paraId="42836BC5" w14:textId="04ECD260" w:rsidR="00FA086B" w:rsidRPr="006547F4" w:rsidRDefault="00D97201" w:rsidP="00FA086B">
      <w:pPr>
        <w:pStyle w:val="FootnoteText"/>
        <w:tabs>
          <w:tab w:val="right" w:pos="1195"/>
          <w:tab w:val="left" w:pos="1267"/>
          <w:tab w:val="left" w:pos="1742"/>
          <w:tab w:val="left" w:pos="2218"/>
          <w:tab w:val="left" w:pos="2693"/>
        </w:tabs>
        <w:ind w:left="1267" w:right="1260" w:hanging="576"/>
      </w:pPr>
      <w:r>
        <w:tab/>
      </w:r>
      <w:r w:rsidR="00FA086B" w:rsidRPr="00806297">
        <w:rPr>
          <w:rStyle w:val="FootnoteReference"/>
        </w:rPr>
        <w:footnoteRef/>
      </w:r>
      <w:r>
        <w:tab/>
      </w:r>
      <w:r w:rsidR="00FA086B" w:rsidRPr="00FA086B">
        <w:t>Constitution, préambule et articles 9, 12, 36, 40, 152, 153, 154, 156, 159, 162, 172, 179, 183, 346, 361, 472, 484 et 486 (annexe 4).</w:t>
      </w:r>
    </w:p>
  </w:footnote>
  <w:footnote w:id="11">
    <w:p w14:paraId="46CA47FF" w14:textId="706C7AF7" w:rsidR="00FA086B" w:rsidRPr="002C228A" w:rsidRDefault="00D97201" w:rsidP="00FA086B">
      <w:pPr>
        <w:pStyle w:val="FootnoteText"/>
        <w:tabs>
          <w:tab w:val="right" w:pos="1195"/>
          <w:tab w:val="left" w:pos="1267"/>
          <w:tab w:val="left" w:pos="1742"/>
          <w:tab w:val="left" w:pos="2218"/>
          <w:tab w:val="left" w:pos="2693"/>
        </w:tabs>
        <w:ind w:left="1267" w:right="1260" w:hanging="576"/>
        <w:rPr>
          <w:lang w:val="fr-FR"/>
        </w:rPr>
      </w:pPr>
      <w:r>
        <w:tab/>
      </w:r>
      <w:r w:rsidR="00FA086B" w:rsidRPr="006547F4">
        <w:rPr>
          <w:rStyle w:val="FootnoteReference"/>
        </w:rPr>
        <w:footnoteRef/>
      </w:r>
      <w:r>
        <w:tab/>
      </w:r>
      <w:r w:rsidR="00FA086B" w:rsidRPr="00FA086B">
        <w:t>Voir Article 4 dans le présent rapport.</w:t>
      </w:r>
    </w:p>
  </w:footnote>
  <w:footnote w:id="12">
    <w:p w14:paraId="5938DCE6" w14:textId="7795D24E" w:rsidR="00FA086B" w:rsidRPr="00A04B17" w:rsidRDefault="00D97201" w:rsidP="00FA086B">
      <w:pPr>
        <w:pStyle w:val="FootnoteText"/>
        <w:tabs>
          <w:tab w:val="right" w:pos="1195"/>
          <w:tab w:val="left" w:pos="1267"/>
          <w:tab w:val="left" w:pos="1742"/>
          <w:tab w:val="left" w:pos="2218"/>
          <w:tab w:val="left" w:pos="2693"/>
        </w:tabs>
        <w:ind w:left="1267" w:right="1260" w:hanging="576"/>
        <w:rPr>
          <w:lang w:val="fr-FR"/>
        </w:rPr>
      </w:pPr>
      <w:r>
        <w:tab/>
      </w:r>
      <w:r w:rsidR="00FA086B">
        <w:rPr>
          <w:rStyle w:val="FootnoteReference"/>
        </w:rPr>
        <w:footnoteRef/>
      </w:r>
      <w:r>
        <w:tab/>
      </w:r>
      <w:r w:rsidR="00FA086B" w:rsidRPr="00FA086B">
        <w:t>Les dispositions de l’article 431 susmentionné ont été modifiées et complétées en application de l’article 2 de la loi n</w:t>
      </w:r>
      <w:r w:rsidR="00FA086B" w:rsidRPr="00FA086B">
        <w:rPr>
          <w:vertAlign w:val="superscript"/>
        </w:rPr>
        <w:t>o</w:t>
      </w:r>
      <w:r w:rsidR="00FA086B" w:rsidRPr="00FA086B">
        <w:t xml:space="preserve"> 103-13 (annexe 5).</w:t>
      </w:r>
    </w:p>
  </w:footnote>
  <w:footnote w:id="13">
    <w:p w14:paraId="757F4688" w14:textId="153AFCB6" w:rsidR="00FA086B" w:rsidRPr="008E783E" w:rsidRDefault="00D97201" w:rsidP="00FA086B">
      <w:pPr>
        <w:pStyle w:val="FootnoteText"/>
        <w:tabs>
          <w:tab w:val="right" w:pos="1195"/>
          <w:tab w:val="left" w:pos="1267"/>
          <w:tab w:val="left" w:pos="1742"/>
          <w:tab w:val="left" w:pos="2218"/>
          <w:tab w:val="left" w:pos="2693"/>
        </w:tabs>
        <w:ind w:left="1267" w:right="1260" w:hanging="576"/>
        <w:rPr>
          <w:lang w:val="fr-FR"/>
        </w:rPr>
      </w:pPr>
      <w:r>
        <w:tab/>
      </w:r>
      <w:r w:rsidR="00FA086B">
        <w:rPr>
          <w:rStyle w:val="FootnoteReference"/>
        </w:rPr>
        <w:footnoteRef/>
      </w:r>
      <w:r>
        <w:tab/>
      </w:r>
      <w:r w:rsidR="00FA086B" w:rsidRPr="00FA086B">
        <w:rPr>
          <w:lang w:val="fr-FR"/>
        </w:rPr>
        <w:t>Articles 494, 495 et 496 du Code pénal, conformément au dahir n</w:t>
      </w:r>
      <w:r w:rsidR="00FA086B" w:rsidRPr="00FA086B">
        <w:rPr>
          <w:vertAlign w:val="superscript"/>
          <w:lang w:val="fr-FR"/>
        </w:rPr>
        <w:t>o</w:t>
      </w:r>
      <w:r w:rsidR="00FA086B" w:rsidRPr="00FA086B">
        <w:rPr>
          <w:lang w:val="fr-FR"/>
        </w:rPr>
        <w:t xml:space="preserve"> 1-13-71 (juillet 2013) portant application de la loi n</w:t>
      </w:r>
      <w:r w:rsidR="00FA086B" w:rsidRPr="00FA086B">
        <w:rPr>
          <w:vertAlign w:val="superscript"/>
          <w:lang w:val="fr-FR"/>
        </w:rPr>
        <w:t>o</w:t>
      </w:r>
      <w:r w:rsidR="00FA086B" w:rsidRPr="00FA086B">
        <w:rPr>
          <w:lang w:val="fr-FR"/>
        </w:rPr>
        <w:t xml:space="preserve"> 92-13 (annexe 6).</w:t>
      </w:r>
    </w:p>
  </w:footnote>
  <w:footnote w:id="14">
    <w:p w14:paraId="2EC1CD96" w14:textId="3BFA8EF7" w:rsidR="00FA086B" w:rsidRPr="008C60EC" w:rsidRDefault="00D97201" w:rsidP="00FA086B">
      <w:pPr>
        <w:pStyle w:val="FootnoteText"/>
        <w:tabs>
          <w:tab w:val="right" w:pos="1195"/>
          <w:tab w:val="left" w:pos="1267"/>
          <w:tab w:val="left" w:pos="1742"/>
          <w:tab w:val="left" w:pos="2218"/>
          <w:tab w:val="left" w:pos="2693"/>
        </w:tabs>
        <w:ind w:left="1267" w:right="1260" w:hanging="576"/>
        <w:rPr>
          <w:lang w:val="fr-FR"/>
        </w:rPr>
      </w:pPr>
      <w:r>
        <w:tab/>
      </w:r>
      <w:r w:rsidR="00FA086B" w:rsidRPr="008E783E">
        <w:rPr>
          <w:rStyle w:val="FootnoteReference"/>
        </w:rPr>
        <w:footnoteRef/>
      </w:r>
      <w:r>
        <w:tab/>
      </w:r>
      <w:r w:rsidR="00FA086B" w:rsidRPr="00FA086B">
        <w:rPr>
          <w:lang w:val="fr-FR"/>
        </w:rPr>
        <w:t>Voir document de base commun (annexe 26).</w:t>
      </w:r>
    </w:p>
  </w:footnote>
  <w:footnote w:id="15">
    <w:p w14:paraId="5BF8C8D6" w14:textId="514FEFA5" w:rsidR="00FA086B" w:rsidRPr="00B22F33" w:rsidRDefault="00D97201" w:rsidP="00FA086B">
      <w:pPr>
        <w:pStyle w:val="FootnoteText"/>
        <w:tabs>
          <w:tab w:val="right" w:pos="1195"/>
          <w:tab w:val="left" w:pos="1267"/>
          <w:tab w:val="left" w:pos="1742"/>
          <w:tab w:val="left" w:pos="2218"/>
          <w:tab w:val="left" w:pos="2693"/>
        </w:tabs>
        <w:ind w:left="1267" w:right="1260" w:hanging="576"/>
        <w:rPr>
          <w:lang w:val="fr-FR"/>
        </w:rPr>
      </w:pPr>
      <w:r>
        <w:tab/>
      </w:r>
      <w:r w:rsidR="00FA086B">
        <w:rPr>
          <w:rStyle w:val="FootnoteReference"/>
        </w:rPr>
        <w:footnoteRef/>
      </w:r>
      <w:r>
        <w:tab/>
      </w:r>
      <w:r w:rsidR="00FA086B" w:rsidRPr="00FA086B">
        <w:t>Dahir n</w:t>
      </w:r>
      <w:r w:rsidR="00FA086B" w:rsidRPr="00FA086B">
        <w:rPr>
          <w:vertAlign w:val="superscript"/>
        </w:rPr>
        <w:t>o</w:t>
      </w:r>
      <w:r w:rsidR="00FA086B" w:rsidRPr="00FA086B">
        <w:t xml:space="preserve"> 1-14-25 (mars 2014) portant promulgation de la loi n</w:t>
      </w:r>
      <w:r w:rsidR="00FA086B" w:rsidRPr="00FA086B">
        <w:rPr>
          <w:vertAlign w:val="superscript"/>
        </w:rPr>
        <w:t>o</w:t>
      </w:r>
      <w:r w:rsidR="00FA086B" w:rsidRPr="00FA086B">
        <w:t xml:space="preserve"> 146-12 portant approbation de la Convention européenne sur l’exercice des droits des enfants, faite à Strasbourg en 1996, et dahir n</w:t>
      </w:r>
      <w:r w:rsidR="00FA086B" w:rsidRPr="00FA086B">
        <w:rPr>
          <w:vertAlign w:val="superscript"/>
        </w:rPr>
        <w:t>o</w:t>
      </w:r>
      <w:r w:rsidR="00FA086B" w:rsidRPr="00FA086B">
        <w:t xml:space="preserve"> 1-14-11 (mars 2014) portant promulgation de la loi n</w:t>
      </w:r>
      <w:r w:rsidR="00FA086B" w:rsidRPr="00FA086B">
        <w:rPr>
          <w:vertAlign w:val="superscript"/>
        </w:rPr>
        <w:t>o</w:t>
      </w:r>
      <w:r w:rsidR="00FA086B" w:rsidRPr="00FA086B">
        <w:t xml:space="preserve"> 144-12 portant approbation de la Convention de 1970 sur les congés payés (révisée) [n</w:t>
      </w:r>
      <w:r w:rsidR="00FA086B" w:rsidRPr="00FA086B">
        <w:rPr>
          <w:vertAlign w:val="superscript"/>
        </w:rPr>
        <w:t>o</w:t>
      </w:r>
      <w:r w:rsidR="00FA086B" w:rsidRPr="00FA086B">
        <w:t xml:space="preserve"> 132], adoptée à Genève en juillet 1970. </w:t>
      </w:r>
    </w:p>
  </w:footnote>
  <w:footnote w:id="16">
    <w:p w14:paraId="723D8F4F" w14:textId="2EA04088" w:rsidR="00FA086B" w:rsidRPr="008110DF" w:rsidRDefault="00D97201" w:rsidP="00FA086B">
      <w:pPr>
        <w:pStyle w:val="FootnoteText"/>
        <w:tabs>
          <w:tab w:val="right" w:pos="1195"/>
          <w:tab w:val="left" w:pos="1267"/>
          <w:tab w:val="left" w:pos="1742"/>
          <w:tab w:val="left" w:pos="2218"/>
          <w:tab w:val="left" w:pos="2693"/>
        </w:tabs>
        <w:ind w:left="1267" w:right="1260" w:hanging="576"/>
        <w:rPr>
          <w:lang w:val="fr-FR"/>
        </w:rPr>
      </w:pPr>
      <w:r>
        <w:tab/>
      </w:r>
      <w:r w:rsidR="00FA086B">
        <w:rPr>
          <w:rStyle w:val="FootnoteReference"/>
        </w:rPr>
        <w:footnoteRef/>
      </w:r>
      <w:r>
        <w:tab/>
      </w:r>
      <w:r w:rsidR="00FA086B" w:rsidRPr="00FA086B">
        <w:t>Dahir n</w:t>
      </w:r>
      <w:r w:rsidR="00FA086B" w:rsidRPr="00FA086B">
        <w:rPr>
          <w:vertAlign w:val="superscript"/>
        </w:rPr>
        <w:t>o</w:t>
      </w:r>
      <w:r w:rsidR="00FA086B" w:rsidRPr="00FA086B">
        <w:t xml:space="preserve"> 1-14-86 (mai 2014) portant promulgation de la loi n</w:t>
      </w:r>
      <w:r w:rsidR="00FA086B" w:rsidRPr="00FA086B">
        <w:rPr>
          <w:vertAlign w:val="superscript"/>
        </w:rPr>
        <w:t xml:space="preserve">o </w:t>
      </w:r>
      <w:r w:rsidR="00FA086B" w:rsidRPr="00FA086B">
        <w:t>147-12 portant approbation de la Convention sur les relations personnelles concernant les enfants, faite à Strasbourg en mai 2003.</w:t>
      </w:r>
    </w:p>
  </w:footnote>
  <w:footnote w:id="17">
    <w:p w14:paraId="3EAFB42C" w14:textId="7D583425" w:rsidR="00FA086B" w:rsidRPr="00370750" w:rsidRDefault="00D97201" w:rsidP="00FA086B">
      <w:pPr>
        <w:pStyle w:val="FootnoteText"/>
        <w:tabs>
          <w:tab w:val="right" w:pos="1195"/>
          <w:tab w:val="left" w:pos="1267"/>
          <w:tab w:val="left" w:pos="1742"/>
          <w:tab w:val="left" w:pos="2218"/>
          <w:tab w:val="left" w:pos="2693"/>
        </w:tabs>
        <w:ind w:left="1267" w:right="1260" w:hanging="576"/>
        <w:rPr>
          <w:lang w:val="fr-FR"/>
        </w:rPr>
      </w:pPr>
      <w:r>
        <w:tab/>
      </w:r>
      <w:r w:rsidR="00FA086B">
        <w:rPr>
          <w:rStyle w:val="FootnoteReference"/>
        </w:rPr>
        <w:footnoteRef/>
      </w:r>
      <w:r>
        <w:tab/>
      </w:r>
      <w:r w:rsidR="00FA086B" w:rsidRPr="00FA086B">
        <w:t>Dahir n</w:t>
      </w:r>
      <w:r w:rsidR="00FA086B" w:rsidRPr="00FA086B">
        <w:rPr>
          <w:vertAlign w:val="superscript"/>
        </w:rPr>
        <w:t>o</w:t>
      </w:r>
      <w:r w:rsidR="00FA086B" w:rsidRPr="00FA086B">
        <w:t xml:space="preserve"> 1-14-87 (mai 2014) portant promulgation de la loi n</w:t>
      </w:r>
      <w:r w:rsidR="00FA086B" w:rsidRPr="00FA086B">
        <w:rPr>
          <w:vertAlign w:val="superscript"/>
        </w:rPr>
        <w:t xml:space="preserve">o </w:t>
      </w:r>
      <w:r w:rsidR="00FA086B" w:rsidRPr="00FA086B">
        <w:t>148-12 portant approbation de la Convention du Conseil de l’Europe sur la protection des enfants contre l’exploitation et les abus sexuels, faite à Lanzarote en octobre 2007.</w:t>
      </w:r>
    </w:p>
  </w:footnote>
  <w:footnote w:id="18">
    <w:p w14:paraId="759FDA2B" w14:textId="2FACCA2D" w:rsidR="00FA086B" w:rsidRPr="00AF1508" w:rsidRDefault="00D97201" w:rsidP="00FA086B">
      <w:pPr>
        <w:pStyle w:val="FootnoteText"/>
        <w:tabs>
          <w:tab w:val="right" w:pos="1195"/>
          <w:tab w:val="left" w:pos="1267"/>
          <w:tab w:val="left" w:pos="1742"/>
          <w:tab w:val="left" w:pos="2218"/>
          <w:tab w:val="left" w:pos="2693"/>
        </w:tabs>
        <w:ind w:left="1267" w:right="1260" w:hanging="576"/>
        <w:rPr>
          <w:lang w:val="fr-FR"/>
        </w:rPr>
      </w:pPr>
      <w:r>
        <w:tab/>
      </w:r>
      <w:r w:rsidR="00FA086B" w:rsidRPr="00AD0861">
        <w:rPr>
          <w:rStyle w:val="FootnoteReference"/>
        </w:rPr>
        <w:footnoteRef/>
      </w:r>
      <w:r>
        <w:tab/>
      </w:r>
      <w:r w:rsidR="00FA086B" w:rsidRPr="00FA086B">
        <w:t>La Commission consolidera l’institutionnalisation des mécanismes de coordination entre les différents intervenants en matière de lutte contre les violences faites aux femmes, assurera la communication et la coordination relatives aux différentes interventions visant à lutter contre ces violences, et contribuera à la mise en place de mécanismes visant à améliorer le fonctionnement des cellules pour la prise en charge des femmes victimes de violences au niveau national. Elle est en outre chargée de renforcer les mécanismes de partenariat et de coopération, de présenter des propositions et d’établir des rapports.</w:t>
      </w:r>
    </w:p>
  </w:footnote>
  <w:footnote w:id="19">
    <w:p w14:paraId="108189D4" w14:textId="704A43D2" w:rsidR="00FA086B" w:rsidRPr="00BE39D8" w:rsidRDefault="00D97201" w:rsidP="00FA086B">
      <w:pPr>
        <w:pStyle w:val="FootnoteText"/>
        <w:tabs>
          <w:tab w:val="right" w:pos="1195"/>
          <w:tab w:val="left" w:pos="1267"/>
          <w:tab w:val="left" w:pos="1742"/>
          <w:tab w:val="left" w:pos="2218"/>
          <w:tab w:val="left" w:pos="2693"/>
        </w:tabs>
        <w:ind w:left="1267" w:right="1260" w:hanging="576"/>
        <w:rPr>
          <w:lang w:val="fr-FR"/>
        </w:rPr>
      </w:pPr>
      <w:r>
        <w:tab/>
      </w:r>
      <w:r w:rsidR="00FA086B" w:rsidRPr="005E1101">
        <w:rPr>
          <w:rStyle w:val="FootnoteReference"/>
        </w:rPr>
        <w:footnoteRef/>
      </w:r>
      <w:r>
        <w:tab/>
      </w:r>
      <w:r w:rsidR="00FA086B" w:rsidRPr="00FA086B">
        <w:rPr>
          <w:lang w:val="fr-FR"/>
        </w:rPr>
        <w:t>Articles 11 et 12 de la loi n</w:t>
      </w:r>
      <w:r w:rsidR="00FA086B" w:rsidRPr="00FA086B">
        <w:rPr>
          <w:vertAlign w:val="superscript"/>
          <w:lang w:val="fr-FR"/>
        </w:rPr>
        <w:t>o</w:t>
      </w:r>
      <w:r w:rsidR="00FA086B" w:rsidRPr="00FA086B">
        <w:rPr>
          <w:lang w:val="fr-FR"/>
        </w:rPr>
        <w:t xml:space="preserve"> 103-13 (annexe 5).</w:t>
      </w:r>
    </w:p>
  </w:footnote>
  <w:footnote w:id="20">
    <w:p w14:paraId="54913433" w14:textId="63CD1F22" w:rsidR="00FA086B" w:rsidRPr="00D251F3" w:rsidRDefault="00D97201" w:rsidP="00FA086B">
      <w:pPr>
        <w:pStyle w:val="FootnoteText"/>
        <w:tabs>
          <w:tab w:val="right" w:pos="1195"/>
          <w:tab w:val="left" w:pos="1267"/>
          <w:tab w:val="left" w:pos="1742"/>
          <w:tab w:val="left" w:pos="2218"/>
          <w:tab w:val="left" w:pos="2693"/>
        </w:tabs>
        <w:ind w:left="1267" w:right="1260" w:hanging="576"/>
        <w:rPr>
          <w:lang w:val="fr-FR"/>
        </w:rPr>
      </w:pPr>
      <w:r>
        <w:tab/>
      </w:r>
      <w:r w:rsidR="00FA086B" w:rsidRPr="00F664EC">
        <w:rPr>
          <w:rStyle w:val="FootnoteReference"/>
        </w:rPr>
        <w:footnoteRef/>
      </w:r>
      <w:r>
        <w:tab/>
      </w:r>
      <w:r w:rsidR="00FA086B" w:rsidRPr="00FA086B">
        <w:rPr>
          <w:lang w:val="fr-FR"/>
        </w:rPr>
        <w:t>En application de la loi n</w:t>
      </w:r>
      <w:r w:rsidR="00FA086B" w:rsidRPr="00FA086B">
        <w:rPr>
          <w:vertAlign w:val="superscript"/>
          <w:lang w:val="fr-FR"/>
        </w:rPr>
        <w:t>o</w:t>
      </w:r>
      <w:r w:rsidR="00FA086B" w:rsidRPr="00FA086B">
        <w:rPr>
          <w:lang w:val="fr-FR"/>
        </w:rPr>
        <w:t xml:space="preserve"> 79-14 relative à l’Autorité pour la parité et la lutte contre toutes formes de discrimination (annexe 26). </w:t>
      </w:r>
    </w:p>
  </w:footnote>
  <w:footnote w:id="21">
    <w:p w14:paraId="618C6C7B" w14:textId="236F7031" w:rsidR="00FA086B" w:rsidRPr="00934951" w:rsidRDefault="00D97201" w:rsidP="00FA086B">
      <w:pPr>
        <w:pStyle w:val="FootnoteText"/>
        <w:tabs>
          <w:tab w:val="right" w:pos="1195"/>
          <w:tab w:val="left" w:pos="1267"/>
          <w:tab w:val="left" w:pos="1742"/>
          <w:tab w:val="left" w:pos="2218"/>
          <w:tab w:val="left" w:pos="2693"/>
        </w:tabs>
        <w:ind w:left="1267" w:right="1260" w:hanging="576"/>
        <w:rPr>
          <w:lang w:val="fr-FR"/>
        </w:rPr>
      </w:pPr>
      <w:r>
        <w:tab/>
      </w:r>
      <w:r w:rsidR="00FA086B">
        <w:rPr>
          <w:rStyle w:val="FootnoteReference"/>
        </w:rPr>
        <w:footnoteRef/>
      </w:r>
      <w:r>
        <w:tab/>
      </w:r>
      <w:r w:rsidR="00FA086B" w:rsidRPr="00FA086B">
        <w:t>Les stéréotypes liés au genre dans les messages publicitaires (annexe 7).</w:t>
      </w:r>
    </w:p>
  </w:footnote>
  <w:footnote w:id="22">
    <w:p w14:paraId="632A905C" w14:textId="035495C1" w:rsidR="00FA086B" w:rsidRPr="0063276C" w:rsidRDefault="00D97201" w:rsidP="00FA086B">
      <w:pPr>
        <w:pStyle w:val="FootnoteText"/>
        <w:tabs>
          <w:tab w:val="right" w:pos="1195"/>
          <w:tab w:val="left" w:pos="1267"/>
          <w:tab w:val="left" w:pos="1742"/>
          <w:tab w:val="left" w:pos="2218"/>
          <w:tab w:val="left" w:pos="2693"/>
        </w:tabs>
        <w:ind w:left="1267" w:right="1260" w:hanging="576"/>
        <w:rPr>
          <w:lang w:val="fr-FR"/>
        </w:rPr>
      </w:pPr>
      <w:r>
        <w:tab/>
      </w:r>
      <w:r w:rsidR="00FA086B">
        <w:rPr>
          <w:rStyle w:val="FootnoteReference"/>
        </w:rPr>
        <w:footnoteRef/>
      </w:r>
      <w:r>
        <w:tab/>
      </w:r>
      <w:r w:rsidR="00FA086B" w:rsidRPr="00FA086B">
        <w:rPr>
          <w:lang w:val="fr-FR"/>
        </w:rPr>
        <w:t>Article 44 de la loi n</w:t>
      </w:r>
      <w:r w:rsidR="00FA086B" w:rsidRPr="00FA086B">
        <w:rPr>
          <w:vertAlign w:val="superscript"/>
          <w:lang w:val="fr-FR"/>
        </w:rPr>
        <w:t>o</w:t>
      </w:r>
      <w:r w:rsidR="00FA086B" w:rsidRPr="00FA086B">
        <w:rPr>
          <w:lang w:val="fr-FR"/>
        </w:rPr>
        <w:t xml:space="preserve"> 14-16 relative à l’Institution du Médiateur (annexe 8). </w:t>
      </w:r>
    </w:p>
  </w:footnote>
  <w:footnote w:id="23">
    <w:p w14:paraId="72F105EA" w14:textId="10DE1E57" w:rsidR="00FA086B" w:rsidRPr="0003346E" w:rsidRDefault="00D97201" w:rsidP="00FA086B">
      <w:pPr>
        <w:pStyle w:val="FootnoteText"/>
        <w:tabs>
          <w:tab w:val="right" w:pos="1195"/>
          <w:tab w:val="left" w:pos="1267"/>
          <w:tab w:val="left" w:pos="1742"/>
          <w:tab w:val="left" w:pos="2218"/>
          <w:tab w:val="left" w:pos="2693"/>
        </w:tabs>
        <w:ind w:left="1267" w:right="1260" w:hanging="576"/>
        <w:rPr>
          <w:lang w:val="fr-FR"/>
        </w:rPr>
      </w:pPr>
      <w:r>
        <w:tab/>
      </w:r>
      <w:r w:rsidR="00FA086B">
        <w:rPr>
          <w:rStyle w:val="FootnoteReference"/>
        </w:rPr>
        <w:footnoteRef/>
      </w:r>
      <w:r>
        <w:tab/>
      </w:r>
      <w:r w:rsidR="00FA086B" w:rsidRPr="00FA086B">
        <w:rPr>
          <w:lang w:val="fr-FR"/>
        </w:rPr>
        <w:t>Article 14 de la loi n</w:t>
      </w:r>
      <w:r w:rsidR="00FA086B" w:rsidRPr="00FA086B">
        <w:rPr>
          <w:vertAlign w:val="superscript"/>
          <w:lang w:val="fr-FR"/>
        </w:rPr>
        <w:t>o</w:t>
      </w:r>
      <w:r w:rsidR="00FA086B" w:rsidRPr="00FA086B">
        <w:rPr>
          <w:lang w:val="fr-FR"/>
        </w:rPr>
        <w:t xml:space="preserve"> 14-16 relative à l’Institution du Médiateur (annexe 8). </w:t>
      </w:r>
    </w:p>
  </w:footnote>
  <w:footnote w:id="24">
    <w:p w14:paraId="237CE2D0" w14:textId="676B6FA2" w:rsidR="00FA086B" w:rsidRPr="00EF6CDA" w:rsidRDefault="00D97201" w:rsidP="00FA086B">
      <w:pPr>
        <w:pStyle w:val="FootnoteText"/>
        <w:tabs>
          <w:tab w:val="right" w:pos="1195"/>
          <w:tab w:val="left" w:pos="1267"/>
          <w:tab w:val="left" w:pos="1742"/>
          <w:tab w:val="left" w:pos="2218"/>
          <w:tab w:val="left" w:pos="2693"/>
        </w:tabs>
        <w:ind w:left="1267" w:right="1260" w:hanging="576"/>
        <w:rPr>
          <w:lang w:val="fr-FR"/>
        </w:rPr>
      </w:pPr>
      <w:r>
        <w:tab/>
      </w:r>
      <w:r w:rsidR="00FA086B" w:rsidRPr="00366DA6">
        <w:rPr>
          <w:rStyle w:val="FootnoteReference"/>
        </w:rPr>
        <w:footnoteRef/>
      </w:r>
      <w:r>
        <w:tab/>
      </w:r>
      <w:r w:rsidR="00FA086B" w:rsidRPr="00FA086B">
        <w:rPr>
          <w:lang w:val="fr-FR"/>
        </w:rPr>
        <w:t>Approuvé par le Conseil de gouvernement en juin 2013.</w:t>
      </w:r>
    </w:p>
  </w:footnote>
  <w:footnote w:id="25">
    <w:p w14:paraId="09160255" w14:textId="05578809" w:rsidR="00FA086B" w:rsidRPr="00FA086B" w:rsidRDefault="00D97201" w:rsidP="00FA086B">
      <w:pPr>
        <w:pStyle w:val="FootnoteText"/>
        <w:tabs>
          <w:tab w:val="right" w:pos="1195"/>
          <w:tab w:val="left" w:pos="1267"/>
          <w:tab w:val="left" w:pos="1742"/>
          <w:tab w:val="left" w:pos="2218"/>
          <w:tab w:val="left" w:pos="2693"/>
        </w:tabs>
        <w:ind w:left="1267" w:right="1260" w:hanging="576"/>
        <w:rPr>
          <w:lang w:val="fr-FR"/>
        </w:rPr>
      </w:pPr>
      <w:r>
        <w:tab/>
      </w:r>
      <w:r w:rsidR="00FA086B">
        <w:rPr>
          <w:rStyle w:val="FootnoteReference"/>
        </w:rPr>
        <w:footnoteRef/>
      </w:r>
      <w:r>
        <w:tab/>
      </w:r>
      <w:r w:rsidR="00FA086B" w:rsidRPr="00FA086B">
        <w:rPr>
          <w:lang w:val="fr-FR"/>
        </w:rPr>
        <w:t>Créée en application du décret n</w:t>
      </w:r>
      <w:r w:rsidR="00FA086B" w:rsidRPr="00FA086B">
        <w:rPr>
          <w:vertAlign w:val="superscript"/>
          <w:lang w:val="fr-FR"/>
        </w:rPr>
        <w:t>o</w:t>
      </w:r>
      <w:r w:rsidR="00FA086B" w:rsidRPr="00FA086B">
        <w:rPr>
          <w:lang w:val="fr-FR"/>
        </w:rPr>
        <w:t xml:space="preserve"> 2-13-495 (juillet 2013) et dont les attributions sont les suivantes : </w:t>
      </w:r>
    </w:p>
    <w:p w14:paraId="2C643645" w14:textId="3D0A33F4" w:rsidR="00FA086B" w:rsidRPr="00FA086B" w:rsidRDefault="00D97201" w:rsidP="00D97201">
      <w:pPr>
        <w:pStyle w:val="FootnoteText"/>
        <w:tabs>
          <w:tab w:val="right" w:pos="1195"/>
          <w:tab w:val="left" w:pos="1267"/>
          <w:tab w:val="right" w:pos="1685"/>
          <w:tab w:val="left" w:pos="1742"/>
          <w:tab w:val="left" w:pos="2218"/>
          <w:tab w:val="left" w:pos="2693"/>
        </w:tabs>
        <w:suppressAutoHyphens/>
        <w:ind w:left="1685" w:right="1260" w:hanging="418"/>
        <w:rPr>
          <w:lang w:val="fr-FR"/>
        </w:rPr>
      </w:pPr>
      <w:r>
        <w:rPr>
          <w:lang w:val="fr-FR"/>
        </w:rPr>
        <w:tab/>
        <w:t>•</w:t>
      </w:r>
      <w:r>
        <w:rPr>
          <w:lang w:val="fr-FR"/>
        </w:rPr>
        <w:tab/>
      </w:r>
      <w:r w:rsidR="00FA086B" w:rsidRPr="00FA086B">
        <w:rPr>
          <w:lang w:val="fr-FR"/>
        </w:rPr>
        <w:t>Encourager les différentes autorités publiques à prendre toutes les mesures voulues en vue de la mise en œuvre des programmes prévus par le Plan ;</w:t>
      </w:r>
    </w:p>
    <w:p w14:paraId="1B82C22C" w14:textId="4B77DB00" w:rsidR="00FA086B" w:rsidRPr="00FA086B" w:rsidRDefault="00D97201" w:rsidP="00D97201">
      <w:pPr>
        <w:pStyle w:val="FootnoteText"/>
        <w:tabs>
          <w:tab w:val="right" w:pos="1195"/>
          <w:tab w:val="left" w:pos="1267"/>
          <w:tab w:val="right" w:pos="1685"/>
          <w:tab w:val="left" w:pos="1742"/>
          <w:tab w:val="left" w:pos="2218"/>
          <w:tab w:val="left" w:pos="2693"/>
        </w:tabs>
        <w:suppressAutoHyphens/>
        <w:ind w:left="1685" w:right="1260" w:hanging="418"/>
        <w:rPr>
          <w:lang w:val="fr-FR"/>
        </w:rPr>
      </w:pPr>
      <w:r>
        <w:rPr>
          <w:lang w:val="fr-FR"/>
        </w:rPr>
        <w:tab/>
        <w:t>•</w:t>
      </w:r>
      <w:r>
        <w:rPr>
          <w:lang w:val="fr-FR"/>
        </w:rPr>
        <w:tab/>
      </w:r>
      <w:r w:rsidR="00FA086B" w:rsidRPr="00FA086B">
        <w:rPr>
          <w:lang w:val="fr-FR"/>
        </w:rPr>
        <w:t>Assurer toutes les activités de suivi et de coordination entre l’ensemble des départements ministériels afin de promouvoir les droits des femmes ;</w:t>
      </w:r>
    </w:p>
    <w:p w14:paraId="025FC1F1" w14:textId="50197427" w:rsidR="00FA086B" w:rsidRPr="00FA086B" w:rsidRDefault="00D97201" w:rsidP="00D97201">
      <w:pPr>
        <w:pStyle w:val="FootnoteText"/>
        <w:tabs>
          <w:tab w:val="right" w:pos="1195"/>
          <w:tab w:val="left" w:pos="1267"/>
          <w:tab w:val="right" w:pos="1685"/>
          <w:tab w:val="left" w:pos="1742"/>
          <w:tab w:val="left" w:pos="2218"/>
          <w:tab w:val="left" w:pos="2693"/>
        </w:tabs>
        <w:suppressAutoHyphens/>
        <w:ind w:left="1685" w:right="1260" w:hanging="418"/>
        <w:rPr>
          <w:lang w:val="fr-FR"/>
        </w:rPr>
      </w:pPr>
      <w:r>
        <w:rPr>
          <w:lang w:val="fr-FR"/>
        </w:rPr>
        <w:tab/>
        <w:t>•</w:t>
      </w:r>
      <w:r>
        <w:rPr>
          <w:lang w:val="fr-FR"/>
        </w:rPr>
        <w:tab/>
      </w:r>
      <w:r w:rsidR="00FA086B" w:rsidRPr="00FA086B">
        <w:rPr>
          <w:lang w:val="fr-FR"/>
        </w:rPr>
        <w:t>Veiller à ce que les secteurs concernés appliquent les principes et mettent en œuvre les programmes énoncés dans le Plan gouvernemental pour l’égalité ;</w:t>
      </w:r>
    </w:p>
    <w:p w14:paraId="2E9FF79E" w14:textId="7B89DE3F" w:rsidR="00FA086B" w:rsidRPr="00FA086B" w:rsidRDefault="00D97201" w:rsidP="00D97201">
      <w:pPr>
        <w:pStyle w:val="FootnoteText"/>
        <w:tabs>
          <w:tab w:val="right" w:pos="1195"/>
          <w:tab w:val="left" w:pos="1267"/>
          <w:tab w:val="right" w:pos="1685"/>
          <w:tab w:val="left" w:pos="1742"/>
          <w:tab w:val="left" w:pos="2218"/>
          <w:tab w:val="left" w:pos="2693"/>
        </w:tabs>
        <w:suppressAutoHyphens/>
        <w:ind w:left="1685" w:right="1260" w:hanging="418"/>
        <w:rPr>
          <w:lang w:val="fr-FR"/>
        </w:rPr>
      </w:pPr>
      <w:r>
        <w:rPr>
          <w:lang w:val="fr-FR"/>
        </w:rPr>
        <w:tab/>
        <w:t>•</w:t>
      </w:r>
      <w:r>
        <w:rPr>
          <w:lang w:val="fr-FR"/>
        </w:rPr>
        <w:tab/>
      </w:r>
      <w:r w:rsidR="00FA086B" w:rsidRPr="00FA086B">
        <w:rPr>
          <w:lang w:val="fr-FR"/>
        </w:rPr>
        <w:t>Proposer des mesures législatives et réglementaires à prendre pour appliquer les éléments du Plan visant à garantir l’application des principes d’égalité et d’équité conformément à l’article 19 de la Constitution ;</w:t>
      </w:r>
    </w:p>
    <w:p w14:paraId="49EB43AA" w14:textId="73200E2B" w:rsidR="00FA086B" w:rsidRPr="005D490A" w:rsidRDefault="00D97201" w:rsidP="00D97201">
      <w:pPr>
        <w:pStyle w:val="FootnoteText"/>
        <w:tabs>
          <w:tab w:val="right" w:pos="1195"/>
          <w:tab w:val="left" w:pos="1267"/>
          <w:tab w:val="right" w:pos="1685"/>
          <w:tab w:val="left" w:pos="1742"/>
          <w:tab w:val="left" w:pos="2218"/>
          <w:tab w:val="left" w:pos="2693"/>
        </w:tabs>
        <w:suppressAutoHyphens/>
        <w:ind w:left="1685" w:right="1260" w:hanging="418"/>
        <w:rPr>
          <w:lang w:val="fr-FR"/>
        </w:rPr>
      </w:pPr>
      <w:r>
        <w:rPr>
          <w:lang w:val="fr-FR"/>
        </w:rPr>
        <w:tab/>
        <w:t>•</w:t>
      </w:r>
      <w:r>
        <w:rPr>
          <w:lang w:val="fr-FR"/>
        </w:rPr>
        <w:tab/>
      </w:r>
      <w:r w:rsidR="00FA086B" w:rsidRPr="00FA086B">
        <w:rPr>
          <w:lang w:val="fr-FR"/>
        </w:rPr>
        <w:t xml:space="preserve">Faciliter le processus de consultation avec le secteur privé et les associations de la société civile et multiplier les contacts avec ces acteurs en ce qui concerne les directives requises afin de promouvoir les droits des femmes et l’égalité. </w:t>
      </w:r>
    </w:p>
  </w:footnote>
  <w:footnote w:id="26">
    <w:p w14:paraId="618FA460" w14:textId="31734B78" w:rsidR="00FA086B" w:rsidRPr="00FA086B" w:rsidRDefault="00D97201" w:rsidP="00FA086B">
      <w:pPr>
        <w:pStyle w:val="FootnoteText"/>
        <w:tabs>
          <w:tab w:val="right" w:pos="1195"/>
          <w:tab w:val="left" w:pos="1267"/>
          <w:tab w:val="left" w:pos="1742"/>
          <w:tab w:val="left" w:pos="2218"/>
          <w:tab w:val="left" w:pos="2693"/>
        </w:tabs>
        <w:ind w:left="1267" w:right="1260" w:hanging="576"/>
        <w:rPr>
          <w:lang w:val="fr-FR"/>
        </w:rPr>
      </w:pPr>
      <w:r>
        <w:rPr>
          <w:lang w:val="fr-FR"/>
        </w:rPr>
        <w:tab/>
      </w:r>
      <w:r w:rsidR="00FA086B" w:rsidRPr="005D490A">
        <w:rPr>
          <w:rStyle w:val="FootnoteReference"/>
        </w:rPr>
        <w:footnoteRef/>
      </w:r>
      <w:r>
        <w:tab/>
      </w:r>
      <w:r w:rsidR="00FA086B" w:rsidRPr="00FA086B">
        <w:rPr>
          <w:lang w:val="fr-FR"/>
        </w:rPr>
        <w:t>Dont le mandat est le suivant :</w:t>
      </w:r>
    </w:p>
    <w:p w14:paraId="7DAC5DB4" w14:textId="289EF1E9" w:rsidR="00D97201" w:rsidRDefault="00D97201" w:rsidP="00D97201">
      <w:pPr>
        <w:pStyle w:val="FootnoteText"/>
        <w:tabs>
          <w:tab w:val="right" w:pos="1195"/>
          <w:tab w:val="left" w:pos="1267"/>
          <w:tab w:val="right" w:pos="1685"/>
          <w:tab w:val="left" w:pos="1742"/>
          <w:tab w:val="left" w:pos="2218"/>
          <w:tab w:val="left" w:pos="2693"/>
        </w:tabs>
        <w:suppressAutoHyphens/>
        <w:ind w:left="1685" w:right="1260" w:hanging="418"/>
        <w:rPr>
          <w:lang w:val="fr-FR"/>
        </w:rPr>
      </w:pPr>
      <w:r>
        <w:rPr>
          <w:lang w:val="fr-FR"/>
        </w:rPr>
        <w:tab/>
        <w:t>•</w:t>
      </w:r>
      <w:r>
        <w:rPr>
          <w:lang w:val="fr-FR"/>
        </w:rPr>
        <w:tab/>
      </w:r>
      <w:r w:rsidR="00FA086B" w:rsidRPr="00FA086B">
        <w:rPr>
          <w:lang w:val="fr-FR"/>
        </w:rPr>
        <w:t>Recueillir l’ensemble des données, notamment statistiques, nécessaires afin que la commission ministérielle puisse suivre l’état d’avancement de l’exécution des mesures prévues dans le Plan ;</w:t>
      </w:r>
    </w:p>
    <w:p w14:paraId="04E71F15" w14:textId="27C0052C" w:rsidR="00FA086B" w:rsidRPr="00D97201" w:rsidRDefault="00D97201" w:rsidP="00D97201">
      <w:pPr>
        <w:pStyle w:val="FootnoteText"/>
        <w:tabs>
          <w:tab w:val="right" w:pos="1195"/>
          <w:tab w:val="left" w:pos="1267"/>
          <w:tab w:val="right" w:pos="1685"/>
          <w:tab w:val="left" w:pos="1742"/>
          <w:tab w:val="left" w:pos="2218"/>
          <w:tab w:val="left" w:pos="2693"/>
        </w:tabs>
        <w:suppressAutoHyphens/>
        <w:ind w:left="1685" w:right="1260" w:hanging="418"/>
        <w:rPr>
          <w:lang w:val="fr-FR"/>
        </w:rPr>
      </w:pPr>
      <w:r>
        <w:rPr>
          <w:lang w:val="fr-FR"/>
        </w:rPr>
        <w:tab/>
        <w:t>•</w:t>
      </w:r>
      <w:r>
        <w:rPr>
          <w:lang w:val="fr-FR"/>
        </w:rPr>
        <w:tab/>
      </w:r>
      <w:r w:rsidR="00FA086B" w:rsidRPr="00D97201">
        <w:rPr>
          <w:lang w:val="fr-FR"/>
        </w:rPr>
        <w:t>Présenter des projets de décision et des recommandations à la Commission ;</w:t>
      </w:r>
    </w:p>
    <w:p w14:paraId="31A017C3" w14:textId="20296C26" w:rsidR="00FA086B" w:rsidRPr="005D490A" w:rsidRDefault="00D97201" w:rsidP="00D97201">
      <w:pPr>
        <w:pStyle w:val="FootnoteText"/>
        <w:tabs>
          <w:tab w:val="right" w:pos="1195"/>
          <w:tab w:val="left" w:pos="1267"/>
          <w:tab w:val="right" w:pos="1685"/>
          <w:tab w:val="left" w:pos="1742"/>
          <w:tab w:val="left" w:pos="2218"/>
          <w:tab w:val="left" w:pos="2693"/>
        </w:tabs>
        <w:suppressAutoHyphens/>
        <w:ind w:left="1685" w:right="1260" w:hanging="418"/>
        <w:rPr>
          <w:lang w:val="fr-FR"/>
        </w:rPr>
      </w:pPr>
      <w:r>
        <w:rPr>
          <w:lang w:val="fr-FR"/>
        </w:rPr>
        <w:tab/>
        <w:t>•</w:t>
      </w:r>
      <w:r>
        <w:rPr>
          <w:lang w:val="fr-FR"/>
        </w:rPr>
        <w:tab/>
      </w:r>
      <w:r w:rsidR="00FA086B" w:rsidRPr="00FA086B">
        <w:rPr>
          <w:lang w:val="fr-FR"/>
        </w:rPr>
        <w:t>Enrichir les projets de rapport périodique préparés par le ministère compétent en communiquant des informations précises sur les résultats obtenus au regard des indicateurs arrêtés et les activités réalisées au titre du Plan et en les présentant à la commission ministérielle concernée.</w:t>
      </w:r>
    </w:p>
  </w:footnote>
  <w:footnote w:id="27">
    <w:p w14:paraId="65BC50FB" w14:textId="4390072C" w:rsidR="00FA086B" w:rsidRPr="00CB63FF" w:rsidRDefault="00D97201" w:rsidP="00FA086B">
      <w:pPr>
        <w:pStyle w:val="FootnoteText"/>
        <w:tabs>
          <w:tab w:val="right" w:pos="1195"/>
          <w:tab w:val="left" w:pos="1267"/>
          <w:tab w:val="left" w:pos="1742"/>
          <w:tab w:val="left" w:pos="2218"/>
          <w:tab w:val="left" w:pos="2693"/>
        </w:tabs>
        <w:ind w:left="1267" w:right="1260" w:hanging="576"/>
        <w:rPr>
          <w:lang w:val="fr-FR"/>
        </w:rPr>
      </w:pPr>
      <w:r>
        <w:tab/>
      </w:r>
      <w:r w:rsidR="00FA086B" w:rsidRPr="007406A3">
        <w:rPr>
          <w:rStyle w:val="FootnoteReference"/>
        </w:rPr>
        <w:footnoteRef/>
      </w:r>
      <w:r>
        <w:tab/>
      </w:r>
      <w:r w:rsidR="00FA086B" w:rsidRPr="00FA086B">
        <w:rPr>
          <w:lang w:val="fr-FR"/>
        </w:rPr>
        <w:t>Au titre de l’objectif n</w:t>
      </w:r>
      <w:r w:rsidR="00FA086B" w:rsidRPr="00FA086B">
        <w:rPr>
          <w:vertAlign w:val="superscript"/>
          <w:lang w:val="fr-FR"/>
        </w:rPr>
        <w:t>o</w:t>
      </w:r>
      <w:r w:rsidR="00FA086B" w:rsidRPr="00FA086B">
        <w:rPr>
          <w:lang w:val="fr-FR"/>
        </w:rPr>
        <w:t xml:space="preserve"> 7.1 (Intégrer la dimension de genre au niveau des collectivités territoriales) et de l’objectif n</w:t>
      </w:r>
      <w:r w:rsidR="00FA086B" w:rsidRPr="00FA086B">
        <w:rPr>
          <w:vertAlign w:val="superscript"/>
          <w:lang w:val="fr-FR"/>
        </w:rPr>
        <w:t>o</w:t>
      </w:r>
      <w:r w:rsidR="00FA086B" w:rsidRPr="00FA086B">
        <w:rPr>
          <w:lang w:val="fr-FR"/>
        </w:rPr>
        <w:t xml:space="preserve"> 7.2 (Promouvoir l’intégration de la dimension de genre dans les plans de développement régionaux et provinciaux et les plans d’action communaux et la réalisation par les collectivités territoriales d’initiatives en lien avec le plan « ICRAM 2 ») (annexe 28). </w:t>
      </w:r>
    </w:p>
  </w:footnote>
  <w:footnote w:id="28">
    <w:p w14:paraId="047B8F6B" w14:textId="5398C98C" w:rsidR="00FA086B" w:rsidRPr="00F14299" w:rsidRDefault="005647BA" w:rsidP="00FA086B">
      <w:pPr>
        <w:pStyle w:val="FootnoteText"/>
        <w:tabs>
          <w:tab w:val="right" w:pos="1195"/>
          <w:tab w:val="left" w:pos="1267"/>
          <w:tab w:val="left" w:pos="1742"/>
          <w:tab w:val="left" w:pos="2218"/>
          <w:tab w:val="left" w:pos="2693"/>
        </w:tabs>
        <w:ind w:left="1267" w:right="1260" w:hanging="576"/>
        <w:rPr>
          <w:lang w:val="fr-FR"/>
        </w:rPr>
      </w:pPr>
      <w:r>
        <w:tab/>
      </w:r>
      <w:r w:rsidR="00FA086B" w:rsidRPr="007406A3">
        <w:rPr>
          <w:rStyle w:val="FootnoteReference"/>
        </w:rPr>
        <w:footnoteRef/>
      </w:r>
      <w:r>
        <w:tab/>
      </w:r>
      <w:r w:rsidR="00FA086B" w:rsidRPr="00FA086B">
        <w:t>Le plan d’action national en matière de démocratie et de droits de l’homme (annexe 29).</w:t>
      </w:r>
    </w:p>
  </w:footnote>
  <w:footnote w:id="29">
    <w:p w14:paraId="1339B45F" w14:textId="485FAFAD" w:rsidR="00FA086B" w:rsidRPr="00FD65AA" w:rsidRDefault="005647BA" w:rsidP="00FA086B">
      <w:pPr>
        <w:pStyle w:val="FootnoteText"/>
        <w:tabs>
          <w:tab w:val="right" w:pos="1195"/>
          <w:tab w:val="left" w:pos="1267"/>
          <w:tab w:val="left" w:pos="1742"/>
          <w:tab w:val="left" w:pos="2218"/>
          <w:tab w:val="left" w:pos="2693"/>
        </w:tabs>
        <w:ind w:left="1267" w:right="1260" w:hanging="576"/>
        <w:rPr>
          <w:lang w:val="fr-FR"/>
        </w:rPr>
      </w:pPr>
      <w:r>
        <w:tab/>
      </w:r>
      <w:r w:rsidR="00FA086B">
        <w:rPr>
          <w:rStyle w:val="FootnoteReference"/>
        </w:rPr>
        <w:footnoteRef/>
      </w:r>
      <w:r>
        <w:tab/>
      </w:r>
      <w:r w:rsidR="00FA086B" w:rsidRPr="00FA086B">
        <w:rPr>
          <w:lang w:val="fr-FR"/>
        </w:rPr>
        <w:t>Ministère de la justice, Ministère de la santé, Sûreté nationale et Gendarmerie royale.</w:t>
      </w:r>
    </w:p>
  </w:footnote>
  <w:footnote w:id="30">
    <w:p w14:paraId="27C95257" w14:textId="09AC84FC" w:rsidR="00FA086B" w:rsidRPr="00C6425F" w:rsidRDefault="005647BA" w:rsidP="00FA086B">
      <w:pPr>
        <w:pStyle w:val="FootnoteText"/>
        <w:tabs>
          <w:tab w:val="right" w:pos="1195"/>
          <w:tab w:val="left" w:pos="1267"/>
          <w:tab w:val="left" w:pos="1742"/>
          <w:tab w:val="left" w:pos="2218"/>
          <w:tab w:val="left" w:pos="2693"/>
        </w:tabs>
        <w:ind w:left="1267" w:right="1260" w:hanging="576"/>
        <w:rPr>
          <w:lang w:val="fr-FR"/>
        </w:rPr>
      </w:pPr>
      <w:r>
        <w:rPr>
          <w:lang w:val="fr-FR"/>
        </w:rPr>
        <w:tab/>
      </w:r>
      <w:r w:rsidR="00FA086B">
        <w:rPr>
          <w:rStyle w:val="FootnoteReference"/>
        </w:rPr>
        <w:footnoteRef/>
      </w:r>
      <w:r>
        <w:rPr>
          <w:lang w:val="fr-FR"/>
        </w:rPr>
        <w:tab/>
      </w:r>
      <w:r w:rsidR="00FA086B" w:rsidRPr="00FA086B">
        <w:rPr>
          <w:lang w:val="fr-FR"/>
        </w:rPr>
        <w:t>Ministère de la communication et Institut supérieur de l’information et de la communication.</w:t>
      </w:r>
    </w:p>
  </w:footnote>
  <w:footnote w:id="31">
    <w:p w14:paraId="7168A56D" w14:textId="74C02FB0" w:rsidR="00FA086B" w:rsidRPr="007D64AD" w:rsidRDefault="005647BA" w:rsidP="00FA086B">
      <w:pPr>
        <w:pStyle w:val="FootnoteText"/>
        <w:tabs>
          <w:tab w:val="right" w:pos="1195"/>
          <w:tab w:val="left" w:pos="1267"/>
          <w:tab w:val="left" w:pos="1742"/>
          <w:tab w:val="left" w:pos="2218"/>
          <w:tab w:val="left" w:pos="2693"/>
        </w:tabs>
        <w:ind w:left="1267" w:right="1260" w:hanging="576"/>
        <w:rPr>
          <w:lang w:val="fr-FR"/>
        </w:rPr>
      </w:pPr>
      <w:r>
        <w:tab/>
      </w:r>
      <w:r w:rsidR="00FA086B">
        <w:rPr>
          <w:rStyle w:val="FootnoteReference"/>
        </w:rPr>
        <w:footnoteRef/>
      </w:r>
      <w:r>
        <w:tab/>
      </w:r>
      <w:r w:rsidR="00FA086B" w:rsidRPr="00FA086B">
        <w:rPr>
          <w:lang w:val="fr-FR"/>
        </w:rPr>
        <w:t>Article 14 : le droit de présenter des propositions en matière législative ; article 15 : le droit de présenter des pétitions aux pouvoirs publics ; article 139 : des mécanismes participatifs de dialogue et de concertation sont mis en place par les Conseils des régions et les Conseils des autres collectivités territoriales pour favoriser l’implication des citoyennes et des citoyens, et des associations dans l’élaboration et le suivi des programmes de développement.</w:t>
      </w:r>
    </w:p>
  </w:footnote>
  <w:footnote w:id="32">
    <w:p w14:paraId="569F2DEC" w14:textId="401D1C4A" w:rsidR="00FA086B" w:rsidRPr="00FC229A" w:rsidRDefault="005647BA" w:rsidP="00FA086B">
      <w:pPr>
        <w:pStyle w:val="FootnoteText"/>
        <w:tabs>
          <w:tab w:val="right" w:pos="1195"/>
          <w:tab w:val="left" w:pos="1267"/>
          <w:tab w:val="left" w:pos="1742"/>
          <w:tab w:val="left" w:pos="2218"/>
          <w:tab w:val="left" w:pos="2693"/>
        </w:tabs>
        <w:ind w:left="1267" w:right="1260" w:hanging="576"/>
        <w:rPr>
          <w:lang w:val="fr-FR"/>
        </w:rPr>
      </w:pPr>
      <w:r>
        <w:tab/>
      </w:r>
      <w:r w:rsidR="00FA086B" w:rsidRPr="00AA26D6">
        <w:rPr>
          <w:rStyle w:val="FootnoteReference"/>
        </w:rPr>
        <w:footnoteRef/>
      </w:r>
      <w:r>
        <w:tab/>
      </w:r>
      <w:r w:rsidR="00FA086B" w:rsidRPr="00FA086B">
        <w:t>Loi organique n</w:t>
      </w:r>
      <w:r w:rsidR="00FA086B" w:rsidRPr="00FA086B">
        <w:rPr>
          <w:vertAlign w:val="superscript"/>
        </w:rPr>
        <w:t>o</w:t>
      </w:r>
      <w:r w:rsidR="00FA086B" w:rsidRPr="00FA086B">
        <w:t xml:space="preserve"> 44-14 déterminant les conditions et les modalités d’exercice du droit de présenter des pétitions aux pouvoirs publics, Bulletin officiel n</w:t>
      </w:r>
      <w:r w:rsidR="00FA086B" w:rsidRPr="00FA086B">
        <w:rPr>
          <w:vertAlign w:val="superscript"/>
        </w:rPr>
        <w:t>o</w:t>
      </w:r>
      <w:r w:rsidR="00FA086B" w:rsidRPr="00FA086B">
        <w:t xml:space="preserve"> 6492, août 2016 ; loi organique n</w:t>
      </w:r>
      <w:r w:rsidR="00FA086B" w:rsidRPr="00FA086B">
        <w:rPr>
          <w:vertAlign w:val="superscript"/>
        </w:rPr>
        <w:t>o</w:t>
      </w:r>
      <w:r w:rsidR="00FA086B" w:rsidRPr="00FA086B">
        <w:t xml:space="preserve"> 64-14 fixant les conditions et les modalités d’exercice du droit de présenter des motions en matière législative. </w:t>
      </w:r>
    </w:p>
  </w:footnote>
  <w:footnote w:id="33">
    <w:p w14:paraId="33B1A328" w14:textId="21577416" w:rsidR="00FA086B" w:rsidRPr="00D35FDD" w:rsidRDefault="005647BA" w:rsidP="00FA086B">
      <w:pPr>
        <w:pStyle w:val="FootnoteText"/>
        <w:tabs>
          <w:tab w:val="right" w:pos="1195"/>
          <w:tab w:val="left" w:pos="1267"/>
          <w:tab w:val="left" w:pos="1742"/>
          <w:tab w:val="left" w:pos="2218"/>
          <w:tab w:val="left" w:pos="2693"/>
        </w:tabs>
        <w:ind w:left="1267" w:right="1260" w:hanging="576"/>
        <w:rPr>
          <w:lang w:val="fr-FR"/>
        </w:rPr>
      </w:pPr>
      <w:r>
        <w:tab/>
      </w:r>
      <w:r w:rsidR="00FA086B">
        <w:rPr>
          <w:rStyle w:val="FootnoteReference"/>
        </w:rPr>
        <w:footnoteRef/>
      </w:r>
      <w:r>
        <w:tab/>
      </w:r>
      <w:r w:rsidR="00FA086B" w:rsidRPr="00FA086B">
        <w:t>Le législateur opère une distinction entre les pétitions adressées aux pouvoirs publics (loi organique n</w:t>
      </w:r>
      <w:r w:rsidR="00FA086B" w:rsidRPr="00FA086B">
        <w:rPr>
          <w:vertAlign w:val="superscript"/>
        </w:rPr>
        <w:t>o</w:t>
      </w:r>
      <w:r w:rsidR="00FA086B" w:rsidRPr="00FA086B">
        <w:t xml:space="preserve"> 44-14) et les pétitions présentées aux collectivités territoriales (article 139 de la Constitution). </w:t>
      </w:r>
    </w:p>
  </w:footnote>
  <w:footnote w:id="34">
    <w:p w14:paraId="40CD0900" w14:textId="4BA9641A" w:rsidR="00FA086B" w:rsidRPr="00236F5B" w:rsidRDefault="005647BA" w:rsidP="00FA086B">
      <w:pPr>
        <w:pStyle w:val="FootnoteText"/>
        <w:tabs>
          <w:tab w:val="right" w:pos="1195"/>
          <w:tab w:val="left" w:pos="1267"/>
          <w:tab w:val="left" w:pos="1742"/>
          <w:tab w:val="left" w:pos="2218"/>
          <w:tab w:val="left" w:pos="2693"/>
        </w:tabs>
        <w:ind w:left="1267" w:right="1260" w:hanging="576"/>
        <w:rPr>
          <w:lang w:val="fr-FR"/>
        </w:rPr>
      </w:pPr>
      <w:r>
        <w:tab/>
      </w:r>
      <w:r w:rsidR="00FA086B">
        <w:rPr>
          <w:rStyle w:val="FootnoteReference"/>
        </w:rPr>
        <w:footnoteRef/>
      </w:r>
      <w:r>
        <w:tab/>
      </w:r>
      <w:r w:rsidR="00FA086B" w:rsidRPr="00FA086B">
        <w:rPr>
          <w:lang w:val="fr-FR"/>
        </w:rPr>
        <w:t>Modifiant et complétant la loi organique n</w:t>
      </w:r>
      <w:r w:rsidR="00FA086B" w:rsidRPr="00FA086B">
        <w:rPr>
          <w:vertAlign w:val="superscript"/>
          <w:lang w:val="fr-FR"/>
        </w:rPr>
        <w:t>o</w:t>
      </w:r>
      <w:r w:rsidR="00FA086B" w:rsidRPr="00FA086B">
        <w:rPr>
          <w:lang w:val="fr-FR"/>
        </w:rPr>
        <w:t xml:space="preserve"> 59-11.</w:t>
      </w:r>
    </w:p>
  </w:footnote>
  <w:footnote w:id="35">
    <w:p w14:paraId="55271F38" w14:textId="1BC28D4B" w:rsidR="00FA086B" w:rsidRPr="005E34DD" w:rsidRDefault="005647BA" w:rsidP="005647BA">
      <w:pPr>
        <w:pStyle w:val="FootnoteText"/>
        <w:tabs>
          <w:tab w:val="right" w:pos="1195"/>
          <w:tab w:val="left" w:pos="1267"/>
          <w:tab w:val="left" w:pos="1742"/>
          <w:tab w:val="left" w:pos="2218"/>
          <w:tab w:val="left" w:pos="2693"/>
        </w:tabs>
        <w:ind w:left="1267" w:right="1260" w:hanging="576"/>
        <w:rPr>
          <w:lang w:val="fr-FR"/>
        </w:rPr>
      </w:pPr>
      <w:r>
        <w:tab/>
      </w:r>
      <w:r w:rsidR="00FA086B">
        <w:rPr>
          <w:rStyle w:val="FootnoteReference"/>
        </w:rPr>
        <w:footnoteRef/>
      </w:r>
      <w:r>
        <w:tab/>
      </w:r>
      <w:r w:rsidR="00FA086B" w:rsidRPr="00FA086B">
        <w:rPr>
          <w:lang w:val="fr-FR"/>
        </w:rPr>
        <w:t>Loi organique n</w:t>
      </w:r>
      <w:r w:rsidR="00FA086B" w:rsidRPr="00FA086B">
        <w:rPr>
          <w:vertAlign w:val="superscript"/>
          <w:lang w:val="fr-FR"/>
        </w:rPr>
        <w:t>o</w:t>
      </w:r>
      <w:r w:rsidR="00FA086B" w:rsidRPr="00FA086B">
        <w:rPr>
          <w:lang w:val="fr-FR"/>
        </w:rPr>
        <w:t xml:space="preserve"> 111-14 relative aux régions (juillet 2015)</w:t>
      </w:r>
      <w:r>
        <w:rPr>
          <w:lang w:val="fr-FR"/>
        </w:rPr>
        <w:t xml:space="preserve"> ; </w:t>
      </w:r>
      <w:r w:rsidR="00FA086B" w:rsidRPr="00FA086B">
        <w:rPr>
          <w:lang w:val="fr-FR"/>
        </w:rPr>
        <w:t>Loi organique n</w:t>
      </w:r>
      <w:r w:rsidR="00FA086B" w:rsidRPr="00FA086B">
        <w:rPr>
          <w:vertAlign w:val="superscript"/>
          <w:lang w:val="fr-FR"/>
        </w:rPr>
        <w:t>o</w:t>
      </w:r>
      <w:r w:rsidR="00FA086B" w:rsidRPr="00FA086B">
        <w:rPr>
          <w:lang w:val="fr-FR"/>
        </w:rPr>
        <w:t xml:space="preserve"> 112-14 relative aux préfectures et provinces (juillet 2015)</w:t>
      </w:r>
      <w:r>
        <w:rPr>
          <w:lang w:val="fr-FR"/>
        </w:rPr>
        <w:t xml:space="preserve"> ; </w:t>
      </w:r>
      <w:r w:rsidR="00FA086B" w:rsidRPr="00FA086B">
        <w:rPr>
          <w:lang w:val="fr-FR"/>
        </w:rPr>
        <w:t>Loi organique n</w:t>
      </w:r>
      <w:r w:rsidR="00FA086B" w:rsidRPr="00FA086B">
        <w:rPr>
          <w:vertAlign w:val="superscript"/>
          <w:lang w:val="fr-FR"/>
        </w:rPr>
        <w:t>o</w:t>
      </w:r>
      <w:r w:rsidR="00FA086B" w:rsidRPr="00FA086B">
        <w:rPr>
          <w:lang w:val="fr-FR"/>
        </w:rPr>
        <w:t xml:space="preserve"> 113-14 relative aux communes (juillet 2015).</w:t>
      </w:r>
    </w:p>
  </w:footnote>
  <w:footnote w:id="36">
    <w:p w14:paraId="58E591E4" w14:textId="20C12C97" w:rsidR="00FA086B" w:rsidRPr="0035352A" w:rsidRDefault="005647BA" w:rsidP="00FA086B">
      <w:pPr>
        <w:pStyle w:val="FootnoteText"/>
        <w:tabs>
          <w:tab w:val="right" w:pos="1195"/>
          <w:tab w:val="left" w:pos="1267"/>
          <w:tab w:val="left" w:pos="1742"/>
          <w:tab w:val="left" w:pos="2218"/>
          <w:tab w:val="left" w:pos="2693"/>
        </w:tabs>
        <w:ind w:left="1267" w:right="1260" w:hanging="576"/>
      </w:pPr>
      <w:r>
        <w:tab/>
      </w:r>
      <w:r w:rsidR="00FA086B">
        <w:rPr>
          <w:rStyle w:val="FootnoteReference"/>
        </w:rPr>
        <w:footnoteRef/>
      </w:r>
      <w:r>
        <w:tab/>
      </w:r>
      <w:r w:rsidR="00FA086B" w:rsidRPr="00FA086B">
        <w:t xml:space="preserve">Commission pour l’égalité des chances : commission consultative rattaché au conseil de la commune réunissant des associations locales et des actrices de la société civile dont la nomination est proposée par le président du conseil ; elle a pour mission de donner son avis sur les questions relatives à l’égalité, à l’égalité des chances et à la dimension de genre. </w:t>
      </w:r>
    </w:p>
  </w:footnote>
  <w:footnote w:id="37">
    <w:p w14:paraId="7A1ABCE7" w14:textId="11FCBF0A" w:rsidR="00FA086B" w:rsidRPr="00625EFB" w:rsidRDefault="005647BA" w:rsidP="00FA086B">
      <w:pPr>
        <w:pStyle w:val="FootnoteText"/>
        <w:tabs>
          <w:tab w:val="right" w:pos="1195"/>
          <w:tab w:val="left" w:pos="1267"/>
          <w:tab w:val="left" w:pos="1742"/>
          <w:tab w:val="left" w:pos="2218"/>
          <w:tab w:val="left" w:pos="2693"/>
        </w:tabs>
        <w:ind w:left="1267" w:right="1260" w:hanging="576"/>
        <w:rPr>
          <w:lang w:val="fr-FR"/>
        </w:rPr>
      </w:pPr>
      <w:r>
        <w:tab/>
      </w:r>
      <w:r w:rsidR="00FA086B" w:rsidRPr="00693DF9">
        <w:rPr>
          <w:rStyle w:val="FootnoteReference"/>
        </w:rPr>
        <w:footnoteRef/>
      </w:r>
      <w:r>
        <w:tab/>
      </w:r>
      <w:r w:rsidR="00FA086B" w:rsidRPr="00FA086B">
        <w:rPr>
          <w:lang w:val="fr-FR"/>
        </w:rPr>
        <w:t xml:space="preserve">En marge de la soixante-septième session de l’Assemblée générale, sous les auspices de la Banque mondiale et d’ONU-Femmes. </w:t>
      </w:r>
    </w:p>
  </w:footnote>
  <w:footnote w:id="38">
    <w:p w14:paraId="6ECDEB64" w14:textId="726E0E53" w:rsidR="00FA086B" w:rsidRPr="00A618BE" w:rsidRDefault="005647BA" w:rsidP="00FA086B">
      <w:pPr>
        <w:pStyle w:val="FootnoteText"/>
        <w:tabs>
          <w:tab w:val="right" w:pos="1195"/>
          <w:tab w:val="left" w:pos="1267"/>
          <w:tab w:val="left" w:pos="1742"/>
          <w:tab w:val="left" w:pos="2218"/>
          <w:tab w:val="left" w:pos="2693"/>
        </w:tabs>
        <w:ind w:left="1267" w:right="1260" w:hanging="576"/>
        <w:rPr>
          <w:lang w:val="fr-FR"/>
        </w:rPr>
      </w:pPr>
      <w:r>
        <w:rPr>
          <w:lang w:val="fr-FR"/>
        </w:rPr>
        <w:tab/>
      </w:r>
      <w:r w:rsidR="00FA086B" w:rsidRPr="00DE3A24">
        <w:rPr>
          <w:rStyle w:val="FootnoteReference"/>
        </w:rPr>
        <w:footnoteRef/>
      </w:r>
      <w:r>
        <w:rPr>
          <w:lang w:val="fr-FR"/>
        </w:rPr>
        <w:tab/>
      </w:r>
      <w:r w:rsidR="00FA086B" w:rsidRPr="00FA086B">
        <w:rPr>
          <w:lang w:val="fr-FR"/>
        </w:rPr>
        <w:t>Avec le soutien du Fonds d’appui à l’égalité entre les sexes relevant de l’Agence canadienne de développement international.</w:t>
      </w:r>
    </w:p>
  </w:footnote>
  <w:footnote w:id="39">
    <w:p w14:paraId="6CCC56BC" w14:textId="131597EB" w:rsidR="00FA086B" w:rsidRPr="000C15CA" w:rsidRDefault="005647BA" w:rsidP="00FA086B">
      <w:pPr>
        <w:pStyle w:val="FootnoteText"/>
        <w:tabs>
          <w:tab w:val="right" w:pos="1195"/>
          <w:tab w:val="left" w:pos="1267"/>
          <w:tab w:val="left" w:pos="1742"/>
          <w:tab w:val="left" w:pos="2218"/>
          <w:tab w:val="left" w:pos="2693"/>
        </w:tabs>
        <w:ind w:left="1267" w:right="1260" w:hanging="576"/>
        <w:rPr>
          <w:lang w:val="fr-FR"/>
        </w:rPr>
      </w:pPr>
      <w:r>
        <w:rPr>
          <w:lang w:val="fr-FR"/>
        </w:rPr>
        <w:tab/>
      </w:r>
      <w:r w:rsidR="00FA086B" w:rsidRPr="000C15CA">
        <w:rPr>
          <w:rStyle w:val="FootnoteReference"/>
          <w:lang w:val="fr-FR"/>
        </w:rPr>
        <w:footnoteRef/>
      </w:r>
      <w:r>
        <w:rPr>
          <w:lang w:val="fr-FR"/>
        </w:rPr>
        <w:tab/>
      </w:r>
      <w:r w:rsidR="00FA086B" w:rsidRPr="00FA086B">
        <w:rPr>
          <w:lang w:val="fr-FR"/>
        </w:rPr>
        <w:t>Loi n</w:t>
      </w:r>
      <w:r w:rsidR="00FA086B" w:rsidRPr="00FA086B">
        <w:rPr>
          <w:vertAlign w:val="superscript"/>
          <w:lang w:val="fr-FR"/>
        </w:rPr>
        <w:t>o</w:t>
      </w:r>
      <w:r w:rsidR="00FA086B" w:rsidRPr="00FA086B">
        <w:rPr>
          <w:lang w:val="fr-FR"/>
        </w:rPr>
        <w:t xml:space="preserve"> 83-13 complétant la loi n</w:t>
      </w:r>
      <w:r w:rsidR="00FA086B" w:rsidRPr="00FA086B">
        <w:rPr>
          <w:vertAlign w:val="superscript"/>
          <w:lang w:val="fr-FR"/>
        </w:rPr>
        <w:t>o</w:t>
      </w:r>
      <w:r w:rsidR="00FA086B" w:rsidRPr="00FA086B">
        <w:rPr>
          <w:lang w:val="fr-FR"/>
        </w:rPr>
        <w:t xml:space="preserve"> 77-03 de 2005 relative à la communication audiovisuelle (annexe</w:t>
      </w:r>
      <w:r>
        <w:rPr>
          <w:lang w:val="fr-FR"/>
        </w:rPr>
        <w:t> </w:t>
      </w:r>
      <w:r w:rsidR="00FA086B" w:rsidRPr="00FA086B">
        <w:rPr>
          <w:lang w:val="fr-FR"/>
        </w:rPr>
        <w:t xml:space="preserve">9). </w:t>
      </w:r>
    </w:p>
  </w:footnote>
  <w:footnote w:id="40">
    <w:p w14:paraId="76284A6D" w14:textId="46318484" w:rsidR="00FA086B" w:rsidRPr="009147E2" w:rsidRDefault="005647BA" w:rsidP="00FA086B">
      <w:pPr>
        <w:pStyle w:val="FootnoteText"/>
        <w:tabs>
          <w:tab w:val="right" w:pos="1195"/>
          <w:tab w:val="left" w:pos="1267"/>
          <w:tab w:val="left" w:pos="1742"/>
          <w:tab w:val="left" w:pos="2218"/>
          <w:tab w:val="left" w:pos="2693"/>
        </w:tabs>
        <w:ind w:left="1267" w:right="1260" w:hanging="576"/>
        <w:rPr>
          <w:lang w:val="fr-FR"/>
        </w:rPr>
      </w:pPr>
      <w:r>
        <w:rPr>
          <w:lang w:val="fr-FR"/>
        </w:rPr>
        <w:tab/>
      </w:r>
      <w:r w:rsidR="00FA086B">
        <w:rPr>
          <w:rStyle w:val="FootnoteReference"/>
        </w:rPr>
        <w:footnoteRef/>
      </w:r>
      <w:r>
        <w:rPr>
          <w:lang w:val="fr-FR"/>
        </w:rPr>
        <w:tab/>
      </w:r>
      <w:r w:rsidR="00FA086B" w:rsidRPr="00FA086B">
        <w:rPr>
          <w:lang w:val="fr-FR"/>
        </w:rPr>
        <w:t xml:space="preserve">Données statistiques communiquées par la Haute autorité de la communication audiovisuelle. </w:t>
      </w:r>
    </w:p>
  </w:footnote>
  <w:footnote w:id="41">
    <w:p w14:paraId="02BC399A" w14:textId="38A0070B" w:rsidR="00FA086B" w:rsidRPr="00275420" w:rsidRDefault="005647BA" w:rsidP="00FA086B">
      <w:pPr>
        <w:pStyle w:val="FootnoteText"/>
        <w:tabs>
          <w:tab w:val="right" w:pos="1195"/>
          <w:tab w:val="left" w:pos="1267"/>
          <w:tab w:val="left" w:pos="1742"/>
          <w:tab w:val="left" w:pos="2218"/>
          <w:tab w:val="left" w:pos="2693"/>
        </w:tabs>
        <w:ind w:left="1267" w:right="1260" w:hanging="576"/>
        <w:rPr>
          <w:lang w:val="fr-FR"/>
        </w:rPr>
      </w:pPr>
      <w:r>
        <w:rPr>
          <w:lang w:val="fr-FR"/>
        </w:rPr>
        <w:tab/>
      </w:r>
      <w:r w:rsidR="00FA086B">
        <w:rPr>
          <w:rStyle w:val="FootnoteReference"/>
        </w:rPr>
        <w:footnoteRef/>
      </w:r>
      <w:r>
        <w:rPr>
          <w:lang w:val="fr-FR"/>
        </w:rPr>
        <w:tab/>
      </w:r>
      <w:r w:rsidR="00FA086B" w:rsidRPr="00FA086B">
        <w:rPr>
          <w:lang w:val="fr-FR"/>
        </w:rPr>
        <w:t xml:space="preserve">Projet mondial de monitorage des médias, GMMP, 2015, Qui fait l’information, rapport national, 2017. </w:t>
      </w:r>
    </w:p>
  </w:footnote>
  <w:footnote w:id="42">
    <w:p w14:paraId="09FA821F" w14:textId="2A59B09D" w:rsidR="00FA086B" w:rsidRPr="00FF371D" w:rsidRDefault="005647BA" w:rsidP="00FA086B">
      <w:pPr>
        <w:pStyle w:val="FootnoteText"/>
        <w:tabs>
          <w:tab w:val="right" w:pos="1195"/>
          <w:tab w:val="left" w:pos="1267"/>
          <w:tab w:val="left" w:pos="1742"/>
          <w:tab w:val="left" w:pos="2218"/>
          <w:tab w:val="left" w:pos="2693"/>
        </w:tabs>
        <w:ind w:left="1267" w:right="1260" w:hanging="576"/>
        <w:rPr>
          <w:lang w:val="fr-FR"/>
        </w:rPr>
      </w:pPr>
      <w:r>
        <w:rPr>
          <w:lang w:val="fr-FR"/>
        </w:rPr>
        <w:tab/>
      </w:r>
      <w:r w:rsidR="00FA086B">
        <w:rPr>
          <w:rStyle w:val="FootnoteReference"/>
        </w:rPr>
        <w:footnoteRef/>
      </w:r>
      <w:r>
        <w:rPr>
          <w:lang w:val="fr-FR"/>
        </w:rPr>
        <w:tab/>
      </w:r>
      <w:r w:rsidR="00FA086B" w:rsidRPr="00FA086B">
        <w:rPr>
          <w:lang w:val="fr-FR"/>
        </w:rPr>
        <w:t>En application de l’arrêté n</w:t>
      </w:r>
      <w:r w:rsidR="00FA086B" w:rsidRPr="00FA086B">
        <w:rPr>
          <w:vertAlign w:val="superscript"/>
          <w:lang w:val="fr-FR"/>
        </w:rPr>
        <w:t>o</w:t>
      </w:r>
      <w:r w:rsidR="00FA086B" w:rsidRPr="00FA086B">
        <w:rPr>
          <w:lang w:val="fr-FR"/>
        </w:rPr>
        <w:t xml:space="preserve"> 2852-14 pris par le Ministère de la solidarité, du développement social, de l’égalité et de la famille le 7 août 2014.</w:t>
      </w:r>
    </w:p>
  </w:footnote>
  <w:footnote w:id="43">
    <w:p w14:paraId="6A5E8314" w14:textId="0D995236" w:rsidR="00FA086B" w:rsidRPr="00207112" w:rsidRDefault="005647BA" w:rsidP="00FA086B">
      <w:pPr>
        <w:pStyle w:val="FootnoteText"/>
        <w:tabs>
          <w:tab w:val="right" w:pos="1195"/>
          <w:tab w:val="left" w:pos="1267"/>
          <w:tab w:val="left" w:pos="1742"/>
          <w:tab w:val="left" w:pos="2218"/>
          <w:tab w:val="left" w:pos="2693"/>
        </w:tabs>
        <w:ind w:left="1267" w:right="1260" w:hanging="576"/>
        <w:rPr>
          <w:lang w:val="fr-FR"/>
        </w:rPr>
      </w:pPr>
      <w:r>
        <w:rPr>
          <w:lang w:val="fr-FR"/>
        </w:rPr>
        <w:tab/>
      </w:r>
      <w:r w:rsidR="00FA086B" w:rsidRPr="00744707">
        <w:rPr>
          <w:rStyle w:val="FootnoteReference"/>
        </w:rPr>
        <w:footnoteRef/>
      </w:r>
      <w:r>
        <w:rPr>
          <w:lang w:val="fr-FR"/>
        </w:rPr>
        <w:tab/>
      </w:r>
      <w:r w:rsidR="00FA086B" w:rsidRPr="00FA086B">
        <w:rPr>
          <w:lang w:val="fr-FR"/>
        </w:rPr>
        <w:t>Mécanisme tripartite réunissant un ensemble de représentants de départements ministériels, de la société civile, des institutions professionnelles et des centres d’études et de recherche universitaires.</w:t>
      </w:r>
    </w:p>
  </w:footnote>
  <w:footnote w:id="44">
    <w:p w14:paraId="46D7805B" w14:textId="0AD9952D" w:rsidR="00FA086B" w:rsidRPr="00FF371D" w:rsidRDefault="005647BA" w:rsidP="00FA086B">
      <w:pPr>
        <w:pStyle w:val="FootnoteText"/>
        <w:tabs>
          <w:tab w:val="right" w:pos="1195"/>
          <w:tab w:val="left" w:pos="1267"/>
          <w:tab w:val="left" w:pos="1742"/>
          <w:tab w:val="left" w:pos="2218"/>
          <w:tab w:val="left" w:pos="2693"/>
        </w:tabs>
        <w:ind w:left="1267" w:right="1260" w:hanging="576"/>
        <w:rPr>
          <w:lang w:val="fr-FR"/>
        </w:rPr>
      </w:pPr>
      <w:r>
        <w:rPr>
          <w:lang w:val="fr-FR"/>
        </w:rPr>
        <w:tab/>
      </w:r>
      <w:r w:rsidR="00FA086B">
        <w:rPr>
          <w:rStyle w:val="FootnoteReference"/>
        </w:rPr>
        <w:footnoteRef/>
      </w:r>
      <w:r>
        <w:rPr>
          <w:lang w:val="fr-FR"/>
        </w:rPr>
        <w:tab/>
      </w:r>
      <w:r w:rsidR="00FA086B" w:rsidRPr="00FA086B">
        <w:rPr>
          <w:lang w:val="fr-FR"/>
        </w:rPr>
        <w:t>Paragraphe 65 du rapport de l’experte indépendante (</w:t>
      </w:r>
      <w:hyperlink r:id="rId1" w:history="1">
        <w:r w:rsidR="00FA086B" w:rsidRPr="00FA086B">
          <w:rPr>
            <w:rStyle w:val="Hyperlink"/>
            <w:lang w:val="fr-FR"/>
          </w:rPr>
          <w:t>A/HRC/20/26/Add.2</w:t>
        </w:r>
      </w:hyperlink>
      <w:r w:rsidR="00FA086B" w:rsidRPr="00FA086B">
        <w:rPr>
          <w:lang w:val="fr-FR"/>
        </w:rPr>
        <w:t xml:space="preserve">). </w:t>
      </w:r>
    </w:p>
  </w:footnote>
  <w:footnote w:id="45">
    <w:p w14:paraId="5463F567" w14:textId="7CFD1B41" w:rsidR="00FA086B" w:rsidRPr="00C32DEC" w:rsidRDefault="005647BA" w:rsidP="00FA086B">
      <w:pPr>
        <w:pStyle w:val="FootnoteText"/>
        <w:tabs>
          <w:tab w:val="right" w:pos="1195"/>
          <w:tab w:val="left" w:pos="1267"/>
          <w:tab w:val="left" w:pos="1742"/>
          <w:tab w:val="left" w:pos="2218"/>
          <w:tab w:val="left" w:pos="2693"/>
        </w:tabs>
        <w:ind w:left="1267" w:right="1260" w:hanging="576"/>
        <w:rPr>
          <w:lang w:val="fr-FR"/>
        </w:rPr>
      </w:pPr>
      <w:r>
        <w:rPr>
          <w:lang w:val="fr-FR"/>
        </w:rPr>
        <w:tab/>
      </w:r>
      <w:r w:rsidR="00FA086B">
        <w:rPr>
          <w:rStyle w:val="FootnoteReference"/>
        </w:rPr>
        <w:footnoteRef/>
      </w:r>
      <w:r>
        <w:rPr>
          <w:lang w:val="fr-FR"/>
        </w:rPr>
        <w:tab/>
      </w:r>
      <w:r w:rsidR="00FA086B" w:rsidRPr="00FA086B">
        <w:rPr>
          <w:lang w:val="fr-FR"/>
        </w:rPr>
        <w:t>En coopération avec le Programme international pour l’abolition du travail des enfants (IPEC).</w:t>
      </w:r>
    </w:p>
  </w:footnote>
  <w:footnote w:id="46">
    <w:p w14:paraId="19CA6229" w14:textId="12BC3826" w:rsidR="00FA086B" w:rsidRPr="00872B06" w:rsidRDefault="005647BA" w:rsidP="00FA086B">
      <w:pPr>
        <w:pStyle w:val="FootnoteText"/>
        <w:tabs>
          <w:tab w:val="right" w:pos="1195"/>
          <w:tab w:val="left" w:pos="1267"/>
          <w:tab w:val="left" w:pos="1742"/>
          <w:tab w:val="left" w:pos="2218"/>
          <w:tab w:val="left" w:pos="2693"/>
        </w:tabs>
        <w:ind w:left="1267" w:right="1260" w:hanging="576"/>
        <w:rPr>
          <w:lang w:val="fr-FR"/>
        </w:rPr>
      </w:pPr>
      <w:r>
        <w:rPr>
          <w:lang w:val="fr-FR"/>
        </w:rPr>
        <w:tab/>
      </w:r>
      <w:r w:rsidR="00FA086B" w:rsidRPr="00872B06">
        <w:rPr>
          <w:rStyle w:val="FootnoteReference"/>
        </w:rPr>
        <w:footnoteRef/>
      </w:r>
      <w:r>
        <w:rPr>
          <w:lang w:val="fr-FR"/>
        </w:rPr>
        <w:tab/>
      </w:r>
      <w:r w:rsidR="00FA086B" w:rsidRPr="00FA086B">
        <w:rPr>
          <w:lang w:val="fr-FR"/>
        </w:rPr>
        <w:t>Campagne nationale menée du 20 novembre 2014 au 25 mai 2015, avec l’appui du Fonds des Nations Unies pour l’enfance (UNICEF).</w:t>
      </w:r>
    </w:p>
  </w:footnote>
  <w:footnote w:id="47">
    <w:p w14:paraId="04248E66" w14:textId="0B7F5809" w:rsidR="00FA086B" w:rsidRPr="00872B06" w:rsidRDefault="005647BA" w:rsidP="00FA086B">
      <w:pPr>
        <w:pStyle w:val="FootnoteText"/>
        <w:tabs>
          <w:tab w:val="right" w:pos="1195"/>
          <w:tab w:val="left" w:pos="1267"/>
          <w:tab w:val="left" w:pos="1742"/>
          <w:tab w:val="left" w:pos="2218"/>
          <w:tab w:val="left" w:pos="2693"/>
        </w:tabs>
        <w:ind w:left="1267" w:right="1260" w:hanging="576"/>
        <w:rPr>
          <w:lang w:val="fr-FR"/>
        </w:rPr>
      </w:pPr>
      <w:r>
        <w:rPr>
          <w:lang w:val="fr-FR"/>
        </w:rPr>
        <w:tab/>
      </w:r>
      <w:r w:rsidR="00FA086B" w:rsidRPr="00872B06">
        <w:rPr>
          <w:rStyle w:val="FootnoteReference"/>
        </w:rPr>
        <w:footnoteRef/>
      </w:r>
      <w:r>
        <w:rPr>
          <w:lang w:val="fr-FR"/>
        </w:rPr>
        <w:tab/>
      </w:r>
      <w:r w:rsidR="00FA086B" w:rsidRPr="00FA086B">
        <w:rPr>
          <w:lang w:val="fr-FR"/>
        </w:rPr>
        <w:t>Loi n</w:t>
      </w:r>
      <w:r w:rsidR="00FA086B" w:rsidRPr="00FA086B">
        <w:rPr>
          <w:vertAlign w:val="superscript"/>
          <w:lang w:val="fr-FR"/>
        </w:rPr>
        <w:t>o</w:t>
      </w:r>
      <w:r w:rsidR="00FA086B" w:rsidRPr="00FA086B">
        <w:rPr>
          <w:lang w:val="fr-FR"/>
        </w:rPr>
        <w:t xml:space="preserve"> 95-14 en cours de ratification au Secrétariat général du Gouvernement.</w:t>
      </w:r>
    </w:p>
  </w:footnote>
  <w:footnote w:id="48">
    <w:p w14:paraId="097787D2" w14:textId="69320AEB" w:rsidR="00FA086B" w:rsidRPr="00872B06" w:rsidRDefault="005647BA" w:rsidP="00FA086B">
      <w:pPr>
        <w:pStyle w:val="FootnoteText"/>
        <w:tabs>
          <w:tab w:val="right" w:pos="1195"/>
          <w:tab w:val="left" w:pos="1267"/>
          <w:tab w:val="left" w:pos="1742"/>
          <w:tab w:val="left" w:pos="2218"/>
          <w:tab w:val="left" w:pos="2693"/>
        </w:tabs>
        <w:ind w:left="1267" w:right="1260" w:hanging="576"/>
        <w:rPr>
          <w:lang w:val="fr-FR"/>
        </w:rPr>
      </w:pPr>
      <w:r>
        <w:rPr>
          <w:lang w:val="fr-FR"/>
        </w:rPr>
        <w:tab/>
      </w:r>
      <w:r w:rsidR="00FA086B" w:rsidRPr="00872B06">
        <w:rPr>
          <w:rStyle w:val="FootnoteReference"/>
        </w:rPr>
        <w:footnoteRef/>
      </w:r>
      <w:r>
        <w:rPr>
          <w:lang w:val="fr-FR"/>
        </w:rPr>
        <w:tab/>
      </w:r>
      <w:r w:rsidR="00FA086B" w:rsidRPr="00FA086B">
        <w:rPr>
          <w:lang w:val="fr-FR"/>
        </w:rPr>
        <w:t>Loi n</w:t>
      </w:r>
      <w:r w:rsidR="00FA086B" w:rsidRPr="005647BA">
        <w:rPr>
          <w:vertAlign w:val="superscript"/>
          <w:lang w:val="fr-FR"/>
        </w:rPr>
        <w:t>o</w:t>
      </w:r>
      <w:r w:rsidR="00FA086B" w:rsidRPr="00FA086B">
        <w:rPr>
          <w:lang w:val="fr-FR"/>
        </w:rPr>
        <w:t xml:space="preserve"> 26-14 en cours de ratification au Secrétariat général du Gouvernement.</w:t>
      </w:r>
    </w:p>
  </w:footnote>
  <w:footnote w:id="49">
    <w:p w14:paraId="49A22F92" w14:textId="2C7874C4" w:rsidR="00FA086B" w:rsidRPr="00E014D3" w:rsidRDefault="005647BA" w:rsidP="00FA086B">
      <w:pPr>
        <w:pStyle w:val="FootnoteText"/>
        <w:tabs>
          <w:tab w:val="right" w:pos="1195"/>
          <w:tab w:val="left" w:pos="1267"/>
          <w:tab w:val="left" w:pos="1742"/>
          <w:tab w:val="left" w:pos="2218"/>
          <w:tab w:val="left" w:pos="2693"/>
        </w:tabs>
        <w:ind w:left="1267" w:right="1260" w:hanging="576"/>
        <w:rPr>
          <w:lang w:val="fr-FR"/>
        </w:rPr>
      </w:pPr>
      <w:r>
        <w:rPr>
          <w:lang w:val="fr-FR"/>
        </w:rPr>
        <w:tab/>
      </w:r>
      <w:r w:rsidR="00FA086B" w:rsidRPr="00872B06">
        <w:rPr>
          <w:rStyle w:val="FootnoteReference"/>
        </w:rPr>
        <w:footnoteRef/>
      </w:r>
      <w:r>
        <w:rPr>
          <w:lang w:val="fr-FR"/>
        </w:rPr>
        <w:tab/>
      </w:r>
      <w:r w:rsidR="00FA086B" w:rsidRPr="00FA086B">
        <w:rPr>
          <w:lang w:val="fr-FR"/>
        </w:rPr>
        <w:t>Loi n</w:t>
      </w:r>
      <w:r w:rsidR="00FA086B" w:rsidRPr="00FA086B">
        <w:rPr>
          <w:vertAlign w:val="superscript"/>
          <w:lang w:val="fr-FR"/>
        </w:rPr>
        <w:t>o</w:t>
      </w:r>
      <w:r w:rsidR="00FA086B" w:rsidRPr="00FA086B">
        <w:rPr>
          <w:lang w:val="fr-FR"/>
        </w:rPr>
        <w:t xml:space="preserve"> 27-14 relative à la lutte contre la traite des êtres humains (annexe 10).</w:t>
      </w:r>
    </w:p>
  </w:footnote>
  <w:footnote w:id="50">
    <w:p w14:paraId="6E07DB4A" w14:textId="15FCE951" w:rsidR="00FA086B" w:rsidRPr="00D4491F" w:rsidRDefault="005647BA" w:rsidP="00FA086B">
      <w:pPr>
        <w:pStyle w:val="FootnoteText"/>
        <w:tabs>
          <w:tab w:val="right" w:pos="1195"/>
          <w:tab w:val="left" w:pos="1267"/>
          <w:tab w:val="left" w:pos="1742"/>
          <w:tab w:val="left" w:pos="2218"/>
          <w:tab w:val="left" w:pos="2693"/>
        </w:tabs>
        <w:ind w:left="1267" w:right="1260" w:hanging="576"/>
        <w:rPr>
          <w:lang w:val="fr-FR"/>
        </w:rPr>
      </w:pPr>
      <w:r>
        <w:rPr>
          <w:lang w:val="fr-FR"/>
        </w:rPr>
        <w:tab/>
      </w:r>
      <w:r w:rsidR="00FA086B" w:rsidRPr="00D4491F">
        <w:rPr>
          <w:rStyle w:val="FootnoteReference"/>
        </w:rPr>
        <w:footnoteRef/>
      </w:r>
      <w:r>
        <w:rPr>
          <w:lang w:val="fr-FR"/>
        </w:rPr>
        <w:tab/>
      </w:r>
      <w:r w:rsidR="00FA086B" w:rsidRPr="00FA086B">
        <w:rPr>
          <w:lang w:val="fr-FR"/>
        </w:rPr>
        <w:t>Décret n</w:t>
      </w:r>
      <w:r w:rsidRPr="005647BA">
        <w:rPr>
          <w:vertAlign w:val="superscript"/>
          <w:lang w:val="fr-FR"/>
        </w:rPr>
        <w:t>o</w:t>
      </w:r>
      <w:r w:rsidR="00FA086B" w:rsidRPr="00FA086B">
        <w:rPr>
          <w:lang w:val="fr-FR"/>
        </w:rPr>
        <w:t xml:space="preserve"> 2-17-740 (juillet 2018), Bulletin officiel n</w:t>
      </w:r>
      <w:r w:rsidR="00FA086B" w:rsidRPr="00FA086B">
        <w:rPr>
          <w:vertAlign w:val="superscript"/>
          <w:lang w:val="fr-FR"/>
        </w:rPr>
        <w:t>o</w:t>
      </w:r>
      <w:r w:rsidR="00FA086B" w:rsidRPr="00FA086B">
        <w:rPr>
          <w:lang w:val="fr-FR"/>
        </w:rPr>
        <w:t xml:space="preserve"> 6722 (juillet 2018).</w:t>
      </w:r>
    </w:p>
  </w:footnote>
  <w:footnote w:id="51">
    <w:p w14:paraId="3E748B43" w14:textId="5841EE15" w:rsidR="00FA086B" w:rsidRPr="00D4491F" w:rsidRDefault="005647BA" w:rsidP="00FA086B">
      <w:pPr>
        <w:pStyle w:val="FootnoteText"/>
        <w:tabs>
          <w:tab w:val="right" w:pos="1195"/>
          <w:tab w:val="left" w:pos="1267"/>
          <w:tab w:val="left" w:pos="1742"/>
          <w:tab w:val="left" w:pos="2218"/>
          <w:tab w:val="left" w:pos="2693"/>
        </w:tabs>
        <w:ind w:left="1267" w:right="1260" w:hanging="576"/>
        <w:rPr>
          <w:lang w:val="fr-FR"/>
        </w:rPr>
      </w:pPr>
      <w:r>
        <w:rPr>
          <w:lang w:val="fr-FR"/>
        </w:rPr>
        <w:tab/>
      </w:r>
      <w:r w:rsidR="00FA086B" w:rsidRPr="00D4491F">
        <w:rPr>
          <w:rStyle w:val="FootnoteReference"/>
        </w:rPr>
        <w:footnoteRef/>
      </w:r>
      <w:r>
        <w:rPr>
          <w:lang w:val="fr-FR"/>
        </w:rPr>
        <w:tab/>
      </w:r>
      <w:r w:rsidR="00FA086B" w:rsidRPr="00FA086B">
        <w:rPr>
          <w:lang w:val="fr-FR"/>
        </w:rPr>
        <w:t>Loi n</w:t>
      </w:r>
      <w:r w:rsidR="00FA086B" w:rsidRPr="00FA086B">
        <w:rPr>
          <w:vertAlign w:val="superscript"/>
          <w:lang w:val="fr-FR"/>
        </w:rPr>
        <w:t>o</w:t>
      </w:r>
      <w:r w:rsidR="00FA086B" w:rsidRPr="00FA086B">
        <w:rPr>
          <w:lang w:val="fr-FR"/>
        </w:rPr>
        <w:t xml:space="preserve"> 0116, Bulletin officiel n</w:t>
      </w:r>
      <w:r w:rsidR="00FA086B" w:rsidRPr="00FA086B">
        <w:rPr>
          <w:vertAlign w:val="superscript"/>
          <w:lang w:val="fr-FR"/>
        </w:rPr>
        <w:t>o</w:t>
      </w:r>
      <w:r w:rsidR="00FA086B" w:rsidRPr="00FA086B">
        <w:rPr>
          <w:lang w:val="fr-FR"/>
        </w:rPr>
        <w:t xml:space="preserve"> 6493 (août 2016).</w:t>
      </w:r>
    </w:p>
  </w:footnote>
  <w:footnote w:id="52">
    <w:p w14:paraId="180F5A0A" w14:textId="32C1ED85" w:rsidR="00FA086B" w:rsidRPr="00067DC5" w:rsidRDefault="005647BA" w:rsidP="00FA086B">
      <w:pPr>
        <w:pStyle w:val="FootnoteText"/>
        <w:tabs>
          <w:tab w:val="right" w:pos="1195"/>
          <w:tab w:val="left" w:pos="1267"/>
          <w:tab w:val="left" w:pos="1742"/>
          <w:tab w:val="left" w:pos="2218"/>
          <w:tab w:val="left" w:pos="2693"/>
        </w:tabs>
        <w:ind w:left="1267" w:right="1260" w:hanging="576"/>
        <w:rPr>
          <w:lang w:val="fr-FR"/>
        </w:rPr>
      </w:pPr>
      <w:r>
        <w:rPr>
          <w:lang w:val="fr-FR"/>
        </w:rPr>
        <w:tab/>
      </w:r>
      <w:r w:rsidR="00FA086B" w:rsidRPr="00D4491F">
        <w:rPr>
          <w:rStyle w:val="FootnoteReference"/>
        </w:rPr>
        <w:footnoteRef/>
      </w:r>
      <w:r>
        <w:rPr>
          <w:lang w:val="fr-FR"/>
        </w:rPr>
        <w:tab/>
      </w:r>
      <w:r w:rsidR="00FA086B" w:rsidRPr="00FA086B">
        <w:rPr>
          <w:lang w:val="fr-FR"/>
        </w:rPr>
        <w:t>Loi n</w:t>
      </w:r>
      <w:r w:rsidR="00FA086B" w:rsidRPr="00FA086B">
        <w:rPr>
          <w:vertAlign w:val="superscript"/>
          <w:lang w:val="fr-FR"/>
        </w:rPr>
        <w:t>o</w:t>
      </w:r>
      <w:r w:rsidR="00FA086B" w:rsidRPr="00FA086B">
        <w:rPr>
          <w:lang w:val="fr-FR"/>
        </w:rPr>
        <w:t xml:space="preserve"> 8713, Bulletin officiel n</w:t>
      </w:r>
      <w:r w:rsidR="00FA086B" w:rsidRPr="00FA086B">
        <w:rPr>
          <w:vertAlign w:val="superscript"/>
          <w:lang w:val="fr-FR"/>
        </w:rPr>
        <w:t>o</w:t>
      </w:r>
      <w:r w:rsidR="00FA086B" w:rsidRPr="00FA086B">
        <w:rPr>
          <w:lang w:val="fr-FR"/>
        </w:rPr>
        <w:t xml:space="preserve"> 6277 (juillet 2014).</w:t>
      </w:r>
    </w:p>
  </w:footnote>
  <w:footnote w:id="53">
    <w:p w14:paraId="2B9E5D4D" w14:textId="0155AA97" w:rsidR="00FA086B" w:rsidRPr="00B07530" w:rsidRDefault="005647BA" w:rsidP="00FA086B">
      <w:pPr>
        <w:pStyle w:val="FootnoteText"/>
        <w:tabs>
          <w:tab w:val="right" w:pos="1195"/>
          <w:tab w:val="left" w:pos="1267"/>
          <w:tab w:val="left" w:pos="1742"/>
          <w:tab w:val="left" w:pos="2218"/>
          <w:tab w:val="left" w:pos="2693"/>
        </w:tabs>
        <w:ind w:left="1267" w:right="1260" w:hanging="576"/>
        <w:rPr>
          <w:lang w:val="fr-FR"/>
        </w:rPr>
      </w:pPr>
      <w:r>
        <w:rPr>
          <w:lang w:val="fr-FR"/>
        </w:rPr>
        <w:tab/>
      </w:r>
      <w:r w:rsidR="00FA086B">
        <w:rPr>
          <w:rStyle w:val="FootnoteReference"/>
        </w:rPr>
        <w:footnoteRef/>
      </w:r>
      <w:r>
        <w:rPr>
          <w:lang w:val="fr-FR"/>
        </w:rPr>
        <w:tab/>
      </w:r>
      <w:r w:rsidR="00FA086B" w:rsidRPr="00FA086B">
        <w:rPr>
          <w:lang w:val="fr-FR"/>
        </w:rPr>
        <w:t>Un groupe d’associations supervise les projets relatifs à la formation et à l’éducation des femmes afin que celles-ci puissent avoir accès au marché du travail ou lancer des projets spécifiques</w:t>
      </w:r>
    </w:p>
  </w:footnote>
  <w:footnote w:id="54">
    <w:p w14:paraId="756E15CE" w14:textId="70DD89EE" w:rsidR="00FA086B" w:rsidRPr="00054F24" w:rsidRDefault="005647BA" w:rsidP="00FA086B">
      <w:pPr>
        <w:pStyle w:val="FootnoteText"/>
        <w:tabs>
          <w:tab w:val="right" w:pos="1195"/>
          <w:tab w:val="left" w:pos="1267"/>
          <w:tab w:val="left" w:pos="1742"/>
          <w:tab w:val="left" w:pos="2218"/>
          <w:tab w:val="left" w:pos="2693"/>
        </w:tabs>
        <w:ind w:left="1267" w:right="1260" w:hanging="576"/>
        <w:rPr>
          <w:lang w:val="fr-FR"/>
        </w:rPr>
      </w:pPr>
      <w:r>
        <w:tab/>
      </w:r>
      <w:r w:rsidR="00FA086B" w:rsidRPr="00B07530">
        <w:rPr>
          <w:rStyle w:val="FootnoteReference"/>
        </w:rPr>
        <w:footnoteRef/>
      </w:r>
      <w:r>
        <w:tab/>
      </w:r>
      <w:r w:rsidR="00FA086B" w:rsidRPr="00FA086B">
        <w:rPr>
          <w:lang w:val="fr-FR"/>
        </w:rPr>
        <w:t xml:space="preserve">Deux projets complémentaires ont été exécutés avec l’appui de l’Agence allemande de coopération internationale afin de renforcer les capacités d’une dizaine d’associations locales partenaires et de mener à bien des projets pilotes d’intégration. </w:t>
      </w:r>
    </w:p>
  </w:footnote>
  <w:footnote w:id="55">
    <w:p w14:paraId="21617EB1" w14:textId="02814584" w:rsidR="00FA086B" w:rsidRPr="0032413C" w:rsidRDefault="005647BA" w:rsidP="00FA086B">
      <w:pPr>
        <w:pStyle w:val="FootnoteText"/>
        <w:tabs>
          <w:tab w:val="right" w:pos="1195"/>
          <w:tab w:val="left" w:pos="1267"/>
          <w:tab w:val="left" w:pos="1742"/>
          <w:tab w:val="left" w:pos="2218"/>
          <w:tab w:val="left" w:pos="2693"/>
        </w:tabs>
        <w:ind w:left="1267" w:right="1260" w:hanging="576"/>
        <w:rPr>
          <w:lang w:val="fr-FR"/>
        </w:rPr>
      </w:pPr>
      <w:r>
        <w:rPr>
          <w:lang w:val="fr-FR"/>
        </w:rPr>
        <w:tab/>
      </w:r>
      <w:r w:rsidR="00FA086B" w:rsidRPr="002A2CD0">
        <w:rPr>
          <w:rStyle w:val="FootnoteReference"/>
          <w:lang w:val="fr-FR"/>
        </w:rPr>
        <w:footnoteRef/>
      </w:r>
      <w:r>
        <w:rPr>
          <w:lang w:val="fr-FR"/>
        </w:rPr>
        <w:tab/>
      </w:r>
      <w:r w:rsidR="00FA086B" w:rsidRPr="00FA086B">
        <w:rPr>
          <w:lang w:val="fr-FR"/>
        </w:rPr>
        <w:t>Article 30 de la Constitution de 2011 (annexe 1).</w:t>
      </w:r>
    </w:p>
  </w:footnote>
  <w:footnote w:id="56">
    <w:p w14:paraId="34460818" w14:textId="6B8F93AB" w:rsidR="00FA086B" w:rsidRPr="0032413C" w:rsidRDefault="005647BA" w:rsidP="00FA086B">
      <w:pPr>
        <w:pStyle w:val="FootnoteText"/>
        <w:tabs>
          <w:tab w:val="right" w:pos="1195"/>
          <w:tab w:val="left" w:pos="1267"/>
          <w:tab w:val="left" w:pos="1742"/>
          <w:tab w:val="left" w:pos="2218"/>
          <w:tab w:val="left" w:pos="2693"/>
        </w:tabs>
        <w:ind w:left="1267" w:right="1260" w:hanging="576"/>
        <w:rPr>
          <w:lang w:val="fr-FR"/>
        </w:rPr>
      </w:pPr>
      <w:r>
        <w:rPr>
          <w:lang w:val="fr-FR"/>
        </w:rPr>
        <w:tab/>
      </w:r>
      <w:r w:rsidR="00FA086B" w:rsidRPr="0032413C">
        <w:rPr>
          <w:rStyle w:val="FootnoteReference"/>
          <w:lang w:val="fr-FR"/>
        </w:rPr>
        <w:footnoteRef/>
      </w:r>
      <w:r>
        <w:rPr>
          <w:lang w:val="fr-FR"/>
        </w:rPr>
        <w:tab/>
      </w:r>
      <w:r w:rsidR="00FA086B" w:rsidRPr="00FA086B">
        <w:rPr>
          <w:lang w:val="fr-FR"/>
        </w:rPr>
        <w:t>Article 146 de la Constitution de 2011 (annexe 1).</w:t>
      </w:r>
    </w:p>
  </w:footnote>
  <w:footnote w:id="57">
    <w:p w14:paraId="7DB1589B" w14:textId="2551C295" w:rsidR="00FA086B" w:rsidRPr="0032413C" w:rsidRDefault="005647BA" w:rsidP="00FA086B">
      <w:pPr>
        <w:pStyle w:val="FootnoteText"/>
        <w:tabs>
          <w:tab w:val="right" w:pos="1195"/>
          <w:tab w:val="left" w:pos="1267"/>
          <w:tab w:val="left" w:pos="1742"/>
          <w:tab w:val="left" w:pos="2218"/>
          <w:tab w:val="left" w:pos="2693"/>
        </w:tabs>
        <w:ind w:left="1267" w:right="1260" w:hanging="576"/>
        <w:rPr>
          <w:lang w:val="fr-FR"/>
        </w:rPr>
      </w:pPr>
      <w:r>
        <w:rPr>
          <w:lang w:val="fr-FR"/>
        </w:rPr>
        <w:tab/>
      </w:r>
      <w:r w:rsidR="00FA086B" w:rsidRPr="0032413C">
        <w:rPr>
          <w:rStyle w:val="FootnoteReference"/>
          <w:lang w:val="fr-FR"/>
        </w:rPr>
        <w:footnoteRef/>
      </w:r>
      <w:r>
        <w:rPr>
          <w:lang w:val="fr-FR"/>
        </w:rPr>
        <w:tab/>
      </w:r>
      <w:r w:rsidR="00FA086B" w:rsidRPr="00FA086B">
        <w:rPr>
          <w:lang w:val="fr-FR"/>
        </w:rPr>
        <w:t>Bulletin officiel n</w:t>
      </w:r>
      <w:r w:rsidR="00FA086B" w:rsidRPr="00FA086B">
        <w:rPr>
          <w:vertAlign w:val="superscript"/>
          <w:lang w:val="fr-FR"/>
        </w:rPr>
        <w:t>o</w:t>
      </w:r>
      <w:r w:rsidR="00FA086B" w:rsidRPr="00FA086B">
        <w:rPr>
          <w:lang w:val="fr-FR"/>
        </w:rPr>
        <w:t xml:space="preserve"> 6490 (août 2016) (annexe 11).</w:t>
      </w:r>
    </w:p>
  </w:footnote>
  <w:footnote w:id="58">
    <w:p w14:paraId="17A134FC" w14:textId="0F59F25A" w:rsidR="00FA086B" w:rsidRPr="0032413C" w:rsidRDefault="005647BA" w:rsidP="00FA086B">
      <w:pPr>
        <w:pStyle w:val="FootnoteText"/>
        <w:tabs>
          <w:tab w:val="right" w:pos="1195"/>
          <w:tab w:val="left" w:pos="1267"/>
          <w:tab w:val="left" w:pos="1742"/>
          <w:tab w:val="left" w:pos="2218"/>
          <w:tab w:val="left" w:pos="2693"/>
        </w:tabs>
        <w:ind w:left="1267" w:right="1260" w:hanging="576"/>
        <w:rPr>
          <w:lang w:val="fr-FR"/>
        </w:rPr>
      </w:pPr>
      <w:r>
        <w:rPr>
          <w:lang w:val="fr-FR"/>
        </w:rPr>
        <w:tab/>
      </w:r>
      <w:r w:rsidR="00FA086B" w:rsidRPr="0032413C">
        <w:rPr>
          <w:rStyle w:val="FootnoteReference"/>
          <w:lang w:val="fr-FR"/>
        </w:rPr>
        <w:footnoteRef/>
      </w:r>
      <w:r>
        <w:rPr>
          <w:lang w:val="fr-FR"/>
        </w:rPr>
        <w:tab/>
      </w:r>
      <w:r w:rsidR="00FA086B" w:rsidRPr="00FA086B">
        <w:rPr>
          <w:lang w:val="fr-FR"/>
        </w:rPr>
        <w:t>Bulletin officiel n</w:t>
      </w:r>
      <w:r w:rsidR="00FA086B" w:rsidRPr="00FA086B">
        <w:rPr>
          <w:vertAlign w:val="superscript"/>
          <w:lang w:val="fr-FR"/>
        </w:rPr>
        <w:t>o</w:t>
      </w:r>
      <w:r w:rsidR="00FA086B" w:rsidRPr="00FA086B">
        <w:rPr>
          <w:lang w:val="fr-FR"/>
        </w:rPr>
        <w:t xml:space="preserve"> 5997 bis (novembre 2011) (annexe 12).</w:t>
      </w:r>
    </w:p>
  </w:footnote>
  <w:footnote w:id="59">
    <w:p w14:paraId="1E7A78FF" w14:textId="5798723F" w:rsidR="00FA086B" w:rsidRPr="0032413C" w:rsidRDefault="005647BA" w:rsidP="00FA086B">
      <w:pPr>
        <w:pStyle w:val="FootnoteText"/>
        <w:tabs>
          <w:tab w:val="right" w:pos="1195"/>
          <w:tab w:val="left" w:pos="1267"/>
          <w:tab w:val="left" w:pos="1742"/>
          <w:tab w:val="left" w:pos="2218"/>
          <w:tab w:val="left" w:pos="2693"/>
        </w:tabs>
        <w:ind w:left="1267" w:right="1260" w:hanging="576"/>
        <w:rPr>
          <w:lang w:val="fr-FR"/>
        </w:rPr>
      </w:pPr>
      <w:r>
        <w:rPr>
          <w:lang w:val="fr-FR"/>
        </w:rPr>
        <w:tab/>
      </w:r>
      <w:r w:rsidR="00FA086B" w:rsidRPr="0032413C">
        <w:rPr>
          <w:rStyle w:val="FootnoteReference"/>
          <w:lang w:val="fr-FR"/>
        </w:rPr>
        <w:footnoteRef/>
      </w:r>
      <w:r>
        <w:rPr>
          <w:lang w:val="fr-FR"/>
        </w:rPr>
        <w:tab/>
      </w:r>
      <w:r w:rsidR="00FA086B" w:rsidRPr="00FA086B">
        <w:rPr>
          <w:lang w:val="fr-FR"/>
        </w:rPr>
        <w:t>Bulletin officiel n</w:t>
      </w:r>
      <w:r w:rsidR="00FA086B" w:rsidRPr="00FA086B">
        <w:rPr>
          <w:vertAlign w:val="superscript"/>
          <w:lang w:val="fr-FR"/>
        </w:rPr>
        <w:t>o</w:t>
      </w:r>
      <w:r w:rsidR="00FA086B" w:rsidRPr="00FA086B">
        <w:rPr>
          <w:lang w:val="fr-FR"/>
        </w:rPr>
        <w:t xml:space="preserve"> 5997 bis (novembre 2011) (annexe 12).</w:t>
      </w:r>
    </w:p>
  </w:footnote>
  <w:footnote w:id="60">
    <w:p w14:paraId="5B80931F" w14:textId="2005098A" w:rsidR="00FA086B" w:rsidRPr="003316C2" w:rsidRDefault="005647BA" w:rsidP="00FA086B">
      <w:pPr>
        <w:pStyle w:val="FootnoteText"/>
        <w:tabs>
          <w:tab w:val="right" w:pos="1195"/>
          <w:tab w:val="left" w:pos="1267"/>
          <w:tab w:val="left" w:pos="1742"/>
          <w:tab w:val="left" w:pos="2218"/>
          <w:tab w:val="left" w:pos="2693"/>
        </w:tabs>
        <w:ind w:left="1267" w:right="1260" w:hanging="576"/>
        <w:rPr>
          <w:lang w:val="fr-FR"/>
        </w:rPr>
      </w:pPr>
      <w:r>
        <w:rPr>
          <w:lang w:val="fr-FR"/>
        </w:rPr>
        <w:tab/>
      </w:r>
      <w:r w:rsidR="00FA086B">
        <w:rPr>
          <w:rStyle w:val="FootnoteReference"/>
        </w:rPr>
        <w:footnoteRef/>
      </w:r>
      <w:r>
        <w:rPr>
          <w:lang w:val="fr-FR"/>
        </w:rPr>
        <w:tab/>
      </w:r>
      <w:r w:rsidR="00FA086B" w:rsidRPr="00FA086B">
        <w:rPr>
          <w:lang w:val="fr-FR"/>
        </w:rPr>
        <w:t>Bulletin officiel n</w:t>
      </w:r>
      <w:r w:rsidR="00FA086B" w:rsidRPr="00FA086B">
        <w:rPr>
          <w:vertAlign w:val="superscript"/>
          <w:lang w:val="fr-FR"/>
        </w:rPr>
        <w:t>o</w:t>
      </w:r>
      <w:r w:rsidR="00FA086B" w:rsidRPr="00FA086B">
        <w:rPr>
          <w:lang w:val="fr-FR"/>
        </w:rPr>
        <w:t xml:space="preserve"> 6380 (juillet 2015) (annexe 13).</w:t>
      </w:r>
    </w:p>
  </w:footnote>
  <w:footnote w:id="61">
    <w:p w14:paraId="6E98E6D9" w14:textId="78D37B3E" w:rsidR="00FA086B" w:rsidRPr="006E1625" w:rsidRDefault="005647BA" w:rsidP="00FA086B">
      <w:pPr>
        <w:pStyle w:val="FootnoteText"/>
        <w:tabs>
          <w:tab w:val="right" w:pos="1195"/>
          <w:tab w:val="left" w:pos="1267"/>
          <w:tab w:val="left" w:pos="1742"/>
          <w:tab w:val="left" w:pos="2218"/>
          <w:tab w:val="left" w:pos="2693"/>
        </w:tabs>
        <w:ind w:left="1267" w:right="1260" w:hanging="576"/>
        <w:rPr>
          <w:lang w:val="fr-FR"/>
        </w:rPr>
      </w:pPr>
      <w:r>
        <w:rPr>
          <w:lang w:val="fr-FR"/>
        </w:rPr>
        <w:tab/>
      </w:r>
      <w:r w:rsidR="00FA086B" w:rsidRPr="00060807">
        <w:rPr>
          <w:rStyle w:val="FootnoteReference"/>
        </w:rPr>
        <w:footnoteRef/>
      </w:r>
      <w:r>
        <w:rPr>
          <w:lang w:val="fr-FR"/>
        </w:rPr>
        <w:tab/>
      </w:r>
      <w:r w:rsidR="00FA086B" w:rsidRPr="00FA086B">
        <w:rPr>
          <w:lang w:val="fr-FR"/>
        </w:rPr>
        <w:t xml:space="preserve">Un tiers de ces femmes étaient âgées de moins de 35 ans et, en 2007,  54 % des conseillères ayant un niveau d’instruction secondaire ou supérieur. </w:t>
      </w:r>
    </w:p>
  </w:footnote>
  <w:footnote w:id="62">
    <w:p w14:paraId="7B03C722" w14:textId="67E660CD" w:rsidR="00FA086B" w:rsidRPr="00E67D0F" w:rsidRDefault="005647BA" w:rsidP="00FA086B">
      <w:pPr>
        <w:pStyle w:val="FootnoteText"/>
        <w:tabs>
          <w:tab w:val="right" w:pos="1195"/>
          <w:tab w:val="left" w:pos="1267"/>
          <w:tab w:val="left" w:pos="1742"/>
          <w:tab w:val="left" w:pos="2218"/>
          <w:tab w:val="left" w:pos="2693"/>
        </w:tabs>
        <w:ind w:left="1267" w:right="1260" w:hanging="576"/>
        <w:rPr>
          <w:lang w:val="fr-FR"/>
        </w:rPr>
      </w:pPr>
      <w:r>
        <w:rPr>
          <w:lang w:val="fr-FR"/>
        </w:rPr>
        <w:tab/>
      </w:r>
      <w:r w:rsidR="00FA086B">
        <w:rPr>
          <w:rStyle w:val="FootnoteReference"/>
        </w:rPr>
        <w:footnoteRef/>
      </w:r>
      <w:r>
        <w:rPr>
          <w:lang w:val="fr-FR"/>
        </w:rPr>
        <w:tab/>
      </w:r>
      <w:r w:rsidR="00FA086B" w:rsidRPr="00FA086B">
        <w:rPr>
          <w:lang w:val="fr-FR"/>
        </w:rPr>
        <w:t>Article 4 de loi organique n</w:t>
      </w:r>
      <w:r w:rsidR="00FA086B" w:rsidRPr="005647BA">
        <w:rPr>
          <w:vertAlign w:val="superscript"/>
          <w:lang w:val="fr-FR"/>
        </w:rPr>
        <w:t>o</w:t>
      </w:r>
      <w:r w:rsidR="00FA086B" w:rsidRPr="00FA086B">
        <w:rPr>
          <w:lang w:val="fr-FR"/>
        </w:rPr>
        <w:t xml:space="preserve"> 02-12 relative à la nomination aux fonctions supérieures (annexe 14).</w:t>
      </w:r>
    </w:p>
  </w:footnote>
  <w:footnote w:id="63">
    <w:p w14:paraId="5AFB644D" w14:textId="1F5B7BE5" w:rsidR="00FA086B" w:rsidRPr="007F3E6C" w:rsidRDefault="005647BA" w:rsidP="00FA086B">
      <w:pPr>
        <w:pStyle w:val="FootnoteText"/>
        <w:tabs>
          <w:tab w:val="right" w:pos="1195"/>
          <w:tab w:val="left" w:pos="1267"/>
          <w:tab w:val="left" w:pos="1742"/>
          <w:tab w:val="left" w:pos="2218"/>
          <w:tab w:val="left" w:pos="2693"/>
        </w:tabs>
        <w:ind w:left="1267" w:right="1260" w:hanging="576"/>
        <w:rPr>
          <w:lang w:val="fr-FR"/>
        </w:rPr>
      </w:pPr>
      <w:r>
        <w:rPr>
          <w:lang w:val="fr-FR"/>
        </w:rPr>
        <w:tab/>
      </w:r>
      <w:r w:rsidR="00FA086B">
        <w:rPr>
          <w:rStyle w:val="FootnoteReference"/>
        </w:rPr>
        <w:footnoteRef/>
      </w:r>
      <w:r>
        <w:rPr>
          <w:lang w:val="fr-FR"/>
        </w:rPr>
        <w:tab/>
      </w:r>
      <w:r w:rsidR="00FA086B" w:rsidRPr="00FA086B">
        <w:rPr>
          <w:lang w:val="fr-FR"/>
        </w:rPr>
        <w:t>Loi n</w:t>
      </w:r>
      <w:r w:rsidRPr="005647BA">
        <w:rPr>
          <w:vertAlign w:val="superscript"/>
          <w:lang w:val="fr-FR"/>
        </w:rPr>
        <w:t>o</w:t>
      </w:r>
      <w:r w:rsidR="00FA086B" w:rsidRPr="00FA086B">
        <w:rPr>
          <w:lang w:val="fr-FR"/>
        </w:rPr>
        <w:t xml:space="preserve"> 50-05 relative au statut général de la fonction publique (annexe 15).</w:t>
      </w:r>
    </w:p>
  </w:footnote>
  <w:footnote w:id="64">
    <w:p w14:paraId="7943CF09" w14:textId="50AA65D9" w:rsidR="00FA086B" w:rsidRPr="001C4136" w:rsidRDefault="005647BA" w:rsidP="00FA086B">
      <w:pPr>
        <w:pStyle w:val="FootnoteText"/>
        <w:tabs>
          <w:tab w:val="right" w:pos="1195"/>
          <w:tab w:val="left" w:pos="1267"/>
          <w:tab w:val="left" w:pos="1742"/>
          <w:tab w:val="left" w:pos="2218"/>
          <w:tab w:val="left" w:pos="2693"/>
        </w:tabs>
        <w:ind w:left="1267" w:right="1260" w:hanging="576"/>
        <w:rPr>
          <w:lang w:val="fr-FR"/>
        </w:rPr>
      </w:pPr>
      <w:r>
        <w:rPr>
          <w:lang w:val="fr-FR"/>
        </w:rPr>
        <w:tab/>
      </w:r>
      <w:r w:rsidR="00FA086B">
        <w:rPr>
          <w:rStyle w:val="FootnoteReference"/>
        </w:rPr>
        <w:footnoteRef/>
      </w:r>
      <w:r>
        <w:rPr>
          <w:lang w:val="fr-FR"/>
        </w:rPr>
        <w:tab/>
      </w:r>
      <w:r w:rsidR="00FA086B" w:rsidRPr="00FA086B">
        <w:rPr>
          <w:lang w:val="fr-FR"/>
        </w:rPr>
        <w:t>(Annexe 15).</w:t>
      </w:r>
    </w:p>
  </w:footnote>
  <w:footnote w:id="65">
    <w:p w14:paraId="396A9025" w14:textId="27527D4F" w:rsidR="00FA086B" w:rsidRPr="000F101F" w:rsidRDefault="005647BA" w:rsidP="00FA086B">
      <w:pPr>
        <w:pStyle w:val="FootnoteText"/>
        <w:tabs>
          <w:tab w:val="right" w:pos="1195"/>
          <w:tab w:val="left" w:pos="1267"/>
          <w:tab w:val="left" w:pos="1742"/>
          <w:tab w:val="left" w:pos="2218"/>
          <w:tab w:val="left" w:pos="2693"/>
        </w:tabs>
        <w:ind w:left="1267" w:right="1260" w:hanging="576"/>
        <w:rPr>
          <w:lang w:val="fr-FR"/>
        </w:rPr>
      </w:pPr>
      <w:r>
        <w:rPr>
          <w:lang w:val="fr-FR"/>
        </w:rPr>
        <w:tab/>
      </w:r>
      <w:r w:rsidR="00FA086B">
        <w:rPr>
          <w:rStyle w:val="FootnoteReference"/>
        </w:rPr>
        <w:footnoteRef/>
      </w:r>
      <w:r>
        <w:rPr>
          <w:lang w:val="fr-FR"/>
        </w:rPr>
        <w:tab/>
      </w:r>
      <w:r w:rsidR="00FA086B" w:rsidRPr="00FA086B">
        <w:rPr>
          <w:lang w:val="fr-FR"/>
        </w:rPr>
        <w:t>Décision portant création de l’Observatoire Genre de la fonction publique (annexe 16).</w:t>
      </w:r>
    </w:p>
  </w:footnote>
  <w:footnote w:id="66">
    <w:p w14:paraId="4828A94B" w14:textId="152C1D9C" w:rsidR="00FA086B" w:rsidRPr="000F101F" w:rsidRDefault="00E433C6" w:rsidP="00FA086B">
      <w:pPr>
        <w:pStyle w:val="FootnoteText"/>
        <w:tabs>
          <w:tab w:val="right" w:pos="1195"/>
          <w:tab w:val="left" w:pos="1267"/>
          <w:tab w:val="left" w:pos="1742"/>
          <w:tab w:val="left" w:pos="2218"/>
          <w:tab w:val="left" w:pos="2693"/>
        </w:tabs>
        <w:ind w:left="1267" w:right="1260" w:hanging="576"/>
        <w:rPr>
          <w:lang w:val="fr-FR"/>
        </w:rPr>
      </w:pPr>
      <w:r>
        <w:rPr>
          <w:lang w:val="fr-FR"/>
        </w:rPr>
        <w:tab/>
      </w:r>
      <w:r w:rsidR="00FA086B" w:rsidRPr="000F101F">
        <w:rPr>
          <w:rStyle w:val="FootnoteReference"/>
        </w:rPr>
        <w:footnoteRef/>
      </w:r>
      <w:r>
        <w:rPr>
          <w:lang w:val="fr-FR"/>
        </w:rPr>
        <w:tab/>
      </w:r>
      <w:r w:rsidR="00FA086B" w:rsidRPr="00FA086B">
        <w:rPr>
          <w:lang w:val="fr-FR"/>
        </w:rPr>
        <w:t>Circulaire (août 2018) sur les autorisations d’absence pour allaitement (annexe 18).</w:t>
      </w:r>
    </w:p>
  </w:footnote>
  <w:footnote w:id="67">
    <w:p w14:paraId="5AF37185" w14:textId="5C9FB659" w:rsidR="00FA086B" w:rsidRPr="00B260FA" w:rsidRDefault="00E433C6" w:rsidP="00FA086B">
      <w:pPr>
        <w:pStyle w:val="FootnoteText"/>
        <w:tabs>
          <w:tab w:val="right" w:pos="1195"/>
          <w:tab w:val="left" w:pos="1267"/>
          <w:tab w:val="left" w:pos="1742"/>
          <w:tab w:val="left" w:pos="2218"/>
          <w:tab w:val="left" w:pos="2693"/>
        </w:tabs>
        <w:ind w:left="1267" w:right="1260" w:hanging="576"/>
        <w:rPr>
          <w:lang w:val="fr-FR"/>
        </w:rPr>
      </w:pPr>
      <w:r>
        <w:rPr>
          <w:lang w:val="fr-FR"/>
        </w:rPr>
        <w:tab/>
      </w:r>
      <w:r w:rsidR="00FA086B" w:rsidRPr="000F101F">
        <w:rPr>
          <w:rStyle w:val="FootnoteReference"/>
        </w:rPr>
        <w:footnoteRef/>
      </w:r>
      <w:r>
        <w:rPr>
          <w:lang w:val="fr-FR"/>
        </w:rPr>
        <w:tab/>
      </w:r>
      <w:r w:rsidR="00FA086B" w:rsidRPr="00FA086B">
        <w:rPr>
          <w:lang w:val="fr-FR"/>
        </w:rPr>
        <w:t>Circulaire de septembre 2019 sur la mise en place des crèches dans les départements gouvernementaux (annexe 18).</w:t>
      </w:r>
    </w:p>
  </w:footnote>
  <w:footnote w:id="68">
    <w:p w14:paraId="3C09296A" w14:textId="4ADE93C7" w:rsidR="00FA086B" w:rsidRPr="000B2243" w:rsidRDefault="00E433C6" w:rsidP="00FA086B">
      <w:pPr>
        <w:pStyle w:val="FootnoteText"/>
        <w:tabs>
          <w:tab w:val="right" w:pos="1195"/>
          <w:tab w:val="left" w:pos="1267"/>
          <w:tab w:val="left" w:pos="1742"/>
          <w:tab w:val="left" w:pos="2218"/>
          <w:tab w:val="left" w:pos="2693"/>
        </w:tabs>
        <w:ind w:left="1267" w:right="1260" w:hanging="576"/>
        <w:rPr>
          <w:lang w:val="fr-FR"/>
        </w:rPr>
      </w:pPr>
      <w:r>
        <w:rPr>
          <w:lang w:val="fr-FR"/>
        </w:rPr>
        <w:tab/>
      </w:r>
      <w:r w:rsidR="00FA086B">
        <w:rPr>
          <w:rStyle w:val="FootnoteReference"/>
        </w:rPr>
        <w:footnoteRef/>
      </w:r>
      <w:r>
        <w:rPr>
          <w:lang w:val="fr-FR"/>
        </w:rPr>
        <w:tab/>
      </w:r>
      <w:r w:rsidR="00FA086B" w:rsidRPr="00FA086B">
        <w:rPr>
          <w:lang w:val="fr-FR"/>
        </w:rPr>
        <w:t>Dans le prolongement du dahir n</w:t>
      </w:r>
      <w:r w:rsidR="00FA086B" w:rsidRPr="00FA086B">
        <w:rPr>
          <w:vertAlign w:val="superscript"/>
          <w:lang w:val="fr-FR"/>
        </w:rPr>
        <w:t>o</w:t>
      </w:r>
      <w:r w:rsidR="00FA086B" w:rsidRPr="00FA086B">
        <w:rPr>
          <w:lang w:val="fr-FR"/>
        </w:rPr>
        <w:t xml:space="preserve"> 1-03-300 d’avril portant réorganisation des conseils des oulémas, dans le préambule duquel il est indiqué «  ayant la conviction que la femme marocaine de par sa formation scientifique, sa participation active dans les différents domaines ainsi que par les responsabilités diverses qu’elle assume, a atteint un niveau de compétence digne de considération à même de rendre les conseils des oulémas ouverts à toutes affaires d’ordre social et religieux concernant les citoyennes et citoyens sans distinction. Nous avons décidé de faire participer à ces conseils la femme Alima afin de lui rendre justice en étant confiant dans sa contribution positive ».</w:t>
      </w:r>
    </w:p>
  </w:footnote>
  <w:footnote w:id="69">
    <w:p w14:paraId="4686A731" w14:textId="5A674C53" w:rsidR="00FA086B" w:rsidRPr="00244719" w:rsidRDefault="00E433C6" w:rsidP="00FA086B">
      <w:pPr>
        <w:pStyle w:val="FootnoteText"/>
        <w:tabs>
          <w:tab w:val="right" w:pos="1195"/>
          <w:tab w:val="left" w:pos="1267"/>
          <w:tab w:val="left" w:pos="1742"/>
          <w:tab w:val="left" w:pos="2218"/>
          <w:tab w:val="left" w:pos="2693"/>
        </w:tabs>
        <w:ind w:left="1267" w:right="1260" w:hanging="576"/>
        <w:rPr>
          <w:lang w:val="fr-FR"/>
        </w:rPr>
      </w:pPr>
      <w:r>
        <w:rPr>
          <w:lang w:val="fr-FR"/>
        </w:rPr>
        <w:tab/>
      </w:r>
      <w:r w:rsidR="00FA086B" w:rsidRPr="000B2243">
        <w:rPr>
          <w:rStyle w:val="FootnoteReference"/>
        </w:rPr>
        <w:footnoteRef/>
      </w:r>
      <w:r>
        <w:rPr>
          <w:lang w:val="fr-FR"/>
        </w:rPr>
        <w:tab/>
      </w:r>
      <w:r w:rsidR="00FA086B" w:rsidRPr="00FA086B">
        <w:rPr>
          <w:lang w:val="fr-FR"/>
        </w:rPr>
        <w:t>Nombre de femmes guides spirituelles : 559 (communes urbaines) ; 166 (communes rurales) ; 46</w:t>
      </w:r>
      <w:r>
        <w:rPr>
          <w:lang w:val="fr-FR"/>
        </w:rPr>
        <w:t> </w:t>
      </w:r>
      <w:r w:rsidR="00FA086B" w:rsidRPr="00FA086B">
        <w:rPr>
          <w:lang w:val="fr-FR"/>
        </w:rPr>
        <w:t xml:space="preserve">communes urbaines et rurales). </w:t>
      </w:r>
    </w:p>
  </w:footnote>
  <w:footnote w:id="70">
    <w:p w14:paraId="36C8DAEB" w14:textId="54832171" w:rsidR="00FA086B" w:rsidRPr="00DF2D0E" w:rsidRDefault="00E433C6" w:rsidP="00FA086B">
      <w:pPr>
        <w:pStyle w:val="FootnoteText"/>
        <w:tabs>
          <w:tab w:val="right" w:pos="1195"/>
          <w:tab w:val="left" w:pos="1267"/>
          <w:tab w:val="left" w:pos="1742"/>
          <w:tab w:val="left" w:pos="2218"/>
          <w:tab w:val="left" w:pos="2693"/>
        </w:tabs>
        <w:ind w:left="1267" w:right="1260" w:hanging="576"/>
        <w:rPr>
          <w:lang w:val="fr-FR"/>
        </w:rPr>
      </w:pPr>
      <w:r>
        <w:rPr>
          <w:lang w:val="fr-FR"/>
        </w:rPr>
        <w:tab/>
      </w:r>
      <w:r w:rsidR="00FA086B" w:rsidRPr="007C517E">
        <w:rPr>
          <w:rStyle w:val="FootnoteReference"/>
        </w:rPr>
        <w:footnoteRef/>
      </w:r>
      <w:r>
        <w:rPr>
          <w:lang w:val="fr-FR"/>
        </w:rPr>
        <w:tab/>
      </w:r>
      <w:r w:rsidR="00FA086B" w:rsidRPr="00FA086B">
        <w:rPr>
          <w:lang w:val="fr-FR"/>
        </w:rPr>
        <w:t xml:space="preserve">Écoles en milieu rural qui accueillent des élèves des zones isolées et proposent à ces élèves l’hébergement, le transport et des activités sportives et culturelles. </w:t>
      </w:r>
    </w:p>
  </w:footnote>
  <w:footnote w:id="71">
    <w:p w14:paraId="52833439" w14:textId="04AAAA39" w:rsidR="00FA086B" w:rsidRPr="00644787" w:rsidRDefault="00E433C6" w:rsidP="00FA086B">
      <w:pPr>
        <w:pStyle w:val="FootnoteText"/>
        <w:tabs>
          <w:tab w:val="right" w:pos="1195"/>
          <w:tab w:val="left" w:pos="1267"/>
          <w:tab w:val="left" w:pos="1742"/>
          <w:tab w:val="left" w:pos="2218"/>
          <w:tab w:val="left" w:pos="2693"/>
        </w:tabs>
        <w:ind w:left="1267" w:right="1260" w:hanging="576"/>
        <w:rPr>
          <w:lang w:val="fr-FR"/>
        </w:rPr>
      </w:pPr>
      <w:r>
        <w:rPr>
          <w:lang w:val="fr-FR"/>
        </w:rPr>
        <w:tab/>
      </w:r>
      <w:r w:rsidR="00FA086B" w:rsidRPr="00254E39">
        <w:rPr>
          <w:rStyle w:val="FootnoteReference"/>
        </w:rPr>
        <w:footnoteRef/>
      </w:r>
      <w:r>
        <w:rPr>
          <w:lang w:val="fr-FR"/>
        </w:rPr>
        <w:tab/>
      </w:r>
      <w:r w:rsidR="00FA086B" w:rsidRPr="00FA086B">
        <w:rPr>
          <w:lang w:val="fr-FR"/>
        </w:rPr>
        <w:t>Le programme Tayssir, mis en place en 2006, vise à faire reculer le décrochage scolaire, chez les filles en particulier, par la fourniture d’aides monétaires dont l’obtention est subordonnée à l’inscription scolaire des enfants dans les zones reculées.</w:t>
      </w:r>
    </w:p>
  </w:footnote>
  <w:footnote w:id="72">
    <w:p w14:paraId="0E775A28" w14:textId="66C66D02" w:rsidR="00FA086B" w:rsidRPr="006C2CC1" w:rsidRDefault="00E433C6" w:rsidP="00FA086B">
      <w:pPr>
        <w:pStyle w:val="FootnoteText"/>
        <w:tabs>
          <w:tab w:val="right" w:pos="1195"/>
          <w:tab w:val="left" w:pos="1267"/>
          <w:tab w:val="left" w:pos="1742"/>
          <w:tab w:val="left" w:pos="2218"/>
          <w:tab w:val="left" w:pos="2693"/>
        </w:tabs>
        <w:ind w:left="1267" w:right="1260" w:hanging="576"/>
        <w:rPr>
          <w:lang w:val="fr-FR"/>
        </w:rPr>
      </w:pPr>
      <w:r>
        <w:rPr>
          <w:lang w:val="fr-FR"/>
        </w:rPr>
        <w:tab/>
      </w:r>
      <w:r w:rsidR="00FA086B">
        <w:rPr>
          <w:rStyle w:val="FootnoteReference"/>
        </w:rPr>
        <w:footnoteRef/>
      </w:r>
      <w:r>
        <w:rPr>
          <w:lang w:val="fr-FR"/>
        </w:rPr>
        <w:tab/>
      </w:r>
      <w:r w:rsidR="00FA086B" w:rsidRPr="00FA086B">
        <w:rPr>
          <w:lang w:val="fr-FR"/>
        </w:rPr>
        <w:t>La vision stratégique de la réforme prévoit 23 leviers concernant les filles afin de garantir la qualité, l’équité et l’avancement à l’école.</w:t>
      </w:r>
    </w:p>
  </w:footnote>
  <w:footnote w:id="73">
    <w:p w14:paraId="13CA7625" w14:textId="169D042D" w:rsidR="00FA086B" w:rsidRPr="0081275C" w:rsidRDefault="00E433C6" w:rsidP="00FA086B">
      <w:pPr>
        <w:pStyle w:val="FootnoteText"/>
        <w:tabs>
          <w:tab w:val="right" w:pos="1195"/>
          <w:tab w:val="left" w:pos="1267"/>
          <w:tab w:val="left" w:pos="1742"/>
          <w:tab w:val="left" w:pos="2218"/>
          <w:tab w:val="left" w:pos="2693"/>
        </w:tabs>
        <w:ind w:left="1267" w:right="1260" w:hanging="576"/>
      </w:pPr>
      <w:r>
        <w:tab/>
      </w:r>
      <w:r w:rsidR="00FA086B">
        <w:rPr>
          <w:rStyle w:val="FootnoteReference"/>
        </w:rPr>
        <w:footnoteRef/>
      </w:r>
      <w:r>
        <w:tab/>
      </w:r>
      <w:r w:rsidR="00FA086B" w:rsidRPr="00FA086B">
        <w:t>Loi-cadre n</w:t>
      </w:r>
      <w:r w:rsidR="00FA086B" w:rsidRPr="00E433C6">
        <w:rPr>
          <w:vertAlign w:val="superscript"/>
        </w:rPr>
        <w:t>o</w:t>
      </w:r>
      <w:r w:rsidR="00FA086B" w:rsidRPr="00FA086B">
        <w:t xml:space="preserve"> 51-17 relative au système de l’éducation, de l’enseignement, de la formation et de la recherche scientifique (annexe 30).</w:t>
      </w:r>
    </w:p>
  </w:footnote>
  <w:footnote w:id="74">
    <w:p w14:paraId="5923131A" w14:textId="52E15079" w:rsidR="00FA086B" w:rsidRPr="006E61F7" w:rsidRDefault="00E433C6" w:rsidP="00FA086B">
      <w:pPr>
        <w:pStyle w:val="FootnoteText"/>
        <w:tabs>
          <w:tab w:val="right" w:pos="1195"/>
          <w:tab w:val="left" w:pos="1267"/>
          <w:tab w:val="left" w:pos="1742"/>
          <w:tab w:val="left" w:pos="2218"/>
          <w:tab w:val="left" w:pos="2693"/>
        </w:tabs>
        <w:ind w:left="1267" w:right="1260" w:hanging="576"/>
        <w:rPr>
          <w:lang w:val="fr-FR"/>
        </w:rPr>
      </w:pPr>
      <w:r>
        <w:rPr>
          <w:lang w:val="fr-FR"/>
        </w:rPr>
        <w:tab/>
      </w:r>
      <w:r w:rsidR="00FA086B" w:rsidRPr="00B766ED">
        <w:rPr>
          <w:rStyle w:val="FootnoteReference"/>
        </w:rPr>
        <w:footnoteRef/>
      </w:r>
      <w:r>
        <w:rPr>
          <w:lang w:val="fr-FR"/>
        </w:rPr>
        <w:tab/>
      </w:r>
      <w:r w:rsidR="00FA086B" w:rsidRPr="00FA086B">
        <w:rPr>
          <w:lang w:val="fr-FR"/>
        </w:rPr>
        <w:t>Loi n</w:t>
      </w:r>
      <w:r w:rsidR="00FA086B" w:rsidRPr="00FA086B">
        <w:rPr>
          <w:vertAlign w:val="superscript"/>
          <w:lang w:val="fr-FR"/>
        </w:rPr>
        <w:t>o</w:t>
      </w:r>
      <w:r w:rsidR="00FA086B" w:rsidRPr="00FA086B">
        <w:rPr>
          <w:lang w:val="fr-FR"/>
        </w:rPr>
        <w:t xml:space="preserve"> 14-05 relative aux conditions d’ouverture et de gestion des établissements de protection sociale (annexe 31).</w:t>
      </w:r>
    </w:p>
  </w:footnote>
  <w:footnote w:id="75">
    <w:p w14:paraId="31A0A5FC" w14:textId="08272BA4" w:rsidR="00FA086B" w:rsidRPr="00881676" w:rsidRDefault="00E433C6" w:rsidP="00FA086B">
      <w:pPr>
        <w:pStyle w:val="FootnoteText"/>
        <w:tabs>
          <w:tab w:val="right" w:pos="1195"/>
          <w:tab w:val="left" w:pos="1267"/>
          <w:tab w:val="left" w:pos="1742"/>
          <w:tab w:val="left" w:pos="2218"/>
          <w:tab w:val="left" w:pos="2693"/>
        </w:tabs>
        <w:ind w:left="1267" w:right="1260" w:hanging="576"/>
        <w:rPr>
          <w:lang w:val="fr-FR"/>
        </w:rPr>
      </w:pPr>
      <w:r>
        <w:rPr>
          <w:lang w:val="fr-FR"/>
        </w:rPr>
        <w:tab/>
      </w:r>
      <w:r w:rsidR="00FA086B" w:rsidRPr="006E61F7">
        <w:rPr>
          <w:rStyle w:val="FootnoteReference"/>
        </w:rPr>
        <w:footnoteRef/>
      </w:r>
      <w:r>
        <w:rPr>
          <w:lang w:val="fr-FR"/>
        </w:rPr>
        <w:tab/>
      </w:r>
      <w:r w:rsidR="00FA086B" w:rsidRPr="00FA086B">
        <w:rPr>
          <w:lang w:val="fr-FR"/>
        </w:rPr>
        <w:t>(Annexe 19).</w:t>
      </w:r>
    </w:p>
  </w:footnote>
  <w:footnote w:id="76">
    <w:p w14:paraId="7B0C90B5" w14:textId="5DB05D58" w:rsidR="00FA086B" w:rsidRPr="000B0926" w:rsidRDefault="00E433C6" w:rsidP="00FA086B">
      <w:pPr>
        <w:pStyle w:val="FootnoteText"/>
        <w:tabs>
          <w:tab w:val="right" w:pos="1195"/>
          <w:tab w:val="left" w:pos="1267"/>
          <w:tab w:val="left" w:pos="1742"/>
          <w:tab w:val="left" w:pos="2218"/>
          <w:tab w:val="left" w:pos="2693"/>
        </w:tabs>
        <w:ind w:left="1267" w:right="1260" w:hanging="576"/>
        <w:rPr>
          <w:lang w:val="fr-FR"/>
        </w:rPr>
      </w:pPr>
      <w:r>
        <w:rPr>
          <w:lang w:val="fr-FR"/>
        </w:rPr>
        <w:tab/>
      </w:r>
      <w:r w:rsidR="00FA086B">
        <w:rPr>
          <w:rStyle w:val="FootnoteReference"/>
        </w:rPr>
        <w:footnoteRef/>
      </w:r>
      <w:r>
        <w:rPr>
          <w:lang w:val="fr-FR"/>
        </w:rPr>
        <w:tab/>
      </w:r>
      <w:r w:rsidR="00FA086B" w:rsidRPr="00FA086B">
        <w:rPr>
          <w:lang w:val="fr-FR"/>
        </w:rPr>
        <w:t xml:space="preserve">Il existe 1 937 établissements de formation professionnelle : 558 établissements relevant du secteur public et 1 379 établissements privés. </w:t>
      </w:r>
    </w:p>
  </w:footnote>
  <w:footnote w:id="77">
    <w:p w14:paraId="2C1859A1" w14:textId="14DCF2F1" w:rsidR="00FA086B" w:rsidRPr="005A75CF" w:rsidRDefault="00E433C6" w:rsidP="00FA086B">
      <w:pPr>
        <w:pStyle w:val="FootnoteText"/>
        <w:tabs>
          <w:tab w:val="right" w:pos="1195"/>
          <w:tab w:val="left" w:pos="1267"/>
          <w:tab w:val="left" w:pos="1742"/>
          <w:tab w:val="left" w:pos="2218"/>
          <w:tab w:val="left" w:pos="2693"/>
        </w:tabs>
        <w:ind w:left="1267" w:right="1260" w:hanging="576"/>
        <w:rPr>
          <w:lang w:val="fr-FR"/>
        </w:rPr>
      </w:pPr>
      <w:r>
        <w:rPr>
          <w:lang w:val="fr-FR"/>
        </w:rPr>
        <w:tab/>
      </w:r>
      <w:r w:rsidR="00FA086B">
        <w:rPr>
          <w:rStyle w:val="FootnoteReference"/>
        </w:rPr>
        <w:footnoteRef/>
      </w:r>
      <w:r>
        <w:rPr>
          <w:lang w:val="fr-FR"/>
        </w:rPr>
        <w:tab/>
      </w:r>
      <w:r w:rsidR="00FA086B" w:rsidRPr="00FA086B">
        <w:rPr>
          <w:lang w:val="fr-FR"/>
        </w:rPr>
        <w:t>Article 31 de la Constitution (annexe 1).</w:t>
      </w:r>
    </w:p>
  </w:footnote>
  <w:footnote w:id="78">
    <w:p w14:paraId="3D33424A" w14:textId="3595C03C" w:rsidR="00FA086B" w:rsidRPr="00BA72FF" w:rsidRDefault="00E433C6" w:rsidP="00FA086B">
      <w:pPr>
        <w:pStyle w:val="FootnoteText"/>
        <w:tabs>
          <w:tab w:val="right" w:pos="1195"/>
          <w:tab w:val="left" w:pos="1267"/>
          <w:tab w:val="left" w:pos="1742"/>
          <w:tab w:val="left" w:pos="2218"/>
          <w:tab w:val="left" w:pos="2693"/>
        </w:tabs>
        <w:ind w:left="1267" w:right="1260" w:hanging="576"/>
        <w:rPr>
          <w:lang w:val="fr-FR"/>
        </w:rPr>
      </w:pPr>
      <w:r>
        <w:rPr>
          <w:lang w:val="fr-FR"/>
        </w:rPr>
        <w:tab/>
      </w:r>
      <w:r w:rsidR="00FA086B">
        <w:rPr>
          <w:rStyle w:val="FootnoteReference"/>
        </w:rPr>
        <w:footnoteRef/>
      </w:r>
      <w:r>
        <w:rPr>
          <w:lang w:val="fr-FR"/>
        </w:rPr>
        <w:tab/>
      </w:r>
      <w:r w:rsidR="00FA086B" w:rsidRPr="00FA086B">
        <w:rPr>
          <w:lang w:val="fr-FR"/>
        </w:rPr>
        <w:t xml:space="preserve">Articles 5, 9, 15, 40, 153, 154, 158, 161, 179, 181 et 346 du Code du travail (annexe 4). </w:t>
      </w:r>
    </w:p>
  </w:footnote>
  <w:footnote w:id="79">
    <w:p w14:paraId="7282F1B0" w14:textId="74007321" w:rsidR="00FA086B" w:rsidRPr="00B57D27" w:rsidRDefault="00E433C6" w:rsidP="00FA086B">
      <w:pPr>
        <w:pStyle w:val="FootnoteText"/>
        <w:tabs>
          <w:tab w:val="right" w:pos="1195"/>
          <w:tab w:val="left" w:pos="1267"/>
          <w:tab w:val="left" w:pos="1742"/>
          <w:tab w:val="left" w:pos="2218"/>
          <w:tab w:val="left" w:pos="2693"/>
        </w:tabs>
        <w:ind w:left="1267" w:right="1260" w:hanging="576"/>
        <w:rPr>
          <w:lang w:val="fr-FR"/>
        </w:rPr>
      </w:pPr>
      <w:r>
        <w:rPr>
          <w:lang w:val="fr-FR"/>
        </w:rPr>
        <w:tab/>
      </w:r>
      <w:r w:rsidR="00FA086B">
        <w:rPr>
          <w:rStyle w:val="FootnoteReference"/>
        </w:rPr>
        <w:footnoteRef/>
      </w:r>
      <w:r>
        <w:rPr>
          <w:lang w:val="fr-FR"/>
        </w:rPr>
        <w:tab/>
      </w:r>
      <w:r w:rsidR="00FA086B" w:rsidRPr="00FA086B">
        <w:rPr>
          <w:lang w:val="fr-FR"/>
        </w:rPr>
        <w:t xml:space="preserve">Une journée d’étude sur l’article 31 de la Constitution a été organisée en octobre 2018. </w:t>
      </w:r>
    </w:p>
  </w:footnote>
  <w:footnote w:id="80">
    <w:p w14:paraId="247EE0DB" w14:textId="6FD0D08C" w:rsidR="00FA086B" w:rsidRPr="00F62E61" w:rsidRDefault="00E433C6" w:rsidP="00FA086B">
      <w:pPr>
        <w:pStyle w:val="FootnoteText"/>
        <w:tabs>
          <w:tab w:val="right" w:pos="1195"/>
          <w:tab w:val="left" w:pos="1267"/>
          <w:tab w:val="left" w:pos="1742"/>
          <w:tab w:val="left" w:pos="2218"/>
          <w:tab w:val="left" w:pos="2693"/>
        </w:tabs>
        <w:ind w:left="1267" w:right="1260" w:hanging="576"/>
        <w:rPr>
          <w:lang w:val="fr-FR"/>
        </w:rPr>
      </w:pPr>
      <w:r>
        <w:rPr>
          <w:lang w:val="fr-FR"/>
        </w:rPr>
        <w:tab/>
      </w:r>
      <w:r w:rsidR="00FA086B">
        <w:rPr>
          <w:rStyle w:val="FootnoteReference"/>
        </w:rPr>
        <w:footnoteRef/>
      </w:r>
      <w:r>
        <w:rPr>
          <w:lang w:val="fr-FR"/>
        </w:rPr>
        <w:tab/>
      </w:r>
      <w:r w:rsidR="00FA086B" w:rsidRPr="00FA086B">
        <w:rPr>
          <w:lang w:val="fr-FR"/>
        </w:rPr>
        <w:t>Décret n</w:t>
      </w:r>
      <w:r w:rsidR="00FA086B" w:rsidRPr="00FA086B">
        <w:rPr>
          <w:vertAlign w:val="superscript"/>
          <w:lang w:val="fr-FR"/>
        </w:rPr>
        <w:t>o</w:t>
      </w:r>
      <w:r w:rsidR="00FA086B" w:rsidRPr="00FA086B">
        <w:rPr>
          <w:lang w:val="fr-FR"/>
        </w:rPr>
        <w:t xml:space="preserve"> 2-08-357 de juillet 2008.</w:t>
      </w:r>
    </w:p>
  </w:footnote>
  <w:footnote w:id="81">
    <w:p w14:paraId="3284E509" w14:textId="607D016C" w:rsidR="00FA086B" w:rsidRPr="00143E85" w:rsidRDefault="00E433C6" w:rsidP="00FA086B">
      <w:pPr>
        <w:pStyle w:val="FootnoteText"/>
        <w:tabs>
          <w:tab w:val="right" w:pos="1195"/>
          <w:tab w:val="left" w:pos="1267"/>
          <w:tab w:val="left" w:pos="1742"/>
          <w:tab w:val="left" w:pos="2218"/>
          <w:tab w:val="left" w:pos="2693"/>
        </w:tabs>
        <w:ind w:left="1267" w:right="1260" w:hanging="576"/>
        <w:rPr>
          <w:lang w:val="fr-FR"/>
        </w:rPr>
      </w:pPr>
      <w:r>
        <w:rPr>
          <w:lang w:val="fr-FR"/>
        </w:rPr>
        <w:tab/>
      </w:r>
      <w:r w:rsidR="00FA086B">
        <w:rPr>
          <w:rStyle w:val="FootnoteReference"/>
        </w:rPr>
        <w:footnoteRef/>
      </w:r>
      <w:r>
        <w:rPr>
          <w:lang w:val="fr-FR"/>
        </w:rPr>
        <w:tab/>
      </w:r>
      <w:r w:rsidR="00FA086B" w:rsidRPr="00FA086B">
        <w:rPr>
          <w:lang w:val="fr-FR"/>
        </w:rPr>
        <w:t>Décret n</w:t>
      </w:r>
      <w:r w:rsidR="00FA086B" w:rsidRPr="00FA086B">
        <w:rPr>
          <w:vertAlign w:val="superscript"/>
          <w:lang w:val="fr-FR"/>
        </w:rPr>
        <w:t>o</w:t>
      </w:r>
      <w:r w:rsidR="00FA086B" w:rsidRPr="00FA086B">
        <w:rPr>
          <w:lang w:val="fr-FR"/>
        </w:rPr>
        <w:t xml:space="preserve"> 2-11-432 de juin 2011.</w:t>
      </w:r>
    </w:p>
  </w:footnote>
  <w:footnote w:id="82">
    <w:p w14:paraId="2F535BF1" w14:textId="40FC4C1B" w:rsidR="00FA086B" w:rsidRPr="00833BAC" w:rsidRDefault="00E433C6" w:rsidP="00FA086B">
      <w:pPr>
        <w:pStyle w:val="FootnoteText"/>
        <w:tabs>
          <w:tab w:val="right" w:pos="1195"/>
          <w:tab w:val="left" w:pos="1267"/>
          <w:tab w:val="left" w:pos="1742"/>
          <w:tab w:val="left" w:pos="2218"/>
          <w:tab w:val="left" w:pos="2693"/>
        </w:tabs>
        <w:ind w:left="1267" w:right="1260" w:hanging="576"/>
        <w:rPr>
          <w:lang w:val="fr-FR"/>
        </w:rPr>
      </w:pPr>
      <w:r>
        <w:rPr>
          <w:lang w:val="fr-FR"/>
        </w:rPr>
        <w:tab/>
      </w:r>
      <w:r w:rsidR="00FA086B">
        <w:rPr>
          <w:rStyle w:val="FootnoteReference"/>
        </w:rPr>
        <w:footnoteRef/>
      </w:r>
      <w:r>
        <w:rPr>
          <w:lang w:val="fr-FR"/>
        </w:rPr>
        <w:tab/>
      </w:r>
      <w:r w:rsidR="00FA086B" w:rsidRPr="00FA086B">
        <w:rPr>
          <w:lang w:val="fr-FR"/>
        </w:rPr>
        <w:t>Décret n</w:t>
      </w:r>
      <w:r w:rsidR="00FA086B" w:rsidRPr="00FA086B">
        <w:rPr>
          <w:vertAlign w:val="superscript"/>
          <w:lang w:val="fr-FR"/>
        </w:rPr>
        <w:t>o</w:t>
      </w:r>
      <w:r w:rsidR="00FA086B" w:rsidRPr="00FA086B">
        <w:rPr>
          <w:lang w:val="fr-FR"/>
        </w:rPr>
        <w:t xml:space="preserve"> 2-11-464 de septembre 2011 (annexe 20).</w:t>
      </w:r>
    </w:p>
  </w:footnote>
  <w:footnote w:id="83">
    <w:p w14:paraId="240D252B" w14:textId="50502692" w:rsidR="00FA086B" w:rsidRPr="007179C2" w:rsidRDefault="00E433C6" w:rsidP="00FA086B">
      <w:pPr>
        <w:pStyle w:val="FootnoteText"/>
        <w:tabs>
          <w:tab w:val="right" w:pos="1195"/>
          <w:tab w:val="left" w:pos="1267"/>
          <w:tab w:val="left" w:pos="1742"/>
          <w:tab w:val="left" w:pos="2218"/>
          <w:tab w:val="left" w:pos="2693"/>
        </w:tabs>
        <w:ind w:left="1267" w:right="1260" w:hanging="576"/>
        <w:rPr>
          <w:lang w:val="fr-FR"/>
        </w:rPr>
      </w:pPr>
      <w:r>
        <w:rPr>
          <w:lang w:val="fr-FR"/>
        </w:rPr>
        <w:tab/>
      </w:r>
      <w:r w:rsidR="00FA086B" w:rsidRPr="007C4234">
        <w:rPr>
          <w:rStyle w:val="FootnoteReference"/>
        </w:rPr>
        <w:footnoteRef/>
      </w:r>
      <w:r>
        <w:rPr>
          <w:lang w:val="fr-FR"/>
        </w:rPr>
        <w:tab/>
      </w:r>
      <w:r w:rsidR="00FA086B" w:rsidRPr="00FA086B">
        <w:rPr>
          <w:lang w:val="fr-FR"/>
        </w:rPr>
        <w:t>Les disparités sont liées au marché du travail et se répercutent le taux de couverture sociale des femmes.</w:t>
      </w:r>
    </w:p>
  </w:footnote>
  <w:footnote w:id="84">
    <w:p w14:paraId="2CF79DC5" w14:textId="06471DD5" w:rsidR="00FA086B" w:rsidRPr="00B005EB" w:rsidRDefault="00E433C6" w:rsidP="00FA086B">
      <w:pPr>
        <w:pStyle w:val="FootnoteText"/>
        <w:tabs>
          <w:tab w:val="right" w:pos="1195"/>
          <w:tab w:val="left" w:pos="1267"/>
          <w:tab w:val="left" w:pos="1742"/>
          <w:tab w:val="left" w:pos="2218"/>
          <w:tab w:val="left" w:pos="2693"/>
        </w:tabs>
        <w:ind w:left="1267" w:right="1260" w:hanging="576"/>
        <w:rPr>
          <w:lang w:val="fr-FR"/>
        </w:rPr>
      </w:pPr>
      <w:r>
        <w:rPr>
          <w:lang w:val="fr-FR"/>
        </w:rPr>
        <w:tab/>
      </w:r>
      <w:r w:rsidR="00FA086B">
        <w:rPr>
          <w:rStyle w:val="FootnoteReference"/>
        </w:rPr>
        <w:footnoteRef/>
      </w:r>
      <w:r>
        <w:rPr>
          <w:lang w:val="fr-FR"/>
        </w:rPr>
        <w:tab/>
      </w:r>
      <w:r w:rsidR="00FA086B" w:rsidRPr="00FA086B">
        <w:rPr>
          <w:lang w:val="fr-FR"/>
        </w:rPr>
        <w:t>Article 31 de la Constitution (annexe 1).</w:t>
      </w:r>
    </w:p>
  </w:footnote>
  <w:footnote w:id="85">
    <w:p w14:paraId="326C493D" w14:textId="050B5656" w:rsidR="00FA086B" w:rsidRPr="001D40F3" w:rsidRDefault="00E433C6" w:rsidP="00FA086B">
      <w:pPr>
        <w:pStyle w:val="FootnoteText"/>
        <w:tabs>
          <w:tab w:val="right" w:pos="1195"/>
          <w:tab w:val="left" w:pos="1267"/>
          <w:tab w:val="left" w:pos="1742"/>
          <w:tab w:val="left" w:pos="2218"/>
          <w:tab w:val="left" w:pos="2693"/>
        </w:tabs>
        <w:ind w:left="1267" w:right="1260" w:hanging="576"/>
        <w:rPr>
          <w:lang w:val="fr-FR"/>
        </w:rPr>
      </w:pPr>
      <w:r>
        <w:rPr>
          <w:lang w:val="fr-FR"/>
        </w:rPr>
        <w:tab/>
      </w:r>
      <w:r w:rsidR="00FA086B">
        <w:rPr>
          <w:rStyle w:val="FootnoteReference"/>
        </w:rPr>
        <w:footnoteRef/>
      </w:r>
      <w:r>
        <w:rPr>
          <w:lang w:val="fr-FR"/>
        </w:rPr>
        <w:tab/>
      </w:r>
      <w:r w:rsidR="00FA086B" w:rsidRPr="00FA086B">
        <w:rPr>
          <w:lang w:val="fr-FR"/>
        </w:rPr>
        <w:t>Loi n</w:t>
      </w:r>
      <w:r w:rsidR="00FA086B" w:rsidRPr="00FA086B">
        <w:rPr>
          <w:vertAlign w:val="superscript"/>
          <w:lang w:val="fr-FR"/>
        </w:rPr>
        <w:t>o</w:t>
      </w:r>
      <w:r w:rsidR="00FA086B" w:rsidRPr="00FA086B">
        <w:rPr>
          <w:lang w:val="fr-FR"/>
        </w:rPr>
        <w:t xml:space="preserve"> 98-15.</w:t>
      </w:r>
    </w:p>
  </w:footnote>
  <w:footnote w:id="86">
    <w:p w14:paraId="2A5A43AE" w14:textId="464436AF" w:rsidR="00FA086B" w:rsidRPr="00090B84" w:rsidRDefault="00E433C6" w:rsidP="00FA086B">
      <w:pPr>
        <w:pStyle w:val="FootnoteText"/>
        <w:tabs>
          <w:tab w:val="right" w:pos="1195"/>
          <w:tab w:val="left" w:pos="1267"/>
          <w:tab w:val="left" w:pos="1742"/>
          <w:tab w:val="left" w:pos="2218"/>
          <w:tab w:val="left" w:pos="2693"/>
        </w:tabs>
        <w:ind w:left="1267" w:right="1260" w:hanging="576"/>
      </w:pPr>
      <w:r>
        <w:tab/>
      </w:r>
      <w:r w:rsidR="00FA086B">
        <w:rPr>
          <w:rStyle w:val="FootnoteReference"/>
        </w:rPr>
        <w:footnoteRef/>
      </w:r>
      <w:r>
        <w:tab/>
      </w:r>
      <w:r w:rsidR="00FA086B" w:rsidRPr="00FA086B">
        <w:t>Ce plan comprend six axes : renforcement des programmes et actions de prévention et de dépistage précoce des pathologies à l’origine du handicap ; amélioration de la prise en charge ; renforcement de la formation de base et de la formation continue ; renforcement du cadre juridique et des partenariats ; mobilisation sociale et lutte contre la stigmatisation ; suivi, évaluation et recherche scientifique.</w:t>
      </w:r>
    </w:p>
  </w:footnote>
  <w:footnote w:id="87">
    <w:p w14:paraId="47A94188" w14:textId="29397F4C" w:rsidR="00FA086B" w:rsidRPr="0052773A" w:rsidRDefault="00E433C6" w:rsidP="00FA086B">
      <w:pPr>
        <w:pStyle w:val="FootnoteText"/>
        <w:tabs>
          <w:tab w:val="right" w:pos="1195"/>
          <w:tab w:val="left" w:pos="1267"/>
          <w:tab w:val="left" w:pos="1742"/>
          <w:tab w:val="left" w:pos="2218"/>
          <w:tab w:val="left" w:pos="2693"/>
        </w:tabs>
        <w:ind w:left="1267" w:right="1260" w:hanging="576"/>
        <w:rPr>
          <w:lang w:val="fr-FR"/>
        </w:rPr>
      </w:pPr>
      <w:r>
        <w:rPr>
          <w:lang w:val="fr-FR"/>
        </w:rPr>
        <w:tab/>
      </w:r>
      <w:r w:rsidR="00FA086B" w:rsidRPr="008231F7">
        <w:rPr>
          <w:rStyle w:val="FootnoteReference"/>
        </w:rPr>
        <w:footnoteRef/>
      </w:r>
      <w:r>
        <w:rPr>
          <w:lang w:val="fr-FR"/>
        </w:rPr>
        <w:tab/>
      </w:r>
      <w:r w:rsidR="00FA086B" w:rsidRPr="00FA086B">
        <w:rPr>
          <w:lang w:val="fr-FR"/>
        </w:rPr>
        <w:t>Programme Tayssir, programme « un million de cartables » et régime d’assistance médicale ; lancement d’un programme d’appui aux personnes en situation de handicap, d’un programme de soutien des veuves fin 2015, après que des critères d’éligibilité, lignes directrices et règles de décaissement ont été adoptées.</w:t>
      </w:r>
    </w:p>
  </w:footnote>
  <w:footnote w:id="88">
    <w:p w14:paraId="4343E210" w14:textId="046A99CD" w:rsidR="00FA086B" w:rsidRPr="00F90D3D" w:rsidRDefault="00E433C6" w:rsidP="00FA086B">
      <w:pPr>
        <w:pStyle w:val="FootnoteText"/>
        <w:tabs>
          <w:tab w:val="right" w:pos="1195"/>
          <w:tab w:val="left" w:pos="1267"/>
          <w:tab w:val="left" w:pos="1742"/>
          <w:tab w:val="left" w:pos="2218"/>
          <w:tab w:val="left" w:pos="2693"/>
        </w:tabs>
        <w:ind w:left="1267" w:right="1260" w:hanging="576"/>
        <w:rPr>
          <w:lang w:val="fr-FR"/>
        </w:rPr>
      </w:pPr>
      <w:r>
        <w:rPr>
          <w:lang w:val="fr-FR"/>
        </w:rPr>
        <w:tab/>
      </w:r>
      <w:r w:rsidR="00FA086B">
        <w:rPr>
          <w:rStyle w:val="FootnoteReference"/>
        </w:rPr>
        <w:footnoteRef/>
      </w:r>
      <w:r>
        <w:rPr>
          <w:lang w:val="fr-FR"/>
        </w:rPr>
        <w:tab/>
      </w:r>
      <w:r w:rsidR="00FA086B" w:rsidRPr="00FA086B">
        <w:rPr>
          <w:lang w:val="fr-FR"/>
        </w:rPr>
        <w:t>Dahir n</w:t>
      </w:r>
      <w:r w:rsidR="00FA086B" w:rsidRPr="00FA086B">
        <w:rPr>
          <w:vertAlign w:val="superscript"/>
          <w:lang w:val="fr-FR"/>
        </w:rPr>
        <w:t>o</w:t>
      </w:r>
      <w:r w:rsidR="00FA086B" w:rsidRPr="00FA086B">
        <w:rPr>
          <w:lang w:val="fr-FR"/>
        </w:rPr>
        <w:t xml:space="preserve"> 1-18-20 de février 2018 relative à l’application de la loi n</w:t>
      </w:r>
      <w:r w:rsidR="00FA086B" w:rsidRPr="00FA086B">
        <w:rPr>
          <w:vertAlign w:val="superscript"/>
          <w:lang w:val="fr-FR"/>
        </w:rPr>
        <w:t>o</w:t>
      </w:r>
      <w:r w:rsidR="00FA086B" w:rsidRPr="00FA086B">
        <w:rPr>
          <w:lang w:val="fr-FR"/>
        </w:rPr>
        <w:t xml:space="preserve"> 83-17 modifiant la loi 41-10 relative au Fonds d’entraide familiale (annexe 32). </w:t>
      </w:r>
    </w:p>
  </w:footnote>
  <w:footnote w:id="89">
    <w:p w14:paraId="1E44499F" w14:textId="080A90BA" w:rsidR="00FA086B" w:rsidRPr="00A403D8" w:rsidRDefault="00E433C6" w:rsidP="00FA086B">
      <w:pPr>
        <w:pStyle w:val="FootnoteText"/>
        <w:tabs>
          <w:tab w:val="right" w:pos="1195"/>
          <w:tab w:val="left" w:pos="1267"/>
          <w:tab w:val="left" w:pos="1742"/>
          <w:tab w:val="left" w:pos="2218"/>
          <w:tab w:val="left" w:pos="2693"/>
        </w:tabs>
        <w:ind w:left="1267" w:right="1260" w:hanging="576"/>
        <w:rPr>
          <w:lang w:val="fr-FR"/>
        </w:rPr>
      </w:pPr>
      <w:r>
        <w:rPr>
          <w:lang w:val="fr-FR"/>
        </w:rPr>
        <w:tab/>
      </w:r>
      <w:r w:rsidR="00FA086B">
        <w:rPr>
          <w:rStyle w:val="FootnoteReference"/>
        </w:rPr>
        <w:footnoteRef/>
      </w:r>
      <w:r>
        <w:rPr>
          <w:lang w:val="fr-FR"/>
        </w:rPr>
        <w:tab/>
      </w:r>
      <w:r w:rsidR="00FA086B" w:rsidRPr="00FA086B">
        <w:rPr>
          <w:lang w:val="fr-FR"/>
        </w:rPr>
        <w:t>Décret n</w:t>
      </w:r>
      <w:r w:rsidR="00FA086B" w:rsidRPr="00FA086B">
        <w:rPr>
          <w:vertAlign w:val="superscript"/>
          <w:lang w:val="fr-FR"/>
        </w:rPr>
        <w:t>o</w:t>
      </w:r>
      <w:r w:rsidR="00FA086B" w:rsidRPr="00FA086B">
        <w:rPr>
          <w:lang w:val="fr-FR"/>
        </w:rPr>
        <w:t xml:space="preserve"> 2-18-249 du Conseil de gouvernement publié au Bulletin officiel n</w:t>
      </w:r>
      <w:r w:rsidR="00FA086B" w:rsidRPr="00FA086B">
        <w:rPr>
          <w:vertAlign w:val="superscript"/>
          <w:lang w:val="fr-FR"/>
        </w:rPr>
        <w:t>o</w:t>
      </w:r>
      <w:r w:rsidR="00FA086B" w:rsidRPr="00FA086B">
        <w:rPr>
          <w:lang w:val="fr-FR"/>
        </w:rPr>
        <w:t xml:space="preserve"> 4427 (juillet 2018) modifiant le décret n</w:t>
      </w:r>
      <w:r w:rsidR="00FA086B" w:rsidRPr="00FA086B">
        <w:rPr>
          <w:vertAlign w:val="superscript"/>
          <w:lang w:val="fr-FR"/>
        </w:rPr>
        <w:t>o</w:t>
      </w:r>
      <w:r w:rsidR="00FA086B" w:rsidRPr="00FA086B">
        <w:rPr>
          <w:lang w:val="fr-FR"/>
        </w:rPr>
        <w:t xml:space="preserve"> 2-11-195 (septembre 2011) pris pour l’application des dispositions de la loi n</w:t>
      </w:r>
      <w:r w:rsidR="00FA086B" w:rsidRPr="00FA086B">
        <w:rPr>
          <w:vertAlign w:val="superscript"/>
          <w:lang w:val="fr-FR"/>
        </w:rPr>
        <w:t>o</w:t>
      </w:r>
      <w:r w:rsidR="00FA086B" w:rsidRPr="00FA086B">
        <w:rPr>
          <w:lang w:val="fr-FR"/>
        </w:rPr>
        <w:t xml:space="preserve"> 41-10 fixant les conditions et procédures pour bénéficier des prestations du Fonds d’entraide familiale (annexe 21). </w:t>
      </w:r>
    </w:p>
  </w:footnote>
  <w:footnote w:id="90">
    <w:p w14:paraId="3CC90904" w14:textId="50373CDE" w:rsidR="00FA086B" w:rsidRPr="00B4786F" w:rsidRDefault="00E433C6" w:rsidP="00FA086B">
      <w:pPr>
        <w:pStyle w:val="FootnoteText"/>
        <w:tabs>
          <w:tab w:val="right" w:pos="1195"/>
          <w:tab w:val="left" w:pos="1267"/>
          <w:tab w:val="left" w:pos="1742"/>
          <w:tab w:val="left" w:pos="2218"/>
          <w:tab w:val="left" w:pos="2693"/>
        </w:tabs>
        <w:ind w:left="1267" w:right="1260" w:hanging="576"/>
        <w:rPr>
          <w:lang w:val="fr-FR"/>
        </w:rPr>
      </w:pPr>
      <w:r>
        <w:rPr>
          <w:lang w:val="fr-FR"/>
        </w:rPr>
        <w:tab/>
      </w:r>
      <w:r w:rsidR="00FA086B" w:rsidRPr="00A403D8">
        <w:rPr>
          <w:rStyle w:val="FootnoteReference"/>
        </w:rPr>
        <w:footnoteRef/>
      </w:r>
      <w:r>
        <w:rPr>
          <w:lang w:val="fr-FR"/>
        </w:rPr>
        <w:tab/>
      </w:r>
      <w:r w:rsidR="00FA086B" w:rsidRPr="00FA086B">
        <w:rPr>
          <w:lang w:val="fr-FR"/>
        </w:rPr>
        <w:t>(Annexe 22).</w:t>
      </w:r>
    </w:p>
  </w:footnote>
  <w:footnote w:id="91">
    <w:p w14:paraId="076BB766" w14:textId="31FD32F8" w:rsidR="00FA086B" w:rsidRPr="0087223E" w:rsidRDefault="00E433C6" w:rsidP="00FA086B">
      <w:pPr>
        <w:pStyle w:val="FootnoteText"/>
        <w:tabs>
          <w:tab w:val="right" w:pos="1195"/>
          <w:tab w:val="left" w:pos="1267"/>
          <w:tab w:val="left" w:pos="1742"/>
          <w:tab w:val="left" w:pos="2218"/>
          <w:tab w:val="left" w:pos="2693"/>
        </w:tabs>
        <w:ind w:left="1267" w:right="1260" w:hanging="576"/>
        <w:rPr>
          <w:lang w:val="fr-FR"/>
        </w:rPr>
      </w:pPr>
      <w:r>
        <w:rPr>
          <w:lang w:val="fr-FR"/>
        </w:rPr>
        <w:tab/>
      </w:r>
      <w:r w:rsidR="00FA086B" w:rsidRPr="00A403D8">
        <w:rPr>
          <w:rStyle w:val="FootnoteReference"/>
        </w:rPr>
        <w:footnoteRef/>
      </w:r>
      <w:r>
        <w:rPr>
          <w:lang w:val="fr-FR"/>
        </w:rPr>
        <w:tab/>
      </w:r>
      <w:r w:rsidR="00FA086B" w:rsidRPr="00FA086B">
        <w:rPr>
          <w:lang w:val="fr-FR"/>
        </w:rPr>
        <w:t xml:space="preserve">Les femmes représentaient 21 % des membres des organes de gouvernance en 2017, contre 6 % au plus en 2005. </w:t>
      </w:r>
    </w:p>
  </w:footnote>
  <w:footnote w:id="92">
    <w:p w14:paraId="0B4E0652" w14:textId="4C327EC5" w:rsidR="00FA086B" w:rsidRPr="00626278" w:rsidRDefault="00E433C6" w:rsidP="00FA086B">
      <w:pPr>
        <w:pStyle w:val="FootnoteText"/>
        <w:tabs>
          <w:tab w:val="right" w:pos="1195"/>
          <w:tab w:val="left" w:pos="1267"/>
          <w:tab w:val="left" w:pos="1742"/>
          <w:tab w:val="left" w:pos="2218"/>
          <w:tab w:val="left" w:pos="2693"/>
        </w:tabs>
        <w:ind w:left="1267" w:right="1260" w:hanging="576"/>
        <w:rPr>
          <w:lang w:val="fr-FR"/>
        </w:rPr>
      </w:pPr>
      <w:r>
        <w:rPr>
          <w:lang w:val="fr-FR"/>
        </w:rPr>
        <w:tab/>
      </w:r>
      <w:r w:rsidR="00FA086B">
        <w:rPr>
          <w:rStyle w:val="FootnoteReference"/>
        </w:rPr>
        <w:footnoteRef/>
      </w:r>
      <w:r>
        <w:rPr>
          <w:lang w:val="fr-FR"/>
        </w:rPr>
        <w:tab/>
      </w:r>
      <w:r w:rsidR="00FA086B" w:rsidRPr="00FA086B">
        <w:rPr>
          <w:lang w:val="fr-FR"/>
        </w:rPr>
        <w:t>Projet mené de 2012 à juin 2018 dans le cadre d’un partenariat entre le secteur du travail et le Bureau international du Travail et bénéficiant d’une aide financière du Ministère canadien des affaires étrangères.</w:t>
      </w:r>
    </w:p>
  </w:footnote>
  <w:footnote w:id="93">
    <w:p w14:paraId="4B553501" w14:textId="5BC905F3" w:rsidR="00FA086B" w:rsidRPr="005434A2" w:rsidRDefault="00E433C6" w:rsidP="00FA086B">
      <w:pPr>
        <w:pStyle w:val="FootnoteText"/>
        <w:tabs>
          <w:tab w:val="right" w:pos="1195"/>
          <w:tab w:val="left" w:pos="1267"/>
          <w:tab w:val="left" w:pos="1742"/>
          <w:tab w:val="left" w:pos="2218"/>
          <w:tab w:val="left" w:pos="2693"/>
        </w:tabs>
        <w:ind w:left="1267" w:right="1260" w:hanging="576"/>
        <w:rPr>
          <w:lang w:val="fr-FR"/>
        </w:rPr>
      </w:pPr>
      <w:r>
        <w:rPr>
          <w:lang w:val="fr-FR"/>
        </w:rPr>
        <w:tab/>
      </w:r>
      <w:r w:rsidR="00FA086B" w:rsidRPr="00A3791E">
        <w:rPr>
          <w:rStyle w:val="FootnoteReference"/>
        </w:rPr>
        <w:footnoteRef/>
      </w:r>
      <w:r>
        <w:rPr>
          <w:lang w:val="fr-FR"/>
        </w:rPr>
        <w:tab/>
      </w:r>
      <w:r w:rsidR="00FA086B" w:rsidRPr="00FA086B">
        <w:rPr>
          <w:lang w:val="fr-FR"/>
        </w:rPr>
        <w:t>Décision du Ministre de la culture et communication n</w:t>
      </w:r>
      <w:r w:rsidR="00FA086B" w:rsidRPr="00FA086B">
        <w:rPr>
          <w:vertAlign w:val="superscript"/>
          <w:lang w:val="fr-FR"/>
        </w:rPr>
        <w:t>o</w:t>
      </w:r>
      <w:r w:rsidR="00FA086B" w:rsidRPr="00FA086B">
        <w:rPr>
          <w:lang w:val="fr-FR"/>
        </w:rPr>
        <w:t xml:space="preserve"> 2017/18.</w:t>
      </w:r>
    </w:p>
  </w:footnote>
  <w:footnote w:id="94">
    <w:p w14:paraId="378DE4D8" w14:textId="31C959E8" w:rsidR="00FA086B" w:rsidRPr="0062044C" w:rsidRDefault="00E433C6" w:rsidP="00FA086B">
      <w:pPr>
        <w:pStyle w:val="FootnoteText"/>
        <w:tabs>
          <w:tab w:val="right" w:pos="1195"/>
          <w:tab w:val="left" w:pos="1267"/>
          <w:tab w:val="left" w:pos="1742"/>
          <w:tab w:val="left" w:pos="2218"/>
          <w:tab w:val="left" w:pos="2693"/>
        </w:tabs>
        <w:ind w:left="1267" w:right="1260" w:hanging="576"/>
        <w:rPr>
          <w:lang w:val="fr-FR"/>
        </w:rPr>
      </w:pPr>
      <w:r>
        <w:rPr>
          <w:lang w:val="fr-FR"/>
        </w:rPr>
        <w:tab/>
      </w:r>
      <w:r w:rsidR="00FA086B" w:rsidRPr="003F211F">
        <w:rPr>
          <w:rStyle w:val="FootnoteReference"/>
        </w:rPr>
        <w:footnoteRef/>
      </w:r>
      <w:r>
        <w:rPr>
          <w:lang w:val="fr-FR"/>
        </w:rPr>
        <w:tab/>
      </w:r>
      <w:r w:rsidR="00FA086B" w:rsidRPr="00FA086B">
        <w:rPr>
          <w:lang w:val="fr-FR"/>
        </w:rPr>
        <w:t>Le village (</w:t>
      </w:r>
      <w:r w:rsidR="00FA086B" w:rsidRPr="00FA086B">
        <w:rPr>
          <w:i/>
          <w:iCs/>
          <w:lang w:val="fr-FR"/>
        </w:rPr>
        <w:t>douar</w:t>
      </w:r>
      <w:r w:rsidR="00FA086B" w:rsidRPr="00FA086B">
        <w:rPr>
          <w:lang w:val="fr-FR"/>
        </w:rPr>
        <w:t xml:space="preserve">) désigne un groupement d’habitations dans lesquelles vit un groupe de population. </w:t>
      </w:r>
    </w:p>
  </w:footnote>
  <w:footnote w:id="95">
    <w:p w14:paraId="599100EB" w14:textId="2C45544A" w:rsidR="00FA086B" w:rsidRPr="00D117E1" w:rsidRDefault="00E433C6" w:rsidP="00FA086B">
      <w:pPr>
        <w:pStyle w:val="FootnoteText"/>
        <w:tabs>
          <w:tab w:val="right" w:pos="1195"/>
          <w:tab w:val="left" w:pos="1267"/>
          <w:tab w:val="left" w:pos="1742"/>
          <w:tab w:val="left" w:pos="2218"/>
          <w:tab w:val="left" w:pos="2693"/>
        </w:tabs>
        <w:ind w:left="1267" w:right="1260" w:hanging="576"/>
        <w:rPr>
          <w:lang w:val="fr-FR"/>
        </w:rPr>
      </w:pPr>
      <w:r>
        <w:tab/>
      </w:r>
      <w:r w:rsidR="00FA086B">
        <w:rPr>
          <w:rStyle w:val="FootnoteReference"/>
        </w:rPr>
        <w:footnoteRef/>
      </w:r>
      <w:r>
        <w:tab/>
      </w:r>
      <w:r w:rsidR="00FA086B" w:rsidRPr="00FA086B">
        <w:rPr>
          <w:lang w:val="fr-FR"/>
        </w:rPr>
        <w:t>Voir article 12 dans le présent rapport.</w:t>
      </w:r>
    </w:p>
  </w:footnote>
  <w:footnote w:id="96">
    <w:p w14:paraId="2ADD1808" w14:textId="3D74EDFE" w:rsidR="00FA086B" w:rsidRPr="003075FC" w:rsidRDefault="00E433C6" w:rsidP="00FA086B">
      <w:pPr>
        <w:pStyle w:val="FootnoteText"/>
        <w:tabs>
          <w:tab w:val="right" w:pos="1195"/>
          <w:tab w:val="left" w:pos="1267"/>
          <w:tab w:val="left" w:pos="1742"/>
          <w:tab w:val="left" w:pos="2218"/>
          <w:tab w:val="left" w:pos="2693"/>
        </w:tabs>
        <w:ind w:left="1267" w:right="1260" w:hanging="576"/>
        <w:rPr>
          <w:lang w:val="fr-FR"/>
        </w:rPr>
      </w:pPr>
      <w:r>
        <w:rPr>
          <w:lang w:val="fr-FR"/>
        </w:rPr>
        <w:tab/>
      </w:r>
      <w:r w:rsidR="00FA086B" w:rsidRPr="003075FC">
        <w:rPr>
          <w:rStyle w:val="FootnoteReference"/>
          <w:lang w:val="fr-FR"/>
        </w:rPr>
        <w:footnoteRef/>
      </w:r>
      <w:r>
        <w:rPr>
          <w:lang w:val="fr-FR"/>
        </w:rPr>
        <w:tab/>
      </w:r>
      <w:r w:rsidR="00FA086B" w:rsidRPr="00FA086B">
        <w:rPr>
          <w:lang w:val="fr-FR"/>
        </w:rPr>
        <w:t>Plan « Maroc vert ».</w:t>
      </w:r>
    </w:p>
  </w:footnote>
  <w:footnote w:id="97">
    <w:p w14:paraId="7EEFAA84" w14:textId="2CA0BD49" w:rsidR="00FA086B" w:rsidRPr="00FA086B" w:rsidRDefault="00E433C6" w:rsidP="00FA086B">
      <w:pPr>
        <w:pStyle w:val="FootnoteText"/>
        <w:tabs>
          <w:tab w:val="right" w:pos="1195"/>
          <w:tab w:val="left" w:pos="1267"/>
          <w:tab w:val="left" w:pos="1742"/>
          <w:tab w:val="left" w:pos="2218"/>
          <w:tab w:val="left" w:pos="2693"/>
        </w:tabs>
        <w:ind w:left="1267" w:right="1260" w:hanging="576"/>
        <w:rPr>
          <w:lang w:val="fr-FR"/>
        </w:rPr>
      </w:pPr>
      <w:r>
        <w:rPr>
          <w:lang w:val="fr-FR"/>
        </w:rPr>
        <w:tab/>
      </w:r>
      <w:r w:rsidR="00FA086B">
        <w:rPr>
          <w:rStyle w:val="FootnoteReference"/>
        </w:rPr>
        <w:footnoteRef/>
      </w:r>
    </w:p>
  </w:footnote>
  <w:footnote w:id="98">
    <w:p w14:paraId="4B6D9252" w14:textId="6357DEA8" w:rsidR="00FA086B" w:rsidRPr="00592A66" w:rsidRDefault="00E433C6" w:rsidP="00FA086B">
      <w:pPr>
        <w:pStyle w:val="FootnoteText"/>
        <w:tabs>
          <w:tab w:val="right" w:pos="1195"/>
          <w:tab w:val="left" w:pos="1267"/>
          <w:tab w:val="left" w:pos="1742"/>
          <w:tab w:val="left" w:pos="2218"/>
          <w:tab w:val="left" w:pos="2693"/>
        </w:tabs>
        <w:ind w:left="1267" w:right="1260" w:hanging="576"/>
        <w:rPr>
          <w:lang w:val="fr-FR"/>
        </w:rPr>
      </w:pPr>
      <w:r>
        <w:rPr>
          <w:lang w:val="fr-FR"/>
        </w:rPr>
        <w:tab/>
      </w:r>
      <w:r w:rsidR="00FA086B">
        <w:rPr>
          <w:rStyle w:val="FootnoteReference"/>
        </w:rPr>
        <w:footnoteRef/>
      </w:r>
      <w:r>
        <w:rPr>
          <w:lang w:val="fr-FR"/>
        </w:rPr>
        <w:tab/>
      </w:r>
      <w:r w:rsidR="00FA086B" w:rsidRPr="00FA086B">
        <w:rPr>
          <w:lang w:val="fr-FR"/>
        </w:rPr>
        <w:t xml:space="preserve">Circulaire de la présidence du Ministère public sur le mariage des mineurs (annexe 23). </w:t>
      </w:r>
    </w:p>
  </w:footnote>
  <w:footnote w:id="99">
    <w:p w14:paraId="4593441B" w14:textId="6294ED8F" w:rsidR="00FA086B" w:rsidRPr="006A7150" w:rsidRDefault="00E433C6" w:rsidP="00FA086B">
      <w:pPr>
        <w:pStyle w:val="FootnoteText"/>
        <w:tabs>
          <w:tab w:val="right" w:pos="1195"/>
          <w:tab w:val="left" w:pos="1267"/>
          <w:tab w:val="left" w:pos="1742"/>
          <w:tab w:val="left" w:pos="2218"/>
          <w:tab w:val="left" w:pos="2693"/>
        </w:tabs>
        <w:ind w:left="1267" w:right="1260" w:hanging="576"/>
        <w:rPr>
          <w:lang w:val="fr-FR"/>
        </w:rPr>
      </w:pPr>
      <w:r>
        <w:rPr>
          <w:lang w:val="fr-FR"/>
        </w:rPr>
        <w:tab/>
      </w:r>
      <w:r w:rsidR="00FA086B" w:rsidRPr="00861997">
        <w:rPr>
          <w:rStyle w:val="FootnoteReference"/>
        </w:rPr>
        <w:footnoteRef/>
      </w:r>
      <w:r>
        <w:rPr>
          <w:lang w:val="fr-FR"/>
        </w:rPr>
        <w:tab/>
      </w:r>
      <w:r w:rsidR="00FA086B" w:rsidRPr="00FA086B">
        <w:rPr>
          <w:lang w:val="fr-FR"/>
        </w:rPr>
        <w:t xml:space="preserve">On entend par « kad wa-sa`ya » (labeur et poursuite de l’effort), une pratique coutumière, les efforts faits par l’épouse en vue de faire fructifier le patrimoine de la famille qui lui donnent le droit d’obtenir sa part de ce patrimoine en cas de divorce. </w:t>
      </w:r>
    </w:p>
  </w:footnote>
  <w:footnote w:id="100">
    <w:p w14:paraId="3DA8A45D" w14:textId="44539E5E" w:rsidR="00FA086B" w:rsidRPr="001C22D8" w:rsidRDefault="00E433C6" w:rsidP="00FA086B">
      <w:pPr>
        <w:pStyle w:val="FootnoteText"/>
        <w:tabs>
          <w:tab w:val="right" w:pos="1195"/>
          <w:tab w:val="left" w:pos="1267"/>
          <w:tab w:val="left" w:pos="1742"/>
          <w:tab w:val="left" w:pos="2218"/>
          <w:tab w:val="left" w:pos="2693"/>
        </w:tabs>
        <w:ind w:left="1267" w:right="1260" w:hanging="576"/>
        <w:rPr>
          <w:lang w:val="fr-FR"/>
        </w:rPr>
      </w:pPr>
      <w:r>
        <w:rPr>
          <w:lang w:val="fr-FR"/>
        </w:rPr>
        <w:tab/>
      </w:r>
      <w:r w:rsidR="00FA086B" w:rsidRPr="001C22D8">
        <w:rPr>
          <w:rStyle w:val="FootnoteReference"/>
          <w:lang w:val="fr-FR"/>
        </w:rPr>
        <w:footnoteRef/>
      </w:r>
      <w:r>
        <w:rPr>
          <w:lang w:val="fr-FR"/>
        </w:rPr>
        <w:tab/>
      </w:r>
      <w:r w:rsidR="00FA086B" w:rsidRPr="00FA086B">
        <w:rPr>
          <w:lang w:val="fr-FR"/>
        </w:rPr>
        <w:t>Loi n</w:t>
      </w:r>
      <w:r w:rsidR="00FA086B" w:rsidRPr="00FA086B">
        <w:rPr>
          <w:vertAlign w:val="superscript"/>
          <w:lang w:val="fr-FR"/>
        </w:rPr>
        <w:t>o</w:t>
      </w:r>
      <w:r w:rsidR="00FA086B" w:rsidRPr="00FA086B">
        <w:rPr>
          <w:lang w:val="fr-FR"/>
        </w:rPr>
        <w:t xml:space="preserve"> 78-14, Bulletin officiel n</w:t>
      </w:r>
      <w:r w:rsidR="00FA086B" w:rsidRPr="00FA086B">
        <w:rPr>
          <w:vertAlign w:val="superscript"/>
          <w:lang w:val="fr-FR"/>
        </w:rPr>
        <w:t>o</w:t>
      </w:r>
      <w:r w:rsidR="00FA086B" w:rsidRPr="00FA086B">
        <w:rPr>
          <w:lang w:val="fr-FR"/>
        </w:rPr>
        <w:t xml:space="preserve"> 6491 (août 2016) (annexe 24). </w:t>
      </w:r>
    </w:p>
  </w:footnote>
  <w:footnote w:id="101">
    <w:p w14:paraId="09B6547D" w14:textId="4D45061A" w:rsidR="00FA086B" w:rsidRPr="00675D55" w:rsidRDefault="00E433C6" w:rsidP="00FA086B">
      <w:pPr>
        <w:pStyle w:val="FootnoteText"/>
        <w:tabs>
          <w:tab w:val="right" w:pos="1195"/>
          <w:tab w:val="left" w:pos="1267"/>
          <w:tab w:val="left" w:pos="1742"/>
          <w:tab w:val="left" w:pos="2218"/>
          <w:tab w:val="left" w:pos="2693"/>
        </w:tabs>
        <w:ind w:left="1267" w:right="1260" w:hanging="576"/>
        <w:rPr>
          <w:lang w:val="fr-FR"/>
        </w:rPr>
      </w:pPr>
      <w:r>
        <w:rPr>
          <w:lang w:val="fr-FR"/>
        </w:rPr>
        <w:tab/>
      </w:r>
      <w:r w:rsidR="00FA086B">
        <w:rPr>
          <w:rStyle w:val="FootnoteReference"/>
        </w:rPr>
        <w:footnoteRef/>
      </w:r>
      <w:r>
        <w:rPr>
          <w:lang w:val="fr-FR"/>
        </w:rPr>
        <w:tab/>
        <w:t>Treize</w:t>
      </w:r>
      <w:r w:rsidR="00FA086B" w:rsidRPr="00FA086B">
        <w:rPr>
          <w:lang w:val="fr-FR"/>
        </w:rPr>
        <w:t xml:space="preserve"> secteurs publics, 8 organismes du système des Nations Unies et plus de 40 associations de la société civile.</w:t>
      </w:r>
    </w:p>
  </w:footnote>
  <w:footnote w:id="102">
    <w:p w14:paraId="32D3E493" w14:textId="705C5B10" w:rsidR="00FA086B" w:rsidRPr="008C4662" w:rsidRDefault="00E433C6" w:rsidP="00FA086B">
      <w:pPr>
        <w:pStyle w:val="FootnoteText"/>
        <w:tabs>
          <w:tab w:val="right" w:pos="1195"/>
          <w:tab w:val="left" w:pos="1267"/>
          <w:tab w:val="left" w:pos="1742"/>
          <w:tab w:val="left" w:pos="2218"/>
          <w:tab w:val="left" w:pos="2693"/>
        </w:tabs>
        <w:ind w:left="1267" w:right="1260" w:hanging="576"/>
        <w:rPr>
          <w:lang w:val="fr-FR"/>
        </w:rPr>
      </w:pPr>
      <w:r>
        <w:rPr>
          <w:lang w:val="fr-FR"/>
        </w:rPr>
        <w:tab/>
      </w:r>
      <w:r w:rsidR="00FA086B">
        <w:rPr>
          <w:rStyle w:val="FootnoteReference"/>
        </w:rPr>
        <w:footnoteRef/>
      </w:r>
      <w:r>
        <w:rPr>
          <w:lang w:val="fr-FR"/>
        </w:rPr>
        <w:tab/>
      </w:r>
      <w:r w:rsidR="00FA086B" w:rsidRPr="00FA086B">
        <w:rPr>
          <w:lang w:val="fr-FR"/>
        </w:rPr>
        <w:t>Bulletin officiel n</w:t>
      </w:r>
      <w:r w:rsidR="00FA086B" w:rsidRPr="00FA086B">
        <w:rPr>
          <w:vertAlign w:val="superscript"/>
          <w:lang w:val="fr-FR"/>
        </w:rPr>
        <w:t>o</w:t>
      </w:r>
      <w:r w:rsidR="00FA086B" w:rsidRPr="00FA086B">
        <w:rPr>
          <w:lang w:val="fr-FR"/>
        </w:rPr>
        <w:t xml:space="preserve"> 6655 (mars 2018) (annexe 33). </w:t>
      </w:r>
    </w:p>
  </w:footnote>
  <w:footnote w:id="103">
    <w:p w14:paraId="05F4B8D7" w14:textId="28A6A3DF" w:rsidR="00FA086B" w:rsidRPr="009C4661" w:rsidRDefault="00FA086B" w:rsidP="00FA086B">
      <w:pPr>
        <w:pStyle w:val="FootnoteText"/>
        <w:tabs>
          <w:tab w:val="right" w:pos="1195"/>
          <w:tab w:val="left" w:pos="1267"/>
          <w:tab w:val="left" w:pos="1742"/>
          <w:tab w:val="left" w:pos="2218"/>
          <w:tab w:val="left" w:pos="2693"/>
        </w:tabs>
        <w:ind w:left="1267" w:right="1260" w:hanging="576"/>
        <w:rPr>
          <w:lang w:val="fr-FR"/>
        </w:rPr>
      </w:pPr>
      <w:r>
        <w:rPr>
          <w:lang w:val="fr-FR"/>
        </w:rPr>
        <w:tab/>
      </w:r>
      <w:r>
        <w:rPr>
          <w:rStyle w:val="FootnoteReference"/>
        </w:rPr>
        <w:footnoteRef/>
      </w:r>
      <w:r>
        <w:rPr>
          <w:lang w:val="fr-FR"/>
        </w:rPr>
        <w:tab/>
      </w:r>
      <w:r w:rsidRPr="00FA086B">
        <w:rPr>
          <w:lang w:val="fr-FR"/>
        </w:rPr>
        <w:t>(Annexe 33).</w:t>
      </w:r>
    </w:p>
  </w:footnote>
  <w:footnote w:id="104">
    <w:p w14:paraId="1863D6FE" w14:textId="552F8D90" w:rsidR="00FA086B" w:rsidRPr="00735A20" w:rsidRDefault="00FA086B" w:rsidP="00FA086B">
      <w:pPr>
        <w:pStyle w:val="FootnoteText"/>
        <w:tabs>
          <w:tab w:val="right" w:pos="1195"/>
          <w:tab w:val="left" w:pos="1267"/>
          <w:tab w:val="left" w:pos="1742"/>
          <w:tab w:val="left" w:pos="2218"/>
          <w:tab w:val="left" w:pos="2693"/>
        </w:tabs>
        <w:ind w:left="1267" w:right="1260" w:hanging="576"/>
        <w:rPr>
          <w:lang w:val="fr-FR"/>
        </w:rPr>
      </w:pPr>
      <w:r>
        <w:rPr>
          <w:lang w:val="fr-FR"/>
        </w:rPr>
        <w:tab/>
      </w:r>
      <w:r w:rsidRPr="00DD1F8D">
        <w:rPr>
          <w:rStyle w:val="FootnoteReference"/>
        </w:rPr>
        <w:footnoteRef/>
      </w:r>
      <w:r>
        <w:rPr>
          <w:lang w:val="fr-FR"/>
        </w:rPr>
        <w:tab/>
      </w:r>
      <w:r w:rsidRPr="00FA086B">
        <w:rPr>
          <w:lang w:val="fr-FR"/>
        </w:rPr>
        <w:t>Rapport de l’Observatoire, 2015-2016 (annexe 34).</w:t>
      </w:r>
    </w:p>
  </w:footnote>
  <w:footnote w:id="105">
    <w:p w14:paraId="1DE03330" w14:textId="43B287D8" w:rsidR="00FA086B" w:rsidRPr="00767954" w:rsidRDefault="00FA086B" w:rsidP="00FA086B">
      <w:pPr>
        <w:pStyle w:val="FootnoteText"/>
        <w:tabs>
          <w:tab w:val="right" w:pos="1195"/>
          <w:tab w:val="left" w:pos="1267"/>
          <w:tab w:val="left" w:pos="1742"/>
          <w:tab w:val="left" w:pos="2218"/>
          <w:tab w:val="left" w:pos="2693"/>
        </w:tabs>
        <w:ind w:left="1267" w:right="1260" w:hanging="576"/>
        <w:rPr>
          <w:lang w:val="fr-FR"/>
        </w:rPr>
      </w:pPr>
      <w:r>
        <w:rPr>
          <w:lang w:val="fr-FR"/>
        </w:rPr>
        <w:tab/>
      </w:r>
      <w:r w:rsidRPr="006F4676">
        <w:rPr>
          <w:rStyle w:val="FootnoteReference"/>
        </w:rPr>
        <w:footnoteRef/>
      </w:r>
      <w:r>
        <w:rPr>
          <w:lang w:val="fr-FR"/>
        </w:rPr>
        <w:tab/>
      </w:r>
      <w:r w:rsidRPr="00FA086B">
        <w:rPr>
          <w:lang w:val="fr-FR"/>
        </w:rPr>
        <w:t>Article 5 de l’arrêté n</w:t>
      </w:r>
      <w:r w:rsidRPr="00FA086B">
        <w:rPr>
          <w:vertAlign w:val="superscript"/>
          <w:lang w:val="fr-FR"/>
        </w:rPr>
        <w:t>o</w:t>
      </w:r>
      <w:r w:rsidRPr="00FA086B">
        <w:rPr>
          <w:lang w:val="fr-FR"/>
        </w:rPr>
        <w:t xml:space="preserve"> 1299-13 du Ministre de la santé (avril 2013), circulaire ministérielle n</w:t>
      </w:r>
      <w:r w:rsidRPr="00FA086B">
        <w:rPr>
          <w:vertAlign w:val="superscript"/>
          <w:lang w:val="fr-FR"/>
        </w:rPr>
        <w:t>o</w:t>
      </w:r>
      <w:r>
        <w:rPr>
          <w:lang w:val="fr-FR"/>
        </w:rPr>
        <w:t> </w:t>
      </w:r>
      <w:r w:rsidRPr="00FA086B">
        <w:rPr>
          <w:lang w:val="fr-FR"/>
        </w:rPr>
        <w:t xml:space="preserve">1040 </w:t>
      </w:r>
      <w:r w:rsidRPr="00FA086B">
        <w:rPr>
          <w:i/>
          <w:iCs/>
          <w:lang w:val="fr-FR"/>
        </w:rPr>
        <w:t>mim sin</w:t>
      </w:r>
      <w:r w:rsidRPr="00FA086B">
        <w:rPr>
          <w:lang w:val="fr-FR"/>
        </w:rPr>
        <w:t xml:space="preserve"> /31 et circulaire ministérielle n</w:t>
      </w:r>
      <w:r w:rsidRPr="00FA086B">
        <w:rPr>
          <w:vertAlign w:val="superscript"/>
          <w:lang w:val="fr-FR"/>
        </w:rPr>
        <w:t>o</w:t>
      </w:r>
      <w:r w:rsidRPr="00FA086B">
        <w:rPr>
          <w:lang w:val="fr-FR"/>
        </w:rPr>
        <w:t xml:space="preserve"> 162</w:t>
      </w:r>
      <w:r w:rsidRPr="00FA086B">
        <w:t xml:space="preserve"> </w:t>
      </w:r>
      <w:r w:rsidRPr="00FA086B">
        <w:rPr>
          <w:i/>
          <w:iCs/>
          <w:lang w:val="fr-FR"/>
        </w:rPr>
        <w:t>mim ayn mim</w:t>
      </w:r>
      <w:r w:rsidRPr="00FA086B">
        <w:rPr>
          <w:lang w:val="fr-FR"/>
        </w:rPr>
        <w:t xml:space="preserve"> (Annexe 25).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FA086B" w14:paraId="5EEFC7A5" w14:textId="77777777" w:rsidTr="00EB668C">
      <w:trPr>
        <w:trHeight w:hRule="exact" w:val="864"/>
      </w:trPr>
      <w:tc>
        <w:tcPr>
          <w:tcW w:w="4920" w:type="dxa"/>
          <w:shd w:val="clear" w:color="auto" w:fill="auto"/>
          <w:vAlign w:val="bottom"/>
        </w:tcPr>
        <w:p w14:paraId="0A1C4000" w14:textId="02B082C6" w:rsidR="00FA086B" w:rsidRPr="00EB668C" w:rsidRDefault="00FA086B" w:rsidP="00EB668C">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B73376">
            <w:rPr>
              <w:b/>
              <w:color w:val="000000"/>
            </w:rPr>
            <w:t>CEDAW/C/MAR/5-6</w:t>
          </w:r>
          <w:r>
            <w:rPr>
              <w:b/>
              <w:color w:val="000000"/>
            </w:rPr>
            <w:fldChar w:fldCharType="end"/>
          </w:r>
        </w:p>
      </w:tc>
      <w:tc>
        <w:tcPr>
          <w:tcW w:w="4920" w:type="dxa"/>
          <w:shd w:val="clear" w:color="auto" w:fill="auto"/>
          <w:vAlign w:val="bottom"/>
        </w:tcPr>
        <w:p w14:paraId="78D00229" w14:textId="77777777" w:rsidR="00FA086B" w:rsidRDefault="00FA086B" w:rsidP="00EB668C">
          <w:pPr>
            <w:pStyle w:val="Header"/>
          </w:pPr>
        </w:p>
      </w:tc>
    </w:tr>
  </w:tbl>
  <w:p w14:paraId="2FCADC62" w14:textId="77777777" w:rsidR="00FA086B" w:rsidRPr="00EB668C" w:rsidRDefault="00FA086B" w:rsidP="00EB668C">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FA086B" w14:paraId="6D7BBC2B" w14:textId="77777777" w:rsidTr="00EB668C">
      <w:trPr>
        <w:trHeight w:hRule="exact" w:val="864"/>
      </w:trPr>
      <w:tc>
        <w:tcPr>
          <w:tcW w:w="4920" w:type="dxa"/>
          <w:shd w:val="clear" w:color="auto" w:fill="auto"/>
          <w:vAlign w:val="bottom"/>
        </w:tcPr>
        <w:p w14:paraId="7901E367" w14:textId="77777777" w:rsidR="00FA086B" w:rsidRDefault="00FA086B" w:rsidP="00EB668C">
          <w:pPr>
            <w:pStyle w:val="Header"/>
          </w:pPr>
        </w:p>
      </w:tc>
      <w:tc>
        <w:tcPr>
          <w:tcW w:w="4920" w:type="dxa"/>
          <w:shd w:val="clear" w:color="auto" w:fill="auto"/>
          <w:vAlign w:val="bottom"/>
        </w:tcPr>
        <w:p w14:paraId="587DCF04" w14:textId="2BE096D7" w:rsidR="00FA086B" w:rsidRPr="00EB668C" w:rsidRDefault="00FA086B" w:rsidP="00EB668C">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B73376">
            <w:rPr>
              <w:b/>
              <w:color w:val="000000"/>
            </w:rPr>
            <w:t>CEDAW/C/MAR/5-6</w:t>
          </w:r>
          <w:r>
            <w:rPr>
              <w:b/>
              <w:color w:val="000000"/>
            </w:rPr>
            <w:fldChar w:fldCharType="end"/>
          </w:r>
        </w:p>
      </w:tc>
    </w:tr>
  </w:tbl>
  <w:p w14:paraId="3EEEB728" w14:textId="77777777" w:rsidR="00FA086B" w:rsidRPr="00EB668C" w:rsidRDefault="00FA086B" w:rsidP="00EB668C">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FA086B" w14:paraId="50B30FB3" w14:textId="77777777" w:rsidTr="00EB668C">
      <w:trPr>
        <w:trHeight w:hRule="exact" w:val="864"/>
      </w:trPr>
      <w:tc>
        <w:tcPr>
          <w:tcW w:w="1267" w:type="dxa"/>
          <w:tcBorders>
            <w:bottom w:val="single" w:sz="4" w:space="0" w:color="auto"/>
          </w:tcBorders>
          <w:shd w:val="clear" w:color="auto" w:fill="auto"/>
          <w:vAlign w:val="bottom"/>
        </w:tcPr>
        <w:p w14:paraId="7D9785FA" w14:textId="77777777" w:rsidR="00FA086B" w:rsidRDefault="00FA086B" w:rsidP="00EB668C">
          <w:pPr>
            <w:pStyle w:val="Header"/>
            <w:spacing w:after="120"/>
          </w:pPr>
        </w:p>
      </w:tc>
      <w:tc>
        <w:tcPr>
          <w:tcW w:w="2059" w:type="dxa"/>
          <w:tcBorders>
            <w:bottom w:val="single" w:sz="4" w:space="0" w:color="auto"/>
          </w:tcBorders>
          <w:shd w:val="clear" w:color="auto" w:fill="auto"/>
          <w:vAlign w:val="bottom"/>
        </w:tcPr>
        <w:p w14:paraId="38FBCBAF" w14:textId="77777777" w:rsidR="00FA086B" w:rsidRPr="00EB668C" w:rsidRDefault="00FA086B" w:rsidP="00EB668C">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2EC1DDA7" w14:textId="77777777" w:rsidR="00FA086B" w:rsidRDefault="00FA086B" w:rsidP="00EB668C">
          <w:pPr>
            <w:pStyle w:val="Header"/>
            <w:spacing w:after="120"/>
          </w:pPr>
        </w:p>
      </w:tc>
      <w:tc>
        <w:tcPr>
          <w:tcW w:w="6466" w:type="dxa"/>
          <w:gridSpan w:val="3"/>
          <w:tcBorders>
            <w:bottom w:val="single" w:sz="4" w:space="0" w:color="auto"/>
          </w:tcBorders>
          <w:shd w:val="clear" w:color="auto" w:fill="auto"/>
          <w:vAlign w:val="bottom"/>
        </w:tcPr>
        <w:p w14:paraId="5E612AC7" w14:textId="77777777" w:rsidR="00FA086B" w:rsidRPr="00EB668C" w:rsidRDefault="00FA086B" w:rsidP="00EB668C">
          <w:pPr>
            <w:spacing w:after="80" w:line="240" w:lineRule="auto"/>
            <w:jc w:val="right"/>
            <w:rPr>
              <w:position w:val="-4"/>
            </w:rPr>
          </w:pPr>
          <w:r>
            <w:rPr>
              <w:position w:val="-4"/>
              <w:sz w:val="40"/>
            </w:rPr>
            <w:t>CEDAW</w:t>
          </w:r>
          <w:r>
            <w:rPr>
              <w:position w:val="-4"/>
            </w:rPr>
            <w:t>/C/MAR/5-6</w:t>
          </w:r>
        </w:p>
      </w:tc>
    </w:tr>
    <w:tr w:rsidR="00FA086B" w:rsidRPr="00EB668C" w14:paraId="6CFAA879" w14:textId="77777777" w:rsidTr="00EB668C">
      <w:trPr>
        <w:trHeight w:hRule="exact" w:val="2880"/>
      </w:trPr>
      <w:tc>
        <w:tcPr>
          <w:tcW w:w="1267" w:type="dxa"/>
          <w:tcBorders>
            <w:top w:val="single" w:sz="4" w:space="0" w:color="auto"/>
            <w:bottom w:val="single" w:sz="12" w:space="0" w:color="auto"/>
          </w:tcBorders>
          <w:shd w:val="clear" w:color="auto" w:fill="auto"/>
        </w:tcPr>
        <w:p w14:paraId="006E2617" w14:textId="77777777" w:rsidR="00FA086B" w:rsidRPr="00EB668C" w:rsidRDefault="00FA086B" w:rsidP="00EB668C">
          <w:pPr>
            <w:pStyle w:val="Header"/>
            <w:spacing w:before="120" w:line="240" w:lineRule="auto"/>
            <w:ind w:left="-72"/>
            <w:jc w:val="center"/>
          </w:pPr>
          <w:r>
            <w:t xml:space="preserve">  </w:t>
          </w:r>
          <w:r>
            <w:rPr>
              <w:noProof/>
            </w:rPr>
            <w:drawing>
              <wp:inline distT="0" distB="0" distL="0" distR="0" wp14:anchorId="6A72903F" wp14:editId="4814A2D1">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1CB7EE97" w14:textId="70BEED00" w:rsidR="00FA086B" w:rsidRPr="00EB668C" w:rsidRDefault="00FA086B" w:rsidP="00EB668C">
          <w:pPr>
            <w:pStyle w:val="XLarge"/>
            <w:spacing w:before="120" w:line="360" w:lineRule="exact"/>
            <w:rPr>
              <w:sz w:val="36"/>
            </w:rPr>
          </w:pPr>
          <w:r>
            <w:rPr>
              <w:sz w:val="36"/>
            </w:rPr>
            <w:t>Convention sur l’élimination</w:t>
          </w:r>
          <w:r>
            <w:rPr>
              <w:sz w:val="36"/>
            </w:rPr>
            <w:br/>
            <w:t>de toutes les formes</w:t>
          </w:r>
          <w:r>
            <w:rPr>
              <w:sz w:val="36"/>
            </w:rPr>
            <w:br/>
            <w:t>de discrimination à l’égard</w:t>
          </w:r>
          <w:r>
            <w:rPr>
              <w:sz w:val="36"/>
            </w:rPr>
            <w:br/>
            <w:t xml:space="preserve">des femmes </w:t>
          </w:r>
        </w:p>
      </w:tc>
      <w:tc>
        <w:tcPr>
          <w:tcW w:w="245" w:type="dxa"/>
          <w:tcBorders>
            <w:top w:val="single" w:sz="4" w:space="0" w:color="auto"/>
            <w:bottom w:val="single" w:sz="12" w:space="0" w:color="auto"/>
          </w:tcBorders>
          <w:shd w:val="clear" w:color="auto" w:fill="auto"/>
        </w:tcPr>
        <w:p w14:paraId="5748CD1B" w14:textId="77777777" w:rsidR="00FA086B" w:rsidRPr="00B35EE7" w:rsidRDefault="00FA086B" w:rsidP="00EB668C">
          <w:pPr>
            <w:pStyle w:val="Header"/>
            <w:spacing w:before="109"/>
            <w:rPr>
              <w:lang w:val="fr-FR"/>
            </w:rPr>
          </w:pPr>
        </w:p>
      </w:tc>
      <w:tc>
        <w:tcPr>
          <w:tcW w:w="3110" w:type="dxa"/>
          <w:tcBorders>
            <w:top w:val="single" w:sz="4" w:space="0" w:color="auto"/>
            <w:bottom w:val="single" w:sz="12" w:space="0" w:color="auto"/>
          </w:tcBorders>
          <w:shd w:val="clear" w:color="auto" w:fill="auto"/>
        </w:tcPr>
        <w:p w14:paraId="1EF15745" w14:textId="77777777" w:rsidR="00FA086B" w:rsidRPr="00B35EE7" w:rsidRDefault="00FA086B" w:rsidP="00EB668C">
          <w:pPr>
            <w:pStyle w:val="Distribution"/>
            <w:rPr>
              <w:color w:val="000000"/>
              <w:lang w:val="fr-FR"/>
            </w:rPr>
          </w:pPr>
          <w:r w:rsidRPr="00B35EE7">
            <w:rPr>
              <w:color w:val="000000"/>
              <w:lang w:val="fr-FR"/>
            </w:rPr>
            <w:t>Distr. générale</w:t>
          </w:r>
        </w:p>
        <w:p w14:paraId="2BADB4C1" w14:textId="77777777" w:rsidR="00FA086B" w:rsidRPr="00B35EE7" w:rsidRDefault="00FA086B" w:rsidP="00EB668C">
          <w:pPr>
            <w:pStyle w:val="Publication"/>
            <w:rPr>
              <w:color w:val="000000"/>
              <w:lang w:val="fr-FR"/>
            </w:rPr>
          </w:pPr>
          <w:r w:rsidRPr="00B35EE7">
            <w:rPr>
              <w:color w:val="000000"/>
              <w:lang w:val="fr-FR"/>
            </w:rPr>
            <w:t>19 février 2020</w:t>
          </w:r>
        </w:p>
        <w:p w14:paraId="41FC1CEA" w14:textId="77777777" w:rsidR="00FA086B" w:rsidRPr="00B35EE7" w:rsidRDefault="00FA086B" w:rsidP="00EB668C">
          <w:pPr>
            <w:rPr>
              <w:lang w:val="fr-FR"/>
            </w:rPr>
          </w:pPr>
          <w:r w:rsidRPr="00B35EE7">
            <w:rPr>
              <w:lang w:val="fr-FR"/>
            </w:rPr>
            <w:t>Français</w:t>
          </w:r>
        </w:p>
        <w:p w14:paraId="7057F0C1" w14:textId="603681F7" w:rsidR="00FA086B" w:rsidRDefault="00FA086B" w:rsidP="00EB668C">
          <w:pPr>
            <w:pStyle w:val="Original"/>
            <w:rPr>
              <w:color w:val="000000"/>
              <w:lang w:val="fr-FR"/>
            </w:rPr>
          </w:pPr>
          <w:r w:rsidRPr="00B35EE7">
            <w:rPr>
              <w:color w:val="000000"/>
              <w:lang w:val="fr-FR"/>
            </w:rPr>
            <w:t>Original</w:t>
          </w:r>
          <w:r>
            <w:rPr>
              <w:color w:val="000000"/>
              <w:lang w:val="fr-FR"/>
            </w:rPr>
            <w:t> :</w:t>
          </w:r>
          <w:r w:rsidRPr="00B35EE7">
            <w:rPr>
              <w:color w:val="000000"/>
              <w:lang w:val="fr-FR"/>
            </w:rPr>
            <w:t xml:space="preserve"> arabe</w:t>
          </w:r>
        </w:p>
        <w:p w14:paraId="7FEE1DD0" w14:textId="78BC022A" w:rsidR="00FA086B" w:rsidRPr="00B35EE7" w:rsidRDefault="00FA086B" w:rsidP="00B35EE7">
          <w:pPr>
            <w:rPr>
              <w:lang w:val="fr-FR"/>
            </w:rPr>
          </w:pPr>
          <w:r w:rsidRPr="00B35EE7">
            <w:rPr>
              <w:lang w:val="fr-FR"/>
            </w:rPr>
            <w:t>Anglais, arabe, espagnol et français seulement</w:t>
          </w:r>
        </w:p>
      </w:tc>
    </w:tr>
  </w:tbl>
  <w:p w14:paraId="671E2A28" w14:textId="77777777" w:rsidR="00FA086B" w:rsidRPr="00B35EE7" w:rsidRDefault="00FA086B" w:rsidP="00EB668C">
    <w:pPr>
      <w:pStyle w:val="Header"/>
      <w:spacing w:line="240" w:lineRule="auto"/>
      <w:rPr>
        <w:sz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5753E"/>
    <w:multiLevelType w:val="hybridMultilevel"/>
    <w:tmpl w:val="82AEB518"/>
    <w:lvl w:ilvl="0" w:tplc="F5289BAC">
      <w:numFmt w:val="bullet"/>
      <w:lvlText w:val="-"/>
      <w:lvlJc w:val="left"/>
      <w:pPr>
        <w:ind w:left="2347" w:hanging="360"/>
      </w:pPr>
      <w:rPr>
        <w:rFonts w:ascii="Times New Roman" w:eastAsiaTheme="minorHAnsi" w:hAnsi="Times New Roman" w:cs="Times New Roman" w:hint="default"/>
      </w:rPr>
    </w:lvl>
    <w:lvl w:ilvl="1" w:tplc="040C0003">
      <w:start w:val="1"/>
      <w:numFmt w:val="bullet"/>
      <w:lvlText w:val="o"/>
      <w:lvlJc w:val="left"/>
      <w:pPr>
        <w:ind w:left="3067" w:hanging="360"/>
      </w:pPr>
      <w:rPr>
        <w:rFonts w:ascii="Courier New" w:hAnsi="Courier New" w:cs="Courier New" w:hint="default"/>
      </w:rPr>
    </w:lvl>
    <w:lvl w:ilvl="2" w:tplc="040C0005" w:tentative="1">
      <w:start w:val="1"/>
      <w:numFmt w:val="bullet"/>
      <w:lvlText w:val=""/>
      <w:lvlJc w:val="left"/>
      <w:pPr>
        <w:ind w:left="3787" w:hanging="360"/>
      </w:pPr>
      <w:rPr>
        <w:rFonts w:ascii="Wingdings" w:hAnsi="Wingdings" w:hint="default"/>
      </w:rPr>
    </w:lvl>
    <w:lvl w:ilvl="3" w:tplc="040C0001" w:tentative="1">
      <w:start w:val="1"/>
      <w:numFmt w:val="bullet"/>
      <w:lvlText w:val=""/>
      <w:lvlJc w:val="left"/>
      <w:pPr>
        <w:ind w:left="4507" w:hanging="360"/>
      </w:pPr>
      <w:rPr>
        <w:rFonts w:ascii="Symbol" w:hAnsi="Symbol" w:hint="default"/>
      </w:rPr>
    </w:lvl>
    <w:lvl w:ilvl="4" w:tplc="040C0003" w:tentative="1">
      <w:start w:val="1"/>
      <w:numFmt w:val="bullet"/>
      <w:lvlText w:val="o"/>
      <w:lvlJc w:val="left"/>
      <w:pPr>
        <w:ind w:left="5227" w:hanging="360"/>
      </w:pPr>
      <w:rPr>
        <w:rFonts w:ascii="Courier New" w:hAnsi="Courier New" w:cs="Courier New" w:hint="default"/>
      </w:rPr>
    </w:lvl>
    <w:lvl w:ilvl="5" w:tplc="040C0005" w:tentative="1">
      <w:start w:val="1"/>
      <w:numFmt w:val="bullet"/>
      <w:lvlText w:val=""/>
      <w:lvlJc w:val="left"/>
      <w:pPr>
        <w:ind w:left="5947" w:hanging="360"/>
      </w:pPr>
      <w:rPr>
        <w:rFonts w:ascii="Wingdings" w:hAnsi="Wingdings" w:hint="default"/>
      </w:rPr>
    </w:lvl>
    <w:lvl w:ilvl="6" w:tplc="040C0001" w:tentative="1">
      <w:start w:val="1"/>
      <w:numFmt w:val="bullet"/>
      <w:lvlText w:val=""/>
      <w:lvlJc w:val="left"/>
      <w:pPr>
        <w:ind w:left="6667" w:hanging="360"/>
      </w:pPr>
      <w:rPr>
        <w:rFonts w:ascii="Symbol" w:hAnsi="Symbol" w:hint="default"/>
      </w:rPr>
    </w:lvl>
    <w:lvl w:ilvl="7" w:tplc="040C0003" w:tentative="1">
      <w:start w:val="1"/>
      <w:numFmt w:val="bullet"/>
      <w:lvlText w:val="o"/>
      <w:lvlJc w:val="left"/>
      <w:pPr>
        <w:ind w:left="7387" w:hanging="360"/>
      </w:pPr>
      <w:rPr>
        <w:rFonts w:ascii="Courier New" w:hAnsi="Courier New" w:cs="Courier New" w:hint="default"/>
      </w:rPr>
    </w:lvl>
    <w:lvl w:ilvl="8" w:tplc="040C0005" w:tentative="1">
      <w:start w:val="1"/>
      <w:numFmt w:val="bullet"/>
      <w:lvlText w:val=""/>
      <w:lvlJc w:val="left"/>
      <w:pPr>
        <w:ind w:left="8107" w:hanging="360"/>
      </w:pPr>
      <w:rPr>
        <w:rFonts w:ascii="Wingdings" w:hAnsi="Wingdings" w:hint="default"/>
      </w:rPr>
    </w:lvl>
  </w:abstractNum>
  <w:abstractNum w:abstractNumId="1" w15:restartNumberingAfterBreak="0">
    <w:nsid w:val="04015290"/>
    <w:multiLevelType w:val="hybridMultilevel"/>
    <w:tmpl w:val="56A451F6"/>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2" w15:restartNumberingAfterBreak="0">
    <w:nsid w:val="085A154C"/>
    <w:multiLevelType w:val="singleLevel"/>
    <w:tmpl w:val="141832C4"/>
    <w:lvl w:ilvl="0">
      <w:start w:val="1"/>
      <w:numFmt w:val="decimal"/>
      <w:lvlRestart w:val="0"/>
      <w:lvlText w:val="%1."/>
      <w:lvlJc w:val="left"/>
      <w:pPr>
        <w:tabs>
          <w:tab w:val="num" w:pos="1742"/>
        </w:tabs>
        <w:ind w:left="1267" w:firstLine="0"/>
      </w:pPr>
      <w:rPr>
        <w:rFonts w:hint="default"/>
        <w:w w:val="100"/>
      </w:rPr>
    </w:lvl>
  </w:abstractNum>
  <w:abstractNum w:abstractNumId="3" w15:restartNumberingAfterBreak="0">
    <w:nsid w:val="12D06B23"/>
    <w:multiLevelType w:val="multilevel"/>
    <w:tmpl w:val="F78C5AAA"/>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4" w15:restartNumberingAfterBreak="0">
    <w:nsid w:val="1592247C"/>
    <w:multiLevelType w:val="hybridMultilevel"/>
    <w:tmpl w:val="140A4918"/>
    <w:lvl w:ilvl="0" w:tplc="57BC552C">
      <w:start w:val="43"/>
      <w:numFmt w:val="decimal"/>
      <w:lvlText w:val="%1."/>
      <w:lvlJc w:val="left"/>
      <w:pPr>
        <w:ind w:left="1987" w:hanging="360"/>
      </w:pPr>
      <w:rPr>
        <w:rFonts w:hint="default"/>
      </w:rPr>
    </w:lvl>
    <w:lvl w:ilvl="1" w:tplc="040C0019">
      <w:start w:val="1"/>
      <w:numFmt w:val="lowerLetter"/>
      <w:lvlText w:val="%2."/>
      <w:lvlJc w:val="left"/>
      <w:pPr>
        <w:ind w:left="2707" w:hanging="360"/>
      </w:pPr>
    </w:lvl>
    <w:lvl w:ilvl="2" w:tplc="040C001B" w:tentative="1">
      <w:start w:val="1"/>
      <w:numFmt w:val="lowerRoman"/>
      <w:lvlText w:val="%3."/>
      <w:lvlJc w:val="right"/>
      <w:pPr>
        <w:ind w:left="3427" w:hanging="180"/>
      </w:pPr>
    </w:lvl>
    <w:lvl w:ilvl="3" w:tplc="040C000F" w:tentative="1">
      <w:start w:val="1"/>
      <w:numFmt w:val="decimal"/>
      <w:lvlText w:val="%4."/>
      <w:lvlJc w:val="left"/>
      <w:pPr>
        <w:ind w:left="4147" w:hanging="360"/>
      </w:pPr>
    </w:lvl>
    <w:lvl w:ilvl="4" w:tplc="040C0019" w:tentative="1">
      <w:start w:val="1"/>
      <w:numFmt w:val="lowerLetter"/>
      <w:lvlText w:val="%5."/>
      <w:lvlJc w:val="left"/>
      <w:pPr>
        <w:ind w:left="4867" w:hanging="360"/>
      </w:pPr>
    </w:lvl>
    <w:lvl w:ilvl="5" w:tplc="040C001B" w:tentative="1">
      <w:start w:val="1"/>
      <w:numFmt w:val="lowerRoman"/>
      <w:lvlText w:val="%6."/>
      <w:lvlJc w:val="right"/>
      <w:pPr>
        <w:ind w:left="5587" w:hanging="180"/>
      </w:pPr>
    </w:lvl>
    <w:lvl w:ilvl="6" w:tplc="040C000F" w:tentative="1">
      <w:start w:val="1"/>
      <w:numFmt w:val="decimal"/>
      <w:lvlText w:val="%7."/>
      <w:lvlJc w:val="left"/>
      <w:pPr>
        <w:ind w:left="6307" w:hanging="360"/>
      </w:pPr>
    </w:lvl>
    <w:lvl w:ilvl="7" w:tplc="040C0019" w:tentative="1">
      <w:start w:val="1"/>
      <w:numFmt w:val="lowerLetter"/>
      <w:lvlText w:val="%8."/>
      <w:lvlJc w:val="left"/>
      <w:pPr>
        <w:ind w:left="7027" w:hanging="360"/>
      </w:pPr>
    </w:lvl>
    <w:lvl w:ilvl="8" w:tplc="040C001B" w:tentative="1">
      <w:start w:val="1"/>
      <w:numFmt w:val="lowerRoman"/>
      <w:lvlText w:val="%9."/>
      <w:lvlJc w:val="right"/>
      <w:pPr>
        <w:ind w:left="7747" w:hanging="180"/>
      </w:pPr>
    </w:lvl>
  </w:abstractNum>
  <w:abstractNum w:abstractNumId="5" w15:restartNumberingAfterBreak="0">
    <w:nsid w:val="16045610"/>
    <w:multiLevelType w:val="hybridMultilevel"/>
    <w:tmpl w:val="C034349A"/>
    <w:lvl w:ilvl="0" w:tplc="040C0005">
      <w:start w:val="1"/>
      <w:numFmt w:val="bullet"/>
      <w:lvlText w:val=""/>
      <w:lvlJc w:val="left"/>
      <w:pPr>
        <w:ind w:left="1987" w:hanging="360"/>
      </w:pPr>
      <w:rPr>
        <w:rFonts w:ascii="Wingdings" w:hAnsi="Wingdings" w:hint="default"/>
      </w:rPr>
    </w:lvl>
    <w:lvl w:ilvl="1" w:tplc="040C0003">
      <w:start w:val="1"/>
      <w:numFmt w:val="bullet"/>
      <w:lvlText w:val="o"/>
      <w:lvlJc w:val="left"/>
      <w:pPr>
        <w:ind w:left="2707" w:hanging="360"/>
      </w:pPr>
      <w:rPr>
        <w:rFonts w:ascii="Courier New" w:hAnsi="Courier New" w:cs="Courier New" w:hint="default"/>
      </w:rPr>
    </w:lvl>
    <w:lvl w:ilvl="2" w:tplc="040C0005" w:tentative="1">
      <w:start w:val="1"/>
      <w:numFmt w:val="bullet"/>
      <w:lvlText w:val=""/>
      <w:lvlJc w:val="left"/>
      <w:pPr>
        <w:ind w:left="3427" w:hanging="360"/>
      </w:pPr>
      <w:rPr>
        <w:rFonts w:ascii="Wingdings" w:hAnsi="Wingdings" w:hint="default"/>
      </w:rPr>
    </w:lvl>
    <w:lvl w:ilvl="3" w:tplc="040C0001" w:tentative="1">
      <w:start w:val="1"/>
      <w:numFmt w:val="bullet"/>
      <w:lvlText w:val=""/>
      <w:lvlJc w:val="left"/>
      <w:pPr>
        <w:ind w:left="4147" w:hanging="360"/>
      </w:pPr>
      <w:rPr>
        <w:rFonts w:ascii="Symbol" w:hAnsi="Symbol" w:hint="default"/>
      </w:rPr>
    </w:lvl>
    <w:lvl w:ilvl="4" w:tplc="040C0003" w:tentative="1">
      <w:start w:val="1"/>
      <w:numFmt w:val="bullet"/>
      <w:lvlText w:val="o"/>
      <w:lvlJc w:val="left"/>
      <w:pPr>
        <w:ind w:left="4867" w:hanging="360"/>
      </w:pPr>
      <w:rPr>
        <w:rFonts w:ascii="Courier New" w:hAnsi="Courier New" w:cs="Courier New" w:hint="default"/>
      </w:rPr>
    </w:lvl>
    <w:lvl w:ilvl="5" w:tplc="040C0005" w:tentative="1">
      <w:start w:val="1"/>
      <w:numFmt w:val="bullet"/>
      <w:lvlText w:val=""/>
      <w:lvlJc w:val="left"/>
      <w:pPr>
        <w:ind w:left="5587" w:hanging="360"/>
      </w:pPr>
      <w:rPr>
        <w:rFonts w:ascii="Wingdings" w:hAnsi="Wingdings" w:hint="default"/>
      </w:rPr>
    </w:lvl>
    <w:lvl w:ilvl="6" w:tplc="040C0001" w:tentative="1">
      <w:start w:val="1"/>
      <w:numFmt w:val="bullet"/>
      <w:lvlText w:val=""/>
      <w:lvlJc w:val="left"/>
      <w:pPr>
        <w:ind w:left="6307" w:hanging="360"/>
      </w:pPr>
      <w:rPr>
        <w:rFonts w:ascii="Symbol" w:hAnsi="Symbol" w:hint="default"/>
      </w:rPr>
    </w:lvl>
    <w:lvl w:ilvl="7" w:tplc="040C0003" w:tentative="1">
      <w:start w:val="1"/>
      <w:numFmt w:val="bullet"/>
      <w:lvlText w:val="o"/>
      <w:lvlJc w:val="left"/>
      <w:pPr>
        <w:ind w:left="7027" w:hanging="360"/>
      </w:pPr>
      <w:rPr>
        <w:rFonts w:ascii="Courier New" w:hAnsi="Courier New" w:cs="Courier New" w:hint="default"/>
      </w:rPr>
    </w:lvl>
    <w:lvl w:ilvl="8" w:tplc="040C0005" w:tentative="1">
      <w:start w:val="1"/>
      <w:numFmt w:val="bullet"/>
      <w:lvlText w:val=""/>
      <w:lvlJc w:val="left"/>
      <w:pPr>
        <w:ind w:left="7747" w:hanging="360"/>
      </w:pPr>
      <w:rPr>
        <w:rFonts w:ascii="Wingdings" w:hAnsi="Wingdings" w:hint="default"/>
      </w:rPr>
    </w:lvl>
  </w:abstractNum>
  <w:abstractNum w:abstractNumId="6" w15:restartNumberingAfterBreak="0">
    <w:nsid w:val="168639FB"/>
    <w:multiLevelType w:val="singleLevel"/>
    <w:tmpl w:val="13889FFC"/>
    <w:lvl w:ilvl="0">
      <w:start w:val="43"/>
      <w:numFmt w:val="decimal"/>
      <w:lvlRestart w:val="0"/>
      <w:lvlText w:val="%1."/>
      <w:lvlJc w:val="left"/>
      <w:pPr>
        <w:tabs>
          <w:tab w:val="num" w:pos="1742"/>
        </w:tabs>
        <w:ind w:left="1267" w:firstLine="0"/>
      </w:pPr>
      <w:rPr>
        <w:w w:val="100"/>
      </w:rPr>
    </w:lvl>
  </w:abstractNum>
  <w:abstractNum w:abstractNumId="7" w15:restartNumberingAfterBreak="0">
    <w:nsid w:val="172F270D"/>
    <w:multiLevelType w:val="hybridMultilevel"/>
    <w:tmpl w:val="47A2628E"/>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7B04BF"/>
    <w:multiLevelType w:val="hybridMultilevel"/>
    <w:tmpl w:val="59FEBDA0"/>
    <w:lvl w:ilvl="0" w:tplc="34FE5C6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06F7BEE"/>
    <w:multiLevelType w:val="hybridMultilevel"/>
    <w:tmpl w:val="140A4918"/>
    <w:lvl w:ilvl="0" w:tplc="57BC552C">
      <w:start w:val="43"/>
      <w:numFmt w:val="decimal"/>
      <w:lvlText w:val="%1."/>
      <w:lvlJc w:val="left"/>
      <w:pPr>
        <w:ind w:left="1987" w:hanging="360"/>
      </w:pPr>
      <w:rPr>
        <w:rFonts w:hint="default"/>
      </w:rPr>
    </w:lvl>
    <w:lvl w:ilvl="1" w:tplc="040C0019">
      <w:start w:val="1"/>
      <w:numFmt w:val="lowerLetter"/>
      <w:lvlText w:val="%2."/>
      <w:lvlJc w:val="left"/>
      <w:pPr>
        <w:ind w:left="2707" w:hanging="360"/>
      </w:pPr>
    </w:lvl>
    <w:lvl w:ilvl="2" w:tplc="040C001B" w:tentative="1">
      <w:start w:val="1"/>
      <w:numFmt w:val="lowerRoman"/>
      <w:lvlText w:val="%3."/>
      <w:lvlJc w:val="right"/>
      <w:pPr>
        <w:ind w:left="3427" w:hanging="180"/>
      </w:pPr>
    </w:lvl>
    <w:lvl w:ilvl="3" w:tplc="040C000F" w:tentative="1">
      <w:start w:val="1"/>
      <w:numFmt w:val="decimal"/>
      <w:lvlText w:val="%4."/>
      <w:lvlJc w:val="left"/>
      <w:pPr>
        <w:ind w:left="4147" w:hanging="360"/>
      </w:pPr>
    </w:lvl>
    <w:lvl w:ilvl="4" w:tplc="040C0019" w:tentative="1">
      <w:start w:val="1"/>
      <w:numFmt w:val="lowerLetter"/>
      <w:lvlText w:val="%5."/>
      <w:lvlJc w:val="left"/>
      <w:pPr>
        <w:ind w:left="4867" w:hanging="360"/>
      </w:pPr>
    </w:lvl>
    <w:lvl w:ilvl="5" w:tplc="040C001B" w:tentative="1">
      <w:start w:val="1"/>
      <w:numFmt w:val="lowerRoman"/>
      <w:lvlText w:val="%6."/>
      <w:lvlJc w:val="right"/>
      <w:pPr>
        <w:ind w:left="5587" w:hanging="180"/>
      </w:pPr>
    </w:lvl>
    <w:lvl w:ilvl="6" w:tplc="040C000F" w:tentative="1">
      <w:start w:val="1"/>
      <w:numFmt w:val="decimal"/>
      <w:lvlText w:val="%7."/>
      <w:lvlJc w:val="left"/>
      <w:pPr>
        <w:ind w:left="6307" w:hanging="360"/>
      </w:pPr>
    </w:lvl>
    <w:lvl w:ilvl="7" w:tplc="040C0019" w:tentative="1">
      <w:start w:val="1"/>
      <w:numFmt w:val="lowerLetter"/>
      <w:lvlText w:val="%8."/>
      <w:lvlJc w:val="left"/>
      <w:pPr>
        <w:ind w:left="7027" w:hanging="360"/>
      </w:pPr>
    </w:lvl>
    <w:lvl w:ilvl="8" w:tplc="040C001B" w:tentative="1">
      <w:start w:val="1"/>
      <w:numFmt w:val="lowerRoman"/>
      <w:lvlText w:val="%9."/>
      <w:lvlJc w:val="right"/>
      <w:pPr>
        <w:ind w:left="7747" w:hanging="180"/>
      </w:pPr>
    </w:lvl>
  </w:abstractNum>
  <w:abstractNum w:abstractNumId="10" w15:restartNumberingAfterBreak="0">
    <w:nsid w:val="43CC34FF"/>
    <w:multiLevelType w:val="hybridMultilevel"/>
    <w:tmpl w:val="191EEA1C"/>
    <w:lvl w:ilvl="0" w:tplc="856014B8">
      <w:start w:val="51"/>
      <w:numFmt w:val="bullet"/>
      <w:lvlText w:val="-"/>
      <w:lvlJc w:val="left"/>
      <w:pPr>
        <w:ind w:left="2347" w:hanging="360"/>
      </w:pPr>
      <w:rPr>
        <w:rFonts w:ascii="Times New Roman" w:eastAsiaTheme="minorHAnsi" w:hAnsi="Times New Roman" w:cs="Times New Roman" w:hint="default"/>
      </w:rPr>
    </w:lvl>
    <w:lvl w:ilvl="1" w:tplc="040C0003">
      <w:start w:val="1"/>
      <w:numFmt w:val="bullet"/>
      <w:lvlText w:val="o"/>
      <w:lvlJc w:val="left"/>
      <w:pPr>
        <w:ind w:left="3067" w:hanging="360"/>
      </w:pPr>
      <w:rPr>
        <w:rFonts w:ascii="Courier New" w:hAnsi="Courier New" w:cs="Courier New" w:hint="default"/>
      </w:rPr>
    </w:lvl>
    <w:lvl w:ilvl="2" w:tplc="040C0005">
      <w:start w:val="1"/>
      <w:numFmt w:val="bullet"/>
      <w:lvlText w:val=""/>
      <w:lvlJc w:val="left"/>
      <w:pPr>
        <w:ind w:left="3787" w:hanging="360"/>
      </w:pPr>
      <w:rPr>
        <w:rFonts w:ascii="Wingdings" w:hAnsi="Wingdings" w:hint="default"/>
      </w:rPr>
    </w:lvl>
    <w:lvl w:ilvl="3" w:tplc="040C0001">
      <w:start w:val="1"/>
      <w:numFmt w:val="bullet"/>
      <w:lvlText w:val=""/>
      <w:lvlJc w:val="left"/>
      <w:pPr>
        <w:ind w:left="4507" w:hanging="360"/>
      </w:pPr>
      <w:rPr>
        <w:rFonts w:ascii="Symbol" w:hAnsi="Symbol" w:hint="default"/>
      </w:rPr>
    </w:lvl>
    <w:lvl w:ilvl="4" w:tplc="040C0003" w:tentative="1">
      <w:start w:val="1"/>
      <w:numFmt w:val="bullet"/>
      <w:lvlText w:val="o"/>
      <w:lvlJc w:val="left"/>
      <w:pPr>
        <w:ind w:left="5227" w:hanging="360"/>
      </w:pPr>
      <w:rPr>
        <w:rFonts w:ascii="Courier New" w:hAnsi="Courier New" w:cs="Courier New" w:hint="default"/>
      </w:rPr>
    </w:lvl>
    <w:lvl w:ilvl="5" w:tplc="040C0005" w:tentative="1">
      <w:start w:val="1"/>
      <w:numFmt w:val="bullet"/>
      <w:lvlText w:val=""/>
      <w:lvlJc w:val="left"/>
      <w:pPr>
        <w:ind w:left="5947" w:hanging="360"/>
      </w:pPr>
      <w:rPr>
        <w:rFonts w:ascii="Wingdings" w:hAnsi="Wingdings" w:hint="default"/>
      </w:rPr>
    </w:lvl>
    <w:lvl w:ilvl="6" w:tplc="040C0001" w:tentative="1">
      <w:start w:val="1"/>
      <w:numFmt w:val="bullet"/>
      <w:lvlText w:val=""/>
      <w:lvlJc w:val="left"/>
      <w:pPr>
        <w:ind w:left="6667" w:hanging="360"/>
      </w:pPr>
      <w:rPr>
        <w:rFonts w:ascii="Symbol" w:hAnsi="Symbol" w:hint="default"/>
      </w:rPr>
    </w:lvl>
    <w:lvl w:ilvl="7" w:tplc="040C0003" w:tentative="1">
      <w:start w:val="1"/>
      <w:numFmt w:val="bullet"/>
      <w:lvlText w:val="o"/>
      <w:lvlJc w:val="left"/>
      <w:pPr>
        <w:ind w:left="7387" w:hanging="360"/>
      </w:pPr>
      <w:rPr>
        <w:rFonts w:ascii="Courier New" w:hAnsi="Courier New" w:cs="Courier New" w:hint="default"/>
      </w:rPr>
    </w:lvl>
    <w:lvl w:ilvl="8" w:tplc="040C0005" w:tentative="1">
      <w:start w:val="1"/>
      <w:numFmt w:val="bullet"/>
      <w:lvlText w:val=""/>
      <w:lvlJc w:val="left"/>
      <w:pPr>
        <w:ind w:left="8107" w:hanging="360"/>
      </w:pPr>
      <w:rPr>
        <w:rFonts w:ascii="Wingdings" w:hAnsi="Wingdings" w:hint="default"/>
      </w:rPr>
    </w:lvl>
  </w:abstractNum>
  <w:abstractNum w:abstractNumId="11" w15:restartNumberingAfterBreak="0">
    <w:nsid w:val="47B40547"/>
    <w:multiLevelType w:val="hybridMultilevel"/>
    <w:tmpl w:val="413C2A34"/>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640CFE"/>
    <w:multiLevelType w:val="hybridMultilevel"/>
    <w:tmpl w:val="3E86FB68"/>
    <w:lvl w:ilvl="0" w:tplc="040C000B">
      <w:start w:val="1"/>
      <w:numFmt w:val="bullet"/>
      <w:lvlText w:val=""/>
      <w:lvlJc w:val="left"/>
      <w:pPr>
        <w:ind w:left="2347" w:hanging="360"/>
      </w:pPr>
      <w:rPr>
        <w:rFonts w:ascii="Wingdings" w:hAnsi="Wingdings" w:hint="default"/>
      </w:rPr>
    </w:lvl>
    <w:lvl w:ilvl="1" w:tplc="040C0003" w:tentative="1">
      <w:start w:val="1"/>
      <w:numFmt w:val="bullet"/>
      <w:lvlText w:val="o"/>
      <w:lvlJc w:val="left"/>
      <w:pPr>
        <w:ind w:left="3067" w:hanging="360"/>
      </w:pPr>
      <w:rPr>
        <w:rFonts w:ascii="Courier New" w:hAnsi="Courier New" w:cs="Courier New" w:hint="default"/>
      </w:rPr>
    </w:lvl>
    <w:lvl w:ilvl="2" w:tplc="040C0005" w:tentative="1">
      <w:start w:val="1"/>
      <w:numFmt w:val="bullet"/>
      <w:lvlText w:val=""/>
      <w:lvlJc w:val="left"/>
      <w:pPr>
        <w:ind w:left="3787" w:hanging="360"/>
      </w:pPr>
      <w:rPr>
        <w:rFonts w:ascii="Wingdings" w:hAnsi="Wingdings" w:hint="default"/>
      </w:rPr>
    </w:lvl>
    <w:lvl w:ilvl="3" w:tplc="040C0001" w:tentative="1">
      <w:start w:val="1"/>
      <w:numFmt w:val="bullet"/>
      <w:lvlText w:val=""/>
      <w:lvlJc w:val="left"/>
      <w:pPr>
        <w:ind w:left="4507" w:hanging="360"/>
      </w:pPr>
      <w:rPr>
        <w:rFonts w:ascii="Symbol" w:hAnsi="Symbol" w:hint="default"/>
      </w:rPr>
    </w:lvl>
    <w:lvl w:ilvl="4" w:tplc="040C0003" w:tentative="1">
      <w:start w:val="1"/>
      <w:numFmt w:val="bullet"/>
      <w:lvlText w:val="o"/>
      <w:lvlJc w:val="left"/>
      <w:pPr>
        <w:ind w:left="5227" w:hanging="360"/>
      </w:pPr>
      <w:rPr>
        <w:rFonts w:ascii="Courier New" w:hAnsi="Courier New" w:cs="Courier New" w:hint="default"/>
      </w:rPr>
    </w:lvl>
    <w:lvl w:ilvl="5" w:tplc="040C0005" w:tentative="1">
      <w:start w:val="1"/>
      <w:numFmt w:val="bullet"/>
      <w:lvlText w:val=""/>
      <w:lvlJc w:val="left"/>
      <w:pPr>
        <w:ind w:left="5947" w:hanging="360"/>
      </w:pPr>
      <w:rPr>
        <w:rFonts w:ascii="Wingdings" w:hAnsi="Wingdings" w:hint="default"/>
      </w:rPr>
    </w:lvl>
    <w:lvl w:ilvl="6" w:tplc="040C0001" w:tentative="1">
      <w:start w:val="1"/>
      <w:numFmt w:val="bullet"/>
      <w:lvlText w:val=""/>
      <w:lvlJc w:val="left"/>
      <w:pPr>
        <w:ind w:left="6667" w:hanging="360"/>
      </w:pPr>
      <w:rPr>
        <w:rFonts w:ascii="Symbol" w:hAnsi="Symbol" w:hint="default"/>
      </w:rPr>
    </w:lvl>
    <w:lvl w:ilvl="7" w:tplc="040C0003" w:tentative="1">
      <w:start w:val="1"/>
      <w:numFmt w:val="bullet"/>
      <w:lvlText w:val="o"/>
      <w:lvlJc w:val="left"/>
      <w:pPr>
        <w:ind w:left="7387" w:hanging="360"/>
      </w:pPr>
      <w:rPr>
        <w:rFonts w:ascii="Courier New" w:hAnsi="Courier New" w:cs="Courier New" w:hint="default"/>
      </w:rPr>
    </w:lvl>
    <w:lvl w:ilvl="8" w:tplc="040C0005" w:tentative="1">
      <w:start w:val="1"/>
      <w:numFmt w:val="bullet"/>
      <w:lvlText w:val=""/>
      <w:lvlJc w:val="left"/>
      <w:pPr>
        <w:ind w:left="8107" w:hanging="360"/>
      </w:pPr>
      <w:rPr>
        <w:rFonts w:ascii="Wingdings" w:hAnsi="Wingdings" w:hint="default"/>
      </w:rPr>
    </w:lvl>
  </w:abstractNum>
  <w:abstractNum w:abstractNumId="13" w15:restartNumberingAfterBreak="0">
    <w:nsid w:val="51A03B99"/>
    <w:multiLevelType w:val="hybridMultilevel"/>
    <w:tmpl w:val="1F7E66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6D276EB"/>
    <w:multiLevelType w:val="hybridMultilevel"/>
    <w:tmpl w:val="CBC271A8"/>
    <w:lvl w:ilvl="0" w:tplc="19146500">
      <w:start w:val="3"/>
      <w:numFmt w:val="bullet"/>
      <w:lvlText w:val="-"/>
      <w:lvlJc w:val="left"/>
      <w:pPr>
        <w:ind w:left="2707" w:hanging="360"/>
      </w:pPr>
      <w:rPr>
        <w:rFonts w:ascii="Times New Roman" w:eastAsiaTheme="minorHAnsi" w:hAnsi="Times New Roman" w:cs="Times New Roman" w:hint="default"/>
      </w:rPr>
    </w:lvl>
    <w:lvl w:ilvl="1" w:tplc="040C0003" w:tentative="1">
      <w:start w:val="1"/>
      <w:numFmt w:val="bullet"/>
      <w:lvlText w:val="o"/>
      <w:lvlJc w:val="left"/>
      <w:pPr>
        <w:ind w:left="3427" w:hanging="360"/>
      </w:pPr>
      <w:rPr>
        <w:rFonts w:ascii="Courier New" w:hAnsi="Courier New" w:cs="Courier New" w:hint="default"/>
      </w:rPr>
    </w:lvl>
    <w:lvl w:ilvl="2" w:tplc="040C0005" w:tentative="1">
      <w:start w:val="1"/>
      <w:numFmt w:val="bullet"/>
      <w:lvlText w:val=""/>
      <w:lvlJc w:val="left"/>
      <w:pPr>
        <w:ind w:left="4147" w:hanging="360"/>
      </w:pPr>
      <w:rPr>
        <w:rFonts w:ascii="Wingdings" w:hAnsi="Wingdings" w:hint="default"/>
      </w:rPr>
    </w:lvl>
    <w:lvl w:ilvl="3" w:tplc="040C0001" w:tentative="1">
      <w:start w:val="1"/>
      <w:numFmt w:val="bullet"/>
      <w:lvlText w:val=""/>
      <w:lvlJc w:val="left"/>
      <w:pPr>
        <w:ind w:left="4867" w:hanging="360"/>
      </w:pPr>
      <w:rPr>
        <w:rFonts w:ascii="Symbol" w:hAnsi="Symbol" w:hint="default"/>
      </w:rPr>
    </w:lvl>
    <w:lvl w:ilvl="4" w:tplc="040C0003" w:tentative="1">
      <w:start w:val="1"/>
      <w:numFmt w:val="bullet"/>
      <w:lvlText w:val="o"/>
      <w:lvlJc w:val="left"/>
      <w:pPr>
        <w:ind w:left="5587" w:hanging="360"/>
      </w:pPr>
      <w:rPr>
        <w:rFonts w:ascii="Courier New" w:hAnsi="Courier New" w:cs="Courier New" w:hint="default"/>
      </w:rPr>
    </w:lvl>
    <w:lvl w:ilvl="5" w:tplc="040C0005" w:tentative="1">
      <w:start w:val="1"/>
      <w:numFmt w:val="bullet"/>
      <w:lvlText w:val=""/>
      <w:lvlJc w:val="left"/>
      <w:pPr>
        <w:ind w:left="6307" w:hanging="360"/>
      </w:pPr>
      <w:rPr>
        <w:rFonts w:ascii="Wingdings" w:hAnsi="Wingdings" w:hint="default"/>
      </w:rPr>
    </w:lvl>
    <w:lvl w:ilvl="6" w:tplc="040C0001" w:tentative="1">
      <w:start w:val="1"/>
      <w:numFmt w:val="bullet"/>
      <w:lvlText w:val=""/>
      <w:lvlJc w:val="left"/>
      <w:pPr>
        <w:ind w:left="7027" w:hanging="360"/>
      </w:pPr>
      <w:rPr>
        <w:rFonts w:ascii="Symbol" w:hAnsi="Symbol" w:hint="default"/>
      </w:rPr>
    </w:lvl>
    <w:lvl w:ilvl="7" w:tplc="040C0003" w:tentative="1">
      <w:start w:val="1"/>
      <w:numFmt w:val="bullet"/>
      <w:lvlText w:val="o"/>
      <w:lvlJc w:val="left"/>
      <w:pPr>
        <w:ind w:left="7747" w:hanging="360"/>
      </w:pPr>
      <w:rPr>
        <w:rFonts w:ascii="Courier New" w:hAnsi="Courier New" w:cs="Courier New" w:hint="default"/>
      </w:rPr>
    </w:lvl>
    <w:lvl w:ilvl="8" w:tplc="040C0005" w:tentative="1">
      <w:start w:val="1"/>
      <w:numFmt w:val="bullet"/>
      <w:lvlText w:val=""/>
      <w:lvlJc w:val="left"/>
      <w:pPr>
        <w:ind w:left="8467" w:hanging="360"/>
      </w:pPr>
      <w:rPr>
        <w:rFonts w:ascii="Wingdings" w:hAnsi="Wingdings" w:hint="default"/>
      </w:rPr>
    </w:lvl>
  </w:abstractNum>
  <w:abstractNum w:abstractNumId="15" w15:restartNumberingAfterBreak="0">
    <w:nsid w:val="589F1877"/>
    <w:multiLevelType w:val="hybridMultilevel"/>
    <w:tmpl w:val="140A4918"/>
    <w:lvl w:ilvl="0" w:tplc="57BC552C">
      <w:start w:val="43"/>
      <w:numFmt w:val="decimal"/>
      <w:lvlText w:val="%1."/>
      <w:lvlJc w:val="left"/>
      <w:pPr>
        <w:ind w:left="1987" w:hanging="360"/>
      </w:pPr>
      <w:rPr>
        <w:rFonts w:hint="default"/>
      </w:rPr>
    </w:lvl>
    <w:lvl w:ilvl="1" w:tplc="040C0019">
      <w:start w:val="1"/>
      <w:numFmt w:val="lowerLetter"/>
      <w:lvlText w:val="%2."/>
      <w:lvlJc w:val="left"/>
      <w:pPr>
        <w:ind w:left="2707" w:hanging="360"/>
      </w:pPr>
    </w:lvl>
    <w:lvl w:ilvl="2" w:tplc="040C001B" w:tentative="1">
      <w:start w:val="1"/>
      <w:numFmt w:val="lowerRoman"/>
      <w:lvlText w:val="%3."/>
      <w:lvlJc w:val="right"/>
      <w:pPr>
        <w:ind w:left="3427" w:hanging="180"/>
      </w:pPr>
    </w:lvl>
    <w:lvl w:ilvl="3" w:tplc="040C000F" w:tentative="1">
      <w:start w:val="1"/>
      <w:numFmt w:val="decimal"/>
      <w:lvlText w:val="%4."/>
      <w:lvlJc w:val="left"/>
      <w:pPr>
        <w:ind w:left="4147" w:hanging="360"/>
      </w:pPr>
    </w:lvl>
    <w:lvl w:ilvl="4" w:tplc="040C0019" w:tentative="1">
      <w:start w:val="1"/>
      <w:numFmt w:val="lowerLetter"/>
      <w:lvlText w:val="%5."/>
      <w:lvlJc w:val="left"/>
      <w:pPr>
        <w:ind w:left="4867" w:hanging="360"/>
      </w:pPr>
    </w:lvl>
    <w:lvl w:ilvl="5" w:tplc="040C001B" w:tentative="1">
      <w:start w:val="1"/>
      <w:numFmt w:val="lowerRoman"/>
      <w:lvlText w:val="%6."/>
      <w:lvlJc w:val="right"/>
      <w:pPr>
        <w:ind w:left="5587" w:hanging="180"/>
      </w:pPr>
    </w:lvl>
    <w:lvl w:ilvl="6" w:tplc="040C000F" w:tentative="1">
      <w:start w:val="1"/>
      <w:numFmt w:val="decimal"/>
      <w:lvlText w:val="%7."/>
      <w:lvlJc w:val="left"/>
      <w:pPr>
        <w:ind w:left="6307" w:hanging="360"/>
      </w:pPr>
    </w:lvl>
    <w:lvl w:ilvl="7" w:tplc="040C0019" w:tentative="1">
      <w:start w:val="1"/>
      <w:numFmt w:val="lowerLetter"/>
      <w:lvlText w:val="%8."/>
      <w:lvlJc w:val="left"/>
      <w:pPr>
        <w:ind w:left="7027" w:hanging="360"/>
      </w:pPr>
    </w:lvl>
    <w:lvl w:ilvl="8" w:tplc="040C001B" w:tentative="1">
      <w:start w:val="1"/>
      <w:numFmt w:val="lowerRoman"/>
      <w:lvlText w:val="%9."/>
      <w:lvlJc w:val="right"/>
      <w:pPr>
        <w:ind w:left="7747" w:hanging="180"/>
      </w:pPr>
    </w:lvl>
  </w:abstractNum>
  <w:abstractNum w:abstractNumId="16" w15:restartNumberingAfterBreak="0">
    <w:nsid w:val="5DA834E0"/>
    <w:multiLevelType w:val="hybridMultilevel"/>
    <w:tmpl w:val="140A4918"/>
    <w:lvl w:ilvl="0" w:tplc="57BC552C">
      <w:start w:val="43"/>
      <w:numFmt w:val="decimal"/>
      <w:lvlText w:val="%1."/>
      <w:lvlJc w:val="left"/>
      <w:pPr>
        <w:ind w:left="1987" w:hanging="360"/>
      </w:pPr>
      <w:rPr>
        <w:rFonts w:hint="default"/>
      </w:rPr>
    </w:lvl>
    <w:lvl w:ilvl="1" w:tplc="040C0019">
      <w:start w:val="1"/>
      <w:numFmt w:val="lowerLetter"/>
      <w:lvlText w:val="%2."/>
      <w:lvlJc w:val="left"/>
      <w:pPr>
        <w:ind w:left="2707" w:hanging="360"/>
      </w:pPr>
    </w:lvl>
    <w:lvl w:ilvl="2" w:tplc="040C001B" w:tentative="1">
      <w:start w:val="1"/>
      <w:numFmt w:val="lowerRoman"/>
      <w:lvlText w:val="%3."/>
      <w:lvlJc w:val="right"/>
      <w:pPr>
        <w:ind w:left="3427" w:hanging="180"/>
      </w:pPr>
    </w:lvl>
    <w:lvl w:ilvl="3" w:tplc="040C000F" w:tentative="1">
      <w:start w:val="1"/>
      <w:numFmt w:val="decimal"/>
      <w:lvlText w:val="%4."/>
      <w:lvlJc w:val="left"/>
      <w:pPr>
        <w:ind w:left="4147" w:hanging="360"/>
      </w:pPr>
    </w:lvl>
    <w:lvl w:ilvl="4" w:tplc="040C0019" w:tentative="1">
      <w:start w:val="1"/>
      <w:numFmt w:val="lowerLetter"/>
      <w:lvlText w:val="%5."/>
      <w:lvlJc w:val="left"/>
      <w:pPr>
        <w:ind w:left="4867" w:hanging="360"/>
      </w:pPr>
    </w:lvl>
    <w:lvl w:ilvl="5" w:tplc="040C001B" w:tentative="1">
      <w:start w:val="1"/>
      <w:numFmt w:val="lowerRoman"/>
      <w:lvlText w:val="%6."/>
      <w:lvlJc w:val="right"/>
      <w:pPr>
        <w:ind w:left="5587" w:hanging="180"/>
      </w:pPr>
    </w:lvl>
    <w:lvl w:ilvl="6" w:tplc="040C000F" w:tentative="1">
      <w:start w:val="1"/>
      <w:numFmt w:val="decimal"/>
      <w:lvlText w:val="%7."/>
      <w:lvlJc w:val="left"/>
      <w:pPr>
        <w:ind w:left="6307" w:hanging="360"/>
      </w:pPr>
    </w:lvl>
    <w:lvl w:ilvl="7" w:tplc="040C0019" w:tentative="1">
      <w:start w:val="1"/>
      <w:numFmt w:val="lowerLetter"/>
      <w:lvlText w:val="%8."/>
      <w:lvlJc w:val="left"/>
      <w:pPr>
        <w:ind w:left="7027" w:hanging="360"/>
      </w:pPr>
    </w:lvl>
    <w:lvl w:ilvl="8" w:tplc="040C001B" w:tentative="1">
      <w:start w:val="1"/>
      <w:numFmt w:val="lowerRoman"/>
      <w:lvlText w:val="%9."/>
      <w:lvlJc w:val="right"/>
      <w:pPr>
        <w:ind w:left="7747" w:hanging="180"/>
      </w:pPr>
    </w:lvl>
  </w:abstractNum>
  <w:abstractNum w:abstractNumId="17" w15:restartNumberingAfterBreak="0">
    <w:nsid w:val="66F45C3C"/>
    <w:multiLevelType w:val="hybridMultilevel"/>
    <w:tmpl w:val="140A4918"/>
    <w:lvl w:ilvl="0" w:tplc="57BC552C">
      <w:start w:val="43"/>
      <w:numFmt w:val="decimal"/>
      <w:lvlText w:val="%1."/>
      <w:lvlJc w:val="left"/>
      <w:pPr>
        <w:ind w:left="1987" w:hanging="360"/>
      </w:pPr>
      <w:rPr>
        <w:rFonts w:hint="default"/>
      </w:rPr>
    </w:lvl>
    <w:lvl w:ilvl="1" w:tplc="040C0019">
      <w:start w:val="1"/>
      <w:numFmt w:val="lowerLetter"/>
      <w:lvlText w:val="%2."/>
      <w:lvlJc w:val="left"/>
      <w:pPr>
        <w:ind w:left="2707" w:hanging="360"/>
      </w:pPr>
    </w:lvl>
    <w:lvl w:ilvl="2" w:tplc="040C001B" w:tentative="1">
      <w:start w:val="1"/>
      <w:numFmt w:val="lowerRoman"/>
      <w:lvlText w:val="%3."/>
      <w:lvlJc w:val="right"/>
      <w:pPr>
        <w:ind w:left="3427" w:hanging="180"/>
      </w:pPr>
    </w:lvl>
    <w:lvl w:ilvl="3" w:tplc="040C000F" w:tentative="1">
      <w:start w:val="1"/>
      <w:numFmt w:val="decimal"/>
      <w:lvlText w:val="%4."/>
      <w:lvlJc w:val="left"/>
      <w:pPr>
        <w:ind w:left="4147" w:hanging="360"/>
      </w:pPr>
    </w:lvl>
    <w:lvl w:ilvl="4" w:tplc="040C0019" w:tentative="1">
      <w:start w:val="1"/>
      <w:numFmt w:val="lowerLetter"/>
      <w:lvlText w:val="%5."/>
      <w:lvlJc w:val="left"/>
      <w:pPr>
        <w:ind w:left="4867" w:hanging="360"/>
      </w:pPr>
    </w:lvl>
    <w:lvl w:ilvl="5" w:tplc="040C001B" w:tentative="1">
      <w:start w:val="1"/>
      <w:numFmt w:val="lowerRoman"/>
      <w:lvlText w:val="%6."/>
      <w:lvlJc w:val="right"/>
      <w:pPr>
        <w:ind w:left="5587" w:hanging="180"/>
      </w:pPr>
    </w:lvl>
    <w:lvl w:ilvl="6" w:tplc="040C000F" w:tentative="1">
      <w:start w:val="1"/>
      <w:numFmt w:val="decimal"/>
      <w:lvlText w:val="%7."/>
      <w:lvlJc w:val="left"/>
      <w:pPr>
        <w:ind w:left="6307" w:hanging="360"/>
      </w:pPr>
    </w:lvl>
    <w:lvl w:ilvl="7" w:tplc="040C0019" w:tentative="1">
      <w:start w:val="1"/>
      <w:numFmt w:val="lowerLetter"/>
      <w:lvlText w:val="%8."/>
      <w:lvlJc w:val="left"/>
      <w:pPr>
        <w:ind w:left="7027" w:hanging="360"/>
      </w:pPr>
    </w:lvl>
    <w:lvl w:ilvl="8" w:tplc="040C001B" w:tentative="1">
      <w:start w:val="1"/>
      <w:numFmt w:val="lowerRoman"/>
      <w:lvlText w:val="%9."/>
      <w:lvlJc w:val="right"/>
      <w:pPr>
        <w:ind w:left="7747" w:hanging="180"/>
      </w:pPr>
    </w:lvl>
  </w:abstractNum>
  <w:abstractNum w:abstractNumId="18" w15:restartNumberingAfterBreak="0">
    <w:nsid w:val="6E4D40F6"/>
    <w:multiLevelType w:val="hybridMultilevel"/>
    <w:tmpl w:val="140A4918"/>
    <w:lvl w:ilvl="0" w:tplc="57BC552C">
      <w:start w:val="43"/>
      <w:numFmt w:val="decimal"/>
      <w:lvlText w:val="%1."/>
      <w:lvlJc w:val="left"/>
      <w:pPr>
        <w:ind w:left="1987" w:hanging="360"/>
      </w:pPr>
      <w:rPr>
        <w:rFonts w:hint="default"/>
      </w:rPr>
    </w:lvl>
    <w:lvl w:ilvl="1" w:tplc="040C0019">
      <w:start w:val="1"/>
      <w:numFmt w:val="lowerLetter"/>
      <w:lvlText w:val="%2."/>
      <w:lvlJc w:val="left"/>
      <w:pPr>
        <w:ind w:left="2707" w:hanging="360"/>
      </w:pPr>
    </w:lvl>
    <w:lvl w:ilvl="2" w:tplc="040C001B" w:tentative="1">
      <w:start w:val="1"/>
      <w:numFmt w:val="lowerRoman"/>
      <w:lvlText w:val="%3."/>
      <w:lvlJc w:val="right"/>
      <w:pPr>
        <w:ind w:left="3427" w:hanging="180"/>
      </w:pPr>
    </w:lvl>
    <w:lvl w:ilvl="3" w:tplc="040C000F" w:tentative="1">
      <w:start w:val="1"/>
      <w:numFmt w:val="decimal"/>
      <w:lvlText w:val="%4."/>
      <w:lvlJc w:val="left"/>
      <w:pPr>
        <w:ind w:left="4147" w:hanging="360"/>
      </w:pPr>
    </w:lvl>
    <w:lvl w:ilvl="4" w:tplc="040C0019" w:tentative="1">
      <w:start w:val="1"/>
      <w:numFmt w:val="lowerLetter"/>
      <w:lvlText w:val="%5."/>
      <w:lvlJc w:val="left"/>
      <w:pPr>
        <w:ind w:left="4867" w:hanging="360"/>
      </w:pPr>
    </w:lvl>
    <w:lvl w:ilvl="5" w:tplc="040C001B" w:tentative="1">
      <w:start w:val="1"/>
      <w:numFmt w:val="lowerRoman"/>
      <w:lvlText w:val="%6."/>
      <w:lvlJc w:val="right"/>
      <w:pPr>
        <w:ind w:left="5587" w:hanging="180"/>
      </w:pPr>
    </w:lvl>
    <w:lvl w:ilvl="6" w:tplc="040C000F" w:tentative="1">
      <w:start w:val="1"/>
      <w:numFmt w:val="decimal"/>
      <w:lvlText w:val="%7."/>
      <w:lvlJc w:val="left"/>
      <w:pPr>
        <w:ind w:left="6307" w:hanging="360"/>
      </w:pPr>
    </w:lvl>
    <w:lvl w:ilvl="7" w:tplc="040C0019" w:tentative="1">
      <w:start w:val="1"/>
      <w:numFmt w:val="lowerLetter"/>
      <w:lvlText w:val="%8."/>
      <w:lvlJc w:val="left"/>
      <w:pPr>
        <w:ind w:left="7027" w:hanging="360"/>
      </w:pPr>
    </w:lvl>
    <w:lvl w:ilvl="8" w:tplc="040C001B" w:tentative="1">
      <w:start w:val="1"/>
      <w:numFmt w:val="lowerRoman"/>
      <w:lvlText w:val="%9."/>
      <w:lvlJc w:val="right"/>
      <w:pPr>
        <w:ind w:left="7747" w:hanging="180"/>
      </w:pPr>
    </w:lvl>
  </w:abstractNum>
  <w:abstractNum w:abstractNumId="19" w15:restartNumberingAfterBreak="0">
    <w:nsid w:val="70F37003"/>
    <w:multiLevelType w:val="hybridMultilevel"/>
    <w:tmpl w:val="48DA5E92"/>
    <w:lvl w:ilvl="0" w:tplc="19146500">
      <w:start w:val="3"/>
      <w:numFmt w:val="bullet"/>
      <w:lvlText w:val="-"/>
      <w:lvlJc w:val="left"/>
      <w:pPr>
        <w:ind w:left="1440" w:hanging="360"/>
      </w:pPr>
      <w:rPr>
        <w:rFonts w:ascii="Times New Roman" w:eastAsiaTheme="minorHAnsi" w:hAnsi="Times New Roman" w:cs="Times New Roman"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15:restartNumberingAfterBreak="0">
    <w:nsid w:val="779C6576"/>
    <w:multiLevelType w:val="hybridMultilevel"/>
    <w:tmpl w:val="140A4918"/>
    <w:lvl w:ilvl="0" w:tplc="57BC552C">
      <w:start w:val="43"/>
      <w:numFmt w:val="decimal"/>
      <w:lvlText w:val="%1."/>
      <w:lvlJc w:val="left"/>
      <w:pPr>
        <w:ind w:left="1987" w:hanging="360"/>
      </w:pPr>
      <w:rPr>
        <w:rFonts w:hint="default"/>
      </w:rPr>
    </w:lvl>
    <w:lvl w:ilvl="1" w:tplc="040C0019">
      <w:start w:val="1"/>
      <w:numFmt w:val="lowerLetter"/>
      <w:lvlText w:val="%2."/>
      <w:lvlJc w:val="left"/>
      <w:pPr>
        <w:ind w:left="2707" w:hanging="360"/>
      </w:pPr>
    </w:lvl>
    <w:lvl w:ilvl="2" w:tplc="040C001B" w:tentative="1">
      <w:start w:val="1"/>
      <w:numFmt w:val="lowerRoman"/>
      <w:lvlText w:val="%3."/>
      <w:lvlJc w:val="right"/>
      <w:pPr>
        <w:ind w:left="3427" w:hanging="180"/>
      </w:pPr>
    </w:lvl>
    <w:lvl w:ilvl="3" w:tplc="040C000F" w:tentative="1">
      <w:start w:val="1"/>
      <w:numFmt w:val="decimal"/>
      <w:lvlText w:val="%4."/>
      <w:lvlJc w:val="left"/>
      <w:pPr>
        <w:ind w:left="4147" w:hanging="360"/>
      </w:pPr>
    </w:lvl>
    <w:lvl w:ilvl="4" w:tplc="040C0019" w:tentative="1">
      <w:start w:val="1"/>
      <w:numFmt w:val="lowerLetter"/>
      <w:lvlText w:val="%5."/>
      <w:lvlJc w:val="left"/>
      <w:pPr>
        <w:ind w:left="4867" w:hanging="360"/>
      </w:pPr>
    </w:lvl>
    <w:lvl w:ilvl="5" w:tplc="040C001B" w:tentative="1">
      <w:start w:val="1"/>
      <w:numFmt w:val="lowerRoman"/>
      <w:lvlText w:val="%6."/>
      <w:lvlJc w:val="right"/>
      <w:pPr>
        <w:ind w:left="5587" w:hanging="180"/>
      </w:pPr>
    </w:lvl>
    <w:lvl w:ilvl="6" w:tplc="040C000F" w:tentative="1">
      <w:start w:val="1"/>
      <w:numFmt w:val="decimal"/>
      <w:lvlText w:val="%7."/>
      <w:lvlJc w:val="left"/>
      <w:pPr>
        <w:ind w:left="6307" w:hanging="360"/>
      </w:pPr>
    </w:lvl>
    <w:lvl w:ilvl="7" w:tplc="040C0019" w:tentative="1">
      <w:start w:val="1"/>
      <w:numFmt w:val="lowerLetter"/>
      <w:lvlText w:val="%8."/>
      <w:lvlJc w:val="left"/>
      <w:pPr>
        <w:ind w:left="7027" w:hanging="360"/>
      </w:pPr>
    </w:lvl>
    <w:lvl w:ilvl="8" w:tplc="040C001B" w:tentative="1">
      <w:start w:val="1"/>
      <w:numFmt w:val="lowerRoman"/>
      <w:lvlText w:val="%9."/>
      <w:lvlJc w:val="right"/>
      <w:pPr>
        <w:ind w:left="7747" w:hanging="180"/>
      </w:pPr>
    </w:lvl>
  </w:abstractNum>
  <w:abstractNum w:abstractNumId="21" w15:restartNumberingAfterBreak="0">
    <w:nsid w:val="7D45241D"/>
    <w:multiLevelType w:val="singleLevel"/>
    <w:tmpl w:val="E8769FE0"/>
    <w:lvl w:ilvl="0">
      <w:start w:val="32"/>
      <w:numFmt w:val="decimal"/>
      <w:lvlRestart w:val="0"/>
      <w:lvlText w:val="%1."/>
      <w:lvlJc w:val="left"/>
      <w:pPr>
        <w:tabs>
          <w:tab w:val="num" w:pos="1742"/>
        </w:tabs>
        <w:ind w:left="1267" w:firstLine="0"/>
      </w:pPr>
      <w:rPr>
        <w:w w:val="100"/>
      </w:rPr>
    </w:lvl>
  </w:abstractNum>
  <w:num w:numId="1">
    <w:abstractNumId w:val="7"/>
  </w:num>
  <w:num w:numId="2">
    <w:abstractNumId w:val="11"/>
  </w:num>
  <w:num w:numId="3">
    <w:abstractNumId w:val="1"/>
  </w:num>
  <w:num w:numId="4">
    <w:abstractNumId w:val="3"/>
  </w:num>
  <w:num w:numId="5">
    <w:abstractNumId w:val="13"/>
  </w:num>
  <w:num w:numId="6">
    <w:abstractNumId w:val="8"/>
  </w:num>
  <w:num w:numId="7">
    <w:abstractNumId w:val="19"/>
  </w:num>
  <w:num w:numId="8">
    <w:abstractNumId w:val="14"/>
  </w:num>
  <w:num w:numId="9">
    <w:abstractNumId w:val="20"/>
  </w:num>
  <w:num w:numId="10">
    <w:abstractNumId w:val="0"/>
  </w:num>
  <w:num w:numId="11">
    <w:abstractNumId w:val="18"/>
  </w:num>
  <w:num w:numId="12">
    <w:abstractNumId w:val="12"/>
  </w:num>
  <w:num w:numId="13">
    <w:abstractNumId w:val="4"/>
  </w:num>
  <w:num w:numId="14">
    <w:abstractNumId w:val="16"/>
  </w:num>
  <w:num w:numId="15">
    <w:abstractNumId w:val="5"/>
  </w:num>
  <w:num w:numId="16">
    <w:abstractNumId w:val="10"/>
  </w:num>
  <w:num w:numId="17">
    <w:abstractNumId w:val="15"/>
  </w:num>
  <w:num w:numId="18">
    <w:abstractNumId w:val="9"/>
  </w:num>
  <w:num w:numId="19">
    <w:abstractNumId w:val="17"/>
  </w:num>
  <w:num w:numId="20">
    <w:abstractNumId w:val="2"/>
    <w:lvlOverride w:ilvl="0">
      <w:lvl w:ilvl="0">
        <w:start w:val="1"/>
        <w:numFmt w:val="decimal"/>
        <w:lvlRestart w:val="0"/>
        <w:lvlText w:val="%1."/>
        <w:lvlJc w:val="left"/>
        <w:pPr>
          <w:tabs>
            <w:tab w:val="num" w:pos="475"/>
          </w:tabs>
          <w:ind w:left="0" w:firstLine="0"/>
        </w:pPr>
        <w:rPr>
          <w:w w:val="100"/>
        </w:rPr>
      </w:lvl>
    </w:lvlOverride>
  </w:num>
  <w:num w:numId="21">
    <w:abstractNumId w:val="2"/>
    <w:lvlOverride w:ilvl="0">
      <w:lvl w:ilvl="0">
        <w:start w:val="1"/>
        <w:numFmt w:val="decimal"/>
        <w:lvlRestart w:val="0"/>
        <w:lvlText w:val="%1."/>
        <w:lvlJc w:val="left"/>
        <w:pPr>
          <w:tabs>
            <w:tab w:val="num" w:pos="475"/>
          </w:tabs>
          <w:ind w:left="0" w:firstLine="0"/>
        </w:pPr>
        <w:rPr>
          <w:w w:val="100"/>
        </w:rPr>
      </w:lvl>
    </w:lvlOverride>
  </w:num>
  <w:num w:numId="22">
    <w:abstractNumId w:val="2"/>
    <w:lvlOverride w:ilvl="0">
      <w:lvl w:ilvl="0">
        <w:start w:val="1"/>
        <w:numFmt w:val="decimal"/>
        <w:lvlRestart w:val="0"/>
        <w:lvlText w:val="%1."/>
        <w:lvlJc w:val="left"/>
        <w:pPr>
          <w:tabs>
            <w:tab w:val="num" w:pos="475"/>
          </w:tabs>
          <w:ind w:left="0" w:firstLine="0"/>
        </w:pPr>
        <w:rPr>
          <w:w w:val="100"/>
        </w:rPr>
      </w:lvl>
    </w:lvlOverride>
  </w:num>
  <w:num w:numId="23">
    <w:abstractNumId w:val="2"/>
    <w:lvlOverride w:ilvl="0">
      <w:lvl w:ilvl="0">
        <w:start w:val="1"/>
        <w:numFmt w:val="decimal"/>
        <w:lvlRestart w:val="0"/>
        <w:lvlText w:val="%1."/>
        <w:lvlJc w:val="left"/>
        <w:pPr>
          <w:tabs>
            <w:tab w:val="num" w:pos="475"/>
          </w:tabs>
          <w:ind w:left="0" w:firstLine="0"/>
        </w:pPr>
        <w:rPr>
          <w:w w:val="100"/>
        </w:rPr>
      </w:lvl>
    </w:lvlOverride>
  </w:num>
  <w:num w:numId="24">
    <w:abstractNumId w:val="2"/>
    <w:lvlOverride w:ilvl="0">
      <w:lvl w:ilvl="0">
        <w:start w:val="1"/>
        <w:numFmt w:val="decimal"/>
        <w:lvlRestart w:val="0"/>
        <w:lvlText w:val="%1."/>
        <w:lvlJc w:val="left"/>
        <w:pPr>
          <w:tabs>
            <w:tab w:val="num" w:pos="475"/>
          </w:tabs>
          <w:ind w:left="0" w:firstLine="0"/>
        </w:pPr>
        <w:rPr>
          <w:w w:val="100"/>
        </w:rPr>
      </w:lvl>
    </w:lvlOverride>
  </w:num>
  <w:num w:numId="25">
    <w:abstractNumId w:val="2"/>
    <w:lvlOverride w:ilvl="0">
      <w:lvl w:ilvl="0">
        <w:start w:val="1"/>
        <w:numFmt w:val="decimal"/>
        <w:lvlRestart w:val="0"/>
        <w:lvlText w:val="%1."/>
        <w:lvlJc w:val="left"/>
        <w:pPr>
          <w:tabs>
            <w:tab w:val="num" w:pos="475"/>
          </w:tabs>
          <w:ind w:left="0" w:firstLine="0"/>
        </w:pPr>
        <w:rPr>
          <w:w w:val="100"/>
        </w:rPr>
      </w:lvl>
    </w:lvlOverride>
  </w:num>
  <w:num w:numId="26">
    <w:abstractNumId w:val="2"/>
    <w:lvlOverride w:ilvl="0">
      <w:lvl w:ilvl="0">
        <w:start w:val="1"/>
        <w:numFmt w:val="decimal"/>
        <w:lvlRestart w:val="0"/>
        <w:lvlText w:val="%1."/>
        <w:lvlJc w:val="left"/>
        <w:pPr>
          <w:tabs>
            <w:tab w:val="num" w:pos="475"/>
          </w:tabs>
          <w:ind w:left="0" w:firstLine="0"/>
        </w:pPr>
        <w:rPr>
          <w:w w:val="100"/>
        </w:rPr>
      </w:lvl>
    </w:lvlOverride>
  </w:num>
  <w:num w:numId="27">
    <w:abstractNumId w:val="2"/>
    <w:lvlOverride w:ilvl="0">
      <w:lvl w:ilvl="0">
        <w:start w:val="1"/>
        <w:numFmt w:val="decimal"/>
        <w:lvlRestart w:val="0"/>
        <w:lvlText w:val="%1."/>
        <w:lvlJc w:val="left"/>
        <w:pPr>
          <w:tabs>
            <w:tab w:val="num" w:pos="475"/>
          </w:tabs>
          <w:ind w:left="0" w:firstLine="0"/>
        </w:pPr>
        <w:rPr>
          <w:w w:val="100"/>
        </w:rPr>
      </w:lvl>
    </w:lvlOverride>
  </w:num>
  <w:num w:numId="28">
    <w:abstractNumId w:val="2"/>
    <w:lvlOverride w:ilvl="0">
      <w:lvl w:ilvl="0">
        <w:start w:val="1"/>
        <w:numFmt w:val="decimal"/>
        <w:lvlRestart w:val="0"/>
        <w:lvlText w:val="%1."/>
        <w:lvlJc w:val="left"/>
        <w:pPr>
          <w:tabs>
            <w:tab w:val="num" w:pos="475"/>
          </w:tabs>
          <w:ind w:left="0" w:firstLine="0"/>
        </w:pPr>
        <w:rPr>
          <w:w w:val="100"/>
        </w:rPr>
      </w:lvl>
    </w:lvlOverride>
  </w:num>
  <w:num w:numId="29">
    <w:abstractNumId w:val="2"/>
    <w:lvlOverride w:ilvl="0">
      <w:lvl w:ilvl="0">
        <w:start w:val="1"/>
        <w:numFmt w:val="decimal"/>
        <w:lvlRestart w:val="0"/>
        <w:lvlText w:val="%1."/>
        <w:lvlJc w:val="left"/>
        <w:pPr>
          <w:tabs>
            <w:tab w:val="num" w:pos="475"/>
          </w:tabs>
          <w:ind w:left="0" w:firstLine="0"/>
        </w:pPr>
        <w:rPr>
          <w:w w:val="100"/>
        </w:rPr>
      </w:lvl>
    </w:lvlOverride>
  </w:num>
  <w:num w:numId="30">
    <w:abstractNumId w:val="2"/>
    <w:lvlOverride w:ilvl="0">
      <w:lvl w:ilvl="0">
        <w:start w:val="1"/>
        <w:numFmt w:val="decimal"/>
        <w:lvlRestart w:val="0"/>
        <w:lvlText w:val="%1."/>
        <w:lvlJc w:val="left"/>
        <w:pPr>
          <w:tabs>
            <w:tab w:val="num" w:pos="475"/>
          </w:tabs>
          <w:ind w:left="0" w:firstLine="0"/>
        </w:pPr>
        <w:rPr>
          <w:w w:val="100"/>
        </w:rPr>
      </w:lvl>
    </w:lvlOverride>
  </w:num>
  <w:num w:numId="31">
    <w:abstractNumId w:val="2"/>
    <w:lvlOverride w:ilvl="0">
      <w:lvl w:ilvl="0">
        <w:start w:val="1"/>
        <w:numFmt w:val="decimal"/>
        <w:lvlRestart w:val="0"/>
        <w:lvlText w:val="%1."/>
        <w:lvlJc w:val="left"/>
        <w:pPr>
          <w:tabs>
            <w:tab w:val="num" w:pos="475"/>
          </w:tabs>
          <w:ind w:left="0" w:firstLine="0"/>
        </w:pPr>
        <w:rPr>
          <w:w w:val="100"/>
        </w:rPr>
      </w:lvl>
    </w:lvlOverride>
  </w:num>
  <w:num w:numId="32">
    <w:abstractNumId w:val="2"/>
    <w:lvlOverride w:ilvl="0">
      <w:lvl w:ilvl="0">
        <w:start w:val="1"/>
        <w:numFmt w:val="decimal"/>
        <w:lvlRestart w:val="0"/>
        <w:lvlText w:val="%1."/>
        <w:lvlJc w:val="left"/>
        <w:pPr>
          <w:tabs>
            <w:tab w:val="num" w:pos="475"/>
          </w:tabs>
          <w:ind w:left="0" w:firstLine="0"/>
        </w:pPr>
        <w:rPr>
          <w:w w:val="100"/>
        </w:rPr>
      </w:lvl>
    </w:lvlOverride>
  </w:num>
  <w:num w:numId="33">
    <w:abstractNumId w:val="2"/>
    <w:lvlOverride w:ilvl="0">
      <w:lvl w:ilvl="0">
        <w:start w:val="1"/>
        <w:numFmt w:val="decimal"/>
        <w:lvlRestart w:val="0"/>
        <w:lvlText w:val="%1."/>
        <w:lvlJc w:val="left"/>
        <w:pPr>
          <w:tabs>
            <w:tab w:val="num" w:pos="475"/>
          </w:tabs>
          <w:ind w:left="0" w:firstLine="0"/>
        </w:pPr>
        <w:rPr>
          <w:w w:val="100"/>
        </w:rPr>
      </w:lvl>
    </w:lvlOverride>
  </w:num>
  <w:num w:numId="34">
    <w:abstractNumId w:val="2"/>
    <w:lvlOverride w:ilvl="0">
      <w:lvl w:ilvl="0">
        <w:start w:val="1"/>
        <w:numFmt w:val="decimal"/>
        <w:lvlRestart w:val="0"/>
        <w:lvlText w:val="%1."/>
        <w:lvlJc w:val="left"/>
        <w:pPr>
          <w:tabs>
            <w:tab w:val="num" w:pos="475"/>
          </w:tabs>
          <w:ind w:left="0" w:firstLine="0"/>
        </w:pPr>
        <w:rPr>
          <w:w w:val="100"/>
        </w:rPr>
      </w:lvl>
    </w:lvlOverride>
  </w:num>
  <w:num w:numId="35">
    <w:abstractNumId w:val="2"/>
    <w:lvlOverride w:ilvl="0">
      <w:lvl w:ilvl="0">
        <w:start w:val="1"/>
        <w:numFmt w:val="decimal"/>
        <w:lvlRestart w:val="0"/>
        <w:lvlText w:val="%1."/>
        <w:lvlJc w:val="left"/>
        <w:pPr>
          <w:tabs>
            <w:tab w:val="num" w:pos="475"/>
          </w:tabs>
          <w:ind w:left="0" w:firstLine="0"/>
        </w:pPr>
        <w:rPr>
          <w:w w:val="100"/>
        </w:rPr>
      </w:lvl>
    </w:lvlOverride>
  </w:num>
  <w:num w:numId="36">
    <w:abstractNumId w:val="2"/>
    <w:lvlOverride w:ilvl="0">
      <w:lvl w:ilvl="0">
        <w:start w:val="1"/>
        <w:numFmt w:val="decimal"/>
        <w:lvlRestart w:val="0"/>
        <w:lvlText w:val="%1."/>
        <w:lvlJc w:val="left"/>
        <w:pPr>
          <w:tabs>
            <w:tab w:val="num" w:pos="475"/>
          </w:tabs>
          <w:ind w:left="0" w:firstLine="0"/>
        </w:pPr>
        <w:rPr>
          <w:w w:val="100"/>
        </w:rPr>
      </w:lvl>
    </w:lvlOverride>
  </w:num>
  <w:num w:numId="37">
    <w:abstractNumId w:val="2"/>
    <w:lvlOverride w:ilvl="0">
      <w:lvl w:ilvl="0">
        <w:start w:val="1"/>
        <w:numFmt w:val="decimal"/>
        <w:lvlRestart w:val="0"/>
        <w:lvlText w:val="%1."/>
        <w:lvlJc w:val="left"/>
        <w:pPr>
          <w:tabs>
            <w:tab w:val="num" w:pos="475"/>
          </w:tabs>
          <w:ind w:left="0" w:firstLine="0"/>
        </w:pPr>
        <w:rPr>
          <w:w w:val="100"/>
        </w:rPr>
      </w:lvl>
    </w:lvlOverride>
  </w:num>
  <w:num w:numId="38">
    <w:abstractNumId w:val="2"/>
    <w:lvlOverride w:ilvl="0">
      <w:lvl w:ilvl="0">
        <w:start w:val="1"/>
        <w:numFmt w:val="decimal"/>
        <w:lvlRestart w:val="0"/>
        <w:lvlText w:val="%1."/>
        <w:lvlJc w:val="left"/>
        <w:pPr>
          <w:tabs>
            <w:tab w:val="num" w:pos="475"/>
          </w:tabs>
          <w:ind w:left="0" w:firstLine="0"/>
        </w:pPr>
        <w:rPr>
          <w:w w:val="100"/>
        </w:rPr>
      </w:lvl>
    </w:lvlOverride>
  </w:num>
  <w:num w:numId="39">
    <w:abstractNumId w:val="2"/>
    <w:lvlOverride w:ilvl="0">
      <w:lvl w:ilvl="0">
        <w:start w:val="1"/>
        <w:numFmt w:val="decimal"/>
        <w:lvlRestart w:val="0"/>
        <w:lvlText w:val="%1."/>
        <w:lvlJc w:val="left"/>
        <w:pPr>
          <w:tabs>
            <w:tab w:val="num" w:pos="475"/>
          </w:tabs>
          <w:ind w:left="0" w:firstLine="0"/>
        </w:pPr>
        <w:rPr>
          <w:w w:val="100"/>
        </w:rPr>
      </w:lvl>
    </w:lvlOverride>
  </w:num>
  <w:num w:numId="40">
    <w:abstractNumId w:val="2"/>
    <w:lvlOverride w:ilvl="0">
      <w:lvl w:ilvl="0">
        <w:start w:val="1"/>
        <w:numFmt w:val="decimal"/>
        <w:lvlRestart w:val="0"/>
        <w:lvlText w:val="%1."/>
        <w:lvlJc w:val="left"/>
        <w:pPr>
          <w:tabs>
            <w:tab w:val="num" w:pos="475"/>
          </w:tabs>
          <w:ind w:left="0" w:firstLine="0"/>
        </w:pPr>
        <w:rPr>
          <w:w w:val="100"/>
        </w:rPr>
      </w:lvl>
    </w:lvlOverride>
  </w:num>
  <w:num w:numId="41">
    <w:abstractNumId w:val="2"/>
    <w:lvlOverride w:ilvl="0">
      <w:lvl w:ilvl="0">
        <w:start w:val="1"/>
        <w:numFmt w:val="decimal"/>
        <w:lvlRestart w:val="0"/>
        <w:lvlText w:val="%1."/>
        <w:lvlJc w:val="left"/>
        <w:pPr>
          <w:tabs>
            <w:tab w:val="num" w:pos="475"/>
          </w:tabs>
          <w:ind w:left="0" w:firstLine="0"/>
        </w:pPr>
        <w:rPr>
          <w:w w:val="100"/>
        </w:rPr>
      </w:lvl>
    </w:lvlOverride>
  </w:num>
  <w:num w:numId="42">
    <w:abstractNumId w:val="2"/>
    <w:lvlOverride w:ilvl="0">
      <w:lvl w:ilvl="0">
        <w:start w:val="1"/>
        <w:numFmt w:val="decimal"/>
        <w:lvlRestart w:val="0"/>
        <w:lvlText w:val="%1."/>
        <w:lvlJc w:val="left"/>
        <w:pPr>
          <w:tabs>
            <w:tab w:val="num" w:pos="475"/>
          </w:tabs>
          <w:ind w:left="0" w:firstLine="0"/>
        </w:pPr>
        <w:rPr>
          <w:w w:val="100"/>
        </w:rPr>
      </w:lvl>
    </w:lvlOverride>
  </w:num>
  <w:num w:numId="43">
    <w:abstractNumId w:val="2"/>
    <w:lvlOverride w:ilvl="0">
      <w:lvl w:ilvl="0">
        <w:start w:val="1"/>
        <w:numFmt w:val="decimal"/>
        <w:lvlRestart w:val="0"/>
        <w:lvlText w:val="%1."/>
        <w:lvlJc w:val="left"/>
        <w:pPr>
          <w:tabs>
            <w:tab w:val="num" w:pos="475"/>
          </w:tabs>
          <w:ind w:left="0" w:firstLine="0"/>
        </w:pPr>
        <w:rPr>
          <w:w w:val="100"/>
        </w:rPr>
      </w:lvl>
    </w:lvlOverride>
  </w:num>
  <w:num w:numId="44">
    <w:abstractNumId w:val="2"/>
    <w:lvlOverride w:ilvl="0">
      <w:lvl w:ilvl="0">
        <w:start w:val="1"/>
        <w:numFmt w:val="decimal"/>
        <w:lvlRestart w:val="0"/>
        <w:lvlText w:val="%1."/>
        <w:lvlJc w:val="left"/>
        <w:pPr>
          <w:tabs>
            <w:tab w:val="num" w:pos="475"/>
          </w:tabs>
          <w:ind w:left="0" w:firstLine="0"/>
        </w:pPr>
        <w:rPr>
          <w:w w:val="100"/>
        </w:rPr>
      </w:lvl>
    </w:lvlOverride>
  </w:num>
  <w:num w:numId="45">
    <w:abstractNumId w:val="2"/>
    <w:lvlOverride w:ilvl="0">
      <w:lvl w:ilvl="0">
        <w:start w:val="1"/>
        <w:numFmt w:val="decimal"/>
        <w:lvlRestart w:val="0"/>
        <w:lvlText w:val="%1."/>
        <w:lvlJc w:val="left"/>
        <w:pPr>
          <w:tabs>
            <w:tab w:val="num" w:pos="475"/>
          </w:tabs>
          <w:ind w:left="0" w:firstLine="0"/>
        </w:pPr>
        <w:rPr>
          <w:w w:val="100"/>
        </w:rPr>
      </w:lvl>
    </w:lvlOverride>
  </w:num>
  <w:num w:numId="46">
    <w:abstractNumId w:val="2"/>
    <w:lvlOverride w:ilvl="0">
      <w:lvl w:ilvl="0">
        <w:start w:val="1"/>
        <w:numFmt w:val="decimal"/>
        <w:lvlRestart w:val="0"/>
        <w:lvlText w:val="%1."/>
        <w:lvlJc w:val="left"/>
        <w:pPr>
          <w:tabs>
            <w:tab w:val="num" w:pos="475"/>
          </w:tabs>
          <w:ind w:left="0" w:firstLine="0"/>
        </w:pPr>
        <w:rPr>
          <w:w w:val="100"/>
        </w:rPr>
      </w:lvl>
    </w:lvlOverride>
  </w:num>
  <w:num w:numId="47">
    <w:abstractNumId w:val="2"/>
    <w:lvlOverride w:ilvl="0">
      <w:lvl w:ilvl="0">
        <w:start w:val="1"/>
        <w:numFmt w:val="decimal"/>
        <w:lvlRestart w:val="0"/>
        <w:lvlText w:val="%1."/>
        <w:lvlJc w:val="left"/>
        <w:pPr>
          <w:tabs>
            <w:tab w:val="num" w:pos="475"/>
          </w:tabs>
          <w:ind w:left="0" w:firstLine="0"/>
        </w:pPr>
        <w:rPr>
          <w:w w:val="100"/>
        </w:rPr>
      </w:lvl>
    </w:lvlOverride>
  </w:num>
  <w:num w:numId="48">
    <w:abstractNumId w:val="21"/>
  </w:num>
  <w:num w:numId="49">
    <w:abstractNumId w:val="2"/>
    <w:lvlOverride w:ilvl="0">
      <w:lvl w:ilvl="0">
        <w:start w:val="32"/>
        <w:numFmt w:val="decimal"/>
        <w:lvlRestart w:val="0"/>
        <w:lvlText w:val="%1."/>
        <w:lvlJc w:val="left"/>
        <w:pPr>
          <w:tabs>
            <w:tab w:val="num" w:pos="1742"/>
          </w:tabs>
          <w:ind w:left="1267" w:firstLine="0"/>
        </w:pPr>
        <w:rPr>
          <w:w w:val="100"/>
        </w:rPr>
      </w:lvl>
    </w:lvlOverride>
  </w:num>
  <w:num w:numId="50">
    <w:abstractNumId w:val="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revisionView w:markup="0"/>
  <w:defaultTabStop w:val="475"/>
  <w:hyphenationZone w:val="425"/>
  <w:doNotHyphenateCaps/>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002608*"/>
    <w:docVar w:name="CreationDt" w:val="10/07/2020 10:26 AM"/>
    <w:docVar w:name="DocCategory" w:val="Doc"/>
    <w:docVar w:name="DocType" w:val="Final"/>
    <w:docVar w:name="DutyStation" w:val="New York"/>
    <w:docVar w:name="FooterJN" w:val="20-02608"/>
    <w:docVar w:name="jobn" w:val="20-02608 (F)"/>
    <w:docVar w:name="jobnDT" w:val="20-02608 (F)   100720"/>
    <w:docVar w:name="jobnDTDT" w:val="20-02608 (F)   100720   100720"/>
    <w:docVar w:name="JobNo" w:val="2002608F"/>
    <w:docVar w:name="JobNo2" w:val="2004356F"/>
    <w:docVar w:name="LocalDrive" w:val="-1"/>
    <w:docVar w:name="OandT" w:val="NFA"/>
    <w:docVar w:name="sss1" w:val="CEDAW/C/MAR/5-6"/>
    <w:docVar w:name="sss2" w:val="-"/>
    <w:docVar w:name="Symbol1" w:val="CEDAW/C/MAR/5-6"/>
    <w:docVar w:name="Symbol2" w:val="-"/>
  </w:docVars>
  <w:rsids>
    <w:rsidRoot w:val="00A45242"/>
    <w:rsid w:val="00002584"/>
    <w:rsid w:val="000040B6"/>
    <w:rsid w:val="00044750"/>
    <w:rsid w:val="0006491F"/>
    <w:rsid w:val="00071D43"/>
    <w:rsid w:val="0007214A"/>
    <w:rsid w:val="00082144"/>
    <w:rsid w:val="000D10C3"/>
    <w:rsid w:val="000E0CA0"/>
    <w:rsid w:val="000E5688"/>
    <w:rsid w:val="00101B18"/>
    <w:rsid w:val="001149C5"/>
    <w:rsid w:val="00122A56"/>
    <w:rsid w:val="00134FEE"/>
    <w:rsid w:val="00146C6A"/>
    <w:rsid w:val="00166A0D"/>
    <w:rsid w:val="00184479"/>
    <w:rsid w:val="001D2AA7"/>
    <w:rsid w:val="001E2379"/>
    <w:rsid w:val="001E4B50"/>
    <w:rsid w:val="00237A98"/>
    <w:rsid w:val="002406AF"/>
    <w:rsid w:val="00245107"/>
    <w:rsid w:val="00245FDC"/>
    <w:rsid w:val="002478A0"/>
    <w:rsid w:val="002A5E20"/>
    <w:rsid w:val="002D6F01"/>
    <w:rsid w:val="0030765E"/>
    <w:rsid w:val="00366D21"/>
    <w:rsid w:val="00372EF1"/>
    <w:rsid w:val="00382F52"/>
    <w:rsid w:val="003A675A"/>
    <w:rsid w:val="003F61E1"/>
    <w:rsid w:val="00407C8E"/>
    <w:rsid w:val="00410BE8"/>
    <w:rsid w:val="00423EFA"/>
    <w:rsid w:val="00440C93"/>
    <w:rsid w:val="00456FC2"/>
    <w:rsid w:val="00466CE3"/>
    <w:rsid w:val="00472B7F"/>
    <w:rsid w:val="00480B84"/>
    <w:rsid w:val="0048472A"/>
    <w:rsid w:val="004B64F9"/>
    <w:rsid w:val="004C1A25"/>
    <w:rsid w:val="00515991"/>
    <w:rsid w:val="005225EC"/>
    <w:rsid w:val="00525097"/>
    <w:rsid w:val="005509B6"/>
    <w:rsid w:val="005605B0"/>
    <w:rsid w:val="005647BA"/>
    <w:rsid w:val="00571235"/>
    <w:rsid w:val="00577A36"/>
    <w:rsid w:val="00580CF2"/>
    <w:rsid w:val="005B398E"/>
    <w:rsid w:val="005C03A7"/>
    <w:rsid w:val="005C5330"/>
    <w:rsid w:val="005D40D4"/>
    <w:rsid w:val="005F03E4"/>
    <w:rsid w:val="005F1F5F"/>
    <w:rsid w:val="00613A7E"/>
    <w:rsid w:val="00614B70"/>
    <w:rsid w:val="006211CF"/>
    <w:rsid w:val="00632C10"/>
    <w:rsid w:val="0064291C"/>
    <w:rsid w:val="00653742"/>
    <w:rsid w:val="0066312C"/>
    <w:rsid w:val="00690698"/>
    <w:rsid w:val="006E06C4"/>
    <w:rsid w:val="006E4A4B"/>
    <w:rsid w:val="006E5107"/>
    <w:rsid w:val="00703106"/>
    <w:rsid w:val="007459AE"/>
    <w:rsid w:val="007531A5"/>
    <w:rsid w:val="007705E5"/>
    <w:rsid w:val="00771C9E"/>
    <w:rsid w:val="007B3B2A"/>
    <w:rsid w:val="007C57A4"/>
    <w:rsid w:val="007D072A"/>
    <w:rsid w:val="00802880"/>
    <w:rsid w:val="0082045E"/>
    <w:rsid w:val="008222A3"/>
    <w:rsid w:val="00867021"/>
    <w:rsid w:val="00870B98"/>
    <w:rsid w:val="00883D3C"/>
    <w:rsid w:val="00886CF2"/>
    <w:rsid w:val="008F3462"/>
    <w:rsid w:val="009237A6"/>
    <w:rsid w:val="00923B6F"/>
    <w:rsid w:val="00935932"/>
    <w:rsid w:val="009368B6"/>
    <w:rsid w:val="009547DC"/>
    <w:rsid w:val="00975129"/>
    <w:rsid w:val="00975DAD"/>
    <w:rsid w:val="00980CA3"/>
    <w:rsid w:val="00993CB7"/>
    <w:rsid w:val="00994877"/>
    <w:rsid w:val="009C3BFE"/>
    <w:rsid w:val="009D0EE3"/>
    <w:rsid w:val="009E3220"/>
    <w:rsid w:val="009F40B9"/>
    <w:rsid w:val="00A17DCB"/>
    <w:rsid w:val="00A2494D"/>
    <w:rsid w:val="00A45242"/>
    <w:rsid w:val="00A536A1"/>
    <w:rsid w:val="00A75600"/>
    <w:rsid w:val="00A96FAB"/>
    <w:rsid w:val="00AB0B7D"/>
    <w:rsid w:val="00AC1A8D"/>
    <w:rsid w:val="00AD5F2F"/>
    <w:rsid w:val="00AD7BA3"/>
    <w:rsid w:val="00AE0334"/>
    <w:rsid w:val="00B307F7"/>
    <w:rsid w:val="00B35EE7"/>
    <w:rsid w:val="00B4658B"/>
    <w:rsid w:val="00B73376"/>
    <w:rsid w:val="00B771E2"/>
    <w:rsid w:val="00B81967"/>
    <w:rsid w:val="00B858D5"/>
    <w:rsid w:val="00B91EFD"/>
    <w:rsid w:val="00BD70F3"/>
    <w:rsid w:val="00C138C6"/>
    <w:rsid w:val="00C94495"/>
    <w:rsid w:val="00CB06FB"/>
    <w:rsid w:val="00CB63C5"/>
    <w:rsid w:val="00D30EED"/>
    <w:rsid w:val="00D4598B"/>
    <w:rsid w:val="00D97201"/>
    <w:rsid w:val="00DC4ABD"/>
    <w:rsid w:val="00DC7881"/>
    <w:rsid w:val="00DE1A4C"/>
    <w:rsid w:val="00E126C3"/>
    <w:rsid w:val="00E12BFB"/>
    <w:rsid w:val="00E343A6"/>
    <w:rsid w:val="00E433C6"/>
    <w:rsid w:val="00E443AC"/>
    <w:rsid w:val="00E47A1E"/>
    <w:rsid w:val="00E7105F"/>
    <w:rsid w:val="00E7792F"/>
    <w:rsid w:val="00E8382C"/>
    <w:rsid w:val="00E8389F"/>
    <w:rsid w:val="00EB668C"/>
    <w:rsid w:val="00EE37EC"/>
    <w:rsid w:val="00EF2DFA"/>
    <w:rsid w:val="00F13A4D"/>
    <w:rsid w:val="00F1794C"/>
    <w:rsid w:val="00F2717F"/>
    <w:rsid w:val="00F313F6"/>
    <w:rsid w:val="00F33C33"/>
    <w:rsid w:val="00F5012D"/>
    <w:rsid w:val="00F73093"/>
    <w:rsid w:val="00F85844"/>
    <w:rsid w:val="00FA086B"/>
    <w:rsid w:val="00FA3D05"/>
    <w:rsid w:val="00FA5CC9"/>
    <w:rsid w:val="00FA7AC4"/>
    <w:rsid w:val="00FB0A2C"/>
    <w:rsid w:val="00FB7654"/>
    <w:rsid w:val="00FC59F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9A0052C"/>
  <w15:chartTrackingRefBased/>
  <w15:docId w15:val="{D125387A-9D6A-4DB1-8B00-7D04C258D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B3B2A"/>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7B3B2A"/>
    <w:pPr>
      <w:numPr>
        <w:numId w:val="4"/>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B3B2A"/>
    <w:pPr>
      <w:numPr>
        <w:ilvl w:val="1"/>
        <w:numId w:val="4"/>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B3B2A"/>
    <w:pPr>
      <w:numPr>
        <w:ilvl w:val="2"/>
        <w:numId w:val="4"/>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7B3B2A"/>
    <w:pPr>
      <w:keepNext/>
      <w:keepLines/>
      <w:numPr>
        <w:ilvl w:val="3"/>
        <w:numId w:val="4"/>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7B3B2A"/>
    <w:pPr>
      <w:keepNext/>
      <w:keepLines/>
      <w:numPr>
        <w:ilvl w:val="4"/>
        <w:numId w:val="4"/>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7B3B2A"/>
    <w:pPr>
      <w:keepNext/>
      <w:keepLines/>
      <w:numPr>
        <w:ilvl w:val="5"/>
        <w:numId w:val="4"/>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7B3B2A"/>
    <w:pPr>
      <w:keepNext/>
      <w:keepLines/>
      <w:numPr>
        <w:ilvl w:val="6"/>
        <w:numId w:val="4"/>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7B3B2A"/>
    <w:pPr>
      <w:keepNext/>
      <w:keepLines/>
      <w:numPr>
        <w:ilvl w:val="7"/>
        <w:numId w:val="4"/>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7B3B2A"/>
    <w:pPr>
      <w:keepNext/>
      <w:keepLines/>
      <w:numPr>
        <w:ilvl w:val="8"/>
        <w:numId w:val="4"/>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7B3B2A"/>
    <w:pPr>
      <w:keepNext/>
      <w:keepLines/>
      <w:suppressAutoHyphens/>
      <w:spacing w:line="270" w:lineRule="exact"/>
      <w:outlineLvl w:val="0"/>
    </w:pPr>
    <w:rPr>
      <w:b/>
      <w:sz w:val="24"/>
    </w:rPr>
  </w:style>
  <w:style w:type="paragraph" w:customStyle="1" w:styleId="HCH">
    <w:name w:val="_ H _CH"/>
    <w:basedOn w:val="H1"/>
    <w:next w:val="SingleTxt"/>
    <w:qFormat/>
    <w:rsid w:val="007B3B2A"/>
    <w:pPr>
      <w:spacing w:line="300" w:lineRule="exact"/>
    </w:pPr>
    <w:rPr>
      <w:spacing w:val="-2"/>
      <w:sz w:val="28"/>
    </w:rPr>
  </w:style>
  <w:style w:type="paragraph" w:customStyle="1" w:styleId="HM">
    <w:name w:val="_ H __M"/>
    <w:basedOn w:val="HCH"/>
    <w:next w:val="Normal"/>
    <w:qFormat/>
    <w:rsid w:val="007B3B2A"/>
    <w:pPr>
      <w:spacing w:line="360" w:lineRule="exact"/>
    </w:pPr>
    <w:rPr>
      <w:spacing w:val="-3"/>
      <w:w w:val="99"/>
      <w:sz w:val="34"/>
    </w:rPr>
  </w:style>
  <w:style w:type="paragraph" w:customStyle="1" w:styleId="H23">
    <w:name w:val="_ H_2/3"/>
    <w:basedOn w:val="H1"/>
    <w:next w:val="SingleTxt"/>
    <w:qFormat/>
    <w:rsid w:val="007B3B2A"/>
    <w:pPr>
      <w:spacing w:line="240" w:lineRule="exact"/>
      <w:outlineLvl w:val="1"/>
    </w:pPr>
    <w:rPr>
      <w:spacing w:val="2"/>
      <w:sz w:val="20"/>
    </w:rPr>
  </w:style>
  <w:style w:type="paragraph" w:customStyle="1" w:styleId="H4">
    <w:name w:val="_ H_4"/>
    <w:basedOn w:val="Normal"/>
    <w:next w:val="Normal"/>
    <w:qFormat/>
    <w:rsid w:val="007B3B2A"/>
    <w:pPr>
      <w:keepNext/>
      <w:keepLines/>
      <w:tabs>
        <w:tab w:val="right" w:pos="360"/>
      </w:tabs>
      <w:suppressAutoHyphens/>
      <w:outlineLvl w:val="3"/>
    </w:pPr>
    <w:rPr>
      <w:i/>
      <w:spacing w:val="3"/>
    </w:rPr>
  </w:style>
  <w:style w:type="paragraph" w:customStyle="1" w:styleId="H56">
    <w:name w:val="_ H_5/6"/>
    <w:basedOn w:val="Normal"/>
    <w:next w:val="SingleTxt"/>
    <w:qFormat/>
    <w:rsid w:val="007B3B2A"/>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B3B2A"/>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B3B2A"/>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B3B2A"/>
    <w:pPr>
      <w:spacing w:line="540" w:lineRule="exact"/>
    </w:pPr>
    <w:rPr>
      <w:spacing w:val="-8"/>
      <w:w w:val="96"/>
      <w:sz w:val="57"/>
    </w:rPr>
  </w:style>
  <w:style w:type="paragraph" w:customStyle="1" w:styleId="SS">
    <w:name w:val="__S_S"/>
    <w:basedOn w:val="HCH"/>
    <w:next w:val="Normal"/>
    <w:qFormat/>
    <w:rsid w:val="007B3B2A"/>
    <w:pPr>
      <w:ind w:left="1267" w:right="1267"/>
    </w:pPr>
  </w:style>
  <w:style w:type="paragraph" w:customStyle="1" w:styleId="SingleTxt">
    <w:name w:val="__Single Txt"/>
    <w:basedOn w:val="Normal"/>
    <w:qFormat/>
    <w:rsid w:val="007B3B2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7B3B2A"/>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7B3B2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7B3B2A"/>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7B3B2A"/>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7B3B2A"/>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7B3B2A"/>
    <w:pPr>
      <w:numPr>
        <w:numId w:val="1"/>
      </w:numPr>
      <w:spacing w:after="120"/>
      <w:ind w:right="1267"/>
      <w:jc w:val="both"/>
    </w:pPr>
  </w:style>
  <w:style w:type="paragraph" w:customStyle="1" w:styleId="Bullet2">
    <w:name w:val="Bullet 2"/>
    <w:basedOn w:val="Normal"/>
    <w:qFormat/>
    <w:rsid w:val="007B3B2A"/>
    <w:pPr>
      <w:numPr>
        <w:numId w:val="2"/>
      </w:numPr>
      <w:spacing w:after="120"/>
      <w:ind w:right="1264"/>
      <w:jc w:val="both"/>
    </w:pPr>
  </w:style>
  <w:style w:type="paragraph" w:customStyle="1" w:styleId="Bullet3">
    <w:name w:val="Bullet 3"/>
    <w:basedOn w:val="SingleTxt"/>
    <w:qFormat/>
    <w:rsid w:val="007B3B2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7B3B2A"/>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7B3B2A"/>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7B3B2A"/>
    <w:pPr>
      <w:spacing w:line="210" w:lineRule="exact"/>
    </w:pPr>
    <w:rPr>
      <w:sz w:val="17"/>
      <w:szCs w:val="20"/>
    </w:rPr>
  </w:style>
  <w:style w:type="character" w:customStyle="1" w:styleId="EndnoteTextChar">
    <w:name w:val="Endnote Text Char"/>
    <w:link w:val="EndnoteText"/>
    <w:uiPriority w:val="99"/>
    <w:semiHidden/>
    <w:rsid w:val="007B3B2A"/>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7B3B2A"/>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7B3B2A"/>
    <w:rPr>
      <w:rFonts w:ascii="Times New Roman" w:eastAsiaTheme="minorHAnsi" w:hAnsi="Times New Roman" w:cs="Times New Roman"/>
      <w:b/>
      <w:spacing w:val="3"/>
      <w:w w:val="105"/>
      <w:sz w:val="17"/>
      <w:lang w:val="en-US" w:eastAsia="en-US"/>
    </w:rPr>
  </w:style>
  <w:style w:type="character" w:styleId="FootnoteReference">
    <w:name w:val="footnote reference"/>
    <w:uiPriority w:val="99"/>
    <w:rsid w:val="007B3B2A"/>
    <w:rPr>
      <w:color w:val="auto"/>
      <w:spacing w:val="5"/>
      <w:w w:val="103"/>
      <w:kern w:val="14"/>
      <w:position w:val="0"/>
      <w:sz w:val="17"/>
      <w:szCs w:val="17"/>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7B3B2A"/>
    <w:pPr>
      <w:spacing w:line="210" w:lineRule="exact"/>
    </w:pPr>
    <w:rPr>
      <w:sz w:val="17"/>
      <w:szCs w:val="20"/>
    </w:rPr>
  </w:style>
  <w:style w:type="character" w:customStyle="1" w:styleId="FootnoteTextChar">
    <w:name w:val="Footnote Text Char"/>
    <w:link w:val="FootnoteText"/>
    <w:uiPriority w:val="99"/>
    <w:rsid w:val="007B3B2A"/>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7B3B2A"/>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7B3B2A"/>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7B3B2A"/>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7B3B2A"/>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7B3B2A"/>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7B3B2A"/>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7B3B2A"/>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7B3B2A"/>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7B3B2A"/>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7B3B2A"/>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7B3B2A"/>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7B3B2A"/>
    <w:rPr>
      <w:sz w:val="14"/>
    </w:rPr>
  </w:style>
  <w:style w:type="paragraph" w:styleId="ListParagraph">
    <w:name w:val="List Paragraph"/>
    <w:basedOn w:val="Normal"/>
    <w:uiPriority w:val="34"/>
    <w:rsid w:val="007B3B2A"/>
    <w:pPr>
      <w:ind w:left="720"/>
      <w:contextualSpacing/>
    </w:pPr>
  </w:style>
  <w:style w:type="paragraph" w:styleId="NoSpacing">
    <w:name w:val="No Spacing"/>
    <w:uiPriority w:val="1"/>
    <w:rsid w:val="007B3B2A"/>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7B3B2A"/>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7B3B2A"/>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7B3B2A"/>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7B3B2A"/>
    <w:pPr>
      <w:tabs>
        <w:tab w:val="right" w:pos="9965"/>
      </w:tabs>
      <w:spacing w:line="210" w:lineRule="exact"/>
    </w:pPr>
    <w:rPr>
      <w:spacing w:val="5"/>
      <w:w w:val="104"/>
      <w:sz w:val="17"/>
    </w:rPr>
  </w:style>
  <w:style w:type="paragraph" w:customStyle="1" w:styleId="SmallX">
    <w:name w:val="SmallX"/>
    <w:basedOn w:val="Small"/>
    <w:next w:val="Normal"/>
    <w:qFormat/>
    <w:rsid w:val="007B3B2A"/>
    <w:pPr>
      <w:spacing w:line="180" w:lineRule="exact"/>
      <w:jc w:val="right"/>
    </w:pPr>
    <w:rPr>
      <w:spacing w:val="6"/>
      <w:w w:val="106"/>
      <w:sz w:val="14"/>
    </w:rPr>
  </w:style>
  <w:style w:type="character" w:styleId="Strong">
    <w:name w:val="Strong"/>
    <w:uiPriority w:val="22"/>
    <w:rsid w:val="007B3B2A"/>
    <w:rPr>
      <w:b/>
      <w:bCs/>
    </w:rPr>
  </w:style>
  <w:style w:type="paragraph" w:customStyle="1" w:styleId="Style1">
    <w:name w:val="Style1"/>
    <w:basedOn w:val="Normal"/>
    <w:qFormat/>
    <w:rsid w:val="007B3B2A"/>
  </w:style>
  <w:style w:type="paragraph" w:customStyle="1" w:styleId="Style2">
    <w:name w:val="Style2"/>
    <w:basedOn w:val="Normal"/>
    <w:autoRedefine/>
    <w:qFormat/>
    <w:rsid w:val="007B3B2A"/>
  </w:style>
  <w:style w:type="paragraph" w:customStyle="1" w:styleId="TitleHCH">
    <w:name w:val="Title_H_CH"/>
    <w:basedOn w:val="H1"/>
    <w:next w:val="SingleTxt"/>
    <w:qFormat/>
    <w:rsid w:val="007B3B2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7B3B2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7B3B2A"/>
    <w:pPr>
      <w:tabs>
        <w:tab w:val="right" w:pos="360"/>
      </w:tabs>
      <w:spacing w:line="390" w:lineRule="exact"/>
    </w:pPr>
    <w:rPr>
      <w:spacing w:val="-4"/>
      <w:w w:val="98"/>
      <w:sz w:val="40"/>
    </w:rPr>
  </w:style>
  <w:style w:type="paragraph" w:customStyle="1" w:styleId="Session">
    <w:name w:val="Session"/>
    <w:basedOn w:val="H23"/>
    <w:qFormat/>
    <w:rsid w:val="00472B7F"/>
    <w:rPr>
      <w:lang w:val="fr-FR"/>
    </w:rPr>
  </w:style>
  <w:style w:type="paragraph" w:customStyle="1" w:styleId="Sponsors">
    <w:name w:val="Sponsors"/>
    <w:basedOn w:val="H1"/>
    <w:next w:val="Normal"/>
    <w:qFormat/>
    <w:rsid w:val="00472B7F"/>
    <w:pPr>
      <w:spacing w:line="240" w:lineRule="exact"/>
      <w:outlineLvl w:val="1"/>
    </w:pPr>
    <w:rPr>
      <w:spacing w:val="2"/>
      <w:sz w:val="20"/>
    </w:rPr>
  </w:style>
  <w:style w:type="paragraph" w:customStyle="1" w:styleId="STitleM">
    <w:name w:val="S_Title_M"/>
    <w:basedOn w:val="Normal"/>
    <w:next w:val="Normal"/>
    <w:qFormat/>
    <w:rsid w:val="00472B7F"/>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472B7F"/>
    <w:pPr>
      <w:ind w:left="1264" w:right="1264"/>
    </w:pPr>
  </w:style>
  <w:style w:type="paragraph" w:customStyle="1" w:styleId="STitleL">
    <w:name w:val="S_Title_L"/>
    <w:basedOn w:val="SM"/>
    <w:next w:val="Normal"/>
    <w:qFormat/>
    <w:rsid w:val="00472B7F"/>
    <w:pPr>
      <w:spacing w:line="540" w:lineRule="exact"/>
    </w:pPr>
    <w:rPr>
      <w:spacing w:val="-8"/>
      <w:w w:val="96"/>
      <w:sz w:val="57"/>
    </w:rPr>
  </w:style>
  <w:style w:type="paragraph" w:customStyle="1" w:styleId="SummaryRecord">
    <w:name w:val="SummaryRecord"/>
    <w:basedOn w:val="H23"/>
    <w:next w:val="Session"/>
    <w:qFormat/>
    <w:rsid w:val="00472B7F"/>
  </w:style>
  <w:style w:type="paragraph" w:customStyle="1" w:styleId="SRMeetingInfo">
    <w:name w:val="SR_Meeting_Info"/>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SRContents">
    <w:name w:val="SR_Contents"/>
    <w:basedOn w:val="Normal"/>
    <w:qFormat/>
    <w:rsid w:val="00472B7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umber">
    <w:name w:val="Agenda_Item_Number"/>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AgendaItemTitle">
    <w:name w:val="Agenda_Item_Title"/>
    <w:basedOn w:val="H1"/>
    <w:next w:val="Normal"/>
    <w:qFormat/>
    <w:rsid w:val="00472B7F"/>
    <w:pPr>
      <w:spacing w:line="240" w:lineRule="exact"/>
      <w:ind w:right="5040"/>
      <w:outlineLvl w:val="1"/>
    </w:pPr>
    <w:rPr>
      <w:spacing w:val="2"/>
      <w:sz w:val="20"/>
    </w:rPr>
  </w:style>
  <w:style w:type="paragraph" w:customStyle="1" w:styleId="DecisionNumber">
    <w:name w:val="DecisionNumber"/>
    <w:basedOn w:val="H1"/>
    <w:next w:val="Normal"/>
    <w:qFormat/>
    <w:rsid w:val="00472B7F"/>
    <w:pPr>
      <w:spacing w:line="240" w:lineRule="exact"/>
      <w:ind w:right="5040"/>
      <w:outlineLvl w:val="1"/>
    </w:pPr>
    <w:rPr>
      <w:spacing w:val="2"/>
      <w:sz w:val="20"/>
    </w:rPr>
  </w:style>
  <w:style w:type="paragraph" w:customStyle="1" w:styleId="DecisionTitle">
    <w:name w:val="DecisionTitle"/>
    <w:basedOn w:val="H1"/>
    <w:next w:val="Normal"/>
    <w:qFormat/>
    <w:rsid w:val="00472B7F"/>
    <w:pPr>
      <w:spacing w:line="240" w:lineRule="exact"/>
      <w:ind w:right="5040"/>
      <w:outlineLvl w:val="1"/>
    </w:pPr>
    <w:rPr>
      <w:spacing w:val="2"/>
      <w:sz w:val="20"/>
    </w:rPr>
  </w:style>
  <w:style w:type="paragraph" w:customStyle="1" w:styleId="MeetingNumber">
    <w:name w:val="MeetingNumber"/>
    <w:basedOn w:val="H1"/>
    <w:next w:val="Normal"/>
    <w:qFormat/>
    <w:rsid w:val="00472B7F"/>
    <w:pPr>
      <w:spacing w:line="240" w:lineRule="exact"/>
      <w:ind w:right="5040"/>
      <w:outlineLvl w:val="1"/>
    </w:pPr>
    <w:rPr>
      <w:spacing w:val="2"/>
      <w:sz w:val="20"/>
    </w:rPr>
  </w:style>
  <w:style w:type="character" w:styleId="CommentReference">
    <w:name w:val="annotation reference"/>
    <w:basedOn w:val="DefaultParagraphFont"/>
    <w:uiPriority w:val="99"/>
    <w:semiHidden/>
    <w:unhideWhenUsed/>
    <w:rsid w:val="00EB668C"/>
    <w:rPr>
      <w:sz w:val="16"/>
      <w:szCs w:val="16"/>
    </w:rPr>
  </w:style>
  <w:style w:type="paragraph" w:styleId="CommentText">
    <w:name w:val="annotation text"/>
    <w:basedOn w:val="Normal"/>
    <w:link w:val="CommentTextChar"/>
    <w:uiPriority w:val="99"/>
    <w:semiHidden/>
    <w:unhideWhenUsed/>
    <w:rsid w:val="00EB668C"/>
    <w:pPr>
      <w:spacing w:line="240" w:lineRule="auto"/>
    </w:pPr>
    <w:rPr>
      <w:szCs w:val="20"/>
    </w:rPr>
  </w:style>
  <w:style w:type="character" w:customStyle="1" w:styleId="CommentTextChar">
    <w:name w:val="Comment Text Char"/>
    <w:basedOn w:val="DefaultParagraphFont"/>
    <w:link w:val="CommentText"/>
    <w:uiPriority w:val="99"/>
    <w:semiHidden/>
    <w:rsid w:val="00EB668C"/>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EB668C"/>
    <w:rPr>
      <w:b/>
      <w:bCs/>
    </w:rPr>
  </w:style>
  <w:style w:type="character" w:customStyle="1" w:styleId="CommentSubjectChar">
    <w:name w:val="Comment Subject Char"/>
    <w:basedOn w:val="CommentTextChar"/>
    <w:link w:val="CommentSubject"/>
    <w:uiPriority w:val="99"/>
    <w:semiHidden/>
    <w:rsid w:val="00EB668C"/>
    <w:rPr>
      <w:rFonts w:ascii="Times New Roman" w:eastAsiaTheme="minorHAnsi" w:hAnsi="Times New Roman" w:cs="Times New Roman"/>
      <w:b/>
      <w:bCs/>
      <w:spacing w:val="4"/>
      <w:w w:val="103"/>
      <w:kern w:val="14"/>
      <w:sz w:val="20"/>
      <w:szCs w:val="20"/>
      <w:lang w:val="fr-CA" w:eastAsia="en-US"/>
    </w:rPr>
  </w:style>
  <w:style w:type="table" w:customStyle="1" w:styleId="Grilledutableau1">
    <w:name w:val="Grille du tableau1"/>
    <w:basedOn w:val="TableNormal"/>
    <w:next w:val="TableGrid"/>
    <w:uiPriority w:val="39"/>
    <w:rsid w:val="00B35EE7"/>
    <w:pPr>
      <w:spacing w:after="0" w:line="240" w:lineRule="auto"/>
    </w:pPr>
    <w:rPr>
      <w:rFonts w:ascii="Calibri" w:eastAsia="Calibri" w:hAnsi="Calibri" w:cs="Arial"/>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B35E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Normal"/>
    <w:next w:val="TableGrid"/>
    <w:uiPriority w:val="39"/>
    <w:rsid w:val="00B35EE7"/>
    <w:pPr>
      <w:spacing w:after="0" w:line="240" w:lineRule="auto"/>
    </w:pPr>
    <w:rPr>
      <w:rFonts w:ascii="Calibri" w:eastAsia="Calibri" w:hAnsi="Calibri" w:cs="Arial"/>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Normal"/>
    <w:next w:val="TableGrid"/>
    <w:uiPriority w:val="39"/>
    <w:rsid w:val="00F13A4D"/>
    <w:pPr>
      <w:spacing w:after="0" w:line="240" w:lineRule="auto"/>
    </w:pPr>
    <w:rPr>
      <w:rFonts w:ascii="Calibri" w:eastAsia="Calibri" w:hAnsi="Calibri" w:cs="Arial"/>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
    <w:name w:val="Grille du tableau51"/>
    <w:basedOn w:val="TableNormal"/>
    <w:next w:val="TableGrid"/>
    <w:uiPriority w:val="39"/>
    <w:rsid w:val="00F13A4D"/>
    <w:pPr>
      <w:spacing w:after="0" w:line="240" w:lineRule="auto"/>
    </w:pPr>
    <w:rPr>
      <w:rFonts w:ascii="Calibri" w:eastAsia="Calibri" w:hAnsi="Calibri" w:cs="Arial"/>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
    <w:name w:val="Grille du tableau61"/>
    <w:basedOn w:val="TableNormal"/>
    <w:next w:val="TableGrid"/>
    <w:uiPriority w:val="39"/>
    <w:rsid w:val="00F13A4D"/>
    <w:pPr>
      <w:spacing w:after="0" w:line="240" w:lineRule="auto"/>
    </w:pPr>
    <w:rPr>
      <w:rFonts w:ascii="Calibri" w:eastAsia="Calibri" w:hAnsi="Calibri" w:cs="Arial"/>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1">
    <w:name w:val="Grille du tableau81"/>
    <w:basedOn w:val="TableNormal"/>
    <w:next w:val="TableGrid"/>
    <w:uiPriority w:val="39"/>
    <w:rsid w:val="005D40D4"/>
    <w:pPr>
      <w:spacing w:after="0" w:line="240" w:lineRule="auto"/>
    </w:pPr>
    <w:rPr>
      <w:rFonts w:ascii="Calibri" w:eastAsia="Calibri" w:hAnsi="Calibri" w:cs="Arial"/>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91">
    <w:name w:val="Grille du tableau91"/>
    <w:basedOn w:val="TableNormal"/>
    <w:next w:val="TableGrid"/>
    <w:uiPriority w:val="39"/>
    <w:rsid w:val="005D40D4"/>
    <w:pPr>
      <w:spacing w:after="0" w:line="240" w:lineRule="auto"/>
    </w:pPr>
    <w:rPr>
      <w:rFonts w:ascii="Calibri" w:eastAsia="Calibri" w:hAnsi="Calibri" w:cs="Arial"/>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1">
    <w:name w:val="Grille du tableau101"/>
    <w:basedOn w:val="TableNormal"/>
    <w:next w:val="TableGrid"/>
    <w:uiPriority w:val="39"/>
    <w:rsid w:val="005D40D4"/>
    <w:pPr>
      <w:spacing w:after="0" w:line="240" w:lineRule="auto"/>
    </w:pPr>
    <w:rPr>
      <w:rFonts w:ascii="Calibri" w:eastAsia="Calibri" w:hAnsi="Calibri" w:cs="Arial"/>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1">
    <w:name w:val="Grille du tableau111"/>
    <w:basedOn w:val="TableNormal"/>
    <w:next w:val="TableGrid"/>
    <w:uiPriority w:val="39"/>
    <w:rsid w:val="005D40D4"/>
    <w:pPr>
      <w:spacing w:after="0" w:line="240" w:lineRule="auto"/>
    </w:pPr>
    <w:rPr>
      <w:rFonts w:ascii="Calibri" w:eastAsia="Calibri" w:hAnsi="Calibri" w:cs="Arial"/>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
    <w:name w:val="Grille du tableau121"/>
    <w:basedOn w:val="TableNormal"/>
    <w:next w:val="TableGrid"/>
    <w:uiPriority w:val="39"/>
    <w:rsid w:val="005D40D4"/>
    <w:pPr>
      <w:spacing w:after="0" w:line="240" w:lineRule="auto"/>
    </w:pPr>
    <w:rPr>
      <w:rFonts w:ascii="Calibri" w:eastAsia="Calibri" w:hAnsi="Calibri" w:cs="Arial"/>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4">
    <w:name w:val="Grille du tableau14"/>
    <w:basedOn w:val="TableNormal"/>
    <w:next w:val="TableGrid"/>
    <w:uiPriority w:val="39"/>
    <w:rsid w:val="005D40D4"/>
    <w:pPr>
      <w:spacing w:after="0" w:line="240" w:lineRule="auto"/>
    </w:pPr>
    <w:rPr>
      <w:rFonts w:ascii="Calibri" w:eastAsia="Calibri" w:hAnsi="Calibri" w:cs="Arial"/>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
    <w:name w:val="Grille du tableau15"/>
    <w:basedOn w:val="TableNormal"/>
    <w:next w:val="TableGrid"/>
    <w:uiPriority w:val="39"/>
    <w:rsid w:val="005D40D4"/>
    <w:pPr>
      <w:spacing w:after="0" w:line="240" w:lineRule="auto"/>
    </w:pPr>
    <w:rPr>
      <w:rFonts w:ascii="Calibri" w:eastAsia="Calibri" w:hAnsi="Calibri" w:cs="Arial"/>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6">
    <w:name w:val="Grille du tableau16"/>
    <w:basedOn w:val="TableNormal"/>
    <w:next w:val="TableGrid"/>
    <w:uiPriority w:val="39"/>
    <w:rsid w:val="005D40D4"/>
    <w:pPr>
      <w:spacing w:after="0" w:line="240" w:lineRule="auto"/>
    </w:pPr>
    <w:rPr>
      <w:rFonts w:ascii="Calibri" w:eastAsia="Calibri" w:hAnsi="Calibri" w:cs="Arial"/>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31">
    <w:name w:val="Grille du tableau131"/>
    <w:basedOn w:val="TableNormal"/>
    <w:next w:val="TableGrid"/>
    <w:uiPriority w:val="39"/>
    <w:rsid w:val="005D40D4"/>
    <w:pPr>
      <w:spacing w:after="0" w:line="240" w:lineRule="auto"/>
    </w:pPr>
    <w:rPr>
      <w:rFonts w:ascii="Calibri" w:eastAsia="Calibri" w:hAnsi="Calibri" w:cs="Arial"/>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7">
    <w:name w:val="Grille du tableau17"/>
    <w:basedOn w:val="TableNormal"/>
    <w:next w:val="TableGrid"/>
    <w:uiPriority w:val="39"/>
    <w:rsid w:val="00F1794C"/>
    <w:pPr>
      <w:spacing w:after="0" w:line="240" w:lineRule="auto"/>
    </w:pPr>
    <w:rPr>
      <w:rFonts w:ascii="Calibri" w:eastAsia="Calibri" w:hAnsi="Calibri" w:cs="Arial"/>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1794C"/>
    <w:rPr>
      <w:color w:val="0000FF"/>
      <w:u w:val="none"/>
    </w:rPr>
  </w:style>
  <w:style w:type="character" w:styleId="FollowedHyperlink">
    <w:name w:val="FollowedHyperlink"/>
    <w:basedOn w:val="DefaultParagraphFont"/>
    <w:uiPriority w:val="99"/>
    <w:semiHidden/>
    <w:unhideWhenUsed/>
    <w:rsid w:val="00F1794C"/>
    <w:rPr>
      <w:color w:val="0000FF"/>
      <w:u w:val="none"/>
    </w:rPr>
  </w:style>
  <w:style w:type="character" w:styleId="UnresolvedMention">
    <w:name w:val="Unresolved Mention"/>
    <w:basedOn w:val="DefaultParagraphFont"/>
    <w:uiPriority w:val="99"/>
    <w:semiHidden/>
    <w:unhideWhenUsed/>
    <w:rsid w:val="00F1794C"/>
    <w:rPr>
      <w:color w:val="605E5C"/>
      <w:shd w:val="clear" w:color="auto" w:fill="E1DFDD"/>
    </w:rPr>
  </w:style>
  <w:style w:type="paragraph" w:styleId="Revision">
    <w:name w:val="Revision"/>
    <w:hidden/>
    <w:uiPriority w:val="99"/>
    <w:semiHidden/>
    <w:rsid w:val="00184479"/>
    <w:pPr>
      <w:spacing w:after="0" w:line="240" w:lineRule="auto"/>
    </w:pPr>
    <w:rPr>
      <w:rFonts w:ascii="Times New Roman" w:eastAsiaTheme="minorHAnsi" w:hAnsi="Times New Roman" w:cs="Times New Roman"/>
      <w:spacing w:val="4"/>
      <w:w w:val="103"/>
      <w:kern w:val="14"/>
      <w:sz w:val="20"/>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s://undocs.org/fr/A/HRC/20/26/Add.2"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60</Pages>
  <Words>26921</Words>
  <Characters>153454</Characters>
  <Application>Microsoft Office Word</Application>
  <DocSecurity>0</DocSecurity>
  <Lines>1278</Lines>
  <Paragraphs>360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Ngagne Fall</dc:creator>
  <cp:keywords/>
  <dc:description/>
  <cp:lastModifiedBy>Nadia Lakrim</cp:lastModifiedBy>
  <cp:revision>3</cp:revision>
  <cp:lastPrinted>2020-07-29T15:29:00Z</cp:lastPrinted>
  <dcterms:created xsi:type="dcterms:W3CDTF">2020-07-29T15:29:00Z</dcterms:created>
  <dcterms:modified xsi:type="dcterms:W3CDTF">2020-07-29T15:30:00Z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2002608F</vt:lpwstr>
  </property>
  <property fmtid="{D5CDD505-2E9C-101B-9397-08002B2CF9AE}" pid="3" name="ODSRefJobNo">
    <vt:lpwstr>2004356F</vt:lpwstr>
  </property>
  <property fmtid="{D5CDD505-2E9C-101B-9397-08002B2CF9AE}" pid="4" name="Symbol1">
    <vt:lpwstr>CEDAW/C/MAR/5-6</vt:lpwstr>
  </property>
  <property fmtid="{D5CDD505-2E9C-101B-9397-08002B2CF9AE}" pid="5" name="Symbol2">
    <vt:lpwstr/>
  </property>
  <property fmtid="{D5CDD505-2E9C-101B-9397-08002B2CF9AE}" pid="6" name="Translator">
    <vt:lpwstr/>
  </property>
  <property fmtid="{D5CDD505-2E9C-101B-9397-08002B2CF9AE}" pid="7" name="Operator">
    <vt:lpwstr>NFA</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French</vt:lpwstr>
  </property>
  <property fmtid="{D5CDD505-2E9C-101B-9397-08002B2CF9AE}" pid="12" name="Release Date">
    <vt:lpwstr/>
  </property>
  <property fmtid="{D5CDD505-2E9C-101B-9397-08002B2CF9AE}" pid="13" name="Title1">
    <vt:lpwstr>		Rapport valant cinquième et sixième rapports périodiques soumis par le Maroc en application de l’article 18 de la Convention, attendu en 2014*_x000d_</vt:lpwstr>
  </property>
</Properties>
</file>