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AB9" w:rsidRDefault="00925AB9" w:rsidP="00925AB9">
      <w:pPr>
        <w:spacing w:line="60" w:lineRule="exact"/>
        <w:rPr>
          <w:color w:val="010000"/>
          <w:sz w:val="2"/>
        </w:rPr>
        <w:sectPr w:rsidR="00925AB9" w:rsidSect="004444F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2240" w:h="15840"/>
          <w:pgMar w:top="1440" w:right="1200" w:bottom="1728" w:left="1200" w:header="432" w:footer="504" w:gutter="0"/>
          <w:pgNumType w:start="1"/>
          <w:cols w:space="720"/>
          <w:titlePg/>
          <w:docGrid w:linePitch="360"/>
        </w:sectPr>
      </w:pPr>
      <w:r>
        <w:rPr>
          <w:rStyle w:val="CommentReference"/>
        </w:rPr>
        <w:commentReference w:id="0"/>
      </w:r>
    </w:p>
    <w:p w:rsidR="00925AB9" w:rsidRDefault="00C17088" w:rsidP="00C17088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en-US"/>
        </w:rPr>
      </w:pPr>
      <w:r>
        <w:lastRenderedPageBreak/>
        <w:t xml:space="preserve">Комитет по ликвидации дискриминации </w:t>
      </w:r>
      <w:r>
        <w:br/>
        <w:t>в отношении женщин</w:t>
      </w:r>
    </w:p>
    <w:p w:rsidR="004444FD" w:rsidRPr="00C17088" w:rsidRDefault="004444FD" w:rsidP="00C17088">
      <w:pPr>
        <w:pStyle w:val="SingleTxt"/>
        <w:spacing w:after="0" w:line="120" w:lineRule="exact"/>
        <w:rPr>
          <w:sz w:val="10"/>
        </w:rPr>
      </w:pPr>
    </w:p>
    <w:p w:rsidR="00C17088" w:rsidRPr="00C17088" w:rsidRDefault="00C17088" w:rsidP="00C17088">
      <w:pPr>
        <w:pStyle w:val="SingleTxt"/>
        <w:spacing w:after="0" w:line="120" w:lineRule="exact"/>
        <w:rPr>
          <w:sz w:val="10"/>
        </w:rPr>
      </w:pPr>
    </w:p>
    <w:p w:rsidR="00C17088" w:rsidRPr="00C17088" w:rsidRDefault="00C17088" w:rsidP="00C17088">
      <w:pPr>
        <w:pStyle w:val="SingleTxt"/>
        <w:spacing w:after="0" w:line="120" w:lineRule="exact"/>
        <w:rPr>
          <w:sz w:val="10"/>
        </w:rPr>
      </w:pPr>
    </w:p>
    <w:p w:rsidR="00C17088" w:rsidRDefault="00C17088" w:rsidP="00A142CB">
      <w:pPr>
        <w:pStyle w:val="Title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rPr>
          <w:lang w:val="en-US"/>
        </w:rPr>
        <w:tab/>
      </w:r>
      <w:r>
        <w:rPr>
          <w:lang w:val="en-US"/>
        </w:rPr>
        <w:tab/>
      </w:r>
      <w:r>
        <w:t>Заключительные замечания по второму периодическому докладу Черногории*</w:t>
      </w:r>
    </w:p>
    <w:p w:rsidR="00C17088" w:rsidRDefault="00C17088" w:rsidP="00C17088">
      <w:pPr>
        <w:pStyle w:val="SingleTxt"/>
        <w:spacing w:after="0" w:line="120" w:lineRule="exact"/>
        <w:rPr>
          <w:sz w:val="10"/>
        </w:rPr>
      </w:pPr>
    </w:p>
    <w:p w:rsidR="00C17088" w:rsidRDefault="00C17088" w:rsidP="00C17088">
      <w:pPr>
        <w:pStyle w:val="SingleTxt"/>
        <w:spacing w:after="0" w:line="120" w:lineRule="exact"/>
        <w:rPr>
          <w:sz w:val="10"/>
        </w:rPr>
      </w:pPr>
    </w:p>
    <w:p w:rsidR="00C17088" w:rsidRPr="00C17088" w:rsidRDefault="00C17088" w:rsidP="00C17088">
      <w:pPr>
        <w:framePr w:w="9792" w:h="432" w:hSpace="180" w:wrap="around" w:hAnchor="page" w:x="1210" w:yAlign="bottom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line="240" w:lineRule="auto"/>
        <w:ind w:left="1267" w:right="1260" w:hanging="576"/>
        <w:rPr>
          <w:spacing w:val="5"/>
          <w:w w:val="104"/>
          <w:sz w:val="17"/>
          <w:szCs w:val="20"/>
        </w:rPr>
      </w:pPr>
      <w:r w:rsidRPr="00C17088">
        <w:rPr>
          <w:noProof/>
          <w:w w:val="100"/>
          <w:sz w:val="17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A3B58D" wp14:editId="0578BBFE">
                <wp:simplePos x="0" y="0"/>
                <wp:positionH relativeFrom="page">
                  <wp:posOffset>1371600</wp:posOffset>
                </wp:positionH>
                <wp:positionV relativeFrom="paragraph">
                  <wp:posOffset>-12700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108pt,-1pt" to="180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K6xErjeAAAACQEAAA8AAAAAAAAAAAAAAAAAMwQAAGRycy9kb3ducmV2LnhtbFBLBQYAAAAABAAE&#10;APMAAAA+BQAAAAA=&#10;" strokecolor="#010000" strokeweight=".25pt">
                <w10:wrap anchorx="page"/>
              </v:line>
            </w:pict>
          </mc:Fallback>
        </mc:AlternateContent>
      </w:r>
      <w:r>
        <w:rPr>
          <w:spacing w:val="5"/>
          <w:w w:val="104"/>
          <w:sz w:val="17"/>
          <w:szCs w:val="20"/>
        </w:rPr>
        <w:tab/>
      </w:r>
      <w:r w:rsidRPr="00C17088">
        <w:rPr>
          <w:spacing w:val="5"/>
          <w:w w:val="104"/>
          <w:sz w:val="17"/>
          <w:szCs w:val="20"/>
        </w:rPr>
        <w:t>*</w:t>
      </w:r>
      <w:r>
        <w:rPr>
          <w:spacing w:val="5"/>
          <w:w w:val="104"/>
          <w:sz w:val="17"/>
          <w:szCs w:val="20"/>
        </w:rPr>
        <w:tab/>
      </w:r>
      <w:r>
        <w:rPr>
          <w:sz w:val="17"/>
        </w:rPr>
        <w:t>Приняты Комитетом на его шестьдесят седьмой сессии (3-21 июля 2017 года).</w:t>
      </w:r>
    </w:p>
    <w:p w:rsidR="00C17088" w:rsidRDefault="00C17088" w:rsidP="00C17088">
      <w:pPr>
        <w:pStyle w:val="SingleTxt"/>
      </w:pPr>
      <w:r>
        <w:t>1.</w:t>
      </w:r>
      <w:r>
        <w:tab/>
        <w:t>Комитет рассмотрел второй периодический доклад Черногории (</w:t>
      </w:r>
      <w:hyperlink r:id="rId15" w:history="1">
        <w:r>
          <w:rPr>
            <w:rStyle w:val="Hyperlink"/>
          </w:rPr>
          <w:t>CEDAW/C/MNE/2</w:t>
        </w:r>
      </w:hyperlink>
      <w:r>
        <w:t>) на своих 1512-м и 1513-м заседаниях (см.</w:t>
      </w:r>
      <w:r>
        <w:rPr>
          <w:lang w:val="en-US"/>
        </w:rPr>
        <w:t> </w:t>
      </w:r>
      <w:hyperlink r:id="rId16" w:history="1">
        <w:r>
          <w:rPr>
            <w:rStyle w:val="Hyperlink"/>
          </w:rPr>
          <w:t>CEDAW/C/SR.1512</w:t>
        </w:r>
      </w:hyperlink>
      <w:r>
        <w:t xml:space="preserve"> и 1513), состоявшихся 11 июля 2017 года. Подгото</w:t>
      </w:r>
      <w:r>
        <w:t>в</w:t>
      </w:r>
      <w:r>
        <w:t>ленный Комитетом перечень тем и вопросов представлен в докуме</w:t>
      </w:r>
      <w:r>
        <w:t>н</w:t>
      </w:r>
      <w:r>
        <w:t>те</w:t>
      </w:r>
      <w:r>
        <w:rPr>
          <w:lang w:val="en-US"/>
        </w:rPr>
        <w:t> </w:t>
      </w:r>
      <w:hyperlink r:id="rId17" w:history="1">
        <w:r>
          <w:rPr>
            <w:rStyle w:val="Hyperlink"/>
          </w:rPr>
          <w:t>CEDAW/C/MNE/Q/2</w:t>
        </w:r>
      </w:hyperlink>
      <w:r>
        <w:t>, а ответы Черногории содержатся в докуме</w:t>
      </w:r>
      <w:r>
        <w:t>н</w:t>
      </w:r>
      <w:r>
        <w:t>те</w:t>
      </w:r>
      <w:r>
        <w:rPr>
          <w:lang w:val="en-US"/>
        </w:rPr>
        <w:t> </w:t>
      </w:r>
      <w:hyperlink r:id="rId18" w:history="1">
        <w:r>
          <w:rPr>
            <w:rStyle w:val="Hyperlink"/>
          </w:rPr>
          <w:t>CEDAW/C/MNE/Q/2/Add.1</w:t>
        </w:r>
      </w:hyperlink>
      <w:r>
        <w:t>.</w:t>
      </w:r>
    </w:p>
    <w:p w:rsidR="00C17088" w:rsidRDefault="00C17088" w:rsidP="00C17088">
      <w:pPr>
        <w:pStyle w:val="SingleTxt"/>
        <w:spacing w:after="0" w:line="120" w:lineRule="exact"/>
        <w:rPr>
          <w:sz w:val="10"/>
        </w:rPr>
      </w:pPr>
    </w:p>
    <w:p w:rsidR="00C17088" w:rsidRDefault="00C17088" w:rsidP="00C17088">
      <w:pPr>
        <w:pStyle w:val="SingleTxt"/>
        <w:spacing w:after="0" w:line="120" w:lineRule="exact"/>
        <w:rPr>
          <w:sz w:val="10"/>
        </w:rPr>
      </w:pPr>
    </w:p>
    <w:p w:rsidR="00C17088" w:rsidRDefault="00C17088" w:rsidP="00C17088">
      <w:pPr>
        <w:pStyle w:val="H1"/>
        <w:ind w:right="1260"/>
      </w:pPr>
      <w:r>
        <w:tab/>
        <w:t>A.</w:t>
      </w:r>
      <w:r>
        <w:tab/>
        <w:t>Введение</w:t>
      </w:r>
    </w:p>
    <w:p w:rsidR="00C17088" w:rsidRDefault="00C17088" w:rsidP="00C17088">
      <w:pPr>
        <w:pStyle w:val="SingleTxt"/>
        <w:spacing w:after="0" w:line="120" w:lineRule="exact"/>
        <w:rPr>
          <w:sz w:val="10"/>
        </w:rPr>
      </w:pPr>
    </w:p>
    <w:p w:rsidR="00C17088" w:rsidRDefault="00C17088" w:rsidP="00C17088">
      <w:pPr>
        <w:pStyle w:val="SingleTxt"/>
        <w:spacing w:after="0" w:line="120" w:lineRule="exact"/>
        <w:rPr>
          <w:sz w:val="10"/>
        </w:rPr>
      </w:pPr>
    </w:p>
    <w:p w:rsidR="00C17088" w:rsidRDefault="00C17088" w:rsidP="00C17088">
      <w:pPr>
        <w:pStyle w:val="SingleTxt"/>
        <w:rPr>
          <w:b/>
        </w:rPr>
      </w:pPr>
      <w:r>
        <w:t>2.</w:t>
      </w:r>
      <w:r>
        <w:tab/>
        <w:t>Комитет выражает признательность государству-участнику за предста</w:t>
      </w:r>
      <w:r>
        <w:t>в</w:t>
      </w:r>
      <w:r>
        <w:t>ление второго периодического доклада. Комитет также благодарит госуда</w:t>
      </w:r>
      <w:r>
        <w:t>р</w:t>
      </w:r>
      <w:r>
        <w:t>ство-участник за письменные ответы на перечень тем и вопросов, поднятых предсессионной рабочей группой, устный доклад делегации и дополнительные разъяснения, представленные в ответ на вопросы, заданные членами Комитета в устной форме в ходе диалога.</w:t>
      </w:r>
    </w:p>
    <w:p w:rsidR="00C17088" w:rsidRDefault="00C17088" w:rsidP="00C17088">
      <w:pPr>
        <w:pStyle w:val="SingleTxt"/>
      </w:pPr>
      <w:r>
        <w:t>3.</w:t>
      </w:r>
      <w:r>
        <w:tab/>
        <w:t>Комитет отдает должное государству-участнику за направление делегации высокого уровня во главе с министром по правам человека и меньшинств г-ном Мехмедом Зенка. В состав делегации также входили представители Министе</w:t>
      </w:r>
      <w:r>
        <w:t>р</w:t>
      </w:r>
      <w:r>
        <w:t>ства сельского хозяйства и развития сельских районов, Министерства труда и социального обеспечения, Министерства внутренних дел, Министерства здр</w:t>
      </w:r>
      <w:r>
        <w:t>а</w:t>
      </w:r>
      <w:r>
        <w:t>воохранения, Министерства образования, Верховного суда Черногории и Ве</w:t>
      </w:r>
      <w:r>
        <w:t>р</w:t>
      </w:r>
      <w:r>
        <w:t>ховной государственной прокуратуры Черногории, Министерства по защите прав человека и меньшинств и Постоянного представительства Черногории при Организации Объединенных Наций и других международных организац</w:t>
      </w:r>
      <w:r>
        <w:t>и</w:t>
      </w:r>
      <w:r>
        <w:t>ях в Женеве.</w:t>
      </w:r>
    </w:p>
    <w:p w:rsidR="00C17088" w:rsidRDefault="00C17088" w:rsidP="00C17088">
      <w:pPr>
        <w:pStyle w:val="SingleTxt"/>
        <w:spacing w:after="0" w:line="120" w:lineRule="exact"/>
        <w:rPr>
          <w:sz w:val="10"/>
        </w:rPr>
      </w:pPr>
    </w:p>
    <w:p w:rsidR="00C17088" w:rsidRDefault="00C17088" w:rsidP="00C17088">
      <w:pPr>
        <w:pStyle w:val="SingleTxt"/>
        <w:spacing w:after="0" w:line="120" w:lineRule="exact"/>
        <w:rPr>
          <w:sz w:val="10"/>
        </w:rPr>
      </w:pPr>
    </w:p>
    <w:p w:rsidR="00C17088" w:rsidRDefault="00C17088" w:rsidP="00C17088">
      <w:pPr>
        <w:pStyle w:val="H1"/>
        <w:ind w:right="1260"/>
      </w:pPr>
      <w:r>
        <w:tab/>
        <w:t>B.</w:t>
      </w:r>
      <w:r>
        <w:tab/>
        <w:t>Положительные аспекты</w:t>
      </w:r>
    </w:p>
    <w:p w:rsidR="00C17088" w:rsidRDefault="00C17088" w:rsidP="00C17088">
      <w:pPr>
        <w:pStyle w:val="SingleTxt"/>
        <w:spacing w:after="0" w:line="120" w:lineRule="exact"/>
        <w:rPr>
          <w:sz w:val="10"/>
        </w:rPr>
      </w:pPr>
    </w:p>
    <w:p w:rsidR="00C17088" w:rsidRDefault="00C17088" w:rsidP="00C17088">
      <w:pPr>
        <w:pStyle w:val="SingleTxt"/>
        <w:spacing w:after="0" w:line="120" w:lineRule="exact"/>
        <w:rPr>
          <w:sz w:val="10"/>
        </w:rPr>
      </w:pPr>
    </w:p>
    <w:p w:rsidR="00C17088" w:rsidRDefault="00C17088" w:rsidP="00C17088">
      <w:pPr>
        <w:pStyle w:val="SingleTxt"/>
        <w:spacing w:line="240" w:lineRule="auto"/>
      </w:pPr>
      <w:r w:rsidRPr="00C17088">
        <w:t>4.</w:t>
      </w:r>
      <w:r>
        <w:tab/>
        <w:t xml:space="preserve">Комитет приветствует прогресс, достигнутый государством-участником в </w:t>
      </w:r>
      <w:r w:rsidRPr="00C17088">
        <w:rPr>
          <w:sz w:val="17"/>
        </w:rPr>
        <w:t>о</w:t>
      </w:r>
      <w:r>
        <w:t>бласти проведения законодательных реформ за период после рассмотрения в 2011 году его первоначального доклада (</w:t>
      </w:r>
      <w:hyperlink r:id="rId19" w:history="1">
        <w:r>
          <w:rPr>
            <w:rStyle w:val="Hyperlink"/>
          </w:rPr>
          <w:t>CEDAW/C/MNE/1</w:t>
        </w:r>
      </w:hyperlink>
      <w:r>
        <w:t>), в частности пр</w:t>
      </w:r>
      <w:r>
        <w:t>и</w:t>
      </w:r>
      <w:r>
        <w:t>нятые им следующие законодател</w:t>
      </w:r>
      <w:r>
        <w:t>ь</w:t>
      </w:r>
      <w:r>
        <w:t xml:space="preserve">ные меры: </w:t>
      </w:r>
    </w:p>
    <w:p w:rsidR="00C17088" w:rsidRDefault="00C17088" w:rsidP="00C17088">
      <w:pPr>
        <w:pStyle w:val="SingleTxt"/>
      </w:pPr>
      <w:r>
        <w:tab/>
        <w:t>a)</w:t>
      </w:r>
      <w:r>
        <w:tab/>
        <w:t>поправки к Закону о гендерном равенстве, тем самым приведя его в соответствие со стандартами Европейского союза (2015 год);</w:t>
      </w:r>
    </w:p>
    <w:p w:rsidR="00C17088" w:rsidRDefault="00C17088" w:rsidP="00C17088">
      <w:pPr>
        <w:pStyle w:val="SingleTxt"/>
      </w:pPr>
      <w:r>
        <w:tab/>
        <w:t>b)</w:t>
      </w:r>
      <w:r>
        <w:tab/>
        <w:t>поправки к Закону о бесплатной юридической помощи (2015 год), позволяющему жертвам насилия в семье получать бесплатную юридическую помощь;</w:t>
      </w:r>
    </w:p>
    <w:p w:rsidR="00C17088" w:rsidRDefault="00C17088" w:rsidP="00C17088">
      <w:pPr>
        <w:pStyle w:val="SingleTxt"/>
      </w:pPr>
      <w:r>
        <w:tab/>
        <w:t>c)</w:t>
      </w:r>
      <w:r>
        <w:tab/>
        <w:t>поправки к Закону о выборах (2014 год), предоставляющему женщ</w:t>
      </w:r>
      <w:r>
        <w:t>и</w:t>
      </w:r>
      <w:r>
        <w:t>нам более широкие возможности для участия в политической жизни.</w:t>
      </w:r>
    </w:p>
    <w:p w:rsidR="00C17088" w:rsidRDefault="00C17088" w:rsidP="00C17088">
      <w:pPr>
        <w:pStyle w:val="SingleTxt"/>
      </w:pPr>
      <w:r>
        <w:t>5.</w:t>
      </w:r>
      <w:r>
        <w:tab/>
        <w:t>Комитет приветствует усилия государства-участника по совершенствов</w:t>
      </w:r>
      <w:r>
        <w:t>а</w:t>
      </w:r>
      <w:r>
        <w:t>нию своей институциональной и нормативно-правовой базы направленные на ускорение процесса ликвидации дискриминации в отношении женщин и п</w:t>
      </w:r>
      <w:r>
        <w:t>о</w:t>
      </w:r>
      <w:r>
        <w:t>ощрение гендерного равенства, включая принятие национального плана де</w:t>
      </w:r>
      <w:r>
        <w:t>й</w:t>
      </w:r>
      <w:r>
        <w:t>ствий по достижению гендерного равенства на период 2017-2021 годов и стр</w:t>
      </w:r>
      <w:r>
        <w:t>а</w:t>
      </w:r>
      <w:r>
        <w:t>тегии защиты от насилия в семье на период 2016-2020 годов.</w:t>
      </w:r>
    </w:p>
    <w:p w:rsidR="00C17088" w:rsidRDefault="00C17088" w:rsidP="00C17088">
      <w:pPr>
        <w:pStyle w:val="SingleTxt"/>
      </w:pPr>
      <w:r>
        <w:t>6.</w:t>
      </w:r>
      <w:r>
        <w:tab/>
        <w:t>Комитет с удовлетворением отмечает тот факт, что за время, прошедшее с момента рассмотрения предыдущего периодического доклада, государство-участник ратифицировало следующие международные и региональные док</w:t>
      </w:r>
      <w:r>
        <w:t>у</w:t>
      </w:r>
      <w:r>
        <w:t>менты или присоединилось к ним:</w:t>
      </w:r>
    </w:p>
    <w:p w:rsidR="00C17088" w:rsidRDefault="00C17088" w:rsidP="00C17088">
      <w:pPr>
        <w:pStyle w:val="SingleTxt"/>
      </w:pPr>
      <w:r>
        <w:tab/>
        <w:t>a)</w:t>
      </w:r>
      <w:r>
        <w:tab/>
        <w:t>Факультативный протокол к Конвенции о правах ребенка, каса</w:t>
      </w:r>
      <w:r>
        <w:t>ю</w:t>
      </w:r>
      <w:r>
        <w:t>щийся процедуры сообщений (2013 год);</w:t>
      </w:r>
    </w:p>
    <w:p w:rsidR="00C17088" w:rsidRDefault="00C17088" w:rsidP="00C17088">
      <w:pPr>
        <w:pStyle w:val="SingleTxt"/>
      </w:pPr>
      <w:r>
        <w:tab/>
        <w:t>b)</w:t>
      </w:r>
      <w:r>
        <w:tab/>
        <w:t>Конвенция Совета Европы о предотвращении и пресечении насилия в отношении женщин и бытового насилия (2013 год).</w:t>
      </w:r>
    </w:p>
    <w:p w:rsidR="00C17088" w:rsidRDefault="00C17088" w:rsidP="00C17088">
      <w:pPr>
        <w:pStyle w:val="SingleTxt"/>
        <w:spacing w:after="0" w:line="120" w:lineRule="exact"/>
        <w:rPr>
          <w:sz w:val="10"/>
        </w:rPr>
      </w:pPr>
    </w:p>
    <w:p w:rsidR="00C17088" w:rsidRDefault="00C17088" w:rsidP="00C17088">
      <w:pPr>
        <w:pStyle w:val="SingleTxt"/>
        <w:spacing w:after="0" w:line="120" w:lineRule="exact"/>
        <w:rPr>
          <w:sz w:val="10"/>
        </w:rPr>
      </w:pPr>
    </w:p>
    <w:p w:rsidR="00C17088" w:rsidRDefault="00C17088" w:rsidP="00C17088">
      <w:pPr>
        <w:pStyle w:val="H1"/>
        <w:ind w:right="1260"/>
      </w:pPr>
      <w:r>
        <w:tab/>
        <w:t>C.</w:t>
      </w:r>
      <w:r>
        <w:tab/>
        <w:t>Парламент</w:t>
      </w:r>
    </w:p>
    <w:p w:rsidR="00C17088" w:rsidRDefault="00C17088" w:rsidP="00C17088">
      <w:pPr>
        <w:pStyle w:val="SingleTxt"/>
        <w:spacing w:after="0" w:line="120" w:lineRule="exact"/>
        <w:rPr>
          <w:sz w:val="10"/>
        </w:rPr>
      </w:pPr>
    </w:p>
    <w:p w:rsidR="00C17088" w:rsidRDefault="00C17088" w:rsidP="00C17088">
      <w:pPr>
        <w:pStyle w:val="SingleTxt"/>
        <w:spacing w:after="0" w:line="120" w:lineRule="exact"/>
        <w:rPr>
          <w:sz w:val="10"/>
        </w:rPr>
      </w:pPr>
    </w:p>
    <w:p w:rsidR="00C17088" w:rsidRDefault="00C17088" w:rsidP="00C17088">
      <w:pPr>
        <w:pStyle w:val="SingleTxt"/>
      </w:pPr>
      <w:r>
        <w:t>7.</w:t>
      </w:r>
      <w:r>
        <w:tab/>
      </w:r>
      <w:r>
        <w:rPr>
          <w:b/>
        </w:rPr>
        <w:t>Комитет подчеркивает решающую роль законодательной власти в обеспечении полного осуществления Конвенции (см. заявление Комитета о его взаимоотношениях с парламентариями, принятое на сорок пятой се</w:t>
      </w:r>
      <w:r>
        <w:rPr>
          <w:b/>
        </w:rPr>
        <w:t>с</w:t>
      </w:r>
      <w:r>
        <w:rPr>
          <w:b/>
        </w:rPr>
        <w:t>сии в 2010 году). Комитет предлагает парламенту, в соответствии с его мандатом, принять необходимые меры для выполнения настоящих закл</w:t>
      </w:r>
      <w:r>
        <w:rPr>
          <w:b/>
        </w:rPr>
        <w:t>ю</w:t>
      </w:r>
      <w:r>
        <w:rPr>
          <w:b/>
        </w:rPr>
        <w:t>чительных замечаний до начала следующего периода представления  д</w:t>
      </w:r>
      <w:r>
        <w:rPr>
          <w:b/>
        </w:rPr>
        <w:t>о</w:t>
      </w:r>
      <w:r>
        <w:rPr>
          <w:b/>
        </w:rPr>
        <w:t>клада согласно Конвенции.</w:t>
      </w:r>
    </w:p>
    <w:p w:rsidR="00C17088" w:rsidRDefault="00C17088" w:rsidP="00C17088">
      <w:pPr>
        <w:pStyle w:val="SingleTxt"/>
        <w:spacing w:after="0" w:line="120" w:lineRule="exact"/>
        <w:rPr>
          <w:sz w:val="10"/>
        </w:rPr>
      </w:pPr>
    </w:p>
    <w:p w:rsidR="00C17088" w:rsidRDefault="00C17088" w:rsidP="00C17088">
      <w:pPr>
        <w:pStyle w:val="SingleTxt"/>
        <w:spacing w:after="0" w:line="120" w:lineRule="exact"/>
        <w:rPr>
          <w:sz w:val="10"/>
        </w:rPr>
      </w:pPr>
    </w:p>
    <w:p w:rsidR="00C17088" w:rsidRDefault="00C17088" w:rsidP="00C17088">
      <w:pPr>
        <w:pStyle w:val="H1"/>
        <w:ind w:right="1260"/>
      </w:pPr>
      <w:r>
        <w:tab/>
        <w:t>D.</w:t>
      </w:r>
      <w:r>
        <w:tab/>
        <w:t>Основные проблемные области и рекомендации</w:t>
      </w:r>
    </w:p>
    <w:p w:rsidR="00C17088" w:rsidRDefault="00C17088" w:rsidP="00C17088">
      <w:pPr>
        <w:pStyle w:val="SingleTxt"/>
        <w:spacing w:after="0" w:line="120" w:lineRule="exact"/>
        <w:rPr>
          <w:sz w:val="10"/>
        </w:rPr>
      </w:pPr>
    </w:p>
    <w:p w:rsidR="00C17088" w:rsidRDefault="00C17088" w:rsidP="00C17088">
      <w:pPr>
        <w:pStyle w:val="SingleTxt"/>
        <w:spacing w:after="0" w:line="120" w:lineRule="exact"/>
        <w:rPr>
          <w:sz w:val="10"/>
        </w:rPr>
      </w:pPr>
    </w:p>
    <w:p w:rsidR="00C17088" w:rsidRDefault="00C17088" w:rsidP="00C1708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Распространение информации о Конвенции</w:t>
      </w:r>
    </w:p>
    <w:p w:rsidR="00C17088" w:rsidRDefault="00C17088" w:rsidP="00C17088">
      <w:pPr>
        <w:pStyle w:val="SingleTxt"/>
        <w:spacing w:after="0" w:line="120" w:lineRule="exact"/>
        <w:rPr>
          <w:sz w:val="10"/>
        </w:rPr>
      </w:pPr>
    </w:p>
    <w:p w:rsidR="00C17088" w:rsidRDefault="00C17088" w:rsidP="00C17088">
      <w:pPr>
        <w:pStyle w:val="SingleTxt"/>
      </w:pPr>
      <w:r>
        <w:t>8.</w:t>
      </w:r>
      <w:r>
        <w:tab/>
        <w:t>Комитет с обеспокоенностью отмечает отсутствие информации о каких бы то ни было судебных или административных процедурах, в которых неп</w:t>
      </w:r>
      <w:r>
        <w:t>о</w:t>
      </w:r>
      <w:r>
        <w:t xml:space="preserve">средственно использовалась или упоминалась Конвенция. </w:t>
      </w:r>
    </w:p>
    <w:p w:rsidR="00C17088" w:rsidRDefault="00C17088" w:rsidP="00C17088">
      <w:pPr>
        <w:pStyle w:val="SingleTxt"/>
      </w:pPr>
      <w:r>
        <w:t>9.</w:t>
      </w:r>
      <w:r>
        <w:tab/>
      </w:r>
      <w:r>
        <w:rPr>
          <w:b/>
        </w:rPr>
        <w:t>Комитет рекомендует государству-участнику поощрять программы по наращиванию потенциала в области применения Конвенции для судей, прокуроров, сотрудников правоохранительных органов и юристов, а та</w:t>
      </w:r>
      <w:r>
        <w:rPr>
          <w:b/>
        </w:rPr>
        <w:t>к</w:t>
      </w:r>
      <w:r>
        <w:rPr>
          <w:b/>
        </w:rPr>
        <w:t>же Защитника прав и свобод человека в Черногории, с тем чтобы они мо</w:t>
      </w:r>
      <w:r>
        <w:rPr>
          <w:b/>
        </w:rPr>
        <w:t>г</w:t>
      </w:r>
      <w:r>
        <w:rPr>
          <w:b/>
        </w:rPr>
        <w:t>ли непосредственно применять ее положения или ссылаться на них в ходе судебных или административных разбирательств и толковать национал</w:t>
      </w:r>
      <w:r>
        <w:rPr>
          <w:b/>
        </w:rPr>
        <w:t>ь</w:t>
      </w:r>
      <w:r>
        <w:rPr>
          <w:b/>
        </w:rPr>
        <w:t>ное законодательство соответствующим образом.</w:t>
      </w:r>
    </w:p>
    <w:p w:rsidR="00C17088" w:rsidRDefault="00C17088" w:rsidP="00C17088">
      <w:pPr>
        <w:pStyle w:val="SingleTxt"/>
        <w:spacing w:after="0" w:line="120" w:lineRule="exact"/>
        <w:rPr>
          <w:sz w:val="10"/>
        </w:rPr>
      </w:pPr>
    </w:p>
    <w:p w:rsidR="00C17088" w:rsidRDefault="00C17088" w:rsidP="00C1708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 xml:space="preserve">Правовая основа для запрещения дискриминации в отношении женщин </w:t>
      </w:r>
    </w:p>
    <w:p w:rsidR="00C17088" w:rsidRDefault="00C17088" w:rsidP="00C17088">
      <w:pPr>
        <w:pStyle w:val="SingleTxt"/>
        <w:spacing w:after="0" w:line="120" w:lineRule="exact"/>
        <w:rPr>
          <w:sz w:val="10"/>
        </w:rPr>
      </w:pPr>
    </w:p>
    <w:p w:rsidR="00C17088" w:rsidRDefault="00C17088" w:rsidP="00C17088">
      <w:pPr>
        <w:pStyle w:val="SingleTxt"/>
      </w:pPr>
      <w:r>
        <w:t>10.</w:t>
      </w:r>
      <w:r>
        <w:tab/>
        <w:t>Комитет с удовлетворением отмечает наличие в государстве-участнике прочной законодательной базы по ликвидации дискриминации в отношении женщин, включая Закон о борьбе с дискриминацией, Закон о Защитнике прав и свобод человека в Черногории и Закон о гендерном равенстве. Он также пр</w:t>
      </w:r>
      <w:r>
        <w:t>и</w:t>
      </w:r>
      <w:r>
        <w:t>ветствует различные усилия по наращиванию потенциала и информационно-просветительские меры для предупреждения и искоренения дискриминации по признаку пола и поощрения равенства мужчин и женщин, ориентированные, в частности, на представителей судебной системы, полиции и гражданского о</w:t>
      </w:r>
      <w:r>
        <w:t>б</w:t>
      </w:r>
      <w:r>
        <w:t>щества. Вместе с тем Комитет с обеспокоенностью отмечает:</w:t>
      </w:r>
    </w:p>
    <w:p w:rsidR="00C17088" w:rsidRDefault="00C17088" w:rsidP="00C17088">
      <w:pPr>
        <w:pStyle w:val="SingleTxt"/>
      </w:pPr>
      <w:r>
        <w:tab/>
        <w:t>a)</w:t>
      </w:r>
      <w:r>
        <w:tab/>
        <w:t>ограниченное воздействие вышеупомянутых законодательных пол</w:t>
      </w:r>
      <w:r>
        <w:t>о</w:t>
      </w:r>
      <w:r>
        <w:t>жений, что может указывать на их недостаточное исполнение и отсутствие п</w:t>
      </w:r>
      <w:r>
        <w:t>о</w:t>
      </w:r>
      <w:r>
        <w:t>литической воли к тому, чтобы уделять приоритетное внимание вопросам ге</w:t>
      </w:r>
      <w:r>
        <w:t>н</w:t>
      </w:r>
      <w:r>
        <w:t>дерного равенства и недискриминации, а также на неадекватность мер по наращиванию потенциала в области гендерного равенства и запрещения ди</w:t>
      </w:r>
      <w:r>
        <w:t>с</w:t>
      </w:r>
      <w:r>
        <w:t xml:space="preserve">криминации по признаку пола; </w:t>
      </w:r>
    </w:p>
    <w:p w:rsidR="00C17088" w:rsidRDefault="00C17088" w:rsidP="00C17088">
      <w:pPr>
        <w:pStyle w:val="SingleTxt"/>
      </w:pPr>
      <w:r>
        <w:tab/>
        <w:t>b)</w:t>
      </w:r>
      <w:r>
        <w:tab/>
        <w:t>незначительное число жалоб на проявление дискриминации по пр</w:t>
      </w:r>
      <w:r>
        <w:t>и</w:t>
      </w:r>
      <w:r>
        <w:t>знаку пола или гендерной принадлежности, поданных Защитнику прав и св</w:t>
      </w:r>
      <w:r>
        <w:t>о</w:t>
      </w:r>
      <w:r>
        <w:t>бод человек, и отсутствие каких-либо подобных жалоб, поданных в Верховный суд. Комитет обеспокоен тем, что это может являться следствием недостато</w:t>
      </w:r>
      <w:r>
        <w:t>ч</w:t>
      </w:r>
      <w:r>
        <w:t>ного уровня доверия к государственным учреждениям среди женщин, ставших жертвами дискриминации.</w:t>
      </w:r>
    </w:p>
    <w:p w:rsidR="00C17088" w:rsidRDefault="00C17088" w:rsidP="00C17088">
      <w:pPr>
        <w:pStyle w:val="SingleTxt"/>
      </w:pPr>
      <w:r>
        <w:t>11.</w:t>
      </w:r>
      <w:r>
        <w:tab/>
      </w:r>
      <w:r>
        <w:rPr>
          <w:b/>
        </w:rPr>
        <w:t>Комитет рекомендует государству-участнику значительно увеличить объем людских, технических и финансовых ресурсов, выделяемых на ос</w:t>
      </w:r>
      <w:r>
        <w:rPr>
          <w:b/>
        </w:rPr>
        <w:t>у</w:t>
      </w:r>
      <w:r>
        <w:rPr>
          <w:b/>
        </w:rPr>
        <w:t>ществление законодательства о гендерном равенстве и запрете дискрим</w:t>
      </w:r>
      <w:r>
        <w:rPr>
          <w:b/>
        </w:rPr>
        <w:t>и</w:t>
      </w:r>
      <w:r>
        <w:rPr>
          <w:b/>
        </w:rPr>
        <w:t>нации по признаку пола или гендерной принадлежности, провести оценку воздействия различных усилий по наращиванию потенциала и, на основе ее результатов, принять необходимые меры для повышения их эффекти</w:t>
      </w:r>
      <w:r>
        <w:rPr>
          <w:b/>
        </w:rPr>
        <w:t>в</w:t>
      </w:r>
      <w:r>
        <w:rPr>
          <w:b/>
        </w:rPr>
        <w:t>ности. Эти меры должны включать распространение ориентированной на широкую общественность информации, в том числе в сотрудничестве с Защитником прав и свобод человека, по обеспечению доступа к правос</w:t>
      </w:r>
      <w:r>
        <w:rPr>
          <w:b/>
        </w:rPr>
        <w:t>у</w:t>
      </w:r>
      <w:r>
        <w:rPr>
          <w:b/>
        </w:rPr>
        <w:t>дию и имеющимся средствам правовой защиты для получения компенс</w:t>
      </w:r>
      <w:r>
        <w:rPr>
          <w:b/>
        </w:rPr>
        <w:t>а</w:t>
      </w:r>
      <w:r>
        <w:rPr>
          <w:b/>
        </w:rPr>
        <w:t>ции и возмещения ущерба</w:t>
      </w:r>
      <w:r>
        <w:t>.</w:t>
      </w:r>
    </w:p>
    <w:p w:rsidR="00C17088" w:rsidRDefault="00C17088" w:rsidP="00C17088">
      <w:pPr>
        <w:pStyle w:val="SingleTxt"/>
        <w:spacing w:after="0" w:line="120" w:lineRule="exact"/>
        <w:rPr>
          <w:sz w:val="10"/>
        </w:rPr>
      </w:pPr>
    </w:p>
    <w:p w:rsidR="00C17088" w:rsidRDefault="00C17088" w:rsidP="00C1708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Национальный механизм по улучшению положения женщин</w:t>
      </w:r>
    </w:p>
    <w:p w:rsidR="00C17088" w:rsidRDefault="00C17088" w:rsidP="00C17088">
      <w:pPr>
        <w:pStyle w:val="SingleTxt"/>
        <w:spacing w:after="0" w:line="120" w:lineRule="exact"/>
        <w:rPr>
          <w:sz w:val="10"/>
        </w:rPr>
      </w:pPr>
    </w:p>
    <w:p w:rsidR="00C17088" w:rsidRDefault="00C17088" w:rsidP="00C17088">
      <w:pPr>
        <w:pStyle w:val="SingleTxt"/>
      </w:pPr>
      <w:r>
        <w:t>12.</w:t>
      </w:r>
      <w:r>
        <w:tab/>
        <w:t>Комитет приветствует усилия, предпринятые Департаментом по вопросам гендерного равенства Министерства по правам человека и меньшинств, созд</w:t>
      </w:r>
      <w:r>
        <w:t>а</w:t>
      </w:r>
      <w:r>
        <w:t>ние Национального совета по вопросам гендерного равенства в 2016 году и парламентского Комитета по вопросам гендерного равенства и принятие нац</w:t>
      </w:r>
      <w:r>
        <w:t>и</w:t>
      </w:r>
      <w:r>
        <w:t>онального плана действий по обеспечению гендерного равенства на 2017-2021 годы. Он также приветствует назначение координаторов по гендерным вопр</w:t>
      </w:r>
      <w:r>
        <w:t>о</w:t>
      </w:r>
      <w:r>
        <w:t>сам и создание советов и управлений по вопросам гендерного равенства, а также принятие местных планов действий по обеспечению гендерного раве</w:t>
      </w:r>
      <w:r>
        <w:t>н</w:t>
      </w:r>
      <w:r>
        <w:t>ства во многих муниципалитетах государства-участника. Вместе с тем Комитет с обеспокоенностью отмечает:</w:t>
      </w:r>
    </w:p>
    <w:p w:rsidR="00C17088" w:rsidRDefault="00C17088" w:rsidP="00C17088">
      <w:pPr>
        <w:pStyle w:val="SingleTxt"/>
      </w:pPr>
      <w:r>
        <w:tab/>
        <w:t>a)</w:t>
      </w:r>
      <w:r>
        <w:tab/>
        <w:t>недостаточное финансирование вышеупомянутых органов и планов действий, что имеет негативные последствия для эффективного осуществления национальных и местных планов действий по обеспечению гендерного раве</w:t>
      </w:r>
      <w:r>
        <w:t>н</w:t>
      </w:r>
      <w:r>
        <w:t>ства;</w:t>
      </w:r>
    </w:p>
    <w:p w:rsidR="00C17088" w:rsidRDefault="00C17088" w:rsidP="00C17088">
      <w:pPr>
        <w:pStyle w:val="SingleTxt"/>
      </w:pPr>
      <w:r>
        <w:tab/>
        <w:t>b)</w:t>
      </w:r>
      <w:r>
        <w:tab/>
        <w:t>отсутствие эффективных оценок воздействия гендерного  фактора со стороны органов, являющихся частью национального механизма, в отношении осуществления законодательства и составления бюджета и преимущественно символическую роль этих органов, о чем свидетельствует низкий статус Нац</w:t>
      </w:r>
      <w:r>
        <w:t>и</w:t>
      </w:r>
      <w:r>
        <w:t>онального совета по вопросам гендерного равенства, с которым не было пр</w:t>
      </w:r>
      <w:r>
        <w:t>о</w:t>
      </w:r>
      <w:r>
        <w:t>ведено консультаций в ходе разработки национального плана действий по обеспечению гендерного равенства на 2017-2021 годы, а также предполож</w:t>
      </w:r>
      <w:r>
        <w:t>и</w:t>
      </w:r>
      <w:r>
        <w:t>тельно пассивную роль парламентского Комитета по вопросам гендерного р</w:t>
      </w:r>
      <w:r>
        <w:t>а</w:t>
      </w:r>
      <w:r>
        <w:t xml:space="preserve">венства; </w:t>
      </w:r>
    </w:p>
    <w:p w:rsidR="00C17088" w:rsidRDefault="00C17088" w:rsidP="00C17088">
      <w:pPr>
        <w:pStyle w:val="SingleTxt"/>
      </w:pPr>
      <w:r>
        <w:tab/>
        <w:t>c)</w:t>
      </w:r>
      <w:r>
        <w:tab/>
        <w:t>ограниченное воздействие предыдущего Национального плана де</w:t>
      </w:r>
      <w:r>
        <w:t>й</w:t>
      </w:r>
      <w:r>
        <w:t>ствий по обеспечению гендерного равенства на 2012-2017 годы.</w:t>
      </w:r>
    </w:p>
    <w:p w:rsidR="00C17088" w:rsidRDefault="00C17088" w:rsidP="00C17088">
      <w:pPr>
        <w:pStyle w:val="SingleTxt"/>
      </w:pPr>
      <w:r>
        <w:t>13.</w:t>
      </w:r>
      <w:r>
        <w:tab/>
      </w:r>
      <w:r>
        <w:rPr>
          <w:b/>
        </w:rPr>
        <w:t>Комитет рекомендует государству-участнику:</w:t>
      </w:r>
    </w:p>
    <w:p w:rsidR="00C17088" w:rsidRDefault="00C17088" w:rsidP="00C17088">
      <w:pPr>
        <w:pStyle w:val="SingleTxt"/>
      </w:pPr>
      <w:r>
        <w:tab/>
        <w:t>a)</w:t>
      </w:r>
      <w:r>
        <w:tab/>
      </w:r>
      <w:r>
        <w:rPr>
          <w:b/>
        </w:rPr>
        <w:t>укреплять механизм по улучшению положения женщин путем значительного увеличения объема людских, технических и финансовых ресурсов, выделяемых ему как на центральном, так и на муниципальном уровне;</w:t>
      </w:r>
    </w:p>
    <w:p w:rsidR="00C17088" w:rsidRDefault="00C17088" w:rsidP="00C17088">
      <w:pPr>
        <w:pStyle w:val="SingleTxt"/>
      </w:pPr>
      <w:r>
        <w:tab/>
        <w:t>b)</w:t>
      </w:r>
      <w:r>
        <w:tab/>
      </w:r>
      <w:r>
        <w:rPr>
          <w:b/>
        </w:rPr>
        <w:t>укреплять механизмы подотчетности для достижения гендерного равенства, обеспечить проведение систематических оценок воздействия гендерного фактора в консультации с вышеупомянутыми органами и а</w:t>
      </w:r>
      <w:r>
        <w:rPr>
          <w:b/>
        </w:rPr>
        <w:t>к</w:t>
      </w:r>
      <w:r>
        <w:rPr>
          <w:b/>
        </w:rPr>
        <w:t>тивно привлекать их к разработке и осуществлению национальных и местных законов, стратегий и планов действий;</w:t>
      </w:r>
      <w:r>
        <w:t xml:space="preserve"> </w:t>
      </w:r>
    </w:p>
    <w:p w:rsidR="00C17088" w:rsidRDefault="00C17088" w:rsidP="00C17088">
      <w:pPr>
        <w:pStyle w:val="SingleTxt"/>
      </w:pPr>
      <w:r>
        <w:tab/>
        <w:t>c)</w:t>
      </w:r>
      <w:r>
        <w:tab/>
      </w:r>
      <w:r>
        <w:rPr>
          <w:b/>
        </w:rPr>
        <w:t>установить целевые показатели с указанием конкретных сроков их достижения в национальных и местных планах действий и оценивать эффективность этих планов действий на основе таких целевых показат</w:t>
      </w:r>
      <w:r>
        <w:rPr>
          <w:b/>
        </w:rPr>
        <w:t>е</w:t>
      </w:r>
      <w:r>
        <w:rPr>
          <w:b/>
        </w:rPr>
        <w:t>лей.</w:t>
      </w:r>
    </w:p>
    <w:p w:rsidR="00C17088" w:rsidRDefault="00C17088" w:rsidP="00C17088">
      <w:pPr>
        <w:pStyle w:val="SingleTxt"/>
        <w:spacing w:after="0" w:line="120" w:lineRule="exact"/>
        <w:rPr>
          <w:sz w:val="10"/>
        </w:rPr>
      </w:pPr>
    </w:p>
    <w:p w:rsidR="00C17088" w:rsidRDefault="00C17088" w:rsidP="00C1708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Неправительственные организации</w:t>
      </w:r>
    </w:p>
    <w:p w:rsidR="00C17088" w:rsidRDefault="00C17088" w:rsidP="00C17088">
      <w:pPr>
        <w:pStyle w:val="SingleTxt"/>
        <w:keepNext/>
        <w:keepLines/>
        <w:spacing w:after="0" w:line="120" w:lineRule="exact"/>
        <w:rPr>
          <w:sz w:val="10"/>
        </w:rPr>
      </w:pPr>
    </w:p>
    <w:p w:rsidR="00C17088" w:rsidRDefault="00C17088" w:rsidP="00C17088">
      <w:pPr>
        <w:pStyle w:val="SingleTxt"/>
      </w:pPr>
      <w:r>
        <w:t>14.</w:t>
      </w:r>
      <w:r>
        <w:tab/>
        <w:t xml:space="preserve">Комитет отмечает важную роль неправительственных организаций (НПО) в деле осуществления Конвенции. Вместе с тем он выражает обеспокоенность в связи с недавним принятием ограничительных законов о финансировании НПО, что затрудняет их создание и деятельность. </w:t>
      </w:r>
    </w:p>
    <w:p w:rsidR="00C17088" w:rsidRDefault="00C17088" w:rsidP="00C17088">
      <w:pPr>
        <w:pStyle w:val="SingleTxt"/>
      </w:pPr>
      <w:r>
        <w:t>15.</w:t>
      </w:r>
      <w:r>
        <w:tab/>
      </w:r>
      <w:r>
        <w:rPr>
          <w:b/>
        </w:rPr>
        <w:t>Комитет рекомендует государству-участнику внести поправки в свое законодательство с целью обеспечить благоприятные и подходящие усл</w:t>
      </w:r>
      <w:r>
        <w:rPr>
          <w:b/>
        </w:rPr>
        <w:t>о</w:t>
      </w:r>
      <w:r>
        <w:rPr>
          <w:b/>
        </w:rPr>
        <w:t>вия для создания и активного участия неправительственных организаций, прежде всего тех,  деятельность которых связана с  пропагандой и по</w:t>
      </w:r>
      <w:r>
        <w:rPr>
          <w:b/>
        </w:rPr>
        <w:t>д</w:t>
      </w:r>
      <w:r>
        <w:rPr>
          <w:b/>
        </w:rPr>
        <w:t>держкой осуществления Конвенции в государстве-участнике.</w:t>
      </w:r>
    </w:p>
    <w:p w:rsidR="00C17088" w:rsidRDefault="00C17088" w:rsidP="00C17088">
      <w:pPr>
        <w:pStyle w:val="SingleTxt"/>
        <w:spacing w:after="0" w:line="120" w:lineRule="exact"/>
        <w:rPr>
          <w:sz w:val="10"/>
        </w:rPr>
      </w:pPr>
    </w:p>
    <w:p w:rsidR="00C17088" w:rsidRDefault="00C17088" w:rsidP="00C1708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Временные специальные меры</w:t>
      </w:r>
    </w:p>
    <w:p w:rsidR="00C17088" w:rsidRDefault="00C17088" w:rsidP="00C17088">
      <w:pPr>
        <w:pStyle w:val="SingleTxt"/>
        <w:keepNext/>
        <w:keepLines/>
        <w:spacing w:after="0" w:line="120" w:lineRule="exact"/>
        <w:rPr>
          <w:sz w:val="10"/>
        </w:rPr>
      </w:pPr>
    </w:p>
    <w:p w:rsidR="00C17088" w:rsidRDefault="00C17088" w:rsidP="00C17088">
      <w:pPr>
        <w:pStyle w:val="SingleTxt"/>
      </w:pPr>
      <w:r>
        <w:t>16.</w:t>
      </w:r>
      <w:r>
        <w:tab/>
        <w:t>Комитет выражает обеспокоенность в связи с отсутствием каких-либо временных специальных мер в отношении областей, в которых женщины нед</w:t>
      </w:r>
      <w:r>
        <w:t>о</w:t>
      </w:r>
      <w:r>
        <w:t>статочно представлены или находятся в неблагоприятном положении, как, например, в сфере занятости, а также в связи с пересекающимися формами дискриминации на рынке труда. Он также с обеспокоенностью отмечает огр</w:t>
      </w:r>
      <w:r>
        <w:t>а</w:t>
      </w:r>
      <w:r>
        <w:t>ниченное понимание концепции временных специальных мер в государстве-участнике, в том числе среди политических лидеров.</w:t>
      </w:r>
    </w:p>
    <w:p w:rsidR="00C17088" w:rsidRDefault="00C17088" w:rsidP="00C17088">
      <w:pPr>
        <w:pStyle w:val="SingleTxt"/>
      </w:pPr>
      <w:r>
        <w:t>17.</w:t>
      </w:r>
      <w:r>
        <w:tab/>
      </w:r>
      <w:r>
        <w:rPr>
          <w:b/>
        </w:rPr>
        <w:t>Комитет рекомендует государству-участнику повышать уровень и</w:t>
      </w:r>
      <w:r>
        <w:rPr>
          <w:b/>
        </w:rPr>
        <w:t>н</w:t>
      </w:r>
      <w:r>
        <w:rPr>
          <w:b/>
        </w:rPr>
        <w:t>формированности в вопросах гендерного равенства среди политических деятелей, в частности, парламентариев, журналистов, учителей и шир</w:t>
      </w:r>
      <w:r>
        <w:rPr>
          <w:b/>
        </w:rPr>
        <w:t>о</w:t>
      </w:r>
      <w:r>
        <w:rPr>
          <w:b/>
        </w:rPr>
        <w:t>кой общественности, особенно мужчин, с тем чтобы способствовать более глубокому пониманию значимости и недискриминационного характера временных специальных мер. В соответствии с пунктом 1 статьи 4 Ко</w:t>
      </w:r>
      <w:r>
        <w:rPr>
          <w:b/>
        </w:rPr>
        <w:t>н</w:t>
      </w:r>
      <w:r>
        <w:rPr>
          <w:b/>
        </w:rPr>
        <w:t>венции и общей рекомендацией Комитета № 25 (2004) о временных спец</w:t>
      </w:r>
      <w:r>
        <w:rPr>
          <w:b/>
        </w:rPr>
        <w:t>и</w:t>
      </w:r>
      <w:r>
        <w:rPr>
          <w:b/>
        </w:rPr>
        <w:t>альных мерах, Комитет также рекомендует государству-участнику пр</w:t>
      </w:r>
      <w:r>
        <w:rPr>
          <w:b/>
        </w:rPr>
        <w:t>и</w:t>
      </w:r>
      <w:r>
        <w:rPr>
          <w:b/>
        </w:rPr>
        <w:t>нять временные специальные меры во всех областях, в которых женщины недостаточно представлены или находятся в неблагоприятном положении, с целью ускорить достижение фактического равенства между женщинами и мужчинами в областях, охватываемых Конвенцией, в частности в отн</w:t>
      </w:r>
      <w:r>
        <w:rPr>
          <w:b/>
        </w:rPr>
        <w:t>о</w:t>
      </w:r>
      <w:r>
        <w:rPr>
          <w:b/>
        </w:rPr>
        <w:t>шении женщин, сталкивающихся с пересекающимися формами дискр</w:t>
      </w:r>
      <w:r>
        <w:rPr>
          <w:b/>
        </w:rPr>
        <w:t>и</w:t>
      </w:r>
      <w:r>
        <w:rPr>
          <w:b/>
        </w:rPr>
        <w:t>минации.</w:t>
      </w:r>
    </w:p>
    <w:p w:rsidR="00C17088" w:rsidRDefault="00C17088" w:rsidP="00C17088">
      <w:pPr>
        <w:pStyle w:val="SingleTxt"/>
        <w:spacing w:after="0" w:line="120" w:lineRule="exact"/>
        <w:rPr>
          <w:sz w:val="10"/>
        </w:rPr>
      </w:pPr>
    </w:p>
    <w:p w:rsidR="00C17088" w:rsidRDefault="00C17088" w:rsidP="00C1708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Стереотипы и дискриминационная практика</w:t>
      </w:r>
    </w:p>
    <w:p w:rsidR="00C17088" w:rsidRDefault="00C17088" w:rsidP="00C17088">
      <w:pPr>
        <w:pStyle w:val="SingleTxt"/>
        <w:spacing w:after="0" w:line="120" w:lineRule="exact"/>
        <w:rPr>
          <w:sz w:val="10"/>
        </w:rPr>
      </w:pPr>
    </w:p>
    <w:p w:rsidR="00C17088" w:rsidRDefault="00C17088" w:rsidP="00C17088">
      <w:pPr>
        <w:pStyle w:val="SingleTxt"/>
      </w:pPr>
      <w:r>
        <w:t>18.</w:t>
      </w:r>
      <w:r>
        <w:tab/>
        <w:t>Комитет приветствует различные образовательные меры, принятые гос</w:t>
      </w:r>
      <w:r>
        <w:t>у</w:t>
      </w:r>
      <w:r>
        <w:t>дарством-участником для борьбы с гендерными стереотипами, и более шир</w:t>
      </w:r>
      <w:r>
        <w:t>о</w:t>
      </w:r>
      <w:r>
        <w:t>кое использование нейтральных в гендерном отношении языковых формулир</w:t>
      </w:r>
      <w:r>
        <w:t>о</w:t>
      </w:r>
      <w:r>
        <w:t>вок в средствах массовой информации в соответствии с Законом о гендерном равенстве. Тем не менее, он обеспокоен тем, что патриархальные взгляды и стереотипы в отношении роли, обязанностей и ожидаемых моделей поведения женщин и мужчин в обществе и семье по-прежнему имеют глубокие корни, тем самым подрывая социальный статус женщины, ее независимость, возмо</w:t>
      </w:r>
      <w:r>
        <w:t>ж</w:t>
      </w:r>
      <w:r>
        <w:t>ности для получения образования и профессиональной карьеры, в значител</w:t>
      </w:r>
      <w:r>
        <w:t>ь</w:t>
      </w:r>
      <w:r>
        <w:t>ной мере препятствуя осуществлению Конвенции и являясь одной из основных причин гендерного насилия в отношении женщин. В этой связи Комитет также с обеспокоенностью отмечает:</w:t>
      </w:r>
    </w:p>
    <w:p w:rsidR="00C17088" w:rsidRDefault="00C17088" w:rsidP="00C17088">
      <w:pPr>
        <w:pStyle w:val="SingleTxt"/>
      </w:pPr>
      <w:r>
        <w:tab/>
        <w:t>a)</w:t>
      </w:r>
      <w:r>
        <w:tab/>
        <w:t>распространенность предпочтительного отношения к детям мужск</w:t>
      </w:r>
      <w:r>
        <w:t>о</w:t>
      </w:r>
      <w:r>
        <w:t>го пола в семьях и в обществе и присвоение подчиненного статуса женщинам по отношению к мужчинам, что подтверждается довольно большим числом и</w:t>
      </w:r>
      <w:r>
        <w:t>з</w:t>
      </w:r>
      <w:r>
        <w:t>бирательных абортов, обусловленных полом плода, и оказанием сильного о</w:t>
      </w:r>
      <w:r>
        <w:t>б</w:t>
      </w:r>
      <w:r>
        <w:t>щественного давления на женщин с целью убедить их отказываться от насле</w:t>
      </w:r>
      <w:r>
        <w:t>д</w:t>
      </w:r>
      <w:r>
        <w:t>ства в пользу мужчин в их семье;</w:t>
      </w:r>
    </w:p>
    <w:p w:rsidR="00C17088" w:rsidRDefault="00C17088" w:rsidP="00C17088">
      <w:pPr>
        <w:pStyle w:val="SingleTxt"/>
      </w:pPr>
      <w:r>
        <w:tab/>
        <w:t>b)</w:t>
      </w:r>
      <w:r>
        <w:tab/>
        <w:t>тот факт, что женщинам зачастую предписывается выполнять трад</w:t>
      </w:r>
      <w:r>
        <w:t>и</w:t>
      </w:r>
      <w:r>
        <w:t>ционные роли в семье и отказываться от участия в официальных трудовых о</w:t>
      </w:r>
      <w:r>
        <w:t>т</w:t>
      </w:r>
      <w:r>
        <w:t xml:space="preserve">ношениях, и что отцы рассматриваются в качестве главы семьи; </w:t>
      </w:r>
    </w:p>
    <w:p w:rsidR="00C17088" w:rsidRDefault="00C17088" w:rsidP="00C17088">
      <w:pPr>
        <w:pStyle w:val="SingleTxt"/>
      </w:pPr>
      <w:r>
        <w:tab/>
        <w:t>c)</w:t>
      </w:r>
      <w:r>
        <w:tab/>
        <w:t>недостаточность мер, принимаемых государством-участником для борьбы с распространением таких дискриминационных стереотипов.</w:t>
      </w:r>
    </w:p>
    <w:p w:rsidR="00C17088" w:rsidRDefault="00C17088" w:rsidP="00C17088">
      <w:pPr>
        <w:pStyle w:val="SingleTxt"/>
      </w:pPr>
      <w:r>
        <w:t>19.</w:t>
      </w:r>
      <w:r>
        <w:tab/>
      </w:r>
      <w:r>
        <w:rPr>
          <w:b/>
        </w:rPr>
        <w:t>Комитет рекомендует государству-участнику выделить достаточные ресурсы и разработать всеобъемлющую стратегию, предусматривающую принятие действенных и последовательных мер, направленных на же</w:t>
      </w:r>
      <w:r>
        <w:rPr>
          <w:b/>
        </w:rPr>
        <w:t>н</w:t>
      </w:r>
      <w:r>
        <w:rPr>
          <w:b/>
        </w:rPr>
        <w:t>щин, мужчин, девочек и мальчиков, включая организацию обязательных курсов для студентов университетов, изучающих право и медицину, с ц</w:t>
      </w:r>
      <w:r>
        <w:rPr>
          <w:b/>
        </w:rPr>
        <w:t>е</w:t>
      </w:r>
      <w:r>
        <w:rPr>
          <w:b/>
        </w:rPr>
        <w:t>лью искоренения патриархальных взглядов и стереотипов, носящих ди</w:t>
      </w:r>
      <w:r>
        <w:rPr>
          <w:b/>
        </w:rPr>
        <w:t>с</w:t>
      </w:r>
      <w:r>
        <w:rPr>
          <w:b/>
        </w:rPr>
        <w:t>криминационный характер в отношении женщин. Эта стратегия должна предусматривать создание механизма мониторинга для проведения рег</w:t>
      </w:r>
      <w:r>
        <w:rPr>
          <w:b/>
        </w:rPr>
        <w:t>у</w:t>
      </w:r>
      <w:r>
        <w:rPr>
          <w:b/>
        </w:rPr>
        <w:t>лярной оценки воздействия принятых мер и разработки коррективных мер. В этой связи Комитет рекомендует государству-участнику:</w:t>
      </w:r>
    </w:p>
    <w:p w:rsidR="00C17088" w:rsidRDefault="00C17088" w:rsidP="00C17088">
      <w:pPr>
        <w:pStyle w:val="SingleTxt"/>
      </w:pPr>
      <w:r>
        <w:tab/>
        <w:t>a)</w:t>
      </w:r>
      <w:r>
        <w:tab/>
      </w:r>
      <w:r>
        <w:rPr>
          <w:b/>
        </w:rPr>
        <w:t>подготавливать и проводить информационно-просветительские мероприятия для широкой общественности и соответствующих групп специалистов, включая врачей и медсестер, по вопросам распростране</w:t>
      </w:r>
      <w:r>
        <w:rPr>
          <w:b/>
        </w:rPr>
        <w:t>н</w:t>
      </w:r>
      <w:r>
        <w:rPr>
          <w:b/>
        </w:rPr>
        <w:t>ности практики выбора пола в пользу мальчиков и ее негативном вли</w:t>
      </w:r>
      <w:r>
        <w:rPr>
          <w:b/>
        </w:rPr>
        <w:t>я</w:t>
      </w:r>
      <w:r>
        <w:rPr>
          <w:b/>
        </w:rPr>
        <w:t>нии на права человека женщин;</w:t>
      </w:r>
    </w:p>
    <w:p w:rsidR="00C17088" w:rsidRDefault="00C17088" w:rsidP="00C17088">
      <w:pPr>
        <w:pStyle w:val="SingleTxt"/>
      </w:pPr>
      <w:r>
        <w:tab/>
        <w:t>b)</w:t>
      </w:r>
      <w:r>
        <w:tab/>
      </w:r>
      <w:r>
        <w:rPr>
          <w:b/>
        </w:rPr>
        <w:t>строго соблюдать запрет на аборты, обусловленные выбором п</w:t>
      </w:r>
      <w:r>
        <w:rPr>
          <w:b/>
        </w:rPr>
        <w:t>о</w:t>
      </w:r>
      <w:r>
        <w:rPr>
          <w:b/>
        </w:rPr>
        <w:t>ла ребенка, создать необходимые службы, включая «горячие линии» для женщин, которые подвергаются давлению с целью принудить их к выб</w:t>
      </w:r>
      <w:r>
        <w:rPr>
          <w:b/>
        </w:rPr>
        <w:t>о</w:t>
      </w:r>
      <w:r>
        <w:rPr>
          <w:b/>
        </w:rPr>
        <w:t>рочным абортам по признаку пола;</w:t>
      </w:r>
    </w:p>
    <w:p w:rsidR="00C17088" w:rsidRDefault="00C17088" w:rsidP="00C17088">
      <w:pPr>
        <w:pStyle w:val="SingleTxt"/>
      </w:pPr>
      <w:r>
        <w:tab/>
        <w:t>c)</w:t>
      </w:r>
      <w:r>
        <w:tab/>
      </w:r>
      <w:r>
        <w:rPr>
          <w:b/>
        </w:rPr>
        <w:t>продолжать обращать внимание средств массовой информации на необходимость искоренения гендерных стереотипов путем формиров</w:t>
      </w:r>
      <w:r>
        <w:rPr>
          <w:b/>
        </w:rPr>
        <w:t>а</w:t>
      </w:r>
      <w:r>
        <w:rPr>
          <w:b/>
        </w:rPr>
        <w:t>ния позитивного образа женщин как активных участников социальной, экономической и политической жизни и мужчин как активных участн</w:t>
      </w:r>
      <w:r>
        <w:rPr>
          <w:b/>
        </w:rPr>
        <w:t>и</w:t>
      </w:r>
      <w:r>
        <w:rPr>
          <w:b/>
        </w:rPr>
        <w:t>ков, выполняющих обязанности по ведению домашнего хозяйства и уходу за детьми;</w:t>
      </w:r>
      <w:r>
        <w:t xml:space="preserve"> </w:t>
      </w:r>
    </w:p>
    <w:p w:rsidR="00C17088" w:rsidRDefault="00C17088" w:rsidP="00C17088">
      <w:pPr>
        <w:pStyle w:val="SingleTxt"/>
      </w:pPr>
      <w:r>
        <w:tab/>
        <w:t>d)</w:t>
      </w:r>
      <w:r>
        <w:tab/>
      </w:r>
      <w:r>
        <w:rPr>
          <w:b/>
        </w:rPr>
        <w:t>надлежащим образом контролировать использование нейтрал</w:t>
      </w:r>
      <w:r>
        <w:rPr>
          <w:b/>
        </w:rPr>
        <w:t>ь</w:t>
      </w:r>
      <w:r>
        <w:rPr>
          <w:b/>
        </w:rPr>
        <w:t>ных в гендерном отношении языковых формулировок в средствах масс</w:t>
      </w:r>
      <w:r>
        <w:rPr>
          <w:b/>
        </w:rPr>
        <w:t>о</w:t>
      </w:r>
      <w:r>
        <w:rPr>
          <w:b/>
        </w:rPr>
        <w:t>вой информации и расширить внедрение учитывающих гендерные аспе</w:t>
      </w:r>
      <w:r>
        <w:rPr>
          <w:b/>
        </w:rPr>
        <w:t>к</w:t>
      </w:r>
      <w:r>
        <w:rPr>
          <w:b/>
        </w:rPr>
        <w:t>ты формулировок в учебные материалы.</w:t>
      </w:r>
    </w:p>
    <w:p w:rsidR="00C17088" w:rsidRDefault="00C17088" w:rsidP="00C17088">
      <w:pPr>
        <w:pStyle w:val="SingleTxt"/>
        <w:spacing w:after="0" w:line="120" w:lineRule="exact"/>
        <w:rPr>
          <w:sz w:val="10"/>
        </w:rPr>
      </w:pPr>
    </w:p>
    <w:p w:rsidR="00C17088" w:rsidRDefault="00C17088" w:rsidP="00C1708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Детские и/или принудительные браки</w:t>
      </w:r>
    </w:p>
    <w:p w:rsidR="00C17088" w:rsidRDefault="00C17088" w:rsidP="00C17088">
      <w:pPr>
        <w:pStyle w:val="SingleTxt"/>
        <w:spacing w:after="0" w:line="120" w:lineRule="exact"/>
        <w:rPr>
          <w:sz w:val="10"/>
        </w:rPr>
      </w:pPr>
    </w:p>
    <w:p w:rsidR="00C17088" w:rsidRDefault="00C17088" w:rsidP="00C17088">
      <w:pPr>
        <w:pStyle w:val="SingleTxt"/>
      </w:pPr>
      <w:r>
        <w:t>20.</w:t>
      </w:r>
      <w:r>
        <w:tab/>
        <w:t>Комитет обеспокоен тем, что установленный законом минимальный во</w:t>
      </w:r>
      <w:r>
        <w:t>з</w:t>
      </w:r>
      <w:r>
        <w:t>раст вступления в брак составляет лишь 16 лет и что в общинах рома, ашкали и египтян широко распространены детские и/или принудительные браки, кот</w:t>
      </w:r>
      <w:r>
        <w:t>о</w:t>
      </w:r>
      <w:r>
        <w:t>рые зачастую приводят к ранней беременности. Он с обеспокоенностью отм</w:t>
      </w:r>
      <w:r>
        <w:t>е</w:t>
      </w:r>
      <w:r>
        <w:t>чает, что значительное число девочек, ставших жертвами детских и/или прин</w:t>
      </w:r>
      <w:r>
        <w:t>у</w:t>
      </w:r>
      <w:r>
        <w:t>дительных браков или вынужденного сожительства с взрослыми мужчинами, ведущего к детским и/или принудительным бракам, являются жертвами секс</w:t>
      </w:r>
      <w:r>
        <w:t>у</w:t>
      </w:r>
      <w:r>
        <w:t>альной эксплуатации. Комитет выражает обеспокоенность в связи с тем, что государство-участник предпринимает лишь ограниченные усилия для выявл</w:t>
      </w:r>
      <w:r>
        <w:t>е</w:t>
      </w:r>
      <w:r>
        <w:t>ния детей, являющихся жертвами, и не осуществляет надлежащего судебного преследования и наказания виновных в совершении таких преступлений.</w:t>
      </w:r>
    </w:p>
    <w:p w:rsidR="00C17088" w:rsidRDefault="00C17088" w:rsidP="00C17088">
      <w:pPr>
        <w:pStyle w:val="SingleTxt"/>
      </w:pPr>
      <w:r>
        <w:t>21.</w:t>
      </w:r>
      <w:r>
        <w:tab/>
      </w:r>
      <w:r>
        <w:rPr>
          <w:b/>
        </w:rPr>
        <w:t>Комитет обращает внимание государства-участника на совместные общую рекомендацию № 31 Комитета о ликвидации дискриминации в о</w:t>
      </w:r>
      <w:r>
        <w:rPr>
          <w:b/>
        </w:rPr>
        <w:t>т</w:t>
      </w:r>
      <w:r>
        <w:rPr>
          <w:b/>
        </w:rPr>
        <w:t>ношении женщин/замечание общего порядка № 18 Комитета по правам ребенка о вредной практике (2014 год) и рекомендует государству-участнику:</w:t>
      </w:r>
      <w:r>
        <w:t xml:space="preserve"> </w:t>
      </w:r>
    </w:p>
    <w:p w:rsidR="00C17088" w:rsidRDefault="00C17088" w:rsidP="00C17088">
      <w:pPr>
        <w:pStyle w:val="SingleTxt"/>
      </w:pPr>
      <w:r>
        <w:tab/>
        <w:t>a)</w:t>
      </w:r>
      <w:r>
        <w:tab/>
      </w:r>
      <w:r>
        <w:rPr>
          <w:b/>
        </w:rPr>
        <w:t>активизировать</w:t>
      </w:r>
      <w:r>
        <w:t xml:space="preserve"> </w:t>
      </w:r>
      <w:r>
        <w:rPr>
          <w:b/>
        </w:rPr>
        <w:t>усилия, направленные на повышение осведо</w:t>
      </w:r>
      <w:r>
        <w:rPr>
          <w:b/>
        </w:rPr>
        <w:t>м</w:t>
      </w:r>
      <w:r>
        <w:rPr>
          <w:b/>
        </w:rPr>
        <w:t>ленности населения о вредных последствиях детских и/или принудител</w:t>
      </w:r>
      <w:r>
        <w:rPr>
          <w:b/>
        </w:rPr>
        <w:t>ь</w:t>
      </w:r>
      <w:r>
        <w:rPr>
          <w:b/>
        </w:rPr>
        <w:t>ных браков для здоровья, развития и образования девочек;</w:t>
      </w:r>
      <w:r>
        <w:t xml:space="preserve"> </w:t>
      </w:r>
    </w:p>
    <w:p w:rsidR="00C17088" w:rsidRDefault="00C17088" w:rsidP="00C17088">
      <w:pPr>
        <w:pStyle w:val="SingleTxt"/>
      </w:pPr>
      <w:r>
        <w:tab/>
        <w:t>b)</w:t>
      </w:r>
      <w:r>
        <w:tab/>
      </w:r>
      <w:r>
        <w:rPr>
          <w:b/>
        </w:rPr>
        <w:t>выявлять, освобождать и защищать жертв принудительного с</w:t>
      </w:r>
      <w:r>
        <w:rPr>
          <w:b/>
        </w:rPr>
        <w:t>о</w:t>
      </w:r>
      <w:r>
        <w:rPr>
          <w:b/>
        </w:rPr>
        <w:t>жительства или детских и/или принудительных браков, а также тех, кто подвергается сексуальной эксплуатации после заключения брака;</w:t>
      </w:r>
    </w:p>
    <w:p w:rsidR="00C17088" w:rsidRDefault="00C17088" w:rsidP="00C17088">
      <w:pPr>
        <w:pStyle w:val="SingleTxt"/>
      </w:pPr>
      <w:r>
        <w:tab/>
        <w:t>c)</w:t>
      </w:r>
      <w:r>
        <w:tab/>
      </w:r>
      <w:r>
        <w:rPr>
          <w:b/>
        </w:rPr>
        <w:t>строго соблюдать запрет на принудительное сожительство или детские и/или принудительные браки, в частности в случае продолжения сексуальной эксплуатации жертвы, а также обеспечить надлежащее суде</w:t>
      </w:r>
      <w:r>
        <w:rPr>
          <w:b/>
        </w:rPr>
        <w:t>б</w:t>
      </w:r>
      <w:r>
        <w:rPr>
          <w:b/>
        </w:rPr>
        <w:t>ное преследование и наказание виновных в совершении таких актов;</w:t>
      </w:r>
      <w:r>
        <w:t xml:space="preserve"> </w:t>
      </w:r>
    </w:p>
    <w:p w:rsidR="00C17088" w:rsidRDefault="00C17088" w:rsidP="00C17088">
      <w:pPr>
        <w:pStyle w:val="SingleTxt"/>
      </w:pPr>
      <w:r>
        <w:tab/>
        <w:t>d)</w:t>
      </w:r>
      <w:r>
        <w:tab/>
      </w:r>
      <w:r>
        <w:rPr>
          <w:b/>
        </w:rPr>
        <w:t>повысить минимальный возраст вступления в брак до 18 лет.</w:t>
      </w:r>
    </w:p>
    <w:p w:rsidR="00C17088" w:rsidRDefault="00C17088" w:rsidP="00C17088">
      <w:pPr>
        <w:pStyle w:val="SingleTxt"/>
        <w:spacing w:after="0" w:line="120" w:lineRule="exact"/>
        <w:rPr>
          <w:sz w:val="10"/>
        </w:rPr>
      </w:pPr>
    </w:p>
    <w:p w:rsidR="00C17088" w:rsidRDefault="00C17088" w:rsidP="00C1708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Гендерное насилие в отношении женщин</w:t>
      </w:r>
    </w:p>
    <w:p w:rsidR="00C17088" w:rsidRDefault="00C17088" w:rsidP="00C17088">
      <w:pPr>
        <w:pStyle w:val="SingleTxt"/>
        <w:spacing w:after="0" w:line="120" w:lineRule="exact"/>
        <w:rPr>
          <w:sz w:val="10"/>
        </w:rPr>
      </w:pPr>
    </w:p>
    <w:p w:rsidR="00C17088" w:rsidRDefault="00C17088" w:rsidP="00C17088">
      <w:pPr>
        <w:pStyle w:val="SingleTxt"/>
      </w:pPr>
      <w:r>
        <w:t>22.</w:t>
      </w:r>
      <w:r>
        <w:tab/>
        <w:t>Комитет с удовлетворением отмечает многочисленные законодательные, политические, информационно-просветительские и образовательные меры, принятые государством-участником для предотвращения и пресечения генде</w:t>
      </w:r>
      <w:r>
        <w:t>р</w:t>
      </w:r>
      <w:r>
        <w:t>ного насилия в отношении женщин, такие как принятые в 2014 году поправки к Закону о защите от насилия в семье, стратегия защиты от насилия в семье на 2016-2020 годы и создание бесплатных юридических консультаций при всех судах первой инстанции государства-участника. В то же время Комитет с обе</w:t>
      </w:r>
      <w:r>
        <w:t>с</w:t>
      </w:r>
      <w:r>
        <w:t>покоенностью отмечает следующее:</w:t>
      </w:r>
    </w:p>
    <w:p w:rsidR="00C17088" w:rsidRDefault="00C17088" w:rsidP="00C17088">
      <w:pPr>
        <w:pStyle w:val="SingleTxt"/>
      </w:pPr>
      <w:r>
        <w:tab/>
        <w:t>а)</w:t>
      </w:r>
      <w:r>
        <w:tab/>
        <w:t>гендерное насилие в отношении женщин, включая гендерно мотив</w:t>
      </w:r>
      <w:r>
        <w:t>и</w:t>
      </w:r>
      <w:r>
        <w:t>рованные убийства, по-прежнему широко распространено и является социал</w:t>
      </w:r>
      <w:r>
        <w:t>ь</w:t>
      </w:r>
      <w:r>
        <w:t>но приемлемым в государстве-участнике, в частности в общинах рома, ашкали и египтян;</w:t>
      </w:r>
    </w:p>
    <w:p w:rsidR="00C17088" w:rsidRDefault="00C17088" w:rsidP="00C17088">
      <w:pPr>
        <w:pStyle w:val="SingleTxt"/>
      </w:pPr>
      <w:r>
        <w:tab/>
        <w:t>b)</w:t>
      </w:r>
      <w:r>
        <w:tab/>
        <w:t>проявление дискриминационного отношения и/или пассивности по отношению к жертвам по-прежнему имеет место со стороны судей, прокуроров и сотрудников полиции и других правоохранительных органов, которые нере</w:t>
      </w:r>
      <w:r>
        <w:t>д</w:t>
      </w:r>
      <w:r>
        <w:t>ко отдают предпочтение процедуре примирения вместо уголовного преслед</w:t>
      </w:r>
      <w:r>
        <w:t>о</w:t>
      </w:r>
      <w:r>
        <w:t>вания в целях сохранения семьи и рассматривают насилие в семье как частное дело;</w:t>
      </w:r>
    </w:p>
    <w:p w:rsidR="00C17088" w:rsidRDefault="00C17088" w:rsidP="00C17088">
      <w:pPr>
        <w:pStyle w:val="SingleTxt"/>
      </w:pPr>
      <w:r>
        <w:tab/>
        <w:t>c)</w:t>
      </w:r>
      <w:r>
        <w:tab/>
        <w:t>недостаточное соблюдение законодательства по предупреждению и пресечению насилия по гендерному признаку в отношении женщин вследствие слабого межсекторального сотрудничества, нехватки людских, технических и финансовых ресурсов, низкого уровня понимания гендерной проблематики среди представителей юридической профессии, выдачи весьма незначительн</w:t>
      </w:r>
      <w:r>
        <w:t>о</w:t>
      </w:r>
      <w:r>
        <w:t>го числа охранных судебных приказов даже после неоднократных сообщений о случаях насилия и усиливающейся тенденции к выдвижению обвинения пр</w:t>
      </w:r>
      <w:r>
        <w:t>о</w:t>
      </w:r>
      <w:r>
        <w:t>тив обоих супругов в случаях насилия в семье;</w:t>
      </w:r>
    </w:p>
    <w:p w:rsidR="00C17088" w:rsidRDefault="00C17088" w:rsidP="00C17088">
      <w:pPr>
        <w:pStyle w:val="SingleTxt"/>
      </w:pPr>
      <w:r>
        <w:tab/>
        <w:t>d)</w:t>
      </w:r>
      <w:r>
        <w:tab/>
        <w:t>вынесение мягких приговоров лицам, виновным в совершении ге</w:t>
      </w:r>
      <w:r>
        <w:t>н</w:t>
      </w:r>
      <w:r>
        <w:t>дерного насилия в отношении женщин, несмотря на недавнее решение Суде</w:t>
      </w:r>
      <w:r>
        <w:t>б</w:t>
      </w:r>
      <w:r>
        <w:t>ного совета о вынесении более жестких приговоров;</w:t>
      </w:r>
    </w:p>
    <w:p w:rsidR="00C17088" w:rsidRDefault="00C17088" w:rsidP="00C17088">
      <w:pPr>
        <w:pStyle w:val="SingleTxt"/>
      </w:pPr>
      <w:r>
        <w:tab/>
        <w:t>e)</w:t>
      </w:r>
      <w:r>
        <w:tab/>
        <w:t>нежелание жертв сообщать о случаях гендерного насилия в отнош</w:t>
      </w:r>
      <w:r>
        <w:t>е</w:t>
      </w:r>
      <w:r>
        <w:t>нии женщин из-за боязни подвергнуться стигматизации и социальной прие</w:t>
      </w:r>
      <w:r>
        <w:t>м</w:t>
      </w:r>
      <w:r>
        <w:t>лемости насилия в семье, ограниченности информации о том, как получить д</w:t>
      </w:r>
      <w:r>
        <w:t>о</w:t>
      </w:r>
      <w:r>
        <w:t>ступ к защите и услугам в случаях, когда таковые предоставляются, и огран</w:t>
      </w:r>
      <w:r>
        <w:t>и</w:t>
      </w:r>
      <w:r>
        <w:t>ченным числом приютов;</w:t>
      </w:r>
    </w:p>
    <w:p w:rsidR="00C17088" w:rsidRDefault="00C17088" w:rsidP="00C17088">
      <w:pPr>
        <w:pStyle w:val="SingleTxt"/>
      </w:pPr>
      <w:r>
        <w:tab/>
        <w:t>f)</w:t>
      </w:r>
      <w:r>
        <w:tab/>
        <w:t xml:space="preserve"> изнасилование в браке не квалифицируется как преступление в Уг</w:t>
      </w:r>
      <w:r>
        <w:t>о</w:t>
      </w:r>
      <w:r>
        <w:t>ловном кодексе;</w:t>
      </w:r>
    </w:p>
    <w:p w:rsidR="00C17088" w:rsidRDefault="00C17088" w:rsidP="00C17088">
      <w:pPr>
        <w:pStyle w:val="SingleTxt"/>
      </w:pPr>
      <w:r>
        <w:tab/>
        <w:t>g)</w:t>
      </w:r>
      <w:r>
        <w:tab/>
        <w:t>определение изнасилования, содержащееся в Уголовном кодексе го</w:t>
      </w:r>
      <w:r>
        <w:t>с</w:t>
      </w:r>
      <w:r>
        <w:t>ударства-участника, не основывается на отсутствии согласия;</w:t>
      </w:r>
    </w:p>
    <w:p w:rsidR="00C17088" w:rsidRDefault="00C17088" w:rsidP="00C17088">
      <w:pPr>
        <w:pStyle w:val="SingleTxt"/>
      </w:pPr>
      <w:r>
        <w:tab/>
        <w:t>h)</w:t>
      </w:r>
      <w:r>
        <w:tab/>
        <w:t>Закон о компенсации жертвам насильственных преступлений будет применяться лишь после того, как государство-участник станет членом Евр</w:t>
      </w:r>
      <w:r>
        <w:t>о</w:t>
      </w:r>
      <w:r>
        <w:t>пейского союза;</w:t>
      </w:r>
    </w:p>
    <w:p w:rsidR="00C17088" w:rsidRDefault="00C17088" w:rsidP="00C17088">
      <w:pPr>
        <w:pStyle w:val="SingleTxt"/>
      </w:pPr>
      <w:r>
        <w:tab/>
        <w:t>i)</w:t>
      </w:r>
      <w:r>
        <w:tab/>
        <w:t>отсутствие точных данных о случаях гендерного насилия в отнош</w:t>
      </w:r>
      <w:r>
        <w:t>е</w:t>
      </w:r>
      <w:r>
        <w:t>нии женщин, в частности в связи с тем, что каждое учреждение осуществляет сбор и обработку данных, используя разные методологии.</w:t>
      </w:r>
    </w:p>
    <w:p w:rsidR="00C17088" w:rsidRDefault="00C17088" w:rsidP="00C17088">
      <w:pPr>
        <w:pStyle w:val="SingleTxt"/>
      </w:pPr>
      <w:r>
        <w:t>23.</w:t>
      </w:r>
      <w:r>
        <w:tab/>
      </w:r>
      <w:r>
        <w:rPr>
          <w:b/>
        </w:rPr>
        <w:t>В соответствии со своей общей рекомендацией № 19 (1992 год) о насилии в отношении женщин и общей рекомендацией № 35 (2017 год) по вопросу о гендерном насилии в отношении женщин, предназначенной для обновления общей рекомендации № 19, и с учетом задачи 5.2 целей в обл</w:t>
      </w:r>
      <w:r>
        <w:rPr>
          <w:b/>
        </w:rPr>
        <w:t>а</w:t>
      </w:r>
      <w:r>
        <w:rPr>
          <w:b/>
        </w:rPr>
        <w:t>сти устойчивого развития, касающейся ликвидации всех форм насилия в отношении всех женщин и девочек в общественной и частной жизни, К</w:t>
      </w:r>
      <w:r>
        <w:rPr>
          <w:b/>
        </w:rPr>
        <w:t>о</w:t>
      </w:r>
      <w:r>
        <w:rPr>
          <w:b/>
        </w:rPr>
        <w:t>митет рекомендует государству-участнику:</w:t>
      </w:r>
    </w:p>
    <w:p w:rsidR="00C17088" w:rsidRDefault="00C17088" w:rsidP="00C17088">
      <w:pPr>
        <w:pStyle w:val="SingleTxt"/>
      </w:pPr>
      <w:r>
        <w:tab/>
        <w:t>a)</w:t>
      </w:r>
      <w:r>
        <w:tab/>
      </w:r>
      <w:r>
        <w:rPr>
          <w:b/>
        </w:rPr>
        <w:t>устранить коренные причины гендерного насилия в отношении женщин и разработать конкретные меры по информированию женщин и мужчин, в том числе из общин рома, ашкали и египтян, о преступном х</w:t>
      </w:r>
      <w:r>
        <w:rPr>
          <w:b/>
        </w:rPr>
        <w:t>а</w:t>
      </w:r>
      <w:r>
        <w:rPr>
          <w:b/>
        </w:rPr>
        <w:t>рактере гендерного насилия в отношении женщин;</w:t>
      </w:r>
    </w:p>
    <w:p w:rsidR="00C17088" w:rsidRDefault="00C17088" w:rsidP="00C17088">
      <w:pPr>
        <w:pStyle w:val="SingleTxt"/>
      </w:pPr>
      <w:r>
        <w:tab/>
        <w:t>b)</w:t>
      </w:r>
      <w:r>
        <w:tab/>
      </w:r>
      <w:r>
        <w:rPr>
          <w:b/>
        </w:rPr>
        <w:t>выделять достаточные людские, технические и финансовые р</w:t>
      </w:r>
      <w:r>
        <w:rPr>
          <w:b/>
        </w:rPr>
        <w:t>е</w:t>
      </w:r>
      <w:r>
        <w:rPr>
          <w:b/>
        </w:rPr>
        <w:t>сурсы для борьбы со стереотипными представлениями и терпимостью к гендерному насилию в отношении женщин в рамках правоохранительных учреждений и создать механизмы для передачи анонимных сообщений о подобных актах и наказания виновных;</w:t>
      </w:r>
    </w:p>
    <w:p w:rsidR="00C17088" w:rsidRDefault="00C17088" w:rsidP="00C17088">
      <w:pPr>
        <w:pStyle w:val="SingleTxt"/>
      </w:pPr>
      <w:r>
        <w:tab/>
        <w:t>с)</w:t>
      </w:r>
      <w:r>
        <w:tab/>
      </w:r>
      <w:r>
        <w:rPr>
          <w:b/>
        </w:rPr>
        <w:t>принять необходимые информационно-разъяснительные меры в целях борьбы против любого подхода, который отдает предпочтение с</w:t>
      </w:r>
      <w:r>
        <w:rPr>
          <w:b/>
        </w:rPr>
        <w:t>о</w:t>
      </w:r>
      <w:r>
        <w:rPr>
          <w:b/>
        </w:rPr>
        <w:t>хранению семьи в ущерб правам женщин; обеспечить приоритет  судебн</w:t>
      </w:r>
      <w:r>
        <w:rPr>
          <w:b/>
        </w:rPr>
        <w:t>о</w:t>
      </w:r>
      <w:r>
        <w:rPr>
          <w:b/>
        </w:rPr>
        <w:t>го преследования виновных лиц над примирением сторон; и предоставить средства правовой защиты и возмещения, включая компенсацию и реаб</w:t>
      </w:r>
      <w:r>
        <w:rPr>
          <w:b/>
        </w:rPr>
        <w:t>и</w:t>
      </w:r>
      <w:r>
        <w:rPr>
          <w:b/>
        </w:rPr>
        <w:t>литацию, жертвам всех форм гендерного насилия в отношении женщин;</w:t>
      </w:r>
    </w:p>
    <w:p w:rsidR="00C17088" w:rsidRDefault="00C17088" w:rsidP="00C17088">
      <w:pPr>
        <w:pStyle w:val="SingleTxt"/>
      </w:pPr>
      <w:r>
        <w:tab/>
        <w:t>d)</w:t>
      </w:r>
      <w:r>
        <w:tab/>
      </w:r>
      <w:r>
        <w:rPr>
          <w:b/>
        </w:rPr>
        <w:t>продолжать предпринимать усилия в целях приведения наци</w:t>
      </w:r>
      <w:r>
        <w:rPr>
          <w:b/>
        </w:rPr>
        <w:t>о</w:t>
      </w:r>
      <w:r>
        <w:rPr>
          <w:b/>
        </w:rPr>
        <w:t>нального законодательства в соответствие с Конвенцией Совета Европы о предотвращении и пресечении насилия в отношении женщин и насилия в семье и обеспечить строгое соблюдение положений уголовного законод</w:t>
      </w:r>
      <w:r>
        <w:rPr>
          <w:b/>
        </w:rPr>
        <w:t>а</w:t>
      </w:r>
      <w:r>
        <w:rPr>
          <w:b/>
        </w:rPr>
        <w:t>тельства, предусматривающих наказание за гендерное насилие в отнош</w:t>
      </w:r>
      <w:r>
        <w:rPr>
          <w:b/>
        </w:rPr>
        <w:t>е</w:t>
      </w:r>
      <w:r>
        <w:rPr>
          <w:b/>
        </w:rPr>
        <w:t>нии женщин, в том числе путем проведения мероприятий по наращив</w:t>
      </w:r>
      <w:r>
        <w:rPr>
          <w:b/>
        </w:rPr>
        <w:t>а</w:t>
      </w:r>
      <w:r>
        <w:rPr>
          <w:b/>
        </w:rPr>
        <w:t>нию потенциала для судей, прокуроров, сотрудников полиции и других правоохранительных органов по вопросам строгого соблюдения этих п</w:t>
      </w:r>
      <w:r>
        <w:rPr>
          <w:b/>
        </w:rPr>
        <w:t>о</w:t>
      </w:r>
      <w:r>
        <w:rPr>
          <w:b/>
        </w:rPr>
        <w:t>ложений;</w:t>
      </w:r>
    </w:p>
    <w:p w:rsidR="00C17088" w:rsidRDefault="00C17088" w:rsidP="00C17088">
      <w:pPr>
        <w:pStyle w:val="SingleTxt"/>
      </w:pPr>
      <w:r>
        <w:tab/>
        <w:t>e)</w:t>
      </w:r>
      <w:r>
        <w:tab/>
      </w:r>
      <w:r>
        <w:rPr>
          <w:b/>
        </w:rPr>
        <w:t>реализовать возможность выдачи судебных приказов о защите от действий прибегающих к насилию партнеров, обеспечить их соблюдение и ввести санкции за невыполнение охранных судебных приказов;</w:t>
      </w:r>
    </w:p>
    <w:p w:rsidR="00C17088" w:rsidRDefault="00C17088" w:rsidP="00C17088">
      <w:pPr>
        <w:pStyle w:val="SingleTxt"/>
      </w:pPr>
      <w:r>
        <w:tab/>
        <w:t>f)</w:t>
      </w:r>
      <w:r>
        <w:tab/>
      </w:r>
      <w:r>
        <w:rPr>
          <w:b/>
        </w:rPr>
        <w:t>обеспечить, чтобы лица, виновные в совершении насилия по признаку пола в отношении женщин, подвергались судебному преследов</w:t>
      </w:r>
      <w:r>
        <w:rPr>
          <w:b/>
        </w:rPr>
        <w:t>а</w:t>
      </w:r>
      <w:r>
        <w:rPr>
          <w:b/>
        </w:rPr>
        <w:t>нию и надлежащему наказанию, соразмерному тяжести совершенных ими преступлений, и устранить возможность выдвижения любых обвинений в отношении жертвы;</w:t>
      </w:r>
    </w:p>
    <w:p w:rsidR="00C17088" w:rsidRDefault="00C17088" w:rsidP="00C17088">
      <w:pPr>
        <w:pStyle w:val="SingleTxt"/>
      </w:pPr>
      <w:r>
        <w:tab/>
        <w:t>g)</w:t>
      </w:r>
      <w:r>
        <w:tab/>
      </w:r>
      <w:r>
        <w:rPr>
          <w:b/>
        </w:rPr>
        <w:t>поощрять информирование о случаях насилия в семье в отн</w:t>
      </w:r>
      <w:r>
        <w:rPr>
          <w:b/>
        </w:rPr>
        <w:t>о</w:t>
      </w:r>
      <w:r>
        <w:rPr>
          <w:b/>
        </w:rPr>
        <w:t>шении женщин и девочек, в том числе путем проведения информационно-просветительских кампаний в СМИ и в рамках программ государственн</w:t>
      </w:r>
      <w:r>
        <w:rPr>
          <w:b/>
        </w:rPr>
        <w:t>о</w:t>
      </w:r>
      <w:r>
        <w:rPr>
          <w:b/>
        </w:rPr>
        <w:t>го образования, а также за счет увеличения числа хорошо подготовленных судей и работников правоохранительных органов, способных учитывать гендерную специфику; обеспечивать эффективное расследование таких случаев и предоставлять жертвам надлежащую помощь и защиту;</w:t>
      </w:r>
    </w:p>
    <w:p w:rsidR="00C17088" w:rsidRDefault="00C17088" w:rsidP="00C17088">
      <w:pPr>
        <w:pStyle w:val="SingleTxt"/>
      </w:pPr>
      <w:r>
        <w:tab/>
        <w:t>h)</w:t>
      </w:r>
      <w:r>
        <w:tab/>
      </w:r>
      <w:r>
        <w:rPr>
          <w:b/>
        </w:rPr>
        <w:t>обеспечить наличие достаточного числа надлежащих приютов во всех регионах государства-участника и предоставление жертвам насилия консультаций, услуг по реабилитации и вспомогательных услуг для их р</w:t>
      </w:r>
      <w:r>
        <w:rPr>
          <w:b/>
        </w:rPr>
        <w:t>е</w:t>
      </w:r>
      <w:r>
        <w:rPr>
          <w:b/>
        </w:rPr>
        <w:t>интеграции в общество;</w:t>
      </w:r>
    </w:p>
    <w:p w:rsidR="00C17088" w:rsidRDefault="00C17088" w:rsidP="00C17088">
      <w:pPr>
        <w:pStyle w:val="SingleTxt"/>
      </w:pPr>
      <w:r>
        <w:tab/>
        <w:t>i)</w:t>
      </w:r>
      <w:r>
        <w:tab/>
      </w:r>
      <w:r>
        <w:rPr>
          <w:b/>
        </w:rPr>
        <w:t>внести поправки в соответствующие законы с целью предусмо</w:t>
      </w:r>
      <w:r>
        <w:rPr>
          <w:b/>
        </w:rPr>
        <w:t>т</w:t>
      </w:r>
      <w:r>
        <w:rPr>
          <w:b/>
        </w:rPr>
        <w:t>реть конкретную уголовную ответственность за изнасилование в браке;</w:t>
      </w:r>
    </w:p>
    <w:p w:rsidR="00C17088" w:rsidRDefault="00C17088" w:rsidP="00C17088">
      <w:pPr>
        <w:pStyle w:val="SingleTxt"/>
      </w:pPr>
      <w:r>
        <w:tab/>
        <w:t>j)</w:t>
      </w:r>
      <w:r>
        <w:tab/>
      </w:r>
      <w:r>
        <w:rPr>
          <w:b/>
        </w:rPr>
        <w:t>незамедлительно утвердить изменения, которые предлагается внести в пункт 2 статьи 204 Уголовного кодекса, в целях обеспечения того, чтобы основным элементом в определении изнасилования было отсу</w:t>
      </w:r>
      <w:r>
        <w:rPr>
          <w:b/>
        </w:rPr>
        <w:t>т</w:t>
      </w:r>
      <w:r>
        <w:rPr>
          <w:b/>
        </w:rPr>
        <w:t>ствие полностью добровольного согласия жертвы;</w:t>
      </w:r>
    </w:p>
    <w:p w:rsidR="00C17088" w:rsidRDefault="00C17088" w:rsidP="00C17088">
      <w:pPr>
        <w:pStyle w:val="SingleTxt"/>
      </w:pPr>
      <w:r>
        <w:tab/>
        <w:t>k)</w:t>
      </w:r>
      <w:r>
        <w:tab/>
      </w:r>
      <w:r>
        <w:rPr>
          <w:b/>
        </w:rPr>
        <w:t>ускорить вступление в силу закона о возмещении ущерба жер</w:t>
      </w:r>
      <w:r>
        <w:rPr>
          <w:b/>
        </w:rPr>
        <w:t>т</w:t>
      </w:r>
      <w:r>
        <w:rPr>
          <w:b/>
        </w:rPr>
        <w:t>вам насильственных преступлений и создать специальный фонд для предоставления компенсаций жертвам гендерного насилия в отношении женщин;</w:t>
      </w:r>
      <w:r>
        <w:t xml:space="preserve"> </w:t>
      </w:r>
    </w:p>
    <w:p w:rsidR="00C17088" w:rsidRDefault="00C17088" w:rsidP="00C17088">
      <w:pPr>
        <w:pStyle w:val="SingleTxt"/>
      </w:pPr>
      <w:r>
        <w:tab/>
        <w:t>l)</w:t>
      </w:r>
      <w:r>
        <w:tab/>
      </w:r>
      <w:r>
        <w:rPr>
          <w:b/>
        </w:rPr>
        <w:t>согласовать методологии сбора и обработки данных соотве</w:t>
      </w:r>
      <w:r>
        <w:rPr>
          <w:b/>
        </w:rPr>
        <w:t>т</w:t>
      </w:r>
      <w:r>
        <w:rPr>
          <w:b/>
        </w:rPr>
        <w:t>ствующими учреждениями.</w:t>
      </w:r>
    </w:p>
    <w:p w:rsidR="00C17088" w:rsidRDefault="00C17088" w:rsidP="00C17088">
      <w:pPr>
        <w:pStyle w:val="SingleTxt"/>
        <w:spacing w:after="0" w:line="120" w:lineRule="exact"/>
        <w:rPr>
          <w:sz w:val="10"/>
        </w:rPr>
      </w:pPr>
    </w:p>
    <w:p w:rsidR="00C17088" w:rsidRDefault="00C17088" w:rsidP="00C1708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Торговля людьми и эксплуатация проституции</w:t>
      </w:r>
    </w:p>
    <w:p w:rsidR="00C17088" w:rsidRDefault="00C17088" w:rsidP="00C17088">
      <w:pPr>
        <w:pStyle w:val="SingleTxt"/>
        <w:spacing w:after="0" w:line="120" w:lineRule="exact"/>
        <w:rPr>
          <w:sz w:val="10"/>
        </w:rPr>
      </w:pPr>
    </w:p>
    <w:p w:rsidR="00C17088" w:rsidRDefault="00C17088" w:rsidP="00C17088">
      <w:pPr>
        <w:pStyle w:val="SingleTxt"/>
      </w:pPr>
      <w:r>
        <w:t>24.</w:t>
      </w:r>
      <w:r>
        <w:tab/>
        <w:t>Комитет с удовлетворением отмечает усилия, предпринятые госуда</w:t>
      </w:r>
      <w:r>
        <w:t>р</w:t>
      </w:r>
      <w:r>
        <w:t>ством-участником для борьбы с торговлей женщинами, включая увеличение бюджета Управления по борьбе с торговлей людьми, недавнее принятие плана действий по осуществлению стратегии борьбы с торговлей людьми на 2012-2018 годы, расширение его сотрудничества с другими государствами в области борьбы с торговлей людьми и оказание финансовой поддержки приюту для жертв торговли людьми, находящемуся в ведении одной из НПО. Вместе с тем он с обеспокоенностью отмечает следующее:</w:t>
      </w:r>
    </w:p>
    <w:p w:rsidR="00C17088" w:rsidRDefault="00C17088" w:rsidP="00C17088">
      <w:pPr>
        <w:pStyle w:val="SingleTxt"/>
      </w:pPr>
      <w:r>
        <w:tab/>
        <w:t>a)</w:t>
      </w:r>
      <w:r>
        <w:tab/>
        <w:t>отсутствие уголовного преследования или обвинительных пригов</w:t>
      </w:r>
      <w:r>
        <w:t>о</w:t>
      </w:r>
      <w:r>
        <w:t>ров по статье 444 (торговля людьми) Уголовного кодекса в 2015 и 2016 годах и то, что несколько потенциальных случаев торговли людьми рассматривались как преступления, влекущие за собой более легкие меры наказания, такие как мера наказания, предусмотренная для посредничества в сфере проституции;</w:t>
      </w:r>
    </w:p>
    <w:p w:rsidR="00C17088" w:rsidRDefault="00C17088" w:rsidP="00C17088">
      <w:pPr>
        <w:pStyle w:val="SingleTxt"/>
      </w:pPr>
      <w:r>
        <w:tab/>
        <w:t>b)</w:t>
      </w:r>
      <w:r>
        <w:tab/>
        <w:t>тот факт, что женщины и девочки из числа рома, ашкали и египтян, а также беженцев и просителей убежища, перемещенных и внутренне перем</w:t>
      </w:r>
      <w:r>
        <w:t>е</w:t>
      </w:r>
      <w:r>
        <w:t>щенных лиц, женщин-инвалидов и девочек-инвалидов, особенно подвержены опасности стать жертвами торговли людьми;</w:t>
      </w:r>
    </w:p>
    <w:p w:rsidR="00C17088" w:rsidRDefault="00C17088" w:rsidP="00C17088">
      <w:pPr>
        <w:pStyle w:val="SingleTxt"/>
      </w:pPr>
      <w:r>
        <w:tab/>
        <w:t>c)</w:t>
      </w:r>
      <w:r>
        <w:tab/>
        <w:t>сообщения о сговоре сотрудников правоохранительных органов в случаях торговли людьми;</w:t>
      </w:r>
    </w:p>
    <w:p w:rsidR="00C17088" w:rsidRDefault="00C17088" w:rsidP="00C17088">
      <w:pPr>
        <w:pStyle w:val="SingleTxt"/>
      </w:pPr>
      <w:r>
        <w:tab/>
        <w:t>d)</w:t>
      </w:r>
      <w:r>
        <w:tab/>
        <w:t>тот факт, что государственные услуги по оказанию помощи жертвам торговли людьми являются неадекватными и не обеспечены достаточными р</w:t>
      </w:r>
      <w:r>
        <w:t>е</w:t>
      </w:r>
      <w:r>
        <w:t>сурсами;</w:t>
      </w:r>
    </w:p>
    <w:p w:rsidR="00C17088" w:rsidRDefault="00C17088" w:rsidP="00C17088">
      <w:pPr>
        <w:pStyle w:val="SingleTxt"/>
      </w:pPr>
      <w:r>
        <w:tab/>
        <w:t>e)</w:t>
      </w:r>
      <w:r>
        <w:tab/>
        <w:t>отсутствие ясности в вопросе о том, имеют ли иностранцы, ставшие жертвами торговли людьми, которые не хотят или не могут сотрудничать с о</w:t>
      </w:r>
      <w:r>
        <w:t>р</w:t>
      </w:r>
      <w:r>
        <w:t>ганами прокуратуры, полный доступ к мерам помощи и защиты жертв.</w:t>
      </w:r>
    </w:p>
    <w:p w:rsidR="00C17088" w:rsidRDefault="00C17088" w:rsidP="00C17088">
      <w:pPr>
        <w:pStyle w:val="SingleTxt"/>
        <w:rPr>
          <w:b/>
        </w:rPr>
      </w:pPr>
      <w:r>
        <w:t>25.</w:t>
      </w:r>
      <w:r>
        <w:tab/>
      </w:r>
      <w:r>
        <w:rPr>
          <w:b/>
        </w:rPr>
        <w:t>Комитет рекомендует государству-участнику обеспечить, чтобы все случаи торговли людьми, особенно женщинами и девочками, эффективно расследовались, а виновные привлекались к ответственности и пригов</w:t>
      </w:r>
      <w:r>
        <w:rPr>
          <w:b/>
        </w:rPr>
        <w:t>о</w:t>
      </w:r>
      <w:r>
        <w:rPr>
          <w:b/>
        </w:rPr>
        <w:t>ры, вынесенные виновным в совершении преступлений, связанных с то</w:t>
      </w:r>
      <w:r>
        <w:rPr>
          <w:b/>
        </w:rPr>
        <w:t>р</w:t>
      </w:r>
      <w:r>
        <w:rPr>
          <w:b/>
        </w:rPr>
        <w:t>говлей людьми, включая коррумпированных сотрудников правоохран</w:t>
      </w:r>
      <w:r>
        <w:rPr>
          <w:b/>
        </w:rPr>
        <w:t>и</w:t>
      </w:r>
      <w:r>
        <w:rPr>
          <w:b/>
        </w:rPr>
        <w:t>тельных органов, были соразмерны тяжести этих преступлений. Он также рекомендует государству-участнику обеспечить эффективную защиту и решение проблемы особой уязвимости, в силу таких факторов, как нищ</w:t>
      </w:r>
      <w:r>
        <w:rPr>
          <w:b/>
        </w:rPr>
        <w:t>е</w:t>
      </w:r>
      <w:r>
        <w:rPr>
          <w:b/>
        </w:rPr>
        <w:t>та, стигматизация и маргинализация, женщин и девочек из числа рома, ашкали и египтян, а также беженцев и просителей убежища, перемеще</w:t>
      </w:r>
      <w:r>
        <w:rPr>
          <w:b/>
        </w:rPr>
        <w:t>н</w:t>
      </w:r>
      <w:r>
        <w:rPr>
          <w:b/>
        </w:rPr>
        <w:t>ных и внутренне перемещенных лиц. Комитет далее рекомендует госуда</w:t>
      </w:r>
      <w:r>
        <w:rPr>
          <w:b/>
        </w:rPr>
        <w:t>р</w:t>
      </w:r>
      <w:r>
        <w:rPr>
          <w:b/>
        </w:rPr>
        <w:t>ству-участнику обеспечить, чтобы все жертвы торговли людьми имели беспрепятственный и незамедлительный доступ к приютам, медицинским услугам, психосоциальному консультированию, правовой помощи и сп</w:t>
      </w:r>
      <w:r>
        <w:rPr>
          <w:b/>
        </w:rPr>
        <w:t>е</w:t>
      </w:r>
      <w:r>
        <w:rPr>
          <w:b/>
        </w:rPr>
        <w:t>циализированным услугам в области реабилитации и реинтеграции, а также обеспечивались временным видом на жительство, независимо от их желания или возможности сотрудничать с органами прокуратуры.</w:t>
      </w:r>
    </w:p>
    <w:p w:rsidR="00C17088" w:rsidRDefault="00C17088" w:rsidP="00C17088">
      <w:pPr>
        <w:pStyle w:val="SingleTxt"/>
      </w:pPr>
      <w:r>
        <w:t>26.</w:t>
      </w:r>
      <w:r>
        <w:tab/>
        <w:t>Комитет отмечает, что сутенерство в государстве-участнике запрещено. Он с обеспокоенность отмечает, что:</w:t>
      </w:r>
    </w:p>
    <w:p w:rsidR="00C17088" w:rsidRDefault="00C17088" w:rsidP="00C17088">
      <w:pPr>
        <w:pStyle w:val="SingleTxt"/>
      </w:pPr>
      <w:r>
        <w:tab/>
        <w:t>a)</w:t>
      </w:r>
      <w:r>
        <w:tab/>
        <w:t>женщин, занимающихся проституцией, часто подвергают штрафу или приговаривают к тюремному заключению и зачастую разлучают с их дет</w:t>
      </w:r>
      <w:r>
        <w:t>ь</w:t>
      </w:r>
      <w:r>
        <w:t xml:space="preserve">ми; </w:t>
      </w:r>
    </w:p>
    <w:p w:rsidR="00C17088" w:rsidRDefault="00C17088" w:rsidP="00C17088">
      <w:pPr>
        <w:pStyle w:val="SingleTxt"/>
      </w:pPr>
      <w:r>
        <w:tab/>
        <w:t>b)</w:t>
      </w:r>
      <w:r>
        <w:tab/>
        <w:t>подавляющее большинство женщин, занимающихся проституцией, вынуждены ею заниматься в силу экономических трудностей или наркотич</w:t>
      </w:r>
      <w:r>
        <w:t>е</w:t>
      </w:r>
      <w:r>
        <w:t>ской зависимости.</w:t>
      </w:r>
    </w:p>
    <w:p w:rsidR="00C17088" w:rsidRDefault="00C17088" w:rsidP="00C17088">
      <w:pPr>
        <w:pStyle w:val="SingleTxt"/>
      </w:pPr>
      <w:r>
        <w:t>27.</w:t>
      </w:r>
      <w:r>
        <w:tab/>
      </w:r>
      <w:r>
        <w:rPr>
          <w:b/>
        </w:rPr>
        <w:t>Комитет рекомендует государству-участнику:</w:t>
      </w:r>
    </w:p>
    <w:p w:rsidR="00C17088" w:rsidRDefault="00C17088" w:rsidP="00C17088">
      <w:pPr>
        <w:pStyle w:val="SingleTxt"/>
      </w:pPr>
      <w:r>
        <w:tab/>
        <w:t>a)</w:t>
      </w:r>
      <w:r>
        <w:tab/>
      </w:r>
      <w:r>
        <w:rPr>
          <w:b/>
        </w:rPr>
        <w:t>отменить уголовную ответственность женщин, занимающихся проституцией, и прекратить практику разлучения матерей и их детей на основании вовлеченности матери в занятие проституцией;</w:t>
      </w:r>
    </w:p>
    <w:p w:rsidR="00C17088" w:rsidRDefault="00C17088" w:rsidP="00C17088">
      <w:pPr>
        <w:pStyle w:val="SingleTxt"/>
      </w:pPr>
      <w:r>
        <w:tab/>
        <w:t>b)</w:t>
      </w:r>
      <w:r>
        <w:tab/>
      </w:r>
      <w:r>
        <w:rPr>
          <w:b/>
        </w:rPr>
        <w:t>устранять коренные причины проституции, включая нищету, дискриминацию и наркозависимость;</w:t>
      </w:r>
    </w:p>
    <w:p w:rsidR="00C17088" w:rsidRDefault="00C17088" w:rsidP="00C17088">
      <w:pPr>
        <w:pStyle w:val="SingleTxt"/>
      </w:pPr>
      <w:r>
        <w:tab/>
        <w:t>c)</w:t>
      </w:r>
      <w:r>
        <w:tab/>
      </w:r>
      <w:r>
        <w:rPr>
          <w:b/>
        </w:rPr>
        <w:t>принимать образовательные и информационно-просветительские меры, ориентированные на широкую общественность, в особенности на мужчин и мальчиков, с тем чтобы уменьшить спрос на проституцию. В рамках таких мер особое внимание следует уделять устр</w:t>
      </w:r>
      <w:r>
        <w:rPr>
          <w:b/>
        </w:rPr>
        <w:t>а</w:t>
      </w:r>
      <w:r>
        <w:rPr>
          <w:b/>
        </w:rPr>
        <w:t>нению всех понятий о подчиненном положении женщин и всех форм об</w:t>
      </w:r>
      <w:r>
        <w:rPr>
          <w:b/>
        </w:rPr>
        <w:t>ъ</w:t>
      </w:r>
      <w:r>
        <w:rPr>
          <w:b/>
        </w:rPr>
        <w:t>ективации женщин;</w:t>
      </w:r>
    </w:p>
    <w:p w:rsidR="00C17088" w:rsidRDefault="00C17088" w:rsidP="00C17088">
      <w:pPr>
        <w:pStyle w:val="SingleTxt"/>
      </w:pPr>
      <w:r>
        <w:tab/>
        <w:t>d)</w:t>
      </w:r>
      <w:r>
        <w:tab/>
      </w:r>
      <w:r>
        <w:rPr>
          <w:b/>
        </w:rPr>
        <w:t>выделить достаточные ресурсы для осуществления специальных программ для женщин, желающих прекратить заниматься проституцией, в том числе путем предоставления им альтернативных возможностей п</w:t>
      </w:r>
      <w:r>
        <w:rPr>
          <w:b/>
        </w:rPr>
        <w:t>о</w:t>
      </w:r>
      <w:r>
        <w:rPr>
          <w:b/>
        </w:rPr>
        <w:t>лучения дохода.</w:t>
      </w:r>
    </w:p>
    <w:p w:rsidR="00C17088" w:rsidRDefault="00C17088" w:rsidP="00C17088">
      <w:pPr>
        <w:pStyle w:val="SingleTxt"/>
        <w:spacing w:after="0" w:line="120" w:lineRule="exact"/>
        <w:rPr>
          <w:sz w:val="10"/>
        </w:rPr>
      </w:pPr>
    </w:p>
    <w:p w:rsidR="00C17088" w:rsidRDefault="00C17088" w:rsidP="00C1708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Участие в политической и общественной жизни</w:t>
      </w:r>
    </w:p>
    <w:p w:rsidR="00C17088" w:rsidRDefault="00C17088" w:rsidP="00C17088">
      <w:pPr>
        <w:pStyle w:val="SingleTxt"/>
        <w:keepNext/>
        <w:keepLines/>
        <w:spacing w:after="0" w:line="120" w:lineRule="exact"/>
        <w:rPr>
          <w:sz w:val="10"/>
        </w:rPr>
      </w:pPr>
    </w:p>
    <w:p w:rsidR="00C17088" w:rsidRDefault="00C17088" w:rsidP="00C17088">
      <w:pPr>
        <w:pStyle w:val="SingleTxt"/>
      </w:pPr>
      <w:r>
        <w:t>28.</w:t>
      </w:r>
      <w:r>
        <w:tab/>
        <w:t>Комитет приветствует меры, принятые государством-участником в целях расширения участия женщин в политической жизни. Тем не менее, он с обе</w:t>
      </w:r>
      <w:r>
        <w:t>с</w:t>
      </w:r>
      <w:r>
        <w:t>покоенностью отмечает, что женщины, в том числе женщины, принадлежащие к меньшинствам, по-прежнему недостаточно представлены в политической и общественной жизни. В этой связи он вновь выражает свою обеспокоенность, отмеченную в его предыдущих заключительных замечаниях (</w:t>
      </w:r>
      <w:hyperlink r:id="rId20" w:history="1">
        <w:r>
          <w:rPr>
            <w:rStyle w:val="Hyperlink"/>
          </w:rPr>
          <w:t>CEDAW/C/MNE/CO/1</w:t>
        </w:r>
      </w:hyperlink>
      <w:r>
        <w:t>, пункт 22) относительно того, что Закон о выборах с</w:t>
      </w:r>
      <w:r>
        <w:t>о</w:t>
      </w:r>
      <w:r>
        <w:t>ветников и членов парламента, предусматривающий 30-процентную квоту для женщин-кандидатов в избирательных списках политических партий, не треб</w:t>
      </w:r>
      <w:r>
        <w:t>у</w:t>
      </w:r>
      <w:r>
        <w:t>ет, чтобы каждый третий кандидат в списке был женщиной. Кроме того, Ком</w:t>
      </w:r>
      <w:r>
        <w:t>и</w:t>
      </w:r>
      <w:r>
        <w:t>тет с обеспокоенностью отмечает, что участие женщин в политической жизни дополнительно сдерживается широко распространенными патриархальными взглядами, а также весьма ограниченным диалогом с общественностью по в</w:t>
      </w:r>
      <w:r>
        <w:t>о</w:t>
      </w:r>
      <w:r>
        <w:t>просам участия женщин в политической жизни и их освещением в средствах массовой информации.</w:t>
      </w:r>
    </w:p>
    <w:p w:rsidR="00C17088" w:rsidRDefault="00C17088" w:rsidP="00C17088">
      <w:pPr>
        <w:pStyle w:val="SingleTxt"/>
      </w:pPr>
      <w:r>
        <w:t>29.</w:t>
      </w:r>
      <w:r>
        <w:tab/>
      </w:r>
      <w:r>
        <w:rPr>
          <w:b/>
        </w:rPr>
        <w:t>Комитет вновь повторяет свою предыдущую рекомендацию (</w:t>
      </w:r>
      <w:hyperlink r:id="rId21" w:history="1">
        <w:r>
          <w:rPr>
            <w:rStyle w:val="Hyperlink"/>
            <w:b/>
          </w:rPr>
          <w:t>CEDAW/C/MNE/CO/1</w:t>
        </w:r>
      </w:hyperlink>
      <w:r>
        <w:rPr>
          <w:b/>
        </w:rPr>
        <w:t>, пункт 23 a)) проверить соблюдение требования о 30-процентной квоте, предусмотренного в Законе о выборах, для обеспеч</w:t>
      </w:r>
      <w:r>
        <w:rPr>
          <w:b/>
        </w:rPr>
        <w:t>е</w:t>
      </w:r>
      <w:r>
        <w:rPr>
          <w:b/>
        </w:rPr>
        <w:t>ния того, чтобы в каждой группе из трех кандидатов в избирательных списках политических партий по меньшей мере один кандидат являлся женщиной. Кроме того, Комитет рекомендует государству-участнику:</w:t>
      </w:r>
    </w:p>
    <w:p w:rsidR="00C17088" w:rsidRDefault="00C17088" w:rsidP="00C17088">
      <w:pPr>
        <w:pStyle w:val="SingleTxt"/>
      </w:pPr>
      <w:r>
        <w:tab/>
        <w:t>a)</w:t>
      </w:r>
      <w:r>
        <w:tab/>
      </w:r>
      <w:r>
        <w:rPr>
          <w:b/>
        </w:rPr>
        <w:t>создать благоприятные условия для участия женщин в полит</w:t>
      </w:r>
      <w:r>
        <w:rPr>
          <w:b/>
        </w:rPr>
        <w:t>и</w:t>
      </w:r>
      <w:r>
        <w:rPr>
          <w:b/>
        </w:rPr>
        <w:t>ческой и общественной жизни, в частности женщин, принадлежащих к группам меньшинств, в том числе посредством повышения уровня осв</w:t>
      </w:r>
      <w:r>
        <w:rPr>
          <w:b/>
        </w:rPr>
        <w:t>е</w:t>
      </w:r>
      <w:r>
        <w:rPr>
          <w:b/>
        </w:rPr>
        <w:t>домленности политических лидеров и населения в целом относительно т</w:t>
      </w:r>
      <w:r>
        <w:rPr>
          <w:b/>
        </w:rPr>
        <w:t>о</w:t>
      </w:r>
      <w:r>
        <w:rPr>
          <w:b/>
        </w:rPr>
        <w:t>го, что полное, равное, свободное и демократическое участие женщин в политической и общественной жизни на равноправной с мужчинами осн</w:t>
      </w:r>
      <w:r>
        <w:rPr>
          <w:b/>
        </w:rPr>
        <w:t>о</w:t>
      </w:r>
      <w:r>
        <w:rPr>
          <w:b/>
        </w:rPr>
        <w:t>ве является одним из требований для  осуществления в полной мере прав человека женщин;</w:t>
      </w:r>
    </w:p>
    <w:p w:rsidR="00C17088" w:rsidRDefault="00C17088" w:rsidP="00C17088">
      <w:pPr>
        <w:pStyle w:val="SingleTxt"/>
        <w:rPr>
          <w:b/>
        </w:rPr>
      </w:pPr>
      <w:r>
        <w:tab/>
        <w:t>b)</w:t>
      </w:r>
      <w:r>
        <w:tab/>
      </w:r>
      <w:r>
        <w:rPr>
          <w:b/>
        </w:rPr>
        <w:t>усилить наращивание потенциала в области политического л</w:t>
      </w:r>
      <w:r>
        <w:rPr>
          <w:b/>
        </w:rPr>
        <w:t>и</w:t>
      </w:r>
      <w:r>
        <w:rPr>
          <w:b/>
        </w:rPr>
        <w:t>дерства и проведения избирательных кампаний для женщин, желающих принять участие в политической жизни или занять государственную должность, и поощрять равное освещение деятельности кандидатов и и</w:t>
      </w:r>
      <w:r>
        <w:rPr>
          <w:b/>
        </w:rPr>
        <w:t>з</w:t>
      </w:r>
      <w:r>
        <w:rPr>
          <w:b/>
        </w:rPr>
        <w:t>бранных представителей как мужского, так и женского пола, в средствах массовой информации, в особенности во время выборов.</w:t>
      </w:r>
    </w:p>
    <w:p w:rsidR="00C17088" w:rsidRDefault="00C17088" w:rsidP="00C17088">
      <w:pPr>
        <w:pStyle w:val="SingleTxt"/>
        <w:spacing w:after="0" w:line="120" w:lineRule="exact"/>
        <w:rPr>
          <w:sz w:val="10"/>
        </w:rPr>
      </w:pPr>
    </w:p>
    <w:p w:rsidR="00C17088" w:rsidRDefault="00C17088" w:rsidP="00C1708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Образование</w:t>
      </w:r>
    </w:p>
    <w:p w:rsidR="00C17088" w:rsidRDefault="00C17088" w:rsidP="00C17088">
      <w:pPr>
        <w:pStyle w:val="SingleTxt"/>
        <w:spacing w:after="0" w:line="120" w:lineRule="exact"/>
        <w:rPr>
          <w:sz w:val="10"/>
        </w:rPr>
      </w:pPr>
    </w:p>
    <w:p w:rsidR="00C17088" w:rsidRDefault="00C17088" w:rsidP="00C17088">
      <w:pPr>
        <w:pStyle w:val="SingleTxt"/>
      </w:pPr>
      <w:r>
        <w:t>30.</w:t>
      </w:r>
      <w:r>
        <w:tab/>
        <w:t>Комитет с удовлетворением отмечает, что некоторые элементы, касающ</w:t>
      </w:r>
      <w:r>
        <w:t>и</w:t>
      </w:r>
      <w:r>
        <w:t>еся вопросов гендерного равенства, были включены в школьные учебные пр</w:t>
      </w:r>
      <w:r>
        <w:t>о</w:t>
      </w:r>
      <w:r>
        <w:t>граммы на уровне начального и среднего образования. В то же время он обе</w:t>
      </w:r>
      <w:r>
        <w:t>с</w:t>
      </w:r>
      <w:r>
        <w:t>покоен:</w:t>
      </w:r>
    </w:p>
    <w:p w:rsidR="00C17088" w:rsidRDefault="00C17088" w:rsidP="00C17088">
      <w:pPr>
        <w:pStyle w:val="SingleTxt"/>
      </w:pPr>
      <w:r>
        <w:tab/>
        <w:t>a)</w:t>
      </w:r>
      <w:r>
        <w:tab/>
        <w:t>тем, что в программах подготовки преподавателей и в учебных мат</w:t>
      </w:r>
      <w:r>
        <w:t>е</w:t>
      </w:r>
      <w:r>
        <w:t>риалах сделан недостаточный упор на ликвидацию традиционных представл</w:t>
      </w:r>
      <w:r>
        <w:t>е</w:t>
      </w:r>
      <w:r>
        <w:t>ний о роли мужчин и женщин;</w:t>
      </w:r>
    </w:p>
    <w:p w:rsidR="00C17088" w:rsidRDefault="00C17088" w:rsidP="00C17088">
      <w:pPr>
        <w:pStyle w:val="SingleTxt"/>
      </w:pPr>
      <w:r>
        <w:tab/>
        <w:t>b)</w:t>
      </w:r>
      <w:r>
        <w:tab/>
        <w:t>тем, что половое воспитание ведется в недостаточной степени и не охватывает социальные аспекты гендерных отношений и влияние патриа</w:t>
      </w:r>
      <w:r>
        <w:t>р</w:t>
      </w:r>
      <w:r>
        <w:t>хальных взглядов и дискриминационных стереотипов на сексуальные отнош</w:t>
      </w:r>
      <w:r>
        <w:t>е</w:t>
      </w:r>
      <w:r>
        <w:t>ния;</w:t>
      </w:r>
    </w:p>
    <w:p w:rsidR="00C17088" w:rsidRDefault="00C17088" w:rsidP="00C17088">
      <w:pPr>
        <w:pStyle w:val="SingleTxt"/>
      </w:pPr>
      <w:r>
        <w:tab/>
        <w:t>c)</w:t>
      </w:r>
      <w:r>
        <w:tab/>
        <w:t>низким уровнем грамотности среди женщин из числа рома, ашкали и египтян и высокими показателями отсева среди девочек из этих общин, ос</w:t>
      </w:r>
      <w:r>
        <w:t>о</w:t>
      </w:r>
      <w:r>
        <w:t>бенно на уровне среднего образования;</w:t>
      </w:r>
    </w:p>
    <w:p w:rsidR="00C17088" w:rsidRDefault="00C17088" w:rsidP="00C17088">
      <w:pPr>
        <w:pStyle w:val="SingleTxt"/>
      </w:pPr>
      <w:r>
        <w:tab/>
        <w:t>d)</w:t>
      </w:r>
      <w:r>
        <w:tab/>
        <w:t>ограниченным доступом к образованию девочек из числа просит</w:t>
      </w:r>
      <w:r>
        <w:t>е</w:t>
      </w:r>
      <w:r>
        <w:t>лей убежища, беженцев, перемещенных и внутренне перемещенных лиц;</w:t>
      </w:r>
    </w:p>
    <w:p w:rsidR="00C17088" w:rsidRDefault="00C17088" w:rsidP="00C17088">
      <w:pPr>
        <w:pStyle w:val="SingleTxt"/>
      </w:pPr>
      <w:r>
        <w:tab/>
        <w:t>e)</w:t>
      </w:r>
      <w:r>
        <w:tab/>
        <w:t xml:space="preserve">концентрацией девушек в традиционных областях образования; </w:t>
      </w:r>
    </w:p>
    <w:p w:rsidR="00C17088" w:rsidRDefault="00C17088" w:rsidP="00C17088">
      <w:pPr>
        <w:pStyle w:val="SingleTxt"/>
      </w:pPr>
      <w:r>
        <w:tab/>
        <w:t>f)</w:t>
      </w:r>
      <w:r>
        <w:tab/>
        <w:t>отсутствием гендерных исследований в высших учебных заведен</w:t>
      </w:r>
      <w:r>
        <w:t>и</w:t>
      </w:r>
      <w:r>
        <w:t>ях.</w:t>
      </w:r>
    </w:p>
    <w:p w:rsidR="00C17088" w:rsidRDefault="00C17088" w:rsidP="00C17088">
      <w:pPr>
        <w:pStyle w:val="SingleTxt"/>
      </w:pPr>
      <w:r>
        <w:t>31.</w:t>
      </w:r>
      <w:r>
        <w:tab/>
      </w:r>
      <w:r>
        <w:rPr>
          <w:b/>
        </w:rPr>
        <w:t>Комитет рекомендует государству-участнику:</w:t>
      </w:r>
    </w:p>
    <w:p w:rsidR="00C17088" w:rsidRDefault="00C17088" w:rsidP="00C17088">
      <w:pPr>
        <w:pStyle w:val="SingleTxt"/>
        <w:rPr>
          <w:b/>
        </w:rPr>
      </w:pPr>
      <w:r>
        <w:tab/>
        <w:t>a)</w:t>
      </w:r>
      <w:r>
        <w:tab/>
      </w:r>
      <w:r>
        <w:rPr>
          <w:b/>
        </w:rPr>
        <w:t>осуществлять программы по наращиванию потенциала для пр</w:t>
      </w:r>
      <w:r>
        <w:rPr>
          <w:b/>
        </w:rPr>
        <w:t>е</w:t>
      </w:r>
      <w:r>
        <w:rPr>
          <w:b/>
        </w:rPr>
        <w:t>подавателей на всех уровнях системы образования, с тем чтобы изменить существующие стереотипные взгляды и представления о роли женщин и мужчин в семье и обществе;</w:t>
      </w:r>
    </w:p>
    <w:p w:rsidR="00C17088" w:rsidRDefault="00C17088" w:rsidP="00C17088">
      <w:pPr>
        <w:pStyle w:val="SingleTxt"/>
      </w:pPr>
      <w:r>
        <w:tab/>
        <w:t>b)</w:t>
      </w:r>
      <w:r>
        <w:tab/>
      </w:r>
      <w:r>
        <w:rPr>
          <w:b/>
        </w:rPr>
        <w:t>обеспечить включение в школьные программы обязательного и соответствующего возрасту полового воспитания, в том числе обучения по вопросам сексуального и репродуктивного здоровья и соответствующих прав, уделяя особое внимание профилактике заболеваний, передаваемых половым путем, и предупреждению ранней беременности и насилия, а также изменению патриархальных взглядов;</w:t>
      </w:r>
    </w:p>
    <w:p w:rsidR="00C17088" w:rsidRDefault="00C17088" w:rsidP="00C17088">
      <w:pPr>
        <w:pStyle w:val="SingleTxt"/>
      </w:pPr>
      <w:r>
        <w:tab/>
        <w:t>c)</w:t>
      </w:r>
      <w:r>
        <w:tab/>
      </w:r>
      <w:r>
        <w:rPr>
          <w:b/>
        </w:rPr>
        <w:t>принять и осуществлять дальнейшие целенаправленные страт</w:t>
      </w:r>
      <w:r>
        <w:rPr>
          <w:b/>
        </w:rPr>
        <w:t>е</w:t>
      </w:r>
      <w:r>
        <w:rPr>
          <w:b/>
        </w:rPr>
        <w:t>гии и программы в целях преодоления барьеров, с которыми сталкиваю</w:t>
      </w:r>
      <w:r>
        <w:rPr>
          <w:b/>
        </w:rPr>
        <w:t>т</w:t>
      </w:r>
      <w:r>
        <w:rPr>
          <w:b/>
        </w:rPr>
        <w:t>ся в области образования женщины и девочки из числа рома, ашкали и египтян, а также женщины и девочки из числа просителей убежища, б</w:t>
      </w:r>
      <w:r>
        <w:rPr>
          <w:b/>
        </w:rPr>
        <w:t>е</w:t>
      </w:r>
      <w:r>
        <w:rPr>
          <w:b/>
        </w:rPr>
        <w:t>женцев, перемещенных и внутренне перемещенных лиц, и принять э</w:t>
      </w:r>
      <w:r>
        <w:rPr>
          <w:b/>
        </w:rPr>
        <w:t>ф</w:t>
      </w:r>
      <w:r>
        <w:rPr>
          <w:b/>
        </w:rPr>
        <w:t>фективные меры для удержания их в школе и улучшения показателей п</w:t>
      </w:r>
      <w:r>
        <w:rPr>
          <w:b/>
        </w:rPr>
        <w:t>о</w:t>
      </w:r>
      <w:r>
        <w:rPr>
          <w:b/>
        </w:rPr>
        <w:t>сещаемости ими занятий на уровне начального и среднего образования;</w:t>
      </w:r>
    </w:p>
    <w:p w:rsidR="00C17088" w:rsidRDefault="00C17088" w:rsidP="00C17088">
      <w:pPr>
        <w:pStyle w:val="SingleTxt"/>
      </w:pPr>
      <w:r>
        <w:tab/>
        <w:t>d)</w:t>
      </w:r>
      <w:r>
        <w:tab/>
      </w:r>
      <w:r>
        <w:rPr>
          <w:b/>
        </w:rPr>
        <w:t>в соответствии с задачей 4.3 целей в области устойчивого разв</w:t>
      </w:r>
      <w:r>
        <w:rPr>
          <w:b/>
        </w:rPr>
        <w:t>и</w:t>
      </w:r>
      <w:r>
        <w:rPr>
          <w:b/>
        </w:rPr>
        <w:t>тия, касающейся обеспечения для всех женщин и мужчин равного доступа к недорогому и высококачественному профессионально-техническому и высшему, в том числе университетскому, образованию, уделять приор</w:t>
      </w:r>
      <w:r>
        <w:rPr>
          <w:b/>
        </w:rPr>
        <w:t>и</w:t>
      </w:r>
      <w:r>
        <w:rPr>
          <w:b/>
        </w:rPr>
        <w:t>тетное внимание ликвидации традиционных стереотипов и структурных барьеров, способных ограничивать стремление девочек к изучению ди</w:t>
      </w:r>
      <w:r>
        <w:rPr>
          <w:b/>
        </w:rPr>
        <w:t>с</w:t>
      </w:r>
      <w:r>
        <w:rPr>
          <w:b/>
        </w:rPr>
        <w:t>циплин, в которых традиционно доминируют мужчины, таких как наука, техника, инженерное дело и математика, и предоставлять девочкам ко</w:t>
      </w:r>
      <w:r>
        <w:rPr>
          <w:b/>
        </w:rPr>
        <w:t>н</w:t>
      </w:r>
      <w:r>
        <w:rPr>
          <w:b/>
        </w:rPr>
        <w:t>сультации по вопросам нетрадиционных областей образования и профе</w:t>
      </w:r>
      <w:r>
        <w:rPr>
          <w:b/>
        </w:rPr>
        <w:t>с</w:t>
      </w:r>
      <w:r>
        <w:rPr>
          <w:b/>
        </w:rPr>
        <w:t>сий;</w:t>
      </w:r>
      <w:r>
        <w:t xml:space="preserve"> </w:t>
      </w:r>
    </w:p>
    <w:p w:rsidR="00C17088" w:rsidRDefault="00C17088" w:rsidP="00C17088">
      <w:pPr>
        <w:pStyle w:val="SingleTxt"/>
      </w:pPr>
      <w:r>
        <w:tab/>
        <w:t>e)</w:t>
      </w:r>
      <w:r>
        <w:tab/>
      </w:r>
      <w:r>
        <w:rPr>
          <w:b/>
        </w:rPr>
        <w:t>содействовать введению специальных магистерских и докто</w:t>
      </w:r>
      <w:r>
        <w:rPr>
          <w:b/>
        </w:rPr>
        <w:t>р</w:t>
      </w:r>
      <w:r>
        <w:rPr>
          <w:b/>
        </w:rPr>
        <w:t>ских программ в области гендерных исследований.</w:t>
      </w:r>
    </w:p>
    <w:p w:rsidR="00C17088" w:rsidRDefault="00C17088" w:rsidP="00C17088">
      <w:pPr>
        <w:pStyle w:val="SingleTxt"/>
        <w:spacing w:after="0" w:line="120" w:lineRule="exact"/>
        <w:rPr>
          <w:sz w:val="10"/>
        </w:rPr>
      </w:pPr>
    </w:p>
    <w:p w:rsidR="00C17088" w:rsidRDefault="00C17088" w:rsidP="00C1708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Занятость</w:t>
      </w:r>
    </w:p>
    <w:p w:rsidR="00C17088" w:rsidRDefault="00C17088" w:rsidP="00C17088">
      <w:pPr>
        <w:pStyle w:val="SingleTxt"/>
        <w:spacing w:after="0" w:line="120" w:lineRule="exact"/>
        <w:rPr>
          <w:sz w:val="10"/>
        </w:rPr>
      </w:pPr>
    </w:p>
    <w:p w:rsidR="00C17088" w:rsidRDefault="00C17088" w:rsidP="00C17088">
      <w:pPr>
        <w:pStyle w:val="SingleTxt"/>
      </w:pPr>
      <w:r>
        <w:t>32.</w:t>
      </w:r>
      <w:r>
        <w:tab/>
        <w:t>Комитет с удовлетворением отмечает меры, принятые государством-участником для решения проблемы горизонтальной и вертикальной сегрегации в сфере официальной занятости, в том числе посредством трудового законод</w:t>
      </w:r>
      <w:r>
        <w:t>а</w:t>
      </w:r>
      <w:r>
        <w:t>тельства, в которое в настоящее время вносятся дополнительные поправки. Вместе с тем он с обеспокоенностью отмечает следующее:</w:t>
      </w:r>
    </w:p>
    <w:p w:rsidR="00C17088" w:rsidRDefault="00C17088" w:rsidP="00C17088">
      <w:pPr>
        <w:pStyle w:val="SingleTxt"/>
      </w:pPr>
      <w:r>
        <w:tab/>
        <w:t>a)</w:t>
      </w:r>
      <w:r>
        <w:tab/>
        <w:t>сохраняющийся непропорционально высокий</w:t>
      </w:r>
      <w:r w:rsidR="004338E8">
        <w:rPr>
          <w:lang w:val="en-US"/>
        </w:rPr>
        <w:t xml:space="preserve"> </w:t>
      </w:r>
      <w:r>
        <w:t>уровень безрабо</w:t>
      </w:r>
      <w:bookmarkStart w:id="1" w:name="_GoBack"/>
      <w:bookmarkEnd w:id="1"/>
      <w:r>
        <w:t>тицы среди женщин, особенно среди женщин, принадлежащих к группам мен</w:t>
      </w:r>
      <w:r>
        <w:t>ь</w:t>
      </w:r>
      <w:r>
        <w:t>шинств, в частности рома, ашкали и египтян, женщин-инвалидов и женщин-трансгендеров;</w:t>
      </w:r>
    </w:p>
    <w:p w:rsidR="00C17088" w:rsidRDefault="00C17088" w:rsidP="00C17088">
      <w:pPr>
        <w:pStyle w:val="SingleTxt"/>
      </w:pPr>
      <w:r>
        <w:tab/>
        <w:t>b)</w:t>
      </w:r>
      <w:r>
        <w:tab/>
        <w:t>низкую представленность женщин на руководящих постах и среди владельцев коммерческих предприятий;</w:t>
      </w:r>
    </w:p>
    <w:p w:rsidR="00C17088" w:rsidRDefault="00C17088" w:rsidP="00C17088">
      <w:pPr>
        <w:pStyle w:val="SingleTxt"/>
      </w:pPr>
      <w:r>
        <w:tab/>
        <w:t>c)</w:t>
      </w:r>
      <w:r>
        <w:tab/>
        <w:t>значительный гендерный разрыв в оплате труда, составляющий 16 процентов, несмотря на принятие Закона о равной оплате за труд равной це</w:t>
      </w:r>
      <w:r>
        <w:t>н</w:t>
      </w:r>
      <w:r>
        <w:t>ности, что привело к сокращению пенсионных пособий и более высокому ри</w:t>
      </w:r>
      <w:r>
        <w:t>с</w:t>
      </w:r>
      <w:r>
        <w:t>ку нищеты для женщин по сравнению с мужчинами;</w:t>
      </w:r>
    </w:p>
    <w:p w:rsidR="00C17088" w:rsidRDefault="00C17088" w:rsidP="00C17088">
      <w:pPr>
        <w:pStyle w:val="SingleTxt"/>
      </w:pPr>
      <w:r>
        <w:tab/>
        <w:t>d)</w:t>
      </w:r>
      <w:r>
        <w:tab/>
        <w:t>сохранение дискриминации в отношении женщин на рынке труда по причине семейного положения и материнства, а также занижение данных о ней;</w:t>
      </w:r>
    </w:p>
    <w:p w:rsidR="00C17088" w:rsidRDefault="00C17088" w:rsidP="00C17088">
      <w:pPr>
        <w:pStyle w:val="SingleTxt"/>
      </w:pPr>
      <w:r>
        <w:tab/>
        <w:t>e)</w:t>
      </w:r>
      <w:r>
        <w:tab/>
        <w:t>ограниченное наличие доступных учреждений по уходу за детьми надлежащего качества и отсутствие не подлежащего передаче отпуска для о</w:t>
      </w:r>
      <w:r>
        <w:t>т</w:t>
      </w:r>
      <w:r>
        <w:t xml:space="preserve">цов по уходу за ребенком, что вынуждает многих женщин уйти с рынка труда после рождения ребенка, особенно в тех случаях, когда их зарплата остается низкой по сравнению со стоимостью услуг по уходу за детьми; </w:t>
      </w:r>
    </w:p>
    <w:p w:rsidR="00C17088" w:rsidRDefault="00C17088" w:rsidP="00C17088">
      <w:pPr>
        <w:pStyle w:val="SingleTxt"/>
      </w:pPr>
      <w:r>
        <w:tab/>
        <w:t>f)</w:t>
      </w:r>
      <w:r>
        <w:tab/>
        <w:t>отсутствие информации о случаях, когда отцы берут отпуск по уходу за ребенком.</w:t>
      </w:r>
    </w:p>
    <w:p w:rsidR="00C17088" w:rsidRDefault="00C17088" w:rsidP="00C17088">
      <w:pPr>
        <w:pStyle w:val="SingleTxt"/>
      </w:pPr>
      <w:r>
        <w:t>33.</w:t>
      </w:r>
      <w:r>
        <w:tab/>
      </w:r>
      <w:r>
        <w:rPr>
          <w:b/>
        </w:rPr>
        <w:t>Комитет рекомендует государству-участнику создавать дополнител</w:t>
      </w:r>
      <w:r>
        <w:rPr>
          <w:b/>
        </w:rPr>
        <w:t>ь</w:t>
      </w:r>
      <w:r>
        <w:rPr>
          <w:b/>
        </w:rPr>
        <w:t>ные возможности для женщин в плане получения доступа к занятости в формальном секторе, в том числе путем принятия и осуществления стр</w:t>
      </w:r>
      <w:r>
        <w:rPr>
          <w:b/>
        </w:rPr>
        <w:t>а</w:t>
      </w:r>
      <w:r>
        <w:rPr>
          <w:b/>
        </w:rPr>
        <w:t>тегий, предусматривающих рассчитанные на конкретные сроки задачи и показатели и направленных на то, чтобы снизить распространенность дискриминационных гендерных стереотипов в целях ликвидации профе</w:t>
      </w:r>
      <w:r>
        <w:rPr>
          <w:b/>
        </w:rPr>
        <w:t>с</w:t>
      </w:r>
      <w:r>
        <w:rPr>
          <w:b/>
        </w:rPr>
        <w:t>сиональной сегрегации и достижения фактического равенства между женщинами и мужчинами на рынке труда, в том числе в традиционно мужских областях, посредством проведения интенсивной профессионал</w:t>
      </w:r>
      <w:r>
        <w:rPr>
          <w:b/>
        </w:rPr>
        <w:t>ь</w:t>
      </w:r>
      <w:r>
        <w:rPr>
          <w:b/>
        </w:rPr>
        <w:t>но-технической подготовки для женщин в этих областях. Комитет также рекомендует государству-участнику:</w:t>
      </w:r>
    </w:p>
    <w:p w:rsidR="00C17088" w:rsidRDefault="00C17088" w:rsidP="00C17088">
      <w:pPr>
        <w:pStyle w:val="SingleTxt"/>
      </w:pPr>
      <w:r>
        <w:tab/>
        <w:t>a)</w:t>
      </w:r>
      <w:r>
        <w:tab/>
      </w:r>
      <w:r>
        <w:rPr>
          <w:b/>
        </w:rPr>
        <w:t>принять меры для реального соблюдения принципа равной оплаты за труд равной ценности, а также для сокращения и устранения разрыва в заработной плате мужчин и женщин, в том числе за счет пр</w:t>
      </w:r>
      <w:r>
        <w:rPr>
          <w:b/>
        </w:rPr>
        <w:t>и</w:t>
      </w:r>
      <w:r>
        <w:rPr>
          <w:b/>
        </w:rPr>
        <w:t>менения нейтральных в гендерном отношении аналитических методов классификации и оценки труда и регулярного проведения обследований уровня заработной платы;</w:t>
      </w:r>
      <w:r>
        <w:t xml:space="preserve"> </w:t>
      </w:r>
    </w:p>
    <w:p w:rsidR="00C17088" w:rsidRDefault="00C17088" w:rsidP="00C17088">
      <w:pPr>
        <w:pStyle w:val="SingleTxt"/>
      </w:pPr>
      <w:r>
        <w:tab/>
        <w:t>b)</w:t>
      </w:r>
      <w:r>
        <w:tab/>
      </w:r>
      <w:r>
        <w:rPr>
          <w:b/>
        </w:rPr>
        <w:t>разработать конфиденциальную и безопасную систему подачи жалоб в связи с дискриминацией по признаку пола или гендерной пр</w:t>
      </w:r>
      <w:r>
        <w:rPr>
          <w:b/>
        </w:rPr>
        <w:t>и</w:t>
      </w:r>
      <w:r>
        <w:rPr>
          <w:b/>
        </w:rPr>
        <w:t>надлежности в сфере занятости; обеспечить, чтобы жертвы имели эффе</w:t>
      </w:r>
      <w:r>
        <w:rPr>
          <w:b/>
        </w:rPr>
        <w:t>к</w:t>
      </w:r>
      <w:r>
        <w:rPr>
          <w:b/>
        </w:rPr>
        <w:t>тивный доступ к таким средствам правовой защиты; и налагать своевр</w:t>
      </w:r>
      <w:r>
        <w:rPr>
          <w:b/>
        </w:rPr>
        <w:t>е</w:t>
      </w:r>
      <w:r>
        <w:rPr>
          <w:b/>
        </w:rPr>
        <w:t>менные и соразмерные санкции на работодателей, прибегающих к ди</w:t>
      </w:r>
      <w:r>
        <w:rPr>
          <w:b/>
        </w:rPr>
        <w:t>с</w:t>
      </w:r>
      <w:r>
        <w:rPr>
          <w:b/>
        </w:rPr>
        <w:t>криминационной практике;</w:t>
      </w:r>
      <w:r>
        <w:t xml:space="preserve"> </w:t>
      </w:r>
    </w:p>
    <w:p w:rsidR="00C17088" w:rsidRDefault="00C17088" w:rsidP="00C17088">
      <w:pPr>
        <w:pStyle w:val="SingleTxt"/>
      </w:pPr>
      <w:r>
        <w:tab/>
        <w:t>c)</w:t>
      </w:r>
      <w:r>
        <w:tab/>
      </w:r>
      <w:r>
        <w:rPr>
          <w:b/>
        </w:rPr>
        <w:t>поощрять равное распределение домашних и семейных обяза</w:t>
      </w:r>
      <w:r>
        <w:rPr>
          <w:b/>
        </w:rPr>
        <w:t>н</w:t>
      </w:r>
      <w:r>
        <w:rPr>
          <w:b/>
        </w:rPr>
        <w:t>ностей между мужчинами и женщинами, увеличить число надлежащих и доступных учреждений по уходу за детьми, ввести не подлежащий перед</w:t>
      </w:r>
      <w:r>
        <w:rPr>
          <w:b/>
        </w:rPr>
        <w:t>а</w:t>
      </w:r>
      <w:r>
        <w:rPr>
          <w:b/>
        </w:rPr>
        <w:t>че оплачиваемый родительский отпуск и представить в своем следующем периодическом докладе статистическую информацию о числе отцов, кот</w:t>
      </w:r>
      <w:r>
        <w:rPr>
          <w:b/>
        </w:rPr>
        <w:t>о</w:t>
      </w:r>
      <w:r>
        <w:rPr>
          <w:b/>
        </w:rPr>
        <w:t>рые взяли отпуск по уходу за ребенком.</w:t>
      </w:r>
    </w:p>
    <w:p w:rsidR="00C17088" w:rsidRDefault="00C17088" w:rsidP="00C17088">
      <w:pPr>
        <w:pStyle w:val="SingleTxt"/>
        <w:spacing w:after="0" w:line="120" w:lineRule="exact"/>
        <w:rPr>
          <w:sz w:val="10"/>
        </w:rPr>
      </w:pPr>
    </w:p>
    <w:p w:rsidR="00C17088" w:rsidRDefault="00C17088" w:rsidP="00C1708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Охрана здоровья</w:t>
      </w:r>
    </w:p>
    <w:p w:rsidR="00C17088" w:rsidRDefault="00C17088" w:rsidP="00C17088">
      <w:pPr>
        <w:pStyle w:val="SingleTxt"/>
        <w:keepNext/>
        <w:keepLines/>
        <w:spacing w:after="0" w:line="120" w:lineRule="exact"/>
        <w:rPr>
          <w:sz w:val="10"/>
        </w:rPr>
      </w:pPr>
    </w:p>
    <w:p w:rsidR="00C17088" w:rsidRDefault="00C17088" w:rsidP="00C17088">
      <w:pPr>
        <w:pStyle w:val="SingleTxt"/>
      </w:pPr>
      <w:r>
        <w:t>34.</w:t>
      </w:r>
      <w:r>
        <w:tab/>
        <w:t>Комитет с обеспокоенностью отмечает следующее:</w:t>
      </w:r>
    </w:p>
    <w:p w:rsidR="00C17088" w:rsidRDefault="00C17088" w:rsidP="00C17088">
      <w:pPr>
        <w:pStyle w:val="SingleTxt"/>
      </w:pPr>
      <w:r>
        <w:tab/>
        <w:t>a)</w:t>
      </w:r>
      <w:r>
        <w:tab/>
        <w:t xml:space="preserve">услуги в родильных домах являются  неадекватными с точки зрения санитарно-гигиенических условий, доступа к обезболивающим средствам, уважения частной жизни и надлежащего участия в принятии решений; </w:t>
      </w:r>
    </w:p>
    <w:p w:rsidR="00C17088" w:rsidRDefault="00C17088" w:rsidP="00C17088">
      <w:pPr>
        <w:pStyle w:val="SingleTxt"/>
      </w:pPr>
      <w:r>
        <w:tab/>
        <w:t>b)</w:t>
      </w:r>
      <w:r>
        <w:tab/>
        <w:t>женщины, не имеющие при себе документов, удостоверяющих ли</w:t>
      </w:r>
      <w:r>
        <w:t>ч</w:t>
      </w:r>
      <w:r>
        <w:t>ность, главным образом из числа рома, ашкали и египтян, а также женщины и девочки из числа беженцев и просителей убежища имеют доступ только к эк</w:t>
      </w:r>
      <w:r>
        <w:t>с</w:t>
      </w:r>
      <w:r>
        <w:t xml:space="preserve">тренной медицинской помощи; </w:t>
      </w:r>
    </w:p>
    <w:p w:rsidR="00C17088" w:rsidRDefault="00C17088" w:rsidP="00C17088">
      <w:pPr>
        <w:pStyle w:val="SingleTxt"/>
      </w:pPr>
      <w:r>
        <w:tab/>
        <w:t>c)</w:t>
      </w:r>
      <w:r>
        <w:tab/>
        <w:t>современные средства контрацепции мало используются, и уровень осведомленности о заболеваниях, передаваемых половым путем, таких как ВИЧ, является очень низким, в частности среди женщин и девочек в общинах рома, ашкали и египтян.</w:t>
      </w:r>
    </w:p>
    <w:p w:rsidR="00C17088" w:rsidRDefault="00C17088" w:rsidP="00C17088">
      <w:pPr>
        <w:pStyle w:val="SingleTxt"/>
      </w:pPr>
      <w:r>
        <w:t>35.</w:t>
      </w:r>
      <w:r>
        <w:tab/>
      </w:r>
      <w:r>
        <w:rPr>
          <w:b/>
        </w:rPr>
        <w:t>Комитет рекомендует государству-участнику:</w:t>
      </w:r>
    </w:p>
    <w:p w:rsidR="00C17088" w:rsidRDefault="00C17088" w:rsidP="00C17088">
      <w:pPr>
        <w:pStyle w:val="SingleTxt"/>
      </w:pPr>
      <w:r>
        <w:tab/>
        <w:t>a)</w:t>
      </w:r>
      <w:r>
        <w:tab/>
      </w:r>
      <w:r w:rsidRPr="00C17088">
        <w:rPr>
          <w:b/>
        </w:rPr>
        <w:t>принять меры по значительному улучшению санитарно-гигиенических условий, доступа к обезболивающим средствам, обеспеч</w:t>
      </w:r>
      <w:r w:rsidRPr="00C17088">
        <w:rPr>
          <w:b/>
        </w:rPr>
        <w:t>е</w:t>
      </w:r>
      <w:r w:rsidRPr="00C17088">
        <w:rPr>
          <w:b/>
        </w:rPr>
        <w:t>нию уважения частной жизни и надлежащего участия пациентов в прин</w:t>
      </w:r>
      <w:r w:rsidRPr="00C17088">
        <w:rPr>
          <w:b/>
        </w:rPr>
        <w:t>я</w:t>
      </w:r>
      <w:r w:rsidRPr="00C17088">
        <w:rPr>
          <w:b/>
        </w:rPr>
        <w:t>тии реш</w:t>
      </w:r>
      <w:r w:rsidRPr="00C17088">
        <w:rPr>
          <w:b/>
        </w:rPr>
        <w:t>е</w:t>
      </w:r>
      <w:r w:rsidRPr="00C17088">
        <w:rPr>
          <w:b/>
        </w:rPr>
        <w:t>ний в родильных домах и осуществлять регулярный контроль за их осущест</w:t>
      </w:r>
      <w:r w:rsidRPr="00C17088">
        <w:rPr>
          <w:b/>
        </w:rPr>
        <w:t>в</w:t>
      </w:r>
      <w:r w:rsidRPr="00C17088">
        <w:rPr>
          <w:b/>
        </w:rPr>
        <w:t>лением;</w:t>
      </w:r>
    </w:p>
    <w:p w:rsidR="00C17088" w:rsidRDefault="00C17088" w:rsidP="00C17088">
      <w:pPr>
        <w:pStyle w:val="SingleTxt"/>
      </w:pPr>
      <w:r>
        <w:tab/>
        <w:t>b)</w:t>
      </w:r>
      <w:r>
        <w:tab/>
      </w:r>
      <w:r w:rsidRPr="00C17088">
        <w:rPr>
          <w:b/>
        </w:rPr>
        <w:t>обеспечить доступ женщин к первичной медико-санитарной п</w:t>
      </w:r>
      <w:r w:rsidRPr="00C17088">
        <w:rPr>
          <w:b/>
        </w:rPr>
        <w:t>о</w:t>
      </w:r>
      <w:r w:rsidRPr="00C17088">
        <w:rPr>
          <w:b/>
        </w:rPr>
        <w:t>мощи независимо от наличия у них документов, удостоверяющих ли</w:t>
      </w:r>
      <w:r w:rsidRPr="00C17088">
        <w:rPr>
          <w:b/>
        </w:rPr>
        <w:t>ч</w:t>
      </w:r>
      <w:r w:rsidRPr="00C17088">
        <w:rPr>
          <w:b/>
        </w:rPr>
        <w:t>ность;</w:t>
      </w:r>
      <w:r>
        <w:t xml:space="preserve"> </w:t>
      </w:r>
    </w:p>
    <w:p w:rsidR="00C17088" w:rsidRDefault="00C17088" w:rsidP="00C17088">
      <w:pPr>
        <w:pStyle w:val="SingleTxt"/>
        <w:rPr>
          <w:b/>
        </w:rPr>
      </w:pPr>
      <w:r>
        <w:tab/>
        <w:t>c)</w:t>
      </w:r>
      <w:r>
        <w:tab/>
      </w:r>
      <w:r>
        <w:rPr>
          <w:b/>
        </w:rPr>
        <w:t>обеспечить наличие современных средств контрацепции для всех женщин и девочек, при необходимости бесплатно, и повышать осв</w:t>
      </w:r>
      <w:r>
        <w:rPr>
          <w:b/>
        </w:rPr>
        <w:t>е</w:t>
      </w:r>
      <w:r>
        <w:rPr>
          <w:b/>
        </w:rPr>
        <w:t>домленность о предупреждении нежелательной беременности и заболев</w:t>
      </w:r>
      <w:r>
        <w:rPr>
          <w:b/>
        </w:rPr>
        <w:t>а</w:t>
      </w:r>
      <w:r>
        <w:rPr>
          <w:b/>
        </w:rPr>
        <w:t>ниях, передаваемых половым путем, таких как ВИЧ, в том числе среди женщин и девочек из числа рома, ашкали и египтян.</w:t>
      </w:r>
    </w:p>
    <w:p w:rsidR="00C17088" w:rsidRDefault="00C17088" w:rsidP="00C17088">
      <w:pPr>
        <w:pStyle w:val="SingleTxt"/>
        <w:spacing w:after="0" w:line="120" w:lineRule="exact"/>
        <w:rPr>
          <w:sz w:val="10"/>
        </w:rPr>
      </w:pPr>
    </w:p>
    <w:p w:rsidR="00C17088" w:rsidRDefault="00C17088" w:rsidP="00C1708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Экономические и социальные льготы</w:t>
      </w:r>
    </w:p>
    <w:p w:rsidR="00C17088" w:rsidRDefault="00C17088" w:rsidP="00C17088">
      <w:pPr>
        <w:pStyle w:val="SingleTxt"/>
        <w:spacing w:after="0" w:line="120" w:lineRule="exact"/>
        <w:rPr>
          <w:sz w:val="10"/>
        </w:rPr>
      </w:pPr>
    </w:p>
    <w:p w:rsidR="00C17088" w:rsidRDefault="00C17088" w:rsidP="00C17088">
      <w:pPr>
        <w:pStyle w:val="SingleTxt"/>
      </w:pPr>
      <w:r>
        <w:t>36.</w:t>
      </w:r>
      <w:r>
        <w:tab/>
        <w:t>Комитет выражает обеспокоенность по поводу экономических после</w:t>
      </w:r>
      <w:r>
        <w:t>д</w:t>
      </w:r>
      <w:r>
        <w:t>ствий для женщин, которые решили сделать выбор в пользу получения пос</w:t>
      </w:r>
      <w:r>
        <w:t>о</w:t>
      </w:r>
      <w:r>
        <w:t>бий, введенных на основании поправок к Закону о социальной защите и защ</w:t>
      </w:r>
      <w:r>
        <w:t>и</w:t>
      </w:r>
      <w:r>
        <w:t>те детей в 2015 году и впоследствии объявленных неконституционными и не имеющими юридической силы; эта проблема также признается государством-участником. Комитет с обеспокоенностью отмечает, что эти поправки были приняты без проведения каких-либо предварительных оценок гендерных п</w:t>
      </w:r>
      <w:r>
        <w:t>о</w:t>
      </w:r>
      <w:r>
        <w:t>следствий и способствовали закреплению традиционной роли женщин в кач</w:t>
      </w:r>
      <w:r>
        <w:t>е</w:t>
      </w:r>
      <w:r>
        <w:t>стве домохозяек и матерей, поскольку создали для них стимул к выходу из официального рынка труда, так как, согласно этому закону,  матерям, имеющим трех и более детей, были обещаны пожизненные пособия. Комитет выражает особую обеспокоенность в связи с тем, что после аннулирования этого закона женщины, которые сделали выбор в пользу получения таких пособий, будут получать их лишь в течение весьма ограниченного периода времени и стол</w:t>
      </w:r>
      <w:r>
        <w:t>к</w:t>
      </w:r>
      <w:r>
        <w:t xml:space="preserve">нутся с безработицей и повышенным риском нищеты. </w:t>
      </w:r>
    </w:p>
    <w:p w:rsidR="00C17088" w:rsidRDefault="00C17088" w:rsidP="00C17088">
      <w:pPr>
        <w:pStyle w:val="SingleTxt"/>
      </w:pPr>
      <w:r>
        <w:t>37.</w:t>
      </w:r>
      <w:r>
        <w:tab/>
      </w:r>
      <w:r>
        <w:rPr>
          <w:b/>
        </w:rPr>
        <w:t>Комитет рекомендует государству-участнику создать фонд в поддер</w:t>
      </w:r>
      <w:r>
        <w:rPr>
          <w:b/>
        </w:rPr>
        <w:t>ж</w:t>
      </w:r>
      <w:r>
        <w:rPr>
          <w:b/>
        </w:rPr>
        <w:t>ку всех женщин, которые отказались от работы в формальном секторе в пользу получения пособий согласно аннулированной в 2015 году поправке к Закону о социальной защите и защите детей и сталкиваются с трудн</w:t>
      </w:r>
      <w:r>
        <w:rPr>
          <w:b/>
        </w:rPr>
        <w:t>о</w:t>
      </w:r>
      <w:r>
        <w:rPr>
          <w:b/>
        </w:rPr>
        <w:t>стями при возвращении на рынок труда.</w:t>
      </w:r>
    </w:p>
    <w:p w:rsidR="00C17088" w:rsidRDefault="00C17088" w:rsidP="00C17088">
      <w:pPr>
        <w:pStyle w:val="SingleTxt"/>
        <w:spacing w:after="0" w:line="120" w:lineRule="exact"/>
        <w:rPr>
          <w:sz w:val="10"/>
        </w:rPr>
      </w:pPr>
    </w:p>
    <w:p w:rsidR="00C17088" w:rsidRDefault="00C17088" w:rsidP="00C1708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Сельские женщины</w:t>
      </w:r>
    </w:p>
    <w:p w:rsidR="00C17088" w:rsidRDefault="00C17088" w:rsidP="00C17088">
      <w:pPr>
        <w:pStyle w:val="SingleTxt"/>
        <w:spacing w:after="0" w:line="120" w:lineRule="exact"/>
        <w:rPr>
          <w:sz w:val="10"/>
        </w:rPr>
      </w:pPr>
    </w:p>
    <w:p w:rsidR="00C17088" w:rsidRDefault="00C17088" w:rsidP="00C17088">
      <w:pPr>
        <w:pStyle w:val="SingleTxt"/>
      </w:pPr>
      <w:r>
        <w:t>38.</w:t>
      </w:r>
      <w:r>
        <w:tab/>
        <w:t>Комитет с обеспокоенностью отмечает, что женщины, проживающие в сельских районах, многие из которых являются пожилыми, несут непропорц</w:t>
      </w:r>
      <w:r>
        <w:t>и</w:t>
      </w:r>
      <w:r>
        <w:t>онально тяжелое бремя неоплачиваемого и нелегкого физического  труда в сложных условиях, например, в условиях ограниченного доступа к водопров</w:t>
      </w:r>
      <w:r>
        <w:t>о</w:t>
      </w:r>
      <w:r>
        <w:t>ду и/или электроэнергии и учреждениям по уходу за детьми, и что сельские женщины:</w:t>
      </w:r>
    </w:p>
    <w:p w:rsidR="00C17088" w:rsidRDefault="00C17088" w:rsidP="00C17088">
      <w:pPr>
        <w:pStyle w:val="SingleTxt"/>
      </w:pPr>
      <w:r>
        <w:tab/>
        <w:t>a)</w:t>
      </w:r>
      <w:r>
        <w:tab/>
        <w:t>особо подвержены гендерному насилию и имеют лишь ограниче</w:t>
      </w:r>
      <w:r>
        <w:t>н</w:t>
      </w:r>
      <w:r>
        <w:t xml:space="preserve">ный доступ к правосудию, услугам по оказанию помощи жертвам и их защите, медицинскому обслуживанию, социальному обеспечению и другим основным услугам; </w:t>
      </w:r>
    </w:p>
    <w:p w:rsidR="00C17088" w:rsidRDefault="00C17088" w:rsidP="00C17088">
      <w:pPr>
        <w:pStyle w:val="SingleTxt"/>
      </w:pPr>
      <w:r>
        <w:tab/>
        <w:t>b)</w:t>
      </w:r>
      <w:r>
        <w:tab/>
        <w:t>часто исключаются из политической и общественной жизни, в час</w:t>
      </w:r>
      <w:r>
        <w:t>т</w:t>
      </w:r>
      <w:r>
        <w:t>ности, из процесса принятия решений по вопросам развития сельских районов.</w:t>
      </w:r>
    </w:p>
    <w:p w:rsidR="00C17088" w:rsidRDefault="00C17088" w:rsidP="00C17088">
      <w:pPr>
        <w:pStyle w:val="SingleTxt"/>
      </w:pPr>
      <w:r>
        <w:t>39.</w:t>
      </w:r>
      <w:r>
        <w:tab/>
      </w:r>
      <w:r>
        <w:rPr>
          <w:b/>
        </w:rPr>
        <w:t>Комитет обращает внимание государства-участника на свою общую рекомендацию № 34 (2016), касающуюся прав женщин, проживающих в сельской местности. Он рекомендует государству-участнику:</w:t>
      </w:r>
    </w:p>
    <w:p w:rsidR="00C17088" w:rsidRDefault="00C17088" w:rsidP="00C17088">
      <w:pPr>
        <w:pStyle w:val="SingleTxt"/>
      </w:pPr>
      <w:r>
        <w:tab/>
        <w:t>a)</w:t>
      </w:r>
      <w:r>
        <w:tab/>
      </w:r>
      <w:r>
        <w:rPr>
          <w:b/>
        </w:rPr>
        <w:t>обеспечить доступ сельских женщин, занимающихся неоплач</w:t>
      </w:r>
      <w:r>
        <w:rPr>
          <w:b/>
        </w:rPr>
        <w:t>и</w:t>
      </w:r>
      <w:r>
        <w:rPr>
          <w:b/>
        </w:rPr>
        <w:t>ваемой работой или работой в неформальном секторе, к ненакопительной системе социальной защиты в соответствии с его общей рекомендацией №</w:t>
      </w:r>
      <w:r>
        <w:rPr>
          <w:b/>
          <w:lang w:val="en-US"/>
        </w:rPr>
        <w:t> </w:t>
      </w:r>
      <w:r>
        <w:rPr>
          <w:b/>
        </w:rPr>
        <w:t>16 (1991 год) о женщинах, безвозмездно работающих на городских и сельских семейных предприятиях;</w:t>
      </w:r>
    </w:p>
    <w:p w:rsidR="00C17088" w:rsidRDefault="00C17088" w:rsidP="00C17088">
      <w:pPr>
        <w:pStyle w:val="SingleTxt"/>
      </w:pPr>
      <w:r>
        <w:tab/>
        <w:t>b)</w:t>
      </w:r>
      <w:r>
        <w:tab/>
      </w:r>
      <w:r>
        <w:rPr>
          <w:b/>
        </w:rPr>
        <w:t>внедрить систему выездных судов для облегчения доступа к пр</w:t>
      </w:r>
      <w:r>
        <w:rPr>
          <w:b/>
        </w:rPr>
        <w:t>а</w:t>
      </w:r>
      <w:r>
        <w:rPr>
          <w:b/>
        </w:rPr>
        <w:t>восудию для женщин, проживающих в сельских и отдаленных районах, и обеспечить их доступ к средствам защиты от насилия по признаку пола, в том числе достаточное количество приютов, а также доступ к услугам по оказанию помощи жертвам, их реабилитации и возмещению им ущерба;</w:t>
      </w:r>
    </w:p>
    <w:p w:rsidR="00C17088" w:rsidRDefault="00C17088" w:rsidP="00C17088">
      <w:pPr>
        <w:pStyle w:val="SingleTxt"/>
      </w:pPr>
      <w:r>
        <w:tab/>
        <w:t>c)</w:t>
      </w:r>
      <w:r>
        <w:tab/>
      </w:r>
      <w:r>
        <w:rPr>
          <w:b/>
        </w:rPr>
        <w:t>установить минимальный уровень социальной защиты с учетом гендерного фактора в целях обеспечения того, чтобы все женщины, пр</w:t>
      </w:r>
      <w:r>
        <w:rPr>
          <w:b/>
        </w:rPr>
        <w:t>о</w:t>
      </w:r>
      <w:r>
        <w:rPr>
          <w:b/>
        </w:rPr>
        <w:t>живающие в сельской местности, имели доступ к основным услугам здр</w:t>
      </w:r>
      <w:r>
        <w:rPr>
          <w:b/>
        </w:rPr>
        <w:t>а</w:t>
      </w:r>
      <w:r>
        <w:rPr>
          <w:b/>
        </w:rPr>
        <w:t>воохранения, учреждениям по уходу за детьми и гарантированному дох</w:t>
      </w:r>
      <w:r>
        <w:rPr>
          <w:b/>
        </w:rPr>
        <w:t>о</w:t>
      </w:r>
      <w:r>
        <w:rPr>
          <w:b/>
        </w:rPr>
        <w:t>ду; использовать передвижные медицинские пункты и повысить эффе</w:t>
      </w:r>
      <w:r>
        <w:rPr>
          <w:b/>
        </w:rPr>
        <w:t>к</w:t>
      </w:r>
      <w:r>
        <w:rPr>
          <w:b/>
        </w:rPr>
        <w:t>тивность услуг общественного транспорта в отдаленных сельских рай</w:t>
      </w:r>
      <w:r>
        <w:rPr>
          <w:b/>
        </w:rPr>
        <w:t>о</w:t>
      </w:r>
      <w:r>
        <w:rPr>
          <w:b/>
        </w:rPr>
        <w:t>нах;</w:t>
      </w:r>
      <w:r>
        <w:t xml:space="preserve"> </w:t>
      </w:r>
    </w:p>
    <w:p w:rsidR="00C17088" w:rsidRDefault="00C17088" w:rsidP="00C17088">
      <w:pPr>
        <w:pStyle w:val="SingleTxt"/>
      </w:pPr>
      <w:r>
        <w:tab/>
        <w:t>d)</w:t>
      </w:r>
      <w:r>
        <w:tab/>
      </w:r>
      <w:r>
        <w:rPr>
          <w:b/>
        </w:rPr>
        <w:t>обеспечить свободное, эффективное и осознанное участие сел</w:t>
      </w:r>
      <w:r>
        <w:rPr>
          <w:b/>
        </w:rPr>
        <w:t>ь</w:t>
      </w:r>
      <w:r>
        <w:rPr>
          <w:b/>
        </w:rPr>
        <w:t>ских женщин в политической и общественной жизни и на всех уровнях принятия решений, в том числе в отношении развития сельских районов, в русле его общей рекомендации № 23 (1997 год), касающейся участия женщин в политической и общественной жизни, и общей рекомендации №</w:t>
      </w:r>
      <w:r>
        <w:rPr>
          <w:b/>
          <w:lang w:val="en-US"/>
        </w:rPr>
        <w:t> </w:t>
      </w:r>
      <w:r>
        <w:rPr>
          <w:b/>
        </w:rPr>
        <w:t>25.</w:t>
      </w:r>
    </w:p>
    <w:p w:rsidR="00C17088" w:rsidRDefault="00C17088" w:rsidP="00C17088">
      <w:pPr>
        <w:pStyle w:val="SingleTxt"/>
        <w:spacing w:after="0" w:line="120" w:lineRule="exact"/>
        <w:rPr>
          <w:sz w:val="10"/>
        </w:rPr>
      </w:pPr>
    </w:p>
    <w:p w:rsidR="00C17088" w:rsidRDefault="00C17088" w:rsidP="00C1708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Женщины-инвалиды</w:t>
      </w:r>
    </w:p>
    <w:p w:rsidR="00C17088" w:rsidRDefault="00C17088" w:rsidP="00C17088">
      <w:pPr>
        <w:pStyle w:val="SingleTxt"/>
        <w:spacing w:after="0" w:line="120" w:lineRule="exact"/>
        <w:rPr>
          <w:sz w:val="10"/>
        </w:rPr>
      </w:pPr>
    </w:p>
    <w:p w:rsidR="00C17088" w:rsidRDefault="00C17088" w:rsidP="00C17088">
      <w:pPr>
        <w:pStyle w:val="SingleTxt"/>
      </w:pPr>
      <w:r>
        <w:t>40.</w:t>
      </w:r>
      <w:r>
        <w:tab/>
        <w:t>Комитет обеспокоен тем, что женщины-инвалиды сталкиваются с выс</w:t>
      </w:r>
      <w:r>
        <w:t>о</w:t>
      </w:r>
      <w:r>
        <w:t>ким уровнем дискриминации в государстве-участнике. В частности он с обе</w:t>
      </w:r>
      <w:r>
        <w:t>с</w:t>
      </w:r>
      <w:r>
        <w:t xml:space="preserve">покоенностью отмечает: </w:t>
      </w:r>
    </w:p>
    <w:p w:rsidR="00C17088" w:rsidRDefault="00C17088" w:rsidP="00C17088">
      <w:pPr>
        <w:pStyle w:val="SingleTxt"/>
      </w:pPr>
      <w:r>
        <w:tab/>
        <w:t>a)</w:t>
      </w:r>
      <w:r>
        <w:tab/>
        <w:t>недостаточный учет особых потребностей женщин-инвалидов и д</w:t>
      </w:r>
      <w:r>
        <w:t>е</w:t>
      </w:r>
      <w:r>
        <w:t>вочек-инвалидов в законах и стратегиях, направленных на поощрение генде</w:t>
      </w:r>
      <w:r>
        <w:t>р</w:t>
      </w:r>
      <w:r>
        <w:t xml:space="preserve">ного равенства, а также в законах и стратегиях в интересах инвалидов, как, например, в стратегии по интеграции инвалидов на 2016-2020 годы; </w:t>
      </w:r>
    </w:p>
    <w:p w:rsidR="00C17088" w:rsidRDefault="00C17088" w:rsidP="00C17088">
      <w:pPr>
        <w:pStyle w:val="SingleTxt"/>
      </w:pPr>
      <w:r>
        <w:tab/>
        <w:t>b)</w:t>
      </w:r>
      <w:r>
        <w:tab/>
        <w:t xml:space="preserve">тот факт, что женщины-инвалиды часто лишены доступа к услугам  в области сексуального и репродуктивного здоровья и соответствующих прав и возможности выполнять родительские обязанности; кроме того, у них могут забрать детей; </w:t>
      </w:r>
    </w:p>
    <w:p w:rsidR="00C17088" w:rsidRDefault="00C17088" w:rsidP="00C17088">
      <w:pPr>
        <w:pStyle w:val="SingleTxt"/>
      </w:pPr>
      <w:r>
        <w:tab/>
        <w:t>c)</w:t>
      </w:r>
      <w:r>
        <w:tab/>
        <w:t>непропорционально высокий риск нищеты среди женщин-инвалидов из-за весьма низкого уровня занятости, поскольку их доходы и/или пособия, которые они получают, зачастую частично или полностью используются их семьями.</w:t>
      </w:r>
    </w:p>
    <w:p w:rsidR="00C17088" w:rsidRDefault="00C17088" w:rsidP="00C17088">
      <w:pPr>
        <w:pStyle w:val="SingleTxt"/>
      </w:pPr>
      <w:r>
        <w:t>41.</w:t>
      </w:r>
      <w:r>
        <w:tab/>
      </w:r>
      <w:r>
        <w:rPr>
          <w:b/>
        </w:rPr>
        <w:t>Комитет рекомендует государству-участнику:</w:t>
      </w:r>
    </w:p>
    <w:p w:rsidR="00C17088" w:rsidRDefault="00C17088" w:rsidP="00C17088">
      <w:pPr>
        <w:pStyle w:val="SingleTxt"/>
      </w:pPr>
      <w:r>
        <w:tab/>
        <w:t>a)</w:t>
      </w:r>
      <w:r>
        <w:tab/>
      </w:r>
      <w:r>
        <w:rPr>
          <w:b/>
        </w:rPr>
        <w:t>обеспечить, чтобы при разработке и осуществлении законов и стратегий, направленных на поощрение гендерного равенства и равенства для инвалидов, систематически принимались во внимание особые п</w:t>
      </w:r>
      <w:r>
        <w:rPr>
          <w:b/>
        </w:rPr>
        <w:t>о</w:t>
      </w:r>
      <w:r>
        <w:rPr>
          <w:b/>
        </w:rPr>
        <w:t>требности женщин-инвалидов и девочек-инвалидов, например, путем пр</w:t>
      </w:r>
      <w:r>
        <w:rPr>
          <w:b/>
        </w:rPr>
        <w:t>о</w:t>
      </w:r>
      <w:r>
        <w:rPr>
          <w:b/>
        </w:rPr>
        <w:t>ведения оценок воздействия;</w:t>
      </w:r>
    </w:p>
    <w:p w:rsidR="00C17088" w:rsidRDefault="00C17088" w:rsidP="00C17088">
      <w:pPr>
        <w:pStyle w:val="SingleTxt"/>
      </w:pPr>
      <w:r>
        <w:tab/>
        <w:t>b)</w:t>
      </w:r>
      <w:r>
        <w:tab/>
      </w:r>
      <w:r>
        <w:rPr>
          <w:b/>
        </w:rPr>
        <w:t>в соответствии с Программой действий Международной конф</w:t>
      </w:r>
      <w:r>
        <w:rPr>
          <w:b/>
        </w:rPr>
        <w:t>е</w:t>
      </w:r>
      <w:r>
        <w:rPr>
          <w:b/>
        </w:rPr>
        <w:t>ренции по народонаселению и развитию, Пекинской декларацией и Пла</w:t>
      </w:r>
      <w:r>
        <w:rPr>
          <w:b/>
        </w:rPr>
        <w:t>т</w:t>
      </w:r>
      <w:r>
        <w:rPr>
          <w:b/>
        </w:rPr>
        <w:t>формой действий, а также их итоговыми документами, обеспечить право женщин-инвалидов решать вопрос о числе детей и промежутках между их рождениями, а также право контролировать и свободно и ответственно решать вопросы, касающиеся их половой жизни, включая  сексуальное и репродуктивное здоровье, без принуждения, дискриминации и насилия;</w:t>
      </w:r>
      <w:r>
        <w:t xml:space="preserve"> </w:t>
      </w:r>
    </w:p>
    <w:p w:rsidR="00C17088" w:rsidRDefault="00C17088" w:rsidP="00C17088">
      <w:pPr>
        <w:pStyle w:val="SingleTxt"/>
      </w:pPr>
      <w:r>
        <w:tab/>
        <w:t>c)</w:t>
      </w:r>
      <w:r>
        <w:tab/>
      </w:r>
      <w:r>
        <w:rPr>
          <w:b/>
        </w:rPr>
        <w:t>обеспечить, чтобы детей не отбирали у их матери на основании инвалидности последней, и чтобы, в случае необходимости, на уровне о</w:t>
      </w:r>
      <w:r>
        <w:rPr>
          <w:b/>
        </w:rPr>
        <w:t>б</w:t>
      </w:r>
      <w:r>
        <w:rPr>
          <w:b/>
        </w:rPr>
        <w:t>щин предоставлялись услуги для оказания помощи матери в воспитании детей;</w:t>
      </w:r>
      <w:r>
        <w:t xml:space="preserve"> </w:t>
      </w:r>
    </w:p>
    <w:p w:rsidR="00C17088" w:rsidRDefault="00C17088" w:rsidP="00C17088">
      <w:pPr>
        <w:pStyle w:val="SingleTxt"/>
      </w:pPr>
      <w:r>
        <w:tab/>
        <w:t>d)</w:t>
      </w:r>
      <w:r>
        <w:tab/>
      </w:r>
      <w:r>
        <w:rPr>
          <w:b/>
        </w:rPr>
        <w:t>повышать информированность о важности экономической сам</w:t>
      </w:r>
      <w:r>
        <w:rPr>
          <w:b/>
        </w:rPr>
        <w:t>о</w:t>
      </w:r>
      <w:r>
        <w:rPr>
          <w:b/>
        </w:rPr>
        <w:t>стоятельности женщин-инвалидов; установить надлежащие процедуры, позволяющие женщинам-инвалидам потребовать свои заработанные сре</w:t>
      </w:r>
      <w:r>
        <w:rPr>
          <w:b/>
        </w:rPr>
        <w:t>д</w:t>
      </w:r>
      <w:r>
        <w:rPr>
          <w:b/>
        </w:rPr>
        <w:t>ства и/или пособия в том случае, если они были отобраны у них членами семьи; и обеспечить, чтобы пособия переводились непосредственно же</w:t>
      </w:r>
      <w:r>
        <w:rPr>
          <w:b/>
        </w:rPr>
        <w:t>н</w:t>
      </w:r>
      <w:r>
        <w:rPr>
          <w:b/>
        </w:rPr>
        <w:t>щинам-инвалидам, а не членам их семей.</w:t>
      </w:r>
      <w:r>
        <w:t xml:space="preserve"> </w:t>
      </w:r>
    </w:p>
    <w:p w:rsidR="00C17088" w:rsidRDefault="00C17088" w:rsidP="00C17088">
      <w:pPr>
        <w:pStyle w:val="SingleTxt"/>
        <w:spacing w:after="0" w:line="120" w:lineRule="exact"/>
        <w:rPr>
          <w:sz w:val="10"/>
        </w:rPr>
      </w:pPr>
    </w:p>
    <w:p w:rsidR="00C17088" w:rsidRDefault="00C17088" w:rsidP="00C1708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Женщины из числа рома, ашкали и египтян</w:t>
      </w:r>
    </w:p>
    <w:p w:rsidR="00C17088" w:rsidRDefault="00C17088" w:rsidP="00C17088">
      <w:pPr>
        <w:pStyle w:val="SingleTxt"/>
        <w:spacing w:after="0" w:line="120" w:lineRule="exact"/>
        <w:rPr>
          <w:sz w:val="10"/>
        </w:rPr>
      </w:pPr>
    </w:p>
    <w:p w:rsidR="00C17088" w:rsidRDefault="00C17088" w:rsidP="00C17088">
      <w:pPr>
        <w:pStyle w:val="SingleTxt"/>
      </w:pPr>
      <w:r>
        <w:t>42.</w:t>
      </w:r>
      <w:r>
        <w:tab/>
        <w:t>Комитет принимает к сведению меры, принятые государством-участником по улучшению положения женщин и девочек из числа рома, ашкали и египтян, которые часто подвергаются перекрестным формам дискриминации и страдают от чрезвычайно высокого уровня нищеты. В этой связи он также с обеспокое</w:t>
      </w:r>
      <w:r>
        <w:t>н</w:t>
      </w:r>
      <w:r>
        <w:t>ностью отмечает особенно тяжелое положение женщин и девочек из числа р</w:t>
      </w:r>
      <w:r>
        <w:t>о</w:t>
      </w:r>
      <w:r>
        <w:t>ма, ашкали и египтян, живущих в лагерях беженцев в Конике вблизи Подгор</w:t>
      </w:r>
      <w:r>
        <w:t>и</w:t>
      </w:r>
      <w:r>
        <w:t>цы, где отсутствуют основные услуги и инфраструктура. Комитет выражает обеспокоенность в связи с тем, что меры, принятые государством-участником, по-прежнему являются неадекватными и не получают достаточной политич</w:t>
      </w:r>
      <w:r>
        <w:t>е</w:t>
      </w:r>
      <w:r>
        <w:t>ской поддержки для эффективного устранения дискриминации и маргинализ</w:t>
      </w:r>
      <w:r>
        <w:t>а</w:t>
      </w:r>
      <w:r>
        <w:t xml:space="preserve">ции женщин из числа рома, ашкали и египтян. </w:t>
      </w:r>
    </w:p>
    <w:p w:rsidR="00C17088" w:rsidRDefault="00C17088" w:rsidP="00C17088">
      <w:pPr>
        <w:pStyle w:val="SingleTxt"/>
      </w:pPr>
      <w:r>
        <w:t>43.</w:t>
      </w:r>
      <w:r>
        <w:tab/>
      </w:r>
      <w:r>
        <w:rPr>
          <w:b/>
        </w:rPr>
        <w:t>Комитет рекомендует государству-участнику:</w:t>
      </w:r>
    </w:p>
    <w:p w:rsidR="00C17088" w:rsidRDefault="00C17088" w:rsidP="00C17088">
      <w:pPr>
        <w:pStyle w:val="SingleTxt"/>
      </w:pPr>
      <w:r>
        <w:tab/>
        <w:t>a)</w:t>
      </w:r>
      <w:r>
        <w:tab/>
      </w:r>
      <w:r>
        <w:rPr>
          <w:b/>
        </w:rPr>
        <w:t>принять адресные меры, включая временные специальные м</w:t>
      </w:r>
      <w:r>
        <w:rPr>
          <w:b/>
        </w:rPr>
        <w:t>е</w:t>
      </w:r>
      <w:r>
        <w:rPr>
          <w:b/>
        </w:rPr>
        <w:t>ры, в целях борьбы с перекрестными формами дискриминации в отнош</w:t>
      </w:r>
      <w:r>
        <w:rPr>
          <w:b/>
        </w:rPr>
        <w:t>е</w:t>
      </w:r>
      <w:r>
        <w:rPr>
          <w:b/>
        </w:rPr>
        <w:t>нии женщин и девочек из числа рома, ашкали и египтян, в том числе в сфере образования, занятости и здравоохранения;</w:t>
      </w:r>
    </w:p>
    <w:p w:rsidR="00C17088" w:rsidRDefault="00C17088" w:rsidP="00C17088">
      <w:pPr>
        <w:pStyle w:val="SingleTxt"/>
      </w:pPr>
      <w:r>
        <w:tab/>
        <w:t>b)</w:t>
      </w:r>
      <w:r>
        <w:tab/>
      </w:r>
      <w:r>
        <w:rPr>
          <w:b/>
        </w:rPr>
        <w:t>разработать специальные программы по сокращению масшт</w:t>
      </w:r>
      <w:r>
        <w:rPr>
          <w:b/>
        </w:rPr>
        <w:t>а</w:t>
      </w:r>
      <w:r>
        <w:rPr>
          <w:b/>
        </w:rPr>
        <w:t>бов нищеты и осуществлению социальной интеграции женщин из числа рома, ашкали и египтян;</w:t>
      </w:r>
      <w:r>
        <w:t xml:space="preserve"> </w:t>
      </w:r>
    </w:p>
    <w:p w:rsidR="00C17088" w:rsidRDefault="00C17088" w:rsidP="00C17088">
      <w:pPr>
        <w:pStyle w:val="SingleTxt"/>
        <w:rPr>
          <w:b/>
        </w:rPr>
      </w:pPr>
      <w:r>
        <w:tab/>
        <w:t>c)</w:t>
      </w:r>
      <w:r>
        <w:tab/>
      </w:r>
      <w:r>
        <w:rPr>
          <w:b/>
        </w:rPr>
        <w:t>продолжать</w:t>
      </w:r>
      <w:r>
        <w:t xml:space="preserve"> </w:t>
      </w:r>
      <w:r>
        <w:rPr>
          <w:b/>
        </w:rPr>
        <w:t>прилагать активные усилия в целях улучшения с</w:t>
      </w:r>
      <w:r>
        <w:rPr>
          <w:b/>
        </w:rPr>
        <w:t>и</w:t>
      </w:r>
      <w:r>
        <w:rPr>
          <w:b/>
        </w:rPr>
        <w:t>туации в лагерях беженцев в Конике и принять меры, направленные на интеграцию в общество лиц, проживающих в лагерях.</w:t>
      </w:r>
    </w:p>
    <w:p w:rsidR="00C17088" w:rsidRDefault="00C17088" w:rsidP="00C17088">
      <w:pPr>
        <w:pStyle w:val="SingleTxt"/>
        <w:spacing w:after="0" w:line="120" w:lineRule="exact"/>
        <w:rPr>
          <w:sz w:val="10"/>
        </w:rPr>
      </w:pPr>
    </w:p>
    <w:p w:rsidR="00C17088" w:rsidRDefault="00C17088" w:rsidP="00C1708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Женщины, находящиеся в заключении</w:t>
      </w:r>
    </w:p>
    <w:p w:rsidR="00C17088" w:rsidRDefault="00C17088" w:rsidP="00C17088">
      <w:pPr>
        <w:pStyle w:val="SingleTxt"/>
        <w:spacing w:after="0" w:line="120" w:lineRule="exact"/>
        <w:rPr>
          <w:sz w:val="10"/>
        </w:rPr>
      </w:pPr>
    </w:p>
    <w:p w:rsidR="00C17088" w:rsidRDefault="00C17088" w:rsidP="00C17088">
      <w:pPr>
        <w:pStyle w:val="SingleTxt"/>
      </w:pPr>
      <w:r>
        <w:t>44.</w:t>
      </w:r>
      <w:r>
        <w:tab/>
        <w:t>Комитет с обеспокоенностью отмечает, что в государстве-участнике с</w:t>
      </w:r>
      <w:r>
        <w:t>у</w:t>
      </w:r>
      <w:r>
        <w:t>ществует только одна тюрьма для женщин, где женщины, находящиеся в пре</w:t>
      </w:r>
      <w:r>
        <w:t>д</w:t>
      </w:r>
      <w:r>
        <w:t>варительном заключении, не содержатся отдельно от осужденных женщин, в том числе лиц, отбывающих длительные сроки тюремного заключения за тя</w:t>
      </w:r>
      <w:r>
        <w:t>ж</w:t>
      </w:r>
      <w:r>
        <w:t>кие преступления. Он обеспокоен тем, что необходимость преодолевать бол</w:t>
      </w:r>
      <w:r>
        <w:t>ь</w:t>
      </w:r>
      <w:r>
        <w:t>шие расстояния до тюрьмы лишает многих женщин-заключенных регулярных контактов со своими детьми или другими членами их семей, если они прож</w:t>
      </w:r>
      <w:r>
        <w:t>и</w:t>
      </w:r>
      <w:r>
        <w:t>вают в других частях государства-участника. Кроме того, он с обеспокоенн</w:t>
      </w:r>
      <w:r>
        <w:t>о</w:t>
      </w:r>
      <w:r>
        <w:t>стью отмечает следующее:</w:t>
      </w:r>
    </w:p>
    <w:p w:rsidR="00C17088" w:rsidRDefault="00C17088" w:rsidP="00C17088">
      <w:pPr>
        <w:pStyle w:val="SingleTxt"/>
      </w:pPr>
      <w:r>
        <w:tab/>
        <w:t>a)</w:t>
      </w:r>
      <w:r>
        <w:tab/>
        <w:t xml:space="preserve">сообщения о случаях гендерного насилия, в том числе сексуальных домогательств и/или насилия в отношении женщин-заключенных со стороны мужчин-сотрудников пенитенциарных учреждений; </w:t>
      </w:r>
    </w:p>
    <w:p w:rsidR="00C17088" w:rsidRDefault="00C17088" w:rsidP="00C17088">
      <w:pPr>
        <w:pStyle w:val="SingleTxt"/>
      </w:pPr>
      <w:r>
        <w:tab/>
        <w:t>b)</w:t>
      </w:r>
      <w:r>
        <w:tab/>
        <w:t>ограниченный доступ женщин-заключенных к программам повыш</w:t>
      </w:r>
      <w:r>
        <w:t>е</w:t>
      </w:r>
      <w:r>
        <w:t xml:space="preserve">ния грамотности и образовательным программам, лечению от наркотической зависимости и программам реинтеграции. </w:t>
      </w:r>
    </w:p>
    <w:p w:rsidR="00C17088" w:rsidRDefault="00C17088" w:rsidP="00C17088">
      <w:pPr>
        <w:pStyle w:val="SingleTxt"/>
      </w:pPr>
      <w:r>
        <w:t>45.</w:t>
      </w:r>
      <w:r>
        <w:tab/>
      </w:r>
      <w:r>
        <w:rPr>
          <w:b/>
        </w:rPr>
        <w:t>Комитет рекомендует государству-участнику выделить необходимые ресурсы для осуществления Правил Организации Объединенных Наций, касающихся обращения с женщинами-заключенными и мер наказания для женщин-правонарушителей, не связанных с лишением свободы (Бангкокские правила), и принять следующие меры:</w:t>
      </w:r>
      <w:r>
        <w:t xml:space="preserve"> </w:t>
      </w:r>
    </w:p>
    <w:p w:rsidR="00C17088" w:rsidRDefault="00C17088" w:rsidP="00C17088">
      <w:pPr>
        <w:pStyle w:val="SingleTxt"/>
      </w:pPr>
      <w:r>
        <w:tab/>
        <w:t>a)</w:t>
      </w:r>
      <w:r>
        <w:tab/>
      </w:r>
      <w:r>
        <w:rPr>
          <w:b/>
        </w:rPr>
        <w:t>обеспечить, чтобы все сотрудники, в том числе сотрудники-мужчины в местах содержания под стражей, проходили обязательную по</w:t>
      </w:r>
      <w:r>
        <w:rPr>
          <w:b/>
        </w:rPr>
        <w:t>д</w:t>
      </w:r>
      <w:r>
        <w:rPr>
          <w:b/>
        </w:rPr>
        <w:t>готовку по вопросам прав женщин и учету гендерных факторов в своей деятельности, чтобы число сотрудников-женщин было значительно ув</w:t>
      </w:r>
      <w:r>
        <w:rPr>
          <w:b/>
        </w:rPr>
        <w:t>е</w:t>
      </w:r>
      <w:r>
        <w:rPr>
          <w:b/>
        </w:rPr>
        <w:t>личено, и чтобы женщины, содержащиеся под стражей, имели конфиде</w:t>
      </w:r>
      <w:r>
        <w:rPr>
          <w:b/>
        </w:rPr>
        <w:t>н</w:t>
      </w:r>
      <w:r>
        <w:rPr>
          <w:b/>
        </w:rPr>
        <w:t>циальный и эффективный доступ к независимым судебным и другим о</w:t>
      </w:r>
      <w:r>
        <w:rPr>
          <w:b/>
        </w:rPr>
        <w:t>р</w:t>
      </w:r>
      <w:r>
        <w:rPr>
          <w:b/>
        </w:rPr>
        <w:t>ганам по рассмотрению жалоб вне тюремной системы и к закрытым ящ</w:t>
      </w:r>
      <w:r>
        <w:rPr>
          <w:b/>
        </w:rPr>
        <w:t>и</w:t>
      </w:r>
      <w:r>
        <w:rPr>
          <w:b/>
        </w:rPr>
        <w:t>кам для подачи жалоб в тюрьмах;</w:t>
      </w:r>
    </w:p>
    <w:p w:rsidR="00C17088" w:rsidRDefault="00C17088" w:rsidP="00C17088">
      <w:pPr>
        <w:pStyle w:val="SingleTxt"/>
      </w:pPr>
      <w:r>
        <w:tab/>
        <w:t>b)</w:t>
      </w:r>
      <w:r>
        <w:tab/>
      </w:r>
      <w:r>
        <w:rPr>
          <w:b/>
        </w:rPr>
        <w:t>открыть новые центры содержания под стражей для женщин на всей территории государства-участника и обеспечить, чтобы женщины, имеющие детей, помещались в учреждения на разумном расстоянии от д</w:t>
      </w:r>
      <w:r>
        <w:rPr>
          <w:b/>
        </w:rPr>
        <w:t>о</w:t>
      </w:r>
      <w:r>
        <w:rPr>
          <w:b/>
        </w:rPr>
        <w:t>ма, где проживают их дети;</w:t>
      </w:r>
      <w:r>
        <w:t xml:space="preserve"> </w:t>
      </w:r>
    </w:p>
    <w:p w:rsidR="00C17088" w:rsidRDefault="00C17088" w:rsidP="00C17088">
      <w:pPr>
        <w:pStyle w:val="SingleTxt"/>
      </w:pPr>
      <w:r>
        <w:tab/>
        <w:t>c)</w:t>
      </w:r>
      <w:r>
        <w:tab/>
      </w:r>
      <w:r>
        <w:rPr>
          <w:b/>
        </w:rPr>
        <w:t>предлагать женщинам, находящимся в заключении, адекватные программы повышения грамотности и образовательные программы, л</w:t>
      </w:r>
      <w:r>
        <w:rPr>
          <w:b/>
        </w:rPr>
        <w:t>е</w:t>
      </w:r>
      <w:r>
        <w:rPr>
          <w:b/>
        </w:rPr>
        <w:t>чение от наркотической зависимости, оплачиваемую работу и программы реинтеграции.</w:t>
      </w:r>
      <w:r>
        <w:t xml:space="preserve"> </w:t>
      </w:r>
    </w:p>
    <w:p w:rsidR="00C17088" w:rsidRDefault="00C17088" w:rsidP="00C17088">
      <w:pPr>
        <w:pStyle w:val="SingleTxt"/>
        <w:spacing w:after="0" w:line="120" w:lineRule="exact"/>
        <w:rPr>
          <w:sz w:val="10"/>
        </w:rPr>
      </w:pPr>
    </w:p>
    <w:p w:rsidR="00C17088" w:rsidRDefault="00C17088" w:rsidP="00C1708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Женщины-лесбиянки, бисексуалы и трансгендеры</w:t>
      </w:r>
    </w:p>
    <w:p w:rsidR="00C17088" w:rsidRDefault="00C17088" w:rsidP="00C17088">
      <w:pPr>
        <w:pStyle w:val="SingleTxt"/>
        <w:spacing w:after="0" w:line="120" w:lineRule="exact"/>
        <w:rPr>
          <w:sz w:val="10"/>
        </w:rPr>
      </w:pPr>
    </w:p>
    <w:p w:rsidR="00C17088" w:rsidRDefault="00C17088" w:rsidP="00C17088">
      <w:pPr>
        <w:pStyle w:val="SingleTxt"/>
      </w:pPr>
      <w:r>
        <w:t>46.</w:t>
      </w:r>
      <w:r>
        <w:tab/>
        <w:t>Комитет принимает к сведению меры, принятые государством-участником для решения проблемы дискриминации в отношении женщин-лесбиянок, б</w:t>
      </w:r>
      <w:r>
        <w:t>и</w:t>
      </w:r>
      <w:r>
        <w:t>сексуалов и трансгендеров, в том числе стратегию по улучшению качества жизни лесбиянок, геев, бисексуалов и трансгендеров на 2013-2017 годы и з</w:t>
      </w:r>
      <w:r>
        <w:t>а</w:t>
      </w:r>
      <w:r>
        <w:t>прещение дискриминации по признаку сексуальной ориентации и гендерной идентичности в Законе о запрещении дискриминации и Законе о гендерном р</w:t>
      </w:r>
      <w:r>
        <w:t>а</w:t>
      </w:r>
      <w:r>
        <w:t>венстве. Вместе с тем он выражает обеспокоенность по поводу серьезной ди</w:t>
      </w:r>
      <w:r>
        <w:t>с</w:t>
      </w:r>
      <w:r>
        <w:t>криминации и гендерного насилия в отношении женщин-лесбиянок, бисексу</w:t>
      </w:r>
      <w:r>
        <w:t>а</w:t>
      </w:r>
      <w:r>
        <w:t>лов и трансгендеров, которые в обществе считаются нездоровыми людьми. Комитет также испытывает озабоченность по поводу правовых требований, с</w:t>
      </w:r>
      <w:r>
        <w:t>о</w:t>
      </w:r>
      <w:r>
        <w:t>гласно которым трансгендерные лица должны подвергаться хирургическому вмешательству, с тем чтобы добиться юридического признания.</w:t>
      </w:r>
    </w:p>
    <w:p w:rsidR="00C17088" w:rsidRDefault="00C17088" w:rsidP="00C17088">
      <w:pPr>
        <w:pStyle w:val="SingleTxt"/>
      </w:pPr>
      <w:r>
        <w:t>47.</w:t>
      </w:r>
      <w:r>
        <w:tab/>
      </w:r>
      <w:r>
        <w:rPr>
          <w:b/>
        </w:rPr>
        <w:t>Комитет рекомендует государству-участнику проводить информац</w:t>
      </w:r>
      <w:r>
        <w:rPr>
          <w:b/>
        </w:rPr>
        <w:t>и</w:t>
      </w:r>
      <w:r>
        <w:rPr>
          <w:b/>
        </w:rPr>
        <w:t>онно-просветительскую работу по вопросам борьбы с дискриминацией, в том числе с распространенными ошибочными представлениями в отн</w:t>
      </w:r>
      <w:r>
        <w:rPr>
          <w:b/>
        </w:rPr>
        <w:t>о</w:t>
      </w:r>
      <w:r>
        <w:rPr>
          <w:b/>
        </w:rPr>
        <w:t>шении женщин-лесбиянок, бисексуалов и трансгендеров. Кроме того, он рекомендует государству-участнику:</w:t>
      </w:r>
      <w:r>
        <w:t xml:space="preserve"> </w:t>
      </w:r>
    </w:p>
    <w:p w:rsidR="00C17088" w:rsidRDefault="00C17088" w:rsidP="00C17088">
      <w:pPr>
        <w:pStyle w:val="SingleTxt"/>
      </w:pPr>
      <w:r>
        <w:tab/>
        <w:t>a)</w:t>
      </w:r>
      <w:r>
        <w:tab/>
      </w:r>
      <w:r>
        <w:rPr>
          <w:b/>
        </w:rPr>
        <w:t>применять политику абсолютной нетерпимости к дискримин</w:t>
      </w:r>
      <w:r>
        <w:rPr>
          <w:b/>
        </w:rPr>
        <w:t>а</w:t>
      </w:r>
      <w:r>
        <w:rPr>
          <w:b/>
        </w:rPr>
        <w:t>ции и насилию в отношении женщин-лесбиянок, бисексуалов и трансге</w:t>
      </w:r>
      <w:r>
        <w:rPr>
          <w:b/>
        </w:rPr>
        <w:t>н</w:t>
      </w:r>
      <w:r>
        <w:rPr>
          <w:b/>
        </w:rPr>
        <w:t>деров, в том числе путем уголовного преследования и надлежащего нак</w:t>
      </w:r>
      <w:r>
        <w:rPr>
          <w:b/>
        </w:rPr>
        <w:t>а</w:t>
      </w:r>
      <w:r>
        <w:rPr>
          <w:b/>
        </w:rPr>
        <w:t>зания виновных;</w:t>
      </w:r>
      <w:r>
        <w:t xml:space="preserve"> </w:t>
      </w:r>
    </w:p>
    <w:p w:rsidR="00C17088" w:rsidRDefault="00C17088" w:rsidP="00C17088">
      <w:pPr>
        <w:pStyle w:val="SingleTxt"/>
      </w:pPr>
      <w:r>
        <w:tab/>
        <w:t>b)</w:t>
      </w:r>
      <w:r>
        <w:tab/>
      </w:r>
      <w:r>
        <w:rPr>
          <w:b/>
        </w:rPr>
        <w:t>облегчить процедуру юридического признания факта изменения пола, в том числе путем отмены требования о стерилизации.</w:t>
      </w:r>
    </w:p>
    <w:p w:rsidR="00C17088" w:rsidRDefault="00C17088" w:rsidP="00C17088">
      <w:pPr>
        <w:pStyle w:val="SingleTxt"/>
        <w:spacing w:after="0" w:line="120" w:lineRule="exact"/>
        <w:rPr>
          <w:sz w:val="10"/>
        </w:rPr>
      </w:pPr>
    </w:p>
    <w:p w:rsidR="00C17088" w:rsidRDefault="00C17088" w:rsidP="00C1708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Брак и отношения в семье</w:t>
      </w:r>
    </w:p>
    <w:p w:rsidR="00C17088" w:rsidRDefault="00C17088" w:rsidP="00C17088">
      <w:pPr>
        <w:pStyle w:val="SingleTxt"/>
        <w:spacing w:after="0" w:line="120" w:lineRule="exact"/>
        <w:rPr>
          <w:sz w:val="10"/>
        </w:rPr>
      </w:pPr>
    </w:p>
    <w:p w:rsidR="00C17088" w:rsidRDefault="00C17088" w:rsidP="00C17088">
      <w:pPr>
        <w:pStyle w:val="SingleTxt"/>
      </w:pPr>
      <w:r>
        <w:t>48.</w:t>
      </w:r>
      <w:r>
        <w:tab/>
        <w:t>Комитет выражает обеспокоенность в связи с тем, что при принятии р</w:t>
      </w:r>
      <w:r>
        <w:t>е</w:t>
      </w:r>
      <w:r>
        <w:t>шений по делам об установлении опеки над детьми судьи редко принимают во внимание факты насилия по признаку пола в отношении матери в семье, н</w:t>
      </w:r>
      <w:r>
        <w:t>е</w:t>
      </w:r>
      <w:r>
        <w:t>смотря на недавнюю поправку к статье 363 Семейного кодекса, в которой предусматривается, что в таких случаях следует уделять надлежащее внимание вопросу безопасности детей и жертв. Комитет также с обеспокоенностью о</w:t>
      </w:r>
      <w:r>
        <w:t>т</w:t>
      </w:r>
      <w:r>
        <w:t>мечает следующее:</w:t>
      </w:r>
    </w:p>
    <w:p w:rsidR="00C17088" w:rsidRDefault="00C17088" w:rsidP="00C17088">
      <w:pPr>
        <w:pStyle w:val="SingleTxt"/>
      </w:pPr>
      <w:r>
        <w:tab/>
        <w:t>a)</w:t>
      </w:r>
      <w:r>
        <w:tab/>
        <w:t>недостаточный обмен информацией между судами по делам о ме</w:t>
      </w:r>
      <w:r>
        <w:t>л</w:t>
      </w:r>
      <w:r>
        <w:t>ких правонарушениях и судьями по семейным делам в судах первой инста</w:t>
      </w:r>
      <w:r>
        <w:t>н</w:t>
      </w:r>
      <w:r>
        <w:t xml:space="preserve">ции, в результате чего судьи не знают о существующих мерах защиты; </w:t>
      </w:r>
    </w:p>
    <w:p w:rsidR="00C17088" w:rsidRDefault="00C17088" w:rsidP="00C17088">
      <w:pPr>
        <w:pStyle w:val="SingleTxt"/>
      </w:pPr>
      <w:r>
        <w:tab/>
        <w:t>b)</w:t>
      </w:r>
      <w:r>
        <w:tab/>
        <w:t>ряд случаев, когда судьи предположительно выражали озабоче</w:t>
      </w:r>
      <w:r>
        <w:t>н</w:t>
      </w:r>
      <w:r>
        <w:t>ность в связи с тем, что женщина могла представить лживое заявление о нас</w:t>
      </w:r>
      <w:r>
        <w:t>и</w:t>
      </w:r>
      <w:r>
        <w:t>лии в семье в целях оказания влияния на принятие решений об опеке над дет</w:t>
      </w:r>
      <w:r>
        <w:t>ь</w:t>
      </w:r>
      <w:r>
        <w:t>ми и правах посещения, и возросшую распространенность в обществе дискр</w:t>
      </w:r>
      <w:r>
        <w:t>е</w:t>
      </w:r>
      <w:r>
        <w:t>дитирующих женщин взглядов, подрывающих доверие к женщинам, ставшим жертвами гендерного насилия, и изображающих их манипуляторами и моше</w:t>
      </w:r>
      <w:r>
        <w:t>н</w:t>
      </w:r>
      <w:r>
        <w:t>никами.</w:t>
      </w:r>
    </w:p>
    <w:p w:rsidR="00C17088" w:rsidRDefault="00C17088" w:rsidP="00C17088">
      <w:pPr>
        <w:pStyle w:val="SingleTxt"/>
      </w:pPr>
      <w:r>
        <w:t>49.</w:t>
      </w:r>
      <w:r>
        <w:tab/>
      </w:r>
      <w:r>
        <w:rPr>
          <w:b/>
        </w:rPr>
        <w:t>Комитет рекомендует государству-участнику:</w:t>
      </w:r>
      <w:r>
        <w:t xml:space="preserve"> </w:t>
      </w:r>
    </w:p>
    <w:p w:rsidR="00C17088" w:rsidRDefault="00C17088" w:rsidP="00C17088">
      <w:pPr>
        <w:pStyle w:val="SingleTxt"/>
      </w:pPr>
      <w:r>
        <w:tab/>
        <w:t>a)</w:t>
      </w:r>
      <w:r>
        <w:tab/>
      </w:r>
      <w:r>
        <w:rPr>
          <w:b/>
        </w:rPr>
        <w:t>обеспечить, чтобы сотрудники судебных органов проходили надлежащую обязательную подготовку в связи с требованием учитывать факт гендерного насилия при рассмотрении дел об опеке над детьми и уделять приоритетное внимание расследованию преступлений, а не с</w:t>
      </w:r>
      <w:r>
        <w:rPr>
          <w:b/>
        </w:rPr>
        <w:t>е</w:t>
      </w:r>
      <w:r>
        <w:rPr>
          <w:b/>
        </w:rPr>
        <w:t>мейному примирению, с тем чтобы должным образом наказывать за ге</w:t>
      </w:r>
      <w:r>
        <w:rPr>
          <w:b/>
        </w:rPr>
        <w:t>н</w:t>
      </w:r>
      <w:r>
        <w:rPr>
          <w:b/>
        </w:rPr>
        <w:t>дерное насилие в отношении женщин и не допускать повторения случаев такого насилия;</w:t>
      </w:r>
      <w:r>
        <w:t xml:space="preserve"> </w:t>
      </w:r>
    </w:p>
    <w:p w:rsidR="00C17088" w:rsidRDefault="00C17088" w:rsidP="00C17088">
      <w:pPr>
        <w:pStyle w:val="SingleTxt"/>
      </w:pPr>
      <w:r>
        <w:tab/>
        <w:t>b)</w:t>
      </w:r>
      <w:r>
        <w:tab/>
      </w:r>
      <w:r>
        <w:rPr>
          <w:b/>
        </w:rPr>
        <w:t>обеспечить систематическое заслушивание экспертов по вопр</w:t>
      </w:r>
      <w:r>
        <w:rPr>
          <w:b/>
        </w:rPr>
        <w:t>о</w:t>
      </w:r>
      <w:r>
        <w:rPr>
          <w:b/>
        </w:rPr>
        <w:t>сам гендерного насилия в отношении женщин на судебных разбирател</w:t>
      </w:r>
      <w:r>
        <w:rPr>
          <w:b/>
        </w:rPr>
        <w:t>ь</w:t>
      </w:r>
      <w:r>
        <w:rPr>
          <w:b/>
        </w:rPr>
        <w:t>ствах по опеке над детьми;</w:t>
      </w:r>
      <w:r>
        <w:t xml:space="preserve"> </w:t>
      </w:r>
    </w:p>
    <w:p w:rsidR="00C17088" w:rsidRDefault="00C17088" w:rsidP="00C17088">
      <w:pPr>
        <w:pStyle w:val="SingleTxt"/>
      </w:pPr>
      <w:r>
        <w:tab/>
        <w:t>c)</w:t>
      </w:r>
      <w:r>
        <w:tab/>
      </w:r>
      <w:r>
        <w:rPr>
          <w:b/>
        </w:rPr>
        <w:t>принять необходимые меры для обеспечения систематического обмена информацией между компетентными судами по делам о мелких правонарушениях и судами по семейным делам в отношении существу</w:t>
      </w:r>
      <w:r>
        <w:rPr>
          <w:b/>
        </w:rPr>
        <w:t>ю</w:t>
      </w:r>
      <w:r>
        <w:rPr>
          <w:b/>
        </w:rPr>
        <w:t>щих или существовавших ранее мер защиты при рассмотрении случаев в области семейного права;</w:t>
      </w:r>
      <w:r>
        <w:t xml:space="preserve"> </w:t>
      </w:r>
    </w:p>
    <w:p w:rsidR="00C17088" w:rsidRDefault="00C17088" w:rsidP="00C17088">
      <w:pPr>
        <w:pStyle w:val="SingleTxt"/>
      </w:pPr>
      <w:r>
        <w:tab/>
        <w:t>d)</w:t>
      </w:r>
      <w:r>
        <w:tab/>
      </w:r>
      <w:r>
        <w:rPr>
          <w:b/>
        </w:rPr>
        <w:t>проводить информационно-просветительскую работу с целью разрушить гендерные стереотипы среди судей и обеспечить, чтобы по о</w:t>
      </w:r>
      <w:r>
        <w:rPr>
          <w:b/>
        </w:rPr>
        <w:t>т</w:t>
      </w:r>
      <w:r>
        <w:rPr>
          <w:b/>
        </w:rPr>
        <w:t>ношению к судьям, которые выражают подобные взгляды, применялись соответствующие дисциплинарные санкции;</w:t>
      </w:r>
      <w:r>
        <w:t xml:space="preserve"> </w:t>
      </w:r>
    </w:p>
    <w:p w:rsidR="00C17088" w:rsidRDefault="00C17088" w:rsidP="00C17088">
      <w:pPr>
        <w:pStyle w:val="SingleTxt"/>
      </w:pPr>
      <w:r>
        <w:tab/>
        <w:t>e)</w:t>
      </w:r>
      <w:r>
        <w:tab/>
      </w:r>
      <w:r>
        <w:rPr>
          <w:b/>
        </w:rPr>
        <w:t>бороться с диффамацией и ненавистническими высказывани</w:t>
      </w:r>
      <w:r>
        <w:rPr>
          <w:b/>
        </w:rPr>
        <w:t>я</w:t>
      </w:r>
      <w:r>
        <w:rPr>
          <w:b/>
        </w:rPr>
        <w:t>ми в отношении женщин, в том числе путем применения, при необходим</w:t>
      </w:r>
      <w:r>
        <w:rPr>
          <w:b/>
        </w:rPr>
        <w:t>о</w:t>
      </w:r>
      <w:r>
        <w:rPr>
          <w:b/>
        </w:rPr>
        <w:t>сти, законодательства о диффамации.</w:t>
      </w:r>
      <w:r>
        <w:t xml:space="preserve"> </w:t>
      </w:r>
    </w:p>
    <w:p w:rsidR="00C17088" w:rsidRDefault="00C17088" w:rsidP="00C17088">
      <w:pPr>
        <w:pStyle w:val="SingleTxt"/>
        <w:spacing w:after="0" w:line="120" w:lineRule="exact"/>
        <w:rPr>
          <w:sz w:val="10"/>
        </w:rPr>
      </w:pPr>
    </w:p>
    <w:p w:rsidR="00C17088" w:rsidRDefault="00C17088" w:rsidP="00C1708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Экономические последствия развода и раздельного проживания супругов</w:t>
      </w:r>
    </w:p>
    <w:p w:rsidR="00C17088" w:rsidRDefault="00C17088" w:rsidP="00C17088">
      <w:pPr>
        <w:pStyle w:val="SingleTxt"/>
        <w:spacing w:after="0" w:line="120" w:lineRule="exact"/>
        <w:rPr>
          <w:sz w:val="10"/>
        </w:rPr>
      </w:pPr>
    </w:p>
    <w:p w:rsidR="00C17088" w:rsidRDefault="00C17088" w:rsidP="00C17088">
      <w:pPr>
        <w:pStyle w:val="SingleTxt"/>
      </w:pPr>
      <w:r>
        <w:t>50.</w:t>
      </w:r>
      <w:r>
        <w:tab/>
        <w:t>Комитет выражает обеспокоенность по поводу особенно тяжелого экон</w:t>
      </w:r>
      <w:r>
        <w:t>о</w:t>
      </w:r>
      <w:r>
        <w:t>мического положения матерей-одиночек, которые зачастую не получают ал</w:t>
      </w:r>
      <w:r>
        <w:t>и</w:t>
      </w:r>
      <w:r>
        <w:t>ментов от отца ребенка, а также в связи с недостаточной поддержкой, пред</w:t>
      </w:r>
      <w:r>
        <w:t>о</w:t>
      </w:r>
      <w:r>
        <w:t>ставляемой им государством-участником, и его неспособностью во многих случаях принять меры по обеспечению выплаты алиментов. В этой связи он также с беспокойством отмечает, что матери, которая не получает алиментные платежи от отца ребенка, необходимо официально подать на отца ребенка в суд, с тем чтобы иметь право на получение социальных пособий вместо ал</w:t>
      </w:r>
      <w:r>
        <w:t>и</w:t>
      </w:r>
      <w:r>
        <w:t>ментов.</w:t>
      </w:r>
    </w:p>
    <w:p w:rsidR="00C17088" w:rsidRDefault="00C17088" w:rsidP="00C17088">
      <w:pPr>
        <w:pStyle w:val="SingleTxt"/>
        <w:rPr>
          <w:b/>
        </w:rPr>
      </w:pPr>
      <w:r>
        <w:t>51.</w:t>
      </w:r>
      <w:r>
        <w:tab/>
      </w:r>
      <w:r>
        <w:rPr>
          <w:b/>
        </w:rPr>
        <w:t>Комитет рекомендует государству-участнику выделить достаточные людские, технические и финансовые ресурсы для оказания помощи мат</w:t>
      </w:r>
      <w:r>
        <w:rPr>
          <w:b/>
        </w:rPr>
        <w:t>е</w:t>
      </w:r>
      <w:r>
        <w:rPr>
          <w:b/>
        </w:rPr>
        <w:t>рям-одиночкам и в целях создания и применения эффективного механи</w:t>
      </w:r>
      <w:r>
        <w:rPr>
          <w:b/>
        </w:rPr>
        <w:t>з</w:t>
      </w:r>
      <w:r>
        <w:rPr>
          <w:b/>
        </w:rPr>
        <w:t>ма, с тем чтобы обеспечить и контролировать регулярную и своевреме</w:t>
      </w:r>
      <w:r>
        <w:rPr>
          <w:b/>
        </w:rPr>
        <w:t>н</w:t>
      </w:r>
      <w:r>
        <w:rPr>
          <w:b/>
        </w:rPr>
        <w:t>ную выплату алиментов и облегчить процедуру получения социальных пособий матерями в случае, если отец ребенка не выплачивает алименты.</w:t>
      </w:r>
    </w:p>
    <w:p w:rsidR="00C17088" w:rsidRDefault="00C17088" w:rsidP="00C17088">
      <w:pPr>
        <w:pStyle w:val="SingleTxt"/>
      </w:pPr>
      <w:r>
        <w:t>52.</w:t>
      </w:r>
      <w:r>
        <w:tab/>
        <w:t>Комитет с обеспокоенность отмечает, что:</w:t>
      </w:r>
    </w:p>
    <w:p w:rsidR="00C17088" w:rsidRDefault="00C17088" w:rsidP="00C17088">
      <w:pPr>
        <w:pStyle w:val="SingleTxt"/>
      </w:pPr>
      <w:r>
        <w:tab/>
        <w:t>a)</w:t>
      </w:r>
      <w:r>
        <w:tab/>
        <w:t>определение понятия о совместном имуществе супругов в статье 288 Семейного кодекса представляется узким и не включает, наряду с будущими  потенциальными доходами, такие нематериальные активы, как накопленные пенсионные права и иные связанные с трудовой деятельностью выплаты, а также не учитывает надлежащим образом вызванные гендерными причинами проявления экономического неравенства супругов, обусловленного традицио</w:t>
      </w:r>
      <w:r>
        <w:t>н</w:t>
      </w:r>
      <w:r>
        <w:t>ными подходами к труду и семейной жизни, что нередко способствует более благоприятному положению мужчин в плане их личного развития и возможн</w:t>
      </w:r>
      <w:r>
        <w:t>о</w:t>
      </w:r>
      <w:r>
        <w:t xml:space="preserve">стей получения дохода, в отличие от менее выгодного положения женщин; </w:t>
      </w:r>
    </w:p>
    <w:p w:rsidR="00C17088" w:rsidRDefault="00C17088" w:rsidP="00C17088">
      <w:pPr>
        <w:pStyle w:val="SingleTxt"/>
      </w:pPr>
      <w:r>
        <w:tab/>
        <w:t>b)</w:t>
      </w:r>
      <w:r>
        <w:tab/>
        <w:t>несмотря на то, что закон предусматривает такой режим владения совместной собственностью супругов, согласно которому нажитое в браке имущество после развода подлежит разделу в равных долях, женщины, тем не менее, обязаны доказывать их фактический материальный вклад в приобрет</w:t>
      </w:r>
      <w:r>
        <w:t>е</w:t>
      </w:r>
      <w:r>
        <w:t xml:space="preserve">ние имущества; </w:t>
      </w:r>
    </w:p>
    <w:p w:rsidR="00C17088" w:rsidRDefault="00C17088" w:rsidP="00C17088">
      <w:pPr>
        <w:pStyle w:val="SingleTxt"/>
      </w:pPr>
      <w:r>
        <w:tab/>
        <w:t>c)</w:t>
      </w:r>
      <w:r>
        <w:tab/>
        <w:t>статья 294 Семейного кодекса допускает неравное распределение совместного имущества в тех случаях, когда один из супругов может доказать, что его/ее вклад был больше. Согласно недавним исследованиям, такое расп</w:t>
      </w:r>
      <w:r>
        <w:t>о</w:t>
      </w:r>
      <w:r>
        <w:t>ряжение имуществом имеет для женщин пагубные последствия.</w:t>
      </w:r>
    </w:p>
    <w:p w:rsidR="00C17088" w:rsidRDefault="00C17088" w:rsidP="00C17088">
      <w:pPr>
        <w:pStyle w:val="SingleTxt"/>
      </w:pPr>
      <w:r>
        <w:t>53.</w:t>
      </w:r>
      <w:r>
        <w:tab/>
      </w:r>
      <w:r>
        <w:rPr>
          <w:b/>
        </w:rPr>
        <w:t>Комитет обращает внимание государства-участника на свою общую рекомендацию № 29 (2013 год), касающуюся экономических последствий вступления в брак, семейных отношений и их расторжения, и рекомендует государству-участнику:</w:t>
      </w:r>
    </w:p>
    <w:p w:rsidR="00C17088" w:rsidRDefault="00C17088" w:rsidP="00C17088">
      <w:pPr>
        <w:pStyle w:val="SingleTxt"/>
      </w:pPr>
      <w:r>
        <w:tab/>
        <w:t>a)</w:t>
      </w:r>
      <w:r>
        <w:tab/>
      </w:r>
      <w:r>
        <w:rPr>
          <w:b/>
        </w:rPr>
        <w:t>пересмотреть определение понятия совместного имущества с</w:t>
      </w:r>
      <w:r>
        <w:rPr>
          <w:b/>
        </w:rPr>
        <w:t>у</w:t>
      </w:r>
      <w:r>
        <w:rPr>
          <w:b/>
        </w:rPr>
        <w:t>пругов, с тем чтобы включить в супружеское право пенсионные права и иные связанные с трудовой деятельностью выплаты, в дополнение к б</w:t>
      </w:r>
      <w:r>
        <w:rPr>
          <w:b/>
        </w:rPr>
        <w:t>у</w:t>
      </w:r>
      <w:r>
        <w:rPr>
          <w:b/>
        </w:rPr>
        <w:t>дущим доходам, и принять такие правовые меры, которые могут потреб</w:t>
      </w:r>
      <w:r>
        <w:rPr>
          <w:b/>
        </w:rPr>
        <w:t>о</w:t>
      </w:r>
      <w:r>
        <w:rPr>
          <w:b/>
        </w:rPr>
        <w:t>ваться для компенсации проявлений экономического неравенства между мужчинами и женщинами после расторжения брака, включая, в частн</w:t>
      </w:r>
      <w:r>
        <w:rPr>
          <w:b/>
        </w:rPr>
        <w:t>о</w:t>
      </w:r>
      <w:r>
        <w:rPr>
          <w:b/>
        </w:rPr>
        <w:t>сти, признание всех связанных с профессиональной деятельностью акт</w:t>
      </w:r>
      <w:r>
        <w:rPr>
          <w:b/>
        </w:rPr>
        <w:t>и</w:t>
      </w:r>
      <w:r>
        <w:rPr>
          <w:b/>
        </w:rPr>
        <w:t>вов, таких как возможности получения дохода, личные нематериальные активы и дополнительный человеческий капитал, частью принадлеж</w:t>
      </w:r>
      <w:r>
        <w:rPr>
          <w:b/>
        </w:rPr>
        <w:t>а</w:t>
      </w:r>
      <w:r>
        <w:rPr>
          <w:b/>
        </w:rPr>
        <w:t>щих семье активов, подлежащих распределению между супругами при разводе или учету при присуждении периодических выплат после развода;</w:t>
      </w:r>
      <w:r>
        <w:t xml:space="preserve"> </w:t>
      </w:r>
    </w:p>
    <w:p w:rsidR="00C17088" w:rsidRDefault="00C17088" w:rsidP="00C17088">
      <w:pPr>
        <w:pStyle w:val="SingleTxt"/>
        <w:rPr>
          <w:b/>
        </w:rPr>
      </w:pPr>
      <w:r>
        <w:tab/>
        <w:t>b)</w:t>
      </w:r>
      <w:r>
        <w:tab/>
      </w:r>
      <w:r>
        <w:rPr>
          <w:b/>
        </w:rPr>
        <w:t>обеспечить юридически точное исполнение режима совместного владения имуществом после расторжения брака путем отмены любых требований к женщинам предоставить доказательства наличия своей доли в совместном имуществе и участия в приобретении такого имущества; отменить возможность неравного распределения долей в совместном им</w:t>
      </w:r>
      <w:r>
        <w:rPr>
          <w:b/>
        </w:rPr>
        <w:t>у</w:t>
      </w:r>
      <w:r>
        <w:rPr>
          <w:b/>
        </w:rPr>
        <w:t>ществе и принять необходимые правовые меры, гарантирующие женщ</w:t>
      </w:r>
      <w:r>
        <w:rPr>
          <w:b/>
        </w:rPr>
        <w:t>и</w:t>
      </w:r>
      <w:r>
        <w:rPr>
          <w:b/>
        </w:rPr>
        <w:t>нам, живущим в гражданском браке, экономическую защиту посредством признания их прав на имущество, нажитое во время совместного прож</w:t>
      </w:r>
      <w:r>
        <w:rPr>
          <w:b/>
        </w:rPr>
        <w:t>и</w:t>
      </w:r>
      <w:r>
        <w:rPr>
          <w:b/>
        </w:rPr>
        <w:t>вания.</w:t>
      </w:r>
    </w:p>
    <w:p w:rsidR="00C17088" w:rsidRPr="00C17088" w:rsidRDefault="00C17088" w:rsidP="00C17088">
      <w:pPr>
        <w:pStyle w:val="SingleTxt"/>
        <w:spacing w:after="0" w:line="120" w:lineRule="exact"/>
        <w:rPr>
          <w:sz w:val="10"/>
        </w:rPr>
      </w:pPr>
    </w:p>
    <w:p w:rsidR="00C17088" w:rsidRDefault="00C17088" w:rsidP="00C1708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Сбор и анализ данных</w:t>
      </w:r>
    </w:p>
    <w:p w:rsidR="00C17088" w:rsidRDefault="00C17088" w:rsidP="00C17088">
      <w:pPr>
        <w:pStyle w:val="SingleTxt"/>
        <w:spacing w:after="0" w:line="120" w:lineRule="exact"/>
        <w:rPr>
          <w:sz w:val="10"/>
        </w:rPr>
      </w:pPr>
    </w:p>
    <w:p w:rsidR="00C17088" w:rsidRDefault="00C17088" w:rsidP="00C17088">
      <w:pPr>
        <w:pStyle w:val="SingleTxt"/>
      </w:pPr>
      <w:r>
        <w:t>54.</w:t>
      </w:r>
      <w:r>
        <w:tab/>
        <w:t>Комитет с удовлетворением отмечает тот факт, что в рамках публикации «Женщины и мужчины в Черногории в 2016 году» были собраны и обобщены данные с разбивкой по признаку пола. Вместе с тем он обеспокоен тем, что м</w:t>
      </w:r>
      <w:r>
        <w:t>е</w:t>
      </w:r>
      <w:r>
        <w:t>тоды сбора данных не были полностью согласованы между различными сект</w:t>
      </w:r>
      <w:r>
        <w:t>о</w:t>
      </w:r>
      <w:r>
        <w:t>рами и учреждениями и что в различных секторах отсутствуют надлежащие электронные системы сбора данных.</w:t>
      </w:r>
    </w:p>
    <w:p w:rsidR="00C17088" w:rsidRDefault="00C17088" w:rsidP="00C17088">
      <w:pPr>
        <w:pStyle w:val="SingleTxt"/>
      </w:pPr>
      <w:r>
        <w:t>55.</w:t>
      </w:r>
      <w:r>
        <w:tab/>
      </w:r>
      <w:r>
        <w:rPr>
          <w:b/>
        </w:rPr>
        <w:t>Комитет рекомендует государству-участнику улучшить сбор, анализ и распространение статистических данных с разбивкой по полу, уделяя ос</w:t>
      </w:r>
      <w:r>
        <w:rPr>
          <w:b/>
        </w:rPr>
        <w:t>о</w:t>
      </w:r>
      <w:r>
        <w:rPr>
          <w:b/>
        </w:rPr>
        <w:t>бое внимание проблемам доступа женщин к образованию, занятости и здравоохранению, экономического положения женщин и гендерного нас</w:t>
      </w:r>
      <w:r>
        <w:rPr>
          <w:b/>
        </w:rPr>
        <w:t>и</w:t>
      </w:r>
      <w:r>
        <w:rPr>
          <w:b/>
        </w:rPr>
        <w:t>лия в отношении женщин, в частности за счет модернизации и согласов</w:t>
      </w:r>
      <w:r>
        <w:rPr>
          <w:b/>
        </w:rPr>
        <w:t>а</w:t>
      </w:r>
      <w:r>
        <w:rPr>
          <w:b/>
        </w:rPr>
        <w:t>ния методов сбора данных и регулярного обмена данными между сектор</w:t>
      </w:r>
      <w:r>
        <w:rPr>
          <w:b/>
        </w:rPr>
        <w:t>а</w:t>
      </w:r>
      <w:r>
        <w:rPr>
          <w:b/>
        </w:rPr>
        <w:t>ми и учреждениями в целях проведения всеобъемлющего анализа данных для принятия решений.</w:t>
      </w:r>
    </w:p>
    <w:p w:rsidR="00C17088" w:rsidRDefault="00C17088" w:rsidP="00C17088">
      <w:pPr>
        <w:pStyle w:val="SingleTxt"/>
        <w:spacing w:after="0" w:line="120" w:lineRule="exact"/>
        <w:rPr>
          <w:sz w:val="10"/>
        </w:rPr>
      </w:pPr>
    </w:p>
    <w:p w:rsidR="00C17088" w:rsidRDefault="00C17088" w:rsidP="00C1708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Поправка к пункту 1 статьи 20 Конвенции</w:t>
      </w:r>
    </w:p>
    <w:p w:rsidR="00C17088" w:rsidRDefault="00C17088" w:rsidP="00C17088">
      <w:pPr>
        <w:pStyle w:val="SingleTxt"/>
        <w:keepNext/>
        <w:spacing w:after="0" w:line="120" w:lineRule="exact"/>
        <w:rPr>
          <w:sz w:val="10"/>
        </w:rPr>
      </w:pPr>
    </w:p>
    <w:p w:rsidR="00C17088" w:rsidRDefault="00C17088" w:rsidP="00C17088">
      <w:pPr>
        <w:pStyle w:val="SingleTxt"/>
      </w:pPr>
      <w:r>
        <w:t>56.</w:t>
      </w:r>
      <w:r>
        <w:tab/>
      </w:r>
      <w:r>
        <w:rPr>
          <w:b/>
        </w:rPr>
        <w:t>Комитет призывает государство-участник как можно скорее принять поправку к пункту 1 статьи 20 Конвенции, касающуюся продолжительн</w:t>
      </w:r>
      <w:r>
        <w:rPr>
          <w:b/>
        </w:rPr>
        <w:t>о</w:t>
      </w:r>
      <w:r>
        <w:rPr>
          <w:b/>
        </w:rPr>
        <w:t>сти заседаний Комитета.</w:t>
      </w:r>
      <w:r>
        <w:t xml:space="preserve"> </w:t>
      </w:r>
    </w:p>
    <w:p w:rsidR="00C17088" w:rsidRDefault="00C17088" w:rsidP="00C17088">
      <w:pPr>
        <w:pStyle w:val="SingleTxt"/>
        <w:spacing w:after="0" w:line="120" w:lineRule="exact"/>
        <w:rPr>
          <w:sz w:val="10"/>
        </w:rPr>
      </w:pPr>
    </w:p>
    <w:p w:rsidR="00C17088" w:rsidRDefault="00C17088" w:rsidP="00C1708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Пекинская декларация и Платформа действий</w:t>
      </w:r>
    </w:p>
    <w:p w:rsidR="00C17088" w:rsidRDefault="00C17088" w:rsidP="00C17088">
      <w:pPr>
        <w:pStyle w:val="SingleTxt"/>
        <w:spacing w:after="0" w:line="120" w:lineRule="exact"/>
        <w:rPr>
          <w:sz w:val="10"/>
        </w:rPr>
      </w:pPr>
    </w:p>
    <w:p w:rsidR="00C17088" w:rsidRDefault="00C17088" w:rsidP="00C17088">
      <w:pPr>
        <w:pStyle w:val="SingleTxt"/>
      </w:pPr>
      <w:r>
        <w:t>57.</w:t>
      </w:r>
      <w:r>
        <w:tab/>
      </w:r>
      <w:r>
        <w:rPr>
          <w:b/>
        </w:rPr>
        <w:t>Комитет призывает государство-участник использовать Пекинскую декларацию и Платформу действий в своей деятельности по осуществл</w:t>
      </w:r>
      <w:r>
        <w:rPr>
          <w:b/>
        </w:rPr>
        <w:t>е</w:t>
      </w:r>
      <w:r>
        <w:rPr>
          <w:b/>
        </w:rPr>
        <w:t>нию положений Конвенции.</w:t>
      </w:r>
      <w:r>
        <w:t xml:space="preserve"> </w:t>
      </w:r>
    </w:p>
    <w:p w:rsidR="00C17088" w:rsidRDefault="00C17088" w:rsidP="00C17088">
      <w:pPr>
        <w:pStyle w:val="SingleTxt"/>
        <w:spacing w:after="0" w:line="120" w:lineRule="exact"/>
        <w:rPr>
          <w:sz w:val="10"/>
        </w:rPr>
      </w:pPr>
    </w:p>
    <w:p w:rsidR="00C17088" w:rsidRDefault="00C17088" w:rsidP="00C1708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Повестка дня в области устойчивого развития на период до 2030 года</w:t>
      </w:r>
    </w:p>
    <w:p w:rsidR="00C17088" w:rsidRDefault="00C17088" w:rsidP="00C17088">
      <w:pPr>
        <w:pStyle w:val="SingleTxt"/>
        <w:keepNext/>
        <w:keepLines/>
        <w:spacing w:after="0" w:line="120" w:lineRule="exact"/>
        <w:rPr>
          <w:sz w:val="10"/>
        </w:rPr>
      </w:pPr>
    </w:p>
    <w:p w:rsidR="00C17088" w:rsidRDefault="00C17088" w:rsidP="00C17088">
      <w:pPr>
        <w:pStyle w:val="SingleTxt"/>
      </w:pPr>
      <w:r>
        <w:t>58.</w:t>
      </w:r>
      <w:r>
        <w:tab/>
      </w:r>
      <w:r>
        <w:rPr>
          <w:b/>
        </w:rPr>
        <w:t>Комитет призывает к обеспечению фактического гендерного раве</w:t>
      </w:r>
      <w:r>
        <w:rPr>
          <w:b/>
        </w:rPr>
        <w:t>н</w:t>
      </w:r>
      <w:r>
        <w:rPr>
          <w:b/>
        </w:rPr>
        <w:t>ства в соответствии с положениями Конвенции на протяжении всего пр</w:t>
      </w:r>
      <w:r>
        <w:rPr>
          <w:b/>
        </w:rPr>
        <w:t>о</w:t>
      </w:r>
      <w:r>
        <w:rPr>
          <w:b/>
        </w:rPr>
        <w:t>цесса осуществления Повестки дня в области устойчивого развития на п</w:t>
      </w:r>
      <w:r>
        <w:rPr>
          <w:b/>
        </w:rPr>
        <w:t>е</w:t>
      </w:r>
      <w:r>
        <w:rPr>
          <w:b/>
        </w:rPr>
        <w:t>риод до 2030 года.</w:t>
      </w:r>
    </w:p>
    <w:p w:rsidR="00C17088" w:rsidRDefault="00C17088" w:rsidP="00C17088">
      <w:pPr>
        <w:pStyle w:val="SingleTxt"/>
        <w:spacing w:after="0" w:line="120" w:lineRule="exact"/>
        <w:rPr>
          <w:sz w:val="10"/>
        </w:rPr>
      </w:pPr>
    </w:p>
    <w:p w:rsidR="00C17088" w:rsidRDefault="00C17088" w:rsidP="00C1708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Распространение</w:t>
      </w:r>
    </w:p>
    <w:p w:rsidR="00C17088" w:rsidRDefault="00C17088" w:rsidP="00C17088">
      <w:pPr>
        <w:pStyle w:val="SingleTxt"/>
        <w:spacing w:after="0" w:line="120" w:lineRule="exact"/>
        <w:rPr>
          <w:sz w:val="10"/>
        </w:rPr>
      </w:pPr>
    </w:p>
    <w:p w:rsidR="00C17088" w:rsidRDefault="00C17088" w:rsidP="00C17088">
      <w:pPr>
        <w:pStyle w:val="SingleTxt"/>
      </w:pPr>
      <w:r>
        <w:t>59.</w:t>
      </w:r>
      <w:r>
        <w:tab/>
      </w:r>
      <w:r>
        <w:rPr>
          <w:b/>
        </w:rPr>
        <w:t>Комитет просит государство-участник обеспечить своевременное распространение настоящих заключительных замечаний на официальном языке государства-участника в соответствующих государственных учр</w:t>
      </w:r>
      <w:r>
        <w:rPr>
          <w:b/>
        </w:rPr>
        <w:t>е</w:t>
      </w:r>
      <w:r>
        <w:rPr>
          <w:b/>
        </w:rPr>
        <w:t>ждениях всех уровней (национального, регионального, местного), в час</w:t>
      </w:r>
      <w:r>
        <w:rPr>
          <w:b/>
        </w:rPr>
        <w:t>т</w:t>
      </w:r>
      <w:r>
        <w:rPr>
          <w:b/>
        </w:rPr>
        <w:t>ности в правительстве, министерствах, парламенте и судебных органах, с тем чтобы обеспечить их осуществление в полном объеме.</w:t>
      </w:r>
    </w:p>
    <w:p w:rsidR="00C17088" w:rsidRDefault="00C17088" w:rsidP="00C17088">
      <w:pPr>
        <w:pStyle w:val="SingleTxt"/>
        <w:spacing w:after="0" w:line="120" w:lineRule="exact"/>
        <w:rPr>
          <w:sz w:val="10"/>
        </w:rPr>
      </w:pPr>
    </w:p>
    <w:p w:rsidR="00C17088" w:rsidRDefault="00C17088" w:rsidP="00C1708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Ратификация других договоров</w:t>
      </w:r>
    </w:p>
    <w:p w:rsidR="00C17088" w:rsidRDefault="00C17088" w:rsidP="00C17088">
      <w:pPr>
        <w:pStyle w:val="SingleTxt"/>
        <w:keepNext/>
        <w:keepLines/>
        <w:spacing w:after="0" w:line="120" w:lineRule="exact"/>
        <w:rPr>
          <w:sz w:val="10"/>
        </w:rPr>
      </w:pPr>
    </w:p>
    <w:p w:rsidR="00C17088" w:rsidRDefault="00C17088" w:rsidP="00C17088">
      <w:pPr>
        <w:pStyle w:val="SingleTxt"/>
        <w:rPr>
          <w:b/>
        </w:rPr>
      </w:pPr>
      <w:r>
        <w:t>60.</w:t>
      </w:r>
      <w:r>
        <w:tab/>
      </w:r>
      <w:r>
        <w:rPr>
          <w:b/>
        </w:rPr>
        <w:t>Комитет отмечает, что соблюдение государством-участником девяти основных международных документов по правам человека</w:t>
      </w:r>
      <w:r w:rsidRPr="00C17088">
        <w:rPr>
          <w:rStyle w:val="FootnoteReference"/>
        </w:rPr>
        <w:footnoteReference w:id="1"/>
      </w:r>
      <w:r>
        <w:rPr>
          <w:b/>
        </w:rPr>
        <w:t xml:space="preserve"> будет спосо</w:t>
      </w:r>
      <w:r>
        <w:rPr>
          <w:b/>
        </w:rPr>
        <w:t>б</w:t>
      </w:r>
      <w:r>
        <w:rPr>
          <w:b/>
        </w:rPr>
        <w:t>ствовать более полному осуществлению женщинами своих прав человека и основных свобод во всех сферах жизни. В связи с этим Комитет рекоме</w:t>
      </w:r>
      <w:r>
        <w:rPr>
          <w:b/>
        </w:rPr>
        <w:t>н</w:t>
      </w:r>
      <w:r>
        <w:rPr>
          <w:b/>
        </w:rPr>
        <w:t>дует государству-участнику ратифицировать Международную конвенцию о защите прав всех трудящихся-мигрантов и членов их семей, участником которой оно еще не является.</w:t>
      </w:r>
    </w:p>
    <w:p w:rsidR="00C17088" w:rsidRDefault="00C17088" w:rsidP="00C17088">
      <w:pPr>
        <w:pStyle w:val="SingleTxt"/>
        <w:spacing w:after="0" w:line="120" w:lineRule="exact"/>
        <w:rPr>
          <w:sz w:val="10"/>
        </w:rPr>
      </w:pPr>
    </w:p>
    <w:p w:rsidR="00C17088" w:rsidRDefault="00C17088" w:rsidP="00C1708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Последующие меры по выполнению заключительных замечаний</w:t>
      </w:r>
    </w:p>
    <w:p w:rsidR="00C17088" w:rsidRDefault="00C17088" w:rsidP="00C17088">
      <w:pPr>
        <w:pStyle w:val="SingleTxt"/>
        <w:spacing w:after="0" w:line="120" w:lineRule="exact"/>
        <w:rPr>
          <w:sz w:val="10"/>
        </w:rPr>
      </w:pPr>
    </w:p>
    <w:p w:rsidR="00C17088" w:rsidRDefault="00C17088" w:rsidP="00C17088">
      <w:pPr>
        <w:pStyle w:val="SingleTxt"/>
        <w:rPr>
          <w:b/>
        </w:rPr>
      </w:pPr>
      <w:r>
        <w:t>61.</w:t>
      </w:r>
      <w:r>
        <w:tab/>
      </w:r>
      <w:r>
        <w:rPr>
          <w:b/>
        </w:rPr>
        <w:t>Комитет просит государство-участник представить в течение двух лет письменную информацию о мерах, принятых для выполнения рекоменд</w:t>
      </w:r>
      <w:r>
        <w:rPr>
          <w:b/>
        </w:rPr>
        <w:t>а</w:t>
      </w:r>
      <w:r>
        <w:rPr>
          <w:b/>
        </w:rPr>
        <w:t>ций, содержащихся в вышеизложенных пунктах 21(с), 37, 43(с) и 53(</w:t>
      </w:r>
      <w:r>
        <w:rPr>
          <w:b/>
          <w:lang w:val="en-US"/>
        </w:rPr>
        <w:t>b</w:t>
      </w:r>
      <w:r>
        <w:rPr>
          <w:b/>
        </w:rPr>
        <w:t>).</w:t>
      </w:r>
    </w:p>
    <w:p w:rsidR="00C17088" w:rsidRDefault="00C17088" w:rsidP="00C1708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Подготовка следующего доклада</w:t>
      </w:r>
    </w:p>
    <w:p w:rsidR="00C17088" w:rsidRDefault="00C17088" w:rsidP="00C17088">
      <w:pPr>
        <w:pStyle w:val="SingleTxt"/>
        <w:spacing w:after="0" w:line="120" w:lineRule="exact"/>
        <w:rPr>
          <w:sz w:val="10"/>
        </w:rPr>
      </w:pPr>
    </w:p>
    <w:p w:rsidR="00C17088" w:rsidRDefault="00C17088" w:rsidP="00C17088">
      <w:pPr>
        <w:pStyle w:val="SingleTxt"/>
        <w:rPr>
          <w:b/>
        </w:rPr>
      </w:pPr>
      <w:r>
        <w:t>62.</w:t>
      </w:r>
      <w:r>
        <w:tab/>
      </w:r>
      <w:r>
        <w:rPr>
          <w:b/>
        </w:rPr>
        <w:t>Комитет просит государство-участник представить его третий пери</w:t>
      </w:r>
      <w:r>
        <w:rPr>
          <w:b/>
        </w:rPr>
        <w:t>о</w:t>
      </w:r>
      <w:r>
        <w:rPr>
          <w:b/>
        </w:rPr>
        <w:t>дический доклад в июле 2021 года. Этот доклад должен быть представлен в срок, а в случае задержки охватывать весь период до момента его пре</w:t>
      </w:r>
      <w:r>
        <w:rPr>
          <w:b/>
        </w:rPr>
        <w:t>д</w:t>
      </w:r>
      <w:r>
        <w:rPr>
          <w:b/>
        </w:rPr>
        <w:t>ставления.</w:t>
      </w:r>
    </w:p>
    <w:p w:rsidR="00C17088" w:rsidRDefault="00C17088" w:rsidP="00C17088">
      <w:pPr>
        <w:pStyle w:val="SingleTxt"/>
      </w:pPr>
      <w:r>
        <w:t>63.</w:t>
      </w:r>
      <w:r>
        <w:tab/>
      </w:r>
      <w:r>
        <w:rPr>
          <w:b/>
        </w:rPr>
        <w:t>Комитет просит государство-участник следовать согласованным р</w:t>
      </w:r>
      <w:r>
        <w:rPr>
          <w:b/>
        </w:rPr>
        <w:t>у</w:t>
      </w:r>
      <w:r>
        <w:rPr>
          <w:b/>
        </w:rPr>
        <w:t>ководящим принципам представления докладов согласно международным договорам о правах человека, включая руководящие принципы подгото</w:t>
      </w:r>
      <w:r>
        <w:rPr>
          <w:b/>
        </w:rPr>
        <w:t>в</w:t>
      </w:r>
      <w:r>
        <w:rPr>
          <w:b/>
        </w:rPr>
        <w:t>ки общего базового документа и документов по конкретным договорам (см.</w:t>
      </w:r>
      <w:r>
        <w:t xml:space="preserve"> </w:t>
      </w:r>
      <w:r>
        <w:rPr>
          <w:b/>
        </w:rPr>
        <w:t>HRI/GEN/2/Rev.6</w:t>
      </w:r>
      <w:r w:rsidRPr="00C17088">
        <w:rPr>
          <w:b/>
        </w:rPr>
        <w:t>, глава I).</w:t>
      </w:r>
    </w:p>
    <w:p w:rsidR="004444FD" w:rsidRPr="00C17088" w:rsidRDefault="00C17088" w:rsidP="00C17088">
      <w:pPr>
        <w:pStyle w:val="SingleTxt"/>
        <w:spacing w:after="0" w:line="240" w:lineRule="auto"/>
      </w:pPr>
      <w:r>
        <w:rPr>
          <w:noProof/>
          <w:w w:val="10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EEDC74" wp14:editId="708BFBFE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" strokecolor="#010000" strokeweight=".25pt"/>
            </w:pict>
          </mc:Fallback>
        </mc:AlternateContent>
      </w:r>
    </w:p>
    <w:sectPr w:rsidR="004444FD" w:rsidRPr="00C17088" w:rsidSect="004444FD">
      <w:type w:val="continuous"/>
      <w:pgSz w:w="12240" w:h="15840"/>
      <w:pgMar w:top="1440" w:right="1200" w:bottom="1152" w:left="1200" w:header="432" w:footer="504" w:gutter="0"/>
      <w:pgNumType w:start="1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17-09-21T11:10:00Z" w:initials="Start">
    <w:p w:rsidR="00925AB9" w:rsidRPr="004444FD" w:rsidRDefault="00925AB9">
      <w:pPr>
        <w:pStyle w:val="CommentText"/>
        <w:rPr>
          <w:lang w:val="en-US"/>
        </w:rPr>
      </w:pPr>
      <w:r>
        <w:fldChar w:fldCharType="begin"/>
      </w:r>
      <w:r w:rsidRPr="004444FD">
        <w:rPr>
          <w:rStyle w:val="CommentReference"/>
          <w:lang w:val="en-US"/>
        </w:rPr>
        <w:instrText xml:space="preserve"> </w:instrText>
      </w:r>
      <w:r w:rsidRPr="004444FD">
        <w:rPr>
          <w:lang w:val="en-US"/>
        </w:rPr>
        <w:instrText>PAGE \# "'Page: '#'</w:instrText>
      </w:r>
      <w:r w:rsidRPr="004444FD">
        <w:rPr>
          <w:lang w:val="en-US"/>
        </w:rPr>
        <w:br/>
        <w:instrText>'"</w:instrText>
      </w:r>
      <w:r w:rsidRPr="004444FD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4444FD">
        <w:rPr>
          <w:lang w:val="en-US"/>
        </w:rPr>
        <w:t>&lt;&lt;ODS JOB NO&gt;&gt;N1722763R&lt;&lt;ODS JOB NO&gt;&gt;</w:t>
      </w:r>
    </w:p>
    <w:p w:rsidR="00925AB9" w:rsidRPr="004444FD" w:rsidRDefault="00925AB9">
      <w:pPr>
        <w:pStyle w:val="CommentText"/>
        <w:rPr>
          <w:lang w:val="en-US"/>
        </w:rPr>
      </w:pPr>
      <w:r w:rsidRPr="004444FD">
        <w:rPr>
          <w:lang w:val="en-US"/>
        </w:rPr>
        <w:t>&lt;&lt;ODS DOC SYMBOL1&gt;&gt;CEDAW/C/MNE/CO/2&lt;&lt;ODS DOC SYMBOL1&gt;&gt;</w:t>
      </w:r>
    </w:p>
    <w:p w:rsidR="00925AB9" w:rsidRPr="004444FD" w:rsidRDefault="00925AB9">
      <w:pPr>
        <w:pStyle w:val="CommentText"/>
        <w:rPr>
          <w:lang w:val="en-US"/>
        </w:rPr>
      </w:pPr>
      <w:r w:rsidRPr="004444FD">
        <w:rPr>
          <w:lang w:val="en-US"/>
        </w:rP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AB9" w:rsidRDefault="00925AB9" w:rsidP="00925AB9">
      <w:pPr>
        <w:spacing w:line="240" w:lineRule="auto"/>
      </w:pPr>
      <w:r>
        <w:separator/>
      </w:r>
    </w:p>
  </w:endnote>
  <w:endnote w:type="continuationSeparator" w:id="0">
    <w:p w:rsidR="00925AB9" w:rsidRDefault="00925AB9" w:rsidP="00925A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rcode 3 of 9 by request">
    <w:panose1 w:val="020B08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28"/>
      <w:gridCol w:w="5028"/>
    </w:tblGrid>
    <w:tr w:rsidR="00925AB9" w:rsidTr="00925AB9">
      <w:tblPrEx>
        <w:tblCellMar>
          <w:top w:w="0" w:type="dxa"/>
          <w:bottom w:w="0" w:type="dxa"/>
        </w:tblCellMar>
      </w:tblPrEx>
      <w:tc>
        <w:tcPr>
          <w:tcW w:w="5028" w:type="dxa"/>
          <w:shd w:val="clear" w:color="auto" w:fill="auto"/>
          <w:vAlign w:val="bottom"/>
        </w:tcPr>
        <w:p w:rsidR="00925AB9" w:rsidRPr="00925AB9" w:rsidRDefault="00925AB9" w:rsidP="00925AB9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4338E8">
            <w:rPr>
              <w:noProof/>
            </w:rPr>
            <w:t>16</w:t>
          </w:r>
          <w:r>
            <w:fldChar w:fldCharType="end"/>
          </w:r>
          <w:r>
            <w:t>/</w:t>
          </w:r>
          <w:fldSimple w:instr=" NUMPAGES  \* Arabic  \* MERGEFORMAT ">
            <w:r w:rsidR="004338E8">
              <w:rPr>
                <w:noProof/>
              </w:rPr>
              <w:t>21</w:t>
            </w:r>
          </w:fldSimple>
        </w:p>
      </w:tc>
      <w:tc>
        <w:tcPr>
          <w:tcW w:w="5028" w:type="dxa"/>
          <w:shd w:val="clear" w:color="auto" w:fill="auto"/>
          <w:vAlign w:val="bottom"/>
        </w:tcPr>
        <w:p w:rsidR="00925AB9" w:rsidRPr="004444FD" w:rsidRDefault="00925AB9" w:rsidP="00925AB9">
          <w:pPr>
            <w:pStyle w:val="Footer"/>
            <w:jc w:val="right"/>
            <w:rPr>
              <w:b w:val="0"/>
              <w:color w:val="000000"/>
              <w:sz w:val="14"/>
              <w:lang w:val="en-US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A142CB">
            <w:rPr>
              <w:b w:val="0"/>
              <w:color w:val="000000"/>
              <w:sz w:val="14"/>
            </w:rPr>
            <w:t>17-11287</w:t>
          </w:r>
          <w:r>
            <w:rPr>
              <w:b w:val="0"/>
              <w:color w:val="000000"/>
              <w:sz w:val="14"/>
            </w:rPr>
            <w:fldChar w:fldCharType="end"/>
          </w:r>
          <w:r w:rsidR="004444FD">
            <w:rPr>
              <w:b w:val="0"/>
              <w:color w:val="000000"/>
              <w:sz w:val="14"/>
              <w:lang w:val="en-US"/>
            </w:rPr>
            <w:t>X</w:t>
          </w:r>
        </w:p>
      </w:tc>
    </w:tr>
  </w:tbl>
  <w:p w:rsidR="00925AB9" w:rsidRPr="00925AB9" w:rsidRDefault="00925AB9" w:rsidP="00925A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28"/>
      <w:gridCol w:w="5028"/>
    </w:tblGrid>
    <w:tr w:rsidR="00925AB9" w:rsidTr="00925AB9">
      <w:tblPrEx>
        <w:tblCellMar>
          <w:top w:w="0" w:type="dxa"/>
          <w:bottom w:w="0" w:type="dxa"/>
        </w:tblCellMar>
      </w:tblPrEx>
      <w:tc>
        <w:tcPr>
          <w:tcW w:w="5028" w:type="dxa"/>
          <w:shd w:val="clear" w:color="auto" w:fill="auto"/>
          <w:vAlign w:val="bottom"/>
        </w:tcPr>
        <w:p w:rsidR="00925AB9" w:rsidRPr="004444FD" w:rsidRDefault="00925AB9" w:rsidP="00925AB9">
          <w:pPr>
            <w:pStyle w:val="Footer"/>
            <w:rPr>
              <w:b w:val="0"/>
              <w:color w:val="000000"/>
              <w:sz w:val="14"/>
              <w:lang w:val="en-US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A142CB">
            <w:rPr>
              <w:b w:val="0"/>
              <w:color w:val="000000"/>
              <w:sz w:val="14"/>
            </w:rPr>
            <w:t>17-11287</w:t>
          </w:r>
          <w:r>
            <w:rPr>
              <w:b w:val="0"/>
              <w:color w:val="000000"/>
              <w:sz w:val="14"/>
            </w:rPr>
            <w:fldChar w:fldCharType="end"/>
          </w:r>
          <w:r w:rsidR="004444FD">
            <w:rPr>
              <w:b w:val="0"/>
              <w:color w:val="000000"/>
              <w:sz w:val="14"/>
              <w:lang w:val="en-US"/>
            </w:rPr>
            <w:t>X</w:t>
          </w:r>
        </w:p>
      </w:tc>
      <w:tc>
        <w:tcPr>
          <w:tcW w:w="5028" w:type="dxa"/>
          <w:shd w:val="clear" w:color="auto" w:fill="auto"/>
          <w:vAlign w:val="bottom"/>
        </w:tcPr>
        <w:p w:rsidR="00925AB9" w:rsidRPr="00925AB9" w:rsidRDefault="00925AB9" w:rsidP="00925AB9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4338E8">
            <w:rPr>
              <w:noProof/>
            </w:rPr>
            <w:t>17</w:t>
          </w:r>
          <w:r>
            <w:fldChar w:fldCharType="end"/>
          </w:r>
          <w:r>
            <w:t>/</w:t>
          </w:r>
          <w:fldSimple w:instr=" NUMPAGES  \* Arabic  \* MERGEFORMAT ">
            <w:r w:rsidR="004338E8">
              <w:rPr>
                <w:noProof/>
              </w:rPr>
              <w:t>21</w:t>
            </w:r>
          </w:fldSimple>
        </w:p>
      </w:tc>
    </w:tr>
  </w:tbl>
  <w:p w:rsidR="00925AB9" w:rsidRPr="00925AB9" w:rsidRDefault="00925AB9" w:rsidP="00925A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30"/>
      <w:gridCol w:w="5028"/>
    </w:tblGrid>
    <w:tr w:rsidR="00925AB9" w:rsidTr="00925AB9">
      <w:tblPrEx>
        <w:tblCellMar>
          <w:top w:w="0" w:type="dxa"/>
          <w:bottom w:w="0" w:type="dxa"/>
        </w:tblCellMar>
      </w:tblPrEx>
      <w:tc>
        <w:tcPr>
          <w:tcW w:w="3830" w:type="dxa"/>
        </w:tcPr>
        <w:p w:rsidR="00925AB9" w:rsidRDefault="00925AB9" w:rsidP="00925AB9">
          <w:pPr>
            <w:pStyle w:val="ReleaseDate"/>
            <w:rPr>
              <w:color w:val="010000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8240" behindDoc="0" locked="0" layoutInCell="1" allowOverlap="1" wp14:anchorId="0B8878BC" wp14:editId="0D8C7886">
                <wp:simplePos x="0" y="0"/>
                <wp:positionH relativeFrom="column">
                  <wp:posOffset>5541010</wp:posOffset>
                </wp:positionH>
                <wp:positionV relativeFrom="paragraph">
                  <wp:posOffset>-328930</wp:posOffset>
                </wp:positionV>
                <wp:extent cx="694690" cy="694690"/>
                <wp:effectExtent l="0" t="0" r="0" b="0"/>
                <wp:wrapNone/>
                <wp:docPr id="3" name="Picture 3" descr="https://undocs.org/m2/QRCode2.ashx?DS=CEDAW/C/MNE/CO/2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undocs.org/m2/QRCode2.ashx?DS=CEDAW/C/MNE/CO/2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17-11287</w:t>
          </w:r>
          <w:r w:rsidR="004444FD">
            <w:rPr>
              <w:lang w:val="en-US"/>
            </w:rPr>
            <w:t>X</w:t>
          </w:r>
          <w:r>
            <w:t xml:space="preserve"> (R)</w:t>
          </w:r>
          <w:r>
            <w:rPr>
              <w:color w:val="010000"/>
            </w:rPr>
            <w:t xml:space="preserve">    </w:t>
          </w:r>
          <w:r w:rsidR="004444FD">
            <w:rPr>
              <w:color w:val="010000"/>
              <w:lang w:val="en-US"/>
            </w:rPr>
            <w:t>19</w:t>
          </w:r>
          <w:r>
            <w:rPr>
              <w:color w:val="010000"/>
            </w:rPr>
            <w:t>0917    210917</w:t>
          </w:r>
        </w:p>
        <w:p w:rsidR="00925AB9" w:rsidRPr="00925AB9" w:rsidRDefault="00925AB9" w:rsidP="00925AB9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*1711287*</w:t>
          </w:r>
        </w:p>
      </w:tc>
      <w:tc>
        <w:tcPr>
          <w:tcW w:w="5028" w:type="dxa"/>
        </w:tcPr>
        <w:p w:rsidR="00925AB9" w:rsidRDefault="00925AB9" w:rsidP="00925AB9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US"/>
            </w:rPr>
            <w:drawing>
              <wp:inline distT="0" distB="0" distL="0" distR="0" wp14:anchorId="60F8774E" wp14:editId="3705E83E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25AB9" w:rsidRPr="00925AB9" w:rsidRDefault="00925AB9" w:rsidP="00925AB9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AB9" w:rsidRPr="00C17088" w:rsidRDefault="00C17088" w:rsidP="00C17088">
      <w:pPr>
        <w:pStyle w:val="Footer"/>
        <w:spacing w:after="80"/>
        <w:ind w:left="792"/>
      </w:pPr>
      <w:r w:rsidRPr="00C17088">
        <w:t>__________________</w:t>
      </w:r>
    </w:p>
  </w:footnote>
  <w:footnote w:type="continuationSeparator" w:id="0">
    <w:p w:rsidR="00925AB9" w:rsidRPr="00C17088" w:rsidRDefault="00C17088" w:rsidP="00C17088">
      <w:pPr>
        <w:pStyle w:val="Footer"/>
        <w:spacing w:after="80"/>
        <w:ind w:left="792"/>
      </w:pPr>
      <w:r w:rsidRPr="00C17088">
        <w:t>__________________</w:t>
      </w:r>
    </w:p>
  </w:footnote>
  <w:footnote w:id="1">
    <w:p w:rsidR="00C17088" w:rsidRDefault="00C17088" w:rsidP="00C17088">
      <w:pPr>
        <w:pStyle w:val="FootnoteText"/>
        <w:keepNext/>
        <w:keepLines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>Международный пакт об экономических, социальных и культурных правах; Международный пакт о гражданских и политических правах; Международная конвенция о ликвидации всех форм расовой дискриминации; Конвенция о ликвидации всех форм дискриминации в отношении женщин; Конвенция против пыток и других жестоких, бесчеловечных или унижающих достоинство видов обращения и наказания; Конвенция о правах ребенка; Международная конвенция о защите прав всех трудящихся-мигрантов и членов их семей; Международная конвенция для защиты всех лиц от насильственных исчезновений и Конвенция о правах инвалидов.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66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28"/>
    </w:tblGrid>
    <w:tr w:rsidR="00925AB9" w:rsidTr="00925AB9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925AB9" w:rsidRPr="00925AB9" w:rsidRDefault="00925AB9" w:rsidP="00925AB9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A142CB">
            <w:rPr>
              <w:b/>
            </w:rPr>
            <w:t>CEDAW/C/MNE/CO/2</w:t>
          </w:r>
          <w:r>
            <w:rPr>
              <w:b/>
            </w:rPr>
            <w:fldChar w:fldCharType="end"/>
          </w:r>
        </w:p>
      </w:tc>
      <w:tc>
        <w:tcPr>
          <w:tcW w:w="5028" w:type="dxa"/>
          <w:shd w:val="clear" w:color="auto" w:fill="auto"/>
          <w:vAlign w:val="bottom"/>
        </w:tcPr>
        <w:p w:rsidR="00925AB9" w:rsidRDefault="00925AB9" w:rsidP="00925AB9">
          <w:pPr>
            <w:pStyle w:val="Header"/>
          </w:pPr>
        </w:p>
      </w:tc>
    </w:tr>
  </w:tbl>
  <w:p w:rsidR="00925AB9" w:rsidRPr="00925AB9" w:rsidRDefault="00925AB9" w:rsidP="00925A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66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28"/>
    </w:tblGrid>
    <w:tr w:rsidR="00925AB9" w:rsidTr="00925AB9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925AB9" w:rsidRDefault="00925AB9" w:rsidP="00925AB9">
          <w:pPr>
            <w:pStyle w:val="Header"/>
          </w:pPr>
        </w:p>
      </w:tc>
      <w:tc>
        <w:tcPr>
          <w:tcW w:w="5028" w:type="dxa"/>
          <w:shd w:val="clear" w:color="auto" w:fill="auto"/>
          <w:vAlign w:val="bottom"/>
        </w:tcPr>
        <w:p w:rsidR="00925AB9" w:rsidRPr="00925AB9" w:rsidRDefault="00925AB9" w:rsidP="00925AB9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A142CB">
            <w:rPr>
              <w:b/>
            </w:rPr>
            <w:t>CEDAW/C/MNE/CO/2</w:t>
          </w:r>
          <w:r>
            <w:rPr>
              <w:b/>
            </w:rPr>
            <w:fldChar w:fldCharType="end"/>
          </w:r>
        </w:p>
      </w:tc>
    </w:tr>
  </w:tbl>
  <w:p w:rsidR="00925AB9" w:rsidRPr="00925AB9" w:rsidRDefault="00925AB9" w:rsidP="00925AB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1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140"/>
      <w:gridCol w:w="40"/>
    </w:tblGrid>
    <w:tr w:rsidR="00925AB9" w:rsidTr="00925AB9">
      <w:tblPrEx>
        <w:tblCellMar>
          <w:top w:w="0" w:type="dxa"/>
          <w:bottom w:w="0" w:type="dxa"/>
        </w:tblCellMar>
      </w:tblPrEx>
      <w:trPr>
        <w:gridAfter w:val="1"/>
        <w:wAfter w:w="40" w:type="dxa"/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925AB9" w:rsidRPr="00925AB9" w:rsidRDefault="00925AB9" w:rsidP="00925AB9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925AB9" w:rsidRDefault="00925AB9" w:rsidP="00925AB9">
          <w:pPr>
            <w:pStyle w:val="Header"/>
            <w:spacing w:after="120"/>
          </w:pPr>
        </w:p>
      </w:tc>
      <w:tc>
        <w:tcPr>
          <w:tcW w:w="5213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925AB9" w:rsidRPr="00925AB9" w:rsidRDefault="00925AB9" w:rsidP="00925AB9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CEDAW</w:t>
          </w:r>
          <w:r>
            <w:rPr>
              <w:sz w:val="20"/>
            </w:rPr>
            <w:t>/C/MNE/CO/2</w:t>
          </w:r>
        </w:p>
      </w:tc>
    </w:tr>
    <w:tr w:rsidR="00925AB9" w:rsidRPr="004444FD" w:rsidTr="00925AB9">
      <w:tblPrEx>
        <w:tblCellMar>
          <w:top w:w="0" w:type="dxa"/>
          <w:bottom w:w="0" w:type="dxa"/>
        </w:tblCellMar>
      </w:tblPrEx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925AB9" w:rsidRPr="00925AB9" w:rsidRDefault="00925AB9" w:rsidP="00925AB9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US"/>
            </w:rPr>
            <w:drawing>
              <wp:inline distT="0" distB="0" distL="0" distR="0" wp14:anchorId="28E08BB8" wp14:editId="495CE34A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925AB9" w:rsidRPr="00925AB9" w:rsidRDefault="00925AB9" w:rsidP="00925AB9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Конвенция о ликвидации</w:t>
          </w:r>
          <w:r>
            <w:rPr>
              <w:sz w:val="34"/>
            </w:rPr>
            <w:br/>
            <w:t>всех форм дискриминации</w:t>
          </w:r>
          <w:r>
            <w:rPr>
              <w:sz w:val="34"/>
            </w:rPr>
            <w:br/>
            <w:t>в отношении женщин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925AB9" w:rsidRPr="00925AB9" w:rsidRDefault="00925AB9" w:rsidP="00925AB9">
          <w:pPr>
            <w:pStyle w:val="Header"/>
            <w:spacing w:before="109"/>
          </w:pPr>
        </w:p>
      </w:tc>
      <w:tc>
        <w:tcPr>
          <w:tcW w:w="3180" w:type="dxa"/>
          <w:gridSpan w:val="2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925AB9" w:rsidRPr="004444FD" w:rsidRDefault="00925AB9" w:rsidP="00925AB9">
          <w:pPr>
            <w:pStyle w:val="Distribution"/>
            <w:rPr>
              <w:color w:val="000000"/>
              <w:lang w:val="en-US"/>
            </w:rPr>
          </w:pPr>
          <w:r w:rsidRPr="004444FD">
            <w:rPr>
              <w:color w:val="000000"/>
              <w:lang w:val="en-US"/>
            </w:rPr>
            <w:t>Distr.: General</w:t>
          </w:r>
        </w:p>
        <w:p w:rsidR="00925AB9" w:rsidRPr="004444FD" w:rsidRDefault="00925AB9" w:rsidP="00925AB9">
          <w:pPr>
            <w:pStyle w:val="Publication"/>
            <w:rPr>
              <w:color w:val="000000"/>
              <w:lang w:val="en-US"/>
            </w:rPr>
          </w:pPr>
          <w:r w:rsidRPr="004444FD">
            <w:rPr>
              <w:color w:val="000000"/>
              <w:lang w:val="en-US"/>
            </w:rPr>
            <w:t>24 July 2017</w:t>
          </w:r>
        </w:p>
        <w:p w:rsidR="00925AB9" w:rsidRPr="004444FD" w:rsidRDefault="00925AB9" w:rsidP="00925AB9">
          <w:pPr>
            <w:rPr>
              <w:color w:val="000000"/>
              <w:lang w:val="en-US"/>
            </w:rPr>
          </w:pPr>
          <w:r w:rsidRPr="004444FD">
            <w:rPr>
              <w:color w:val="000000"/>
              <w:lang w:val="en-US"/>
            </w:rPr>
            <w:t>Russian</w:t>
          </w:r>
        </w:p>
        <w:p w:rsidR="00925AB9" w:rsidRPr="004444FD" w:rsidRDefault="00925AB9" w:rsidP="00925AB9">
          <w:pPr>
            <w:pStyle w:val="Original"/>
            <w:rPr>
              <w:color w:val="000000"/>
              <w:lang w:val="en-US"/>
            </w:rPr>
          </w:pPr>
          <w:r w:rsidRPr="004444FD">
            <w:rPr>
              <w:color w:val="000000"/>
              <w:lang w:val="en-US"/>
            </w:rPr>
            <w:t>Original: English</w:t>
          </w:r>
        </w:p>
        <w:p w:rsidR="00925AB9" w:rsidRPr="004444FD" w:rsidRDefault="00925AB9" w:rsidP="00925AB9">
          <w:pPr>
            <w:rPr>
              <w:lang w:val="en-US"/>
            </w:rPr>
          </w:pPr>
        </w:p>
      </w:tc>
    </w:tr>
  </w:tbl>
  <w:p w:rsidR="00925AB9" w:rsidRPr="004444FD" w:rsidRDefault="00925AB9" w:rsidP="00925AB9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8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5"/>
  </w:num>
  <w:num w:numId="11">
    <w:abstractNumId w:val="8"/>
  </w:num>
  <w:num w:numId="12">
    <w:abstractNumId w:val="7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5"/>
  </w:num>
  <w:num w:numId="20">
    <w:abstractNumId w:val="8"/>
  </w:num>
  <w:num w:numId="21">
    <w:abstractNumId w:val="7"/>
  </w:num>
  <w:num w:numId="22">
    <w:abstractNumId w:val="6"/>
  </w:num>
  <w:num w:numId="23">
    <w:abstractNumId w:val="4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5"/>
  </w:num>
  <w:num w:numId="29">
    <w:abstractNumId w:val="8"/>
  </w:num>
  <w:num w:numId="30">
    <w:abstractNumId w:val="7"/>
  </w:num>
  <w:num w:numId="31">
    <w:abstractNumId w:val="6"/>
  </w:num>
  <w:num w:numId="32">
    <w:abstractNumId w:val="4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5"/>
  </w:num>
  <w:num w:numId="38">
    <w:abstractNumId w:val="8"/>
  </w:num>
  <w:num w:numId="39">
    <w:abstractNumId w:val="7"/>
  </w:num>
  <w:num w:numId="40">
    <w:abstractNumId w:val="6"/>
  </w:num>
  <w:num w:numId="41">
    <w:abstractNumId w:val="4"/>
  </w:num>
  <w:num w:numId="42">
    <w:abstractNumId w:val="3"/>
  </w:num>
  <w:num w:numId="43">
    <w:abstractNumId w:val="2"/>
  </w:num>
  <w:num w:numId="44">
    <w:abstractNumId w:val="1"/>
  </w:num>
  <w:num w:numId="45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GrammaticalErrors/>
  <w:proofState w:spelling="clean"/>
  <w:revisionView w:markup="0"/>
  <w:defaultTabStop w:val="475"/>
  <w:autoHyphenation/>
  <w:hyphenationZone w:val="220"/>
  <w:doNotHyphenateCaps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arcode" w:val="*1711287*"/>
    <w:docVar w:name="CreationDt" w:val="21/09/2017 11:10 AM"/>
    <w:docVar w:name="DocCategory" w:val="Doc"/>
    <w:docVar w:name="DocType" w:val="Final"/>
    <w:docVar w:name="DutyStation" w:val="New York"/>
    <w:docVar w:name="FooterJN" w:val="17-11287"/>
    <w:docVar w:name="jobn" w:val="17-11287 (R)"/>
    <w:docVar w:name="jobnDT" w:val="17-11287 (R)   210917"/>
    <w:docVar w:name="jobnDTDT" w:val="17-11287 (R)   210917   210917"/>
    <w:docVar w:name="JobNo" w:val="1711287R"/>
    <w:docVar w:name="JobNo2" w:val="1722763R"/>
    <w:docVar w:name="LocalDrive" w:val="0"/>
    <w:docVar w:name="OandT" w:val=" "/>
    <w:docVar w:name="sss1" w:val="CEDAW/C/MNE/CO/2"/>
    <w:docVar w:name="sss2" w:val="-"/>
    <w:docVar w:name="Symbol1" w:val="CEDAW/C/MNE/CO/2"/>
    <w:docVar w:name="Symbol2" w:val="-"/>
  </w:docVars>
  <w:rsids>
    <w:rsidRoot w:val="003E5BA9"/>
    <w:rsid w:val="001B0786"/>
    <w:rsid w:val="00215A7D"/>
    <w:rsid w:val="00244156"/>
    <w:rsid w:val="003807EF"/>
    <w:rsid w:val="0038495D"/>
    <w:rsid w:val="003D7C5B"/>
    <w:rsid w:val="003E5BA9"/>
    <w:rsid w:val="004275D7"/>
    <w:rsid w:val="004338E8"/>
    <w:rsid w:val="004444FD"/>
    <w:rsid w:val="004A33E4"/>
    <w:rsid w:val="004E0D34"/>
    <w:rsid w:val="005644C2"/>
    <w:rsid w:val="00571999"/>
    <w:rsid w:val="005A1721"/>
    <w:rsid w:val="005A2266"/>
    <w:rsid w:val="005B58D8"/>
    <w:rsid w:val="00643F79"/>
    <w:rsid w:val="006B0972"/>
    <w:rsid w:val="006D4969"/>
    <w:rsid w:val="00705A84"/>
    <w:rsid w:val="008E0493"/>
    <w:rsid w:val="00925AB9"/>
    <w:rsid w:val="009F077A"/>
    <w:rsid w:val="00A142CB"/>
    <w:rsid w:val="00A72FF5"/>
    <w:rsid w:val="00C17088"/>
    <w:rsid w:val="00CA4BB0"/>
    <w:rsid w:val="00E25037"/>
    <w:rsid w:val="00E720E8"/>
    <w:rsid w:val="00F63321"/>
    <w:rsid w:val="00F8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2"/>
    <w:lsdException w:name="footer" w:uiPriority="2"/>
    <w:lsdException w:name="caption" w:uiPriority="35" w:qFormat="1"/>
    <w:lsdException w:name="footnote reference" w:uiPriority="0"/>
    <w:lsdException w:name="endnote reference" w:uiPriority="1"/>
    <w:lsdException w:name="endnote text" w:uiPriority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4A33E4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4A33E4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4A33E4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A33E4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">
    <w:name w:val="_ H __M"/>
    <w:basedOn w:val="Normal"/>
    <w:next w:val="Normal"/>
    <w:qFormat/>
    <w:rsid w:val="004A33E4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qFormat/>
    <w:rsid w:val="004A33E4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4A33E4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4A33E4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4A33E4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4A33E4"/>
    <w:pPr>
      <w:keepNext/>
      <w:keepLines/>
      <w:tabs>
        <w:tab w:val="right" w:pos="360"/>
      </w:tabs>
      <w:suppressAutoHyphens/>
      <w:ind w:left="1267" w:right="1267" w:hanging="1267"/>
      <w:outlineLvl w:val="4"/>
    </w:pPr>
  </w:style>
  <w:style w:type="paragraph" w:customStyle="1" w:styleId="DualTxt">
    <w:name w:val="__Dual Txt"/>
    <w:basedOn w:val="Normal"/>
    <w:qFormat/>
    <w:rsid w:val="004A33E4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4A33E4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4A33E4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SM"/>
    <w:next w:val="Normal"/>
    <w:qFormat/>
    <w:rsid w:val="004A33E4"/>
    <w:pPr>
      <w:spacing w:line="300" w:lineRule="exact"/>
      <w:ind w:left="1264" w:right="1264"/>
    </w:pPr>
    <w:rPr>
      <w:sz w:val="28"/>
    </w:rPr>
  </w:style>
  <w:style w:type="paragraph" w:customStyle="1" w:styleId="SingleTxt">
    <w:name w:val="__Single Txt"/>
    <w:basedOn w:val="Normal"/>
    <w:qFormat/>
    <w:rsid w:val="004A33E4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 w:line="240" w:lineRule="atLeast"/>
      <w:ind w:left="1267" w:right="1267"/>
      <w:jc w:val="both"/>
    </w:pPr>
  </w:style>
  <w:style w:type="paragraph" w:customStyle="1" w:styleId="AgendaItemNormal">
    <w:name w:val="Agenda_Item_Normal"/>
    <w:next w:val="Normal"/>
    <w:qFormat/>
    <w:rsid w:val="004A33E4"/>
    <w:pPr>
      <w:spacing w:after="0" w:line="240" w:lineRule="exact"/>
    </w:pPr>
    <w:rPr>
      <w:rFonts w:ascii="Times New Roman" w:hAnsi="Times New Roman"/>
      <w:spacing w:val="4"/>
      <w:w w:val="103"/>
      <w:kern w:val="14"/>
      <w:sz w:val="20"/>
      <w:lang w:val="ru-RU"/>
    </w:rPr>
  </w:style>
  <w:style w:type="paragraph" w:customStyle="1" w:styleId="TitleH1">
    <w:name w:val="Title_H1"/>
    <w:basedOn w:val="H1"/>
    <w:next w:val="SingleTxt"/>
    <w:qFormat/>
    <w:rsid w:val="004A33E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</w:pPr>
  </w:style>
  <w:style w:type="paragraph" w:customStyle="1" w:styleId="AgendaTitleH2">
    <w:name w:val="Agenda_Title_H2"/>
    <w:basedOn w:val="TitleH1"/>
    <w:next w:val="Normal"/>
    <w:qFormat/>
    <w:rsid w:val="004A33E4"/>
    <w:pPr>
      <w:keepNext/>
      <w:keepLines/>
      <w:spacing w:line="240" w:lineRule="exact"/>
      <w:ind w:right="5040"/>
      <w:outlineLvl w:val="1"/>
    </w:pPr>
    <w:rPr>
      <w:sz w:val="20"/>
    </w:rPr>
  </w:style>
  <w:style w:type="paragraph" w:customStyle="1" w:styleId="Bullet1">
    <w:name w:val="Bullet 1"/>
    <w:basedOn w:val="Normal"/>
    <w:qFormat/>
    <w:rsid w:val="004A33E4"/>
    <w:pPr>
      <w:numPr>
        <w:numId w:val="37"/>
      </w:numPr>
      <w:spacing w:after="120"/>
      <w:ind w:right="1267"/>
      <w:jc w:val="both"/>
    </w:pPr>
  </w:style>
  <w:style w:type="paragraph" w:customStyle="1" w:styleId="Bullet2">
    <w:name w:val="Bullet 2"/>
    <w:basedOn w:val="Normal"/>
    <w:qFormat/>
    <w:rsid w:val="004A33E4"/>
    <w:pPr>
      <w:numPr>
        <w:numId w:val="38"/>
      </w:numPr>
      <w:spacing w:after="120"/>
      <w:ind w:right="1267"/>
      <w:jc w:val="both"/>
    </w:pPr>
  </w:style>
  <w:style w:type="paragraph" w:customStyle="1" w:styleId="Bullet3">
    <w:name w:val="Bullet 3"/>
    <w:basedOn w:val="SingleTxt"/>
    <w:qFormat/>
    <w:rsid w:val="004A33E4"/>
    <w:pPr>
      <w:numPr>
        <w:numId w:val="39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</w:pPr>
  </w:style>
  <w:style w:type="paragraph" w:customStyle="1" w:styleId="Distribution">
    <w:name w:val="Distribution"/>
    <w:basedOn w:val="Normal"/>
    <w:next w:val="Normal"/>
    <w:autoRedefine/>
    <w:qFormat/>
    <w:rsid w:val="004A33E4"/>
    <w:pPr>
      <w:spacing w:before="240"/>
    </w:pPr>
    <w:rPr>
      <w:szCs w:val="20"/>
    </w:rPr>
  </w:style>
  <w:style w:type="character" w:styleId="EndnoteReference">
    <w:name w:val="endnote reference"/>
    <w:basedOn w:val="DefaultParagraphFont"/>
    <w:uiPriority w:val="1"/>
    <w:semiHidden/>
    <w:rsid w:val="004A33E4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4A33E4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4A33E4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styleId="Footer">
    <w:name w:val="footer"/>
    <w:basedOn w:val="Normal"/>
    <w:link w:val="FooterChar"/>
    <w:uiPriority w:val="2"/>
    <w:unhideWhenUsed/>
    <w:rsid w:val="004A33E4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4A33E4"/>
    <w:rPr>
      <w:rFonts w:ascii="Times New Roman" w:hAnsi="Times New Roman"/>
      <w:b/>
      <w:sz w:val="17"/>
      <w:lang w:val="ru-RU"/>
    </w:rPr>
  </w:style>
  <w:style w:type="character" w:styleId="FootnoteReference">
    <w:name w:val="footnote reference"/>
    <w:basedOn w:val="DefaultParagraphFont"/>
    <w:semiHidden/>
    <w:rsid w:val="004A33E4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unhideWhenUsed/>
    <w:rsid w:val="004A33E4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rsid w:val="004A33E4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styleId="Header">
    <w:name w:val="header"/>
    <w:basedOn w:val="Normal"/>
    <w:link w:val="HeaderChar"/>
    <w:uiPriority w:val="2"/>
    <w:rsid w:val="004A33E4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4A33E4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4A33E4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  <w:lang w:val="ru-RU"/>
    </w:rPr>
  </w:style>
  <w:style w:type="character" w:customStyle="1" w:styleId="Heading2Char">
    <w:name w:val="Heading 2 Char"/>
    <w:basedOn w:val="DefaultParagraphFont"/>
    <w:link w:val="Heading2"/>
    <w:uiPriority w:val="9"/>
    <w:rsid w:val="004A33E4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  <w:lang w:val="ru-RU"/>
    </w:rPr>
  </w:style>
  <w:style w:type="character" w:customStyle="1" w:styleId="Heading3Char">
    <w:name w:val="Heading 3 Char"/>
    <w:basedOn w:val="DefaultParagraphFont"/>
    <w:link w:val="Heading3"/>
    <w:uiPriority w:val="9"/>
    <w:rsid w:val="004A33E4"/>
    <w:rPr>
      <w:rFonts w:ascii="Arial" w:eastAsiaTheme="majorEastAsia" w:hAnsi="Arial" w:cstheme="majorBidi"/>
      <w:b/>
      <w:bCs/>
      <w:spacing w:val="4"/>
      <w:w w:val="103"/>
      <w:kern w:val="14"/>
      <w:sz w:val="26"/>
      <w:lang w:val="ru-RU"/>
    </w:rPr>
  </w:style>
  <w:style w:type="paragraph" w:styleId="ListContinue">
    <w:name w:val="List Continue"/>
    <w:basedOn w:val="Normal"/>
    <w:uiPriority w:val="99"/>
    <w:semiHidden/>
    <w:rsid w:val="004A33E4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4A33E4"/>
    <w:pPr>
      <w:numPr>
        <w:numId w:val="40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4A33E4"/>
    <w:pPr>
      <w:numPr>
        <w:numId w:val="41"/>
      </w:numPr>
      <w:contextualSpacing/>
    </w:pPr>
  </w:style>
  <w:style w:type="paragraph" w:styleId="ListNumber2">
    <w:name w:val="List Number 2"/>
    <w:basedOn w:val="H23"/>
    <w:next w:val="Normal"/>
    <w:uiPriority w:val="99"/>
    <w:rsid w:val="004A33E4"/>
    <w:pPr>
      <w:numPr>
        <w:numId w:val="42"/>
      </w:numPr>
      <w:tabs>
        <w:tab w:val="left" w:pos="648"/>
      </w:tabs>
      <w:contextualSpacing/>
    </w:pPr>
  </w:style>
  <w:style w:type="paragraph" w:styleId="ListNumber3">
    <w:name w:val="List Number 3"/>
    <w:basedOn w:val="H23"/>
    <w:next w:val="Normal"/>
    <w:uiPriority w:val="99"/>
    <w:rsid w:val="004A33E4"/>
    <w:pPr>
      <w:numPr>
        <w:numId w:val="43"/>
      </w:numPr>
      <w:tabs>
        <w:tab w:val="left" w:pos="922"/>
      </w:tabs>
      <w:contextualSpacing/>
    </w:pPr>
  </w:style>
  <w:style w:type="paragraph" w:styleId="ListNumber4">
    <w:name w:val="List Number 4"/>
    <w:basedOn w:val="Normal"/>
    <w:uiPriority w:val="99"/>
    <w:rsid w:val="004A33E4"/>
    <w:pPr>
      <w:keepNext/>
      <w:keepLines/>
      <w:numPr>
        <w:numId w:val="44"/>
      </w:numPr>
      <w:tabs>
        <w:tab w:val="left" w:pos="1210"/>
      </w:tabs>
      <w:suppressAutoHyphens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4A33E4"/>
    <w:pPr>
      <w:numPr>
        <w:numId w:val="45"/>
      </w:numPr>
      <w:tabs>
        <w:tab w:val="left" w:pos="1498"/>
      </w:tabs>
      <w:contextualSpacing/>
    </w:pPr>
  </w:style>
  <w:style w:type="paragraph" w:styleId="NoSpacing">
    <w:name w:val="No Spacing"/>
    <w:uiPriority w:val="1"/>
    <w:rsid w:val="004A33E4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  <w:lang w:val="en-US"/>
    </w:rPr>
  </w:style>
  <w:style w:type="paragraph" w:customStyle="1" w:styleId="Original">
    <w:name w:val="Original"/>
    <w:basedOn w:val="Normal"/>
    <w:next w:val="Normal"/>
    <w:qFormat/>
    <w:rsid w:val="004A33E4"/>
    <w:rPr>
      <w:szCs w:val="20"/>
    </w:rPr>
  </w:style>
  <w:style w:type="paragraph" w:customStyle="1" w:styleId="Publication">
    <w:name w:val="Publication"/>
    <w:basedOn w:val="Normal"/>
    <w:next w:val="Normal"/>
    <w:qFormat/>
    <w:rsid w:val="004A33E4"/>
  </w:style>
  <w:style w:type="paragraph" w:customStyle="1" w:styleId="ReleaseDate">
    <w:name w:val="ReleaseDate"/>
    <w:basedOn w:val="Normal"/>
    <w:next w:val="Normal"/>
    <w:qFormat/>
    <w:rsid w:val="004A33E4"/>
    <w:rPr>
      <w:szCs w:val="20"/>
    </w:rPr>
  </w:style>
  <w:style w:type="paragraph" w:customStyle="1" w:styleId="Small">
    <w:name w:val="Small"/>
    <w:basedOn w:val="Normal"/>
    <w:next w:val="Normal"/>
    <w:qFormat/>
    <w:rsid w:val="004A33E4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4A33E4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TitleHCH">
    <w:name w:val="Title_H_CH"/>
    <w:basedOn w:val="HCh"/>
    <w:next w:val="SingleTxt"/>
    <w:qFormat/>
    <w:rsid w:val="004A33E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</w:pPr>
    <w:rPr>
      <w:szCs w:val="20"/>
    </w:rPr>
  </w:style>
  <w:style w:type="paragraph" w:customStyle="1" w:styleId="TitleH2">
    <w:name w:val="Title_H2"/>
    <w:basedOn w:val="H23"/>
    <w:qFormat/>
    <w:rsid w:val="004A33E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</w:pPr>
  </w:style>
  <w:style w:type="paragraph" w:customStyle="1" w:styleId="XLarge">
    <w:name w:val="XLarge"/>
    <w:basedOn w:val="HM"/>
    <w:qFormat/>
    <w:rsid w:val="004A33E4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Revision">
    <w:name w:val="Revision"/>
    <w:hidden/>
    <w:uiPriority w:val="99"/>
    <w:semiHidden/>
    <w:rsid w:val="005A2266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266"/>
    <w:rPr>
      <w:rFonts w:ascii="Tahoma" w:hAnsi="Tahoma" w:cs="Tahoma"/>
      <w:spacing w:val="4"/>
      <w:w w:val="103"/>
      <w:kern w:val="14"/>
      <w:sz w:val="16"/>
      <w:szCs w:val="16"/>
      <w:lang w:val="ru-RU"/>
    </w:rPr>
  </w:style>
  <w:style w:type="paragraph" w:customStyle="1" w:styleId="Session">
    <w:name w:val="Session"/>
    <w:basedOn w:val="H23"/>
    <w:qFormat/>
    <w:rsid w:val="004275D7"/>
    <w:rPr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25A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5AB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5AB9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5A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5AB9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character" w:styleId="Hyperlink">
    <w:name w:val="Hyperlink"/>
    <w:basedOn w:val="DefaultParagraphFont"/>
    <w:semiHidden/>
    <w:unhideWhenUsed/>
    <w:rsid w:val="00C17088"/>
    <w:rPr>
      <w:strike w:val="0"/>
      <w:dstrike w:val="0"/>
      <w:color w:val="0000FF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244156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2"/>
    <w:lsdException w:name="footer" w:uiPriority="2"/>
    <w:lsdException w:name="caption" w:uiPriority="35" w:qFormat="1"/>
    <w:lsdException w:name="footnote reference" w:uiPriority="0"/>
    <w:lsdException w:name="endnote reference" w:uiPriority="1"/>
    <w:lsdException w:name="endnote text" w:uiPriority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4A33E4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4A33E4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4A33E4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A33E4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">
    <w:name w:val="_ H __M"/>
    <w:basedOn w:val="Normal"/>
    <w:next w:val="Normal"/>
    <w:qFormat/>
    <w:rsid w:val="004A33E4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qFormat/>
    <w:rsid w:val="004A33E4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4A33E4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4A33E4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4A33E4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4A33E4"/>
    <w:pPr>
      <w:keepNext/>
      <w:keepLines/>
      <w:tabs>
        <w:tab w:val="right" w:pos="360"/>
      </w:tabs>
      <w:suppressAutoHyphens/>
      <w:ind w:left="1267" w:right="1267" w:hanging="1267"/>
      <w:outlineLvl w:val="4"/>
    </w:pPr>
  </w:style>
  <w:style w:type="paragraph" w:customStyle="1" w:styleId="DualTxt">
    <w:name w:val="__Dual Txt"/>
    <w:basedOn w:val="Normal"/>
    <w:qFormat/>
    <w:rsid w:val="004A33E4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4A33E4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4A33E4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SM"/>
    <w:next w:val="Normal"/>
    <w:qFormat/>
    <w:rsid w:val="004A33E4"/>
    <w:pPr>
      <w:spacing w:line="300" w:lineRule="exact"/>
      <w:ind w:left="1264" w:right="1264"/>
    </w:pPr>
    <w:rPr>
      <w:sz w:val="28"/>
    </w:rPr>
  </w:style>
  <w:style w:type="paragraph" w:customStyle="1" w:styleId="SingleTxt">
    <w:name w:val="__Single Txt"/>
    <w:basedOn w:val="Normal"/>
    <w:qFormat/>
    <w:rsid w:val="004A33E4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 w:line="240" w:lineRule="atLeast"/>
      <w:ind w:left="1267" w:right="1267"/>
      <w:jc w:val="both"/>
    </w:pPr>
  </w:style>
  <w:style w:type="paragraph" w:customStyle="1" w:styleId="AgendaItemNormal">
    <w:name w:val="Agenda_Item_Normal"/>
    <w:next w:val="Normal"/>
    <w:qFormat/>
    <w:rsid w:val="004A33E4"/>
    <w:pPr>
      <w:spacing w:after="0" w:line="240" w:lineRule="exact"/>
    </w:pPr>
    <w:rPr>
      <w:rFonts w:ascii="Times New Roman" w:hAnsi="Times New Roman"/>
      <w:spacing w:val="4"/>
      <w:w w:val="103"/>
      <w:kern w:val="14"/>
      <w:sz w:val="20"/>
      <w:lang w:val="ru-RU"/>
    </w:rPr>
  </w:style>
  <w:style w:type="paragraph" w:customStyle="1" w:styleId="TitleH1">
    <w:name w:val="Title_H1"/>
    <w:basedOn w:val="H1"/>
    <w:next w:val="SingleTxt"/>
    <w:qFormat/>
    <w:rsid w:val="004A33E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</w:pPr>
  </w:style>
  <w:style w:type="paragraph" w:customStyle="1" w:styleId="AgendaTitleH2">
    <w:name w:val="Agenda_Title_H2"/>
    <w:basedOn w:val="TitleH1"/>
    <w:next w:val="Normal"/>
    <w:qFormat/>
    <w:rsid w:val="004A33E4"/>
    <w:pPr>
      <w:keepNext/>
      <w:keepLines/>
      <w:spacing w:line="240" w:lineRule="exact"/>
      <w:ind w:right="5040"/>
      <w:outlineLvl w:val="1"/>
    </w:pPr>
    <w:rPr>
      <w:sz w:val="20"/>
    </w:rPr>
  </w:style>
  <w:style w:type="paragraph" w:customStyle="1" w:styleId="Bullet1">
    <w:name w:val="Bullet 1"/>
    <w:basedOn w:val="Normal"/>
    <w:qFormat/>
    <w:rsid w:val="004A33E4"/>
    <w:pPr>
      <w:numPr>
        <w:numId w:val="37"/>
      </w:numPr>
      <w:spacing w:after="120"/>
      <w:ind w:right="1267"/>
      <w:jc w:val="both"/>
    </w:pPr>
  </w:style>
  <w:style w:type="paragraph" w:customStyle="1" w:styleId="Bullet2">
    <w:name w:val="Bullet 2"/>
    <w:basedOn w:val="Normal"/>
    <w:qFormat/>
    <w:rsid w:val="004A33E4"/>
    <w:pPr>
      <w:numPr>
        <w:numId w:val="38"/>
      </w:numPr>
      <w:spacing w:after="120"/>
      <w:ind w:right="1267"/>
      <w:jc w:val="both"/>
    </w:pPr>
  </w:style>
  <w:style w:type="paragraph" w:customStyle="1" w:styleId="Bullet3">
    <w:name w:val="Bullet 3"/>
    <w:basedOn w:val="SingleTxt"/>
    <w:qFormat/>
    <w:rsid w:val="004A33E4"/>
    <w:pPr>
      <w:numPr>
        <w:numId w:val="39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</w:pPr>
  </w:style>
  <w:style w:type="paragraph" w:customStyle="1" w:styleId="Distribution">
    <w:name w:val="Distribution"/>
    <w:basedOn w:val="Normal"/>
    <w:next w:val="Normal"/>
    <w:autoRedefine/>
    <w:qFormat/>
    <w:rsid w:val="004A33E4"/>
    <w:pPr>
      <w:spacing w:before="240"/>
    </w:pPr>
    <w:rPr>
      <w:szCs w:val="20"/>
    </w:rPr>
  </w:style>
  <w:style w:type="character" w:styleId="EndnoteReference">
    <w:name w:val="endnote reference"/>
    <w:basedOn w:val="DefaultParagraphFont"/>
    <w:uiPriority w:val="1"/>
    <w:semiHidden/>
    <w:rsid w:val="004A33E4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4A33E4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4A33E4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styleId="Footer">
    <w:name w:val="footer"/>
    <w:basedOn w:val="Normal"/>
    <w:link w:val="FooterChar"/>
    <w:uiPriority w:val="2"/>
    <w:unhideWhenUsed/>
    <w:rsid w:val="004A33E4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4A33E4"/>
    <w:rPr>
      <w:rFonts w:ascii="Times New Roman" w:hAnsi="Times New Roman"/>
      <w:b/>
      <w:sz w:val="17"/>
      <w:lang w:val="ru-RU"/>
    </w:rPr>
  </w:style>
  <w:style w:type="character" w:styleId="FootnoteReference">
    <w:name w:val="footnote reference"/>
    <w:basedOn w:val="DefaultParagraphFont"/>
    <w:semiHidden/>
    <w:rsid w:val="004A33E4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unhideWhenUsed/>
    <w:rsid w:val="004A33E4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rsid w:val="004A33E4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styleId="Header">
    <w:name w:val="header"/>
    <w:basedOn w:val="Normal"/>
    <w:link w:val="HeaderChar"/>
    <w:uiPriority w:val="2"/>
    <w:rsid w:val="004A33E4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4A33E4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4A33E4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  <w:lang w:val="ru-RU"/>
    </w:rPr>
  </w:style>
  <w:style w:type="character" w:customStyle="1" w:styleId="Heading2Char">
    <w:name w:val="Heading 2 Char"/>
    <w:basedOn w:val="DefaultParagraphFont"/>
    <w:link w:val="Heading2"/>
    <w:uiPriority w:val="9"/>
    <w:rsid w:val="004A33E4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  <w:lang w:val="ru-RU"/>
    </w:rPr>
  </w:style>
  <w:style w:type="character" w:customStyle="1" w:styleId="Heading3Char">
    <w:name w:val="Heading 3 Char"/>
    <w:basedOn w:val="DefaultParagraphFont"/>
    <w:link w:val="Heading3"/>
    <w:uiPriority w:val="9"/>
    <w:rsid w:val="004A33E4"/>
    <w:rPr>
      <w:rFonts w:ascii="Arial" w:eastAsiaTheme="majorEastAsia" w:hAnsi="Arial" w:cstheme="majorBidi"/>
      <w:b/>
      <w:bCs/>
      <w:spacing w:val="4"/>
      <w:w w:val="103"/>
      <w:kern w:val="14"/>
      <w:sz w:val="26"/>
      <w:lang w:val="ru-RU"/>
    </w:rPr>
  </w:style>
  <w:style w:type="paragraph" w:styleId="ListContinue">
    <w:name w:val="List Continue"/>
    <w:basedOn w:val="Normal"/>
    <w:uiPriority w:val="99"/>
    <w:semiHidden/>
    <w:rsid w:val="004A33E4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4A33E4"/>
    <w:pPr>
      <w:numPr>
        <w:numId w:val="40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4A33E4"/>
    <w:pPr>
      <w:numPr>
        <w:numId w:val="41"/>
      </w:numPr>
      <w:contextualSpacing/>
    </w:pPr>
  </w:style>
  <w:style w:type="paragraph" w:styleId="ListNumber2">
    <w:name w:val="List Number 2"/>
    <w:basedOn w:val="H23"/>
    <w:next w:val="Normal"/>
    <w:uiPriority w:val="99"/>
    <w:rsid w:val="004A33E4"/>
    <w:pPr>
      <w:numPr>
        <w:numId w:val="42"/>
      </w:numPr>
      <w:tabs>
        <w:tab w:val="left" w:pos="648"/>
      </w:tabs>
      <w:contextualSpacing/>
    </w:pPr>
  </w:style>
  <w:style w:type="paragraph" w:styleId="ListNumber3">
    <w:name w:val="List Number 3"/>
    <w:basedOn w:val="H23"/>
    <w:next w:val="Normal"/>
    <w:uiPriority w:val="99"/>
    <w:rsid w:val="004A33E4"/>
    <w:pPr>
      <w:numPr>
        <w:numId w:val="43"/>
      </w:numPr>
      <w:tabs>
        <w:tab w:val="left" w:pos="922"/>
      </w:tabs>
      <w:contextualSpacing/>
    </w:pPr>
  </w:style>
  <w:style w:type="paragraph" w:styleId="ListNumber4">
    <w:name w:val="List Number 4"/>
    <w:basedOn w:val="Normal"/>
    <w:uiPriority w:val="99"/>
    <w:rsid w:val="004A33E4"/>
    <w:pPr>
      <w:keepNext/>
      <w:keepLines/>
      <w:numPr>
        <w:numId w:val="44"/>
      </w:numPr>
      <w:tabs>
        <w:tab w:val="left" w:pos="1210"/>
      </w:tabs>
      <w:suppressAutoHyphens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4A33E4"/>
    <w:pPr>
      <w:numPr>
        <w:numId w:val="45"/>
      </w:numPr>
      <w:tabs>
        <w:tab w:val="left" w:pos="1498"/>
      </w:tabs>
      <w:contextualSpacing/>
    </w:pPr>
  </w:style>
  <w:style w:type="paragraph" w:styleId="NoSpacing">
    <w:name w:val="No Spacing"/>
    <w:uiPriority w:val="1"/>
    <w:rsid w:val="004A33E4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  <w:lang w:val="en-US"/>
    </w:rPr>
  </w:style>
  <w:style w:type="paragraph" w:customStyle="1" w:styleId="Original">
    <w:name w:val="Original"/>
    <w:basedOn w:val="Normal"/>
    <w:next w:val="Normal"/>
    <w:qFormat/>
    <w:rsid w:val="004A33E4"/>
    <w:rPr>
      <w:szCs w:val="20"/>
    </w:rPr>
  </w:style>
  <w:style w:type="paragraph" w:customStyle="1" w:styleId="Publication">
    <w:name w:val="Publication"/>
    <w:basedOn w:val="Normal"/>
    <w:next w:val="Normal"/>
    <w:qFormat/>
    <w:rsid w:val="004A33E4"/>
  </w:style>
  <w:style w:type="paragraph" w:customStyle="1" w:styleId="ReleaseDate">
    <w:name w:val="ReleaseDate"/>
    <w:basedOn w:val="Normal"/>
    <w:next w:val="Normal"/>
    <w:qFormat/>
    <w:rsid w:val="004A33E4"/>
    <w:rPr>
      <w:szCs w:val="20"/>
    </w:rPr>
  </w:style>
  <w:style w:type="paragraph" w:customStyle="1" w:styleId="Small">
    <w:name w:val="Small"/>
    <w:basedOn w:val="Normal"/>
    <w:next w:val="Normal"/>
    <w:qFormat/>
    <w:rsid w:val="004A33E4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4A33E4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TitleHCH">
    <w:name w:val="Title_H_CH"/>
    <w:basedOn w:val="HCh"/>
    <w:next w:val="SingleTxt"/>
    <w:qFormat/>
    <w:rsid w:val="004A33E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</w:pPr>
    <w:rPr>
      <w:szCs w:val="20"/>
    </w:rPr>
  </w:style>
  <w:style w:type="paragraph" w:customStyle="1" w:styleId="TitleH2">
    <w:name w:val="Title_H2"/>
    <w:basedOn w:val="H23"/>
    <w:qFormat/>
    <w:rsid w:val="004A33E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</w:pPr>
  </w:style>
  <w:style w:type="paragraph" w:customStyle="1" w:styleId="XLarge">
    <w:name w:val="XLarge"/>
    <w:basedOn w:val="HM"/>
    <w:qFormat/>
    <w:rsid w:val="004A33E4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Revision">
    <w:name w:val="Revision"/>
    <w:hidden/>
    <w:uiPriority w:val="99"/>
    <w:semiHidden/>
    <w:rsid w:val="005A2266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266"/>
    <w:rPr>
      <w:rFonts w:ascii="Tahoma" w:hAnsi="Tahoma" w:cs="Tahoma"/>
      <w:spacing w:val="4"/>
      <w:w w:val="103"/>
      <w:kern w:val="14"/>
      <w:sz w:val="16"/>
      <w:szCs w:val="16"/>
      <w:lang w:val="ru-RU"/>
    </w:rPr>
  </w:style>
  <w:style w:type="paragraph" w:customStyle="1" w:styleId="Session">
    <w:name w:val="Session"/>
    <w:basedOn w:val="H23"/>
    <w:qFormat/>
    <w:rsid w:val="004275D7"/>
    <w:rPr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25A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5AB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5AB9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5A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5AB9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character" w:styleId="Hyperlink">
    <w:name w:val="Hyperlink"/>
    <w:basedOn w:val="DefaultParagraphFont"/>
    <w:semiHidden/>
    <w:unhideWhenUsed/>
    <w:rsid w:val="00C17088"/>
    <w:rPr>
      <w:strike w:val="0"/>
      <w:dstrike w:val="0"/>
      <w:color w:val="0000FF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244156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undocs.org/ru/CEDAW/C/MNE/Q/2/Add.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undocs.org/ru/CEDAW/C/MNE/CO/1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undocs.org/ru/CEDAW/C/MNE/Q/2" TargetMode="External"/><Relationship Id="rId2" Type="http://schemas.openxmlformats.org/officeDocument/2006/relationships/styles" Target="styles.xml"/><Relationship Id="rId16" Type="http://schemas.openxmlformats.org/officeDocument/2006/relationships/hyperlink" Target="https://undocs.org/ru/CEDAW/C/SR.1512" TargetMode="External"/><Relationship Id="rId20" Type="http://schemas.openxmlformats.org/officeDocument/2006/relationships/hyperlink" Target="https://undocs.org/ru/CEDAW/C/MNE/CO/1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undocs.org/ru/CEDAW/C/MNE/2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s://undocs.org/ru/CEDAW/C/MNE/1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omments" Target="comments.xm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7248</Words>
  <Characters>50229</Characters>
  <Application>Microsoft Office Word</Application>
  <DocSecurity>0</DocSecurity>
  <Lines>1046</Lines>
  <Paragraphs>252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57225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Golosova</dc:creator>
  <cp:lastModifiedBy>Irina Golosova</cp:lastModifiedBy>
  <cp:revision>7</cp:revision>
  <cp:lastPrinted>2017-09-21T15:28:00Z</cp:lastPrinted>
  <dcterms:created xsi:type="dcterms:W3CDTF">2017-09-21T15:29:00Z</dcterms:created>
  <dcterms:modified xsi:type="dcterms:W3CDTF">2017-09-21T15:31:00Z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utyStation">
    <vt:lpwstr>New York</vt:lpwstr>
  </property>
  <property fmtid="{D5CDD505-2E9C-101B-9397-08002B2CF9AE}" pid="3" name="JobNo">
    <vt:lpwstr>1711287R</vt:lpwstr>
  </property>
  <property fmtid="{D5CDD505-2E9C-101B-9397-08002B2CF9AE}" pid="4" name="ODSRefJobNo">
    <vt:lpwstr>1722763R</vt:lpwstr>
  </property>
  <property fmtid="{D5CDD505-2E9C-101B-9397-08002B2CF9AE}" pid="5" name="Symbol1">
    <vt:lpwstr>CEDAW/C/MNE/CO/2</vt:lpwstr>
  </property>
  <property fmtid="{D5CDD505-2E9C-101B-9397-08002B2CF9AE}" pid="6" name="Symbol2">
    <vt:lpwstr/>
  </property>
  <property fmtid="{D5CDD505-2E9C-101B-9397-08002B2CF9AE}" pid="7" name="Translator">
    <vt:lpwstr/>
  </property>
  <property fmtid="{D5CDD505-2E9C-101B-9397-08002B2CF9AE}" pid="8" name="Operator">
    <vt:lpwstr/>
  </property>
  <property fmtid="{D5CDD505-2E9C-101B-9397-08002B2CF9AE}" pid="9" name="DraftPages">
    <vt:lpwstr> </vt:lpwstr>
  </property>
  <property fmtid="{D5CDD505-2E9C-101B-9397-08002B2CF9AE}" pid="10" name="Comment">
    <vt:lpwstr/>
  </property>
  <property fmtid="{D5CDD505-2E9C-101B-9397-08002B2CF9AE}" pid="11" name="Category">
    <vt:lpwstr>Doc</vt:lpwstr>
  </property>
  <property fmtid="{D5CDD505-2E9C-101B-9397-08002B2CF9AE}" pid="12" name="Language">
    <vt:lpwstr>Russian</vt:lpwstr>
  </property>
  <property fmtid="{D5CDD505-2E9C-101B-9397-08002B2CF9AE}" pid="13" name="Distribution">
    <vt:lpwstr>General</vt:lpwstr>
  </property>
  <property fmtid="{D5CDD505-2E9C-101B-9397-08002B2CF9AE}" pid="14" name="Publication Date">
    <vt:lpwstr>24 July 2017</vt:lpwstr>
  </property>
  <property fmtid="{D5CDD505-2E9C-101B-9397-08002B2CF9AE}" pid="15" name="Original">
    <vt:lpwstr>English</vt:lpwstr>
  </property>
  <property fmtid="{D5CDD505-2E9C-101B-9397-08002B2CF9AE}" pid="16" name="Release Date">
    <vt:lpwstr/>
  </property>
  <property fmtid="{D5CDD505-2E9C-101B-9397-08002B2CF9AE}" pid="17" name="Title1">
    <vt:lpwstr>		Заключительные замечания по второму периодическому докладу Черногории*</vt:lpwstr>
  </property>
</Properties>
</file>