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D957" w14:textId="77777777" w:rsidR="005D2EA7" w:rsidRPr="00607A03" w:rsidRDefault="005D2EA7" w:rsidP="005D2EA7">
      <w:pPr>
        <w:spacing w:line="240" w:lineRule="auto"/>
        <w:rPr>
          <w:sz w:val="2"/>
          <w:lang w:val="en-US"/>
        </w:rPr>
        <w:sectPr w:rsidR="005D2EA7" w:rsidRPr="00607A03" w:rsidSect="009B3CF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07A03">
        <w:rPr>
          <w:rStyle w:val="CommentReference"/>
          <w:szCs w:val="20"/>
        </w:rPr>
        <w:commentReference w:id="0"/>
      </w:r>
    </w:p>
    <w:p w14:paraId="6577EB05" w14:textId="0C2D6D31" w:rsidR="009B3CFB" w:rsidRPr="00607A03" w:rsidRDefault="009B3CFB" w:rsidP="009B3C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607A03">
        <w:t xml:space="preserve">Comité para la Eliminación de la Discriminación </w:t>
      </w:r>
      <w:r w:rsidRPr="00607A03">
        <w:br/>
        <w:t>contra la Mujer</w:t>
      </w:r>
    </w:p>
    <w:p w14:paraId="45C296B7" w14:textId="551CC0DF" w:rsidR="009B3CFB" w:rsidRPr="00607A03" w:rsidRDefault="009B3CFB" w:rsidP="009B3CFB">
      <w:pPr>
        <w:pStyle w:val="SingleTxt"/>
        <w:spacing w:after="0" w:line="120" w:lineRule="exact"/>
        <w:rPr>
          <w:sz w:val="10"/>
        </w:rPr>
      </w:pPr>
    </w:p>
    <w:p w14:paraId="4B201569" w14:textId="28E2344A" w:rsidR="009B3CFB" w:rsidRPr="00607A03" w:rsidRDefault="009B3CFB" w:rsidP="009B3CFB">
      <w:pPr>
        <w:pStyle w:val="SingleTxt"/>
        <w:spacing w:after="0" w:line="120" w:lineRule="exact"/>
        <w:rPr>
          <w:sz w:val="10"/>
        </w:rPr>
      </w:pPr>
    </w:p>
    <w:p w14:paraId="08FCB7E1" w14:textId="6226E0AB" w:rsidR="009B3CFB" w:rsidRPr="00607A03" w:rsidRDefault="009B3CFB" w:rsidP="009B3CFB">
      <w:pPr>
        <w:pStyle w:val="SingleTxt"/>
        <w:spacing w:after="0" w:line="120" w:lineRule="exact"/>
        <w:rPr>
          <w:sz w:val="10"/>
        </w:rPr>
      </w:pPr>
    </w:p>
    <w:p w14:paraId="44801AD3" w14:textId="22E14A5A" w:rsidR="009B3CFB" w:rsidRPr="00607A03" w:rsidRDefault="009B3CFB" w:rsidP="00194342">
      <w:pPr>
        <w:pStyle w:val="TitleHCH"/>
        <w:rPr>
          <w:sz w:val="20"/>
          <w:szCs w:val="20"/>
        </w:rPr>
      </w:pPr>
      <w:r w:rsidRPr="00607A03">
        <w:tab/>
      </w:r>
      <w:r w:rsidRPr="00607A03">
        <w:tab/>
        <w:t>Información recibida de Mauricio relativa al seguimiento de las observaciones finales sobre su octavo informe periódico</w:t>
      </w:r>
      <w:r w:rsidRPr="00607A03">
        <w:rPr>
          <w:rStyle w:val="FootnoteReference"/>
          <w:b w:val="0"/>
          <w:sz w:val="20"/>
          <w:szCs w:val="20"/>
          <w:vertAlign w:val="baseline"/>
        </w:rPr>
        <w:footnoteReference w:customMarkFollows="1" w:id="1"/>
        <w:t>*</w:t>
      </w:r>
      <w:r w:rsidRPr="00607A03">
        <w:rPr>
          <w:sz w:val="20"/>
          <w:szCs w:val="20"/>
          <w:lang w:val="es-ES_tradnl"/>
        </w:rPr>
        <w:t xml:space="preserve">, </w:t>
      </w:r>
      <w:r w:rsidRPr="00607A03">
        <w:rPr>
          <w:rStyle w:val="FootnoteReference"/>
          <w:b w:val="0"/>
          <w:sz w:val="20"/>
          <w:szCs w:val="20"/>
          <w:vertAlign w:val="baseline"/>
        </w:rPr>
        <w:footnoteReference w:customMarkFollows="1" w:id="2"/>
        <w:t>**</w:t>
      </w:r>
    </w:p>
    <w:p w14:paraId="37EE31F1" w14:textId="6CAECC6E" w:rsidR="009B3CFB" w:rsidRPr="00607A03" w:rsidRDefault="009B3CFB" w:rsidP="009B3CFB">
      <w:pPr>
        <w:pStyle w:val="SingleTxt"/>
        <w:spacing w:after="0" w:line="120" w:lineRule="exact"/>
        <w:rPr>
          <w:sz w:val="10"/>
        </w:rPr>
      </w:pPr>
    </w:p>
    <w:p w14:paraId="08E58D14" w14:textId="6961E825" w:rsidR="009B3CFB" w:rsidRPr="00607A03" w:rsidRDefault="009B3CFB" w:rsidP="009B3CFB">
      <w:pPr>
        <w:pStyle w:val="SingleTxt"/>
        <w:spacing w:after="0" w:line="120" w:lineRule="exact"/>
        <w:rPr>
          <w:sz w:val="10"/>
        </w:rPr>
      </w:pPr>
    </w:p>
    <w:p w14:paraId="0191DBBC" w14:textId="77777777" w:rsidR="009B3CFB" w:rsidRPr="00607A03" w:rsidRDefault="009B3CFB" w:rsidP="009B3CFB">
      <w:pPr>
        <w:pStyle w:val="SingleTxtG"/>
        <w:jc w:val="right"/>
        <w:rPr>
          <w:lang w:val="es-ES_tradnl"/>
        </w:rPr>
      </w:pPr>
      <w:r w:rsidRPr="00607A03">
        <w:rPr>
          <w:lang w:val="es-ES"/>
        </w:rPr>
        <w:t>[Fecha de recepción: 2 de noviembre de 2020]</w:t>
      </w:r>
    </w:p>
    <w:p w14:paraId="4780CDC5" w14:textId="6F89AE6C" w:rsidR="005D2EA7" w:rsidRPr="00607A03" w:rsidRDefault="005D2EA7" w:rsidP="009B3CFB">
      <w:pPr>
        <w:pStyle w:val="SingleTxt"/>
        <w:rPr>
          <w:lang w:val="es-ES_tradnl"/>
        </w:rPr>
      </w:pPr>
    </w:p>
    <w:p w14:paraId="0FF54871" w14:textId="4A50104D" w:rsidR="009B3CFB" w:rsidRPr="00607A03" w:rsidRDefault="009B3CFB">
      <w:pPr>
        <w:suppressAutoHyphens w:val="0"/>
        <w:spacing w:after="200" w:line="276" w:lineRule="auto"/>
        <w:rPr>
          <w:kern w:val="14"/>
          <w:lang w:val="es-ES_tradnl"/>
        </w:rPr>
      </w:pPr>
      <w:r w:rsidRPr="00607A03">
        <w:rPr>
          <w:lang w:val="es-ES_tradnl"/>
        </w:rPr>
        <w:br w:type="page"/>
      </w:r>
    </w:p>
    <w:p w14:paraId="7BD184EE" w14:textId="029492E1" w:rsidR="009B3CFB" w:rsidRPr="00607A03" w:rsidRDefault="009B3CFB" w:rsidP="00E80480">
      <w:pPr>
        <w:pStyle w:val="SingleTxt"/>
        <w:numPr>
          <w:ilvl w:val="0"/>
          <w:numId w:val="5"/>
        </w:numPr>
        <w:ind w:left="1267"/>
        <w:rPr>
          <w:lang w:val="es-ES_tradnl"/>
        </w:rPr>
      </w:pPr>
      <w:r w:rsidRPr="00607A03">
        <w:lastRenderedPageBreak/>
        <w:t>En sus observaciones finales sobre el octavo informe periódico de Mauricio, el Comité para la Eliminación de la Discriminación contra la Mujer solicitó a Mauricio que, en el plazo de dos años, proporcionara información sobre la aplicación de las recomendaciones específicas que figuran en los párrafos 16, 18 b), 38 c) y 40. En el presente documento se expone la situación en lo que respecta a las recomendaciones.</w:t>
      </w:r>
    </w:p>
    <w:p w14:paraId="2FE5AA21" w14:textId="3D3F9DCB" w:rsidR="009B3CFB" w:rsidRPr="00607A03" w:rsidRDefault="009B3CFB" w:rsidP="00E80480">
      <w:pPr>
        <w:pStyle w:val="SingleTxt"/>
        <w:numPr>
          <w:ilvl w:val="0"/>
          <w:numId w:val="5"/>
        </w:numPr>
        <w:ind w:left="1267"/>
        <w:rPr>
          <w:lang w:val="es-ES_tradnl"/>
        </w:rPr>
      </w:pPr>
      <w:r w:rsidRPr="00607A03">
        <w:t>El Estado de Mauricio ha tomado nota de las observaciones finales y se compromete a aplicar las recomendaciones del Comité mediante medidas legislativas, políticas adecuadas y programas apropiados.</w:t>
      </w:r>
    </w:p>
    <w:p w14:paraId="18BC7DA5" w14:textId="13E3E579" w:rsidR="009B3CFB" w:rsidRPr="00607A03" w:rsidRDefault="009B3CFB" w:rsidP="00E80480">
      <w:pPr>
        <w:pStyle w:val="SingleTxt"/>
        <w:numPr>
          <w:ilvl w:val="0"/>
          <w:numId w:val="5"/>
        </w:numPr>
        <w:ind w:left="1267"/>
        <w:rPr>
          <w:lang w:val="es-ES_tradnl"/>
        </w:rPr>
      </w:pPr>
      <w:r w:rsidRPr="00607A03">
        <w:t xml:space="preserve">A </w:t>
      </w:r>
      <w:proofErr w:type="gramStart"/>
      <w:r w:rsidRPr="00607A03">
        <w:t>continuación</w:t>
      </w:r>
      <w:proofErr w:type="gramEnd"/>
      <w:r w:rsidRPr="00607A03">
        <w:t xml:space="preserve"> se presenta un informe actualizado del estado de la aplicación de las recomendaciones.</w:t>
      </w:r>
    </w:p>
    <w:p w14:paraId="28E7127F" w14:textId="43BD6D2D" w:rsidR="009B3CFB" w:rsidRPr="00607A03" w:rsidRDefault="009B3CFB" w:rsidP="009B3CFB">
      <w:pPr>
        <w:pStyle w:val="SingleTxt"/>
        <w:spacing w:after="0" w:line="120" w:lineRule="exact"/>
        <w:rPr>
          <w:sz w:val="10"/>
          <w:lang w:val="es-ES_tradnl"/>
        </w:rPr>
      </w:pPr>
    </w:p>
    <w:p w14:paraId="5512256C" w14:textId="3432846A" w:rsidR="009B3CFB" w:rsidRPr="00607A03" w:rsidRDefault="009B3CFB" w:rsidP="009B3CFB">
      <w:pPr>
        <w:pStyle w:val="SingleTxt"/>
        <w:spacing w:after="0" w:line="120" w:lineRule="exact"/>
        <w:rPr>
          <w:sz w:val="10"/>
          <w:lang w:val="es-ES_tradnl"/>
        </w:rPr>
      </w:pPr>
    </w:p>
    <w:p w14:paraId="122CEBA0" w14:textId="5794C404" w:rsidR="009B3CFB" w:rsidRPr="00607A03" w:rsidRDefault="009B3CFB" w:rsidP="009B3C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Información de seguimiento relativa al párrafo 16 de las observaciones finales (</w:t>
      </w:r>
      <w:hyperlink r:id="rId16" w:history="1">
        <w:r w:rsidRPr="00607A03">
          <w:rPr>
            <w:rStyle w:val="Hyperlink"/>
          </w:rPr>
          <w:t>CEDAW/C/MUS/CO/8</w:t>
        </w:r>
      </w:hyperlink>
      <w:r w:rsidRPr="00607A03">
        <w:t>)</w:t>
      </w:r>
    </w:p>
    <w:p w14:paraId="1354B1F5" w14:textId="333BB648" w:rsidR="009B3CFB" w:rsidRPr="00607A03" w:rsidRDefault="009B3CFB" w:rsidP="009B3CFB">
      <w:pPr>
        <w:pStyle w:val="SingleTxt"/>
        <w:spacing w:after="0" w:line="120" w:lineRule="exact"/>
        <w:rPr>
          <w:sz w:val="10"/>
        </w:rPr>
      </w:pPr>
    </w:p>
    <w:p w14:paraId="14CCBD6D" w14:textId="0D8BCD33" w:rsidR="009B3CFB" w:rsidRPr="00607A03" w:rsidRDefault="009B3CFB" w:rsidP="009B3CFB">
      <w:pPr>
        <w:pStyle w:val="SingleTxt"/>
        <w:spacing w:after="0" w:line="120" w:lineRule="exact"/>
        <w:rPr>
          <w:sz w:val="10"/>
        </w:rPr>
      </w:pPr>
    </w:p>
    <w:p w14:paraId="605813F1" w14:textId="45BA2136" w:rsidR="009B3CFB" w:rsidRPr="00E80480" w:rsidRDefault="009B3CFB" w:rsidP="00E80480">
      <w:pPr>
        <w:pStyle w:val="SingleTxt"/>
        <w:numPr>
          <w:ilvl w:val="0"/>
          <w:numId w:val="5"/>
        </w:numPr>
        <w:ind w:left="1267"/>
      </w:pPr>
      <w:r w:rsidRPr="00607A03">
        <w:t xml:space="preserve">El Estado de Mauricio se propone presentar en breve un proyecto de ley sobre igualdad de género, actualmente en fase de redacción, con miras a establecer un marco jurídico sólido y amplio para la incorporación de la perspectiva de género. La igualdad de género sigue siendo prioritaria y ocupa un lugar destacado en la agenda del Estado de Mauricio. La Ley de Administración Local de 2011 establece que, de tres candidaturas presentadas a las elecciones, al menos una debe corresponder a una persona de distinto sexo que las otras dos. La Ley se volvió a modificar en 2015 para garantizar una representación justa y adecuada de las mujeres en las elecciones a concejales de los consejos municipales. Cada grupo que presente más de dos candidaturas a las elecciones a un consejo municipal, o un consejo de aldea, debe velar por que las candidaturas de un mismo sexo no superen los dos tercios. Igualmente, la disposición se aplica a la elección de concejales para los consejos de aldeas, según lo establecido en el artículo 12 6) de la Ley de Administración Local. Se prevé </w:t>
      </w:r>
      <w:proofErr w:type="gramStart"/>
      <w:r w:rsidRPr="00607A03">
        <w:t>que</w:t>
      </w:r>
      <w:proofErr w:type="gramEnd"/>
      <w:r w:rsidRPr="00607A03">
        <w:t xml:space="preserve"> en las elecciones a los consejos de aldeas, que se celebrarán el 22 de noviembre de 2020, aumentarán la participación y la representación de las mujeres en esos consejos.</w:t>
      </w:r>
    </w:p>
    <w:p w14:paraId="2E01F4F2" w14:textId="0C98F3B4" w:rsidR="009B3CFB" w:rsidRPr="00607A03" w:rsidRDefault="009B3CFB" w:rsidP="00E80480">
      <w:pPr>
        <w:pStyle w:val="SingleTxt"/>
        <w:numPr>
          <w:ilvl w:val="0"/>
          <w:numId w:val="5"/>
        </w:numPr>
        <w:ind w:left="1267"/>
        <w:rPr>
          <w:lang w:val="es-ES_tradnl"/>
        </w:rPr>
      </w:pPr>
      <w:r w:rsidRPr="00607A03">
        <w:t xml:space="preserve">El proyecto de ley sobre igualdad de género propuesto incluye medidas especiales de carácter temporal y otras medidas destinadas a acelerar el logro de la igualdad </w:t>
      </w:r>
      <w:r w:rsidRPr="00607A03">
        <w:rPr>
          <w:i/>
          <w:iCs/>
        </w:rPr>
        <w:t>de facto</w:t>
      </w:r>
      <w:r w:rsidRPr="00607A03">
        <w:t xml:space="preserve"> entre hombres y mujeres para que las mujeres puedan participar de manera significativa en la adopción de decisiones, la educación y el empleo, entre otras cosas. En el anexo figura un esquema del proyecto de ley sobre igualdad de género</w:t>
      </w:r>
      <w:r w:rsidRPr="00607A03">
        <w:rPr>
          <w:rStyle w:val="FootnoteReference"/>
        </w:rPr>
        <w:footnoteReference w:id="3"/>
      </w:r>
      <w:r w:rsidRPr="00607A03">
        <w:t>.</w:t>
      </w:r>
    </w:p>
    <w:p w14:paraId="1C1EAD13" w14:textId="62CA0B04" w:rsidR="009B3CFB" w:rsidRPr="00607A03" w:rsidRDefault="009B3CFB" w:rsidP="00E80480">
      <w:pPr>
        <w:pStyle w:val="SingleTxt"/>
        <w:numPr>
          <w:ilvl w:val="0"/>
          <w:numId w:val="5"/>
        </w:numPr>
        <w:ind w:left="1267"/>
        <w:rPr>
          <w:lang w:val="es-ES_tradnl"/>
        </w:rPr>
      </w:pPr>
      <w:r w:rsidRPr="00607A03">
        <w:t>Los coordinadores de cuestiones de género y sus suplentes, que son altos funcionarios de diversos ministerios y departamentos, ya han sido informados sobre el concepto de medidas especiales de carácter temporal. Además, se les ha proporcionado una lista de vocabulario sobre cuestiones de género, incluidas las medidas especiales de carácter temporal. También se les ha impartido capacitación adicional sobre temas como la definición de conceptos de género, la pertinencia de la incorporación de la perspectiva de género y la incorporación de la perspectiva de género en los planes de acción sectoriales, entre otros.</w:t>
      </w:r>
    </w:p>
    <w:p w14:paraId="5FE27E7A" w14:textId="7C15955B" w:rsidR="009B3CFB" w:rsidRPr="00607A03" w:rsidRDefault="009B3CFB" w:rsidP="00E80480">
      <w:pPr>
        <w:pStyle w:val="SingleTxt"/>
        <w:numPr>
          <w:ilvl w:val="0"/>
          <w:numId w:val="5"/>
        </w:numPr>
        <w:ind w:left="1267"/>
        <w:rPr>
          <w:lang w:val="es-ES_tradnl"/>
        </w:rPr>
      </w:pPr>
      <w:r w:rsidRPr="00607A03">
        <w:t xml:space="preserve">Las sesiones de capacitación fueron facilitadas por la Sra. </w:t>
      </w:r>
      <w:proofErr w:type="spellStart"/>
      <w:r w:rsidRPr="00607A03">
        <w:t>Winnifred</w:t>
      </w:r>
      <w:proofErr w:type="spellEnd"/>
      <w:r w:rsidRPr="00607A03">
        <w:t xml:space="preserve"> </w:t>
      </w:r>
      <w:proofErr w:type="spellStart"/>
      <w:r w:rsidRPr="00607A03">
        <w:t>Osimbo-Lichuma</w:t>
      </w:r>
      <w:proofErr w:type="spellEnd"/>
      <w:r w:rsidRPr="00607A03">
        <w:t xml:space="preserve">, consultora internacional y experta en cuestiones de género de </w:t>
      </w:r>
      <w:proofErr w:type="spellStart"/>
      <w:r w:rsidRPr="00607A03">
        <w:t>Kenya</w:t>
      </w:r>
      <w:proofErr w:type="spellEnd"/>
      <w:r w:rsidRPr="00607A03">
        <w:t>, cuya asistencia técnica se obtuvo por conducto de la Unión Europea y el Programa de las Naciones Unidas para el Desarrollo (PNUD).</w:t>
      </w:r>
    </w:p>
    <w:p w14:paraId="0F1B0097" w14:textId="02E16708" w:rsidR="009B3CFB" w:rsidRPr="00607A03" w:rsidRDefault="009B3CFB" w:rsidP="00E80480">
      <w:pPr>
        <w:pStyle w:val="SingleTxt"/>
        <w:numPr>
          <w:ilvl w:val="0"/>
          <w:numId w:val="5"/>
        </w:numPr>
        <w:ind w:left="1267"/>
        <w:rPr>
          <w:lang w:val="es-ES_tradnl"/>
        </w:rPr>
      </w:pPr>
      <w:r w:rsidRPr="00607A03">
        <w:t xml:space="preserve">El Ministerio de Igualdad de Género y Bienestar de la Familia está preparando un folleto titulado </w:t>
      </w:r>
      <w:r w:rsidR="00607A03" w:rsidRPr="00607A03">
        <w:t>“</w:t>
      </w:r>
      <w:r w:rsidRPr="00607A03">
        <w:t>CEDAW: una hoja de ruta para la aplicación</w:t>
      </w:r>
      <w:r w:rsidR="00607A03" w:rsidRPr="00607A03">
        <w:t>”</w:t>
      </w:r>
      <w:r w:rsidRPr="00607A03">
        <w:t>, que abarcará las recomendaciones del Comité sobre las medidas especiales de carácter temporal. Una vez terminado, se difundirá ampliamente entre todas las partes interesadas.</w:t>
      </w:r>
    </w:p>
    <w:p w14:paraId="433C6DB3" w14:textId="0049578E" w:rsidR="0052163E" w:rsidRPr="00607A03" w:rsidRDefault="0052163E" w:rsidP="0052163E">
      <w:pPr>
        <w:pStyle w:val="SingleTxt"/>
        <w:spacing w:after="0" w:line="120" w:lineRule="exact"/>
        <w:rPr>
          <w:sz w:val="10"/>
        </w:rPr>
      </w:pPr>
    </w:p>
    <w:p w14:paraId="18B088CD" w14:textId="477CEC60" w:rsidR="0052163E" w:rsidRPr="00607A03" w:rsidRDefault="0052163E" w:rsidP="0052163E">
      <w:pPr>
        <w:pStyle w:val="SingleTxt"/>
        <w:spacing w:after="0" w:line="120" w:lineRule="exact"/>
        <w:rPr>
          <w:sz w:val="10"/>
          <w:lang w:val="es-ES_tradnl"/>
        </w:rPr>
      </w:pPr>
    </w:p>
    <w:p w14:paraId="19F25469" w14:textId="7070653E" w:rsidR="009B3CFB" w:rsidRPr="00607A03" w:rsidRDefault="009B3CFB" w:rsidP="005216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Información de seguimiento relativa al párrafo 18 b) de las observaciones finales</w:t>
      </w:r>
    </w:p>
    <w:p w14:paraId="22E8E1F4" w14:textId="5B310CCE" w:rsidR="0052163E" w:rsidRPr="00607A03" w:rsidRDefault="0052163E" w:rsidP="0052163E">
      <w:pPr>
        <w:pStyle w:val="SingleTxt"/>
        <w:spacing w:after="0" w:line="120" w:lineRule="exact"/>
        <w:rPr>
          <w:sz w:val="10"/>
        </w:rPr>
      </w:pPr>
    </w:p>
    <w:p w14:paraId="03C51966" w14:textId="3B6C1A5F" w:rsidR="0052163E" w:rsidRPr="00607A03" w:rsidRDefault="0052163E" w:rsidP="0052163E">
      <w:pPr>
        <w:pStyle w:val="SingleTxt"/>
        <w:spacing w:after="0" w:line="120" w:lineRule="exact"/>
        <w:rPr>
          <w:sz w:val="10"/>
        </w:rPr>
      </w:pPr>
    </w:p>
    <w:p w14:paraId="009CF26D" w14:textId="578C87C1" w:rsidR="009B3CFB" w:rsidRPr="00607A03" w:rsidRDefault="009B3CFB" w:rsidP="0052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Violación conyugal</w:t>
      </w:r>
    </w:p>
    <w:p w14:paraId="4540CB2F" w14:textId="61BF9C45" w:rsidR="0052163E" w:rsidRPr="00607A03" w:rsidRDefault="0052163E" w:rsidP="0052163E">
      <w:pPr>
        <w:pStyle w:val="SingleTxt"/>
        <w:spacing w:after="0" w:line="120" w:lineRule="exact"/>
        <w:rPr>
          <w:sz w:val="10"/>
        </w:rPr>
      </w:pPr>
    </w:p>
    <w:p w14:paraId="200CEE81" w14:textId="7ED7D0C0" w:rsidR="009B3CFB" w:rsidRPr="00607A03" w:rsidRDefault="009B3CFB" w:rsidP="00E80480">
      <w:pPr>
        <w:pStyle w:val="SingleTxt"/>
        <w:numPr>
          <w:ilvl w:val="0"/>
          <w:numId w:val="5"/>
        </w:numPr>
        <w:ind w:left="1267"/>
        <w:rPr>
          <w:lang w:val="es-ES_tradnl"/>
        </w:rPr>
      </w:pPr>
      <w:r w:rsidRPr="00607A03">
        <w:t>Si bien no existe ninguna ley específica sobre la violación conyugal, en junio de 2016 se modificó la Ley de Protección contra la Violencia Doméstica con miras a ampliar la definición de violencia doméstica. La violencia sexual es ahora un acto de violencia doméstica según la definición establecida en el artículo 2 de la Ley de Protección contra la Violencia Doméstica, como se muestra a continuación:</w:t>
      </w:r>
    </w:p>
    <w:p w14:paraId="2B269977" w14:textId="6373E6F5" w:rsidR="009B3CFB" w:rsidRPr="00607A03" w:rsidRDefault="0052163E" w:rsidP="0052163E">
      <w:pPr>
        <w:pStyle w:val="SingleTxt"/>
        <w:ind w:left="1742" w:hanging="475"/>
        <w:rPr>
          <w:lang w:val="es-ES_tradnl"/>
        </w:rPr>
      </w:pPr>
      <w:r w:rsidRPr="00607A03">
        <w:tab/>
      </w:r>
      <w:r w:rsidR="00607A03" w:rsidRPr="00607A03">
        <w:t>“</w:t>
      </w:r>
      <w:r w:rsidR="009B3CFB" w:rsidRPr="00607A03">
        <w:t>violencia doméstica</w:t>
      </w:r>
      <w:r w:rsidR="00607A03" w:rsidRPr="00607A03">
        <w:t>”</w:t>
      </w:r>
      <w:r w:rsidR="009B3CFB" w:rsidRPr="00607A03">
        <w:t xml:space="preserve"> comprende cualquiera de los siguientes actos cometidos por una persona contra su cónyuge, un hijo o una hija de su cónyuge u otra persona que viva bajo el mismo techo</w:t>
      </w:r>
    </w:p>
    <w:p w14:paraId="02DA3DF8" w14:textId="46E67740" w:rsidR="009B3CFB" w:rsidRPr="00607A03" w:rsidRDefault="0052163E" w:rsidP="009B3CFB">
      <w:pPr>
        <w:pStyle w:val="SingleTxt"/>
        <w:rPr>
          <w:lang w:val="es-ES_tradnl"/>
        </w:rPr>
      </w:pPr>
      <w:r w:rsidRPr="00607A03">
        <w:tab/>
      </w:r>
      <w:r w:rsidR="009B3CFB" w:rsidRPr="00607A03">
        <w:t>(…)</w:t>
      </w:r>
    </w:p>
    <w:p w14:paraId="0987F2C1" w14:textId="0F978FDA" w:rsidR="009B3CFB" w:rsidRPr="00607A03" w:rsidRDefault="0052163E" w:rsidP="0052163E">
      <w:pPr>
        <w:pStyle w:val="SingleTxt"/>
        <w:ind w:left="1742" w:hanging="475"/>
        <w:rPr>
          <w:lang w:val="es-ES_tradnl"/>
        </w:rPr>
      </w:pPr>
      <w:r w:rsidRPr="00607A03">
        <w:tab/>
      </w:r>
      <w:r w:rsidR="009B3CFB" w:rsidRPr="00607A03">
        <w:t>d)</w:t>
      </w:r>
      <w:r w:rsidRPr="00607A03">
        <w:tab/>
      </w:r>
      <w:r w:rsidR="009B3CFB" w:rsidRPr="00607A03">
        <w:t>que obligue al cónyuge o a la otra persona, mediante fuerza o amenazas, a una conducta o acto sexual o de otro tipo al cual el cónyuge o la otra persona tenga derecho a negarse.</w:t>
      </w:r>
    </w:p>
    <w:p w14:paraId="3F7892EC" w14:textId="3D6C48C4" w:rsidR="009B3CFB" w:rsidRPr="00607A03" w:rsidRDefault="009B3CFB" w:rsidP="00E80480">
      <w:pPr>
        <w:pStyle w:val="SingleTxt"/>
        <w:numPr>
          <w:ilvl w:val="0"/>
          <w:numId w:val="5"/>
        </w:numPr>
        <w:ind w:left="1267"/>
        <w:rPr>
          <w:lang w:val="es-ES_tradnl"/>
        </w:rPr>
      </w:pPr>
      <w:r w:rsidRPr="00607A03">
        <w:t xml:space="preserve">A </w:t>
      </w:r>
      <w:proofErr w:type="gramStart"/>
      <w:r w:rsidRPr="00607A03">
        <w:t>continuación</w:t>
      </w:r>
      <w:proofErr w:type="gramEnd"/>
      <w:r w:rsidRPr="00607A03">
        <w:t xml:space="preserve"> se presentan las estadísticas relativas a los casos de violencia y explotación sexuales denunciados, incluidas las condenas correspondientes a 2018 y 2019, en la República de Mauricio.</w:t>
      </w:r>
    </w:p>
    <w:p w14:paraId="7E306B01" w14:textId="22860378" w:rsidR="00DB7778" w:rsidRPr="00607A03" w:rsidRDefault="00DB7778" w:rsidP="00DB7778">
      <w:pPr>
        <w:pStyle w:val="SingleTxt"/>
        <w:spacing w:after="0" w:line="120" w:lineRule="exact"/>
        <w:rPr>
          <w:sz w:val="10"/>
        </w:rPr>
      </w:pPr>
    </w:p>
    <w:p w14:paraId="67D629F2" w14:textId="1850F2F3" w:rsidR="00DB7778" w:rsidRPr="00607A03" w:rsidRDefault="00DB7778" w:rsidP="00DB7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Número de casos de violencia y explotación sexuales denunciados (2018-2019)</w:t>
      </w:r>
    </w:p>
    <w:p w14:paraId="74851E3B" w14:textId="31E5A1FD" w:rsidR="00DB7778" w:rsidRPr="00607A03" w:rsidRDefault="00DB7778" w:rsidP="00DB7778">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843"/>
        <w:gridCol w:w="1842"/>
        <w:gridCol w:w="1888"/>
      </w:tblGrid>
      <w:tr w:rsidR="00DB7778" w:rsidRPr="00607A03" w14:paraId="227CB462" w14:textId="77777777" w:rsidTr="00DB7778">
        <w:trPr>
          <w:tblHeader/>
        </w:trPr>
        <w:tc>
          <w:tcPr>
            <w:tcW w:w="1717" w:type="dxa"/>
            <w:tcBorders>
              <w:top w:val="single" w:sz="4" w:space="0" w:color="auto"/>
              <w:bottom w:val="single" w:sz="12" w:space="0" w:color="auto"/>
            </w:tcBorders>
            <w:shd w:val="clear" w:color="auto" w:fill="auto"/>
            <w:vAlign w:val="bottom"/>
          </w:tcPr>
          <w:p w14:paraId="1E1418B6" w14:textId="77777777" w:rsidR="00DB7778" w:rsidRPr="00607A03" w:rsidRDefault="00DB7778" w:rsidP="00484DE7">
            <w:pPr>
              <w:suppressAutoHyphens w:val="0"/>
              <w:spacing w:before="80" w:after="80" w:line="200" w:lineRule="exact"/>
              <w:rPr>
                <w:i/>
                <w:sz w:val="14"/>
                <w:szCs w:val="14"/>
              </w:rPr>
            </w:pPr>
            <w:r w:rsidRPr="00607A03">
              <w:rPr>
                <w:i/>
                <w:iCs/>
                <w:sz w:val="14"/>
                <w:szCs w:val="14"/>
              </w:rPr>
              <w:t>Año</w:t>
            </w:r>
          </w:p>
        </w:tc>
        <w:tc>
          <w:tcPr>
            <w:tcW w:w="1843" w:type="dxa"/>
            <w:tcBorders>
              <w:top w:val="single" w:sz="4" w:space="0" w:color="auto"/>
              <w:bottom w:val="single" w:sz="12" w:space="0" w:color="auto"/>
            </w:tcBorders>
            <w:shd w:val="clear" w:color="auto" w:fill="auto"/>
            <w:vAlign w:val="bottom"/>
          </w:tcPr>
          <w:p w14:paraId="0404B1E6" w14:textId="77777777" w:rsidR="00DB7778" w:rsidRPr="00607A03" w:rsidRDefault="00DB7778" w:rsidP="00484DE7">
            <w:pPr>
              <w:suppressAutoHyphens w:val="0"/>
              <w:spacing w:before="80" w:after="80" w:line="200" w:lineRule="exact"/>
              <w:jc w:val="right"/>
              <w:rPr>
                <w:i/>
                <w:sz w:val="14"/>
                <w:szCs w:val="14"/>
              </w:rPr>
            </w:pPr>
            <w:r w:rsidRPr="00607A03">
              <w:rPr>
                <w:i/>
                <w:iCs/>
                <w:sz w:val="14"/>
                <w:szCs w:val="14"/>
              </w:rPr>
              <w:t>Violencia sexual</w:t>
            </w:r>
          </w:p>
        </w:tc>
        <w:tc>
          <w:tcPr>
            <w:tcW w:w="1842" w:type="dxa"/>
            <w:tcBorders>
              <w:top w:val="single" w:sz="4" w:space="0" w:color="auto"/>
              <w:bottom w:val="single" w:sz="12" w:space="0" w:color="auto"/>
            </w:tcBorders>
            <w:shd w:val="clear" w:color="auto" w:fill="auto"/>
            <w:vAlign w:val="bottom"/>
          </w:tcPr>
          <w:p w14:paraId="43296560" w14:textId="77777777" w:rsidR="00DB7778" w:rsidRPr="00607A03" w:rsidRDefault="00DB7778" w:rsidP="00484DE7">
            <w:pPr>
              <w:suppressAutoHyphens w:val="0"/>
              <w:spacing w:before="80" w:after="80" w:line="200" w:lineRule="exact"/>
              <w:jc w:val="right"/>
              <w:rPr>
                <w:i/>
                <w:sz w:val="14"/>
                <w:szCs w:val="14"/>
              </w:rPr>
            </w:pPr>
            <w:r w:rsidRPr="00607A03">
              <w:rPr>
                <w:i/>
                <w:iCs/>
                <w:sz w:val="14"/>
                <w:szCs w:val="14"/>
              </w:rPr>
              <w:t>Explotación sexual</w:t>
            </w:r>
          </w:p>
        </w:tc>
        <w:tc>
          <w:tcPr>
            <w:tcW w:w="1888" w:type="dxa"/>
            <w:tcBorders>
              <w:top w:val="single" w:sz="4" w:space="0" w:color="auto"/>
              <w:bottom w:val="single" w:sz="12" w:space="0" w:color="auto"/>
            </w:tcBorders>
            <w:shd w:val="clear" w:color="auto" w:fill="auto"/>
            <w:vAlign w:val="bottom"/>
          </w:tcPr>
          <w:p w14:paraId="2622DCC8" w14:textId="77777777" w:rsidR="00DB7778" w:rsidRPr="00607A03" w:rsidRDefault="00DB7778" w:rsidP="00484DE7">
            <w:pPr>
              <w:suppressAutoHyphens w:val="0"/>
              <w:spacing w:before="80" w:after="80" w:line="200" w:lineRule="exact"/>
              <w:jc w:val="right"/>
              <w:rPr>
                <w:b/>
                <w:i/>
                <w:sz w:val="14"/>
                <w:szCs w:val="14"/>
              </w:rPr>
            </w:pPr>
            <w:r w:rsidRPr="00607A03">
              <w:rPr>
                <w:b/>
                <w:bCs/>
                <w:i/>
                <w:iCs/>
                <w:sz w:val="14"/>
                <w:szCs w:val="14"/>
              </w:rPr>
              <w:t>Total</w:t>
            </w:r>
          </w:p>
        </w:tc>
      </w:tr>
      <w:tr w:rsidR="00DB7778" w:rsidRPr="00607A03" w14:paraId="72252C14" w14:textId="77777777" w:rsidTr="00DB7778">
        <w:tc>
          <w:tcPr>
            <w:tcW w:w="1717" w:type="dxa"/>
            <w:tcBorders>
              <w:top w:val="single" w:sz="12" w:space="0" w:color="auto"/>
            </w:tcBorders>
            <w:shd w:val="clear" w:color="auto" w:fill="auto"/>
          </w:tcPr>
          <w:p w14:paraId="2520D145" w14:textId="77777777" w:rsidR="00DB7778" w:rsidRPr="00607A03" w:rsidRDefault="00DB7778" w:rsidP="00484DE7">
            <w:pPr>
              <w:suppressAutoHyphens w:val="0"/>
              <w:spacing w:before="40" w:after="40" w:line="220" w:lineRule="exact"/>
              <w:rPr>
                <w:sz w:val="17"/>
                <w:szCs w:val="17"/>
              </w:rPr>
            </w:pPr>
            <w:r w:rsidRPr="00607A03">
              <w:rPr>
                <w:sz w:val="17"/>
                <w:szCs w:val="17"/>
              </w:rPr>
              <w:t>2018</w:t>
            </w:r>
          </w:p>
        </w:tc>
        <w:tc>
          <w:tcPr>
            <w:tcW w:w="1843" w:type="dxa"/>
            <w:tcBorders>
              <w:top w:val="single" w:sz="12" w:space="0" w:color="auto"/>
            </w:tcBorders>
            <w:shd w:val="clear" w:color="auto" w:fill="auto"/>
            <w:vAlign w:val="bottom"/>
          </w:tcPr>
          <w:p w14:paraId="77090A59"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464</w:t>
            </w:r>
          </w:p>
        </w:tc>
        <w:tc>
          <w:tcPr>
            <w:tcW w:w="1842" w:type="dxa"/>
            <w:tcBorders>
              <w:top w:val="single" w:sz="12" w:space="0" w:color="auto"/>
            </w:tcBorders>
            <w:shd w:val="clear" w:color="auto" w:fill="auto"/>
            <w:vAlign w:val="bottom"/>
          </w:tcPr>
          <w:p w14:paraId="30DEE0B5"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156</w:t>
            </w:r>
          </w:p>
        </w:tc>
        <w:tc>
          <w:tcPr>
            <w:tcW w:w="1888" w:type="dxa"/>
            <w:tcBorders>
              <w:top w:val="single" w:sz="12" w:space="0" w:color="auto"/>
            </w:tcBorders>
            <w:shd w:val="clear" w:color="auto" w:fill="auto"/>
            <w:vAlign w:val="bottom"/>
          </w:tcPr>
          <w:p w14:paraId="715F5AA4" w14:textId="77777777" w:rsidR="00DB7778" w:rsidRPr="00607A03" w:rsidRDefault="00DB7778" w:rsidP="00484DE7">
            <w:pPr>
              <w:suppressAutoHyphens w:val="0"/>
              <w:spacing w:before="40" w:after="40" w:line="220" w:lineRule="exact"/>
              <w:jc w:val="right"/>
              <w:rPr>
                <w:b/>
                <w:sz w:val="17"/>
                <w:szCs w:val="17"/>
              </w:rPr>
            </w:pPr>
            <w:r w:rsidRPr="00607A03">
              <w:rPr>
                <w:b/>
                <w:bCs/>
                <w:sz w:val="17"/>
                <w:szCs w:val="17"/>
              </w:rPr>
              <w:t>620</w:t>
            </w:r>
          </w:p>
        </w:tc>
      </w:tr>
      <w:tr w:rsidR="00DB7778" w:rsidRPr="00607A03" w14:paraId="21551A75" w14:textId="77777777" w:rsidTr="00DB7778">
        <w:tc>
          <w:tcPr>
            <w:tcW w:w="1717" w:type="dxa"/>
            <w:tcBorders>
              <w:bottom w:val="single" w:sz="12" w:space="0" w:color="auto"/>
            </w:tcBorders>
            <w:shd w:val="clear" w:color="auto" w:fill="auto"/>
          </w:tcPr>
          <w:p w14:paraId="1718E7B1" w14:textId="77777777" w:rsidR="00DB7778" w:rsidRPr="00607A03" w:rsidRDefault="00DB7778" w:rsidP="00484DE7">
            <w:pPr>
              <w:suppressAutoHyphens w:val="0"/>
              <w:spacing w:before="40" w:after="40" w:line="220" w:lineRule="exact"/>
              <w:rPr>
                <w:sz w:val="17"/>
                <w:szCs w:val="17"/>
              </w:rPr>
            </w:pPr>
            <w:r w:rsidRPr="00607A03">
              <w:rPr>
                <w:sz w:val="17"/>
                <w:szCs w:val="17"/>
              </w:rPr>
              <w:t>2019</w:t>
            </w:r>
          </w:p>
        </w:tc>
        <w:tc>
          <w:tcPr>
            <w:tcW w:w="1843" w:type="dxa"/>
            <w:tcBorders>
              <w:bottom w:val="single" w:sz="12" w:space="0" w:color="auto"/>
            </w:tcBorders>
            <w:shd w:val="clear" w:color="auto" w:fill="auto"/>
            <w:vAlign w:val="bottom"/>
          </w:tcPr>
          <w:p w14:paraId="317D1E7C"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481</w:t>
            </w:r>
          </w:p>
        </w:tc>
        <w:tc>
          <w:tcPr>
            <w:tcW w:w="1842" w:type="dxa"/>
            <w:tcBorders>
              <w:bottom w:val="single" w:sz="12" w:space="0" w:color="auto"/>
            </w:tcBorders>
            <w:shd w:val="clear" w:color="auto" w:fill="auto"/>
            <w:vAlign w:val="bottom"/>
          </w:tcPr>
          <w:p w14:paraId="280742D4"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198</w:t>
            </w:r>
          </w:p>
        </w:tc>
        <w:tc>
          <w:tcPr>
            <w:tcW w:w="1888" w:type="dxa"/>
            <w:tcBorders>
              <w:bottom w:val="single" w:sz="12" w:space="0" w:color="auto"/>
            </w:tcBorders>
            <w:shd w:val="clear" w:color="auto" w:fill="auto"/>
            <w:vAlign w:val="bottom"/>
          </w:tcPr>
          <w:p w14:paraId="399B994E" w14:textId="77777777" w:rsidR="00DB7778" w:rsidRPr="00607A03" w:rsidRDefault="00DB7778" w:rsidP="00484DE7">
            <w:pPr>
              <w:suppressAutoHyphens w:val="0"/>
              <w:spacing w:before="40" w:after="40" w:line="220" w:lineRule="exact"/>
              <w:jc w:val="right"/>
              <w:rPr>
                <w:b/>
                <w:sz w:val="17"/>
                <w:szCs w:val="17"/>
              </w:rPr>
            </w:pPr>
            <w:r w:rsidRPr="00607A03">
              <w:rPr>
                <w:b/>
                <w:bCs/>
                <w:sz w:val="17"/>
                <w:szCs w:val="17"/>
              </w:rPr>
              <w:t>679</w:t>
            </w:r>
          </w:p>
        </w:tc>
      </w:tr>
    </w:tbl>
    <w:p w14:paraId="62E21CA4" w14:textId="1771BC43" w:rsidR="001732F3" w:rsidRPr="001732F3" w:rsidRDefault="001732F3" w:rsidP="001732F3">
      <w:pPr>
        <w:pStyle w:val="FootnoteText"/>
        <w:tabs>
          <w:tab w:val="clear" w:pos="418"/>
          <w:tab w:val="right" w:pos="1476"/>
          <w:tab w:val="left" w:pos="1548"/>
          <w:tab w:val="right" w:pos="1836"/>
          <w:tab w:val="left" w:pos="1908"/>
        </w:tabs>
        <w:spacing w:line="120" w:lineRule="exact"/>
        <w:ind w:left="1548" w:hanging="288"/>
        <w:rPr>
          <w:i/>
          <w:iCs/>
          <w:sz w:val="10"/>
        </w:rPr>
      </w:pPr>
    </w:p>
    <w:p w14:paraId="58E4BB2A" w14:textId="5EFB1F06" w:rsidR="00DB7778" w:rsidRPr="00607A03" w:rsidRDefault="00DB7778" w:rsidP="00DB7778">
      <w:pPr>
        <w:pStyle w:val="FootnoteText"/>
        <w:tabs>
          <w:tab w:val="clear" w:pos="418"/>
          <w:tab w:val="right" w:pos="1476"/>
          <w:tab w:val="left" w:pos="1548"/>
          <w:tab w:val="right" w:pos="1836"/>
          <w:tab w:val="left" w:pos="1908"/>
        </w:tabs>
        <w:ind w:left="1548" w:hanging="288"/>
      </w:pPr>
      <w:r w:rsidRPr="00607A03">
        <w:rPr>
          <w:i/>
          <w:iCs/>
        </w:rPr>
        <w:t>Fuente</w:t>
      </w:r>
      <w:r w:rsidRPr="00607A03">
        <w:t>: Policía de Mauricio.</w:t>
      </w:r>
    </w:p>
    <w:p w14:paraId="70E796A2" w14:textId="7F8ACA85" w:rsidR="00DB7778" w:rsidRPr="00607A03" w:rsidRDefault="00DB7778" w:rsidP="00DB7778">
      <w:pPr>
        <w:pStyle w:val="SingleTxt"/>
        <w:spacing w:after="0" w:line="120" w:lineRule="exact"/>
        <w:rPr>
          <w:sz w:val="10"/>
        </w:rPr>
      </w:pPr>
    </w:p>
    <w:p w14:paraId="0A885252" w14:textId="2ACACCF6" w:rsidR="00DB7778" w:rsidRPr="00607A03" w:rsidRDefault="00DB7778" w:rsidP="00DB7778">
      <w:pPr>
        <w:pStyle w:val="SingleTxt"/>
        <w:spacing w:after="0" w:line="120" w:lineRule="exact"/>
        <w:rPr>
          <w:sz w:val="10"/>
        </w:rPr>
      </w:pPr>
    </w:p>
    <w:p w14:paraId="59ED3118" w14:textId="4E698179" w:rsidR="00DB7778" w:rsidRPr="00607A03" w:rsidRDefault="00DB7778" w:rsidP="00DB7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Condenas en casos de violencia y explotación sexuales (2018-2019)</w:t>
      </w:r>
    </w:p>
    <w:p w14:paraId="4098D4E6" w14:textId="422C6282" w:rsidR="00DB7778" w:rsidRPr="00607A03" w:rsidRDefault="00DB7778" w:rsidP="00DB7778">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843"/>
        <w:gridCol w:w="1842"/>
        <w:gridCol w:w="1888"/>
      </w:tblGrid>
      <w:tr w:rsidR="00DB7778" w:rsidRPr="00607A03" w14:paraId="2D2F10F1" w14:textId="77777777" w:rsidTr="00DB7778">
        <w:trPr>
          <w:tblHeader/>
        </w:trPr>
        <w:tc>
          <w:tcPr>
            <w:tcW w:w="1717" w:type="dxa"/>
            <w:tcBorders>
              <w:top w:val="single" w:sz="4" w:space="0" w:color="auto"/>
              <w:bottom w:val="single" w:sz="12" w:space="0" w:color="auto"/>
            </w:tcBorders>
            <w:shd w:val="clear" w:color="auto" w:fill="auto"/>
            <w:vAlign w:val="bottom"/>
          </w:tcPr>
          <w:p w14:paraId="7B8142B4" w14:textId="77777777" w:rsidR="00DB7778" w:rsidRPr="00607A03" w:rsidRDefault="00DB7778" w:rsidP="00484DE7">
            <w:pPr>
              <w:suppressAutoHyphens w:val="0"/>
              <w:spacing w:before="80" w:after="80" w:line="200" w:lineRule="exact"/>
              <w:rPr>
                <w:i/>
                <w:sz w:val="14"/>
                <w:szCs w:val="14"/>
              </w:rPr>
            </w:pPr>
            <w:r w:rsidRPr="00607A03">
              <w:rPr>
                <w:i/>
                <w:iCs/>
                <w:sz w:val="14"/>
                <w:szCs w:val="14"/>
              </w:rPr>
              <w:t>Año</w:t>
            </w:r>
          </w:p>
        </w:tc>
        <w:tc>
          <w:tcPr>
            <w:tcW w:w="1843" w:type="dxa"/>
            <w:tcBorders>
              <w:top w:val="single" w:sz="4" w:space="0" w:color="auto"/>
              <w:bottom w:val="single" w:sz="12" w:space="0" w:color="auto"/>
            </w:tcBorders>
            <w:shd w:val="clear" w:color="auto" w:fill="auto"/>
            <w:vAlign w:val="bottom"/>
          </w:tcPr>
          <w:p w14:paraId="28E8DD31" w14:textId="77777777" w:rsidR="00DB7778" w:rsidRPr="00607A03" w:rsidRDefault="00DB7778" w:rsidP="00484DE7">
            <w:pPr>
              <w:suppressAutoHyphens w:val="0"/>
              <w:spacing w:before="80" w:after="80" w:line="200" w:lineRule="exact"/>
              <w:jc w:val="right"/>
              <w:rPr>
                <w:i/>
                <w:sz w:val="14"/>
                <w:szCs w:val="14"/>
              </w:rPr>
            </w:pPr>
            <w:r w:rsidRPr="00607A03">
              <w:rPr>
                <w:i/>
                <w:iCs/>
                <w:sz w:val="14"/>
                <w:szCs w:val="14"/>
              </w:rPr>
              <w:t>Violencia sexual</w:t>
            </w:r>
          </w:p>
        </w:tc>
        <w:tc>
          <w:tcPr>
            <w:tcW w:w="1842" w:type="dxa"/>
            <w:tcBorders>
              <w:top w:val="single" w:sz="4" w:space="0" w:color="auto"/>
              <w:bottom w:val="single" w:sz="12" w:space="0" w:color="auto"/>
            </w:tcBorders>
            <w:shd w:val="clear" w:color="auto" w:fill="auto"/>
            <w:vAlign w:val="bottom"/>
          </w:tcPr>
          <w:p w14:paraId="087A6690" w14:textId="77777777" w:rsidR="00DB7778" w:rsidRPr="00607A03" w:rsidRDefault="00DB7778" w:rsidP="00484DE7">
            <w:pPr>
              <w:suppressAutoHyphens w:val="0"/>
              <w:spacing w:before="80" w:after="80" w:line="200" w:lineRule="exact"/>
              <w:jc w:val="right"/>
              <w:rPr>
                <w:i/>
                <w:sz w:val="14"/>
                <w:szCs w:val="14"/>
              </w:rPr>
            </w:pPr>
            <w:r w:rsidRPr="00607A03">
              <w:rPr>
                <w:i/>
                <w:iCs/>
                <w:sz w:val="14"/>
                <w:szCs w:val="14"/>
              </w:rPr>
              <w:t>Explotación sexual</w:t>
            </w:r>
          </w:p>
        </w:tc>
        <w:tc>
          <w:tcPr>
            <w:tcW w:w="1888" w:type="dxa"/>
            <w:tcBorders>
              <w:top w:val="single" w:sz="4" w:space="0" w:color="auto"/>
              <w:bottom w:val="single" w:sz="12" w:space="0" w:color="auto"/>
            </w:tcBorders>
            <w:shd w:val="clear" w:color="auto" w:fill="auto"/>
            <w:vAlign w:val="bottom"/>
          </w:tcPr>
          <w:p w14:paraId="5ABD59E8" w14:textId="77777777" w:rsidR="00DB7778" w:rsidRPr="00607A03" w:rsidRDefault="00DB7778" w:rsidP="00484DE7">
            <w:pPr>
              <w:suppressAutoHyphens w:val="0"/>
              <w:spacing w:before="80" w:after="80" w:line="200" w:lineRule="exact"/>
              <w:jc w:val="right"/>
              <w:rPr>
                <w:b/>
                <w:i/>
                <w:sz w:val="14"/>
                <w:szCs w:val="14"/>
              </w:rPr>
            </w:pPr>
            <w:r w:rsidRPr="00607A03">
              <w:rPr>
                <w:b/>
                <w:bCs/>
                <w:i/>
                <w:iCs/>
                <w:sz w:val="14"/>
                <w:szCs w:val="14"/>
              </w:rPr>
              <w:t>Total</w:t>
            </w:r>
          </w:p>
        </w:tc>
      </w:tr>
      <w:tr w:rsidR="00DB7778" w:rsidRPr="00607A03" w14:paraId="5B239DAE" w14:textId="77777777" w:rsidTr="00DB7778">
        <w:tc>
          <w:tcPr>
            <w:tcW w:w="1717" w:type="dxa"/>
            <w:tcBorders>
              <w:top w:val="single" w:sz="12" w:space="0" w:color="auto"/>
            </w:tcBorders>
            <w:shd w:val="clear" w:color="auto" w:fill="auto"/>
          </w:tcPr>
          <w:p w14:paraId="01A9CA77" w14:textId="77777777" w:rsidR="00DB7778" w:rsidRPr="00607A03" w:rsidRDefault="00DB7778" w:rsidP="00484DE7">
            <w:pPr>
              <w:suppressAutoHyphens w:val="0"/>
              <w:spacing w:before="40" w:after="40" w:line="220" w:lineRule="exact"/>
              <w:rPr>
                <w:sz w:val="17"/>
                <w:szCs w:val="17"/>
              </w:rPr>
            </w:pPr>
            <w:r w:rsidRPr="00607A03">
              <w:rPr>
                <w:sz w:val="17"/>
                <w:szCs w:val="17"/>
              </w:rPr>
              <w:t>2018</w:t>
            </w:r>
          </w:p>
        </w:tc>
        <w:tc>
          <w:tcPr>
            <w:tcW w:w="1843" w:type="dxa"/>
            <w:tcBorders>
              <w:top w:val="single" w:sz="12" w:space="0" w:color="auto"/>
            </w:tcBorders>
            <w:shd w:val="clear" w:color="auto" w:fill="auto"/>
            <w:vAlign w:val="bottom"/>
          </w:tcPr>
          <w:p w14:paraId="69C8F3B2"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117</w:t>
            </w:r>
          </w:p>
        </w:tc>
        <w:tc>
          <w:tcPr>
            <w:tcW w:w="1842" w:type="dxa"/>
            <w:tcBorders>
              <w:top w:val="single" w:sz="12" w:space="0" w:color="auto"/>
            </w:tcBorders>
            <w:shd w:val="clear" w:color="auto" w:fill="auto"/>
            <w:vAlign w:val="bottom"/>
          </w:tcPr>
          <w:p w14:paraId="5D39E3E8"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44</w:t>
            </w:r>
          </w:p>
        </w:tc>
        <w:tc>
          <w:tcPr>
            <w:tcW w:w="1888" w:type="dxa"/>
            <w:tcBorders>
              <w:top w:val="single" w:sz="12" w:space="0" w:color="auto"/>
            </w:tcBorders>
            <w:shd w:val="clear" w:color="auto" w:fill="auto"/>
            <w:vAlign w:val="bottom"/>
          </w:tcPr>
          <w:p w14:paraId="10E92455" w14:textId="77777777" w:rsidR="00DB7778" w:rsidRPr="00607A03" w:rsidRDefault="00DB7778" w:rsidP="00484DE7">
            <w:pPr>
              <w:suppressAutoHyphens w:val="0"/>
              <w:spacing w:before="40" w:after="40" w:line="220" w:lineRule="exact"/>
              <w:jc w:val="right"/>
              <w:rPr>
                <w:b/>
                <w:sz w:val="17"/>
                <w:szCs w:val="17"/>
              </w:rPr>
            </w:pPr>
            <w:r w:rsidRPr="00607A03">
              <w:rPr>
                <w:b/>
                <w:bCs/>
                <w:sz w:val="17"/>
                <w:szCs w:val="17"/>
              </w:rPr>
              <w:t>161</w:t>
            </w:r>
          </w:p>
        </w:tc>
      </w:tr>
      <w:tr w:rsidR="00DB7778" w:rsidRPr="00607A03" w14:paraId="7C768ECB" w14:textId="77777777" w:rsidTr="00DB7778">
        <w:tc>
          <w:tcPr>
            <w:tcW w:w="1717" w:type="dxa"/>
            <w:tcBorders>
              <w:bottom w:val="single" w:sz="12" w:space="0" w:color="auto"/>
            </w:tcBorders>
            <w:shd w:val="clear" w:color="auto" w:fill="auto"/>
          </w:tcPr>
          <w:p w14:paraId="0064FD06" w14:textId="77777777" w:rsidR="00DB7778" w:rsidRPr="00607A03" w:rsidRDefault="00DB7778" w:rsidP="00484DE7">
            <w:pPr>
              <w:suppressAutoHyphens w:val="0"/>
              <w:spacing w:before="40" w:after="40" w:line="220" w:lineRule="exact"/>
              <w:rPr>
                <w:sz w:val="17"/>
                <w:szCs w:val="17"/>
              </w:rPr>
            </w:pPr>
            <w:r w:rsidRPr="00607A03">
              <w:rPr>
                <w:sz w:val="17"/>
                <w:szCs w:val="17"/>
              </w:rPr>
              <w:t>2019</w:t>
            </w:r>
          </w:p>
        </w:tc>
        <w:tc>
          <w:tcPr>
            <w:tcW w:w="1843" w:type="dxa"/>
            <w:tcBorders>
              <w:bottom w:val="single" w:sz="12" w:space="0" w:color="auto"/>
            </w:tcBorders>
            <w:shd w:val="clear" w:color="auto" w:fill="auto"/>
            <w:vAlign w:val="bottom"/>
          </w:tcPr>
          <w:p w14:paraId="3D4B765E"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119</w:t>
            </w:r>
          </w:p>
        </w:tc>
        <w:tc>
          <w:tcPr>
            <w:tcW w:w="1842" w:type="dxa"/>
            <w:tcBorders>
              <w:bottom w:val="single" w:sz="12" w:space="0" w:color="auto"/>
            </w:tcBorders>
            <w:shd w:val="clear" w:color="auto" w:fill="auto"/>
            <w:vAlign w:val="bottom"/>
          </w:tcPr>
          <w:p w14:paraId="1308CDEB" w14:textId="77777777" w:rsidR="00DB7778" w:rsidRPr="00607A03" w:rsidRDefault="00DB7778" w:rsidP="00484DE7">
            <w:pPr>
              <w:suppressAutoHyphens w:val="0"/>
              <w:spacing w:before="40" w:after="40" w:line="220" w:lineRule="exact"/>
              <w:jc w:val="right"/>
              <w:rPr>
                <w:sz w:val="17"/>
                <w:szCs w:val="17"/>
              </w:rPr>
            </w:pPr>
            <w:r w:rsidRPr="00607A03">
              <w:rPr>
                <w:sz w:val="17"/>
                <w:szCs w:val="17"/>
              </w:rPr>
              <w:t>67</w:t>
            </w:r>
          </w:p>
        </w:tc>
        <w:tc>
          <w:tcPr>
            <w:tcW w:w="1888" w:type="dxa"/>
            <w:tcBorders>
              <w:bottom w:val="single" w:sz="12" w:space="0" w:color="auto"/>
            </w:tcBorders>
            <w:shd w:val="clear" w:color="auto" w:fill="auto"/>
            <w:vAlign w:val="bottom"/>
          </w:tcPr>
          <w:p w14:paraId="53D06319" w14:textId="77777777" w:rsidR="00DB7778" w:rsidRPr="00607A03" w:rsidRDefault="00DB7778" w:rsidP="00484DE7">
            <w:pPr>
              <w:suppressAutoHyphens w:val="0"/>
              <w:spacing w:before="40" w:after="40" w:line="220" w:lineRule="exact"/>
              <w:jc w:val="right"/>
              <w:rPr>
                <w:b/>
                <w:sz w:val="17"/>
                <w:szCs w:val="17"/>
              </w:rPr>
            </w:pPr>
            <w:r w:rsidRPr="00607A03">
              <w:rPr>
                <w:b/>
                <w:bCs/>
                <w:sz w:val="17"/>
                <w:szCs w:val="17"/>
              </w:rPr>
              <w:t>186</w:t>
            </w:r>
          </w:p>
        </w:tc>
      </w:tr>
    </w:tbl>
    <w:p w14:paraId="000F80FB" w14:textId="6DD3DA3F" w:rsidR="001732F3" w:rsidRPr="001732F3" w:rsidRDefault="001732F3" w:rsidP="001732F3">
      <w:pPr>
        <w:pStyle w:val="FootnoteText"/>
        <w:tabs>
          <w:tab w:val="clear" w:pos="418"/>
          <w:tab w:val="right" w:pos="1476"/>
          <w:tab w:val="left" w:pos="1548"/>
          <w:tab w:val="right" w:pos="1836"/>
          <w:tab w:val="left" w:pos="1908"/>
        </w:tabs>
        <w:spacing w:line="120" w:lineRule="exact"/>
        <w:ind w:left="1548" w:hanging="288"/>
        <w:rPr>
          <w:i/>
          <w:iCs/>
          <w:sz w:val="10"/>
        </w:rPr>
      </w:pPr>
    </w:p>
    <w:p w14:paraId="6B510458" w14:textId="7805580A" w:rsidR="00DB7778" w:rsidRPr="00607A03" w:rsidRDefault="00DB7778" w:rsidP="00DB7778">
      <w:pPr>
        <w:pStyle w:val="FootnoteText"/>
        <w:tabs>
          <w:tab w:val="clear" w:pos="418"/>
          <w:tab w:val="right" w:pos="1476"/>
          <w:tab w:val="left" w:pos="1548"/>
          <w:tab w:val="right" w:pos="1836"/>
          <w:tab w:val="left" w:pos="1908"/>
        </w:tabs>
        <w:ind w:left="1548" w:hanging="288"/>
      </w:pPr>
      <w:r w:rsidRPr="00607A03">
        <w:rPr>
          <w:i/>
          <w:iCs/>
        </w:rPr>
        <w:t>Fuente</w:t>
      </w:r>
      <w:r w:rsidRPr="00607A03">
        <w:t>: Judicatura.</w:t>
      </w:r>
    </w:p>
    <w:p w14:paraId="6BF0A42E" w14:textId="09D75D7E" w:rsidR="00DB7778" w:rsidRPr="00607A03" w:rsidRDefault="00DB7778" w:rsidP="00DB7778">
      <w:pPr>
        <w:pStyle w:val="SingleTxt"/>
        <w:spacing w:after="0" w:line="120" w:lineRule="exact"/>
        <w:rPr>
          <w:sz w:val="10"/>
        </w:rPr>
      </w:pPr>
    </w:p>
    <w:p w14:paraId="262A6A17" w14:textId="4434BA7D" w:rsidR="00DB7778" w:rsidRPr="00607A03" w:rsidRDefault="00DB7778" w:rsidP="00DB7778">
      <w:pPr>
        <w:pStyle w:val="SingleTxt"/>
        <w:spacing w:after="0" w:line="120" w:lineRule="exact"/>
        <w:rPr>
          <w:sz w:val="10"/>
        </w:rPr>
      </w:pPr>
    </w:p>
    <w:p w14:paraId="1E2094E3" w14:textId="38DDD341" w:rsidR="00DB7778" w:rsidRPr="00607A03" w:rsidRDefault="00DB7778" w:rsidP="00DB7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Personas declaradas culpables que ingresaron en prisión por violencia y explotación sexuales (2017-2019)</w:t>
      </w:r>
    </w:p>
    <w:p w14:paraId="30FE3577" w14:textId="2355E056" w:rsidR="00DB7778" w:rsidRPr="00607A03" w:rsidRDefault="00DB7778" w:rsidP="00DB7778">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843"/>
        <w:gridCol w:w="1842"/>
        <w:gridCol w:w="1888"/>
      </w:tblGrid>
      <w:tr w:rsidR="00DB7778" w:rsidRPr="00607A03" w14:paraId="512FC832" w14:textId="77777777" w:rsidTr="00DB7778">
        <w:tc>
          <w:tcPr>
            <w:tcW w:w="1717" w:type="dxa"/>
            <w:tcBorders>
              <w:top w:val="single" w:sz="4" w:space="0" w:color="auto"/>
              <w:bottom w:val="single" w:sz="12" w:space="0" w:color="auto"/>
            </w:tcBorders>
            <w:shd w:val="clear" w:color="auto" w:fill="auto"/>
            <w:vAlign w:val="bottom"/>
          </w:tcPr>
          <w:p w14:paraId="62FC981D" w14:textId="77777777" w:rsidR="00DB7778" w:rsidRPr="00607A03" w:rsidRDefault="00DB7778" w:rsidP="00484DE7">
            <w:pPr>
              <w:spacing w:before="80" w:after="80" w:line="200" w:lineRule="exact"/>
              <w:rPr>
                <w:i/>
                <w:sz w:val="14"/>
                <w:szCs w:val="14"/>
              </w:rPr>
            </w:pPr>
            <w:r w:rsidRPr="00607A03">
              <w:rPr>
                <w:i/>
                <w:iCs/>
                <w:sz w:val="14"/>
                <w:szCs w:val="14"/>
              </w:rPr>
              <w:t>Año</w:t>
            </w:r>
          </w:p>
        </w:tc>
        <w:tc>
          <w:tcPr>
            <w:tcW w:w="1843" w:type="dxa"/>
            <w:tcBorders>
              <w:top w:val="single" w:sz="4" w:space="0" w:color="auto"/>
              <w:bottom w:val="single" w:sz="12" w:space="0" w:color="auto"/>
            </w:tcBorders>
            <w:shd w:val="clear" w:color="auto" w:fill="auto"/>
            <w:vAlign w:val="bottom"/>
          </w:tcPr>
          <w:p w14:paraId="0F646D99" w14:textId="77777777" w:rsidR="00DB7778" w:rsidRPr="00607A03" w:rsidRDefault="00DB7778" w:rsidP="00484DE7">
            <w:pPr>
              <w:spacing w:before="80" w:after="80" w:line="200" w:lineRule="exact"/>
              <w:jc w:val="right"/>
              <w:rPr>
                <w:i/>
                <w:sz w:val="14"/>
                <w:szCs w:val="14"/>
              </w:rPr>
            </w:pPr>
            <w:r w:rsidRPr="00607A03">
              <w:rPr>
                <w:i/>
                <w:iCs/>
                <w:sz w:val="14"/>
                <w:szCs w:val="14"/>
              </w:rPr>
              <w:t>Violencia sexual</w:t>
            </w:r>
          </w:p>
        </w:tc>
        <w:tc>
          <w:tcPr>
            <w:tcW w:w="1842" w:type="dxa"/>
            <w:tcBorders>
              <w:top w:val="single" w:sz="4" w:space="0" w:color="auto"/>
              <w:bottom w:val="single" w:sz="12" w:space="0" w:color="auto"/>
            </w:tcBorders>
            <w:shd w:val="clear" w:color="auto" w:fill="auto"/>
            <w:vAlign w:val="bottom"/>
          </w:tcPr>
          <w:p w14:paraId="1ACD50FD" w14:textId="77777777" w:rsidR="00DB7778" w:rsidRPr="00607A03" w:rsidRDefault="00DB7778" w:rsidP="00484DE7">
            <w:pPr>
              <w:spacing w:before="80" w:after="80" w:line="200" w:lineRule="exact"/>
              <w:jc w:val="right"/>
              <w:rPr>
                <w:i/>
                <w:sz w:val="14"/>
                <w:szCs w:val="14"/>
              </w:rPr>
            </w:pPr>
            <w:r w:rsidRPr="00607A03">
              <w:rPr>
                <w:i/>
                <w:iCs/>
                <w:sz w:val="14"/>
                <w:szCs w:val="14"/>
              </w:rPr>
              <w:t>Explotación sexual</w:t>
            </w:r>
          </w:p>
        </w:tc>
        <w:tc>
          <w:tcPr>
            <w:tcW w:w="1888" w:type="dxa"/>
            <w:tcBorders>
              <w:top w:val="single" w:sz="4" w:space="0" w:color="auto"/>
              <w:bottom w:val="single" w:sz="12" w:space="0" w:color="auto"/>
            </w:tcBorders>
            <w:shd w:val="clear" w:color="auto" w:fill="auto"/>
            <w:vAlign w:val="bottom"/>
          </w:tcPr>
          <w:p w14:paraId="51A8BB8C" w14:textId="77777777" w:rsidR="00DB7778" w:rsidRPr="00607A03" w:rsidRDefault="00DB7778" w:rsidP="00484DE7">
            <w:pPr>
              <w:spacing w:before="80" w:after="80" w:line="200" w:lineRule="exact"/>
              <w:jc w:val="right"/>
              <w:rPr>
                <w:b/>
                <w:i/>
                <w:sz w:val="14"/>
                <w:szCs w:val="14"/>
              </w:rPr>
            </w:pPr>
            <w:r w:rsidRPr="00607A03">
              <w:rPr>
                <w:b/>
                <w:bCs/>
                <w:i/>
                <w:iCs/>
                <w:sz w:val="14"/>
                <w:szCs w:val="14"/>
              </w:rPr>
              <w:t>Total</w:t>
            </w:r>
          </w:p>
        </w:tc>
      </w:tr>
      <w:tr w:rsidR="00DB7778" w:rsidRPr="00607A03" w14:paraId="08ED441C" w14:textId="77777777" w:rsidTr="00DB7778">
        <w:tc>
          <w:tcPr>
            <w:tcW w:w="1717" w:type="dxa"/>
            <w:tcBorders>
              <w:top w:val="single" w:sz="12" w:space="0" w:color="auto"/>
            </w:tcBorders>
            <w:shd w:val="clear" w:color="auto" w:fill="auto"/>
            <w:vAlign w:val="bottom"/>
          </w:tcPr>
          <w:p w14:paraId="311FF3F1" w14:textId="77777777" w:rsidR="00DB7778" w:rsidRPr="00607A03" w:rsidRDefault="00DB7778" w:rsidP="00484DE7">
            <w:pPr>
              <w:spacing w:before="40" w:after="40" w:line="220" w:lineRule="exact"/>
              <w:rPr>
                <w:sz w:val="17"/>
                <w:szCs w:val="17"/>
              </w:rPr>
            </w:pPr>
            <w:r w:rsidRPr="00607A03">
              <w:rPr>
                <w:sz w:val="17"/>
                <w:szCs w:val="17"/>
              </w:rPr>
              <w:t>2017</w:t>
            </w:r>
          </w:p>
        </w:tc>
        <w:tc>
          <w:tcPr>
            <w:tcW w:w="1843" w:type="dxa"/>
            <w:tcBorders>
              <w:top w:val="single" w:sz="12" w:space="0" w:color="auto"/>
            </w:tcBorders>
            <w:shd w:val="clear" w:color="auto" w:fill="auto"/>
            <w:vAlign w:val="bottom"/>
          </w:tcPr>
          <w:p w14:paraId="31DE2CDC" w14:textId="77777777" w:rsidR="00DB7778" w:rsidRPr="00607A03" w:rsidRDefault="00DB7778" w:rsidP="00484DE7">
            <w:pPr>
              <w:spacing w:before="40" w:after="40" w:line="220" w:lineRule="exact"/>
              <w:jc w:val="right"/>
              <w:rPr>
                <w:sz w:val="17"/>
                <w:szCs w:val="17"/>
              </w:rPr>
            </w:pPr>
            <w:r w:rsidRPr="00607A03">
              <w:rPr>
                <w:sz w:val="17"/>
                <w:szCs w:val="17"/>
              </w:rPr>
              <w:t>37</w:t>
            </w:r>
          </w:p>
        </w:tc>
        <w:tc>
          <w:tcPr>
            <w:tcW w:w="1842" w:type="dxa"/>
            <w:tcBorders>
              <w:top w:val="single" w:sz="12" w:space="0" w:color="auto"/>
            </w:tcBorders>
            <w:shd w:val="clear" w:color="auto" w:fill="auto"/>
            <w:vAlign w:val="bottom"/>
          </w:tcPr>
          <w:p w14:paraId="336BB243" w14:textId="77777777" w:rsidR="00DB7778" w:rsidRPr="00607A03" w:rsidRDefault="00DB7778" w:rsidP="00484DE7">
            <w:pPr>
              <w:spacing w:before="40" w:after="40" w:line="220" w:lineRule="exact"/>
              <w:jc w:val="right"/>
              <w:rPr>
                <w:sz w:val="17"/>
                <w:szCs w:val="17"/>
              </w:rPr>
            </w:pPr>
            <w:r w:rsidRPr="00607A03">
              <w:rPr>
                <w:sz w:val="17"/>
                <w:szCs w:val="17"/>
              </w:rPr>
              <w:t>4</w:t>
            </w:r>
          </w:p>
        </w:tc>
        <w:tc>
          <w:tcPr>
            <w:tcW w:w="1888" w:type="dxa"/>
            <w:tcBorders>
              <w:top w:val="single" w:sz="12" w:space="0" w:color="auto"/>
            </w:tcBorders>
            <w:shd w:val="clear" w:color="auto" w:fill="auto"/>
            <w:vAlign w:val="bottom"/>
          </w:tcPr>
          <w:p w14:paraId="45A292F9" w14:textId="77777777" w:rsidR="00DB7778" w:rsidRPr="00607A03" w:rsidRDefault="00DB7778" w:rsidP="00484DE7">
            <w:pPr>
              <w:spacing w:before="40" w:after="40" w:line="220" w:lineRule="exact"/>
              <w:jc w:val="right"/>
              <w:rPr>
                <w:b/>
                <w:sz w:val="17"/>
                <w:szCs w:val="17"/>
              </w:rPr>
            </w:pPr>
            <w:r w:rsidRPr="00607A03">
              <w:rPr>
                <w:b/>
                <w:bCs/>
                <w:sz w:val="17"/>
                <w:szCs w:val="17"/>
              </w:rPr>
              <w:t>41</w:t>
            </w:r>
          </w:p>
        </w:tc>
      </w:tr>
      <w:tr w:rsidR="00DB7778" w:rsidRPr="00607A03" w14:paraId="574E549F" w14:textId="77777777" w:rsidTr="00DB7778">
        <w:tc>
          <w:tcPr>
            <w:tcW w:w="1717" w:type="dxa"/>
            <w:shd w:val="clear" w:color="auto" w:fill="auto"/>
            <w:vAlign w:val="bottom"/>
          </w:tcPr>
          <w:p w14:paraId="115A9DFF" w14:textId="77777777" w:rsidR="00DB7778" w:rsidRPr="00607A03" w:rsidRDefault="00DB7778" w:rsidP="00484DE7">
            <w:pPr>
              <w:spacing w:before="40" w:after="40" w:line="220" w:lineRule="exact"/>
              <w:rPr>
                <w:sz w:val="17"/>
                <w:szCs w:val="17"/>
              </w:rPr>
            </w:pPr>
            <w:r w:rsidRPr="00607A03">
              <w:rPr>
                <w:sz w:val="17"/>
                <w:szCs w:val="17"/>
              </w:rPr>
              <w:t>2018</w:t>
            </w:r>
          </w:p>
        </w:tc>
        <w:tc>
          <w:tcPr>
            <w:tcW w:w="1843" w:type="dxa"/>
            <w:shd w:val="clear" w:color="auto" w:fill="auto"/>
            <w:vAlign w:val="bottom"/>
          </w:tcPr>
          <w:p w14:paraId="5C6BFF79" w14:textId="77777777" w:rsidR="00DB7778" w:rsidRPr="00607A03" w:rsidRDefault="00DB7778" w:rsidP="00484DE7">
            <w:pPr>
              <w:spacing w:before="40" w:after="40" w:line="220" w:lineRule="exact"/>
              <w:jc w:val="right"/>
              <w:rPr>
                <w:sz w:val="17"/>
                <w:szCs w:val="17"/>
              </w:rPr>
            </w:pPr>
            <w:r w:rsidRPr="00607A03">
              <w:rPr>
                <w:sz w:val="17"/>
                <w:szCs w:val="17"/>
              </w:rPr>
              <w:t>33</w:t>
            </w:r>
          </w:p>
        </w:tc>
        <w:tc>
          <w:tcPr>
            <w:tcW w:w="1842" w:type="dxa"/>
            <w:shd w:val="clear" w:color="auto" w:fill="auto"/>
            <w:vAlign w:val="bottom"/>
          </w:tcPr>
          <w:p w14:paraId="3634BBDF" w14:textId="77777777" w:rsidR="00DB7778" w:rsidRPr="00607A03" w:rsidRDefault="00DB7778" w:rsidP="00484DE7">
            <w:pPr>
              <w:spacing w:before="40" w:after="40" w:line="220" w:lineRule="exact"/>
              <w:jc w:val="right"/>
              <w:rPr>
                <w:sz w:val="17"/>
                <w:szCs w:val="17"/>
              </w:rPr>
            </w:pPr>
            <w:r w:rsidRPr="00607A03">
              <w:rPr>
                <w:sz w:val="17"/>
                <w:szCs w:val="17"/>
              </w:rPr>
              <w:t>10</w:t>
            </w:r>
          </w:p>
        </w:tc>
        <w:tc>
          <w:tcPr>
            <w:tcW w:w="1888" w:type="dxa"/>
            <w:shd w:val="clear" w:color="auto" w:fill="auto"/>
            <w:vAlign w:val="bottom"/>
          </w:tcPr>
          <w:p w14:paraId="2018179B" w14:textId="77777777" w:rsidR="00DB7778" w:rsidRPr="00607A03" w:rsidRDefault="00DB7778" w:rsidP="00484DE7">
            <w:pPr>
              <w:spacing w:before="40" w:after="40" w:line="220" w:lineRule="exact"/>
              <w:jc w:val="right"/>
              <w:rPr>
                <w:b/>
                <w:sz w:val="17"/>
                <w:szCs w:val="17"/>
              </w:rPr>
            </w:pPr>
            <w:r w:rsidRPr="00607A03">
              <w:rPr>
                <w:b/>
                <w:bCs/>
                <w:sz w:val="17"/>
                <w:szCs w:val="17"/>
              </w:rPr>
              <w:t>43</w:t>
            </w:r>
          </w:p>
        </w:tc>
      </w:tr>
      <w:tr w:rsidR="00DB7778" w:rsidRPr="00607A03" w14:paraId="4D4D8811" w14:textId="77777777" w:rsidTr="00DB7778">
        <w:tc>
          <w:tcPr>
            <w:tcW w:w="1717" w:type="dxa"/>
            <w:tcBorders>
              <w:bottom w:val="single" w:sz="12" w:space="0" w:color="auto"/>
            </w:tcBorders>
            <w:shd w:val="clear" w:color="auto" w:fill="auto"/>
            <w:vAlign w:val="bottom"/>
          </w:tcPr>
          <w:p w14:paraId="73114441" w14:textId="77777777" w:rsidR="00DB7778" w:rsidRPr="00607A03" w:rsidRDefault="00DB7778" w:rsidP="00484DE7">
            <w:pPr>
              <w:spacing w:before="40" w:after="40" w:line="220" w:lineRule="exact"/>
              <w:rPr>
                <w:sz w:val="17"/>
                <w:szCs w:val="17"/>
              </w:rPr>
            </w:pPr>
            <w:r w:rsidRPr="00607A03">
              <w:rPr>
                <w:sz w:val="17"/>
                <w:szCs w:val="17"/>
              </w:rPr>
              <w:t>2019</w:t>
            </w:r>
          </w:p>
        </w:tc>
        <w:tc>
          <w:tcPr>
            <w:tcW w:w="1843" w:type="dxa"/>
            <w:tcBorders>
              <w:bottom w:val="single" w:sz="12" w:space="0" w:color="auto"/>
            </w:tcBorders>
            <w:shd w:val="clear" w:color="auto" w:fill="auto"/>
            <w:vAlign w:val="bottom"/>
          </w:tcPr>
          <w:p w14:paraId="78747269" w14:textId="77777777" w:rsidR="00DB7778" w:rsidRPr="00607A03" w:rsidRDefault="00DB7778" w:rsidP="00484DE7">
            <w:pPr>
              <w:spacing w:before="40" w:after="40" w:line="220" w:lineRule="exact"/>
              <w:jc w:val="right"/>
              <w:rPr>
                <w:sz w:val="17"/>
                <w:szCs w:val="17"/>
              </w:rPr>
            </w:pPr>
            <w:r w:rsidRPr="00607A03">
              <w:rPr>
                <w:sz w:val="17"/>
                <w:szCs w:val="17"/>
              </w:rPr>
              <w:t>32</w:t>
            </w:r>
          </w:p>
        </w:tc>
        <w:tc>
          <w:tcPr>
            <w:tcW w:w="1842" w:type="dxa"/>
            <w:tcBorders>
              <w:bottom w:val="single" w:sz="12" w:space="0" w:color="auto"/>
            </w:tcBorders>
            <w:shd w:val="clear" w:color="auto" w:fill="auto"/>
            <w:vAlign w:val="bottom"/>
          </w:tcPr>
          <w:p w14:paraId="26562FA4" w14:textId="77777777" w:rsidR="00DB7778" w:rsidRPr="00607A03" w:rsidRDefault="00DB7778" w:rsidP="00484DE7">
            <w:pPr>
              <w:spacing w:before="40" w:after="40" w:line="220" w:lineRule="exact"/>
              <w:jc w:val="right"/>
              <w:rPr>
                <w:sz w:val="17"/>
                <w:szCs w:val="17"/>
              </w:rPr>
            </w:pPr>
            <w:r w:rsidRPr="00607A03">
              <w:rPr>
                <w:sz w:val="17"/>
                <w:szCs w:val="17"/>
              </w:rPr>
              <w:t>10</w:t>
            </w:r>
          </w:p>
        </w:tc>
        <w:tc>
          <w:tcPr>
            <w:tcW w:w="1888" w:type="dxa"/>
            <w:tcBorders>
              <w:bottom w:val="single" w:sz="12" w:space="0" w:color="auto"/>
            </w:tcBorders>
            <w:shd w:val="clear" w:color="auto" w:fill="auto"/>
            <w:vAlign w:val="bottom"/>
          </w:tcPr>
          <w:p w14:paraId="536E660B" w14:textId="77777777" w:rsidR="00DB7778" w:rsidRPr="00607A03" w:rsidRDefault="00DB7778" w:rsidP="00484DE7">
            <w:pPr>
              <w:spacing w:before="40" w:after="40" w:line="220" w:lineRule="exact"/>
              <w:jc w:val="right"/>
              <w:rPr>
                <w:b/>
                <w:sz w:val="17"/>
                <w:szCs w:val="17"/>
              </w:rPr>
            </w:pPr>
            <w:r w:rsidRPr="00607A03">
              <w:rPr>
                <w:b/>
                <w:bCs/>
                <w:sz w:val="17"/>
                <w:szCs w:val="17"/>
              </w:rPr>
              <w:t>42</w:t>
            </w:r>
          </w:p>
        </w:tc>
      </w:tr>
    </w:tbl>
    <w:p w14:paraId="05D85923" w14:textId="57E052A7" w:rsidR="001732F3" w:rsidRPr="001732F3" w:rsidRDefault="001732F3" w:rsidP="001732F3">
      <w:pPr>
        <w:pStyle w:val="FootnoteText"/>
        <w:tabs>
          <w:tab w:val="clear" w:pos="418"/>
          <w:tab w:val="right" w:pos="1476"/>
          <w:tab w:val="left" w:pos="1548"/>
          <w:tab w:val="right" w:pos="1836"/>
          <w:tab w:val="left" w:pos="1908"/>
        </w:tabs>
        <w:spacing w:line="120" w:lineRule="exact"/>
        <w:ind w:left="1548" w:hanging="288"/>
        <w:rPr>
          <w:i/>
          <w:iCs/>
          <w:sz w:val="10"/>
        </w:rPr>
      </w:pPr>
    </w:p>
    <w:p w14:paraId="3269C660" w14:textId="107C265C" w:rsidR="00DB7778" w:rsidRPr="00607A03" w:rsidRDefault="00DB7778" w:rsidP="00DB7778">
      <w:pPr>
        <w:pStyle w:val="FootnoteText"/>
        <w:tabs>
          <w:tab w:val="clear" w:pos="418"/>
          <w:tab w:val="right" w:pos="1476"/>
          <w:tab w:val="left" w:pos="1548"/>
          <w:tab w:val="right" w:pos="1836"/>
          <w:tab w:val="left" w:pos="1908"/>
        </w:tabs>
        <w:ind w:left="1548" w:hanging="288"/>
      </w:pPr>
      <w:r w:rsidRPr="00607A03">
        <w:rPr>
          <w:i/>
          <w:iCs/>
        </w:rPr>
        <w:t>Fuente</w:t>
      </w:r>
      <w:r w:rsidRPr="00607A03">
        <w:t>: Servicio Penitenciario de Mauricio.</w:t>
      </w:r>
    </w:p>
    <w:p w14:paraId="2CA5315F" w14:textId="5863DFE7" w:rsidR="00DB7778" w:rsidRPr="00607A03" w:rsidRDefault="00DB7778">
      <w:pPr>
        <w:suppressAutoHyphens w:val="0"/>
        <w:spacing w:after="200" w:line="276" w:lineRule="auto"/>
        <w:rPr>
          <w:spacing w:val="5"/>
          <w:w w:val="104"/>
          <w:sz w:val="17"/>
        </w:rPr>
      </w:pPr>
      <w:r w:rsidRPr="00607A03">
        <w:br w:type="page"/>
      </w:r>
    </w:p>
    <w:p w14:paraId="1EEC0E52" w14:textId="2E54D4EE" w:rsidR="00DB7778" w:rsidRPr="00607A03" w:rsidRDefault="00DB7778" w:rsidP="00DB7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Número de casos registrados de violencia sexual denunciados ante las Oficinas de Apoyo a la Familia (2017-2019)</w:t>
      </w:r>
    </w:p>
    <w:p w14:paraId="07798768" w14:textId="5C4C4532" w:rsidR="00DB7778" w:rsidRPr="00607A03" w:rsidRDefault="00DB7778" w:rsidP="00DB7778">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843"/>
        <w:gridCol w:w="1842"/>
        <w:gridCol w:w="1888"/>
      </w:tblGrid>
      <w:tr w:rsidR="00DB7778" w:rsidRPr="00607A03" w14:paraId="3D5AD6E2" w14:textId="77777777" w:rsidTr="00DA3D71">
        <w:tc>
          <w:tcPr>
            <w:tcW w:w="1717" w:type="dxa"/>
            <w:tcBorders>
              <w:top w:val="single" w:sz="4" w:space="0" w:color="auto"/>
              <w:bottom w:val="single" w:sz="12" w:space="0" w:color="auto"/>
            </w:tcBorders>
            <w:shd w:val="clear" w:color="auto" w:fill="auto"/>
            <w:vAlign w:val="bottom"/>
          </w:tcPr>
          <w:p w14:paraId="60EE112A" w14:textId="77777777" w:rsidR="00DB7778" w:rsidRPr="00607A03" w:rsidRDefault="00DB7778" w:rsidP="00484DE7">
            <w:pPr>
              <w:spacing w:before="80" w:after="80" w:line="200" w:lineRule="exact"/>
              <w:rPr>
                <w:i/>
                <w:sz w:val="14"/>
                <w:szCs w:val="14"/>
              </w:rPr>
            </w:pPr>
            <w:r w:rsidRPr="00607A03">
              <w:rPr>
                <w:i/>
                <w:iCs/>
                <w:sz w:val="14"/>
                <w:szCs w:val="14"/>
              </w:rPr>
              <w:t>Año</w:t>
            </w:r>
          </w:p>
        </w:tc>
        <w:tc>
          <w:tcPr>
            <w:tcW w:w="1843" w:type="dxa"/>
            <w:tcBorders>
              <w:top w:val="single" w:sz="4" w:space="0" w:color="auto"/>
              <w:bottom w:val="single" w:sz="12" w:space="0" w:color="auto"/>
            </w:tcBorders>
            <w:shd w:val="clear" w:color="auto" w:fill="auto"/>
            <w:vAlign w:val="bottom"/>
          </w:tcPr>
          <w:p w14:paraId="28156CFF" w14:textId="77777777" w:rsidR="00DB7778" w:rsidRPr="00607A03" w:rsidRDefault="00DB7778" w:rsidP="00484DE7">
            <w:pPr>
              <w:spacing w:before="80" w:after="80" w:line="200" w:lineRule="exact"/>
              <w:jc w:val="right"/>
              <w:rPr>
                <w:i/>
                <w:sz w:val="14"/>
                <w:szCs w:val="14"/>
              </w:rPr>
            </w:pPr>
            <w:r w:rsidRPr="00607A03">
              <w:rPr>
                <w:i/>
                <w:iCs/>
                <w:sz w:val="14"/>
                <w:szCs w:val="14"/>
              </w:rPr>
              <w:t>Hombres</w:t>
            </w:r>
          </w:p>
        </w:tc>
        <w:tc>
          <w:tcPr>
            <w:tcW w:w="1842" w:type="dxa"/>
            <w:tcBorders>
              <w:top w:val="single" w:sz="4" w:space="0" w:color="auto"/>
              <w:bottom w:val="single" w:sz="12" w:space="0" w:color="auto"/>
            </w:tcBorders>
            <w:shd w:val="clear" w:color="auto" w:fill="auto"/>
            <w:vAlign w:val="bottom"/>
          </w:tcPr>
          <w:p w14:paraId="59034C53" w14:textId="77777777" w:rsidR="00DB7778" w:rsidRPr="00607A03" w:rsidRDefault="00DB7778" w:rsidP="00484DE7">
            <w:pPr>
              <w:spacing w:before="80" w:after="80" w:line="200" w:lineRule="exact"/>
              <w:jc w:val="right"/>
              <w:rPr>
                <w:i/>
                <w:sz w:val="14"/>
                <w:szCs w:val="14"/>
              </w:rPr>
            </w:pPr>
            <w:r w:rsidRPr="00607A03">
              <w:rPr>
                <w:i/>
                <w:iCs/>
                <w:sz w:val="14"/>
                <w:szCs w:val="14"/>
              </w:rPr>
              <w:t>Mujeres</w:t>
            </w:r>
          </w:p>
        </w:tc>
        <w:tc>
          <w:tcPr>
            <w:tcW w:w="1888" w:type="dxa"/>
            <w:tcBorders>
              <w:top w:val="single" w:sz="4" w:space="0" w:color="auto"/>
              <w:bottom w:val="single" w:sz="12" w:space="0" w:color="auto"/>
            </w:tcBorders>
            <w:shd w:val="clear" w:color="auto" w:fill="auto"/>
            <w:vAlign w:val="bottom"/>
          </w:tcPr>
          <w:p w14:paraId="6E93F640" w14:textId="77777777" w:rsidR="00DB7778" w:rsidRPr="00607A03" w:rsidRDefault="00DB7778" w:rsidP="00484DE7">
            <w:pPr>
              <w:spacing w:before="80" w:after="80" w:line="200" w:lineRule="exact"/>
              <w:jc w:val="right"/>
              <w:rPr>
                <w:b/>
                <w:i/>
                <w:sz w:val="14"/>
                <w:szCs w:val="14"/>
              </w:rPr>
            </w:pPr>
            <w:r w:rsidRPr="00607A03">
              <w:rPr>
                <w:b/>
                <w:bCs/>
                <w:i/>
                <w:iCs/>
                <w:sz w:val="14"/>
                <w:szCs w:val="14"/>
              </w:rPr>
              <w:t>Total</w:t>
            </w:r>
          </w:p>
        </w:tc>
      </w:tr>
      <w:tr w:rsidR="00DB7778" w:rsidRPr="00607A03" w14:paraId="635096EF" w14:textId="77777777" w:rsidTr="00DA3D71">
        <w:tc>
          <w:tcPr>
            <w:tcW w:w="1717" w:type="dxa"/>
            <w:tcBorders>
              <w:top w:val="single" w:sz="12" w:space="0" w:color="auto"/>
            </w:tcBorders>
            <w:shd w:val="clear" w:color="auto" w:fill="auto"/>
            <w:vAlign w:val="bottom"/>
          </w:tcPr>
          <w:p w14:paraId="60F269A7" w14:textId="77777777" w:rsidR="00DB7778" w:rsidRPr="00607A03" w:rsidRDefault="00DB7778" w:rsidP="00484DE7">
            <w:pPr>
              <w:spacing w:before="40" w:after="40" w:line="220" w:lineRule="exact"/>
              <w:rPr>
                <w:sz w:val="17"/>
                <w:szCs w:val="17"/>
              </w:rPr>
            </w:pPr>
            <w:r w:rsidRPr="00607A03">
              <w:rPr>
                <w:sz w:val="17"/>
                <w:szCs w:val="17"/>
              </w:rPr>
              <w:t>2017</w:t>
            </w:r>
          </w:p>
        </w:tc>
        <w:tc>
          <w:tcPr>
            <w:tcW w:w="1843" w:type="dxa"/>
            <w:tcBorders>
              <w:top w:val="single" w:sz="12" w:space="0" w:color="auto"/>
            </w:tcBorders>
            <w:shd w:val="clear" w:color="auto" w:fill="auto"/>
            <w:vAlign w:val="bottom"/>
          </w:tcPr>
          <w:p w14:paraId="4ECC056E" w14:textId="77777777" w:rsidR="00DB7778" w:rsidRPr="00607A03" w:rsidRDefault="00DB7778" w:rsidP="00484DE7">
            <w:pPr>
              <w:spacing w:before="40" w:after="40" w:line="220" w:lineRule="exact"/>
              <w:jc w:val="right"/>
              <w:rPr>
                <w:sz w:val="17"/>
                <w:szCs w:val="17"/>
              </w:rPr>
            </w:pPr>
            <w:r w:rsidRPr="00607A03">
              <w:rPr>
                <w:sz w:val="17"/>
                <w:szCs w:val="17"/>
              </w:rPr>
              <w:t>6</w:t>
            </w:r>
          </w:p>
        </w:tc>
        <w:tc>
          <w:tcPr>
            <w:tcW w:w="1842" w:type="dxa"/>
            <w:tcBorders>
              <w:top w:val="single" w:sz="12" w:space="0" w:color="auto"/>
            </w:tcBorders>
            <w:shd w:val="clear" w:color="auto" w:fill="auto"/>
            <w:vAlign w:val="bottom"/>
          </w:tcPr>
          <w:p w14:paraId="03F93E08" w14:textId="77777777" w:rsidR="00DB7778" w:rsidRPr="00607A03" w:rsidRDefault="00DB7778" w:rsidP="00484DE7">
            <w:pPr>
              <w:spacing w:before="40" w:after="40" w:line="220" w:lineRule="exact"/>
              <w:jc w:val="right"/>
              <w:rPr>
                <w:sz w:val="17"/>
                <w:szCs w:val="17"/>
              </w:rPr>
            </w:pPr>
            <w:r w:rsidRPr="00607A03">
              <w:rPr>
                <w:sz w:val="17"/>
                <w:szCs w:val="17"/>
              </w:rPr>
              <w:t>45</w:t>
            </w:r>
          </w:p>
        </w:tc>
        <w:tc>
          <w:tcPr>
            <w:tcW w:w="1888" w:type="dxa"/>
            <w:tcBorders>
              <w:top w:val="single" w:sz="12" w:space="0" w:color="auto"/>
            </w:tcBorders>
            <w:shd w:val="clear" w:color="auto" w:fill="auto"/>
            <w:vAlign w:val="bottom"/>
          </w:tcPr>
          <w:p w14:paraId="0BCD700F" w14:textId="77777777" w:rsidR="00DB7778" w:rsidRPr="00607A03" w:rsidRDefault="00DB7778" w:rsidP="00484DE7">
            <w:pPr>
              <w:spacing w:before="40" w:after="40" w:line="220" w:lineRule="exact"/>
              <w:jc w:val="right"/>
              <w:rPr>
                <w:b/>
                <w:sz w:val="17"/>
                <w:szCs w:val="17"/>
              </w:rPr>
            </w:pPr>
            <w:r w:rsidRPr="00607A03">
              <w:rPr>
                <w:b/>
                <w:bCs/>
                <w:sz w:val="17"/>
                <w:szCs w:val="17"/>
              </w:rPr>
              <w:t>51</w:t>
            </w:r>
          </w:p>
        </w:tc>
      </w:tr>
      <w:tr w:rsidR="00DB7778" w:rsidRPr="00607A03" w14:paraId="30D50563" w14:textId="77777777" w:rsidTr="00DA3D71">
        <w:tc>
          <w:tcPr>
            <w:tcW w:w="1717" w:type="dxa"/>
            <w:shd w:val="clear" w:color="auto" w:fill="auto"/>
            <w:vAlign w:val="bottom"/>
          </w:tcPr>
          <w:p w14:paraId="25BB4477" w14:textId="77777777" w:rsidR="00DB7778" w:rsidRPr="00607A03" w:rsidRDefault="00DB7778" w:rsidP="00484DE7">
            <w:pPr>
              <w:spacing w:before="40" w:after="40" w:line="220" w:lineRule="exact"/>
              <w:rPr>
                <w:sz w:val="17"/>
                <w:szCs w:val="17"/>
              </w:rPr>
            </w:pPr>
            <w:r w:rsidRPr="00607A03">
              <w:rPr>
                <w:sz w:val="17"/>
                <w:szCs w:val="17"/>
              </w:rPr>
              <w:t>2018</w:t>
            </w:r>
          </w:p>
        </w:tc>
        <w:tc>
          <w:tcPr>
            <w:tcW w:w="1843" w:type="dxa"/>
            <w:shd w:val="clear" w:color="auto" w:fill="auto"/>
            <w:vAlign w:val="bottom"/>
          </w:tcPr>
          <w:p w14:paraId="1C3E4374" w14:textId="77777777" w:rsidR="00DB7778" w:rsidRPr="00607A03" w:rsidRDefault="00DB7778" w:rsidP="00484DE7">
            <w:pPr>
              <w:spacing w:before="40" w:after="40" w:line="220" w:lineRule="exact"/>
              <w:jc w:val="right"/>
              <w:rPr>
                <w:sz w:val="17"/>
                <w:szCs w:val="17"/>
              </w:rPr>
            </w:pPr>
            <w:r w:rsidRPr="00607A03">
              <w:rPr>
                <w:sz w:val="17"/>
                <w:szCs w:val="17"/>
              </w:rPr>
              <w:t>0</w:t>
            </w:r>
          </w:p>
        </w:tc>
        <w:tc>
          <w:tcPr>
            <w:tcW w:w="1842" w:type="dxa"/>
            <w:shd w:val="clear" w:color="auto" w:fill="auto"/>
            <w:vAlign w:val="bottom"/>
          </w:tcPr>
          <w:p w14:paraId="1BAE71CA" w14:textId="77777777" w:rsidR="00DB7778" w:rsidRPr="00607A03" w:rsidRDefault="00DB7778" w:rsidP="00484DE7">
            <w:pPr>
              <w:spacing w:before="40" w:after="40" w:line="220" w:lineRule="exact"/>
              <w:jc w:val="right"/>
              <w:rPr>
                <w:sz w:val="17"/>
                <w:szCs w:val="17"/>
              </w:rPr>
            </w:pPr>
            <w:r w:rsidRPr="00607A03">
              <w:rPr>
                <w:sz w:val="17"/>
                <w:szCs w:val="17"/>
              </w:rPr>
              <w:t>26</w:t>
            </w:r>
          </w:p>
        </w:tc>
        <w:tc>
          <w:tcPr>
            <w:tcW w:w="1888" w:type="dxa"/>
            <w:shd w:val="clear" w:color="auto" w:fill="auto"/>
            <w:vAlign w:val="bottom"/>
          </w:tcPr>
          <w:p w14:paraId="0E501226" w14:textId="77777777" w:rsidR="00DB7778" w:rsidRPr="00607A03" w:rsidRDefault="00DB7778" w:rsidP="00484DE7">
            <w:pPr>
              <w:spacing w:before="40" w:after="40" w:line="220" w:lineRule="exact"/>
              <w:jc w:val="right"/>
              <w:rPr>
                <w:b/>
                <w:sz w:val="17"/>
                <w:szCs w:val="17"/>
              </w:rPr>
            </w:pPr>
            <w:r w:rsidRPr="00607A03">
              <w:rPr>
                <w:b/>
                <w:bCs/>
                <w:sz w:val="17"/>
                <w:szCs w:val="17"/>
              </w:rPr>
              <w:t>26</w:t>
            </w:r>
          </w:p>
        </w:tc>
      </w:tr>
      <w:tr w:rsidR="00DB7778" w:rsidRPr="00607A03" w14:paraId="4AFD7410" w14:textId="77777777" w:rsidTr="00DA3D71">
        <w:tc>
          <w:tcPr>
            <w:tcW w:w="1717" w:type="dxa"/>
            <w:tcBorders>
              <w:bottom w:val="single" w:sz="12" w:space="0" w:color="auto"/>
            </w:tcBorders>
            <w:shd w:val="clear" w:color="auto" w:fill="auto"/>
            <w:vAlign w:val="bottom"/>
          </w:tcPr>
          <w:p w14:paraId="773C68AD" w14:textId="77777777" w:rsidR="00DB7778" w:rsidRPr="00607A03" w:rsidRDefault="00DB7778" w:rsidP="00484DE7">
            <w:pPr>
              <w:spacing w:before="40" w:after="40" w:line="220" w:lineRule="exact"/>
              <w:rPr>
                <w:sz w:val="17"/>
                <w:szCs w:val="17"/>
              </w:rPr>
            </w:pPr>
            <w:r w:rsidRPr="00607A03">
              <w:rPr>
                <w:sz w:val="17"/>
                <w:szCs w:val="17"/>
              </w:rPr>
              <w:t>2019</w:t>
            </w:r>
          </w:p>
        </w:tc>
        <w:tc>
          <w:tcPr>
            <w:tcW w:w="1843" w:type="dxa"/>
            <w:tcBorders>
              <w:bottom w:val="single" w:sz="12" w:space="0" w:color="auto"/>
            </w:tcBorders>
            <w:shd w:val="clear" w:color="auto" w:fill="auto"/>
            <w:vAlign w:val="bottom"/>
          </w:tcPr>
          <w:p w14:paraId="63889A26" w14:textId="77777777" w:rsidR="00DB7778" w:rsidRPr="00607A03" w:rsidRDefault="00DB7778" w:rsidP="00484DE7">
            <w:pPr>
              <w:spacing w:before="40" w:after="40" w:line="220" w:lineRule="exact"/>
              <w:jc w:val="right"/>
              <w:rPr>
                <w:sz w:val="17"/>
                <w:szCs w:val="17"/>
              </w:rPr>
            </w:pPr>
            <w:r w:rsidRPr="00607A03">
              <w:rPr>
                <w:sz w:val="17"/>
                <w:szCs w:val="17"/>
              </w:rPr>
              <w:t>0</w:t>
            </w:r>
          </w:p>
        </w:tc>
        <w:tc>
          <w:tcPr>
            <w:tcW w:w="1842" w:type="dxa"/>
            <w:tcBorders>
              <w:bottom w:val="single" w:sz="12" w:space="0" w:color="auto"/>
            </w:tcBorders>
            <w:shd w:val="clear" w:color="auto" w:fill="auto"/>
            <w:vAlign w:val="bottom"/>
          </w:tcPr>
          <w:p w14:paraId="0A8E93D3" w14:textId="77777777" w:rsidR="00DB7778" w:rsidRPr="00607A03" w:rsidRDefault="00DB7778" w:rsidP="00484DE7">
            <w:pPr>
              <w:spacing w:before="40" w:after="40" w:line="220" w:lineRule="exact"/>
              <w:jc w:val="right"/>
              <w:rPr>
                <w:sz w:val="17"/>
                <w:szCs w:val="17"/>
              </w:rPr>
            </w:pPr>
            <w:r w:rsidRPr="00607A03">
              <w:rPr>
                <w:sz w:val="17"/>
                <w:szCs w:val="17"/>
              </w:rPr>
              <w:t>15</w:t>
            </w:r>
          </w:p>
        </w:tc>
        <w:tc>
          <w:tcPr>
            <w:tcW w:w="1888" w:type="dxa"/>
            <w:tcBorders>
              <w:bottom w:val="single" w:sz="12" w:space="0" w:color="auto"/>
            </w:tcBorders>
            <w:shd w:val="clear" w:color="auto" w:fill="auto"/>
            <w:vAlign w:val="bottom"/>
          </w:tcPr>
          <w:p w14:paraId="1AC9CE56" w14:textId="77777777" w:rsidR="00DB7778" w:rsidRPr="00607A03" w:rsidRDefault="00DB7778" w:rsidP="00484DE7">
            <w:pPr>
              <w:spacing w:before="40" w:after="40" w:line="220" w:lineRule="exact"/>
              <w:jc w:val="right"/>
              <w:rPr>
                <w:b/>
                <w:sz w:val="17"/>
                <w:szCs w:val="17"/>
              </w:rPr>
            </w:pPr>
            <w:r w:rsidRPr="00607A03">
              <w:rPr>
                <w:b/>
                <w:bCs/>
                <w:sz w:val="17"/>
                <w:szCs w:val="17"/>
              </w:rPr>
              <w:t>15</w:t>
            </w:r>
          </w:p>
        </w:tc>
      </w:tr>
    </w:tbl>
    <w:p w14:paraId="372BD695" w14:textId="27D3DC29" w:rsidR="001732F3" w:rsidRPr="001732F3" w:rsidRDefault="001732F3" w:rsidP="001732F3">
      <w:pPr>
        <w:pStyle w:val="FootnoteText"/>
        <w:tabs>
          <w:tab w:val="clear" w:pos="418"/>
          <w:tab w:val="right" w:pos="1476"/>
          <w:tab w:val="left" w:pos="1548"/>
          <w:tab w:val="right" w:pos="1836"/>
          <w:tab w:val="left" w:pos="1908"/>
        </w:tabs>
        <w:spacing w:line="120" w:lineRule="exact"/>
        <w:ind w:left="1548" w:hanging="288"/>
        <w:rPr>
          <w:i/>
          <w:iCs/>
          <w:sz w:val="10"/>
        </w:rPr>
      </w:pPr>
    </w:p>
    <w:p w14:paraId="785A53D7" w14:textId="641FE89E" w:rsidR="00DB7778" w:rsidRPr="00607A03" w:rsidRDefault="00DB7778" w:rsidP="00DA3D71">
      <w:pPr>
        <w:pStyle w:val="FootnoteText"/>
        <w:tabs>
          <w:tab w:val="clear" w:pos="418"/>
          <w:tab w:val="right" w:pos="1476"/>
          <w:tab w:val="left" w:pos="1548"/>
          <w:tab w:val="right" w:pos="1836"/>
          <w:tab w:val="left" w:pos="1908"/>
        </w:tabs>
        <w:ind w:left="1548" w:hanging="288"/>
      </w:pPr>
      <w:r w:rsidRPr="00607A03">
        <w:rPr>
          <w:i/>
          <w:iCs/>
        </w:rPr>
        <w:t>Fuente</w:t>
      </w:r>
      <w:r w:rsidRPr="00607A03">
        <w:t>: Ministerio de Igualdad de Género y Bienestar de la Familia.</w:t>
      </w:r>
    </w:p>
    <w:p w14:paraId="2C386E75" w14:textId="0BF23C8C" w:rsidR="00DA3D71" w:rsidRPr="00607A03" w:rsidRDefault="00DA3D71" w:rsidP="00DA3D71">
      <w:pPr>
        <w:pStyle w:val="FootnoteText"/>
        <w:tabs>
          <w:tab w:val="clear" w:pos="418"/>
          <w:tab w:val="right" w:pos="1476"/>
          <w:tab w:val="left" w:pos="1548"/>
          <w:tab w:val="right" w:pos="1836"/>
          <w:tab w:val="left" w:pos="1908"/>
        </w:tabs>
        <w:spacing w:line="120" w:lineRule="exact"/>
        <w:ind w:left="1548" w:hanging="288"/>
        <w:rPr>
          <w:sz w:val="10"/>
        </w:rPr>
      </w:pPr>
    </w:p>
    <w:p w14:paraId="6709899E" w14:textId="73F16C87" w:rsidR="00DA3D71" w:rsidRPr="00607A03" w:rsidRDefault="00DA3D71" w:rsidP="00DA3D71">
      <w:pPr>
        <w:pStyle w:val="FootnoteText"/>
        <w:tabs>
          <w:tab w:val="clear" w:pos="418"/>
          <w:tab w:val="right" w:pos="1476"/>
          <w:tab w:val="left" w:pos="1548"/>
          <w:tab w:val="right" w:pos="1836"/>
          <w:tab w:val="left" w:pos="1908"/>
        </w:tabs>
        <w:spacing w:line="120" w:lineRule="exact"/>
        <w:ind w:left="1548" w:hanging="288"/>
        <w:rPr>
          <w:sz w:val="10"/>
          <w:lang w:val="es-ES_tradnl"/>
        </w:rPr>
      </w:pPr>
    </w:p>
    <w:p w14:paraId="48EECF24" w14:textId="5331196D" w:rsidR="00DB7778" w:rsidRPr="00607A03" w:rsidRDefault="00DA3D71" w:rsidP="00DA3D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rPr>
          <w:lang w:val="es-ES_tradnl"/>
        </w:rPr>
        <w:tab/>
      </w:r>
      <w:r w:rsidRPr="00607A03">
        <w:rPr>
          <w:lang w:val="es-ES_tradnl"/>
        </w:rPr>
        <w:tab/>
      </w:r>
      <w:r w:rsidR="00DB7778" w:rsidRPr="00607A03">
        <w:t>Número de casos registrados de abuso sexual, incluido el incesto, denunciados ante la Dependencia de Desarrollo Infantil (2018-2019)</w:t>
      </w:r>
    </w:p>
    <w:p w14:paraId="1DA94A5C" w14:textId="02966426" w:rsidR="00DA3D71" w:rsidRPr="00607A03" w:rsidRDefault="00DA3D71" w:rsidP="00DA3D71">
      <w:pPr>
        <w:pStyle w:val="SingleTxt"/>
        <w:spacing w:after="0" w:line="120" w:lineRule="exact"/>
        <w:rPr>
          <w:sz w:val="10"/>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843"/>
        <w:gridCol w:w="1842"/>
        <w:gridCol w:w="1888"/>
      </w:tblGrid>
      <w:tr w:rsidR="00DB7778" w:rsidRPr="00607A03" w14:paraId="1B159F3D" w14:textId="77777777" w:rsidTr="00DA3D71">
        <w:trPr>
          <w:tblHeader/>
        </w:trPr>
        <w:tc>
          <w:tcPr>
            <w:tcW w:w="1717" w:type="dxa"/>
            <w:tcBorders>
              <w:top w:val="single" w:sz="4" w:space="0" w:color="auto"/>
              <w:bottom w:val="single" w:sz="12" w:space="0" w:color="auto"/>
            </w:tcBorders>
            <w:shd w:val="clear" w:color="auto" w:fill="auto"/>
            <w:vAlign w:val="bottom"/>
          </w:tcPr>
          <w:p w14:paraId="0C8D6AF4" w14:textId="77777777" w:rsidR="00DB7778" w:rsidRPr="00607A03" w:rsidRDefault="00DB7778" w:rsidP="00484DE7">
            <w:pPr>
              <w:spacing w:before="80" w:after="80" w:line="200" w:lineRule="exact"/>
              <w:rPr>
                <w:i/>
                <w:sz w:val="14"/>
                <w:szCs w:val="14"/>
              </w:rPr>
            </w:pPr>
            <w:r w:rsidRPr="00607A03">
              <w:rPr>
                <w:i/>
                <w:iCs/>
                <w:sz w:val="14"/>
                <w:szCs w:val="14"/>
              </w:rPr>
              <w:t>Año</w:t>
            </w:r>
          </w:p>
        </w:tc>
        <w:tc>
          <w:tcPr>
            <w:tcW w:w="1843" w:type="dxa"/>
            <w:tcBorders>
              <w:top w:val="single" w:sz="4" w:space="0" w:color="auto"/>
              <w:bottom w:val="single" w:sz="12" w:space="0" w:color="auto"/>
            </w:tcBorders>
            <w:shd w:val="clear" w:color="auto" w:fill="auto"/>
            <w:vAlign w:val="bottom"/>
          </w:tcPr>
          <w:p w14:paraId="284CC212" w14:textId="77777777" w:rsidR="00DB7778" w:rsidRPr="00607A03" w:rsidRDefault="00DB7778" w:rsidP="00484DE7">
            <w:pPr>
              <w:spacing w:before="80" w:after="80" w:line="200" w:lineRule="exact"/>
              <w:jc w:val="right"/>
              <w:rPr>
                <w:i/>
                <w:sz w:val="14"/>
                <w:szCs w:val="14"/>
              </w:rPr>
            </w:pPr>
            <w:r w:rsidRPr="00607A03">
              <w:rPr>
                <w:i/>
                <w:iCs/>
                <w:sz w:val="14"/>
                <w:szCs w:val="14"/>
              </w:rPr>
              <w:t>Hombres</w:t>
            </w:r>
          </w:p>
        </w:tc>
        <w:tc>
          <w:tcPr>
            <w:tcW w:w="1842" w:type="dxa"/>
            <w:tcBorders>
              <w:top w:val="single" w:sz="4" w:space="0" w:color="auto"/>
              <w:bottom w:val="single" w:sz="12" w:space="0" w:color="auto"/>
            </w:tcBorders>
            <w:shd w:val="clear" w:color="auto" w:fill="auto"/>
            <w:vAlign w:val="bottom"/>
          </w:tcPr>
          <w:p w14:paraId="23BE058E" w14:textId="77777777" w:rsidR="00DB7778" w:rsidRPr="00607A03" w:rsidRDefault="00DB7778" w:rsidP="00484DE7">
            <w:pPr>
              <w:spacing w:before="80" w:after="80" w:line="200" w:lineRule="exact"/>
              <w:jc w:val="right"/>
              <w:rPr>
                <w:i/>
                <w:sz w:val="14"/>
                <w:szCs w:val="14"/>
              </w:rPr>
            </w:pPr>
            <w:r w:rsidRPr="00607A03">
              <w:rPr>
                <w:i/>
                <w:iCs/>
                <w:sz w:val="14"/>
                <w:szCs w:val="14"/>
              </w:rPr>
              <w:t>Mujeres</w:t>
            </w:r>
          </w:p>
        </w:tc>
        <w:tc>
          <w:tcPr>
            <w:tcW w:w="1888" w:type="dxa"/>
            <w:tcBorders>
              <w:top w:val="single" w:sz="4" w:space="0" w:color="auto"/>
              <w:bottom w:val="single" w:sz="12" w:space="0" w:color="auto"/>
            </w:tcBorders>
            <w:shd w:val="clear" w:color="auto" w:fill="auto"/>
            <w:vAlign w:val="bottom"/>
          </w:tcPr>
          <w:p w14:paraId="4BE7EA55" w14:textId="77777777" w:rsidR="00DB7778" w:rsidRPr="00607A03" w:rsidRDefault="00DB7778" w:rsidP="00484DE7">
            <w:pPr>
              <w:spacing w:before="80" w:after="80" w:line="200" w:lineRule="exact"/>
              <w:jc w:val="right"/>
              <w:rPr>
                <w:b/>
                <w:i/>
                <w:sz w:val="14"/>
                <w:szCs w:val="14"/>
              </w:rPr>
            </w:pPr>
            <w:r w:rsidRPr="00607A03">
              <w:rPr>
                <w:b/>
                <w:bCs/>
                <w:i/>
                <w:iCs/>
                <w:sz w:val="14"/>
                <w:szCs w:val="14"/>
              </w:rPr>
              <w:t>Total</w:t>
            </w:r>
          </w:p>
        </w:tc>
      </w:tr>
      <w:tr w:rsidR="00DB7778" w:rsidRPr="00607A03" w14:paraId="6C523435" w14:textId="77777777" w:rsidTr="00DA3D71">
        <w:tc>
          <w:tcPr>
            <w:tcW w:w="1717" w:type="dxa"/>
            <w:tcBorders>
              <w:top w:val="single" w:sz="12" w:space="0" w:color="auto"/>
            </w:tcBorders>
            <w:shd w:val="clear" w:color="auto" w:fill="auto"/>
            <w:vAlign w:val="bottom"/>
          </w:tcPr>
          <w:p w14:paraId="278AB144" w14:textId="77777777" w:rsidR="00DB7778" w:rsidRPr="00607A03" w:rsidRDefault="00DB7778" w:rsidP="00484DE7">
            <w:pPr>
              <w:spacing w:before="40" w:after="40" w:line="220" w:lineRule="exact"/>
              <w:rPr>
                <w:sz w:val="17"/>
                <w:szCs w:val="17"/>
              </w:rPr>
            </w:pPr>
            <w:r w:rsidRPr="00607A03">
              <w:rPr>
                <w:sz w:val="17"/>
                <w:szCs w:val="17"/>
              </w:rPr>
              <w:t>2018</w:t>
            </w:r>
          </w:p>
        </w:tc>
        <w:tc>
          <w:tcPr>
            <w:tcW w:w="1843" w:type="dxa"/>
            <w:tcBorders>
              <w:top w:val="single" w:sz="12" w:space="0" w:color="auto"/>
            </w:tcBorders>
            <w:shd w:val="clear" w:color="auto" w:fill="auto"/>
            <w:vAlign w:val="bottom"/>
          </w:tcPr>
          <w:p w14:paraId="0EBF49D5" w14:textId="77777777" w:rsidR="00DB7778" w:rsidRPr="00607A03" w:rsidRDefault="00DB7778" w:rsidP="00484DE7">
            <w:pPr>
              <w:spacing w:before="40" w:after="40" w:line="220" w:lineRule="exact"/>
              <w:jc w:val="right"/>
              <w:rPr>
                <w:sz w:val="17"/>
                <w:szCs w:val="17"/>
              </w:rPr>
            </w:pPr>
            <w:r w:rsidRPr="00607A03">
              <w:rPr>
                <w:sz w:val="17"/>
                <w:szCs w:val="17"/>
              </w:rPr>
              <w:t>30</w:t>
            </w:r>
          </w:p>
        </w:tc>
        <w:tc>
          <w:tcPr>
            <w:tcW w:w="1842" w:type="dxa"/>
            <w:tcBorders>
              <w:top w:val="single" w:sz="12" w:space="0" w:color="auto"/>
            </w:tcBorders>
            <w:shd w:val="clear" w:color="auto" w:fill="auto"/>
            <w:vAlign w:val="bottom"/>
          </w:tcPr>
          <w:p w14:paraId="5B8038D5" w14:textId="77777777" w:rsidR="00DB7778" w:rsidRPr="00607A03" w:rsidRDefault="00DB7778" w:rsidP="00484DE7">
            <w:pPr>
              <w:spacing w:before="40" w:after="40" w:line="220" w:lineRule="exact"/>
              <w:jc w:val="right"/>
              <w:rPr>
                <w:sz w:val="17"/>
                <w:szCs w:val="17"/>
              </w:rPr>
            </w:pPr>
            <w:r w:rsidRPr="00607A03">
              <w:rPr>
                <w:sz w:val="17"/>
                <w:szCs w:val="17"/>
              </w:rPr>
              <w:t>331</w:t>
            </w:r>
          </w:p>
        </w:tc>
        <w:tc>
          <w:tcPr>
            <w:tcW w:w="1888" w:type="dxa"/>
            <w:tcBorders>
              <w:top w:val="single" w:sz="12" w:space="0" w:color="auto"/>
            </w:tcBorders>
            <w:shd w:val="clear" w:color="auto" w:fill="auto"/>
            <w:vAlign w:val="bottom"/>
          </w:tcPr>
          <w:p w14:paraId="61113604" w14:textId="77777777" w:rsidR="00DB7778" w:rsidRPr="00607A03" w:rsidRDefault="00DB7778" w:rsidP="00484DE7">
            <w:pPr>
              <w:spacing w:before="40" w:after="40" w:line="220" w:lineRule="exact"/>
              <w:jc w:val="right"/>
              <w:rPr>
                <w:b/>
                <w:sz w:val="17"/>
                <w:szCs w:val="17"/>
              </w:rPr>
            </w:pPr>
            <w:r w:rsidRPr="00607A03">
              <w:rPr>
                <w:b/>
                <w:bCs/>
                <w:sz w:val="17"/>
                <w:szCs w:val="17"/>
              </w:rPr>
              <w:t>361</w:t>
            </w:r>
          </w:p>
        </w:tc>
      </w:tr>
      <w:tr w:rsidR="00DB7778" w:rsidRPr="00607A03" w14:paraId="0028D5D8" w14:textId="77777777" w:rsidTr="00DA3D71">
        <w:tc>
          <w:tcPr>
            <w:tcW w:w="1717" w:type="dxa"/>
            <w:tcBorders>
              <w:bottom w:val="single" w:sz="12" w:space="0" w:color="auto"/>
            </w:tcBorders>
            <w:shd w:val="clear" w:color="auto" w:fill="auto"/>
            <w:vAlign w:val="bottom"/>
          </w:tcPr>
          <w:p w14:paraId="28A9BFA7" w14:textId="77777777" w:rsidR="00DB7778" w:rsidRPr="00607A03" w:rsidRDefault="00DB7778" w:rsidP="00484DE7">
            <w:pPr>
              <w:spacing w:before="40" w:after="40" w:line="220" w:lineRule="exact"/>
              <w:rPr>
                <w:sz w:val="17"/>
                <w:szCs w:val="17"/>
              </w:rPr>
            </w:pPr>
            <w:r w:rsidRPr="00607A03">
              <w:rPr>
                <w:sz w:val="17"/>
                <w:szCs w:val="17"/>
              </w:rPr>
              <w:t>2019</w:t>
            </w:r>
          </w:p>
        </w:tc>
        <w:tc>
          <w:tcPr>
            <w:tcW w:w="1843" w:type="dxa"/>
            <w:tcBorders>
              <w:bottom w:val="single" w:sz="12" w:space="0" w:color="auto"/>
            </w:tcBorders>
            <w:shd w:val="clear" w:color="auto" w:fill="auto"/>
            <w:vAlign w:val="bottom"/>
          </w:tcPr>
          <w:p w14:paraId="132A40D0" w14:textId="77777777" w:rsidR="00DB7778" w:rsidRPr="00607A03" w:rsidRDefault="00DB7778" w:rsidP="00484DE7">
            <w:pPr>
              <w:spacing w:before="40" w:after="40" w:line="220" w:lineRule="exact"/>
              <w:jc w:val="right"/>
              <w:rPr>
                <w:sz w:val="17"/>
                <w:szCs w:val="17"/>
              </w:rPr>
            </w:pPr>
            <w:r w:rsidRPr="00607A03">
              <w:rPr>
                <w:sz w:val="17"/>
                <w:szCs w:val="17"/>
              </w:rPr>
              <w:t>58</w:t>
            </w:r>
          </w:p>
        </w:tc>
        <w:tc>
          <w:tcPr>
            <w:tcW w:w="1842" w:type="dxa"/>
            <w:tcBorders>
              <w:bottom w:val="single" w:sz="12" w:space="0" w:color="auto"/>
            </w:tcBorders>
            <w:shd w:val="clear" w:color="auto" w:fill="auto"/>
            <w:vAlign w:val="bottom"/>
          </w:tcPr>
          <w:p w14:paraId="5705288E" w14:textId="77777777" w:rsidR="00DB7778" w:rsidRPr="00607A03" w:rsidRDefault="00DB7778" w:rsidP="00484DE7">
            <w:pPr>
              <w:spacing w:before="40" w:after="40" w:line="220" w:lineRule="exact"/>
              <w:jc w:val="right"/>
              <w:rPr>
                <w:sz w:val="17"/>
                <w:szCs w:val="17"/>
              </w:rPr>
            </w:pPr>
            <w:r w:rsidRPr="00607A03">
              <w:rPr>
                <w:sz w:val="17"/>
                <w:szCs w:val="17"/>
              </w:rPr>
              <w:t>398</w:t>
            </w:r>
          </w:p>
        </w:tc>
        <w:tc>
          <w:tcPr>
            <w:tcW w:w="1888" w:type="dxa"/>
            <w:tcBorders>
              <w:bottom w:val="single" w:sz="12" w:space="0" w:color="auto"/>
            </w:tcBorders>
            <w:shd w:val="clear" w:color="auto" w:fill="auto"/>
            <w:vAlign w:val="bottom"/>
          </w:tcPr>
          <w:p w14:paraId="7BF1A3E0" w14:textId="77777777" w:rsidR="00DB7778" w:rsidRPr="00607A03" w:rsidRDefault="00DB7778" w:rsidP="00484DE7">
            <w:pPr>
              <w:spacing w:before="40" w:after="40" w:line="220" w:lineRule="exact"/>
              <w:jc w:val="right"/>
              <w:rPr>
                <w:b/>
                <w:sz w:val="17"/>
                <w:szCs w:val="17"/>
              </w:rPr>
            </w:pPr>
            <w:r w:rsidRPr="00607A03">
              <w:rPr>
                <w:b/>
                <w:bCs/>
                <w:sz w:val="17"/>
                <w:szCs w:val="17"/>
              </w:rPr>
              <w:t>456</w:t>
            </w:r>
          </w:p>
        </w:tc>
      </w:tr>
    </w:tbl>
    <w:p w14:paraId="132C7CAA" w14:textId="2CB7394F" w:rsidR="001732F3" w:rsidRPr="001732F3" w:rsidRDefault="001732F3" w:rsidP="001732F3">
      <w:pPr>
        <w:pStyle w:val="FootnoteText"/>
        <w:tabs>
          <w:tab w:val="clear" w:pos="418"/>
          <w:tab w:val="right" w:pos="1476"/>
          <w:tab w:val="left" w:pos="1548"/>
          <w:tab w:val="right" w:pos="1836"/>
          <w:tab w:val="left" w:pos="1908"/>
        </w:tabs>
        <w:spacing w:line="120" w:lineRule="exact"/>
        <w:ind w:left="1548" w:hanging="288"/>
        <w:rPr>
          <w:i/>
          <w:iCs/>
          <w:sz w:val="10"/>
        </w:rPr>
      </w:pPr>
    </w:p>
    <w:p w14:paraId="39A0708C" w14:textId="126DA3AA" w:rsidR="00DB7778" w:rsidRPr="00607A03" w:rsidRDefault="00DB7778" w:rsidP="00DA3D71">
      <w:pPr>
        <w:pStyle w:val="FootnoteText"/>
        <w:tabs>
          <w:tab w:val="clear" w:pos="418"/>
          <w:tab w:val="right" w:pos="1476"/>
          <w:tab w:val="left" w:pos="1548"/>
          <w:tab w:val="right" w:pos="1836"/>
          <w:tab w:val="left" w:pos="1908"/>
        </w:tabs>
        <w:ind w:left="1548" w:hanging="288"/>
        <w:rPr>
          <w:lang w:val="es-ES_tradnl"/>
        </w:rPr>
      </w:pPr>
      <w:r w:rsidRPr="00607A03">
        <w:rPr>
          <w:i/>
          <w:iCs/>
        </w:rPr>
        <w:t>Fuente</w:t>
      </w:r>
      <w:r w:rsidRPr="00607A03">
        <w:t>: Ministerio de Igualdad de Género y Bienestar de la Familia.</w:t>
      </w:r>
    </w:p>
    <w:p w14:paraId="7C8E3CA6" w14:textId="54CFD1CF" w:rsidR="009B3CFB" w:rsidRPr="00607A03" w:rsidRDefault="009B3CFB" w:rsidP="00DA3D71">
      <w:pPr>
        <w:pStyle w:val="SingleTxt"/>
        <w:spacing w:after="0" w:line="120" w:lineRule="exact"/>
        <w:rPr>
          <w:sz w:val="10"/>
          <w:lang w:val="es-ES_tradnl"/>
        </w:rPr>
      </w:pPr>
    </w:p>
    <w:p w14:paraId="43B0CB4A" w14:textId="7073AE98" w:rsidR="00DA3D71" w:rsidRPr="00607A03" w:rsidRDefault="00DA3D71" w:rsidP="00DA3D71">
      <w:pPr>
        <w:pStyle w:val="SingleTxt"/>
        <w:spacing w:after="0" w:line="120" w:lineRule="exact"/>
        <w:rPr>
          <w:sz w:val="10"/>
          <w:lang w:val="es-ES_tradnl"/>
        </w:rPr>
      </w:pPr>
    </w:p>
    <w:p w14:paraId="4DE3E271" w14:textId="77777777" w:rsidR="00990EE1" w:rsidRPr="00607A03" w:rsidRDefault="00990EE1" w:rsidP="00E80480">
      <w:pPr>
        <w:pStyle w:val="SingleTxt"/>
        <w:numPr>
          <w:ilvl w:val="0"/>
          <w:numId w:val="5"/>
        </w:numPr>
        <w:tabs>
          <w:tab w:val="num" w:pos="2804"/>
        </w:tabs>
        <w:ind w:left="1267"/>
        <w:rPr>
          <w:lang w:val="es-ES_tradnl"/>
        </w:rPr>
      </w:pPr>
      <w:r w:rsidRPr="00607A03">
        <w:t>Además, se ha creado un Comité Interministerial de Alto Nivel sobre la Violencia de Género, presidido por el Primer Ministro, para hacer frente al flagelo de la violencia de género. El mandato del Comité de Alto Nivel para la eliminación de la violencia de género es el siguiente:</w:t>
      </w:r>
    </w:p>
    <w:p w14:paraId="3A72EB48" w14:textId="77777777" w:rsidR="00990EE1" w:rsidRPr="00607A03" w:rsidRDefault="00990EE1" w:rsidP="00990EE1">
      <w:pPr>
        <w:pStyle w:val="SingleTxt"/>
        <w:rPr>
          <w:shd w:val="clear" w:color="auto" w:fill="FFFFFF"/>
          <w:lang w:val="es-ES_tradnl"/>
        </w:rPr>
      </w:pPr>
      <w:r w:rsidRPr="00607A03">
        <w:tab/>
        <w:t>a)</w:t>
      </w:r>
      <w:r w:rsidRPr="00607A03">
        <w:tab/>
        <w:t xml:space="preserve">Evaluar la situación actual con respecto a la eliminación de la violencia de género en lo referente al marco legislativo y su aplicación, las políticas, los procedimientos y las campañas de concienciación y sensibilización emprendidas; y </w:t>
      </w:r>
    </w:p>
    <w:p w14:paraId="65B90803" w14:textId="77777777" w:rsidR="00990EE1" w:rsidRPr="00607A03" w:rsidRDefault="00990EE1" w:rsidP="00990EE1">
      <w:pPr>
        <w:pStyle w:val="SingleTxt"/>
        <w:rPr>
          <w:shd w:val="clear" w:color="auto" w:fill="FFFFFF"/>
          <w:lang w:val="es-ES_tradnl"/>
        </w:rPr>
      </w:pPr>
      <w:r w:rsidRPr="00607A03">
        <w:tab/>
        <w:t>b)</w:t>
      </w:r>
      <w:r w:rsidRPr="00607A03">
        <w:tab/>
        <w:t>Detectar las esferas problemáticas y formular una nueva estrategia para eliminar la violencia de género.</w:t>
      </w:r>
    </w:p>
    <w:p w14:paraId="067559A6" w14:textId="3DB20F35" w:rsidR="00990EE1" w:rsidRPr="00607A03" w:rsidRDefault="00990EE1" w:rsidP="00E80480">
      <w:pPr>
        <w:pStyle w:val="SingleTxt"/>
        <w:numPr>
          <w:ilvl w:val="0"/>
          <w:numId w:val="5"/>
        </w:numPr>
        <w:ind w:left="1267"/>
        <w:rPr>
          <w:shd w:val="clear" w:color="auto" w:fill="FFFFFF"/>
          <w:lang w:val="es-ES_tradnl"/>
        </w:rPr>
      </w:pPr>
      <w:r w:rsidRPr="00607A03">
        <w:t>Se ha recurrido a los servicios del Sr. Jason Meyer, consultor internacional del PNUD, para que formule una estrategia para hacer frente a la violencia de género. Al mismo tiempo se está desarrollando una aplicación móvil para ofrecer una respuesta rápida a los casos de violencia de género.</w:t>
      </w:r>
    </w:p>
    <w:p w14:paraId="72FE3878" w14:textId="1DC95A18" w:rsidR="00990EE1" w:rsidRPr="00607A03" w:rsidRDefault="00990EE1" w:rsidP="00990EE1">
      <w:pPr>
        <w:pStyle w:val="SingleTxt"/>
        <w:spacing w:after="0" w:line="120" w:lineRule="exact"/>
        <w:rPr>
          <w:sz w:val="10"/>
        </w:rPr>
      </w:pPr>
    </w:p>
    <w:p w14:paraId="5EFCE0C3" w14:textId="5907F982" w:rsidR="00990EE1" w:rsidRPr="00607A03" w:rsidRDefault="00990EE1" w:rsidP="00990E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El castigo corporal en todos los ámbitos</w:t>
      </w:r>
    </w:p>
    <w:p w14:paraId="21FBC772" w14:textId="531F2460" w:rsidR="00990EE1" w:rsidRPr="00607A03" w:rsidRDefault="00990EE1" w:rsidP="00990EE1">
      <w:pPr>
        <w:pStyle w:val="SingleTxt"/>
        <w:spacing w:after="0" w:line="120" w:lineRule="exact"/>
        <w:rPr>
          <w:sz w:val="10"/>
        </w:rPr>
      </w:pPr>
    </w:p>
    <w:p w14:paraId="2647802B" w14:textId="1A897ED7" w:rsidR="00990EE1" w:rsidRPr="00607A03" w:rsidRDefault="00990EE1" w:rsidP="00E80480">
      <w:pPr>
        <w:pStyle w:val="SingleTxt"/>
        <w:numPr>
          <w:ilvl w:val="0"/>
          <w:numId w:val="5"/>
        </w:numPr>
        <w:ind w:left="1267"/>
        <w:rPr>
          <w:lang w:val="es-ES_tradnl"/>
        </w:rPr>
      </w:pPr>
      <w:r w:rsidRPr="00607A03">
        <w:t>Se incluirán disposiciones para prevenir el castigo corporal en todos los ámbitos en la versión revisada del próximo proyecto de ley sobre la infancia, que se prevé presentar en la Asamblea Nacional en noviembre de 2020.</w:t>
      </w:r>
    </w:p>
    <w:p w14:paraId="200CB79B" w14:textId="27D3ABBD" w:rsidR="00990EE1" w:rsidRPr="00607A03" w:rsidRDefault="00990EE1" w:rsidP="00E80480">
      <w:pPr>
        <w:pStyle w:val="SingleTxt"/>
        <w:numPr>
          <w:ilvl w:val="0"/>
          <w:numId w:val="5"/>
        </w:numPr>
        <w:ind w:left="1267"/>
        <w:rPr>
          <w:lang w:val="es-ES_tradnl"/>
        </w:rPr>
      </w:pPr>
      <w:r w:rsidRPr="00607A03">
        <w:t>El proyecto de ley revisado incluye, entre otras cosas, las siguientes disposiciones:</w:t>
      </w:r>
    </w:p>
    <w:p w14:paraId="22EC81D0" w14:textId="77777777" w:rsidR="00990EE1" w:rsidRPr="00607A03" w:rsidRDefault="00990EE1" w:rsidP="00990EE1">
      <w:pPr>
        <w:pStyle w:val="SingleTxt"/>
        <w:rPr>
          <w:shd w:val="clear" w:color="auto" w:fill="FFFFFF"/>
          <w:lang w:val="es-ES_tradnl"/>
        </w:rPr>
      </w:pPr>
      <w:r w:rsidRPr="00607A03">
        <w:tab/>
        <w:t>i)</w:t>
      </w:r>
      <w:r w:rsidRPr="00607A03">
        <w:tab/>
        <w:t>Ningún padre, madre ni otra persona responsable del cuidado, el tratamiento, la educación o la supervisión de un niño podrá infligirle un castigo corporal o humillante como medida correctiva o disciplinaria;</w:t>
      </w:r>
    </w:p>
    <w:p w14:paraId="663CCD7F" w14:textId="77777777" w:rsidR="00990EE1" w:rsidRPr="00607A03" w:rsidRDefault="00990EE1" w:rsidP="00990EE1">
      <w:pPr>
        <w:pStyle w:val="SingleTxt"/>
        <w:rPr>
          <w:shd w:val="clear" w:color="auto" w:fill="FFFFFF"/>
          <w:lang w:val="es-ES_tradnl"/>
        </w:rPr>
      </w:pPr>
      <w:r w:rsidRPr="00607A03">
        <w:tab/>
      </w:r>
      <w:proofErr w:type="spellStart"/>
      <w:r w:rsidRPr="00607A03">
        <w:t>ii</w:t>
      </w:r>
      <w:proofErr w:type="spellEnd"/>
      <w:r w:rsidRPr="00607A03">
        <w:t>)</w:t>
      </w:r>
      <w:r w:rsidRPr="00607A03">
        <w:tab/>
        <w:t>Toda persona que contravenga el párrafo 1) será culpable de delito y podrá ser condenada al pago de una multa máxima de 200.000 rupias y a una pena de prisión no superior a 5 años; y</w:t>
      </w:r>
    </w:p>
    <w:p w14:paraId="45A45F2C" w14:textId="3566A854" w:rsidR="00990EE1" w:rsidRPr="00607A03" w:rsidRDefault="00990EE1" w:rsidP="00990EE1">
      <w:pPr>
        <w:pStyle w:val="SingleTxt"/>
        <w:rPr>
          <w:shd w:val="clear" w:color="auto" w:fill="FFFFFF"/>
          <w:lang w:val="es-ES_tradnl"/>
        </w:rPr>
      </w:pPr>
      <w:r w:rsidRPr="00607A03">
        <w:tab/>
      </w:r>
      <w:proofErr w:type="spellStart"/>
      <w:r w:rsidRPr="00607A03">
        <w:t>iii</w:t>
      </w:r>
      <w:proofErr w:type="spellEnd"/>
      <w:r w:rsidRPr="00607A03">
        <w:t>)</w:t>
      </w:r>
      <w:r w:rsidRPr="00607A03">
        <w:tab/>
        <w:t xml:space="preserve">Por </w:t>
      </w:r>
      <w:r w:rsidR="00607A03" w:rsidRPr="00607A03">
        <w:t>“</w:t>
      </w:r>
      <w:r w:rsidRPr="00607A03">
        <w:t>castigo corporal o humillante</w:t>
      </w:r>
      <w:r w:rsidR="00607A03" w:rsidRPr="00607A03">
        <w:t>”</w:t>
      </w:r>
      <w:r w:rsidRPr="00607A03">
        <w:t xml:space="preserve"> se entiende cualquier forma de castigo que cause dolor o sufrimiento a un niño mediante, entre otras cosas, el uso de la fuerza o el uso de sustancias.</w:t>
      </w:r>
    </w:p>
    <w:p w14:paraId="05B785AF" w14:textId="77777777" w:rsidR="00A96EA7" w:rsidRPr="00607A03" w:rsidRDefault="00A96EA7">
      <w:pPr>
        <w:suppressAutoHyphens w:val="0"/>
        <w:spacing w:after="200" w:line="276" w:lineRule="auto"/>
        <w:rPr>
          <w:kern w:val="14"/>
        </w:rPr>
      </w:pPr>
      <w:r w:rsidRPr="00607A03">
        <w:br w:type="page"/>
      </w:r>
    </w:p>
    <w:p w14:paraId="4DE3F340" w14:textId="3662C1F4" w:rsidR="00990EE1" w:rsidRPr="00607A03" w:rsidRDefault="00990EE1" w:rsidP="00E80480">
      <w:pPr>
        <w:pStyle w:val="SingleTxt"/>
        <w:numPr>
          <w:ilvl w:val="0"/>
          <w:numId w:val="5"/>
        </w:numPr>
        <w:ind w:left="1267"/>
        <w:rPr>
          <w:lang w:val="es-ES_tradnl"/>
        </w:rPr>
      </w:pPr>
      <w:r w:rsidRPr="00607A03">
        <w:t>Cabe mencionar que la versión anterior del proyecto de ley sobre la infancia se presentó en la Asamblea Nacional el 17 de septiembre de 2019, pero no pudo ser aprobada porque la Asamblea Nacional se disolvió el 6 de octubre de 2019 a raíz de las elecciones generales que se celebraron en noviembre de 2019. Posteriormente, se ha revisado y consolidado el proyecto de ley sobre la infancia en consonancia con las nuevas orientaciones de políticas.</w:t>
      </w:r>
    </w:p>
    <w:p w14:paraId="2609CD81" w14:textId="611D9A23" w:rsidR="006C23B8" w:rsidRPr="00607A03" w:rsidRDefault="006C23B8" w:rsidP="006C23B8">
      <w:pPr>
        <w:pStyle w:val="SingleTxt"/>
        <w:spacing w:after="0" w:line="120" w:lineRule="exact"/>
        <w:rPr>
          <w:sz w:val="10"/>
        </w:rPr>
      </w:pPr>
    </w:p>
    <w:p w14:paraId="3CF7B70A" w14:textId="26703EFE" w:rsidR="00990EE1" w:rsidRPr="00607A03" w:rsidRDefault="00990EE1" w:rsidP="006C23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Información de seguimiento relativa al párrafo 38 c) de las observaciones finales</w:t>
      </w:r>
    </w:p>
    <w:p w14:paraId="3B2D6D6A" w14:textId="58CB5EDD" w:rsidR="006C23B8" w:rsidRPr="00607A03" w:rsidRDefault="006C23B8" w:rsidP="006C23B8">
      <w:pPr>
        <w:pStyle w:val="SingleTxt"/>
        <w:spacing w:after="0" w:line="120" w:lineRule="exact"/>
        <w:rPr>
          <w:sz w:val="10"/>
        </w:rPr>
      </w:pPr>
    </w:p>
    <w:p w14:paraId="0635DDD7" w14:textId="41078D3F" w:rsidR="00990EE1" w:rsidRPr="00607A03" w:rsidRDefault="00990EE1" w:rsidP="00E80480">
      <w:pPr>
        <w:pStyle w:val="SingleTxt"/>
        <w:numPr>
          <w:ilvl w:val="0"/>
          <w:numId w:val="5"/>
        </w:numPr>
        <w:ind w:left="1267"/>
        <w:rPr>
          <w:shd w:val="clear" w:color="auto" w:fill="FFFFFF"/>
          <w:lang w:val="es-ES_tradnl"/>
        </w:rPr>
      </w:pPr>
      <w:r w:rsidRPr="00607A03">
        <w:t xml:space="preserve">La definición de niño en el proyecto de ley sobre la infancia es </w:t>
      </w:r>
      <w:r w:rsidR="00607A03" w:rsidRPr="00607A03">
        <w:t>“</w:t>
      </w:r>
      <w:r w:rsidRPr="00607A03">
        <w:t>toda persona menor de 18 años</w:t>
      </w:r>
      <w:r w:rsidR="00607A03" w:rsidRPr="00607A03">
        <w:t>”</w:t>
      </w:r>
      <w:r w:rsidRPr="00607A03">
        <w:t>. Es necesario adoptar una decisión de política sobre la derogación del artículo 145 del Código Civil de Mauricio, que permite el matrimonio de personas de entre 16 y 18 años de edad:</w:t>
      </w:r>
    </w:p>
    <w:p w14:paraId="5B8C4776" w14:textId="140A3818" w:rsidR="00990EE1" w:rsidRPr="00607A03" w:rsidRDefault="006C23B8" w:rsidP="00990EE1">
      <w:pPr>
        <w:pStyle w:val="SingleTxt"/>
        <w:rPr>
          <w:shd w:val="clear" w:color="auto" w:fill="FFFFFF"/>
          <w:lang w:val="es-ES_tradnl"/>
        </w:rPr>
      </w:pPr>
      <w:r w:rsidRPr="00607A03">
        <w:tab/>
      </w:r>
      <w:r w:rsidR="00990EE1" w:rsidRPr="00607A03">
        <w:t>i)</w:t>
      </w:r>
      <w:r w:rsidR="00990EE1" w:rsidRPr="00607A03">
        <w:tab/>
        <w:t>Con consentimiento de los progenitores o de una persona que tenga patria potestad; o</w:t>
      </w:r>
    </w:p>
    <w:p w14:paraId="2F9E6936" w14:textId="6716A338" w:rsidR="00990EE1" w:rsidRPr="00607A03" w:rsidRDefault="00990EE1" w:rsidP="00990EE1">
      <w:pPr>
        <w:pStyle w:val="SingleTxt"/>
      </w:pPr>
      <w:r w:rsidRPr="00607A03">
        <w:tab/>
      </w:r>
      <w:proofErr w:type="spellStart"/>
      <w:r w:rsidRPr="00607A03">
        <w:t>ii</w:t>
      </w:r>
      <w:proofErr w:type="spellEnd"/>
      <w:r w:rsidRPr="00607A03">
        <w:t>)</w:t>
      </w:r>
      <w:r w:rsidRPr="00607A03">
        <w:tab/>
        <w:t>En caso de carecerse del consentimiento parental, con una exención del requisito de edad otorgada por el magistrado de sala del Tribunal Supremo</w:t>
      </w:r>
      <w:r w:rsidRPr="00607A03">
        <w:rPr>
          <w:rStyle w:val="FootnoteReference"/>
          <w:shd w:val="clear" w:color="auto" w:fill="FFFFFF"/>
        </w:rPr>
        <w:footnoteReference w:id="4"/>
      </w:r>
      <w:r w:rsidRPr="00607A03">
        <w:t>.</w:t>
      </w:r>
    </w:p>
    <w:p w14:paraId="6A808584" w14:textId="5F8F018D" w:rsidR="006C23B8" w:rsidRPr="00607A03" w:rsidRDefault="006C23B8" w:rsidP="006C23B8">
      <w:pPr>
        <w:pStyle w:val="SingleTxt"/>
        <w:spacing w:after="0" w:line="120" w:lineRule="exact"/>
        <w:rPr>
          <w:sz w:val="10"/>
        </w:rPr>
      </w:pPr>
    </w:p>
    <w:p w14:paraId="6B37134F" w14:textId="5EF589B8" w:rsidR="00990EE1" w:rsidRPr="00607A03" w:rsidRDefault="00990EE1" w:rsidP="006C23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7A03">
        <w:tab/>
      </w:r>
      <w:r w:rsidRPr="00607A03">
        <w:tab/>
        <w:t>Información de seguimiento relativa al párrafo 40 de las observaciones finales</w:t>
      </w:r>
    </w:p>
    <w:p w14:paraId="0CB14983" w14:textId="085DEF20" w:rsidR="006C23B8" w:rsidRPr="00607A03" w:rsidRDefault="006C23B8" w:rsidP="006C23B8">
      <w:pPr>
        <w:pStyle w:val="SingleTxt"/>
        <w:spacing w:after="0" w:line="120" w:lineRule="exact"/>
        <w:rPr>
          <w:sz w:val="10"/>
        </w:rPr>
      </w:pPr>
    </w:p>
    <w:p w14:paraId="3AEC9D9C" w14:textId="447C8C7F" w:rsidR="00990EE1" w:rsidRPr="00607A03" w:rsidRDefault="00990EE1" w:rsidP="00E80480">
      <w:pPr>
        <w:pStyle w:val="SingleTxt"/>
        <w:numPr>
          <w:ilvl w:val="0"/>
          <w:numId w:val="5"/>
        </w:numPr>
        <w:ind w:left="1267"/>
        <w:rPr>
          <w:lang w:val="es-ES_tradnl"/>
        </w:rPr>
      </w:pPr>
      <w:r w:rsidRPr="00607A03">
        <w:t xml:space="preserve">El Estado de Mauricio está empeñado en hacer frente a la violencia de género y, a ese respecto, se establecerá un observatorio de la violencia de género, en el que se reunirán todos los datos, tanto cuantitativos como cualitativos, destinados a ese fin. El observatorio ofrecerá una visión </w:t>
      </w:r>
      <w:proofErr w:type="spellStart"/>
      <w:r w:rsidRPr="00607A03">
        <w:t>interseccional</w:t>
      </w:r>
      <w:proofErr w:type="spellEnd"/>
      <w:r w:rsidRPr="00607A03">
        <w:t xml:space="preserve"> de la violencia de género en todos los géneros y comunidades y en la aplicación de leyes y políticas.</w:t>
      </w:r>
    </w:p>
    <w:p w14:paraId="22673055" w14:textId="7926CEE8" w:rsidR="00990EE1" w:rsidRPr="00607A03" w:rsidRDefault="00990EE1" w:rsidP="00E80480">
      <w:pPr>
        <w:pStyle w:val="SingleTxt"/>
        <w:numPr>
          <w:ilvl w:val="0"/>
          <w:numId w:val="5"/>
        </w:numPr>
        <w:ind w:left="1267"/>
        <w:rPr>
          <w:shd w:val="clear" w:color="auto" w:fill="FFFFFF"/>
          <w:lang w:val="es-ES_tradnl"/>
        </w:rPr>
      </w:pPr>
      <w:r w:rsidRPr="00607A03">
        <w:t xml:space="preserve">Con el apoyo del PNUD, el Ministerio de Igualdad de Género y Bienestar de la Familia recibió asistencia técnica de un consultor internacional de la Universidad </w:t>
      </w:r>
      <w:proofErr w:type="spellStart"/>
      <w:r w:rsidRPr="00607A03">
        <w:t>Flinders</w:t>
      </w:r>
      <w:proofErr w:type="spellEnd"/>
      <w:r w:rsidRPr="00607A03">
        <w:t xml:space="preserve"> (Australia) para el establecimiento de un observatorio de la violencia de género en la República de Mauricio. Se celebraron consultas a tal efecto en Mauricio y en </w:t>
      </w:r>
      <w:proofErr w:type="spellStart"/>
      <w:r w:rsidRPr="00607A03">
        <w:t>Rodrigues</w:t>
      </w:r>
      <w:proofErr w:type="spellEnd"/>
      <w:r w:rsidRPr="00607A03">
        <w:t xml:space="preserve"> en diciembre de 2019, y el Ministerio prosigue con el proyecto. Se prevé que el observatorio se establecerá en el plazo de un año y, una vez en funcionamiento, será el organismo central para la investigación y el análisis de la información relativa a todas las formas de violencia de género. Además, servirá de depósito de todas las obras e informes publicados en la esfera de la violencia de género, a fin de recopilar los datos de todas las organizaciones que se ocupan exclusivamente de esa esfera; y ofrecerá un entorno de colaboración en que las instituciones, el personal de servicios relacionados con la violencia de género y los especialistas en la materia se reunirán periódicamente para examinar las cuestiones relativas a la violencia de género que surjan a nivel nacional y regional. </w:t>
      </w:r>
    </w:p>
    <w:p w14:paraId="6BB5EB5E" w14:textId="60DC9443" w:rsidR="00990EE1" w:rsidRPr="00607A03" w:rsidRDefault="00990EE1" w:rsidP="00E80480">
      <w:pPr>
        <w:pStyle w:val="SingleTxt"/>
        <w:numPr>
          <w:ilvl w:val="0"/>
          <w:numId w:val="5"/>
        </w:numPr>
        <w:ind w:left="1267"/>
        <w:rPr>
          <w:shd w:val="clear" w:color="auto" w:fill="FFFFFF"/>
          <w:lang w:val="es-ES_tradnl"/>
        </w:rPr>
      </w:pPr>
      <w:r w:rsidRPr="00607A03">
        <w:t>El establecimiento de una base de datos central es fundamental para la labor de creación del observatorio de la violencia de género. Se pondrá en marcha un sistema de gestión de la información sobre la violencia de género para facilitar la armonización de la recopilación de datos por parte de los proveedores de servicios relacionados con la violencia de género. La intención de ese sistema es ayudar a los proveedores de servicios a comprender mejor los casos de violencia de género que se denuncian y hacer posible el intercambio de datos entre diversos organismos a fin de facilitar un análisis más amplio de las tendencias y una mejor coordinación en torno a la violencia de género.</w:t>
      </w:r>
    </w:p>
    <w:p w14:paraId="771ECE12" w14:textId="77777777" w:rsidR="00A96EA7" w:rsidRPr="00607A03" w:rsidRDefault="00A96EA7">
      <w:pPr>
        <w:suppressAutoHyphens w:val="0"/>
        <w:spacing w:after="200" w:line="276" w:lineRule="auto"/>
        <w:rPr>
          <w:kern w:val="14"/>
        </w:rPr>
      </w:pPr>
      <w:r w:rsidRPr="00607A03">
        <w:br w:type="page"/>
      </w:r>
    </w:p>
    <w:p w14:paraId="3D1361B8" w14:textId="6C904E75" w:rsidR="00990EE1" w:rsidRPr="00607A03" w:rsidRDefault="00990EE1" w:rsidP="00E80480">
      <w:pPr>
        <w:pStyle w:val="SingleTxt"/>
        <w:numPr>
          <w:ilvl w:val="0"/>
          <w:numId w:val="5"/>
        </w:numPr>
        <w:ind w:left="1267"/>
        <w:rPr>
          <w:color w:val="333333"/>
          <w:shd w:val="clear" w:color="auto" w:fill="FFFFFF"/>
          <w:lang w:val="es-ES_tradnl"/>
        </w:rPr>
      </w:pPr>
      <w:r w:rsidRPr="00607A03">
        <w:t xml:space="preserve">En el presupuesto para 2020/21 se ha asignado una suma de 1 millón de rupias (25.000 dólares de los Estados Unidos) para el establecimiento del observatorio de la violencia de género. El Ministerio de Igualdad de Género y Bienestar de la Familia está ultimando una expresión de interés para invitar a universidades, instituciones de investigación y otras partes interesadas a que presenten su propuesta para el establecimiento y la puesta en marcha del observatorio. </w:t>
      </w:r>
    </w:p>
    <w:p w14:paraId="3382CE20" w14:textId="25A31F32" w:rsidR="009B3CFB" w:rsidRPr="00607A03" w:rsidRDefault="006C23B8" w:rsidP="00990EE1">
      <w:pPr>
        <w:pStyle w:val="SingleTxt"/>
      </w:pPr>
      <w:r w:rsidRPr="00607A03">
        <w:rPr>
          <w:noProof/>
          <w:w w:val="100"/>
        </w:rPr>
        <mc:AlternateContent>
          <mc:Choice Requires="wps">
            <w:drawing>
              <wp:anchor distT="0" distB="0" distL="114300" distR="114300" simplePos="0" relativeHeight="251659264" behindDoc="0" locked="0" layoutInCell="1" allowOverlap="1" wp14:anchorId="7DF07E4D" wp14:editId="13F4C0E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0A6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B3CFB" w:rsidRPr="00607A03" w:rsidSect="009B3CF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2-21T10:08:00Z" w:initials="Start">
    <w:p w14:paraId="346CF04C" w14:textId="77777777" w:rsidR="005D2EA7" w:rsidRPr="009B3CFB" w:rsidRDefault="005D2EA7">
      <w:pPr>
        <w:pStyle w:val="CommentText"/>
        <w:rPr>
          <w:lang w:val="en-US"/>
        </w:rPr>
      </w:pPr>
      <w:r>
        <w:rPr>
          <w:rStyle w:val="CommentReference"/>
        </w:rPr>
        <w:annotationRef/>
      </w:r>
      <w:r w:rsidRPr="009B3CFB">
        <w:rPr>
          <w:lang w:val="en-US"/>
        </w:rPr>
        <w:t>&lt;&lt;ODS JOB NO&gt;&gt;N2034696S&lt;&lt;ODS JOB NO&gt;&gt;</w:t>
      </w:r>
    </w:p>
    <w:p w14:paraId="524B704B" w14:textId="77777777" w:rsidR="005D2EA7" w:rsidRPr="004D6B2A" w:rsidRDefault="005D2EA7">
      <w:pPr>
        <w:pStyle w:val="CommentText"/>
        <w:rPr>
          <w:lang w:val="en-US"/>
        </w:rPr>
      </w:pPr>
      <w:r w:rsidRPr="004D6B2A">
        <w:rPr>
          <w:lang w:val="en-US"/>
        </w:rPr>
        <w:t>&lt;&lt;ODS DOC SYMBOL1&gt;&gt;CEDAW/C/MUS/FCO/8&lt;&lt;ODS DOC SYMBOL1&gt;&gt;</w:t>
      </w:r>
    </w:p>
    <w:p w14:paraId="331FE189" w14:textId="77777777" w:rsidR="005D2EA7" w:rsidRPr="004D6B2A" w:rsidRDefault="005D2EA7">
      <w:pPr>
        <w:pStyle w:val="CommentText"/>
        <w:rPr>
          <w:lang w:val="en-US"/>
        </w:rPr>
      </w:pPr>
      <w:r w:rsidRPr="004D6B2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1FE1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1FE189" w16cid:durableId="238AF2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1740" w14:textId="77777777" w:rsidR="00AD157A" w:rsidRDefault="00AD157A" w:rsidP="00101B18">
      <w:r>
        <w:separator/>
      </w:r>
    </w:p>
  </w:endnote>
  <w:endnote w:type="continuationSeparator" w:id="0">
    <w:p w14:paraId="69EB1463" w14:textId="77777777" w:rsidR="00AD157A" w:rsidRDefault="00AD157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D2EA7" w14:paraId="5B474B97" w14:textId="77777777" w:rsidTr="005D2EA7">
      <w:tc>
        <w:tcPr>
          <w:tcW w:w="4920" w:type="dxa"/>
          <w:shd w:val="clear" w:color="auto" w:fill="auto"/>
          <w:vAlign w:val="bottom"/>
        </w:tcPr>
        <w:p w14:paraId="34A1AB65" w14:textId="77777777" w:rsidR="005D2EA7" w:rsidRPr="005D2EA7" w:rsidRDefault="005D2EA7" w:rsidP="005D2EA7">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939037B" w14:textId="0D644749" w:rsidR="005D2EA7" w:rsidRPr="005D2EA7" w:rsidRDefault="005D2EA7" w:rsidP="005D2EA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B4B5D">
            <w:rPr>
              <w:b w:val="0"/>
              <w:color w:val="000000"/>
              <w:sz w:val="14"/>
            </w:rPr>
            <w:t>20-16576</w:t>
          </w:r>
          <w:r>
            <w:rPr>
              <w:b w:val="0"/>
              <w:color w:val="000000"/>
              <w:sz w:val="14"/>
            </w:rPr>
            <w:fldChar w:fldCharType="end"/>
          </w:r>
        </w:p>
      </w:tc>
    </w:tr>
  </w:tbl>
  <w:p w14:paraId="592BCBC0" w14:textId="77777777" w:rsidR="005D2EA7" w:rsidRPr="005D2EA7" w:rsidRDefault="005D2EA7" w:rsidP="005D2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D2EA7" w14:paraId="01685569" w14:textId="77777777" w:rsidTr="005D2EA7">
      <w:tc>
        <w:tcPr>
          <w:tcW w:w="4920" w:type="dxa"/>
          <w:shd w:val="clear" w:color="auto" w:fill="auto"/>
          <w:vAlign w:val="bottom"/>
        </w:tcPr>
        <w:p w14:paraId="77597347" w14:textId="7BC88B4B" w:rsidR="005D2EA7" w:rsidRPr="005D2EA7" w:rsidRDefault="005D2EA7" w:rsidP="005D2EA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B4B5D">
            <w:rPr>
              <w:b w:val="0"/>
              <w:color w:val="000000"/>
              <w:sz w:val="14"/>
            </w:rPr>
            <w:t>20-16576</w:t>
          </w:r>
          <w:r>
            <w:rPr>
              <w:b w:val="0"/>
              <w:color w:val="000000"/>
              <w:sz w:val="14"/>
            </w:rPr>
            <w:fldChar w:fldCharType="end"/>
          </w:r>
        </w:p>
      </w:tc>
      <w:tc>
        <w:tcPr>
          <w:tcW w:w="4920" w:type="dxa"/>
          <w:shd w:val="clear" w:color="auto" w:fill="auto"/>
          <w:vAlign w:val="bottom"/>
        </w:tcPr>
        <w:p w14:paraId="3DA86CF2" w14:textId="77777777" w:rsidR="005D2EA7" w:rsidRPr="005D2EA7" w:rsidRDefault="005D2EA7" w:rsidP="005D2EA7">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AA15A4A" w14:textId="77777777" w:rsidR="005D2EA7" w:rsidRPr="005D2EA7" w:rsidRDefault="005D2EA7" w:rsidP="005D2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0F1E" w14:textId="77777777" w:rsidR="005D2EA7" w:rsidRPr="005D2EA7" w:rsidRDefault="005D2EA7" w:rsidP="005D2EA7">
    <w:pPr>
      <w:pStyle w:val="Footer"/>
      <w:spacing w:line="120" w:lineRule="exact"/>
      <w:rPr>
        <w:b w:val="0"/>
        <w:sz w:val="10"/>
      </w:rPr>
    </w:pPr>
    <w:r>
      <w:rPr>
        <w:b w:val="0"/>
        <w:sz w:val="10"/>
      </w:rPr>
      <w:drawing>
        <wp:anchor distT="0" distB="0" distL="114300" distR="114300" simplePos="0" relativeHeight="251658240" behindDoc="0" locked="0" layoutInCell="1" allowOverlap="1" wp14:anchorId="27C9C02A" wp14:editId="01DDCDB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D2EA7" w14:paraId="2FF9B40B" w14:textId="77777777" w:rsidTr="005D2EA7">
      <w:tc>
        <w:tcPr>
          <w:tcW w:w="3830" w:type="dxa"/>
          <w:shd w:val="clear" w:color="auto" w:fill="auto"/>
        </w:tcPr>
        <w:p w14:paraId="3A02A47A" w14:textId="2AED01EA" w:rsidR="005D2EA7" w:rsidRDefault="005D2EA7" w:rsidP="005D2EA7">
          <w:pPr>
            <w:pStyle w:val="ReleaseDate0"/>
          </w:pPr>
          <w:r>
            <w:t>20-16576 (</w:t>
          </w:r>
          <w:proofErr w:type="gramStart"/>
          <w:r>
            <w:t xml:space="preserve">S)   </w:t>
          </w:r>
          <w:proofErr w:type="gramEnd"/>
          <w:r>
            <w:t xml:space="preserve"> </w:t>
          </w:r>
          <w:r w:rsidR="009B3CFB">
            <w:t>17</w:t>
          </w:r>
          <w:r>
            <w:t xml:space="preserve">1220    </w:t>
          </w:r>
          <w:r w:rsidR="009B3CFB">
            <w:t>040121</w:t>
          </w:r>
        </w:p>
        <w:p w14:paraId="126CA71A" w14:textId="77777777" w:rsidR="005D2EA7" w:rsidRPr="005D2EA7" w:rsidRDefault="005D2EA7" w:rsidP="005D2EA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*2016576*</w:t>
          </w:r>
        </w:p>
      </w:tc>
      <w:tc>
        <w:tcPr>
          <w:tcW w:w="4920" w:type="dxa"/>
          <w:shd w:val="clear" w:color="auto" w:fill="auto"/>
        </w:tcPr>
        <w:p w14:paraId="6D534E8F" w14:textId="77777777" w:rsidR="005D2EA7" w:rsidRDefault="005D2EA7" w:rsidP="005D2EA7">
          <w:pPr>
            <w:pStyle w:val="Footer"/>
            <w:jc w:val="right"/>
            <w:rPr>
              <w:b w:val="0"/>
              <w:sz w:val="20"/>
            </w:rPr>
          </w:pPr>
          <w:r>
            <w:rPr>
              <w:b w:val="0"/>
              <w:sz w:val="20"/>
            </w:rPr>
            <w:drawing>
              <wp:inline distT="0" distB="0" distL="0" distR="0" wp14:anchorId="3529EA1B" wp14:editId="2406D49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97CD9A6" w14:textId="77777777" w:rsidR="005D2EA7" w:rsidRPr="005D2EA7" w:rsidRDefault="005D2EA7" w:rsidP="005D2EA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4819" w14:textId="77777777" w:rsidR="00AD157A" w:rsidRPr="006C23B8" w:rsidRDefault="00AD157A" w:rsidP="006C23B8">
      <w:pPr>
        <w:pStyle w:val="Footer"/>
        <w:spacing w:after="80"/>
        <w:ind w:left="792"/>
        <w:rPr>
          <w:sz w:val="16"/>
        </w:rPr>
      </w:pPr>
      <w:r w:rsidRPr="006C23B8">
        <w:rPr>
          <w:sz w:val="16"/>
        </w:rPr>
        <w:t>__________________</w:t>
      </w:r>
    </w:p>
  </w:footnote>
  <w:footnote w:type="continuationSeparator" w:id="0">
    <w:p w14:paraId="36A94988" w14:textId="77777777" w:rsidR="00AD157A" w:rsidRPr="006C23B8" w:rsidRDefault="00AD157A" w:rsidP="006C23B8">
      <w:pPr>
        <w:pStyle w:val="Footer"/>
        <w:spacing w:after="80"/>
        <w:ind w:left="792"/>
        <w:rPr>
          <w:sz w:val="16"/>
        </w:rPr>
      </w:pPr>
      <w:r w:rsidRPr="006C23B8">
        <w:rPr>
          <w:sz w:val="16"/>
        </w:rPr>
        <w:t>__________________</w:t>
      </w:r>
    </w:p>
  </w:footnote>
  <w:footnote w:id="1">
    <w:p w14:paraId="53A76EEC" w14:textId="77777777" w:rsidR="009B3CFB" w:rsidRPr="000F4B62" w:rsidRDefault="009B3CFB" w:rsidP="006C23B8">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La versión original del presente documento no fue objeto de revisión editorial oficial.</w:t>
      </w:r>
    </w:p>
  </w:footnote>
  <w:footnote w:id="2">
    <w:p w14:paraId="59573358" w14:textId="77777777" w:rsidR="009B3CFB" w:rsidRPr="000F4B62" w:rsidRDefault="009B3CFB" w:rsidP="006C23B8">
      <w:pPr>
        <w:pStyle w:val="FootnoteText"/>
        <w:tabs>
          <w:tab w:val="clear" w:pos="418"/>
          <w:tab w:val="right" w:pos="1195"/>
          <w:tab w:val="left" w:pos="1267"/>
          <w:tab w:val="left" w:pos="1742"/>
          <w:tab w:val="left" w:pos="2218"/>
          <w:tab w:val="left" w:pos="2693"/>
        </w:tabs>
        <w:ind w:left="1267" w:right="1267" w:hanging="432"/>
        <w:rPr>
          <w:lang w:val="es-ES_tradnl"/>
        </w:rPr>
      </w:pPr>
      <w:r>
        <w:tab/>
        <w:t>**</w:t>
      </w:r>
      <w:r>
        <w:tab/>
        <w:t>El anexo del presente documento puede consultarse en la página web del Comité.</w:t>
      </w:r>
    </w:p>
  </w:footnote>
  <w:footnote w:id="3">
    <w:p w14:paraId="0FA92E6C" w14:textId="77777777" w:rsidR="009B3CFB" w:rsidRPr="000F4B62" w:rsidRDefault="009B3CFB" w:rsidP="006C23B8">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ab/>
        <w:t>Las instrucciones para redactar el proyecto de ley sobre igualdad de género están siendo revisadas y no recogerán necesariamente lo que figura en el esquema.</w:t>
      </w:r>
    </w:p>
  </w:footnote>
  <w:footnote w:id="4">
    <w:p w14:paraId="2B98B154" w14:textId="77777777" w:rsidR="00990EE1" w:rsidRPr="000F4B62" w:rsidRDefault="00990EE1" w:rsidP="006C23B8">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ab/>
        <w:t>La derogación de los artículos 145 a 148 del Código Civil de Mauricio se abordará en el contexto del proyecto de ley sobre la infancia que se presentará en la Asamblea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2EA7" w14:paraId="277D21AD" w14:textId="77777777" w:rsidTr="005D2EA7">
      <w:trPr>
        <w:trHeight w:hRule="exact" w:val="864"/>
      </w:trPr>
      <w:tc>
        <w:tcPr>
          <w:tcW w:w="4920" w:type="dxa"/>
          <w:shd w:val="clear" w:color="auto" w:fill="auto"/>
          <w:vAlign w:val="bottom"/>
        </w:tcPr>
        <w:p w14:paraId="769B300D" w14:textId="231CE02B" w:rsidR="005D2EA7" w:rsidRPr="005D2EA7" w:rsidRDefault="005D2EA7" w:rsidP="005D2EA7">
          <w:pPr>
            <w:pStyle w:val="Header"/>
            <w:spacing w:after="80"/>
            <w:rPr>
              <w:b/>
            </w:rPr>
          </w:pPr>
          <w:r>
            <w:rPr>
              <w:b/>
            </w:rPr>
            <w:fldChar w:fldCharType="begin"/>
          </w:r>
          <w:r>
            <w:rPr>
              <w:b/>
            </w:rPr>
            <w:instrText xml:space="preserve"> DOCVARIABLE "sss1" \* MERGEFORMAT </w:instrText>
          </w:r>
          <w:r>
            <w:rPr>
              <w:b/>
            </w:rPr>
            <w:fldChar w:fldCharType="separate"/>
          </w:r>
          <w:r w:rsidR="004B4B5D">
            <w:rPr>
              <w:b/>
            </w:rPr>
            <w:t>CEDAW/C/MUS/FCO/8</w:t>
          </w:r>
          <w:r>
            <w:rPr>
              <w:b/>
            </w:rPr>
            <w:fldChar w:fldCharType="end"/>
          </w:r>
        </w:p>
      </w:tc>
      <w:tc>
        <w:tcPr>
          <w:tcW w:w="4920" w:type="dxa"/>
          <w:shd w:val="clear" w:color="auto" w:fill="auto"/>
          <w:vAlign w:val="bottom"/>
        </w:tcPr>
        <w:p w14:paraId="3A8F5358" w14:textId="77777777" w:rsidR="005D2EA7" w:rsidRDefault="005D2EA7" w:rsidP="005D2EA7">
          <w:pPr>
            <w:pStyle w:val="Header"/>
          </w:pPr>
        </w:p>
      </w:tc>
    </w:tr>
  </w:tbl>
  <w:p w14:paraId="0681A100" w14:textId="77777777" w:rsidR="005D2EA7" w:rsidRPr="005D2EA7" w:rsidRDefault="005D2EA7" w:rsidP="005D2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D2EA7" w14:paraId="771B5D8A" w14:textId="77777777" w:rsidTr="005D2EA7">
      <w:trPr>
        <w:trHeight w:hRule="exact" w:val="864"/>
      </w:trPr>
      <w:tc>
        <w:tcPr>
          <w:tcW w:w="4920" w:type="dxa"/>
          <w:shd w:val="clear" w:color="auto" w:fill="auto"/>
          <w:vAlign w:val="bottom"/>
        </w:tcPr>
        <w:p w14:paraId="3E269EAF" w14:textId="77777777" w:rsidR="005D2EA7" w:rsidRDefault="005D2EA7" w:rsidP="005D2EA7">
          <w:pPr>
            <w:pStyle w:val="Header"/>
          </w:pPr>
        </w:p>
      </w:tc>
      <w:tc>
        <w:tcPr>
          <w:tcW w:w="4920" w:type="dxa"/>
          <w:shd w:val="clear" w:color="auto" w:fill="auto"/>
          <w:vAlign w:val="bottom"/>
        </w:tcPr>
        <w:p w14:paraId="6AA28028" w14:textId="4EC7DCA3" w:rsidR="005D2EA7" w:rsidRPr="005D2EA7" w:rsidRDefault="005D2EA7" w:rsidP="005D2EA7">
          <w:pPr>
            <w:pStyle w:val="Header"/>
            <w:spacing w:after="80"/>
            <w:jc w:val="right"/>
            <w:rPr>
              <w:b/>
            </w:rPr>
          </w:pPr>
          <w:r>
            <w:rPr>
              <w:b/>
            </w:rPr>
            <w:fldChar w:fldCharType="begin"/>
          </w:r>
          <w:r>
            <w:rPr>
              <w:b/>
            </w:rPr>
            <w:instrText xml:space="preserve"> DOCVARIABLE "sss1" \* MERGEFORMAT </w:instrText>
          </w:r>
          <w:r>
            <w:rPr>
              <w:b/>
            </w:rPr>
            <w:fldChar w:fldCharType="separate"/>
          </w:r>
          <w:r w:rsidR="004B4B5D">
            <w:rPr>
              <w:b/>
            </w:rPr>
            <w:t>CEDAW/C/MUS/FCO/8</w:t>
          </w:r>
          <w:r>
            <w:rPr>
              <w:b/>
            </w:rPr>
            <w:fldChar w:fldCharType="end"/>
          </w:r>
        </w:p>
      </w:tc>
    </w:tr>
  </w:tbl>
  <w:p w14:paraId="6FE05D42" w14:textId="77777777" w:rsidR="005D2EA7" w:rsidRPr="005D2EA7" w:rsidRDefault="005D2EA7" w:rsidP="005D2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D2EA7" w14:paraId="2AF2C69C" w14:textId="77777777" w:rsidTr="005D2EA7">
      <w:trPr>
        <w:gridAfter w:val="1"/>
        <w:wAfter w:w="15" w:type="dxa"/>
        <w:trHeight w:hRule="exact" w:val="864"/>
      </w:trPr>
      <w:tc>
        <w:tcPr>
          <w:tcW w:w="1267" w:type="dxa"/>
          <w:tcBorders>
            <w:bottom w:val="single" w:sz="4" w:space="0" w:color="auto"/>
          </w:tcBorders>
          <w:shd w:val="clear" w:color="auto" w:fill="auto"/>
          <w:vAlign w:val="bottom"/>
        </w:tcPr>
        <w:p w14:paraId="2A1EA41D" w14:textId="77777777" w:rsidR="005D2EA7" w:rsidRDefault="005D2EA7" w:rsidP="005D2EA7">
          <w:pPr>
            <w:pStyle w:val="Header"/>
            <w:spacing w:after="120"/>
          </w:pPr>
        </w:p>
      </w:tc>
      <w:tc>
        <w:tcPr>
          <w:tcW w:w="2059" w:type="dxa"/>
          <w:tcBorders>
            <w:bottom w:val="single" w:sz="4" w:space="0" w:color="auto"/>
          </w:tcBorders>
          <w:shd w:val="clear" w:color="auto" w:fill="auto"/>
          <w:vAlign w:val="bottom"/>
        </w:tcPr>
        <w:p w14:paraId="748AACF8" w14:textId="77777777" w:rsidR="005D2EA7" w:rsidRPr="005D2EA7" w:rsidRDefault="005D2EA7" w:rsidP="005D2EA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71AAE64" w14:textId="77777777" w:rsidR="005D2EA7" w:rsidRDefault="005D2EA7" w:rsidP="005D2EA7">
          <w:pPr>
            <w:pStyle w:val="Header"/>
            <w:spacing w:after="120"/>
          </w:pPr>
        </w:p>
      </w:tc>
      <w:tc>
        <w:tcPr>
          <w:tcW w:w="6480" w:type="dxa"/>
          <w:gridSpan w:val="3"/>
          <w:tcBorders>
            <w:bottom w:val="single" w:sz="4" w:space="0" w:color="auto"/>
          </w:tcBorders>
          <w:shd w:val="clear" w:color="auto" w:fill="auto"/>
          <w:vAlign w:val="bottom"/>
        </w:tcPr>
        <w:p w14:paraId="25A0F564" w14:textId="77777777" w:rsidR="005D2EA7" w:rsidRPr="005D2EA7" w:rsidRDefault="005D2EA7" w:rsidP="005D2EA7">
          <w:pPr>
            <w:spacing w:after="80" w:line="240" w:lineRule="auto"/>
            <w:jc w:val="right"/>
            <w:rPr>
              <w:position w:val="-4"/>
            </w:rPr>
          </w:pPr>
          <w:r>
            <w:rPr>
              <w:position w:val="-4"/>
              <w:sz w:val="40"/>
            </w:rPr>
            <w:t>CEDAW</w:t>
          </w:r>
          <w:r>
            <w:rPr>
              <w:position w:val="-4"/>
            </w:rPr>
            <w:t>/C/MUS/FCO/8</w:t>
          </w:r>
        </w:p>
      </w:tc>
    </w:tr>
    <w:tr w:rsidR="005D2EA7" w:rsidRPr="005D2EA7" w14:paraId="13CF478E" w14:textId="77777777" w:rsidTr="005D2EA7">
      <w:trPr>
        <w:trHeight w:hRule="exact" w:val="2880"/>
      </w:trPr>
      <w:tc>
        <w:tcPr>
          <w:tcW w:w="1267" w:type="dxa"/>
          <w:tcBorders>
            <w:top w:val="single" w:sz="4" w:space="0" w:color="auto"/>
            <w:bottom w:val="single" w:sz="12" w:space="0" w:color="auto"/>
          </w:tcBorders>
          <w:shd w:val="clear" w:color="auto" w:fill="auto"/>
        </w:tcPr>
        <w:p w14:paraId="3EBA1AE0" w14:textId="77777777" w:rsidR="005D2EA7" w:rsidRPr="005D2EA7" w:rsidRDefault="005D2EA7" w:rsidP="005D2EA7">
          <w:pPr>
            <w:pStyle w:val="Header"/>
            <w:spacing w:before="120"/>
            <w:jc w:val="center"/>
          </w:pPr>
          <w:r>
            <w:t xml:space="preserve"> </w:t>
          </w:r>
          <w:r>
            <w:drawing>
              <wp:inline distT="0" distB="0" distL="0" distR="0" wp14:anchorId="5DDC998A" wp14:editId="72FB251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A5D2CE" w14:textId="77777777" w:rsidR="005D2EA7" w:rsidRPr="005D2EA7" w:rsidRDefault="005D2EA7" w:rsidP="005D2EA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894CAA0" w14:textId="77777777" w:rsidR="005D2EA7" w:rsidRPr="009B3CFB" w:rsidRDefault="005D2EA7" w:rsidP="005D2EA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F2E5942" w14:textId="77777777" w:rsidR="005D2EA7" w:rsidRDefault="005D2EA7" w:rsidP="004D256F">
          <w:pPr>
            <w:pStyle w:val="Distribution"/>
            <w:suppressAutoHyphens/>
            <w:spacing w:before="240"/>
          </w:pPr>
          <w:r>
            <w:t>Distr. general</w:t>
          </w:r>
        </w:p>
        <w:p w14:paraId="2022F97E" w14:textId="77777777" w:rsidR="005D2EA7" w:rsidRDefault="005D2EA7" w:rsidP="004D256F">
          <w:pPr>
            <w:pStyle w:val="Publication"/>
            <w:suppressAutoHyphens/>
          </w:pPr>
          <w:r>
            <w:t>8 de diciembre de 2020</w:t>
          </w:r>
        </w:p>
        <w:p w14:paraId="78CA194E" w14:textId="77777777" w:rsidR="005D2EA7" w:rsidRDefault="005D2EA7" w:rsidP="004D256F">
          <w:r>
            <w:t>Español</w:t>
          </w:r>
        </w:p>
        <w:p w14:paraId="0DEC79CD" w14:textId="77777777" w:rsidR="00A96EA7" w:rsidRDefault="005D2EA7" w:rsidP="004D256F">
          <w:pPr>
            <w:pStyle w:val="Original"/>
            <w:suppressAutoHyphens/>
          </w:pPr>
          <w:r>
            <w:t xml:space="preserve">Original: </w:t>
          </w:r>
          <w:r w:rsidR="00A96EA7">
            <w:t>inglés</w:t>
          </w:r>
        </w:p>
        <w:p w14:paraId="397C9D8F" w14:textId="77777777" w:rsidR="00A96EA7" w:rsidRDefault="00A96EA7" w:rsidP="004D256F">
          <w:pPr>
            <w:pStyle w:val="Original"/>
            <w:suppressAutoHyphens/>
          </w:pPr>
        </w:p>
        <w:p w14:paraId="7C39D0ED" w14:textId="1AB7E05D" w:rsidR="005D2EA7" w:rsidRDefault="00A96EA7" w:rsidP="004D256F">
          <w:pPr>
            <w:pStyle w:val="Original"/>
            <w:suppressAutoHyphens/>
          </w:pPr>
          <w:r>
            <w:t>E</w:t>
          </w:r>
          <w:r w:rsidR="005D2EA7">
            <w:t>spañol</w:t>
          </w:r>
          <w:r>
            <w:t xml:space="preserve">, </w:t>
          </w:r>
          <w:r w:rsidR="005D2EA7">
            <w:t>francés</w:t>
          </w:r>
          <w:r>
            <w:t xml:space="preserve"> e </w:t>
          </w:r>
          <w:r w:rsidR="005D2EA7">
            <w:t>inglés</w:t>
          </w:r>
          <w:r w:rsidR="004D256F">
            <w:t xml:space="preserve"> únicamente</w:t>
          </w:r>
        </w:p>
        <w:p w14:paraId="5110FD39" w14:textId="77777777" w:rsidR="005D2EA7" w:rsidRPr="005D2EA7" w:rsidRDefault="005D2EA7" w:rsidP="005D2EA7"/>
      </w:tc>
    </w:tr>
  </w:tbl>
  <w:p w14:paraId="11F8CFE1" w14:textId="77777777" w:rsidR="005D2EA7" w:rsidRPr="004D256F" w:rsidRDefault="005D2EA7" w:rsidP="005D2EA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86545BF"/>
    <w:multiLevelType w:val="singleLevel"/>
    <w:tmpl w:val="3DAEC5C6"/>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76*"/>
    <w:docVar w:name="CreationDt" w:val="12/21/2020 10:08 AM"/>
    <w:docVar w:name="DocCategory" w:val="Doc"/>
    <w:docVar w:name="DocType" w:val="Final"/>
    <w:docVar w:name="DutyStation" w:val="New York"/>
    <w:docVar w:name="FooterJN" w:val="20-16576"/>
    <w:docVar w:name="jobn" w:val="20-16576 (S)"/>
    <w:docVar w:name="jobnDT" w:val="20-16576 (S)   211220"/>
    <w:docVar w:name="jobnDTDT" w:val="20-16576 (S)   211220   211220"/>
    <w:docVar w:name="JobNo" w:val="2016576S"/>
    <w:docVar w:name="JobNo2" w:val="203469610:08 AM"/>
    <w:docVar w:name="LocalDrive" w:val="-1"/>
    <w:docVar w:name="OandT" w:val="xf/Jordina"/>
    <w:docVar w:name="sss1" w:val="CEDAW/C/MUS/FCO/8"/>
    <w:docVar w:name="sss2" w:val="-"/>
    <w:docVar w:name="Symbol1" w:val="CEDAW/C/MUS/FCO/8"/>
    <w:docVar w:name="Symbol2" w:val="-"/>
  </w:docVars>
  <w:rsids>
    <w:rsidRoot w:val="00AC62E0"/>
    <w:rsid w:val="00002584"/>
    <w:rsid w:val="000401EF"/>
    <w:rsid w:val="0006491F"/>
    <w:rsid w:val="00067B89"/>
    <w:rsid w:val="00071D43"/>
    <w:rsid w:val="00082144"/>
    <w:rsid w:val="000C551F"/>
    <w:rsid w:val="000F1F99"/>
    <w:rsid w:val="000F3BD1"/>
    <w:rsid w:val="00101B18"/>
    <w:rsid w:val="00117EA0"/>
    <w:rsid w:val="00122A56"/>
    <w:rsid w:val="00134FEE"/>
    <w:rsid w:val="001453E5"/>
    <w:rsid w:val="00146C6A"/>
    <w:rsid w:val="00147570"/>
    <w:rsid w:val="00151388"/>
    <w:rsid w:val="00166A0D"/>
    <w:rsid w:val="001732F3"/>
    <w:rsid w:val="0019189A"/>
    <w:rsid w:val="00194342"/>
    <w:rsid w:val="001A7585"/>
    <w:rsid w:val="001C7C18"/>
    <w:rsid w:val="001D503F"/>
    <w:rsid w:val="001D5969"/>
    <w:rsid w:val="001E0D77"/>
    <w:rsid w:val="001E4B50"/>
    <w:rsid w:val="00224021"/>
    <w:rsid w:val="002338E3"/>
    <w:rsid w:val="00241B93"/>
    <w:rsid w:val="002478A0"/>
    <w:rsid w:val="002A191A"/>
    <w:rsid w:val="002A5AA1"/>
    <w:rsid w:val="002A5E20"/>
    <w:rsid w:val="002D1584"/>
    <w:rsid w:val="003001A5"/>
    <w:rsid w:val="003018CF"/>
    <w:rsid w:val="00304428"/>
    <w:rsid w:val="00356DCA"/>
    <w:rsid w:val="0036098B"/>
    <w:rsid w:val="00366D21"/>
    <w:rsid w:val="0039127C"/>
    <w:rsid w:val="003A675A"/>
    <w:rsid w:val="003B24AA"/>
    <w:rsid w:val="003D096D"/>
    <w:rsid w:val="003F61E1"/>
    <w:rsid w:val="00410395"/>
    <w:rsid w:val="00415E1D"/>
    <w:rsid w:val="00431E47"/>
    <w:rsid w:val="004362A4"/>
    <w:rsid w:val="00440C93"/>
    <w:rsid w:val="00480B84"/>
    <w:rsid w:val="00490898"/>
    <w:rsid w:val="004B4B5D"/>
    <w:rsid w:val="004B64F9"/>
    <w:rsid w:val="004C1A25"/>
    <w:rsid w:val="004D256F"/>
    <w:rsid w:val="004D6B2A"/>
    <w:rsid w:val="00515991"/>
    <w:rsid w:val="0052163E"/>
    <w:rsid w:val="005225EC"/>
    <w:rsid w:val="00525097"/>
    <w:rsid w:val="005509B6"/>
    <w:rsid w:val="00561B39"/>
    <w:rsid w:val="005936BE"/>
    <w:rsid w:val="005B6342"/>
    <w:rsid w:val="005B7468"/>
    <w:rsid w:val="005D2EA7"/>
    <w:rsid w:val="005F1F5F"/>
    <w:rsid w:val="005F6BFC"/>
    <w:rsid w:val="00607A03"/>
    <w:rsid w:val="006208AA"/>
    <w:rsid w:val="00622288"/>
    <w:rsid w:val="00632C10"/>
    <w:rsid w:val="00633857"/>
    <w:rsid w:val="006574DA"/>
    <w:rsid w:val="00657C5A"/>
    <w:rsid w:val="00690698"/>
    <w:rsid w:val="006B1CC0"/>
    <w:rsid w:val="006B400D"/>
    <w:rsid w:val="006C0B2B"/>
    <w:rsid w:val="006C23B8"/>
    <w:rsid w:val="006E4A4B"/>
    <w:rsid w:val="006F01F8"/>
    <w:rsid w:val="00703106"/>
    <w:rsid w:val="00706965"/>
    <w:rsid w:val="00715FAA"/>
    <w:rsid w:val="007459AE"/>
    <w:rsid w:val="007526FF"/>
    <w:rsid w:val="007531A5"/>
    <w:rsid w:val="00753D8A"/>
    <w:rsid w:val="007610C9"/>
    <w:rsid w:val="00771C9E"/>
    <w:rsid w:val="00774CA8"/>
    <w:rsid w:val="00783685"/>
    <w:rsid w:val="007A7BBC"/>
    <w:rsid w:val="00807B29"/>
    <w:rsid w:val="0082045E"/>
    <w:rsid w:val="008222A3"/>
    <w:rsid w:val="00840664"/>
    <w:rsid w:val="00882D0E"/>
    <w:rsid w:val="008B3FC7"/>
    <w:rsid w:val="008F3462"/>
    <w:rsid w:val="00914E94"/>
    <w:rsid w:val="00932352"/>
    <w:rsid w:val="00935932"/>
    <w:rsid w:val="009559A6"/>
    <w:rsid w:val="00990EE1"/>
    <w:rsid w:val="00993CB7"/>
    <w:rsid w:val="009B3CFB"/>
    <w:rsid w:val="009D0EE3"/>
    <w:rsid w:val="00A1038C"/>
    <w:rsid w:val="00A103BD"/>
    <w:rsid w:val="00A2494D"/>
    <w:rsid w:val="00A24FB0"/>
    <w:rsid w:val="00A31C1D"/>
    <w:rsid w:val="00A52F07"/>
    <w:rsid w:val="00A536A1"/>
    <w:rsid w:val="00A75349"/>
    <w:rsid w:val="00A75AB1"/>
    <w:rsid w:val="00A847CC"/>
    <w:rsid w:val="00A96C9D"/>
    <w:rsid w:val="00A96EA7"/>
    <w:rsid w:val="00AB0B7D"/>
    <w:rsid w:val="00AC183A"/>
    <w:rsid w:val="00AC62E0"/>
    <w:rsid w:val="00AD0436"/>
    <w:rsid w:val="00AD157A"/>
    <w:rsid w:val="00AD5F2F"/>
    <w:rsid w:val="00AF4336"/>
    <w:rsid w:val="00B114E4"/>
    <w:rsid w:val="00B67B35"/>
    <w:rsid w:val="00B858D5"/>
    <w:rsid w:val="00BB462D"/>
    <w:rsid w:val="00BD113B"/>
    <w:rsid w:val="00C026EE"/>
    <w:rsid w:val="00C07FF6"/>
    <w:rsid w:val="00C1512C"/>
    <w:rsid w:val="00C32BC2"/>
    <w:rsid w:val="00C43505"/>
    <w:rsid w:val="00C5036A"/>
    <w:rsid w:val="00C928B8"/>
    <w:rsid w:val="00C97C32"/>
    <w:rsid w:val="00CB06FB"/>
    <w:rsid w:val="00CB63C5"/>
    <w:rsid w:val="00CD7F48"/>
    <w:rsid w:val="00CE1089"/>
    <w:rsid w:val="00D0035F"/>
    <w:rsid w:val="00D3073B"/>
    <w:rsid w:val="00D30EED"/>
    <w:rsid w:val="00D9001E"/>
    <w:rsid w:val="00DA3D71"/>
    <w:rsid w:val="00DB32F0"/>
    <w:rsid w:val="00DB66DE"/>
    <w:rsid w:val="00DB7778"/>
    <w:rsid w:val="00DC7881"/>
    <w:rsid w:val="00DD4417"/>
    <w:rsid w:val="00DD5701"/>
    <w:rsid w:val="00E0023E"/>
    <w:rsid w:val="00E117BC"/>
    <w:rsid w:val="00E343A6"/>
    <w:rsid w:val="00E37534"/>
    <w:rsid w:val="00E443AC"/>
    <w:rsid w:val="00E47A1E"/>
    <w:rsid w:val="00E517AD"/>
    <w:rsid w:val="00E7105F"/>
    <w:rsid w:val="00E80480"/>
    <w:rsid w:val="00E818DE"/>
    <w:rsid w:val="00EB1515"/>
    <w:rsid w:val="00EC591D"/>
    <w:rsid w:val="00ED471D"/>
    <w:rsid w:val="00EE37EC"/>
    <w:rsid w:val="00EE522C"/>
    <w:rsid w:val="00EF2DFA"/>
    <w:rsid w:val="00F0704E"/>
    <w:rsid w:val="00F272D7"/>
    <w:rsid w:val="00F30F09"/>
    <w:rsid w:val="00F313F6"/>
    <w:rsid w:val="00F5012D"/>
    <w:rsid w:val="00F73093"/>
    <w:rsid w:val="00F873D4"/>
    <w:rsid w:val="00F9622A"/>
    <w:rsid w:val="00FA3D05"/>
    <w:rsid w:val="00FA5CC9"/>
    <w:rsid w:val="00FB0A2C"/>
    <w:rsid w:val="00FC0A05"/>
    <w:rsid w:val="00FC59F1"/>
    <w:rsid w:val="00FD2C1C"/>
    <w:rsid w:val="00FE30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794D4"/>
  <w15:chartTrackingRefBased/>
  <w15:docId w15:val="{70A77233-DF65-4641-A0F1-A5FD5AF4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3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0023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0023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0023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0023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0023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E0023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0023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0023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0023E"/>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0023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0023E"/>
    <w:pPr>
      <w:spacing w:line="360" w:lineRule="exact"/>
    </w:pPr>
    <w:rPr>
      <w:spacing w:val="-3"/>
      <w:w w:val="99"/>
      <w:sz w:val="34"/>
    </w:rPr>
  </w:style>
  <w:style w:type="paragraph" w:customStyle="1" w:styleId="H23">
    <w:name w:val="_ H_2/3"/>
    <w:basedOn w:val="H1"/>
    <w:next w:val="SingleTxt"/>
    <w:qFormat/>
    <w:rsid w:val="00E0023E"/>
    <w:pPr>
      <w:spacing w:line="240" w:lineRule="exact"/>
      <w:outlineLvl w:val="1"/>
    </w:pPr>
    <w:rPr>
      <w:spacing w:val="2"/>
      <w:sz w:val="20"/>
    </w:rPr>
  </w:style>
  <w:style w:type="paragraph" w:customStyle="1" w:styleId="H4">
    <w:name w:val="_ H_4"/>
    <w:basedOn w:val="Normal"/>
    <w:next w:val="Normal"/>
    <w:qFormat/>
    <w:rsid w:val="00E0023E"/>
    <w:pPr>
      <w:keepNext/>
      <w:keepLines/>
      <w:tabs>
        <w:tab w:val="right" w:pos="360"/>
      </w:tabs>
      <w:outlineLvl w:val="3"/>
    </w:pPr>
    <w:rPr>
      <w:i/>
      <w:spacing w:val="3"/>
      <w:kern w:val="14"/>
    </w:rPr>
  </w:style>
  <w:style w:type="paragraph" w:customStyle="1" w:styleId="H56">
    <w:name w:val="_ H_5/6"/>
    <w:basedOn w:val="Normal"/>
    <w:next w:val="Normal"/>
    <w:qFormat/>
    <w:rsid w:val="00E0023E"/>
    <w:pPr>
      <w:keepNext/>
      <w:keepLines/>
      <w:tabs>
        <w:tab w:val="right" w:pos="360"/>
      </w:tabs>
      <w:outlineLvl w:val="4"/>
    </w:pPr>
    <w:rPr>
      <w:kern w:val="14"/>
    </w:rPr>
  </w:style>
  <w:style w:type="paragraph" w:customStyle="1" w:styleId="DualTxt">
    <w:name w:val="__Dual Txt"/>
    <w:basedOn w:val="Normal"/>
    <w:qFormat/>
    <w:rsid w:val="00E0023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023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023E"/>
    <w:pPr>
      <w:spacing w:line="540" w:lineRule="exact"/>
    </w:pPr>
    <w:rPr>
      <w:spacing w:val="-8"/>
      <w:w w:val="96"/>
      <w:sz w:val="57"/>
    </w:rPr>
  </w:style>
  <w:style w:type="paragraph" w:customStyle="1" w:styleId="SS">
    <w:name w:val="__S_S"/>
    <w:basedOn w:val="HCh0"/>
    <w:next w:val="Normal"/>
    <w:qFormat/>
    <w:rsid w:val="00E0023E"/>
    <w:pPr>
      <w:ind w:left="1267" w:right="1267"/>
    </w:pPr>
  </w:style>
  <w:style w:type="paragraph" w:customStyle="1" w:styleId="SingleTxt">
    <w:name w:val="__Single Txt"/>
    <w:basedOn w:val="Normal"/>
    <w:qFormat/>
    <w:rsid w:val="00E002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023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023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023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0023E"/>
    <w:rPr>
      <w:rFonts w:ascii="Tahoma" w:hAnsi="Tahoma" w:cs="Tahoma"/>
      <w:sz w:val="16"/>
      <w:szCs w:val="16"/>
    </w:rPr>
  </w:style>
  <w:style w:type="character" w:customStyle="1" w:styleId="BalloonTextChar">
    <w:name w:val="Balloon Text Char"/>
    <w:basedOn w:val="DefaultParagraphFont"/>
    <w:link w:val="BalloonText"/>
    <w:semiHidden/>
    <w:rsid w:val="00E0023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023E"/>
    <w:pPr>
      <w:numPr>
        <w:numId w:val="1"/>
      </w:numPr>
      <w:spacing w:after="120"/>
      <w:ind w:right="1264"/>
      <w:jc w:val="both"/>
    </w:pPr>
  </w:style>
  <w:style w:type="paragraph" w:customStyle="1" w:styleId="Bullet2">
    <w:name w:val="Bullet 2"/>
    <w:basedOn w:val="Normal"/>
    <w:qFormat/>
    <w:rsid w:val="00E0023E"/>
    <w:pPr>
      <w:numPr>
        <w:numId w:val="2"/>
      </w:numPr>
      <w:spacing w:after="120"/>
      <w:ind w:right="1264"/>
      <w:jc w:val="both"/>
    </w:pPr>
  </w:style>
  <w:style w:type="paragraph" w:customStyle="1" w:styleId="Bullet3">
    <w:name w:val="Bullet 3"/>
    <w:basedOn w:val="SingleTxt"/>
    <w:qFormat/>
    <w:rsid w:val="00E0023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0023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0023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E0023E"/>
    <w:pPr>
      <w:spacing w:after="80"/>
    </w:pPr>
  </w:style>
  <w:style w:type="character" w:customStyle="1" w:styleId="EndnoteTextChar">
    <w:name w:val="Endnote Text Char"/>
    <w:basedOn w:val="DefaultParagraphFont"/>
    <w:link w:val="EndnoteText"/>
    <w:semiHidden/>
    <w:rsid w:val="00E0023E"/>
    <w:rPr>
      <w:rFonts w:ascii="Times New Roman" w:eastAsiaTheme="minorHAnsi" w:hAnsi="Times New Roman" w:cs="Times New Roman"/>
      <w:spacing w:val="5"/>
      <w:w w:val="104"/>
      <w:sz w:val="17"/>
      <w:lang w:val="es-ES" w:eastAsia="en-US"/>
    </w:rPr>
  </w:style>
  <w:style w:type="paragraph" w:styleId="Footer">
    <w:name w:val="footer"/>
    <w:link w:val="FooterChar"/>
    <w:qFormat/>
    <w:rsid w:val="00E0023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0023E"/>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E002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E0023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E0023E"/>
    <w:rPr>
      <w:rFonts w:ascii="Times New Roman" w:eastAsiaTheme="minorHAnsi" w:hAnsi="Times New Roman" w:cs="Times New Roman"/>
      <w:spacing w:val="5"/>
      <w:w w:val="104"/>
      <w:sz w:val="17"/>
      <w:lang w:val="es-ES" w:eastAsia="en-US"/>
    </w:rPr>
  </w:style>
  <w:style w:type="paragraph" w:styleId="Header">
    <w:name w:val="header"/>
    <w:link w:val="HeaderChar"/>
    <w:qFormat/>
    <w:rsid w:val="00E0023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0023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0023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E0023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E0023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E0023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E0023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E0023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0023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E0023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E0023E"/>
    <w:rPr>
      <w:rFonts w:ascii="Cambria" w:hAnsi="Cambria" w:cs="Times New Roman"/>
      <w:i/>
      <w:iCs/>
      <w:spacing w:val="5"/>
      <w:w w:val="103"/>
      <w:sz w:val="20"/>
      <w:szCs w:val="20"/>
      <w:lang w:val="es-ES" w:eastAsia="en-US"/>
    </w:rPr>
  </w:style>
  <w:style w:type="character" w:styleId="LineNumber">
    <w:name w:val="line number"/>
    <w:qFormat/>
    <w:rsid w:val="00E0023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E0023E"/>
    <w:pPr>
      <w:spacing w:line="240" w:lineRule="auto"/>
    </w:pPr>
  </w:style>
  <w:style w:type="paragraph" w:customStyle="1" w:styleId="Original">
    <w:name w:val="Original"/>
    <w:next w:val="Normal"/>
    <w:autoRedefine/>
    <w:qFormat/>
    <w:rsid w:val="00E0023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0023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0023E"/>
    <w:pPr>
      <w:tabs>
        <w:tab w:val="right" w:pos="9965"/>
      </w:tabs>
      <w:spacing w:line="210" w:lineRule="exact"/>
    </w:pPr>
    <w:rPr>
      <w:spacing w:val="5"/>
      <w:w w:val="104"/>
      <w:kern w:val="14"/>
      <w:sz w:val="17"/>
    </w:rPr>
  </w:style>
  <w:style w:type="paragraph" w:customStyle="1" w:styleId="SmallX">
    <w:name w:val="SmallX"/>
    <w:basedOn w:val="Small"/>
    <w:next w:val="Normal"/>
    <w:qFormat/>
    <w:rsid w:val="00E0023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002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02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0023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E00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E0023E"/>
    <w:pPr>
      <w:spacing w:line="300" w:lineRule="exact"/>
    </w:pPr>
    <w:rPr>
      <w:spacing w:val="-2"/>
      <w:sz w:val="28"/>
    </w:rPr>
  </w:style>
  <w:style w:type="paragraph" w:styleId="Caption">
    <w:name w:val="caption"/>
    <w:basedOn w:val="Normal"/>
    <w:next w:val="Normal"/>
    <w:uiPriority w:val="35"/>
    <w:semiHidden/>
    <w:unhideWhenUsed/>
    <w:rsid w:val="00E0023E"/>
    <w:pPr>
      <w:spacing w:line="240" w:lineRule="auto"/>
    </w:pPr>
    <w:rPr>
      <w:b/>
      <w:bCs/>
      <w:color w:val="4F81BD"/>
      <w:sz w:val="18"/>
      <w:szCs w:val="18"/>
    </w:rPr>
  </w:style>
  <w:style w:type="character" w:styleId="CommentReference">
    <w:name w:val="annotation reference"/>
    <w:semiHidden/>
    <w:rsid w:val="00E0023E"/>
    <w:rPr>
      <w:sz w:val="6"/>
    </w:rPr>
  </w:style>
  <w:style w:type="paragraph" w:customStyle="1" w:styleId="HdBanner">
    <w:name w:val="Hd Banner"/>
    <w:basedOn w:val="Normal"/>
    <w:next w:val="Normal"/>
    <w:qFormat/>
    <w:rsid w:val="00E0023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0023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023E"/>
    <w:pPr>
      <w:spacing w:before="240"/>
    </w:pPr>
    <w:rPr>
      <w:b/>
      <w:spacing w:val="-2"/>
      <w:w w:val="100"/>
    </w:rPr>
  </w:style>
  <w:style w:type="paragraph" w:customStyle="1" w:styleId="HdChapterBdLg">
    <w:name w:val="Hd Chapter Bd Lg"/>
    <w:basedOn w:val="HdChapterBD"/>
    <w:next w:val="Normal"/>
    <w:qFormat/>
    <w:rsid w:val="00E0023E"/>
    <w:rPr>
      <w:spacing w:val="-3"/>
      <w:w w:val="99"/>
      <w:kern w:val="14"/>
      <w:sz w:val="34"/>
      <w:szCs w:val="34"/>
    </w:rPr>
  </w:style>
  <w:style w:type="paragraph" w:customStyle="1" w:styleId="JournalHeading1">
    <w:name w:val="Journal_Heading1"/>
    <w:basedOn w:val="Normal"/>
    <w:next w:val="Normal"/>
    <w:qFormat/>
    <w:rsid w:val="00E0023E"/>
    <w:pPr>
      <w:keepNext/>
      <w:spacing w:before="190" w:line="270" w:lineRule="exact"/>
    </w:pPr>
    <w:rPr>
      <w:b/>
      <w:kern w:val="14"/>
      <w:sz w:val="24"/>
    </w:rPr>
  </w:style>
  <w:style w:type="paragraph" w:customStyle="1" w:styleId="JournalHeading2">
    <w:name w:val="Journal_Heading2"/>
    <w:basedOn w:val="Normal"/>
    <w:next w:val="Normal"/>
    <w:qFormat/>
    <w:rsid w:val="00E0023E"/>
    <w:pPr>
      <w:keepNext/>
      <w:keepLines/>
      <w:spacing w:before="240"/>
      <w:outlineLvl w:val="1"/>
    </w:pPr>
    <w:rPr>
      <w:b/>
      <w:spacing w:val="2"/>
      <w:kern w:val="14"/>
    </w:rPr>
  </w:style>
  <w:style w:type="paragraph" w:customStyle="1" w:styleId="JournalHeading4">
    <w:name w:val="Journal_Heading4"/>
    <w:basedOn w:val="Normal"/>
    <w:next w:val="Normal"/>
    <w:qFormat/>
    <w:rsid w:val="00E0023E"/>
    <w:pPr>
      <w:keepNext/>
      <w:keepLines/>
      <w:spacing w:before="240"/>
      <w:outlineLvl w:val="3"/>
    </w:pPr>
    <w:rPr>
      <w:i/>
      <w:kern w:val="14"/>
    </w:rPr>
  </w:style>
  <w:style w:type="paragraph" w:customStyle="1" w:styleId="NormalBullet">
    <w:name w:val="Normal Bullet"/>
    <w:basedOn w:val="Normal"/>
    <w:next w:val="Normal"/>
    <w:qFormat/>
    <w:rsid w:val="00E0023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0023E"/>
    <w:pPr>
      <w:tabs>
        <w:tab w:val="left" w:leader="dot" w:pos="2218"/>
        <w:tab w:val="left" w:pos="2707"/>
        <w:tab w:val="right" w:leader="dot" w:pos="9835"/>
      </w:tabs>
    </w:pPr>
    <w:rPr>
      <w:kern w:val="14"/>
    </w:rPr>
  </w:style>
  <w:style w:type="paragraph" w:customStyle="1" w:styleId="ReleaseDate0">
    <w:name w:val="ReleaseDate"/>
    <w:next w:val="Footer"/>
    <w:autoRedefine/>
    <w:qFormat/>
    <w:rsid w:val="00E0023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0023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D2EA7"/>
    <w:pPr>
      <w:spacing w:line="240" w:lineRule="auto"/>
    </w:pPr>
    <w:rPr>
      <w:szCs w:val="20"/>
    </w:rPr>
  </w:style>
  <w:style w:type="character" w:customStyle="1" w:styleId="CommentTextChar">
    <w:name w:val="Comment Text Char"/>
    <w:basedOn w:val="DefaultParagraphFont"/>
    <w:link w:val="CommentText"/>
    <w:uiPriority w:val="99"/>
    <w:semiHidden/>
    <w:rsid w:val="005D2EA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D2EA7"/>
    <w:rPr>
      <w:b/>
      <w:bCs/>
    </w:rPr>
  </w:style>
  <w:style w:type="character" w:customStyle="1" w:styleId="CommentSubjectChar">
    <w:name w:val="Comment Subject Char"/>
    <w:basedOn w:val="CommentTextChar"/>
    <w:link w:val="CommentSubject"/>
    <w:uiPriority w:val="99"/>
    <w:semiHidden/>
    <w:rsid w:val="005D2EA7"/>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9B3CFB"/>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b/>
      <w:spacing w:val="0"/>
      <w:w w:val="100"/>
      <w:sz w:val="34"/>
      <w:szCs w:val="20"/>
      <w:lang w:val="en-GB"/>
    </w:rPr>
  </w:style>
  <w:style w:type="paragraph" w:customStyle="1" w:styleId="SingleTxtG">
    <w:name w:val="_ Single Txt_G"/>
    <w:basedOn w:val="Normal"/>
    <w:link w:val="SingleTxtGChar"/>
    <w:qFormat/>
    <w:rsid w:val="009B3CFB"/>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9B3CFB"/>
    <w:rPr>
      <w:rFonts w:ascii="Times New Roman" w:hAnsi="Times New Roman" w:cs="Times New Roman"/>
      <w:sz w:val="20"/>
      <w:szCs w:val="20"/>
      <w:lang w:eastAsia="en-US"/>
    </w:rPr>
  </w:style>
  <w:style w:type="paragraph" w:customStyle="1" w:styleId="H1G">
    <w:name w:val="_ H_1_G"/>
    <w:basedOn w:val="Normal"/>
    <w:next w:val="Normal"/>
    <w:qFormat/>
    <w:rsid w:val="009B3CF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9B3CFB"/>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table" w:styleId="TableGrid">
    <w:name w:val="Table Grid"/>
    <w:basedOn w:val="TableNormal"/>
    <w:rsid w:val="00DB7778"/>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607A03"/>
    <w:rPr>
      <w:color w:val="605E5C"/>
      <w:shd w:val="clear" w:color="auto" w:fill="E1DFDD"/>
    </w:rPr>
  </w:style>
  <w:style w:type="paragraph" w:styleId="Revision">
    <w:name w:val="Revision"/>
    <w:hidden/>
    <w:uiPriority w:val="99"/>
    <w:semiHidden/>
    <w:rsid w:val="00C928B8"/>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CEDAW/C/M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Eduardo Alfaro</cp:lastModifiedBy>
  <cp:revision>5</cp:revision>
  <cp:lastPrinted>2021-01-04T17:20:00Z</cp:lastPrinted>
  <dcterms:created xsi:type="dcterms:W3CDTF">2021-01-04T17:20:00Z</dcterms:created>
  <dcterms:modified xsi:type="dcterms:W3CDTF">2021-01-04T17:21:00Z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2016576</vt:lpwstr>
  </property>
  <property fmtid="{D5CDD505-2E9C-101B-9397-08002B2CF9AE}" pid="3" name="ODSRefJobNo">
    <vt:lpwstr>2034696</vt:lpwstr>
  </property>
  <property fmtid="{D5CDD505-2E9C-101B-9397-08002B2CF9AE}" pid="4" name="Symbol1">
    <vt:lpwstr>CEDAW/C/MUS/FCO/8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2016576.EDT.MPR.JGU</vt:lpwstr>
  </property>
  <property fmtid="{D5CDD505-2E9C-101B-9397-08002B2CF9AE}" pid="9" name="DraftPages">
    <vt:lpwstr> 6</vt:lpwstr>
  </property>
  <property fmtid="{D5CDD505-2E9C-101B-9397-08002B2CF9AE}" pid="10" name="Operator">
    <vt:lpwstr>xf</vt:lpwstr>
  </property>
  <property fmtid="{D5CDD505-2E9C-101B-9397-08002B2CF9AE}" pid="11" name="Translator">
    <vt:lpwstr>Jordina</vt:lpwstr>
  </property>
  <property fmtid="{D5CDD505-2E9C-101B-9397-08002B2CF9AE}" pid="12" name="Original">
    <vt:lpwstr>Español, francés e inglés únicamente</vt:lpwstr>
  </property>
  <property fmtid="{D5CDD505-2E9C-101B-9397-08002B2CF9AE}" pid="13" name="Release Date">
    <vt:lpwstr>171220</vt:lpwstr>
  </property>
  <property fmtid="{D5CDD505-2E9C-101B-9397-08002B2CF9AE}" pid="14" name="Title1">
    <vt:lpwstr>		Información recibida de Mauricio relativa al seguimiento de las observaciones finales sobre su octavo informe periódico*, **_x000d_</vt:lpwstr>
  </property>
</Properties>
</file>